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vertAnchor="page" w:horzAnchor="margin" w:tblpY="3811"/>
        <w:tblW w:w="4637" w:type="pct"/>
        <w:tblCellMar>
          <w:left w:w="144" w:type="dxa"/>
          <w:right w:w="115" w:type="dxa"/>
        </w:tblCellMar>
        <w:tblLook w:val="04A0" w:firstRow="1" w:lastRow="0" w:firstColumn="1" w:lastColumn="0" w:noHBand="0" w:noVBand="1"/>
      </w:tblPr>
      <w:tblGrid>
        <w:gridCol w:w="8196"/>
      </w:tblGrid>
      <w:tr w:rsidR="004A0DF9" w:rsidRPr="008069A7" w14:paraId="2960A046" w14:textId="77777777" w:rsidTr="00EA6D98">
        <w:trPr>
          <w:trHeight w:val="1614"/>
        </w:trPr>
        <w:sdt>
          <w:sdtPr>
            <w:alias w:val="Compañía"/>
            <w:id w:val="-33346957"/>
            <w:placeholder>
              <w:docPart w:val="45073AA3ABB3494C9E08B7E748F430F5"/>
            </w:placeholder>
            <w:dataBinding w:prefixMappings="xmlns:ns0='http://schemas.openxmlformats.org/officeDocument/2006/extended-properties'" w:xpath="/ns0:Properties[1]/ns0:Company[1]" w:storeItemID="{6668398D-A668-4E3E-A5EB-62B293D839F1}"/>
            <w:text/>
          </w:sdtPr>
          <w:sdtEndPr/>
          <w:sdtContent>
            <w:tc>
              <w:tcPr>
                <w:tcW w:w="8716" w:type="dxa"/>
                <w:tcMar>
                  <w:top w:w="216" w:type="dxa"/>
                  <w:left w:w="115" w:type="dxa"/>
                  <w:bottom w:w="216" w:type="dxa"/>
                  <w:right w:w="115" w:type="dxa"/>
                </w:tcMar>
              </w:tcPr>
              <w:p w14:paraId="7712DACB" w14:textId="54340353" w:rsidR="004A0DF9" w:rsidRPr="001C2B6B" w:rsidRDefault="00491BB1" w:rsidP="009B432A">
                <w:pPr>
                  <w:pStyle w:val="IFTnormal"/>
                </w:pPr>
                <w:r>
                  <w:t>Instituto Federal de Telecomunicaciones</w:t>
                </w:r>
              </w:p>
            </w:tc>
          </w:sdtContent>
        </w:sdt>
      </w:tr>
      <w:tr w:rsidR="004A0DF9" w:rsidRPr="008069A7" w14:paraId="19268A05" w14:textId="77777777" w:rsidTr="00EA6D98">
        <w:trPr>
          <w:trHeight w:val="1629"/>
        </w:trPr>
        <w:tc>
          <w:tcPr>
            <w:tcW w:w="8716" w:type="dxa"/>
          </w:tcPr>
          <w:sdt>
            <w:sdtPr>
              <w:rPr>
                <w:rFonts w:ascii="ITC Avant Garde" w:hAnsi="ITC Avant Garde" w:cs="Arial"/>
                <w:b/>
                <w:i/>
                <w:color w:val="000000"/>
                <w:sz w:val="30"/>
                <w:lang w:val="es-ES" w:eastAsia="es-ES"/>
              </w:rPr>
              <w:alias w:val="Título"/>
              <w:id w:val="-660003129"/>
              <w:placeholder>
                <w:docPart w:val="E2041FADD2D846EF8EFE21AC092ADC34"/>
              </w:placeholder>
              <w:dataBinding w:prefixMappings="xmlns:ns0='http://schemas.openxmlformats.org/package/2006/metadata/core-properties' xmlns:ns1='http://purl.org/dc/elements/1.1/'" w:xpath="/ns0:coreProperties[1]/ns1:title[1]" w:storeItemID="{6C3C8BC8-F283-45AE-878A-BAB7291924A1}"/>
              <w:text/>
            </w:sdtPr>
            <w:sdtEndPr/>
            <w:sdtContent>
              <w:p w14:paraId="7AF16116" w14:textId="6F7CA35C" w:rsidR="004A0DF9" w:rsidRPr="008069A7" w:rsidRDefault="006C6969" w:rsidP="006C6969">
                <w:pPr>
                  <w:pStyle w:val="Sinespaciado"/>
                  <w:spacing w:line="216" w:lineRule="auto"/>
                  <w:jc w:val="both"/>
                  <w:rPr>
                    <w:rFonts w:asciiTheme="majorHAnsi" w:eastAsiaTheme="majorEastAsia" w:hAnsiTheme="majorHAnsi" w:cstheme="majorBidi"/>
                    <w:i/>
                    <w:color w:val="5B9BD5" w:themeColor="accent1"/>
                    <w:sz w:val="30"/>
                    <w:szCs w:val="88"/>
                  </w:rPr>
                </w:pPr>
                <w:r>
                  <w:rPr>
                    <w:rFonts w:ascii="ITC Avant Garde" w:hAnsi="ITC Avant Garde" w:cs="Arial"/>
                    <w:b/>
                    <w:i/>
                    <w:color w:val="000000"/>
                    <w:sz w:val="30"/>
                    <w:lang w:val="es-ES" w:eastAsia="es-ES"/>
                  </w:rPr>
                  <w:t>Modelo de Costos Evitados para Servicios de Reventa y Servicio de Acceso Indirecto al Bucle Local aplicable a 2021</w:t>
                </w:r>
              </w:p>
            </w:sdtContent>
          </w:sdt>
        </w:tc>
      </w:tr>
      <w:tr w:rsidR="004A0DF9" w:rsidRPr="008069A7" w14:paraId="1BBA7BAC" w14:textId="77777777" w:rsidTr="00EA6D98">
        <w:trPr>
          <w:trHeight w:val="2086"/>
        </w:trPr>
        <w:sdt>
          <w:sdtPr>
            <w:alias w:val="Subtítulo"/>
            <w:id w:val="-327056467"/>
            <w:placeholder>
              <w:docPart w:val="91571F7E5BE241CC82D45B3A5B7D12F0"/>
            </w:placeholder>
            <w:dataBinding w:prefixMappings="xmlns:ns0='http://schemas.openxmlformats.org/package/2006/metadata/core-properties' xmlns:ns1='http://purl.org/dc/elements/1.1/'" w:xpath="/ns0:coreProperties[1]/ns1:subject[1]" w:storeItemID="{6C3C8BC8-F283-45AE-878A-BAB7291924A1}"/>
            <w:text/>
          </w:sdtPr>
          <w:sdtEndPr/>
          <w:sdtContent>
            <w:tc>
              <w:tcPr>
                <w:tcW w:w="8716" w:type="dxa"/>
                <w:tcMar>
                  <w:top w:w="216" w:type="dxa"/>
                  <w:left w:w="115" w:type="dxa"/>
                  <w:bottom w:w="216" w:type="dxa"/>
                  <w:right w:w="115" w:type="dxa"/>
                </w:tcMar>
              </w:tcPr>
              <w:p w14:paraId="7689B38F" w14:textId="401DF894" w:rsidR="004A0DF9" w:rsidRPr="008069A7" w:rsidRDefault="00A46CB6" w:rsidP="009B432A">
                <w:pPr>
                  <w:pStyle w:val="IFTnormal"/>
                  <w:rPr>
                    <w:sz w:val="30"/>
                  </w:rPr>
                </w:pPr>
                <w:r>
                  <w:t>Documento metodológico y descriptivo del modelo para el proceso de consulta pública – Octubre, 2020</w:t>
                </w:r>
              </w:p>
            </w:tc>
          </w:sdtContent>
        </w:sdt>
      </w:tr>
    </w:tbl>
    <w:p w14:paraId="1296912F" w14:textId="77777777" w:rsidR="004A0DF9" w:rsidRDefault="004A0DF9">
      <w:pPr>
        <w:spacing w:after="160" w:line="259" w:lineRule="auto"/>
        <w:rPr>
          <w:rFonts w:ascii="ITC Avant Garde" w:hAnsi="ITC Avant Garde" w:cs="Arial"/>
          <w:b/>
          <w:color w:val="000000"/>
          <w:lang w:val="es-ES_tradnl" w:eastAsia="es-ES"/>
        </w:rPr>
      </w:pPr>
      <w:r>
        <w:rPr>
          <w:b/>
        </w:rPr>
        <w:br w:type="page"/>
      </w:r>
    </w:p>
    <w:p w14:paraId="0D7C19D7" w14:textId="6EAFE57F" w:rsidR="00EA6D98" w:rsidRDefault="00EA6D98">
      <w:pPr>
        <w:spacing w:after="160" w:line="259" w:lineRule="auto"/>
        <w:rPr>
          <w:rFonts w:ascii="ITC Avant Garde" w:hAnsi="ITC Avant Garde" w:cs="Arial"/>
          <w:b/>
          <w:color w:val="000000"/>
          <w:lang w:val="es-ES_tradnl" w:eastAsia="es-ES"/>
        </w:rPr>
      </w:pPr>
    </w:p>
    <w:sdt>
      <w:sdtPr>
        <w:rPr>
          <w:rFonts w:ascii="Calibri" w:eastAsia="Calibri" w:hAnsi="Calibri" w:cs="Times New Roman"/>
          <w:color w:val="auto"/>
          <w:sz w:val="22"/>
          <w:szCs w:val="22"/>
          <w:lang w:val="es-ES" w:eastAsia="en-US"/>
        </w:rPr>
        <w:id w:val="941117923"/>
        <w:docPartObj>
          <w:docPartGallery w:val="Table of Contents"/>
          <w:docPartUnique/>
        </w:docPartObj>
      </w:sdtPr>
      <w:sdtEndPr>
        <w:rPr>
          <w:rFonts w:ascii="ITC Avant Garde" w:hAnsi="ITC Avant Garde"/>
          <w:b/>
          <w:bCs/>
          <w:sz w:val="18"/>
        </w:rPr>
      </w:sdtEndPr>
      <w:sdtContent>
        <w:p w14:paraId="6CF7FA5C" w14:textId="3B2F2E36" w:rsidR="00EA6D98" w:rsidRDefault="00EA6D98">
          <w:pPr>
            <w:pStyle w:val="TtuloTDC"/>
          </w:pPr>
          <w:r>
            <w:rPr>
              <w:lang w:val="es-ES"/>
            </w:rPr>
            <w:t>Contenido</w:t>
          </w:r>
        </w:p>
        <w:p w14:paraId="452B2899" w14:textId="4CC07F96" w:rsidR="0048766B" w:rsidRPr="003175E4" w:rsidRDefault="00EA6D98">
          <w:pPr>
            <w:pStyle w:val="TDC1"/>
            <w:rPr>
              <w:rFonts w:ascii="ITC Avant Garde" w:hAnsi="ITC Avant Garde" w:cstheme="minorBidi"/>
              <w:noProof/>
              <w:sz w:val="20"/>
              <w:lang w:val="es-MX" w:eastAsia="es-MX"/>
            </w:rPr>
          </w:pPr>
          <w:r w:rsidRPr="00C945B5">
            <w:rPr>
              <w:rFonts w:ascii="ITC Avant Garde" w:hAnsi="ITC Avant Garde"/>
              <w:b/>
              <w:bCs/>
              <w:sz w:val="18"/>
              <w:lang w:val="es-ES"/>
            </w:rPr>
            <w:fldChar w:fldCharType="begin"/>
          </w:r>
          <w:r w:rsidRPr="00C945B5">
            <w:rPr>
              <w:rFonts w:ascii="ITC Avant Garde" w:hAnsi="ITC Avant Garde"/>
              <w:b/>
              <w:bCs/>
              <w:sz w:val="18"/>
              <w:lang w:val="es-ES"/>
            </w:rPr>
            <w:instrText xml:space="preserve"> TOC \o "1-3" \h \z \u </w:instrText>
          </w:r>
          <w:r w:rsidRPr="00C945B5">
            <w:rPr>
              <w:rFonts w:ascii="ITC Avant Garde" w:hAnsi="ITC Avant Garde"/>
              <w:b/>
              <w:bCs/>
              <w:sz w:val="18"/>
              <w:lang w:val="es-ES"/>
            </w:rPr>
            <w:fldChar w:fldCharType="separate"/>
          </w:r>
          <w:bookmarkStart w:id="0" w:name="_GoBack"/>
          <w:r w:rsidR="003175E4" w:rsidRPr="003175E4">
            <w:rPr>
              <w:rStyle w:val="Hipervnculo"/>
              <w:rFonts w:ascii="ITC Avant Garde" w:hAnsi="ITC Avant Garde"/>
              <w:noProof/>
              <w:sz w:val="20"/>
            </w:rPr>
            <w:fldChar w:fldCharType="begin"/>
          </w:r>
          <w:r w:rsidR="003175E4" w:rsidRPr="003175E4">
            <w:rPr>
              <w:rStyle w:val="Hipervnculo"/>
              <w:rFonts w:ascii="ITC Avant Garde" w:hAnsi="ITC Avant Garde"/>
              <w:noProof/>
              <w:sz w:val="20"/>
            </w:rPr>
            <w:instrText xml:space="preserve"> HYPERLINK \l "_Toc52188489" </w:instrText>
          </w:r>
          <w:r w:rsidR="003175E4" w:rsidRPr="003175E4">
            <w:rPr>
              <w:rStyle w:val="Hipervnculo"/>
              <w:rFonts w:ascii="ITC Avant Garde" w:hAnsi="ITC Avant Garde"/>
              <w:noProof/>
              <w:sz w:val="20"/>
            </w:rPr>
            <w:fldChar w:fldCharType="separate"/>
          </w:r>
          <w:r w:rsidR="0048766B" w:rsidRPr="003175E4">
            <w:rPr>
              <w:rStyle w:val="Hipervnculo"/>
              <w:rFonts w:ascii="ITC Avant Garde" w:hAnsi="ITC Avant Garde"/>
              <w:noProof/>
              <w:sz w:val="20"/>
            </w:rPr>
            <w:t>Cuadro de acrónimos</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_Toc52188489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4</w:t>
          </w:r>
          <w:r w:rsidR="0048766B" w:rsidRPr="003175E4">
            <w:rPr>
              <w:rFonts w:ascii="ITC Avant Garde" w:hAnsi="ITC Avant Garde"/>
              <w:noProof/>
              <w:webHidden/>
              <w:sz w:val="20"/>
            </w:rPr>
            <w:fldChar w:fldCharType="end"/>
          </w:r>
          <w:r w:rsidR="003175E4" w:rsidRPr="003175E4">
            <w:rPr>
              <w:rFonts w:ascii="ITC Avant Garde" w:hAnsi="ITC Avant Garde"/>
              <w:noProof/>
              <w:sz w:val="20"/>
            </w:rPr>
            <w:fldChar w:fldCharType="end"/>
          </w:r>
        </w:p>
        <w:p w14:paraId="23C15797" w14:textId="34D12829" w:rsidR="0048766B" w:rsidRPr="003175E4" w:rsidRDefault="003175E4">
          <w:pPr>
            <w:pStyle w:val="TDC2"/>
            <w:rPr>
              <w:rFonts w:ascii="ITC Avant Garde" w:eastAsiaTheme="minorEastAsia" w:hAnsi="ITC Avant Garde" w:cstheme="minorBidi"/>
              <w:noProof/>
              <w:sz w:val="20"/>
              <w:lang w:eastAsia="es-MX"/>
            </w:rPr>
          </w:pPr>
          <w:hyperlink w:anchor="_Toc52188490" w:history="1">
            <w:r w:rsidR="0048766B" w:rsidRPr="003175E4">
              <w:rPr>
                <w:rStyle w:val="Hipervnculo"/>
                <w:rFonts w:ascii="ITC Avant Garde" w:hAnsi="ITC Avant Garde"/>
                <w:noProof/>
                <w:sz w:val="20"/>
              </w:rPr>
              <w:t>Introducción</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_Toc52188490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8</w:t>
            </w:r>
            <w:r w:rsidR="0048766B" w:rsidRPr="003175E4">
              <w:rPr>
                <w:rFonts w:ascii="ITC Avant Garde" w:hAnsi="ITC Avant Garde"/>
                <w:noProof/>
                <w:webHidden/>
                <w:sz w:val="20"/>
              </w:rPr>
              <w:fldChar w:fldCharType="end"/>
            </w:r>
          </w:hyperlink>
        </w:p>
        <w:p w14:paraId="4B4A05CF" w14:textId="79CB5C25" w:rsidR="0048766B" w:rsidRPr="003175E4" w:rsidRDefault="003175E4">
          <w:pPr>
            <w:pStyle w:val="TDC2"/>
            <w:rPr>
              <w:rFonts w:ascii="ITC Avant Garde" w:eastAsiaTheme="minorEastAsia" w:hAnsi="ITC Avant Garde" w:cstheme="minorBidi"/>
              <w:noProof/>
              <w:sz w:val="20"/>
              <w:lang w:eastAsia="es-MX"/>
            </w:rPr>
          </w:pPr>
          <w:hyperlink w:anchor="_Toc52188491" w:history="1">
            <w:r w:rsidR="0048766B" w:rsidRPr="003175E4">
              <w:rPr>
                <w:rStyle w:val="Hipervnculo"/>
                <w:rFonts w:ascii="ITC Avant Garde" w:hAnsi="ITC Avant Garde"/>
                <w:noProof/>
                <w:sz w:val="20"/>
              </w:rPr>
              <w:t>1.</w:t>
            </w:r>
            <w:r w:rsidR="0048766B" w:rsidRPr="003175E4">
              <w:rPr>
                <w:rFonts w:ascii="ITC Avant Garde" w:eastAsiaTheme="minorEastAsia" w:hAnsi="ITC Avant Garde" w:cstheme="minorBidi"/>
                <w:noProof/>
                <w:sz w:val="20"/>
                <w:lang w:eastAsia="es-MX"/>
              </w:rPr>
              <w:tab/>
            </w:r>
            <w:r w:rsidR="0048766B" w:rsidRPr="003175E4">
              <w:rPr>
                <w:rStyle w:val="Hipervnculo"/>
                <w:rFonts w:ascii="ITC Avant Garde" w:hAnsi="ITC Avant Garde"/>
                <w:noProof/>
                <w:sz w:val="20"/>
              </w:rPr>
              <w:t>Metodología</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_Toc52188491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9</w:t>
            </w:r>
            <w:r w:rsidR="0048766B" w:rsidRPr="003175E4">
              <w:rPr>
                <w:rFonts w:ascii="ITC Avant Garde" w:hAnsi="ITC Avant Garde"/>
                <w:noProof/>
                <w:webHidden/>
                <w:sz w:val="20"/>
              </w:rPr>
              <w:fldChar w:fldCharType="end"/>
            </w:r>
          </w:hyperlink>
        </w:p>
        <w:p w14:paraId="71CDBAC0" w14:textId="3C1E0739" w:rsidR="0048766B" w:rsidRPr="003175E4" w:rsidRDefault="003175E4">
          <w:pPr>
            <w:pStyle w:val="TDC2"/>
            <w:rPr>
              <w:rFonts w:ascii="ITC Avant Garde" w:eastAsiaTheme="minorEastAsia" w:hAnsi="ITC Avant Garde" w:cstheme="minorBidi"/>
              <w:noProof/>
              <w:sz w:val="20"/>
              <w:lang w:eastAsia="es-MX"/>
            </w:rPr>
          </w:pPr>
          <w:hyperlink w:anchor="_Toc52188492" w:history="1">
            <w:r w:rsidR="0048766B" w:rsidRPr="003175E4">
              <w:rPr>
                <w:rStyle w:val="Hipervnculo"/>
                <w:rFonts w:ascii="ITC Avant Garde" w:hAnsi="ITC Avant Garde"/>
                <w:noProof/>
                <w:sz w:val="20"/>
                <w:lang w:val="es-ES_tradnl"/>
              </w:rPr>
              <w:t>1.1.</w:t>
            </w:r>
            <w:r w:rsidR="0048766B" w:rsidRPr="003175E4">
              <w:rPr>
                <w:rFonts w:ascii="ITC Avant Garde" w:eastAsiaTheme="minorEastAsia" w:hAnsi="ITC Avant Garde" w:cstheme="minorBidi"/>
                <w:noProof/>
                <w:sz w:val="20"/>
                <w:lang w:eastAsia="es-MX"/>
              </w:rPr>
              <w:tab/>
            </w:r>
            <w:r w:rsidR="0048766B" w:rsidRPr="003175E4">
              <w:rPr>
                <w:rStyle w:val="Hipervnculo"/>
                <w:rFonts w:ascii="ITC Avant Garde" w:hAnsi="ITC Avant Garde"/>
                <w:noProof/>
                <w:sz w:val="20"/>
              </w:rPr>
              <w:t>Contexto regulatorio</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_Toc52188492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9</w:t>
            </w:r>
            <w:r w:rsidR="0048766B" w:rsidRPr="003175E4">
              <w:rPr>
                <w:rFonts w:ascii="ITC Avant Garde" w:hAnsi="ITC Avant Garde"/>
                <w:noProof/>
                <w:webHidden/>
                <w:sz w:val="20"/>
              </w:rPr>
              <w:fldChar w:fldCharType="end"/>
            </w:r>
          </w:hyperlink>
        </w:p>
        <w:p w14:paraId="7C824ECF" w14:textId="0DFA3C78" w:rsidR="0048766B" w:rsidRPr="003175E4" w:rsidRDefault="003175E4">
          <w:pPr>
            <w:pStyle w:val="TDC2"/>
            <w:rPr>
              <w:rFonts w:ascii="ITC Avant Garde" w:eastAsiaTheme="minorEastAsia" w:hAnsi="ITC Avant Garde" w:cstheme="minorBidi"/>
              <w:noProof/>
              <w:sz w:val="20"/>
              <w:lang w:eastAsia="es-MX"/>
            </w:rPr>
          </w:pPr>
          <w:hyperlink w:anchor="_Toc52188493" w:history="1">
            <w:r w:rsidR="0048766B" w:rsidRPr="003175E4">
              <w:rPr>
                <w:rStyle w:val="Hipervnculo"/>
                <w:rFonts w:ascii="ITC Avant Garde" w:hAnsi="ITC Avant Garde"/>
                <w:noProof/>
                <w:sz w:val="20"/>
                <w:lang w:val="es-ES_tradnl"/>
              </w:rPr>
              <w:t>1.2.</w:t>
            </w:r>
            <w:r w:rsidR="0048766B" w:rsidRPr="003175E4">
              <w:rPr>
                <w:rFonts w:ascii="ITC Avant Garde" w:eastAsiaTheme="minorEastAsia" w:hAnsi="ITC Avant Garde" w:cstheme="minorBidi"/>
                <w:noProof/>
                <w:sz w:val="20"/>
                <w:lang w:eastAsia="es-MX"/>
              </w:rPr>
              <w:tab/>
            </w:r>
            <w:r w:rsidR="0048766B" w:rsidRPr="003175E4">
              <w:rPr>
                <w:rStyle w:val="Hipervnculo"/>
                <w:rFonts w:ascii="ITC Avant Garde" w:hAnsi="ITC Avant Garde"/>
                <w:noProof/>
                <w:sz w:val="20"/>
              </w:rPr>
              <w:t>Principios de la metodología del Modelo de Costos Evitados</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_Toc52188493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12</w:t>
            </w:r>
            <w:r w:rsidR="0048766B" w:rsidRPr="003175E4">
              <w:rPr>
                <w:rFonts w:ascii="ITC Avant Garde" w:hAnsi="ITC Avant Garde"/>
                <w:noProof/>
                <w:webHidden/>
                <w:sz w:val="20"/>
              </w:rPr>
              <w:fldChar w:fldCharType="end"/>
            </w:r>
          </w:hyperlink>
        </w:p>
        <w:p w14:paraId="2E164D2B" w14:textId="26CBC156" w:rsidR="0048766B" w:rsidRPr="003175E4" w:rsidRDefault="003175E4">
          <w:pPr>
            <w:pStyle w:val="TDC3"/>
            <w:tabs>
              <w:tab w:val="left" w:pos="1320"/>
              <w:tab w:val="right" w:leader="dot" w:pos="8828"/>
            </w:tabs>
            <w:rPr>
              <w:rFonts w:ascii="ITC Avant Garde" w:eastAsiaTheme="minorEastAsia" w:hAnsi="ITC Avant Garde" w:cstheme="minorBidi"/>
              <w:noProof/>
              <w:sz w:val="20"/>
              <w:lang w:eastAsia="es-MX"/>
            </w:rPr>
          </w:pPr>
          <w:hyperlink w:anchor="_Toc52188494" w:history="1">
            <w:r w:rsidR="0048766B" w:rsidRPr="003175E4">
              <w:rPr>
                <w:rStyle w:val="Hipervnculo"/>
                <w:rFonts w:ascii="ITC Avant Garde" w:hAnsi="ITC Avant Garde"/>
                <w:noProof/>
                <w:sz w:val="20"/>
              </w:rPr>
              <w:t>1.2.1.</w:t>
            </w:r>
            <w:r w:rsidR="0048766B" w:rsidRPr="003175E4">
              <w:rPr>
                <w:rFonts w:ascii="ITC Avant Garde" w:eastAsiaTheme="minorEastAsia" w:hAnsi="ITC Avant Garde" w:cstheme="minorBidi"/>
                <w:noProof/>
                <w:sz w:val="20"/>
                <w:lang w:eastAsia="es-MX"/>
              </w:rPr>
              <w:tab/>
            </w:r>
            <w:r w:rsidR="0048766B" w:rsidRPr="003175E4">
              <w:rPr>
                <w:rStyle w:val="Hipervnculo"/>
                <w:rFonts w:ascii="ITC Avant Garde" w:hAnsi="ITC Avant Garde"/>
                <w:noProof/>
                <w:sz w:val="20"/>
              </w:rPr>
              <w:t>Servicios asociados a la Oferta de Referencia de Desagregación de Telmex y Telnor</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_Toc52188494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14</w:t>
            </w:r>
            <w:r w:rsidR="0048766B" w:rsidRPr="003175E4">
              <w:rPr>
                <w:rFonts w:ascii="ITC Avant Garde" w:hAnsi="ITC Avant Garde"/>
                <w:noProof/>
                <w:webHidden/>
                <w:sz w:val="20"/>
              </w:rPr>
              <w:fldChar w:fldCharType="end"/>
            </w:r>
          </w:hyperlink>
        </w:p>
        <w:p w14:paraId="289B28BD" w14:textId="504B11D8" w:rsidR="0048766B" w:rsidRPr="003175E4" w:rsidRDefault="003175E4">
          <w:pPr>
            <w:pStyle w:val="TDC2"/>
            <w:rPr>
              <w:rFonts w:ascii="ITC Avant Garde" w:eastAsiaTheme="minorEastAsia" w:hAnsi="ITC Avant Garde" w:cstheme="minorBidi"/>
              <w:noProof/>
              <w:sz w:val="20"/>
              <w:lang w:eastAsia="es-MX"/>
            </w:rPr>
          </w:pPr>
          <w:hyperlink w:anchor="_Toc52188495" w:history="1">
            <w:r w:rsidR="0048766B" w:rsidRPr="003175E4">
              <w:rPr>
                <w:rStyle w:val="Hipervnculo"/>
                <w:rFonts w:ascii="ITC Avant Garde" w:hAnsi="ITC Avant Garde"/>
                <w:noProof/>
                <w:sz w:val="20"/>
                <w:lang w:val="es-ES_tradnl"/>
              </w:rPr>
              <w:t>1.3.</w:t>
            </w:r>
            <w:r w:rsidR="0048766B" w:rsidRPr="003175E4">
              <w:rPr>
                <w:rFonts w:ascii="ITC Avant Garde" w:eastAsiaTheme="minorEastAsia" w:hAnsi="ITC Avant Garde" w:cstheme="minorBidi"/>
                <w:noProof/>
                <w:sz w:val="20"/>
                <w:lang w:eastAsia="es-MX"/>
              </w:rPr>
              <w:tab/>
            </w:r>
            <w:r w:rsidR="0048766B" w:rsidRPr="003175E4">
              <w:rPr>
                <w:rStyle w:val="Hipervnculo"/>
                <w:rFonts w:ascii="ITC Avant Garde" w:hAnsi="ITC Avant Garde"/>
                <w:noProof/>
                <w:sz w:val="20"/>
              </w:rPr>
              <w:t>Metodología para definir precios de referencia de los servicios de desagregación</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_Toc52188495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15</w:t>
            </w:r>
            <w:r w:rsidR="0048766B" w:rsidRPr="003175E4">
              <w:rPr>
                <w:rFonts w:ascii="ITC Avant Garde" w:hAnsi="ITC Avant Garde"/>
                <w:noProof/>
                <w:webHidden/>
                <w:sz w:val="20"/>
              </w:rPr>
              <w:fldChar w:fldCharType="end"/>
            </w:r>
          </w:hyperlink>
        </w:p>
        <w:p w14:paraId="6376A463" w14:textId="192AAD3D" w:rsidR="0048766B" w:rsidRPr="003175E4" w:rsidRDefault="003175E4">
          <w:pPr>
            <w:pStyle w:val="TDC3"/>
            <w:tabs>
              <w:tab w:val="left" w:pos="1320"/>
              <w:tab w:val="right" w:leader="dot" w:pos="8828"/>
            </w:tabs>
            <w:rPr>
              <w:rFonts w:ascii="ITC Avant Garde" w:eastAsiaTheme="minorEastAsia" w:hAnsi="ITC Avant Garde" w:cstheme="minorBidi"/>
              <w:noProof/>
              <w:sz w:val="20"/>
              <w:lang w:eastAsia="es-MX"/>
            </w:rPr>
          </w:pPr>
          <w:hyperlink w:anchor="_Toc52188496" w:history="1">
            <w:r w:rsidR="0048766B" w:rsidRPr="003175E4">
              <w:rPr>
                <w:rStyle w:val="Hipervnculo"/>
                <w:rFonts w:ascii="ITC Avant Garde" w:hAnsi="ITC Avant Garde"/>
                <w:noProof/>
                <w:sz w:val="20"/>
              </w:rPr>
              <w:t>1.3.1.</w:t>
            </w:r>
            <w:r w:rsidR="0048766B" w:rsidRPr="003175E4">
              <w:rPr>
                <w:rFonts w:ascii="ITC Avant Garde" w:eastAsiaTheme="minorEastAsia" w:hAnsi="ITC Avant Garde" w:cstheme="minorBidi"/>
                <w:noProof/>
                <w:sz w:val="20"/>
                <w:lang w:eastAsia="es-MX"/>
              </w:rPr>
              <w:tab/>
            </w:r>
            <w:r w:rsidR="0048766B" w:rsidRPr="003175E4">
              <w:rPr>
                <w:rStyle w:val="Hipervnculo"/>
                <w:rFonts w:ascii="ITC Avant Garde" w:hAnsi="ITC Avant Garde"/>
                <w:noProof/>
                <w:sz w:val="20"/>
              </w:rPr>
              <w:t>Enfoque de estimación del precio implícito de los elementos que integran la canasta de servicios de los planes y paquetes de Telmex y Telnor</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_Toc52188496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18</w:t>
            </w:r>
            <w:r w:rsidR="0048766B" w:rsidRPr="003175E4">
              <w:rPr>
                <w:rFonts w:ascii="ITC Avant Garde" w:hAnsi="ITC Avant Garde"/>
                <w:noProof/>
                <w:webHidden/>
                <w:sz w:val="20"/>
              </w:rPr>
              <w:fldChar w:fldCharType="end"/>
            </w:r>
          </w:hyperlink>
        </w:p>
        <w:p w14:paraId="598D5FFA" w14:textId="2E177ABB" w:rsidR="0048766B" w:rsidRPr="003175E4" w:rsidRDefault="003175E4">
          <w:pPr>
            <w:pStyle w:val="TDC3"/>
            <w:tabs>
              <w:tab w:val="left" w:pos="1540"/>
              <w:tab w:val="right" w:leader="dot" w:pos="8828"/>
            </w:tabs>
            <w:rPr>
              <w:rFonts w:ascii="ITC Avant Garde" w:eastAsiaTheme="minorEastAsia" w:hAnsi="ITC Avant Garde" w:cstheme="minorBidi"/>
              <w:noProof/>
              <w:sz w:val="20"/>
              <w:lang w:eastAsia="es-MX"/>
            </w:rPr>
          </w:pPr>
          <w:hyperlink w:anchor="_Toc52188497" w:history="1">
            <w:r w:rsidR="0048766B" w:rsidRPr="003175E4">
              <w:rPr>
                <w:rStyle w:val="Hipervnculo"/>
                <w:rFonts w:ascii="ITC Avant Garde" w:hAnsi="ITC Avant Garde"/>
                <w:noProof/>
                <w:sz w:val="20"/>
              </w:rPr>
              <w:t>1.3.1.1.</w:t>
            </w:r>
            <w:r w:rsidR="0048766B" w:rsidRPr="003175E4">
              <w:rPr>
                <w:rFonts w:ascii="ITC Avant Garde" w:eastAsiaTheme="minorEastAsia" w:hAnsi="ITC Avant Garde" w:cstheme="minorBidi"/>
                <w:noProof/>
                <w:sz w:val="20"/>
                <w:lang w:eastAsia="es-MX"/>
              </w:rPr>
              <w:tab/>
            </w:r>
            <w:r w:rsidR="0048766B" w:rsidRPr="003175E4">
              <w:rPr>
                <w:rStyle w:val="Hipervnculo"/>
                <w:rFonts w:ascii="ITC Avant Garde" w:hAnsi="ITC Avant Garde"/>
                <w:noProof/>
                <w:sz w:val="20"/>
              </w:rPr>
              <w:t>Módulo de Imputación de Precios Implícitos</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_Toc52188497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18</w:t>
            </w:r>
            <w:r w:rsidR="0048766B" w:rsidRPr="003175E4">
              <w:rPr>
                <w:rFonts w:ascii="ITC Avant Garde" w:hAnsi="ITC Avant Garde"/>
                <w:noProof/>
                <w:webHidden/>
                <w:sz w:val="20"/>
              </w:rPr>
              <w:fldChar w:fldCharType="end"/>
            </w:r>
          </w:hyperlink>
        </w:p>
        <w:p w14:paraId="1FA7D6E2" w14:textId="42180509" w:rsidR="0048766B" w:rsidRPr="003175E4" w:rsidRDefault="003175E4">
          <w:pPr>
            <w:pStyle w:val="TDC3"/>
            <w:tabs>
              <w:tab w:val="left" w:pos="1320"/>
              <w:tab w:val="right" w:leader="dot" w:pos="8828"/>
            </w:tabs>
            <w:rPr>
              <w:rFonts w:ascii="ITC Avant Garde" w:eastAsiaTheme="minorEastAsia" w:hAnsi="ITC Avant Garde" w:cstheme="minorBidi"/>
              <w:noProof/>
              <w:sz w:val="20"/>
              <w:lang w:eastAsia="es-MX"/>
            </w:rPr>
          </w:pPr>
          <w:hyperlink w:anchor="_Toc52188498" w:history="1">
            <w:r w:rsidR="0048766B" w:rsidRPr="003175E4">
              <w:rPr>
                <w:rStyle w:val="Hipervnculo"/>
                <w:rFonts w:ascii="ITC Avant Garde" w:hAnsi="ITC Avant Garde"/>
                <w:noProof/>
                <w:sz w:val="20"/>
              </w:rPr>
              <w:t>1.3.2.</w:t>
            </w:r>
            <w:r w:rsidR="0048766B" w:rsidRPr="003175E4">
              <w:rPr>
                <w:rFonts w:ascii="ITC Avant Garde" w:eastAsiaTheme="minorEastAsia" w:hAnsi="ITC Avant Garde" w:cstheme="minorBidi"/>
                <w:noProof/>
                <w:sz w:val="20"/>
                <w:lang w:eastAsia="es-MX"/>
              </w:rPr>
              <w:tab/>
            </w:r>
            <w:r w:rsidR="0048766B" w:rsidRPr="003175E4">
              <w:rPr>
                <w:rStyle w:val="Hipervnculo"/>
                <w:rFonts w:ascii="ITC Avant Garde" w:hAnsi="ITC Avant Garde"/>
                <w:noProof/>
                <w:sz w:val="20"/>
              </w:rPr>
              <w:t>Precio de referencia asociado al Servicio de Reventa</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_Toc52188498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27</w:t>
            </w:r>
            <w:r w:rsidR="0048766B" w:rsidRPr="003175E4">
              <w:rPr>
                <w:rFonts w:ascii="ITC Avant Garde" w:hAnsi="ITC Avant Garde"/>
                <w:noProof/>
                <w:webHidden/>
                <w:sz w:val="20"/>
              </w:rPr>
              <w:fldChar w:fldCharType="end"/>
            </w:r>
          </w:hyperlink>
        </w:p>
        <w:p w14:paraId="04EB6682" w14:textId="4B99067A" w:rsidR="0048766B" w:rsidRPr="003175E4" w:rsidRDefault="003175E4">
          <w:pPr>
            <w:pStyle w:val="TDC3"/>
            <w:tabs>
              <w:tab w:val="left" w:pos="1540"/>
              <w:tab w:val="right" w:leader="dot" w:pos="8828"/>
            </w:tabs>
            <w:rPr>
              <w:rFonts w:ascii="ITC Avant Garde" w:eastAsiaTheme="minorEastAsia" w:hAnsi="ITC Avant Garde" w:cstheme="minorBidi"/>
              <w:noProof/>
              <w:sz w:val="20"/>
              <w:lang w:eastAsia="es-MX"/>
            </w:rPr>
          </w:pPr>
          <w:hyperlink w:anchor="_Toc52188499" w:history="1">
            <w:r w:rsidR="0048766B" w:rsidRPr="003175E4">
              <w:rPr>
                <w:rStyle w:val="Hipervnculo"/>
                <w:rFonts w:ascii="ITC Avant Garde" w:hAnsi="ITC Avant Garde"/>
                <w:noProof/>
                <w:sz w:val="20"/>
              </w:rPr>
              <w:t>1.3.2.1.</w:t>
            </w:r>
            <w:r w:rsidR="0048766B" w:rsidRPr="003175E4">
              <w:rPr>
                <w:rFonts w:ascii="ITC Avant Garde" w:eastAsiaTheme="minorEastAsia" w:hAnsi="ITC Avant Garde" w:cstheme="minorBidi"/>
                <w:noProof/>
                <w:sz w:val="20"/>
                <w:lang w:eastAsia="es-MX"/>
              </w:rPr>
              <w:tab/>
            </w:r>
            <w:r w:rsidR="0048766B" w:rsidRPr="003175E4">
              <w:rPr>
                <w:rStyle w:val="Hipervnculo"/>
                <w:rFonts w:ascii="ITC Avant Garde" w:hAnsi="ITC Avant Garde"/>
                <w:noProof/>
                <w:sz w:val="20"/>
              </w:rPr>
              <w:t>Precio de referencia del SRLT</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_Toc52188499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29</w:t>
            </w:r>
            <w:r w:rsidR="0048766B" w:rsidRPr="003175E4">
              <w:rPr>
                <w:rFonts w:ascii="ITC Avant Garde" w:hAnsi="ITC Avant Garde"/>
                <w:noProof/>
                <w:webHidden/>
                <w:sz w:val="20"/>
              </w:rPr>
              <w:fldChar w:fldCharType="end"/>
            </w:r>
          </w:hyperlink>
        </w:p>
        <w:p w14:paraId="55C84ADD" w14:textId="51500779" w:rsidR="0048766B" w:rsidRPr="003175E4" w:rsidRDefault="003175E4">
          <w:pPr>
            <w:pStyle w:val="TDC3"/>
            <w:tabs>
              <w:tab w:val="left" w:pos="1540"/>
              <w:tab w:val="right" w:leader="dot" w:pos="8828"/>
            </w:tabs>
            <w:rPr>
              <w:rFonts w:ascii="ITC Avant Garde" w:eastAsiaTheme="minorEastAsia" w:hAnsi="ITC Avant Garde" w:cstheme="minorBidi"/>
              <w:noProof/>
              <w:sz w:val="20"/>
              <w:lang w:eastAsia="es-MX"/>
            </w:rPr>
          </w:pPr>
          <w:hyperlink w:anchor="_Toc52188500" w:history="1">
            <w:r w:rsidR="0048766B" w:rsidRPr="003175E4">
              <w:rPr>
                <w:rStyle w:val="Hipervnculo"/>
                <w:rFonts w:ascii="ITC Avant Garde" w:hAnsi="ITC Avant Garde"/>
                <w:noProof/>
                <w:sz w:val="20"/>
              </w:rPr>
              <w:t>1.3.2.2.</w:t>
            </w:r>
            <w:r w:rsidR="0048766B" w:rsidRPr="003175E4">
              <w:rPr>
                <w:rFonts w:ascii="ITC Avant Garde" w:eastAsiaTheme="minorEastAsia" w:hAnsi="ITC Avant Garde" w:cstheme="minorBidi"/>
                <w:noProof/>
                <w:sz w:val="20"/>
                <w:lang w:eastAsia="es-MX"/>
              </w:rPr>
              <w:tab/>
            </w:r>
            <w:r w:rsidR="0048766B" w:rsidRPr="003175E4">
              <w:rPr>
                <w:rStyle w:val="Hipervnculo"/>
                <w:rFonts w:ascii="ITC Avant Garde" w:hAnsi="ITC Avant Garde"/>
                <w:noProof/>
                <w:sz w:val="20"/>
              </w:rPr>
              <w:t>Precio de referencia del SRI</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_Toc52188500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30</w:t>
            </w:r>
            <w:r w:rsidR="0048766B" w:rsidRPr="003175E4">
              <w:rPr>
                <w:rFonts w:ascii="ITC Avant Garde" w:hAnsi="ITC Avant Garde"/>
                <w:noProof/>
                <w:webHidden/>
                <w:sz w:val="20"/>
              </w:rPr>
              <w:fldChar w:fldCharType="end"/>
            </w:r>
          </w:hyperlink>
        </w:p>
        <w:p w14:paraId="7FECDE9E" w14:textId="45C1CCF8" w:rsidR="0048766B" w:rsidRPr="003175E4" w:rsidRDefault="003175E4">
          <w:pPr>
            <w:pStyle w:val="TDC3"/>
            <w:tabs>
              <w:tab w:val="left" w:pos="1540"/>
              <w:tab w:val="right" w:leader="dot" w:pos="8828"/>
            </w:tabs>
            <w:rPr>
              <w:rFonts w:ascii="ITC Avant Garde" w:eastAsiaTheme="minorEastAsia" w:hAnsi="ITC Avant Garde" w:cstheme="minorBidi"/>
              <w:noProof/>
              <w:sz w:val="20"/>
              <w:lang w:eastAsia="es-MX"/>
            </w:rPr>
          </w:pPr>
          <w:hyperlink w:anchor="_Toc52188501" w:history="1">
            <w:r w:rsidR="0048766B" w:rsidRPr="003175E4">
              <w:rPr>
                <w:rStyle w:val="Hipervnculo"/>
                <w:rFonts w:ascii="ITC Avant Garde" w:hAnsi="ITC Avant Garde"/>
                <w:noProof/>
                <w:sz w:val="20"/>
              </w:rPr>
              <w:t>1.3.2.3.</w:t>
            </w:r>
            <w:r w:rsidR="0048766B" w:rsidRPr="003175E4">
              <w:rPr>
                <w:rFonts w:ascii="ITC Avant Garde" w:eastAsiaTheme="minorEastAsia" w:hAnsi="ITC Avant Garde" w:cstheme="minorBidi"/>
                <w:noProof/>
                <w:sz w:val="20"/>
                <w:lang w:eastAsia="es-MX"/>
              </w:rPr>
              <w:tab/>
            </w:r>
            <w:r w:rsidR="0048766B" w:rsidRPr="003175E4">
              <w:rPr>
                <w:rStyle w:val="Hipervnculo"/>
                <w:rFonts w:ascii="ITC Avant Garde" w:hAnsi="ITC Avant Garde"/>
                <w:noProof/>
                <w:sz w:val="20"/>
              </w:rPr>
              <w:t>Precio de referencia del SRP</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_Toc52188501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30</w:t>
            </w:r>
            <w:r w:rsidR="0048766B" w:rsidRPr="003175E4">
              <w:rPr>
                <w:rFonts w:ascii="ITC Avant Garde" w:hAnsi="ITC Avant Garde"/>
                <w:noProof/>
                <w:webHidden/>
                <w:sz w:val="20"/>
              </w:rPr>
              <w:fldChar w:fldCharType="end"/>
            </w:r>
          </w:hyperlink>
        </w:p>
        <w:p w14:paraId="3D25478A" w14:textId="50C758BF" w:rsidR="0048766B" w:rsidRPr="003175E4" w:rsidRDefault="003175E4">
          <w:pPr>
            <w:pStyle w:val="TDC3"/>
            <w:tabs>
              <w:tab w:val="left" w:pos="1540"/>
              <w:tab w:val="right" w:leader="dot" w:pos="8828"/>
            </w:tabs>
            <w:rPr>
              <w:rFonts w:ascii="ITC Avant Garde" w:eastAsiaTheme="minorEastAsia" w:hAnsi="ITC Avant Garde" w:cstheme="minorBidi"/>
              <w:noProof/>
              <w:sz w:val="20"/>
              <w:lang w:eastAsia="es-MX"/>
            </w:rPr>
          </w:pPr>
          <w:hyperlink w:anchor="_Toc52188502" w:history="1">
            <w:r w:rsidR="0048766B" w:rsidRPr="003175E4">
              <w:rPr>
                <w:rStyle w:val="Hipervnculo"/>
                <w:rFonts w:ascii="ITC Avant Garde" w:hAnsi="ITC Avant Garde"/>
                <w:noProof/>
                <w:sz w:val="20"/>
              </w:rPr>
              <w:t>1.3.2.4.</w:t>
            </w:r>
            <w:r w:rsidR="0048766B" w:rsidRPr="003175E4">
              <w:rPr>
                <w:rFonts w:ascii="ITC Avant Garde" w:eastAsiaTheme="minorEastAsia" w:hAnsi="ITC Avant Garde" w:cstheme="minorBidi"/>
                <w:noProof/>
                <w:sz w:val="20"/>
                <w:lang w:eastAsia="es-MX"/>
              </w:rPr>
              <w:tab/>
            </w:r>
            <w:r w:rsidR="0048766B" w:rsidRPr="003175E4">
              <w:rPr>
                <w:rStyle w:val="Hipervnculo"/>
                <w:rFonts w:ascii="ITC Avant Garde" w:hAnsi="ITC Avant Garde"/>
                <w:noProof/>
                <w:sz w:val="20"/>
              </w:rPr>
              <w:t>Precio de referencia asociado al SRMLT</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_Toc52188502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31</w:t>
            </w:r>
            <w:r w:rsidR="0048766B" w:rsidRPr="003175E4">
              <w:rPr>
                <w:rFonts w:ascii="ITC Avant Garde" w:hAnsi="ITC Avant Garde"/>
                <w:noProof/>
                <w:webHidden/>
                <w:sz w:val="20"/>
              </w:rPr>
              <w:fldChar w:fldCharType="end"/>
            </w:r>
          </w:hyperlink>
        </w:p>
        <w:p w14:paraId="5A364196" w14:textId="027E00DD" w:rsidR="0048766B" w:rsidRPr="003175E4" w:rsidRDefault="003175E4">
          <w:pPr>
            <w:pStyle w:val="TDC3"/>
            <w:tabs>
              <w:tab w:val="left" w:pos="1540"/>
              <w:tab w:val="right" w:leader="dot" w:pos="8828"/>
            </w:tabs>
            <w:rPr>
              <w:rFonts w:ascii="ITC Avant Garde" w:eastAsiaTheme="minorEastAsia" w:hAnsi="ITC Avant Garde" w:cstheme="minorBidi"/>
              <w:noProof/>
              <w:sz w:val="20"/>
              <w:lang w:eastAsia="es-MX"/>
            </w:rPr>
          </w:pPr>
          <w:hyperlink w:anchor="_Toc52188503" w:history="1">
            <w:r w:rsidR="0048766B" w:rsidRPr="003175E4">
              <w:rPr>
                <w:rStyle w:val="Hipervnculo"/>
                <w:rFonts w:ascii="ITC Avant Garde" w:hAnsi="ITC Avant Garde"/>
                <w:noProof/>
                <w:sz w:val="20"/>
              </w:rPr>
              <w:t>1.3.2.5.</w:t>
            </w:r>
            <w:r w:rsidR="0048766B" w:rsidRPr="003175E4">
              <w:rPr>
                <w:rFonts w:ascii="ITC Avant Garde" w:eastAsiaTheme="minorEastAsia" w:hAnsi="ITC Avant Garde" w:cstheme="minorBidi"/>
                <w:noProof/>
                <w:sz w:val="20"/>
                <w:lang w:eastAsia="es-MX"/>
              </w:rPr>
              <w:tab/>
            </w:r>
            <w:r w:rsidR="0048766B" w:rsidRPr="003175E4">
              <w:rPr>
                <w:rStyle w:val="Hipervnculo"/>
                <w:rFonts w:ascii="ITC Avant Garde" w:hAnsi="ITC Avant Garde"/>
                <w:noProof/>
                <w:sz w:val="20"/>
              </w:rPr>
              <w:t>Precio de referencia asociado al SAIB asimétrico</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_Toc52188503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31</w:t>
            </w:r>
            <w:r w:rsidR="0048766B" w:rsidRPr="003175E4">
              <w:rPr>
                <w:rFonts w:ascii="ITC Avant Garde" w:hAnsi="ITC Avant Garde"/>
                <w:noProof/>
                <w:webHidden/>
                <w:sz w:val="20"/>
              </w:rPr>
              <w:fldChar w:fldCharType="end"/>
            </w:r>
          </w:hyperlink>
        </w:p>
        <w:p w14:paraId="6E7F0A21" w14:textId="772D7102" w:rsidR="0048766B" w:rsidRPr="003175E4" w:rsidRDefault="003175E4">
          <w:pPr>
            <w:pStyle w:val="TDC3"/>
            <w:tabs>
              <w:tab w:val="left" w:pos="1540"/>
              <w:tab w:val="right" w:leader="dot" w:pos="8828"/>
            </w:tabs>
            <w:rPr>
              <w:rFonts w:ascii="ITC Avant Garde" w:eastAsiaTheme="minorEastAsia" w:hAnsi="ITC Avant Garde" w:cstheme="minorBidi"/>
              <w:noProof/>
              <w:sz w:val="20"/>
              <w:lang w:eastAsia="es-MX"/>
            </w:rPr>
          </w:pPr>
          <w:hyperlink w:anchor="_Toc52188504" w:history="1">
            <w:r w:rsidR="0048766B" w:rsidRPr="003175E4">
              <w:rPr>
                <w:rStyle w:val="Hipervnculo"/>
                <w:rFonts w:ascii="ITC Avant Garde" w:hAnsi="ITC Avant Garde"/>
                <w:noProof/>
                <w:sz w:val="20"/>
              </w:rPr>
              <w:t>1.3.2.6.</w:t>
            </w:r>
            <w:r w:rsidR="0048766B" w:rsidRPr="003175E4">
              <w:rPr>
                <w:rFonts w:ascii="ITC Avant Garde" w:eastAsiaTheme="minorEastAsia" w:hAnsi="ITC Avant Garde" w:cstheme="minorBidi"/>
                <w:noProof/>
                <w:sz w:val="20"/>
                <w:lang w:eastAsia="es-MX"/>
              </w:rPr>
              <w:tab/>
            </w:r>
            <w:r w:rsidR="0048766B" w:rsidRPr="003175E4">
              <w:rPr>
                <w:rStyle w:val="Hipervnculo"/>
                <w:rFonts w:ascii="ITC Avant Garde" w:hAnsi="ITC Avant Garde"/>
                <w:noProof/>
                <w:sz w:val="20"/>
              </w:rPr>
              <w:t>Precio de referencia asociado al SAIB simétrico</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_Toc52188504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35</w:t>
            </w:r>
            <w:r w:rsidR="0048766B" w:rsidRPr="003175E4">
              <w:rPr>
                <w:rFonts w:ascii="ITC Avant Garde" w:hAnsi="ITC Avant Garde"/>
                <w:noProof/>
                <w:webHidden/>
                <w:sz w:val="20"/>
              </w:rPr>
              <w:fldChar w:fldCharType="end"/>
            </w:r>
          </w:hyperlink>
        </w:p>
        <w:p w14:paraId="1AB490BF" w14:textId="57099372" w:rsidR="0048766B" w:rsidRPr="003175E4" w:rsidRDefault="003175E4">
          <w:pPr>
            <w:pStyle w:val="TDC3"/>
            <w:tabs>
              <w:tab w:val="right" w:leader="dot" w:pos="8828"/>
            </w:tabs>
            <w:rPr>
              <w:rFonts w:ascii="ITC Avant Garde" w:eastAsiaTheme="minorEastAsia" w:hAnsi="ITC Avant Garde" w:cstheme="minorBidi"/>
              <w:noProof/>
              <w:sz w:val="20"/>
              <w:lang w:eastAsia="es-MX"/>
            </w:rPr>
          </w:pPr>
          <w:hyperlink w:anchor="_Toc52188505" w:history="1">
            <w:r w:rsidR="0048766B" w:rsidRPr="003175E4">
              <w:rPr>
                <w:rStyle w:val="Hipervnculo"/>
                <w:rFonts w:ascii="ITC Avant Garde" w:hAnsi="ITC Avant Garde"/>
                <w:noProof/>
                <w:sz w:val="20"/>
              </w:rPr>
              <w:t>Para establecer el precio de referencia asociado al SAIB simétrico se proceden a las siguientes etapas:</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_Toc52188505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35</w:t>
            </w:r>
            <w:r w:rsidR="0048766B" w:rsidRPr="003175E4">
              <w:rPr>
                <w:rFonts w:ascii="ITC Avant Garde" w:hAnsi="ITC Avant Garde"/>
                <w:noProof/>
                <w:webHidden/>
                <w:sz w:val="20"/>
              </w:rPr>
              <w:fldChar w:fldCharType="end"/>
            </w:r>
          </w:hyperlink>
        </w:p>
        <w:p w14:paraId="1C21B380" w14:textId="3AB2E553" w:rsidR="0048766B" w:rsidRPr="003175E4" w:rsidRDefault="003175E4">
          <w:pPr>
            <w:pStyle w:val="TDC2"/>
            <w:rPr>
              <w:rFonts w:ascii="ITC Avant Garde" w:eastAsiaTheme="minorEastAsia" w:hAnsi="ITC Avant Garde" w:cstheme="minorBidi"/>
              <w:noProof/>
              <w:sz w:val="20"/>
              <w:lang w:eastAsia="es-MX"/>
            </w:rPr>
          </w:pPr>
          <w:hyperlink w:anchor="_Toc52188506" w:history="1">
            <w:r w:rsidR="0048766B" w:rsidRPr="003175E4">
              <w:rPr>
                <w:rStyle w:val="Hipervnculo"/>
                <w:rFonts w:ascii="ITC Avant Garde" w:hAnsi="ITC Avant Garde"/>
                <w:noProof/>
                <w:sz w:val="20"/>
                <w:lang w:val="es-ES_tradnl"/>
              </w:rPr>
              <w:t>1.4.</w:t>
            </w:r>
            <w:r w:rsidR="0048766B" w:rsidRPr="003175E4">
              <w:rPr>
                <w:rFonts w:ascii="ITC Avant Garde" w:eastAsiaTheme="minorEastAsia" w:hAnsi="ITC Avant Garde" w:cstheme="minorBidi"/>
                <w:noProof/>
                <w:sz w:val="20"/>
                <w:lang w:eastAsia="es-MX"/>
              </w:rPr>
              <w:tab/>
            </w:r>
            <w:r w:rsidR="0048766B" w:rsidRPr="003175E4">
              <w:rPr>
                <w:rStyle w:val="Hipervnculo"/>
                <w:rFonts w:ascii="ITC Avant Garde" w:hAnsi="ITC Avant Garde"/>
                <w:noProof/>
                <w:sz w:val="20"/>
              </w:rPr>
              <w:t>Metodología para definir los costos evitados de los servicios de desagregación</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_Toc52188506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35</w:t>
            </w:r>
            <w:r w:rsidR="0048766B" w:rsidRPr="003175E4">
              <w:rPr>
                <w:rFonts w:ascii="ITC Avant Garde" w:hAnsi="ITC Avant Garde"/>
                <w:noProof/>
                <w:webHidden/>
                <w:sz w:val="20"/>
              </w:rPr>
              <w:fldChar w:fldCharType="end"/>
            </w:r>
          </w:hyperlink>
        </w:p>
        <w:p w14:paraId="53EFED3F" w14:textId="28572E15" w:rsidR="0048766B" w:rsidRPr="003175E4" w:rsidRDefault="003175E4">
          <w:pPr>
            <w:pStyle w:val="TDC3"/>
            <w:tabs>
              <w:tab w:val="left" w:pos="1320"/>
              <w:tab w:val="right" w:leader="dot" w:pos="8828"/>
            </w:tabs>
            <w:rPr>
              <w:rFonts w:ascii="ITC Avant Garde" w:eastAsiaTheme="minorEastAsia" w:hAnsi="ITC Avant Garde" w:cstheme="minorBidi"/>
              <w:noProof/>
              <w:sz w:val="20"/>
              <w:lang w:eastAsia="es-MX"/>
            </w:rPr>
          </w:pPr>
          <w:hyperlink w:anchor="_Toc52188507" w:history="1">
            <w:r w:rsidR="0048766B" w:rsidRPr="003175E4">
              <w:rPr>
                <w:rStyle w:val="Hipervnculo"/>
                <w:rFonts w:ascii="ITC Avant Garde" w:hAnsi="ITC Avant Garde"/>
                <w:noProof/>
                <w:sz w:val="20"/>
              </w:rPr>
              <w:t>1.4.1.</w:t>
            </w:r>
            <w:r w:rsidR="0048766B" w:rsidRPr="003175E4">
              <w:rPr>
                <w:rFonts w:ascii="ITC Avant Garde" w:eastAsiaTheme="minorEastAsia" w:hAnsi="ITC Avant Garde" w:cstheme="minorBidi"/>
                <w:noProof/>
                <w:sz w:val="20"/>
                <w:lang w:eastAsia="es-MX"/>
              </w:rPr>
              <w:tab/>
            </w:r>
            <w:r w:rsidR="0048766B" w:rsidRPr="003175E4">
              <w:rPr>
                <w:rStyle w:val="Hipervnculo"/>
                <w:rFonts w:ascii="ITC Avant Garde" w:hAnsi="ITC Avant Garde"/>
                <w:noProof/>
                <w:sz w:val="20"/>
              </w:rPr>
              <w:t>Definición de conceptos de costos evitados del Servicios de Reventa y SAIB</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_Toc52188507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35</w:t>
            </w:r>
            <w:r w:rsidR="0048766B" w:rsidRPr="003175E4">
              <w:rPr>
                <w:rFonts w:ascii="ITC Avant Garde" w:hAnsi="ITC Avant Garde"/>
                <w:noProof/>
                <w:webHidden/>
                <w:sz w:val="20"/>
              </w:rPr>
              <w:fldChar w:fldCharType="end"/>
            </w:r>
          </w:hyperlink>
        </w:p>
        <w:p w14:paraId="366D691F" w14:textId="28B5E550" w:rsidR="0048766B" w:rsidRPr="003175E4" w:rsidRDefault="003175E4">
          <w:pPr>
            <w:pStyle w:val="TDC3"/>
            <w:tabs>
              <w:tab w:val="left" w:pos="1540"/>
              <w:tab w:val="right" w:leader="dot" w:pos="8828"/>
            </w:tabs>
            <w:rPr>
              <w:rFonts w:ascii="ITC Avant Garde" w:eastAsiaTheme="minorEastAsia" w:hAnsi="ITC Avant Garde" w:cstheme="minorBidi"/>
              <w:noProof/>
              <w:sz w:val="20"/>
              <w:lang w:eastAsia="es-MX"/>
            </w:rPr>
          </w:pPr>
          <w:hyperlink w:anchor="_Toc52188508" w:history="1">
            <w:r w:rsidR="0048766B" w:rsidRPr="003175E4">
              <w:rPr>
                <w:rStyle w:val="Hipervnculo"/>
                <w:rFonts w:ascii="ITC Avant Garde" w:hAnsi="ITC Avant Garde"/>
                <w:noProof/>
                <w:sz w:val="20"/>
              </w:rPr>
              <w:t>1.4.1.1.</w:t>
            </w:r>
            <w:r w:rsidR="0048766B" w:rsidRPr="003175E4">
              <w:rPr>
                <w:rFonts w:ascii="ITC Avant Garde" w:eastAsiaTheme="minorEastAsia" w:hAnsi="ITC Avant Garde" w:cstheme="minorBidi"/>
                <w:noProof/>
                <w:sz w:val="20"/>
                <w:lang w:eastAsia="es-MX"/>
              </w:rPr>
              <w:tab/>
            </w:r>
            <w:r w:rsidR="0048766B" w:rsidRPr="003175E4">
              <w:rPr>
                <w:rStyle w:val="Hipervnculo"/>
                <w:rFonts w:ascii="ITC Avant Garde" w:hAnsi="ITC Avant Garde"/>
                <w:noProof/>
                <w:sz w:val="20"/>
              </w:rPr>
              <w:t>Conceptos relevantes para la definición de costos evitados asociados al SAIB</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_Toc52188508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38</w:t>
            </w:r>
            <w:r w:rsidR="0048766B" w:rsidRPr="003175E4">
              <w:rPr>
                <w:rFonts w:ascii="ITC Avant Garde" w:hAnsi="ITC Avant Garde"/>
                <w:noProof/>
                <w:webHidden/>
                <w:sz w:val="20"/>
              </w:rPr>
              <w:fldChar w:fldCharType="end"/>
            </w:r>
          </w:hyperlink>
        </w:p>
        <w:p w14:paraId="1E669EEF" w14:textId="5CF81BFD" w:rsidR="0048766B" w:rsidRPr="003175E4" w:rsidRDefault="003175E4">
          <w:pPr>
            <w:pStyle w:val="TDC3"/>
            <w:tabs>
              <w:tab w:val="left" w:pos="1540"/>
              <w:tab w:val="right" w:leader="dot" w:pos="8828"/>
            </w:tabs>
            <w:rPr>
              <w:rFonts w:ascii="ITC Avant Garde" w:eastAsiaTheme="minorEastAsia" w:hAnsi="ITC Avant Garde" w:cstheme="minorBidi"/>
              <w:noProof/>
              <w:sz w:val="20"/>
              <w:lang w:eastAsia="es-MX"/>
            </w:rPr>
          </w:pPr>
          <w:hyperlink w:anchor="_Toc52188509" w:history="1">
            <w:r w:rsidR="0048766B" w:rsidRPr="003175E4">
              <w:rPr>
                <w:rStyle w:val="Hipervnculo"/>
                <w:rFonts w:ascii="ITC Avant Garde" w:hAnsi="ITC Avant Garde"/>
                <w:noProof/>
                <w:sz w:val="20"/>
              </w:rPr>
              <w:t>1.4.1.2.</w:t>
            </w:r>
            <w:r w:rsidR="0048766B" w:rsidRPr="003175E4">
              <w:rPr>
                <w:rFonts w:ascii="ITC Avant Garde" w:eastAsiaTheme="minorEastAsia" w:hAnsi="ITC Avant Garde" w:cstheme="minorBidi"/>
                <w:noProof/>
                <w:sz w:val="20"/>
                <w:lang w:eastAsia="es-MX"/>
              </w:rPr>
              <w:tab/>
            </w:r>
            <w:r w:rsidR="0048766B" w:rsidRPr="003175E4">
              <w:rPr>
                <w:rStyle w:val="Hipervnculo"/>
                <w:rFonts w:ascii="ITC Avant Garde" w:hAnsi="ITC Avant Garde"/>
                <w:noProof/>
                <w:sz w:val="20"/>
              </w:rPr>
              <w:t>Otras consideraciones metodológicas</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_Toc52188509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45</w:t>
            </w:r>
            <w:r w:rsidR="0048766B" w:rsidRPr="003175E4">
              <w:rPr>
                <w:rFonts w:ascii="ITC Avant Garde" w:hAnsi="ITC Avant Garde"/>
                <w:noProof/>
                <w:webHidden/>
                <w:sz w:val="20"/>
              </w:rPr>
              <w:fldChar w:fldCharType="end"/>
            </w:r>
          </w:hyperlink>
        </w:p>
        <w:p w14:paraId="61EBF40A" w14:textId="6E380D7E" w:rsidR="0048766B" w:rsidRPr="003175E4" w:rsidRDefault="003175E4">
          <w:pPr>
            <w:pStyle w:val="TDC2"/>
            <w:rPr>
              <w:rFonts w:ascii="ITC Avant Garde" w:eastAsiaTheme="minorEastAsia" w:hAnsi="ITC Avant Garde" w:cstheme="minorBidi"/>
              <w:noProof/>
              <w:sz w:val="20"/>
              <w:lang w:eastAsia="es-MX"/>
            </w:rPr>
          </w:pPr>
          <w:hyperlink w:anchor="_Toc52188510" w:history="1">
            <w:r w:rsidR="0048766B" w:rsidRPr="003175E4">
              <w:rPr>
                <w:rStyle w:val="Hipervnculo"/>
                <w:rFonts w:ascii="ITC Avant Garde" w:hAnsi="ITC Avant Garde"/>
                <w:noProof/>
                <w:sz w:val="20"/>
                <w:lang w:val="es-ES_tradnl"/>
              </w:rPr>
              <w:t>1.5.</w:t>
            </w:r>
            <w:r w:rsidR="0048766B" w:rsidRPr="003175E4">
              <w:rPr>
                <w:rFonts w:ascii="ITC Avant Garde" w:eastAsiaTheme="minorEastAsia" w:hAnsi="ITC Avant Garde" w:cstheme="minorBidi"/>
                <w:noProof/>
                <w:sz w:val="20"/>
                <w:lang w:eastAsia="es-MX"/>
              </w:rPr>
              <w:tab/>
            </w:r>
            <w:r w:rsidR="0048766B" w:rsidRPr="003175E4">
              <w:rPr>
                <w:rStyle w:val="Hipervnculo"/>
                <w:rFonts w:ascii="ITC Avant Garde" w:hAnsi="ITC Avant Garde"/>
                <w:noProof/>
                <w:sz w:val="20"/>
              </w:rPr>
              <w:t>Resumen de esquemas de aplicación del Modelo de Costos Evitados</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_Toc52188510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45</w:t>
            </w:r>
            <w:r w:rsidR="0048766B" w:rsidRPr="003175E4">
              <w:rPr>
                <w:rFonts w:ascii="ITC Avant Garde" w:hAnsi="ITC Avant Garde"/>
                <w:noProof/>
                <w:webHidden/>
                <w:sz w:val="20"/>
              </w:rPr>
              <w:fldChar w:fldCharType="end"/>
            </w:r>
          </w:hyperlink>
        </w:p>
        <w:p w14:paraId="33FE0CD5" w14:textId="5C9EDBED" w:rsidR="0048766B" w:rsidRPr="003175E4" w:rsidRDefault="003175E4">
          <w:pPr>
            <w:pStyle w:val="TDC3"/>
            <w:tabs>
              <w:tab w:val="left" w:pos="1540"/>
              <w:tab w:val="right" w:leader="dot" w:pos="8828"/>
            </w:tabs>
            <w:rPr>
              <w:rFonts w:ascii="ITC Avant Garde" w:eastAsiaTheme="minorEastAsia" w:hAnsi="ITC Avant Garde" w:cstheme="minorBidi"/>
              <w:noProof/>
              <w:sz w:val="20"/>
              <w:lang w:eastAsia="es-MX"/>
            </w:rPr>
          </w:pPr>
          <w:hyperlink w:anchor="_Toc52188511" w:history="1">
            <w:r w:rsidR="0048766B" w:rsidRPr="003175E4">
              <w:rPr>
                <w:rStyle w:val="Hipervnculo"/>
                <w:rFonts w:ascii="ITC Avant Garde" w:hAnsi="ITC Avant Garde"/>
                <w:noProof/>
                <w:sz w:val="20"/>
              </w:rPr>
              <w:t>1.5.1.1.</w:t>
            </w:r>
            <w:r w:rsidR="0048766B" w:rsidRPr="003175E4">
              <w:rPr>
                <w:rFonts w:ascii="ITC Avant Garde" w:eastAsiaTheme="minorEastAsia" w:hAnsi="ITC Avant Garde" w:cstheme="minorBidi"/>
                <w:noProof/>
                <w:sz w:val="20"/>
                <w:lang w:eastAsia="es-MX"/>
              </w:rPr>
              <w:tab/>
            </w:r>
            <w:r w:rsidR="0048766B" w:rsidRPr="003175E4">
              <w:rPr>
                <w:rStyle w:val="Hipervnculo"/>
                <w:rFonts w:ascii="ITC Avant Garde" w:hAnsi="ITC Avant Garde"/>
                <w:noProof/>
                <w:sz w:val="20"/>
              </w:rPr>
              <w:t>Esquema para el SRLT</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_Toc52188511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45</w:t>
            </w:r>
            <w:r w:rsidR="0048766B" w:rsidRPr="003175E4">
              <w:rPr>
                <w:rFonts w:ascii="ITC Avant Garde" w:hAnsi="ITC Avant Garde"/>
                <w:noProof/>
                <w:webHidden/>
                <w:sz w:val="20"/>
              </w:rPr>
              <w:fldChar w:fldCharType="end"/>
            </w:r>
          </w:hyperlink>
        </w:p>
        <w:p w14:paraId="343F221E" w14:textId="5D38A51E" w:rsidR="0048766B" w:rsidRPr="003175E4" w:rsidRDefault="003175E4">
          <w:pPr>
            <w:pStyle w:val="TDC3"/>
            <w:tabs>
              <w:tab w:val="left" w:pos="1540"/>
              <w:tab w:val="right" w:leader="dot" w:pos="8828"/>
            </w:tabs>
            <w:rPr>
              <w:rFonts w:ascii="ITC Avant Garde" w:eastAsiaTheme="minorEastAsia" w:hAnsi="ITC Avant Garde" w:cstheme="minorBidi"/>
              <w:noProof/>
              <w:sz w:val="20"/>
              <w:lang w:eastAsia="es-MX"/>
            </w:rPr>
          </w:pPr>
          <w:hyperlink w:anchor="_Toc52188512" w:history="1">
            <w:r w:rsidR="0048766B" w:rsidRPr="003175E4">
              <w:rPr>
                <w:rStyle w:val="Hipervnculo"/>
                <w:rFonts w:ascii="ITC Avant Garde" w:hAnsi="ITC Avant Garde"/>
                <w:noProof/>
                <w:sz w:val="20"/>
              </w:rPr>
              <w:t>1.5.1.2.</w:t>
            </w:r>
            <w:r w:rsidR="0048766B" w:rsidRPr="003175E4">
              <w:rPr>
                <w:rFonts w:ascii="ITC Avant Garde" w:eastAsiaTheme="minorEastAsia" w:hAnsi="ITC Avant Garde" w:cstheme="minorBidi"/>
                <w:noProof/>
                <w:sz w:val="20"/>
                <w:lang w:eastAsia="es-MX"/>
              </w:rPr>
              <w:tab/>
            </w:r>
            <w:r w:rsidR="0048766B" w:rsidRPr="003175E4">
              <w:rPr>
                <w:rStyle w:val="Hipervnculo"/>
                <w:rFonts w:ascii="ITC Avant Garde" w:hAnsi="ITC Avant Garde"/>
                <w:noProof/>
                <w:sz w:val="20"/>
              </w:rPr>
              <w:t>Esquema para el SRI</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_Toc52188512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46</w:t>
            </w:r>
            <w:r w:rsidR="0048766B" w:rsidRPr="003175E4">
              <w:rPr>
                <w:rFonts w:ascii="ITC Avant Garde" w:hAnsi="ITC Avant Garde"/>
                <w:noProof/>
                <w:webHidden/>
                <w:sz w:val="20"/>
              </w:rPr>
              <w:fldChar w:fldCharType="end"/>
            </w:r>
          </w:hyperlink>
        </w:p>
        <w:p w14:paraId="750CB176" w14:textId="174859A3" w:rsidR="0048766B" w:rsidRPr="003175E4" w:rsidRDefault="003175E4">
          <w:pPr>
            <w:pStyle w:val="TDC3"/>
            <w:tabs>
              <w:tab w:val="left" w:pos="1540"/>
              <w:tab w:val="right" w:leader="dot" w:pos="8828"/>
            </w:tabs>
            <w:rPr>
              <w:rFonts w:ascii="ITC Avant Garde" w:eastAsiaTheme="minorEastAsia" w:hAnsi="ITC Avant Garde" w:cstheme="minorBidi"/>
              <w:noProof/>
              <w:sz w:val="20"/>
              <w:lang w:eastAsia="es-MX"/>
            </w:rPr>
          </w:pPr>
          <w:hyperlink w:anchor="_Toc52188513" w:history="1">
            <w:r w:rsidR="0048766B" w:rsidRPr="003175E4">
              <w:rPr>
                <w:rStyle w:val="Hipervnculo"/>
                <w:rFonts w:ascii="ITC Avant Garde" w:hAnsi="ITC Avant Garde"/>
                <w:noProof/>
                <w:sz w:val="20"/>
              </w:rPr>
              <w:t>1.5.1.3.</w:t>
            </w:r>
            <w:r w:rsidR="0048766B" w:rsidRPr="003175E4">
              <w:rPr>
                <w:rFonts w:ascii="ITC Avant Garde" w:eastAsiaTheme="minorEastAsia" w:hAnsi="ITC Avant Garde" w:cstheme="minorBidi"/>
                <w:noProof/>
                <w:sz w:val="20"/>
                <w:lang w:eastAsia="es-MX"/>
              </w:rPr>
              <w:tab/>
            </w:r>
            <w:r w:rsidR="0048766B" w:rsidRPr="003175E4">
              <w:rPr>
                <w:rStyle w:val="Hipervnculo"/>
                <w:rFonts w:ascii="ITC Avant Garde" w:hAnsi="ITC Avant Garde"/>
                <w:noProof/>
                <w:sz w:val="20"/>
              </w:rPr>
              <w:t>Esquema aplicable al SRP</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_Toc52188513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46</w:t>
            </w:r>
            <w:r w:rsidR="0048766B" w:rsidRPr="003175E4">
              <w:rPr>
                <w:rFonts w:ascii="ITC Avant Garde" w:hAnsi="ITC Avant Garde"/>
                <w:noProof/>
                <w:webHidden/>
                <w:sz w:val="20"/>
              </w:rPr>
              <w:fldChar w:fldCharType="end"/>
            </w:r>
          </w:hyperlink>
        </w:p>
        <w:p w14:paraId="0300F089" w14:textId="5D417B4A" w:rsidR="0048766B" w:rsidRPr="003175E4" w:rsidRDefault="003175E4">
          <w:pPr>
            <w:pStyle w:val="TDC3"/>
            <w:tabs>
              <w:tab w:val="left" w:pos="1540"/>
              <w:tab w:val="right" w:leader="dot" w:pos="8828"/>
            </w:tabs>
            <w:rPr>
              <w:rFonts w:ascii="ITC Avant Garde" w:eastAsiaTheme="minorEastAsia" w:hAnsi="ITC Avant Garde" w:cstheme="minorBidi"/>
              <w:noProof/>
              <w:sz w:val="20"/>
              <w:lang w:eastAsia="es-MX"/>
            </w:rPr>
          </w:pPr>
          <w:hyperlink w:anchor="_Toc52188514" w:history="1">
            <w:r w:rsidR="0048766B" w:rsidRPr="003175E4">
              <w:rPr>
                <w:rStyle w:val="Hipervnculo"/>
                <w:rFonts w:ascii="ITC Avant Garde" w:hAnsi="ITC Avant Garde"/>
                <w:noProof/>
                <w:sz w:val="20"/>
              </w:rPr>
              <w:t>1.5.1.4.</w:t>
            </w:r>
            <w:r w:rsidR="0048766B" w:rsidRPr="003175E4">
              <w:rPr>
                <w:rFonts w:ascii="ITC Avant Garde" w:eastAsiaTheme="minorEastAsia" w:hAnsi="ITC Avant Garde" w:cstheme="minorBidi"/>
                <w:noProof/>
                <w:sz w:val="20"/>
                <w:lang w:eastAsia="es-MX"/>
              </w:rPr>
              <w:tab/>
            </w:r>
            <w:r w:rsidR="0048766B" w:rsidRPr="003175E4">
              <w:rPr>
                <w:rStyle w:val="Hipervnculo"/>
                <w:rFonts w:ascii="ITC Avant Garde" w:hAnsi="ITC Avant Garde"/>
                <w:noProof/>
                <w:sz w:val="20"/>
              </w:rPr>
              <w:t>Esquema aplicable al SRMLT</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_Toc52188514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47</w:t>
            </w:r>
            <w:r w:rsidR="0048766B" w:rsidRPr="003175E4">
              <w:rPr>
                <w:rFonts w:ascii="ITC Avant Garde" w:hAnsi="ITC Avant Garde"/>
                <w:noProof/>
                <w:webHidden/>
                <w:sz w:val="20"/>
              </w:rPr>
              <w:fldChar w:fldCharType="end"/>
            </w:r>
          </w:hyperlink>
        </w:p>
        <w:p w14:paraId="56186433" w14:textId="2BAC4C71" w:rsidR="0048766B" w:rsidRPr="003175E4" w:rsidRDefault="003175E4">
          <w:pPr>
            <w:pStyle w:val="TDC3"/>
            <w:tabs>
              <w:tab w:val="left" w:pos="1540"/>
              <w:tab w:val="right" w:leader="dot" w:pos="8828"/>
            </w:tabs>
            <w:rPr>
              <w:rFonts w:ascii="ITC Avant Garde" w:eastAsiaTheme="minorEastAsia" w:hAnsi="ITC Avant Garde" w:cstheme="minorBidi"/>
              <w:noProof/>
              <w:sz w:val="20"/>
              <w:lang w:eastAsia="es-MX"/>
            </w:rPr>
          </w:pPr>
          <w:hyperlink w:anchor="_Toc52188515" w:history="1">
            <w:r w:rsidR="0048766B" w:rsidRPr="003175E4">
              <w:rPr>
                <w:rStyle w:val="Hipervnculo"/>
                <w:rFonts w:ascii="ITC Avant Garde" w:hAnsi="ITC Avant Garde"/>
                <w:noProof/>
                <w:sz w:val="20"/>
              </w:rPr>
              <w:t>1.5.1.5.</w:t>
            </w:r>
            <w:r w:rsidR="0048766B" w:rsidRPr="003175E4">
              <w:rPr>
                <w:rFonts w:ascii="ITC Avant Garde" w:eastAsiaTheme="minorEastAsia" w:hAnsi="ITC Avant Garde" w:cstheme="minorBidi"/>
                <w:noProof/>
                <w:sz w:val="20"/>
                <w:lang w:eastAsia="es-MX"/>
              </w:rPr>
              <w:tab/>
            </w:r>
            <w:r w:rsidR="0048766B" w:rsidRPr="003175E4">
              <w:rPr>
                <w:rStyle w:val="Hipervnculo"/>
                <w:rFonts w:ascii="ITC Avant Garde" w:hAnsi="ITC Avant Garde"/>
                <w:noProof/>
                <w:sz w:val="20"/>
              </w:rPr>
              <w:t>Esquema aplicable al SAIB</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_Toc52188515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47</w:t>
            </w:r>
            <w:r w:rsidR="0048766B" w:rsidRPr="003175E4">
              <w:rPr>
                <w:rFonts w:ascii="ITC Avant Garde" w:hAnsi="ITC Avant Garde"/>
                <w:noProof/>
                <w:webHidden/>
                <w:sz w:val="20"/>
              </w:rPr>
              <w:fldChar w:fldCharType="end"/>
            </w:r>
          </w:hyperlink>
        </w:p>
        <w:p w14:paraId="00C8EDB9" w14:textId="4E3777CF" w:rsidR="0048766B" w:rsidRPr="003175E4" w:rsidRDefault="003175E4">
          <w:pPr>
            <w:pStyle w:val="TDC2"/>
            <w:rPr>
              <w:rFonts w:ascii="ITC Avant Garde" w:eastAsiaTheme="minorEastAsia" w:hAnsi="ITC Avant Garde" w:cstheme="minorBidi"/>
              <w:noProof/>
              <w:sz w:val="20"/>
              <w:lang w:eastAsia="es-MX"/>
            </w:rPr>
          </w:pPr>
          <w:hyperlink w:anchor="_Toc52188516" w:history="1">
            <w:r w:rsidR="0048766B" w:rsidRPr="003175E4">
              <w:rPr>
                <w:rStyle w:val="Hipervnculo"/>
                <w:rFonts w:ascii="ITC Avant Garde" w:hAnsi="ITC Avant Garde"/>
                <w:noProof/>
                <w:sz w:val="20"/>
              </w:rPr>
              <w:t>2.</w:t>
            </w:r>
            <w:r w:rsidR="0048766B" w:rsidRPr="003175E4">
              <w:rPr>
                <w:rFonts w:ascii="ITC Avant Garde" w:eastAsiaTheme="minorEastAsia" w:hAnsi="ITC Avant Garde" w:cstheme="minorBidi"/>
                <w:noProof/>
                <w:sz w:val="20"/>
                <w:lang w:eastAsia="es-MX"/>
              </w:rPr>
              <w:tab/>
            </w:r>
            <w:r w:rsidR="0048766B" w:rsidRPr="003175E4">
              <w:rPr>
                <w:rStyle w:val="Hipervnculo"/>
                <w:rFonts w:ascii="ITC Avant Garde" w:hAnsi="ITC Avant Garde"/>
                <w:noProof/>
                <w:sz w:val="20"/>
              </w:rPr>
              <w:t>Presentación del modelo Excel</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_Toc52188516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50</w:t>
            </w:r>
            <w:r w:rsidR="0048766B" w:rsidRPr="003175E4">
              <w:rPr>
                <w:rFonts w:ascii="ITC Avant Garde" w:hAnsi="ITC Avant Garde"/>
                <w:noProof/>
                <w:webHidden/>
                <w:sz w:val="20"/>
              </w:rPr>
              <w:fldChar w:fldCharType="end"/>
            </w:r>
          </w:hyperlink>
        </w:p>
        <w:p w14:paraId="3754799F" w14:textId="4FEDFC12" w:rsidR="0048766B" w:rsidRPr="003175E4" w:rsidRDefault="003175E4">
          <w:pPr>
            <w:pStyle w:val="TDC2"/>
            <w:rPr>
              <w:rFonts w:ascii="ITC Avant Garde" w:eastAsiaTheme="minorEastAsia" w:hAnsi="ITC Avant Garde" w:cstheme="minorBidi"/>
              <w:noProof/>
              <w:sz w:val="20"/>
              <w:lang w:eastAsia="es-MX"/>
            </w:rPr>
          </w:pPr>
          <w:hyperlink w:anchor="_Toc52188517" w:history="1">
            <w:r w:rsidR="0048766B" w:rsidRPr="003175E4">
              <w:rPr>
                <w:rStyle w:val="Hipervnculo"/>
                <w:rFonts w:ascii="ITC Avant Garde" w:hAnsi="ITC Avant Garde"/>
                <w:noProof/>
                <w:sz w:val="20"/>
                <w:lang w:val="es-ES_tradnl"/>
              </w:rPr>
              <w:t>2.1.</w:t>
            </w:r>
            <w:r w:rsidR="0048766B" w:rsidRPr="003175E4">
              <w:rPr>
                <w:rFonts w:ascii="ITC Avant Garde" w:eastAsiaTheme="minorEastAsia" w:hAnsi="ITC Avant Garde" w:cstheme="minorBidi"/>
                <w:noProof/>
                <w:sz w:val="20"/>
                <w:lang w:eastAsia="es-MX"/>
              </w:rPr>
              <w:tab/>
            </w:r>
            <w:r w:rsidR="0048766B" w:rsidRPr="003175E4">
              <w:rPr>
                <w:rStyle w:val="Hipervnculo"/>
                <w:rFonts w:ascii="ITC Avant Garde" w:hAnsi="ITC Avant Garde"/>
                <w:noProof/>
                <w:sz w:val="20"/>
              </w:rPr>
              <w:t>Estructura del modelo (diagrama de flujo)</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_Toc52188517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52</w:t>
            </w:r>
            <w:r w:rsidR="0048766B" w:rsidRPr="003175E4">
              <w:rPr>
                <w:rFonts w:ascii="ITC Avant Garde" w:hAnsi="ITC Avant Garde"/>
                <w:noProof/>
                <w:webHidden/>
                <w:sz w:val="20"/>
              </w:rPr>
              <w:fldChar w:fldCharType="end"/>
            </w:r>
          </w:hyperlink>
        </w:p>
        <w:p w14:paraId="3ECA9112" w14:textId="62528171" w:rsidR="0048766B" w:rsidRPr="003175E4" w:rsidRDefault="003175E4">
          <w:pPr>
            <w:pStyle w:val="TDC2"/>
            <w:rPr>
              <w:rFonts w:ascii="ITC Avant Garde" w:eastAsiaTheme="minorEastAsia" w:hAnsi="ITC Avant Garde" w:cstheme="minorBidi"/>
              <w:noProof/>
              <w:sz w:val="20"/>
              <w:lang w:eastAsia="es-MX"/>
            </w:rPr>
          </w:pPr>
          <w:hyperlink w:anchor="_Toc52188518" w:history="1">
            <w:r w:rsidR="0048766B" w:rsidRPr="003175E4">
              <w:rPr>
                <w:rStyle w:val="Hipervnculo"/>
                <w:rFonts w:ascii="ITC Avant Garde" w:hAnsi="ITC Avant Garde"/>
                <w:noProof/>
                <w:sz w:val="20"/>
              </w:rPr>
              <w:t>3.</w:t>
            </w:r>
            <w:r w:rsidR="0048766B" w:rsidRPr="003175E4">
              <w:rPr>
                <w:rFonts w:ascii="ITC Avant Garde" w:eastAsiaTheme="minorEastAsia" w:hAnsi="ITC Avant Garde" w:cstheme="minorBidi"/>
                <w:noProof/>
                <w:sz w:val="20"/>
                <w:lang w:eastAsia="es-MX"/>
              </w:rPr>
              <w:tab/>
            </w:r>
            <w:r w:rsidR="0048766B" w:rsidRPr="003175E4">
              <w:rPr>
                <w:rStyle w:val="Hipervnculo"/>
                <w:rFonts w:ascii="ITC Avant Garde" w:hAnsi="ITC Avant Garde"/>
                <w:noProof/>
                <w:sz w:val="20"/>
              </w:rPr>
              <w:t>Presentación de resultados</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_Toc52188518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53</w:t>
            </w:r>
            <w:r w:rsidR="0048766B" w:rsidRPr="003175E4">
              <w:rPr>
                <w:rFonts w:ascii="ITC Avant Garde" w:hAnsi="ITC Avant Garde"/>
                <w:noProof/>
                <w:webHidden/>
                <w:sz w:val="20"/>
              </w:rPr>
              <w:fldChar w:fldCharType="end"/>
            </w:r>
          </w:hyperlink>
        </w:p>
        <w:p w14:paraId="7C2C2957" w14:textId="13BDCC69" w:rsidR="0048766B" w:rsidRPr="003175E4" w:rsidRDefault="003175E4">
          <w:pPr>
            <w:pStyle w:val="TDC2"/>
            <w:rPr>
              <w:rFonts w:ascii="ITC Avant Garde" w:eastAsiaTheme="minorEastAsia" w:hAnsi="ITC Avant Garde" w:cstheme="minorBidi"/>
              <w:noProof/>
              <w:sz w:val="20"/>
              <w:lang w:eastAsia="es-MX"/>
            </w:rPr>
          </w:pPr>
          <w:hyperlink w:anchor="_Toc52188519" w:history="1">
            <w:r w:rsidR="0048766B" w:rsidRPr="003175E4">
              <w:rPr>
                <w:rStyle w:val="Hipervnculo"/>
                <w:rFonts w:ascii="ITC Avant Garde" w:hAnsi="ITC Avant Garde"/>
                <w:noProof/>
                <w:sz w:val="20"/>
                <w:lang w:val="es-ES_tradnl"/>
              </w:rPr>
              <w:t>3.1.</w:t>
            </w:r>
            <w:r w:rsidR="0048766B" w:rsidRPr="003175E4">
              <w:rPr>
                <w:rFonts w:ascii="ITC Avant Garde" w:eastAsiaTheme="minorEastAsia" w:hAnsi="ITC Avant Garde" w:cstheme="minorBidi"/>
                <w:noProof/>
                <w:sz w:val="20"/>
                <w:lang w:eastAsia="es-MX"/>
              </w:rPr>
              <w:tab/>
            </w:r>
            <w:r w:rsidR="0048766B" w:rsidRPr="003175E4">
              <w:rPr>
                <w:rStyle w:val="Hipervnculo"/>
                <w:rFonts w:ascii="ITC Avant Garde" w:hAnsi="ITC Avant Garde"/>
                <w:noProof/>
                <w:sz w:val="20"/>
              </w:rPr>
              <w:t>Factores de representación de precios implícitos y niveles de costos evitados</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_Toc52188519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53</w:t>
            </w:r>
            <w:r w:rsidR="0048766B" w:rsidRPr="003175E4">
              <w:rPr>
                <w:rFonts w:ascii="ITC Avant Garde" w:hAnsi="ITC Avant Garde"/>
                <w:noProof/>
                <w:webHidden/>
                <w:sz w:val="20"/>
              </w:rPr>
              <w:fldChar w:fldCharType="end"/>
            </w:r>
          </w:hyperlink>
        </w:p>
        <w:p w14:paraId="453AEB96" w14:textId="7670629A" w:rsidR="0048766B" w:rsidRPr="003175E4" w:rsidRDefault="003175E4">
          <w:pPr>
            <w:pStyle w:val="TDC2"/>
            <w:rPr>
              <w:rFonts w:ascii="ITC Avant Garde" w:eastAsiaTheme="minorEastAsia" w:hAnsi="ITC Avant Garde" w:cstheme="minorBidi"/>
              <w:noProof/>
              <w:sz w:val="20"/>
              <w:lang w:eastAsia="es-MX"/>
            </w:rPr>
          </w:pPr>
          <w:hyperlink w:anchor="_Toc52188520" w:history="1">
            <w:r w:rsidR="0048766B" w:rsidRPr="003175E4">
              <w:rPr>
                <w:rStyle w:val="Hipervnculo"/>
                <w:rFonts w:ascii="ITC Avant Garde" w:hAnsi="ITC Avant Garde"/>
                <w:noProof/>
                <w:sz w:val="20"/>
                <w:lang w:val="es-ES_tradnl"/>
              </w:rPr>
              <w:t>3.2.</w:t>
            </w:r>
            <w:r w:rsidR="0048766B" w:rsidRPr="003175E4">
              <w:rPr>
                <w:rFonts w:ascii="ITC Avant Garde" w:eastAsiaTheme="minorEastAsia" w:hAnsi="ITC Avant Garde" w:cstheme="minorBidi"/>
                <w:noProof/>
                <w:sz w:val="20"/>
                <w:lang w:eastAsia="es-MX"/>
              </w:rPr>
              <w:tab/>
            </w:r>
            <w:r w:rsidR="0048766B" w:rsidRPr="003175E4">
              <w:rPr>
                <w:rStyle w:val="Hipervnculo"/>
                <w:rFonts w:ascii="ITC Avant Garde" w:hAnsi="ITC Avant Garde"/>
                <w:noProof/>
                <w:sz w:val="20"/>
              </w:rPr>
              <w:t>Resultados para el SRL</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_Toc52188520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54</w:t>
            </w:r>
            <w:r w:rsidR="0048766B" w:rsidRPr="003175E4">
              <w:rPr>
                <w:rFonts w:ascii="ITC Avant Garde" w:hAnsi="ITC Avant Garde"/>
                <w:noProof/>
                <w:webHidden/>
                <w:sz w:val="20"/>
              </w:rPr>
              <w:fldChar w:fldCharType="end"/>
            </w:r>
          </w:hyperlink>
        </w:p>
        <w:p w14:paraId="006CB270" w14:textId="74DBEDDB" w:rsidR="0048766B" w:rsidRPr="003175E4" w:rsidRDefault="003175E4">
          <w:pPr>
            <w:pStyle w:val="TDC2"/>
            <w:rPr>
              <w:rFonts w:ascii="ITC Avant Garde" w:eastAsiaTheme="minorEastAsia" w:hAnsi="ITC Avant Garde" w:cstheme="minorBidi"/>
              <w:noProof/>
              <w:sz w:val="20"/>
              <w:lang w:eastAsia="es-MX"/>
            </w:rPr>
          </w:pPr>
          <w:hyperlink w:anchor="_Toc52188521" w:history="1">
            <w:r w:rsidR="0048766B" w:rsidRPr="003175E4">
              <w:rPr>
                <w:rStyle w:val="Hipervnculo"/>
                <w:rFonts w:ascii="ITC Avant Garde" w:hAnsi="ITC Avant Garde"/>
                <w:noProof/>
                <w:sz w:val="20"/>
                <w:lang w:val="es-ES_tradnl"/>
              </w:rPr>
              <w:t>3.3.</w:t>
            </w:r>
            <w:r w:rsidR="0048766B" w:rsidRPr="003175E4">
              <w:rPr>
                <w:rFonts w:ascii="ITC Avant Garde" w:eastAsiaTheme="minorEastAsia" w:hAnsi="ITC Avant Garde" w:cstheme="minorBidi"/>
                <w:noProof/>
                <w:sz w:val="20"/>
                <w:lang w:eastAsia="es-MX"/>
              </w:rPr>
              <w:tab/>
            </w:r>
            <w:r w:rsidR="0048766B" w:rsidRPr="003175E4">
              <w:rPr>
                <w:rStyle w:val="Hipervnculo"/>
                <w:rFonts w:ascii="ITC Avant Garde" w:hAnsi="ITC Avant Garde"/>
                <w:noProof/>
                <w:sz w:val="20"/>
              </w:rPr>
              <w:t>Resultados para el SRMLT</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_Toc52188521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54</w:t>
            </w:r>
            <w:r w:rsidR="0048766B" w:rsidRPr="003175E4">
              <w:rPr>
                <w:rFonts w:ascii="ITC Avant Garde" w:hAnsi="ITC Avant Garde"/>
                <w:noProof/>
                <w:webHidden/>
                <w:sz w:val="20"/>
              </w:rPr>
              <w:fldChar w:fldCharType="end"/>
            </w:r>
          </w:hyperlink>
        </w:p>
        <w:p w14:paraId="6506171A" w14:textId="7534CD0E" w:rsidR="0048766B" w:rsidRPr="003175E4" w:rsidRDefault="003175E4">
          <w:pPr>
            <w:pStyle w:val="TDC2"/>
            <w:rPr>
              <w:rFonts w:ascii="ITC Avant Garde" w:eastAsiaTheme="minorEastAsia" w:hAnsi="ITC Avant Garde" w:cstheme="minorBidi"/>
              <w:noProof/>
              <w:sz w:val="20"/>
              <w:lang w:eastAsia="es-MX"/>
            </w:rPr>
          </w:pPr>
          <w:hyperlink w:anchor="_Toc52188522" w:history="1">
            <w:r w:rsidR="0048766B" w:rsidRPr="003175E4">
              <w:rPr>
                <w:rStyle w:val="Hipervnculo"/>
                <w:rFonts w:ascii="ITC Avant Garde" w:hAnsi="ITC Avant Garde"/>
                <w:noProof/>
                <w:sz w:val="20"/>
                <w:lang w:val="es-ES_tradnl"/>
              </w:rPr>
              <w:t>3.4.</w:t>
            </w:r>
            <w:r w:rsidR="0048766B" w:rsidRPr="003175E4">
              <w:rPr>
                <w:rFonts w:ascii="ITC Avant Garde" w:eastAsiaTheme="minorEastAsia" w:hAnsi="ITC Avant Garde" w:cstheme="minorBidi"/>
                <w:noProof/>
                <w:sz w:val="20"/>
                <w:lang w:eastAsia="es-MX"/>
              </w:rPr>
              <w:tab/>
            </w:r>
            <w:r w:rsidR="0048766B" w:rsidRPr="003175E4">
              <w:rPr>
                <w:rStyle w:val="Hipervnculo"/>
                <w:rFonts w:ascii="ITC Avant Garde" w:hAnsi="ITC Avant Garde"/>
                <w:noProof/>
                <w:sz w:val="20"/>
              </w:rPr>
              <w:t>Resultados para el SAIB</w:t>
            </w:r>
            <w:r w:rsidR="0048766B" w:rsidRPr="003175E4">
              <w:rPr>
                <w:rFonts w:ascii="ITC Avant Garde" w:hAnsi="ITC Avant Garde"/>
                <w:noProof/>
                <w:webHidden/>
                <w:sz w:val="20"/>
              </w:rPr>
              <w:tab/>
            </w:r>
            <w:r w:rsidR="0048766B" w:rsidRPr="003175E4">
              <w:rPr>
                <w:rFonts w:ascii="ITC Avant Garde" w:hAnsi="ITC Avant Garde"/>
                <w:noProof/>
                <w:webHidden/>
                <w:sz w:val="20"/>
              </w:rPr>
              <w:fldChar w:fldCharType="begin"/>
            </w:r>
            <w:r w:rsidR="0048766B" w:rsidRPr="003175E4">
              <w:rPr>
                <w:rFonts w:ascii="ITC Avant Garde" w:hAnsi="ITC Avant Garde"/>
                <w:noProof/>
                <w:webHidden/>
                <w:sz w:val="20"/>
              </w:rPr>
              <w:instrText xml:space="preserve"> PAGEREF _Toc52188522 \h </w:instrText>
            </w:r>
            <w:r w:rsidR="0048766B" w:rsidRPr="003175E4">
              <w:rPr>
                <w:rFonts w:ascii="ITC Avant Garde" w:hAnsi="ITC Avant Garde"/>
                <w:noProof/>
                <w:webHidden/>
                <w:sz w:val="20"/>
              </w:rPr>
            </w:r>
            <w:r w:rsidR="0048766B" w:rsidRPr="003175E4">
              <w:rPr>
                <w:rFonts w:ascii="ITC Avant Garde" w:hAnsi="ITC Avant Garde"/>
                <w:noProof/>
                <w:webHidden/>
                <w:sz w:val="20"/>
              </w:rPr>
              <w:fldChar w:fldCharType="separate"/>
            </w:r>
            <w:r w:rsidR="0048766B" w:rsidRPr="003175E4">
              <w:rPr>
                <w:rFonts w:ascii="ITC Avant Garde" w:hAnsi="ITC Avant Garde"/>
                <w:noProof/>
                <w:webHidden/>
                <w:sz w:val="20"/>
              </w:rPr>
              <w:t>54</w:t>
            </w:r>
            <w:r w:rsidR="0048766B" w:rsidRPr="003175E4">
              <w:rPr>
                <w:rFonts w:ascii="ITC Avant Garde" w:hAnsi="ITC Avant Garde"/>
                <w:noProof/>
                <w:webHidden/>
                <w:sz w:val="20"/>
              </w:rPr>
              <w:fldChar w:fldCharType="end"/>
            </w:r>
          </w:hyperlink>
        </w:p>
        <w:bookmarkEnd w:id="0"/>
        <w:p w14:paraId="004C908A" w14:textId="0938052C" w:rsidR="00EA6D98" w:rsidRPr="00C945B5" w:rsidRDefault="00EA6D98">
          <w:pPr>
            <w:rPr>
              <w:rFonts w:ascii="ITC Avant Garde" w:hAnsi="ITC Avant Garde"/>
              <w:sz w:val="18"/>
            </w:rPr>
          </w:pPr>
          <w:r w:rsidRPr="00C945B5">
            <w:rPr>
              <w:rFonts w:ascii="ITC Avant Garde" w:hAnsi="ITC Avant Garde"/>
              <w:b/>
              <w:bCs/>
              <w:sz w:val="18"/>
              <w:lang w:val="es-ES"/>
            </w:rPr>
            <w:fldChar w:fldCharType="end"/>
          </w:r>
        </w:p>
      </w:sdtContent>
    </w:sdt>
    <w:p w14:paraId="62A61FDE" w14:textId="0D18DA51" w:rsidR="00EA6D98" w:rsidRDefault="00EA6D98">
      <w:pPr>
        <w:spacing w:after="160" w:line="259" w:lineRule="auto"/>
        <w:rPr>
          <w:rFonts w:ascii="ITC Avant Garde" w:hAnsi="ITC Avant Garde" w:cs="Arial"/>
          <w:b/>
          <w:color w:val="000000"/>
          <w:lang w:val="es-ES_tradnl" w:eastAsia="es-ES"/>
        </w:rPr>
      </w:pPr>
    </w:p>
    <w:p w14:paraId="7581E655" w14:textId="77777777" w:rsidR="004A0DF9" w:rsidRDefault="004A0DF9">
      <w:pPr>
        <w:spacing w:after="160" w:line="259" w:lineRule="auto"/>
        <w:rPr>
          <w:rFonts w:ascii="ITC Avant Garde" w:hAnsi="ITC Avant Garde" w:cs="Arial"/>
          <w:b/>
          <w:color w:val="000000"/>
          <w:lang w:val="es-ES_tradnl" w:eastAsia="es-ES"/>
        </w:rPr>
      </w:pPr>
    </w:p>
    <w:p w14:paraId="61E38A2F" w14:textId="77777777" w:rsidR="007E312F" w:rsidRDefault="007E312F">
      <w:pPr>
        <w:spacing w:after="160" w:line="259" w:lineRule="auto"/>
        <w:rPr>
          <w:rFonts w:ascii="ITC Avant Garde" w:hAnsi="ITC Avant Garde" w:cs="Arial"/>
          <w:color w:val="000000"/>
          <w:lang w:val="es-ES_tradnl" w:eastAsia="es-ES"/>
        </w:rPr>
      </w:pPr>
      <w:r>
        <w:br w:type="page"/>
      </w:r>
    </w:p>
    <w:p w14:paraId="078B033B" w14:textId="77777777" w:rsidR="007523F2" w:rsidRDefault="007523F2" w:rsidP="007523F2">
      <w:pPr>
        <w:pStyle w:val="Titulo1"/>
        <w:ind w:left="360"/>
        <w:outlineLvl w:val="0"/>
      </w:pPr>
      <w:bookmarkStart w:id="1" w:name="_Toc525570022"/>
      <w:bookmarkStart w:id="2" w:name="_Toc525579142"/>
      <w:bookmarkStart w:id="3" w:name="_Toc525656719"/>
      <w:bookmarkStart w:id="4" w:name="_Toc51700000"/>
      <w:bookmarkStart w:id="5" w:name="_Toc52188489"/>
      <w:r>
        <w:lastRenderedPageBreak/>
        <w:t>Cuadro de acrónimos</w:t>
      </w:r>
      <w:bookmarkEnd w:id="1"/>
      <w:bookmarkEnd w:id="2"/>
      <w:bookmarkEnd w:id="3"/>
      <w:bookmarkEnd w:id="4"/>
      <w:bookmarkEnd w:id="5"/>
    </w:p>
    <w:p w14:paraId="7B079B16" w14:textId="77777777" w:rsidR="007523F2" w:rsidRPr="007523F2" w:rsidRDefault="007523F2" w:rsidP="007523F2">
      <w:pPr>
        <w:rPr>
          <w:lang w:val="es-ES" w:eastAsia="es-ES"/>
        </w:rPr>
      </w:pPr>
    </w:p>
    <w:p w14:paraId="6DD5A515" w14:textId="77777777" w:rsidR="007523F2" w:rsidRPr="00187B3D" w:rsidRDefault="007523F2" w:rsidP="007523F2">
      <w:pPr>
        <w:pStyle w:val="IFTnormal"/>
        <w:rPr>
          <w:lang w:val="es-ES"/>
        </w:rPr>
      </w:pPr>
      <w:r>
        <w:t>A efecto de facilitar la compresión del presente documento, a continuación, se muestra un cuadro que resume los principales términos y conceptos empleados en su desarrollo:</w:t>
      </w:r>
    </w:p>
    <w:tbl>
      <w:tblPr>
        <w:tblStyle w:val="Tablaconcuadrcula"/>
        <w:tblW w:w="5000" w:type="pct"/>
        <w:jc w:val="center"/>
        <w:tblLook w:val="04A0" w:firstRow="1" w:lastRow="0" w:firstColumn="1" w:lastColumn="0" w:noHBand="0" w:noVBand="1"/>
      </w:tblPr>
      <w:tblGrid>
        <w:gridCol w:w="2624"/>
        <w:gridCol w:w="6204"/>
      </w:tblGrid>
      <w:tr w:rsidR="007523F2" w:rsidRPr="00C2747D" w14:paraId="66BECAA5" w14:textId="77777777" w:rsidTr="00755429">
        <w:trPr>
          <w:trHeight w:val="20"/>
          <w:tblHeader/>
          <w:jc w:val="center"/>
        </w:trPr>
        <w:tc>
          <w:tcPr>
            <w:tcW w:w="5000" w:type="pct"/>
            <w:gridSpan w:val="2"/>
            <w:shd w:val="clear" w:color="auto" w:fill="E7E6E6" w:themeFill="background2"/>
          </w:tcPr>
          <w:p w14:paraId="382B0DD7" w14:textId="77777777" w:rsidR="007523F2" w:rsidRPr="00AD7BD7" w:rsidRDefault="007523F2" w:rsidP="00AD7BD7">
            <w:pPr>
              <w:pStyle w:val="IFTnormal"/>
              <w:jc w:val="center"/>
              <w:rPr>
                <w:b/>
              </w:rPr>
            </w:pPr>
            <w:bookmarkStart w:id="6" w:name="_Toc525570023"/>
            <w:bookmarkStart w:id="7" w:name="_Toc525579143"/>
            <w:bookmarkStart w:id="8" w:name="_Toc525656720"/>
            <w:r w:rsidRPr="00AD7BD7">
              <w:rPr>
                <w:b/>
              </w:rPr>
              <w:t>Términos y conceptos utilizados</w:t>
            </w:r>
            <w:bookmarkEnd w:id="6"/>
            <w:bookmarkEnd w:id="7"/>
            <w:bookmarkEnd w:id="8"/>
          </w:p>
        </w:tc>
      </w:tr>
      <w:tr w:rsidR="003B6FBF" w:rsidRPr="00C2747D" w14:paraId="3DFCA9C3" w14:textId="77777777" w:rsidTr="00755429">
        <w:trPr>
          <w:jc w:val="center"/>
        </w:trPr>
        <w:tc>
          <w:tcPr>
            <w:tcW w:w="1486" w:type="pct"/>
            <w:shd w:val="clear" w:color="auto" w:fill="auto"/>
            <w:vAlign w:val="center"/>
          </w:tcPr>
          <w:p w14:paraId="65240976" w14:textId="5EE7B6A9" w:rsidR="003B6FBF" w:rsidRDefault="003B6FBF" w:rsidP="00FF44D0">
            <w:pPr>
              <w:pStyle w:val="TxtListado"/>
              <w:jc w:val="both"/>
              <w:rPr>
                <w:b/>
                <w:color w:val="000000" w:themeColor="text1"/>
              </w:rPr>
            </w:pPr>
            <w:r>
              <w:rPr>
                <w:b/>
                <w:color w:val="000000" w:themeColor="text1"/>
              </w:rPr>
              <w:t>Acuerdo Metodológico</w:t>
            </w:r>
          </w:p>
        </w:tc>
        <w:tc>
          <w:tcPr>
            <w:tcW w:w="3514" w:type="pct"/>
            <w:shd w:val="clear" w:color="auto" w:fill="auto"/>
            <w:vAlign w:val="center"/>
          </w:tcPr>
          <w:p w14:paraId="328BF32C" w14:textId="6131C759" w:rsidR="003B6FBF" w:rsidRPr="003B6FBF" w:rsidRDefault="003B6FBF" w:rsidP="00755429">
            <w:pPr>
              <w:pStyle w:val="TxtListado"/>
              <w:jc w:val="both"/>
              <w:rPr>
                <w:rStyle w:val="IFTnormalCar"/>
                <w:lang w:val="es-ES"/>
              </w:rPr>
            </w:pPr>
            <w:r>
              <w:rPr>
                <w:rStyle w:val="IFTnormalCar"/>
              </w:rPr>
              <w:t xml:space="preserve"> “</w:t>
            </w:r>
            <w:r w:rsidRPr="003B6FBF">
              <w:rPr>
                <w:rStyle w:val="IFTnormalCar"/>
                <w:i/>
              </w:rPr>
              <w:t>ACUERDO MEDIANTE LA CUAL EL PLENO DEL INSTITUTO FEDERAL DE TELECOMUNICACIONES EXPIDE EL MODELO INTEGRAL DE RED DE ACCESO FIJO Y EL MODELO COSTOS EVITADOS PARA DETERMINAR LAS TARIFAS DEL SERVICIOS DE ACCESO Y USO COMPARTIDO DE INFRAESTRUCTURA PASIVA FIJA Y DEL SERVICIO DE DESAGREGACIÓN EFECTIVA DE LA RED LOCAL DEL AGENTE ECONÓMICO PREPONDERANTE EN EL SECTOR TELECOMUNICACIONES</w:t>
            </w:r>
            <w:r>
              <w:rPr>
                <w:rStyle w:val="IFTnormalCar"/>
                <w:i/>
              </w:rPr>
              <w:t>”</w:t>
            </w:r>
          </w:p>
        </w:tc>
      </w:tr>
      <w:tr w:rsidR="007523F2" w:rsidRPr="00C2747D" w14:paraId="76B90183" w14:textId="77777777" w:rsidTr="00755429">
        <w:trPr>
          <w:jc w:val="center"/>
        </w:trPr>
        <w:tc>
          <w:tcPr>
            <w:tcW w:w="1486" w:type="pct"/>
            <w:shd w:val="clear" w:color="auto" w:fill="auto"/>
            <w:vAlign w:val="center"/>
          </w:tcPr>
          <w:p w14:paraId="4070F81A" w14:textId="77777777" w:rsidR="007523F2" w:rsidRPr="00C2747D" w:rsidRDefault="007523F2" w:rsidP="00755429">
            <w:pPr>
              <w:pStyle w:val="TxtListado"/>
              <w:jc w:val="both"/>
            </w:pPr>
            <w:r>
              <w:rPr>
                <w:b/>
                <w:color w:val="000000" w:themeColor="text1"/>
              </w:rPr>
              <w:t>AEP</w:t>
            </w:r>
          </w:p>
        </w:tc>
        <w:tc>
          <w:tcPr>
            <w:tcW w:w="3514" w:type="pct"/>
            <w:shd w:val="clear" w:color="auto" w:fill="auto"/>
            <w:vAlign w:val="center"/>
          </w:tcPr>
          <w:p w14:paraId="48EAE752" w14:textId="77777777" w:rsidR="007523F2" w:rsidRPr="00C2747D" w:rsidRDefault="007523F2" w:rsidP="00755429">
            <w:pPr>
              <w:pStyle w:val="TxtListado"/>
              <w:jc w:val="both"/>
            </w:pPr>
            <w:r>
              <w:rPr>
                <w:rStyle w:val="IFTnormalCar"/>
              </w:rPr>
              <w:t>Empresas designadas conjuntamente como Agente Económico Preponderante en el sector de telecomunicaciones, de acuerdo con la Resolución emitida por el Pleno del Instituto Federal de Telecomunicaciones P/IFT/EXT/060314/76, denominada “</w:t>
            </w:r>
            <w:r>
              <w:rPr>
                <w:rStyle w:val="IFTnormalCar"/>
                <w:i/>
              </w:rPr>
              <w:t>RESOLUCIÓN MEDIANTE LA CUAL EL PLENO DEL INSTITUTO FEDERAL DE TELECOMUNICACIONES DETERMINA AL GRUPO DE INTERÉS ECONÓMICO DEL QUE FORMAN PARTE AMÉRICA MÓVIL, S.A.B. DE C. V., TELÉFONOS DE MÉXICO, S.A.B. DE C. V., TELÉFONOS DEL NOROESTE, S.A. DE C.V., RADIOMÓVIL DIPSA, S.A.B. DE C.V., GRUPO CARSO, S.A.B. DE C.V., Y GRUPO FINANCIERO INBURSA, S.A.B. DE C.V., COMO AGENTE ECONÓMICO PREPONDERANTE EN EL SECTOR DE TELECOMUNICACIONES Y LE IMPONE LAS MEDIDAS NECESARIAS PARA EVITAR QUE SE AFECTE LA COMPETENCIA Y LA LIBRE CONCURRENCIA</w:t>
            </w:r>
            <w:r>
              <w:rPr>
                <w:rStyle w:val="IFTnormalCar"/>
              </w:rPr>
              <w:t>.”</w:t>
            </w:r>
          </w:p>
        </w:tc>
      </w:tr>
      <w:tr w:rsidR="007523F2" w:rsidRPr="00C2747D" w14:paraId="14C35922" w14:textId="77777777" w:rsidTr="00755429">
        <w:trPr>
          <w:jc w:val="center"/>
        </w:trPr>
        <w:tc>
          <w:tcPr>
            <w:tcW w:w="1486" w:type="pct"/>
            <w:shd w:val="clear" w:color="auto" w:fill="auto"/>
            <w:vAlign w:val="center"/>
          </w:tcPr>
          <w:p w14:paraId="327BFECB" w14:textId="77777777" w:rsidR="007523F2" w:rsidRDefault="007523F2" w:rsidP="00755429">
            <w:pPr>
              <w:pStyle w:val="TxtListado"/>
              <w:jc w:val="both"/>
              <w:rPr>
                <w:b/>
                <w:color w:val="000000" w:themeColor="text1"/>
              </w:rPr>
            </w:pPr>
            <w:r>
              <w:rPr>
                <w:b/>
                <w:color w:val="000000" w:themeColor="text1"/>
              </w:rPr>
              <w:t>BIT</w:t>
            </w:r>
          </w:p>
        </w:tc>
        <w:tc>
          <w:tcPr>
            <w:tcW w:w="3514" w:type="pct"/>
            <w:shd w:val="clear" w:color="auto" w:fill="auto"/>
            <w:vAlign w:val="center"/>
          </w:tcPr>
          <w:p w14:paraId="59EA837E" w14:textId="77777777" w:rsidR="007523F2" w:rsidRDefault="007523F2" w:rsidP="00755429">
            <w:pPr>
              <w:pStyle w:val="TxtListado"/>
              <w:jc w:val="both"/>
              <w:rPr>
                <w:rStyle w:val="IFTnormalCar"/>
              </w:rPr>
            </w:pPr>
            <w:r>
              <w:rPr>
                <w:rStyle w:val="IFTnormalCar"/>
              </w:rPr>
              <w:t>Banco de Información de Telecomunicaciones del Instituto</w:t>
            </w:r>
            <w:r>
              <w:rPr>
                <w:rStyle w:val="Refdenotaalpie"/>
                <w:rFonts w:cs="Arial"/>
                <w:color w:val="000000"/>
                <w:lang w:val="es-ES_tradnl"/>
              </w:rPr>
              <w:footnoteReference w:id="2"/>
            </w:r>
          </w:p>
        </w:tc>
      </w:tr>
      <w:tr w:rsidR="007523F2" w:rsidRPr="00C2747D" w14:paraId="68DEC24E" w14:textId="77777777" w:rsidTr="00755429">
        <w:trPr>
          <w:jc w:val="center"/>
        </w:trPr>
        <w:tc>
          <w:tcPr>
            <w:tcW w:w="1486" w:type="pct"/>
            <w:shd w:val="clear" w:color="auto" w:fill="auto"/>
            <w:vAlign w:val="center"/>
          </w:tcPr>
          <w:p w14:paraId="253F3775" w14:textId="77777777" w:rsidR="007523F2" w:rsidRDefault="007523F2" w:rsidP="00755429">
            <w:pPr>
              <w:pStyle w:val="TxtListado"/>
              <w:jc w:val="both"/>
              <w:rPr>
                <w:b/>
                <w:color w:val="000000" w:themeColor="text1"/>
              </w:rPr>
            </w:pPr>
            <w:r>
              <w:rPr>
                <w:b/>
                <w:color w:val="000000" w:themeColor="text1"/>
              </w:rPr>
              <w:t>CS</w:t>
            </w:r>
          </w:p>
        </w:tc>
        <w:tc>
          <w:tcPr>
            <w:tcW w:w="3514" w:type="pct"/>
            <w:shd w:val="clear" w:color="auto" w:fill="auto"/>
            <w:vAlign w:val="center"/>
          </w:tcPr>
          <w:p w14:paraId="053F4FA3" w14:textId="77777777" w:rsidR="007523F2" w:rsidRDefault="007523F2" w:rsidP="00755429">
            <w:pPr>
              <w:pStyle w:val="TxtListado"/>
              <w:jc w:val="both"/>
              <w:rPr>
                <w:rStyle w:val="IFTnormalCar"/>
              </w:rPr>
            </w:pPr>
            <w:r w:rsidRPr="006A2DFB">
              <w:rPr>
                <w:color w:val="000000" w:themeColor="text1"/>
                <w:szCs w:val="18"/>
                <w:lang w:eastAsia="es-MX"/>
              </w:rPr>
              <w:t>Concesionario(s) de telecomunicaciones que solicita(n) acceso y/o accede(n) a la infraestructura de la red local de AEP</w:t>
            </w:r>
            <w:r w:rsidRPr="006A2DFB" w:rsidDel="003A3949">
              <w:rPr>
                <w:color w:val="000000" w:themeColor="text1"/>
                <w:szCs w:val="18"/>
                <w:lang w:eastAsia="es-MX"/>
              </w:rPr>
              <w:t xml:space="preserve"> </w:t>
            </w:r>
            <w:r w:rsidRPr="006A2DFB">
              <w:rPr>
                <w:color w:val="000000" w:themeColor="text1"/>
                <w:szCs w:val="18"/>
                <w:lang w:eastAsia="es-MX"/>
              </w:rPr>
              <w:t>a fin de prestar servicios de telecomunicaciones</w:t>
            </w:r>
          </w:p>
        </w:tc>
      </w:tr>
      <w:tr w:rsidR="00F702FB" w:rsidRPr="00C2747D" w14:paraId="10C73E6D" w14:textId="77777777" w:rsidTr="00755429">
        <w:trPr>
          <w:jc w:val="center"/>
        </w:trPr>
        <w:tc>
          <w:tcPr>
            <w:tcW w:w="1486" w:type="pct"/>
            <w:shd w:val="clear" w:color="auto" w:fill="auto"/>
            <w:vAlign w:val="center"/>
          </w:tcPr>
          <w:p w14:paraId="5CE1D881" w14:textId="25ED4842" w:rsidR="00F702FB" w:rsidRDefault="00F702FB" w:rsidP="00755429">
            <w:pPr>
              <w:pStyle w:val="TxtListado"/>
              <w:jc w:val="both"/>
              <w:rPr>
                <w:b/>
                <w:color w:val="000000" w:themeColor="text1"/>
              </w:rPr>
            </w:pPr>
            <w:r>
              <w:rPr>
                <w:b/>
                <w:color w:val="000000" w:themeColor="text1"/>
              </w:rPr>
              <w:lastRenderedPageBreak/>
              <w:t>Empresa</w:t>
            </w:r>
            <w:r w:rsidR="00C60528">
              <w:rPr>
                <w:b/>
                <w:color w:val="000000" w:themeColor="text1"/>
              </w:rPr>
              <w:t>s</w:t>
            </w:r>
            <w:r>
              <w:rPr>
                <w:b/>
                <w:color w:val="000000" w:themeColor="text1"/>
              </w:rPr>
              <w:t xml:space="preserve"> Mayorista</w:t>
            </w:r>
            <w:r w:rsidR="00C60528">
              <w:rPr>
                <w:b/>
                <w:color w:val="000000" w:themeColor="text1"/>
              </w:rPr>
              <w:t>s</w:t>
            </w:r>
          </w:p>
        </w:tc>
        <w:tc>
          <w:tcPr>
            <w:tcW w:w="3514" w:type="pct"/>
            <w:shd w:val="clear" w:color="auto" w:fill="auto"/>
            <w:vAlign w:val="center"/>
          </w:tcPr>
          <w:p w14:paraId="5F3BB623" w14:textId="683DC088" w:rsidR="00F702FB" w:rsidRPr="006A2DFB" w:rsidRDefault="000A41D7" w:rsidP="000A41D7">
            <w:pPr>
              <w:pStyle w:val="TxtListado"/>
              <w:jc w:val="both"/>
              <w:rPr>
                <w:color w:val="000000" w:themeColor="text1"/>
                <w:szCs w:val="18"/>
                <w:lang w:eastAsia="es-MX"/>
              </w:rPr>
            </w:pPr>
            <w:r w:rsidRPr="002E60E3">
              <w:t>Red Nacional Última Milla S.A.P.I. de C.V. y Red Última Milla</w:t>
            </w:r>
            <w:r>
              <w:t xml:space="preserve"> del Noroeste, S.A.P.I. de C.V., empresas </w:t>
            </w:r>
            <w:r w:rsidRPr="002E60E3">
              <w:t>integrantes del AEP en el sector de telecomunicaciones</w:t>
            </w:r>
            <w:r>
              <w:t>.</w:t>
            </w:r>
          </w:p>
        </w:tc>
      </w:tr>
      <w:tr w:rsidR="007523F2" w:rsidRPr="00C2747D" w14:paraId="41A3F704" w14:textId="77777777" w:rsidTr="00755429">
        <w:trPr>
          <w:jc w:val="center"/>
        </w:trPr>
        <w:tc>
          <w:tcPr>
            <w:tcW w:w="1486" w:type="pct"/>
            <w:shd w:val="clear" w:color="auto" w:fill="auto"/>
            <w:vAlign w:val="center"/>
          </w:tcPr>
          <w:p w14:paraId="44D11CFA" w14:textId="77777777" w:rsidR="007523F2" w:rsidRDefault="007523F2" w:rsidP="00755429">
            <w:pPr>
              <w:pStyle w:val="TxtListado"/>
              <w:jc w:val="both"/>
            </w:pPr>
            <w:r w:rsidRPr="005F6455">
              <w:rPr>
                <w:b/>
                <w:color w:val="000000" w:themeColor="text1"/>
                <w:szCs w:val="18"/>
                <w:lang w:eastAsia="es-MX"/>
              </w:rPr>
              <w:t>Instituto</w:t>
            </w:r>
            <w:r>
              <w:rPr>
                <w:b/>
                <w:color w:val="000000" w:themeColor="text1"/>
                <w:szCs w:val="18"/>
                <w:lang w:eastAsia="es-MX"/>
              </w:rPr>
              <w:t xml:space="preserve"> o IFT</w:t>
            </w:r>
          </w:p>
        </w:tc>
        <w:tc>
          <w:tcPr>
            <w:tcW w:w="3514" w:type="pct"/>
            <w:shd w:val="clear" w:color="auto" w:fill="auto"/>
            <w:vAlign w:val="center"/>
          </w:tcPr>
          <w:p w14:paraId="25517937" w14:textId="77777777" w:rsidR="007523F2" w:rsidRDefault="007523F2" w:rsidP="00755429">
            <w:pPr>
              <w:pStyle w:val="TxtListado"/>
              <w:jc w:val="both"/>
            </w:pPr>
            <w:r w:rsidRPr="005F6455">
              <w:rPr>
                <w:color w:val="000000" w:themeColor="text1"/>
                <w:szCs w:val="18"/>
                <w:lang w:eastAsia="es-MX"/>
              </w:rPr>
              <w:t>Instituto Federal de Telecomunicaciones</w:t>
            </w:r>
          </w:p>
        </w:tc>
      </w:tr>
      <w:tr w:rsidR="007523F2" w:rsidRPr="00C2747D" w14:paraId="71BC60B2" w14:textId="77777777" w:rsidTr="00755429">
        <w:trPr>
          <w:jc w:val="center"/>
        </w:trPr>
        <w:tc>
          <w:tcPr>
            <w:tcW w:w="1486" w:type="pct"/>
            <w:shd w:val="clear" w:color="auto" w:fill="auto"/>
            <w:vAlign w:val="center"/>
          </w:tcPr>
          <w:p w14:paraId="4A482B98" w14:textId="77777777" w:rsidR="007523F2" w:rsidRPr="005F6455" w:rsidRDefault="007523F2" w:rsidP="00755429">
            <w:pPr>
              <w:pStyle w:val="TxtListado"/>
              <w:jc w:val="both"/>
              <w:rPr>
                <w:b/>
                <w:color w:val="000000" w:themeColor="text1"/>
                <w:szCs w:val="18"/>
                <w:lang w:eastAsia="es-MX"/>
              </w:rPr>
            </w:pPr>
            <w:r>
              <w:rPr>
                <w:b/>
                <w:color w:val="000000" w:themeColor="text1"/>
                <w:szCs w:val="18"/>
                <w:lang w:eastAsia="es-MX"/>
              </w:rPr>
              <w:t>LFTR</w:t>
            </w:r>
          </w:p>
        </w:tc>
        <w:tc>
          <w:tcPr>
            <w:tcW w:w="3514" w:type="pct"/>
            <w:shd w:val="clear" w:color="auto" w:fill="auto"/>
            <w:vAlign w:val="center"/>
          </w:tcPr>
          <w:p w14:paraId="4DBD4993" w14:textId="77777777" w:rsidR="007523F2" w:rsidRPr="005F6455" w:rsidRDefault="007523F2" w:rsidP="00755429">
            <w:pPr>
              <w:pStyle w:val="TxtListado"/>
              <w:jc w:val="both"/>
              <w:rPr>
                <w:color w:val="000000" w:themeColor="text1"/>
                <w:szCs w:val="18"/>
                <w:lang w:eastAsia="es-MX"/>
              </w:rPr>
            </w:pPr>
            <w:r>
              <w:rPr>
                <w:color w:val="000000" w:themeColor="text1"/>
                <w:szCs w:val="18"/>
                <w:lang w:eastAsia="es-MX"/>
              </w:rPr>
              <w:t>Ley Federal de Telecomunicaciones y Radiodifusión</w:t>
            </w:r>
          </w:p>
        </w:tc>
      </w:tr>
      <w:tr w:rsidR="007523F2" w:rsidRPr="00C2747D" w14:paraId="77C67BCE" w14:textId="77777777" w:rsidTr="00755429">
        <w:trPr>
          <w:jc w:val="center"/>
        </w:trPr>
        <w:tc>
          <w:tcPr>
            <w:tcW w:w="1486" w:type="pct"/>
            <w:shd w:val="clear" w:color="auto" w:fill="auto"/>
            <w:vAlign w:val="center"/>
          </w:tcPr>
          <w:p w14:paraId="62D673C3" w14:textId="77777777" w:rsidR="007523F2" w:rsidRDefault="007523F2" w:rsidP="00755429">
            <w:pPr>
              <w:pStyle w:val="TxtListado"/>
              <w:jc w:val="both"/>
            </w:pPr>
            <w:r w:rsidRPr="005F6455">
              <w:rPr>
                <w:b/>
                <w:color w:val="000000" w:themeColor="text1"/>
                <w:szCs w:val="18"/>
                <w:lang w:eastAsia="es-MX"/>
              </w:rPr>
              <w:t>Medidas de Desagregación</w:t>
            </w:r>
          </w:p>
        </w:tc>
        <w:tc>
          <w:tcPr>
            <w:tcW w:w="3514" w:type="pct"/>
            <w:shd w:val="clear" w:color="auto" w:fill="auto"/>
            <w:vAlign w:val="center"/>
          </w:tcPr>
          <w:p w14:paraId="5823FDA5" w14:textId="3342E642" w:rsidR="007523F2" w:rsidRDefault="007523F2" w:rsidP="00755429">
            <w:pPr>
              <w:pStyle w:val="TxtListado"/>
              <w:jc w:val="both"/>
            </w:pPr>
            <w:r>
              <w:rPr>
                <w:color w:val="000000" w:themeColor="text1"/>
                <w:szCs w:val="18"/>
                <w:lang w:eastAsia="es-MX"/>
              </w:rPr>
              <w:t xml:space="preserve">Se refiere </w:t>
            </w:r>
            <w:r w:rsidR="0077465F">
              <w:rPr>
                <w:color w:val="000000" w:themeColor="text1"/>
                <w:szCs w:val="18"/>
                <w:lang w:eastAsia="es-MX"/>
              </w:rPr>
              <w:t>al</w:t>
            </w:r>
            <w:r>
              <w:rPr>
                <w:color w:val="000000" w:themeColor="text1"/>
                <w:szCs w:val="18"/>
                <w:lang w:eastAsia="es-MX"/>
              </w:rPr>
              <w:t xml:space="preserve"> Anexo 3 de la </w:t>
            </w:r>
            <w:r w:rsidRPr="005F6455">
              <w:rPr>
                <w:color w:val="000000" w:themeColor="text1"/>
                <w:szCs w:val="18"/>
                <w:lang w:eastAsia="es-MX"/>
              </w:rPr>
              <w:t xml:space="preserve">Resolución emitida por el Pleno de Instituto Federal de Telecomunicaciones </w:t>
            </w:r>
            <w:r w:rsidRPr="00550DA3">
              <w:t>P/IFT/EXT/270217/119</w:t>
            </w:r>
            <w:r>
              <w:t xml:space="preserve"> </w:t>
            </w:r>
            <w:r>
              <w:rPr>
                <w:color w:val="000000" w:themeColor="text1"/>
                <w:szCs w:val="18"/>
                <w:lang w:eastAsia="es-MX"/>
              </w:rPr>
              <w:t>en el que s</w:t>
            </w:r>
            <w:r>
              <w:t xml:space="preserve">e </w:t>
            </w:r>
            <w:r>
              <w:rPr>
                <w:b/>
              </w:rPr>
              <w:t>MODIFICAN</w:t>
            </w:r>
            <w:r>
              <w:t xml:space="preserve"> las medidas SEGUNDA, TERCERA, primer párrafo, incisos 4), 14), 15) y último párrafo, CUARTA, QUINTA, UNDÉCIMA, DECIMOSEXTA, DECIMOCTAVA, VIGÉSIMA, VIGÉSIMA QUINTA, VIGÉSIMA SEXTA, VIGÉSIMA SÉPTIMA, primer párrafo, VIGÉSIMA NOVENA, TRIGÉSIMA, TRIGÉSIMA PRIMERA, TRIGÉSIMA TERCERA, TRIGÉSIMA CUARTA, TRIGÉSIMA SEXTA, segundo párrafo, TRIGÉSIMA NOVENA y CUADRAGÉSIMA PRIMERA; se </w:t>
            </w:r>
            <w:r>
              <w:rPr>
                <w:b/>
              </w:rPr>
              <w:t>ADICIONAN</w:t>
            </w:r>
            <w:r>
              <w:t xml:space="preserve"> las medidas TERCERA, incisos 1.1), 2.1), 3.1), 4.1), 5.1), 6.1), 7.1), 7.2), 7.3),14.1) y 15.1) y CUADRAGÉSIMA SEXTA a QUINCUAGÉSIMA PRIMERA, y se </w:t>
            </w:r>
            <w:r>
              <w:rPr>
                <w:b/>
              </w:rPr>
              <w:t>SUPRIMEN</w:t>
            </w:r>
            <w:r>
              <w:t xml:space="preserve"> las medidas TERCERA, incisos 6), 7) y 17), todas ellas del Anexo 3 denominado “</w:t>
            </w:r>
            <w:r>
              <w:rPr>
                <w:i/>
              </w:rPr>
              <w:t>MEDIDAS QUE PERMITEN LA DESAGREGACIÓN EFECTIVA DE LA RED LOCAL DEL AGENTE ECONÓMICO PREPONDERANTE EN TELECOMUNICACIONES DE MANERA QUE OTROS CONCESIONARIOS DE TELECOMUNICACIONES PUEDAN ACCEDER, ENTRE OTROS, A LOS MEDIOS FÍSICOS, TÉCNICOS Y LÓGICOS DE CONEXIÓN ENTRE CUALQUIER PUNTO TERMINAL DE LA RED PÚBLICA DE TELECOMUNICACIONES Y EL PUNTO DE ACCESO A LA RED LOCAL PERTENECIENTE A DICHO AGENTE.</w:t>
            </w:r>
            <w:r>
              <w:t>”</w:t>
            </w:r>
            <w:r>
              <w:rPr>
                <w:color w:val="000000" w:themeColor="text1"/>
                <w:szCs w:val="18"/>
                <w:lang w:eastAsia="es-MX"/>
              </w:rPr>
              <w:t xml:space="preserve"> </w:t>
            </w:r>
          </w:p>
        </w:tc>
      </w:tr>
      <w:tr w:rsidR="007523F2" w:rsidRPr="00C2747D" w14:paraId="4C84B8BE" w14:textId="77777777" w:rsidTr="00755429">
        <w:trPr>
          <w:jc w:val="center"/>
        </w:trPr>
        <w:tc>
          <w:tcPr>
            <w:tcW w:w="1486" w:type="pct"/>
            <w:shd w:val="clear" w:color="auto" w:fill="auto"/>
            <w:vAlign w:val="center"/>
          </w:tcPr>
          <w:p w14:paraId="14887803" w14:textId="7E3AF5AE" w:rsidR="007523F2" w:rsidRPr="005F6455" w:rsidRDefault="007523F2" w:rsidP="00755429">
            <w:pPr>
              <w:pStyle w:val="TxtListado"/>
              <w:jc w:val="both"/>
              <w:rPr>
                <w:b/>
                <w:color w:val="000000" w:themeColor="text1"/>
                <w:szCs w:val="18"/>
                <w:lang w:eastAsia="es-MX"/>
              </w:rPr>
            </w:pPr>
            <w:r>
              <w:rPr>
                <w:b/>
                <w:color w:val="000000" w:themeColor="text1"/>
                <w:szCs w:val="18"/>
                <w:lang w:eastAsia="es-MX"/>
              </w:rPr>
              <w:t>Modelo de Costos E</w:t>
            </w:r>
            <w:r w:rsidR="00755429">
              <w:rPr>
                <w:b/>
                <w:color w:val="000000" w:themeColor="text1"/>
                <w:szCs w:val="18"/>
                <w:lang w:eastAsia="es-MX"/>
              </w:rPr>
              <w:t>vitados</w:t>
            </w:r>
          </w:p>
        </w:tc>
        <w:tc>
          <w:tcPr>
            <w:tcW w:w="3514" w:type="pct"/>
            <w:shd w:val="clear" w:color="auto" w:fill="auto"/>
            <w:vAlign w:val="center"/>
          </w:tcPr>
          <w:p w14:paraId="5270CD67" w14:textId="58F85B98" w:rsidR="007523F2" w:rsidRPr="005F6455" w:rsidRDefault="007523F2" w:rsidP="00755429">
            <w:pPr>
              <w:pStyle w:val="TxtListado"/>
              <w:jc w:val="both"/>
              <w:rPr>
                <w:color w:val="000000" w:themeColor="text1"/>
                <w:szCs w:val="18"/>
                <w:lang w:eastAsia="es-MX"/>
              </w:rPr>
            </w:pPr>
            <w:r>
              <w:rPr>
                <w:color w:val="000000" w:themeColor="text1"/>
                <w:szCs w:val="18"/>
                <w:lang w:eastAsia="es-MX"/>
              </w:rPr>
              <w:t>Modelo de costos implementado por el Instituto bajo la metodología de costos evitados (</w:t>
            </w:r>
            <w:r w:rsidRPr="00C430F1">
              <w:rPr>
                <w:i/>
                <w:color w:val="000000" w:themeColor="text1"/>
                <w:szCs w:val="18"/>
                <w:lang w:eastAsia="es-MX"/>
              </w:rPr>
              <w:t>retail minus</w:t>
            </w:r>
            <w:r>
              <w:rPr>
                <w:color w:val="000000" w:themeColor="text1"/>
                <w:szCs w:val="18"/>
                <w:lang w:eastAsia="es-MX"/>
              </w:rPr>
              <w:t xml:space="preserve">) </w:t>
            </w:r>
            <w:r w:rsidR="00961FB0">
              <w:rPr>
                <w:color w:val="000000" w:themeColor="text1"/>
                <w:szCs w:val="18"/>
                <w:lang w:eastAsia="es-MX"/>
              </w:rPr>
              <w:t xml:space="preserve">definida en la Medida TRIGÉSIMA NOVENA de las Medidas de Desagregación </w:t>
            </w:r>
            <w:r>
              <w:rPr>
                <w:color w:val="000000" w:themeColor="text1"/>
                <w:szCs w:val="18"/>
                <w:lang w:eastAsia="es-MX"/>
              </w:rPr>
              <w:t>mediante el cual se estiman las tarifas de diversos servicios de la OREDA.</w:t>
            </w:r>
          </w:p>
        </w:tc>
      </w:tr>
      <w:tr w:rsidR="007523F2" w:rsidRPr="00C2747D" w14:paraId="1E12CD24" w14:textId="77777777" w:rsidTr="00755429">
        <w:trPr>
          <w:jc w:val="center"/>
        </w:trPr>
        <w:tc>
          <w:tcPr>
            <w:tcW w:w="1486" w:type="pct"/>
            <w:shd w:val="clear" w:color="auto" w:fill="auto"/>
            <w:vAlign w:val="center"/>
          </w:tcPr>
          <w:p w14:paraId="1AB02013" w14:textId="77777777" w:rsidR="007523F2" w:rsidRDefault="007523F2" w:rsidP="00755429">
            <w:pPr>
              <w:pStyle w:val="TxtListado"/>
              <w:jc w:val="both"/>
              <w:rPr>
                <w:b/>
                <w:color w:val="000000" w:themeColor="text1"/>
                <w:szCs w:val="18"/>
                <w:lang w:eastAsia="es-MX"/>
              </w:rPr>
            </w:pPr>
            <w:r>
              <w:rPr>
                <w:b/>
                <w:color w:val="000000" w:themeColor="text1"/>
                <w:szCs w:val="18"/>
                <w:lang w:eastAsia="es-MX"/>
              </w:rPr>
              <w:t>NCAI</w:t>
            </w:r>
          </w:p>
        </w:tc>
        <w:tc>
          <w:tcPr>
            <w:tcW w:w="3514" w:type="pct"/>
            <w:shd w:val="clear" w:color="auto" w:fill="auto"/>
            <w:vAlign w:val="center"/>
          </w:tcPr>
          <w:p w14:paraId="71CB4494" w14:textId="77777777" w:rsidR="007523F2" w:rsidRDefault="007523F2" w:rsidP="00755429">
            <w:pPr>
              <w:pStyle w:val="TxtListado"/>
              <w:jc w:val="both"/>
              <w:rPr>
                <w:color w:val="000000" w:themeColor="text1"/>
                <w:szCs w:val="18"/>
                <w:lang w:eastAsia="es-MX"/>
              </w:rPr>
            </w:pPr>
            <w:r>
              <w:rPr>
                <w:color w:val="000000" w:themeColor="text1"/>
                <w:szCs w:val="18"/>
                <w:lang w:eastAsia="es-MX"/>
              </w:rPr>
              <w:t>N</w:t>
            </w:r>
            <w:r w:rsidRPr="00493238">
              <w:rPr>
                <w:color w:val="000000" w:themeColor="text1"/>
                <w:szCs w:val="18"/>
                <w:lang w:eastAsia="es-MX"/>
              </w:rPr>
              <w:t xml:space="preserve">odo </w:t>
            </w:r>
            <w:r>
              <w:rPr>
                <w:color w:val="000000" w:themeColor="text1"/>
                <w:szCs w:val="18"/>
                <w:lang w:eastAsia="es-MX"/>
              </w:rPr>
              <w:t xml:space="preserve">de conexión de acceso indirecto, de acuerdo con la OREDA vigente, </w:t>
            </w:r>
            <w:r w:rsidRPr="00493238">
              <w:rPr>
                <w:color w:val="000000" w:themeColor="text1"/>
                <w:szCs w:val="18"/>
                <w:lang w:eastAsia="es-MX"/>
              </w:rPr>
              <w:t>de entrega del servicio a nivel local, regional o nacional. En ellos se localizan los puertos (pCAI) o interfaces lógicas de entrega del servicio.</w:t>
            </w:r>
          </w:p>
        </w:tc>
      </w:tr>
      <w:tr w:rsidR="007523F2" w:rsidRPr="00C2747D" w14:paraId="65E4B6F7" w14:textId="77777777" w:rsidTr="00755429">
        <w:trPr>
          <w:jc w:val="center"/>
        </w:trPr>
        <w:tc>
          <w:tcPr>
            <w:tcW w:w="1486" w:type="pct"/>
            <w:shd w:val="clear" w:color="auto" w:fill="auto"/>
            <w:vAlign w:val="center"/>
          </w:tcPr>
          <w:p w14:paraId="52549CCB" w14:textId="77777777" w:rsidR="007523F2" w:rsidRDefault="007523F2" w:rsidP="00755429">
            <w:pPr>
              <w:pStyle w:val="TxtListado"/>
              <w:jc w:val="both"/>
            </w:pPr>
            <w:r w:rsidRPr="005F6455">
              <w:rPr>
                <w:b/>
                <w:color w:val="000000" w:themeColor="text1"/>
                <w:szCs w:val="18"/>
                <w:lang w:eastAsia="es-MX"/>
              </w:rPr>
              <w:t>OREDA</w:t>
            </w:r>
          </w:p>
        </w:tc>
        <w:tc>
          <w:tcPr>
            <w:tcW w:w="3514" w:type="pct"/>
            <w:shd w:val="clear" w:color="auto" w:fill="auto"/>
            <w:vAlign w:val="center"/>
          </w:tcPr>
          <w:p w14:paraId="130FF2DD" w14:textId="77777777" w:rsidR="007523F2" w:rsidRDefault="007523F2" w:rsidP="00755429">
            <w:pPr>
              <w:pStyle w:val="TxtListado"/>
              <w:tabs>
                <w:tab w:val="left" w:pos="302"/>
              </w:tabs>
              <w:jc w:val="both"/>
            </w:pPr>
            <w:r w:rsidRPr="005F6455">
              <w:rPr>
                <w:color w:val="000000" w:themeColor="text1"/>
                <w:szCs w:val="18"/>
                <w:lang w:eastAsia="es-MX"/>
              </w:rPr>
              <w:t>Oferta de Referencia para la Desagregación del Bucle Local</w:t>
            </w:r>
          </w:p>
        </w:tc>
      </w:tr>
      <w:tr w:rsidR="007523F2" w:rsidRPr="00C2747D" w14:paraId="22D6C468" w14:textId="77777777" w:rsidTr="00755429">
        <w:trPr>
          <w:jc w:val="center"/>
        </w:trPr>
        <w:tc>
          <w:tcPr>
            <w:tcW w:w="1486" w:type="pct"/>
            <w:shd w:val="clear" w:color="auto" w:fill="auto"/>
            <w:vAlign w:val="center"/>
          </w:tcPr>
          <w:p w14:paraId="51473648" w14:textId="77777777" w:rsidR="007523F2" w:rsidRDefault="007523F2" w:rsidP="00755429">
            <w:pPr>
              <w:pStyle w:val="TxtListado"/>
              <w:jc w:val="both"/>
              <w:rPr>
                <w:b/>
                <w:color w:val="000000" w:themeColor="text1"/>
                <w:szCs w:val="18"/>
                <w:lang w:eastAsia="es-MX"/>
              </w:rPr>
            </w:pPr>
            <w:r>
              <w:rPr>
                <w:b/>
                <w:color w:val="000000" w:themeColor="text1"/>
                <w:szCs w:val="18"/>
                <w:lang w:eastAsia="es-MX"/>
              </w:rPr>
              <w:t>pCAI</w:t>
            </w:r>
          </w:p>
        </w:tc>
        <w:tc>
          <w:tcPr>
            <w:tcW w:w="3514" w:type="pct"/>
            <w:shd w:val="clear" w:color="auto" w:fill="auto"/>
            <w:vAlign w:val="center"/>
          </w:tcPr>
          <w:p w14:paraId="33FA4285" w14:textId="77777777" w:rsidR="007523F2" w:rsidRDefault="007523F2" w:rsidP="00755429">
            <w:pPr>
              <w:pStyle w:val="TxtListado"/>
              <w:jc w:val="both"/>
              <w:rPr>
                <w:color w:val="000000" w:themeColor="text1"/>
                <w:szCs w:val="18"/>
                <w:lang w:eastAsia="es-MX"/>
              </w:rPr>
            </w:pPr>
            <w:r>
              <w:rPr>
                <w:color w:val="000000" w:themeColor="text1"/>
                <w:szCs w:val="18"/>
                <w:lang w:val="es-ES" w:eastAsia="es-MX"/>
              </w:rPr>
              <w:t>P</w:t>
            </w:r>
            <w:r w:rsidRPr="00493238">
              <w:rPr>
                <w:color w:val="000000" w:themeColor="text1"/>
                <w:szCs w:val="18"/>
                <w:lang w:val="es-ES" w:eastAsia="es-MX"/>
              </w:rPr>
              <w:t>uerto de un NCAI</w:t>
            </w:r>
            <w:r>
              <w:rPr>
                <w:color w:val="000000" w:themeColor="text1"/>
                <w:szCs w:val="18"/>
                <w:lang w:val="es-ES" w:eastAsia="es-MX"/>
              </w:rPr>
              <w:t>, en términos de la OREDA vigente</w:t>
            </w:r>
            <w:r w:rsidRPr="00493238">
              <w:rPr>
                <w:color w:val="000000" w:themeColor="text1"/>
                <w:szCs w:val="18"/>
                <w:lang w:val="es-ES" w:eastAsia="es-MX"/>
              </w:rPr>
              <w:t>. Es la interfaz física (puerto) en la que se entrega el tráfico de un CS correspondiente a un determinado conjunto de equipos de acceso (DSLAM/OLT)</w:t>
            </w:r>
          </w:p>
        </w:tc>
      </w:tr>
      <w:tr w:rsidR="007523F2" w:rsidRPr="00C2747D" w14:paraId="15F7AC78" w14:textId="77777777" w:rsidTr="00755429">
        <w:trPr>
          <w:jc w:val="center"/>
        </w:trPr>
        <w:tc>
          <w:tcPr>
            <w:tcW w:w="1486" w:type="pct"/>
            <w:shd w:val="clear" w:color="auto" w:fill="auto"/>
            <w:vAlign w:val="center"/>
          </w:tcPr>
          <w:p w14:paraId="24398653" w14:textId="77777777" w:rsidR="007523F2" w:rsidRDefault="007523F2" w:rsidP="00755429">
            <w:pPr>
              <w:pStyle w:val="TxtListado"/>
              <w:jc w:val="both"/>
              <w:rPr>
                <w:b/>
                <w:color w:val="000000" w:themeColor="text1"/>
                <w:szCs w:val="18"/>
                <w:lang w:eastAsia="es-MX"/>
              </w:rPr>
            </w:pPr>
            <w:r w:rsidRPr="007B7C20">
              <w:rPr>
                <w:b/>
                <w:color w:val="000000" w:themeColor="text1"/>
                <w:szCs w:val="18"/>
                <w:lang w:eastAsia="es-MX"/>
              </w:rPr>
              <w:lastRenderedPageBreak/>
              <w:t>Punto de Conexión Terminal</w:t>
            </w:r>
          </w:p>
        </w:tc>
        <w:tc>
          <w:tcPr>
            <w:tcW w:w="3514" w:type="pct"/>
            <w:shd w:val="clear" w:color="auto" w:fill="auto"/>
            <w:vAlign w:val="center"/>
          </w:tcPr>
          <w:p w14:paraId="4DE2EF00" w14:textId="77777777" w:rsidR="007523F2" w:rsidRDefault="007523F2" w:rsidP="00755429">
            <w:pPr>
              <w:pStyle w:val="TxtListado"/>
              <w:jc w:val="both"/>
              <w:rPr>
                <w:color w:val="000000" w:themeColor="text1"/>
                <w:szCs w:val="18"/>
                <w:lang w:eastAsia="es-MX"/>
              </w:rPr>
            </w:pPr>
            <w:r w:rsidRPr="007B7C20">
              <w:rPr>
                <w:color w:val="000000" w:themeColor="text1"/>
                <w:szCs w:val="18"/>
                <w:lang w:val="es-ES" w:eastAsia="es-MX"/>
              </w:rPr>
              <w:t>Dispositivo unilínea o mul</w:t>
            </w:r>
            <w:r>
              <w:rPr>
                <w:color w:val="000000" w:themeColor="text1"/>
                <w:szCs w:val="18"/>
                <w:lang w:val="es-ES" w:eastAsia="es-MX"/>
              </w:rPr>
              <w:t xml:space="preserve">tilínea, que delimita la red del AEP </w:t>
            </w:r>
            <w:r w:rsidRPr="007B7C20">
              <w:rPr>
                <w:color w:val="000000" w:themeColor="text1"/>
                <w:szCs w:val="18"/>
                <w:lang w:val="es-ES" w:eastAsia="es-MX"/>
              </w:rPr>
              <w:t>con la red del usuario final, el cual se instala en el sitio del usuario final y sirve como frontera o demar</w:t>
            </w:r>
            <w:r>
              <w:rPr>
                <w:color w:val="000000" w:themeColor="text1"/>
                <w:szCs w:val="18"/>
                <w:lang w:val="es-ES" w:eastAsia="es-MX"/>
              </w:rPr>
              <w:t xml:space="preserve">cación de la responsabilidad del AEP </w:t>
            </w:r>
            <w:r w:rsidRPr="007B7C20">
              <w:rPr>
                <w:color w:val="000000" w:themeColor="text1"/>
                <w:szCs w:val="18"/>
                <w:lang w:val="es-ES" w:eastAsia="es-MX"/>
              </w:rPr>
              <w:t>para los servicios.</w:t>
            </w:r>
          </w:p>
        </w:tc>
      </w:tr>
      <w:tr w:rsidR="008F7A87" w:rsidRPr="00C2747D" w14:paraId="423FDB36" w14:textId="77777777" w:rsidTr="00755429">
        <w:trPr>
          <w:jc w:val="center"/>
        </w:trPr>
        <w:tc>
          <w:tcPr>
            <w:tcW w:w="1486" w:type="pct"/>
            <w:shd w:val="clear" w:color="auto" w:fill="auto"/>
            <w:vAlign w:val="center"/>
          </w:tcPr>
          <w:p w14:paraId="202A95E2" w14:textId="6C9F0E2A" w:rsidR="008F7A87" w:rsidRPr="007B7C20" w:rsidRDefault="008F7A87" w:rsidP="008F7A87">
            <w:pPr>
              <w:pStyle w:val="TxtListado"/>
              <w:jc w:val="both"/>
              <w:rPr>
                <w:b/>
                <w:color w:val="000000" w:themeColor="text1"/>
                <w:szCs w:val="18"/>
                <w:lang w:eastAsia="es-MX"/>
              </w:rPr>
            </w:pPr>
            <w:r>
              <w:rPr>
                <w:b/>
              </w:rPr>
              <w:t>Resolución SRMLT</w:t>
            </w:r>
          </w:p>
        </w:tc>
        <w:tc>
          <w:tcPr>
            <w:tcW w:w="3514" w:type="pct"/>
            <w:shd w:val="clear" w:color="auto" w:fill="auto"/>
            <w:vAlign w:val="center"/>
          </w:tcPr>
          <w:p w14:paraId="1CC4BAD2" w14:textId="796D2E88" w:rsidR="008F7A87" w:rsidRPr="007B7C20" w:rsidRDefault="008F7A87" w:rsidP="008F7A87">
            <w:pPr>
              <w:pStyle w:val="TxtListado"/>
              <w:jc w:val="both"/>
              <w:rPr>
                <w:color w:val="000000" w:themeColor="text1"/>
                <w:szCs w:val="18"/>
                <w:lang w:val="es-ES" w:eastAsia="es-MX"/>
              </w:rPr>
            </w:pPr>
            <w:r>
              <w:rPr>
                <w:color w:val="000000" w:themeColor="text1"/>
                <w:szCs w:val="18"/>
                <w:lang w:eastAsia="es-MX"/>
              </w:rPr>
              <w:t xml:space="preserve">Se refiere a </w:t>
            </w:r>
            <w:r>
              <w:t xml:space="preserve">la </w:t>
            </w:r>
            <w:r>
              <w:rPr>
                <w:i/>
              </w:rPr>
              <w:t>“</w:t>
            </w:r>
            <w:r>
              <w:rPr>
                <w:i/>
                <w:lang w:val="es-ES"/>
              </w:rPr>
              <w:t>RESOLUCIÓN MEDIANTE LA CUAL EL PLENO DEL INSTITUTO FEDERAL DE TELECOMUNICACIONES FORMALIZA Y RESUELVE EN DEFINITIVA EL SERVICIO DE REVENTA MAYORISTA DE LÍNEA TELEFÓNICA DE LA OFERTA DE REFERENCIA DE LA DESAGREGACIÓN EFECTIVA DE LA RED LOCAL DEL AGENTE ECONÓMICO PREPONDERANTE</w:t>
            </w:r>
            <w:r>
              <w:rPr>
                <w:lang w:val="es-ES"/>
              </w:rPr>
              <w:t>”,</w:t>
            </w:r>
            <w:r>
              <w:t xml:space="preserve"> </w:t>
            </w:r>
            <w:r>
              <w:rPr>
                <w:color w:val="000000" w:themeColor="text1"/>
                <w:szCs w:val="18"/>
                <w:lang w:eastAsia="es-MX"/>
              </w:rPr>
              <w:t xml:space="preserve">aprobada, mediante acuerdo </w:t>
            </w:r>
            <w:r>
              <w:t>P/IFT/081117/683, por el Pleno del Instituto</w:t>
            </w:r>
            <w:r>
              <w:rPr>
                <w:rStyle w:val="Refdenotaalpie"/>
              </w:rPr>
              <w:footnoteReference w:id="3"/>
            </w:r>
            <w:r>
              <w:t xml:space="preserve"> </w:t>
            </w:r>
            <w:r>
              <w:rPr>
                <w:color w:val="000000" w:themeColor="text1"/>
                <w:szCs w:val="18"/>
                <w:lang w:eastAsia="es-MX"/>
              </w:rPr>
              <w:t xml:space="preserve">el </w:t>
            </w:r>
            <w:r>
              <w:t>8 de noviembre de 2017.</w:t>
            </w:r>
          </w:p>
        </w:tc>
      </w:tr>
      <w:tr w:rsidR="008F7A87" w:rsidRPr="00C2747D" w14:paraId="02DC3760" w14:textId="77777777" w:rsidTr="00755429">
        <w:trPr>
          <w:jc w:val="center"/>
        </w:trPr>
        <w:tc>
          <w:tcPr>
            <w:tcW w:w="1486" w:type="pct"/>
            <w:shd w:val="clear" w:color="auto" w:fill="auto"/>
            <w:vAlign w:val="center"/>
          </w:tcPr>
          <w:p w14:paraId="329659B5" w14:textId="77777777" w:rsidR="008F7A87" w:rsidRDefault="008F7A87" w:rsidP="008F7A87">
            <w:pPr>
              <w:pStyle w:val="TxtListado"/>
              <w:jc w:val="both"/>
            </w:pPr>
            <w:r w:rsidRPr="005F6455">
              <w:rPr>
                <w:b/>
                <w:color w:val="000000" w:themeColor="text1"/>
                <w:szCs w:val="18"/>
                <w:lang w:eastAsia="es-MX"/>
              </w:rPr>
              <w:t>SAIB</w:t>
            </w:r>
          </w:p>
        </w:tc>
        <w:tc>
          <w:tcPr>
            <w:tcW w:w="3514" w:type="pct"/>
            <w:shd w:val="clear" w:color="auto" w:fill="auto"/>
            <w:vAlign w:val="center"/>
          </w:tcPr>
          <w:p w14:paraId="4CFC3724" w14:textId="77777777" w:rsidR="008F7A87" w:rsidRDefault="008F7A87" w:rsidP="008F7A87">
            <w:pPr>
              <w:pStyle w:val="TxtListado"/>
              <w:jc w:val="both"/>
            </w:pPr>
            <w:r w:rsidRPr="005F6455">
              <w:rPr>
                <w:color w:val="000000" w:themeColor="text1"/>
                <w:szCs w:val="18"/>
                <w:lang w:eastAsia="es-MX"/>
              </w:rPr>
              <w:t>Servicio de Acceso Indirecto al Bucle Local</w:t>
            </w:r>
          </w:p>
        </w:tc>
      </w:tr>
      <w:tr w:rsidR="008F7A87" w:rsidRPr="00C2747D" w14:paraId="4248654D" w14:textId="77777777" w:rsidTr="00755429">
        <w:trPr>
          <w:jc w:val="center"/>
        </w:trPr>
        <w:tc>
          <w:tcPr>
            <w:tcW w:w="1486" w:type="pct"/>
            <w:shd w:val="clear" w:color="auto" w:fill="auto"/>
            <w:vAlign w:val="center"/>
          </w:tcPr>
          <w:p w14:paraId="55450270" w14:textId="77777777" w:rsidR="008F7A87" w:rsidRDefault="008F7A87" w:rsidP="008F7A87">
            <w:pPr>
              <w:pStyle w:val="TxtListado"/>
              <w:jc w:val="both"/>
            </w:pPr>
            <w:r w:rsidRPr="005F6455">
              <w:rPr>
                <w:b/>
                <w:color w:val="000000" w:themeColor="text1"/>
                <w:szCs w:val="18"/>
                <w:lang w:eastAsia="es-MX"/>
              </w:rPr>
              <w:t>SCyD</w:t>
            </w:r>
          </w:p>
        </w:tc>
        <w:tc>
          <w:tcPr>
            <w:tcW w:w="3514" w:type="pct"/>
            <w:shd w:val="clear" w:color="auto" w:fill="auto"/>
            <w:vAlign w:val="center"/>
          </w:tcPr>
          <w:p w14:paraId="537B751B" w14:textId="77777777" w:rsidR="008F7A87" w:rsidRDefault="008F7A87" w:rsidP="008F7A87">
            <w:pPr>
              <w:pStyle w:val="TxtListado"/>
              <w:jc w:val="both"/>
            </w:pPr>
            <w:r w:rsidRPr="005F6455">
              <w:rPr>
                <w:color w:val="000000" w:themeColor="text1"/>
                <w:szCs w:val="18"/>
                <w:lang w:eastAsia="es-MX"/>
              </w:rPr>
              <w:t>Servicio de Concentración y Distribución</w:t>
            </w:r>
          </w:p>
        </w:tc>
      </w:tr>
      <w:tr w:rsidR="008F7A87" w:rsidRPr="00C2747D" w14:paraId="547B0E4A" w14:textId="77777777" w:rsidTr="00755429">
        <w:trPr>
          <w:jc w:val="center"/>
        </w:trPr>
        <w:tc>
          <w:tcPr>
            <w:tcW w:w="1486" w:type="pct"/>
            <w:shd w:val="clear" w:color="auto" w:fill="auto"/>
            <w:vAlign w:val="center"/>
          </w:tcPr>
          <w:p w14:paraId="45192224" w14:textId="6ED4491E" w:rsidR="008F7A87" w:rsidRPr="005F6455" w:rsidRDefault="008F7A87" w:rsidP="008F7A87">
            <w:pPr>
              <w:pStyle w:val="TxtListado"/>
              <w:jc w:val="both"/>
              <w:rPr>
                <w:b/>
                <w:color w:val="000000" w:themeColor="text1"/>
                <w:szCs w:val="18"/>
                <w:lang w:eastAsia="es-MX"/>
              </w:rPr>
            </w:pPr>
            <w:r>
              <w:rPr>
                <w:b/>
                <w:color w:val="000000" w:themeColor="text1"/>
                <w:szCs w:val="18"/>
                <w:lang w:eastAsia="es-MX"/>
              </w:rPr>
              <w:t>Separación Funcional</w:t>
            </w:r>
          </w:p>
        </w:tc>
        <w:tc>
          <w:tcPr>
            <w:tcW w:w="3514" w:type="pct"/>
            <w:shd w:val="clear" w:color="auto" w:fill="auto"/>
            <w:vAlign w:val="center"/>
          </w:tcPr>
          <w:p w14:paraId="703FA3C7" w14:textId="252F3348" w:rsidR="008F7A87" w:rsidRPr="005F6455" w:rsidRDefault="008F7A87" w:rsidP="008F7A87">
            <w:pPr>
              <w:pStyle w:val="TxtListado"/>
              <w:jc w:val="both"/>
              <w:rPr>
                <w:color w:val="000000" w:themeColor="text1"/>
                <w:szCs w:val="18"/>
                <w:lang w:eastAsia="es-MX"/>
              </w:rPr>
            </w:pPr>
            <w:r w:rsidRPr="000A41D7">
              <w:rPr>
                <w:color w:val="000000" w:themeColor="text1"/>
                <w:szCs w:val="18"/>
                <w:lang w:eastAsia="es-MX"/>
              </w:rPr>
              <w:t>El 27 de febrero de 2018 el Pleno de este Instituto, en su VII Sesión Ordinaria aprobó mediante Acuerdo P/IFT/270218/130 el “ACUERDO MEDIANTE EL CUAL EL PLENO DEL INSTITUTO FEDERAL DE TELECOMUNICACIONES RESUELVE SOBRE EL PLAN FINAL DE IMPLEMENTACIÓN DE SEPARACIÓN FUNCIONAL Y OTROS PLANTEAMIENTOS PRESENTADOS POR AMÉRICA MOVIL, S.A.B. DE C.V., TELÉFONOS DE MÉXICO, S.A.B. DE C.V., Y TELÉFONOS DEL NOROESTE, S.A. DE C.V., EN TÉRMINOS DE LAS MEDIDAS SEXAGÉSIMA QUINTA Y SEGUNDA TRANSITORIA DEL ANEXO 2 Y CUADRAGÉSIMA SÉPTIMA Y SEGUNDA TRANSITORIA DEL ANEXO 3 ESTABLECIDAS MEDIANTE ACUERDO P/IFT/EXT/270217/119”.</w:t>
            </w:r>
          </w:p>
        </w:tc>
      </w:tr>
      <w:tr w:rsidR="008F7A87" w:rsidRPr="00C2747D" w14:paraId="593D4944" w14:textId="77777777" w:rsidTr="00755429">
        <w:trPr>
          <w:jc w:val="center"/>
        </w:trPr>
        <w:tc>
          <w:tcPr>
            <w:tcW w:w="1486" w:type="pct"/>
            <w:shd w:val="clear" w:color="auto" w:fill="auto"/>
            <w:vAlign w:val="center"/>
          </w:tcPr>
          <w:p w14:paraId="6E63024D" w14:textId="77777777" w:rsidR="008F7A87" w:rsidRDefault="008F7A87" w:rsidP="008F7A87">
            <w:pPr>
              <w:pStyle w:val="TxtListado"/>
            </w:pPr>
            <w:r w:rsidRPr="005F6455">
              <w:rPr>
                <w:b/>
                <w:color w:val="000000" w:themeColor="text1"/>
                <w:szCs w:val="18"/>
                <w:lang w:eastAsia="es-MX"/>
              </w:rPr>
              <w:t>SRI</w:t>
            </w:r>
          </w:p>
        </w:tc>
        <w:tc>
          <w:tcPr>
            <w:tcW w:w="3514" w:type="pct"/>
            <w:shd w:val="clear" w:color="auto" w:fill="auto"/>
            <w:vAlign w:val="center"/>
          </w:tcPr>
          <w:p w14:paraId="675C412D" w14:textId="77777777" w:rsidR="008F7A87" w:rsidRDefault="008F7A87" w:rsidP="008F7A87">
            <w:pPr>
              <w:pStyle w:val="TxtListado"/>
            </w:pPr>
            <w:r w:rsidRPr="005F6455">
              <w:rPr>
                <w:color w:val="000000" w:themeColor="text1"/>
                <w:szCs w:val="18"/>
                <w:lang w:eastAsia="es-MX"/>
              </w:rPr>
              <w:t>Servicio de Reventa de Internet</w:t>
            </w:r>
          </w:p>
        </w:tc>
      </w:tr>
      <w:tr w:rsidR="008F7A87" w:rsidRPr="00C2747D" w14:paraId="7060BBE0" w14:textId="77777777" w:rsidTr="00755429">
        <w:trPr>
          <w:jc w:val="center"/>
        </w:trPr>
        <w:tc>
          <w:tcPr>
            <w:tcW w:w="1486" w:type="pct"/>
            <w:shd w:val="clear" w:color="auto" w:fill="auto"/>
            <w:vAlign w:val="center"/>
          </w:tcPr>
          <w:p w14:paraId="1F30A174" w14:textId="77777777" w:rsidR="008F7A87" w:rsidRDefault="008F7A87" w:rsidP="008F7A87">
            <w:pPr>
              <w:pStyle w:val="TxtListado"/>
            </w:pPr>
            <w:r w:rsidRPr="005F6455">
              <w:rPr>
                <w:b/>
                <w:color w:val="000000" w:themeColor="text1"/>
                <w:szCs w:val="18"/>
                <w:lang w:eastAsia="es-MX"/>
              </w:rPr>
              <w:t>SRL</w:t>
            </w:r>
          </w:p>
        </w:tc>
        <w:tc>
          <w:tcPr>
            <w:tcW w:w="3514" w:type="pct"/>
            <w:shd w:val="clear" w:color="auto" w:fill="auto"/>
            <w:vAlign w:val="center"/>
          </w:tcPr>
          <w:p w14:paraId="27AE9A43" w14:textId="2DD8C4DB" w:rsidR="008F7A87" w:rsidRDefault="008F7A87" w:rsidP="008F7A87">
            <w:pPr>
              <w:pStyle w:val="TxtListado"/>
            </w:pPr>
            <w:r>
              <w:rPr>
                <w:color w:val="000000" w:themeColor="text1"/>
                <w:szCs w:val="18"/>
                <w:lang w:eastAsia="es-MX"/>
              </w:rPr>
              <w:t>Servicio d</w:t>
            </w:r>
            <w:r w:rsidRPr="005F6455">
              <w:rPr>
                <w:color w:val="000000" w:themeColor="text1"/>
                <w:szCs w:val="18"/>
                <w:lang w:eastAsia="es-MX"/>
              </w:rPr>
              <w:t>e Reventa de Línea</w:t>
            </w:r>
          </w:p>
        </w:tc>
      </w:tr>
      <w:tr w:rsidR="008F7A87" w:rsidRPr="00C2747D" w14:paraId="59B04332" w14:textId="77777777" w:rsidTr="00755429">
        <w:trPr>
          <w:jc w:val="center"/>
        </w:trPr>
        <w:tc>
          <w:tcPr>
            <w:tcW w:w="1486" w:type="pct"/>
            <w:shd w:val="clear" w:color="auto" w:fill="auto"/>
            <w:vAlign w:val="center"/>
          </w:tcPr>
          <w:p w14:paraId="4A1481C7" w14:textId="77777777" w:rsidR="008F7A87" w:rsidRPr="005F6455" w:rsidRDefault="008F7A87" w:rsidP="008F7A87">
            <w:pPr>
              <w:pStyle w:val="TxtListado"/>
              <w:rPr>
                <w:b/>
                <w:color w:val="000000" w:themeColor="text1"/>
                <w:szCs w:val="18"/>
                <w:lang w:eastAsia="es-MX"/>
              </w:rPr>
            </w:pPr>
            <w:r>
              <w:rPr>
                <w:b/>
                <w:color w:val="000000" w:themeColor="text1"/>
                <w:szCs w:val="18"/>
                <w:lang w:eastAsia="es-MX"/>
              </w:rPr>
              <w:t>SRMLT</w:t>
            </w:r>
          </w:p>
        </w:tc>
        <w:tc>
          <w:tcPr>
            <w:tcW w:w="3514" w:type="pct"/>
            <w:shd w:val="clear" w:color="auto" w:fill="auto"/>
            <w:vAlign w:val="center"/>
          </w:tcPr>
          <w:p w14:paraId="0FC37D72" w14:textId="77777777" w:rsidR="008F7A87" w:rsidRPr="005F6455" w:rsidRDefault="008F7A87" w:rsidP="008F7A87">
            <w:pPr>
              <w:pStyle w:val="TxtListado"/>
              <w:rPr>
                <w:color w:val="000000" w:themeColor="text1"/>
                <w:szCs w:val="18"/>
                <w:lang w:eastAsia="es-MX"/>
              </w:rPr>
            </w:pPr>
            <w:r>
              <w:rPr>
                <w:color w:val="000000" w:themeColor="text1"/>
                <w:szCs w:val="18"/>
                <w:lang w:eastAsia="es-MX"/>
              </w:rPr>
              <w:t>Servicio de Reventa Mayorista d</w:t>
            </w:r>
            <w:r w:rsidRPr="00BB1168">
              <w:rPr>
                <w:color w:val="000000" w:themeColor="text1"/>
                <w:szCs w:val="18"/>
                <w:lang w:eastAsia="es-MX"/>
              </w:rPr>
              <w:t>e Línea Telefónica</w:t>
            </w:r>
          </w:p>
        </w:tc>
      </w:tr>
      <w:tr w:rsidR="008F7A87" w:rsidRPr="00C2747D" w14:paraId="0660B3E5" w14:textId="77777777" w:rsidTr="00755429">
        <w:trPr>
          <w:jc w:val="center"/>
        </w:trPr>
        <w:tc>
          <w:tcPr>
            <w:tcW w:w="1486" w:type="pct"/>
            <w:shd w:val="clear" w:color="auto" w:fill="auto"/>
            <w:vAlign w:val="center"/>
          </w:tcPr>
          <w:p w14:paraId="5A0ECBA0" w14:textId="77777777" w:rsidR="008F7A87" w:rsidRDefault="008F7A87" w:rsidP="008F7A87">
            <w:pPr>
              <w:pStyle w:val="TxtListado"/>
            </w:pPr>
            <w:r w:rsidRPr="005F6455">
              <w:rPr>
                <w:b/>
                <w:color w:val="000000" w:themeColor="text1"/>
                <w:szCs w:val="18"/>
                <w:lang w:eastAsia="es-MX"/>
              </w:rPr>
              <w:t>SRLT</w:t>
            </w:r>
          </w:p>
        </w:tc>
        <w:tc>
          <w:tcPr>
            <w:tcW w:w="3514" w:type="pct"/>
            <w:shd w:val="clear" w:color="auto" w:fill="auto"/>
            <w:vAlign w:val="center"/>
          </w:tcPr>
          <w:p w14:paraId="04A699A3" w14:textId="77777777" w:rsidR="008F7A87" w:rsidRDefault="008F7A87" w:rsidP="008F7A87">
            <w:pPr>
              <w:pStyle w:val="TxtListado"/>
            </w:pPr>
            <w:r w:rsidRPr="005F6455">
              <w:rPr>
                <w:color w:val="000000" w:themeColor="text1"/>
                <w:szCs w:val="18"/>
                <w:lang w:eastAsia="es-MX"/>
              </w:rPr>
              <w:t>Servicio de Reventa de Línea Telefónica</w:t>
            </w:r>
          </w:p>
        </w:tc>
      </w:tr>
      <w:tr w:rsidR="008F7A87" w:rsidRPr="00C2747D" w14:paraId="41BE8B31" w14:textId="77777777" w:rsidTr="00755429">
        <w:trPr>
          <w:jc w:val="center"/>
        </w:trPr>
        <w:tc>
          <w:tcPr>
            <w:tcW w:w="1486" w:type="pct"/>
            <w:shd w:val="clear" w:color="auto" w:fill="auto"/>
            <w:vAlign w:val="center"/>
          </w:tcPr>
          <w:p w14:paraId="46E21C14" w14:textId="77777777" w:rsidR="008F7A87" w:rsidRDefault="008F7A87" w:rsidP="008F7A87">
            <w:pPr>
              <w:pStyle w:val="TxtListado"/>
            </w:pPr>
            <w:r w:rsidRPr="005F6455">
              <w:rPr>
                <w:b/>
                <w:color w:val="000000" w:themeColor="text1"/>
                <w:szCs w:val="18"/>
                <w:lang w:eastAsia="es-MX"/>
              </w:rPr>
              <w:t>SRP</w:t>
            </w:r>
          </w:p>
        </w:tc>
        <w:tc>
          <w:tcPr>
            <w:tcW w:w="3514" w:type="pct"/>
            <w:shd w:val="clear" w:color="auto" w:fill="auto"/>
            <w:vAlign w:val="center"/>
          </w:tcPr>
          <w:p w14:paraId="6B5BF478" w14:textId="77777777" w:rsidR="008F7A87" w:rsidRDefault="008F7A87" w:rsidP="008F7A87">
            <w:pPr>
              <w:pStyle w:val="TxtListado"/>
            </w:pPr>
            <w:r w:rsidRPr="005F6455">
              <w:rPr>
                <w:color w:val="000000" w:themeColor="text1"/>
                <w:szCs w:val="18"/>
                <w:lang w:eastAsia="es-MX"/>
              </w:rPr>
              <w:t>Servicio de Reventa de Paquetes</w:t>
            </w:r>
          </w:p>
        </w:tc>
      </w:tr>
      <w:tr w:rsidR="008F7A87" w:rsidRPr="00C2747D" w14:paraId="45E792D3" w14:textId="77777777" w:rsidTr="00755429">
        <w:trPr>
          <w:jc w:val="center"/>
        </w:trPr>
        <w:tc>
          <w:tcPr>
            <w:tcW w:w="1486" w:type="pct"/>
            <w:shd w:val="clear" w:color="auto" w:fill="auto"/>
            <w:vAlign w:val="center"/>
          </w:tcPr>
          <w:p w14:paraId="45EEAA59" w14:textId="77777777" w:rsidR="008F7A87" w:rsidRDefault="008F7A87" w:rsidP="008F7A87">
            <w:pPr>
              <w:pStyle w:val="TxtListado"/>
            </w:pPr>
            <w:r>
              <w:rPr>
                <w:b/>
                <w:color w:val="000000" w:themeColor="text1"/>
                <w:szCs w:val="18"/>
                <w:lang w:eastAsia="es-MX"/>
              </w:rPr>
              <w:t>Telmex</w:t>
            </w:r>
          </w:p>
        </w:tc>
        <w:tc>
          <w:tcPr>
            <w:tcW w:w="3514" w:type="pct"/>
            <w:shd w:val="clear" w:color="auto" w:fill="auto"/>
            <w:vAlign w:val="center"/>
          </w:tcPr>
          <w:p w14:paraId="7009E01C" w14:textId="0287B218" w:rsidR="008F7A87" w:rsidRDefault="008F7A87" w:rsidP="008F7A87">
            <w:pPr>
              <w:pStyle w:val="TxtListado"/>
            </w:pPr>
            <w:r>
              <w:rPr>
                <w:color w:val="000000" w:themeColor="text1"/>
                <w:szCs w:val="18"/>
                <w:lang w:eastAsia="es-MX"/>
              </w:rPr>
              <w:t>Teléfonos de México, S.A.B. de C.V. División Mayorista integrante del AEP</w:t>
            </w:r>
            <w:r>
              <w:rPr>
                <w:rStyle w:val="Refdecomentario"/>
                <w:rFonts w:ascii="Calibri" w:eastAsia="Times New Roman" w:hAnsi="Calibri"/>
              </w:rPr>
              <w:t xml:space="preserve">. </w:t>
            </w:r>
            <w:r>
              <w:rPr>
                <w:rStyle w:val="Refdecomentario"/>
                <w:rFonts w:ascii="Calibri" w:eastAsia="Times New Roman" w:hAnsi="Calibri"/>
                <w:lang w:eastAsia="es-MX"/>
              </w:rPr>
              <w:t xml:space="preserve"> </w:t>
            </w:r>
          </w:p>
        </w:tc>
      </w:tr>
      <w:tr w:rsidR="008F7A87" w:rsidRPr="00C2747D" w14:paraId="453E6295" w14:textId="77777777" w:rsidTr="00755429">
        <w:trPr>
          <w:jc w:val="center"/>
        </w:trPr>
        <w:tc>
          <w:tcPr>
            <w:tcW w:w="1486" w:type="pct"/>
            <w:shd w:val="clear" w:color="auto" w:fill="auto"/>
            <w:vAlign w:val="center"/>
          </w:tcPr>
          <w:p w14:paraId="5FF87DD8" w14:textId="77777777" w:rsidR="008F7A87" w:rsidRDefault="008F7A87" w:rsidP="008F7A87">
            <w:pPr>
              <w:pStyle w:val="TxtListado"/>
            </w:pPr>
            <w:r>
              <w:rPr>
                <w:b/>
                <w:color w:val="000000" w:themeColor="text1"/>
                <w:szCs w:val="18"/>
                <w:lang w:eastAsia="es-MX"/>
              </w:rPr>
              <w:lastRenderedPageBreak/>
              <w:t>Telnor</w:t>
            </w:r>
          </w:p>
        </w:tc>
        <w:tc>
          <w:tcPr>
            <w:tcW w:w="3514" w:type="pct"/>
            <w:shd w:val="clear" w:color="auto" w:fill="auto"/>
            <w:vAlign w:val="center"/>
          </w:tcPr>
          <w:p w14:paraId="5B00B576" w14:textId="235CE67D" w:rsidR="008F7A87" w:rsidRDefault="008F7A87" w:rsidP="008F7A87">
            <w:pPr>
              <w:pStyle w:val="TxtListado"/>
            </w:pPr>
            <w:r>
              <w:rPr>
                <w:color w:val="000000" w:themeColor="text1"/>
                <w:szCs w:val="18"/>
                <w:lang w:eastAsia="es-MX"/>
              </w:rPr>
              <w:t>Teléfonos del Noroeste, S.A. de C.V. División Mayorista integrante del AEP.</w:t>
            </w:r>
          </w:p>
        </w:tc>
      </w:tr>
      <w:tr w:rsidR="008F7A87" w:rsidRPr="00C2747D" w14:paraId="5D211774" w14:textId="77777777" w:rsidTr="00755429">
        <w:trPr>
          <w:jc w:val="center"/>
        </w:trPr>
        <w:tc>
          <w:tcPr>
            <w:tcW w:w="1486" w:type="pct"/>
            <w:shd w:val="clear" w:color="auto" w:fill="auto"/>
            <w:vAlign w:val="center"/>
          </w:tcPr>
          <w:p w14:paraId="0558CB7E" w14:textId="77777777" w:rsidR="008F7A87" w:rsidRDefault="008F7A87" w:rsidP="008F7A87">
            <w:pPr>
              <w:pStyle w:val="TxtListado"/>
              <w:rPr>
                <w:b/>
                <w:color w:val="000000" w:themeColor="text1"/>
                <w:szCs w:val="18"/>
                <w:lang w:eastAsia="es-MX"/>
              </w:rPr>
            </w:pPr>
            <w:r>
              <w:rPr>
                <w:b/>
                <w:color w:val="000000" w:themeColor="text1"/>
                <w:szCs w:val="18"/>
                <w:lang w:eastAsia="es-MX"/>
              </w:rPr>
              <w:t>Usuario Final</w:t>
            </w:r>
          </w:p>
        </w:tc>
        <w:tc>
          <w:tcPr>
            <w:tcW w:w="3514" w:type="pct"/>
            <w:shd w:val="clear" w:color="auto" w:fill="auto"/>
            <w:vAlign w:val="center"/>
          </w:tcPr>
          <w:p w14:paraId="3A8360B0" w14:textId="77777777" w:rsidR="008F7A87" w:rsidRDefault="008F7A87" w:rsidP="008F7A87">
            <w:pPr>
              <w:pStyle w:val="TxtListado"/>
              <w:jc w:val="both"/>
              <w:rPr>
                <w:color w:val="000000" w:themeColor="text1"/>
                <w:szCs w:val="18"/>
                <w:lang w:eastAsia="es-MX"/>
              </w:rPr>
            </w:pPr>
            <w:r w:rsidRPr="00461E91">
              <w:rPr>
                <w:color w:val="000000" w:themeColor="text1"/>
                <w:szCs w:val="18"/>
                <w:lang w:eastAsia="es-MX"/>
              </w:rPr>
              <w:t>Persona física o moral que utiliza un servicio de telecomunic</w:t>
            </w:r>
            <w:r>
              <w:rPr>
                <w:color w:val="000000" w:themeColor="text1"/>
                <w:szCs w:val="18"/>
                <w:lang w:eastAsia="es-MX"/>
              </w:rPr>
              <w:t>aciones como destinatario final</w:t>
            </w:r>
          </w:p>
        </w:tc>
      </w:tr>
      <w:tr w:rsidR="008F7A87" w:rsidRPr="00C2747D" w14:paraId="30BD7E34" w14:textId="77777777" w:rsidTr="00755429">
        <w:trPr>
          <w:trHeight w:val="563"/>
          <w:jc w:val="center"/>
        </w:trPr>
        <w:tc>
          <w:tcPr>
            <w:tcW w:w="1486" w:type="pct"/>
            <w:shd w:val="clear" w:color="auto" w:fill="auto"/>
            <w:vAlign w:val="center"/>
          </w:tcPr>
          <w:p w14:paraId="598D9CF9" w14:textId="77777777" w:rsidR="008F7A87" w:rsidRDefault="008F7A87" w:rsidP="008F7A87">
            <w:pPr>
              <w:pStyle w:val="TxtListado"/>
              <w:rPr>
                <w:b/>
                <w:color w:val="000000" w:themeColor="text1"/>
                <w:szCs w:val="18"/>
                <w:lang w:eastAsia="es-MX"/>
              </w:rPr>
            </w:pPr>
            <w:r>
              <w:rPr>
                <w:b/>
                <w:color w:val="000000" w:themeColor="text1"/>
                <w:szCs w:val="18"/>
                <w:lang w:eastAsia="es-MX"/>
              </w:rPr>
              <w:t>UIT</w:t>
            </w:r>
          </w:p>
        </w:tc>
        <w:tc>
          <w:tcPr>
            <w:tcW w:w="3514" w:type="pct"/>
            <w:shd w:val="clear" w:color="auto" w:fill="auto"/>
            <w:vAlign w:val="center"/>
          </w:tcPr>
          <w:p w14:paraId="28CBE283" w14:textId="77777777" w:rsidR="008F7A87" w:rsidRDefault="008F7A87" w:rsidP="008F7A87">
            <w:pPr>
              <w:pStyle w:val="TxtListado"/>
              <w:rPr>
                <w:color w:val="000000" w:themeColor="text1"/>
                <w:szCs w:val="18"/>
                <w:lang w:eastAsia="es-MX"/>
              </w:rPr>
            </w:pPr>
            <w:r>
              <w:rPr>
                <w:color w:val="000000" w:themeColor="text1"/>
                <w:szCs w:val="18"/>
                <w:lang w:eastAsia="es-MX"/>
              </w:rPr>
              <w:t>Unión Internacional de Telecomunicaciones (ITU, por sus siglas en inglés)</w:t>
            </w:r>
          </w:p>
        </w:tc>
      </w:tr>
    </w:tbl>
    <w:p w14:paraId="44A139C1" w14:textId="77777777" w:rsidR="00A83183" w:rsidRDefault="00A83183" w:rsidP="00AD7BD7">
      <w:pPr>
        <w:pStyle w:val="PuntosC4"/>
        <w:ind w:left="0" w:firstLine="0"/>
        <w:outlineLvl w:val="1"/>
      </w:pPr>
      <w:bookmarkStart w:id="9" w:name="_Toc51700001"/>
    </w:p>
    <w:p w14:paraId="1F9F7949" w14:textId="77777777" w:rsidR="00A83183" w:rsidRDefault="00A83183">
      <w:pPr>
        <w:spacing w:after="160" w:line="259" w:lineRule="auto"/>
        <w:rPr>
          <w:rFonts w:ascii="ITC Avant Garde" w:eastAsia="Times New Roman" w:hAnsi="ITC Avant Garde" w:cs="Arial"/>
          <w:b/>
          <w:iCs/>
        </w:rPr>
      </w:pPr>
      <w:r>
        <w:br w:type="page"/>
      </w:r>
    </w:p>
    <w:p w14:paraId="1ACCE27A" w14:textId="78318A9C" w:rsidR="00755429" w:rsidRDefault="00755429" w:rsidP="00AD7BD7">
      <w:pPr>
        <w:pStyle w:val="PuntosC4"/>
        <w:ind w:left="0" w:firstLine="0"/>
        <w:outlineLvl w:val="1"/>
      </w:pPr>
      <w:bookmarkStart w:id="10" w:name="_Toc52188490"/>
      <w:r>
        <w:lastRenderedPageBreak/>
        <w:t>Introducción</w:t>
      </w:r>
      <w:bookmarkEnd w:id="9"/>
      <w:bookmarkEnd w:id="10"/>
      <w:r>
        <w:t xml:space="preserve"> </w:t>
      </w:r>
    </w:p>
    <w:p w14:paraId="53BDA527" w14:textId="48DA9C11" w:rsidR="008F10C2" w:rsidRDefault="008F10C2" w:rsidP="008F10C2">
      <w:pPr>
        <w:pStyle w:val="IFTnormal"/>
      </w:pPr>
      <w:r>
        <w:t>El presente documento tiene el</w:t>
      </w:r>
      <w:r w:rsidRPr="00957881">
        <w:t xml:space="preserve"> objetivo </w:t>
      </w:r>
      <w:r>
        <w:t>de describir las modificaciones a</w:t>
      </w:r>
      <w:r w:rsidR="00961FB0">
        <w:t>l</w:t>
      </w:r>
      <w:r>
        <w:t xml:space="preserve"> </w:t>
      </w:r>
      <w:r w:rsidR="0038556E">
        <w:t xml:space="preserve">Acuerdo Metodológico </w:t>
      </w:r>
      <w:r w:rsidR="005E67EB">
        <w:rPr>
          <w:rStyle w:val="Refdenotaalpie"/>
        </w:rPr>
        <w:footnoteReference w:id="4"/>
      </w:r>
      <w:r w:rsidRPr="00957881">
        <w:t xml:space="preserve">, </w:t>
      </w:r>
      <w:r>
        <w:t xml:space="preserve">así como </w:t>
      </w:r>
      <w:r w:rsidR="00961FB0">
        <w:t>la</w:t>
      </w:r>
      <w:r>
        <w:t xml:space="preserve"> estructura y </w:t>
      </w:r>
      <w:r w:rsidRPr="00957881">
        <w:t>flujo de cálculo</w:t>
      </w:r>
      <w:r w:rsidR="00961FB0">
        <w:t xml:space="preserve"> del Modelo de Costos Evitados</w:t>
      </w:r>
      <w:r w:rsidRPr="00957881">
        <w:t xml:space="preserve">, </w:t>
      </w:r>
      <w:r>
        <w:t xml:space="preserve">además de presentar </w:t>
      </w:r>
      <w:r w:rsidRPr="00957881">
        <w:t>los resultados preliminares</w:t>
      </w:r>
      <w:r w:rsidR="004274D3">
        <w:t xml:space="preserve"> </w:t>
      </w:r>
      <w:r>
        <w:t xml:space="preserve">obtenidos con </w:t>
      </w:r>
      <w:r w:rsidR="00961FB0">
        <w:t xml:space="preserve">la actualización de </w:t>
      </w:r>
      <w:r>
        <w:t>dicha herramienta</w:t>
      </w:r>
      <w:r w:rsidRPr="00957881">
        <w:t>.</w:t>
      </w:r>
    </w:p>
    <w:p w14:paraId="12AE2F00" w14:textId="36D06729" w:rsidR="00FF44D0" w:rsidRDefault="008F10C2" w:rsidP="00755429">
      <w:pPr>
        <w:pStyle w:val="IFTnormal"/>
      </w:pPr>
      <w:r>
        <w:t>En vista de ello, el Instituto considera conveniente someter el Modelo de Co</w:t>
      </w:r>
      <w:r w:rsidR="006C1536">
        <w:t>s</w:t>
      </w:r>
      <w:r>
        <w:t>tos Ev</w:t>
      </w:r>
      <w:r w:rsidR="004413E8">
        <w:t>itados a C</w:t>
      </w:r>
      <w:r>
        <w:t>onsult</w:t>
      </w:r>
      <w:r w:rsidR="004413E8">
        <w:t>a P</w:t>
      </w:r>
      <w:r>
        <w:t xml:space="preserve">ública a efecto de recabar comentarios, opiniones y aportaciones de información que ayuden a ajustar su implementación y calibración. </w:t>
      </w:r>
    </w:p>
    <w:p w14:paraId="41568A4A" w14:textId="771046A8" w:rsidR="00755429" w:rsidRDefault="00D76AE8" w:rsidP="00755429">
      <w:pPr>
        <w:pStyle w:val="IFTnormal"/>
      </w:pPr>
      <w:r>
        <w:t xml:space="preserve">El cambio más relevante </w:t>
      </w:r>
      <w:r w:rsidR="00FF44D0">
        <w:t xml:space="preserve">presentado en este documento respecto al Modelo de Costos Evitados emitido por el Instituto mediante el Acuerdo </w:t>
      </w:r>
      <w:r w:rsidR="001F5E63">
        <w:t xml:space="preserve">Metodológico </w:t>
      </w:r>
      <w:r>
        <w:t xml:space="preserve">es </w:t>
      </w:r>
      <w:r w:rsidR="002046B8">
        <w:t>la introducción de un Módulo de Imputación de Precios</w:t>
      </w:r>
      <w:r w:rsidR="00EC6629">
        <w:t xml:space="preserve"> Implícitos</w:t>
      </w:r>
      <w:r w:rsidR="002046B8">
        <w:t xml:space="preserve">, el cual descansa </w:t>
      </w:r>
      <w:r w:rsidR="00A83183">
        <w:t>en</w:t>
      </w:r>
      <w:r w:rsidR="002046B8">
        <w:t xml:space="preserve"> un ejercicio econométric</w:t>
      </w:r>
      <w:r w:rsidR="00FF44D0">
        <w:t>o</w:t>
      </w:r>
      <w:r w:rsidR="002046B8">
        <w:t xml:space="preserve"> llevad</w:t>
      </w:r>
      <w:r w:rsidR="00FF44D0">
        <w:t>o</w:t>
      </w:r>
      <w:r w:rsidR="002046B8">
        <w:t xml:space="preserve"> a cabo por el Instituto</w:t>
      </w:r>
      <w:r w:rsidR="00A05BC1">
        <w:t>, y de varios cálculos que permiten determinar las tarifas para los servicios de acceso indirecto al bucle local en su modalidad simétrica</w:t>
      </w:r>
      <w:r w:rsidR="002046B8">
        <w:t xml:space="preserve">. </w:t>
      </w:r>
    </w:p>
    <w:p w14:paraId="4C8FD08F" w14:textId="0FDFBD21" w:rsidR="008F10C2" w:rsidRDefault="008F10C2" w:rsidP="008F10C2">
      <w:pPr>
        <w:pStyle w:val="IFTnormal"/>
      </w:pPr>
      <w:r>
        <w:t>Para ell</w:t>
      </w:r>
      <w:r w:rsidDel="00A83183">
        <w:t xml:space="preserve">o, </w:t>
      </w:r>
      <w:r>
        <w:t>la</w:t>
      </w:r>
      <w:r w:rsidDel="00A83183">
        <w:t xml:space="preserve"> estructura </w:t>
      </w:r>
      <w:r>
        <w:t xml:space="preserve">del documento </w:t>
      </w:r>
      <w:r w:rsidDel="00A83183">
        <w:t xml:space="preserve">se ha organizado mediante diversos </w:t>
      </w:r>
      <w:r>
        <w:t>capítulos</w:t>
      </w:r>
      <w:r w:rsidDel="00A83183">
        <w:t xml:space="preserve"> cuyo contenido se resume como sigue</w:t>
      </w:r>
      <w:r>
        <w:t>:</w:t>
      </w:r>
    </w:p>
    <w:p w14:paraId="4440CD00" w14:textId="7BC17FB5" w:rsidR="008F10C2" w:rsidRPr="00272581" w:rsidRDefault="008F10C2" w:rsidP="008F10C2">
      <w:pPr>
        <w:pStyle w:val="IFTnormal"/>
        <w:numPr>
          <w:ilvl w:val="0"/>
          <w:numId w:val="56"/>
        </w:numPr>
      </w:pPr>
      <w:r w:rsidRPr="00272581">
        <w:rPr>
          <w:b/>
        </w:rPr>
        <w:t>Metodología</w:t>
      </w:r>
      <w:r w:rsidR="00CB00C6">
        <w:rPr>
          <w:b/>
        </w:rPr>
        <w:t>.-</w:t>
      </w:r>
      <w:r w:rsidRPr="00272581">
        <w:t xml:space="preserve"> </w:t>
      </w:r>
      <w:r>
        <w:t>D</w:t>
      </w:r>
      <w:r w:rsidRPr="00272581">
        <w:t>escribe de manera general</w:t>
      </w:r>
      <w:r>
        <w:t xml:space="preserve"> los principios metodológicos y de implementación adoptados </w:t>
      </w:r>
      <w:r w:rsidR="000F463E">
        <w:t xml:space="preserve">en el Acuerdo Metodológico </w:t>
      </w:r>
      <w:r>
        <w:lastRenderedPageBreak/>
        <w:t>para el desarrollo del Modelo de Costos Evitados</w:t>
      </w:r>
      <w:r w:rsidR="000F463E">
        <w:t xml:space="preserve">, </w:t>
      </w:r>
      <w:r w:rsidR="00AD7BD7">
        <w:t>incluyendo las actualizaciones aplicables</w:t>
      </w:r>
      <w:r w:rsidRPr="00272581">
        <w:t>.</w:t>
      </w:r>
    </w:p>
    <w:p w14:paraId="050544AE" w14:textId="32C111C1" w:rsidR="008F10C2" w:rsidRPr="007B6941" w:rsidRDefault="008F10C2" w:rsidP="008F10C2">
      <w:pPr>
        <w:pStyle w:val="IFTnormal"/>
        <w:numPr>
          <w:ilvl w:val="0"/>
          <w:numId w:val="56"/>
        </w:numPr>
      </w:pPr>
      <w:r w:rsidRPr="007B6941">
        <w:rPr>
          <w:b/>
        </w:rPr>
        <w:t>Presentación del modelo Excel</w:t>
      </w:r>
      <w:r w:rsidR="00CB00C6">
        <w:rPr>
          <w:b/>
        </w:rPr>
        <w:t>.-</w:t>
      </w:r>
      <w:r w:rsidRPr="007B6941">
        <w:t xml:space="preserve"> </w:t>
      </w:r>
      <w:r>
        <w:t>Contiene una descripción de las hojas de cálculo que conforman a</w:t>
      </w:r>
      <w:r w:rsidR="00AD7BD7">
        <w:t>l Modelo de Costos Evitados</w:t>
      </w:r>
      <w:r>
        <w:t>.</w:t>
      </w:r>
    </w:p>
    <w:p w14:paraId="36288C39" w14:textId="3CA004C1" w:rsidR="008F10C2" w:rsidRDefault="008F10C2" w:rsidP="008F10C2">
      <w:pPr>
        <w:pStyle w:val="IFTnormal"/>
        <w:numPr>
          <w:ilvl w:val="0"/>
          <w:numId w:val="56"/>
        </w:numPr>
      </w:pPr>
      <w:r w:rsidRPr="0002293E">
        <w:rPr>
          <w:b/>
        </w:rPr>
        <w:t>Presentación de resultados</w:t>
      </w:r>
      <w:r w:rsidR="00CB00C6">
        <w:rPr>
          <w:b/>
        </w:rPr>
        <w:t>.-</w:t>
      </w:r>
      <w:r w:rsidRPr="0002293E">
        <w:rPr>
          <w:b/>
        </w:rPr>
        <w:t xml:space="preserve"> </w:t>
      </w:r>
      <w:r>
        <w:t xml:space="preserve">Se presentan los resultados obtenidos por el </w:t>
      </w:r>
      <w:r w:rsidR="00CB00C6">
        <w:t>M</w:t>
      </w:r>
      <w:r>
        <w:t>odelo, en términos de</w:t>
      </w:r>
      <w:r w:rsidR="00477E9C">
        <w:t xml:space="preserve"> los niveles</w:t>
      </w:r>
      <w:r>
        <w:t xml:space="preserve"> de costos evitados estimados para los servicios.</w:t>
      </w:r>
      <w:bookmarkStart w:id="11" w:name="_Toc525142204"/>
      <w:bookmarkEnd w:id="11"/>
    </w:p>
    <w:p w14:paraId="242558DF" w14:textId="61E3451D" w:rsidR="00AD7BD7" w:rsidRDefault="00AD7BD7" w:rsidP="00AD7BD7">
      <w:pPr>
        <w:pStyle w:val="IFTnormal"/>
      </w:pPr>
      <w:r>
        <w:t>En complemento, se destaca que con el objetivo de preservar la confidencialidad de la información aportada durante la fase de construcción del modelo se han modificado los datos de entrada, aplicando un factor aleatorio</w:t>
      </w:r>
      <w:r>
        <w:rPr>
          <w:rStyle w:val="Refdenotaalpie"/>
        </w:rPr>
        <w:footnoteReference w:id="5"/>
      </w:r>
      <w:r>
        <w:t>. Para facilitar la identificación de aquellos datos sometidos a dicho proceso, las celdas del archivo Excel al que corresponde el modelo de costos se han marcado con un fondo en color rosado, tal como se muestra a continuación:</w:t>
      </w:r>
    </w:p>
    <w:p w14:paraId="47CF160A" w14:textId="20EE6571" w:rsidR="00AD7BD7" w:rsidRDefault="00AD7BD7" w:rsidP="00AD7BD7">
      <w:pPr>
        <w:pStyle w:val="IFTnormal"/>
        <w:jc w:val="center"/>
      </w:pPr>
      <w:r>
        <w:rPr>
          <w:noProof/>
          <w:lang w:val="es-MX" w:eastAsia="es-MX"/>
        </w:rPr>
        <w:drawing>
          <wp:inline distT="0" distB="0" distL="0" distR="0" wp14:anchorId="76EC228E" wp14:editId="5BF6AA41">
            <wp:extent cx="4874260" cy="330687"/>
            <wp:effectExtent l="0" t="0" r="0" b="0"/>
            <wp:docPr id="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4725" cy="336146"/>
                    </a:xfrm>
                    <a:prstGeom prst="rect">
                      <a:avLst/>
                    </a:prstGeom>
                    <a:noFill/>
                    <a:ln>
                      <a:noFill/>
                    </a:ln>
                    <a:extLst/>
                  </pic:spPr>
                </pic:pic>
              </a:graphicData>
            </a:graphic>
          </wp:inline>
        </w:drawing>
      </w:r>
    </w:p>
    <w:p w14:paraId="6E8D4BDB" w14:textId="77777777" w:rsidR="00AD7BD7" w:rsidRPr="00AD7BD7" w:rsidRDefault="00AD7BD7" w:rsidP="00AD7BD7">
      <w:pPr>
        <w:pStyle w:val="IFTnormal"/>
        <w:ind w:left="708"/>
        <w:jc w:val="center"/>
        <w:rPr>
          <w:sz w:val="18"/>
        </w:rPr>
      </w:pPr>
      <w:r w:rsidRPr="00AD7BD7">
        <w:rPr>
          <w:b/>
          <w:sz w:val="18"/>
        </w:rPr>
        <w:t>Figura 1</w:t>
      </w:r>
      <w:r w:rsidRPr="00AD7BD7">
        <w:rPr>
          <w:sz w:val="18"/>
        </w:rPr>
        <w:t>: Esquema con el que se indica en el modelo de costos aquellas celdas cuyos valores se han modificado para preservar la confidencialidad de los valores aportados</w:t>
      </w:r>
    </w:p>
    <w:p w14:paraId="224F056C" w14:textId="45094312" w:rsidR="008F10C2" w:rsidRDefault="00AD7BD7" w:rsidP="00AD7BD7">
      <w:pPr>
        <w:pStyle w:val="IFTnormal"/>
      </w:pPr>
      <w:r>
        <w:lastRenderedPageBreak/>
        <w:t xml:space="preserve">Finalmente, se destaca que para la implementación del modelo en cuestión se ha considerado principalmente la información aportada por el AEP, y que en aquellos casos en que los datos aportados no fueron debidamente justificados se </w:t>
      </w:r>
      <w:r w:rsidR="005235A1">
        <w:t xml:space="preserve">realizaron los ajustes necesarios </w:t>
      </w:r>
      <w:r>
        <w:t>a partir de estimaciones propias.</w:t>
      </w:r>
    </w:p>
    <w:p w14:paraId="185733D1" w14:textId="39C6CDAB" w:rsidR="009868AF" w:rsidRDefault="009868AF" w:rsidP="009868AF">
      <w:pPr>
        <w:pStyle w:val="PuntosC4"/>
        <w:numPr>
          <w:ilvl w:val="0"/>
          <w:numId w:val="40"/>
        </w:numPr>
        <w:outlineLvl w:val="1"/>
      </w:pPr>
      <w:bookmarkStart w:id="12" w:name="_Toc51700002"/>
      <w:bookmarkStart w:id="13" w:name="_Toc52188491"/>
      <w:r>
        <w:t>Metodología</w:t>
      </w:r>
      <w:bookmarkEnd w:id="12"/>
      <w:bookmarkEnd w:id="13"/>
    </w:p>
    <w:p w14:paraId="1A5E2077" w14:textId="51990B12" w:rsidR="00CB00C6" w:rsidRDefault="00DE64CD" w:rsidP="007E312F">
      <w:pPr>
        <w:pStyle w:val="IFTnormal"/>
      </w:pPr>
      <w:r>
        <w:t xml:space="preserve">El </w:t>
      </w:r>
      <w:r w:rsidR="003671AD">
        <w:t>Modelo de Costos Evitados</w:t>
      </w:r>
      <w:r>
        <w:t xml:space="preserve"> que se describe a continuación</w:t>
      </w:r>
      <w:r w:rsidR="003671AD">
        <w:t xml:space="preserve"> </w:t>
      </w:r>
      <w:r w:rsidR="00E504DE">
        <w:t>tiene como base</w:t>
      </w:r>
      <w:r w:rsidR="003671AD">
        <w:t xml:space="preserve"> el Acuerdo Metodológico</w:t>
      </w:r>
      <w:r w:rsidR="008D4F35">
        <w:t xml:space="preserve">, desarrollado </w:t>
      </w:r>
      <w:r w:rsidR="007E312F">
        <w:t>a partir de una metodología de costos evitados (</w:t>
      </w:r>
      <w:r w:rsidR="007E312F" w:rsidRPr="007E312F">
        <w:rPr>
          <w:i/>
        </w:rPr>
        <w:t>retail minus</w:t>
      </w:r>
      <w:r w:rsidR="007E312F">
        <w:t>)</w:t>
      </w:r>
      <w:r w:rsidR="008E2DF2">
        <w:t>,</w:t>
      </w:r>
      <w:r w:rsidR="00E504DE">
        <w:t xml:space="preserve"> conforme a lo establecido en </w:t>
      </w:r>
      <w:r w:rsidRPr="00A32980">
        <w:t xml:space="preserve">la Medida TRIGÉSIMA NOVENA de las Medidas </w:t>
      </w:r>
      <w:r w:rsidR="007E312F">
        <w:t>de Desagregación</w:t>
      </w:r>
      <w:r w:rsidR="008D4F35">
        <w:t>, para determinar</w:t>
      </w:r>
      <w:r w:rsidR="008D4F35" w:rsidRPr="008D4F35">
        <w:t xml:space="preserve"> </w:t>
      </w:r>
      <w:r w:rsidR="008D4F35">
        <w:t>las tarifas de servicios de reventa y de acceso indirecto al bucle local</w:t>
      </w:r>
      <w:r w:rsidR="008D4F35" w:rsidRPr="0074582E">
        <w:t xml:space="preserve"> </w:t>
      </w:r>
      <w:r w:rsidR="008D4F35">
        <w:t>aplicables para el año 2021</w:t>
      </w:r>
      <w:r w:rsidRPr="00A32980">
        <w:t>.</w:t>
      </w:r>
    </w:p>
    <w:p w14:paraId="0A2B472B" w14:textId="06993235" w:rsidR="00DE64CD" w:rsidRDefault="00DE64CD" w:rsidP="007E312F">
      <w:pPr>
        <w:pStyle w:val="IFTnormal"/>
      </w:pPr>
    </w:p>
    <w:p w14:paraId="2424A36C" w14:textId="7B26F932" w:rsidR="009868AF" w:rsidRDefault="009868AF" w:rsidP="00DE64CD">
      <w:pPr>
        <w:pStyle w:val="PuntosC4"/>
        <w:numPr>
          <w:ilvl w:val="1"/>
          <w:numId w:val="40"/>
        </w:numPr>
        <w:ind w:left="567" w:hanging="567"/>
        <w:outlineLvl w:val="1"/>
      </w:pPr>
      <w:bookmarkStart w:id="14" w:name="_Toc51233475"/>
      <w:bookmarkStart w:id="15" w:name="_Toc51700003"/>
      <w:bookmarkStart w:id="16" w:name="_Toc52188492"/>
      <w:bookmarkEnd w:id="14"/>
      <w:r>
        <w:t>Contexto regulatorio</w:t>
      </w:r>
      <w:bookmarkEnd w:id="15"/>
      <w:bookmarkEnd w:id="16"/>
    </w:p>
    <w:p w14:paraId="47D1BC76" w14:textId="00DA6097" w:rsidR="003671AD" w:rsidRDefault="003671AD" w:rsidP="003671AD">
      <w:pPr>
        <w:pStyle w:val="IFTnormal"/>
      </w:pPr>
      <w:r>
        <w:t xml:space="preserve">Como parte de la regulación asimétrica impuesta por el Instituto al AEP a través de las Medidas de Desagregación éste se encuentra obligado a presentar a más tardar el 30 de junio de cada año una oferta de referencia de servicios de desagregación, </w:t>
      </w:r>
      <w:r w:rsidR="00537833">
        <w:t>la cual</w:t>
      </w:r>
      <w:r>
        <w:t xml:space="preserve"> debe ser aprobada </w:t>
      </w:r>
      <w:r w:rsidR="00537833">
        <w:t xml:space="preserve">o modificada </w:t>
      </w:r>
      <w:r>
        <w:t xml:space="preserve">por el </w:t>
      </w:r>
      <w:r w:rsidR="00537833">
        <w:t>P</w:t>
      </w:r>
      <w:r>
        <w:t xml:space="preserve">leno del Instituto. </w:t>
      </w:r>
      <w:r w:rsidR="00537833">
        <w:t>Mediante</w:t>
      </w:r>
      <w:r>
        <w:t xml:space="preserve"> dicha oferta de referencia se deben plasmar los términos y condiciones bajo los cuales </w:t>
      </w:r>
      <w:r w:rsidR="00537833">
        <w:t xml:space="preserve">el </w:t>
      </w:r>
      <w:r>
        <w:t>AEP ofrece el acceso a su red a los CS a través de un</w:t>
      </w:r>
      <w:r w:rsidR="002046B8">
        <w:t>a serie de servicios mayoristas</w:t>
      </w:r>
      <w:r>
        <w:t>.</w:t>
      </w:r>
    </w:p>
    <w:p w14:paraId="5437E604" w14:textId="178F6D0C" w:rsidR="003671AD" w:rsidRPr="00A11CFC" w:rsidRDefault="003671AD" w:rsidP="003671AD">
      <w:pPr>
        <w:pStyle w:val="IFTnormal"/>
      </w:pPr>
      <w:r>
        <w:lastRenderedPageBreak/>
        <w:t>De manera particular, la Medida TRIGÉSIMA NOVENA de las Medidas de Desagregación</w:t>
      </w:r>
      <w:r w:rsidR="00D5375E">
        <w:t xml:space="preserve"> </w:t>
      </w:r>
      <w:r>
        <w:t>señala lo siguiente:</w:t>
      </w:r>
    </w:p>
    <w:p w14:paraId="7F7FF78C" w14:textId="77777777" w:rsidR="003671AD" w:rsidRDefault="003671AD" w:rsidP="003671AD">
      <w:pPr>
        <w:pStyle w:val="Citaift"/>
        <w:rPr>
          <w:lang w:val="es-ES_tradnl"/>
        </w:rPr>
      </w:pPr>
      <w:r>
        <w:rPr>
          <w:lang w:val="es-ES_tradnl"/>
        </w:rPr>
        <w:t>“</w:t>
      </w:r>
      <w:r w:rsidRPr="00223BBC">
        <w:rPr>
          <w:b/>
          <w:lang w:val="es-ES_tradnl"/>
        </w:rPr>
        <w:t>TRIGÉSIMA NOVENA.-</w:t>
      </w:r>
      <w:r w:rsidRPr="00223BBC">
        <w:rPr>
          <w:lang w:val="es-ES_tradnl"/>
        </w:rPr>
        <w:t xml:space="preserve"> Las tarifas aplicables a los Servicios de Desagregación Total y Compartida del Bucle, Sub-bucle Local, Servicio de Coubicación para Desagregación, y a los Servicios Auxiliares, se determinarán a partir de un modelo de costos basado en una metodología de costos incrementales promedio de largo plazo, que al efecto emita el Instituto.</w:t>
      </w:r>
    </w:p>
    <w:p w14:paraId="6B48BCBA" w14:textId="77777777" w:rsidR="003671AD" w:rsidRDefault="003671AD" w:rsidP="003671AD">
      <w:pPr>
        <w:pStyle w:val="Citaift"/>
        <w:rPr>
          <w:lang w:val="es-ES_tradnl"/>
        </w:rPr>
      </w:pPr>
      <w:r w:rsidRPr="00223BBC">
        <w:rPr>
          <w:lang w:val="es-ES_tradnl"/>
        </w:rPr>
        <w:t xml:space="preserve">Tratándose de </w:t>
      </w:r>
      <w:r w:rsidRPr="00223BBC">
        <w:rPr>
          <w:b/>
          <w:u w:val="single"/>
          <w:lang w:val="es-ES_tradnl"/>
        </w:rPr>
        <w:t>las tarifas por el Servicio de Acceso Indirecto al Bucle Local y el Servicio de Reventa, estas se determinarán mediante una metodología de costos evitados (retail minus), a partir de los ingresos o las tarifas minoristas y, eliminando aquellos costos que no sean necesarios para la comercialización de los servicios, de tal forma que puedan ser replicadas por un operador eficiente.</w:t>
      </w:r>
    </w:p>
    <w:p w14:paraId="607D29F9" w14:textId="77777777" w:rsidR="003671AD" w:rsidRPr="00223BBC" w:rsidRDefault="003671AD" w:rsidP="003671AD">
      <w:pPr>
        <w:pStyle w:val="Citaift"/>
        <w:rPr>
          <w:lang w:val="es-ES_tradnl"/>
        </w:rPr>
      </w:pPr>
      <w:r>
        <w:rPr>
          <w:lang w:val="es-ES_tradnl"/>
        </w:rPr>
        <w:t>I</w:t>
      </w:r>
      <w:r w:rsidRPr="00223BBC">
        <w:rPr>
          <w:lang w:val="es-ES_tradnl"/>
        </w:rPr>
        <w:t>ndependientemente de las tarifas determinadas por el Instituto, el Agente Económico Preponderante y el Concesionario Solicitante o Autorizado Solicitante podrán negociar entre sí nuevas tarifas, las cuales pasarán a formar parte del Convenio respectivo. Dicha información será considerada de carácter público.</w:t>
      </w:r>
    </w:p>
    <w:p w14:paraId="3CC01FC8" w14:textId="77777777" w:rsidR="003671AD" w:rsidRDefault="003671AD" w:rsidP="003671AD">
      <w:pPr>
        <w:pStyle w:val="Citaift"/>
        <w:rPr>
          <w:lang w:val="es-ES_tradnl"/>
        </w:rPr>
      </w:pPr>
      <w:r w:rsidRPr="00223BBC">
        <w:rPr>
          <w:lang w:val="es-ES_tradnl"/>
        </w:rPr>
        <w:t>Las propuestas tarifarias quedarán sujetas al tratamiento previsto en la medida Quinta.</w:t>
      </w:r>
      <w:r>
        <w:rPr>
          <w:lang w:val="es-ES_tradnl"/>
        </w:rPr>
        <w:t>”</w:t>
      </w:r>
    </w:p>
    <w:p w14:paraId="31900BD5" w14:textId="77777777" w:rsidR="003671AD" w:rsidRDefault="003671AD" w:rsidP="003671AD">
      <w:pPr>
        <w:pStyle w:val="Citaift"/>
        <w:jc w:val="right"/>
        <w:rPr>
          <w:lang w:val="es-ES_tradnl"/>
        </w:rPr>
      </w:pPr>
      <w:r>
        <w:rPr>
          <w:lang w:val="es-ES_tradnl"/>
        </w:rPr>
        <w:t>(Énfasis añadido)</w:t>
      </w:r>
    </w:p>
    <w:p w14:paraId="7E22AB7D" w14:textId="623AE817" w:rsidR="003671AD" w:rsidRDefault="006B092E" w:rsidP="003671AD">
      <w:pPr>
        <w:pStyle w:val="IFTnormal"/>
      </w:pPr>
      <w:r>
        <w:t>C</w:t>
      </w:r>
      <w:r w:rsidR="003671AD">
        <w:t>onviene destacar que, de conformidad con la Medida TERCERA de las Medidas de Desagregación, el “Servicio de Reventa” es</w:t>
      </w:r>
      <w:r w:rsidR="00537833">
        <w:t>tá</w:t>
      </w:r>
      <w:r w:rsidR="003671AD">
        <w:t xml:space="preserve"> definido en los siguientes términos: </w:t>
      </w:r>
    </w:p>
    <w:p w14:paraId="1319D4B2" w14:textId="77777777" w:rsidR="003671AD" w:rsidRDefault="003671AD" w:rsidP="003671AD">
      <w:pPr>
        <w:pStyle w:val="Citaift"/>
      </w:pPr>
      <w:r>
        <w:lastRenderedPageBreak/>
        <w:t>“</w:t>
      </w:r>
      <w:r w:rsidRPr="008A0104">
        <w:rPr>
          <w:b/>
        </w:rPr>
        <w:t xml:space="preserve">TERCERA.- </w:t>
      </w:r>
      <w:r w:rsidRPr="008A0104">
        <w:t>Además de las definiciones previstas en el artículo 3 de la Ley Federal de Telecomunicaciones y Radiodifusión, para efectos de las presentes medidas, se entenderá por:</w:t>
      </w:r>
    </w:p>
    <w:p w14:paraId="610174EC" w14:textId="77777777" w:rsidR="003671AD" w:rsidRDefault="003671AD" w:rsidP="003671AD">
      <w:pPr>
        <w:pStyle w:val="Citaift"/>
      </w:pPr>
      <w:r>
        <w:t>[…]</w:t>
      </w:r>
    </w:p>
    <w:p w14:paraId="0FEF6DC9" w14:textId="77777777" w:rsidR="003671AD" w:rsidRPr="00CC7837" w:rsidRDefault="003671AD" w:rsidP="003671AD">
      <w:pPr>
        <w:pStyle w:val="Citaift"/>
        <w:numPr>
          <w:ilvl w:val="0"/>
          <w:numId w:val="58"/>
        </w:numPr>
        <w:rPr>
          <w:lang w:val="es-ES"/>
        </w:rPr>
      </w:pPr>
      <w:r w:rsidRPr="00CC7837">
        <w:rPr>
          <w:rFonts w:cs="ITC Avant Garde"/>
          <w:b/>
          <w:lang w:eastAsia="es-MX"/>
        </w:rPr>
        <w:t xml:space="preserve">Servicio de Reventa: </w:t>
      </w:r>
      <w:r w:rsidRPr="008A0104">
        <w:rPr>
          <w:rFonts w:cs="ITC Avant Garde"/>
          <w:lang w:eastAsia="es-MX"/>
        </w:rPr>
        <w:t>Mediante este servicio se permite que el Concesionario Solicitante o Autorizado Solicitante realice la reventa o comercialización de la línea, acceso a Internet o cualquier otro servicio de la Red pública de telecomunicaciones del Agente Económico Preponderante;</w:t>
      </w:r>
    </w:p>
    <w:p w14:paraId="6F5368A5" w14:textId="77777777" w:rsidR="003671AD" w:rsidRDefault="003671AD" w:rsidP="003671AD">
      <w:pPr>
        <w:pStyle w:val="Citaift"/>
      </w:pPr>
      <w:r>
        <w:rPr>
          <w:lang w:val="es-ES"/>
        </w:rPr>
        <w:t>[…]</w:t>
      </w:r>
      <w:r>
        <w:t>”</w:t>
      </w:r>
    </w:p>
    <w:p w14:paraId="59F8FB90" w14:textId="1839BCCC" w:rsidR="00A05BC1" w:rsidRDefault="003671AD" w:rsidP="00A05BC1">
      <w:pPr>
        <w:pStyle w:val="IFTnormal"/>
      </w:pPr>
      <w:r>
        <w:t>De lo anterior, se desprende que los CS pueden solicitar dicho servicio con el propósito de revender o comercializar servicios de línea telefónica y/o de internet que el AEP ofrezca o comercialice en el segmento minorista. En función de ello, para efectos de este documento, se hará uso de los términos siguientes para distinguir diferentes modalidades del “Servicio de Reventa</w:t>
      </w:r>
      <w:r w:rsidR="00A05BC1">
        <w:t xml:space="preserve"> :</w:t>
      </w:r>
    </w:p>
    <w:tbl>
      <w:tblPr>
        <w:tblStyle w:val="Tabladecuadrcula1clara"/>
        <w:tblW w:w="0" w:type="auto"/>
        <w:jc w:val="center"/>
        <w:tblLook w:val="0420" w:firstRow="1" w:lastRow="0" w:firstColumn="0" w:lastColumn="0" w:noHBand="0" w:noVBand="1"/>
        <w:tblCaption w:val="Figura 3: Estrutura del modelo de costos de coubicación móvil (Fuente: IFT, 2015)"/>
        <w:tblDescription w:val="Se divida en hoja de cálculo y descripción"/>
      </w:tblPr>
      <w:tblGrid>
        <w:gridCol w:w="2452"/>
        <w:gridCol w:w="1184"/>
        <w:gridCol w:w="5192"/>
      </w:tblGrid>
      <w:tr w:rsidR="00A05BC1" w:rsidRPr="00C1472F" w14:paraId="65CFA4FE" w14:textId="77777777" w:rsidTr="00C945B5">
        <w:trPr>
          <w:cnfStyle w:val="100000000000" w:firstRow="1" w:lastRow="0" w:firstColumn="0" w:lastColumn="0" w:oddVBand="0" w:evenVBand="0" w:oddHBand="0" w:evenHBand="0" w:firstRowFirstColumn="0" w:firstRowLastColumn="0" w:lastRowFirstColumn="0" w:lastRowLastColumn="0"/>
          <w:trHeight w:val="289"/>
          <w:jc w:val="center"/>
        </w:trPr>
        <w:tc>
          <w:tcPr>
            <w:tcW w:w="0" w:type="auto"/>
            <w:shd w:val="clear" w:color="auto" w:fill="E7E6E6" w:themeFill="background2"/>
          </w:tcPr>
          <w:p w14:paraId="3FD7A8D7" w14:textId="77777777" w:rsidR="00A05BC1" w:rsidRPr="00E537BD" w:rsidRDefault="00A05BC1" w:rsidP="00C945B5">
            <w:pPr>
              <w:pStyle w:val="Tableheading"/>
              <w:spacing w:before="0" w:after="0"/>
              <w:jc w:val="center"/>
              <w:rPr>
                <w:rFonts w:ascii="ITC Avant Garde" w:hAnsi="ITC Avant Garde"/>
                <w:b/>
                <w:color w:val="000000" w:themeColor="text1"/>
                <w:szCs w:val="18"/>
                <w:lang w:val="es-ES_tradnl"/>
              </w:rPr>
            </w:pPr>
            <w:r>
              <w:rPr>
                <w:rFonts w:ascii="ITC Avant Garde" w:hAnsi="ITC Avant Garde" w:cs="Arial"/>
                <w:b/>
                <w:color w:val="000000"/>
                <w:lang w:val="es-ES" w:eastAsia="es-ES"/>
              </w:rPr>
              <w:t>Denominación</w:t>
            </w:r>
          </w:p>
        </w:tc>
        <w:tc>
          <w:tcPr>
            <w:tcW w:w="0" w:type="auto"/>
            <w:shd w:val="clear" w:color="auto" w:fill="E7E6E6" w:themeFill="background2"/>
          </w:tcPr>
          <w:p w14:paraId="4F751EAA" w14:textId="77777777" w:rsidR="00A05BC1" w:rsidRPr="00E537BD" w:rsidRDefault="00A05BC1" w:rsidP="00C945B5">
            <w:pPr>
              <w:pStyle w:val="Tableheading"/>
              <w:spacing w:before="0" w:after="0"/>
              <w:jc w:val="center"/>
              <w:rPr>
                <w:rFonts w:ascii="ITC Avant Garde" w:hAnsi="ITC Avant Garde"/>
                <w:b/>
                <w:color w:val="000000" w:themeColor="text1"/>
                <w:szCs w:val="18"/>
                <w:lang w:val="es-ES_tradnl"/>
              </w:rPr>
            </w:pPr>
            <w:r>
              <w:rPr>
                <w:rFonts w:ascii="ITC Avant Garde" w:hAnsi="ITC Avant Garde"/>
                <w:b/>
                <w:color w:val="000000" w:themeColor="text1"/>
                <w:szCs w:val="18"/>
                <w:lang w:val="es-ES_tradnl"/>
              </w:rPr>
              <w:t>Acrónimo</w:t>
            </w:r>
          </w:p>
        </w:tc>
        <w:tc>
          <w:tcPr>
            <w:tcW w:w="0" w:type="auto"/>
            <w:shd w:val="clear" w:color="auto" w:fill="E7E6E6" w:themeFill="background2"/>
          </w:tcPr>
          <w:p w14:paraId="5B264270" w14:textId="77777777" w:rsidR="00A05BC1" w:rsidRPr="00E537BD" w:rsidRDefault="00A05BC1" w:rsidP="00C945B5">
            <w:pPr>
              <w:pStyle w:val="Tableheading"/>
              <w:spacing w:before="0" w:after="0"/>
              <w:jc w:val="both"/>
              <w:rPr>
                <w:rFonts w:ascii="ITC Avant Garde" w:hAnsi="ITC Avant Garde"/>
                <w:b/>
                <w:color w:val="000000" w:themeColor="text1"/>
                <w:szCs w:val="18"/>
                <w:lang w:val="es-ES_tradnl"/>
              </w:rPr>
            </w:pPr>
            <w:r>
              <w:rPr>
                <w:rFonts w:ascii="ITC Avant Garde" w:hAnsi="ITC Avant Garde"/>
                <w:b/>
                <w:color w:val="000000" w:themeColor="text1"/>
                <w:szCs w:val="18"/>
                <w:lang w:val="es-ES_tradnl"/>
              </w:rPr>
              <w:t>Tipo de servicio del AEP que se permite al CS revender o comercializar mediante esta modalidad del “servicio de reventa”</w:t>
            </w:r>
          </w:p>
        </w:tc>
      </w:tr>
      <w:tr w:rsidR="00A05BC1" w:rsidRPr="00C1472F" w14:paraId="302C7A9C" w14:textId="77777777" w:rsidTr="00C945B5">
        <w:trPr>
          <w:trHeight w:val="287"/>
          <w:jc w:val="center"/>
        </w:trPr>
        <w:tc>
          <w:tcPr>
            <w:tcW w:w="0" w:type="auto"/>
            <w:vAlign w:val="center"/>
          </w:tcPr>
          <w:p w14:paraId="69F98A19" w14:textId="77777777" w:rsidR="00A05BC1" w:rsidRPr="008D29C6" w:rsidRDefault="00A05BC1" w:rsidP="00C945B5">
            <w:pPr>
              <w:pStyle w:val="Tablecells"/>
              <w:spacing w:after="0"/>
              <w:ind w:right="39"/>
              <w:jc w:val="both"/>
              <w:rPr>
                <w:rFonts w:ascii="ITC Avant Garde" w:hAnsi="ITC Avant Garde"/>
                <w:szCs w:val="18"/>
                <w:lang w:val="es-ES_tradnl"/>
              </w:rPr>
            </w:pPr>
            <w:r w:rsidRPr="00182A15">
              <w:rPr>
                <w:rFonts w:ascii="ITC Avant Garde" w:hAnsi="ITC Avant Garde"/>
                <w:szCs w:val="18"/>
                <w:lang w:val="es-ES_tradnl"/>
              </w:rPr>
              <w:t>Servicio de Reventa de Línea Telefónica</w:t>
            </w:r>
          </w:p>
        </w:tc>
        <w:tc>
          <w:tcPr>
            <w:tcW w:w="0" w:type="auto"/>
            <w:vAlign w:val="center"/>
          </w:tcPr>
          <w:p w14:paraId="2533DB84" w14:textId="77777777" w:rsidR="00A05BC1" w:rsidRPr="00480AE5" w:rsidRDefault="00A05BC1" w:rsidP="00C945B5">
            <w:pPr>
              <w:pStyle w:val="Tablecells"/>
              <w:spacing w:before="0" w:after="0"/>
              <w:jc w:val="center"/>
              <w:rPr>
                <w:rFonts w:ascii="ITC Avant Garde" w:hAnsi="ITC Avant Garde"/>
                <w:szCs w:val="18"/>
                <w:lang w:val="es-ES_tradnl"/>
              </w:rPr>
            </w:pPr>
            <w:r w:rsidRPr="00182A15">
              <w:rPr>
                <w:rFonts w:ascii="ITC Avant Garde" w:hAnsi="ITC Avant Garde"/>
                <w:szCs w:val="18"/>
                <w:lang w:val="es-ES_tradnl"/>
              </w:rPr>
              <w:t>SRLT</w:t>
            </w:r>
          </w:p>
        </w:tc>
        <w:tc>
          <w:tcPr>
            <w:tcW w:w="0" w:type="auto"/>
            <w:vAlign w:val="center"/>
          </w:tcPr>
          <w:p w14:paraId="51792926" w14:textId="77777777" w:rsidR="00A05BC1" w:rsidRPr="008D29C6" w:rsidRDefault="00A05BC1" w:rsidP="00C945B5">
            <w:pPr>
              <w:pStyle w:val="Tablecells"/>
              <w:spacing w:before="0" w:after="0"/>
              <w:jc w:val="both"/>
              <w:rPr>
                <w:rFonts w:ascii="ITC Avant Garde" w:hAnsi="ITC Avant Garde"/>
                <w:szCs w:val="18"/>
                <w:lang w:val="es-ES_tradnl"/>
              </w:rPr>
            </w:pPr>
            <w:r>
              <w:rPr>
                <w:rFonts w:ascii="ITC Avant Garde" w:hAnsi="ITC Avant Garde"/>
                <w:szCs w:val="18"/>
                <w:lang w:val="es-ES_tradnl"/>
              </w:rPr>
              <w:t>Servicios de telefonía fija, mediante en los cuales se provee únicamente servicios de voz (es decir, sin banda ancha fija).</w:t>
            </w:r>
          </w:p>
        </w:tc>
      </w:tr>
      <w:tr w:rsidR="00A05BC1" w:rsidRPr="00C1472F" w14:paraId="269E8C7C" w14:textId="77777777" w:rsidTr="00C945B5">
        <w:trPr>
          <w:trHeight w:val="278"/>
          <w:jc w:val="center"/>
        </w:trPr>
        <w:tc>
          <w:tcPr>
            <w:tcW w:w="0" w:type="auto"/>
            <w:vAlign w:val="center"/>
          </w:tcPr>
          <w:p w14:paraId="35688A6A" w14:textId="77777777" w:rsidR="00A05BC1" w:rsidRPr="0017326E" w:rsidRDefault="00A05BC1" w:rsidP="00C945B5">
            <w:pPr>
              <w:pStyle w:val="Tablecells"/>
              <w:spacing w:after="0"/>
              <w:ind w:right="39"/>
              <w:jc w:val="both"/>
              <w:rPr>
                <w:rFonts w:ascii="ITC Avant Garde" w:hAnsi="ITC Avant Garde"/>
                <w:b/>
                <w:szCs w:val="18"/>
                <w:lang w:val="es-ES_tradnl"/>
              </w:rPr>
            </w:pPr>
            <w:r w:rsidRPr="00182A15">
              <w:rPr>
                <w:rFonts w:ascii="ITC Avant Garde" w:hAnsi="ITC Avant Garde"/>
                <w:szCs w:val="18"/>
                <w:lang w:val="es-ES_tradnl"/>
              </w:rPr>
              <w:t xml:space="preserve">Servicio de Reventa de </w:t>
            </w:r>
            <w:r>
              <w:rPr>
                <w:rFonts w:ascii="ITC Avant Garde" w:hAnsi="ITC Avant Garde"/>
                <w:szCs w:val="18"/>
                <w:lang w:val="es-ES_tradnl"/>
              </w:rPr>
              <w:t>Internet</w:t>
            </w:r>
          </w:p>
        </w:tc>
        <w:tc>
          <w:tcPr>
            <w:tcW w:w="0" w:type="auto"/>
            <w:vAlign w:val="center"/>
          </w:tcPr>
          <w:p w14:paraId="0692D2E3" w14:textId="77777777" w:rsidR="00A05BC1" w:rsidRPr="00480AE5" w:rsidRDefault="00A05BC1" w:rsidP="00C945B5">
            <w:pPr>
              <w:pStyle w:val="Tablecells"/>
              <w:spacing w:before="0" w:after="0"/>
              <w:jc w:val="center"/>
              <w:rPr>
                <w:rFonts w:ascii="ITC Avant Garde" w:hAnsi="ITC Avant Garde"/>
                <w:szCs w:val="18"/>
                <w:lang w:val="es-ES_tradnl"/>
              </w:rPr>
            </w:pPr>
            <w:r>
              <w:rPr>
                <w:rFonts w:ascii="ITC Avant Garde" w:hAnsi="ITC Avant Garde"/>
                <w:szCs w:val="18"/>
                <w:lang w:val="es-ES_tradnl"/>
              </w:rPr>
              <w:t>SRI</w:t>
            </w:r>
          </w:p>
        </w:tc>
        <w:tc>
          <w:tcPr>
            <w:tcW w:w="0" w:type="auto"/>
            <w:vAlign w:val="center"/>
          </w:tcPr>
          <w:p w14:paraId="49B101CA" w14:textId="77777777" w:rsidR="00A05BC1" w:rsidRPr="00480AE5" w:rsidRDefault="00A05BC1" w:rsidP="00C945B5">
            <w:pPr>
              <w:pStyle w:val="Tablecells"/>
              <w:spacing w:before="0" w:after="0"/>
              <w:jc w:val="both"/>
              <w:rPr>
                <w:rFonts w:ascii="ITC Avant Garde" w:hAnsi="ITC Avant Garde"/>
                <w:szCs w:val="18"/>
                <w:lang w:val="es-ES_tradnl"/>
              </w:rPr>
            </w:pPr>
            <w:r>
              <w:rPr>
                <w:rFonts w:ascii="ITC Avant Garde" w:hAnsi="ITC Avant Garde"/>
                <w:szCs w:val="18"/>
                <w:lang w:val="es-ES_tradnl"/>
              </w:rPr>
              <w:t>Servicios de banda ancha fija, en los cuales no proveen servicios de voz.</w:t>
            </w:r>
          </w:p>
        </w:tc>
      </w:tr>
      <w:tr w:rsidR="00A05BC1" w:rsidRPr="00C1472F" w14:paraId="05A93762" w14:textId="77777777" w:rsidTr="00C945B5">
        <w:trPr>
          <w:trHeight w:val="278"/>
          <w:jc w:val="center"/>
        </w:trPr>
        <w:tc>
          <w:tcPr>
            <w:tcW w:w="0" w:type="auto"/>
            <w:vAlign w:val="center"/>
          </w:tcPr>
          <w:p w14:paraId="2B802C51" w14:textId="77777777" w:rsidR="00A05BC1" w:rsidRPr="0017326E" w:rsidRDefault="00A05BC1" w:rsidP="00C945B5">
            <w:pPr>
              <w:pStyle w:val="Tablecells"/>
              <w:spacing w:after="0"/>
              <w:ind w:right="39"/>
              <w:jc w:val="both"/>
              <w:rPr>
                <w:rFonts w:ascii="ITC Avant Garde" w:hAnsi="ITC Avant Garde"/>
                <w:b/>
                <w:szCs w:val="18"/>
                <w:lang w:val="es-ES_tradnl"/>
              </w:rPr>
            </w:pPr>
            <w:r w:rsidRPr="00182A15">
              <w:rPr>
                <w:rFonts w:ascii="ITC Avant Garde" w:hAnsi="ITC Avant Garde"/>
                <w:szCs w:val="18"/>
                <w:lang w:val="es-ES_tradnl"/>
              </w:rPr>
              <w:t xml:space="preserve">Servicio de Reventa de </w:t>
            </w:r>
            <w:r>
              <w:rPr>
                <w:rFonts w:ascii="ITC Avant Garde" w:hAnsi="ITC Avant Garde"/>
                <w:szCs w:val="18"/>
                <w:lang w:val="es-ES_tradnl"/>
              </w:rPr>
              <w:t>Paquetes</w:t>
            </w:r>
          </w:p>
        </w:tc>
        <w:tc>
          <w:tcPr>
            <w:tcW w:w="0" w:type="auto"/>
            <w:vAlign w:val="center"/>
          </w:tcPr>
          <w:p w14:paraId="6F30ECE6" w14:textId="77777777" w:rsidR="00A05BC1" w:rsidRPr="00480AE5" w:rsidRDefault="00A05BC1" w:rsidP="00C945B5">
            <w:pPr>
              <w:pStyle w:val="Tablecells"/>
              <w:spacing w:before="0" w:after="0"/>
              <w:jc w:val="center"/>
              <w:rPr>
                <w:rFonts w:ascii="ITC Avant Garde" w:hAnsi="ITC Avant Garde"/>
                <w:szCs w:val="18"/>
                <w:lang w:val="es-ES_tradnl"/>
              </w:rPr>
            </w:pPr>
            <w:r>
              <w:rPr>
                <w:rFonts w:ascii="ITC Avant Garde" w:hAnsi="ITC Avant Garde"/>
                <w:szCs w:val="18"/>
                <w:lang w:val="es-ES_tradnl"/>
              </w:rPr>
              <w:t>SRP</w:t>
            </w:r>
          </w:p>
        </w:tc>
        <w:tc>
          <w:tcPr>
            <w:tcW w:w="0" w:type="auto"/>
            <w:vAlign w:val="center"/>
          </w:tcPr>
          <w:p w14:paraId="42FD2CB7" w14:textId="77777777" w:rsidR="00A05BC1" w:rsidRPr="00480AE5" w:rsidRDefault="00A05BC1" w:rsidP="00C945B5">
            <w:pPr>
              <w:pStyle w:val="Tablecells"/>
              <w:spacing w:before="0" w:after="0"/>
              <w:jc w:val="both"/>
              <w:rPr>
                <w:rFonts w:ascii="ITC Avant Garde" w:hAnsi="ITC Avant Garde"/>
                <w:szCs w:val="18"/>
                <w:lang w:val="es-ES_tradnl"/>
              </w:rPr>
            </w:pPr>
            <w:r>
              <w:rPr>
                <w:rFonts w:ascii="ITC Avant Garde" w:hAnsi="ITC Avant Garde"/>
                <w:szCs w:val="18"/>
                <w:lang w:val="es-ES_tradnl"/>
              </w:rPr>
              <w:t>Servicios de telefonía y banda ancha fija, en forma conjunta.</w:t>
            </w:r>
          </w:p>
        </w:tc>
      </w:tr>
    </w:tbl>
    <w:p w14:paraId="47BE6858" w14:textId="77777777" w:rsidR="00A05BC1" w:rsidRDefault="00A05BC1" w:rsidP="00A05BC1">
      <w:pPr>
        <w:pStyle w:val="IFTnormal"/>
      </w:pPr>
    </w:p>
    <w:p w14:paraId="6EB5C538" w14:textId="77777777" w:rsidR="00A05BC1" w:rsidRDefault="00A05BC1" w:rsidP="00A05BC1">
      <w:pPr>
        <w:pStyle w:val="IFTnormal"/>
      </w:pPr>
      <w:r>
        <w:t xml:space="preserve">Por otra parte, a través de la Resolución SRMLT, el Instituto estableció </w:t>
      </w:r>
      <w:r w:rsidRPr="008048C6">
        <w:t xml:space="preserve">las condiciones </w:t>
      </w:r>
      <w:r>
        <w:t xml:space="preserve">técnicas y operativas de un servicio de desagregación que el AEP se </w:t>
      </w:r>
      <w:r>
        <w:lastRenderedPageBreak/>
        <w:t>encuentra obligado a ofrecer y que se denomina “Servicio de Reventa Mayorista de Línea Telefónica”, indicándose, en particular, dentro del Anexo 1 de dicho documento, la descripción general que el AEP debe observar para ofrecer tal servicio a los CS:</w:t>
      </w:r>
    </w:p>
    <w:p w14:paraId="4E5BD999" w14:textId="77777777" w:rsidR="00A05BC1" w:rsidRDefault="00A05BC1" w:rsidP="00A05BC1">
      <w:pPr>
        <w:pStyle w:val="Citaift"/>
      </w:pPr>
    </w:p>
    <w:p w14:paraId="34B79DEC" w14:textId="77777777" w:rsidR="00A05BC1" w:rsidRDefault="00A05BC1" w:rsidP="00A05BC1">
      <w:pPr>
        <w:pStyle w:val="Citaift"/>
      </w:pPr>
    </w:p>
    <w:p w14:paraId="03322A53" w14:textId="77777777" w:rsidR="00A05BC1" w:rsidRDefault="00A05BC1" w:rsidP="00A05BC1">
      <w:pPr>
        <w:pStyle w:val="Citaift"/>
      </w:pPr>
    </w:p>
    <w:p w14:paraId="368E5F7C" w14:textId="77777777" w:rsidR="00A05BC1" w:rsidRDefault="00A05BC1" w:rsidP="00A05BC1">
      <w:pPr>
        <w:pStyle w:val="Citaift"/>
      </w:pPr>
      <w:r>
        <w:t>“</w:t>
      </w:r>
      <w:r w:rsidRPr="000C74EC">
        <w:rPr>
          <w:b/>
        </w:rPr>
        <w:t>1. Descripción General</w:t>
      </w:r>
    </w:p>
    <w:p w14:paraId="0EF1EDC5" w14:textId="77777777" w:rsidR="00A05BC1" w:rsidRDefault="00A05BC1" w:rsidP="00A05BC1">
      <w:pPr>
        <w:pStyle w:val="Citaift"/>
      </w:pPr>
      <w:r>
        <w:t>Servicio mayorista que hace uso de la red telefónica del AEP para la entrega de todas las llamadas telefónicas originadas por los usuarios finales del Concesionario Solicitante (CS), en desagregación para el nuevo servicio SRMLT hasta el punto de entrega con la red del CS, cuando sea procedente.”</w:t>
      </w:r>
    </w:p>
    <w:p w14:paraId="092E2A35" w14:textId="3FA95A60" w:rsidR="003671AD" w:rsidRDefault="003671AD" w:rsidP="003671AD">
      <w:pPr>
        <w:pStyle w:val="IFTnormal"/>
      </w:pPr>
      <w:r>
        <w:br/>
        <w:t>En complemento, la Medida TERCERA de las Medidas de Desagregación define al “Servicio de Acceso Indirecto al Bucle Local” al tenor siguiente</w:t>
      </w:r>
      <w:r>
        <w:rPr>
          <w:rStyle w:val="Refdenotaalpie"/>
        </w:rPr>
        <w:footnoteReference w:id="6"/>
      </w:r>
      <w:r>
        <w:t>:</w:t>
      </w:r>
    </w:p>
    <w:p w14:paraId="4B15E11C" w14:textId="77777777" w:rsidR="003671AD" w:rsidRDefault="003671AD" w:rsidP="003671AD">
      <w:pPr>
        <w:pStyle w:val="Citaift"/>
      </w:pPr>
      <w:r>
        <w:t>“</w:t>
      </w:r>
      <w:r w:rsidRPr="00CC7837">
        <w:rPr>
          <w:b/>
        </w:rPr>
        <w:t>Definiciones</w:t>
      </w:r>
    </w:p>
    <w:p w14:paraId="2169CF4F" w14:textId="77777777" w:rsidR="003671AD" w:rsidRDefault="003671AD" w:rsidP="003671AD">
      <w:pPr>
        <w:pStyle w:val="Citaift"/>
      </w:pPr>
      <w:r>
        <w:t>[…]</w:t>
      </w:r>
    </w:p>
    <w:p w14:paraId="7342BEE5" w14:textId="77777777" w:rsidR="003671AD" w:rsidRDefault="003671AD" w:rsidP="003671AD">
      <w:pPr>
        <w:pStyle w:val="Citaift"/>
        <w:numPr>
          <w:ilvl w:val="0"/>
          <w:numId w:val="59"/>
        </w:numPr>
      </w:pPr>
      <w:r w:rsidRPr="000F217D">
        <w:rPr>
          <w:b/>
        </w:rPr>
        <w:lastRenderedPageBreak/>
        <w:t>Servicio de Acceso Indirecto al Bucle Local:</w:t>
      </w:r>
      <w:r>
        <w:t xml:space="preserve"> </w:t>
      </w:r>
      <w:r w:rsidRPr="002F7D78">
        <w:t>Mediante este servicio el Agente Económico Preponderante pone a disposición del Concesionario Solicitante la capacidad de transmisión entre el usuario final y un Punto de Interconexión del Concesionario Solicitante, de tal forma que se permita la provisión de servicios de telecomunicaciones a un usuario final que se conecta a la red pública de telecomunicaciones mediante una Acometida del Agente Económico Preponderante;</w:t>
      </w:r>
    </w:p>
    <w:p w14:paraId="62A2560B" w14:textId="77777777" w:rsidR="003671AD" w:rsidRDefault="003671AD" w:rsidP="003671AD">
      <w:pPr>
        <w:pStyle w:val="Citaift"/>
      </w:pPr>
      <w:r w:rsidRPr="000F217D">
        <w:t>[…]</w:t>
      </w:r>
      <w:r>
        <w:t>”</w:t>
      </w:r>
    </w:p>
    <w:p w14:paraId="08CBD1C5" w14:textId="0BE599CD" w:rsidR="003671AD" w:rsidRDefault="003671AD" w:rsidP="003671AD">
      <w:pPr>
        <w:pStyle w:val="IFTnormal"/>
      </w:pPr>
      <w:r>
        <w:t xml:space="preserve">En consideración de lo anterior, el Instituto desarrolló </w:t>
      </w:r>
      <w:r w:rsidR="00A52496">
        <w:t xml:space="preserve">en </w:t>
      </w:r>
      <w:r>
        <w:t>2</w:t>
      </w:r>
      <w:r w:rsidR="001540DC">
        <w:t>018</w:t>
      </w:r>
      <w:r>
        <w:t xml:space="preserve"> </w:t>
      </w:r>
      <w:r w:rsidR="003253FB">
        <w:t>el Modelo de Costos Evitados</w:t>
      </w:r>
      <w:r w:rsidR="00F702FB">
        <w:rPr>
          <w:rStyle w:val="Refdenotaalpie"/>
        </w:rPr>
        <w:footnoteReference w:id="7"/>
      </w:r>
      <w:r w:rsidR="00655B45" w:rsidRPr="00655B45">
        <w:t xml:space="preserve"> </w:t>
      </w:r>
      <w:r w:rsidR="00655B45">
        <w:t>descrito en el Acuerdo Metodológico</w:t>
      </w:r>
      <w:r>
        <w:t xml:space="preserve">, cuyo objeto era determinar las tarifas del SRL, SRMLT y SAIB, considerando el alcance de dichos servicios, así como la información relevante actualizada que </w:t>
      </w:r>
      <w:r w:rsidR="002A79AA">
        <w:t xml:space="preserve">permitiera </w:t>
      </w:r>
      <w:r>
        <w:t>calibrar las estimaciones correspondientes. Para su desarrollo se adoptaron fundamentalmente los criterios siguientes:</w:t>
      </w:r>
    </w:p>
    <w:p w14:paraId="0E3B2A04" w14:textId="77777777" w:rsidR="003671AD" w:rsidRDefault="003671AD" w:rsidP="003671AD">
      <w:pPr>
        <w:pStyle w:val="IFTnormal"/>
        <w:numPr>
          <w:ilvl w:val="0"/>
          <w:numId w:val="57"/>
        </w:numPr>
      </w:pPr>
      <w:r>
        <w:t>Implementar una metodología de costos evitados (</w:t>
      </w:r>
      <w:r w:rsidRPr="000D22C8">
        <w:rPr>
          <w:i/>
        </w:rPr>
        <w:t>retail minus</w:t>
      </w:r>
      <w:r>
        <w:t>).</w:t>
      </w:r>
    </w:p>
    <w:p w14:paraId="0EC79ED1" w14:textId="09D60AC9" w:rsidR="003671AD" w:rsidRDefault="003671AD" w:rsidP="003671AD">
      <w:pPr>
        <w:pStyle w:val="IFTnormal"/>
        <w:numPr>
          <w:ilvl w:val="0"/>
          <w:numId w:val="57"/>
        </w:numPr>
      </w:pPr>
      <w:r>
        <w:t>Dicho modelo deb</w:t>
      </w:r>
      <w:r w:rsidR="002A79AA">
        <w:t>er</w:t>
      </w:r>
      <w:r>
        <w:t xml:space="preserve">ía ser capaz de determinar niveles tarifarios para: </w:t>
      </w:r>
    </w:p>
    <w:p w14:paraId="1B2476B8" w14:textId="77777777" w:rsidR="003671AD" w:rsidRDefault="003671AD" w:rsidP="003671AD">
      <w:pPr>
        <w:pStyle w:val="IFTnormal"/>
        <w:numPr>
          <w:ilvl w:val="1"/>
          <w:numId w:val="57"/>
        </w:numPr>
      </w:pPr>
      <w:r w:rsidRPr="00DC6D68">
        <w:rPr>
          <w:b/>
        </w:rPr>
        <w:t>SRL, a través de las modalidades SRLT, SRI y SRP</w:t>
      </w:r>
      <w:r>
        <w:t>: En específico, considerando la relación de dichas modalidades con los pro</w:t>
      </w:r>
      <w:r>
        <w:lastRenderedPageBreak/>
        <w:t>ductos minoristas mediante los cuales el AEP ofrece y/o comercializa servicio de telefonía fija y/o banda ancha fija en la actualidad;</w:t>
      </w:r>
    </w:p>
    <w:p w14:paraId="60EB2C8F" w14:textId="77777777" w:rsidR="003671AD" w:rsidRPr="00DC6D68" w:rsidRDefault="003671AD" w:rsidP="003671AD">
      <w:pPr>
        <w:pStyle w:val="IFTnormal"/>
        <w:numPr>
          <w:ilvl w:val="1"/>
          <w:numId w:val="57"/>
        </w:numPr>
      </w:pPr>
      <w:r>
        <w:rPr>
          <w:b/>
        </w:rPr>
        <w:t xml:space="preserve">SRMLT: </w:t>
      </w:r>
      <w:r>
        <w:t>C</w:t>
      </w:r>
      <w:r w:rsidRPr="00493238">
        <w:t xml:space="preserve">onsiderando </w:t>
      </w:r>
      <w:r>
        <w:t>el alcance del servicio, y las diferencias aplicables en el caso de línea de uso residencial y no residencial.</w:t>
      </w:r>
    </w:p>
    <w:p w14:paraId="3919613C" w14:textId="71015B11" w:rsidR="003671AD" w:rsidRDefault="003671AD" w:rsidP="003671AD">
      <w:pPr>
        <w:pStyle w:val="IFTnormal"/>
        <w:numPr>
          <w:ilvl w:val="1"/>
          <w:numId w:val="57"/>
        </w:numPr>
      </w:pPr>
      <w:r>
        <w:rPr>
          <w:b/>
        </w:rPr>
        <w:t xml:space="preserve">SAIB: </w:t>
      </w:r>
      <w:r>
        <w:t xml:space="preserve">Considerando las diferenciaciones del servicio en términos de 1) el nivel de agregación para el servicio de concentración y distribución: </w:t>
      </w:r>
      <w:r w:rsidRPr="00493238">
        <w:t>local, regional o nacional</w:t>
      </w:r>
      <w:r>
        <w:t>,</w:t>
      </w:r>
      <w:r w:rsidRPr="00493238">
        <w:t xml:space="preserve"> </w:t>
      </w:r>
      <w:r>
        <w:t xml:space="preserve">en un pCAI; 2) </w:t>
      </w:r>
      <w:r w:rsidRPr="00205F1B">
        <w:t>calidades de tráfico, basadas en la prioridad de las tramas marcadas con P-bit=5 y P-bit=0</w:t>
      </w:r>
      <w:r w:rsidR="002A79AA">
        <w:t>, es decir</w:t>
      </w:r>
      <w:r w:rsidRPr="00205F1B">
        <w:t xml:space="preserve"> </w:t>
      </w:r>
      <w:r w:rsidRPr="00205F1B">
        <w:rPr>
          <w:i/>
        </w:rPr>
        <w:t>VoIP</w:t>
      </w:r>
      <w:r w:rsidRPr="00205F1B">
        <w:t xml:space="preserve"> y </w:t>
      </w:r>
      <w:r w:rsidRPr="00205F1B">
        <w:rPr>
          <w:i/>
        </w:rPr>
        <w:t>BE (best effort)</w:t>
      </w:r>
      <w:r>
        <w:rPr>
          <w:i/>
        </w:rPr>
        <w:t>,</w:t>
      </w:r>
      <w:r w:rsidRPr="00205F1B">
        <w:t xml:space="preserve"> y 3)</w:t>
      </w:r>
      <w:r>
        <w:t xml:space="preserve"> la diversidad de perfiles de servicios de banda ancha fija que el AEP ofrece y/o comercializa actualmente.</w:t>
      </w:r>
    </w:p>
    <w:p w14:paraId="0049AF9D" w14:textId="733AD0AB" w:rsidR="004C5D2D" w:rsidRDefault="00517231" w:rsidP="003671AD">
      <w:pPr>
        <w:pStyle w:val="IFTnormal"/>
      </w:pPr>
      <w:r>
        <w:t xml:space="preserve">En 2019 </w:t>
      </w:r>
      <w:r w:rsidR="008F7A87">
        <w:t xml:space="preserve">y 2020 </w:t>
      </w:r>
      <w:r>
        <w:t>e</w:t>
      </w:r>
      <w:r w:rsidR="00655B45">
        <w:t>ste</w:t>
      </w:r>
      <w:r w:rsidR="00277802">
        <w:t xml:space="preserve"> </w:t>
      </w:r>
      <w:r w:rsidR="00655B45">
        <w:t>m</w:t>
      </w:r>
      <w:r w:rsidR="00277802">
        <w:t xml:space="preserve">odelo de </w:t>
      </w:r>
      <w:r w:rsidR="00655B45">
        <w:t>c</w:t>
      </w:r>
      <w:r w:rsidR="00277802">
        <w:t>ostos</w:t>
      </w:r>
      <w:r w:rsidR="00655B45">
        <w:t xml:space="preserve"> </w:t>
      </w:r>
      <w:r>
        <w:t xml:space="preserve">fue </w:t>
      </w:r>
      <w:r w:rsidR="00655B45">
        <w:t xml:space="preserve">sujeto </w:t>
      </w:r>
      <w:r w:rsidR="003A034E">
        <w:t>de</w:t>
      </w:r>
      <w:r w:rsidR="00D5375E">
        <w:t xml:space="preserve"> actualizaciones</w:t>
      </w:r>
      <w:r w:rsidR="00277802" w:rsidDel="00513428">
        <w:t xml:space="preserve"> </w:t>
      </w:r>
      <w:r w:rsidR="00277802">
        <w:t>par</w:t>
      </w:r>
      <w:r w:rsidR="00D5375E">
        <w:t xml:space="preserve">a el cálculo anual de las tarifas de </w:t>
      </w:r>
      <w:r w:rsidR="003A034E">
        <w:t xml:space="preserve">los servicios </w:t>
      </w:r>
      <w:r w:rsidR="00D5375E">
        <w:t>R</w:t>
      </w:r>
      <w:r w:rsidR="00277802">
        <w:t>eventa</w:t>
      </w:r>
      <w:r w:rsidR="003A034E">
        <w:t>,</w:t>
      </w:r>
      <w:r w:rsidR="00277802">
        <w:t xml:space="preserve"> </w:t>
      </w:r>
      <w:r w:rsidR="00D5375E">
        <w:t>y</w:t>
      </w:r>
      <w:r>
        <w:t>a que</w:t>
      </w:r>
      <w:r w:rsidR="00D5375E">
        <w:t xml:space="preserve"> </w:t>
      </w:r>
      <w:r w:rsidR="00277802">
        <w:t>debido a la creciente complejidad de la oferta minorista del AEP</w:t>
      </w:r>
      <w:r w:rsidR="004C5D2D">
        <w:t xml:space="preserve">, </w:t>
      </w:r>
      <w:r>
        <w:t xml:space="preserve">se identificó la necesidad de </w:t>
      </w:r>
      <w:r w:rsidR="003A034E">
        <w:t>incluir</w:t>
      </w:r>
      <w:r w:rsidR="004C5D2D" w:rsidDel="003A034E">
        <w:t xml:space="preserve"> </w:t>
      </w:r>
      <w:r w:rsidR="004C5D2D">
        <w:t>por ejemplo</w:t>
      </w:r>
      <w:r w:rsidR="003A034E">
        <w:t>, los</w:t>
      </w:r>
      <w:r w:rsidR="004C5D2D">
        <w:t xml:space="preserve"> servicios de velocidad simétrica, </w:t>
      </w:r>
      <w:r>
        <w:t>así com</w:t>
      </w:r>
      <w:r w:rsidR="005F5725">
        <w:t>o</w:t>
      </w:r>
      <w:r w:rsidR="003A034E">
        <w:t xml:space="preserve"> las </w:t>
      </w:r>
      <w:r w:rsidR="004C5D2D">
        <w:t>migr</w:t>
      </w:r>
      <w:r w:rsidR="003A034E">
        <w:t xml:space="preserve">aciones </w:t>
      </w:r>
      <w:r w:rsidR="00D5375E">
        <w:t xml:space="preserve">de velocidad </w:t>
      </w:r>
      <w:r>
        <w:t xml:space="preserve">realizadas por el AEP </w:t>
      </w:r>
      <w:r w:rsidR="003A034E">
        <w:t xml:space="preserve">para </w:t>
      </w:r>
      <w:r>
        <w:t xml:space="preserve">sus </w:t>
      </w:r>
      <w:r w:rsidR="004C5D2D">
        <w:t>U</w:t>
      </w:r>
      <w:r w:rsidR="00D5375E">
        <w:t xml:space="preserve">suarios Finales </w:t>
      </w:r>
      <w:r>
        <w:t>en</w:t>
      </w:r>
      <w:r w:rsidR="00D5375E">
        <w:t xml:space="preserve"> </w:t>
      </w:r>
      <w:r w:rsidR="003A034E">
        <w:t>algunos</w:t>
      </w:r>
      <w:r w:rsidR="00D5375E">
        <w:t xml:space="preserve"> plan</w:t>
      </w:r>
      <w:r w:rsidR="003A034E">
        <w:t>es</w:t>
      </w:r>
      <w:r w:rsidR="004C5D2D">
        <w:t xml:space="preserve">. </w:t>
      </w:r>
      <w:r w:rsidR="00655B45">
        <w:t xml:space="preserve">Estas modificaciones se plasman en este documento. </w:t>
      </w:r>
    </w:p>
    <w:p w14:paraId="66FE71A5" w14:textId="5F98AE07" w:rsidR="00277802" w:rsidRDefault="00D5375E" w:rsidP="001A4705">
      <w:pPr>
        <w:spacing w:after="0"/>
        <w:jc w:val="both"/>
        <w:rPr>
          <w:rFonts w:eastAsia="Times New Roman"/>
          <w:bCs/>
          <w:lang w:eastAsia="es-MX"/>
        </w:rPr>
      </w:pPr>
      <w:r w:rsidRPr="003A52BD">
        <w:rPr>
          <w:rFonts w:ascii="ITC Avant Garde" w:hAnsi="ITC Avant Garde"/>
        </w:rPr>
        <w:t>En el m</w:t>
      </w:r>
      <w:r w:rsidR="003A52BD" w:rsidRPr="003A52BD">
        <w:rPr>
          <w:rFonts w:ascii="ITC Avant Garde" w:hAnsi="ITC Avant Garde"/>
        </w:rPr>
        <w:t>arco de la</w:t>
      </w:r>
      <w:r w:rsidR="00517231">
        <w:rPr>
          <w:rFonts w:ascii="ITC Avant Garde" w:hAnsi="ITC Avant Garde"/>
        </w:rPr>
        <w:t xml:space="preserve"> implementación del esquema de </w:t>
      </w:r>
      <w:r w:rsidR="003A52BD" w:rsidRPr="003A52BD">
        <w:rPr>
          <w:rFonts w:ascii="ITC Avant Garde" w:hAnsi="ITC Avant Garde"/>
        </w:rPr>
        <w:t>separación funcional</w:t>
      </w:r>
      <w:r w:rsidR="00517231">
        <w:rPr>
          <w:rFonts w:ascii="ITC Avant Garde" w:hAnsi="ITC Avant Garde"/>
        </w:rPr>
        <w:t xml:space="preserve"> del AEP</w:t>
      </w:r>
      <w:r w:rsidR="003A52BD" w:rsidRPr="003A52BD">
        <w:rPr>
          <w:rFonts w:ascii="ITC Avant Garde" w:hAnsi="ITC Avant Garde"/>
        </w:rPr>
        <w:t xml:space="preserve">, </w:t>
      </w:r>
      <w:r w:rsidR="003A52BD" w:rsidRPr="003A52BD">
        <w:rPr>
          <w:rFonts w:ascii="ITC Avant Garde" w:eastAsia="Times New Roman" w:hAnsi="ITC Avant Garde"/>
          <w:bCs/>
          <w:color w:val="000000"/>
          <w:lang w:eastAsia="es-MX"/>
        </w:rPr>
        <w:t>el</w:t>
      </w:r>
      <w:r w:rsidR="003A52BD" w:rsidRPr="003A4703">
        <w:rPr>
          <w:rFonts w:ascii="ITC Avant Garde" w:eastAsia="Times New Roman" w:hAnsi="ITC Avant Garde"/>
          <w:bCs/>
          <w:color w:val="000000"/>
          <w:lang w:eastAsia="es-MX"/>
        </w:rPr>
        <w:t xml:space="preserve"> 25 de febrero de 2020 el Pleno del Instituto emitió las primeras Ofertas de Referencia de Desagregación tanto para las Divisiones Mayoristas (“DM”) </w:t>
      </w:r>
      <w:r w:rsidR="00517231">
        <w:rPr>
          <w:rFonts w:ascii="ITC Avant Garde" w:eastAsia="Times New Roman" w:hAnsi="ITC Avant Garde"/>
          <w:bCs/>
          <w:color w:val="000000"/>
          <w:lang w:eastAsia="es-MX"/>
        </w:rPr>
        <w:t xml:space="preserve">de Telmex y Telnor </w:t>
      </w:r>
      <w:r w:rsidR="003A52BD" w:rsidRPr="003A4703">
        <w:rPr>
          <w:rFonts w:ascii="ITC Avant Garde" w:eastAsia="Times New Roman" w:hAnsi="ITC Avant Garde"/>
          <w:bCs/>
          <w:color w:val="000000"/>
          <w:lang w:eastAsia="es-MX"/>
        </w:rPr>
        <w:t>como para las Empresas Mayoristas (“EM”)</w:t>
      </w:r>
      <w:r w:rsidR="00517231">
        <w:rPr>
          <w:rFonts w:ascii="ITC Avant Garde" w:eastAsia="Times New Roman" w:hAnsi="ITC Avant Garde"/>
          <w:bCs/>
          <w:color w:val="000000"/>
          <w:lang w:eastAsia="es-MX"/>
        </w:rPr>
        <w:t>,</w:t>
      </w:r>
      <w:r w:rsidR="003A52BD" w:rsidRPr="003A4703">
        <w:rPr>
          <w:rFonts w:ascii="ITC Avant Garde" w:eastAsia="Times New Roman" w:hAnsi="ITC Avant Garde"/>
          <w:bCs/>
          <w:color w:val="000000"/>
          <w:lang w:eastAsia="es-MX"/>
        </w:rPr>
        <w:t xml:space="preserve"> mediante las </w:t>
      </w:r>
      <w:r w:rsidR="003A52BD" w:rsidRPr="003A4703">
        <w:rPr>
          <w:rFonts w:ascii="ITC Avant Garde" w:eastAsia="Times New Roman" w:hAnsi="ITC Avant Garde"/>
          <w:bCs/>
          <w:color w:val="000000"/>
          <w:lang w:eastAsia="es-MX"/>
        </w:rPr>
        <w:lastRenderedPageBreak/>
        <w:t>resoluciones</w:t>
      </w:r>
      <w:r w:rsidR="003A52BD" w:rsidRPr="003A4703">
        <w:rPr>
          <w:rStyle w:val="Refdenotaalpie"/>
          <w:rFonts w:eastAsia="Times New Roman"/>
          <w:bCs/>
          <w:lang w:eastAsia="es-MX"/>
        </w:rPr>
        <w:footnoteReference w:id="8"/>
      </w:r>
      <w:r w:rsidR="003A52BD">
        <w:rPr>
          <w:rFonts w:ascii="ITC Avant Garde" w:eastAsia="Times New Roman" w:hAnsi="ITC Avant Garde"/>
          <w:bCs/>
          <w:color w:val="000000"/>
          <w:lang w:eastAsia="es-MX"/>
        </w:rPr>
        <w:t xml:space="preserve"> </w:t>
      </w:r>
      <w:r w:rsidR="003A52BD" w:rsidRPr="003A4703">
        <w:rPr>
          <w:rFonts w:ascii="ITC Avant Garde" w:hAnsi="ITC Avant Garde"/>
          <w:bCs/>
          <w:color w:val="000000"/>
        </w:rPr>
        <w:t>P/IFT/250220/62</w:t>
      </w:r>
      <w:r w:rsidR="003A52BD">
        <w:rPr>
          <w:rFonts w:ascii="ITC Avant Garde" w:hAnsi="ITC Avant Garde"/>
          <w:bCs/>
          <w:color w:val="000000"/>
        </w:rPr>
        <w:t xml:space="preserve"> y </w:t>
      </w:r>
      <w:r w:rsidR="003A52BD" w:rsidRPr="003A4703">
        <w:rPr>
          <w:rFonts w:ascii="ITC Avant Garde" w:hAnsi="ITC Avant Garde"/>
          <w:bCs/>
          <w:color w:val="000000"/>
        </w:rPr>
        <w:t>P/IFT/250220/61</w:t>
      </w:r>
      <w:r w:rsidR="003A52BD">
        <w:rPr>
          <w:rFonts w:ascii="ITC Avant Garde" w:hAnsi="ITC Avant Garde"/>
          <w:bCs/>
          <w:color w:val="000000"/>
        </w:rPr>
        <w:t xml:space="preserve"> en las cuales </w:t>
      </w:r>
      <w:r w:rsidR="003A52BD" w:rsidRPr="003A4703">
        <w:rPr>
          <w:rFonts w:ascii="ITC Avant Garde" w:eastAsia="Times New Roman" w:hAnsi="ITC Avant Garde"/>
          <w:bCs/>
          <w:color w:val="000000"/>
          <w:lang w:eastAsia="es-MX"/>
        </w:rPr>
        <w:t>el Instituto determinó incluir una alternativa tarifaria en la que el Servicio de Concentración y Di</w:t>
      </w:r>
      <w:r w:rsidR="003A52BD">
        <w:rPr>
          <w:rFonts w:ascii="ITC Avant Garde" w:eastAsia="Times New Roman" w:hAnsi="ITC Avant Garde"/>
          <w:bCs/>
          <w:color w:val="000000"/>
          <w:lang w:eastAsia="es-MX"/>
        </w:rPr>
        <w:t>stribución (SCyD) se desasocia</w:t>
      </w:r>
      <w:r w:rsidR="003A52BD" w:rsidRPr="003A4703">
        <w:rPr>
          <w:rFonts w:ascii="ITC Avant Garde" w:eastAsia="Times New Roman" w:hAnsi="ITC Avant Garde"/>
          <w:bCs/>
          <w:color w:val="000000"/>
          <w:lang w:eastAsia="es-MX"/>
        </w:rPr>
        <w:t xml:space="preserve"> del  Servicio de Acceso Indirecto al Bucle Local (SAIB) para su nivel de</w:t>
      </w:r>
      <w:r w:rsidR="00C77732">
        <w:rPr>
          <w:rFonts w:ascii="ITC Avant Garde" w:eastAsia="Times New Roman" w:hAnsi="ITC Avant Garde"/>
          <w:bCs/>
          <w:color w:val="000000"/>
          <w:lang w:eastAsia="es-MX"/>
        </w:rPr>
        <w:t xml:space="preserve"> agregación nacional y regional. Así,</w:t>
      </w:r>
      <w:r w:rsidR="003A52BD" w:rsidRPr="003A4703">
        <w:rPr>
          <w:rFonts w:ascii="ITC Avant Garde" w:eastAsia="Times New Roman" w:hAnsi="ITC Avant Garde"/>
          <w:bCs/>
          <w:color w:val="000000"/>
          <w:lang w:eastAsia="es-MX"/>
        </w:rPr>
        <w:t xml:space="preserve"> se requiere el</w:t>
      </w:r>
      <w:r w:rsidR="003A52BD">
        <w:rPr>
          <w:rFonts w:ascii="ITC Avant Garde" w:eastAsia="Times New Roman" w:hAnsi="ITC Avant Garde"/>
          <w:bCs/>
          <w:color w:val="000000"/>
          <w:lang w:eastAsia="es-MX"/>
        </w:rPr>
        <w:t xml:space="preserve"> cálculo de las tarifas del SAIB</w:t>
      </w:r>
      <w:r w:rsidR="000701D0">
        <w:rPr>
          <w:rFonts w:ascii="ITC Avant Garde" w:eastAsia="Times New Roman" w:hAnsi="ITC Avant Garde"/>
          <w:bCs/>
          <w:color w:val="000000"/>
          <w:lang w:eastAsia="es-MX"/>
        </w:rPr>
        <w:t xml:space="preserve"> bajo </w:t>
      </w:r>
      <w:r w:rsidR="003A52BD">
        <w:rPr>
          <w:rFonts w:ascii="ITC Avant Garde" w:eastAsia="Times New Roman" w:hAnsi="ITC Avant Garde"/>
          <w:bCs/>
          <w:color w:val="000000"/>
          <w:lang w:eastAsia="es-MX"/>
        </w:rPr>
        <w:t>dos alternativas con una metodología de costos evitados (</w:t>
      </w:r>
      <w:r w:rsidR="003A52BD" w:rsidRPr="003A52BD">
        <w:rPr>
          <w:rFonts w:ascii="ITC Avant Garde" w:eastAsia="Times New Roman" w:hAnsi="ITC Avant Garde"/>
          <w:bCs/>
          <w:i/>
          <w:color w:val="000000"/>
          <w:lang w:eastAsia="es-MX"/>
        </w:rPr>
        <w:t>retail minus</w:t>
      </w:r>
      <w:r w:rsidR="00C77732">
        <w:rPr>
          <w:rFonts w:ascii="ITC Avant Garde" w:eastAsia="Times New Roman" w:hAnsi="ITC Avant Garde"/>
          <w:bCs/>
          <w:color w:val="000000"/>
          <w:lang w:eastAsia="es-MX"/>
        </w:rPr>
        <w:t>)</w:t>
      </w:r>
      <w:r w:rsidR="00517231">
        <w:rPr>
          <w:rFonts w:ascii="ITC Avant Garde" w:eastAsia="Times New Roman" w:hAnsi="ITC Avant Garde"/>
          <w:bCs/>
          <w:color w:val="000000"/>
          <w:lang w:eastAsia="es-MX"/>
        </w:rPr>
        <w:t>: en la primera considerando el servicio integral incluyendo en la tarifa el costeo del SCyD y en la segunda excluyendo este último servicio</w:t>
      </w:r>
      <w:r w:rsidR="000701D0">
        <w:rPr>
          <w:rFonts w:ascii="ITC Avant Garde" w:eastAsia="Times New Roman" w:hAnsi="ITC Avant Garde"/>
          <w:bCs/>
          <w:color w:val="000000"/>
          <w:lang w:eastAsia="es-MX"/>
        </w:rPr>
        <w:t xml:space="preserve">. </w:t>
      </w:r>
    </w:p>
    <w:p w14:paraId="0E001EDE" w14:textId="77777777" w:rsidR="00C77732" w:rsidRDefault="00C77732" w:rsidP="001A4705">
      <w:pPr>
        <w:spacing w:after="0"/>
        <w:jc w:val="both"/>
      </w:pPr>
    </w:p>
    <w:p w14:paraId="1DB41B3B" w14:textId="5EACF28B" w:rsidR="003671AD" w:rsidRDefault="003671AD" w:rsidP="003671AD">
      <w:pPr>
        <w:pStyle w:val="IFTnormal"/>
      </w:pPr>
      <w:r>
        <w:t>A continuación, se describe la metodología empleada para el modelo en cuestión</w:t>
      </w:r>
      <w:r w:rsidR="00850542">
        <w:t xml:space="preserve"> haciendo hincapié en los ajustes pertinentes realizados </w:t>
      </w:r>
      <w:r w:rsidR="00517231">
        <w:t>a lo emitido por el Instituto a través d</w:t>
      </w:r>
      <w:r w:rsidR="00850542">
        <w:t>el Acuerdo Metodológico</w:t>
      </w:r>
      <w:r>
        <w:t>.</w:t>
      </w:r>
    </w:p>
    <w:p w14:paraId="3E832290" w14:textId="77777777" w:rsidR="003671AD" w:rsidRDefault="003671AD" w:rsidP="003671AD">
      <w:pPr>
        <w:pStyle w:val="IFTnormal"/>
      </w:pPr>
    </w:p>
    <w:p w14:paraId="4F059772" w14:textId="0125D9E4" w:rsidR="00DE64CD" w:rsidRPr="00F93454" w:rsidRDefault="00DE64CD" w:rsidP="00DE64CD">
      <w:pPr>
        <w:pStyle w:val="PuntosC4"/>
        <w:numPr>
          <w:ilvl w:val="1"/>
          <w:numId w:val="40"/>
        </w:numPr>
        <w:ind w:left="567" w:hanging="567"/>
        <w:outlineLvl w:val="1"/>
      </w:pPr>
      <w:bookmarkStart w:id="17" w:name="_Toc51700004"/>
      <w:bookmarkStart w:id="18" w:name="_Toc52188493"/>
      <w:r w:rsidRPr="00F93454">
        <w:t>Principios de la metodología del Modelo de Costos Evitados</w:t>
      </w:r>
      <w:bookmarkEnd w:id="17"/>
      <w:bookmarkEnd w:id="18"/>
    </w:p>
    <w:p w14:paraId="248FD4E5" w14:textId="6FA43595" w:rsidR="00DE64CD" w:rsidRDefault="00DE64CD" w:rsidP="00DE64CD">
      <w:pPr>
        <w:pStyle w:val="IFTnormal"/>
      </w:pPr>
      <w:r w:rsidRPr="00FD1910">
        <w:t xml:space="preserve">El objetivo del Modelo de Costos Evitados </w:t>
      </w:r>
      <w:r>
        <w:t>es estimar las tarifas de los servicios de reventa y acceso indirecto al bucle local del AEP,</w:t>
      </w:r>
      <w:r w:rsidRPr="00C51FEE">
        <w:t xml:space="preserve"> </w:t>
      </w:r>
      <w:r>
        <w:t>mediante la implementación de una</w:t>
      </w:r>
      <w:r w:rsidRPr="00FD1910">
        <w:t xml:space="preserve"> metodología de costos evitados (</w:t>
      </w:r>
      <w:r w:rsidRPr="00B4736D">
        <w:rPr>
          <w:i/>
        </w:rPr>
        <w:t>retail minus</w:t>
      </w:r>
      <w:r w:rsidRPr="00FD1910">
        <w:t>)</w:t>
      </w:r>
      <w:r>
        <w:t>, la cual</w:t>
      </w:r>
      <w:r w:rsidRPr="00FD1910">
        <w:t xml:space="preserve"> permite establecer </w:t>
      </w:r>
      <w:r>
        <w:t xml:space="preserve">niveles tarifarios de dichos </w:t>
      </w:r>
      <w:r w:rsidRPr="00FD1910">
        <w:t>servicios mayoristas en función de precios o tarifas minoristas</w:t>
      </w:r>
      <w:r>
        <w:t xml:space="preserve"> del AEP</w:t>
      </w:r>
      <w:r w:rsidRPr="00FD1910">
        <w:t>, sin necesidad de conocer los costos asociados a la infraestructura requerida para prestar dichos servicios.</w:t>
      </w:r>
    </w:p>
    <w:p w14:paraId="09A87BDC" w14:textId="10283C49" w:rsidR="002C2696" w:rsidRDefault="007D289B" w:rsidP="00DE64CD">
      <w:pPr>
        <w:pStyle w:val="IFTnormal"/>
      </w:pPr>
      <w:r w:rsidRPr="00B510E4">
        <w:lastRenderedPageBreak/>
        <w:t xml:space="preserve">Derivado de la implementación de la Separación Funcional, los servicios de reventa fueron asignados a las Divisiones Mayoristas de Telmex y Telnor mientras que servicios de acceso indirecto al bucle local fueron </w:t>
      </w:r>
      <w:r w:rsidR="00C60528" w:rsidRPr="00B510E4">
        <w:t xml:space="preserve">atribuidos </w:t>
      </w:r>
      <w:r w:rsidR="00B510E4">
        <w:t xml:space="preserve">a las Empresas Mayoristas. </w:t>
      </w:r>
      <w:r w:rsidR="00C60528" w:rsidRPr="00B510E4">
        <w:t>Si bien</w:t>
      </w:r>
      <w:r w:rsidR="00BF2107" w:rsidRPr="00B510E4">
        <w:t xml:space="preserve"> la Medida TRIGÉSIMA NOVENA de las Medidas de Desagregación</w:t>
      </w:r>
      <w:r w:rsidR="00865BE9" w:rsidRPr="00B510E4">
        <w:t xml:space="preserve"> señala que se calcularán las tarifas de los servicios de acceso indirecto al bucle local a partir de los ingresos o las tarifas minoristas</w:t>
      </w:r>
      <w:r w:rsidR="00C60528" w:rsidRPr="00B510E4">
        <w:t>,</w:t>
      </w:r>
      <w:r w:rsidR="00865BE9" w:rsidRPr="00B510E4">
        <w:t xml:space="preserve"> en apego a la </w:t>
      </w:r>
      <w:r w:rsidR="00C60528" w:rsidRPr="00B510E4">
        <w:t xml:space="preserve">dicha Medida </w:t>
      </w:r>
      <w:r w:rsidR="00865BE9" w:rsidRPr="00B510E4">
        <w:t xml:space="preserve">las tarifas para los servicios de acceso indirecto al bucle local </w:t>
      </w:r>
      <w:r w:rsidR="00B97236" w:rsidRPr="00B510E4">
        <w:t>proporcionados por</w:t>
      </w:r>
      <w:r w:rsidR="00865BE9" w:rsidRPr="00B510E4">
        <w:t xml:space="preserve"> las Empresas Mayoristas se calcularán a partir de las tarifas minoristas </w:t>
      </w:r>
      <w:r w:rsidR="00B97236" w:rsidRPr="00B510E4">
        <w:t xml:space="preserve">de los integrantes del AEP, en este caso </w:t>
      </w:r>
      <w:r w:rsidR="00865BE9" w:rsidRPr="00B510E4">
        <w:t>de Telmex y Telnor.</w:t>
      </w:r>
      <w:r w:rsidR="001F0E9F">
        <w:t xml:space="preserve"> Asimismo, se emitirán tarifas para el servicio de acceso indirecto al bucle local solo para las velocidades a las cuales Telmex y Telnor proveen la banda ancha dentro de sus planes. </w:t>
      </w:r>
      <w:r w:rsidR="00865BE9" w:rsidRPr="00B510E4">
        <w:t xml:space="preserve"> </w:t>
      </w:r>
    </w:p>
    <w:p w14:paraId="3CE71EEC" w14:textId="467D5822" w:rsidR="00DE64CD" w:rsidRDefault="00DE64CD" w:rsidP="00DE64CD">
      <w:pPr>
        <w:pStyle w:val="IFTnormal"/>
      </w:pPr>
      <w:r>
        <w:t>L</w:t>
      </w:r>
      <w:r w:rsidRPr="00FD1398">
        <w:t xml:space="preserve">a base teórica de </w:t>
      </w:r>
      <w:r w:rsidR="00FD2469">
        <w:t>l</w:t>
      </w:r>
      <w:r w:rsidRPr="00FD1398">
        <w:t>a metodología</w:t>
      </w:r>
      <w:r w:rsidR="00FD2469">
        <w:t xml:space="preserve"> de costos evitados</w:t>
      </w:r>
      <w:r w:rsidRPr="00FD1398">
        <w:t xml:space="preserve"> tiene</w:t>
      </w:r>
      <w:r>
        <w:t xml:space="preserve"> como principio </w:t>
      </w:r>
      <w:r w:rsidRPr="00FD1910">
        <w:t xml:space="preserve">asegurar que exista un margen suficiente entre el nivel de tarifas mayoristas y los precios minoristas para que un “operador eficiente” pueda </w:t>
      </w:r>
      <w:r>
        <w:t xml:space="preserve">ofrecer, en el mercado minorista, </w:t>
      </w:r>
      <w:r w:rsidRPr="00FD1910">
        <w:t xml:space="preserve">servicios competitivos con la oferta </w:t>
      </w:r>
      <w:r>
        <w:t>comercial del operador histórico</w:t>
      </w:r>
      <w:r w:rsidRPr="00FD1910">
        <w:t>.</w:t>
      </w:r>
    </w:p>
    <w:p w14:paraId="099A1363" w14:textId="77777777" w:rsidR="00DE64CD" w:rsidRDefault="00DE64CD" w:rsidP="00DE64CD">
      <w:pPr>
        <w:pStyle w:val="IFTnormal"/>
      </w:pPr>
      <w:r>
        <w:t xml:space="preserve">Cabe destacar que este enfoque metodológico hace uso de dos elementos: 1) </w:t>
      </w:r>
      <w:r w:rsidRPr="00FD1910">
        <w:t xml:space="preserve">un </w:t>
      </w:r>
      <w:r w:rsidRPr="00A04B40">
        <w:rPr>
          <w:b/>
        </w:rPr>
        <w:t>precio de referencia</w:t>
      </w:r>
      <w:r w:rsidRPr="00FD1910">
        <w:t xml:space="preserve"> asociado a un producto o servicio ofrecido por el operador histórico en el mercado minorista</w:t>
      </w:r>
      <w:r>
        <w:t>, y 2) un conjunto de</w:t>
      </w:r>
      <w:r w:rsidRPr="00FD1910">
        <w:t xml:space="preserve"> costos en los </w:t>
      </w:r>
      <w:r>
        <w:t>que el</w:t>
      </w:r>
      <w:r w:rsidRPr="00FD1910">
        <w:t xml:space="preserve"> operador </w:t>
      </w:r>
      <w:r>
        <w:t xml:space="preserve">histórico </w:t>
      </w:r>
      <w:r w:rsidRPr="00FD1910">
        <w:t xml:space="preserve">dejaría de incurrir si prestara dicho producto o servicio sólo en el mercado mayorista (estos últimos conceptos de costos </w:t>
      </w:r>
      <w:r>
        <w:t xml:space="preserve">es lo que se </w:t>
      </w:r>
      <w:r w:rsidRPr="00FD1910">
        <w:t>suelen denominar “</w:t>
      </w:r>
      <w:r w:rsidRPr="00486820">
        <w:rPr>
          <w:b/>
        </w:rPr>
        <w:t>costos evitados</w:t>
      </w:r>
      <w:r w:rsidRPr="00FD1910">
        <w:t xml:space="preserve">”). </w:t>
      </w:r>
      <w:r>
        <w:t xml:space="preserve">En este sentido, la tarifa del servicio </w:t>
      </w:r>
      <w:r>
        <w:lastRenderedPageBreak/>
        <w:t xml:space="preserve">mayorista correspondiente se determina descontando al </w:t>
      </w:r>
      <w:r w:rsidRPr="00246BE2">
        <w:t>precio de referencia los costos evitados.</w:t>
      </w:r>
    </w:p>
    <w:p w14:paraId="76E673A9" w14:textId="77777777" w:rsidR="00DE64CD" w:rsidRDefault="00DE64CD" w:rsidP="00DE64CD">
      <w:pPr>
        <w:pStyle w:val="IFTnormal"/>
        <w:rPr>
          <w:iCs/>
        </w:rPr>
      </w:pPr>
      <w:r>
        <w:t xml:space="preserve">Lo anterior se puede efectuar aplicando un esquema del tipo </w:t>
      </w:r>
      <m:oMath>
        <m:sSup>
          <m:sSupPr>
            <m:ctrlPr>
              <w:rPr>
                <w:rFonts w:ascii="Cambria Math" w:hAnsi="Cambria Math"/>
                <w:b/>
              </w:rPr>
            </m:ctrlPr>
          </m:sSupPr>
          <m:e>
            <m:r>
              <m:rPr>
                <m:nor/>
              </m:rPr>
              <w:rPr>
                <w:b/>
                <w:iCs/>
              </w:rPr>
              <m:t>P</m:t>
            </m:r>
          </m:e>
          <m:sup>
            <m:r>
              <m:rPr>
                <m:nor/>
              </m:rPr>
              <w:rPr>
                <w:b/>
                <w:iCs/>
              </w:rPr>
              <m:t>m</m:t>
            </m:r>
          </m:sup>
        </m:sSup>
        <m:r>
          <m:rPr>
            <m:nor/>
          </m:rPr>
          <m:t>=</m:t>
        </m:r>
        <m:sSup>
          <m:sSupPr>
            <m:ctrlPr>
              <w:rPr>
                <w:rFonts w:ascii="Cambria Math" w:hAnsi="Cambria Math"/>
                <w:b/>
              </w:rPr>
            </m:ctrlPr>
          </m:sSupPr>
          <m:e>
            <m:r>
              <m:rPr>
                <m:nor/>
              </m:rPr>
              <w:rPr>
                <w:rFonts w:ascii="Cambria Math"/>
                <w:b/>
                <w:iCs/>
              </w:rPr>
              <m:t xml:space="preserve"> </m:t>
            </m:r>
            <m:r>
              <m:rPr>
                <m:nor/>
              </m:rPr>
              <w:rPr>
                <w:b/>
                <w:iCs/>
              </w:rPr>
              <m:t>P</m:t>
            </m:r>
          </m:e>
          <m:sup>
            <m:r>
              <m:rPr>
                <m:nor/>
              </m:rPr>
              <w:rPr>
                <w:b/>
                <w:iCs/>
              </w:rPr>
              <m:t>r</m:t>
            </m:r>
          </m:sup>
        </m:sSup>
        <m:r>
          <m:rPr>
            <m:nor/>
          </m:rPr>
          <m:t xml:space="preserve">- </m:t>
        </m:r>
        <m:r>
          <m:rPr>
            <m:nor/>
          </m:rPr>
          <w:rPr>
            <w:b/>
            <w:iCs/>
          </w:rPr>
          <m:t>c</m:t>
        </m:r>
      </m:oMath>
      <w:r>
        <w:t>, d</w:t>
      </w:r>
      <w:r>
        <w:rPr>
          <w:iCs/>
        </w:rPr>
        <w:t xml:space="preserve">onde los términos involucrados representan: </w:t>
      </w:r>
    </w:p>
    <w:p w14:paraId="01F00B2A" w14:textId="77777777" w:rsidR="00DE64CD" w:rsidRDefault="003175E4" w:rsidP="00DE64CD">
      <w:pPr>
        <w:pStyle w:val="IFTnormal"/>
        <w:numPr>
          <w:ilvl w:val="0"/>
          <w:numId w:val="9"/>
        </w:numPr>
      </w:pPr>
      <m:oMath>
        <m:sSup>
          <m:sSupPr>
            <m:ctrlPr>
              <w:rPr>
                <w:rFonts w:ascii="Cambria Math" w:hAnsi="Cambria Math"/>
                <w:b/>
              </w:rPr>
            </m:ctrlPr>
          </m:sSupPr>
          <m:e>
            <m:r>
              <m:rPr>
                <m:nor/>
              </m:rPr>
              <w:rPr>
                <w:b/>
                <w:iCs/>
              </w:rPr>
              <m:t>P</m:t>
            </m:r>
          </m:e>
          <m:sup>
            <m:r>
              <m:rPr>
                <m:nor/>
              </m:rPr>
              <w:rPr>
                <w:b/>
                <w:iCs/>
              </w:rPr>
              <m:t>m</m:t>
            </m:r>
          </m:sup>
        </m:sSup>
        <m:r>
          <m:rPr>
            <m:sty m:val="bi"/>
          </m:rPr>
          <w:rPr>
            <w:rFonts w:ascii="Cambria Math" w:hAnsi="Cambria Math"/>
          </w:rPr>
          <m:t>:</m:t>
        </m:r>
      </m:oMath>
      <w:r w:rsidR="00DE64CD">
        <w:rPr>
          <w:b/>
        </w:rPr>
        <w:t xml:space="preserve"> </w:t>
      </w:r>
      <w:r w:rsidR="00DE64CD">
        <w:t xml:space="preserve">precio del servicio mayorista de acceso a la red del operador histórico, </w:t>
      </w:r>
    </w:p>
    <w:p w14:paraId="70E90BF8" w14:textId="77777777" w:rsidR="00DE64CD" w:rsidRDefault="003175E4" w:rsidP="00DE64CD">
      <w:pPr>
        <w:pStyle w:val="IFTnormal"/>
        <w:numPr>
          <w:ilvl w:val="0"/>
          <w:numId w:val="9"/>
        </w:numPr>
      </w:pPr>
      <m:oMath>
        <m:sSup>
          <m:sSupPr>
            <m:ctrlPr>
              <w:rPr>
                <w:rFonts w:ascii="Cambria Math" w:hAnsi="Cambria Math"/>
                <w:b/>
              </w:rPr>
            </m:ctrlPr>
          </m:sSupPr>
          <m:e>
            <m:r>
              <m:rPr>
                <m:nor/>
              </m:rPr>
              <w:rPr>
                <w:b/>
                <w:iCs/>
              </w:rPr>
              <m:t>P</m:t>
            </m:r>
          </m:e>
          <m:sup>
            <m:r>
              <m:rPr>
                <m:nor/>
              </m:rPr>
              <w:rPr>
                <w:b/>
                <w:iCs/>
              </w:rPr>
              <m:t>r</m:t>
            </m:r>
          </m:sup>
        </m:sSup>
      </m:oMath>
      <w:r w:rsidR="00DE64CD">
        <w:rPr>
          <w:b/>
        </w:rPr>
        <w:t xml:space="preserve">: </w:t>
      </w:r>
      <w:r w:rsidR="00DE64CD">
        <w:t xml:space="preserve">precio de referencia del producto o servicio minorista que se encuentra asociado al servicio mayorista en cuestión, y </w:t>
      </w:r>
    </w:p>
    <w:p w14:paraId="377D0E66" w14:textId="77777777" w:rsidR="00DE64CD" w:rsidRDefault="00DE64CD" w:rsidP="00DE64CD">
      <w:pPr>
        <w:pStyle w:val="IFTnormal"/>
        <w:numPr>
          <w:ilvl w:val="0"/>
          <w:numId w:val="9"/>
        </w:numPr>
      </w:pPr>
      <m:oMath>
        <m:r>
          <m:rPr>
            <m:nor/>
          </m:rPr>
          <w:rPr>
            <w:b/>
            <w:iCs/>
          </w:rPr>
          <m:t>c</m:t>
        </m:r>
        <m:r>
          <m:rPr>
            <m:nor/>
          </m:rPr>
          <w:rPr>
            <w:rFonts w:ascii="Cambria Math"/>
            <w:b/>
            <w:iCs/>
          </w:rPr>
          <m:t>:</m:t>
        </m:r>
      </m:oMath>
      <w:r>
        <w:rPr>
          <w:b/>
          <w:iCs/>
        </w:rPr>
        <w:t xml:space="preserve"> </w:t>
      </w:r>
      <w:r>
        <w:rPr>
          <w:iCs/>
        </w:rPr>
        <w:t xml:space="preserve">valor del conjunto de costos evitados inherentes a la prestación del servicio </w:t>
      </w:r>
      <w:r w:rsidRPr="00010484">
        <w:t>mayorista</w:t>
      </w:r>
      <w:r>
        <w:t>.</w:t>
      </w:r>
    </w:p>
    <w:p w14:paraId="539E3FC9" w14:textId="77777777" w:rsidR="00DE64CD" w:rsidRDefault="00DE64CD" w:rsidP="00DE64CD">
      <w:pPr>
        <w:pStyle w:val="IFTnormal"/>
      </w:pPr>
      <w:r>
        <w:t>Cabe destacar que los costos evitados típicamente suelen representarse como un valor numérico, como un porcentaje a descontarse del precio de referencia</w:t>
      </w:r>
      <w:r>
        <w:rPr>
          <w:rStyle w:val="Refdenotaalpie"/>
        </w:rPr>
        <w:footnoteReference w:id="9"/>
      </w:r>
      <w:r>
        <w:t>, o bien a través de una combinación de ambos enfoques.</w:t>
      </w:r>
    </w:p>
    <w:p w14:paraId="7901EEF6" w14:textId="7B10438F" w:rsidR="00DE64CD" w:rsidRPr="00246BE2" w:rsidRDefault="00DE64CD" w:rsidP="00DE64CD">
      <w:pPr>
        <w:pStyle w:val="PuntosC4"/>
        <w:numPr>
          <w:ilvl w:val="2"/>
          <w:numId w:val="40"/>
        </w:numPr>
        <w:ind w:left="709" w:hanging="709"/>
        <w:outlineLvl w:val="2"/>
      </w:pPr>
      <w:r>
        <w:t xml:space="preserve"> </w:t>
      </w:r>
      <w:bookmarkStart w:id="19" w:name="_Toc51700005"/>
      <w:bookmarkStart w:id="20" w:name="_Ref51762077"/>
      <w:bookmarkStart w:id="21" w:name="_Ref51762083"/>
      <w:bookmarkStart w:id="22" w:name="_Toc52188494"/>
      <w:r w:rsidRPr="00F53614">
        <w:t>S</w:t>
      </w:r>
      <w:r w:rsidRPr="00246BE2">
        <w:t>ervicios asociados a la Oferta de Referencia</w:t>
      </w:r>
      <w:r>
        <w:t xml:space="preserve"> de Desagregación de</w:t>
      </w:r>
      <w:r w:rsidR="00FE5542">
        <w:t xml:space="preserve"> Telmex y Telnor</w:t>
      </w:r>
      <w:bookmarkEnd w:id="19"/>
      <w:bookmarkEnd w:id="20"/>
      <w:bookmarkEnd w:id="21"/>
      <w:bookmarkEnd w:id="22"/>
    </w:p>
    <w:p w14:paraId="5A39579D" w14:textId="2934A839" w:rsidR="00DE64CD" w:rsidRDefault="00DE64CD" w:rsidP="00DE64CD">
      <w:pPr>
        <w:pStyle w:val="IFTnormal"/>
      </w:pPr>
      <w:r>
        <w:lastRenderedPageBreak/>
        <w:t>D</w:t>
      </w:r>
      <w:r w:rsidRPr="00246BE2">
        <w:t>e conformidad con la</w:t>
      </w:r>
      <w:r>
        <w:t>s</w:t>
      </w:r>
      <w:r w:rsidRPr="00246BE2">
        <w:t xml:space="preserve"> Medida</w:t>
      </w:r>
      <w:r>
        <w:t>s</w:t>
      </w:r>
      <w:r w:rsidRPr="00246BE2">
        <w:t xml:space="preserve"> </w:t>
      </w:r>
      <w:r>
        <w:t xml:space="preserve">CUARTA y </w:t>
      </w:r>
      <w:r w:rsidRPr="00246BE2">
        <w:t>TRIGÉSIMA NOVENA de las Medidas de Desagregación, los servicios</w:t>
      </w:r>
      <w:r>
        <w:t xml:space="preserve"> que se consideran en el Modelo de Costos Evitados </w:t>
      </w:r>
      <w:r w:rsidRPr="00246BE2">
        <w:t>son los siguientes:</w:t>
      </w:r>
    </w:p>
    <w:p w14:paraId="181D7B0D" w14:textId="40719BAD" w:rsidR="00C47C56" w:rsidRPr="00246BE2" w:rsidRDefault="00DE64CD" w:rsidP="00C47C56">
      <w:pPr>
        <w:pStyle w:val="IFTnormal"/>
        <w:numPr>
          <w:ilvl w:val="0"/>
          <w:numId w:val="10"/>
        </w:numPr>
      </w:pPr>
      <w:r w:rsidRPr="004119B2">
        <w:rPr>
          <w:b/>
        </w:rPr>
        <w:t>Servicios de Reventa</w:t>
      </w:r>
      <w:r w:rsidR="007A5D8F">
        <w:rPr>
          <w:b/>
        </w:rPr>
        <w:t xml:space="preserve">.- </w:t>
      </w:r>
      <w:r w:rsidR="007A5D8F" w:rsidRPr="00FE5542">
        <w:t>Aquellos que</w:t>
      </w:r>
      <w:r>
        <w:rPr>
          <w:b/>
        </w:rPr>
        <w:t xml:space="preserve"> </w:t>
      </w:r>
      <w:r w:rsidRPr="004119B2">
        <w:t>permite</w:t>
      </w:r>
      <w:r>
        <w:t>n a los concesionarios o autorizado</w:t>
      </w:r>
      <w:r w:rsidR="007A5D8F">
        <w:t>s</w:t>
      </w:r>
      <w:r>
        <w:t xml:space="preserve"> solicitantes realizar</w:t>
      </w:r>
      <w:r w:rsidRPr="004119B2">
        <w:t xml:space="preserve"> la reventa o comercialización de la línea, acceso a Internet o cualquier otro servicio de la Red pública de telecomunicaciones </w:t>
      </w:r>
      <w:r w:rsidR="00FE5542">
        <w:t>de Telmex y Telnor</w:t>
      </w:r>
      <w:r>
        <w:t>, a través de las siguientes modalidades:</w:t>
      </w:r>
      <w:r w:rsidR="00C47C56">
        <w:t xml:space="preserve"> </w:t>
      </w:r>
    </w:p>
    <w:tbl>
      <w:tblPr>
        <w:tblStyle w:val="Tabladecuadrcula1clara"/>
        <w:tblW w:w="8642" w:type="dxa"/>
        <w:jc w:val="right"/>
        <w:tblLook w:val="0420" w:firstRow="1" w:lastRow="0" w:firstColumn="0" w:lastColumn="0" w:noHBand="0" w:noVBand="1"/>
        <w:tblCaption w:val="Figura 3: Estrutura del modelo de costos de coubicación móvil (Fuente: IFT, 2015)"/>
        <w:tblDescription w:val="Se divida en hoja de cálculo y descripción"/>
      </w:tblPr>
      <w:tblGrid>
        <w:gridCol w:w="2689"/>
        <w:gridCol w:w="5953"/>
      </w:tblGrid>
      <w:tr w:rsidR="00DE64CD" w:rsidRPr="00F40CB8" w14:paraId="2E3B0519" w14:textId="77777777" w:rsidTr="00A4557C">
        <w:trPr>
          <w:cnfStyle w:val="100000000000" w:firstRow="1" w:lastRow="0" w:firstColumn="0" w:lastColumn="0" w:oddVBand="0" w:evenVBand="0" w:oddHBand="0" w:evenHBand="0" w:firstRowFirstColumn="0" w:firstRowLastColumn="0" w:lastRowFirstColumn="0" w:lastRowLastColumn="0"/>
          <w:trHeight w:val="617"/>
          <w:jc w:val="right"/>
        </w:trPr>
        <w:tc>
          <w:tcPr>
            <w:tcW w:w="2689" w:type="dxa"/>
            <w:shd w:val="clear" w:color="auto" w:fill="E7E6E6" w:themeFill="background2"/>
          </w:tcPr>
          <w:p w14:paraId="76552A78" w14:textId="77777777" w:rsidR="00DE64CD" w:rsidRPr="00567165" w:rsidRDefault="00DE64CD" w:rsidP="00A4557C">
            <w:pPr>
              <w:pStyle w:val="Tableheading"/>
              <w:spacing w:before="0" w:after="0"/>
              <w:jc w:val="both"/>
              <w:rPr>
                <w:rFonts w:ascii="ITC Avant Garde" w:hAnsi="ITC Avant Garde"/>
                <w:b/>
                <w:color w:val="000000" w:themeColor="text1"/>
                <w:sz w:val="20"/>
                <w:szCs w:val="20"/>
                <w:lang w:val="es-ES_tradnl"/>
              </w:rPr>
            </w:pPr>
            <w:r w:rsidRPr="00567165">
              <w:rPr>
                <w:rFonts w:ascii="ITC Avant Garde" w:hAnsi="ITC Avant Garde" w:cs="Arial"/>
                <w:b/>
                <w:color w:val="000000"/>
                <w:sz w:val="20"/>
                <w:szCs w:val="20"/>
                <w:lang w:val="es-ES" w:eastAsia="es-ES"/>
              </w:rPr>
              <w:t>Modalidad de Servicio de Reventa</w:t>
            </w:r>
          </w:p>
        </w:tc>
        <w:tc>
          <w:tcPr>
            <w:tcW w:w="5953" w:type="dxa"/>
            <w:shd w:val="clear" w:color="auto" w:fill="E7E6E6" w:themeFill="background2"/>
          </w:tcPr>
          <w:p w14:paraId="3C4B424B" w14:textId="5EF5468F" w:rsidR="00DE64CD" w:rsidRPr="00567165" w:rsidRDefault="00DE64CD" w:rsidP="00A4557C">
            <w:pPr>
              <w:pStyle w:val="Tableheading"/>
              <w:spacing w:before="0" w:after="0"/>
              <w:ind w:right="36"/>
              <w:jc w:val="both"/>
              <w:rPr>
                <w:rFonts w:ascii="ITC Avant Garde" w:hAnsi="ITC Avant Garde"/>
                <w:b/>
                <w:color w:val="000000" w:themeColor="text1"/>
                <w:sz w:val="20"/>
                <w:szCs w:val="20"/>
                <w:lang w:val="es-ES_tradnl"/>
              </w:rPr>
            </w:pPr>
            <w:r w:rsidRPr="00567165">
              <w:rPr>
                <w:rFonts w:ascii="ITC Avant Garde" w:hAnsi="ITC Avant Garde"/>
                <w:b/>
                <w:color w:val="000000" w:themeColor="text1"/>
                <w:sz w:val="20"/>
                <w:szCs w:val="20"/>
                <w:lang w:val="es-ES_tradnl"/>
              </w:rPr>
              <w:t xml:space="preserve">Tipo de </w:t>
            </w:r>
            <w:r>
              <w:rPr>
                <w:rFonts w:ascii="ITC Avant Garde" w:hAnsi="ITC Avant Garde"/>
                <w:b/>
                <w:color w:val="000000" w:themeColor="text1"/>
                <w:sz w:val="20"/>
                <w:szCs w:val="20"/>
                <w:lang w:val="es-ES_tradnl"/>
              </w:rPr>
              <w:t xml:space="preserve">servicio </w:t>
            </w:r>
            <w:r w:rsidR="00FE5542">
              <w:rPr>
                <w:rFonts w:ascii="ITC Avant Garde" w:hAnsi="ITC Avant Garde"/>
                <w:b/>
                <w:color w:val="000000" w:themeColor="text1"/>
                <w:sz w:val="20"/>
                <w:szCs w:val="20"/>
                <w:lang w:val="es-ES_tradnl"/>
              </w:rPr>
              <w:t>de Telmex y Telnor</w:t>
            </w:r>
            <w:r>
              <w:rPr>
                <w:rFonts w:ascii="ITC Avant Garde" w:hAnsi="ITC Avant Garde"/>
                <w:b/>
                <w:color w:val="000000" w:themeColor="text1"/>
                <w:sz w:val="20"/>
                <w:szCs w:val="20"/>
                <w:lang w:val="es-ES_tradnl"/>
              </w:rPr>
              <w:t xml:space="preserve"> que se permiten </w:t>
            </w:r>
            <w:r w:rsidRPr="00567165">
              <w:rPr>
                <w:rFonts w:ascii="ITC Avant Garde" w:hAnsi="ITC Avant Garde"/>
                <w:b/>
                <w:color w:val="000000" w:themeColor="text1"/>
                <w:sz w:val="20"/>
                <w:szCs w:val="20"/>
                <w:lang w:val="es-ES_tradnl"/>
              </w:rPr>
              <w:t>revender o comercializar mediante esta modalidad</w:t>
            </w:r>
          </w:p>
        </w:tc>
      </w:tr>
      <w:tr w:rsidR="00DE64CD" w:rsidRPr="00F40CB8" w14:paraId="701DA096" w14:textId="77777777" w:rsidTr="00A4557C">
        <w:trPr>
          <w:trHeight w:val="794"/>
          <w:jc w:val="right"/>
        </w:trPr>
        <w:tc>
          <w:tcPr>
            <w:tcW w:w="2689" w:type="dxa"/>
            <w:vAlign w:val="center"/>
          </w:tcPr>
          <w:p w14:paraId="293F5F5C" w14:textId="77777777" w:rsidR="00DE64CD" w:rsidRPr="00567165" w:rsidRDefault="00DE64CD" w:rsidP="00A4557C">
            <w:pPr>
              <w:pStyle w:val="Tablecells"/>
              <w:spacing w:after="0"/>
              <w:ind w:right="39"/>
              <w:jc w:val="both"/>
              <w:rPr>
                <w:rFonts w:ascii="ITC Avant Garde" w:hAnsi="ITC Avant Garde"/>
                <w:i/>
                <w:sz w:val="20"/>
                <w:szCs w:val="20"/>
                <w:lang w:val="es-ES_tradnl"/>
              </w:rPr>
            </w:pPr>
            <w:r w:rsidRPr="00567165">
              <w:rPr>
                <w:rFonts w:ascii="ITC Avant Garde" w:hAnsi="ITC Avant Garde"/>
                <w:i/>
                <w:sz w:val="20"/>
                <w:szCs w:val="20"/>
                <w:lang w:val="es-ES_tradnl"/>
              </w:rPr>
              <w:t>Servicio de Reventa de Línea Telefónica (SRLT)</w:t>
            </w:r>
          </w:p>
        </w:tc>
        <w:tc>
          <w:tcPr>
            <w:tcW w:w="5953" w:type="dxa"/>
            <w:vAlign w:val="center"/>
          </w:tcPr>
          <w:p w14:paraId="7F3A06A3" w14:textId="58B8ADF1" w:rsidR="00DE64CD" w:rsidRPr="00567165" w:rsidRDefault="00DE64CD" w:rsidP="00A4557C">
            <w:pPr>
              <w:pStyle w:val="Tablecells"/>
              <w:spacing w:before="0" w:after="0"/>
              <w:ind w:right="36"/>
              <w:jc w:val="both"/>
              <w:rPr>
                <w:rFonts w:ascii="ITC Avant Garde" w:hAnsi="ITC Avant Garde"/>
                <w:sz w:val="20"/>
                <w:szCs w:val="20"/>
                <w:lang w:val="es-ES_tradnl"/>
              </w:rPr>
            </w:pPr>
            <w:r w:rsidRPr="00567165">
              <w:rPr>
                <w:rFonts w:ascii="ITC Avant Garde" w:hAnsi="ITC Avant Garde"/>
                <w:sz w:val="20"/>
                <w:szCs w:val="20"/>
                <w:lang w:val="es-ES_tradnl"/>
              </w:rPr>
              <w:t>Servicios de línea telefónica</w:t>
            </w:r>
            <w:r w:rsidR="00C47C56">
              <w:rPr>
                <w:rFonts w:ascii="ITC Avant Garde" w:hAnsi="ITC Avant Garde"/>
                <w:sz w:val="20"/>
                <w:szCs w:val="20"/>
                <w:lang w:val="es-ES_tradnl"/>
              </w:rPr>
              <w:t xml:space="preserve"> y voz</w:t>
            </w:r>
            <w:r w:rsidRPr="00567165">
              <w:rPr>
                <w:rFonts w:ascii="ITC Avant Garde" w:hAnsi="ITC Avant Garde"/>
                <w:sz w:val="20"/>
                <w:szCs w:val="20"/>
                <w:lang w:val="es-ES_tradnl"/>
              </w:rPr>
              <w:t xml:space="preserve"> (es decir, sin la provisión de servicios d</w:t>
            </w:r>
            <w:r>
              <w:rPr>
                <w:rFonts w:ascii="ITC Avant Garde" w:hAnsi="ITC Avant Garde"/>
                <w:sz w:val="20"/>
                <w:szCs w:val="20"/>
                <w:lang w:val="es-ES_tradnl"/>
              </w:rPr>
              <w:t>e I</w:t>
            </w:r>
            <w:r w:rsidRPr="00567165">
              <w:rPr>
                <w:rFonts w:ascii="ITC Avant Garde" w:hAnsi="ITC Avant Garde"/>
                <w:sz w:val="20"/>
                <w:szCs w:val="20"/>
                <w:lang w:val="es-ES_tradnl"/>
              </w:rPr>
              <w:t>nternet)</w:t>
            </w:r>
          </w:p>
        </w:tc>
      </w:tr>
      <w:tr w:rsidR="00DE64CD" w:rsidRPr="00F40CB8" w14:paraId="28F25A8E" w14:textId="77777777" w:rsidTr="00A4557C">
        <w:trPr>
          <w:trHeight w:val="794"/>
          <w:jc w:val="right"/>
        </w:trPr>
        <w:tc>
          <w:tcPr>
            <w:tcW w:w="2689" w:type="dxa"/>
            <w:vAlign w:val="center"/>
          </w:tcPr>
          <w:p w14:paraId="3BA6809F" w14:textId="77777777" w:rsidR="00DE64CD" w:rsidRPr="00567165" w:rsidRDefault="00DE64CD" w:rsidP="00A4557C">
            <w:pPr>
              <w:pStyle w:val="Tablecells"/>
              <w:spacing w:after="0"/>
              <w:ind w:right="39"/>
              <w:jc w:val="both"/>
              <w:rPr>
                <w:rFonts w:ascii="ITC Avant Garde" w:hAnsi="ITC Avant Garde"/>
                <w:b/>
                <w:i/>
                <w:sz w:val="20"/>
                <w:szCs w:val="20"/>
                <w:lang w:val="es-ES_tradnl"/>
              </w:rPr>
            </w:pPr>
            <w:r w:rsidRPr="00567165">
              <w:rPr>
                <w:rFonts w:ascii="ITC Avant Garde" w:hAnsi="ITC Avant Garde"/>
                <w:i/>
                <w:sz w:val="20"/>
                <w:szCs w:val="20"/>
                <w:lang w:val="es-ES_tradnl"/>
              </w:rPr>
              <w:t>Servicio de Reventa de Internet (SRI)</w:t>
            </w:r>
          </w:p>
        </w:tc>
        <w:tc>
          <w:tcPr>
            <w:tcW w:w="5953" w:type="dxa"/>
            <w:vAlign w:val="center"/>
          </w:tcPr>
          <w:p w14:paraId="7DA11D6A" w14:textId="3A46ECAD" w:rsidR="00DE64CD" w:rsidRPr="00567165" w:rsidRDefault="00DE64CD" w:rsidP="00A4557C">
            <w:pPr>
              <w:pStyle w:val="Tablecells"/>
              <w:spacing w:before="0" w:after="0"/>
              <w:ind w:right="36"/>
              <w:jc w:val="both"/>
              <w:rPr>
                <w:rFonts w:ascii="ITC Avant Garde" w:hAnsi="ITC Avant Garde"/>
                <w:sz w:val="20"/>
                <w:szCs w:val="20"/>
                <w:lang w:val="es-ES_tradnl"/>
              </w:rPr>
            </w:pPr>
            <w:r>
              <w:rPr>
                <w:rFonts w:ascii="ITC Avant Garde" w:hAnsi="ITC Avant Garde"/>
                <w:sz w:val="20"/>
                <w:szCs w:val="20"/>
                <w:lang w:val="es-ES_tradnl"/>
              </w:rPr>
              <w:t>Servicios de I</w:t>
            </w:r>
            <w:r w:rsidRPr="00567165">
              <w:rPr>
                <w:rFonts w:ascii="ITC Avant Garde" w:hAnsi="ITC Avant Garde"/>
                <w:sz w:val="20"/>
                <w:szCs w:val="20"/>
                <w:lang w:val="es-ES_tradnl"/>
              </w:rPr>
              <w:t>nternet</w:t>
            </w:r>
            <w:r w:rsidR="00C47C56">
              <w:rPr>
                <w:rFonts w:ascii="ITC Avant Garde" w:hAnsi="ITC Avant Garde"/>
                <w:sz w:val="20"/>
                <w:szCs w:val="20"/>
                <w:lang w:val="es-ES_tradnl"/>
              </w:rPr>
              <w:t xml:space="preserve"> o voz</w:t>
            </w:r>
            <w:r w:rsidRPr="00567165">
              <w:rPr>
                <w:rFonts w:ascii="ITC Avant Garde" w:hAnsi="ITC Avant Garde"/>
                <w:sz w:val="20"/>
                <w:szCs w:val="20"/>
                <w:lang w:val="es-ES_tradnl"/>
              </w:rPr>
              <w:t>, en los cuales no se proveen servicios de línea telefónica.</w:t>
            </w:r>
          </w:p>
        </w:tc>
      </w:tr>
      <w:tr w:rsidR="00DE64CD" w:rsidRPr="00F40CB8" w14:paraId="121230EF" w14:textId="77777777" w:rsidTr="00A4557C">
        <w:trPr>
          <w:trHeight w:val="794"/>
          <w:jc w:val="right"/>
        </w:trPr>
        <w:tc>
          <w:tcPr>
            <w:tcW w:w="2689" w:type="dxa"/>
            <w:vAlign w:val="center"/>
          </w:tcPr>
          <w:p w14:paraId="7488B48D" w14:textId="77777777" w:rsidR="00DE64CD" w:rsidRPr="00567165" w:rsidRDefault="00DE64CD" w:rsidP="00A4557C">
            <w:pPr>
              <w:pStyle w:val="Tablecells"/>
              <w:spacing w:after="0"/>
              <w:ind w:right="39"/>
              <w:jc w:val="both"/>
              <w:rPr>
                <w:rFonts w:ascii="ITC Avant Garde" w:hAnsi="ITC Avant Garde"/>
                <w:b/>
                <w:i/>
                <w:sz w:val="20"/>
                <w:szCs w:val="20"/>
                <w:lang w:val="es-ES_tradnl"/>
              </w:rPr>
            </w:pPr>
            <w:r w:rsidRPr="00567165">
              <w:rPr>
                <w:rFonts w:ascii="ITC Avant Garde" w:hAnsi="ITC Avant Garde"/>
                <w:i/>
                <w:sz w:val="20"/>
                <w:szCs w:val="20"/>
                <w:lang w:val="es-ES_tradnl"/>
              </w:rPr>
              <w:t>Servicio de Reventa de Paquetes (SRP)</w:t>
            </w:r>
          </w:p>
        </w:tc>
        <w:tc>
          <w:tcPr>
            <w:tcW w:w="5953" w:type="dxa"/>
            <w:vAlign w:val="center"/>
          </w:tcPr>
          <w:p w14:paraId="3B83838D" w14:textId="77777777" w:rsidR="00DE64CD" w:rsidRPr="00567165" w:rsidRDefault="00DE64CD" w:rsidP="00A4557C">
            <w:pPr>
              <w:pStyle w:val="Tablecells"/>
              <w:spacing w:before="0" w:after="0"/>
              <w:ind w:right="36"/>
              <w:jc w:val="both"/>
              <w:rPr>
                <w:rFonts w:ascii="ITC Avant Garde" w:hAnsi="ITC Avant Garde"/>
                <w:sz w:val="20"/>
                <w:szCs w:val="20"/>
                <w:lang w:val="es-ES_tradnl"/>
              </w:rPr>
            </w:pPr>
            <w:r w:rsidRPr="00567165">
              <w:rPr>
                <w:rFonts w:ascii="ITC Avant Garde" w:hAnsi="ITC Avant Garde"/>
                <w:sz w:val="20"/>
                <w:szCs w:val="20"/>
                <w:lang w:val="es-ES_tradnl"/>
              </w:rPr>
              <w:t>S</w:t>
            </w:r>
            <w:r>
              <w:rPr>
                <w:rFonts w:ascii="ITC Avant Garde" w:hAnsi="ITC Avant Garde"/>
                <w:sz w:val="20"/>
                <w:szCs w:val="20"/>
                <w:lang w:val="es-ES_tradnl"/>
              </w:rPr>
              <w:t>ervicios de línea telefónica e I</w:t>
            </w:r>
            <w:r w:rsidRPr="00567165">
              <w:rPr>
                <w:rFonts w:ascii="ITC Avant Garde" w:hAnsi="ITC Avant Garde"/>
                <w:sz w:val="20"/>
                <w:szCs w:val="20"/>
                <w:lang w:val="es-ES_tradnl"/>
              </w:rPr>
              <w:t>nternet, en forma conjunta.</w:t>
            </w:r>
          </w:p>
          <w:p w14:paraId="3F5A9BA7" w14:textId="77777777" w:rsidR="00DE64CD" w:rsidRPr="00567165" w:rsidRDefault="00DE64CD" w:rsidP="00A4557C">
            <w:pPr>
              <w:pStyle w:val="Tablecells"/>
              <w:spacing w:before="0" w:after="0"/>
              <w:ind w:right="36"/>
              <w:jc w:val="both"/>
              <w:rPr>
                <w:rFonts w:ascii="ITC Avant Garde" w:hAnsi="ITC Avant Garde"/>
                <w:sz w:val="20"/>
                <w:szCs w:val="20"/>
                <w:lang w:val="es-ES_tradnl"/>
              </w:rPr>
            </w:pPr>
          </w:p>
        </w:tc>
      </w:tr>
      <w:tr w:rsidR="00DE64CD" w:rsidRPr="00F40CB8" w14:paraId="6475ACFD" w14:textId="77777777" w:rsidTr="00A4557C">
        <w:trPr>
          <w:trHeight w:val="794"/>
          <w:jc w:val="right"/>
        </w:trPr>
        <w:tc>
          <w:tcPr>
            <w:tcW w:w="2689" w:type="dxa"/>
            <w:vAlign w:val="center"/>
          </w:tcPr>
          <w:p w14:paraId="5EEBFD71" w14:textId="77777777" w:rsidR="00DE64CD" w:rsidRPr="00567165" w:rsidRDefault="00DE64CD" w:rsidP="00A4557C">
            <w:pPr>
              <w:pStyle w:val="Tablecells"/>
              <w:spacing w:after="0"/>
              <w:ind w:right="39"/>
              <w:jc w:val="both"/>
              <w:rPr>
                <w:rFonts w:ascii="ITC Avant Garde" w:hAnsi="ITC Avant Garde"/>
                <w:i/>
                <w:sz w:val="20"/>
                <w:szCs w:val="20"/>
                <w:lang w:val="es-ES_tradnl"/>
              </w:rPr>
            </w:pPr>
            <w:r>
              <w:rPr>
                <w:rFonts w:ascii="ITC Avant Garde" w:hAnsi="ITC Avant Garde"/>
                <w:i/>
                <w:sz w:val="20"/>
                <w:szCs w:val="20"/>
                <w:lang w:val="es-ES_tradnl"/>
              </w:rPr>
              <w:t>Servicio de Reventa Mayorista de Línea Telefónica (SRMLT)</w:t>
            </w:r>
          </w:p>
        </w:tc>
        <w:tc>
          <w:tcPr>
            <w:tcW w:w="5953" w:type="dxa"/>
            <w:vAlign w:val="center"/>
          </w:tcPr>
          <w:p w14:paraId="1E66AFDE" w14:textId="2D6EAF49" w:rsidR="00DE64CD" w:rsidRPr="00121975" w:rsidRDefault="00DE64CD" w:rsidP="00A4557C">
            <w:pPr>
              <w:pStyle w:val="Tablecells"/>
              <w:spacing w:before="0" w:after="0"/>
              <w:ind w:right="36"/>
              <w:jc w:val="both"/>
              <w:rPr>
                <w:rFonts w:ascii="ITC Avant Garde" w:hAnsi="ITC Avant Garde"/>
                <w:sz w:val="20"/>
                <w:szCs w:val="20"/>
                <w:lang w:val="es-MX"/>
              </w:rPr>
            </w:pPr>
            <w:r>
              <w:rPr>
                <w:rFonts w:ascii="ITC Avant Garde" w:hAnsi="ITC Avant Garde"/>
                <w:sz w:val="20"/>
                <w:szCs w:val="20"/>
                <w:lang w:val="es-ES_tradnl"/>
              </w:rPr>
              <w:t>S</w:t>
            </w:r>
            <w:r w:rsidRPr="00121975">
              <w:rPr>
                <w:rFonts w:ascii="ITC Avant Garde" w:hAnsi="ITC Avant Garde"/>
                <w:sz w:val="20"/>
                <w:szCs w:val="20"/>
                <w:lang w:val="es-ES_tradnl"/>
              </w:rPr>
              <w:t xml:space="preserve">ervicio mayorista que hace uso de la red telefónica </w:t>
            </w:r>
            <w:r w:rsidR="00FE5542">
              <w:rPr>
                <w:rFonts w:ascii="ITC Avant Garde" w:hAnsi="ITC Avant Garde"/>
                <w:sz w:val="20"/>
                <w:szCs w:val="20"/>
                <w:lang w:val="es-ES_tradnl"/>
              </w:rPr>
              <w:t>de Telmex y Telnor</w:t>
            </w:r>
            <w:r w:rsidRPr="00121975">
              <w:rPr>
                <w:rFonts w:ascii="ITC Avant Garde" w:hAnsi="ITC Avant Garde"/>
                <w:sz w:val="20"/>
                <w:szCs w:val="20"/>
                <w:lang w:val="es-ES_tradnl"/>
              </w:rPr>
              <w:t xml:space="preserve"> para la entrega de todas las llamadas telefónicas originadas por los usuarios finales en desagregación para el  servicio SRMLT hasta el punto de entrega.</w:t>
            </w:r>
          </w:p>
        </w:tc>
      </w:tr>
    </w:tbl>
    <w:p w14:paraId="117A61D8" w14:textId="77777777" w:rsidR="00DE64CD" w:rsidRPr="003C4845" w:rsidRDefault="00DE64CD" w:rsidP="00DE64CD">
      <w:pPr>
        <w:pStyle w:val="IFTnormal"/>
        <w:ind w:left="720"/>
        <w:rPr>
          <w:lang w:val="es-MX"/>
        </w:rPr>
      </w:pPr>
    </w:p>
    <w:p w14:paraId="1F085F95" w14:textId="5744A438" w:rsidR="00DE64CD" w:rsidRPr="0012287F" w:rsidRDefault="00DE64CD" w:rsidP="00DE64CD">
      <w:pPr>
        <w:pStyle w:val="IFTnormal"/>
        <w:numPr>
          <w:ilvl w:val="0"/>
          <w:numId w:val="10"/>
        </w:numPr>
        <w:rPr>
          <w:b/>
        </w:rPr>
      </w:pPr>
      <w:r w:rsidRPr="00F53614">
        <w:rPr>
          <w:b/>
        </w:rPr>
        <w:t>Servicios de Acceso Indirecto al bucle local (SAIB)</w:t>
      </w:r>
      <w:r w:rsidR="007A5D8F">
        <w:rPr>
          <w:b/>
        </w:rPr>
        <w:t xml:space="preserve">.- </w:t>
      </w:r>
      <w:r w:rsidR="007A5D8F">
        <w:rPr>
          <w:b/>
        </w:rPr>
        <w:tab/>
      </w:r>
      <w:r w:rsidR="007A5D8F" w:rsidRPr="00FE5542">
        <w:t>El</w:t>
      </w:r>
      <w:r w:rsidRPr="00FE5542">
        <w:t xml:space="preserve"> </w:t>
      </w:r>
      <w:r w:rsidRPr="00F53614">
        <w:t xml:space="preserve">servicio mediante el cual se pone a disposición la capacidad de transmisión entre el usuario final y un Punto de Interconexión, de tal forma que se permita la provisión de servicios de telecomunicaciones a un usuario final que </w:t>
      </w:r>
      <w:r w:rsidRPr="00F53614">
        <w:lastRenderedPageBreak/>
        <w:t>se conecta a la red pública de t</w:t>
      </w:r>
      <w:r>
        <w:t>elecomunicaciones mediante una a</w:t>
      </w:r>
      <w:r w:rsidRPr="00F53614">
        <w:t xml:space="preserve">cometida </w:t>
      </w:r>
      <w:r w:rsidR="00FE5542">
        <w:t>de Telmex y Telnor</w:t>
      </w:r>
      <w:r w:rsidRPr="00F53614">
        <w:t>.</w:t>
      </w:r>
    </w:p>
    <w:p w14:paraId="1F478EE1" w14:textId="77777777" w:rsidR="00DE64CD" w:rsidRPr="00246BE2" w:rsidRDefault="00DE64CD" w:rsidP="00DE64CD">
      <w:pPr>
        <w:pStyle w:val="PuntosC4"/>
        <w:numPr>
          <w:ilvl w:val="1"/>
          <w:numId w:val="40"/>
        </w:numPr>
        <w:ind w:left="567" w:hanging="567"/>
        <w:outlineLvl w:val="1"/>
      </w:pPr>
      <w:bookmarkStart w:id="23" w:name="_Ref530071322"/>
      <w:bookmarkStart w:id="24" w:name="_Toc51700006"/>
      <w:bookmarkStart w:id="25" w:name="_Toc52188495"/>
      <w:r>
        <w:t>Metodología para definir p</w:t>
      </w:r>
      <w:r w:rsidRPr="00625529">
        <w:t>recios</w:t>
      </w:r>
      <w:r>
        <w:t xml:space="preserve"> de referencia de los servicios de desagregación</w:t>
      </w:r>
      <w:bookmarkEnd w:id="23"/>
      <w:bookmarkEnd w:id="24"/>
      <w:bookmarkEnd w:id="25"/>
    </w:p>
    <w:p w14:paraId="1741069D" w14:textId="77777777" w:rsidR="00DE64CD" w:rsidRDefault="00DE64CD" w:rsidP="00DE64CD">
      <w:pPr>
        <w:pStyle w:val="IFTnormal"/>
      </w:pPr>
      <w:r>
        <w:t xml:space="preserve">En la metodología de costos evitados, se considera que </w:t>
      </w:r>
      <w:r w:rsidRPr="00B52C0F">
        <w:t xml:space="preserve">los precios ofrecidos por el </w:t>
      </w:r>
      <w:r>
        <w:t>operador histórico en el mercado minorista son un insumo adecuado para establecer los precios de referencia de los servicios mayorista, pues se estima que a través de dicho enfoque los operadores entrantes pueden ofrecer, dentro del mercado minorista, servicios competitivos con la oferta comercial del operador histórico.</w:t>
      </w:r>
    </w:p>
    <w:p w14:paraId="34A76358" w14:textId="4BCFCCF4" w:rsidR="00DE64CD" w:rsidRDefault="00DE64CD" w:rsidP="00DE64CD">
      <w:pPr>
        <w:pStyle w:val="IFTnormal"/>
        <w:rPr>
          <w:lang w:val="es-ES"/>
        </w:rPr>
      </w:pPr>
      <w:r>
        <w:t xml:space="preserve">Sin embargo, debido a que </w:t>
      </w:r>
      <w:r w:rsidR="002C2696">
        <w:t xml:space="preserve">Telmex y Telnor </w:t>
      </w:r>
      <w:r>
        <w:t>configura</w:t>
      </w:r>
      <w:r w:rsidR="002C2696">
        <w:t>n</w:t>
      </w:r>
      <w:r>
        <w:t xml:space="preserve"> su oferta minorista a través de distintos planes y paquetes tarifarios que, a cambio de una renta mensual, incorporan diferentes canastas de servicios, con el fin de establecer el precio de referencia de los diferentes servicios de desagregación, en el Modelo de Costos Evitados se adoptó el uso de un esquema basado en el</w:t>
      </w:r>
      <w:r>
        <w:rPr>
          <w:lang w:val="es-ES"/>
        </w:rPr>
        <w:t xml:space="preserve"> </w:t>
      </w:r>
      <w:r w:rsidRPr="00A650A9">
        <w:rPr>
          <w:b/>
          <w:lang w:val="es-ES"/>
        </w:rPr>
        <w:t>precio implícito</w:t>
      </w:r>
      <w:r>
        <w:rPr>
          <w:lang w:val="es-ES"/>
        </w:rPr>
        <w:t xml:space="preserve"> de los elementos o servicios prestados a los Usuarios Finales, los planes o paquetes </w:t>
      </w:r>
      <w:r w:rsidR="00FE5542">
        <w:rPr>
          <w:lang w:val="es-ES"/>
        </w:rPr>
        <w:t>de</w:t>
      </w:r>
      <w:r>
        <w:rPr>
          <w:lang w:val="es-ES"/>
        </w:rPr>
        <w:t xml:space="preserve"> </w:t>
      </w:r>
      <w:r w:rsidR="00FE5542">
        <w:rPr>
          <w:lang w:val="es-ES"/>
        </w:rPr>
        <w:t>Telmex y Telnor</w:t>
      </w:r>
      <w:r>
        <w:rPr>
          <w:lang w:val="es-ES"/>
        </w:rPr>
        <w:t>. Dichas canastas están integradas generalmente por:</w:t>
      </w:r>
    </w:p>
    <w:p w14:paraId="149AE430" w14:textId="05827CA4" w:rsidR="00DE64CD" w:rsidRPr="00984D4E" w:rsidRDefault="00DE64CD" w:rsidP="00DE64CD">
      <w:pPr>
        <w:pStyle w:val="IFTnormal"/>
        <w:numPr>
          <w:ilvl w:val="0"/>
          <w:numId w:val="17"/>
        </w:numPr>
        <w:rPr>
          <w:b/>
        </w:rPr>
      </w:pPr>
      <w:r w:rsidRPr="00984D4E">
        <w:rPr>
          <w:b/>
        </w:rPr>
        <w:t xml:space="preserve">Renta de línea: </w:t>
      </w:r>
      <w:r w:rsidRPr="00984D4E">
        <w:t xml:space="preserve">Se refiere al arrendamiento por parte de un Usuario Final de una línea telefónica </w:t>
      </w:r>
      <w:r w:rsidR="00FE5542">
        <w:t>de Telmex y Telnor</w:t>
      </w:r>
      <w:r w:rsidRPr="00984D4E">
        <w:t xml:space="preserve">, contratada para uso residencial o </w:t>
      </w:r>
      <w:r>
        <w:t>comercial</w:t>
      </w:r>
      <w:r w:rsidRPr="00984D4E">
        <w:t xml:space="preserve">, mediante la cual dicho operador le brinda servicios de telecomunicaciones. </w:t>
      </w:r>
    </w:p>
    <w:p w14:paraId="588DE261" w14:textId="103BAE5B" w:rsidR="00DE64CD" w:rsidRPr="00984D4E" w:rsidRDefault="00DE64CD" w:rsidP="003C4845">
      <w:pPr>
        <w:pStyle w:val="IFTnormal"/>
        <w:numPr>
          <w:ilvl w:val="0"/>
          <w:numId w:val="14"/>
        </w:numPr>
        <w:rPr>
          <w:b/>
        </w:rPr>
      </w:pPr>
      <w:r w:rsidRPr="00984D4E">
        <w:rPr>
          <w:b/>
        </w:rPr>
        <w:lastRenderedPageBreak/>
        <w:t xml:space="preserve">Servicios de voz: </w:t>
      </w:r>
      <w:r w:rsidRPr="00984D4E">
        <w:t>Es relativo a una cantidad de llamadas o minutos a números telefónicos</w:t>
      </w:r>
      <w:r w:rsidR="007A5D8F">
        <w:t>.</w:t>
      </w:r>
      <w:r w:rsidRPr="00984D4E">
        <w:t xml:space="preserve"> </w:t>
      </w:r>
    </w:p>
    <w:p w14:paraId="56329175" w14:textId="43749A0D" w:rsidR="00DE64CD" w:rsidRPr="00984D4E" w:rsidRDefault="00DE64CD" w:rsidP="00DE64CD">
      <w:pPr>
        <w:pStyle w:val="IFTnormal"/>
        <w:numPr>
          <w:ilvl w:val="0"/>
          <w:numId w:val="14"/>
        </w:numPr>
      </w:pPr>
      <w:r w:rsidRPr="00984D4E">
        <w:rPr>
          <w:b/>
        </w:rPr>
        <w:t xml:space="preserve">Servicios de </w:t>
      </w:r>
      <w:r>
        <w:rPr>
          <w:b/>
        </w:rPr>
        <w:t>Internet</w:t>
      </w:r>
      <w:r w:rsidRPr="00984D4E">
        <w:rPr>
          <w:b/>
        </w:rPr>
        <w:t>:</w:t>
      </w:r>
      <w:r w:rsidRPr="00984D4E">
        <w:t xml:space="preserve"> Se refiere a la prestación de servicios de </w:t>
      </w:r>
      <w:r>
        <w:t>I</w:t>
      </w:r>
      <w:r w:rsidRPr="00984D4E">
        <w:t>nternet</w:t>
      </w:r>
      <w:r w:rsidR="00EF09AF">
        <w:t>, asimétricos o simétricos,</w:t>
      </w:r>
      <w:r w:rsidRPr="00984D4E">
        <w:t xml:space="preserve"> para el Usuario Final, de acuerdo a un determinado perfil de velocidad (en Mbps).</w:t>
      </w:r>
    </w:p>
    <w:p w14:paraId="6D0316C2" w14:textId="106F6362" w:rsidR="00DE64CD" w:rsidRPr="00984D4E" w:rsidRDefault="00DE64CD" w:rsidP="00DE64CD">
      <w:pPr>
        <w:pStyle w:val="IFTnormal"/>
        <w:numPr>
          <w:ilvl w:val="0"/>
          <w:numId w:val="14"/>
        </w:numPr>
        <w:rPr>
          <w:b/>
        </w:rPr>
      </w:pPr>
      <w:r w:rsidRPr="00984D4E">
        <w:rPr>
          <w:b/>
        </w:rPr>
        <w:t xml:space="preserve">Otros conceptos: </w:t>
      </w:r>
      <w:r w:rsidRPr="00984D4E">
        <w:t xml:space="preserve">Adicionalmente existen otros servicios que caracterizan a los planes y paquetes </w:t>
      </w:r>
      <w:r w:rsidR="00F00940">
        <w:t>de Telmex y Telnor</w:t>
      </w:r>
      <w:r w:rsidRPr="00984D4E">
        <w:t>, entre los que destacan:</w:t>
      </w:r>
    </w:p>
    <w:p w14:paraId="2A8D07D7" w14:textId="76541254" w:rsidR="00DE64CD" w:rsidRPr="00984D4E" w:rsidRDefault="00DE64CD" w:rsidP="00DE64CD">
      <w:pPr>
        <w:pStyle w:val="IFTnormal"/>
        <w:numPr>
          <w:ilvl w:val="1"/>
          <w:numId w:val="14"/>
        </w:numPr>
        <w:rPr>
          <w:b/>
        </w:rPr>
      </w:pPr>
      <w:r w:rsidRPr="00984D4E">
        <w:rPr>
          <w:b/>
        </w:rPr>
        <w:t>Servicios digitales</w:t>
      </w:r>
      <w:r w:rsidR="00991215">
        <w:rPr>
          <w:b/>
        </w:rPr>
        <w:t xml:space="preserve"> asociados al </w:t>
      </w:r>
      <w:r w:rsidR="00AA584F">
        <w:rPr>
          <w:b/>
        </w:rPr>
        <w:t>servicio de voz</w:t>
      </w:r>
      <w:r w:rsidRPr="00984D4E">
        <w:rPr>
          <w:rStyle w:val="Refdenotaalpie"/>
          <w:b/>
        </w:rPr>
        <w:footnoteReference w:id="10"/>
      </w:r>
      <w:r w:rsidRPr="00984D4E">
        <w:rPr>
          <w:b/>
        </w:rPr>
        <w:t>:</w:t>
      </w:r>
      <w:r w:rsidRPr="00984D4E">
        <w:t xml:space="preserve"> En esta categoría se encuentran “Buzón Premium”, “Identificador de llamadas”, “Llamada en espera”</w:t>
      </w:r>
      <w:r w:rsidRPr="00984D4E">
        <w:rPr>
          <w:b/>
        </w:rPr>
        <w:t xml:space="preserve">, </w:t>
      </w:r>
      <w:r w:rsidRPr="00984D4E">
        <w:t>“Sígueme” y “Tres a la vez”</w:t>
      </w:r>
      <w:r w:rsidR="005E06F9">
        <w:t xml:space="preserve">, los cuales son provistos por </w:t>
      </w:r>
      <w:r w:rsidR="00F00940">
        <w:t>Telmex y Telnor</w:t>
      </w:r>
      <w:r w:rsidR="00AA584F">
        <w:t xml:space="preserve">. </w:t>
      </w:r>
    </w:p>
    <w:p w14:paraId="546DEDDB" w14:textId="51CEA519" w:rsidR="00AA584F" w:rsidRPr="00AA584F" w:rsidRDefault="00AA584F" w:rsidP="00DE64CD">
      <w:pPr>
        <w:pStyle w:val="IFTnormal"/>
        <w:numPr>
          <w:ilvl w:val="1"/>
          <w:numId w:val="14"/>
        </w:numPr>
        <w:rPr>
          <w:b/>
        </w:rPr>
      </w:pPr>
      <w:r w:rsidRPr="003B31DA">
        <w:rPr>
          <w:rFonts w:cs="Times New Roman"/>
          <w:color w:val="auto"/>
          <w:lang w:val="es-MX" w:eastAsia="en-US"/>
        </w:rPr>
        <w:t xml:space="preserve">Servicios </w:t>
      </w:r>
      <w:r w:rsidR="00CC2F2F">
        <w:rPr>
          <w:rFonts w:cs="Times New Roman"/>
          <w:color w:val="auto"/>
          <w:lang w:val="es-MX" w:eastAsia="en-US"/>
        </w:rPr>
        <w:t>adicionales</w:t>
      </w:r>
      <w:r w:rsidR="00EC2F3C">
        <w:rPr>
          <w:rFonts w:cs="Times New Roman"/>
          <w:color w:val="auto"/>
          <w:lang w:val="es-MX" w:eastAsia="en-US"/>
        </w:rPr>
        <w:t xml:space="preserve"> </w:t>
      </w:r>
      <w:r w:rsidRPr="003B31DA">
        <w:rPr>
          <w:rFonts w:cs="Times New Roman"/>
          <w:color w:val="auto"/>
          <w:lang w:val="es-MX" w:eastAsia="en-US"/>
        </w:rPr>
        <w:t>asociados a la banda ancha</w:t>
      </w:r>
      <w:r>
        <w:rPr>
          <w:rFonts w:cs="Times New Roman"/>
          <w:color w:val="auto"/>
          <w:lang w:val="es-MX" w:eastAsia="en-US"/>
        </w:rPr>
        <w:t>, entre los cuales se encuentran</w:t>
      </w:r>
      <w:r w:rsidRPr="003B31DA">
        <w:rPr>
          <w:rFonts w:cs="Times New Roman"/>
          <w:color w:val="auto"/>
          <w:lang w:val="es-MX" w:eastAsia="en-US"/>
        </w:rPr>
        <w:t>:</w:t>
      </w:r>
      <w:r w:rsidRPr="003B31DA">
        <w:rPr>
          <w:b/>
        </w:rPr>
        <w:t xml:space="preserve"> </w:t>
      </w:r>
    </w:p>
    <w:p w14:paraId="52F59A7B" w14:textId="77777777" w:rsidR="00EF09AF" w:rsidRDefault="00DE64CD" w:rsidP="00F702FB">
      <w:pPr>
        <w:pStyle w:val="IFTnormal"/>
        <w:numPr>
          <w:ilvl w:val="2"/>
          <w:numId w:val="14"/>
        </w:numPr>
        <w:rPr>
          <w:i/>
          <w:iCs/>
          <w:color w:val="auto"/>
        </w:rPr>
      </w:pPr>
      <w:r w:rsidRPr="00EF09AF">
        <w:rPr>
          <w:b/>
        </w:rPr>
        <w:t>Claro video:</w:t>
      </w:r>
      <w:r w:rsidRPr="00984D4E">
        <w:rPr>
          <w:b/>
        </w:rPr>
        <w:t xml:space="preserve"> </w:t>
      </w:r>
      <w:r w:rsidRPr="00984D4E">
        <w:t xml:space="preserve">De acuerdo con la página de </w:t>
      </w:r>
      <w:r>
        <w:t>I</w:t>
      </w:r>
      <w:r w:rsidRPr="00984D4E">
        <w:t>nternet de Telmex</w:t>
      </w:r>
      <w:r w:rsidRPr="00984D4E">
        <w:rPr>
          <w:rStyle w:val="Refdenotaalpie"/>
        </w:rPr>
        <w:footnoteReference w:id="11"/>
      </w:r>
      <w:r w:rsidRPr="00984D4E">
        <w:t>, se trata de</w:t>
      </w:r>
      <w:r w:rsidRPr="00EF09AF">
        <w:rPr>
          <w:lang w:val="es-MX"/>
        </w:rPr>
        <w:t xml:space="preserve"> </w:t>
      </w:r>
      <w:r w:rsidRPr="00EF09AF">
        <w:rPr>
          <w:i/>
          <w:lang w:val="es-MX"/>
        </w:rPr>
        <w:t xml:space="preserve">“un servicio de suscripción de video en demanda a través de internet que puede ser ingresado a través de múltiples dispositivos que cuenten con </w:t>
      </w:r>
      <w:r w:rsidRPr="00EF09AF">
        <w:rPr>
          <w:i/>
          <w:lang w:val="es-MX"/>
        </w:rPr>
        <w:lastRenderedPageBreak/>
        <w:t>acceso a internet</w:t>
      </w:r>
      <w:r w:rsidRPr="00EF09AF">
        <w:rPr>
          <w:lang w:val="es-MX"/>
        </w:rPr>
        <w:t xml:space="preserve">” el cual </w:t>
      </w:r>
      <w:r w:rsidRPr="00EF09AF">
        <w:rPr>
          <w:i/>
          <w:lang w:val="es-MX"/>
        </w:rPr>
        <w:t>“cuenta con un catálogo de suscripción, con una oferta de renta/compra contenidos exclusivos o contenidos transaccionales y la opción a suscribirse a contenidos Premium por un costo mensual adicional</w:t>
      </w:r>
      <w:r w:rsidRPr="00EF09AF">
        <w:rPr>
          <w:lang w:val="es-MX"/>
        </w:rPr>
        <w:t>”.</w:t>
      </w:r>
      <w:r w:rsidR="00AA584F" w:rsidRPr="00EF09AF">
        <w:rPr>
          <w:lang w:val="es-MX"/>
        </w:rPr>
        <w:t xml:space="preserve"> </w:t>
      </w:r>
      <w:r w:rsidR="005E06F9" w:rsidRPr="00EF09AF">
        <w:rPr>
          <w:lang w:val="es-MX"/>
        </w:rPr>
        <w:t>De acuerdo con manifestaciones de Telmex y Telnor, estas</w:t>
      </w:r>
      <w:r w:rsidR="005E06F9" w:rsidRPr="00EF09AF">
        <w:rPr>
          <w:color w:val="auto"/>
          <w:lang w:val="es-MX"/>
        </w:rPr>
        <w:t xml:space="preserve"> empresas</w:t>
      </w:r>
      <w:r w:rsidR="005E06F9" w:rsidRPr="00EF09AF">
        <w:rPr>
          <w:iCs/>
          <w:color w:val="auto"/>
          <w:lang w:val="es-MX"/>
        </w:rPr>
        <w:t xml:space="preserve"> </w:t>
      </w:r>
      <w:r w:rsidR="00AA584F" w:rsidRPr="00EF09AF">
        <w:rPr>
          <w:iCs/>
          <w:color w:val="auto"/>
        </w:rPr>
        <w:t xml:space="preserve">únicamente </w:t>
      </w:r>
      <w:r w:rsidR="005E06F9" w:rsidRPr="00EF09AF">
        <w:rPr>
          <w:iCs/>
          <w:color w:val="auto"/>
        </w:rPr>
        <w:t>son</w:t>
      </w:r>
      <w:r w:rsidR="00AA584F" w:rsidRPr="00EF09AF">
        <w:rPr>
          <w:iCs/>
          <w:color w:val="auto"/>
        </w:rPr>
        <w:t xml:space="preserve"> medio de cobro de Claro Video, siendo este servicio proporcionado por un tercero</w:t>
      </w:r>
      <w:r w:rsidR="00AA584F" w:rsidRPr="00EF09AF">
        <w:rPr>
          <w:i/>
          <w:iCs/>
          <w:color w:val="auto"/>
        </w:rPr>
        <w:t xml:space="preserve">. </w:t>
      </w:r>
    </w:p>
    <w:p w14:paraId="3B21BEB3" w14:textId="056A1D60" w:rsidR="00EF09AF" w:rsidRPr="00EF09AF" w:rsidRDefault="00DE64CD" w:rsidP="00F702FB">
      <w:pPr>
        <w:pStyle w:val="IFTnormal"/>
        <w:numPr>
          <w:ilvl w:val="2"/>
          <w:numId w:val="14"/>
        </w:numPr>
        <w:rPr>
          <w:i/>
          <w:iCs/>
          <w:color w:val="auto"/>
        </w:rPr>
      </w:pPr>
      <w:r w:rsidRPr="00EF09AF">
        <w:rPr>
          <w:b/>
          <w:color w:val="auto"/>
        </w:rPr>
        <w:t>Netflix:</w:t>
      </w:r>
      <w:r w:rsidR="003B31DA" w:rsidRPr="00EF09AF">
        <w:rPr>
          <w:b/>
          <w:color w:val="auto"/>
        </w:rPr>
        <w:t xml:space="preserve"> </w:t>
      </w:r>
      <w:r w:rsidR="008F67F2" w:rsidRPr="00EF09AF">
        <w:rPr>
          <w:color w:val="auto"/>
        </w:rPr>
        <w:t>se define como</w:t>
      </w:r>
      <w:r w:rsidR="003B31DA" w:rsidRPr="00EF09AF">
        <w:rPr>
          <w:color w:val="auto"/>
        </w:rPr>
        <w:t xml:space="preserve"> un servicio de </w:t>
      </w:r>
      <w:r w:rsidR="003B31DA" w:rsidRPr="00EF09AF">
        <w:rPr>
          <w:i/>
          <w:color w:val="auto"/>
        </w:rPr>
        <w:t>streaming</w:t>
      </w:r>
      <w:r w:rsidR="003B31DA" w:rsidRPr="00EF09AF">
        <w:rPr>
          <w:color w:val="auto"/>
        </w:rPr>
        <w:t xml:space="preserve"> que ofrece una gran variedad de programas de entretenimiento</w:t>
      </w:r>
      <w:r w:rsidR="008F67F2" w:rsidRPr="00EF09AF">
        <w:rPr>
          <w:rStyle w:val="Refdenotaalpie"/>
          <w:color w:val="auto"/>
        </w:rPr>
        <w:footnoteReference w:id="12"/>
      </w:r>
      <w:r w:rsidR="003B31DA" w:rsidRPr="00EF09AF">
        <w:rPr>
          <w:color w:val="auto"/>
        </w:rPr>
        <w:t>.</w:t>
      </w:r>
      <w:r w:rsidR="008F67F2" w:rsidRPr="00EF09AF">
        <w:rPr>
          <w:color w:val="auto"/>
        </w:rPr>
        <w:t xml:space="preserve"> Es ofrecido </w:t>
      </w:r>
      <w:r w:rsidR="0003543E" w:rsidRPr="00EF09AF">
        <w:rPr>
          <w:color w:val="auto"/>
        </w:rPr>
        <w:t>en modalidad</w:t>
      </w:r>
      <w:r w:rsidRPr="00EF09AF">
        <w:rPr>
          <w:rFonts w:ascii="Calibri" w:hAnsi="Calibri" w:cs="Times New Roman"/>
          <w:color w:val="auto"/>
          <w:lang w:val="es-MX" w:eastAsia="en-US"/>
        </w:rPr>
        <w:t xml:space="preserve"> </w:t>
      </w:r>
      <w:r w:rsidRPr="00EF09AF">
        <w:rPr>
          <w:color w:val="auto"/>
        </w:rPr>
        <w:t>“1 dispositivo”, “2 dispositivos” o “4 dispositivos”</w:t>
      </w:r>
      <w:r w:rsidR="008F67F2" w:rsidRPr="00EF09AF">
        <w:rPr>
          <w:color w:val="auto"/>
        </w:rPr>
        <w:t xml:space="preserve">. </w:t>
      </w:r>
      <w:r w:rsidR="005E06F9" w:rsidRPr="00EF09AF">
        <w:rPr>
          <w:color w:val="auto"/>
          <w:lang w:val="es-MX"/>
        </w:rPr>
        <w:t xml:space="preserve">De acuerdo con manifestaciones de Telmex y Telnor, estas empresas </w:t>
      </w:r>
      <w:r w:rsidR="0003543E" w:rsidRPr="00EF09AF">
        <w:rPr>
          <w:iCs/>
          <w:color w:val="auto"/>
        </w:rPr>
        <w:t xml:space="preserve">únicamente </w:t>
      </w:r>
      <w:r w:rsidR="005E06F9" w:rsidRPr="00EF09AF">
        <w:rPr>
          <w:iCs/>
          <w:color w:val="auto"/>
        </w:rPr>
        <w:t>son</w:t>
      </w:r>
      <w:r w:rsidR="0003543E" w:rsidRPr="00EF09AF">
        <w:rPr>
          <w:iCs/>
          <w:color w:val="auto"/>
        </w:rPr>
        <w:t xml:space="preserve"> </w:t>
      </w:r>
      <w:r w:rsidR="008E2DF2" w:rsidRPr="00EF09AF">
        <w:rPr>
          <w:iCs/>
          <w:color w:val="auto"/>
        </w:rPr>
        <w:t xml:space="preserve">el </w:t>
      </w:r>
      <w:r w:rsidR="0003543E" w:rsidRPr="00EF09AF">
        <w:rPr>
          <w:iCs/>
          <w:color w:val="auto"/>
        </w:rPr>
        <w:t>medio de cobro de Netflix, siendo este servicio proporcionado por un tercero.</w:t>
      </w:r>
      <w:r w:rsidR="0003543E" w:rsidRPr="00EF09AF">
        <w:rPr>
          <w:i/>
          <w:iCs/>
          <w:color w:val="auto"/>
        </w:rPr>
        <w:t xml:space="preserve"> </w:t>
      </w:r>
    </w:p>
    <w:p w14:paraId="3079F0F7" w14:textId="32BC69DA" w:rsidR="00DE64CD" w:rsidRPr="00803E74" w:rsidRDefault="00DE64CD" w:rsidP="00431971">
      <w:pPr>
        <w:pStyle w:val="IFTnormal"/>
        <w:rPr>
          <w:lang w:val="es-ES"/>
        </w:rPr>
      </w:pPr>
      <w:r>
        <w:t>Por lo anterior, la composición de los elementos o servicios que se ofrecen a través diferentes planes y paquetes</w:t>
      </w:r>
      <w:r w:rsidR="00B93087">
        <w:t>, mediante los cuales Telmex y Telnor</w:t>
      </w:r>
      <w:r>
        <w:t xml:space="preserve"> estructura</w:t>
      </w:r>
      <w:r w:rsidR="00B93087">
        <w:t>n</w:t>
      </w:r>
      <w:r>
        <w:t xml:space="preserve"> su oferta minorista asociada a servicios de voz e Internet, implica que</w:t>
      </w:r>
      <w:r w:rsidRPr="00803E74">
        <w:rPr>
          <w:lang w:val="es-ES"/>
        </w:rPr>
        <w:t xml:space="preserve"> el precio efectivo que los Usuarios Finales terminan pagando por una unidad </w:t>
      </w:r>
      <w:r w:rsidRPr="00803E74">
        <w:rPr>
          <w:lang w:val="es-ES"/>
        </w:rPr>
        <w:lastRenderedPageBreak/>
        <w:t>de servicio</w:t>
      </w:r>
      <w:r>
        <w:rPr>
          <w:rStyle w:val="Refdenotaalpie"/>
          <w:lang w:val="es-ES"/>
        </w:rPr>
        <w:footnoteReference w:id="13"/>
      </w:r>
      <w:r w:rsidRPr="00803E74">
        <w:rPr>
          <w:lang w:val="es-ES"/>
        </w:rPr>
        <w:t xml:space="preserve"> es variable dependiendo del plan o paquete tarifario elegido, así como de sus patrones de consumo.</w:t>
      </w:r>
    </w:p>
    <w:p w14:paraId="511DF96A" w14:textId="748E04ED" w:rsidR="00DE64CD" w:rsidRDefault="00DE64CD" w:rsidP="00DE64CD">
      <w:pPr>
        <w:pStyle w:val="IFTnormal"/>
      </w:pPr>
      <w:r>
        <w:rPr>
          <w:lang w:val="es-ES"/>
        </w:rPr>
        <w:t xml:space="preserve">En tal contexto, el concepto de precio implícito cobra relevancia pues se refiere precisamente al precio efectivo que un cliente </w:t>
      </w:r>
      <w:r w:rsidRPr="006926F4">
        <w:rPr>
          <w:lang w:val="es-ES"/>
        </w:rPr>
        <w:t>paga por una unidad de servicio</w:t>
      </w:r>
      <w:r>
        <w:rPr>
          <w:lang w:val="es-ES"/>
        </w:rPr>
        <w:t>, de entre todos aquellos elementos o servicios que se ofrecen en los planes o paquetes</w:t>
      </w:r>
      <w:r>
        <w:t xml:space="preserve"> a la que el cliente puede acceder mediante un cargo asociado a dicho plan o paquete. Así, el precio minorista de un plan o pa</w:t>
      </w:r>
      <w:r w:rsidR="00F702FB">
        <w:t>quete de la oferta minorista de Telmex y Telnor</w:t>
      </w:r>
      <w:r>
        <w:t xml:space="preserve"> se descompone a través de los precios implícitos de sus elementos o servicios.</w:t>
      </w:r>
    </w:p>
    <w:p w14:paraId="05F62E81" w14:textId="77777777" w:rsidR="00DE64CD" w:rsidRDefault="00DE64CD" w:rsidP="00DE64CD">
      <w:pPr>
        <w:pStyle w:val="IFTnormal"/>
        <w:jc w:val="center"/>
        <w:rPr>
          <w:lang w:val="es-ES"/>
        </w:rPr>
      </w:pPr>
      <w:r w:rsidRPr="00B930D4">
        <w:rPr>
          <w:noProof/>
          <w:lang w:val="es-MX" w:eastAsia="es-MX"/>
        </w:rPr>
        <mc:AlternateContent>
          <mc:Choice Requires="cx1">
            <w:drawing>
              <wp:inline distT="0" distB="0" distL="0" distR="0" wp14:anchorId="77CC8B15" wp14:editId="7D008C54">
                <wp:extent cx="5011396" cy="2053087"/>
                <wp:effectExtent l="0" t="0" r="18415" b="4445"/>
                <wp:docPr id="6" name="Gráfico 6"/>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2"/>
                  </a:graphicData>
                </a:graphic>
              </wp:inline>
            </w:drawing>
          </mc:Choice>
          <mc:Fallback>
            <w:drawing>
              <wp:inline distT="0" distB="0" distL="0" distR="0" wp14:anchorId="77CC8B15" wp14:editId="7D008C54">
                <wp:extent cx="5011396" cy="2053087"/>
                <wp:effectExtent l="0" t="0" r="18415" b="4445"/>
                <wp:docPr id="6" name="Gráfico 6"/>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 name="Gráfico 6"/>
                        <pic:cNvPicPr>
                          <a:picLocks noGrp="1" noRot="1" noChangeAspect="1" noMove="1" noResize="1" noEditPoints="1" noAdjustHandles="1" noChangeArrowheads="1" noChangeShapeType="1"/>
                        </pic:cNvPicPr>
                      </pic:nvPicPr>
                      <pic:blipFill>
                        <a:blip r:embed="rId13"/>
                        <a:stretch>
                          <a:fillRect/>
                        </a:stretch>
                      </pic:blipFill>
                      <pic:spPr>
                        <a:xfrm>
                          <a:off x="0" y="0"/>
                          <a:ext cx="5010785" cy="2052955"/>
                        </a:xfrm>
                        <a:prstGeom prst="rect">
                          <a:avLst/>
                        </a:prstGeom>
                      </pic:spPr>
                    </pic:pic>
                  </a:graphicData>
                </a:graphic>
              </wp:inline>
            </w:drawing>
          </mc:Fallback>
        </mc:AlternateContent>
      </w:r>
    </w:p>
    <w:p w14:paraId="5062B9EB" w14:textId="3B392F48" w:rsidR="00DE64CD" w:rsidRDefault="008512A0" w:rsidP="00DE64CD">
      <w:pPr>
        <w:pStyle w:val="IFTnormal"/>
        <w:ind w:right="48"/>
        <w:rPr>
          <w:color w:val="000000" w:themeColor="text1"/>
          <w:sz w:val="18"/>
          <w:szCs w:val="18"/>
        </w:rPr>
      </w:pPr>
      <w:r>
        <w:rPr>
          <w:b/>
          <w:color w:val="000000" w:themeColor="text1"/>
          <w:sz w:val="18"/>
          <w:szCs w:val="18"/>
        </w:rPr>
        <w:lastRenderedPageBreak/>
        <w:t>Figura 1</w:t>
      </w:r>
      <w:r w:rsidR="00DE64CD" w:rsidRPr="005F6455">
        <w:rPr>
          <w:b/>
          <w:color w:val="000000" w:themeColor="text1"/>
          <w:sz w:val="18"/>
          <w:szCs w:val="18"/>
        </w:rPr>
        <w:t>:</w:t>
      </w:r>
      <w:r w:rsidR="00DE64CD" w:rsidRPr="005B2560">
        <w:rPr>
          <w:b/>
          <w:color w:val="000000" w:themeColor="text1"/>
          <w:sz w:val="18"/>
          <w:szCs w:val="18"/>
        </w:rPr>
        <w:t xml:space="preserve"> </w:t>
      </w:r>
      <w:r w:rsidR="00DE64CD" w:rsidRPr="00442595">
        <w:rPr>
          <w:color w:val="000000" w:themeColor="text1"/>
          <w:sz w:val="18"/>
          <w:szCs w:val="18"/>
        </w:rPr>
        <w:t>Esquema de precios implícitos asociados a la canasta de servicios de Internet, voz u</w:t>
      </w:r>
      <w:r w:rsidR="00DE64CD">
        <w:rPr>
          <w:color w:val="000000" w:themeColor="text1"/>
          <w:sz w:val="18"/>
          <w:szCs w:val="18"/>
        </w:rPr>
        <w:t xml:space="preserve"> otros a los que un Usuario Final accede a trav</w:t>
      </w:r>
      <w:r w:rsidR="00F702FB">
        <w:rPr>
          <w:color w:val="000000" w:themeColor="text1"/>
          <w:sz w:val="18"/>
          <w:szCs w:val="18"/>
        </w:rPr>
        <w:t xml:space="preserve">és de un plan o paquete de Telmex y Telnor </w:t>
      </w:r>
      <w:r w:rsidR="00DE64CD">
        <w:rPr>
          <w:color w:val="000000" w:themeColor="text1"/>
          <w:sz w:val="18"/>
          <w:szCs w:val="18"/>
        </w:rPr>
        <w:t>(</w:t>
      </w:r>
      <w:r w:rsidR="00DE64CD" w:rsidRPr="00442595">
        <w:rPr>
          <w:b/>
          <w:color w:val="000000" w:themeColor="text1"/>
          <w:sz w:val="18"/>
          <w:szCs w:val="18"/>
        </w:rPr>
        <w:t xml:space="preserve">Fuente: </w:t>
      </w:r>
      <w:r>
        <w:rPr>
          <w:color w:val="000000" w:themeColor="text1"/>
          <w:sz w:val="18"/>
          <w:szCs w:val="18"/>
        </w:rPr>
        <w:t>IFT</w:t>
      </w:r>
      <w:r w:rsidR="00DE64CD">
        <w:rPr>
          <w:color w:val="000000" w:themeColor="text1"/>
          <w:sz w:val="18"/>
          <w:szCs w:val="18"/>
        </w:rPr>
        <w:t>).</w:t>
      </w:r>
    </w:p>
    <w:p w14:paraId="768348E8" w14:textId="0ECB17F6" w:rsidR="00DE64CD" w:rsidRDefault="00DE64CD" w:rsidP="00DE64CD">
      <w:pPr>
        <w:pStyle w:val="IFTnormal"/>
      </w:pPr>
      <w:r>
        <w:t>Es por ello que en e</w:t>
      </w:r>
      <w:r w:rsidRPr="00CB39DF">
        <w:t xml:space="preserve">l Modelo </w:t>
      </w:r>
      <w:r>
        <w:t xml:space="preserve">de Costos Evitados se establecen los precios de referencia de los servicios de desagregación partir de los precios implícitos de los elementos o servicios que caracterizan los planes y paquetes </w:t>
      </w:r>
      <w:r w:rsidR="005C4CDC">
        <w:t>de Telmex y Telnor</w:t>
      </w:r>
      <w:r>
        <w:t xml:space="preserve"> a partir de los cuales ofrece servicios de telefonía e Internet en el mercado minorista.</w:t>
      </w:r>
    </w:p>
    <w:p w14:paraId="2590D2A3" w14:textId="14DA4C86" w:rsidR="00DE64CD" w:rsidRDefault="00DE64CD" w:rsidP="00DE64CD">
      <w:pPr>
        <w:pStyle w:val="IFTnormal"/>
      </w:pPr>
      <w:r>
        <w:t xml:space="preserve">Con base en este enfoque, los ingresos que </w:t>
      </w:r>
      <w:r w:rsidR="005C4CDC">
        <w:t>Telmex y Telnor</w:t>
      </w:r>
      <w:r>
        <w:t xml:space="preserve"> obtiene</w:t>
      </w:r>
      <w:r w:rsidR="005C4CDC">
        <w:t>n</w:t>
      </w:r>
      <w:r>
        <w:t xml:space="preserve"> respecto a los elementos o servicios que conforman las canastas de dichos planes o paquetes se obtiene mediante la multiplicación del precio implícito por la cantidad de usuarios de los planes o paquetes correspondientes, para posteriormente atribuir, a partir de dichos ingresos, los costos evitados correspondientes a tales actividades de acuerdo con el alcance de los diferentes servicios mayoristas modelados.</w:t>
      </w:r>
    </w:p>
    <w:p w14:paraId="3FED6F7C" w14:textId="35E288C4" w:rsidR="00DE64CD" w:rsidRDefault="00CD7950" w:rsidP="00DE64CD">
      <w:pPr>
        <w:pStyle w:val="IFTnormal"/>
      </w:pPr>
      <w:r>
        <w:rPr>
          <w:noProof/>
          <w:lang w:val="es-MX" w:eastAsia="es-MX"/>
        </w:rPr>
        <mc:AlternateContent>
          <mc:Choice Requires="wps">
            <w:drawing>
              <wp:anchor distT="0" distB="0" distL="114300" distR="114300" simplePos="0" relativeHeight="251658240" behindDoc="0" locked="0" layoutInCell="1" allowOverlap="1" wp14:anchorId="4EA58CE3" wp14:editId="57E2A89D">
                <wp:simplePos x="0" y="0"/>
                <wp:positionH relativeFrom="column">
                  <wp:posOffset>573405</wp:posOffset>
                </wp:positionH>
                <wp:positionV relativeFrom="paragraph">
                  <wp:posOffset>788876</wp:posOffset>
                </wp:positionV>
                <wp:extent cx="147995" cy="73491"/>
                <wp:effectExtent l="0" t="0" r="4445" b="3175"/>
                <wp:wrapNone/>
                <wp:docPr id="1" name="Rectángulo 1"/>
                <wp:cNvGraphicFramePr/>
                <a:graphic xmlns:a="http://schemas.openxmlformats.org/drawingml/2006/main">
                  <a:graphicData uri="http://schemas.microsoft.com/office/word/2010/wordprocessingShape">
                    <wps:wsp>
                      <wps:cNvSpPr/>
                      <wps:spPr>
                        <a:xfrm flipH="1">
                          <a:off x="0" y="0"/>
                          <a:ext cx="147995" cy="73491"/>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816E4" id="Rectángulo 1" o:spid="_x0000_s1026" style="position:absolute;margin-left:45.15pt;margin-top:62.1pt;width:11.65pt;height:5.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" fillcolor="#7f7f7f [1612]" stroked="f" strokeweight="1pt"/>
            </w:pict>
          </mc:Fallback>
        </mc:AlternateContent>
      </w:r>
      <w:r w:rsidR="00DE64CD">
        <w:rPr>
          <w:noProof/>
          <w:lang w:val="es-MX" w:eastAsia="es-MX"/>
        </w:rPr>
        <w:drawing>
          <wp:inline distT="0" distB="0" distL="0" distR="0" wp14:anchorId="1914726C" wp14:editId="40764F1C">
            <wp:extent cx="5999244" cy="1879877"/>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8664"/>
                    <a:stretch/>
                  </pic:blipFill>
                  <pic:spPr bwMode="auto">
                    <a:xfrm>
                      <a:off x="0" y="0"/>
                      <a:ext cx="6024124" cy="1887673"/>
                    </a:xfrm>
                    <a:prstGeom prst="rect">
                      <a:avLst/>
                    </a:prstGeom>
                    <a:noFill/>
                    <a:ln>
                      <a:noFill/>
                    </a:ln>
                    <a:extLst>
                      <a:ext uri="{53640926-AAD7-44D8-BBD7-CCE9431645EC}">
                        <a14:shadowObscured xmlns:a14="http://schemas.microsoft.com/office/drawing/2010/main"/>
                      </a:ext>
                    </a:extLst>
                  </pic:spPr>
                </pic:pic>
              </a:graphicData>
            </a:graphic>
          </wp:inline>
        </w:drawing>
      </w:r>
    </w:p>
    <w:p w14:paraId="12DAD1B3" w14:textId="7E589883" w:rsidR="00DE64CD" w:rsidRDefault="008512A0" w:rsidP="00DE64CD">
      <w:pPr>
        <w:pStyle w:val="IFTnormal"/>
        <w:ind w:right="48"/>
        <w:rPr>
          <w:color w:val="000000" w:themeColor="text1"/>
          <w:sz w:val="18"/>
          <w:szCs w:val="18"/>
        </w:rPr>
      </w:pPr>
      <w:r>
        <w:rPr>
          <w:b/>
          <w:color w:val="000000" w:themeColor="text1"/>
          <w:sz w:val="18"/>
          <w:szCs w:val="18"/>
        </w:rPr>
        <w:lastRenderedPageBreak/>
        <w:t>Figura 2</w:t>
      </w:r>
      <w:r w:rsidR="00DE64CD" w:rsidRPr="005F6455">
        <w:rPr>
          <w:b/>
          <w:color w:val="000000" w:themeColor="text1"/>
          <w:sz w:val="18"/>
          <w:szCs w:val="18"/>
        </w:rPr>
        <w:t>:</w:t>
      </w:r>
      <w:r w:rsidR="00DE64CD" w:rsidRPr="005F6455">
        <w:rPr>
          <w:color w:val="000000" w:themeColor="text1"/>
          <w:sz w:val="18"/>
          <w:szCs w:val="18"/>
        </w:rPr>
        <w:t xml:space="preserve"> Esquema </w:t>
      </w:r>
      <w:r w:rsidR="00DE64CD">
        <w:rPr>
          <w:color w:val="000000" w:themeColor="text1"/>
          <w:sz w:val="18"/>
          <w:szCs w:val="18"/>
        </w:rPr>
        <w:t xml:space="preserve">de precios implícitos asociados a los elementos o servicios que caracterizan a los planes o paquetes </w:t>
      </w:r>
      <w:r w:rsidR="005C4CDC">
        <w:rPr>
          <w:color w:val="000000" w:themeColor="text1"/>
          <w:sz w:val="18"/>
          <w:szCs w:val="18"/>
        </w:rPr>
        <w:t>de Telmex y Telnor</w:t>
      </w:r>
      <w:r w:rsidR="00DE64CD">
        <w:rPr>
          <w:color w:val="000000" w:themeColor="text1"/>
          <w:sz w:val="18"/>
          <w:szCs w:val="18"/>
        </w:rPr>
        <w:t xml:space="preserve"> en el Modelo de Costos Evitados.</w:t>
      </w:r>
    </w:p>
    <w:p w14:paraId="6FAB77D9" w14:textId="08E41B84" w:rsidR="00DE64CD" w:rsidRPr="00CB39DF" w:rsidRDefault="00DE64CD" w:rsidP="00DE64CD">
      <w:pPr>
        <w:pStyle w:val="IFTnormal"/>
      </w:pPr>
      <w:r>
        <w:t xml:space="preserve">Otra de las razones por las que en el Modelo de Costos Evitados se emplea el enfoque de precios implícitos es que permite representar a nivel promedio el precio de referencia que se asocia a ciertos servicios de desagregación, a partir de las tarifas que </w:t>
      </w:r>
      <w:r w:rsidR="005C4CDC">
        <w:t>Telmex y Telnor</w:t>
      </w:r>
      <w:r>
        <w:t xml:space="preserve"> ofrece</w:t>
      </w:r>
      <w:r w:rsidR="005C4CDC">
        <w:t>n</w:t>
      </w:r>
      <w:r>
        <w:t xml:space="preserve"> para sus usuarios. Ello se realiza través de la estimación del </w:t>
      </w:r>
      <w:r w:rsidRPr="006A3123">
        <w:rPr>
          <w:b/>
        </w:rPr>
        <w:t>precio implícito a nivel promedio</w:t>
      </w:r>
      <w:r>
        <w:rPr>
          <w:b/>
        </w:rPr>
        <w:t xml:space="preserve"> </w:t>
      </w:r>
      <w:r w:rsidRPr="00D3536D">
        <w:t>al tomar los precios implícitos individuales de cada elemento o servicio que ofrece las mismas características en cada plan o paquete y ponderarlos con el número de clientes que acceden a cada uno de estos planes o paquetes</w:t>
      </w:r>
      <w:r>
        <w:t>.</w:t>
      </w:r>
    </w:p>
    <w:p w14:paraId="2021A609" w14:textId="5BDA13B1" w:rsidR="00DE64CD" w:rsidRDefault="00DE64CD" w:rsidP="00DE64CD">
      <w:pPr>
        <w:pStyle w:val="IFTnormal"/>
      </w:pPr>
      <w:r w:rsidRPr="00324945">
        <w:t>En este sentido,</w:t>
      </w:r>
      <w:r w:rsidRPr="008E03CC">
        <w:t xml:space="preserve"> </w:t>
      </w:r>
      <w:r w:rsidRPr="00324945">
        <w:t>el enfoque metodológico para</w:t>
      </w:r>
      <w:r w:rsidRPr="00F8037D">
        <w:t xml:space="preserve"> </w:t>
      </w:r>
      <w:r>
        <w:t xml:space="preserve">representar el precio implícito </w:t>
      </w:r>
      <w:r w:rsidRPr="00324945">
        <w:t xml:space="preserve">de los servicios que componen </w:t>
      </w:r>
      <w:r w:rsidRPr="00324945">
        <w:rPr>
          <w:lang w:val="es-ES"/>
        </w:rPr>
        <w:t xml:space="preserve">planes y paquetes </w:t>
      </w:r>
      <w:r w:rsidR="005C4CDC">
        <w:rPr>
          <w:lang w:val="es-ES"/>
        </w:rPr>
        <w:t>de Telmex y Telnor</w:t>
      </w:r>
      <w:r w:rsidRPr="00324945">
        <w:rPr>
          <w:lang w:val="es-ES"/>
        </w:rPr>
        <w:t xml:space="preserve"> </w:t>
      </w:r>
      <w:r>
        <w:rPr>
          <w:lang w:val="es-ES"/>
        </w:rPr>
        <w:t>se aborda</w:t>
      </w:r>
      <w:r w:rsidRPr="00324945">
        <w:rPr>
          <w:lang w:val="es-ES"/>
        </w:rPr>
        <w:t xml:space="preserve"> en la sección</w:t>
      </w:r>
      <w:r w:rsidR="00A565A7">
        <w:t xml:space="preserve"> </w:t>
      </w:r>
      <w:r w:rsidR="00A565A7">
        <w:fldChar w:fldCharType="begin"/>
      </w:r>
      <w:r w:rsidR="00A565A7">
        <w:instrText xml:space="preserve"> REF _Ref530071083 \r \h </w:instrText>
      </w:r>
      <w:r w:rsidR="00A565A7">
        <w:fldChar w:fldCharType="separate"/>
      </w:r>
      <w:r w:rsidR="00A565A7">
        <w:t>1.3.1</w:t>
      </w:r>
      <w:r w:rsidR="00A565A7">
        <w:fldChar w:fldCharType="end"/>
      </w:r>
      <w:r>
        <w:t>.</w:t>
      </w:r>
      <w:r w:rsidR="00EC6629">
        <w:t>;</w:t>
      </w:r>
      <w:r w:rsidDel="008E2DF2">
        <w:t xml:space="preserve"> </w:t>
      </w:r>
      <w:r w:rsidR="008E2DF2">
        <w:t>m</w:t>
      </w:r>
      <w:r>
        <w:t xml:space="preserve">ientras que el enfoque metodológico seguido en el modelo para definir </w:t>
      </w:r>
      <w:r w:rsidRPr="00324945">
        <w:rPr>
          <w:lang w:val="es-ES"/>
        </w:rPr>
        <w:t>los precios de referencia de</w:t>
      </w:r>
      <w:r>
        <w:rPr>
          <w:lang w:val="es-ES"/>
        </w:rPr>
        <w:t xml:space="preserve"> los servicios de desagregación, se aborda en las</w:t>
      </w:r>
      <w:r w:rsidR="009C4F1A">
        <w:rPr>
          <w:lang w:val="es-ES"/>
        </w:rPr>
        <w:t xml:space="preserve"> secciones</w:t>
      </w:r>
      <w:r>
        <w:rPr>
          <w:lang w:val="es-ES"/>
        </w:rPr>
        <w:t xml:space="preserve"> </w:t>
      </w:r>
      <w:r>
        <w:fldChar w:fldCharType="begin"/>
      </w:r>
      <w:r>
        <w:instrText xml:space="preserve"> REF _Ref530070936 \r \h </w:instrText>
      </w:r>
      <w:r>
        <w:fldChar w:fldCharType="separate"/>
      </w:r>
      <w:r w:rsidR="00A565A7">
        <w:t>1.3.2</w:t>
      </w:r>
      <w:r>
        <w:fldChar w:fldCharType="end"/>
      </w:r>
      <w:r>
        <w:t xml:space="preserve"> y </w:t>
      </w:r>
      <w:r>
        <w:fldChar w:fldCharType="begin"/>
      </w:r>
      <w:r>
        <w:instrText xml:space="preserve"> REF _Ref530166584 \r \h </w:instrText>
      </w:r>
      <w:r>
        <w:fldChar w:fldCharType="separate"/>
      </w:r>
      <w:r w:rsidR="00A565A7">
        <w:t>1.3.2.4</w:t>
      </w:r>
      <w:r>
        <w:fldChar w:fldCharType="end"/>
      </w:r>
      <w:r>
        <w:t xml:space="preserve"> (Servicios de Reventa y particularmente SRMLT)</w:t>
      </w:r>
      <w:r w:rsidR="00EC6629">
        <w:t>;</w:t>
      </w:r>
      <w:r>
        <w:t xml:space="preserve"> </w:t>
      </w:r>
      <w:r w:rsidR="00EC6629">
        <w:t>finalmente,</w:t>
      </w:r>
      <w:r>
        <w:t xml:space="preserve"> lo correspondiente al SAIB  </w:t>
      </w:r>
      <w:r w:rsidR="00EC6629">
        <w:t xml:space="preserve"> se </w:t>
      </w:r>
      <w:r w:rsidR="009C4F1A">
        <w:t>trata</w:t>
      </w:r>
      <w:r w:rsidR="00EC6629">
        <w:t xml:space="preserve"> en </w:t>
      </w:r>
      <w:r w:rsidR="00586D25">
        <w:t>la sección</w:t>
      </w:r>
      <w:r w:rsidR="008E2DF2">
        <w:t xml:space="preserve"> </w:t>
      </w:r>
      <w:r>
        <w:fldChar w:fldCharType="begin"/>
      </w:r>
      <w:r>
        <w:instrText xml:space="preserve"> REF _Ref530138278 \r \h </w:instrText>
      </w:r>
      <w:r>
        <w:fldChar w:fldCharType="separate"/>
      </w:r>
      <w:r w:rsidR="00A565A7">
        <w:t>1.3.2.5</w:t>
      </w:r>
      <w:r>
        <w:fldChar w:fldCharType="end"/>
      </w:r>
      <w:r w:rsidR="00A66A65">
        <w:t xml:space="preserve"> y 1.3.2.6</w:t>
      </w:r>
      <w:r>
        <w:t>.</w:t>
      </w:r>
    </w:p>
    <w:p w14:paraId="45EB77D1" w14:textId="1D341FC8" w:rsidR="00DE64CD" w:rsidRDefault="00DE64CD" w:rsidP="00DE64CD">
      <w:pPr>
        <w:pStyle w:val="PuntosC4"/>
        <w:numPr>
          <w:ilvl w:val="2"/>
          <w:numId w:val="40"/>
        </w:numPr>
        <w:ind w:left="709" w:hanging="709"/>
        <w:outlineLvl w:val="2"/>
      </w:pPr>
      <w:bookmarkStart w:id="26" w:name="_Ref530071083"/>
      <w:bookmarkStart w:id="27" w:name="_Toc51700007"/>
      <w:bookmarkStart w:id="28" w:name="_Toc52188496"/>
      <w:r>
        <w:t xml:space="preserve">Enfoque de estimación del </w:t>
      </w:r>
      <w:r w:rsidRPr="00EF67E5">
        <w:t xml:space="preserve">precio implícito </w:t>
      </w:r>
      <w:r>
        <w:t>de los elementos que integran la canasta de servicios de los planes y paquetes de</w:t>
      </w:r>
      <w:r w:rsidR="00AF3176">
        <w:t xml:space="preserve"> Telmex y Telnor</w:t>
      </w:r>
      <w:bookmarkEnd w:id="26"/>
      <w:bookmarkEnd w:id="27"/>
      <w:bookmarkEnd w:id="28"/>
    </w:p>
    <w:p w14:paraId="341AF067" w14:textId="2F7D2169" w:rsidR="00420832" w:rsidRDefault="00420832" w:rsidP="00420832">
      <w:pPr>
        <w:pStyle w:val="PuntosC4"/>
        <w:numPr>
          <w:ilvl w:val="3"/>
          <w:numId w:val="40"/>
        </w:numPr>
        <w:outlineLvl w:val="2"/>
      </w:pPr>
      <w:bookmarkStart w:id="29" w:name="_Toc51700008"/>
      <w:bookmarkStart w:id="30" w:name="_Toc52188497"/>
      <w:r>
        <w:t>Módulo de Imputación de Precios Implícitos</w:t>
      </w:r>
      <w:bookmarkEnd w:id="29"/>
      <w:bookmarkEnd w:id="30"/>
    </w:p>
    <w:p w14:paraId="5052BB0A" w14:textId="77777777" w:rsidR="003439C3" w:rsidRDefault="003439C3" w:rsidP="00DE64CD">
      <w:pPr>
        <w:pStyle w:val="IFTnormal"/>
      </w:pPr>
      <w:r>
        <w:lastRenderedPageBreak/>
        <w:t>Como se ha mencionado anteriormente,</w:t>
      </w:r>
      <w:r w:rsidRPr="00984D4E">
        <w:t xml:space="preserve"> </w:t>
      </w:r>
      <w:r>
        <w:t>l</w:t>
      </w:r>
      <w:r w:rsidRPr="00984D4E">
        <w:t xml:space="preserve">os planes o paquetes se </w:t>
      </w:r>
      <w:r>
        <w:t>componen por</w:t>
      </w:r>
      <w:r w:rsidRPr="00984D4E">
        <w:t xml:space="preserve"> una combinación de</w:t>
      </w:r>
      <w:r>
        <w:t xml:space="preserve"> i) renta de línea, ii) servicios de voz, iii) servicios de Internet y iv) otros conceptos (conforme a los argumentos expuestos en la sección </w:t>
      </w:r>
      <w:r>
        <w:fldChar w:fldCharType="begin"/>
      </w:r>
      <w:r>
        <w:instrText xml:space="preserve"> REF _Ref530071322 \r \h </w:instrText>
      </w:r>
      <w:r>
        <w:fldChar w:fldCharType="separate"/>
      </w:r>
      <w:r>
        <w:t>1.3</w:t>
      </w:r>
      <w:r>
        <w:fldChar w:fldCharType="end"/>
      </w:r>
      <w:r w:rsidDel="00A66A65">
        <w:t>)</w:t>
      </w:r>
      <w:r>
        <w:t>.</w:t>
      </w:r>
    </w:p>
    <w:p w14:paraId="55C47F3B" w14:textId="6235039E" w:rsidR="00EC6629" w:rsidRDefault="00C60528" w:rsidP="00DE64CD">
      <w:pPr>
        <w:pStyle w:val="IFTnormal"/>
      </w:pPr>
      <w:r w:rsidRPr="00B510E4">
        <w:t>L</w:t>
      </w:r>
      <w:r w:rsidR="00DE64CD" w:rsidRPr="00B510E4">
        <w:t xml:space="preserve">a estimación de los precios implícitos asociados a los planes y paquetes mediante los cuales </w:t>
      </w:r>
      <w:r w:rsidR="00AF3176" w:rsidRPr="00B510E4">
        <w:t>Telmex y Telnor</w:t>
      </w:r>
      <w:r w:rsidR="00DE64CD" w:rsidRPr="00B510E4">
        <w:t xml:space="preserve"> ofrece</w:t>
      </w:r>
      <w:r w:rsidR="00AF3176" w:rsidRPr="00B510E4">
        <w:t>n</w:t>
      </w:r>
      <w:r w:rsidR="00DE64CD" w:rsidRPr="00B510E4">
        <w:t xml:space="preserve"> telefonía e Internet en el mercado minorista</w:t>
      </w:r>
      <w:r w:rsidR="001146B6" w:rsidRPr="00B510E4">
        <w:t xml:space="preserve"> (</w:t>
      </w:r>
      <w:r w:rsidR="001146B6" w:rsidRPr="00B510E4">
        <w:rPr>
          <w:i/>
        </w:rPr>
        <w:t>doble play</w:t>
      </w:r>
      <w:r w:rsidR="001146B6" w:rsidRPr="00B510E4">
        <w:t>)</w:t>
      </w:r>
      <w:r w:rsidR="00575B70" w:rsidRPr="00B510E4">
        <w:t xml:space="preserve"> </w:t>
      </w:r>
      <w:r w:rsidR="00DE64CD" w:rsidRPr="00B510E4">
        <w:t xml:space="preserve">se realiza a partir </w:t>
      </w:r>
      <w:r w:rsidR="00A4557C" w:rsidRPr="00B510E4">
        <w:t xml:space="preserve">de un Módulo de Imputación de </w:t>
      </w:r>
      <w:r w:rsidR="00EC6629" w:rsidRPr="00B510E4">
        <w:t>P</w:t>
      </w:r>
      <w:r w:rsidR="00A4557C" w:rsidRPr="00B510E4">
        <w:t>recios</w:t>
      </w:r>
      <w:r w:rsidR="00607430" w:rsidRPr="00B510E4">
        <w:t xml:space="preserve"> </w:t>
      </w:r>
      <w:r w:rsidR="00EC6629" w:rsidRPr="00B510E4">
        <w:t>I</w:t>
      </w:r>
      <w:r w:rsidR="00607430" w:rsidRPr="00B510E4">
        <w:t>mplícitos</w:t>
      </w:r>
      <w:r w:rsidRPr="00B510E4">
        <w:t xml:space="preserve">, el cual </w:t>
      </w:r>
      <w:r w:rsidR="008F7A87" w:rsidRPr="00B510E4">
        <w:t xml:space="preserve">recurre a un método econométrico y sistematiza </w:t>
      </w:r>
      <w:r w:rsidR="00546033" w:rsidRPr="00B510E4">
        <w:t>relaciones entre cantidades y precios permitiendo una</w:t>
      </w:r>
      <w:r w:rsidR="008F7A87" w:rsidRPr="00B510E4">
        <w:t xml:space="preserve"> descomposición del precio de los paquetes entre los diferentes servicios que los componen. En particular, presenta la ventaja de</w:t>
      </w:r>
      <w:r w:rsidR="00546033" w:rsidRPr="00B510E4">
        <w:t xml:space="preserve"> permitir calcular un valor para el servicio de renta de línea(s) telefónica(s) coherente con la cantidad y el valor unitario de las líneas telefónicas incluidas en los diversos planes. </w:t>
      </w:r>
      <w:r w:rsidR="008F7A87" w:rsidRPr="00B510E4">
        <w:t xml:space="preserve"> </w:t>
      </w:r>
      <w:r w:rsidR="009F35F1" w:rsidRPr="00B510E4">
        <w:t xml:space="preserve"> </w:t>
      </w:r>
    </w:p>
    <w:p w14:paraId="756070E1" w14:textId="335407B7" w:rsidR="00DE64CD" w:rsidRPr="00984D4E" w:rsidRDefault="00580001" w:rsidP="00DE64CD">
      <w:pPr>
        <w:pStyle w:val="IFTnormal"/>
        <w:rPr>
          <w:rFonts w:ascii="Calibri" w:hAnsi="Calibri" w:cs="Times New Roman"/>
          <w:color w:val="auto"/>
          <w:lang w:val="es-MX" w:eastAsia="en-US"/>
        </w:rPr>
      </w:pPr>
      <w:r>
        <w:t>Este Módulo</w:t>
      </w:r>
      <w:r w:rsidR="00A4557C">
        <w:t xml:space="preserve"> </w:t>
      </w:r>
      <w:r w:rsidR="00EC6629">
        <w:t>de Imputación de Precios Implícitos</w:t>
      </w:r>
      <w:r w:rsidR="00FA4085">
        <w:rPr>
          <w:rStyle w:val="Refdenotaalpie"/>
        </w:rPr>
        <w:footnoteReference w:id="14"/>
      </w:r>
      <w:r w:rsidR="00EC6629">
        <w:t xml:space="preserve"> </w:t>
      </w:r>
      <w:r w:rsidR="00CC29D3">
        <w:t xml:space="preserve">se basa </w:t>
      </w:r>
      <w:r w:rsidR="00A67729">
        <w:t>en una estimación</w:t>
      </w:r>
      <w:r w:rsidR="00A4557C">
        <w:t xml:space="preserve"> econométric</w:t>
      </w:r>
      <w:r w:rsidR="00A67729">
        <w:t>a</w:t>
      </w:r>
      <w:r w:rsidR="00A4557C">
        <w:t xml:space="preserve"> realizad</w:t>
      </w:r>
      <w:r w:rsidR="00A67729">
        <w:t>a</w:t>
      </w:r>
      <w:r w:rsidR="00A4557C">
        <w:t xml:space="preserve"> por el Instituto</w:t>
      </w:r>
      <w:r>
        <w:t xml:space="preserve"> para inferir los precios implícitos de los </w:t>
      </w:r>
      <w:r>
        <w:lastRenderedPageBreak/>
        <w:t>paquetes</w:t>
      </w:r>
      <w:r w:rsidR="00A4557C" w:rsidRPr="00546033">
        <w:t>.</w:t>
      </w:r>
      <w:r w:rsidRPr="00546033">
        <w:t xml:space="preserve"> </w:t>
      </w:r>
      <w:r w:rsidR="00546033" w:rsidRPr="00546033">
        <w:t>Si bien utiliza primordialmente el resultado de esta</w:t>
      </w:r>
      <w:r w:rsidR="00A4557C" w:rsidRPr="00546033">
        <w:t xml:space="preserve"> estimación</w:t>
      </w:r>
      <w:r w:rsidR="00546033" w:rsidRPr="00546033">
        <w:t>, también</w:t>
      </w:r>
      <w:r w:rsidR="00A4557C">
        <w:t xml:space="preserve"> emplea </w:t>
      </w:r>
      <w:r w:rsidR="002A6692">
        <w:t xml:space="preserve">como un insumo </w:t>
      </w:r>
      <w:r w:rsidR="00DE64CD">
        <w:t xml:space="preserve">información y datos aportados por </w:t>
      </w:r>
      <w:r w:rsidR="00CC29D3">
        <w:t xml:space="preserve">Telmex y Telnor </w:t>
      </w:r>
      <w:r w:rsidR="002A6692">
        <w:t>sobre</w:t>
      </w:r>
      <w:r w:rsidR="00CC29D3">
        <w:t xml:space="preserve"> </w:t>
      </w:r>
      <w:r w:rsidR="00DE64CD">
        <w:t>la</w:t>
      </w:r>
      <w:r w:rsidR="00DE64CD" w:rsidRPr="00B55028">
        <w:t xml:space="preserve"> </w:t>
      </w:r>
      <w:r w:rsidR="002A6692">
        <w:t>des</w:t>
      </w:r>
      <w:r w:rsidR="00DE64CD" w:rsidRPr="00CE51F4">
        <w:t>composición e</w:t>
      </w:r>
      <w:r w:rsidR="00A4557C">
        <w:t>n</w:t>
      </w:r>
      <w:r w:rsidR="00DE64CD" w:rsidRPr="00CE51F4">
        <w:t xml:space="preserve"> precios de </w:t>
      </w:r>
      <w:r w:rsidR="00CC29D3">
        <w:t>sus</w:t>
      </w:r>
      <w:r w:rsidR="00607430">
        <w:t xml:space="preserve"> </w:t>
      </w:r>
      <w:r w:rsidR="00DE64CD" w:rsidRPr="00CE51F4">
        <w:t>planes y paquetes</w:t>
      </w:r>
      <w:r w:rsidR="00A4557C">
        <w:t xml:space="preserve"> </w:t>
      </w:r>
      <w:r w:rsidR="00A4557C" w:rsidRPr="00A565A7">
        <w:rPr>
          <w:i/>
        </w:rPr>
        <w:t>de entrada</w:t>
      </w:r>
      <w:r w:rsidR="00A4557C">
        <w:t xml:space="preserve">, es decir </w:t>
      </w:r>
      <w:r w:rsidR="002A6692">
        <w:t xml:space="preserve">de </w:t>
      </w:r>
      <w:r w:rsidR="00A4557C">
        <w:t xml:space="preserve">los paquetes de menor precio </w:t>
      </w:r>
      <w:r w:rsidR="00607430">
        <w:t>y composición</w:t>
      </w:r>
      <w:r w:rsidR="008E6B7A">
        <w:t xml:space="preserve"> en el segmento residencial y en el segmento empresarial</w:t>
      </w:r>
      <w:r w:rsidR="006F681A">
        <w:t xml:space="preserve">. </w:t>
      </w:r>
    </w:p>
    <w:p w14:paraId="05394AA2" w14:textId="49766D29" w:rsidR="00F137CE" w:rsidRDefault="002A6692" w:rsidP="009B7EDF">
      <w:pPr>
        <w:jc w:val="both"/>
        <w:rPr>
          <w:rFonts w:ascii="ITC Avant Garde" w:hAnsi="ITC Avant Garde"/>
          <w:bCs/>
        </w:rPr>
      </w:pPr>
      <w:r>
        <w:rPr>
          <w:rFonts w:ascii="ITC Avant Garde" w:hAnsi="ITC Avant Garde"/>
          <w:bCs/>
        </w:rPr>
        <w:t>En un primer momento</w:t>
      </w:r>
      <w:r w:rsidR="007362A6">
        <w:rPr>
          <w:rFonts w:ascii="ITC Avant Garde" w:hAnsi="ITC Avant Garde"/>
          <w:bCs/>
        </w:rPr>
        <w:t>, e</w:t>
      </w:r>
      <w:r w:rsidR="00F137CE" w:rsidRPr="00F137CE">
        <w:rPr>
          <w:rFonts w:ascii="ITC Avant Garde" w:hAnsi="ITC Avant Garde"/>
          <w:bCs/>
        </w:rPr>
        <w:t xml:space="preserve">l </w:t>
      </w:r>
      <w:r>
        <w:rPr>
          <w:rFonts w:ascii="ITC Avant Garde" w:hAnsi="ITC Avant Garde"/>
          <w:bCs/>
        </w:rPr>
        <w:t>modelo econométrico</w:t>
      </w:r>
      <w:r w:rsidR="007362A6">
        <w:rPr>
          <w:rFonts w:ascii="ITC Avant Garde" w:hAnsi="ITC Avant Garde"/>
          <w:bCs/>
        </w:rPr>
        <w:t xml:space="preserve"> </w:t>
      </w:r>
      <w:r w:rsidR="009E453D">
        <w:rPr>
          <w:rFonts w:ascii="ITC Avant Garde" w:hAnsi="ITC Avant Garde"/>
          <w:bCs/>
        </w:rPr>
        <w:t>de Precios Implícitos</w:t>
      </w:r>
      <w:r w:rsidR="00F137CE" w:rsidRPr="00F137CE">
        <w:rPr>
          <w:rFonts w:ascii="ITC Avant Garde" w:hAnsi="ITC Avant Garde"/>
          <w:bCs/>
        </w:rPr>
        <w:t>, utilizando</w:t>
      </w:r>
      <w:r w:rsidR="00F137CE">
        <w:rPr>
          <w:bCs/>
        </w:rPr>
        <w:t xml:space="preserve"> </w:t>
      </w:r>
      <w:r w:rsidR="00F137CE">
        <w:rPr>
          <w:rFonts w:ascii="ITC Avant Garde" w:hAnsi="ITC Avant Garde"/>
        </w:rPr>
        <w:t xml:space="preserve">datos de paquetes </w:t>
      </w:r>
      <w:r w:rsidR="00F137CE" w:rsidRPr="00F137CE">
        <w:rPr>
          <w:rFonts w:ascii="ITC Avant Garde" w:hAnsi="ITC Avant Garde"/>
          <w:i/>
        </w:rPr>
        <w:t>doble play</w:t>
      </w:r>
      <w:r w:rsidR="00F137CE">
        <w:rPr>
          <w:rFonts w:ascii="ITC Avant Garde" w:hAnsi="ITC Avant Garde"/>
        </w:rPr>
        <w:t xml:space="preserve"> del Visor de Tarifas del Registro Público de Telecomunicaciones</w:t>
      </w:r>
      <w:r w:rsidR="00F137CE">
        <w:rPr>
          <w:rStyle w:val="Refdenotaalpie"/>
          <w:rFonts w:ascii="ITC Avant Garde" w:hAnsi="ITC Avant Garde"/>
        </w:rPr>
        <w:footnoteReference w:id="15"/>
      </w:r>
      <w:r w:rsidR="00F137CE">
        <w:rPr>
          <w:rFonts w:ascii="ITC Avant Garde" w:hAnsi="ITC Avant Garde"/>
        </w:rPr>
        <w:t xml:space="preserve"> vigentes en marzo 2020 corre</w:t>
      </w:r>
      <w:r w:rsidR="007362A6">
        <w:rPr>
          <w:rFonts w:ascii="ITC Avant Garde" w:hAnsi="ITC Avant Garde"/>
        </w:rPr>
        <w:t>,</w:t>
      </w:r>
      <w:r w:rsidR="00F137CE">
        <w:rPr>
          <w:rFonts w:ascii="ITC Avant Garde" w:hAnsi="ITC Avant Garde"/>
        </w:rPr>
        <w:t xml:space="preserve"> </w:t>
      </w:r>
      <w:r w:rsidR="007362A6">
        <w:rPr>
          <w:rFonts w:ascii="ITC Avant Garde" w:hAnsi="ITC Avant Garde"/>
          <w:bCs/>
        </w:rPr>
        <w:t>tanto para planes residenciales que comerciales,</w:t>
      </w:r>
      <w:r w:rsidR="007362A6" w:rsidRPr="009B7EDF">
        <w:rPr>
          <w:rFonts w:ascii="ITC Avant Garde" w:hAnsi="ITC Avant Garde"/>
          <w:bCs/>
        </w:rPr>
        <w:t xml:space="preserve"> </w:t>
      </w:r>
      <w:r w:rsidR="00F137CE" w:rsidRPr="009B7EDF">
        <w:rPr>
          <w:rFonts w:ascii="ITC Avant Garde" w:hAnsi="ITC Avant Garde"/>
          <w:bCs/>
        </w:rPr>
        <w:t>un modelo econométrico de forma</w:t>
      </w:r>
      <w:r w:rsidR="00F137CE">
        <w:rPr>
          <w:rFonts w:ascii="ITC Avant Garde" w:hAnsi="ITC Avant Garde"/>
          <w:bCs/>
        </w:rPr>
        <w:t xml:space="preserve">: </w:t>
      </w:r>
    </w:p>
    <w:p w14:paraId="10C5E472" w14:textId="77777777" w:rsidR="00F94511" w:rsidRPr="00FA1582" w:rsidRDefault="00F94511" w:rsidP="00F94511">
      <w:pPr>
        <w:jc w:val="both"/>
        <w:rPr>
          <w:rFonts w:ascii="ITC Avant Garde" w:eastAsiaTheme="minorEastAsia" w:hAnsi="ITC Avant Garde"/>
          <w:sz w:val="24"/>
        </w:rPr>
      </w:pPr>
      <m:oMathPara>
        <m:oMath>
          <m:r>
            <w:rPr>
              <w:rFonts w:ascii="Cambria Math" w:hAnsi="Cambria Math"/>
              <w:sz w:val="24"/>
            </w:rPr>
            <m:t>ln</m:t>
          </m:r>
          <m:sSub>
            <m:sSubPr>
              <m:ctrlPr>
                <w:rPr>
                  <w:rFonts w:ascii="Cambria Math" w:hAnsi="Cambria Math"/>
                  <w:i/>
                  <w:sz w:val="24"/>
                </w:rPr>
              </m:ctrlPr>
            </m:sSubPr>
            <m:e>
              <m:r>
                <w:rPr>
                  <w:rFonts w:ascii="Cambria Math" w:hAnsi="Cambria Math"/>
                  <w:sz w:val="24"/>
                </w:rPr>
                <m:t>P</m:t>
              </m:r>
            </m:e>
            <m:sub>
              <m:r>
                <w:rPr>
                  <w:rFonts w:ascii="Cambria Math" w:hAnsi="Cambria Math"/>
                  <w:sz w:val="24"/>
                </w:rPr>
                <m:t>ijl</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β</m:t>
              </m:r>
            </m:e>
            <m:sub>
              <m:r>
                <w:rPr>
                  <w:rFonts w:ascii="Cambria Math" w:hAnsi="Cambria Math"/>
                  <w:sz w:val="24"/>
                </w:rPr>
                <m:t>0</m:t>
              </m:r>
            </m:sub>
          </m:sSub>
          <m:sSub>
            <m:sSubPr>
              <m:ctrlPr>
                <w:rPr>
                  <w:rFonts w:ascii="Cambria Math" w:hAnsi="Cambria Math"/>
                  <w:i/>
                  <w:sz w:val="24"/>
                </w:rPr>
              </m:ctrlPr>
            </m:sSubPr>
            <m:e>
              <m:r>
                <w:rPr>
                  <w:rFonts w:ascii="Cambria Math" w:hAnsi="Cambria Math"/>
                  <w:sz w:val="24"/>
                </w:rPr>
                <m:t>+ β</m:t>
              </m:r>
            </m:e>
            <m:sub>
              <m:r>
                <w:rPr>
                  <w:rFonts w:ascii="Cambria Math" w:hAnsi="Cambria Math"/>
                  <w:sz w:val="24"/>
                </w:rPr>
                <m:t>1</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Mbps</m:t>
              </m:r>
            </m:e>
            <m:sub>
              <m:r>
                <w:rPr>
                  <w:rFonts w:ascii="Cambria Math" w:hAnsi="Cambria Math"/>
                  <w:sz w:val="24"/>
                </w:rPr>
                <m:t>i</m:t>
              </m:r>
            </m:sub>
          </m:sSub>
          <m:sSub>
            <m:sSubPr>
              <m:ctrlPr>
                <w:rPr>
                  <w:rFonts w:ascii="Cambria Math" w:hAnsi="Cambria Math"/>
                  <w:i/>
                  <w:sz w:val="24"/>
                </w:rPr>
              </m:ctrlPr>
            </m:sSubPr>
            <m:e>
              <m:r>
                <w:rPr>
                  <w:rFonts w:ascii="Cambria Math" w:hAnsi="Cambria Math"/>
                  <w:sz w:val="24"/>
                </w:rPr>
                <m:t>+ β</m:t>
              </m:r>
            </m:e>
            <m:sub>
              <m:r>
                <w:rPr>
                  <w:rFonts w:ascii="Cambria Math" w:hAnsi="Cambria Math"/>
                  <w:sz w:val="24"/>
                </w:rPr>
                <m:t>2</m:t>
              </m:r>
            </m:sub>
          </m:sSub>
          <m:r>
            <w:rPr>
              <w:rFonts w:ascii="Cambria Math" w:hAnsi="Cambria Math"/>
              <w:sz w:val="24"/>
            </w:rPr>
            <m:t xml:space="preserve"> </m:t>
          </m:r>
          <m:sSubSup>
            <m:sSubSupPr>
              <m:ctrlPr>
                <w:rPr>
                  <w:rFonts w:ascii="Cambria Math" w:hAnsi="Cambria Math"/>
                  <w:i/>
                  <w:sz w:val="24"/>
                </w:rPr>
              </m:ctrlPr>
            </m:sSubSupPr>
            <m:e>
              <m:r>
                <w:rPr>
                  <w:rFonts w:ascii="Cambria Math" w:hAnsi="Cambria Math"/>
                  <w:sz w:val="24"/>
                </w:rPr>
                <m:t>Mbps</m:t>
              </m:r>
            </m:e>
            <m:sub>
              <m:r>
                <w:rPr>
                  <w:rFonts w:ascii="Cambria Math" w:hAnsi="Cambria Math"/>
                  <w:sz w:val="24"/>
                </w:rPr>
                <m:t>i</m:t>
              </m:r>
            </m:sub>
            <m:sup>
              <m:r>
                <w:rPr>
                  <w:rFonts w:ascii="Cambria Math" w:hAnsi="Cambria Math"/>
                  <w:sz w:val="24"/>
                </w:rPr>
                <m:t>2</m:t>
              </m:r>
            </m:sup>
          </m:sSubSup>
          <m:sSub>
            <m:sSubPr>
              <m:ctrlPr>
                <w:rPr>
                  <w:rFonts w:ascii="Cambria Math" w:hAnsi="Cambria Math"/>
                  <w:i/>
                  <w:sz w:val="24"/>
                </w:rPr>
              </m:ctrlPr>
            </m:sSubPr>
            <m:e>
              <m:r>
                <w:rPr>
                  <w:rFonts w:ascii="Cambria Math" w:hAnsi="Cambria Math"/>
                  <w:sz w:val="24"/>
                </w:rPr>
                <m:t>+ β</m:t>
              </m:r>
            </m:e>
            <m:sub>
              <m:r>
                <w:rPr>
                  <w:rFonts w:ascii="Cambria Math" w:hAnsi="Cambria Math"/>
                  <w:sz w:val="24"/>
                </w:rPr>
                <m:t>3</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LI</m:t>
              </m:r>
            </m:e>
            <m:sub>
              <m:r>
                <w:rPr>
                  <w:rFonts w:ascii="Cambria Math" w:hAnsi="Cambria Math"/>
                  <w:sz w:val="24"/>
                </w:rPr>
                <m:t>i</m:t>
              </m:r>
            </m:sub>
          </m:sSub>
          <m:sSub>
            <m:sSubPr>
              <m:ctrlPr>
                <w:rPr>
                  <w:rFonts w:ascii="Cambria Math" w:hAnsi="Cambria Math"/>
                  <w:i/>
                  <w:sz w:val="24"/>
                </w:rPr>
              </m:ctrlPr>
            </m:sSubPr>
            <m:e>
              <m:r>
                <w:rPr>
                  <w:rFonts w:ascii="Cambria Math" w:hAnsi="Cambria Math"/>
                  <w:sz w:val="24"/>
                </w:rPr>
                <m:t>+ β</m:t>
              </m:r>
            </m:e>
            <m:sub>
              <m:r>
                <w:rPr>
                  <w:rFonts w:ascii="Cambria Math" w:hAnsi="Cambria Math"/>
                  <w:sz w:val="24"/>
                </w:rPr>
                <m:t>4</m:t>
              </m:r>
            </m:sub>
          </m:sSub>
          <m:r>
            <w:rPr>
              <w:rFonts w:ascii="Cambria Math" w:hAnsi="Cambria Math"/>
              <w:sz w:val="24"/>
            </w:rPr>
            <m:t xml:space="preserve">  </m:t>
          </m:r>
          <m:sSubSup>
            <m:sSubSupPr>
              <m:ctrlPr>
                <w:rPr>
                  <w:rFonts w:ascii="Cambria Math" w:hAnsi="Cambria Math"/>
                  <w:i/>
                  <w:sz w:val="24"/>
                </w:rPr>
              </m:ctrlPr>
            </m:sSubSupPr>
            <m:e>
              <m:r>
                <w:rPr>
                  <w:rFonts w:ascii="Cambria Math" w:hAnsi="Cambria Math"/>
                  <w:sz w:val="24"/>
                </w:rPr>
                <m:t>LI</m:t>
              </m:r>
            </m:e>
            <m:sub>
              <m:r>
                <w:rPr>
                  <w:rFonts w:ascii="Cambria Math" w:hAnsi="Cambria Math"/>
                  <w:sz w:val="24"/>
                </w:rPr>
                <m:t>i</m:t>
              </m:r>
            </m:sub>
            <m:sup>
              <m:r>
                <w:rPr>
                  <w:rFonts w:ascii="Cambria Math" w:hAnsi="Cambria Math"/>
                  <w:sz w:val="24"/>
                </w:rPr>
                <m:t>2</m:t>
              </m:r>
            </m:sup>
          </m:sSubSup>
        </m:oMath>
      </m:oMathPara>
    </w:p>
    <w:p w14:paraId="28DBBBF1" w14:textId="5B6EAE05" w:rsidR="00F94511" w:rsidRPr="00205ECC" w:rsidRDefault="003175E4" w:rsidP="009B7EDF">
      <w:pPr>
        <w:jc w:val="both"/>
        <w:rPr>
          <w:rFonts w:ascii="ITC Avant Garde" w:eastAsiaTheme="minorEastAsia" w:hAnsi="ITC Avant Garde"/>
          <w:sz w:val="28"/>
        </w:rPr>
      </w:pPr>
      <m:oMathPara>
        <m:oMath>
          <m:sSub>
            <m:sSubPr>
              <m:ctrlPr>
                <w:rPr>
                  <w:rFonts w:ascii="Cambria Math" w:hAnsi="Cambria Math"/>
                  <w:i/>
                  <w:sz w:val="24"/>
                  <w:szCs w:val="20"/>
                </w:rPr>
              </m:ctrlPr>
            </m:sSubPr>
            <m:e>
              <m:r>
                <w:rPr>
                  <w:rFonts w:ascii="Cambria Math" w:hAnsi="Cambria Math"/>
                  <w:sz w:val="24"/>
                  <w:szCs w:val="20"/>
                </w:rPr>
                <m:t>+ β</m:t>
              </m:r>
            </m:e>
            <m:sub>
              <m:r>
                <w:rPr>
                  <w:rFonts w:ascii="Cambria Math" w:hAnsi="Cambria Math"/>
                  <w:sz w:val="24"/>
                  <w:szCs w:val="20"/>
                </w:rPr>
                <m:t>5</m:t>
              </m:r>
            </m:sub>
          </m:sSub>
          <m:r>
            <w:rPr>
              <w:rFonts w:ascii="Cambria Math" w:hAnsi="Cambria Math"/>
              <w:sz w:val="24"/>
              <w:szCs w:val="20"/>
            </w:rPr>
            <m:t xml:space="preserve"> </m:t>
          </m:r>
          <m:sSub>
            <m:sSubPr>
              <m:ctrlPr>
                <w:rPr>
                  <w:rFonts w:ascii="Cambria Math" w:eastAsiaTheme="minorEastAsia" w:hAnsi="Cambria Math"/>
                  <w:i/>
                  <w:sz w:val="24"/>
                  <w:szCs w:val="20"/>
                </w:rPr>
              </m:ctrlPr>
            </m:sSubPr>
            <m:e>
              <m:r>
                <w:rPr>
                  <w:rFonts w:ascii="Cambria Math" w:eastAsiaTheme="minorEastAsia" w:hAnsi="Cambria Math"/>
                  <w:sz w:val="24"/>
                  <w:szCs w:val="20"/>
                </w:rPr>
                <m:t>Dll</m:t>
              </m:r>
            </m:e>
            <m:sub>
              <m:r>
                <w:rPr>
                  <w:rFonts w:ascii="Cambria Math" w:eastAsiaTheme="minorEastAsia" w:hAnsi="Cambria Math"/>
                  <w:sz w:val="24"/>
                  <w:szCs w:val="20"/>
                </w:rPr>
                <m:t>i</m:t>
              </m:r>
            </m:sub>
          </m:sSub>
          <m:sSub>
            <m:sSubPr>
              <m:ctrlPr>
                <w:rPr>
                  <w:rFonts w:ascii="Cambria Math" w:hAnsi="Cambria Math"/>
                  <w:i/>
                  <w:sz w:val="24"/>
                  <w:szCs w:val="20"/>
                </w:rPr>
              </m:ctrlPr>
            </m:sSubPr>
            <m:e>
              <m:r>
                <w:rPr>
                  <w:rFonts w:ascii="Cambria Math" w:hAnsi="Cambria Math"/>
                  <w:sz w:val="24"/>
                  <w:szCs w:val="20"/>
                </w:rPr>
                <m:t xml:space="preserve"> +  β</m:t>
              </m:r>
            </m:e>
            <m:sub>
              <m:r>
                <w:rPr>
                  <w:rFonts w:ascii="Cambria Math" w:hAnsi="Cambria Math"/>
                  <w:sz w:val="24"/>
                  <w:szCs w:val="20"/>
                </w:rPr>
                <m:t>6</m:t>
              </m:r>
            </m:sub>
          </m:sSub>
          <m:r>
            <w:rPr>
              <w:rFonts w:ascii="Cambria Math" w:hAnsi="Cambria Math"/>
              <w:sz w:val="24"/>
              <w:szCs w:val="20"/>
            </w:rPr>
            <m:t xml:space="preserve"> </m:t>
          </m:r>
          <m:sSub>
            <m:sSubPr>
              <m:ctrlPr>
                <w:rPr>
                  <w:rFonts w:ascii="Cambria Math" w:eastAsiaTheme="minorEastAsia" w:hAnsi="Cambria Math"/>
                  <w:i/>
                  <w:sz w:val="24"/>
                  <w:szCs w:val="20"/>
                </w:rPr>
              </m:ctrlPr>
            </m:sSubPr>
            <m:e>
              <m:r>
                <w:rPr>
                  <w:rFonts w:ascii="Cambria Math" w:eastAsiaTheme="minorEastAsia" w:hAnsi="Cambria Math"/>
                  <w:sz w:val="24"/>
                  <w:szCs w:val="20"/>
                </w:rPr>
                <m:t>Dll</m:t>
              </m:r>
            </m:e>
            <m:sub>
              <m:r>
                <w:rPr>
                  <w:rFonts w:ascii="Cambria Math" w:eastAsiaTheme="minorEastAsia" w:hAnsi="Cambria Math"/>
                  <w:sz w:val="24"/>
                  <w:szCs w:val="20"/>
                </w:rPr>
                <m:t>i</m:t>
              </m:r>
            </m:sub>
          </m:sSub>
          <m:r>
            <w:rPr>
              <w:rFonts w:ascii="Cambria Math" w:eastAsiaTheme="minorEastAsia" w:hAnsi="Cambria Math"/>
              <w:sz w:val="24"/>
              <w:szCs w:val="20"/>
            </w:rPr>
            <m:t>.</m:t>
          </m:r>
          <m:sSub>
            <m:sSubPr>
              <m:ctrlPr>
                <w:rPr>
                  <w:rFonts w:ascii="Cambria Math" w:eastAsiaTheme="minorEastAsia" w:hAnsi="Cambria Math"/>
                  <w:i/>
                  <w:sz w:val="24"/>
                  <w:szCs w:val="20"/>
                </w:rPr>
              </m:ctrlPr>
            </m:sSubPr>
            <m:e>
              <m:r>
                <w:rPr>
                  <w:rFonts w:ascii="Cambria Math" w:eastAsiaTheme="minorEastAsia" w:hAnsi="Cambria Math"/>
                  <w:sz w:val="24"/>
                  <w:szCs w:val="20"/>
                </w:rPr>
                <m:t>LI</m:t>
              </m:r>
            </m:e>
            <m:sub>
              <m:r>
                <w:rPr>
                  <w:rFonts w:ascii="Cambria Math" w:eastAsiaTheme="minorEastAsia" w:hAnsi="Cambria Math"/>
                  <w:sz w:val="24"/>
                  <w:szCs w:val="20"/>
                </w:rPr>
                <m:t>i</m:t>
              </m:r>
            </m:sub>
          </m:sSub>
          <m:r>
            <w:rPr>
              <w:rFonts w:ascii="Cambria Math" w:hAnsi="Cambria Math"/>
              <w:sz w:val="24"/>
              <w:szCs w:val="20"/>
            </w:rPr>
            <m:t xml:space="preserve">+ </m:t>
          </m:r>
          <m:nary>
            <m:naryPr>
              <m:chr m:val="∑"/>
              <m:limLoc m:val="undOvr"/>
              <m:supHide m:val="1"/>
              <m:ctrlPr>
                <w:rPr>
                  <w:rFonts w:ascii="Cambria Math" w:hAnsi="Cambria Math"/>
                  <w:i/>
                  <w:sz w:val="24"/>
                  <w:szCs w:val="20"/>
                </w:rPr>
              </m:ctrlPr>
            </m:naryPr>
            <m:sub>
              <m:r>
                <w:rPr>
                  <w:rFonts w:ascii="Cambria Math" w:hAnsi="Cambria Math"/>
                  <w:sz w:val="24"/>
                  <w:szCs w:val="20"/>
                </w:rPr>
                <m:t>j</m:t>
              </m:r>
            </m:sub>
            <m:sup/>
            <m:e>
              <m:sSub>
                <m:sSubPr>
                  <m:ctrlPr>
                    <w:rPr>
                      <w:rFonts w:ascii="Cambria Math" w:eastAsiaTheme="minorEastAsia" w:hAnsi="Cambria Math"/>
                      <w:i/>
                      <w:sz w:val="24"/>
                      <w:szCs w:val="20"/>
                    </w:rPr>
                  </m:ctrlPr>
                </m:sSubPr>
                <m:e>
                  <m:sSub>
                    <m:sSubPr>
                      <m:ctrlPr>
                        <w:rPr>
                          <w:rFonts w:ascii="Cambria Math" w:hAnsi="Cambria Math"/>
                          <w:i/>
                          <w:sz w:val="24"/>
                          <w:szCs w:val="20"/>
                        </w:rPr>
                      </m:ctrlPr>
                    </m:sSubPr>
                    <m:e>
                      <m:r>
                        <w:rPr>
                          <w:rFonts w:ascii="Cambria Math" w:hAnsi="Cambria Math"/>
                          <w:sz w:val="24"/>
                          <w:szCs w:val="20"/>
                        </w:rPr>
                        <m:t>β</m:t>
                      </m:r>
                    </m:e>
                    <m:sub>
                      <m:r>
                        <w:rPr>
                          <w:rFonts w:ascii="Cambria Math" w:hAnsi="Cambria Math"/>
                          <w:sz w:val="24"/>
                          <w:szCs w:val="20"/>
                        </w:rPr>
                        <m:t>7</m:t>
                      </m:r>
                    </m:sub>
                  </m:sSub>
                  <m:r>
                    <w:rPr>
                      <w:rFonts w:ascii="Cambria Math" w:hAnsi="Cambria Math"/>
                      <w:sz w:val="24"/>
                      <w:szCs w:val="20"/>
                    </w:rPr>
                    <m:t xml:space="preserve">. </m:t>
                  </m:r>
                  <m:r>
                    <w:rPr>
                      <w:rFonts w:ascii="Cambria Math" w:eastAsiaTheme="minorEastAsia" w:hAnsi="Cambria Math"/>
                      <w:sz w:val="24"/>
                      <w:szCs w:val="20"/>
                    </w:rPr>
                    <m:t>Mun</m:t>
                  </m:r>
                </m:e>
                <m:sub>
                  <m:r>
                    <w:rPr>
                      <w:rFonts w:ascii="Cambria Math" w:eastAsiaTheme="minorEastAsia" w:hAnsi="Cambria Math"/>
                      <w:sz w:val="24"/>
                      <w:szCs w:val="20"/>
                    </w:rPr>
                    <m:t>j</m:t>
                  </m:r>
                </m:sub>
              </m:sSub>
            </m:e>
          </m:nary>
          <m:r>
            <w:rPr>
              <w:rFonts w:ascii="Cambria Math" w:hAnsi="Cambria Math"/>
              <w:sz w:val="24"/>
              <w:szCs w:val="20"/>
            </w:rPr>
            <m:t xml:space="preserve">+ </m:t>
          </m:r>
          <m:nary>
            <m:naryPr>
              <m:chr m:val="∑"/>
              <m:limLoc m:val="undOvr"/>
              <m:supHide m:val="1"/>
              <m:ctrlPr>
                <w:rPr>
                  <w:rFonts w:ascii="Cambria Math" w:hAnsi="Cambria Math"/>
                  <w:i/>
                  <w:sz w:val="24"/>
                  <w:szCs w:val="20"/>
                </w:rPr>
              </m:ctrlPr>
            </m:naryPr>
            <m:sub>
              <m:r>
                <w:rPr>
                  <w:rFonts w:ascii="Cambria Math" w:hAnsi="Cambria Math"/>
                  <w:sz w:val="24"/>
                  <w:szCs w:val="20"/>
                </w:rPr>
                <m:t>l</m:t>
              </m:r>
            </m:sub>
            <m:sup/>
            <m:e>
              <m:sSub>
                <m:sSubPr>
                  <m:ctrlPr>
                    <w:rPr>
                      <w:rFonts w:ascii="Cambria Math" w:eastAsiaTheme="minorEastAsia" w:hAnsi="Cambria Math"/>
                      <w:i/>
                      <w:sz w:val="24"/>
                      <w:szCs w:val="20"/>
                    </w:rPr>
                  </m:ctrlPr>
                </m:sSubPr>
                <m:e>
                  <m:sSub>
                    <m:sSubPr>
                      <m:ctrlPr>
                        <w:rPr>
                          <w:rFonts w:ascii="Cambria Math" w:hAnsi="Cambria Math"/>
                          <w:i/>
                          <w:sz w:val="24"/>
                          <w:szCs w:val="20"/>
                        </w:rPr>
                      </m:ctrlPr>
                    </m:sSubPr>
                    <m:e>
                      <m:r>
                        <w:rPr>
                          <w:rFonts w:ascii="Cambria Math" w:hAnsi="Cambria Math"/>
                          <w:sz w:val="24"/>
                          <w:szCs w:val="20"/>
                        </w:rPr>
                        <m:t>β</m:t>
                      </m:r>
                    </m:e>
                    <m:sub>
                      <m:r>
                        <w:rPr>
                          <w:rFonts w:ascii="Cambria Math" w:hAnsi="Cambria Math"/>
                          <w:sz w:val="24"/>
                          <w:szCs w:val="20"/>
                        </w:rPr>
                        <m:t>8</m:t>
                      </m:r>
                    </m:sub>
                  </m:sSub>
                  <m:r>
                    <w:rPr>
                      <w:rFonts w:ascii="Cambria Math" w:hAnsi="Cambria Math"/>
                      <w:sz w:val="24"/>
                      <w:szCs w:val="20"/>
                    </w:rPr>
                    <m:t xml:space="preserve">. </m:t>
                  </m:r>
                  <m:r>
                    <w:rPr>
                      <w:rFonts w:ascii="Cambria Math" w:eastAsiaTheme="minorEastAsia" w:hAnsi="Cambria Math"/>
                      <w:sz w:val="24"/>
                      <w:szCs w:val="20"/>
                    </w:rPr>
                    <m:t>C</m:t>
                  </m:r>
                </m:e>
                <m:sub>
                  <m:r>
                    <w:rPr>
                      <w:rFonts w:ascii="Cambria Math" w:eastAsiaTheme="minorEastAsia" w:hAnsi="Cambria Math"/>
                      <w:sz w:val="24"/>
                      <w:szCs w:val="20"/>
                    </w:rPr>
                    <m:t>l</m:t>
                  </m:r>
                </m:sub>
              </m:sSub>
            </m:e>
          </m:nary>
          <m:r>
            <w:rPr>
              <w:rFonts w:ascii="Cambria Math" w:eastAsiaTheme="minorEastAsia" w:hAnsi="Cambria Math"/>
              <w:sz w:val="24"/>
              <w:szCs w:val="20"/>
            </w:rPr>
            <m:t xml:space="preserve"> </m:t>
          </m:r>
          <m:sSub>
            <m:sSubPr>
              <m:ctrlPr>
                <w:rPr>
                  <w:rFonts w:ascii="Cambria Math" w:hAnsi="Cambria Math"/>
                  <w:i/>
                  <w:sz w:val="24"/>
                  <w:szCs w:val="20"/>
                </w:rPr>
              </m:ctrlPr>
            </m:sSubPr>
            <m:e>
              <m:r>
                <w:rPr>
                  <w:rFonts w:ascii="Cambria Math" w:hAnsi="Cambria Math"/>
                  <w:sz w:val="24"/>
                  <w:szCs w:val="20"/>
                </w:rPr>
                <m:t>+ β</m:t>
              </m:r>
            </m:e>
            <m:sub>
              <m:r>
                <w:rPr>
                  <w:rFonts w:ascii="Cambria Math" w:hAnsi="Cambria Math"/>
                  <w:sz w:val="24"/>
                  <w:szCs w:val="20"/>
                </w:rPr>
                <m:t>9</m:t>
              </m:r>
            </m:sub>
          </m:sSub>
          <m:r>
            <w:rPr>
              <w:rFonts w:ascii="Cambria Math" w:eastAsiaTheme="minorEastAsia" w:hAnsi="Cambria Math"/>
              <w:sz w:val="24"/>
              <w:szCs w:val="20"/>
            </w:rPr>
            <m:t xml:space="preserve"> </m:t>
          </m:r>
          <m:sSub>
            <m:sSubPr>
              <m:ctrlPr>
                <w:rPr>
                  <w:rFonts w:ascii="Cambria Math" w:eastAsiaTheme="minorEastAsia" w:hAnsi="Cambria Math"/>
                  <w:i/>
                  <w:sz w:val="24"/>
                  <w:szCs w:val="20"/>
                </w:rPr>
              </m:ctrlPr>
            </m:sSubPr>
            <m:e>
              <m:r>
                <w:rPr>
                  <w:rFonts w:ascii="Cambria Math" w:eastAsiaTheme="minorEastAsia" w:hAnsi="Cambria Math"/>
                  <w:sz w:val="24"/>
                  <w:szCs w:val="20"/>
                </w:rPr>
                <m:t>S</m:t>
              </m:r>
            </m:e>
            <m:sub>
              <m:r>
                <w:rPr>
                  <w:rFonts w:ascii="Cambria Math" w:eastAsiaTheme="minorEastAsia" w:hAnsi="Cambria Math"/>
                  <w:sz w:val="24"/>
                  <w:szCs w:val="20"/>
                </w:rPr>
                <m:t>i</m:t>
              </m:r>
            </m:sub>
          </m:sSub>
          <m:r>
            <w:rPr>
              <w:rFonts w:ascii="Cambria Math" w:eastAsiaTheme="minorEastAsia" w:hAnsi="Cambria Math"/>
              <w:sz w:val="24"/>
              <w:szCs w:val="20"/>
            </w:rPr>
            <m:t xml:space="preserve">+ </m:t>
          </m:r>
          <m:sSub>
            <m:sSubPr>
              <m:ctrlPr>
                <w:rPr>
                  <w:rFonts w:ascii="Cambria Math" w:eastAsiaTheme="minorEastAsia" w:hAnsi="Cambria Math"/>
                  <w:i/>
                  <w:sz w:val="24"/>
                  <w:szCs w:val="20"/>
                </w:rPr>
              </m:ctrlPr>
            </m:sSubPr>
            <m:e>
              <m:r>
                <w:rPr>
                  <w:rFonts w:ascii="Cambria Math" w:eastAsiaTheme="minorEastAsia" w:hAnsi="Cambria Math"/>
                  <w:sz w:val="24"/>
                  <w:szCs w:val="20"/>
                </w:rPr>
                <m:t>ε</m:t>
              </m:r>
            </m:e>
            <m:sub>
              <m:r>
                <w:rPr>
                  <w:rFonts w:ascii="Cambria Math" w:eastAsiaTheme="minorEastAsia" w:hAnsi="Cambria Math"/>
                  <w:sz w:val="24"/>
                  <w:szCs w:val="20"/>
                </w:rPr>
                <m:t>ijl</m:t>
              </m:r>
            </m:sub>
          </m:sSub>
          <m:r>
            <w:rPr>
              <w:rFonts w:ascii="Cambria Math" w:eastAsiaTheme="minorEastAsia" w:hAnsi="Cambria Math"/>
              <w:sz w:val="24"/>
              <w:szCs w:val="20"/>
            </w:rPr>
            <m:t xml:space="preserve"> </m:t>
          </m:r>
        </m:oMath>
      </m:oMathPara>
    </w:p>
    <w:p w14:paraId="6231F11E" w14:textId="77777777" w:rsidR="000B7CD9" w:rsidRPr="00CA1A08" w:rsidRDefault="009B7EDF" w:rsidP="00C87A6A">
      <w:pPr>
        <w:jc w:val="both"/>
        <w:rPr>
          <w:rFonts w:ascii="ITC Avant Garde" w:hAnsi="ITC Avant Garde"/>
        </w:rPr>
      </w:pPr>
      <w:r w:rsidRPr="00CA1A08">
        <w:rPr>
          <w:rFonts w:ascii="ITC Avant Garde" w:hAnsi="ITC Avant Garde"/>
        </w:rPr>
        <w:t xml:space="preserve">Donde </w:t>
      </w:r>
    </w:p>
    <w:p w14:paraId="64284C4F" w14:textId="77777777" w:rsidR="00CA1A08" w:rsidRPr="00CA1A08" w:rsidRDefault="00CA1A08" w:rsidP="00CA1A08">
      <w:pPr>
        <w:pStyle w:val="Prrafodelista"/>
        <w:numPr>
          <w:ilvl w:val="0"/>
          <w:numId w:val="61"/>
        </w:numPr>
        <w:spacing w:after="160" w:line="259" w:lineRule="auto"/>
        <w:jc w:val="both"/>
        <w:rPr>
          <w:rFonts w:ascii="ITC Avant Garde" w:hAnsi="ITC Avant Garde"/>
        </w:rPr>
      </w:pPr>
      <w:r w:rsidRPr="00CA1A08">
        <w:rPr>
          <w:rFonts w:ascii="ITC Avant Garde" w:hAnsi="ITC Avant Garde"/>
        </w:rPr>
        <w:t>lnP es el logaritmo del precio del paquete sin impuestos.</w:t>
      </w:r>
    </w:p>
    <w:p w14:paraId="790462DD" w14:textId="77777777" w:rsidR="00CA1A08" w:rsidRPr="00CA1A08" w:rsidRDefault="00CA1A08" w:rsidP="00CA1A08">
      <w:pPr>
        <w:pStyle w:val="Prrafodelista"/>
        <w:numPr>
          <w:ilvl w:val="0"/>
          <w:numId w:val="61"/>
        </w:numPr>
        <w:spacing w:after="160" w:line="259" w:lineRule="auto"/>
        <w:jc w:val="both"/>
        <w:rPr>
          <w:rFonts w:ascii="ITC Avant Garde" w:hAnsi="ITC Avant Garde"/>
        </w:rPr>
      </w:pPr>
      <w:r w:rsidRPr="00CA1A08">
        <w:rPr>
          <w:rFonts w:ascii="ITC Avant Garde" w:hAnsi="ITC Avant Garde"/>
        </w:rPr>
        <w:t>Mbps es la velocidad de bajada incluida en el paquete.</w:t>
      </w:r>
    </w:p>
    <w:p w14:paraId="3851B544" w14:textId="77777777" w:rsidR="00CA1A08" w:rsidRPr="00CA1A08" w:rsidRDefault="00CA1A08" w:rsidP="00CA1A08">
      <w:pPr>
        <w:pStyle w:val="Prrafodelista"/>
        <w:numPr>
          <w:ilvl w:val="0"/>
          <w:numId w:val="61"/>
        </w:numPr>
        <w:spacing w:after="160" w:line="259" w:lineRule="auto"/>
        <w:jc w:val="both"/>
        <w:rPr>
          <w:rFonts w:ascii="ITC Avant Garde" w:hAnsi="ITC Avant Garde"/>
        </w:rPr>
      </w:pPr>
      <w:r w:rsidRPr="00CA1A08">
        <w:rPr>
          <w:rFonts w:ascii="ITC Avant Garde" w:hAnsi="ITC Avant Garde"/>
        </w:rPr>
        <w:t xml:space="preserve">LI son las líneas de telefonía fija incluidas en el paquete </w:t>
      </w:r>
    </w:p>
    <w:p w14:paraId="31A3CAA5" w14:textId="77777777" w:rsidR="00CA1A08" w:rsidRPr="00CA1A08" w:rsidRDefault="00CA1A08" w:rsidP="00CA1A08">
      <w:pPr>
        <w:pStyle w:val="Prrafodelista"/>
        <w:numPr>
          <w:ilvl w:val="0"/>
          <w:numId w:val="61"/>
        </w:numPr>
        <w:spacing w:after="160" w:line="259" w:lineRule="auto"/>
        <w:jc w:val="both"/>
        <w:rPr>
          <w:rFonts w:ascii="ITC Avant Garde" w:hAnsi="ITC Avant Garde"/>
        </w:rPr>
      </w:pPr>
      <w:r w:rsidRPr="00CA1A08">
        <w:rPr>
          <w:rFonts w:ascii="ITC Avant Garde" w:hAnsi="ITC Avant Garde"/>
        </w:rPr>
        <w:t>Dll es una variable dicotómica (dummy) para las llamadas domesticas ilimitadas.</w:t>
      </w:r>
    </w:p>
    <w:p w14:paraId="73A1E6B8" w14:textId="77777777" w:rsidR="00CA1A08" w:rsidRPr="00CA1A08" w:rsidRDefault="00CA1A08" w:rsidP="00CA1A08">
      <w:pPr>
        <w:pStyle w:val="Prrafodelista"/>
        <w:numPr>
          <w:ilvl w:val="0"/>
          <w:numId w:val="61"/>
        </w:numPr>
        <w:spacing w:after="160" w:line="259" w:lineRule="auto"/>
        <w:jc w:val="both"/>
        <w:rPr>
          <w:rFonts w:ascii="ITC Avant Garde" w:hAnsi="ITC Avant Garde"/>
        </w:rPr>
      </w:pPr>
      <w:r w:rsidRPr="00CA1A08">
        <w:rPr>
          <w:rFonts w:ascii="ITC Avant Garde" w:hAnsi="ITC Avant Garde"/>
        </w:rPr>
        <w:t xml:space="preserve">Mun es la clave del municipio donde se comercializa el paquete. </w:t>
      </w:r>
    </w:p>
    <w:p w14:paraId="251D0553" w14:textId="77777777" w:rsidR="00CA1A08" w:rsidRPr="00CA1A08" w:rsidRDefault="00CA1A08" w:rsidP="00CA1A08">
      <w:pPr>
        <w:pStyle w:val="Prrafodelista"/>
        <w:numPr>
          <w:ilvl w:val="0"/>
          <w:numId w:val="61"/>
        </w:numPr>
        <w:spacing w:after="160" w:line="259" w:lineRule="auto"/>
        <w:jc w:val="both"/>
        <w:rPr>
          <w:rFonts w:ascii="ITC Avant Garde" w:hAnsi="ITC Avant Garde"/>
        </w:rPr>
      </w:pPr>
      <w:r w:rsidRPr="00CA1A08">
        <w:rPr>
          <w:rFonts w:ascii="ITC Avant Garde" w:hAnsi="ITC Avant Garde"/>
        </w:rPr>
        <w:t>C es el concesionario que comercializa el paquete.</w:t>
      </w:r>
    </w:p>
    <w:p w14:paraId="65620AF4" w14:textId="4523D1E6" w:rsidR="00CA1A08" w:rsidRPr="00CA1A08" w:rsidRDefault="00CA1A08" w:rsidP="00CA1A08">
      <w:pPr>
        <w:pStyle w:val="Prrafodelista"/>
        <w:numPr>
          <w:ilvl w:val="0"/>
          <w:numId w:val="61"/>
        </w:numPr>
        <w:spacing w:after="160" w:line="259" w:lineRule="auto"/>
        <w:jc w:val="both"/>
        <w:rPr>
          <w:rFonts w:ascii="ITC Avant Garde" w:hAnsi="ITC Avant Garde"/>
        </w:rPr>
      </w:pPr>
      <w:r w:rsidRPr="00CA1A08">
        <w:rPr>
          <w:rFonts w:ascii="ITC Avant Garde" w:hAnsi="ITC Avant Garde"/>
        </w:rPr>
        <w:lastRenderedPageBreak/>
        <w:t>S es una variable dicotómica para la simetría (e.g. la variable toma el valor 1 si la velocidad de subida igual</w:t>
      </w:r>
      <w:r>
        <w:rPr>
          <w:rFonts w:ascii="ITC Avant Garde" w:hAnsi="ITC Avant Garde"/>
        </w:rPr>
        <w:t>a</w:t>
      </w:r>
      <w:r w:rsidRPr="00CA1A08">
        <w:rPr>
          <w:rFonts w:ascii="ITC Avant Garde" w:hAnsi="ITC Avant Garde"/>
        </w:rPr>
        <w:t xml:space="preserve"> la velocidad de bajada del paquete, 0 en caso contrario).  </w:t>
      </w:r>
    </w:p>
    <w:p w14:paraId="7D4B2F9E" w14:textId="77777777" w:rsidR="00CA1A08" w:rsidRPr="00CA1A08" w:rsidRDefault="00CA1A08" w:rsidP="00CA1A08">
      <w:pPr>
        <w:pStyle w:val="Prrafodelista"/>
        <w:numPr>
          <w:ilvl w:val="0"/>
          <w:numId w:val="61"/>
        </w:numPr>
        <w:spacing w:after="160" w:line="259" w:lineRule="auto"/>
        <w:jc w:val="both"/>
        <w:rPr>
          <w:rFonts w:ascii="ITC Avant Garde" w:hAnsi="ITC Avant Garde"/>
        </w:rPr>
      </w:pPr>
      <w:r w:rsidRPr="00CA1A08">
        <w:rPr>
          <w:rFonts w:cs="Calibri"/>
        </w:rPr>
        <w:t>ε</w:t>
      </w:r>
      <w:r w:rsidRPr="00CA1A08">
        <w:rPr>
          <w:rFonts w:ascii="ITC Avant Garde" w:hAnsi="ITC Avant Garde"/>
        </w:rPr>
        <w:t xml:space="preserve"> es el t</w:t>
      </w:r>
      <w:r w:rsidRPr="00CA1A08">
        <w:rPr>
          <w:rFonts w:ascii="ITC Avant Garde" w:hAnsi="ITC Avant Garde" w:cs="ITC Avant Garde"/>
        </w:rPr>
        <w:t>é</w:t>
      </w:r>
      <w:r w:rsidRPr="00CA1A08">
        <w:rPr>
          <w:rFonts w:ascii="ITC Avant Garde" w:hAnsi="ITC Avant Garde"/>
        </w:rPr>
        <w:t>rmino de error asociado a la estimación de cada cambio en el precio de cada paquete.</w:t>
      </w:r>
    </w:p>
    <w:p w14:paraId="486EBFB4" w14:textId="77777777" w:rsidR="00CA1A08" w:rsidRPr="001F394B" w:rsidRDefault="00CA1A08" w:rsidP="00CA1A08">
      <w:pPr>
        <w:jc w:val="both"/>
        <w:rPr>
          <w:rFonts w:ascii="ITC Avant Garde" w:eastAsia="Times New Roman" w:hAnsi="ITC Avant Garde"/>
        </w:rPr>
      </w:pPr>
      <w:r w:rsidRPr="001F394B">
        <w:rPr>
          <w:rFonts w:ascii="ITC Avant Garde" w:eastAsia="Times New Roman" w:hAnsi="ITC Avant Garde"/>
        </w:rPr>
        <w:t xml:space="preserve">El subíndice “i” hace referencia a las ofertas, el subíndice “j” al municipio en el que se ofrece el servicio y el subíndice “l” a la empresa oferente. </w:t>
      </w:r>
    </w:p>
    <w:p w14:paraId="05599BCC" w14:textId="715E7BF6" w:rsidR="00607430" w:rsidRPr="000B7CD9" w:rsidRDefault="004340C9" w:rsidP="000B7CD9">
      <w:pPr>
        <w:jc w:val="both"/>
        <w:rPr>
          <w:rFonts w:ascii="ITC Avant Garde" w:hAnsi="ITC Avant Garde"/>
        </w:rPr>
      </w:pPr>
      <w:r>
        <w:rPr>
          <w:rFonts w:ascii="ITC Avant Garde" w:eastAsia="Times New Roman" w:hAnsi="ITC Avant Garde"/>
        </w:rPr>
        <w:t>As</w:t>
      </w:r>
      <w:r w:rsidR="004B0526">
        <w:rPr>
          <w:rFonts w:ascii="ITC Avant Garde" w:eastAsia="Times New Roman" w:hAnsi="ITC Avant Garde"/>
        </w:rPr>
        <w:t>í, la especificación de</w:t>
      </w:r>
      <w:r w:rsidR="00A4557C">
        <w:rPr>
          <w:rFonts w:ascii="ITC Avant Garde" w:eastAsia="Times New Roman" w:hAnsi="ITC Avant Garde"/>
        </w:rPr>
        <w:t xml:space="preserve"> </w:t>
      </w:r>
      <w:r w:rsidR="00A4557C">
        <w:rPr>
          <w:rFonts w:ascii="ITC Avant Garde" w:hAnsi="ITC Avant Garde"/>
        </w:rPr>
        <w:t>la forma funcional de la regresión para determinar los Precios Implícitos hace que la variación del precio de los paquetes dependa de la característica (cantidad, velocidad) de los servicios que los componen</w:t>
      </w:r>
      <w:r w:rsidR="00A4557C" w:rsidRPr="00A01E58">
        <w:rPr>
          <w:rFonts w:ascii="ITC Avant Garde" w:hAnsi="ITC Avant Garde"/>
        </w:rPr>
        <w:t xml:space="preserve">. </w:t>
      </w:r>
      <w:r w:rsidR="002A6692" w:rsidRPr="00A01E58">
        <w:rPr>
          <w:rFonts w:ascii="ITC Avant Garde" w:hAnsi="ITC Avant Garde"/>
        </w:rPr>
        <w:t xml:space="preserve">Por ejemplo, </w:t>
      </w:r>
      <w:r w:rsidR="00B76408" w:rsidRPr="00A01E58">
        <w:rPr>
          <w:rFonts w:ascii="ITC Avant Garde" w:hAnsi="ITC Avant Garde"/>
        </w:rPr>
        <w:t xml:space="preserve">la inclusión de 5 Mbps adicionales en un plan tiene </w:t>
      </w:r>
      <w:r w:rsidR="00A01E58">
        <w:rPr>
          <w:rFonts w:ascii="ITC Avant Garde" w:hAnsi="ITC Avant Garde"/>
        </w:rPr>
        <w:t>un</w:t>
      </w:r>
      <w:r w:rsidR="00B76408" w:rsidRPr="00A01E58">
        <w:rPr>
          <w:rFonts w:ascii="ITC Avant Garde" w:hAnsi="ITC Avant Garde"/>
        </w:rPr>
        <w:t xml:space="preserve"> efecto</w:t>
      </w:r>
      <w:r w:rsidR="00B76408">
        <w:rPr>
          <w:rFonts w:ascii="ITC Avant Garde" w:hAnsi="ITC Avant Garde"/>
        </w:rPr>
        <w:t xml:space="preserve"> de </w:t>
      </w:r>
      <w:r w:rsidR="00B76408" w:rsidRPr="00E633BC">
        <w:rPr>
          <w:rFonts w:eastAsiaTheme="minorEastAsia" w:cs="Calibri"/>
        </w:rPr>
        <w:t>β</w:t>
      </w:r>
      <w:r w:rsidR="00B76408" w:rsidRPr="006B010D">
        <w:rPr>
          <w:rFonts w:ascii="ITC Avant Garde" w:eastAsiaTheme="minorEastAsia" w:hAnsi="ITC Avant Garde" w:cs="Calibri"/>
          <w:vertAlign w:val="subscript"/>
        </w:rPr>
        <w:t>1</w:t>
      </w:r>
      <w:r w:rsidR="00B76408" w:rsidRPr="00B76408">
        <w:rPr>
          <w:rFonts w:ascii="ITC Avant Garde" w:eastAsiaTheme="minorEastAsia" w:hAnsi="ITC Avant Garde" w:cs="Calibri"/>
        </w:rPr>
        <w:t>*</w:t>
      </w:r>
      <w:r w:rsidR="00B76408">
        <w:rPr>
          <w:rFonts w:ascii="ITC Avant Garde" w:hAnsi="ITC Avant Garde"/>
        </w:rPr>
        <w:t>5</w:t>
      </w:r>
      <w:r w:rsidR="00B76408" w:rsidRPr="00B76408">
        <w:rPr>
          <w:rFonts w:ascii="ITC Avant Garde" w:eastAsiaTheme="minorEastAsia" w:hAnsi="ITC Avant Garde" w:cs="Calibri"/>
        </w:rPr>
        <w:t xml:space="preserve">+ </w:t>
      </w:r>
      <w:r w:rsidR="00B76408" w:rsidRPr="00E633BC">
        <w:rPr>
          <w:rFonts w:eastAsiaTheme="minorEastAsia" w:cs="Calibri"/>
        </w:rPr>
        <w:t>β</w:t>
      </w:r>
      <w:r w:rsidR="00B76408" w:rsidRPr="006B010D">
        <w:rPr>
          <w:rFonts w:ascii="ITC Avant Garde" w:eastAsiaTheme="minorEastAsia" w:hAnsi="ITC Avant Garde" w:cs="Calibri"/>
          <w:vertAlign w:val="subscript"/>
        </w:rPr>
        <w:t>2</w:t>
      </w:r>
      <w:r w:rsidR="00B76408" w:rsidRPr="00B76408">
        <w:rPr>
          <w:rFonts w:ascii="ITC Avant Garde" w:eastAsiaTheme="minorEastAsia" w:hAnsi="ITC Avant Garde" w:cs="Calibri"/>
        </w:rPr>
        <w:t>*</w:t>
      </w:r>
      <w:r w:rsidR="00B76408">
        <w:rPr>
          <w:rFonts w:ascii="ITC Avant Garde" w:eastAsiaTheme="minorEastAsia" w:hAnsi="ITC Avant Garde" w:cs="Calibri"/>
        </w:rPr>
        <w:t>(</w:t>
      </w:r>
      <w:r w:rsidR="00B76408">
        <w:rPr>
          <w:rFonts w:ascii="ITC Avant Garde" w:hAnsi="ITC Avant Garde"/>
        </w:rPr>
        <w:t>5)</w:t>
      </w:r>
      <w:r w:rsidR="00B76408" w:rsidRPr="00B76408">
        <w:rPr>
          <w:rFonts w:ascii="ITC Avant Garde" w:hAnsi="ITC Avant Garde"/>
          <w:vertAlign w:val="superscript"/>
        </w:rPr>
        <w:t>2</w:t>
      </w:r>
      <w:r w:rsidR="00B76408">
        <w:rPr>
          <w:rFonts w:ascii="ITC Avant Garde" w:hAnsi="ITC Avant Garde"/>
          <w:vertAlign w:val="superscript"/>
        </w:rPr>
        <w:t xml:space="preserve"> </w:t>
      </w:r>
      <w:r w:rsidR="00B76408">
        <w:rPr>
          <w:rFonts w:ascii="ITC Avant Garde" w:hAnsi="ITC Avant Garde"/>
        </w:rPr>
        <w:t>por</w:t>
      </w:r>
      <w:r w:rsidR="00A01E58">
        <w:rPr>
          <w:rFonts w:ascii="ITC Avant Garde" w:hAnsi="ITC Avant Garde"/>
        </w:rPr>
        <w:t xml:space="preserve"> </w:t>
      </w:r>
      <w:r w:rsidR="00B76408">
        <w:rPr>
          <w:rFonts w:ascii="ITC Avant Garde" w:hAnsi="ITC Avant Garde"/>
        </w:rPr>
        <w:t>ciento el precio final de este plan</w:t>
      </w:r>
      <w:r w:rsidR="00A01E58">
        <w:rPr>
          <w:rFonts w:ascii="ITC Avant Garde" w:hAnsi="ITC Avant Garde"/>
        </w:rPr>
        <w:t xml:space="preserve"> y la inclusión de una línea telefónica adicional tiene un efecto de </w:t>
      </w:r>
      <w:r w:rsidR="00A01E58" w:rsidRPr="00E633BC">
        <w:rPr>
          <w:rFonts w:eastAsiaTheme="minorEastAsia" w:cs="Calibri"/>
        </w:rPr>
        <w:t>β</w:t>
      </w:r>
      <w:r w:rsidR="00A01E58" w:rsidRPr="006B010D">
        <w:rPr>
          <w:rFonts w:ascii="ITC Avant Garde" w:eastAsiaTheme="minorEastAsia" w:hAnsi="ITC Avant Garde" w:cs="Calibri"/>
          <w:vertAlign w:val="subscript"/>
        </w:rPr>
        <w:t>3</w:t>
      </w:r>
      <w:r w:rsidR="00A01E58">
        <w:rPr>
          <w:rFonts w:ascii="ITC Avant Garde" w:eastAsiaTheme="minorEastAsia" w:hAnsi="ITC Avant Garde" w:cs="Calibri"/>
        </w:rPr>
        <w:t xml:space="preserve"> + </w:t>
      </w:r>
      <w:r w:rsidR="00A01E58" w:rsidRPr="00E633BC">
        <w:rPr>
          <w:rFonts w:eastAsiaTheme="minorEastAsia" w:cs="Calibri"/>
        </w:rPr>
        <w:t>β</w:t>
      </w:r>
      <w:r w:rsidR="00A01E58" w:rsidRPr="006B010D">
        <w:rPr>
          <w:rFonts w:ascii="ITC Avant Garde" w:eastAsiaTheme="minorEastAsia" w:hAnsi="ITC Avant Garde" w:cs="Calibri"/>
          <w:vertAlign w:val="subscript"/>
        </w:rPr>
        <w:t>4</w:t>
      </w:r>
      <w:r w:rsidR="00A01E58">
        <w:rPr>
          <w:rFonts w:ascii="ITC Avant Garde" w:eastAsiaTheme="minorEastAsia" w:hAnsi="ITC Avant Garde" w:cs="Calibri"/>
        </w:rPr>
        <w:t xml:space="preserve"> por ciento el precio final del plan</w:t>
      </w:r>
      <w:r w:rsidR="00B76408">
        <w:rPr>
          <w:rFonts w:ascii="ITC Avant Garde" w:hAnsi="ITC Avant Garde"/>
        </w:rPr>
        <w:t xml:space="preserve">. </w:t>
      </w:r>
    </w:p>
    <w:p w14:paraId="70CF45F3" w14:textId="77777777" w:rsidR="004B0526" w:rsidRDefault="004B0526" w:rsidP="004B0526">
      <w:pPr>
        <w:jc w:val="both"/>
        <w:rPr>
          <w:rFonts w:ascii="ITC Avant Garde" w:eastAsiaTheme="minorEastAsia" w:hAnsi="ITC Avant Garde"/>
          <w:strike/>
          <w:color w:val="FF0000"/>
        </w:rPr>
      </w:pPr>
      <w:r w:rsidRPr="00165196">
        <w:rPr>
          <w:rFonts w:ascii="ITC Avant Garde" w:eastAsiaTheme="minorEastAsia" w:hAnsi="ITC Avant Garde"/>
        </w:rPr>
        <w:t xml:space="preserve">La estimación de los </w:t>
      </w:r>
      <w:r w:rsidRPr="00E633BC">
        <w:rPr>
          <w:rFonts w:ascii="ITC Avant Garde" w:eastAsiaTheme="minorEastAsia" w:hAnsi="ITC Avant Garde"/>
        </w:rPr>
        <w:t>parámetros “</w:t>
      </w:r>
      <w:r w:rsidRPr="00E633BC">
        <w:rPr>
          <w:rFonts w:eastAsiaTheme="minorEastAsia" w:cs="Calibri"/>
        </w:rPr>
        <w:t>β</w:t>
      </w:r>
      <w:r w:rsidRPr="006B010D">
        <w:rPr>
          <w:rFonts w:ascii="ITC Avant Garde" w:eastAsiaTheme="minorEastAsia" w:hAnsi="ITC Avant Garde" w:cs="Calibri"/>
          <w:vertAlign w:val="subscript"/>
        </w:rPr>
        <w:t>1</w:t>
      </w:r>
      <w:r w:rsidRPr="00E633BC">
        <w:rPr>
          <w:rFonts w:ascii="ITC Avant Garde" w:eastAsiaTheme="minorEastAsia" w:hAnsi="ITC Avant Garde" w:cs="ITC Avant Garde"/>
        </w:rPr>
        <w:t>”</w:t>
      </w:r>
      <w:r w:rsidRPr="00E633BC">
        <w:rPr>
          <w:rFonts w:ascii="ITC Avant Garde" w:eastAsiaTheme="minorEastAsia" w:hAnsi="ITC Avant Garde"/>
        </w:rPr>
        <w:t xml:space="preserve">, </w:t>
      </w:r>
      <w:r w:rsidRPr="00E633BC">
        <w:rPr>
          <w:rFonts w:ascii="ITC Avant Garde" w:eastAsiaTheme="minorEastAsia" w:hAnsi="ITC Avant Garde" w:cs="ITC Avant Garde"/>
        </w:rPr>
        <w:t>”</w:t>
      </w:r>
      <w:r w:rsidRPr="00E633BC">
        <w:rPr>
          <w:rFonts w:eastAsiaTheme="minorEastAsia" w:cs="Calibri"/>
        </w:rPr>
        <w:t>β</w:t>
      </w:r>
      <w:r w:rsidRPr="006B010D">
        <w:rPr>
          <w:rFonts w:ascii="ITC Avant Garde" w:eastAsiaTheme="minorEastAsia" w:hAnsi="ITC Avant Garde" w:cs="Calibri"/>
          <w:vertAlign w:val="subscript"/>
        </w:rPr>
        <w:t>2</w:t>
      </w:r>
      <w:r w:rsidRPr="00E633BC">
        <w:rPr>
          <w:rFonts w:ascii="ITC Avant Garde" w:eastAsiaTheme="minorEastAsia" w:hAnsi="ITC Avant Garde" w:cs="ITC Avant Garde"/>
        </w:rPr>
        <w:t>”, “</w:t>
      </w:r>
      <w:r w:rsidRPr="00E633BC">
        <w:rPr>
          <w:rFonts w:eastAsiaTheme="minorEastAsia" w:cs="Calibri"/>
        </w:rPr>
        <w:t>β</w:t>
      </w:r>
      <w:r w:rsidRPr="006B010D">
        <w:rPr>
          <w:rFonts w:ascii="ITC Avant Garde" w:eastAsiaTheme="minorEastAsia" w:hAnsi="ITC Avant Garde" w:cs="Calibri"/>
          <w:vertAlign w:val="subscript"/>
        </w:rPr>
        <w:t>3</w:t>
      </w:r>
      <w:r w:rsidRPr="00E633BC">
        <w:rPr>
          <w:rFonts w:ascii="ITC Avant Garde" w:eastAsiaTheme="minorEastAsia" w:hAnsi="ITC Avant Garde" w:cs="Calibri"/>
        </w:rPr>
        <w:t>”, “</w:t>
      </w:r>
      <w:r w:rsidRPr="00E633BC">
        <w:rPr>
          <w:rFonts w:eastAsiaTheme="minorEastAsia" w:cs="Calibri"/>
        </w:rPr>
        <w:t>β</w:t>
      </w:r>
      <w:r w:rsidRPr="006B010D">
        <w:rPr>
          <w:rFonts w:ascii="ITC Avant Garde" w:eastAsiaTheme="minorEastAsia" w:hAnsi="ITC Avant Garde" w:cs="Calibri"/>
          <w:vertAlign w:val="subscript"/>
        </w:rPr>
        <w:t>4</w:t>
      </w:r>
      <w:r w:rsidRPr="00E633BC">
        <w:rPr>
          <w:rFonts w:ascii="ITC Avant Garde" w:eastAsiaTheme="minorEastAsia" w:hAnsi="ITC Avant Garde" w:cs="Calibri"/>
        </w:rPr>
        <w:t>”, “</w:t>
      </w:r>
      <w:r w:rsidRPr="00E633BC">
        <w:rPr>
          <w:rFonts w:eastAsiaTheme="minorEastAsia" w:cs="Calibri"/>
        </w:rPr>
        <w:t>β</w:t>
      </w:r>
      <w:r w:rsidRPr="006B010D">
        <w:rPr>
          <w:rFonts w:ascii="ITC Avant Garde" w:eastAsiaTheme="minorEastAsia" w:hAnsi="ITC Avant Garde" w:cs="Calibri"/>
          <w:vertAlign w:val="subscript"/>
        </w:rPr>
        <w:t>5</w:t>
      </w:r>
      <w:r w:rsidRPr="00E633BC">
        <w:rPr>
          <w:rFonts w:ascii="ITC Avant Garde" w:eastAsiaTheme="minorEastAsia" w:hAnsi="ITC Avant Garde" w:cs="Calibri"/>
        </w:rPr>
        <w:t>”, “</w:t>
      </w:r>
      <w:r w:rsidRPr="00E633BC">
        <w:rPr>
          <w:rFonts w:eastAsiaTheme="minorEastAsia" w:cs="Calibri"/>
        </w:rPr>
        <w:t>β</w:t>
      </w:r>
      <w:r w:rsidRPr="006B010D">
        <w:rPr>
          <w:rFonts w:ascii="ITC Avant Garde" w:eastAsiaTheme="minorEastAsia" w:hAnsi="ITC Avant Garde" w:cs="Calibri"/>
          <w:vertAlign w:val="subscript"/>
        </w:rPr>
        <w:t>6</w:t>
      </w:r>
      <w:r w:rsidRPr="00E633BC">
        <w:rPr>
          <w:rFonts w:ascii="ITC Avant Garde" w:eastAsiaTheme="minorEastAsia" w:hAnsi="ITC Avant Garde" w:cs="Calibri"/>
        </w:rPr>
        <w:t>”, “</w:t>
      </w:r>
      <w:r w:rsidRPr="00E633BC">
        <w:rPr>
          <w:rFonts w:eastAsiaTheme="minorEastAsia" w:cs="Calibri"/>
        </w:rPr>
        <w:t>β</w:t>
      </w:r>
      <w:r w:rsidRPr="006B010D">
        <w:rPr>
          <w:rFonts w:ascii="ITC Avant Garde" w:eastAsiaTheme="minorEastAsia" w:hAnsi="ITC Avant Garde" w:cs="Calibri"/>
          <w:vertAlign w:val="subscript"/>
        </w:rPr>
        <w:t>7</w:t>
      </w:r>
      <w:r w:rsidRPr="00E633BC">
        <w:rPr>
          <w:rFonts w:ascii="ITC Avant Garde" w:eastAsiaTheme="minorEastAsia" w:hAnsi="ITC Avant Garde" w:cs="Calibri"/>
        </w:rPr>
        <w:t>”, “</w:t>
      </w:r>
      <w:r w:rsidRPr="00E633BC">
        <w:rPr>
          <w:rFonts w:eastAsiaTheme="minorEastAsia" w:cs="Calibri"/>
        </w:rPr>
        <w:t>β</w:t>
      </w:r>
      <w:r w:rsidRPr="006B010D">
        <w:rPr>
          <w:rFonts w:ascii="ITC Avant Garde" w:eastAsiaTheme="minorEastAsia" w:hAnsi="ITC Avant Garde" w:cs="Calibri"/>
          <w:vertAlign w:val="subscript"/>
        </w:rPr>
        <w:t>8</w:t>
      </w:r>
      <w:r w:rsidRPr="00E633BC">
        <w:rPr>
          <w:rFonts w:ascii="ITC Avant Garde" w:eastAsiaTheme="minorEastAsia" w:hAnsi="ITC Avant Garde" w:cs="Calibri"/>
        </w:rPr>
        <w:t>”</w:t>
      </w:r>
      <w:r>
        <w:rPr>
          <w:rFonts w:ascii="ITC Avant Garde" w:eastAsiaTheme="minorEastAsia" w:hAnsi="ITC Avant Garde"/>
        </w:rPr>
        <w:t xml:space="preserve">, y </w:t>
      </w:r>
      <w:r w:rsidRPr="00E633BC">
        <w:rPr>
          <w:rFonts w:ascii="ITC Avant Garde" w:eastAsiaTheme="minorEastAsia" w:hAnsi="ITC Avant Garde" w:cs="ITC Avant Garde"/>
        </w:rPr>
        <w:t>“</w:t>
      </w:r>
      <w:r w:rsidRPr="00E633BC">
        <w:rPr>
          <w:rFonts w:eastAsiaTheme="minorEastAsia" w:cs="Calibri"/>
        </w:rPr>
        <w:t>β</w:t>
      </w:r>
      <w:r w:rsidRPr="006B010D">
        <w:rPr>
          <w:rFonts w:ascii="ITC Avant Garde" w:eastAsiaTheme="minorEastAsia" w:hAnsi="ITC Avant Garde" w:cs="Calibri"/>
          <w:vertAlign w:val="subscript"/>
        </w:rPr>
        <w:t>9</w:t>
      </w:r>
      <w:r w:rsidRPr="00E633BC">
        <w:rPr>
          <w:rFonts w:ascii="ITC Avant Garde" w:eastAsiaTheme="minorEastAsia" w:hAnsi="ITC Avant Garde" w:cs="ITC Avant Garde"/>
        </w:rPr>
        <w:t>”</w:t>
      </w:r>
      <w:r w:rsidRPr="00E633BC">
        <w:rPr>
          <w:rFonts w:ascii="ITC Avant Garde" w:eastAsiaTheme="minorEastAsia" w:hAnsi="ITC Avant Garde"/>
        </w:rPr>
        <w:t xml:space="preserve"> de</w:t>
      </w:r>
      <w:r w:rsidRPr="00165196">
        <w:rPr>
          <w:rFonts w:ascii="ITC Avant Garde" w:eastAsiaTheme="minorEastAsia" w:hAnsi="ITC Avant Garde"/>
        </w:rPr>
        <w:t xml:space="preserve"> los </w:t>
      </w:r>
      <w:r>
        <w:rPr>
          <w:rFonts w:ascii="ITC Avant Garde" w:eastAsiaTheme="minorEastAsia" w:hAnsi="ITC Avant Garde"/>
        </w:rPr>
        <w:t>dos</w:t>
      </w:r>
      <w:r w:rsidRPr="00165196">
        <w:rPr>
          <w:rFonts w:ascii="ITC Avant Garde" w:eastAsiaTheme="minorEastAsia" w:hAnsi="ITC Avant Garde"/>
        </w:rPr>
        <w:t xml:space="preserve"> modelos </w:t>
      </w:r>
      <w:r>
        <w:rPr>
          <w:rFonts w:ascii="ITC Avant Garde" w:eastAsiaTheme="minorEastAsia" w:hAnsi="ITC Avant Garde"/>
        </w:rPr>
        <w:t xml:space="preserve">(residencial y comercial) </w:t>
      </w:r>
      <w:r w:rsidRPr="00165196">
        <w:rPr>
          <w:rFonts w:ascii="ITC Avant Garde" w:eastAsiaTheme="minorEastAsia" w:hAnsi="ITC Avant Garde"/>
        </w:rPr>
        <w:t>se realiza mediante m</w:t>
      </w:r>
      <w:r w:rsidRPr="00165196">
        <w:rPr>
          <w:rFonts w:ascii="ITC Avant Garde" w:eastAsiaTheme="minorEastAsia" w:hAnsi="ITC Avant Garde" w:cs="ITC Avant Garde"/>
        </w:rPr>
        <w:t>í</w:t>
      </w:r>
      <w:r w:rsidRPr="00165196">
        <w:rPr>
          <w:rFonts w:ascii="ITC Avant Garde" w:eastAsiaTheme="minorEastAsia" w:hAnsi="ITC Avant Garde"/>
        </w:rPr>
        <w:t>nimos cuadrados ordinarios,</w:t>
      </w:r>
      <w:r>
        <w:rPr>
          <w:rFonts w:ascii="ITC Avant Garde" w:eastAsiaTheme="minorEastAsia" w:hAnsi="ITC Avant Garde"/>
        </w:rPr>
        <w:t xml:space="preserve"> </w:t>
      </w:r>
      <w:r w:rsidRPr="00103633">
        <w:rPr>
          <w:rFonts w:ascii="ITC Avant Garde" w:eastAsiaTheme="minorEastAsia" w:hAnsi="ITC Avant Garde"/>
        </w:rPr>
        <w:t>utilizando errores robustos</w:t>
      </w:r>
      <w:r w:rsidRPr="00165196">
        <w:rPr>
          <w:rFonts w:ascii="ITC Avant Garde" w:eastAsiaTheme="minorEastAsia" w:hAnsi="ITC Avant Garde"/>
        </w:rPr>
        <w:t>. Cada parámetro indica la intensidad y dirección de la relación entre el precio y la característica correspondiente.</w:t>
      </w:r>
      <w:r>
        <w:rPr>
          <w:rFonts w:ascii="ITC Avant Garde" w:eastAsiaTheme="minorEastAsia" w:hAnsi="ITC Avant Garde"/>
        </w:rPr>
        <w:t xml:space="preserve"> </w:t>
      </w:r>
    </w:p>
    <w:p w14:paraId="1FB00D55" w14:textId="7CE023A8" w:rsidR="004B0526" w:rsidRDefault="004B0526" w:rsidP="004B0526">
      <w:pPr>
        <w:jc w:val="both"/>
        <w:rPr>
          <w:rFonts w:ascii="ITC Avant Garde" w:hAnsi="ITC Avant Garde"/>
        </w:rPr>
      </w:pPr>
      <w:r w:rsidRPr="004B0526">
        <w:rPr>
          <w:rFonts w:ascii="ITC Avant Garde" w:hAnsi="ITC Avant Garde"/>
        </w:rPr>
        <w:t>Los resultados</w:t>
      </w:r>
      <w:r w:rsidRPr="00296C07">
        <w:rPr>
          <w:rFonts w:ascii="ITC Avant Garde" w:hAnsi="ITC Avant Garde"/>
        </w:rPr>
        <w:t xml:space="preserve"> de los mo</w:t>
      </w:r>
      <w:r>
        <w:rPr>
          <w:rFonts w:ascii="ITC Avant Garde" w:hAnsi="ITC Avant Garde"/>
        </w:rPr>
        <w:t>delos se pueden apreciar en el</w:t>
      </w:r>
      <w:r w:rsidR="004A4548">
        <w:rPr>
          <w:rFonts w:ascii="ITC Avant Garde" w:hAnsi="ITC Avant Garde"/>
        </w:rPr>
        <w:t xml:space="preserve"> siguiente c</w:t>
      </w:r>
      <w:r w:rsidRPr="00296C07">
        <w:rPr>
          <w:rFonts w:ascii="ITC Avant Garde" w:hAnsi="ITC Avant Garde"/>
        </w:rPr>
        <w:t xml:space="preserve">uadro. </w:t>
      </w:r>
      <w:r>
        <w:rPr>
          <w:rFonts w:ascii="ITC Avant Garde" w:hAnsi="ITC Avant Garde"/>
        </w:rPr>
        <w:t>La columna (1) presenta un resumen del modelo estimado para los paquetes residenciales y la columna (2) presenta un resumen para los paquetes empresa</w:t>
      </w:r>
      <w:r>
        <w:rPr>
          <w:rFonts w:ascii="ITC Avant Garde" w:hAnsi="ITC Avant Garde"/>
        </w:rPr>
        <w:lastRenderedPageBreak/>
        <w:t>riales, con</w:t>
      </w:r>
      <w:r w:rsidRPr="00296C07">
        <w:rPr>
          <w:rFonts w:ascii="ITC Avant Garde" w:hAnsi="ITC Avant Garde"/>
        </w:rPr>
        <w:t xml:space="preserve"> los coeficientes d</w:t>
      </w:r>
      <w:r>
        <w:rPr>
          <w:rFonts w:ascii="ITC Avant Garde" w:hAnsi="ITC Avant Garde"/>
        </w:rPr>
        <w:t xml:space="preserve">e cada una de las variables asociadas a </w:t>
      </w:r>
      <w:r w:rsidRPr="00296C07">
        <w:rPr>
          <w:rFonts w:ascii="ITC Avant Garde" w:hAnsi="ITC Avant Garde"/>
        </w:rPr>
        <w:t>las características de los paquetes</w:t>
      </w:r>
      <w:r>
        <w:rPr>
          <w:rFonts w:ascii="ITC Avant Garde" w:hAnsi="ITC Avant Garde"/>
        </w:rPr>
        <w:t xml:space="preserve"> (internet, voz y número de líneas telefónicas)</w:t>
      </w:r>
      <w:r w:rsidRPr="00296C07">
        <w:rPr>
          <w:rFonts w:ascii="ITC Avant Garde" w:hAnsi="ITC Avant Garde"/>
        </w:rPr>
        <w:t>; el coeficiente de determinación (R cuadrado); y el núm</w:t>
      </w:r>
      <w:r>
        <w:rPr>
          <w:rFonts w:ascii="ITC Avant Garde" w:hAnsi="ITC Avant Garde"/>
        </w:rPr>
        <w:t>ero de observaciones utilizadas</w:t>
      </w:r>
      <w:r w:rsidRPr="00296C07">
        <w:rPr>
          <w:rFonts w:ascii="ITC Avant Garde" w:hAnsi="ITC Avant Garde"/>
        </w:rPr>
        <w:t>.</w:t>
      </w:r>
    </w:p>
    <w:tbl>
      <w:tblPr>
        <w:tblW w:w="0" w:type="auto"/>
        <w:jc w:val="center"/>
        <w:tblCellMar>
          <w:left w:w="75" w:type="dxa"/>
          <w:right w:w="75" w:type="dxa"/>
        </w:tblCellMar>
        <w:tblLook w:val="0000" w:firstRow="0" w:lastRow="0" w:firstColumn="0" w:lastColumn="0" w:noHBand="0" w:noVBand="0"/>
      </w:tblPr>
      <w:tblGrid>
        <w:gridCol w:w="2017"/>
        <w:gridCol w:w="393"/>
        <w:gridCol w:w="978"/>
        <w:gridCol w:w="1052"/>
      </w:tblGrid>
      <w:tr w:rsidR="00954B8E" w:rsidRPr="001F394B" w14:paraId="7DC5E268" w14:textId="77777777" w:rsidTr="00431971">
        <w:trPr>
          <w:jc w:val="center"/>
        </w:trPr>
        <w:tc>
          <w:tcPr>
            <w:tcW w:w="0" w:type="auto"/>
            <w:tcBorders>
              <w:top w:val="single" w:sz="6" w:space="0" w:color="auto"/>
              <w:left w:val="nil"/>
              <w:bottom w:val="nil"/>
              <w:right w:val="nil"/>
            </w:tcBorders>
            <w:shd w:val="clear" w:color="auto" w:fill="A6A6A6" w:themeFill="background1" w:themeFillShade="A6"/>
          </w:tcPr>
          <w:p w14:paraId="49EB6EA0" w14:textId="77777777" w:rsidR="00954B8E" w:rsidRPr="00431971" w:rsidRDefault="00954B8E" w:rsidP="00431971">
            <w:pPr>
              <w:pStyle w:val="Tableheading"/>
              <w:spacing w:before="0" w:after="0"/>
              <w:jc w:val="center"/>
              <w:rPr>
                <w:rFonts w:ascii="ITC Avant Garde" w:hAnsi="ITC Avant Garde" w:cs="Arial"/>
                <w:b w:val="0"/>
                <w:color w:val="000000"/>
                <w:sz w:val="20"/>
                <w:szCs w:val="20"/>
                <w:lang w:val="es-ES" w:eastAsia="es-ES"/>
              </w:rPr>
            </w:pPr>
          </w:p>
        </w:tc>
        <w:tc>
          <w:tcPr>
            <w:tcW w:w="393" w:type="dxa"/>
            <w:tcBorders>
              <w:top w:val="single" w:sz="6" w:space="0" w:color="auto"/>
              <w:left w:val="nil"/>
              <w:bottom w:val="nil"/>
              <w:right w:val="nil"/>
            </w:tcBorders>
            <w:shd w:val="clear" w:color="auto" w:fill="A6A6A6" w:themeFill="background1" w:themeFillShade="A6"/>
          </w:tcPr>
          <w:p w14:paraId="30D9034B" w14:textId="77777777" w:rsidR="00954B8E" w:rsidRPr="00431971" w:rsidRDefault="00954B8E" w:rsidP="00431971">
            <w:pPr>
              <w:pStyle w:val="Tableheading"/>
              <w:spacing w:before="0" w:after="0"/>
              <w:jc w:val="center"/>
              <w:rPr>
                <w:rFonts w:ascii="ITC Avant Garde" w:hAnsi="ITC Avant Garde" w:cs="Arial"/>
                <w:b w:val="0"/>
                <w:color w:val="000000"/>
                <w:sz w:val="20"/>
                <w:szCs w:val="20"/>
                <w:lang w:val="es-ES" w:eastAsia="es-ES"/>
              </w:rPr>
            </w:pPr>
          </w:p>
        </w:tc>
        <w:tc>
          <w:tcPr>
            <w:tcW w:w="978" w:type="dxa"/>
            <w:tcBorders>
              <w:top w:val="single" w:sz="6" w:space="0" w:color="auto"/>
              <w:left w:val="nil"/>
              <w:bottom w:val="nil"/>
              <w:right w:val="nil"/>
            </w:tcBorders>
            <w:shd w:val="clear" w:color="auto" w:fill="A6A6A6" w:themeFill="background1" w:themeFillShade="A6"/>
          </w:tcPr>
          <w:p w14:paraId="67FFBDE6" w14:textId="77667665" w:rsidR="00954B8E" w:rsidRPr="00431971" w:rsidRDefault="00954B8E" w:rsidP="00431971">
            <w:pPr>
              <w:pStyle w:val="Tableheading"/>
              <w:spacing w:before="0" w:after="0"/>
              <w:jc w:val="center"/>
              <w:rPr>
                <w:rFonts w:ascii="ITC Avant Garde" w:hAnsi="ITC Avant Garde" w:cs="Arial"/>
                <w:b w:val="0"/>
                <w:color w:val="000000"/>
                <w:sz w:val="20"/>
                <w:szCs w:val="20"/>
                <w:lang w:val="es-ES" w:eastAsia="es-ES"/>
              </w:rPr>
            </w:pPr>
            <w:r w:rsidRPr="00431971">
              <w:rPr>
                <w:rFonts w:ascii="ITC Avant Garde" w:hAnsi="ITC Avant Garde" w:cs="Arial"/>
                <w:b w:val="0"/>
                <w:color w:val="000000"/>
                <w:sz w:val="20"/>
                <w:szCs w:val="20"/>
                <w:lang w:val="es-ES" w:eastAsia="es-ES"/>
              </w:rPr>
              <w:t>(1)</w:t>
            </w:r>
          </w:p>
        </w:tc>
        <w:tc>
          <w:tcPr>
            <w:tcW w:w="0" w:type="auto"/>
            <w:tcBorders>
              <w:top w:val="single" w:sz="6" w:space="0" w:color="auto"/>
              <w:left w:val="nil"/>
              <w:bottom w:val="nil"/>
              <w:right w:val="nil"/>
            </w:tcBorders>
            <w:shd w:val="clear" w:color="auto" w:fill="A6A6A6" w:themeFill="background1" w:themeFillShade="A6"/>
          </w:tcPr>
          <w:p w14:paraId="59250F39" w14:textId="77777777" w:rsidR="00954B8E" w:rsidRPr="00431971" w:rsidRDefault="00954B8E" w:rsidP="00431971">
            <w:pPr>
              <w:pStyle w:val="Tableheading"/>
              <w:spacing w:before="0" w:after="0"/>
              <w:jc w:val="center"/>
              <w:rPr>
                <w:rFonts w:ascii="ITC Avant Garde" w:hAnsi="ITC Avant Garde" w:cs="Arial"/>
                <w:b w:val="0"/>
                <w:color w:val="000000"/>
                <w:sz w:val="20"/>
                <w:szCs w:val="20"/>
                <w:lang w:val="es-ES" w:eastAsia="es-ES"/>
              </w:rPr>
            </w:pPr>
            <w:r w:rsidRPr="00431971">
              <w:rPr>
                <w:rFonts w:ascii="ITC Avant Garde" w:hAnsi="ITC Avant Garde" w:cs="Arial"/>
                <w:b w:val="0"/>
                <w:color w:val="000000"/>
                <w:sz w:val="20"/>
                <w:szCs w:val="20"/>
                <w:lang w:val="es-ES" w:eastAsia="es-ES"/>
              </w:rPr>
              <w:t>(2)</w:t>
            </w:r>
          </w:p>
        </w:tc>
      </w:tr>
      <w:tr w:rsidR="00954B8E" w:rsidRPr="001F394B" w14:paraId="6F730263" w14:textId="77777777" w:rsidTr="00431971">
        <w:trPr>
          <w:jc w:val="center"/>
        </w:trPr>
        <w:tc>
          <w:tcPr>
            <w:tcW w:w="0" w:type="auto"/>
            <w:tcBorders>
              <w:top w:val="nil"/>
              <w:left w:val="nil"/>
              <w:bottom w:val="single" w:sz="6" w:space="0" w:color="auto"/>
              <w:right w:val="nil"/>
            </w:tcBorders>
            <w:shd w:val="clear" w:color="auto" w:fill="A6A6A6" w:themeFill="background1" w:themeFillShade="A6"/>
          </w:tcPr>
          <w:p w14:paraId="2B8BB4C8" w14:textId="77777777" w:rsidR="00954B8E" w:rsidRPr="001F394B" w:rsidRDefault="00954B8E" w:rsidP="00F007BE">
            <w:pPr>
              <w:widowControl w:val="0"/>
              <w:autoSpaceDE w:val="0"/>
              <w:autoSpaceDN w:val="0"/>
              <w:adjustRightInd w:val="0"/>
              <w:spacing w:after="0" w:line="240" w:lineRule="auto"/>
              <w:rPr>
                <w:rFonts w:ascii="ITC Avant Garde" w:hAnsi="ITC Avant Garde"/>
                <w:sz w:val="16"/>
                <w:szCs w:val="24"/>
              </w:rPr>
            </w:pPr>
            <w:r w:rsidRPr="001F394B">
              <w:rPr>
                <w:rFonts w:ascii="ITC Avant Garde" w:hAnsi="ITC Avant Garde"/>
                <w:sz w:val="16"/>
                <w:szCs w:val="24"/>
              </w:rPr>
              <w:t>VARIABLES</w:t>
            </w:r>
          </w:p>
        </w:tc>
        <w:tc>
          <w:tcPr>
            <w:tcW w:w="393" w:type="dxa"/>
            <w:tcBorders>
              <w:top w:val="nil"/>
              <w:left w:val="nil"/>
              <w:bottom w:val="single" w:sz="6" w:space="0" w:color="auto"/>
              <w:right w:val="nil"/>
            </w:tcBorders>
            <w:shd w:val="clear" w:color="auto" w:fill="A6A6A6" w:themeFill="background1" w:themeFillShade="A6"/>
          </w:tcPr>
          <w:p w14:paraId="528A6E0C"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p>
        </w:tc>
        <w:tc>
          <w:tcPr>
            <w:tcW w:w="978" w:type="dxa"/>
            <w:tcBorders>
              <w:top w:val="nil"/>
              <w:left w:val="nil"/>
              <w:bottom w:val="single" w:sz="6" w:space="0" w:color="auto"/>
              <w:right w:val="nil"/>
            </w:tcBorders>
            <w:shd w:val="clear" w:color="auto" w:fill="A6A6A6" w:themeFill="background1" w:themeFillShade="A6"/>
          </w:tcPr>
          <w:p w14:paraId="29A32005" w14:textId="10601ECE"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 xml:space="preserve">Particular </w:t>
            </w:r>
          </w:p>
        </w:tc>
        <w:tc>
          <w:tcPr>
            <w:tcW w:w="0" w:type="auto"/>
            <w:tcBorders>
              <w:top w:val="nil"/>
              <w:left w:val="nil"/>
              <w:bottom w:val="single" w:sz="6" w:space="0" w:color="auto"/>
              <w:right w:val="nil"/>
            </w:tcBorders>
            <w:shd w:val="clear" w:color="auto" w:fill="A6A6A6" w:themeFill="background1" w:themeFillShade="A6"/>
          </w:tcPr>
          <w:p w14:paraId="72101E9B"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 xml:space="preserve">Empresarial </w:t>
            </w:r>
          </w:p>
        </w:tc>
      </w:tr>
      <w:tr w:rsidR="00954B8E" w:rsidRPr="001F394B" w14:paraId="12471668" w14:textId="77777777" w:rsidTr="00954B8E">
        <w:trPr>
          <w:jc w:val="center"/>
        </w:trPr>
        <w:tc>
          <w:tcPr>
            <w:tcW w:w="0" w:type="auto"/>
            <w:tcBorders>
              <w:top w:val="nil"/>
              <w:left w:val="nil"/>
              <w:bottom w:val="nil"/>
              <w:right w:val="nil"/>
            </w:tcBorders>
          </w:tcPr>
          <w:p w14:paraId="2A2F8754" w14:textId="77777777" w:rsidR="00954B8E" w:rsidRPr="001F394B" w:rsidRDefault="00954B8E" w:rsidP="00F007BE">
            <w:pPr>
              <w:widowControl w:val="0"/>
              <w:autoSpaceDE w:val="0"/>
              <w:autoSpaceDN w:val="0"/>
              <w:adjustRightInd w:val="0"/>
              <w:spacing w:after="0" w:line="240" w:lineRule="auto"/>
              <w:rPr>
                <w:rFonts w:ascii="ITC Avant Garde" w:hAnsi="ITC Avant Garde"/>
                <w:sz w:val="16"/>
                <w:szCs w:val="24"/>
              </w:rPr>
            </w:pPr>
            <w:r w:rsidRPr="001F394B">
              <w:rPr>
                <w:rFonts w:ascii="ITC Avant Garde" w:hAnsi="ITC Avant Garde"/>
                <w:sz w:val="16"/>
                <w:szCs w:val="24"/>
              </w:rPr>
              <w:t>MBPS</w:t>
            </w:r>
          </w:p>
        </w:tc>
        <w:tc>
          <w:tcPr>
            <w:tcW w:w="393" w:type="dxa"/>
            <w:tcBorders>
              <w:top w:val="nil"/>
              <w:left w:val="nil"/>
              <w:bottom w:val="nil"/>
              <w:right w:val="nil"/>
            </w:tcBorders>
          </w:tcPr>
          <w:p w14:paraId="2F6168AB" w14:textId="34D63390"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954B8E">
              <w:rPr>
                <w:rFonts w:cs="Calibri"/>
                <w:sz w:val="16"/>
                <w:szCs w:val="24"/>
              </w:rPr>
              <w:t>β</w:t>
            </w:r>
            <w:r w:rsidRPr="00954B8E">
              <w:rPr>
                <w:rFonts w:ascii="ITC Avant Garde" w:hAnsi="ITC Avant Garde"/>
                <w:sz w:val="16"/>
                <w:szCs w:val="24"/>
                <w:vertAlign w:val="subscript"/>
              </w:rPr>
              <w:t>1</w:t>
            </w:r>
          </w:p>
        </w:tc>
        <w:tc>
          <w:tcPr>
            <w:tcW w:w="978" w:type="dxa"/>
            <w:tcBorders>
              <w:top w:val="nil"/>
              <w:left w:val="nil"/>
              <w:bottom w:val="nil"/>
              <w:right w:val="nil"/>
            </w:tcBorders>
          </w:tcPr>
          <w:p w14:paraId="7C6762A0" w14:textId="23AC9874"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0.00410***</w:t>
            </w:r>
          </w:p>
        </w:tc>
        <w:tc>
          <w:tcPr>
            <w:tcW w:w="0" w:type="auto"/>
            <w:tcBorders>
              <w:top w:val="nil"/>
              <w:left w:val="nil"/>
              <w:bottom w:val="nil"/>
              <w:right w:val="nil"/>
            </w:tcBorders>
          </w:tcPr>
          <w:p w14:paraId="253F8E69"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0.00512***</w:t>
            </w:r>
          </w:p>
        </w:tc>
      </w:tr>
      <w:tr w:rsidR="00954B8E" w:rsidRPr="001F394B" w14:paraId="57AF5129" w14:textId="77777777" w:rsidTr="00954B8E">
        <w:trPr>
          <w:jc w:val="center"/>
        </w:trPr>
        <w:tc>
          <w:tcPr>
            <w:tcW w:w="0" w:type="auto"/>
            <w:tcBorders>
              <w:top w:val="nil"/>
              <w:left w:val="nil"/>
              <w:bottom w:val="nil"/>
              <w:right w:val="nil"/>
            </w:tcBorders>
          </w:tcPr>
          <w:p w14:paraId="4C335977" w14:textId="77777777" w:rsidR="00954B8E" w:rsidRPr="001F394B" w:rsidRDefault="00954B8E" w:rsidP="00F007BE">
            <w:pPr>
              <w:widowControl w:val="0"/>
              <w:autoSpaceDE w:val="0"/>
              <w:autoSpaceDN w:val="0"/>
              <w:adjustRightInd w:val="0"/>
              <w:spacing w:after="0" w:line="240" w:lineRule="auto"/>
              <w:rPr>
                <w:rFonts w:ascii="ITC Avant Garde" w:hAnsi="ITC Avant Garde"/>
                <w:sz w:val="16"/>
                <w:szCs w:val="24"/>
              </w:rPr>
            </w:pPr>
          </w:p>
        </w:tc>
        <w:tc>
          <w:tcPr>
            <w:tcW w:w="393" w:type="dxa"/>
            <w:tcBorders>
              <w:top w:val="nil"/>
              <w:left w:val="nil"/>
              <w:bottom w:val="nil"/>
              <w:right w:val="nil"/>
            </w:tcBorders>
          </w:tcPr>
          <w:p w14:paraId="5FB57675"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p>
        </w:tc>
        <w:tc>
          <w:tcPr>
            <w:tcW w:w="978" w:type="dxa"/>
            <w:tcBorders>
              <w:top w:val="nil"/>
              <w:left w:val="nil"/>
              <w:bottom w:val="nil"/>
              <w:right w:val="nil"/>
            </w:tcBorders>
          </w:tcPr>
          <w:p w14:paraId="68FC0138" w14:textId="46F92962"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(1.88e-05)</w:t>
            </w:r>
          </w:p>
        </w:tc>
        <w:tc>
          <w:tcPr>
            <w:tcW w:w="0" w:type="auto"/>
            <w:tcBorders>
              <w:top w:val="nil"/>
              <w:left w:val="nil"/>
              <w:bottom w:val="nil"/>
              <w:right w:val="nil"/>
            </w:tcBorders>
          </w:tcPr>
          <w:p w14:paraId="26C7BD21"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(3.12e-05)</w:t>
            </w:r>
          </w:p>
        </w:tc>
      </w:tr>
      <w:tr w:rsidR="00954B8E" w:rsidRPr="001F394B" w14:paraId="60066814" w14:textId="77777777" w:rsidTr="00954B8E">
        <w:trPr>
          <w:jc w:val="center"/>
        </w:trPr>
        <w:tc>
          <w:tcPr>
            <w:tcW w:w="0" w:type="auto"/>
            <w:tcBorders>
              <w:top w:val="nil"/>
              <w:left w:val="nil"/>
              <w:bottom w:val="nil"/>
              <w:right w:val="nil"/>
            </w:tcBorders>
          </w:tcPr>
          <w:p w14:paraId="7BC9783E" w14:textId="77777777" w:rsidR="00954B8E" w:rsidRPr="001F394B" w:rsidRDefault="00954B8E" w:rsidP="00F007BE">
            <w:pPr>
              <w:widowControl w:val="0"/>
              <w:autoSpaceDE w:val="0"/>
              <w:autoSpaceDN w:val="0"/>
              <w:adjustRightInd w:val="0"/>
              <w:spacing w:after="0" w:line="240" w:lineRule="auto"/>
              <w:rPr>
                <w:rFonts w:ascii="ITC Avant Garde" w:hAnsi="ITC Avant Garde"/>
                <w:sz w:val="16"/>
                <w:szCs w:val="24"/>
              </w:rPr>
            </w:pPr>
            <w:r w:rsidRPr="001F394B">
              <w:rPr>
                <w:rFonts w:ascii="ITC Avant Garde" w:hAnsi="ITC Avant Garde"/>
                <w:sz w:val="16"/>
                <w:szCs w:val="24"/>
              </w:rPr>
              <w:t>MBPS²</w:t>
            </w:r>
          </w:p>
        </w:tc>
        <w:tc>
          <w:tcPr>
            <w:tcW w:w="393" w:type="dxa"/>
            <w:tcBorders>
              <w:top w:val="nil"/>
              <w:left w:val="nil"/>
              <w:bottom w:val="nil"/>
              <w:right w:val="nil"/>
            </w:tcBorders>
          </w:tcPr>
          <w:p w14:paraId="208EF2E6" w14:textId="0420FF1C"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954B8E">
              <w:rPr>
                <w:rFonts w:cs="Calibri"/>
                <w:sz w:val="16"/>
                <w:szCs w:val="24"/>
              </w:rPr>
              <w:t>β</w:t>
            </w:r>
            <w:r w:rsidRPr="00954B8E">
              <w:rPr>
                <w:rFonts w:ascii="ITC Avant Garde" w:hAnsi="ITC Avant Garde"/>
                <w:sz w:val="16"/>
                <w:szCs w:val="24"/>
                <w:vertAlign w:val="subscript"/>
              </w:rPr>
              <w:t>2</w:t>
            </w:r>
          </w:p>
        </w:tc>
        <w:tc>
          <w:tcPr>
            <w:tcW w:w="978" w:type="dxa"/>
            <w:tcBorders>
              <w:top w:val="nil"/>
              <w:left w:val="nil"/>
              <w:bottom w:val="nil"/>
              <w:right w:val="nil"/>
            </w:tcBorders>
          </w:tcPr>
          <w:p w14:paraId="7B16E75E" w14:textId="4F8E48E2"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-3.29e-06***</w:t>
            </w:r>
          </w:p>
        </w:tc>
        <w:tc>
          <w:tcPr>
            <w:tcW w:w="0" w:type="auto"/>
            <w:tcBorders>
              <w:top w:val="nil"/>
              <w:left w:val="nil"/>
              <w:bottom w:val="nil"/>
              <w:right w:val="nil"/>
            </w:tcBorders>
          </w:tcPr>
          <w:p w14:paraId="38B7034D"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-4.23e-06***</w:t>
            </w:r>
          </w:p>
        </w:tc>
      </w:tr>
      <w:tr w:rsidR="00954B8E" w:rsidRPr="001F394B" w14:paraId="69F8D021" w14:textId="77777777" w:rsidTr="00954B8E">
        <w:trPr>
          <w:jc w:val="center"/>
        </w:trPr>
        <w:tc>
          <w:tcPr>
            <w:tcW w:w="0" w:type="auto"/>
            <w:tcBorders>
              <w:top w:val="nil"/>
              <w:left w:val="nil"/>
              <w:bottom w:val="nil"/>
              <w:right w:val="nil"/>
            </w:tcBorders>
          </w:tcPr>
          <w:p w14:paraId="70D3AF90" w14:textId="77777777" w:rsidR="00954B8E" w:rsidRPr="001F394B" w:rsidRDefault="00954B8E" w:rsidP="00F007BE">
            <w:pPr>
              <w:widowControl w:val="0"/>
              <w:autoSpaceDE w:val="0"/>
              <w:autoSpaceDN w:val="0"/>
              <w:adjustRightInd w:val="0"/>
              <w:spacing w:after="0" w:line="240" w:lineRule="auto"/>
              <w:rPr>
                <w:rFonts w:ascii="ITC Avant Garde" w:hAnsi="ITC Avant Garde"/>
                <w:sz w:val="16"/>
                <w:szCs w:val="24"/>
              </w:rPr>
            </w:pPr>
          </w:p>
        </w:tc>
        <w:tc>
          <w:tcPr>
            <w:tcW w:w="393" w:type="dxa"/>
            <w:tcBorders>
              <w:top w:val="nil"/>
              <w:left w:val="nil"/>
              <w:bottom w:val="nil"/>
              <w:right w:val="nil"/>
            </w:tcBorders>
          </w:tcPr>
          <w:p w14:paraId="26BCF470"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p>
        </w:tc>
        <w:tc>
          <w:tcPr>
            <w:tcW w:w="978" w:type="dxa"/>
            <w:tcBorders>
              <w:top w:val="nil"/>
              <w:left w:val="nil"/>
              <w:bottom w:val="nil"/>
              <w:right w:val="nil"/>
            </w:tcBorders>
          </w:tcPr>
          <w:p w14:paraId="04032186" w14:textId="27093181"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(3.98e-08)</w:t>
            </w:r>
          </w:p>
        </w:tc>
        <w:tc>
          <w:tcPr>
            <w:tcW w:w="0" w:type="auto"/>
            <w:tcBorders>
              <w:top w:val="nil"/>
              <w:left w:val="nil"/>
              <w:bottom w:val="nil"/>
              <w:right w:val="nil"/>
            </w:tcBorders>
          </w:tcPr>
          <w:p w14:paraId="0729CF0D"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(7.37e-08)</w:t>
            </w:r>
          </w:p>
        </w:tc>
      </w:tr>
      <w:tr w:rsidR="00954B8E" w:rsidRPr="001F394B" w14:paraId="29BB5AB0" w14:textId="77777777" w:rsidTr="00954B8E">
        <w:trPr>
          <w:jc w:val="center"/>
        </w:trPr>
        <w:tc>
          <w:tcPr>
            <w:tcW w:w="0" w:type="auto"/>
            <w:tcBorders>
              <w:top w:val="nil"/>
              <w:left w:val="nil"/>
              <w:bottom w:val="nil"/>
              <w:right w:val="nil"/>
            </w:tcBorders>
          </w:tcPr>
          <w:p w14:paraId="09557ADA" w14:textId="77777777" w:rsidR="00954B8E" w:rsidRPr="001F394B" w:rsidRDefault="00954B8E" w:rsidP="00F007BE">
            <w:pPr>
              <w:widowControl w:val="0"/>
              <w:autoSpaceDE w:val="0"/>
              <w:autoSpaceDN w:val="0"/>
              <w:adjustRightInd w:val="0"/>
              <w:spacing w:after="0" w:line="240" w:lineRule="auto"/>
              <w:rPr>
                <w:rFonts w:ascii="ITC Avant Garde" w:hAnsi="ITC Avant Garde"/>
                <w:sz w:val="16"/>
                <w:szCs w:val="24"/>
              </w:rPr>
            </w:pPr>
            <w:r w:rsidRPr="001F394B">
              <w:rPr>
                <w:rFonts w:ascii="ITC Avant Garde" w:hAnsi="ITC Avant Garde"/>
                <w:sz w:val="16"/>
                <w:szCs w:val="24"/>
              </w:rPr>
              <w:t>LINEAS INCLUIDAS (LI)</w:t>
            </w:r>
          </w:p>
        </w:tc>
        <w:tc>
          <w:tcPr>
            <w:tcW w:w="393" w:type="dxa"/>
            <w:tcBorders>
              <w:top w:val="nil"/>
              <w:left w:val="nil"/>
              <w:bottom w:val="nil"/>
              <w:right w:val="nil"/>
            </w:tcBorders>
          </w:tcPr>
          <w:p w14:paraId="4CA7F1CF" w14:textId="166089E2"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954B8E">
              <w:rPr>
                <w:rFonts w:cs="Calibri"/>
                <w:sz w:val="16"/>
                <w:szCs w:val="24"/>
              </w:rPr>
              <w:t>β</w:t>
            </w:r>
            <w:r w:rsidRPr="00954B8E">
              <w:rPr>
                <w:rFonts w:ascii="ITC Avant Garde" w:hAnsi="ITC Avant Garde"/>
                <w:sz w:val="16"/>
                <w:szCs w:val="24"/>
                <w:vertAlign w:val="subscript"/>
              </w:rPr>
              <w:t>3</w:t>
            </w:r>
          </w:p>
        </w:tc>
        <w:tc>
          <w:tcPr>
            <w:tcW w:w="978" w:type="dxa"/>
            <w:tcBorders>
              <w:top w:val="nil"/>
              <w:left w:val="nil"/>
              <w:bottom w:val="nil"/>
              <w:right w:val="nil"/>
            </w:tcBorders>
          </w:tcPr>
          <w:p w14:paraId="2F56B026" w14:textId="39FA269C"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0.526***</w:t>
            </w:r>
          </w:p>
        </w:tc>
        <w:tc>
          <w:tcPr>
            <w:tcW w:w="0" w:type="auto"/>
            <w:tcBorders>
              <w:top w:val="nil"/>
              <w:left w:val="nil"/>
              <w:bottom w:val="nil"/>
              <w:right w:val="nil"/>
            </w:tcBorders>
          </w:tcPr>
          <w:p w14:paraId="2BB06910"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0.204***</w:t>
            </w:r>
          </w:p>
        </w:tc>
      </w:tr>
      <w:tr w:rsidR="00954B8E" w:rsidRPr="001F394B" w14:paraId="36A0C7F6" w14:textId="77777777" w:rsidTr="00954B8E">
        <w:trPr>
          <w:jc w:val="center"/>
        </w:trPr>
        <w:tc>
          <w:tcPr>
            <w:tcW w:w="0" w:type="auto"/>
            <w:tcBorders>
              <w:top w:val="nil"/>
              <w:left w:val="nil"/>
              <w:bottom w:val="nil"/>
              <w:right w:val="nil"/>
            </w:tcBorders>
          </w:tcPr>
          <w:p w14:paraId="1392DD8B" w14:textId="77777777" w:rsidR="00954B8E" w:rsidRPr="001F394B" w:rsidRDefault="00954B8E" w:rsidP="00F007BE">
            <w:pPr>
              <w:widowControl w:val="0"/>
              <w:autoSpaceDE w:val="0"/>
              <w:autoSpaceDN w:val="0"/>
              <w:adjustRightInd w:val="0"/>
              <w:spacing w:after="0" w:line="240" w:lineRule="auto"/>
              <w:rPr>
                <w:rFonts w:ascii="ITC Avant Garde" w:hAnsi="ITC Avant Garde"/>
                <w:sz w:val="16"/>
                <w:szCs w:val="24"/>
              </w:rPr>
            </w:pPr>
          </w:p>
        </w:tc>
        <w:tc>
          <w:tcPr>
            <w:tcW w:w="393" w:type="dxa"/>
            <w:tcBorders>
              <w:top w:val="nil"/>
              <w:left w:val="nil"/>
              <w:bottom w:val="nil"/>
              <w:right w:val="nil"/>
            </w:tcBorders>
          </w:tcPr>
          <w:p w14:paraId="77719DDB"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p>
        </w:tc>
        <w:tc>
          <w:tcPr>
            <w:tcW w:w="978" w:type="dxa"/>
            <w:tcBorders>
              <w:top w:val="nil"/>
              <w:left w:val="nil"/>
              <w:bottom w:val="nil"/>
              <w:right w:val="nil"/>
            </w:tcBorders>
          </w:tcPr>
          <w:p w14:paraId="0449DB8A" w14:textId="61F46272"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(0.00621)</w:t>
            </w:r>
          </w:p>
        </w:tc>
        <w:tc>
          <w:tcPr>
            <w:tcW w:w="0" w:type="auto"/>
            <w:tcBorders>
              <w:top w:val="nil"/>
              <w:left w:val="nil"/>
              <w:bottom w:val="nil"/>
              <w:right w:val="nil"/>
            </w:tcBorders>
          </w:tcPr>
          <w:p w14:paraId="2077FFE5"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(0.00458)</w:t>
            </w:r>
          </w:p>
        </w:tc>
      </w:tr>
      <w:tr w:rsidR="00954B8E" w:rsidRPr="001F394B" w14:paraId="589D966A" w14:textId="77777777" w:rsidTr="00954B8E">
        <w:trPr>
          <w:jc w:val="center"/>
        </w:trPr>
        <w:tc>
          <w:tcPr>
            <w:tcW w:w="0" w:type="auto"/>
            <w:tcBorders>
              <w:top w:val="nil"/>
              <w:left w:val="nil"/>
              <w:bottom w:val="nil"/>
              <w:right w:val="nil"/>
            </w:tcBorders>
          </w:tcPr>
          <w:p w14:paraId="5124050E" w14:textId="77777777" w:rsidR="00954B8E" w:rsidRPr="001F394B" w:rsidRDefault="00954B8E" w:rsidP="00F007BE">
            <w:pPr>
              <w:widowControl w:val="0"/>
              <w:autoSpaceDE w:val="0"/>
              <w:autoSpaceDN w:val="0"/>
              <w:adjustRightInd w:val="0"/>
              <w:spacing w:after="0" w:line="240" w:lineRule="auto"/>
              <w:rPr>
                <w:rFonts w:ascii="ITC Avant Garde" w:hAnsi="ITC Avant Garde"/>
                <w:sz w:val="16"/>
                <w:szCs w:val="24"/>
              </w:rPr>
            </w:pPr>
            <w:r w:rsidRPr="001F394B">
              <w:rPr>
                <w:rFonts w:ascii="ITC Avant Garde" w:hAnsi="ITC Avant Garde"/>
                <w:sz w:val="16"/>
                <w:szCs w:val="24"/>
              </w:rPr>
              <w:t>LINEAS INCLUIDAS²</w:t>
            </w:r>
          </w:p>
        </w:tc>
        <w:tc>
          <w:tcPr>
            <w:tcW w:w="393" w:type="dxa"/>
            <w:tcBorders>
              <w:top w:val="nil"/>
              <w:left w:val="nil"/>
              <w:bottom w:val="nil"/>
              <w:right w:val="nil"/>
            </w:tcBorders>
          </w:tcPr>
          <w:p w14:paraId="12710DEB" w14:textId="056F8E6C"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954B8E">
              <w:rPr>
                <w:rFonts w:cs="Calibri"/>
                <w:sz w:val="16"/>
                <w:szCs w:val="24"/>
              </w:rPr>
              <w:t>β</w:t>
            </w:r>
            <w:r w:rsidRPr="00954B8E">
              <w:rPr>
                <w:rFonts w:ascii="ITC Avant Garde" w:hAnsi="ITC Avant Garde"/>
                <w:sz w:val="16"/>
                <w:szCs w:val="24"/>
                <w:vertAlign w:val="subscript"/>
              </w:rPr>
              <w:t>4</w:t>
            </w:r>
          </w:p>
        </w:tc>
        <w:tc>
          <w:tcPr>
            <w:tcW w:w="978" w:type="dxa"/>
            <w:tcBorders>
              <w:top w:val="nil"/>
              <w:left w:val="nil"/>
              <w:bottom w:val="nil"/>
              <w:right w:val="nil"/>
            </w:tcBorders>
          </w:tcPr>
          <w:p w14:paraId="6DE2B802" w14:textId="5CC1D0B8"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-0.0467***</w:t>
            </w:r>
          </w:p>
        </w:tc>
        <w:tc>
          <w:tcPr>
            <w:tcW w:w="0" w:type="auto"/>
            <w:tcBorders>
              <w:top w:val="nil"/>
              <w:left w:val="nil"/>
              <w:bottom w:val="nil"/>
              <w:right w:val="nil"/>
            </w:tcBorders>
          </w:tcPr>
          <w:p w14:paraId="2DBA2155"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-0.00818***</w:t>
            </w:r>
          </w:p>
        </w:tc>
      </w:tr>
      <w:tr w:rsidR="00954B8E" w:rsidRPr="001F394B" w14:paraId="61073933" w14:textId="77777777" w:rsidTr="00954B8E">
        <w:trPr>
          <w:jc w:val="center"/>
        </w:trPr>
        <w:tc>
          <w:tcPr>
            <w:tcW w:w="0" w:type="auto"/>
            <w:tcBorders>
              <w:top w:val="nil"/>
              <w:left w:val="nil"/>
              <w:bottom w:val="nil"/>
              <w:right w:val="nil"/>
            </w:tcBorders>
          </w:tcPr>
          <w:p w14:paraId="30A046DC" w14:textId="77777777" w:rsidR="00954B8E" w:rsidRPr="001F394B" w:rsidRDefault="00954B8E" w:rsidP="00F007BE">
            <w:pPr>
              <w:widowControl w:val="0"/>
              <w:autoSpaceDE w:val="0"/>
              <w:autoSpaceDN w:val="0"/>
              <w:adjustRightInd w:val="0"/>
              <w:spacing w:after="0" w:line="240" w:lineRule="auto"/>
              <w:rPr>
                <w:rFonts w:ascii="ITC Avant Garde" w:hAnsi="ITC Avant Garde"/>
                <w:sz w:val="16"/>
                <w:szCs w:val="24"/>
              </w:rPr>
            </w:pPr>
          </w:p>
        </w:tc>
        <w:tc>
          <w:tcPr>
            <w:tcW w:w="393" w:type="dxa"/>
            <w:tcBorders>
              <w:top w:val="nil"/>
              <w:left w:val="nil"/>
              <w:bottom w:val="nil"/>
              <w:right w:val="nil"/>
            </w:tcBorders>
          </w:tcPr>
          <w:p w14:paraId="3FEC4821"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p>
        </w:tc>
        <w:tc>
          <w:tcPr>
            <w:tcW w:w="978" w:type="dxa"/>
            <w:tcBorders>
              <w:top w:val="nil"/>
              <w:left w:val="nil"/>
              <w:bottom w:val="nil"/>
              <w:right w:val="nil"/>
            </w:tcBorders>
          </w:tcPr>
          <w:p w14:paraId="0FCB4469" w14:textId="162FB981"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(0.000718)</w:t>
            </w:r>
          </w:p>
        </w:tc>
        <w:tc>
          <w:tcPr>
            <w:tcW w:w="0" w:type="auto"/>
            <w:tcBorders>
              <w:top w:val="nil"/>
              <w:left w:val="nil"/>
              <w:bottom w:val="nil"/>
              <w:right w:val="nil"/>
            </w:tcBorders>
          </w:tcPr>
          <w:p w14:paraId="040C257F"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(0.000463)</w:t>
            </w:r>
          </w:p>
        </w:tc>
      </w:tr>
      <w:tr w:rsidR="00954B8E" w:rsidRPr="001F394B" w14:paraId="2DD31BBD" w14:textId="77777777" w:rsidTr="00954B8E">
        <w:trPr>
          <w:jc w:val="center"/>
        </w:trPr>
        <w:tc>
          <w:tcPr>
            <w:tcW w:w="0" w:type="auto"/>
            <w:tcBorders>
              <w:top w:val="nil"/>
              <w:left w:val="nil"/>
              <w:bottom w:val="nil"/>
              <w:right w:val="nil"/>
            </w:tcBorders>
          </w:tcPr>
          <w:p w14:paraId="6D2A3EFA" w14:textId="77777777" w:rsidR="00954B8E" w:rsidRPr="001F394B" w:rsidRDefault="00954B8E" w:rsidP="00F007BE">
            <w:pPr>
              <w:widowControl w:val="0"/>
              <w:autoSpaceDE w:val="0"/>
              <w:autoSpaceDN w:val="0"/>
              <w:adjustRightInd w:val="0"/>
              <w:spacing w:after="0" w:line="240" w:lineRule="auto"/>
              <w:rPr>
                <w:rFonts w:ascii="ITC Avant Garde" w:hAnsi="ITC Avant Garde"/>
                <w:sz w:val="16"/>
                <w:szCs w:val="24"/>
              </w:rPr>
            </w:pPr>
            <w:r w:rsidRPr="001F394B">
              <w:rPr>
                <w:rFonts w:ascii="ITC Avant Garde" w:hAnsi="ITC Avant Garde"/>
                <w:sz w:val="16"/>
                <w:szCs w:val="24"/>
              </w:rPr>
              <w:t>Dll</w:t>
            </w:r>
          </w:p>
        </w:tc>
        <w:tc>
          <w:tcPr>
            <w:tcW w:w="393" w:type="dxa"/>
            <w:tcBorders>
              <w:top w:val="nil"/>
              <w:left w:val="nil"/>
              <w:bottom w:val="nil"/>
              <w:right w:val="nil"/>
            </w:tcBorders>
          </w:tcPr>
          <w:p w14:paraId="6E1E816F" w14:textId="05544618"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954B8E">
              <w:rPr>
                <w:rFonts w:cs="Calibri"/>
                <w:sz w:val="16"/>
                <w:szCs w:val="24"/>
              </w:rPr>
              <w:t>β</w:t>
            </w:r>
            <w:r w:rsidRPr="00954B8E">
              <w:rPr>
                <w:rFonts w:ascii="ITC Avant Garde" w:hAnsi="ITC Avant Garde"/>
                <w:sz w:val="16"/>
                <w:szCs w:val="24"/>
                <w:vertAlign w:val="subscript"/>
              </w:rPr>
              <w:t>5</w:t>
            </w:r>
          </w:p>
        </w:tc>
        <w:tc>
          <w:tcPr>
            <w:tcW w:w="978" w:type="dxa"/>
            <w:tcBorders>
              <w:top w:val="nil"/>
              <w:left w:val="nil"/>
              <w:bottom w:val="nil"/>
              <w:right w:val="nil"/>
            </w:tcBorders>
          </w:tcPr>
          <w:p w14:paraId="08BEFAC7" w14:textId="6697F1A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0.0386***</w:t>
            </w:r>
          </w:p>
        </w:tc>
        <w:tc>
          <w:tcPr>
            <w:tcW w:w="0" w:type="auto"/>
            <w:tcBorders>
              <w:top w:val="nil"/>
              <w:left w:val="nil"/>
              <w:bottom w:val="nil"/>
              <w:right w:val="nil"/>
            </w:tcBorders>
          </w:tcPr>
          <w:p w14:paraId="21A764CF"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-0.0623***</w:t>
            </w:r>
          </w:p>
        </w:tc>
      </w:tr>
      <w:tr w:rsidR="00954B8E" w:rsidRPr="001F394B" w14:paraId="4C245C1B" w14:textId="77777777" w:rsidTr="00954B8E">
        <w:trPr>
          <w:jc w:val="center"/>
        </w:trPr>
        <w:tc>
          <w:tcPr>
            <w:tcW w:w="0" w:type="auto"/>
            <w:tcBorders>
              <w:top w:val="nil"/>
              <w:left w:val="nil"/>
              <w:bottom w:val="nil"/>
              <w:right w:val="nil"/>
            </w:tcBorders>
          </w:tcPr>
          <w:p w14:paraId="16DBE087" w14:textId="77777777" w:rsidR="00954B8E" w:rsidRPr="001F394B" w:rsidRDefault="00954B8E" w:rsidP="00F007BE">
            <w:pPr>
              <w:widowControl w:val="0"/>
              <w:autoSpaceDE w:val="0"/>
              <w:autoSpaceDN w:val="0"/>
              <w:adjustRightInd w:val="0"/>
              <w:spacing w:after="0" w:line="240" w:lineRule="auto"/>
              <w:rPr>
                <w:rFonts w:ascii="ITC Avant Garde" w:hAnsi="ITC Avant Garde"/>
                <w:sz w:val="16"/>
                <w:szCs w:val="24"/>
              </w:rPr>
            </w:pPr>
          </w:p>
        </w:tc>
        <w:tc>
          <w:tcPr>
            <w:tcW w:w="393" w:type="dxa"/>
            <w:tcBorders>
              <w:top w:val="nil"/>
              <w:left w:val="nil"/>
              <w:bottom w:val="nil"/>
              <w:right w:val="nil"/>
            </w:tcBorders>
          </w:tcPr>
          <w:p w14:paraId="15B988DD"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p>
        </w:tc>
        <w:tc>
          <w:tcPr>
            <w:tcW w:w="978" w:type="dxa"/>
            <w:tcBorders>
              <w:top w:val="nil"/>
              <w:left w:val="nil"/>
              <w:bottom w:val="nil"/>
              <w:right w:val="nil"/>
            </w:tcBorders>
          </w:tcPr>
          <w:p w14:paraId="0C415DBC" w14:textId="23588380"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(0.00646)</w:t>
            </w:r>
          </w:p>
        </w:tc>
        <w:tc>
          <w:tcPr>
            <w:tcW w:w="0" w:type="auto"/>
            <w:tcBorders>
              <w:top w:val="nil"/>
              <w:left w:val="nil"/>
              <w:bottom w:val="nil"/>
              <w:right w:val="nil"/>
            </w:tcBorders>
          </w:tcPr>
          <w:p w14:paraId="42B59BBC"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(0.00252)</w:t>
            </w:r>
          </w:p>
        </w:tc>
      </w:tr>
      <w:tr w:rsidR="00954B8E" w:rsidRPr="001F394B" w14:paraId="4E8D2297" w14:textId="77777777" w:rsidTr="00954B8E">
        <w:trPr>
          <w:jc w:val="center"/>
        </w:trPr>
        <w:tc>
          <w:tcPr>
            <w:tcW w:w="0" w:type="auto"/>
            <w:tcBorders>
              <w:top w:val="nil"/>
              <w:left w:val="nil"/>
              <w:bottom w:val="nil"/>
              <w:right w:val="nil"/>
            </w:tcBorders>
          </w:tcPr>
          <w:p w14:paraId="29EE455C" w14:textId="77777777" w:rsidR="00954B8E" w:rsidRPr="001F394B" w:rsidRDefault="00954B8E" w:rsidP="00F007BE">
            <w:pPr>
              <w:widowControl w:val="0"/>
              <w:autoSpaceDE w:val="0"/>
              <w:autoSpaceDN w:val="0"/>
              <w:adjustRightInd w:val="0"/>
              <w:spacing w:after="0" w:line="240" w:lineRule="auto"/>
              <w:rPr>
                <w:rFonts w:ascii="ITC Avant Garde" w:hAnsi="ITC Avant Garde"/>
                <w:sz w:val="16"/>
                <w:szCs w:val="24"/>
              </w:rPr>
            </w:pPr>
            <w:r w:rsidRPr="001F394B">
              <w:rPr>
                <w:rFonts w:ascii="ITC Avant Garde" w:hAnsi="ITC Avant Garde"/>
                <w:sz w:val="16"/>
                <w:szCs w:val="24"/>
              </w:rPr>
              <w:t>1.LINEASINCLUIDAS#0.Dll</w:t>
            </w:r>
          </w:p>
        </w:tc>
        <w:tc>
          <w:tcPr>
            <w:tcW w:w="393" w:type="dxa"/>
            <w:vMerge w:val="restart"/>
            <w:tcBorders>
              <w:top w:val="nil"/>
              <w:left w:val="nil"/>
              <w:right w:val="nil"/>
            </w:tcBorders>
            <w:vAlign w:val="center"/>
          </w:tcPr>
          <w:p w14:paraId="499ACBFC" w14:textId="7896DC91" w:rsidR="00954B8E" w:rsidRPr="001F394B" w:rsidRDefault="00954B8E" w:rsidP="00954B8E">
            <w:pPr>
              <w:widowControl w:val="0"/>
              <w:autoSpaceDE w:val="0"/>
              <w:autoSpaceDN w:val="0"/>
              <w:adjustRightInd w:val="0"/>
              <w:spacing w:after="0" w:line="240" w:lineRule="auto"/>
              <w:jc w:val="center"/>
              <w:rPr>
                <w:rFonts w:ascii="ITC Avant Garde" w:hAnsi="ITC Avant Garde"/>
                <w:sz w:val="16"/>
                <w:szCs w:val="24"/>
              </w:rPr>
            </w:pPr>
            <w:r w:rsidRPr="00954B8E">
              <w:rPr>
                <w:rFonts w:cs="Calibri"/>
                <w:sz w:val="16"/>
                <w:szCs w:val="24"/>
              </w:rPr>
              <w:t>β</w:t>
            </w:r>
            <w:r w:rsidRPr="00954B8E">
              <w:rPr>
                <w:rFonts w:ascii="ITC Avant Garde" w:hAnsi="ITC Avant Garde"/>
                <w:sz w:val="16"/>
                <w:szCs w:val="24"/>
                <w:vertAlign w:val="subscript"/>
              </w:rPr>
              <w:t>6</w:t>
            </w:r>
          </w:p>
        </w:tc>
        <w:tc>
          <w:tcPr>
            <w:tcW w:w="978" w:type="dxa"/>
            <w:tcBorders>
              <w:top w:val="nil"/>
              <w:left w:val="nil"/>
              <w:bottom w:val="nil"/>
              <w:right w:val="nil"/>
            </w:tcBorders>
          </w:tcPr>
          <w:p w14:paraId="34E7B430" w14:textId="09C44514"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w:t>
            </w:r>
          </w:p>
        </w:tc>
        <w:tc>
          <w:tcPr>
            <w:tcW w:w="0" w:type="auto"/>
            <w:tcBorders>
              <w:top w:val="nil"/>
              <w:left w:val="nil"/>
              <w:bottom w:val="nil"/>
              <w:right w:val="nil"/>
            </w:tcBorders>
          </w:tcPr>
          <w:p w14:paraId="37F86024"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w:t>
            </w:r>
          </w:p>
        </w:tc>
      </w:tr>
      <w:tr w:rsidR="00954B8E" w:rsidRPr="001F394B" w14:paraId="28A452B6" w14:textId="77777777" w:rsidTr="00431971">
        <w:trPr>
          <w:jc w:val="center"/>
        </w:trPr>
        <w:tc>
          <w:tcPr>
            <w:tcW w:w="0" w:type="auto"/>
            <w:tcBorders>
              <w:top w:val="nil"/>
              <w:left w:val="nil"/>
              <w:bottom w:val="nil"/>
              <w:right w:val="nil"/>
            </w:tcBorders>
          </w:tcPr>
          <w:p w14:paraId="1774C8B5" w14:textId="77777777" w:rsidR="00954B8E" w:rsidRPr="001F394B" w:rsidRDefault="00954B8E" w:rsidP="00F007BE">
            <w:pPr>
              <w:widowControl w:val="0"/>
              <w:autoSpaceDE w:val="0"/>
              <w:autoSpaceDN w:val="0"/>
              <w:adjustRightInd w:val="0"/>
              <w:spacing w:after="0" w:line="240" w:lineRule="auto"/>
              <w:rPr>
                <w:rFonts w:ascii="ITC Avant Garde" w:hAnsi="ITC Avant Garde"/>
                <w:sz w:val="16"/>
                <w:szCs w:val="24"/>
              </w:rPr>
            </w:pPr>
          </w:p>
        </w:tc>
        <w:tc>
          <w:tcPr>
            <w:tcW w:w="393" w:type="dxa"/>
            <w:vMerge/>
            <w:tcBorders>
              <w:left w:val="nil"/>
              <w:right w:val="nil"/>
            </w:tcBorders>
          </w:tcPr>
          <w:p w14:paraId="05DF0308"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p>
        </w:tc>
        <w:tc>
          <w:tcPr>
            <w:tcW w:w="978" w:type="dxa"/>
            <w:tcBorders>
              <w:top w:val="nil"/>
              <w:left w:val="nil"/>
              <w:bottom w:val="nil"/>
              <w:right w:val="nil"/>
            </w:tcBorders>
          </w:tcPr>
          <w:p w14:paraId="76449706" w14:textId="52905378"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w:t>
            </w:r>
          </w:p>
        </w:tc>
        <w:tc>
          <w:tcPr>
            <w:tcW w:w="0" w:type="auto"/>
            <w:tcBorders>
              <w:top w:val="nil"/>
              <w:left w:val="nil"/>
              <w:bottom w:val="nil"/>
              <w:right w:val="nil"/>
            </w:tcBorders>
          </w:tcPr>
          <w:p w14:paraId="4062C820"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w:t>
            </w:r>
          </w:p>
        </w:tc>
      </w:tr>
      <w:tr w:rsidR="00954B8E" w:rsidRPr="001F394B" w14:paraId="4BFD51AE" w14:textId="77777777" w:rsidTr="00431971">
        <w:trPr>
          <w:jc w:val="center"/>
        </w:trPr>
        <w:tc>
          <w:tcPr>
            <w:tcW w:w="0" w:type="auto"/>
            <w:tcBorders>
              <w:top w:val="nil"/>
              <w:left w:val="nil"/>
              <w:bottom w:val="nil"/>
              <w:right w:val="nil"/>
            </w:tcBorders>
          </w:tcPr>
          <w:p w14:paraId="4305D6DA" w14:textId="77777777" w:rsidR="00954B8E" w:rsidRPr="001F394B" w:rsidRDefault="00954B8E" w:rsidP="00F007BE">
            <w:pPr>
              <w:widowControl w:val="0"/>
              <w:autoSpaceDE w:val="0"/>
              <w:autoSpaceDN w:val="0"/>
              <w:adjustRightInd w:val="0"/>
              <w:spacing w:after="0" w:line="240" w:lineRule="auto"/>
              <w:rPr>
                <w:rFonts w:ascii="ITC Avant Garde" w:hAnsi="ITC Avant Garde"/>
                <w:sz w:val="16"/>
                <w:szCs w:val="24"/>
              </w:rPr>
            </w:pPr>
            <w:r w:rsidRPr="001F394B">
              <w:rPr>
                <w:rFonts w:ascii="ITC Avant Garde" w:hAnsi="ITC Avant Garde"/>
                <w:sz w:val="16"/>
                <w:szCs w:val="24"/>
              </w:rPr>
              <w:t>1.LINEASINCLUIDAS#1.Dll</w:t>
            </w:r>
          </w:p>
        </w:tc>
        <w:tc>
          <w:tcPr>
            <w:tcW w:w="393" w:type="dxa"/>
            <w:vMerge/>
            <w:tcBorders>
              <w:left w:val="nil"/>
              <w:right w:val="nil"/>
            </w:tcBorders>
          </w:tcPr>
          <w:p w14:paraId="7C4C1967"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p>
        </w:tc>
        <w:tc>
          <w:tcPr>
            <w:tcW w:w="978" w:type="dxa"/>
            <w:tcBorders>
              <w:top w:val="nil"/>
              <w:left w:val="nil"/>
              <w:bottom w:val="nil"/>
              <w:right w:val="nil"/>
            </w:tcBorders>
          </w:tcPr>
          <w:p w14:paraId="52102EA7" w14:textId="5783F49D"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0.440***</w:t>
            </w:r>
          </w:p>
        </w:tc>
        <w:tc>
          <w:tcPr>
            <w:tcW w:w="0" w:type="auto"/>
            <w:tcBorders>
              <w:top w:val="nil"/>
              <w:left w:val="nil"/>
              <w:bottom w:val="nil"/>
              <w:right w:val="nil"/>
            </w:tcBorders>
          </w:tcPr>
          <w:p w14:paraId="51DAA51E"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-0.181***</w:t>
            </w:r>
          </w:p>
        </w:tc>
      </w:tr>
      <w:tr w:rsidR="00954B8E" w:rsidRPr="001F394B" w14:paraId="1F81BA1D" w14:textId="77777777" w:rsidTr="00431971">
        <w:trPr>
          <w:jc w:val="center"/>
        </w:trPr>
        <w:tc>
          <w:tcPr>
            <w:tcW w:w="0" w:type="auto"/>
            <w:tcBorders>
              <w:top w:val="nil"/>
              <w:left w:val="nil"/>
              <w:bottom w:val="nil"/>
              <w:right w:val="nil"/>
            </w:tcBorders>
          </w:tcPr>
          <w:p w14:paraId="50335B9F" w14:textId="77777777" w:rsidR="00954B8E" w:rsidRPr="001F394B" w:rsidRDefault="00954B8E" w:rsidP="00F007BE">
            <w:pPr>
              <w:widowControl w:val="0"/>
              <w:autoSpaceDE w:val="0"/>
              <w:autoSpaceDN w:val="0"/>
              <w:adjustRightInd w:val="0"/>
              <w:spacing w:after="0" w:line="240" w:lineRule="auto"/>
              <w:rPr>
                <w:rFonts w:ascii="ITC Avant Garde" w:hAnsi="ITC Avant Garde"/>
                <w:sz w:val="16"/>
                <w:szCs w:val="24"/>
              </w:rPr>
            </w:pPr>
          </w:p>
        </w:tc>
        <w:tc>
          <w:tcPr>
            <w:tcW w:w="393" w:type="dxa"/>
            <w:vMerge/>
            <w:tcBorders>
              <w:left w:val="nil"/>
              <w:right w:val="nil"/>
            </w:tcBorders>
          </w:tcPr>
          <w:p w14:paraId="179B16CB"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p>
        </w:tc>
        <w:tc>
          <w:tcPr>
            <w:tcW w:w="978" w:type="dxa"/>
            <w:tcBorders>
              <w:top w:val="nil"/>
              <w:left w:val="nil"/>
              <w:bottom w:val="nil"/>
              <w:right w:val="nil"/>
            </w:tcBorders>
          </w:tcPr>
          <w:p w14:paraId="5D4ED3AD" w14:textId="0E77739D"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(0.00637)</w:t>
            </w:r>
          </w:p>
        </w:tc>
        <w:tc>
          <w:tcPr>
            <w:tcW w:w="0" w:type="auto"/>
            <w:tcBorders>
              <w:top w:val="nil"/>
              <w:left w:val="nil"/>
              <w:bottom w:val="nil"/>
              <w:right w:val="nil"/>
            </w:tcBorders>
          </w:tcPr>
          <w:p w14:paraId="341B89C9"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(0.00439)</w:t>
            </w:r>
          </w:p>
        </w:tc>
      </w:tr>
      <w:tr w:rsidR="00954B8E" w:rsidRPr="001F394B" w14:paraId="0AB9C2DC" w14:textId="77777777" w:rsidTr="00431971">
        <w:trPr>
          <w:jc w:val="center"/>
        </w:trPr>
        <w:tc>
          <w:tcPr>
            <w:tcW w:w="0" w:type="auto"/>
            <w:tcBorders>
              <w:top w:val="nil"/>
              <w:left w:val="nil"/>
              <w:bottom w:val="nil"/>
              <w:right w:val="nil"/>
            </w:tcBorders>
          </w:tcPr>
          <w:p w14:paraId="4ECDB90F" w14:textId="77777777" w:rsidR="00954B8E" w:rsidRPr="001F394B" w:rsidRDefault="00954B8E" w:rsidP="00F007BE">
            <w:pPr>
              <w:widowControl w:val="0"/>
              <w:autoSpaceDE w:val="0"/>
              <w:autoSpaceDN w:val="0"/>
              <w:adjustRightInd w:val="0"/>
              <w:spacing w:after="0" w:line="240" w:lineRule="auto"/>
              <w:rPr>
                <w:rFonts w:ascii="ITC Avant Garde" w:hAnsi="ITC Avant Garde"/>
                <w:sz w:val="16"/>
                <w:szCs w:val="24"/>
              </w:rPr>
            </w:pPr>
            <w:r w:rsidRPr="001F394B">
              <w:rPr>
                <w:rFonts w:ascii="ITC Avant Garde" w:hAnsi="ITC Avant Garde"/>
                <w:sz w:val="16"/>
                <w:szCs w:val="24"/>
              </w:rPr>
              <w:t>2.LINEASINCLUIDAS#0.Dll</w:t>
            </w:r>
          </w:p>
        </w:tc>
        <w:tc>
          <w:tcPr>
            <w:tcW w:w="393" w:type="dxa"/>
            <w:vMerge/>
            <w:tcBorders>
              <w:left w:val="nil"/>
              <w:right w:val="nil"/>
            </w:tcBorders>
          </w:tcPr>
          <w:p w14:paraId="5480ECAD"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p>
        </w:tc>
        <w:tc>
          <w:tcPr>
            <w:tcW w:w="978" w:type="dxa"/>
            <w:tcBorders>
              <w:top w:val="nil"/>
              <w:left w:val="nil"/>
              <w:bottom w:val="nil"/>
              <w:right w:val="nil"/>
            </w:tcBorders>
          </w:tcPr>
          <w:p w14:paraId="45415C13" w14:textId="33C62B89"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-0.440***</w:t>
            </w:r>
          </w:p>
        </w:tc>
        <w:tc>
          <w:tcPr>
            <w:tcW w:w="0" w:type="auto"/>
            <w:tcBorders>
              <w:top w:val="nil"/>
              <w:left w:val="nil"/>
              <w:bottom w:val="nil"/>
              <w:right w:val="nil"/>
            </w:tcBorders>
          </w:tcPr>
          <w:p w14:paraId="777626C1"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0.138***</w:t>
            </w:r>
          </w:p>
        </w:tc>
      </w:tr>
      <w:tr w:rsidR="00954B8E" w:rsidRPr="001F394B" w14:paraId="1D783A19" w14:textId="77777777" w:rsidTr="00431971">
        <w:trPr>
          <w:jc w:val="center"/>
        </w:trPr>
        <w:tc>
          <w:tcPr>
            <w:tcW w:w="0" w:type="auto"/>
            <w:tcBorders>
              <w:top w:val="nil"/>
              <w:left w:val="nil"/>
              <w:bottom w:val="nil"/>
              <w:right w:val="nil"/>
            </w:tcBorders>
          </w:tcPr>
          <w:p w14:paraId="1375386F" w14:textId="77777777" w:rsidR="00954B8E" w:rsidRPr="001F394B" w:rsidRDefault="00954B8E" w:rsidP="00F007BE">
            <w:pPr>
              <w:widowControl w:val="0"/>
              <w:autoSpaceDE w:val="0"/>
              <w:autoSpaceDN w:val="0"/>
              <w:adjustRightInd w:val="0"/>
              <w:spacing w:after="0" w:line="240" w:lineRule="auto"/>
              <w:rPr>
                <w:rFonts w:ascii="ITC Avant Garde" w:hAnsi="ITC Avant Garde"/>
                <w:sz w:val="16"/>
                <w:szCs w:val="24"/>
              </w:rPr>
            </w:pPr>
          </w:p>
        </w:tc>
        <w:tc>
          <w:tcPr>
            <w:tcW w:w="393" w:type="dxa"/>
            <w:vMerge/>
            <w:tcBorders>
              <w:left w:val="nil"/>
              <w:right w:val="nil"/>
            </w:tcBorders>
          </w:tcPr>
          <w:p w14:paraId="57CB2C71"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p>
        </w:tc>
        <w:tc>
          <w:tcPr>
            <w:tcW w:w="978" w:type="dxa"/>
            <w:tcBorders>
              <w:top w:val="nil"/>
              <w:left w:val="nil"/>
              <w:bottom w:val="nil"/>
              <w:right w:val="nil"/>
            </w:tcBorders>
          </w:tcPr>
          <w:p w14:paraId="1302AAE1" w14:textId="710494BE"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(0.00423)</w:t>
            </w:r>
          </w:p>
        </w:tc>
        <w:tc>
          <w:tcPr>
            <w:tcW w:w="0" w:type="auto"/>
            <w:tcBorders>
              <w:top w:val="nil"/>
              <w:left w:val="nil"/>
              <w:bottom w:val="nil"/>
              <w:right w:val="nil"/>
            </w:tcBorders>
          </w:tcPr>
          <w:p w14:paraId="68624830"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(0.00354)</w:t>
            </w:r>
          </w:p>
        </w:tc>
      </w:tr>
      <w:tr w:rsidR="00954B8E" w:rsidRPr="001F394B" w14:paraId="1BA44B3E" w14:textId="77777777" w:rsidTr="00431971">
        <w:trPr>
          <w:jc w:val="center"/>
        </w:trPr>
        <w:tc>
          <w:tcPr>
            <w:tcW w:w="0" w:type="auto"/>
            <w:tcBorders>
              <w:top w:val="nil"/>
              <w:left w:val="nil"/>
              <w:bottom w:val="nil"/>
              <w:right w:val="nil"/>
            </w:tcBorders>
          </w:tcPr>
          <w:p w14:paraId="285990B3" w14:textId="77777777" w:rsidR="00954B8E" w:rsidRPr="001F394B" w:rsidRDefault="00954B8E" w:rsidP="00F007BE">
            <w:pPr>
              <w:widowControl w:val="0"/>
              <w:autoSpaceDE w:val="0"/>
              <w:autoSpaceDN w:val="0"/>
              <w:adjustRightInd w:val="0"/>
              <w:spacing w:after="0" w:line="240" w:lineRule="auto"/>
              <w:rPr>
                <w:rFonts w:ascii="ITC Avant Garde" w:hAnsi="ITC Avant Garde"/>
                <w:sz w:val="16"/>
                <w:szCs w:val="24"/>
              </w:rPr>
            </w:pPr>
            <w:r w:rsidRPr="001F394B">
              <w:rPr>
                <w:rFonts w:ascii="ITC Avant Garde" w:hAnsi="ITC Avant Garde"/>
                <w:sz w:val="16"/>
                <w:szCs w:val="24"/>
              </w:rPr>
              <w:t>3.LINEASINCLUIDAS#0.Dll</w:t>
            </w:r>
          </w:p>
        </w:tc>
        <w:tc>
          <w:tcPr>
            <w:tcW w:w="393" w:type="dxa"/>
            <w:vMerge/>
            <w:tcBorders>
              <w:left w:val="nil"/>
              <w:right w:val="nil"/>
            </w:tcBorders>
          </w:tcPr>
          <w:p w14:paraId="2347A9C7"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p>
        </w:tc>
        <w:tc>
          <w:tcPr>
            <w:tcW w:w="978" w:type="dxa"/>
            <w:tcBorders>
              <w:top w:val="nil"/>
              <w:left w:val="nil"/>
              <w:bottom w:val="nil"/>
              <w:right w:val="nil"/>
            </w:tcBorders>
          </w:tcPr>
          <w:p w14:paraId="0F10DEAC" w14:textId="2874C8CA"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w:t>
            </w:r>
          </w:p>
        </w:tc>
        <w:tc>
          <w:tcPr>
            <w:tcW w:w="0" w:type="auto"/>
            <w:tcBorders>
              <w:top w:val="nil"/>
              <w:left w:val="nil"/>
              <w:bottom w:val="nil"/>
              <w:right w:val="nil"/>
            </w:tcBorders>
          </w:tcPr>
          <w:p w14:paraId="153B3671"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p>
        </w:tc>
      </w:tr>
      <w:tr w:rsidR="00954B8E" w:rsidRPr="001F394B" w14:paraId="779B9BAD" w14:textId="77777777" w:rsidTr="00431971">
        <w:trPr>
          <w:jc w:val="center"/>
        </w:trPr>
        <w:tc>
          <w:tcPr>
            <w:tcW w:w="0" w:type="auto"/>
            <w:tcBorders>
              <w:top w:val="nil"/>
              <w:left w:val="nil"/>
              <w:bottom w:val="nil"/>
              <w:right w:val="nil"/>
            </w:tcBorders>
          </w:tcPr>
          <w:p w14:paraId="08E75A3A" w14:textId="77777777" w:rsidR="00954B8E" w:rsidRPr="001F394B" w:rsidRDefault="00954B8E" w:rsidP="00F007BE">
            <w:pPr>
              <w:widowControl w:val="0"/>
              <w:autoSpaceDE w:val="0"/>
              <w:autoSpaceDN w:val="0"/>
              <w:adjustRightInd w:val="0"/>
              <w:spacing w:after="0" w:line="240" w:lineRule="auto"/>
              <w:rPr>
                <w:rFonts w:ascii="ITC Avant Garde" w:hAnsi="ITC Avant Garde"/>
                <w:sz w:val="16"/>
                <w:szCs w:val="24"/>
              </w:rPr>
            </w:pPr>
          </w:p>
        </w:tc>
        <w:tc>
          <w:tcPr>
            <w:tcW w:w="393" w:type="dxa"/>
            <w:vMerge/>
            <w:tcBorders>
              <w:left w:val="nil"/>
              <w:right w:val="nil"/>
            </w:tcBorders>
          </w:tcPr>
          <w:p w14:paraId="7DB37E98"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p>
        </w:tc>
        <w:tc>
          <w:tcPr>
            <w:tcW w:w="978" w:type="dxa"/>
            <w:tcBorders>
              <w:top w:val="nil"/>
              <w:left w:val="nil"/>
              <w:bottom w:val="nil"/>
              <w:right w:val="nil"/>
            </w:tcBorders>
          </w:tcPr>
          <w:p w14:paraId="2E7D083C" w14:textId="0F48FA35"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w:t>
            </w:r>
          </w:p>
        </w:tc>
        <w:tc>
          <w:tcPr>
            <w:tcW w:w="0" w:type="auto"/>
            <w:tcBorders>
              <w:top w:val="nil"/>
              <w:left w:val="nil"/>
              <w:bottom w:val="nil"/>
              <w:right w:val="nil"/>
            </w:tcBorders>
          </w:tcPr>
          <w:p w14:paraId="0DB1C33C"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p>
        </w:tc>
      </w:tr>
      <w:tr w:rsidR="00954B8E" w:rsidRPr="001F394B" w14:paraId="38E3084F" w14:textId="77777777" w:rsidTr="00431971">
        <w:trPr>
          <w:jc w:val="center"/>
        </w:trPr>
        <w:tc>
          <w:tcPr>
            <w:tcW w:w="0" w:type="auto"/>
            <w:tcBorders>
              <w:top w:val="nil"/>
              <w:left w:val="nil"/>
              <w:bottom w:val="nil"/>
              <w:right w:val="nil"/>
            </w:tcBorders>
          </w:tcPr>
          <w:p w14:paraId="27B0359C" w14:textId="77777777" w:rsidR="00954B8E" w:rsidRPr="001F394B" w:rsidRDefault="00954B8E" w:rsidP="00F007BE">
            <w:pPr>
              <w:widowControl w:val="0"/>
              <w:autoSpaceDE w:val="0"/>
              <w:autoSpaceDN w:val="0"/>
              <w:adjustRightInd w:val="0"/>
              <w:spacing w:after="0" w:line="240" w:lineRule="auto"/>
              <w:rPr>
                <w:rFonts w:ascii="ITC Avant Garde" w:hAnsi="ITC Avant Garde"/>
                <w:sz w:val="16"/>
                <w:szCs w:val="24"/>
              </w:rPr>
            </w:pPr>
            <w:r w:rsidRPr="001F394B">
              <w:rPr>
                <w:rFonts w:ascii="ITC Avant Garde" w:hAnsi="ITC Avant Garde"/>
                <w:sz w:val="16"/>
                <w:szCs w:val="24"/>
              </w:rPr>
              <w:t>6.LINEASINCLUIDAS#0.Dll</w:t>
            </w:r>
          </w:p>
        </w:tc>
        <w:tc>
          <w:tcPr>
            <w:tcW w:w="393" w:type="dxa"/>
            <w:vMerge/>
            <w:tcBorders>
              <w:left w:val="nil"/>
              <w:bottom w:val="nil"/>
              <w:right w:val="nil"/>
            </w:tcBorders>
          </w:tcPr>
          <w:p w14:paraId="7DCB434A"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p>
        </w:tc>
        <w:tc>
          <w:tcPr>
            <w:tcW w:w="978" w:type="dxa"/>
            <w:tcBorders>
              <w:top w:val="nil"/>
              <w:left w:val="nil"/>
              <w:bottom w:val="nil"/>
              <w:right w:val="nil"/>
            </w:tcBorders>
          </w:tcPr>
          <w:p w14:paraId="2E055B98" w14:textId="6A0C8806"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w:t>
            </w:r>
          </w:p>
        </w:tc>
        <w:tc>
          <w:tcPr>
            <w:tcW w:w="0" w:type="auto"/>
            <w:tcBorders>
              <w:top w:val="nil"/>
              <w:left w:val="nil"/>
              <w:bottom w:val="nil"/>
              <w:right w:val="nil"/>
            </w:tcBorders>
          </w:tcPr>
          <w:p w14:paraId="1E97995B"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w:t>
            </w:r>
          </w:p>
        </w:tc>
      </w:tr>
      <w:tr w:rsidR="00954B8E" w:rsidRPr="001F394B" w14:paraId="5D40A61C" w14:textId="77777777" w:rsidTr="00954B8E">
        <w:trPr>
          <w:jc w:val="center"/>
        </w:trPr>
        <w:tc>
          <w:tcPr>
            <w:tcW w:w="0" w:type="auto"/>
            <w:tcBorders>
              <w:top w:val="nil"/>
              <w:left w:val="nil"/>
              <w:bottom w:val="nil"/>
              <w:right w:val="nil"/>
            </w:tcBorders>
          </w:tcPr>
          <w:p w14:paraId="78C286C7" w14:textId="77777777" w:rsidR="00954B8E" w:rsidRPr="001F394B" w:rsidRDefault="00954B8E" w:rsidP="00F007BE">
            <w:pPr>
              <w:widowControl w:val="0"/>
              <w:autoSpaceDE w:val="0"/>
              <w:autoSpaceDN w:val="0"/>
              <w:adjustRightInd w:val="0"/>
              <w:spacing w:after="0" w:line="240" w:lineRule="auto"/>
              <w:rPr>
                <w:rFonts w:ascii="ITC Avant Garde" w:hAnsi="ITC Avant Garde"/>
                <w:sz w:val="16"/>
                <w:szCs w:val="24"/>
              </w:rPr>
            </w:pPr>
          </w:p>
        </w:tc>
        <w:tc>
          <w:tcPr>
            <w:tcW w:w="393" w:type="dxa"/>
            <w:tcBorders>
              <w:top w:val="nil"/>
              <w:left w:val="nil"/>
              <w:bottom w:val="nil"/>
              <w:right w:val="nil"/>
            </w:tcBorders>
          </w:tcPr>
          <w:p w14:paraId="57BC3A26"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p>
        </w:tc>
        <w:tc>
          <w:tcPr>
            <w:tcW w:w="978" w:type="dxa"/>
            <w:tcBorders>
              <w:top w:val="nil"/>
              <w:left w:val="nil"/>
              <w:bottom w:val="nil"/>
              <w:right w:val="nil"/>
            </w:tcBorders>
          </w:tcPr>
          <w:p w14:paraId="59B97674" w14:textId="79E16A69"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w:t>
            </w:r>
          </w:p>
        </w:tc>
        <w:tc>
          <w:tcPr>
            <w:tcW w:w="0" w:type="auto"/>
            <w:tcBorders>
              <w:top w:val="nil"/>
              <w:left w:val="nil"/>
              <w:bottom w:val="nil"/>
              <w:right w:val="nil"/>
            </w:tcBorders>
          </w:tcPr>
          <w:p w14:paraId="3B022B37"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w:t>
            </w:r>
          </w:p>
        </w:tc>
      </w:tr>
      <w:tr w:rsidR="00954B8E" w:rsidRPr="001F394B" w14:paraId="78DC72DB" w14:textId="77777777" w:rsidTr="00954B8E">
        <w:trPr>
          <w:jc w:val="center"/>
        </w:trPr>
        <w:tc>
          <w:tcPr>
            <w:tcW w:w="0" w:type="auto"/>
            <w:tcBorders>
              <w:top w:val="nil"/>
              <w:left w:val="nil"/>
              <w:bottom w:val="nil"/>
              <w:right w:val="nil"/>
            </w:tcBorders>
          </w:tcPr>
          <w:p w14:paraId="143164CE" w14:textId="77777777" w:rsidR="00954B8E" w:rsidRPr="001F394B" w:rsidRDefault="00954B8E" w:rsidP="00F007BE">
            <w:pPr>
              <w:widowControl w:val="0"/>
              <w:autoSpaceDE w:val="0"/>
              <w:autoSpaceDN w:val="0"/>
              <w:adjustRightInd w:val="0"/>
              <w:spacing w:after="0" w:line="240" w:lineRule="auto"/>
              <w:rPr>
                <w:rFonts w:ascii="ITC Avant Garde" w:hAnsi="ITC Avant Garde"/>
                <w:sz w:val="16"/>
                <w:szCs w:val="24"/>
              </w:rPr>
            </w:pPr>
            <w:r w:rsidRPr="001F394B">
              <w:rPr>
                <w:rFonts w:ascii="ITC Avant Garde" w:hAnsi="ITC Avant Garde"/>
                <w:sz w:val="16"/>
                <w:szCs w:val="24"/>
              </w:rPr>
              <w:t>Simetría</w:t>
            </w:r>
          </w:p>
        </w:tc>
        <w:tc>
          <w:tcPr>
            <w:tcW w:w="393" w:type="dxa"/>
            <w:tcBorders>
              <w:top w:val="nil"/>
              <w:left w:val="nil"/>
              <w:bottom w:val="nil"/>
              <w:right w:val="nil"/>
            </w:tcBorders>
          </w:tcPr>
          <w:p w14:paraId="54ABEBBF" w14:textId="6664406F"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954B8E">
              <w:rPr>
                <w:rFonts w:cs="Calibri"/>
                <w:sz w:val="16"/>
                <w:szCs w:val="24"/>
              </w:rPr>
              <w:t>β</w:t>
            </w:r>
            <w:r w:rsidRPr="00954B8E">
              <w:rPr>
                <w:rFonts w:ascii="ITC Avant Garde" w:hAnsi="ITC Avant Garde"/>
                <w:sz w:val="16"/>
                <w:szCs w:val="24"/>
                <w:vertAlign w:val="subscript"/>
              </w:rPr>
              <w:t>9</w:t>
            </w:r>
          </w:p>
        </w:tc>
        <w:tc>
          <w:tcPr>
            <w:tcW w:w="978" w:type="dxa"/>
            <w:tcBorders>
              <w:top w:val="nil"/>
              <w:left w:val="nil"/>
              <w:bottom w:val="nil"/>
              <w:right w:val="nil"/>
            </w:tcBorders>
          </w:tcPr>
          <w:p w14:paraId="45F4E424" w14:textId="6B0FB552"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0.192***</w:t>
            </w:r>
          </w:p>
        </w:tc>
        <w:tc>
          <w:tcPr>
            <w:tcW w:w="0" w:type="auto"/>
            <w:tcBorders>
              <w:top w:val="nil"/>
              <w:left w:val="nil"/>
              <w:bottom w:val="nil"/>
              <w:right w:val="nil"/>
            </w:tcBorders>
          </w:tcPr>
          <w:p w14:paraId="5EE1007C"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-0.0127**</w:t>
            </w:r>
          </w:p>
        </w:tc>
      </w:tr>
      <w:tr w:rsidR="00954B8E" w:rsidRPr="001F394B" w14:paraId="605B2B9E" w14:textId="77777777" w:rsidTr="00954B8E">
        <w:trPr>
          <w:jc w:val="center"/>
        </w:trPr>
        <w:tc>
          <w:tcPr>
            <w:tcW w:w="0" w:type="auto"/>
            <w:tcBorders>
              <w:top w:val="nil"/>
              <w:left w:val="nil"/>
              <w:bottom w:val="nil"/>
              <w:right w:val="nil"/>
            </w:tcBorders>
          </w:tcPr>
          <w:p w14:paraId="3C2F2548" w14:textId="77777777" w:rsidR="00954B8E" w:rsidRPr="001F394B" w:rsidRDefault="00954B8E" w:rsidP="00F007BE">
            <w:pPr>
              <w:widowControl w:val="0"/>
              <w:autoSpaceDE w:val="0"/>
              <w:autoSpaceDN w:val="0"/>
              <w:adjustRightInd w:val="0"/>
              <w:spacing w:after="0" w:line="240" w:lineRule="auto"/>
              <w:rPr>
                <w:rFonts w:ascii="ITC Avant Garde" w:hAnsi="ITC Avant Garde"/>
                <w:sz w:val="16"/>
                <w:szCs w:val="24"/>
              </w:rPr>
            </w:pPr>
          </w:p>
        </w:tc>
        <w:tc>
          <w:tcPr>
            <w:tcW w:w="393" w:type="dxa"/>
            <w:tcBorders>
              <w:top w:val="nil"/>
              <w:left w:val="nil"/>
              <w:bottom w:val="nil"/>
              <w:right w:val="nil"/>
            </w:tcBorders>
          </w:tcPr>
          <w:p w14:paraId="5DDBF7A3"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p>
        </w:tc>
        <w:tc>
          <w:tcPr>
            <w:tcW w:w="978" w:type="dxa"/>
            <w:tcBorders>
              <w:top w:val="nil"/>
              <w:left w:val="nil"/>
              <w:bottom w:val="nil"/>
              <w:right w:val="nil"/>
            </w:tcBorders>
          </w:tcPr>
          <w:p w14:paraId="77B62062" w14:textId="627FDA06"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(0.0218)</w:t>
            </w:r>
          </w:p>
        </w:tc>
        <w:tc>
          <w:tcPr>
            <w:tcW w:w="0" w:type="auto"/>
            <w:tcBorders>
              <w:top w:val="nil"/>
              <w:left w:val="nil"/>
              <w:bottom w:val="nil"/>
              <w:right w:val="nil"/>
            </w:tcBorders>
          </w:tcPr>
          <w:p w14:paraId="210538A7"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(0.00552)</w:t>
            </w:r>
          </w:p>
        </w:tc>
      </w:tr>
      <w:tr w:rsidR="00954B8E" w:rsidRPr="001F394B" w14:paraId="0BB90B5E" w14:textId="77777777" w:rsidTr="00954B8E">
        <w:trPr>
          <w:jc w:val="center"/>
        </w:trPr>
        <w:tc>
          <w:tcPr>
            <w:tcW w:w="0" w:type="auto"/>
            <w:tcBorders>
              <w:top w:val="nil"/>
              <w:left w:val="nil"/>
              <w:bottom w:val="nil"/>
              <w:right w:val="nil"/>
            </w:tcBorders>
          </w:tcPr>
          <w:p w14:paraId="24A53B25" w14:textId="77777777" w:rsidR="00954B8E" w:rsidRPr="001F394B" w:rsidRDefault="00954B8E" w:rsidP="00F007BE">
            <w:pPr>
              <w:widowControl w:val="0"/>
              <w:autoSpaceDE w:val="0"/>
              <w:autoSpaceDN w:val="0"/>
              <w:adjustRightInd w:val="0"/>
              <w:spacing w:after="0" w:line="240" w:lineRule="auto"/>
              <w:rPr>
                <w:rFonts w:ascii="ITC Avant Garde" w:hAnsi="ITC Avant Garde"/>
                <w:sz w:val="16"/>
                <w:szCs w:val="24"/>
              </w:rPr>
            </w:pPr>
            <w:r w:rsidRPr="001F394B">
              <w:rPr>
                <w:rFonts w:ascii="ITC Avant Garde" w:hAnsi="ITC Avant Garde"/>
                <w:sz w:val="16"/>
                <w:szCs w:val="24"/>
              </w:rPr>
              <w:t>Constante</w:t>
            </w:r>
          </w:p>
        </w:tc>
        <w:tc>
          <w:tcPr>
            <w:tcW w:w="393" w:type="dxa"/>
            <w:tcBorders>
              <w:top w:val="nil"/>
              <w:left w:val="nil"/>
              <w:bottom w:val="nil"/>
              <w:right w:val="nil"/>
            </w:tcBorders>
          </w:tcPr>
          <w:p w14:paraId="628F4999" w14:textId="5627BA75"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954B8E">
              <w:rPr>
                <w:rFonts w:cs="Calibri"/>
                <w:sz w:val="16"/>
                <w:szCs w:val="24"/>
              </w:rPr>
              <w:t>β</w:t>
            </w:r>
            <w:r>
              <w:rPr>
                <w:rFonts w:ascii="ITC Avant Garde" w:hAnsi="ITC Avant Garde"/>
                <w:sz w:val="16"/>
                <w:szCs w:val="24"/>
                <w:vertAlign w:val="subscript"/>
              </w:rPr>
              <w:t>0</w:t>
            </w:r>
          </w:p>
        </w:tc>
        <w:tc>
          <w:tcPr>
            <w:tcW w:w="978" w:type="dxa"/>
            <w:tcBorders>
              <w:top w:val="nil"/>
              <w:left w:val="nil"/>
              <w:bottom w:val="nil"/>
              <w:right w:val="nil"/>
            </w:tcBorders>
          </w:tcPr>
          <w:p w14:paraId="71DABFBF" w14:textId="5AB811CA"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5.046***</w:t>
            </w:r>
          </w:p>
        </w:tc>
        <w:tc>
          <w:tcPr>
            <w:tcW w:w="0" w:type="auto"/>
            <w:tcBorders>
              <w:top w:val="nil"/>
              <w:left w:val="nil"/>
              <w:bottom w:val="nil"/>
              <w:right w:val="nil"/>
            </w:tcBorders>
          </w:tcPr>
          <w:p w14:paraId="6FFB0343"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5.919***</w:t>
            </w:r>
          </w:p>
        </w:tc>
      </w:tr>
      <w:tr w:rsidR="00954B8E" w:rsidRPr="001F394B" w14:paraId="072AE93D" w14:textId="77777777" w:rsidTr="00954B8E">
        <w:trPr>
          <w:trHeight w:val="53"/>
          <w:jc w:val="center"/>
        </w:trPr>
        <w:tc>
          <w:tcPr>
            <w:tcW w:w="0" w:type="auto"/>
            <w:tcBorders>
              <w:top w:val="nil"/>
              <w:left w:val="nil"/>
              <w:bottom w:val="nil"/>
              <w:right w:val="nil"/>
            </w:tcBorders>
          </w:tcPr>
          <w:p w14:paraId="54F5C986" w14:textId="77777777" w:rsidR="00954B8E" w:rsidRPr="001F394B" w:rsidRDefault="00954B8E" w:rsidP="00F007BE">
            <w:pPr>
              <w:widowControl w:val="0"/>
              <w:autoSpaceDE w:val="0"/>
              <w:autoSpaceDN w:val="0"/>
              <w:adjustRightInd w:val="0"/>
              <w:spacing w:after="0" w:line="240" w:lineRule="auto"/>
              <w:rPr>
                <w:rFonts w:ascii="ITC Avant Garde" w:hAnsi="ITC Avant Garde"/>
                <w:sz w:val="16"/>
                <w:szCs w:val="24"/>
              </w:rPr>
            </w:pPr>
          </w:p>
        </w:tc>
        <w:tc>
          <w:tcPr>
            <w:tcW w:w="393" w:type="dxa"/>
            <w:tcBorders>
              <w:top w:val="nil"/>
              <w:left w:val="nil"/>
              <w:bottom w:val="nil"/>
              <w:right w:val="nil"/>
            </w:tcBorders>
          </w:tcPr>
          <w:p w14:paraId="6B840074"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p>
        </w:tc>
        <w:tc>
          <w:tcPr>
            <w:tcW w:w="978" w:type="dxa"/>
            <w:tcBorders>
              <w:top w:val="nil"/>
              <w:left w:val="nil"/>
              <w:bottom w:val="nil"/>
              <w:right w:val="nil"/>
            </w:tcBorders>
          </w:tcPr>
          <w:p w14:paraId="7440F23E" w14:textId="2E075CE8"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(0.0333)</w:t>
            </w:r>
          </w:p>
        </w:tc>
        <w:tc>
          <w:tcPr>
            <w:tcW w:w="0" w:type="auto"/>
            <w:tcBorders>
              <w:top w:val="nil"/>
              <w:left w:val="nil"/>
              <w:bottom w:val="nil"/>
              <w:right w:val="nil"/>
            </w:tcBorders>
          </w:tcPr>
          <w:p w14:paraId="7A9A292F"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(0.0287)</w:t>
            </w:r>
          </w:p>
        </w:tc>
      </w:tr>
      <w:tr w:rsidR="00954B8E" w:rsidRPr="001F394B" w14:paraId="29AC452E" w14:textId="77777777" w:rsidTr="00954B8E">
        <w:trPr>
          <w:jc w:val="center"/>
        </w:trPr>
        <w:tc>
          <w:tcPr>
            <w:tcW w:w="0" w:type="auto"/>
            <w:tcBorders>
              <w:top w:val="nil"/>
              <w:left w:val="nil"/>
              <w:bottom w:val="nil"/>
              <w:right w:val="nil"/>
            </w:tcBorders>
          </w:tcPr>
          <w:p w14:paraId="144271B3" w14:textId="77777777" w:rsidR="00954B8E" w:rsidRPr="001F394B" w:rsidRDefault="00954B8E" w:rsidP="00F007BE">
            <w:pPr>
              <w:widowControl w:val="0"/>
              <w:autoSpaceDE w:val="0"/>
              <w:autoSpaceDN w:val="0"/>
              <w:adjustRightInd w:val="0"/>
              <w:spacing w:after="0" w:line="240" w:lineRule="auto"/>
              <w:rPr>
                <w:rFonts w:ascii="ITC Avant Garde" w:hAnsi="ITC Avant Garde"/>
                <w:sz w:val="16"/>
                <w:szCs w:val="24"/>
              </w:rPr>
            </w:pPr>
          </w:p>
        </w:tc>
        <w:tc>
          <w:tcPr>
            <w:tcW w:w="393" w:type="dxa"/>
            <w:tcBorders>
              <w:top w:val="nil"/>
              <w:left w:val="nil"/>
              <w:bottom w:val="nil"/>
              <w:right w:val="nil"/>
            </w:tcBorders>
          </w:tcPr>
          <w:p w14:paraId="529F0664"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p>
        </w:tc>
        <w:tc>
          <w:tcPr>
            <w:tcW w:w="978" w:type="dxa"/>
            <w:tcBorders>
              <w:top w:val="nil"/>
              <w:left w:val="nil"/>
              <w:bottom w:val="nil"/>
              <w:right w:val="nil"/>
            </w:tcBorders>
          </w:tcPr>
          <w:p w14:paraId="54109DC4" w14:textId="4212499E"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p>
        </w:tc>
        <w:tc>
          <w:tcPr>
            <w:tcW w:w="0" w:type="auto"/>
            <w:tcBorders>
              <w:top w:val="nil"/>
              <w:left w:val="nil"/>
              <w:bottom w:val="nil"/>
              <w:right w:val="nil"/>
            </w:tcBorders>
          </w:tcPr>
          <w:p w14:paraId="1C815BD2"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p>
        </w:tc>
      </w:tr>
      <w:tr w:rsidR="00954B8E" w:rsidRPr="001F394B" w14:paraId="256A1501" w14:textId="77777777" w:rsidTr="00954B8E">
        <w:trPr>
          <w:jc w:val="center"/>
        </w:trPr>
        <w:tc>
          <w:tcPr>
            <w:tcW w:w="0" w:type="auto"/>
            <w:tcBorders>
              <w:top w:val="nil"/>
              <w:left w:val="nil"/>
              <w:bottom w:val="nil"/>
              <w:right w:val="nil"/>
            </w:tcBorders>
          </w:tcPr>
          <w:p w14:paraId="50E6D0E6" w14:textId="77777777" w:rsidR="00954B8E" w:rsidRPr="001F394B" w:rsidRDefault="00954B8E" w:rsidP="00F007BE">
            <w:pPr>
              <w:widowControl w:val="0"/>
              <w:autoSpaceDE w:val="0"/>
              <w:autoSpaceDN w:val="0"/>
              <w:adjustRightInd w:val="0"/>
              <w:spacing w:after="0" w:line="240" w:lineRule="auto"/>
              <w:rPr>
                <w:rFonts w:ascii="ITC Avant Garde" w:hAnsi="ITC Avant Garde"/>
                <w:sz w:val="16"/>
                <w:szCs w:val="24"/>
              </w:rPr>
            </w:pPr>
            <w:r w:rsidRPr="001F394B">
              <w:rPr>
                <w:rFonts w:ascii="ITC Avant Garde" w:hAnsi="ITC Avant Garde"/>
                <w:sz w:val="16"/>
                <w:szCs w:val="24"/>
              </w:rPr>
              <w:t>Observaciones</w:t>
            </w:r>
          </w:p>
        </w:tc>
        <w:tc>
          <w:tcPr>
            <w:tcW w:w="393" w:type="dxa"/>
            <w:tcBorders>
              <w:top w:val="nil"/>
              <w:left w:val="nil"/>
              <w:bottom w:val="nil"/>
              <w:right w:val="nil"/>
            </w:tcBorders>
          </w:tcPr>
          <w:p w14:paraId="59CCEE4C"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p>
        </w:tc>
        <w:tc>
          <w:tcPr>
            <w:tcW w:w="978" w:type="dxa"/>
            <w:tcBorders>
              <w:top w:val="nil"/>
              <w:left w:val="nil"/>
              <w:bottom w:val="nil"/>
              <w:right w:val="nil"/>
            </w:tcBorders>
          </w:tcPr>
          <w:p w14:paraId="41E8E391" w14:textId="39C51BEC"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81,994</w:t>
            </w:r>
          </w:p>
        </w:tc>
        <w:tc>
          <w:tcPr>
            <w:tcW w:w="0" w:type="auto"/>
            <w:tcBorders>
              <w:top w:val="nil"/>
              <w:left w:val="nil"/>
              <w:bottom w:val="nil"/>
              <w:right w:val="nil"/>
            </w:tcBorders>
          </w:tcPr>
          <w:p w14:paraId="1E6F0D9D"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44,807</w:t>
            </w:r>
          </w:p>
        </w:tc>
      </w:tr>
      <w:tr w:rsidR="00954B8E" w:rsidRPr="001F394B" w14:paraId="5985DF96" w14:textId="77777777" w:rsidTr="00954B8E">
        <w:tblPrEx>
          <w:tblBorders>
            <w:bottom w:val="single" w:sz="6" w:space="0" w:color="auto"/>
          </w:tblBorders>
        </w:tblPrEx>
        <w:trPr>
          <w:jc w:val="center"/>
        </w:trPr>
        <w:tc>
          <w:tcPr>
            <w:tcW w:w="0" w:type="auto"/>
            <w:tcBorders>
              <w:top w:val="nil"/>
              <w:left w:val="nil"/>
              <w:bottom w:val="nil"/>
              <w:right w:val="nil"/>
            </w:tcBorders>
          </w:tcPr>
          <w:p w14:paraId="71B4A073" w14:textId="77777777" w:rsidR="00954B8E" w:rsidRPr="001F394B" w:rsidRDefault="00954B8E" w:rsidP="00F007BE">
            <w:pPr>
              <w:widowControl w:val="0"/>
              <w:autoSpaceDE w:val="0"/>
              <w:autoSpaceDN w:val="0"/>
              <w:adjustRightInd w:val="0"/>
              <w:spacing w:after="0" w:line="240" w:lineRule="auto"/>
              <w:rPr>
                <w:rFonts w:ascii="ITC Avant Garde" w:hAnsi="ITC Avant Garde"/>
                <w:sz w:val="16"/>
                <w:szCs w:val="24"/>
              </w:rPr>
            </w:pPr>
            <w:r w:rsidRPr="001F394B">
              <w:rPr>
                <w:rFonts w:ascii="ITC Avant Garde" w:hAnsi="ITC Avant Garde"/>
                <w:sz w:val="16"/>
                <w:szCs w:val="24"/>
              </w:rPr>
              <w:t>R-cuadrada</w:t>
            </w:r>
          </w:p>
        </w:tc>
        <w:tc>
          <w:tcPr>
            <w:tcW w:w="393" w:type="dxa"/>
            <w:tcBorders>
              <w:top w:val="nil"/>
              <w:left w:val="nil"/>
              <w:bottom w:val="nil"/>
              <w:right w:val="nil"/>
            </w:tcBorders>
          </w:tcPr>
          <w:p w14:paraId="6B3838B7"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p>
        </w:tc>
        <w:tc>
          <w:tcPr>
            <w:tcW w:w="978" w:type="dxa"/>
            <w:tcBorders>
              <w:top w:val="nil"/>
              <w:left w:val="nil"/>
              <w:bottom w:val="nil"/>
              <w:right w:val="nil"/>
            </w:tcBorders>
          </w:tcPr>
          <w:p w14:paraId="397C5ADB" w14:textId="25DEB0FA"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0.926</w:t>
            </w:r>
          </w:p>
        </w:tc>
        <w:tc>
          <w:tcPr>
            <w:tcW w:w="0" w:type="auto"/>
            <w:tcBorders>
              <w:top w:val="nil"/>
              <w:left w:val="nil"/>
              <w:bottom w:val="nil"/>
              <w:right w:val="nil"/>
            </w:tcBorders>
          </w:tcPr>
          <w:p w14:paraId="72B65FCB"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0.944</w:t>
            </w:r>
          </w:p>
        </w:tc>
      </w:tr>
      <w:tr w:rsidR="00954B8E" w:rsidRPr="001F394B" w14:paraId="71821196" w14:textId="77777777" w:rsidTr="00954B8E">
        <w:tblPrEx>
          <w:tblBorders>
            <w:bottom w:val="single" w:sz="6" w:space="0" w:color="auto"/>
          </w:tblBorders>
        </w:tblPrEx>
        <w:trPr>
          <w:jc w:val="center"/>
        </w:trPr>
        <w:tc>
          <w:tcPr>
            <w:tcW w:w="0" w:type="auto"/>
            <w:tcBorders>
              <w:top w:val="nil"/>
              <w:left w:val="nil"/>
              <w:bottom w:val="nil"/>
              <w:right w:val="nil"/>
            </w:tcBorders>
          </w:tcPr>
          <w:p w14:paraId="7FDF6C9B" w14:textId="77777777" w:rsidR="00954B8E" w:rsidRPr="001F394B" w:rsidRDefault="00954B8E" w:rsidP="00F007BE">
            <w:pPr>
              <w:widowControl w:val="0"/>
              <w:autoSpaceDE w:val="0"/>
              <w:autoSpaceDN w:val="0"/>
              <w:adjustRightInd w:val="0"/>
              <w:spacing w:after="0" w:line="240" w:lineRule="auto"/>
              <w:rPr>
                <w:rFonts w:ascii="ITC Avant Garde" w:hAnsi="ITC Avant Garde"/>
                <w:sz w:val="16"/>
                <w:szCs w:val="24"/>
              </w:rPr>
            </w:pPr>
            <w:r w:rsidRPr="001F394B">
              <w:rPr>
                <w:rFonts w:ascii="ITC Avant Garde" w:hAnsi="ITC Avant Garde"/>
                <w:sz w:val="16"/>
                <w:szCs w:val="24"/>
              </w:rPr>
              <w:t xml:space="preserve">Municipios </w:t>
            </w:r>
          </w:p>
        </w:tc>
        <w:tc>
          <w:tcPr>
            <w:tcW w:w="393" w:type="dxa"/>
            <w:tcBorders>
              <w:top w:val="nil"/>
              <w:left w:val="nil"/>
              <w:bottom w:val="nil"/>
              <w:right w:val="nil"/>
            </w:tcBorders>
          </w:tcPr>
          <w:p w14:paraId="6EAB3E27" w14:textId="7BDFAE01"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954B8E">
              <w:rPr>
                <w:rFonts w:cs="Calibri"/>
                <w:sz w:val="16"/>
                <w:szCs w:val="24"/>
              </w:rPr>
              <w:t>β</w:t>
            </w:r>
            <w:r>
              <w:rPr>
                <w:rFonts w:ascii="ITC Avant Garde" w:hAnsi="ITC Avant Garde"/>
                <w:sz w:val="16"/>
                <w:szCs w:val="24"/>
                <w:vertAlign w:val="subscript"/>
              </w:rPr>
              <w:t>7</w:t>
            </w:r>
          </w:p>
        </w:tc>
        <w:tc>
          <w:tcPr>
            <w:tcW w:w="978" w:type="dxa"/>
            <w:tcBorders>
              <w:top w:val="nil"/>
              <w:left w:val="nil"/>
              <w:bottom w:val="nil"/>
              <w:right w:val="nil"/>
            </w:tcBorders>
          </w:tcPr>
          <w:p w14:paraId="395684D3" w14:textId="66E4B2C6"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 xml:space="preserve">Sí </w:t>
            </w:r>
          </w:p>
        </w:tc>
        <w:tc>
          <w:tcPr>
            <w:tcW w:w="0" w:type="auto"/>
            <w:tcBorders>
              <w:top w:val="nil"/>
              <w:left w:val="nil"/>
              <w:bottom w:val="nil"/>
              <w:right w:val="nil"/>
            </w:tcBorders>
          </w:tcPr>
          <w:p w14:paraId="473258B6" w14:textId="77777777"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 xml:space="preserve">Sí </w:t>
            </w:r>
          </w:p>
        </w:tc>
      </w:tr>
      <w:tr w:rsidR="00954B8E" w:rsidRPr="001F394B" w14:paraId="4F2C583E" w14:textId="77777777" w:rsidTr="00954B8E">
        <w:tblPrEx>
          <w:tblBorders>
            <w:bottom w:val="single" w:sz="6" w:space="0" w:color="auto"/>
          </w:tblBorders>
        </w:tblPrEx>
        <w:trPr>
          <w:jc w:val="center"/>
        </w:trPr>
        <w:tc>
          <w:tcPr>
            <w:tcW w:w="0" w:type="auto"/>
            <w:tcBorders>
              <w:top w:val="nil"/>
              <w:left w:val="nil"/>
              <w:bottom w:val="single" w:sz="6" w:space="0" w:color="auto"/>
              <w:right w:val="nil"/>
            </w:tcBorders>
          </w:tcPr>
          <w:p w14:paraId="25E98EAC" w14:textId="77777777" w:rsidR="00954B8E" w:rsidRPr="001F394B" w:rsidRDefault="00954B8E" w:rsidP="00F007BE">
            <w:pPr>
              <w:widowControl w:val="0"/>
              <w:autoSpaceDE w:val="0"/>
              <w:autoSpaceDN w:val="0"/>
              <w:adjustRightInd w:val="0"/>
              <w:spacing w:after="0" w:line="240" w:lineRule="auto"/>
              <w:rPr>
                <w:rFonts w:ascii="ITC Avant Garde" w:hAnsi="ITC Avant Garde"/>
                <w:sz w:val="16"/>
                <w:szCs w:val="24"/>
              </w:rPr>
            </w:pPr>
            <w:r w:rsidRPr="001F394B">
              <w:rPr>
                <w:rFonts w:ascii="ITC Avant Garde" w:hAnsi="ITC Avant Garde"/>
                <w:sz w:val="16"/>
                <w:szCs w:val="24"/>
              </w:rPr>
              <w:t xml:space="preserve">Concesionarios </w:t>
            </w:r>
          </w:p>
        </w:tc>
        <w:tc>
          <w:tcPr>
            <w:tcW w:w="393" w:type="dxa"/>
            <w:tcBorders>
              <w:top w:val="nil"/>
              <w:left w:val="nil"/>
              <w:bottom w:val="single" w:sz="6" w:space="0" w:color="auto"/>
              <w:right w:val="nil"/>
            </w:tcBorders>
          </w:tcPr>
          <w:p w14:paraId="4E4BEAB5" w14:textId="6683F988"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954B8E">
              <w:rPr>
                <w:rFonts w:cs="Calibri"/>
                <w:sz w:val="16"/>
                <w:szCs w:val="24"/>
              </w:rPr>
              <w:t>β</w:t>
            </w:r>
            <w:r>
              <w:rPr>
                <w:rFonts w:ascii="ITC Avant Garde" w:hAnsi="ITC Avant Garde"/>
                <w:sz w:val="16"/>
                <w:szCs w:val="24"/>
                <w:vertAlign w:val="subscript"/>
              </w:rPr>
              <w:t>8</w:t>
            </w:r>
          </w:p>
        </w:tc>
        <w:tc>
          <w:tcPr>
            <w:tcW w:w="978" w:type="dxa"/>
            <w:tcBorders>
              <w:top w:val="nil"/>
              <w:left w:val="nil"/>
              <w:bottom w:val="single" w:sz="6" w:space="0" w:color="auto"/>
              <w:right w:val="nil"/>
            </w:tcBorders>
          </w:tcPr>
          <w:p w14:paraId="0C13149C" w14:textId="3A7C5169" w:rsidR="00954B8E" w:rsidRPr="001F394B" w:rsidRDefault="00954B8E" w:rsidP="00F007BE">
            <w:pPr>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 xml:space="preserve">Sí </w:t>
            </w:r>
          </w:p>
        </w:tc>
        <w:tc>
          <w:tcPr>
            <w:tcW w:w="0" w:type="auto"/>
            <w:tcBorders>
              <w:top w:val="nil"/>
              <w:left w:val="nil"/>
              <w:bottom w:val="single" w:sz="6" w:space="0" w:color="auto"/>
              <w:right w:val="nil"/>
            </w:tcBorders>
          </w:tcPr>
          <w:p w14:paraId="530A5A05" w14:textId="77777777" w:rsidR="00954B8E" w:rsidRPr="001F394B" w:rsidRDefault="00954B8E" w:rsidP="00F007BE">
            <w:pPr>
              <w:keepNext/>
              <w:widowControl w:val="0"/>
              <w:autoSpaceDE w:val="0"/>
              <w:autoSpaceDN w:val="0"/>
              <w:adjustRightInd w:val="0"/>
              <w:spacing w:after="0" w:line="240" w:lineRule="auto"/>
              <w:jc w:val="center"/>
              <w:rPr>
                <w:rFonts w:ascii="ITC Avant Garde" w:hAnsi="ITC Avant Garde"/>
                <w:sz w:val="16"/>
                <w:szCs w:val="24"/>
              </w:rPr>
            </w:pPr>
            <w:r w:rsidRPr="001F394B">
              <w:rPr>
                <w:rFonts w:ascii="ITC Avant Garde" w:hAnsi="ITC Avant Garde"/>
                <w:sz w:val="16"/>
                <w:szCs w:val="24"/>
              </w:rPr>
              <w:t xml:space="preserve">Sí </w:t>
            </w:r>
          </w:p>
        </w:tc>
      </w:tr>
    </w:tbl>
    <w:p w14:paraId="734227F9" w14:textId="01D38FDC" w:rsidR="004B0526" w:rsidRPr="00954B8E" w:rsidRDefault="004B0526" w:rsidP="004B0526">
      <w:pPr>
        <w:widowControl w:val="0"/>
        <w:autoSpaceDE w:val="0"/>
        <w:autoSpaceDN w:val="0"/>
        <w:adjustRightInd w:val="0"/>
        <w:spacing w:after="0" w:line="240" w:lineRule="auto"/>
        <w:jc w:val="center"/>
        <w:rPr>
          <w:rFonts w:ascii="ITC Avant Garde" w:hAnsi="ITC Avant Garde"/>
          <w:sz w:val="16"/>
          <w:szCs w:val="24"/>
        </w:rPr>
      </w:pPr>
      <w:r w:rsidRPr="00954B8E">
        <w:rPr>
          <w:rFonts w:ascii="ITC Avant Garde" w:hAnsi="ITC Avant Garde"/>
          <w:sz w:val="16"/>
          <w:szCs w:val="24"/>
        </w:rPr>
        <w:t>Errores estandares robustos en parentesis</w:t>
      </w:r>
    </w:p>
    <w:p w14:paraId="4C047969" w14:textId="77777777" w:rsidR="004B0526" w:rsidRPr="00954B8E" w:rsidRDefault="004B0526" w:rsidP="004B0526">
      <w:pPr>
        <w:widowControl w:val="0"/>
        <w:autoSpaceDE w:val="0"/>
        <w:autoSpaceDN w:val="0"/>
        <w:adjustRightInd w:val="0"/>
        <w:spacing w:after="0" w:line="240" w:lineRule="auto"/>
        <w:jc w:val="center"/>
        <w:rPr>
          <w:rFonts w:ascii="ITC Avant Garde" w:hAnsi="ITC Avant Garde"/>
          <w:sz w:val="16"/>
          <w:szCs w:val="24"/>
        </w:rPr>
      </w:pPr>
      <w:r w:rsidRPr="00954B8E">
        <w:rPr>
          <w:rFonts w:ascii="ITC Avant Garde" w:hAnsi="ITC Avant Garde"/>
          <w:sz w:val="16"/>
          <w:szCs w:val="24"/>
        </w:rPr>
        <w:t>*** p&lt;0.01, ** p&lt;0.05, * p&lt;0.1</w:t>
      </w:r>
    </w:p>
    <w:p w14:paraId="5ABB635A" w14:textId="5FF0F5CD" w:rsidR="004B0526" w:rsidRDefault="004B0526" w:rsidP="00B14167">
      <w:pPr>
        <w:jc w:val="center"/>
        <w:rPr>
          <w:rFonts w:ascii="ITC Avant Garde" w:hAnsi="ITC Avant Garde"/>
        </w:rPr>
      </w:pPr>
      <w:r w:rsidRPr="00296C07">
        <w:rPr>
          <w:rFonts w:ascii="ITC Avant Garde" w:hAnsi="ITC Avant Garde"/>
        </w:rPr>
        <w:t xml:space="preserve"> </w:t>
      </w:r>
      <w:r w:rsidR="00B14167" w:rsidRPr="00570EC2">
        <w:rPr>
          <w:rFonts w:ascii="ITC Avant Garde" w:hAnsi="ITC Avant Garde"/>
          <w:b/>
          <w:sz w:val="18"/>
          <w:szCs w:val="18"/>
        </w:rPr>
        <w:t>Cuadro 1</w:t>
      </w:r>
      <w:r w:rsidR="00570EC2" w:rsidRPr="00570EC2">
        <w:rPr>
          <w:rFonts w:ascii="ITC Avant Garde" w:hAnsi="ITC Avant Garde"/>
          <w:sz w:val="18"/>
          <w:szCs w:val="18"/>
        </w:rPr>
        <w:t>:</w:t>
      </w:r>
      <w:r w:rsidR="00B14167">
        <w:rPr>
          <w:rFonts w:ascii="ITC Avant Garde" w:hAnsi="ITC Avant Garde"/>
        </w:rPr>
        <w:t xml:space="preserve"> </w:t>
      </w:r>
      <w:r w:rsidR="00B14167" w:rsidRPr="00570EC2">
        <w:rPr>
          <w:rFonts w:ascii="ITC Avant Garde" w:hAnsi="ITC Avant Garde"/>
          <w:sz w:val="18"/>
        </w:rPr>
        <w:t>Resultado de la</w:t>
      </w:r>
      <w:r w:rsidR="00205ECC">
        <w:rPr>
          <w:rFonts w:ascii="ITC Avant Garde" w:hAnsi="ITC Avant Garde"/>
          <w:sz w:val="18"/>
        </w:rPr>
        <w:t>s regresio</w:t>
      </w:r>
      <w:r w:rsidR="00B14167" w:rsidRPr="00570EC2">
        <w:rPr>
          <w:rFonts w:ascii="ITC Avant Garde" w:hAnsi="ITC Avant Garde"/>
          <w:sz w:val="18"/>
        </w:rPr>
        <w:t>n</w:t>
      </w:r>
      <w:r w:rsidR="00205ECC">
        <w:rPr>
          <w:rFonts w:ascii="ITC Avant Garde" w:hAnsi="ITC Avant Garde"/>
          <w:sz w:val="18"/>
        </w:rPr>
        <w:t>es</w:t>
      </w:r>
      <w:r w:rsidR="00B14167" w:rsidRPr="00570EC2">
        <w:rPr>
          <w:rFonts w:ascii="ITC Avant Garde" w:hAnsi="ITC Avant Garde"/>
          <w:sz w:val="18"/>
        </w:rPr>
        <w:t xml:space="preserve"> del Módulo de </w:t>
      </w:r>
      <w:r w:rsidR="00570EC2">
        <w:rPr>
          <w:rFonts w:ascii="ITC Avant Garde" w:hAnsi="ITC Avant Garde"/>
          <w:sz w:val="18"/>
        </w:rPr>
        <w:t>I</w:t>
      </w:r>
      <w:r w:rsidR="00B14167" w:rsidRPr="00570EC2">
        <w:rPr>
          <w:rFonts w:ascii="ITC Avant Garde" w:hAnsi="ITC Avant Garde"/>
          <w:sz w:val="18"/>
        </w:rPr>
        <w:t xml:space="preserve">mputación </w:t>
      </w:r>
      <w:r w:rsidR="009E453D">
        <w:rPr>
          <w:rFonts w:ascii="ITC Avant Garde" w:hAnsi="ITC Avant Garde"/>
          <w:sz w:val="18"/>
        </w:rPr>
        <w:t>de Precios Implícitos</w:t>
      </w:r>
      <w:r w:rsidR="0054401A">
        <w:rPr>
          <w:rFonts w:ascii="ITC Avant Garde" w:hAnsi="ITC Avant Garde"/>
          <w:sz w:val="18"/>
        </w:rPr>
        <w:t xml:space="preserve"> </w:t>
      </w:r>
      <w:r w:rsidR="00B14167" w:rsidRPr="00570EC2">
        <w:rPr>
          <w:rFonts w:ascii="ITC Avant Garde" w:hAnsi="ITC Avant Garde"/>
          <w:sz w:val="18"/>
        </w:rPr>
        <w:t>(IFT, 2020).</w:t>
      </w:r>
    </w:p>
    <w:p w14:paraId="38271707" w14:textId="48B1E433" w:rsidR="00F44C3A" w:rsidRDefault="00B76408" w:rsidP="00C87A6A">
      <w:pPr>
        <w:jc w:val="both"/>
        <w:rPr>
          <w:rFonts w:ascii="ITC Avant Garde" w:hAnsi="ITC Avant Garde"/>
        </w:rPr>
      </w:pPr>
      <w:r>
        <w:rPr>
          <w:rFonts w:ascii="ITC Avant Garde" w:hAnsi="ITC Avant Garde"/>
        </w:rPr>
        <w:t>En un segundo momento, e</w:t>
      </w:r>
      <w:r w:rsidR="00075D81">
        <w:rPr>
          <w:rFonts w:ascii="ITC Avant Garde" w:hAnsi="ITC Avant Garde"/>
        </w:rPr>
        <w:t>n el</w:t>
      </w:r>
      <w:r w:rsidR="004B0526">
        <w:rPr>
          <w:rFonts w:ascii="ITC Avant Garde" w:hAnsi="ITC Avant Garde"/>
        </w:rPr>
        <w:t xml:space="preserve"> Módulo de Imputación de Precios</w:t>
      </w:r>
      <w:r w:rsidR="009E453D">
        <w:rPr>
          <w:rFonts w:ascii="ITC Avant Garde" w:hAnsi="ITC Avant Garde"/>
        </w:rPr>
        <w:t xml:space="preserve"> Implícitos</w:t>
      </w:r>
      <w:r w:rsidR="00075D81">
        <w:rPr>
          <w:rFonts w:ascii="ITC Avant Garde" w:hAnsi="ITC Avant Garde"/>
        </w:rPr>
        <w:t>, el modelo de costos</w:t>
      </w:r>
      <w:r>
        <w:rPr>
          <w:rFonts w:ascii="ITC Avant Garde" w:hAnsi="ITC Avant Garde"/>
        </w:rPr>
        <w:t xml:space="preserve"> aplica l</w:t>
      </w:r>
      <w:r w:rsidR="004B0526">
        <w:rPr>
          <w:rFonts w:ascii="ITC Avant Garde" w:hAnsi="ITC Avant Garde"/>
        </w:rPr>
        <w:t xml:space="preserve">os coeficientes </w:t>
      </w:r>
      <w:r>
        <w:rPr>
          <w:rFonts w:ascii="ITC Avant Garde" w:hAnsi="ITC Avant Garde"/>
        </w:rPr>
        <w:t xml:space="preserve">obtenidos </w:t>
      </w:r>
      <w:r w:rsidR="004B0526">
        <w:rPr>
          <w:rFonts w:ascii="ITC Avant Garde" w:hAnsi="ITC Avant Garde"/>
        </w:rPr>
        <w:t xml:space="preserve">a la descomposición de </w:t>
      </w:r>
      <w:r w:rsidR="00F007BE">
        <w:rPr>
          <w:rFonts w:ascii="ITC Avant Garde" w:hAnsi="ITC Avant Garde"/>
        </w:rPr>
        <w:lastRenderedPageBreak/>
        <w:t xml:space="preserve">precios provista por </w:t>
      </w:r>
      <w:r w:rsidR="00E50AE4">
        <w:rPr>
          <w:rFonts w:ascii="ITC Avant Garde" w:hAnsi="ITC Avant Garde"/>
        </w:rPr>
        <w:t>Telmex y Telnor</w:t>
      </w:r>
      <w:r w:rsidR="00F007BE">
        <w:rPr>
          <w:rFonts w:ascii="ITC Avant Garde" w:hAnsi="ITC Avant Garde"/>
        </w:rPr>
        <w:t xml:space="preserve"> de</w:t>
      </w:r>
      <w:r w:rsidR="004B0526">
        <w:rPr>
          <w:rFonts w:ascii="ITC Avant Garde" w:hAnsi="ITC Avant Garde"/>
        </w:rPr>
        <w:t xml:space="preserve"> los planes de </w:t>
      </w:r>
      <w:r w:rsidR="004B0526" w:rsidRPr="00FA4085">
        <w:rPr>
          <w:rFonts w:ascii="ITC Avant Garde" w:hAnsi="ITC Avant Garde"/>
          <w:i/>
        </w:rPr>
        <w:t>entrada</w:t>
      </w:r>
      <w:r w:rsidR="004B0526">
        <w:rPr>
          <w:rFonts w:ascii="ITC Avant Garde" w:hAnsi="ITC Avant Garde"/>
        </w:rPr>
        <w:t xml:space="preserve"> para </w:t>
      </w:r>
      <w:r>
        <w:rPr>
          <w:rFonts w:ascii="ITC Avant Garde" w:hAnsi="ITC Avant Garde"/>
        </w:rPr>
        <w:t>determinar</w:t>
      </w:r>
      <w:r w:rsidR="004B0526">
        <w:rPr>
          <w:rFonts w:ascii="ITC Avant Garde" w:hAnsi="ITC Avant Garde"/>
        </w:rPr>
        <w:t xml:space="preserve"> los precios implícitos de banda ancha y de línea telefónica de los paquetes</w:t>
      </w:r>
      <w:r w:rsidR="00FA4085">
        <w:rPr>
          <w:rFonts w:ascii="ITC Avant Garde" w:hAnsi="ITC Avant Garde"/>
        </w:rPr>
        <w:t xml:space="preserve"> </w:t>
      </w:r>
      <w:r w:rsidR="00FA4085" w:rsidRPr="00FA4085">
        <w:rPr>
          <w:rFonts w:ascii="ITC Avant Garde" w:hAnsi="ITC Avant Garde"/>
          <w:i/>
        </w:rPr>
        <w:t>superiores</w:t>
      </w:r>
      <w:r w:rsidR="00FA4085">
        <w:rPr>
          <w:rFonts w:ascii="ITC Avant Garde" w:hAnsi="ITC Avant Garde"/>
        </w:rPr>
        <w:t xml:space="preserve"> (es decir con más características </w:t>
      </w:r>
      <w:r w:rsidR="00E50AE4">
        <w:rPr>
          <w:rFonts w:ascii="ITC Avant Garde" w:hAnsi="ITC Avant Garde"/>
        </w:rPr>
        <w:t xml:space="preserve">y de precio más alto </w:t>
      </w:r>
      <w:r w:rsidR="00FA4085">
        <w:rPr>
          <w:rFonts w:ascii="ITC Avant Garde" w:hAnsi="ITC Avant Garde"/>
        </w:rPr>
        <w:t xml:space="preserve">que los paquetes </w:t>
      </w:r>
      <w:r w:rsidR="00FA4085" w:rsidRPr="00FA4085">
        <w:rPr>
          <w:rFonts w:ascii="ITC Avant Garde" w:hAnsi="ITC Avant Garde"/>
          <w:i/>
        </w:rPr>
        <w:t>de entrada</w:t>
      </w:r>
      <w:r w:rsidR="00FA4085">
        <w:rPr>
          <w:rFonts w:ascii="ITC Avant Garde" w:hAnsi="ITC Avant Garde"/>
        </w:rPr>
        <w:t>)</w:t>
      </w:r>
      <w:r w:rsidR="00F44C3A">
        <w:rPr>
          <w:rFonts w:ascii="ITC Avant Garde" w:hAnsi="ITC Avant Garde"/>
        </w:rPr>
        <w:t xml:space="preserve"> mediante la</w:t>
      </w:r>
      <w:r w:rsidR="009866F9">
        <w:rPr>
          <w:rFonts w:ascii="ITC Avant Garde" w:hAnsi="ITC Avant Garde"/>
        </w:rPr>
        <w:t>s</w:t>
      </w:r>
      <w:r w:rsidR="00F44C3A">
        <w:rPr>
          <w:rFonts w:ascii="ITC Avant Garde" w:hAnsi="ITC Avant Garde"/>
        </w:rPr>
        <w:t xml:space="preserve"> fórmula</w:t>
      </w:r>
      <w:r w:rsidR="009866F9">
        <w:rPr>
          <w:rFonts w:ascii="ITC Avant Garde" w:hAnsi="ITC Avant Garde"/>
        </w:rPr>
        <w:t>s</w:t>
      </w:r>
      <w:r w:rsidR="00F44C3A">
        <w:rPr>
          <w:rFonts w:ascii="ITC Avant Garde" w:hAnsi="ITC Avant Garde"/>
        </w:rPr>
        <w:t xml:space="preserve">: </w:t>
      </w:r>
    </w:p>
    <w:p w14:paraId="5D29E521" w14:textId="77777777" w:rsidR="00E50AE4" w:rsidRDefault="00530155" w:rsidP="00C87A6A">
      <w:pPr>
        <w:jc w:val="both"/>
        <w:rPr>
          <w:rFonts w:ascii="ITC Avant Garde" w:hAnsi="ITC Avant Garde"/>
        </w:rPr>
      </w:pPr>
      <w:r w:rsidRPr="00530155">
        <w:rPr>
          <w:noProof/>
          <w:lang w:eastAsia="es-MX"/>
        </w:rPr>
        <w:drawing>
          <wp:inline distT="0" distB="0" distL="0" distR="0" wp14:anchorId="7FA83F33" wp14:editId="2AAB39FB">
            <wp:extent cx="5611589" cy="71561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2065"/>
                    <a:stretch/>
                  </pic:blipFill>
                  <pic:spPr bwMode="auto">
                    <a:xfrm>
                      <a:off x="0" y="0"/>
                      <a:ext cx="5612130" cy="715686"/>
                    </a:xfrm>
                    <a:prstGeom prst="rect">
                      <a:avLst/>
                    </a:prstGeom>
                    <a:noFill/>
                    <a:ln>
                      <a:noFill/>
                    </a:ln>
                    <a:extLst>
                      <a:ext uri="{53640926-AAD7-44D8-BBD7-CCE9431645EC}">
                        <a14:shadowObscured xmlns:a14="http://schemas.microsoft.com/office/drawing/2010/main"/>
                      </a:ext>
                    </a:extLst>
                  </pic:spPr>
                </pic:pic>
              </a:graphicData>
            </a:graphic>
          </wp:inline>
        </w:drawing>
      </w:r>
    </w:p>
    <w:p w14:paraId="35D27141" w14:textId="16BF46E7" w:rsidR="00530155" w:rsidRDefault="00E50AE4" w:rsidP="00C87A6A">
      <w:pPr>
        <w:jc w:val="both"/>
        <w:rPr>
          <w:rFonts w:ascii="ITC Avant Garde" w:hAnsi="ITC Avant Garde"/>
        </w:rPr>
      </w:pPr>
      <w:r>
        <w:rPr>
          <w:rFonts w:ascii="ITC Avant Garde" w:hAnsi="ITC Avant Garde"/>
        </w:rPr>
        <w:t>Las cuales se obtienen de una reorganización de la forma funcional:</w:t>
      </w:r>
    </w:p>
    <w:p w14:paraId="66E7224B" w14:textId="01793084" w:rsidR="00E50AE4" w:rsidRDefault="00E50AE4" w:rsidP="00C87A6A">
      <w:pPr>
        <w:jc w:val="both"/>
        <w:rPr>
          <w:rFonts w:ascii="ITC Avant Garde" w:hAnsi="ITC Avant Garde"/>
        </w:rPr>
      </w:pPr>
      <w:r w:rsidRPr="00E50AE4">
        <w:rPr>
          <w:noProof/>
          <w:lang w:eastAsia="es-MX"/>
        </w:rPr>
        <w:drawing>
          <wp:inline distT="0" distB="0" distL="0" distR="0" wp14:anchorId="7F2685C2" wp14:editId="34ED05FB">
            <wp:extent cx="5612130" cy="34345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343457"/>
                    </a:xfrm>
                    <a:prstGeom prst="rect">
                      <a:avLst/>
                    </a:prstGeom>
                    <a:noFill/>
                    <a:ln>
                      <a:noFill/>
                    </a:ln>
                  </pic:spPr>
                </pic:pic>
              </a:graphicData>
            </a:graphic>
          </wp:inline>
        </w:drawing>
      </w:r>
    </w:p>
    <w:p w14:paraId="7B5DDD9B" w14:textId="322A6E58" w:rsidR="00954B8E" w:rsidRPr="0044393D" w:rsidRDefault="009866F9" w:rsidP="0044393D">
      <w:pPr>
        <w:ind w:firstLine="708"/>
        <w:jc w:val="both"/>
        <w:rPr>
          <w:rFonts w:ascii="ITC Avant Garde" w:hAnsi="ITC Avant Garde"/>
          <w:sz w:val="20"/>
        </w:rPr>
      </w:pPr>
      <w:r w:rsidRPr="0044393D">
        <w:rPr>
          <w:rFonts w:ascii="ITC Avant Garde" w:hAnsi="ITC Avant Garde"/>
          <w:sz w:val="20"/>
        </w:rPr>
        <w:t xml:space="preserve">Donde X puede ser Mbps o LI. </w:t>
      </w:r>
      <w:r w:rsidR="00954B8E" w:rsidRPr="0044393D">
        <w:rPr>
          <w:rFonts w:ascii="ITC Avant Garde" w:hAnsi="ITC Avant Garde"/>
          <w:sz w:val="20"/>
        </w:rPr>
        <w:t xml:space="preserve"> </w:t>
      </w:r>
    </w:p>
    <w:p w14:paraId="51C1C814" w14:textId="29E63844" w:rsidR="00A4557C" w:rsidRPr="00420832" w:rsidRDefault="005224C6" w:rsidP="0044393D">
      <w:pPr>
        <w:jc w:val="both"/>
        <w:rPr>
          <w:rFonts w:ascii="ITC Avant Garde" w:eastAsia="Times New Roman" w:hAnsi="ITC Avant Garde" w:cs="Arial"/>
          <w:b/>
          <w:iCs/>
        </w:rPr>
      </w:pPr>
      <w:r>
        <w:rPr>
          <w:rFonts w:ascii="ITC Avant Garde" w:hAnsi="ITC Avant Garde"/>
        </w:rPr>
        <w:t>Por su parte, e</w:t>
      </w:r>
      <w:r w:rsidR="007F0FF8">
        <w:rPr>
          <w:rFonts w:ascii="ITC Avant Garde" w:hAnsi="ITC Avant Garde"/>
        </w:rPr>
        <w:t>l precio implícito del servicio de voz es residual</w:t>
      </w:r>
      <w:r w:rsidR="00D9097E">
        <w:rPr>
          <w:rFonts w:ascii="ITC Avant Garde" w:hAnsi="ITC Avant Garde"/>
        </w:rPr>
        <w:t xml:space="preserve">, garantizando </w:t>
      </w:r>
      <w:r w:rsidR="00061DBA">
        <w:rPr>
          <w:rFonts w:ascii="ITC Avant Garde" w:hAnsi="ITC Avant Garde"/>
        </w:rPr>
        <w:t xml:space="preserve">que </w:t>
      </w:r>
      <w:r w:rsidR="00D9097E">
        <w:rPr>
          <w:rFonts w:ascii="ITC Avant Garde" w:hAnsi="ITC Avant Garde"/>
        </w:rPr>
        <w:t>la suma de los precios implícitos por acceso a la línea telefónica, servicios de voz y servicios de Internet</w:t>
      </w:r>
      <w:r w:rsidR="00061DBA">
        <w:rPr>
          <w:rFonts w:ascii="ITC Avant Garde" w:hAnsi="ITC Avant Garde"/>
        </w:rPr>
        <w:t xml:space="preserve"> equivalga al </w:t>
      </w:r>
      <w:r w:rsidR="00061DBA" w:rsidRPr="00D9097E">
        <w:rPr>
          <w:rFonts w:ascii="ITC Avant Garde" w:hAnsi="ITC Avant Garde"/>
        </w:rPr>
        <w:t xml:space="preserve">precio minorista del paquete </w:t>
      </w:r>
      <w:r w:rsidR="00F007BE">
        <w:rPr>
          <w:rFonts w:ascii="ITC Avant Garde" w:hAnsi="ITC Avant Garde"/>
        </w:rPr>
        <w:t>que conforman</w:t>
      </w:r>
      <w:r w:rsidR="007F0FF8">
        <w:rPr>
          <w:rFonts w:ascii="ITC Avant Garde" w:hAnsi="ITC Avant Garde"/>
        </w:rPr>
        <w:t xml:space="preserve">. </w:t>
      </w:r>
      <w:r w:rsidR="00A4557C">
        <w:t xml:space="preserve"> </w:t>
      </w:r>
    </w:p>
    <w:p w14:paraId="2F1F5B70" w14:textId="467A7045" w:rsidR="00420832" w:rsidRDefault="00420832" w:rsidP="00420832">
      <w:pPr>
        <w:pStyle w:val="Prrafodelista"/>
        <w:numPr>
          <w:ilvl w:val="3"/>
          <w:numId w:val="40"/>
        </w:numPr>
        <w:jc w:val="both"/>
      </w:pPr>
      <w:r>
        <w:rPr>
          <w:rFonts w:ascii="ITC Avant Garde" w:eastAsia="Times New Roman" w:hAnsi="ITC Avant Garde" w:cs="Arial"/>
          <w:b/>
          <w:iCs/>
        </w:rPr>
        <w:t xml:space="preserve">Otras consideraciones para la </w:t>
      </w:r>
      <w:r w:rsidRPr="00420832">
        <w:rPr>
          <w:rFonts w:ascii="ITC Avant Garde" w:eastAsia="Times New Roman" w:hAnsi="ITC Avant Garde" w:cs="Arial"/>
          <w:b/>
          <w:iCs/>
        </w:rPr>
        <w:t>estimación del precio implícito</w:t>
      </w:r>
    </w:p>
    <w:p w14:paraId="44F90D6B" w14:textId="2583531D" w:rsidR="00DE64CD" w:rsidRDefault="00061DBA" w:rsidP="00DE64CD">
      <w:pPr>
        <w:pStyle w:val="IFTnormal"/>
      </w:pPr>
      <w:r>
        <w:rPr>
          <w:lang w:val="es-MX"/>
        </w:rPr>
        <w:t xml:space="preserve">Debido a la naturaleza de la información contenida en </w:t>
      </w:r>
      <w:r w:rsidRPr="00CA1A08">
        <w:rPr>
          <w:lang w:val="es-MX"/>
        </w:rPr>
        <w:t xml:space="preserve">el Visor de Tarifas </w:t>
      </w:r>
      <w:r w:rsidRPr="00CA1A08">
        <w:t>del Registro Público de Telecomunicaciones</w:t>
      </w:r>
      <w:r w:rsidRPr="00CA1A08">
        <w:rPr>
          <w:lang w:val="es-MX"/>
        </w:rPr>
        <w:t>, la renta minorista se p</w:t>
      </w:r>
      <w:r>
        <w:rPr>
          <w:lang w:val="es-MX"/>
        </w:rPr>
        <w:t>uede descomponer solo entre</w:t>
      </w:r>
      <w:r>
        <w:t xml:space="preserve"> la línea telefónica, servicios de voz y servicios de Internet</w:t>
      </w:r>
      <w:r>
        <w:rPr>
          <w:lang w:val="es-MX"/>
        </w:rPr>
        <w:t xml:space="preserve">. Sin embargo, </w:t>
      </w:r>
      <w:r w:rsidR="00DE64CD">
        <w:t xml:space="preserve">el Instituto analizó </w:t>
      </w:r>
      <w:r w:rsidR="00EF5A3F">
        <w:t xml:space="preserve">exhaustivamente </w:t>
      </w:r>
      <w:r w:rsidR="00DE64CD">
        <w:t>la i</w:t>
      </w:r>
      <w:r w:rsidR="002A5C99">
        <w:t xml:space="preserve">nformación presentada por </w:t>
      </w:r>
      <w:r w:rsidR="002A5C99">
        <w:lastRenderedPageBreak/>
        <w:t>Telmex y Telnor</w:t>
      </w:r>
      <w:r w:rsidR="00DE64CD">
        <w:t xml:space="preserve"> </w:t>
      </w:r>
      <w:r w:rsidR="00DE64CD">
        <w:rPr>
          <w:color w:val="auto"/>
          <w:lang w:val="es-MX"/>
        </w:rPr>
        <w:t xml:space="preserve">respecto </w:t>
      </w:r>
      <w:r w:rsidR="00D9097E">
        <w:rPr>
          <w:color w:val="auto"/>
          <w:lang w:val="es-MX"/>
        </w:rPr>
        <w:t xml:space="preserve">a </w:t>
      </w:r>
      <w:r w:rsidR="00DE64CD">
        <w:rPr>
          <w:color w:val="auto"/>
          <w:lang w:val="es-MX"/>
        </w:rPr>
        <w:t>los elementos o servicios</w:t>
      </w:r>
      <w:r w:rsidR="00F007BE">
        <w:rPr>
          <w:color w:val="auto"/>
          <w:lang w:val="es-MX"/>
        </w:rPr>
        <w:t>, incluyendo los servicios digitales</w:t>
      </w:r>
      <w:r w:rsidR="008C59A6">
        <w:rPr>
          <w:color w:val="auto"/>
          <w:lang w:val="es-MX"/>
        </w:rPr>
        <w:t xml:space="preserve"> y </w:t>
      </w:r>
      <w:r w:rsidR="002A5C99">
        <w:rPr>
          <w:color w:val="auto"/>
          <w:lang w:val="es-MX"/>
        </w:rPr>
        <w:t>los servicios adicionales asociados a la banda ancha</w:t>
      </w:r>
      <w:r w:rsidR="00F007BE">
        <w:rPr>
          <w:color w:val="auto"/>
          <w:lang w:val="es-MX"/>
        </w:rPr>
        <w:t>,</w:t>
      </w:r>
      <w:r w:rsidR="00D9097E">
        <w:rPr>
          <w:color w:val="auto"/>
          <w:lang w:val="es-MX"/>
        </w:rPr>
        <w:t xml:space="preserve"> </w:t>
      </w:r>
      <w:r w:rsidR="00DE64CD">
        <w:rPr>
          <w:color w:val="auto"/>
          <w:lang w:val="es-MX"/>
        </w:rPr>
        <w:t xml:space="preserve">que integran los diferentes </w:t>
      </w:r>
      <w:r w:rsidR="00DE64CD" w:rsidRPr="00B55028">
        <w:t>planes y paque</w:t>
      </w:r>
      <w:r w:rsidR="002A5C99">
        <w:t>tes mediante los cuales Telmex y Telnor</w:t>
      </w:r>
      <w:r w:rsidR="00DE64CD" w:rsidRPr="00B55028">
        <w:t xml:space="preserve"> ofrece</w:t>
      </w:r>
      <w:r w:rsidR="002A5C99">
        <w:t>n</w:t>
      </w:r>
      <w:r w:rsidR="00DE64CD" w:rsidRPr="00B55028">
        <w:t xml:space="preserve"> telefonía e </w:t>
      </w:r>
      <w:r w:rsidR="00DE64CD">
        <w:t>I</w:t>
      </w:r>
      <w:r w:rsidR="00DE64CD" w:rsidRPr="00B55028">
        <w:t>nternet en el mercado minorista</w:t>
      </w:r>
      <w:r w:rsidR="00DE64CD">
        <w:t>.</w:t>
      </w:r>
    </w:p>
    <w:p w14:paraId="2184A108" w14:textId="40BE3248" w:rsidR="00DE64CD" w:rsidRDefault="00DE64CD" w:rsidP="00DE64CD">
      <w:pPr>
        <w:pStyle w:val="IFTnormal"/>
      </w:pPr>
      <w:r>
        <w:t>Los resultados de dicho análisis, así como las consideraciones metodológicas del Instituto derivadas de este proceso, para la implementación del Modelo de Costos Evitados</w:t>
      </w:r>
      <w:r w:rsidR="00E86D42">
        <w:t xml:space="preserve"> y </w:t>
      </w:r>
      <w:r w:rsidR="002A5C99">
        <w:t xml:space="preserve">la consideración </w:t>
      </w:r>
      <w:r w:rsidR="00E86D42">
        <w:t>de los servicios digitales y de</w:t>
      </w:r>
      <w:r w:rsidR="000C0542">
        <w:t xml:space="preserve"> los servicios adicionales asociados a la banda ancha</w:t>
      </w:r>
      <w:r w:rsidR="00E86D42">
        <w:t xml:space="preserve"> </w:t>
      </w:r>
      <w:r w:rsidR="00CA1A08">
        <w:t>en</w:t>
      </w:r>
      <w:r w:rsidR="00E86D42">
        <w:t xml:space="preserve"> los precios implícitos</w:t>
      </w:r>
      <w:r>
        <w:t>, se resumen en el siguiente cuadro:</w:t>
      </w:r>
    </w:p>
    <w:tbl>
      <w:tblPr>
        <w:tblStyle w:val="Tabladecuadrcula1clara"/>
        <w:tblpPr w:leftFromText="141" w:rightFromText="141" w:vertAnchor="text" w:horzAnchor="margin" w:tblpY="174"/>
        <w:tblW w:w="9515" w:type="dxa"/>
        <w:tblLook w:val="0420" w:firstRow="1" w:lastRow="0" w:firstColumn="0" w:lastColumn="0" w:noHBand="0" w:noVBand="1"/>
        <w:tblCaption w:val="Figura 3: Estrutura del modelo de costos de coubicación móvil (Fuente: IFT, 2015)"/>
        <w:tblDescription w:val="Se divida en hoja de cálculo y descripción"/>
      </w:tblPr>
      <w:tblGrid>
        <w:gridCol w:w="1980"/>
        <w:gridCol w:w="3118"/>
        <w:gridCol w:w="4417"/>
      </w:tblGrid>
      <w:tr w:rsidR="00DE64CD" w:rsidRPr="0032603F" w14:paraId="1099637C" w14:textId="77777777" w:rsidTr="00A4557C">
        <w:trPr>
          <w:cnfStyle w:val="100000000000" w:firstRow="1" w:lastRow="0" w:firstColumn="0" w:lastColumn="0" w:oddVBand="0" w:evenVBand="0" w:oddHBand="0" w:evenHBand="0" w:firstRowFirstColumn="0" w:firstRowLastColumn="0" w:lastRowFirstColumn="0" w:lastRowLastColumn="0"/>
          <w:trHeight w:val="560"/>
        </w:trPr>
        <w:tc>
          <w:tcPr>
            <w:tcW w:w="1980" w:type="dxa"/>
            <w:shd w:val="clear" w:color="auto" w:fill="000000" w:themeFill="text1"/>
            <w:vAlign w:val="center"/>
          </w:tcPr>
          <w:p w14:paraId="78227D9B" w14:textId="1D407432" w:rsidR="00DE64CD" w:rsidRPr="00612131" w:rsidRDefault="00DE64CD" w:rsidP="00A4557C">
            <w:pPr>
              <w:pStyle w:val="Tableheading"/>
              <w:spacing w:before="0" w:after="0"/>
              <w:jc w:val="both"/>
              <w:rPr>
                <w:rFonts w:ascii="ITC Avant Garde" w:hAnsi="ITC Avant Garde"/>
                <w:b/>
                <w:color w:val="FFFFFF" w:themeColor="background1"/>
                <w:sz w:val="16"/>
                <w:szCs w:val="16"/>
                <w:lang w:val="es-ES_tradnl"/>
              </w:rPr>
            </w:pPr>
            <w:r w:rsidRPr="00612131">
              <w:rPr>
                <w:sz w:val="16"/>
                <w:lang w:val="es-MX"/>
              </w:rPr>
              <w:t xml:space="preserve"> </w:t>
            </w:r>
            <w:r w:rsidRPr="00612131">
              <w:rPr>
                <w:rFonts w:ascii="ITC Avant Garde" w:hAnsi="ITC Avant Garde"/>
                <w:b/>
                <w:color w:val="FFFFFF" w:themeColor="background1"/>
                <w:sz w:val="16"/>
                <w:szCs w:val="16"/>
                <w:lang w:val="es-ES_tradnl"/>
              </w:rPr>
              <w:t>Concepto de p</w:t>
            </w:r>
            <w:r w:rsidR="00B93087">
              <w:rPr>
                <w:rFonts w:ascii="ITC Avant Garde" w:hAnsi="ITC Avant Garde"/>
                <w:b/>
                <w:color w:val="FFFFFF" w:themeColor="background1"/>
                <w:sz w:val="16"/>
                <w:szCs w:val="16"/>
                <w:lang w:val="es-ES_tradnl"/>
              </w:rPr>
              <w:t>recio implícito requerido a Telmex y Telnor</w:t>
            </w:r>
          </w:p>
        </w:tc>
        <w:tc>
          <w:tcPr>
            <w:tcW w:w="3118" w:type="dxa"/>
            <w:shd w:val="clear" w:color="auto" w:fill="000000" w:themeFill="text1"/>
            <w:vAlign w:val="center"/>
          </w:tcPr>
          <w:p w14:paraId="5E398B02" w14:textId="1C17663E" w:rsidR="00DE64CD" w:rsidRPr="00612131" w:rsidRDefault="00DE64CD" w:rsidP="00A4557C">
            <w:pPr>
              <w:pStyle w:val="Tableheading"/>
              <w:spacing w:before="0" w:after="0"/>
              <w:jc w:val="both"/>
              <w:rPr>
                <w:rFonts w:ascii="ITC Avant Garde" w:hAnsi="ITC Avant Garde"/>
                <w:b/>
                <w:color w:val="FFFFFF" w:themeColor="background1"/>
                <w:sz w:val="16"/>
                <w:szCs w:val="16"/>
                <w:lang w:val="es-ES_tradnl"/>
              </w:rPr>
            </w:pPr>
            <w:r w:rsidRPr="00612131">
              <w:rPr>
                <w:rFonts w:ascii="ITC Avant Garde" w:hAnsi="ITC Avant Garde"/>
                <w:b/>
                <w:color w:val="FFFFFF" w:themeColor="background1"/>
                <w:sz w:val="16"/>
                <w:szCs w:val="16"/>
                <w:lang w:val="es-ES_tradnl"/>
              </w:rPr>
              <w:t>Análisis de datos de composición de precios de planes y pa</w:t>
            </w:r>
            <w:r w:rsidR="00B93087">
              <w:rPr>
                <w:rFonts w:ascii="ITC Avant Garde" w:hAnsi="ITC Avant Garde"/>
                <w:b/>
                <w:color w:val="FFFFFF" w:themeColor="background1"/>
                <w:sz w:val="16"/>
                <w:szCs w:val="16"/>
                <w:lang w:val="es-ES_tradnl"/>
              </w:rPr>
              <w:t>quetes proporcionados por Telmex y Telnor</w:t>
            </w:r>
          </w:p>
        </w:tc>
        <w:tc>
          <w:tcPr>
            <w:tcW w:w="4417" w:type="dxa"/>
            <w:shd w:val="clear" w:color="auto" w:fill="000000" w:themeFill="text1"/>
            <w:vAlign w:val="center"/>
          </w:tcPr>
          <w:p w14:paraId="6096B48D" w14:textId="77777777" w:rsidR="00DE64CD" w:rsidRPr="00612131" w:rsidRDefault="00DE64CD" w:rsidP="00A4557C">
            <w:pPr>
              <w:pStyle w:val="Tableheading"/>
              <w:spacing w:before="0" w:after="0"/>
              <w:rPr>
                <w:rFonts w:ascii="ITC Avant Garde" w:hAnsi="ITC Avant Garde"/>
                <w:b/>
                <w:color w:val="FFFFFF" w:themeColor="background1"/>
                <w:sz w:val="16"/>
                <w:szCs w:val="16"/>
                <w:lang w:val="es-ES_tradnl"/>
              </w:rPr>
            </w:pPr>
            <w:r w:rsidRPr="00612131">
              <w:rPr>
                <w:rFonts w:ascii="ITC Avant Garde" w:hAnsi="ITC Avant Garde"/>
                <w:b/>
                <w:color w:val="FFFFFF" w:themeColor="background1"/>
                <w:sz w:val="16"/>
                <w:szCs w:val="16"/>
                <w:lang w:val="es-ES_tradnl"/>
              </w:rPr>
              <w:t xml:space="preserve">Consideraciones metodológicas </w:t>
            </w:r>
          </w:p>
        </w:tc>
      </w:tr>
      <w:tr w:rsidR="00DE64CD" w:rsidRPr="0032603F" w14:paraId="409967FC" w14:textId="77777777" w:rsidTr="00A4557C">
        <w:trPr>
          <w:trHeight w:val="113"/>
        </w:trPr>
        <w:tc>
          <w:tcPr>
            <w:tcW w:w="9515" w:type="dxa"/>
            <w:gridSpan w:val="3"/>
            <w:shd w:val="clear" w:color="auto" w:fill="E7E6E6" w:themeFill="background2"/>
          </w:tcPr>
          <w:p w14:paraId="678A52DA" w14:textId="77777777" w:rsidR="00DE64CD" w:rsidRPr="001B0180" w:rsidRDefault="00DE64CD" w:rsidP="00A4557C">
            <w:pPr>
              <w:pStyle w:val="Tablecells"/>
              <w:spacing w:before="0" w:after="0"/>
              <w:jc w:val="both"/>
              <w:rPr>
                <w:rFonts w:ascii="ITC Avant Garde" w:hAnsi="ITC Avant Garde"/>
                <w:b/>
                <w:sz w:val="16"/>
                <w:szCs w:val="16"/>
                <w:lang w:val="es-ES_tradnl"/>
              </w:rPr>
            </w:pPr>
            <w:r w:rsidRPr="001B0180">
              <w:rPr>
                <w:rFonts w:ascii="ITC Avant Garde" w:hAnsi="ITC Avant Garde"/>
                <w:b/>
                <w:sz w:val="16"/>
                <w:szCs w:val="16"/>
                <w:lang w:val="es-ES_tradnl"/>
              </w:rPr>
              <w:t xml:space="preserve">Renta de línea </w:t>
            </w:r>
          </w:p>
        </w:tc>
      </w:tr>
      <w:tr w:rsidR="00DE64CD" w:rsidRPr="0032603F" w14:paraId="6E801229" w14:textId="77777777" w:rsidTr="00A4557C">
        <w:trPr>
          <w:trHeight w:val="340"/>
        </w:trPr>
        <w:tc>
          <w:tcPr>
            <w:tcW w:w="1980" w:type="dxa"/>
          </w:tcPr>
          <w:p w14:paraId="583712E0" w14:textId="77777777" w:rsidR="00DE64CD" w:rsidRPr="001B0180" w:rsidRDefault="00DE64CD" w:rsidP="00A4557C">
            <w:pPr>
              <w:pStyle w:val="Tablecells"/>
              <w:spacing w:before="0" w:after="0"/>
              <w:jc w:val="both"/>
              <w:rPr>
                <w:rFonts w:ascii="ITC Avant Garde" w:hAnsi="ITC Avant Garde"/>
                <w:i/>
                <w:sz w:val="16"/>
                <w:szCs w:val="16"/>
                <w:lang w:val="es-ES_tradnl"/>
              </w:rPr>
            </w:pPr>
            <w:r w:rsidRPr="001B0180">
              <w:rPr>
                <w:rFonts w:ascii="ITC Avant Garde" w:hAnsi="ITC Avant Garde"/>
                <w:i/>
                <w:sz w:val="16"/>
                <w:szCs w:val="16"/>
                <w:lang w:val="es-ES_tradnl"/>
              </w:rPr>
              <w:t>Asociado a planes y paquetes residenciales</w:t>
            </w:r>
          </w:p>
        </w:tc>
        <w:tc>
          <w:tcPr>
            <w:tcW w:w="3118" w:type="dxa"/>
          </w:tcPr>
          <w:p w14:paraId="53DBFD88" w14:textId="77777777" w:rsidR="00DE64CD" w:rsidRPr="001B0180" w:rsidRDefault="00DE64CD" w:rsidP="00A4557C">
            <w:pPr>
              <w:pStyle w:val="Tablecells"/>
              <w:spacing w:before="0" w:after="0"/>
              <w:jc w:val="both"/>
              <w:rPr>
                <w:rFonts w:ascii="ITC Avant Garde" w:hAnsi="ITC Avant Garde"/>
                <w:sz w:val="16"/>
                <w:szCs w:val="16"/>
                <w:lang w:val="es-ES_tradnl"/>
              </w:rPr>
            </w:pPr>
            <w:r w:rsidRPr="001B0180">
              <w:rPr>
                <w:rFonts w:ascii="ITC Avant Garde" w:hAnsi="ITC Avant Garde"/>
                <w:sz w:val="16"/>
                <w:szCs w:val="16"/>
                <w:lang w:val="es-ES_tradnl"/>
              </w:rPr>
              <w:t>Se reportó el valor de la renta mensual de la “Línea residencial”, dentro del cual se incluyen</w:t>
            </w:r>
            <w:r w:rsidRPr="001B0180">
              <w:rPr>
                <w:rStyle w:val="Refdenotaalpie"/>
                <w:rFonts w:ascii="ITC Avant Garde" w:hAnsi="ITC Avant Garde"/>
                <w:sz w:val="16"/>
                <w:szCs w:val="16"/>
                <w:lang w:val="es-ES_tradnl"/>
              </w:rPr>
              <w:footnoteReference w:id="16"/>
            </w:r>
            <w:r w:rsidRPr="001B0180">
              <w:rPr>
                <w:rFonts w:ascii="ITC Avant Garde" w:hAnsi="ITC Avant Garde"/>
                <w:sz w:val="16"/>
                <w:szCs w:val="16"/>
                <w:lang w:val="es-ES_tradnl"/>
              </w:rPr>
              <w:t>:</w:t>
            </w:r>
          </w:p>
          <w:p w14:paraId="399A224C" w14:textId="77777777" w:rsidR="00DE64CD" w:rsidRPr="001B0180" w:rsidRDefault="00DE64CD" w:rsidP="00A4557C">
            <w:pPr>
              <w:pStyle w:val="Tablecells"/>
              <w:numPr>
                <w:ilvl w:val="0"/>
                <w:numId w:val="15"/>
              </w:numPr>
              <w:spacing w:before="0" w:after="0"/>
              <w:jc w:val="both"/>
              <w:rPr>
                <w:rFonts w:ascii="ITC Avant Garde" w:hAnsi="ITC Avant Garde"/>
                <w:sz w:val="16"/>
                <w:szCs w:val="16"/>
                <w:lang w:val="es-ES_tradnl"/>
              </w:rPr>
            </w:pPr>
            <w:r w:rsidRPr="001B0180">
              <w:rPr>
                <w:rFonts w:ascii="ITC Avant Garde" w:hAnsi="ITC Avant Garde"/>
                <w:sz w:val="16"/>
                <w:szCs w:val="16"/>
                <w:lang w:val="es-ES_tradnl"/>
              </w:rPr>
              <w:t>Realizar hasta 100 llamadas locales libres de cargo.</w:t>
            </w:r>
          </w:p>
          <w:p w14:paraId="692299EB" w14:textId="77777777" w:rsidR="00DE64CD" w:rsidRPr="001B0180" w:rsidRDefault="00DE64CD" w:rsidP="00A4557C">
            <w:pPr>
              <w:pStyle w:val="Tablecells"/>
              <w:numPr>
                <w:ilvl w:val="0"/>
                <w:numId w:val="15"/>
              </w:numPr>
              <w:spacing w:before="0" w:after="0"/>
              <w:jc w:val="both"/>
              <w:rPr>
                <w:rFonts w:ascii="ITC Avant Garde" w:hAnsi="ITC Avant Garde"/>
                <w:sz w:val="16"/>
                <w:szCs w:val="16"/>
                <w:lang w:val="es-ES_tradnl"/>
              </w:rPr>
            </w:pPr>
            <w:r w:rsidRPr="001B0180">
              <w:rPr>
                <w:rFonts w:ascii="ITC Avant Garde" w:hAnsi="ITC Avant Garde"/>
                <w:sz w:val="16"/>
                <w:szCs w:val="16"/>
                <w:lang w:val="es-ES_tradnl"/>
              </w:rPr>
              <w:t>Algunos servicios digitales, por un periodo de tiempo.</w:t>
            </w:r>
          </w:p>
          <w:p w14:paraId="6F77C42E" w14:textId="77777777" w:rsidR="00DE64CD" w:rsidRPr="001B0180" w:rsidRDefault="00DE64CD" w:rsidP="00A4557C">
            <w:pPr>
              <w:pStyle w:val="Tablecells"/>
              <w:spacing w:before="0" w:after="0"/>
              <w:ind w:left="720"/>
              <w:jc w:val="both"/>
              <w:rPr>
                <w:rFonts w:ascii="ITC Avant Garde" w:hAnsi="ITC Avant Garde"/>
                <w:sz w:val="16"/>
                <w:szCs w:val="16"/>
                <w:lang w:val="es-ES_tradnl"/>
              </w:rPr>
            </w:pPr>
          </w:p>
        </w:tc>
        <w:tc>
          <w:tcPr>
            <w:tcW w:w="4417" w:type="dxa"/>
          </w:tcPr>
          <w:p w14:paraId="60AE038F" w14:textId="73853556" w:rsidR="00DE64CD" w:rsidRPr="0060771D" w:rsidRDefault="00F007BE" w:rsidP="00A4557C">
            <w:pPr>
              <w:pStyle w:val="Tablecells"/>
              <w:spacing w:before="0" w:after="0"/>
              <w:jc w:val="both"/>
              <w:rPr>
                <w:rFonts w:ascii="ITC Avant Garde" w:hAnsi="ITC Avant Garde"/>
                <w:b/>
                <w:sz w:val="16"/>
                <w:szCs w:val="16"/>
                <w:lang w:val="es-ES_tradnl"/>
              </w:rPr>
            </w:pPr>
            <w:r w:rsidRPr="0060771D">
              <w:rPr>
                <w:rFonts w:ascii="ITC Avant Garde" w:hAnsi="ITC Avant Garde"/>
                <w:b/>
                <w:sz w:val="16"/>
                <w:szCs w:val="16"/>
                <w:lang w:val="es-ES_tradnl"/>
              </w:rPr>
              <w:t>En el Modelo d</w:t>
            </w:r>
            <w:r w:rsidR="007F4989">
              <w:rPr>
                <w:rFonts w:ascii="ITC Avant Garde" w:hAnsi="ITC Avant Garde"/>
                <w:b/>
                <w:sz w:val="16"/>
                <w:szCs w:val="16"/>
                <w:lang w:val="es-ES_tradnl"/>
              </w:rPr>
              <w:t>e Costos Evitados</w:t>
            </w:r>
            <w:r w:rsidRPr="0060771D">
              <w:rPr>
                <w:rFonts w:ascii="ITC Avant Garde" w:hAnsi="ITC Avant Garde"/>
                <w:b/>
                <w:sz w:val="16"/>
                <w:szCs w:val="16"/>
                <w:lang w:val="es-ES_tradnl"/>
              </w:rPr>
              <w:t xml:space="preserve"> ya no </w:t>
            </w:r>
            <w:r w:rsidR="00DE64CD" w:rsidRPr="0060771D">
              <w:rPr>
                <w:rFonts w:ascii="ITC Avant Garde" w:hAnsi="ITC Avant Garde"/>
                <w:b/>
                <w:sz w:val="16"/>
                <w:szCs w:val="16"/>
                <w:lang w:val="es-ES_tradnl"/>
              </w:rPr>
              <w:t>se asume que el precio de este servicio s</w:t>
            </w:r>
            <w:r w:rsidRPr="0060771D">
              <w:rPr>
                <w:rFonts w:ascii="ITC Avant Garde" w:hAnsi="ITC Avant Garde"/>
                <w:b/>
                <w:sz w:val="16"/>
                <w:szCs w:val="16"/>
                <w:lang w:val="es-ES_tradnl"/>
              </w:rPr>
              <w:t>ea</w:t>
            </w:r>
            <w:r w:rsidR="00DE64CD" w:rsidRPr="0060771D">
              <w:rPr>
                <w:rFonts w:ascii="ITC Avant Garde" w:hAnsi="ITC Avant Garde"/>
                <w:b/>
                <w:sz w:val="16"/>
                <w:szCs w:val="16"/>
                <w:lang w:val="es-ES_tradnl"/>
              </w:rPr>
              <w:t xml:space="preserve"> una porción de la renta mensual de la “Línea residencial”.</w:t>
            </w:r>
          </w:p>
          <w:p w14:paraId="2B22BB81" w14:textId="367C4444" w:rsidR="00DE64CD" w:rsidRPr="001B0180" w:rsidRDefault="00F007BE" w:rsidP="00A4557C">
            <w:pPr>
              <w:pStyle w:val="Tablecells"/>
              <w:spacing w:before="0" w:after="0"/>
              <w:jc w:val="both"/>
              <w:rPr>
                <w:rFonts w:ascii="ITC Avant Garde" w:hAnsi="ITC Avant Garde"/>
                <w:sz w:val="16"/>
                <w:szCs w:val="16"/>
                <w:lang w:val="es-ES_tradnl"/>
              </w:rPr>
            </w:pPr>
            <w:r>
              <w:rPr>
                <w:rFonts w:ascii="ITC Avant Garde" w:hAnsi="ITC Avant Garde"/>
                <w:sz w:val="16"/>
                <w:szCs w:val="16"/>
                <w:lang w:val="es-ES_tradnl"/>
              </w:rPr>
              <w:t xml:space="preserve">En cambio, </w:t>
            </w:r>
            <w:r w:rsidR="00DE64CD" w:rsidRPr="001B0180">
              <w:rPr>
                <w:rFonts w:ascii="ITC Avant Garde" w:hAnsi="ITC Avant Garde"/>
                <w:sz w:val="16"/>
                <w:szCs w:val="16"/>
                <w:lang w:val="es-ES_tradnl"/>
              </w:rPr>
              <w:t xml:space="preserve">dicho valor se descompone en los precios </w:t>
            </w:r>
            <w:r>
              <w:rPr>
                <w:rFonts w:ascii="ITC Avant Garde" w:hAnsi="ITC Avant Garde"/>
                <w:sz w:val="16"/>
                <w:szCs w:val="16"/>
                <w:lang w:val="es-ES_tradnl"/>
              </w:rPr>
              <w:t xml:space="preserve">implícitos </w:t>
            </w:r>
            <w:r w:rsidR="00DE64CD" w:rsidRPr="001B0180">
              <w:rPr>
                <w:rFonts w:ascii="ITC Avant Garde" w:hAnsi="ITC Avant Garde"/>
                <w:sz w:val="16"/>
                <w:szCs w:val="16"/>
                <w:lang w:val="es-ES_tradnl"/>
              </w:rPr>
              <w:t>del 1) acceso a la línea telefónica de uso residencial, 2) el precio implícito de las llamadas lo</w:t>
            </w:r>
            <w:r w:rsidR="00DE64CD">
              <w:rPr>
                <w:rFonts w:ascii="ITC Avant Garde" w:hAnsi="ITC Avant Garde"/>
                <w:sz w:val="16"/>
                <w:szCs w:val="16"/>
                <w:lang w:val="es-ES_tradnl"/>
              </w:rPr>
              <w:t>cales asociadas a la renta de “l</w:t>
            </w:r>
            <w:r w:rsidR="00DE64CD" w:rsidRPr="001B0180">
              <w:rPr>
                <w:rFonts w:ascii="ITC Avant Garde" w:hAnsi="ITC Avant Garde"/>
                <w:sz w:val="16"/>
                <w:szCs w:val="16"/>
                <w:lang w:val="es-ES_tradnl"/>
              </w:rPr>
              <w:t xml:space="preserve">ínea residencial” y 3) los servicios digitales </w:t>
            </w:r>
            <w:r w:rsidR="00DE64CD">
              <w:rPr>
                <w:rFonts w:ascii="ITC Avant Garde" w:hAnsi="ITC Avant Garde"/>
                <w:sz w:val="16"/>
                <w:szCs w:val="16"/>
                <w:lang w:val="es-ES_tradnl"/>
              </w:rPr>
              <w:t>relativos</w:t>
            </w:r>
            <w:r w:rsidR="00DE64CD" w:rsidRPr="001B0180">
              <w:rPr>
                <w:rFonts w:ascii="ITC Avant Garde" w:hAnsi="ITC Avant Garde"/>
                <w:sz w:val="16"/>
                <w:szCs w:val="16"/>
                <w:lang w:val="es-ES_tradnl"/>
              </w:rPr>
              <w:t xml:space="preserve"> a la renta de “línea residencial”.</w:t>
            </w:r>
          </w:p>
        </w:tc>
      </w:tr>
      <w:tr w:rsidR="00DE64CD" w:rsidRPr="0032603F" w14:paraId="569E6BD3" w14:textId="77777777" w:rsidTr="00A4557C">
        <w:trPr>
          <w:trHeight w:val="1000"/>
        </w:trPr>
        <w:tc>
          <w:tcPr>
            <w:tcW w:w="1980" w:type="dxa"/>
            <w:vAlign w:val="center"/>
          </w:tcPr>
          <w:p w14:paraId="4245A7FB" w14:textId="77777777" w:rsidR="00DE64CD" w:rsidRPr="001B0180" w:rsidRDefault="00DE64CD" w:rsidP="00A4557C">
            <w:pPr>
              <w:pStyle w:val="Tablecells"/>
              <w:spacing w:before="0" w:after="0"/>
              <w:rPr>
                <w:rFonts w:ascii="ITC Avant Garde" w:hAnsi="ITC Avant Garde"/>
                <w:i/>
                <w:sz w:val="16"/>
                <w:szCs w:val="16"/>
                <w:lang w:val="es-ES_tradnl"/>
              </w:rPr>
            </w:pPr>
            <w:r w:rsidRPr="001B0180">
              <w:rPr>
                <w:rFonts w:ascii="ITC Avant Garde" w:hAnsi="ITC Avant Garde"/>
                <w:i/>
                <w:sz w:val="16"/>
                <w:szCs w:val="16"/>
                <w:lang w:val="es-ES_tradnl"/>
              </w:rPr>
              <w:lastRenderedPageBreak/>
              <w:t xml:space="preserve">Correspondiente a planes y paquetes </w:t>
            </w:r>
            <w:r>
              <w:rPr>
                <w:rFonts w:ascii="ITC Avant Garde" w:hAnsi="ITC Avant Garde"/>
                <w:i/>
                <w:sz w:val="16"/>
                <w:szCs w:val="16"/>
                <w:lang w:val="es-ES_tradnl"/>
              </w:rPr>
              <w:t>comerciales</w:t>
            </w:r>
          </w:p>
        </w:tc>
        <w:tc>
          <w:tcPr>
            <w:tcW w:w="3118" w:type="dxa"/>
            <w:vAlign w:val="center"/>
          </w:tcPr>
          <w:p w14:paraId="054A100B" w14:textId="77777777" w:rsidR="00DE64CD" w:rsidRPr="001B0180" w:rsidRDefault="00DE64CD" w:rsidP="00A4557C">
            <w:pPr>
              <w:pStyle w:val="Tablecells"/>
              <w:spacing w:before="0" w:after="0"/>
              <w:jc w:val="both"/>
              <w:rPr>
                <w:rFonts w:ascii="ITC Avant Garde" w:hAnsi="ITC Avant Garde"/>
                <w:sz w:val="16"/>
                <w:szCs w:val="16"/>
                <w:lang w:val="es-ES_tradnl"/>
              </w:rPr>
            </w:pPr>
            <w:r w:rsidRPr="001B0180">
              <w:rPr>
                <w:rFonts w:ascii="ITC Avant Garde" w:hAnsi="ITC Avant Garde"/>
                <w:sz w:val="16"/>
                <w:szCs w:val="16"/>
                <w:lang w:val="es-ES_tradnl"/>
              </w:rPr>
              <w:t>Reportó el valor de la renta mensual de la “Línea comercial”, el cual no incluye servicios de voz ni servicios digitales.</w:t>
            </w:r>
          </w:p>
        </w:tc>
        <w:tc>
          <w:tcPr>
            <w:tcW w:w="4417" w:type="dxa"/>
            <w:vAlign w:val="center"/>
          </w:tcPr>
          <w:p w14:paraId="055630E5" w14:textId="5C5ECE0F" w:rsidR="00DE64CD" w:rsidRPr="001B0180" w:rsidRDefault="00DE64CD" w:rsidP="00A4557C">
            <w:pPr>
              <w:pStyle w:val="Tablecells"/>
              <w:spacing w:before="0" w:after="0"/>
              <w:jc w:val="both"/>
              <w:rPr>
                <w:rFonts w:ascii="ITC Avant Garde" w:hAnsi="ITC Avant Garde"/>
                <w:sz w:val="16"/>
                <w:szCs w:val="16"/>
                <w:lang w:val="es-ES_tradnl"/>
              </w:rPr>
            </w:pPr>
            <w:r w:rsidRPr="001B0180">
              <w:rPr>
                <w:rFonts w:ascii="ITC Avant Garde" w:hAnsi="ITC Avant Garde"/>
                <w:sz w:val="16"/>
                <w:szCs w:val="16"/>
                <w:lang w:val="es-ES_tradnl"/>
              </w:rPr>
              <w:t xml:space="preserve">Se asume que dicho valor representa el precio </w:t>
            </w:r>
            <w:r w:rsidR="00F007BE">
              <w:rPr>
                <w:rFonts w:ascii="ITC Avant Garde" w:hAnsi="ITC Avant Garde"/>
                <w:sz w:val="16"/>
                <w:szCs w:val="16"/>
                <w:lang w:val="es-ES_tradnl"/>
              </w:rPr>
              <w:t xml:space="preserve">implícito </w:t>
            </w:r>
            <w:r w:rsidRPr="001B0180">
              <w:rPr>
                <w:rFonts w:ascii="ITC Avant Garde" w:hAnsi="ITC Avant Garde"/>
                <w:sz w:val="16"/>
                <w:szCs w:val="16"/>
                <w:lang w:val="es-ES_tradnl"/>
              </w:rPr>
              <w:t>del acceso a la línea telefónica de uso no residencial.</w:t>
            </w:r>
          </w:p>
        </w:tc>
      </w:tr>
      <w:tr w:rsidR="00DE64CD" w:rsidRPr="0032603F" w14:paraId="62809709" w14:textId="77777777" w:rsidTr="00A4557C">
        <w:trPr>
          <w:trHeight w:val="170"/>
        </w:trPr>
        <w:tc>
          <w:tcPr>
            <w:tcW w:w="9515" w:type="dxa"/>
            <w:gridSpan w:val="3"/>
            <w:shd w:val="clear" w:color="auto" w:fill="E7E6E6" w:themeFill="background2"/>
          </w:tcPr>
          <w:p w14:paraId="169B650E" w14:textId="77777777" w:rsidR="00DE64CD" w:rsidRPr="001B0180" w:rsidRDefault="00DE64CD" w:rsidP="00A4557C">
            <w:pPr>
              <w:pStyle w:val="Tablecells"/>
              <w:spacing w:before="0" w:after="0"/>
              <w:jc w:val="both"/>
              <w:rPr>
                <w:rFonts w:ascii="ITC Avant Garde" w:hAnsi="ITC Avant Garde"/>
                <w:b/>
                <w:sz w:val="16"/>
                <w:szCs w:val="16"/>
                <w:lang w:val="es-ES_tradnl"/>
              </w:rPr>
            </w:pPr>
            <w:r w:rsidRPr="001B0180">
              <w:rPr>
                <w:rFonts w:ascii="ITC Avant Garde" w:hAnsi="ITC Avant Garde"/>
                <w:b/>
                <w:sz w:val="16"/>
                <w:szCs w:val="16"/>
                <w:lang w:val="es-ES_tradnl"/>
              </w:rPr>
              <w:t>Servicios de voz</w:t>
            </w:r>
          </w:p>
        </w:tc>
      </w:tr>
      <w:tr w:rsidR="00DE64CD" w:rsidRPr="0032603F" w14:paraId="0560AAAB" w14:textId="77777777" w:rsidTr="00A4557C">
        <w:trPr>
          <w:trHeight w:val="340"/>
        </w:trPr>
        <w:tc>
          <w:tcPr>
            <w:tcW w:w="1980" w:type="dxa"/>
            <w:vAlign w:val="center"/>
          </w:tcPr>
          <w:p w14:paraId="7A2F2303" w14:textId="77777777" w:rsidR="00DE64CD" w:rsidRPr="001B0180" w:rsidRDefault="00DE64CD" w:rsidP="00A4557C">
            <w:pPr>
              <w:pStyle w:val="Tablecells"/>
              <w:spacing w:before="0" w:after="0"/>
              <w:jc w:val="both"/>
              <w:rPr>
                <w:rFonts w:ascii="ITC Avant Garde" w:hAnsi="ITC Avant Garde"/>
                <w:i/>
                <w:sz w:val="16"/>
                <w:szCs w:val="16"/>
                <w:lang w:val="es-ES_tradnl"/>
              </w:rPr>
            </w:pPr>
            <w:r w:rsidRPr="001B0180">
              <w:rPr>
                <w:rFonts w:ascii="ITC Avant Garde" w:hAnsi="ITC Avant Garde"/>
                <w:i/>
                <w:sz w:val="16"/>
                <w:szCs w:val="16"/>
                <w:lang w:val="es-ES_tradnl"/>
              </w:rPr>
              <w:t>Números telefónicos fijos locales</w:t>
            </w:r>
          </w:p>
        </w:tc>
        <w:tc>
          <w:tcPr>
            <w:tcW w:w="3118" w:type="dxa"/>
            <w:vMerge w:val="restart"/>
            <w:vAlign w:val="center"/>
          </w:tcPr>
          <w:p w14:paraId="7D5F15C2" w14:textId="77777777" w:rsidR="00DE64CD" w:rsidRPr="001B0180" w:rsidRDefault="00DE64CD" w:rsidP="00A4557C">
            <w:pPr>
              <w:pStyle w:val="Tablecells"/>
              <w:spacing w:before="0" w:after="0"/>
              <w:jc w:val="both"/>
              <w:rPr>
                <w:rFonts w:ascii="ITC Avant Garde" w:hAnsi="ITC Avant Garde"/>
                <w:sz w:val="16"/>
                <w:szCs w:val="16"/>
                <w:lang w:val="es-ES_tradnl"/>
              </w:rPr>
            </w:pPr>
            <w:r w:rsidRPr="001B0180">
              <w:rPr>
                <w:rFonts w:ascii="ITC Avant Garde" w:hAnsi="ITC Avant Garde"/>
                <w:sz w:val="16"/>
                <w:szCs w:val="16"/>
                <w:lang w:val="es-ES_tradnl"/>
              </w:rPr>
              <w:t>Estos datos fueron aportados, en general, para los planes y paquetes en cuestión.</w:t>
            </w:r>
          </w:p>
        </w:tc>
        <w:tc>
          <w:tcPr>
            <w:tcW w:w="4417" w:type="dxa"/>
          </w:tcPr>
          <w:p w14:paraId="43D2B46E" w14:textId="7CCFD4C2" w:rsidR="00DE64CD" w:rsidRPr="001B0180" w:rsidRDefault="00DE64CD" w:rsidP="00A4557C">
            <w:pPr>
              <w:pStyle w:val="Tablecells"/>
              <w:spacing w:before="0" w:after="0"/>
              <w:jc w:val="both"/>
              <w:rPr>
                <w:rFonts w:ascii="ITC Avant Garde" w:hAnsi="ITC Avant Garde"/>
                <w:sz w:val="16"/>
                <w:szCs w:val="16"/>
                <w:lang w:val="es-ES_tradnl"/>
              </w:rPr>
            </w:pPr>
            <w:r w:rsidRPr="001B0180">
              <w:rPr>
                <w:rFonts w:ascii="ITC Avant Garde" w:hAnsi="ITC Avant Garde"/>
                <w:sz w:val="16"/>
                <w:szCs w:val="16"/>
                <w:lang w:val="es-ES_tradnl"/>
              </w:rPr>
              <w:t>Se considera que el precio implícito de este servicio prov</w:t>
            </w:r>
            <w:r>
              <w:rPr>
                <w:rFonts w:ascii="ITC Avant Garde" w:hAnsi="ITC Avant Garde"/>
                <w:sz w:val="16"/>
                <w:szCs w:val="16"/>
                <w:lang w:val="es-ES_tradnl"/>
              </w:rPr>
              <w:t xml:space="preserve">iene los datos por </w:t>
            </w:r>
            <w:r w:rsidR="0075088E">
              <w:rPr>
                <w:rFonts w:ascii="ITC Avant Garde" w:hAnsi="ITC Avant Garde"/>
                <w:sz w:val="16"/>
                <w:szCs w:val="16"/>
                <w:lang w:val="es-ES_tradnl"/>
              </w:rPr>
              <w:t>Telmex y Telnor</w:t>
            </w:r>
            <w:r>
              <w:rPr>
                <w:rFonts w:ascii="ITC Avant Garde" w:hAnsi="ITC Avant Garde"/>
                <w:sz w:val="16"/>
                <w:szCs w:val="16"/>
                <w:lang w:val="es-ES_tradnl"/>
              </w:rPr>
              <w:t xml:space="preserve"> sobre este apartado, </w:t>
            </w:r>
            <w:r w:rsidRPr="001B0180">
              <w:rPr>
                <w:rFonts w:ascii="ITC Avant Garde" w:hAnsi="ITC Avant Garde"/>
                <w:sz w:val="16"/>
                <w:szCs w:val="16"/>
                <w:lang w:val="es-ES_tradnl"/>
              </w:rPr>
              <w:t xml:space="preserve">y </w:t>
            </w:r>
            <w:r>
              <w:rPr>
                <w:rFonts w:ascii="ITC Avant Garde" w:hAnsi="ITC Avant Garde"/>
                <w:sz w:val="16"/>
                <w:szCs w:val="16"/>
                <w:lang w:val="es-ES_tradnl"/>
              </w:rPr>
              <w:t>también d</w:t>
            </w:r>
            <w:r w:rsidRPr="001B0180">
              <w:rPr>
                <w:rFonts w:ascii="ITC Avant Garde" w:hAnsi="ITC Avant Garde"/>
                <w:sz w:val="16"/>
                <w:szCs w:val="16"/>
                <w:lang w:val="es-ES_tradnl"/>
              </w:rPr>
              <w:t>el valor de las llamadas locales asociadas a la renta de “línea residencial”.</w:t>
            </w:r>
          </w:p>
        </w:tc>
      </w:tr>
      <w:tr w:rsidR="00DE64CD" w:rsidRPr="0032603F" w14:paraId="0C438987" w14:textId="77777777" w:rsidTr="00A4557C">
        <w:trPr>
          <w:trHeight w:val="340"/>
        </w:trPr>
        <w:tc>
          <w:tcPr>
            <w:tcW w:w="1980" w:type="dxa"/>
          </w:tcPr>
          <w:p w14:paraId="68801944" w14:textId="77777777" w:rsidR="00DE64CD" w:rsidRPr="001B0180" w:rsidRDefault="00DE64CD" w:rsidP="00A4557C">
            <w:pPr>
              <w:pStyle w:val="Tablecells"/>
              <w:spacing w:before="0" w:after="0"/>
              <w:jc w:val="both"/>
              <w:rPr>
                <w:rFonts w:ascii="ITC Avant Garde" w:hAnsi="ITC Avant Garde"/>
                <w:i/>
                <w:sz w:val="16"/>
                <w:szCs w:val="16"/>
                <w:lang w:val="es-ES_tradnl"/>
              </w:rPr>
            </w:pPr>
            <w:r w:rsidRPr="001B0180">
              <w:rPr>
                <w:rFonts w:ascii="ITC Avant Garde" w:hAnsi="ITC Avant Garde"/>
                <w:i/>
                <w:sz w:val="16"/>
                <w:szCs w:val="16"/>
                <w:lang w:val="es-ES_tradnl"/>
              </w:rPr>
              <w:t>Números celulares</w:t>
            </w:r>
          </w:p>
        </w:tc>
        <w:tc>
          <w:tcPr>
            <w:tcW w:w="3118" w:type="dxa"/>
            <w:vMerge/>
          </w:tcPr>
          <w:p w14:paraId="155639EB" w14:textId="77777777" w:rsidR="00DE64CD" w:rsidRPr="001B0180" w:rsidRDefault="00DE64CD" w:rsidP="00A4557C">
            <w:pPr>
              <w:pStyle w:val="Tablecells"/>
              <w:spacing w:before="0" w:after="0"/>
              <w:jc w:val="both"/>
              <w:rPr>
                <w:rFonts w:ascii="ITC Avant Garde" w:hAnsi="ITC Avant Garde"/>
                <w:sz w:val="16"/>
                <w:szCs w:val="16"/>
                <w:lang w:val="es-ES_tradnl"/>
              </w:rPr>
            </w:pPr>
          </w:p>
        </w:tc>
        <w:tc>
          <w:tcPr>
            <w:tcW w:w="4417" w:type="dxa"/>
            <w:vMerge w:val="restart"/>
            <w:vAlign w:val="center"/>
          </w:tcPr>
          <w:p w14:paraId="27F8BBA6" w14:textId="77777777" w:rsidR="00DE64CD" w:rsidRPr="001B0180" w:rsidRDefault="00DE64CD" w:rsidP="00A4557C">
            <w:pPr>
              <w:pStyle w:val="Tablecells"/>
              <w:spacing w:before="0" w:after="0"/>
              <w:jc w:val="both"/>
              <w:rPr>
                <w:rFonts w:ascii="ITC Avant Garde" w:hAnsi="ITC Avant Garde"/>
                <w:sz w:val="16"/>
                <w:szCs w:val="16"/>
                <w:lang w:val="es-ES_tradnl"/>
              </w:rPr>
            </w:pPr>
            <w:r w:rsidRPr="001B0180">
              <w:rPr>
                <w:rFonts w:ascii="ITC Avant Garde" w:hAnsi="ITC Avant Garde"/>
                <w:sz w:val="16"/>
                <w:szCs w:val="16"/>
                <w:lang w:val="es-ES_tradnl"/>
              </w:rPr>
              <w:t>Considerados para representar el precio implícito de estos servicios.</w:t>
            </w:r>
          </w:p>
        </w:tc>
      </w:tr>
      <w:tr w:rsidR="00DE64CD" w:rsidRPr="0032603F" w14:paraId="1E9C4331" w14:textId="77777777" w:rsidTr="00A4557C">
        <w:trPr>
          <w:trHeight w:val="340"/>
        </w:trPr>
        <w:tc>
          <w:tcPr>
            <w:tcW w:w="1980" w:type="dxa"/>
          </w:tcPr>
          <w:p w14:paraId="15FFB8B1" w14:textId="77777777" w:rsidR="00DE64CD" w:rsidRPr="001B0180" w:rsidRDefault="00DE64CD" w:rsidP="00A4557C">
            <w:pPr>
              <w:pStyle w:val="Tablecells"/>
              <w:spacing w:before="0" w:after="0"/>
              <w:jc w:val="both"/>
              <w:rPr>
                <w:rFonts w:ascii="ITC Avant Garde" w:hAnsi="ITC Avant Garde"/>
                <w:i/>
                <w:sz w:val="16"/>
                <w:szCs w:val="16"/>
                <w:lang w:val="es-ES_tradnl"/>
              </w:rPr>
            </w:pPr>
            <w:r w:rsidRPr="001B0180">
              <w:rPr>
                <w:rFonts w:ascii="ITC Avant Garde" w:hAnsi="ITC Avant Garde"/>
                <w:i/>
                <w:sz w:val="16"/>
                <w:szCs w:val="16"/>
                <w:lang w:val="es-ES_tradnl"/>
              </w:rPr>
              <w:t>Números de “Larga Distancia Internacional”</w:t>
            </w:r>
          </w:p>
        </w:tc>
        <w:tc>
          <w:tcPr>
            <w:tcW w:w="3118" w:type="dxa"/>
            <w:vMerge/>
          </w:tcPr>
          <w:p w14:paraId="0E5D1E11" w14:textId="77777777" w:rsidR="00DE64CD" w:rsidRPr="0032603F" w:rsidRDefault="00DE64CD" w:rsidP="00A4557C">
            <w:pPr>
              <w:pStyle w:val="Tablecells"/>
              <w:spacing w:before="0" w:after="0"/>
              <w:jc w:val="both"/>
              <w:rPr>
                <w:rFonts w:ascii="ITC Avant Garde" w:hAnsi="ITC Avant Garde"/>
                <w:sz w:val="16"/>
                <w:szCs w:val="16"/>
                <w:lang w:val="es-ES_tradnl"/>
              </w:rPr>
            </w:pPr>
          </w:p>
        </w:tc>
        <w:tc>
          <w:tcPr>
            <w:tcW w:w="4417" w:type="dxa"/>
            <w:vMerge/>
          </w:tcPr>
          <w:p w14:paraId="25573BC2" w14:textId="77777777" w:rsidR="00DE64CD" w:rsidRPr="0032603F" w:rsidRDefault="00DE64CD" w:rsidP="00A4557C">
            <w:pPr>
              <w:pStyle w:val="Tablecells"/>
              <w:spacing w:before="0" w:after="0"/>
              <w:jc w:val="both"/>
              <w:rPr>
                <w:rFonts w:ascii="ITC Avant Garde" w:hAnsi="ITC Avant Garde"/>
                <w:sz w:val="16"/>
                <w:szCs w:val="16"/>
                <w:lang w:val="es-ES_tradnl"/>
              </w:rPr>
            </w:pPr>
          </w:p>
        </w:tc>
      </w:tr>
      <w:tr w:rsidR="00DE64CD" w:rsidRPr="0032603F" w14:paraId="5B0C6DE1" w14:textId="77777777" w:rsidTr="00A4557C">
        <w:trPr>
          <w:trHeight w:val="340"/>
        </w:trPr>
        <w:tc>
          <w:tcPr>
            <w:tcW w:w="1980" w:type="dxa"/>
          </w:tcPr>
          <w:p w14:paraId="6BCA6DBD" w14:textId="77777777" w:rsidR="00DE64CD" w:rsidRPr="001B0180" w:rsidRDefault="00DE64CD" w:rsidP="00A4557C">
            <w:pPr>
              <w:pStyle w:val="Tablecells"/>
              <w:spacing w:before="0" w:after="0"/>
              <w:jc w:val="both"/>
              <w:rPr>
                <w:rFonts w:ascii="ITC Avant Garde" w:hAnsi="ITC Avant Garde"/>
                <w:i/>
                <w:sz w:val="16"/>
                <w:szCs w:val="16"/>
                <w:lang w:val="es-ES_tradnl"/>
              </w:rPr>
            </w:pPr>
            <w:r w:rsidRPr="001B0180">
              <w:rPr>
                <w:rFonts w:ascii="ITC Avant Garde" w:hAnsi="ITC Avant Garde"/>
                <w:i/>
                <w:sz w:val="16"/>
                <w:szCs w:val="16"/>
                <w:lang w:val="es-ES_tradnl"/>
              </w:rPr>
              <w:t>Números de “Larga Distancia Mundial”</w:t>
            </w:r>
          </w:p>
        </w:tc>
        <w:tc>
          <w:tcPr>
            <w:tcW w:w="3118" w:type="dxa"/>
            <w:vMerge/>
          </w:tcPr>
          <w:p w14:paraId="4FE0DBAD" w14:textId="77777777" w:rsidR="00DE64CD" w:rsidRPr="0032603F" w:rsidRDefault="00DE64CD" w:rsidP="00A4557C">
            <w:pPr>
              <w:pStyle w:val="Tablecells"/>
              <w:spacing w:before="0" w:after="0"/>
              <w:jc w:val="both"/>
              <w:rPr>
                <w:rFonts w:ascii="ITC Avant Garde" w:hAnsi="ITC Avant Garde"/>
                <w:sz w:val="16"/>
                <w:szCs w:val="16"/>
                <w:lang w:val="es-ES_tradnl"/>
              </w:rPr>
            </w:pPr>
          </w:p>
        </w:tc>
        <w:tc>
          <w:tcPr>
            <w:tcW w:w="4417" w:type="dxa"/>
            <w:vMerge/>
          </w:tcPr>
          <w:p w14:paraId="00586AF8" w14:textId="77777777" w:rsidR="00DE64CD" w:rsidRPr="0032603F" w:rsidRDefault="00DE64CD" w:rsidP="00A4557C">
            <w:pPr>
              <w:pStyle w:val="Tablecells"/>
              <w:spacing w:before="0" w:after="0"/>
              <w:jc w:val="both"/>
              <w:rPr>
                <w:rFonts w:ascii="ITC Avant Garde" w:hAnsi="ITC Avant Garde"/>
                <w:sz w:val="16"/>
                <w:szCs w:val="16"/>
                <w:lang w:val="es-ES_tradnl"/>
              </w:rPr>
            </w:pPr>
          </w:p>
        </w:tc>
      </w:tr>
      <w:tr w:rsidR="00DE64CD" w:rsidRPr="0032603F" w14:paraId="63917002" w14:textId="77777777" w:rsidTr="00A4557C">
        <w:trPr>
          <w:trHeight w:val="227"/>
        </w:trPr>
        <w:tc>
          <w:tcPr>
            <w:tcW w:w="9515" w:type="dxa"/>
            <w:gridSpan w:val="3"/>
            <w:shd w:val="clear" w:color="auto" w:fill="E7E6E6" w:themeFill="background2"/>
          </w:tcPr>
          <w:p w14:paraId="06E03D04" w14:textId="2F97B9D7" w:rsidR="00DE64CD" w:rsidRPr="001B0180" w:rsidRDefault="00DE64CD" w:rsidP="00A4557C">
            <w:pPr>
              <w:pStyle w:val="Tablecells"/>
              <w:spacing w:before="0" w:after="0"/>
              <w:jc w:val="both"/>
              <w:rPr>
                <w:rFonts w:ascii="ITC Avant Garde" w:hAnsi="ITC Avant Garde"/>
                <w:b/>
                <w:sz w:val="16"/>
                <w:szCs w:val="16"/>
                <w:lang w:val="es-ES_tradnl"/>
              </w:rPr>
            </w:pPr>
            <w:r w:rsidRPr="001B0180">
              <w:rPr>
                <w:rFonts w:ascii="ITC Avant Garde" w:hAnsi="ITC Avant Garde"/>
                <w:b/>
                <w:sz w:val="16"/>
                <w:szCs w:val="16"/>
                <w:lang w:val="es-ES_tradnl"/>
              </w:rPr>
              <w:t>Servicios digitales</w:t>
            </w:r>
            <w:r w:rsidR="00F007BE">
              <w:rPr>
                <w:rFonts w:ascii="ITC Avant Garde" w:hAnsi="ITC Avant Garde"/>
                <w:b/>
                <w:sz w:val="16"/>
                <w:szCs w:val="16"/>
                <w:lang w:val="es-ES_tradnl"/>
              </w:rPr>
              <w:t xml:space="preserve"> asociados al servicio de voz</w:t>
            </w:r>
          </w:p>
        </w:tc>
      </w:tr>
      <w:tr w:rsidR="00DE64CD" w:rsidRPr="0032603F" w14:paraId="69A5E1DA" w14:textId="77777777" w:rsidTr="00A4557C">
        <w:trPr>
          <w:trHeight w:val="511"/>
        </w:trPr>
        <w:tc>
          <w:tcPr>
            <w:tcW w:w="1980" w:type="dxa"/>
            <w:vAlign w:val="center"/>
          </w:tcPr>
          <w:p w14:paraId="5D82E759" w14:textId="77777777" w:rsidR="00DE64CD" w:rsidRPr="001B0180" w:rsidRDefault="00DE64CD" w:rsidP="00A4557C">
            <w:pPr>
              <w:pStyle w:val="Tablecells"/>
              <w:spacing w:before="0" w:after="0"/>
              <w:jc w:val="both"/>
              <w:rPr>
                <w:rFonts w:ascii="ITC Avant Garde" w:hAnsi="ITC Avant Garde"/>
                <w:i/>
                <w:sz w:val="16"/>
                <w:szCs w:val="16"/>
                <w:lang w:val="es-ES_tradnl"/>
              </w:rPr>
            </w:pPr>
            <w:r>
              <w:rPr>
                <w:rFonts w:ascii="ITC Avant Garde" w:hAnsi="ITC Avant Garde"/>
                <w:i/>
                <w:sz w:val="16"/>
                <w:szCs w:val="16"/>
                <w:lang w:val="es-ES_tradnl"/>
              </w:rPr>
              <w:t>Corresponden</w:t>
            </w:r>
            <w:r w:rsidRPr="001B0180">
              <w:rPr>
                <w:rFonts w:ascii="ITC Avant Garde" w:hAnsi="ITC Avant Garde"/>
                <w:i/>
                <w:sz w:val="16"/>
                <w:szCs w:val="16"/>
                <w:lang w:val="es-ES_tradnl"/>
              </w:rPr>
              <w:t xml:space="preserve"> a planes y paquetes residenciales</w:t>
            </w:r>
          </w:p>
        </w:tc>
        <w:tc>
          <w:tcPr>
            <w:tcW w:w="3118" w:type="dxa"/>
            <w:vAlign w:val="center"/>
          </w:tcPr>
          <w:p w14:paraId="01F22D62" w14:textId="77777777" w:rsidR="00DE64CD" w:rsidRPr="001B0180" w:rsidRDefault="00DE64CD" w:rsidP="00A4557C">
            <w:pPr>
              <w:pStyle w:val="Tablecells"/>
              <w:spacing w:before="0" w:after="0"/>
              <w:rPr>
                <w:rFonts w:ascii="ITC Avant Garde" w:hAnsi="ITC Avant Garde"/>
                <w:sz w:val="16"/>
                <w:szCs w:val="16"/>
                <w:lang w:val="es-ES_tradnl"/>
              </w:rPr>
            </w:pPr>
            <w:r>
              <w:rPr>
                <w:rFonts w:ascii="ITC Avant Garde" w:hAnsi="ITC Avant Garde"/>
                <w:sz w:val="16"/>
                <w:szCs w:val="16"/>
                <w:lang w:val="es-ES_tradnl"/>
              </w:rPr>
              <w:t>Información no proporcionada</w:t>
            </w:r>
            <w:r w:rsidRPr="001B0180">
              <w:rPr>
                <w:rFonts w:ascii="ITC Avant Garde" w:hAnsi="ITC Avant Garde"/>
                <w:sz w:val="16"/>
                <w:szCs w:val="16"/>
                <w:lang w:val="es-ES_tradnl"/>
              </w:rPr>
              <w:t>.</w:t>
            </w:r>
          </w:p>
        </w:tc>
        <w:tc>
          <w:tcPr>
            <w:tcW w:w="4417" w:type="dxa"/>
            <w:vAlign w:val="center"/>
          </w:tcPr>
          <w:p w14:paraId="42C3B93B" w14:textId="2C88E27C" w:rsidR="00DE64CD" w:rsidRPr="001B0180" w:rsidRDefault="00F007BE" w:rsidP="00E977BF">
            <w:pPr>
              <w:pStyle w:val="Tablecells"/>
              <w:spacing w:before="0" w:after="0"/>
              <w:jc w:val="both"/>
              <w:rPr>
                <w:rFonts w:ascii="ITC Avant Garde" w:hAnsi="ITC Avant Garde"/>
                <w:sz w:val="16"/>
                <w:szCs w:val="16"/>
                <w:lang w:val="es-ES_tradnl"/>
              </w:rPr>
            </w:pPr>
            <w:r w:rsidRPr="00BF7537">
              <w:rPr>
                <w:rFonts w:ascii="ITC Avant Garde" w:hAnsi="ITC Avant Garde"/>
                <w:b/>
                <w:sz w:val="16"/>
                <w:szCs w:val="16"/>
                <w:lang w:val="es-ES_tradnl"/>
              </w:rPr>
              <w:t xml:space="preserve">En el Modelo de Costos Evitados </w:t>
            </w:r>
            <w:r w:rsidR="00DE64CD" w:rsidRPr="00BF7537">
              <w:rPr>
                <w:rFonts w:ascii="ITC Avant Garde" w:hAnsi="ITC Avant Garde"/>
                <w:b/>
                <w:sz w:val="16"/>
                <w:szCs w:val="16"/>
                <w:lang w:val="es-ES_tradnl"/>
              </w:rPr>
              <w:t xml:space="preserve">se asume que el precio implícito de este servicio </w:t>
            </w:r>
            <w:r w:rsidR="00E977BF">
              <w:rPr>
                <w:rFonts w:ascii="ITC Avant Garde" w:hAnsi="ITC Avant Garde"/>
                <w:b/>
                <w:sz w:val="16"/>
                <w:szCs w:val="16"/>
                <w:lang w:val="es-ES_tradnl"/>
              </w:rPr>
              <w:t>es independiente de</w:t>
            </w:r>
            <w:r w:rsidR="00DE64CD" w:rsidRPr="00BF7537">
              <w:rPr>
                <w:rFonts w:ascii="ITC Avant Garde" w:hAnsi="ITC Avant Garde"/>
                <w:b/>
                <w:sz w:val="16"/>
                <w:szCs w:val="16"/>
                <w:lang w:val="es-ES_tradnl"/>
              </w:rPr>
              <w:t xml:space="preserve"> la renta mensual de la “Línea residencial”</w:t>
            </w:r>
            <w:r>
              <w:rPr>
                <w:rFonts w:ascii="ITC Avant Garde" w:hAnsi="ITC Avant Garde"/>
                <w:sz w:val="16"/>
                <w:szCs w:val="16"/>
                <w:lang w:val="es-ES_tradnl"/>
              </w:rPr>
              <w:t>.</w:t>
            </w:r>
          </w:p>
        </w:tc>
      </w:tr>
      <w:tr w:rsidR="00DE64CD" w:rsidRPr="0032603F" w14:paraId="099E0354" w14:textId="77777777" w:rsidTr="00A4557C">
        <w:trPr>
          <w:trHeight w:val="852"/>
        </w:trPr>
        <w:tc>
          <w:tcPr>
            <w:tcW w:w="1980" w:type="dxa"/>
            <w:vAlign w:val="center"/>
          </w:tcPr>
          <w:p w14:paraId="1BD65BBD" w14:textId="77777777" w:rsidR="00DE64CD" w:rsidRPr="001B0180" w:rsidRDefault="00DE64CD" w:rsidP="00A4557C">
            <w:pPr>
              <w:pStyle w:val="Tablecells"/>
              <w:spacing w:before="0" w:after="0"/>
              <w:jc w:val="both"/>
              <w:rPr>
                <w:rFonts w:ascii="ITC Avant Garde" w:hAnsi="ITC Avant Garde"/>
                <w:i/>
                <w:sz w:val="16"/>
                <w:szCs w:val="16"/>
                <w:lang w:val="es-ES_tradnl"/>
              </w:rPr>
            </w:pPr>
            <w:r w:rsidRPr="001B0180">
              <w:rPr>
                <w:rFonts w:ascii="ITC Avant Garde" w:hAnsi="ITC Avant Garde"/>
                <w:i/>
                <w:sz w:val="16"/>
                <w:szCs w:val="16"/>
                <w:lang w:val="es-ES_tradnl"/>
              </w:rPr>
              <w:t>Correspondiente a planes y paquetes no residenciales</w:t>
            </w:r>
          </w:p>
        </w:tc>
        <w:tc>
          <w:tcPr>
            <w:tcW w:w="3118" w:type="dxa"/>
            <w:vAlign w:val="center"/>
          </w:tcPr>
          <w:p w14:paraId="098A1896" w14:textId="77777777" w:rsidR="00DE64CD" w:rsidRPr="001B0180" w:rsidRDefault="00DE64CD" w:rsidP="00A4557C">
            <w:pPr>
              <w:pStyle w:val="Tablecells"/>
              <w:spacing w:before="0" w:after="0"/>
              <w:rPr>
                <w:rFonts w:ascii="ITC Avant Garde" w:hAnsi="ITC Avant Garde"/>
                <w:sz w:val="16"/>
                <w:szCs w:val="16"/>
                <w:lang w:val="es-ES_tradnl"/>
              </w:rPr>
            </w:pPr>
            <w:r w:rsidRPr="001B0180">
              <w:rPr>
                <w:rFonts w:ascii="ITC Avant Garde" w:hAnsi="ITC Avant Garde"/>
                <w:sz w:val="16"/>
                <w:szCs w:val="16"/>
                <w:lang w:val="es-ES_tradnl"/>
              </w:rPr>
              <w:t xml:space="preserve">Información </w:t>
            </w:r>
            <w:r>
              <w:rPr>
                <w:rFonts w:ascii="ITC Avant Garde" w:hAnsi="ITC Avant Garde"/>
                <w:sz w:val="16"/>
                <w:szCs w:val="16"/>
                <w:lang w:val="es-ES_tradnl"/>
              </w:rPr>
              <w:t>no proporcionada</w:t>
            </w:r>
            <w:r w:rsidRPr="001B0180">
              <w:rPr>
                <w:rFonts w:ascii="ITC Avant Garde" w:hAnsi="ITC Avant Garde"/>
                <w:sz w:val="16"/>
                <w:szCs w:val="16"/>
                <w:lang w:val="es-ES_tradnl"/>
              </w:rPr>
              <w:t xml:space="preserve"> </w:t>
            </w:r>
          </w:p>
        </w:tc>
        <w:tc>
          <w:tcPr>
            <w:tcW w:w="4417" w:type="dxa"/>
            <w:vAlign w:val="center"/>
          </w:tcPr>
          <w:p w14:paraId="11DDEB71" w14:textId="5E4D7178" w:rsidR="00DE64CD" w:rsidRPr="001B0180" w:rsidRDefault="00DE64CD" w:rsidP="00A4557C">
            <w:pPr>
              <w:pStyle w:val="Tablecells"/>
              <w:spacing w:before="0" w:after="0"/>
              <w:jc w:val="both"/>
              <w:rPr>
                <w:rFonts w:ascii="ITC Avant Garde" w:hAnsi="ITC Avant Garde"/>
                <w:sz w:val="16"/>
                <w:szCs w:val="16"/>
                <w:lang w:val="es-ES_tradnl"/>
              </w:rPr>
            </w:pPr>
            <w:r>
              <w:rPr>
                <w:rFonts w:ascii="ITC Avant Garde" w:hAnsi="ITC Avant Garde"/>
                <w:sz w:val="16"/>
                <w:szCs w:val="16"/>
                <w:lang w:val="es-ES_tradnl"/>
              </w:rPr>
              <w:t>S</w:t>
            </w:r>
            <w:r w:rsidRPr="001B0180">
              <w:rPr>
                <w:rFonts w:ascii="ITC Avant Garde" w:hAnsi="ITC Avant Garde"/>
                <w:sz w:val="16"/>
                <w:szCs w:val="16"/>
                <w:lang w:val="es-ES_tradnl"/>
              </w:rPr>
              <w:t xml:space="preserve">e asume </w:t>
            </w:r>
            <w:r>
              <w:rPr>
                <w:rFonts w:ascii="ITC Avant Garde" w:hAnsi="ITC Avant Garde"/>
                <w:sz w:val="16"/>
                <w:szCs w:val="16"/>
                <w:lang w:val="es-ES_tradnl"/>
              </w:rPr>
              <w:t xml:space="preserve">que no forman </w:t>
            </w:r>
            <w:r w:rsidRPr="001B0180">
              <w:rPr>
                <w:rFonts w:ascii="ITC Avant Garde" w:hAnsi="ITC Avant Garde"/>
                <w:sz w:val="16"/>
                <w:szCs w:val="16"/>
                <w:lang w:val="es-ES_tradnl"/>
              </w:rPr>
              <w:t>parte de la renta mensual de la “Línea comercial”</w:t>
            </w:r>
            <w:r>
              <w:rPr>
                <w:rFonts w:ascii="ITC Avant Garde" w:hAnsi="ITC Avant Garde"/>
                <w:sz w:val="16"/>
                <w:szCs w:val="16"/>
                <w:lang w:val="es-ES_tradnl"/>
              </w:rPr>
              <w:t xml:space="preserve">, dado que las líneas de uso comercial </w:t>
            </w:r>
            <w:r w:rsidR="0075088E">
              <w:rPr>
                <w:rFonts w:ascii="ITC Avant Garde" w:hAnsi="ITC Avant Garde"/>
                <w:sz w:val="16"/>
                <w:szCs w:val="16"/>
                <w:lang w:val="es-ES_tradnl"/>
              </w:rPr>
              <w:t>de Telmex y Telnor</w:t>
            </w:r>
            <w:r>
              <w:rPr>
                <w:rFonts w:ascii="ITC Avant Garde" w:hAnsi="ITC Avant Garde"/>
                <w:sz w:val="16"/>
                <w:szCs w:val="16"/>
                <w:lang w:val="es-ES_tradnl"/>
              </w:rPr>
              <w:t>, no incluyen “servicios digitales”</w:t>
            </w:r>
            <w:r w:rsidRPr="001B0180">
              <w:rPr>
                <w:rFonts w:ascii="ITC Avant Garde" w:hAnsi="ITC Avant Garde"/>
                <w:sz w:val="16"/>
                <w:szCs w:val="16"/>
                <w:lang w:val="es-ES_tradnl"/>
              </w:rPr>
              <w:t>.</w:t>
            </w:r>
          </w:p>
        </w:tc>
      </w:tr>
      <w:tr w:rsidR="00DE64CD" w:rsidRPr="0032603F" w14:paraId="6693E222" w14:textId="77777777" w:rsidTr="00A4557C">
        <w:trPr>
          <w:trHeight w:val="488"/>
        </w:trPr>
        <w:tc>
          <w:tcPr>
            <w:tcW w:w="1980" w:type="dxa"/>
            <w:shd w:val="clear" w:color="auto" w:fill="E7E6E6" w:themeFill="background2"/>
            <w:vAlign w:val="center"/>
          </w:tcPr>
          <w:p w14:paraId="0DF2669D" w14:textId="77777777" w:rsidR="00DE64CD" w:rsidRPr="001B0180" w:rsidRDefault="00DE64CD" w:rsidP="00A4557C">
            <w:pPr>
              <w:pStyle w:val="Tablecells"/>
              <w:spacing w:before="0" w:after="0"/>
              <w:rPr>
                <w:rFonts w:ascii="ITC Avant Garde" w:hAnsi="ITC Avant Garde"/>
                <w:b/>
                <w:i/>
                <w:sz w:val="16"/>
                <w:szCs w:val="16"/>
                <w:lang w:val="es-ES_tradnl"/>
              </w:rPr>
            </w:pPr>
            <w:r w:rsidRPr="001B0180">
              <w:rPr>
                <w:rFonts w:ascii="ITC Avant Garde" w:hAnsi="ITC Avant Garde"/>
                <w:b/>
                <w:i/>
                <w:sz w:val="16"/>
                <w:szCs w:val="16"/>
                <w:lang w:val="es-ES_tradnl"/>
              </w:rPr>
              <w:t>Internet</w:t>
            </w:r>
            <w:r w:rsidRPr="001B0180">
              <w:rPr>
                <w:rStyle w:val="Refdenotaalpie"/>
                <w:rFonts w:ascii="ITC Avant Garde" w:hAnsi="ITC Avant Garde"/>
                <w:i/>
                <w:sz w:val="16"/>
                <w:szCs w:val="16"/>
                <w:lang w:val="es-ES_tradnl"/>
              </w:rPr>
              <w:footnoteReference w:id="17"/>
            </w:r>
          </w:p>
        </w:tc>
        <w:tc>
          <w:tcPr>
            <w:tcW w:w="3118" w:type="dxa"/>
            <w:shd w:val="clear" w:color="auto" w:fill="E7E6E6" w:themeFill="background2"/>
            <w:vAlign w:val="center"/>
          </w:tcPr>
          <w:p w14:paraId="2757583F" w14:textId="41692A4A" w:rsidR="00DE64CD" w:rsidRPr="001B0180" w:rsidRDefault="00DE64CD" w:rsidP="000C5425">
            <w:pPr>
              <w:pStyle w:val="Tablecells"/>
              <w:spacing w:before="0" w:after="0"/>
              <w:jc w:val="both"/>
              <w:rPr>
                <w:rFonts w:ascii="ITC Avant Garde" w:hAnsi="ITC Avant Garde"/>
                <w:sz w:val="16"/>
                <w:szCs w:val="16"/>
                <w:lang w:val="es-ES_tradnl"/>
              </w:rPr>
            </w:pPr>
            <w:r w:rsidRPr="001B0180">
              <w:rPr>
                <w:rFonts w:ascii="ITC Avant Garde" w:hAnsi="ITC Avant Garde"/>
                <w:sz w:val="16"/>
                <w:szCs w:val="16"/>
                <w:lang w:val="es-ES_tradnl"/>
              </w:rPr>
              <w:t xml:space="preserve">Estos datos fueron </w:t>
            </w:r>
            <w:r w:rsidR="000C5425">
              <w:rPr>
                <w:rFonts w:ascii="ITC Avant Garde" w:hAnsi="ITC Avant Garde"/>
                <w:sz w:val="16"/>
                <w:szCs w:val="16"/>
                <w:lang w:val="es-ES_tradnl"/>
              </w:rPr>
              <w:t>estimados</w:t>
            </w:r>
            <w:r w:rsidR="000C5425" w:rsidRPr="001B0180">
              <w:rPr>
                <w:rFonts w:ascii="ITC Avant Garde" w:hAnsi="ITC Avant Garde"/>
                <w:sz w:val="16"/>
                <w:szCs w:val="16"/>
                <w:lang w:val="es-ES_tradnl"/>
              </w:rPr>
              <w:t xml:space="preserve"> </w:t>
            </w:r>
            <w:r w:rsidRPr="001B0180">
              <w:rPr>
                <w:rFonts w:ascii="ITC Avant Garde" w:hAnsi="ITC Avant Garde"/>
                <w:sz w:val="16"/>
                <w:szCs w:val="16"/>
                <w:lang w:val="es-ES_tradnl"/>
              </w:rPr>
              <w:t xml:space="preserve">para los planes y paquetes mediante los cuales </w:t>
            </w:r>
            <w:r w:rsidR="00550C58">
              <w:rPr>
                <w:rFonts w:ascii="ITC Avant Garde" w:hAnsi="ITC Avant Garde"/>
                <w:sz w:val="16"/>
                <w:szCs w:val="16"/>
                <w:lang w:val="es-ES_tradnl"/>
              </w:rPr>
              <w:t>Telmex y Telnor</w:t>
            </w:r>
            <w:r w:rsidRPr="001B0180">
              <w:rPr>
                <w:rFonts w:ascii="ITC Avant Garde" w:hAnsi="ITC Avant Garde"/>
                <w:sz w:val="16"/>
                <w:szCs w:val="16"/>
                <w:lang w:val="es-ES_tradnl"/>
              </w:rPr>
              <w:t xml:space="preserve"> ofrece</w:t>
            </w:r>
            <w:r w:rsidR="00550C58">
              <w:rPr>
                <w:rFonts w:ascii="ITC Avant Garde" w:hAnsi="ITC Avant Garde"/>
                <w:sz w:val="16"/>
                <w:szCs w:val="16"/>
                <w:lang w:val="es-ES_tradnl"/>
              </w:rPr>
              <w:t>n</w:t>
            </w:r>
            <w:r w:rsidRPr="001B0180">
              <w:rPr>
                <w:rFonts w:ascii="ITC Avant Garde" w:hAnsi="ITC Avant Garde"/>
                <w:sz w:val="16"/>
                <w:szCs w:val="16"/>
                <w:lang w:val="es-ES_tradnl"/>
              </w:rPr>
              <w:t xml:space="preserve"> servicios de </w:t>
            </w:r>
            <w:r>
              <w:rPr>
                <w:rFonts w:ascii="ITC Avant Garde" w:hAnsi="ITC Avant Garde"/>
                <w:sz w:val="16"/>
                <w:szCs w:val="16"/>
                <w:lang w:val="es-ES_tradnl"/>
              </w:rPr>
              <w:t>I</w:t>
            </w:r>
            <w:r w:rsidRPr="001B0180">
              <w:rPr>
                <w:rFonts w:ascii="ITC Avant Garde" w:hAnsi="ITC Avant Garde"/>
                <w:sz w:val="16"/>
                <w:szCs w:val="16"/>
                <w:lang w:val="es-ES_tradnl"/>
              </w:rPr>
              <w:t>nternet.</w:t>
            </w:r>
          </w:p>
        </w:tc>
        <w:tc>
          <w:tcPr>
            <w:tcW w:w="4417" w:type="dxa"/>
            <w:shd w:val="clear" w:color="auto" w:fill="E7E6E6" w:themeFill="background2"/>
          </w:tcPr>
          <w:p w14:paraId="1EF33EA1" w14:textId="5ABFAB63" w:rsidR="00F007BE" w:rsidRDefault="000C5425" w:rsidP="00A4557C">
            <w:pPr>
              <w:pStyle w:val="Tablecells"/>
              <w:spacing w:before="0" w:after="0"/>
              <w:jc w:val="both"/>
              <w:rPr>
                <w:rFonts w:ascii="ITC Avant Garde" w:hAnsi="ITC Avant Garde"/>
                <w:sz w:val="16"/>
                <w:szCs w:val="16"/>
                <w:lang w:val="es-ES_tradnl"/>
              </w:rPr>
            </w:pPr>
            <w:r>
              <w:rPr>
                <w:rFonts w:ascii="ITC Avant Garde" w:hAnsi="ITC Avant Garde"/>
                <w:sz w:val="16"/>
                <w:szCs w:val="16"/>
                <w:lang w:val="es-ES_tradnl"/>
              </w:rPr>
              <w:t>Para</w:t>
            </w:r>
            <w:r w:rsidR="006B6AE0">
              <w:rPr>
                <w:rFonts w:ascii="ITC Avant Garde" w:hAnsi="ITC Avant Garde"/>
                <w:sz w:val="16"/>
                <w:szCs w:val="16"/>
                <w:lang w:val="es-ES_tradnl"/>
              </w:rPr>
              <w:t xml:space="preserve"> el</w:t>
            </w:r>
            <w:r>
              <w:rPr>
                <w:rFonts w:ascii="ITC Avant Garde" w:hAnsi="ITC Avant Garde"/>
                <w:sz w:val="16"/>
                <w:szCs w:val="16"/>
                <w:lang w:val="es-ES_tradnl"/>
              </w:rPr>
              <w:t xml:space="preserve"> </w:t>
            </w:r>
            <w:r w:rsidR="006B6AE0">
              <w:rPr>
                <w:rFonts w:ascii="ITC Avant Garde" w:hAnsi="ITC Avant Garde"/>
                <w:sz w:val="16"/>
                <w:szCs w:val="16"/>
                <w:lang w:val="es-ES_tradnl"/>
              </w:rPr>
              <w:t>I</w:t>
            </w:r>
            <w:r>
              <w:rPr>
                <w:rFonts w:ascii="ITC Avant Garde" w:hAnsi="ITC Avant Garde"/>
                <w:sz w:val="16"/>
                <w:szCs w:val="16"/>
                <w:lang w:val="es-ES_tradnl"/>
              </w:rPr>
              <w:t xml:space="preserve">nternet </w:t>
            </w:r>
            <w:r w:rsidR="006B6AE0">
              <w:rPr>
                <w:rFonts w:ascii="ITC Avant Garde" w:hAnsi="ITC Avant Garde"/>
                <w:sz w:val="16"/>
                <w:szCs w:val="16"/>
                <w:lang w:val="es-ES_tradnl"/>
              </w:rPr>
              <w:t xml:space="preserve">que forma parte </w:t>
            </w:r>
            <w:r>
              <w:rPr>
                <w:rFonts w:ascii="ITC Avant Garde" w:hAnsi="ITC Avant Garde"/>
                <w:sz w:val="16"/>
                <w:szCs w:val="16"/>
                <w:lang w:val="es-ES_tradnl"/>
              </w:rPr>
              <w:t>de planes</w:t>
            </w:r>
            <w:r w:rsidR="006B6AE0">
              <w:rPr>
                <w:rFonts w:ascii="ITC Avant Garde" w:hAnsi="ITC Avant Garde"/>
                <w:sz w:val="16"/>
                <w:szCs w:val="16"/>
                <w:lang w:val="es-ES_tradnl"/>
              </w:rPr>
              <w:t>/</w:t>
            </w:r>
            <w:r>
              <w:rPr>
                <w:rFonts w:ascii="ITC Avant Garde" w:hAnsi="ITC Avant Garde"/>
                <w:sz w:val="16"/>
                <w:szCs w:val="16"/>
                <w:lang w:val="es-ES_tradnl"/>
              </w:rPr>
              <w:t>paquete</w:t>
            </w:r>
            <w:r w:rsidR="006B6AE0">
              <w:rPr>
                <w:rFonts w:ascii="ITC Avant Garde" w:hAnsi="ITC Avant Garde"/>
                <w:sz w:val="16"/>
                <w:szCs w:val="16"/>
                <w:lang w:val="es-ES_tradnl"/>
              </w:rPr>
              <w:t>s</w:t>
            </w:r>
            <w:r>
              <w:rPr>
                <w:rFonts w:ascii="ITC Avant Garde" w:hAnsi="ITC Avant Garde"/>
                <w:sz w:val="16"/>
                <w:szCs w:val="16"/>
                <w:lang w:val="es-ES_tradnl"/>
              </w:rPr>
              <w:t>, d</w:t>
            </w:r>
            <w:r w:rsidR="008A4AB3">
              <w:rPr>
                <w:rFonts w:ascii="ITC Avant Garde" w:hAnsi="ITC Avant Garde"/>
                <w:sz w:val="16"/>
                <w:szCs w:val="16"/>
                <w:lang w:val="es-ES_tradnl"/>
              </w:rPr>
              <w:t xml:space="preserve">ebido a la implementación del Módulo de Imputación de Precios Implícitos, solo los datos aportados para los paquetes </w:t>
            </w:r>
            <w:r w:rsidR="008A4AB3" w:rsidRPr="0075088E">
              <w:rPr>
                <w:rFonts w:ascii="ITC Avant Garde" w:hAnsi="ITC Avant Garde"/>
                <w:i/>
                <w:sz w:val="16"/>
                <w:szCs w:val="16"/>
                <w:lang w:val="es-ES_tradnl"/>
              </w:rPr>
              <w:t>de entrada</w:t>
            </w:r>
            <w:r w:rsidR="0075088E">
              <w:rPr>
                <w:rFonts w:ascii="ITC Avant Garde" w:hAnsi="ITC Avant Garde"/>
                <w:i/>
                <w:sz w:val="16"/>
                <w:szCs w:val="16"/>
                <w:lang w:val="es-ES_tradnl"/>
              </w:rPr>
              <w:t xml:space="preserve">, </w:t>
            </w:r>
            <w:r w:rsidR="0075088E" w:rsidRPr="0075088E">
              <w:rPr>
                <w:lang w:val="es-MX"/>
              </w:rPr>
              <w:t xml:space="preserve"> </w:t>
            </w:r>
            <w:r w:rsidR="0075088E" w:rsidRPr="0075088E">
              <w:rPr>
                <w:rFonts w:ascii="ITC Avant Garde" w:hAnsi="ITC Avant Garde"/>
                <w:i/>
                <w:sz w:val="16"/>
                <w:szCs w:val="16"/>
                <w:lang w:val="es-ES_tradnl"/>
              </w:rPr>
              <w:t>es decir los paquetes de menor precio y composición</w:t>
            </w:r>
            <w:r w:rsidR="0075088E">
              <w:rPr>
                <w:rFonts w:ascii="ITC Avant Garde" w:hAnsi="ITC Avant Garde"/>
                <w:i/>
                <w:sz w:val="16"/>
                <w:szCs w:val="16"/>
                <w:lang w:val="es-ES_tradnl"/>
              </w:rPr>
              <w:t>,</w:t>
            </w:r>
            <w:r w:rsidR="008A4AB3">
              <w:rPr>
                <w:rFonts w:ascii="ITC Avant Garde" w:hAnsi="ITC Avant Garde"/>
                <w:sz w:val="16"/>
                <w:szCs w:val="16"/>
                <w:lang w:val="es-ES_tradnl"/>
              </w:rPr>
              <w:t xml:space="preserve"> se emplean como insumo </w:t>
            </w:r>
            <w:r w:rsidR="00BF7537">
              <w:rPr>
                <w:rFonts w:ascii="ITC Avant Garde" w:hAnsi="ITC Avant Garde"/>
                <w:sz w:val="16"/>
                <w:szCs w:val="16"/>
                <w:lang w:val="es-ES_tradnl"/>
              </w:rPr>
              <w:t xml:space="preserve">provisto por </w:t>
            </w:r>
            <w:r w:rsidR="0075088E">
              <w:rPr>
                <w:rFonts w:ascii="ITC Avant Garde" w:hAnsi="ITC Avant Garde"/>
                <w:sz w:val="16"/>
                <w:szCs w:val="16"/>
                <w:lang w:val="es-ES_tradnl"/>
              </w:rPr>
              <w:t>Telmex y Telnor</w:t>
            </w:r>
            <w:r w:rsidR="00BF7537">
              <w:rPr>
                <w:rFonts w:ascii="ITC Avant Garde" w:hAnsi="ITC Avant Garde"/>
                <w:sz w:val="16"/>
                <w:szCs w:val="16"/>
                <w:lang w:val="es-ES_tradnl"/>
              </w:rPr>
              <w:t xml:space="preserve"> </w:t>
            </w:r>
            <w:r w:rsidR="008A4AB3">
              <w:rPr>
                <w:rFonts w:ascii="ITC Avant Garde" w:hAnsi="ITC Avant Garde"/>
                <w:sz w:val="16"/>
                <w:szCs w:val="16"/>
                <w:lang w:val="es-ES_tradnl"/>
              </w:rPr>
              <w:t xml:space="preserve">en el Modelo de Costos Evitados. </w:t>
            </w:r>
          </w:p>
          <w:p w14:paraId="7603C093" w14:textId="77777777" w:rsidR="00F007BE" w:rsidRDefault="00F007BE" w:rsidP="00A4557C">
            <w:pPr>
              <w:pStyle w:val="Tablecells"/>
              <w:spacing w:before="0" w:after="0"/>
              <w:jc w:val="both"/>
              <w:rPr>
                <w:rFonts w:ascii="ITC Avant Garde" w:hAnsi="ITC Avant Garde"/>
                <w:sz w:val="16"/>
                <w:szCs w:val="16"/>
                <w:lang w:val="es-ES_tradnl"/>
              </w:rPr>
            </w:pPr>
          </w:p>
          <w:p w14:paraId="5CE1401A" w14:textId="0B27376B" w:rsidR="00DE64CD" w:rsidRPr="001B0180" w:rsidRDefault="00DE64CD" w:rsidP="00A4557C">
            <w:pPr>
              <w:pStyle w:val="Tablecells"/>
              <w:spacing w:before="0" w:after="0"/>
              <w:jc w:val="both"/>
              <w:rPr>
                <w:rFonts w:ascii="ITC Avant Garde" w:hAnsi="ITC Avant Garde"/>
                <w:sz w:val="16"/>
                <w:szCs w:val="16"/>
                <w:lang w:val="es-ES_tradnl"/>
              </w:rPr>
            </w:pPr>
            <w:r w:rsidRPr="001B0180">
              <w:rPr>
                <w:rFonts w:ascii="ITC Avant Garde" w:hAnsi="ITC Avant Garde"/>
                <w:sz w:val="16"/>
                <w:szCs w:val="16"/>
                <w:lang w:val="es-ES_tradnl"/>
              </w:rPr>
              <w:t xml:space="preserve">En planes o paquetes de </w:t>
            </w:r>
            <w:r>
              <w:rPr>
                <w:rFonts w:ascii="ITC Avant Garde" w:hAnsi="ITC Avant Garde"/>
                <w:sz w:val="16"/>
                <w:szCs w:val="16"/>
                <w:lang w:val="es-ES_tradnl"/>
              </w:rPr>
              <w:t>I</w:t>
            </w:r>
            <w:r w:rsidRPr="001B0180">
              <w:rPr>
                <w:rFonts w:ascii="ITC Avant Garde" w:hAnsi="ITC Avant Garde"/>
                <w:sz w:val="16"/>
                <w:szCs w:val="16"/>
                <w:lang w:val="es-ES_tradnl"/>
              </w:rPr>
              <w:t xml:space="preserve">nternet en los que no se proveen servicios de voz, el valor que </w:t>
            </w:r>
            <w:r w:rsidR="00550C58">
              <w:rPr>
                <w:rFonts w:ascii="ITC Avant Garde" w:hAnsi="ITC Avant Garde"/>
                <w:sz w:val="16"/>
                <w:szCs w:val="16"/>
                <w:lang w:val="es-ES_tradnl"/>
              </w:rPr>
              <w:t>Telmex y Telnor reportaron</w:t>
            </w:r>
            <w:r w:rsidRPr="001B0180">
              <w:rPr>
                <w:rFonts w:ascii="ITC Avant Garde" w:hAnsi="ITC Avant Garde"/>
                <w:sz w:val="16"/>
                <w:szCs w:val="16"/>
                <w:lang w:val="es-ES_tradnl"/>
              </w:rPr>
              <w:t xml:space="preserve"> como precio implícito del servicio corresponde al precio de la renta del plan o paquete. </w:t>
            </w:r>
          </w:p>
          <w:p w14:paraId="48650FC5" w14:textId="77777777" w:rsidR="00DE64CD" w:rsidRPr="001B0180" w:rsidRDefault="00DE64CD" w:rsidP="00A4557C">
            <w:pPr>
              <w:pStyle w:val="Tablecells"/>
              <w:spacing w:before="0" w:after="0"/>
              <w:jc w:val="both"/>
              <w:rPr>
                <w:rFonts w:ascii="ITC Avant Garde" w:hAnsi="ITC Avant Garde"/>
                <w:sz w:val="16"/>
                <w:szCs w:val="16"/>
                <w:lang w:val="es-ES_tradnl"/>
              </w:rPr>
            </w:pPr>
          </w:p>
          <w:p w14:paraId="681AC8BD" w14:textId="167DC484" w:rsidR="00DE64CD" w:rsidRPr="001B0180" w:rsidRDefault="00DE64CD" w:rsidP="00E977BF">
            <w:pPr>
              <w:pStyle w:val="Tablecells"/>
              <w:spacing w:before="0" w:after="0"/>
              <w:jc w:val="both"/>
              <w:rPr>
                <w:rFonts w:ascii="ITC Avant Garde" w:hAnsi="ITC Avant Garde"/>
                <w:sz w:val="16"/>
                <w:szCs w:val="16"/>
                <w:lang w:val="es-ES_tradnl"/>
              </w:rPr>
            </w:pPr>
            <w:r w:rsidRPr="001B0180">
              <w:rPr>
                <w:rFonts w:ascii="ITC Avant Garde" w:hAnsi="ITC Avant Garde"/>
                <w:sz w:val="16"/>
                <w:szCs w:val="16"/>
                <w:lang w:val="es-ES_tradnl"/>
              </w:rPr>
              <w:lastRenderedPageBreak/>
              <w:t xml:space="preserve">Por dicha razón, </w:t>
            </w:r>
            <w:r w:rsidR="006B6AE0">
              <w:rPr>
                <w:rFonts w:ascii="ITC Avant Garde" w:hAnsi="ITC Avant Garde"/>
                <w:sz w:val="16"/>
                <w:szCs w:val="16"/>
                <w:lang w:val="es-ES_tradnl"/>
              </w:rPr>
              <w:t xml:space="preserve">en la sección </w:t>
            </w:r>
            <w:r w:rsidR="00E977BF">
              <w:rPr>
                <w:rFonts w:ascii="ITC Avant Garde" w:hAnsi="ITC Avant Garde"/>
                <w:sz w:val="16"/>
                <w:szCs w:val="16"/>
                <w:lang w:val="es-ES_tradnl"/>
              </w:rPr>
              <w:fldChar w:fldCharType="begin"/>
            </w:r>
            <w:r w:rsidR="00E977BF">
              <w:rPr>
                <w:rFonts w:ascii="ITC Avant Garde" w:hAnsi="ITC Avant Garde"/>
                <w:sz w:val="16"/>
                <w:szCs w:val="16"/>
                <w:lang w:val="es-ES_tradnl"/>
              </w:rPr>
              <w:instrText xml:space="preserve"> REF _Ref51585426 \r \h </w:instrText>
            </w:r>
            <w:r w:rsidR="00E977BF">
              <w:rPr>
                <w:rFonts w:ascii="ITC Avant Garde" w:hAnsi="ITC Avant Garde"/>
                <w:sz w:val="16"/>
                <w:szCs w:val="16"/>
                <w:lang w:val="es-ES_tradnl"/>
              </w:rPr>
            </w:r>
            <w:r w:rsidR="00E977BF">
              <w:rPr>
                <w:rFonts w:ascii="ITC Avant Garde" w:hAnsi="ITC Avant Garde"/>
                <w:sz w:val="16"/>
                <w:szCs w:val="16"/>
                <w:lang w:val="es-ES_tradnl"/>
              </w:rPr>
              <w:fldChar w:fldCharType="separate"/>
            </w:r>
            <w:r w:rsidR="00E977BF">
              <w:rPr>
                <w:rFonts w:ascii="ITC Avant Garde" w:hAnsi="ITC Avant Garde"/>
                <w:sz w:val="16"/>
                <w:szCs w:val="16"/>
                <w:lang w:val="es-ES_tradnl"/>
              </w:rPr>
              <w:t>1.3.2.5</w:t>
            </w:r>
            <w:r w:rsidR="00E977BF">
              <w:rPr>
                <w:rFonts w:ascii="ITC Avant Garde" w:hAnsi="ITC Avant Garde"/>
                <w:sz w:val="16"/>
                <w:szCs w:val="16"/>
                <w:lang w:val="es-ES_tradnl"/>
              </w:rPr>
              <w:fldChar w:fldCharType="end"/>
            </w:r>
            <w:r w:rsidR="00A101CA">
              <w:rPr>
                <w:rFonts w:ascii="ITC Avant Garde" w:hAnsi="ITC Avant Garde"/>
                <w:sz w:val="16"/>
                <w:szCs w:val="16"/>
                <w:lang w:val="es-ES_tradnl"/>
              </w:rPr>
              <w:t xml:space="preserve"> </w:t>
            </w:r>
            <w:r w:rsidRPr="001B0180">
              <w:rPr>
                <w:rFonts w:ascii="ITC Avant Garde" w:hAnsi="ITC Avant Garde"/>
                <w:sz w:val="16"/>
                <w:szCs w:val="16"/>
                <w:lang w:val="es-ES_tradnl"/>
              </w:rPr>
              <w:t xml:space="preserve">se </w:t>
            </w:r>
            <w:r>
              <w:rPr>
                <w:rFonts w:ascii="ITC Avant Garde" w:hAnsi="ITC Avant Garde"/>
                <w:sz w:val="16"/>
                <w:szCs w:val="16"/>
                <w:lang w:val="es-ES_tradnl"/>
              </w:rPr>
              <w:t>realizan</w:t>
            </w:r>
            <w:r w:rsidRPr="001B0180">
              <w:rPr>
                <w:rFonts w:ascii="ITC Avant Garde" w:hAnsi="ITC Avant Garde"/>
                <w:sz w:val="16"/>
                <w:szCs w:val="16"/>
                <w:lang w:val="es-ES_tradnl"/>
              </w:rPr>
              <w:t xml:space="preserve"> consideraciones para no doble </w:t>
            </w:r>
            <w:r>
              <w:rPr>
                <w:rFonts w:ascii="ITC Avant Garde" w:hAnsi="ITC Avant Garde"/>
                <w:sz w:val="16"/>
                <w:szCs w:val="16"/>
                <w:lang w:val="es-ES_tradnl"/>
              </w:rPr>
              <w:t>contabilizar</w:t>
            </w:r>
            <w:r w:rsidRPr="001B0180">
              <w:rPr>
                <w:rFonts w:ascii="ITC Avant Garde" w:hAnsi="ITC Avant Garde"/>
                <w:sz w:val="16"/>
                <w:szCs w:val="16"/>
                <w:lang w:val="es-ES_tradnl"/>
              </w:rPr>
              <w:t xml:space="preserve"> la recuperación de los costos del </w:t>
            </w:r>
            <w:r w:rsidRPr="00FD2CE9">
              <w:rPr>
                <w:rFonts w:ascii="ITC Avant Garde" w:hAnsi="ITC Avant Garde"/>
                <w:sz w:val="16"/>
                <w:szCs w:val="16"/>
                <w:lang w:val="es-ES_tradnl"/>
              </w:rPr>
              <w:t>valor del medio de transmisión en el componente de voz</w:t>
            </w:r>
            <w:r w:rsidRPr="001B0180">
              <w:rPr>
                <w:rFonts w:ascii="ITC Avant Garde" w:hAnsi="ITC Avant Garde"/>
                <w:sz w:val="16"/>
                <w:szCs w:val="16"/>
                <w:lang w:val="es-ES_tradnl"/>
              </w:rPr>
              <w:t xml:space="preserve"> involucrado a través de la tarifa del SAIB, en el caso de que un usuario tenga contratado el servicio de voz a través del mismo medio de transmisión por el que se le provee servicio de </w:t>
            </w:r>
            <w:r>
              <w:rPr>
                <w:rFonts w:ascii="ITC Avant Garde" w:hAnsi="ITC Avant Garde"/>
                <w:sz w:val="16"/>
                <w:szCs w:val="16"/>
                <w:lang w:val="es-ES_tradnl"/>
              </w:rPr>
              <w:t>I</w:t>
            </w:r>
            <w:r w:rsidRPr="001B0180">
              <w:rPr>
                <w:rFonts w:ascii="ITC Avant Garde" w:hAnsi="ITC Avant Garde"/>
                <w:sz w:val="16"/>
                <w:szCs w:val="16"/>
                <w:lang w:val="es-ES_tradnl"/>
              </w:rPr>
              <w:t>nternet mediante dicho servicio mayorista.</w:t>
            </w:r>
          </w:p>
        </w:tc>
      </w:tr>
      <w:tr w:rsidR="00DE64CD" w:rsidRPr="0032603F" w14:paraId="5FDD6881" w14:textId="77777777" w:rsidTr="00A4557C">
        <w:trPr>
          <w:trHeight w:val="488"/>
        </w:trPr>
        <w:tc>
          <w:tcPr>
            <w:tcW w:w="1980" w:type="dxa"/>
            <w:vAlign w:val="center"/>
          </w:tcPr>
          <w:p w14:paraId="52572CA2" w14:textId="278F8129" w:rsidR="00DE64CD" w:rsidRPr="008A4AB3" w:rsidRDefault="00DE64CD" w:rsidP="00A4557C">
            <w:pPr>
              <w:pStyle w:val="Tablecells"/>
              <w:spacing w:before="0" w:after="0"/>
              <w:rPr>
                <w:rFonts w:ascii="ITC Avant Garde" w:hAnsi="ITC Avant Garde"/>
                <w:b/>
                <w:i/>
                <w:sz w:val="16"/>
                <w:szCs w:val="16"/>
                <w:lang w:val="es-ES_tradnl"/>
              </w:rPr>
            </w:pPr>
            <w:r w:rsidRPr="001B0180">
              <w:rPr>
                <w:rFonts w:ascii="ITC Avant Garde" w:hAnsi="ITC Avant Garde"/>
                <w:b/>
                <w:i/>
                <w:sz w:val="16"/>
                <w:szCs w:val="16"/>
                <w:lang w:val="es-ES_tradnl"/>
              </w:rPr>
              <w:lastRenderedPageBreak/>
              <w:t>Claro video</w:t>
            </w:r>
            <w:r w:rsidR="008A4AB3">
              <w:rPr>
                <w:rFonts w:ascii="ITC Avant Garde" w:hAnsi="ITC Avant Garde"/>
                <w:b/>
                <w:i/>
                <w:sz w:val="16"/>
                <w:szCs w:val="16"/>
                <w:lang w:val="es-ES_tradnl"/>
              </w:rPr>
              <w:t xml:space="preserve"> </w:t>
            </w:r>
            <w:r w:rsidR="008A4AB3">
              <w:rPr>
                <w:rFonts w:ascii="ITC Avant Garde" w:hAnsi="ITC Avant Garde"/>
                <w:b/>
                <w:sz w:val="16"/>
                <w:szCs w:val="16"/>
                <w:lang w:val="es-ES_tradnl"/>
              </w:rPr>
              <w:t xml:space="preserve">y </w:t>
            </w:r>
            <w:r w:rsidR="008A4AB3">
              <w:rPr>
                <w:rFonts w:ascii="ITC Avant Garde" w:hAnsi="ITC Avant Garde"/>
                <w:b/>
                <w:i/>
                <w:sz w:val="16"/>
                <w:szCs w:val="16"/>
                <w:lang w:val="es-ES_tradnl"/>
              </w:rPr>
              <w:t>Netflix</w:t>
            </w:r>
          </w:p>
        </w:tc>
        <w:tc>
          <w:tcPr>
            <w:tcW w:w="3118" w:type="dxa"/>
            <w:vAlign w:val="center"/>
          </w:tcPr>
          <w:p w14:paraId="75582D79" w14:textId="77777777" w:rsidR="00DE64CD" w:rsidRPr="001B0180" w:rsidRDefault="00DE64CD" w:rsidP="00A4557C">
            <w:pPr>
              <w:pStyle w:val="Tablecells"/>
              <w:spacing w:before="0" w:after="0"/>
              <w:jc w:val="both"/>
              <w:rPr>
                <w:rFonts w:ascii="ITC Avant Garde" w:hAnsi="ITC Avant Garde"/>
                <w:sz w:val="16"/>
                <w:szCs w:val="16"/>
                <w:lang w:val="es-ES_tradnl"/>
              </w:rPr>
            </w:pPr>
            <w:r w:rsidRPr="001B0180">
              <w:rPr>
                <w:rFonts w:ascii="ITC Avant Garde" w:hAnsi="ITC Avant Garde"/>
                <w:sz w:val="16"/>
                <w:szCs w:val="16"/>
                <w:lang w:val="es-ES_tradnl"/>
              </w:rPr>
              <w:t xml:space="preserve">Información no disponible. </w:t>
            </w:r>
          </w:p>
        </w:tc>
        <w:tc>
          <w:tcPr>
            <w:tcW w:w="4417" w:type="dxa"/>
          </w:tcPr>
          <w:p w14:paraId="52D56701" w14:textId="7EB02B11" w:rsidR="00DE64CD" w:rsidRPr="001B0180" w:rsidRDefault="00E977BF" w:rsidP="008A4AB3">
            <w:pPr>
              <w:pStyle w:val="Tablecells"/>
              <w:spacing w:before="0" w:after="0"/>
              <w:jc w:val="both"/>
              <w:rPr>
                <w:rFonts w:ascii="ITC Avant Garde" w:hAnsi="ITC Avant Garde"/>
                <w:sz w:val="16"/>
                <w:szCs w:val="16"/>
                <w:lang w:val="es-ES_tradnl"/>
              </w:rPr>
            </w:pPr>
            <w:r>
              <w:rPr>
                <w:rFonts w:ascii="ITC Avant Garde" w:hAnsi="ITC Avant Garde"/>
                <w:sz w:val="16"/>
                <w:szCs w:val="16"/>
                <w:lang w:val="es-ES_tradnl"/>
              </w:rPr>
              <w:t>Telmex y Telnor reconocieron</w:t>
            </w:r>
            <w:r w:rsidR="00DE64CD" w:rsidRPr="001B0180">
              <w:rPr>
                <w:rFonts w:ascii="ITC Avant Garde" w:hAnsi="ITC Avant Garde"/>
                <w:sz w:val="16"/>
                <w:szCs w:val="16"/>
                <w:lang w:val="es-ES_tradnl"/>
              </w:rPr>
              <w:t xml:space="preserve"> que incurre</w:t>
            </w:r>
            <w:r>
              <w:rPr>
                <w:rFonts w:ascii="ITC Avant Garde" w:hAnsi="ITC Avant Garde"/>
                <w:sz w:val="16"/>
                <w:szCs w:val="16"/>
                <w:lang w:val="es-ES_tradnl"/>
              </w:rPr>
              <w:t>n</w:t>
            </w:r>
            <w:r w:rsidR="00DE64CD" w:rsidRPr="001B0180">
              <w:rPr>
                <w:rFonts w:ascii="ITC Avant Garde" w:hAnsi="ITC Avant Garde"/>
                <w:sz w:val="16"/>
                <w:szCs w:val="16"/>
                <w:lang w:val="es-ES_tradnl"/>
              </w:rPr>
              <w:t xml:space="preserve"> en un costo por ofrecer dicho beneficio a los usuarios de sus planes y paquetes, por lo que se considera que debe estar representa</w:t>
            </w:r>
            <w:r w:rsidR="00DE64CD">
              <w:rPr>
                <w:rFonts w:ascii="ITC Avant Garde" w:hAnsi="ITC Avant Garde"/>
                <w:sz w:val="16"/>
                <w:szCs w:val="16"/>
                <w:lang w:val="es-ES_tradnl"/>
              </w:rPr>
              <w:t>do</w:t>
            </w:r>
            <w:r w:rsidR="00DE64CD" w:rsidRPr="001B0180">
              <w:rPr>
                <w:rFonts w:ascii="ITC Avant Garde" w:hAnsi="ITC Avant Garde"/>
                <w:sz w:val="16"/>
                <w:szCs w:val="16"/>
                <w:lang w:val="es-ES_tradnl"/>
              </w:rPr>
              <w:t xml:space="preserve"> como </w:t>
            </w:r>
            <w:r w:rsidR="008A4AB3">
              <w:rPr>
                <w:rFonts w:ascii="ITC Avant Garde" w:hAnsi="ITC Avant Garde"/>
                <w:sz w:val="16"/>
                <w:szCs w:val="16"/>
                <w:lang w:val="es-ES_tradnl"/>
              </w:rPr>
              <w:t>un</w:t>
            </w:r>
            <w:r w:rsidR="00DE64CD" w:rsidRPr="001B0180">
              <w:rPr>
                <w:rFonts w:ascii="ITC Avant Garde" w:hAnsi="ITC Avant Garde"/>
                <w:sz w:val="16"/>
                <w:szCs w:val="16"/>
                <w:lang w:val="es-ES_tradnl"/>
              </w:rPr>
              <w:t xml:space="preserve"> precio implícito </w:t>
            </w:r>
            <w:r w:rsidR="008A4AB3">
              <w:rPr>
                <w:rFonts w:ascii="ITC Avant Garde" w:hAnsi="ITC Avant Garde"/>
                <w:sz w:val="16"/>
                <w:szCs w:val="16"/>
                <w:lang w:val="es-ES_tradnl"/>
              </w:rPr>
              <w:t>aparte del precio implícito determinado</w:t>
            </w:r>
            <w:r w:rsidR="00DE64CD" w:rsidRPr="001B0180">
              <w:rPr>
                <w:rFonts w:ascii="ITC Avant Garde" w:hAnsi="ITC Avant Garde"/>
                <w:sz w:val="16"/>
                <w:szCs w:val="16"/>
                <w:lang w:val="es-ES_tradnl"/>
              </w:rPr>
              <w:t xml:space="preserve"> para </w:t>
            </w:r>
            <w:r w:rsidR="00DE64CD">
              <w:rPr>
                <w:rFonts w:ascii="ITC Avant Garde" w:hAnsi="ITC Avant Garde"/>
                <w:sz w:val="16"/>
                <w:szCs w:val="16"/>
                <w:lang w:val="es-ES_tradnl"/>
              </w:rPr>
              <w:t>Internet</w:t>
            </w:r>
            <w:r w:rsidR="00380573">
              <w:rPr>
                <w:rFonts w:ascii="ITC Avant Garde" w:hAnsi="ITC Avant Garde"/>
                <w:sz w:val="16"/>
                <w:szCs w:val="16"/>
                <w:lang w:val="es-ES_tradnl"/>
              </w:rPr>
              <w:t xml:space="preserve"> </w:t>
            </w:r>
            <w:r>
              <w:rPr>
                <w:rFonts w:ascii="ITC Avant Garde" w:hAnsi="ITC Avant Garde"/>
                <w:sz w:val="16"/>
                <w:szCs w:val="16"/>
                <w:lang w:val="es-ES_tradnl"/>
              </w:rPr>
              <w:t>por</w:t>
            </w:r>
            <w:r w:rsidR="00380573">
              <w:rPr>
                <w:rFonts w:ascii="ITC Avant Garde" w:hAnsi="ITC Avant Garde"/>
                <w:sz w:val="16"/>
                <w:szCs w:val="16"/>
                <w:lang w:val="es-ES_tradnl"/>
              </w:rPr>
              <w:t xml:space="preserve"> el Módulo de Imputación de </w:t>
            </w:r>
            <w:r w:rsidR="009E453D">
              <w:rPr>
                <w:rFonts w:ascii="ITC Avant Garde" w:hAnsi="ITC Avant Garde"/>
                <w:sz w:val="16"/>
                <w:szCs w:val="16"/>
                <w:lang w:val="es-ES_tradnl"/>
              </w:rPr>
              <w:t>P</w:t>
            </w:r>
            <w:r w:rsidR="00380573">
              <w:rPr>
                <w:rFonts w:ascii="ITC Avant Garde" w:hAnsi="ITC Avant Garde"/>
                <w:sz w:val="16"/>
                <w:szCs w:val="16"/>
                <w:lang w:val="es-ES_tradnl"/>
              </w:rPr>
              <w:t>recio</w:t>
            </w:r>
            <w:r w:rsidR="009E453D">
              <w:rPr>
                <w:rFonts w:ascii="ITC Avant Garde" w:hAnsi="ITC Avant Garde"/>
                <w:sz w:val="16"/>
                <w:szCs w:val="16"/>
                <w:lang w:val="es-ES_tradnl"/>
              </w:rPr>
              <w:t>s Implícitos</w:t>
            </w:r>
            <w:r w:rsidR="00DE64CD">
              <w:rPr>
                <w:rFonts w:ascii="ITC Avant Garde" w:hAnsi="ITC Avant Garde"/>
                <w:sz w:val="16"/>
                <w:szCs w:val="16"/>
                <w:lang w:val="es-ES_tradnl"/>
              </w:rPr>
              <w:t>, con el propósito de</w:t>
            </w:r>
            <w:r w:rsidR="00DE64CD" w:rsidRPr="001B0180">
              <w:rPr>
                <w:rFonts w:ascii="ITC Avant Garde" w:hAnsi="ITC Avant Garde"/>
                <w:sz w:val="16"/>
                <w:szCs w:val="16"/>
                <w:lang w:val="es-ES_tradnl"/>
              </w:rPr>
              <w:t xml:space="preserve"> asegurar la recuperación del mismo</w:t>
            </w:r>
            <w:r w:rsidR="00C50DC1">
              <w:rPr>
                <w:rFonts w:ascii="ITC Avant Garde" w:hAnsi="ITC Avant Garde"/>
                <w:sz w:val="16"/>
                <w:szCs w:val="16"/>
                <w:lang w:val="es-ES_tradnl"/>
              </w:rPr>
              <w:t xml:space="preserve"> por parte de Telmex y Telnor</w:t>
            </w:r>
            <w:r w:rsidR="00DE64CD" w:rsidRPr="001B0180">
              <w:rPr>
                <w:rFonts w:ascii="ITC Avant Garde" w:hAnsi="ITC Avant Garde"/>
                <w:sz w:val="16"/>
                <w:szCs w:val="16"/>
                <w:lang w:val="es-ES_tradnl"/>
              </w:rPr>
              <w:t>.</w:t>
            </w:r>
          </w:p>
        </w:tc>
      </w:tr>
    </w:tbl>
    <w:p w14:paraId="1B08FB84" w14:textId="77777777" w:rsidR="00DE64CD" w:rsidRPr="001C5898" w:rsidRDefault="00DE64CD" w:rsidP="00DE64CD">
      <w:pPr>
        <w:pStyle w:val="IFTnormal"/>
        <w:rPr>
          <w:lang w:val="es-MX"/>
        </w:rPr>
      </w:pPr>
    </w:p>
    <w:p w14:paraId="42A5BAEA" w14:textId="388A5697" w:rsidR="00DE64CD" w:rsidRDefault="00DE64CD" w:rsidP="00DE64CD">
      <w:pPr>
        <w:pStyle w:val="IFTnormal"/>
      </w:pPr>
      <w:r>
        <w:t>En consideración de lo anterior</w:t>
      </w:r>
      <w:r w:rsidRPr="007F4989">
        <w:t xml:space="preserve">, en el modelo de costos se adoptó el </w:t>
      </w:r>
      <w:r w:rsidR="00E35EE4" w:rsidRPr="007F4989">
        <w:t xml:space="preserve">siguiente </w:t>
      </w:r>
      <w:r w:rsidRPr="007F4989">
        <w:t>enfoque para estimar los precios implícitos de los conceptos y servicios que integran los planes y paquetes</w:t>
      </w:r>
      <w:r w:rsidR="00D9097E" w:rsidRPr="007F4989">
        <w:t xml:space="preserve"> </w:t>
      </w:r>
      <w:r w:rsidR="00550C58" w:rsidRPr="007F4989">
        <w:t>a parte d</w:t>
      </w:r>
      <w:r w:rsidR="00E35EE4" w:rsidRPr="007F4989">
        <w:t>el</w:t>
      </w:r>
      <w:r w:rsidR="00D9097E" w:rsidRPr="007F4989">
        <w:t xml:space="preserve"> acceso a la línea telefónica, </w:t>
      </w:r>
      <w:r w:rsidR="00E35EE4" w:rsidRPr="007F4989">
        <w:t>los servicios de voz o los</w:t>
      </w:r>
      <w:r w:rsidR="00D9097E" w:rsidRPr="007F4989">
        <w:t xml:space="preserve"> servicios de Internet</w:t>
      </w:r>
      <w:r w:rsidR="00550C58" w:rsidRPr="007F4989">
        <w:t xml:space="preserve">, es decir de los servicios digitales y de los servicios </w:t>
      </w:r>
      <w:r w:rsidR="00E977BF" w:rsidRPr="007F4989">
        <w:t xml:space="preserve">adicionales </w:t>
      </w:r>
      <w:r w:rsidR="00550C58" w:rsidRPr="007F4989">
        <w:t>asociados a la banda ancha</w:t>
      </w:r>
      <w:r>
        <w:t>:</w:t>
      </w:r>
    </w:p>
    <w:p w14:paraId="6B00732E" w14:textId="287DEE72" w:rsidR="00DE64CD" w:rsidRDefault="00770C73" w:rsidP="00DE64CD">
      <w:pPr>
        <w:pStyle w:val="IFTnormal"/>
        <w:numPr>
          <w:ilvl w:val="0"/>
          <w:numId w:val="16"/>
        </w:numPr>
        <w:rPr>
          <w:b/>
        </w:rPr>
      </w:pPr>
      <w:r>
        <w:rPr>
          <w:b/>
        </w:rPr>
        <w:t>Asociados a los s</w:t>
      </w:r>
      <w:r w:rsidR="00DE64CD" w:rsidRPr="00EA4D9D">
        <w:rPr>
          <w:b/>
        </w:rPr>
        <w:t xml:space="preserve">ervicios </w:t>
      </w:r>
      <w:r w:rsidR="00DE64CD">
        <w:rPr>
          <w:b/>
        </w:rPr>
        <w:t>de renta de línea</w:t>
      </w:r>
      <w:r w:rsidR="00DE64CD">
        <w:t>. -</w:t>
      </w:r>
      <w:r w:rsidR="00DE64CD">
        <w:rPr>
          <w:b/>
        </w:rPr>
        <w:t xml:space="preserve"> </w:t>
      </w:r>
      <w:r w:rsidR="00DE64CD">
        <w:t>se descompone mediante los siguientes elementos:</w:t>
      </w:r>
    </w:p>
    <w:p w14:paraId="3B6DE724" w14:textId="6F2D7D4A" w:rsidR="00770C73" w:rsidRPr="00770C73" w:rsidRDefault="00770C73" w:rsidP="00770C73">
      <w:pPr>
        <w:pStyle w:val="IFTnormal"/>
        <w:numPr>
          <w:ilvl w:val="1"/>
          <w:numId w:val="16"/>
        </w:numPr>
        <w:rPr>
          <w:i/>
        </w:rPr>
      </w:pPr>
      <w:r w:rsidRPr="00770C73">
        <w:rPr>
          <w:i/>
        </w:rPr>
        <w:t xml:space="preserve">Servicios digitales </w:t>
      </w:r>
    </w:p>
    <w:p w14:paraId="06CE6C70" w14:textId="2B86BA13" w:rsidR="00DE64CD" w:rsidRPr="007A27CF" w:rsidRDefault="00DE64CD" w:rsidP="00DE64CD">
      <w:pPr>
        <w:pStyle w:val="IFTnormal"/>
        <w:numPr>
          <w:ilvl w:val="2"/>
          <w:numId w:val="16"/>
        </w:numPr>
        <w:rPr>
          <w:b/>
        </w:rPr>
      </w:pPr>
      <w:r>
        <w:t xml:space="preserve">En el caso </w:t>
      </w:r>
      <w:r w:rsidR="0000502D">
        <w:t xml:space="preserve">de </w:t>
      </w:r>
      <w:r w:rsidR="002F4CFF">
        <w:t>la “línea residencial”</w:t>
      </w:r>
      <w:r>
        <w:t>, se estima el valor del precio del número de servicios digitales</w:t>
      </w:r>
      <w:r>
        <w:rPr>
          <w:rStyle w:val="Refdenotaalpie"/>
        </w:rPr>
        <w:footnoteReference w:id="18"/>
      </w:r>
      <w:r>
        <w:t xml:space="preserve"> que se incluyen </w:t>
      </w:r>
      <w:r>
        <w:lastRenderedPageBreak/>
        <w:t>en la renta mensual</w:t>
      </w:r>
      <w:r w:rsidR="00DD07E3">
        <w:t xml:space="preserve"> por el periodo de tiempo determinado</w:t>
      </w:r>
      <w:r w:rsidR="00A76FBE">
        <w:t xml:space="preserve"> en las condiciones comerciales</w:t>
      </w:r>
      <w:r w:rsidR="002F4CFF">
        <w:t xml:space="preserve">, </w:t>
      </w:r>
      <w:r>
        <w:t>ponderad</w:t>
      </w:r>
      <w:r w:rsidR="0000502D">
        <w:t>o</w:t>
      </w:r>
      <w:r>
        <w:t xml:space="preserve"> por el periodo de r</w:t>
      </w:r>
      <w:r w:rsidR="00C50DC1">
        <w:t>etención de los clientes de Telmex y Telnor</w:t>
      </w:r>
      <w:r>
        <w:t xml:space="preserve"> (en meses).</w:t>
      </w:r>
    </w:p>
    <w:p w14:paraId="3822A98E" w14:textId="0960AA74" w:rsidR="00DE64CD" w:rsidRPr="007A27CF" w:rsidRDefault="00DD07E3" w:rsidP="00DE64CD">
      <w:pPr>
        <w:pStyle w:val="IFTnormal"/>
        <w:numPr>
          <w:ilvl w:val="2"/>
          <w:numId w:val="16"/>
        </w:numPr>
        <w:rPr>
          <w:b/>
        </w:rPr>
      </w:pPr>
      <w:r>
        <w:t>En el caso de los planes y paquetes que cuentan con una cantidad de servicios digitales de forma permanente</w:t>
      </w:r>
      <w:r w:rsidRPr="007A27CF">
        <w:t xml:space="preserve"> </w:t>
      </w:r>
      <w:r>
        <w:t>s</w:t>
      </w:r>
      <w:r w:rsidR="00DE64CD" w:rsidRPr="007A27CF">
        <w:t xml:space="preserve">e considera </w:t>
      </w:r>
      <w:r>
        <w:t xml:space="preserve">el valor de la renta mensual por esta cantidad de servicios digitales cuando son vendidos como opción </w:t>
      </w:r>
      <w:r w:rsidR="00A76FBE">
        <w:t xml:space="preserve">independiente </w:t>
      </w:r>
      <w:r>
        <w:t xml:space="preserve">por </w:t>
      </w:r>
      <w:r w:rsidR="00C50DC1">
        <w:t>Telmex y Telnor</w:t>
      </w:r>
      <w:r>
        <w:t xml:space="preserve"> a sus clientes. </w:t>
      </w:r>
    </w:p>
    <w:p w14:paraId="24CF6E26" w14:textId="77777777" w:rsidR="00DE64CD" w:rsidRPr="007A27CF" w:rsidRDefault="00DE64CD" w:rsidP="00DE64CD">
      <w:pPr>
        <w:pStyle w:val="IFTnormal"/>
        <w:numPr>
          <w:ilvl w:val="1"/>
          <w:numId w:val="16"/>
        </w:numPr>
        <w:rPr>
          <w:b/>
        </w:rPr>
      </w:pPr>
      <w:r>
        <w:rPr>
          <w:i/>
        </w:rPr>
        <w:t>Servicios de voz incluidos en la renta de línea:</w:t>
      </w:r>
    </w:p>
    <w:p w14:paraId="44C17F2C" w14:textId="12BA5FE5" w:rsidR="00DE64CD" w:rsidRPr="007A27CF" w:rsidRDefault="00DE64CD" w:rsidP="00DE64CD">
      <w:pPr>
        <w:pStyle w:val="IFTnormal"/>
        <w:numPr>
          <w:ilvl w:val="2"/>
          <w:numId w:val="16"/>
        </w:numPr>
        <w:rPr>
          <w:b/>
        </w:rPr>
      </w:pPr>
      <w:r>
        <w:t>Para</w:t>
      </w:r>
      <w:r w:rsidRPr="007A27CF">
        <w:t xml:space="preserve"> los planes y paquetes residenciales</w:t>
      </w:r>
      <w:r>
        <w:t xml:space="preserve">, </w:t>
      </w:r>
      <w:r w:rsidR="008512A0">
        <w:t xml:space="preserve">el valor del servicio de voz </w:t>
      </w:r>
      <w:r>
        <w:t>se estima como el producto entre el valor promedio de las llamadas consumidas (de las 100 llamadas a destinos locales que se incluyen como parte de la renta mensual de una “línea residencial”) y una estimación del precio del minuto por llamada telefónica</w:t>
      </w:r>
      <w:r>
        <w:rPr>
          <w:rStyle w:val="Refdenotaalpie"/>
        </w:rPr>
        <w:footnoteReference w:id="19"/>
      </w:r>
      <w:r>
        <w:t>.</w:t>
      </w:r>
    </w:p>
    <w:p w14:paraId="4E388CE1" w14:textId="77777777" w:rsidR="00DE64CD" w:rsidRPr="007A27CF" w:rsidRDefault="00DE64CD" w:rsidP="00DE64CD">
      <w:pPr>
        <w:pStyle w:val="IFTnormal"/>
        <w:numPr>
          <w:ilvl w:val="2"/>
          <w:numId w:val="16"/>
        </w:numPr>
        <w:rPr>
          <w:b/>
        </w:rPr>
      </w:pPr>
      <w:r w:rsidRPr="007A27CF">
        <w:lastRenderedPageBreak/>
        <w:t>Se considera cero en el caso de los planes y paquetes no residenciales</w:t>
      </w:r>
      <w:r>
        <w:t>, dado que la renta mensual de una “línea comercial” no incluye llamadas.</w:t>
      </w:r>
    </w:p>
    <w:p w14:paraId="6A818208" w14:textId="3888C1AD" w:rsidR="00DE64CD" w:rsidRPr="00B82894" w:rsidRDefault="00770C73" w:rsidP="00DE64CD">
      <w:pPr>
        <w:pStyle w:val="IFTnormal"/>
        <w:numPr>
          <w:ilvl w:val="1"/>
          <w:numId w:val="16"/>
        </w:numPr>
        <w:rPr>
          <w:b/>
        </w:rPr>
      </w:pPr>
      <w:r>
        <w:rPr>
          <w:i/>
        </w:rPr>
        <w:t xml:space="preserve">El </w:t>
      </w:r>
      <w:r w:rsidR="00DE64CD">
        <w:rPr>
          <w:i/>
        </w:rPr>
        <w:t>A</w:t>
      </w:r>
      <w:r w:rsidR="00DE64CD" w:rsidRPr="006A3C8C">
        <w:rPr>
          <w:i/>
        </w:rPr>
        <w:t xml:space="preserve">cceso a la línea telefónica: </w:t>
      </w:r>
      <w:r>
        <w:t>s</w:t>
      </w:r>
      <w:r w:rsidR="00DE64CD">
        <w:t>e estima como la diferencia entra la renta mensual según su tipo de uso (residencial o no residencial), y el valor estimado para</w:t>
      </w:r>
      <w:r w:rsidR="00DE64CD" w:rsidRPr="006A3C8C">
        <w:t xml:space="preserve"> servicios digitales</w:t>
      </w:r>
      <w:r w:rsidR="00DE64CD">
        <w:t xml:space="preserve"> y </w:t>
      </w:r>
      <w:r w:rsidR="00DE64CD" w:rsidRPr="006A3C8C">
        <w:t>servicios de voz incluidos en la renta de línea</w:t>
      </w:r>
      <w:r w:rsidR="00DE64CD">
        <w:t>.</w:t>
      </w:r>
      <w:r w:rsidR="003C4E27">
        <w:t xml:space="preserve"> </w:t>
      </w:r>
      <w:r w:rsidR="003C4E27" w:rsidRPr="008512A0">
        <w:rPr>
          <w:b/>
        </w:rPr>
        <w:t>Esta estimación sirve de valor de entrada para determinar el precio implícito del acceso a la(s) línea(s) telefónica(s) de los paquetes en el Módulo de Imputación de Precios</w:t>
      </w:r>
      <w:r w:rsidR="009E453D">
        <w:rPr>
          <w:b/>
        </w:rPr>
        <w:t xml:space="preserve"> Implícitos</w:t>
      </w:r>
      <w:r w:rsidR="003C4E27" w:rsidRPr="008512A0">
        <w:rPr>
          <w:b/>
        </w:rPr>
        <w:t>.</w:t>
      </w:r>
      <w:r w:rsidR="003C4E27">
        <w:t xml:space="preserve">  </w:t>
      </w:r>
    </w:p>
    <w:p w14:paraId="6B1246DF" w14:textId="6BBE5037" w:rsidR="00DE64CD" w:rsidRPr="00274850" w:rsidRDefault="00DE64CD" w:rsidP="00DE64CD">
      <w:pPr>
        <w:pStyle w:val="IFTnormal"/>
        <w:numPr>
          <w:ilvl w:val="0"/>
          <w:numId w:val="16"/>
        </w:numPr>
      </w:pPr>
      <w:r>
        <w:rPr>
          <w:b/>
        </w:rPr>
        <w:t>Asociados a servicios de voz</w:t>
      </w:r>
      <w:r>
        <w:t>. –</w:t>
      </w:r>
      <w:r>
        <w:rPr>
          <w:b/>
        </w:rPr>
        <w:t xml:space="preserve"> </w:t>
      </w:r>
      <w:r>
        <w:t>la representación de estos servicios se realiza</w:t>
      </w:r>
      <w:r w:rsidR="0094373A">
        <w:t xml:space="preserve"> a partir de los resultados residuales del Módulo de Imputación de Precio</w:t>
      </w:r>
      <w:r w:rsidR="009E453D">
        <w:t>s</w:t>
      </w:r>
      <w:r w:rsidR="0094373A">
        <w:t xml:space="preserve"> Implícitos. En el Modelo de Costos Evitados no se hace distinción entre el destino de las llamadas.</w:t>
      </w:r>
    </w:p>
    <w:p w14:paraId="0818FC53" w14:textId="72C01C87" w:rsidR="00DE64CD" w:rsidRDefault="00806136" w:rsidP="00806136">
      <w:pPr>
        <w:pStyle w:val="IFTnormal"/>
      </w:pPr>
      <w:r>
        <w:t>L</w:t>
      </w:r>
      <w:r w:rsidR="00DE64CD" w:rsidRPr="008F0715">
        <w:t>os conceptos anteriores se suman para representar el valor conjunto de la provisió</w:t>
      </w:r>
      <w:r w:rsidR="00DE64CD">
        <w:t>n de los servicios mencionados</w:t>
      </w:r>
      <w:r w:rsidR="00DE64CD" w:rsidRPr="008F0715">
        <w:t>. A partir de ello, se calcula la desviación, en términos de porcentaje, que tiene</w:t>
      </w:r>
      <w:r w:rsidR="00DE64CD">
        <w:t xml:space="preserve"> este valor conjunto respecto al precio minorista del paquete. Este porcentaje </w:t>
      </w:r>
      <w:r w:rsidR="00DE64CD" w:rsidRPr="008F0715">
        <w:t xml:space="preserve">se emplea </w:t>
      </w:r>
      <w:r w:rsidR="00DE64CD">
        <w:t>sobre</w:t>
      </w:r>
      <w:r w:rsidR="00DE64CD" w:rsidRPr="008F0715">
        <w:t xml:space="preserve"> el valor </w:t>
      </w:r>
      <w:r w:rsidR="00DE64CD">
        <w:t>de cada servicio para determinar</w:t>
      </w:r>
      <w:r w:rsidR="00DE64CD" w:rsidRPr="008F0715">
        <w:t xml:space="preserve"> </w:t>
      </w:r>
      <w:r w:rsidR="00DE64CD">
        <w:t>los</w:t>
      </w:r>
      <w:r w:rsidR="00DE64CD" w:rsidRPr="008F0715">
        <w:t xml:space="preserve"> precio</w:t>
      </w:r>
      <w:r w:rsidR="00DE64CD">
        <w:t>s</w:t>
      </w:r>
      <w:r w:rsidR="00DE64CD" w:rsidRPr="008F0715">
        <w:t xml:space="preserve"> implícito</w:t>
      </w:r>
      <w:r w:rsidR="00DE64CD">
        <w:t>s de los mismos</w:t>
      </w:r>
      <w:r w:rsidR="00DE64CD" w:rsidRPr="008F0715">
        <w:t xml:space="preserve">, </w:t>
      </w:r>
      <w:r>
        <w:t xml:space="preserve">incluyendo los servicios digitales, </w:t>
      </w:r>
      <w:r w:rsidR="00DE64CD" w:rsidRPr="008F0715">
        <w:t xml:space="preserve">garantizando que la suma de los precios implícitos calculados para todos los servicios </w:t>
      </w:r>
      <w:r w:rsidR="00DE64CD">
        <w:t>sea equivalente</w:t>
      </w:r>
      <w:r w:rsidR="00DE64CD" w:rsidRPr="008F0715">
        <w:t xml:space="preserve"> </w:t>
      </w:r>
      <w:r w:rsidR="00DE64CD">
        <w:t xml:space="preserve">a </w:t>
      </w:r>
      <w:r w:rsidR="00DE64CD" w:rsidRPr="008F0715">
        <w:t>la composición de precios</w:t>
      </w:r>
      <w:r w:rsidR="00DE64CD" w:rsidRPr="009B4853">
        <w:t>.</w:t>
      </w:r>
    </w:p>
    <w:p w14:paraId="6A291911" w14:textId="58B4FBAB" w:rsidR="00770C73" w:rsidRDefault="00B02206" w:rsidP="00770C73">
      <w:pPr>
        <w:pStyle w:val="IFTnormal"/>
      </w:pPr>
      <w:r w:rsidRPr="00806136">
        <w:rPr>
          <w:noProof/>
          <w:lang w:val="es-MX" w:eastAsia="es-MX"/>
        </w:rPr>
        <mc:AlternateContent>
          <mc:Choice Requires="wps">
            <w:drawing>
              <wp:anchor distT="0" distB="0" distL="114300" distR="114300" simplePos="0" relativeHeight="251658252" behindDoc="0" locked="0" layoutInCell="1" allowOverlap="1" wp14:anchorId="68AA3C8A" wp14:editId="0F1F79D3">
                <wp:simplePos x="0" y="0"/>
                <wp:positionH relativeFrom="column">
                  <wp:posOffset>113665</wp:posOffset>
                </wp:positionH>
                <wp:positionV relativeFrom="paragraph">
                  <wp:posOffset>451485</wp:posOffset>
                </wp:positionV>
                <wp:extent cx="1117600" cy="577850"/>
                <wp:effectExtent l="0" t="0" r="6350" b="0"/>
                <wp:wrapNone/>
                <wp:docPr id="45" name="CuadroTexto 11"/>
                <wp:cNvGraphicFramePr/>
                <a:graphic xmlns:a="http://schemas.openxmlformats.org/drawingml/2006/main">
                  <a:graphicData uri="http://schemas.microsoft.com/office/word/2010/wordprocessingShape">
                    <wps:wsp>
                      <wps:cNvSpPr txBox="1"/>
                      <wps:spPr>
                        <a:xfrm>
                          <a:off x="0" y="0"/>
                          <a:ext cx="1117600" cy="577850"/>
                        </a:xfrm>
                        <a:prstGeom prst="rect">
                          <a:avLst/>
                        </a:prstGeom>
                        <a:solidFill>
                          <a:srgbClr val="7F7F7F"/>
                        </a:solidFill>
                        <a:ln>
                          <a:noFill/>
                        </a:ln>
                      </wps:spPr>
                      <wps:txbx>
                        <w:txbxContent>
                          <w:p w14:paraId="1041B392" w14:textId="2743CE0F" w:rsidR="00012570" w:rsidRPr="00B02206" w:rsidRDefault="00012570" w:rsidP="00806136">
                            <w:pPr>
                              <w:pStyle w:val="NormalWeb"/>
                              <w:spacing w:before="0" w:beforeAutospacing="0" w:after="0" w:afterAutospacing="0"/>
                              <w:jc w:val="center"/>
                              <w:rPr>
                                <w:sz w:val="16"/>
                                <w:szCs w:val="15"/>
                              </w:rPr>
                            </w:pPr>
                            <w:r>
                              <w:rPr>
                                <w:rFonts w:ascii="ITC Avant Garde" w:hAnsi="ITC Avant Garde" w:cstheme="minorBidi"/>
                                <w:color w:val="FFFFFF" w:themeColor="background1"/>
                                <w:kern w:val="24"/>
                                <w:sz w:val="16"/>
                                <w:szCs w:val="15"/>
                              </w:rPr>
                              <w:t xml:space="preserve">Datos Telmex y Telnor </w:t>
                            </w:r>
                            <w:r w:rsidRPr="00B02206">
                              <w:rPr>
                                <w:rFonts w:ascii="ITC Avant Garde" w:hAnsi="ITC Avant Garde" w:cstheme="minorBidi"/>
                                <w:color w:val="FFFFFF" w:themeColor="background1"/>
                                <w:kern w:val="24"/>
                                <w:sz w:val="16"/>
                                <w:szCs w:val="15"/>
                              </w:rPr>
                              <w:t>y Módulo de Imputación de Precios</w:t>
                            </w:r>
                            <w:r>
                              <w:rPr>
                                <w:rFonts w:ascii="ITC Avant Garde" w:hAnsi="ITC Avant Garde" w:cstheme="minorBidi"/>
                                <w:color w:val="FFFFFF" w:themeColor="background1"/>
                                <w:kern w:val="24"/>
                                <w:sz w:val="16"/>
                                <w:szCs w:val="15"/>
                              </w:rPr>
                              <w:t xml:space="preserve"> Implícitos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8AA3C8A" id="_x0000_t202" coordsize="21600,21600" o:spt="202" path="m,l,21600r21600,l21600,xe">
                <v:stroke joinstyle="miter"/>
                <v:path gradientshapeok="t" o:connecttype="rect"/>
              </v:shapetype>
              <v:shape id="CuadroTexto 11" o:spid="_x0000_s1026" type="#_x0000_t202" style="position:absolute;left:0;text-align:left;margin-left:8.95pt;margin-top:35.55pt;width:88pt;height:4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" fillcolor="#7f7f7f" stroked="f">
                <v:textbox>
                  <w:txbxContent>
                    <w:p w14:paraId="1041B392" w14:textId="2743CE0F" w:rsidR="00012570" w:rsidRPr="00B02206" w:rsidRDefault="00012570" w:rsidP="00806136">
                      <w:pPr>
                        <w:pStyle w:val="NormalWeb"/>
                        <w:spacing w:before="0" w:beforeAutospacing="0" w:after="0" w:afterAutospacing="0"/>
                        <w:jc w:val="center"/>
                        <w:rPr>
                          <w:sz w:val="16"/>
                          <w:szCs w:val="15"/>
                        </w:rPr>
                      </w:pPr>
                      <w:r>
                        <w:rPr>
                          <w:rFonts w:ascii="ITC Avant Garde" w:hAnsi="ITC Avant Garde" w:cstheme="minorBidi"/>
                          <w:color w:val="FFFFFF" w:themeColor="background1"/>
                          <w:kern w:val="24"/>
                          <w:sz w:val="16"/>
                          <w:szCs w:val="15"/>
                        </w:rPr>
                        <w:t xml:space="preserve">Datos Telmex y Telnor </w:t>
                      </w:r>
                      <w:r w:rsidRPr="00B02206">
                        <w:rPr>
                          <w:rFonts w:ascii="ITC Avant Garde" w:hAnsi="ITC Avant Garde" w:cstheme="minorBidi"/>
                          <w:color w:val="FFFFFF" w:themeColor="background1"/>
                          <w:kern w:val="24"/>
                          <w:sz w:val="16"/>
                          <w:szCs w:val="15"/>
                        </w:rPr>
                        <w:t>y Módulo de Imputación de Precios</w:t>
                      </w:r>
                      <w:r>
                        <w:rPr>
                          <w:rFonts w:ascii="ITC Avant Garde" w:hAnsi="ITC Avant Garde" w:cstheme="minorBidi"/>
                          <w:color w:val="FFFFFF" w:themeColor="background1"/>
                          <w:kern w:val="24"/>
                          <w:sz w:val="16"/>
                          <w:szCs w:val="15"/>
                        </w:rPr>
                        <w:t xml:space="preserve"> Implícitos</w:t>
                      </w:r>
                    </w:p>
                  </w:txbxContent>
                </v:textbox>
              </v:shape>
            </w:pict>
          </mc:Fallback>
        </mc:AlternateContent>
      </w:r>
      <w:r w:rsidR="00806136" w:rsidRPr="00806136">
        <w:rPr>
          <w:noProof/>
          <w:lang w:val="es-MX" w:eastAsia="es-MX"/>
        </w:rPr>
        <mc:AlternateContent>
          <mc:Choice Requires="wps">
            <w:drawing>
              <wp:anchor distT="0" distB="0" distL="114300" distR="114300" simplePos="0" relativeHeight="251658250" behindDoc="0" locked="0" layoutInCell="1" allowOverlap="1" wp14:anchorId="3980C1EC" wp14:editId="0B3DE1C0">
                <wp:simplePos x="0" y="0"/>
                <wp:positionH relativeFrom="column">
                  <wp:posOffset>2736215</wp:posOffset>
                </wp:positionH>
                <wp:positionV relativeFrom="paragraph">
                  <wp:posOffset>318135</wp:posOffset>
                </wp:positionV>
                <wp:extent cx="527050" cy="146050"/>
                <wp:effectExtent l="0" t="0" r="6350" b="6350"/>
                <wp:wrapNone/>
                <wp:docPr id="42" name="CuadroTexto 7"/>
                <wp:cNvGraphicFramePr/>
                <a:graphic xmlns:a="http://schemas.openxmlformats.org/drawingml/2006/main">
                  <a:graphicData uri="http://schemas.microsoft.com/office/word/2010/wordprocessingShape">
                    <wps:wsp>
                      <wps:cNvSpPr txBox="1"/>
                      <wps:spPr>
                        <a:xfrm>
                          <a:off x="0" y="0"/>
                          <a:ext cx="527050" cy="146050"/>
                        </a:xfrm>
                        <a:prstGeom prst="rect">
                          <a:avLst/>
                        </a:prstGeom>
                        <a:solidFill>
                          <a:srgbClr val="C4DD8E"/>
                        </a:solidFill>
                        <a:ln>
                          <a:noFill/>
                        </a:ln>
                      </wps:spPr>
                      <wps:txbx>
                        <w:txbxContent>
                          <w:p w14:paraId="1304B262" w14:textId="77777777" w:rsidR="00012570" w:rsidRDefault="00012570" w:rsidP="00806136">
                            <w:pPr>
                              <w:pStyle w:val="NormalWeb"/>
                              <w:spacing w:before="0" w:beforeAutospacing="0" w:after="0" w:afterAutospacing="0"/>
                              <w:jc w:val="cente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980C1EC" id="CuadroTexto 7" o:spid="_x0000_s1027" type="#_x0000_t202" style="position:absolute;left:0;text-align:left;margin-left:215.45pt;margin-top:25.05pt;width:41.5pt;height:1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" fillcolor="#c4dd8e" stroked="f">
                <v:textbox>
                  <w:txbxContent>
                    <w:p w14:paraId="1304B262" w14:textId="77777777" w:rsidR="00012570" w:rsidRDefault="00012570" w:rsidP="00806136">
                      <w:pPr>
                        <w:pStyle w:val="NormalWeb"/>
                        <w:spacing w:before="0" w:beforeAutospacing="0" w:after="0" w:afterAutospacing="0"/>
                        <w:jc w:val="center"/>
                      </w:pPr>
                    </w:p>
                  </w:txbxContent>
                </v:textbox>
              </v:shape>
            </w:pict>
          </mc:Fallback>
        </mc:AlternateContent>
      </w:r>
      <w:r w:rsidR="00806136" w:rsidRPr="00806136">
        <w:rPr>
          <w:noProof/>
          <w:lang w:val="es-MX" w:eastAsia="es-MX"/>
        </w:rPr>
        <mc:AlternateContent>
          <mc:Choice Requires="wps">
            <w:drawing>
              <wp:anchor distT="0" distB="0" distL="114300" distR="114300" simplePos="0" relativeHeight="251658251" behindDoc="0" locked="0" layoutInCell="1" allowOverlap="1" wp14:anchorId="7F5C0153" wp14:editId="1D315753">
                <wp:simplePos x="0" y="0"/>
                <wp:positionH relativeFrom="column">
                  <wp:posOffset>2672715</wp:posOffset>
                </wp:positionH>
                <wp:positionV relativeFrom="paragraph">
                  <wp:posOffset>984885</wp:posOffset>
                </wp:positionV>
                <wp:extent cx="584200" cy="139700"/>
                <wp:effectExtent l="0" t="0" r="6350" b="0"/>
                <wp:wrapNone/>
                <wp:docPr id="44" name="CuadroTexto 7"/>
                <wp:cNvGraphicFramePr/>
                <a:graphic xmlns:a="http://schemas.openxmlformats.org/drawingml/2006/main">
                  <a:graphicData uri="http://schemas.microsoft.com/office/word/2010/wordprocessingShape">
                    <wps:wsp>
                      <wps:cNvSpPr txBox="1"/>
                      <wps:spPr>
                        <a:xfrm>
                          <a:off x="0" y="0"/>
                          <a:ext cx="584200" cy="139700"/>
                        </a:xfrm>
                        <a:prstGeom prst="rect">
                          <a:avLst/>
                        </a:prstGeom>
                        <a:solidFill>
                          <a:srgbClr val="C4DD8E"/>
                        </a:solidFill>
                        <a:ln>
                          <a:noFill/>
                        </a:ln>
                      </wps:spPr>
                      <wps:txbx>
                        <w:txbxContent>
                          <w:p w14:paraId="3399C0F0" w14:textId="77777777" w:rsidR="00012570" w:rsidRDefault="00012570" w:rsidP="00806136">
                            <w:pPr>
                              <w:pStyle w:val="NormalWeb"/>
                              <w:spacing w:before="0" w:beforeAutospacing="0" w:after="0" w:afterAutospacing="0"/>
                              <w:jc w:val="cente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5C0153" id="_x0000_s1028" type="#_x0000_t202" style="position:absolute;left:0;text-align:left;margin-left:210.45pt;margin-top:77.55pt;width:46pt;height:1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" fillcolor="#c4dd8e" stroked="f">
                <v:textbox>
                  <w:txbxContent>
                    <w:p w14:paraId="3399C0F0" w14:textId="77777777" w:rsidR="00012570" w:rsidRDefault="00012570" w:rsidP="00806136">
                      <w:pPr>
                        <w:pStyle w:val="NormalWeb"/>
                        <w:spacing w:before="0" w:beforeAutospacing="0" w:after="0" w:afterAutospacing="0"/>
                        <w:jc w:val="center"/>
                      </w:pPr>
                    </w:p>
                  </w:txbxContent>
                </v:textbox>
              </v:shape>
            </w:pict>
          </mc:Fallback>
        </mc:AlternateContent>
      </w:r>
      <w:r w:rsidR="00806136" w:rsidRPr="00806136">
        <w:rPr>
          <w:noProof/>
          <w:lang w:val="es-MX" w:eastAsia="es-MX"/>
        </w:rPr>
        <mc:AlternateContent>
          <mc:Choice Requires="wps">
            <w:drawing>
              <wp:anchor distT="0" distB="0" distL="114300" distR="114300" simplePos="0" relativeHeight="251658249" behindDoc="0" locked="0" layoutInCell="1" allowOverlap="1" wp14:anchorId="7FE156D1" wp14:editId="5B3C1844">
                <wp:simplePos x="0" y="0"/>
                <wp:positionH relativeFrom="column">
                  <wp:posOffset>1955165</wp:posOffset>
                </wp:positionH>
                <wp:positionV relativeFrom="paragraph">
                  <wp:posOffset>1127760</wp:posOffset>
                </wp:positionV>
                <wp:extent cx="1054100" cy="127000"/>
                <wp:effectExtent l="0" t="0" r="0" b="6350"/>
                <wp:wrapNone/>
                <wp:docPr id="41" name="CuadroTexto 7"/>
                <wp:cNvGraphicFramePr/>
                <a:graphic xmlns:a="http://schemas.openxmlformats.org/drawingml/2006/main">
                  <a:graphicData uri="http://schemas.microsoft.com/office/word/2010/wordprocessingShape">
                    <wps:wsp>
                      <wps:cNvSpPr txBox="1"/>
                      <wps:spPr>
                        <a:xfrm>
                          <a:off x="0" y="0"/>
                          <a:ext cx="1054100" cy="127000"/>
                        </a:xfrm>
                        <a:prstGeom prst="rect">
                          <a:avLst/>
                        </a:prstGeom>
                        <a:solidFill>
                          <a:srgbClr val="C4DD8E"/>
                        </a:solidFill>
                        <a:ln>
                          <a:noFill/>
                        </a:ln>
                      </wps:spPr>
                      <wps:txbx>
                        <w:txbxContent>
                          <w:p w14:paraId="69E6C054" w14:textId="77777777" w:rsidR="00012570" w:rsidRDefault="00012570" w:rsidP="00806136">
                            <w:pPr>
                              <w:pStyle w:val="NormalWeb"/>
                              <w:spacing w:before="0" w:beforeAutospacing="0" w:after="0" w:afterAutospacing="0"/>
                              <w:jc w:val="cente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E156D1" id="_x0000_s1029" type="#_x0000_t202" style="position:absolute;left:0;text-align:left;margin-left:153.95pt;margin-top:88.8pt;width:83pt;height:10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" fillcolor="#c4dd8e" stroked="f">
                <v:textbox>
                  <w:txbxContent>
                    <w:p w14:paraId="69E6C054" w14:textId="77777777" w:rsidR="00012570" w:rsidRDefault="00012570" w:rsidP="00806136">
                      <w:pPr>
                        <w:pStyle w:val="NormalWeb"/>
                        <w:spacing w:before="0" w:beforeAutospacing="0" w:after="0" w:afterAutospacing="0"/>
                        <w:jc w:val="center"/>
                      </w:pPr>
                    </w:p>
                  </w:txbxContent>
                </v:textbox>
              </v:shape>
            </w:pict>
          </mc:Fallback>
        </mc:AlternateContent>
      </w:r>
      <w:r w:rsidR="00806136" w:rsidRPr="00806136">
        <w:rPr>
          <w:noProof/>
          <w:lang w:val="es-MX" w:eastAsia="es-MX"/>
        </w:rPr>
        <mc:AlternateContent>
          <mc:Choice Requires="wps">
            <w:drawing>
              <wp:anchor distT="0" distB="0" distL="114300" distR="114300" simplePos="0" relativeHeight="251658248" behindDoc="0" locked="0" layoutInCell="1" allowOverlap="1" wp14:anchorId="233A2CE2" wp14:editId="43C7ABCB">
                <wp:simplePos x="0" y="0"/>
                <wp:positionH relativeFrom="column">
                  <wp:posOffset>1999615</wp:posOffset>
                </wp:positionH>
                <wp:positionV relativeFrom="paragraph">
                  <wp:posOffset>451485</wp:posOffset>
                </wp:positionV>
                <wp:extent cx="1054100" cy="127000"/>
                <wp:effectExtent l="0" t="0" r="0" b="6350"/>
                <wp:wrapNone/>
                <wp:docPr id="39" name="CuadroTexto 7"/>
                <wp:cNvGraphicFramePr/>
                <a:graphic xmlns:a="http://schemas.openxmlformats.org/drawingml/2006/main">
                  <a:graphicData uri="http://schemas.microsoft.com/office/word/2010/wordprocessingShape">
                    <wps:wsp>
                      <wps:cNvSpPr txBox="1"/>
                      <wps:spPr>
                        <a:xfrm>
                          <a:off x="0" y="0"/>
                          <a:ext cx="1054100" cy="127000"/>
                        </a:xfrm>
                        <a:prstGeom prst="rect">
                          <a:avLst/>
                        </a:prstGeom>
                        <a:solidFill>
                          <a:srgbClr val="C4DD8E"/>
                        </a:solidFill>
                        <a:ln>
                          <a:noFill/>
                        </a:ln>
                      </wps:spPr>
                      <wps:txbx>
                        <w:txbxContent>
                          <w:p w14:paraId="30060834" w14:textId="24CE61A6" w:rsidR="00012570" w:rsidRDefault="00012570" w:rsidP="00806136">
                            <w:pPr>
                              <w:pStyle w:val="NormalWeb"/>
                              <w:spacing w:before="0" w:beforeAutospacing="0" w:after="0" w:afterAutospacing="0"/>
                              <w:jc w:val="cente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3A2CE2" id="_x0000_s1030" type="#_x0000_t202" style="position:absolute;left:0;text-align:left;margin-left:157.45pt;margin-top:35.55pt;width:83pt;height:10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" fillcolor="#c4dd8e" stroked="f">
                <v:textbox>
                  <w:txbxContent>
                    <w:p w14:paraId="30060834" w14:textId="24CE61A6" w:rsidR="00012570" w:rsidRDefault="00012570" w:rsidP="00806136">
                      <w:pPr>
                        <w:pStyle w:val="NormalWeb"/>
                        <w:spacing w:before="0" w:beforeAutospacing="0" w:after="0" w:afterAutospacing="0"/>
                        <w:jc w:val="center"/>
                      </w:pPr>
                    </w:p>
                  </w:txbxContent>
                </v:textbox>
              </v:shape>
            </w:pict>
          </mc:Fallback>
        </mc:AlternateContent>
      </w:r>
      <w:r w:rsidR="00770C73">
        <w:rPr>
          <w:noProof/>
          <w:lang w:val="es-MX" w:eastAsia="es-MX"/>
        </w:rPr>
        <w:drawing>
          <wp:inline distT="0" distB="0" distL="0" distR="0" wp14:anchorId="148B3736" wp14:editId="476DCC80">
            <wp:extent cx="5971540" cy="3644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1540" cy="3644265"/>
                    </a:xfrm>
                    <a:prstGeom prst="rect">
                      <a:avLst/>
                    </a:prstGeom>
                  </pic:spPr>
                </pic:pic>
              </a:graphicData>
            </a:graphic>
          </wp:inline>
        </w:drawing>
      </w:r>
    </w:p>
    <w:p w14:paraId="45B38F3F" w14:textId="20D64DA2" w:rsidR="00770C73" w:rsidRDefault="00770C73" w:rsidP="00770C73">
      <w:pPr>
        <w:pStyle w:val="IFTnormal"/>
        <w:rPr>
          <w:color w:val="000000" w:themeColor="text1"/>
          <w:sz w:val="18"/>
          <w:szCs w:val="18"/>
        </w:rPr>
      </w:pPr>
      <w:r>
        <w:rPr>
          <w:b/>
          <w:color w:val="000000" w:themeColor="text1"/>
          <w:sz w:val="18"/>
          <w:szCs w:val="18"/>
        </w:rPr>
        <w:t>F</w:t>
      </w:r>
      <w:r w:rsidR="00DF0731">
        <w:rPr>
          <w:b/>
          <w:color w:val="000000" w:themeColor="text1"/>
          <w:sz w:val="18"/>
          <w:szCs w:val="18"/>
        </w:rPr>
        <w:t>igura 3</w:t>
      </w:r>
      <w:r w:rsidRPr="005F6455">
        <w:rPr>
          <w:b/>
          <w:color w:val="000000" w:themeColor="text1"/>
          <w:sz w:val="18"/>
          <w:szCs w:val="18"/>
        </w:rPr>
        <w:t>:</w:t>
      </w:r>
      <w:r w:rsidRPr="005F6455">
        <w:rPr>
          <w:color w:val="000000" w:themeColor="text1"/>
          <w:sz w:val="18"/>
          <w:szCs w:val="18"/>
        </w:rPr>
        <w:t xml:space="preserve"> Esquema </w:t>
      </w:r>
      <w:r>
        <w:rPr>
          <w:color w:val="000000" w:themeColor="text1"/>
          <w:sz w:val="18"/>
          <w:szCs w:val="18"/>
        </w:rPr>
        <w:t xml:space="preserve">estimación del precio implícito asociados los servicios </w:t>
      </w:r>
      <w:r w:rsidRPr="00E001D7">
        <w:rPr>
          <w:color w:val="000000" w:themeColor="text1"/>
          <w:sz w:val="18"/>
          <w:szCs w:val="18"/>
        </w:rPr>
        <w:t>digitales, servicios de voz y renta de línea</w:t>
      </w:r>
      <w:r>
        <w:rPr>
          <w:color w:val="000000" w:themeColor="text1"/>
          <w:sz w:val="18"/>
          <w:szCs w:val="18"/>
        </w:rPr>
        <w:t xml:space="preserve"> asociados</w:t>
      </w:r>
      <w:r w:rsidR="00C50DC1">
        <w:rPr>
          <w:color w:val="000000" w:themeColor="text1"/>
          <w:sz w:val="18"/>
          <w:szCs w:val="18"/>
        </w:rPr>
        <w:t xml:space="preserve"> a los planes o paquetes de Telmex y Telnor</w:t>
      </w:r>
      <w:r>
        <w:rPr>
          <w:color w:val="000000" w:themeColor="text1"/>
          <w:sz w:val="18"/>
          <w:szCs w:val="18"/>
        </w:rPr>
        <w:t xml:space="preserve"> (</w:t>
      </w:r>
      <w:r w:rsidRPr="00F533C6">
        <w:rPr>
          <w:b/>
          <w:color w:val="000000" w:themeColor="text1"/>
          <w:sz w:val="18"/>
          <w:szCs w:val="18"/>
        </w:rPr>
        <w:t>Fuente:</w:t>
      </w:r>
      <w:r>
        <w:rPr>
          <w:color w:val="000000" w:themeColor="text1"/>
          <w:sz w:val="18"/>
          <w:szCs w:val="18"/>
        </w:rPr>
        <w:t xml:space="preserve"> IFT).</w:t>
      </w:r>
    </w:p>
    <w:p w14:paraId="5FBACE1A" w14:textId="53AD4790" w:rsidR="00770C73" w:rsidRDefault="00770C73" w:rsidP="00770C73">
      <w:pPr>
        <w:pStyle w:val="IFTnormal"/>
      </w:pPr>
      <w:r>
        <w:t>Finalmente, a continuación, se describe el enfoque seguido para estimar los precios implícitos asociados a Internet:</w:t>
      </w:r>
    </w:p>
    <w:p w14:paraId="563CE1F7" w14:textId="45601BB8" w:rsidR="00770C73" w:rsidRPr="00EA4D9D" w:rsidRDefault="00770C73" w:rsidP="00770C73">
      <w:pPr>
        <w:pStyle w:val="IFTnormal"/>
        <w:ind w:left="720"/>
        <w:rPr>
          <w:b/>
        </w:rPr>
      </w:pPr>
      <w:bookmarkStart w:id="31" w:name="_Ref51597214"/>
      <w:r>
        <w:rPr>
          <w:b/>
        </w:rPr>
        <w:t>c) Asociados a los servicios de Internet</w:t>
      </w:r>
      <w:r>
        <w:t>. -</w:t>
      </w:r>
      <w:r>
        <w:rPr>
          <w:b/>
        </w:rPr>
        <w:t xml:space="preserve"> </w:t>
      </w:r>
      <w:r>
        <w:t>se descompone mediante los siguientes elementos</w:t>
      </w:r>
      <w:r>
        <w:rPr>
          <w:lang w:val="es-MX"/>
        </w:rPr>
        <w:t>:</w:t>
      </w:r>
      <w:bookmarkEnd w:id="31"/>
    </w:p>
    <w:p w14:paraId="78B59938" w14:textId="77777777" w:rsidR="00770C73" w:rsidRDefault="00770C73" w:rsidP="00770C73">
      <w:pPr>
        <w:pStyle w:val="IFTnormal"/>
        <w:numPr>
          <w:ilvl w:val="1"/>
          <w:numId w:val="60"/>
        </w:numPr>
      </w:pPr>
      <w:r>
        <w:rPr>
          <w:i/>
        </w:rPr>
        <w:t>Internet</w:t>
      </w:r>
      <w:r w:rsidRPr="00EA4D9D">
        <w:rPr>
          <w:i/>
        </w:rPr>
        <w:t>:</w:t>
      </w:r>
      <w:r>
        <w:t xml:space="preserve"> valor obtenido del Módulo de Imputación de Precios Implícitos.</w:t>
      </w:r>
    </w:p>
    <w:p w14:paraId="69C3E709" w14:textId="48965B02" w:rsidR="00770C73" w:rsidRDefault="00770C73" w:rsidP="00770C73">
      <w:pPr>
        <w:pStyle w:val="IFTnormal"/>
        <w:numPr>
          <w:ilvl w:val="1"/>
          <w:numId w:val="60"/>
        </w:numPr>
      </w:pPr>
      <w:r w:rsidRPr="00274850">
        <w:rPr>
          <w:i/>
        </w:rPr>
        <w:t>Claro video:</w:t>
      </w:r>
      <w:r>
        <w:t xml:space="preserve"> E</w:t>
      </w:r>
      <w:r w:rsidRPr="00274850">
        <w:t>stimado</w:t>
      </w:r>
      <w:r>
        <w:t xml:space="preserve"> como el cociente de la renta mensual de dicho servicio</w:t>
      </w:r>
      <w:r>
        <w:rPr>
          <w:rStyle w:val="Refdenotaalpie"/>
        </w:rPr>
        <w:footnoteReference w:id="20"/>
      </w:r>
      <w:r>
        <w:t>, ponderada por el periodo de r</w:t>
      </w:r>
      <w:r w:rsidR="00C50DC1">
        <w:t>etención de los clientes de Telmex y Telnor</w:t>
      </w:r>
      <w:r>
        <w:t xml:space="preserve"> (en meses). Ello bajo la hipótesis de que la recuperación de los gastos involucrados en dicho servicio se efectuaría en el tiempo esperado en que el Usuario Final permanece con servici</w:t>
      </w:r>
      <w:r w:rsidR="00C50DC1">
        <w:t>os de telecomunicaciones de Telmex y Telnor</w:t>
      </w:r>
      <w:r>
        <w:t>.</w:t>
      </w:r>
    </w:p>
    <w:p w14:paraId="1B83417A" w14:textId="38EDEBE1" w:rsidR="00770C73" w:rsidRPr="00803E74" w:rsidRDefault="00770C73" w:rsidP="00770C73">
      <w:pPr>
        <w:pStyle w:val="Prrafodelista"/>
        <w:numPr>
          <w:ilvl w:val="1"/>
          <w:numId w:val="60"/>
        </w:numPr>
        <w:jc w:val="both"/>
        <w:rPr>
          <w:rFonts w:ascii="ITC Avant Garde" w:hAnsi="ITC Avant Garde" w:cs="Arial"/>
          <w:i/>
          <w:color w:val="000000"/>
          <w:lang w:val="es-ES_tradnl" w:eastAsia="es-ES"/>
        </w:rPr>
      </w:pPr>
      <w:r w:rsidRPr="00803E74">
        <w:rPr>
          <w:rFonts w:ascii="ITC Avant Garde" w:hAnsi="ITC Avant Garde" w:cs="Arial"/>
          <w:i/>
          <w:color w:val="000000"/>
          <w:lang w:val="es-ES_tradnl" w:eastAsia="es-ES"/>
        </w:rPr>
        <w:t>Netflix</w:t>
      </w:r>
      <w:r w:rsidRPr="00803E74">
        <w:rPr>
          <w:i/>
        </w:rPr>
        <w:t xml:space="preserve">: </w:t>
      </w:r>
      <w:r>
        <w:rPr>
          <w:rFonts w:ascii="ITC Avant Garde" w:hAnsi="ITC Avant Garde" w:cs="Arial"/>
          <w:color w:val="000000"/>
          <w:lang w:val="es-ES_tradnl" w:eastAsia="es-ES"/>
        </w:rPr>
        <w:t xml:space="preserve">Estimado como </w:t>
      </w:r>
      <w:r w:rsidRPr="00803E74">
        <w:rPr>
          <w:rFonts w:ascii="ITC Avant Garde" w:hAnsi="ITC Avant Garde" w:cs="Arial"/>
          <w:color w:val="000000"/>
          <w:lang w:val="es-ES_tradnl" w:eastAsia="es-ES"/>
        </w:rPr>
        <w:t xml:space="preserve">la diferencia entre la renta de un plan con Netflix y la renta de un plan de igual nombre y características (por ejemplo, velocidad de internet) que no incluye Netflix, cuando este existe. A partir de estas </w:t>
      </w:r>
      <w:r w:rsidR="003529EC">
        <w:rPr>
          <w:rFonts w:ascii="ITC Avant Garde" w:hAnsi="ITC Avant Garde" w:cs="Arial"/>
          <w:color w:val="000000"/>
          <w:lang w:val="es-ES_tradnl" w:eastAsia="es-ES"/>
        </w:rPr>
        <w:t>diferencias</w:t>
      </w:r>
      <w:r w:rsidRPr="00803E74">
        <w:rPr>
          <w:rFonts w:ascii="ITC Avant Garde" w:hAnsi="ITC Avant Garde" w:cs="Arial"/>
          <w:color w:val="000000"/>
          <w:lang w:val="es-ES_tradnl" w:eastAsia="es-ES"/>
        </w:rPr>
        <w:t xml:space="preserve"> se calcula un precio promedio para Netflix 1 dispositivo, Netflix 2 dispositivos y Netfl</w:t>
      </w:r>
      <w:r>
        <w:rPr>
          <w:rFonts w:ascii="ITC Avant Garde" w:hAnsi="ITC Avant Garde" w:cs="Arial"/>
          <w:color w:val="000000"/>
          <w:lang w:val="es-ES_tradnl" w:eastAsia="es-ES"/>
        </w:rPr>
        <w:t>ix 4 dispositivos. C</w:t>
      </w:r>
      <w:r w:rsidRPr="00803E74">
        <w:rPr>
          <w:rFonts w:ascii="ITC Avant Garde" w:hAnsi="ITC Avant Garde" w:cs="Arial"/>
          <w:color w:val="000000"/>
          <w:lang w:val="es-ES_tradnl" w:eastAsia="es-ES"/>
        </w:rPr>
        <w:t xml:space="preserve">on estos precios promedio se calcula el valor de la banda ancha sin </w:t>
      </w:r>
      <w:r w:rsidR="003372F2">
        <w:rPr>
          <w:noProof/>
          <w:lang w:eastAsia="es-MX"/>
        </w:rPr>
        <w:drawing>
          <wp:anchor distT="0" distB="0" distL="114300" distR="114300" simplePos="0" relativeHeight="251658247" behindDoc="1" locked="0" layoutInCell="1" allowOverlap="1" wp14:anchorId="2F6EC0C5" wp14:editId="00BE8237">
            <wp:simplePos x="0" y="0"/>
            <wp:positionH relativeFrom="margin">
              <wp:posOffset>-93904</wp:posOffset>
            </wp:positionH>
            <wp:positionV relativeFrom="page">
              <wp:posOffset>1738140</wp:posOffset>
            </wp:positionV>
            <wp:extent cx="6038850" cy="3599815"/>
            <wp:effectExtent l="0" t="0" r="0" b="635"/>
            <wp:wrapTight wrapText="bothSides">
              <wp:wrapPolygon edited="0">
                <wp:start x="0" y="0"/>
                <wp:lineTo x="0" y="21490"/>
                <wp:lineTo x="21532" y="21490"/>
                <wp:lineTo x="21532"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8850" cy="3599815"/>
                    </a:xfrm>
                    <a:prstGeom prst="rect">
                      <a:avLst/>
                    </a:prstGeom>
                    <a:noFill/>
                  </pic:spPr>
                </pic:pic>
              </a:graphicData>
            </a:graphic>
          </wp:anchor>
        </w:drawing>
      </w:r>
      <w:r w:rsidRPr="00803E74">
        <w:rPr>
          <w:rFonts w:ascii="ITC Avant Garde" w:hAnsi="ITC Avant Garde" w:cs="Arial"/>
          <w:color w:val="000000"/>
          <w:lang w:val="es-ES_tradnl" w:eastAsia="es-ES"/>
        </w:rPr>
        <w:t>Netflix en todos los planes que lo incluyen.</w:t>
      </w:r>
      <w:r w:rsidRPr="00803E74">
        <w:rPr>
          <w:rFonts w:ascii="ITC Avant Garde" w:hAnsi="ITC Avant Garde" w:cs="Arial"/>
          <w:i/>
          <w:color w:val="000000"/>
          <w:lang w:val="es-ES_tradnl" w:eastAsia="es-ES"/>
        </w:rPr>
        <w:t xml:space="preserve"> </w:t>
      </w:r>
    </w:p>
    <w:p w14:paraId="7B5B9F58" w14:textId="639CDF05" w:rsidR="00C50DC1" w:rsidRDefault="00C50DC1" w:rsidP="00C50DC1">
      <w:pPr>
        <w:pStyle w:val="IFTnormal"/>
        <w:ind w:right="48"/>
        <w:rPr>
          <w:color w:val="000000" w:themeColor="text1"/>
          <w:sz w:val="18"/>
          <w:szCs w:val="18"/>
        </w:rPr>
      </w:pPr>
      <w:r>
        <w:rPr>
          <w:b/>
          <w:color w:val="000000" w:themeColor="text1"/>
          <w:sz w:val="18"/>
          <w:szCs w:val="18"/>
        </w:rPr>
        <w:t>Figura 4:</w:t>
      </w:r>
      <w:r w:rsidRPr="005F6455">
        <w:rPr>
          <w:color w:val="000000" w:themeColor="text1"/>
          <w:sz w:val="18"/>
          <w:szCs w:val="18"/>
        </w:rPr>
        <w:t xml:space="preserve"> Esquema </w:t>
      </w:r>
      <w:r>
        <w:rPr>
          <w:color w:val="000000" w:themeColor="text1"/>
          <w:sz w:val="18"/>
          <w:szCs w:val="18"/>
        </w:rPr>
        <w:t>estimación del precio implícito asociado a los servicios de Internet de los planes o paquetes de Telmex y Telnor (</w:t>
      </w:r>
      <w:r w:rsidRPr="00F533C6">
        <w:rPr>
          <w:b/>
          <w:color w:val="000000" w:themeColor="text1"/>
          <w:sz w:val="18"/>
          <w:szCs w:val="18"/>
        </w:rPr>
        <w:t>Fuente:</w:t>
      </w:r>
      <w:r>
        <w:rPr>
          <w:color w:val="000000" w:themeColor="text1"/>
          <w:sz w:val="18"/>
          <w:szCs w:val="18"/>
        </w:rPr>
        <w:t xml:space="preserve"> IFT).</w:t>
      </w:r>
    </w:p>
    <w:p w14:paraId="11B91941" w14:textId="00A791B7" w:rsidR="00770C73" w:rsidRDefault="00770C73" w:rsidP="00C50DC1">
      <w:pPr>
        <w:pStyle w:val="IFTnormal"/>
      </w:pPr>
      <w:r>
        <w:t>Como en el caso anterior, l</w:t>
      </w:r>
      <w:r w:rsidRPr="008F0715">
        <w:t>os conceptos se suman para representar el valor conjunto de la provisió</w:t>
      </w:r>
      <w:r>
        <w:t>n de los servicios mencionados</w:t>
      </w:r>
      <w:r w:rsidRPr="008F0715">
        <w:t>. A partir de ello, se calcula la desviación, en términos de porcentaje, que tiene</w:t>
      </w:r>
      <w:r>
        <w:t xml:space="preserve"> este valor conjunto respecto al precio minorista del paquete. Este porcentaje </w:t>
      </w:r>
      <w:r w:rsidRPr="008F0715">
        <w:t xml:space="preserve">se emplea </w:t>
      </w:r>
      <w:r>
        <w:t>sobre</w:t>
      </w:r>
      <w:r w:rsidRPr="008F0715">
        <w:t xml:space="preserve"> el valor </w:t>
      </w:r>
      <w:r>
        <w:t xml:space="preserve">de cada servicio </w:t>
      </w:r>
      <w:r w:rsidR="00C50DC1">
        <w:t>reportado por Telmex y Telnor</w:t>
      </w:r>
      <w:r w:rsidRPr="008F0715">
        <w:t xml:space="preserve"> </w:t>
      </w:r>
      <w:r>
        <w:t>para determinar</w:t>
      </w:r>
      <w:r w:rsidRPr="008F0715">
        <w:t xml:space="preserve"> </w:t>
      </w:r>
      <w:r>
        <w:t>los</w:t>
      </w:r>
      <w:r w:rsidRPr="008F0715">
        <w:t xml:space="preserve"> precio</w:t>
      </w:r>
      <w:r>
        <w:t>s</w:t>
      </w:r>
      <w:r w:rsidRPr="008F0715">
        <w:t xml:space="preserve"> implícito</w:t>
      </w:r>
      <w:r>
        <w:t>s de los mismos</w:t>
      </w:r>
      <w:r w:rsidRPr="008F0715">
        <w:t xml:space="preserve">, garantizando que la suma de los precios implícitos calculados para todos los servicios </w:t>
      </w:r>
      <w:r>
        <w:t>sea equivalente</w:t>
      </w:r>
      <w:r w:rsidRPr="008F0715">
        <w:t xml:space="preserve"> </w:t>
      </w:r>
      <w:r>
        <w:t xml:space="preserve">a </w:t>
      </w:r>
      <w:r w:rsidRPr="008F0715">
        <w:t>la composición de precios.</w:t>
      </w:r>
    </w:p>
    <w:p w14:paraId="3F1213D0" w14:textId="5BF6BD77" w:rsidR="008F234E" w:rsidRPr="003D147F" w:rsidRDefault="00EF2919" w:rsidP="00DE64CD">
      <w:pPr>
        <w:pStyle w:val="IFTnormal"/>
        <w:rPr>
          <w:lang w:val="es-MX"/>
        </w:rPr>
      </w:pPr>
      <w:r w:rsidRPr="00B510E4">
        <w:rPr>
          <w:color w:val="000000" w:themeColor="text1"/>
          <w:szCs w:val="18"/>
        </w:rPr>
        <w:t>En c</w:t>
      </w:r>
      <w:r w:rsidR="008F234E" w:rsidRPr="00B510E4">
        <w:rPr>
          <w:color w:val="000000" w:themeColor="text1"/>
          <w:szCs w:val="18"/>
        </w:rPr>
        <w:t>onclusión</w:t>
      </w:r>
      <w:r w:rsidRPr="00B510E4">
        <w:rPr>
          <w:color w:val="000000" w:themeColor="text1"/>
          <w:szCs w:val="18"/>
        </w:rPr>
        <w:t xml:space="preserve">, </w:t>
      </w:r>
      <w:r w:rsidR="006A54F9" w:rsidRPr="00B510E4">
        <w:rPr>
          <w:color w:val="000000" w:themeColor="text1"/>
          <w:szCs w:val="18"/>
        </w:rPr>
        <w:t>l</w:t>
      </w:r>
      <w:r w:rsidRPr="00B510E4">
        <w:rPr>
          <w:color w:val="000000" w:themeColor="text1"/>
          <w:szCs w:val="18"/>
        </w:rPr>
        <w:t>a especificidad del Modelo de Costos</w:t>
      </w:r>
      <w:r w:rsidR="00B55561" w:rsidRPr="00B510E4">
        <w:rPr>
          <w:color w:val="000000" w:themeColor="text1"/>
          <w:szCs w:val="18"/>
        </w:rPr>
        <w:t xml:space="preserve"> Evitados reside en</w:t>
      </w:r>
      <w:r w:rsidR="00550C58" w:rsidRPr="00B510E4">
        <w:rPr>
          <w:color w:val="000000" w:themeColor="text1"/>
          <w:szCs w:val="18"/>
        </w:rPr>
        <w:t xml:space="preserve"> la Implementación</w:t>
      </w:r>
      <w:r w:rsidR="00B55561" w:rsidRPr="00B510E4">
        <w:rPr>
          <w:color w:val="000000" w:themeColor="text1"/>
          <w:szCs w:val="18"/>
        </w:rPr>
        <w:t xml:space="preserve"> del </w:t>
      </w:r>
      <w:r w:rsidR="00550C58" w:rsidRPr="00B510E4">
        <w:rPr>
          <w:color w:val="000000" w:themeColor="text1"/>
          <w:szCs w:val="18"/>
        </w:rPr>
        <w:t>Módulo de Precios Implícitos</w:t>
      </w:r>
      <w:r w:rsidR="00B55561" w:rsidRPr="00B510E4">
        <w:rPr>
          <w:color w:val="000000" w:themeColor="text1"/>
          <w:szCs w:val="18"/>
        </w:rPr>
        <w:t xml:space="preserve"> para determinar precios implícitos</w:t>
      </w:r>
      <w:r w:rsidR="006A54F9" w:rsidRPr="00B510E4">
        <w:rPr>
          <w:color w:val="000000" w:themeColor="text1"/>
          <w:szCs w:val="18"/>
        </w:rPr>
        <w:t>. Estos precios implícitos estimados</w:t>
      </w:r>
      <w:r w:rsidR="00CA1A08" w:rsidRPr="00B510E4">
        <w:rPr>
          <w:color w:val="000000" w:themeColor="text1"/>
          <w:szCs w:val="18"/>
        </w:rPr>
        <w:t xml:space="preserve"> engloban los servicios digitales y los servicios adicionales asociados a la banda anch</w:t>
      </w:r>
      <w:r w:rsidR="006A54F9" w:rsidRPr="00B510E4">
        <w:rPr>
          <w:color w:val="000000" w:themeColor="text1"/>
          <w:szCs w:val="18"/>
        </w:rPr>
        <w:t>a. En una segunda etapa se extrae el valor de dichos servicios para asignar un valor a cada uno de los servicios que componen los planes, sumando entre ellos el precio minorista</w:t>
      </w:r>
      <w:r w:rsidR="00B55561" w:rsidRPr="00B510E4">
        <w:rPr>
          <w:color w:val="000000" w:themeColor="text1"/>
          <w:szCs w:val="18"/>
        </w:rPr>
        <w:t xml:space="preserve">. En cuanto a la línea residencial, ya no se considera como </w:t>
      </w:r>
      <w:r w:rsidR="006A54F9" w:rsidRPr="00B510E4">
        <w:rPr>
          <w:color w:val="000000" w:themeColor="text1"/>
          <w:szCs w:val="18"/>
        </w:rPr>
        <w:t>un patrón de servicio utilizado</w:t>
      </w:r>
      <w:r w:rsidR="00B55561" w:rsidRPr="00B510E4">
        <w:rPr>
          <w:color w:val="000000" w:themeColor="text1"/>
          <w:szCs w:val="18"/>
        </w:rPr>
        <w:t xml:space="preserve"> como referencia para los demás </w:t>
      </w:r>
      <w:r w:rsidR="003D147F" w:rsidRPr="00B510E4">
        <w:rPr>
          <w:color w:val="000000" w:themeColor="text1"/>
          <w:szCs w:val="18"/>
        </w:rPr>
        <w:t>paquetes,</w:t>
      </w:r>
      <w:r w:rsidR="00B55561" w:rsidRPr="00B510E4">
        <w:rPr>
          <w:color w:val="000000" w:themeColor="text1"/>
          <w:szCs w:val="18"/>
        </w:rPr>
        <w:t xml:space="preserve"> sino que los elementos que la componen (acceso a la línea telefónica, 100 llamadas locales y </w:t>
      </w:r>
      <w:r w:rsidR="00DC7283" w:rsidRPr="00B510E4">
        <w:rPr>
          <w:color w:val="000000" w:themeColor="text1"/>
          <w:szCs w:val="18"/>
        </w:rPr>
        <w:t>tres</w:t>
      </w:r>
      <w:r w:rsidR="00B55561" w:rsidRPr="00B510E4">
        <w:rPr>
          <w:color w:val="000000" w:themeColor="text1"/>
          <w:szCs w:val="18"/>
        </w:rPr>
        <w:t xml:space="preserve"> servicios digitales por tres meses) reciben </w:t>
      </w:r>
      <w:r w:rsidR="003D147F" w:rsidRPr="00B510E4">
        <w:rPr>
          <w:color w:val="000000" w:themeColor="text1"/>
          <w:szCs w:val="18"/>
        </w:rPr>
        <w:t xml:space="preserve">cada uno </w:t>
      </w:r>
      <w:r w:rsidR="00B55561" w:rsidRPr="00B510E4">
        <w:rPr>
          <w:color w:val="000000" w:themeColor="text1"/>
          <w:szCs w:val="18"/>
        </w:rPr>
        <w:t>un precio implícito.</w:t>
      </w:r>
      <w:r w:rsidR="00B55561">
        <w:rPr>
          <w:color w:val="000000" w:themeColor="text1"/>
          <w:szCs w:val="18"/>
        </w:rPr>
        <w:t xml:space="preserve"> </w:t>
      </w:r>
      <w:r>
        <w:rPr>
          <w:color w:val="000000" w:themeColor="text1"/>
          <w:szCs w:val="18"/>
        </w:rPr>
        <w:t xml:space="preserve"> </w:t>
      </w:r>
    </w:p>
    <w:p w14:paraId="338EE522" w14:textId="77777777" w:rsidR="00DE64CD" w:rsidRDefault="00DE64CD" w:rsidP="00DE64CD">
      <w:pPr>
        <w:pStyle w:val="PuntosC4"/>
        <w:numPr>
          <w:ilvl w:val="2"/>
          <w:numId w:val="40"/>
        </w:numPr>
        <w:ind w:left="709" w:hanging="709"/>
        <w:outlineLvl w:val="2"/>
      </w:pPr>
      <w:r>
        <w:t xml:space="preserve"> </w:t>
      </w:r>
      <w:bookmarkStart w:id="32" w:name="_Ref530070936"/>
      <w:bookmarkStart w:id="33" w:name="_Toc51700009"/>
      <w:bookmarkStart w:id="34" w:name="_Toc52188498"/>
      <w:r>
        <w:t>Precio de referencia asociado al Servicio de Reventa</w:t>
      </w:r>
      <w:bookmarkEnd w:id="32"/>
      <w:bookmarkEnd w:id="33"/>
      <w:bookmarkEnd w:id="34"/>
    </w:p>
    <w:p w14:paraId="0BF929A3" w14:textId="4171D0CF" w:rsidR="00DE64CD" w:rsidRDefault="00DE64CD" w:rsidP="00DE64CD">
      <w:pPr>
        <w:pStyle w:val="IFTnormal"/>
      </w:pPr>
      <w:r>
        <w:t xml:space="preserve">De acuerdo a la exposición previa, </w:t>
      </w:r>
      <w:r w:rsidRPr="00DE31F6">
        <w:t xml:space="preserve">el precio minorista de un plan o paquete se descompone a través de los precios implícitos de todos los conceptos que se incluyen dentro de </w:t>
      </w:r>
      <w:r>
        <w:t>dicho plan o paquete</w:t>
      </w:r>
      <w:r w:rsidRPr="00DE31F6">
        <w:t xml:space="preserve">. En consecuencia, el precio implícito asociado a </w:t>
      </w:r>
      <w:r>
        <w:t xml:space="preserve">un </w:t>
      </w:r>
      <w:r w:rsidRPr="00DE31F6">
        <w:t xml:space="preserve">elemento </w:t>
      </w:r>
      <w:r>
        <w:t xml:space="preserve">o servicio </w:t>
      </w:r>
      <w:r w:rsidRPr="00DE31F6">
        <w:t xml:space="preserve">particular </w:t>
      </w:r>
      <w:r>
        <w:t>se puede obtener a través del</w:t>
      </w:r>
      <w:r w:rsidRPr="00DE31F6">
        <w:t xml:space="preserve"> precio minorista de la of</w:t>
      </w:r>
      <w:r w:rsidR="00D96B0C">
        <w:t>erta minorista contratada a Telmex o Telnor</w:t>
      </w:r>
      <w:r>
        <w:t>.</w:t>
      </w:r>
    </w:p>
    <w:p w14:paraId="70BF1559" w14:textId="3E5CE981" w:rsidR="00DE64CD" w:rsidRDefault="00DE64CD" w:rsidP="00DE64CD">
      <w:pPr>
        <w:pStyle w:val="IFTnormal"/>
      </w:pPr>
      <w:r>
        <w:t>En consecuencia, e</w:t>
      </w:r>
      <w:r w:rsidRPr="00480AE5">
        <w:t>l precio implícito asociado a cada</w:t>
      </w:r>
      <w:r>
        <w:t xml:space="preserve"> elemento o servicio incluido en un</w:t>
      </w:r>
      <w:r w:rsidRPr="00480AE5">
        <w:t xml:space="preserve"> </w:t>
      </w:r>
      <w:r>
        <w:t xml:space="preserve">plan o </w:t>
      </w:r>
      <w:r w:rsidRPr="00480AE5">
        <w:t>paquete</w:t>
      </w:r>
      <w:r>
        <w:t xml:space="preserve"> se puede obtener al retirar cierta porción de la tarifa correspondiente q</w:t>
      </w:r>
      <w:r w:rsidR="00D96B0C">
        <w:t>ue el Usuario Final cubre a Telmex o Telnor</w:t>
      </w:r>
      <w:r>
        <w:t>. Este concepto se denomina “</w:t>
      </w:r>
      <w:r w:rsidRPr="00D52247">
        <w:rPr>
          <w:b/>
        </w:rPr>
        <w:t xml:space="preserve">factor </w:t>
      </w:r>
      <w:r>
        <w:rPr>
          <w:b/>
        </w:rPr>
        <w:t xml:space="preserve">de </w:t>
      </w:r>
      <w:r w:rsidRPr="00D52247">
        <w:rPr>
          <w:b/>
        </w:rPr>
        <w:t>estimación del precio implícito</w:t>
      </w:r>
      <w:r w:rsidRPr="00EC401E">
        <w:t>”</w:t>
      </w:r>
      <w:r>
        <w:t>.</w:t>
      </w:r>
    </w:p>
    <w:p w14:paraId="6DA2EDF1" w14:textId="77777777" w:rsidR="00DE64CD" w:rsidRDefault="00DE64CD" w:rsidP="00DE64CD">
      <w:pPr>
        <w:pStyle w:val="IFTnormal"/>
        <w:jc w:val="center"/>
        <w:rPr>
          <w:b/>
        </w:rPr>
      </w:pPr>
      <w:r>
        <w:rPr>
          <w:noProof/>
          <w:lang w:val="es-MX" w:eastAsia="es-MX"/>
        </w:rPr>
        <w:drawing>
          <wp:inline distT="0" distB="0" distL="0" distR="0" wp14:anchorId="08463FE1" wp14:editId="0A0D4C6B">
            <wp:extent cx="5200650" cy="2067762"/>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5524" cy="2077652"/>
                    </a:xfrm>
                    <a:prstGeom prst="rect">
                      <a:avLst/>
                    </a:prstGeom>
                  </pic:spPr>
                </pic:pic>
              </a:graphicData>
            </a:graphic>
          </wp:inline>
        </w:drawing>
      </w:r>
    </w:p>
    <w:p w14:paraId="1E8F2513" w14:textId="069B8C3C" w:rsidR="00DE64CD" w:rsidRPr="005F6455" w:rsidRDefault="000C08D5" w:rsidP="00DE64CD">
      <w:pPr>
        <w:pStyle w:val="IFTnormal"/>
        <w:ind w:right="48"/>
        <w:rPr>
          <w:color w:val="000000" w:themeColor="text1"/>
          <w:sz w:val="18"/>
          <w:szCs w:val="18"/>
          <w:lang w:eastAsia="es-MX"/>
        </w:rPr>
      </w:pPr>
      <w:r>
        <w:rPr>
          <w:b/>
          <w:color w:val="000000" w:themeColor="text1"/>
          <w:sz w:val="18"/>
          <w:szCs w:val="18"/>
        </w:rPr>
        <w:t>Figura 5</w:t>
      </w:r>
      <w:r w:rsidR="00DE64CD" w:rsidRPr="005F6455">
        <w:rPr>
          <w:b/>
          <w:color w:val="000000" w:themeColor="text1"/>
          <w:sz w:val="18"/>
          <w:szCs w:val="18"/>
        </w:rPr>
        <w:t>:</w:t>
      </w:r>
      <w:r w:rsidR="00DE64CD" w:rsidRPr="005F6455">
        <w:rPr>
          <w:color w:val="000000" w:themeColor="text1"/>
          <w:sz w:val="18"/>
          <w:szCs w:val="18"/>
        </w:rPr>
        <w:t xml:space="preserve"> Esquema </w:t>
      </w:r>
      <w:r w:rsidR="00DE64CD">
        <w:rPr>
          <w:color w:val="000000" w:themeColor="text1"/>
          <w:sz w:val="18"/>
          <w:szCs w:val="18"/>
        </w:rPr>
        <w:t>del factor de estimación del precio implícito de los elementos que integran los elementos o servicios que se incluyen en planes y paquetes asociados a t</w:t>
      </w:r>
      <w:r w:rsidR="00D96B0C">
        <w:rPr>
          <w:color w:val="000000" w:themeColor="text1"/>
          <w:sz w:val="18"/>
          <w:szCs w:val="18"/>
        </w:rPr>
        <w:t>elefonía fija e Internet de Telmex y Telnor</w:t>
      </w:r>
      <w:r w:rsidR="00DE64CD">
        <w:rPr>
          <w:color w:val="000000" w:themeColor="text1"/>
          <w:sz w:val="18"/>
          <w:szCs w:val="18"/>
        </w:rPr>
        <w:t xml:space="preserve"> (</w:t>
      </w:r>
      <w:r w:rsidR="00DE64CD" w:rsidRPr="00F533C6">
        <w:rPr>
          <w:b/>
          <w:color w:val="000000" w:themeColor="text1"/>
          <w:sz w:val="18"/>
          <w:szCs w:val="18"/>
        </w:rPr>
        <w:t>Fuente:</w:t>
      </w:r>
      <w:r w:rsidR="00DE64CD">
        <w:rPr>
          <w:color w:val="000000" w:themeColor="text1"/>
          <w:sz w:val="18"/>
          <w:szCs w:val="18"/>
        </w:rPr>
        <w:t xml:space="preserve"> IFT).</w:t>
      </w:r>
    </w:p>
    <w:p w14:paraId="748DFA61" w14:textId="77777777" w:rsidR="00DE64CD" w:rsidRDefault="00DE64CD" w:rsidP="00DE64CD">
      <w:pPr>
        <w:pStyle w:val="IFTnormal"/>
        <w:rPr>
          <w:color w:val="000000" w:themeColor="text1"/>
        </w:rPr>
      </w:pPr>
      <w:r>
        <w:rPr>
          <w:color w:val="000000" w:themeColor="text1"/>
        </w:rPr>
        <w:t>Para ejemplificar lo anterior, consideremos que si</w:t>
      </w:r>
      <w:r w:rsidRPr="005F6455">
        <w:rPr>
          <w:color w:val="000000" w:themeColor="text1"/>
        </w:rPr>
        <w:t xml:space="preserve"> un </w:t>
      </w:r>
      <w:r>
        <w:rPr>
          <w:color w:val="000000" w:themeColor="text1"/>
        </w:rPr>
        <w:t>operador de</w:t>
      </w:r>
      <w:r w:rsidRPr="005F6455">
        <w:rPr>
          <w:color w:val="000000" w:themeColor="text1"/>
        </w:rPr>
        <w:t xml:space="preserve"> telecomunicaciones brinda </w:t>
      </w:r>
      <w:r>
        <w:rPr>
          <w:color w:val="000000" w:themeColor="text1"/>
        </w:rPr>
        <w:t xml:space="preserve">de manera empaquetada </w:t>
      </w:r>
      <w:r w:rsidRPr="005F6455">
        <w:rPr>
          <w:color w:val="000000" w:themeColor="text1"/>
        </w:rPr>
        <w:t>un servicio</w:t>
      </w:r>
      <w:r>
        <w:rPr>
          <w:color w:val="000000" w:themeColor="text1"/>
        </w:rPr>
        <w:t xml:space="preserve"> de telefonía e Internet</w:t>
      </w:r>
      <w:r w:rsidRPr="005F6455">
        <w:rPr>
          <w:color w:val="000000" w:themeColor="text1"/>
        </w:rPr>
        <w:t xml:space="preserve"> a sus clientes mediante un precio </w:t>
      </w:r>
      <w:r w:rsidRPr="005F6455">
        <w:rPr>
          <w:b/>
          <w:i/>
          <w:color w:val="000000" w:themeColor="text1"/>
        </w:rPr>
        <w:t>P = $200</w:t>
      </w:r>
      <w:r>
        <w:rPr>
          <w:color w:val="000000" w:themeColor="text1"/>
        </w:rPr>
        <w:t xml:space="preserve">, bajo el supuesto de que </w:t>
      </w:r>
      <w:r w:rsidRPr="005F6455">
        <w:rPr>
          <w:color w:val="000000" w:themeColor="text1"/>
        </w:rPr>
        <w:t xml:space="preserve">agrupa </w:t>
      </w:r>
      <w:r>
        <w:rPr>
          <w:color w:val="000000" w:themeColor="text1"/>
        </w:rPr>
        <w:t>servicios de renta de línea, servicios de voz, e Internet</w:t>
      </w:r>
      <w:r w:rsidRPr="005F6455">
        <w:rPr>
          <w:color w:val="000000" w:themeColor="text1"/>
        </w:rPr>
        <w:t>, cuyo precio implícito corresponde respectivamente</w:t>
      </w:r>
      <w:r>
        <w:rPr>
          <w:color w:val="000000" w:themeColor="text1"/>
        </w:rPr>
        <w:t>, al 20%, 35% y 4</w:t>
      </w:r>
      <w:r w:rsidRPr="005F6455">
        <w:rPr>
          <w:color w:val="000000" w:themeColor="text1"/>
        </w:rPr>
        <w:t xml:space="preserve">5% de </w:t>
      </w:r>
      <w:r w:rsidRPr="005F6455">
        <w:rPr>
          <w:b/>
          <w:i/>
          <w:color w:val="000000" w:themeColor="text1"/>
        </w:rPr>
        <w:t>P</w:t>
      </w:r>
      <w:r w:rsidRPr="008A4465">
        <w:rPr>
          <w:i/>
          <w:color w:val="000000" w:themeColor="text1"/>
        </w:rPr>
        <w:t>,</w:t>
      </w:r>
      <w:r w:rsidRPr="005F6455">
        <w:rPr>
          <w:color w:val="000000" w:themeColor="text1"/>
        </w:rPr>
        <w:t xml:space="preserve"> </w:t>
      </w:r>
      <w:r>
        <w:rPr>
          <w:color w:val="000000" w:themeColor="text1"/>
        </w:rPr>
        <w:t>l</w:t>
      </w:r>
      <w:r w:rsidRPr="005F6455">
        <w:rPr>
          <w:color w:val="000000" w:themeColor="text1"/>
        </w:rPr>
        <w:t>a representación del nivel de los precios implícitos</w:t>
      </w:r>
      <w:r>
        <w:rPr>
          <w:color w:val="000000" w:themeColor="text1"/>
        </w:rPr>
        <w:t xml:space="preserve">, así como del nivel de factor de estimación del precio implícito asociado </w:t>
      </w:r>
      <w:r w:rsidRPr="005F6455">
        <w:rPr>
          <w:color w:val="000000" w:themeColor="text1"/>
        </w:rPr>
        <w:t xml:space="preserve">a cada </w:t>
      </w:r>
      <w:r>
        <w:rPr>
          <w:color w:val="000000" w:themeColor="text1"/>
        </w:rPr>
        <w:t>elemento o servicio</w:t>
      </w:r>
      <w:r w:rsidRPr="005F6455">
        <w:rPr>
          <w:color w:val="000000" w:themeColor="text1"/>
        </w:rPr>
        <w:t xml:space="preserve"> incluido</w:t>
      </w:r>
      <w:r>
        <w:rPr>
          <w:color w:val="000000" w:themeColor="text1"/>
        </w:rPr>
        <w:t>s en el paquete, sería como sigue</w:t>
      </w:r>
      <w:r w:rsidRPr="005F6455">
        <w:rPr>
          <w:color w:val="000000" w:themeColor="text1"/>
        </w:rPr>
        <w:t>:</w:t>
      </w:r>
    </w:p>
    <w:tbl>
      <w:tblPr>
        <w:tblStyle w:val="Tabladecuadrcula1clara"/>
        <w:tblW w:w="5000" w:type="pct"/>
        <w:jc w:val="center"/>
        <w:tblLook w:val="0420" w:firstRow="1" w:lastRow="0" w:firstColumn="0" w:lastColumn="0" w:noHBand="0" w:noVBand="1"/>
        <w:tblCaption w:val="Figura 3: Estrutura del modelo de costos de coubicación móvil (Fuente: IFT, 2015)"/>
        <w:tblDescription w:val="Se divida en hoja de cálculo y descripción"/>
      </w:tblPr>
      <w:tblGrid>
        <w:gridCol w:w="1993"/>
        <w:gridCol w:w="101"/>
        <w:gridCol w:w="2431"/>
        <w:gridCol w:w="2057"/>
        <w:gridCol w:w="2246"/>
      </w:tblGrid>
      <w:tr w:rsidR="00DE64CD" w:rsidRPr="00C1472F" w14:paraId="313D5EE9" w14:textId="77777777" w:rsidTr="00A4557C">
        <w:trPr>
          <w:cnfStyle w:val="100000000000" w:firstRow="1" w:lastRow="0" w:firstColumn="0" w:lastColumn="0" w:oddVBand="0" w:evenVBand="0" w:oddHBand="0" w:evenHBand="0" w:firstRowFirstColumn="0" w:firstRowLastColumn="0" w:lastRowFirstColumn="0" w:lastRowLastColumn="0"/>
          <w:trHeight w:val="244"/>
          <w:jc w:val="center"/>
        </w:trPr>
        <w:tc>
          <w:tcPr>
            <w:tcW w:w="1186" w:type="pct"/>
            <w:gridSpan w:val="2"/>
            <w:tcBorders>
              <w:top w:val="single" w:sz="4" w:space="0" w:color="FFFFFF" w:themeColor="background1"/>
              <w:left w:val="single" w:sz="4" w:space="0" w:color="FFFFFF" w:themeColor="background1"/>
              <w:right w:val="single" w:sz="4" w:space="0" w:color="FFFFFF" w:themeColor="background1"/>
            </w:tcBorders>
            <w:shd w:val="clear" w:color="auto" w:fill="auto"/>
          </w:tcPr>
          <w:p w14:paraId="05CB4916" w14:textId="77777777" w:rsidR="00DE64CD" w:rsidRDefault="00DE64CD" w:rsidP="00A4557C">
            <w:pPr>
              <w:pStyle w:val="Tableheading"/>
              <w:spacing w:before="0" w:after="0"/>
              <w:jc w:val="center"/>
              <w:rPr>
                <w:rFonts w:ascii="ITC Avant Garde" w:hAnsi="ITC Avant Garde"/>
                <w:b/>
                <w:color w:val="000000" w:themeColor="text1"/>
                <w:szCs w:val="18"/>
                <w:lang w:val="es-ES_tradnl"/>
              </w:rPr>
            </w:pPr>
          </w:p>
        </w:tc>
        <w:tc>
          <w:tcPr>
            <w:tcW w:w="1377" w:type="pct"/>
            <w:tcBorders>
              <w:top w:val="single" w:sz="4" w:space="0" w:color="FFFFFF" w:themeColor="background1"/>
              <w:left w:val="single" w:sz="4" w:space="0" w:color="FFFFFF" w:themeColor="background1"/>
            </w:tcBorders>
          </w:tcPr>
          <w:p w14:paraId="62BF8F8E" w14:textId="77777777" w:rsidR="00DE64CD" w:rsidRPr="006060E3" w:rsidRDefault="00DE64CD" w:rsidP="00A4557C">
            <w:pPr>
              <w:pStyle w:val="Tableheading"/>
              <w:spacing w:before="0" w:after="0"/>
              <w:jc w:val="center"/>
              <w:rPr>
                <w:rFonts w:ascii="ITC Avant Garde" w:hAnsi="ITC Avant Garde"/>
                <w:color w:val="000000" w:themeColor="text1"/>
                <w:szCs w:val="18"/>
                <w:lang w:val="es-ES_tradnl"/>
              </w:rPr>
            </w:pPr>
          </w:p>
        </w:tc>
        <w:tc>
          <w:tcPr>
            <w:tcW w:w="2437" w:type="pct"/>
            <w:gridSpan w:val="2"/>
            <w:tcBorders>
              <w:right w:val="single" w:sz="4" w:space="0" w:color="AEAAAA" w:themeColor="background2" w:themeShade="BF"/>
            </w:tcBorders>
            <w:shd w:val="clear" w:color="auto" w:fill="E7E6E6" w:themeFill="background2"/>
          </w:tcPr>
          <w:p w14:paraId="69F32E20" w14:textId="77777777" w:rsidR="00DE64CD" w:rsidRPr="002B4C67" w:rsidRDefault="00DE64CD" w:rsidP="00A4557C">
            <w:pPr>
              <w:pStyle w:val="Tableheading"/>
              <w:spacing w:before="0" w:after="0"/>
              <w:jc w:val="center"/>
              <w:rPr>
                <w:rFonts w:ascii="ITC Avant Garde" w:hAnsi="ITC Avant Garde"/>
                <w:b/>
                <w:color w:val="000000" w:themeColor="text1"/>
                <w:szCs w:val="18"/>
                <w:lang w:val="es-ES_tradnl"/>
              </w:rPr>
            </w:pPr>
            <w:r w:rsidRPr="006060E3">
              <w:rPr>
                <w:rFonts w:ascii="ITC Avant Garde" w:hAnsi="ITC Avant Garde"/>
                <w:b/>
                <w:color w:val="000000" w:themeColor="text1"/>
                <w:szCs w:val="18"/>
                <w:lang w:val="es-ES_tradnl"/>
              </w:rPr>
              <w:t>Representación del precio implícito</w:t>
            </w:r>
            <w:r>
              <w:rPr>
                <w:rFonts w:ascii="ITC Avant Garde" w:hAnsi="ITC Avant Garde"/>
                <w:b/>
                <w:color w:val="000000" w:themeColor="text1"/>
                <w:szCs w:val="18"/>
                <w:lang w:val="es-ES_tradnl"/>
              </w:rPr>
              <w:t xml:space="preserve"> de elementos o servicios del paquete</w:t>
            </w:r>
            <w:r w:rsidRPr="006060E3">
              <w:rPr>
                <w:rFonts w:ascii="ITC Avant Garde" w:hAnsi="ITC Avant Garde"/>
                <w:b/>
                <w:color w:val="000000" w:themeColor="text1"/>
                <w:szCs w:val="18"/>
                <w:lang w:val="es-ES_tradnl"/>
              </w:rPr>
              <w:t xml:space="preserve">(respecto a </w:t>
            </w:r>
            <w:r w:rsidRPr="008C7182">
              <w:rPr>
                <w:rFonts w:ascii="ITC Avant Garde" w:hAnsi="ITC Avant Garde"/>
                <w:b/>
                <w:i/>
                <w:color w:val="000000" w:themeColor="text1"/>
                <w:szCs w:val="18"/>
                <w:lang w:val="es-ES_tradnl"/>
              </w:rPr>
              <w:t>P</w:t>
            </w:r>
            <w:r w:rsidRPr="006060E3">
              <w:rPr>
                <w:rFonts w:ascii="ITC Avant Garde" w:hAnsi="ITC Avant Garde"/>
                <w:b/>
                <w:color w:val="000000" w:themeColor="text1"/>
                <w:szCs w:val="18"/>
                <w:lang w:val="es-ES_tradnl"/>
              </w:rPr>
              <w:t>)</w:t>
            </w:r>
          </w:p>
        </w:tc>
      </w:tr>
      <w:tr w:rsidR="00DE64CD" w:rsidRPr="002B4C67" w14:paraId="1A8379A2" w14:textId="77777777" w:rsidTr="00A4557C">
        <w:trPr>
          <w:trHeight w:val="244"/>
          <w:jc w:val="center"/>
        </w:trPr>
        <w:tc>
          <w:tcPr>
            <w:tcW w:w="1129" w:type="pct"/>
            <w:shd w:val="clear" w:color="auto" w:fill="E7E6E6" w:themeFill="background2"/>
          </w:tcPr>
          <w:p w14:paraId="1A6EEFF5" w14:textId="77777777" w:rsidR="00DE64CD" w:rsidRPr="002B4C67" w:rsidRDefault="00DE64CD" w:rsidP="00A4557C">
            <w:pPr>
              <w:pStyle w:val="Tableheading"/>
              <w:spacing w:before="0" w:after="0"/>
              <w:jc w:val="center"/>
              <w:rPr>
                <w:rFonts w:ascii="ITC Avant Garde" w:hAnsi="ITC Avant Garde"/>
                <w:color w:val="000000" w:themeColor="text1"/>
                <w:szCs w:val="18"/>
                <w:lang w:val="es-ES_tradnl"/>
              </w:rPr>
            </w:pPr>
            <w:r>
              <w:rPr>
                <w:rFonts w:ascii="ITC Avant Garde" w:hAnsi="ITC Avant Garde"/>
                <w:color w:val="000000" w:themeColor="text1"/>
                <w:szCs w:val="18"/>
                <w:lang w:val="es-ES_tradnl"/>
              </w:rPr>
              <w:t>Elementos o servicios incluidos en el paquete</w:t>
            </w:r>
          </w:p>
        </w:tc>
        <w:tc>
          <w:tcPr>
            <w:tcW w:w="1434" w:type="pct"/>
            <w:gridSpan w:val="2"/>
            <w:shd w:val="clear" w:color="auto" w:fill="E7E6E6" w:themeFill="background2"/>
          </w:tcPr>
          <w:p w14:paraId="2CF83F48" w14:textId="77777777" w:rsidR="00DE64CD" w:rsidRDefault="00DE64CD" w:rsidP="00A4557C">
            <w:pPr>
              <w:pStyle w:val="Tableheading"/>
              <w:spacing w:before="0" w:after="0"/>
              <w:jc w:val="center"/>
              <w:rPr>
                <w:rFonts w:ascii="ITC Avant Garde" w:hAnsi="ITC Avant Garde"/>
                <w:color w:val="000000" w:themeColor="text1"/>
                <w:szCs w:val="18"/>
                <w:lang w:val="es-ES_tradnl"/>
              </w:rPr>
            </w:pPr>
            <w:r w:rsidRPr="002B4C67">
              <w:rPr>
                <w:rFonts w:ascii="ITC Avant Garde" w:hAnsi="ITC Avant Garde"/>
                <w:color w:val="000000" w:themeColor="text1"/>
                <w:szCs w:val="18"/>
                <w:lang w:val="es-ES_tradnl"/>
              </w:rPr>
              <w:t>Factor de estimación del precio implícito</w:t>
            </w:r>
            <w:r>
              <w:rPr>
                <w:rFonts w:ascii="ITC Avant Garde" w:hAnsi="ITC Avant Garde"/>
                <w:color w:val="000000" w:themeColor="text1"/>
                <w:szCs w:val="18"/>
                <w:lang w:val="es-ES_tradnl"/>
              </w:rPr>
              <w:t xml:space="preserve"> (</w:t>
            </w:r>
            <w:r w:rsidRPr="002B4C67">
              <w:rPr>
                <w:rFonts w:ascii="Calibri" w:hAnsi="Calibri" w:cs="Calibri"/>
                <w:color w:val="000000" w:themeColor="text1"/>
                <w:szCs w:val="18"/>
                <w:lang w:val="es-ES_tradnl"/>
              </w:rPr>
              <w:t>α</w:t>
            </w:r>
            <w:r>
              <w:rPr>
                <w:rFonts w:ascii="ITC Avant Garde" w:hAnsi="ITC Avant Garde"/>
                <w:color w:val="000000" w:themeColor="text1"/>
                <w:szCs w:val="18"/>
                <w:lang w:val="es-ES_tradnl"/>
              </w:rPr>
              <w:t xml:space="preserve"> </w:t>
            </w:r>
            <w:r>
              <w:rPr>
                <w:rFonts w:ascii="Calibri" w:hAnsi="Calibri" w:cs="Calibri"/>
                <w:color w:val="000000" w:themeColor="text1"/>
                <w:szCs w:val="18"/>
                <w:lang w:val="es-ES_tradnl"/>
              </w:rPr>
              <w:t>% )</w:t>
            </w:r>
          </w:p>
        </w:tc>
        <w:tc>
          <w:tcPr>
            <w:tcW w:w="1165" w:type="pct"/>
            <w:shd w:val="clear" w:color="auto" w:fill="E7E6E6" w:themeFill="background2"/>
          </w:tcPr>
          <w:p w14:paraId="4AA06640" w14:textId="77777777" w:rsidR="00DE64CD" w:rsidRDefault="00DE64CD" w:rsidP="00A4557C">
            <w:pPr>
              <w:pStyle w:val="Tableheading"/>
              <w:spacing w:before="0" w:after="0"/>
              <w:jc w:val="center"/>
              <w:rPr>
                <w:rFonts w:ascii="ITC Avant Garde" w:hAnsi="ITC Avant Garde"/>
                <w:color w:val="000000" w:themeColor="text1"/>
                <w:szCs w:val="18"/>
                <w:lang w:val="es-ES_tradnl"/>
              </w:rPr>
            </w:pPr>
            <w:r>
              <w:rPr>
                <w:rFonts w:ascii="ITC Avant Garde" w:hAnsi="ITC Avant Garde"/>
                <w:color w:val="000000" w:themeColor="text1"/>
                <w:szCs w:val="18"/>
                <w:lang w:val="es-ES_tradnl"/>
              </w:rPr>
              <w:t xml:space="preserve">Porcentual </w:t>
            </w:r>
          </w:p>
          <w:p w14:paraId="067F8ED4" w14:textId="77777777" w:rsidR="00DE64CD" w:rsidRPr="002B4C67" w:rsidRDefault="00DE64CD" w:rsidP="00A4557C">
            <w:pPr>
              <w:pStyle w:val="Tableheading"/>
              <w:spacing w:before="0" w:after="0"/>
              <w:jc w:val="center"/>
              <w:rPr>
                <w:rFonts w:ascii="ITC Avant Garde" w:hAnsi="ITC Avant Garde"/>
                <w:color w:val="000000" w:themeColor="text1"/>
                <w:szCs w:val="18"/>
                <w:lang w:val="es-ES_tradnl"/>
              </w:rPr>
            </w:pPr>
            <w:r>
              <w:rPr>
                <w:rFonts w:ascii="ITC Avant Garde" w:hAnsi="ITC Avant Garde"/>
                <w:color w:val="000000" w:themeColor="text1"/>
                <w:szCs w:val="18"/>
                <w:lang w:val="es-ES_tradnl"/>
              </w:rPr>
              <w:t xml:space="preserve">(1 - </w:t>
            </w:r>
            <w:r w:rsidRPr="002B4C67">
              <w:rPr>
                <w:rFonts w:ascii="Calibri" w:hAnsi="Calibri" w:cs="Calibri"/>
                <w:color w:val="000000" w:themeColor="text1"/>
                <w:szCs w:val="18"/>
                <w:lang w:val="es-ES_tradnl"/>
              </w:rPr>
              <w:t>α</w:t>
            </w:r>
            <w:r>
              <w:rPr>
                <w:rFonts w:ascii="ITC Avant Garde" w:hAnsi="ITC Avant Garde"/>
                <w:color w:val="000000" w:themeColor="text1"/>
                <w:szCs w:val="18"/>
                <w:lang w:val="es-ES_tradnl"/>
              </w:rPr>
              <w:t xml:space="preserve">) </w:t>
            </w:r>
            <w:r>
              <w:rPr>
                <w:rFonts w:ascii="Calibri" w:hAnsi="Calibri" w:cs="Calibri"/>
                <w:color w:val="000000" w:themeColor="text1"/>
                <w:szCs w:val="18"/>
                <w:lang w:val="es-ES_tradnl"/>
              </w:rPr>
              <w:t>%</w:t>
            </w:r>
          </w:p>
        </w:tc>
        <w:tc>
          <w:tcPr>
            <w:tcW w:w="1272" w:type="pct"/>
            <w:shd w:val="clear" w:color="auto" w:fill="E7E6E6" w:themeFill="background2"/>
          </w:tcPr>
          <w:p w14:paraId="66970BDE" w14:textId="77777777" w:rsidR="00DE64CD" w:rsidRPr="00B72990" w:rsidRDefault="00DE64CD" w:rsidP="00A4557C">
            <w:pPr>
              <w:pStyle w:val="Tableheading"/>
              <w:spacing w:before="0" w:after="0"/>
              <w:jc w:val="center"/>
              <w:rPr>
                <w:rFonts w:ascii="ITC Avant Garde" w:hAnsi="ITC Avant Garde" w:cs="Calibri"/>
                <w:color w:val="000000" w:themeColor="text1"/>
                <w:szCs w:val="18"/>
                <w:lang w:val="es-ES_tradnl"/>
              </w:rPr>
            </w:pPr>
            <w:r w:rsidRPr="002B4C67">
              <w:rPr>
                <w:rFonts w:ascii="ITC Avant Garde" w:hAnsi="ITC Avant Garde"/>
                <w:color w:val="000000" w:themeColor="text1"/>
                <w:szCs w:val="18"/>
                <w:lang w:val="es-ES_tradnl"/>
              </w:rPr>
              <w:t>Monetaria</w:t>
            </w:r>
          </w:p>
          <w:p w14:paraId="4BAF2DF9" w14:textId="77777777" w:rsidR="00DE64CD" w:rsidRPr="00B72990" w:rsidRDefault="00DE64CD" w:rsidP="00A4557C">
            <w:pPr>
              <w:pStyle w:val="Tableheading"/>
              <w:spacing w:before="0" w:after="0"/>
              <w:jc w:val="center"/>
              <w:rPr>
                <w:lang w:val="es-ES_tradnl"/>
              </w:rPr>
            </w:pPr>
            <w:r>
              <w:rPr>
                <w:rFonts w:ascii="ITC Avant Garde" w:hAnsi="ITC Avant Garde" w:cs="Calibri"/>
                <w:color w:val="000000" w:themeColor="text1"/>
                <w:szCs w:val="18"/>
                <w:lang w:val="es-ES_tradnl"/>
              </w:rPr>
              <w:t xml:space="preserve">(1 - </w:t>
            </w:r>
            <w:r w:rsidRPr="00B72990">
              <w:rPr>
                <w:rFonts w:ascii="Calibri" w:hAnsi="Calibri" w:cs="Calibri"/>
                <w:color w:val="000000" w:themeColor="text1"/>
                <w:szCs w:val="18"/>
                <w:lang w:val="es-ES_tradnl"/>
              </w:rPr>
              <w:t>α</w:t>
            </w:r>
            <w:r w:rsidRPr="00B72990">
              <w:rPr>
                <w:rFonts w:ascii="ITC Avant Garde" w:hAnsi="ITC Avant Garde" w:cs="Calibri"/>
                <w:color w:val="000000" w:themeColor="text1"/>
                <w:szCs w:val="18"/>
                <w:lang w:val="es-ES_tradnl"/>
              </w:rPr>
              <w:t>) %</w:t>
            </w:r>
            <w:r>
              <w:rPr>
                <w:rFonts w:ascii="ITC Avant Garde" w:hAnsi="ITC Avant Garde" w:cs="Calibri"/>
                <w:color w:val="000000" w:themeColor="text1"/>
                <w:szCs w:val="18"/>
                <w:lang w:val="es-ES_tradnl"/>
              </w:rPr>
              <w:t xml:space="preserve"> </w:t>
            </w:r>
            <m:oMath>
              <m:r>
                <m:rPr>
                  <m:sty m:val="bi"/>
                </m:rPr>
                <w:rPr>
                  <w:rFonts w:ascii="Cambria Math" w:hAnsi="Cambria Math" w:cs="Calibri"/>
                  <w:color w:val="000000" w:themeColor="text1"/>
                  <w:szCs w:val="18"/>
                  <w:lang w:val="es-ES_tradnl"/>
                </w:rPr>
                <m:t>×</m:t>
              </m:r>
            </m:oMath>
            <w:r>
              <w:rPr>
                <w:rFonts w:ascii="ITC Avant Garde" w:eastAsiaTheme="minorEastAsia" w:hAnsi="ITC Avant Garde" w:cs="Calibri"/>
                <w:color w:val="000000" w:themeColor="text1"/>
                <w:szCs w:val="18"/>
                <w:lang w:val="es-ES_tradnl"/>
              </w:rPr>
              <w:t xml:space="preserve"> </w:t>
            </w:r>
            <w:r w:rsidRPr="00B72990">
              <w:rPr>
                <w:rFonts w:ascii="ITC Avant Garde" w:hAnsi="ITC Avant Garde"/>
                <w:i/>
                <w:color w:val="000000" w:themeColor="text1"/>
              </w:rPr>
              <w:t>P</w:t>
            </w:r>
          </w:p>
        </w:tc>
      </w:tr>
      <w:tr w:rsidR="00DE64CD" w:rsidRPr="00C1472F" w14:paraId="0BA89B70" w14:textId="77777777" w:rsidTr="00A4557C">
        <w:trPr>
          <w:trHeight w:val="235"/>
          <w:jc w:val="center"/>
        </w:trPr>
        <w:tc>
          <w:tcPr>
            <w:tcW w:w="1129" w:type="pct"/>
          </w:tcPr>
          <w:p w14:paraId="40DDFCF7" w14:textId="77777777" w:rsidR="00DE64CD" w:rsidRPr="002B4C67" w:rsidRDefault="00DE64CD" w:rsidP="00A4557C">
            <w:pPr>
              <w:pStyle w:val="Tablecells"/>
              <w:spacing w:before="0" w:after="0"/>
              <w:jc w:val="both"/>
              <w:rPr>
                <w:rFonts w:ascii="ITC Avant Garde" w:hAnsi="ITC Avant Garde"/>
                <w:szCs w:val="18"/>
                <w:lang w:val="es-ES_tradnl"/>
              </w:rPr>
            </w:pPr>
            <w:r w:rsidRPr="002B4C67">
              <w:rPr>
                <w:rFonts w:ascii="ITC Avant Garde" w:hAnsi="ITC Avant Garde"/>
                <w:szCs w:val="18"/>
                <w:lang w:val="es-ES_tradnl"/>
              </w:rPr>
              <w:t>Renta de línea</w:t>
            </w:r>
          </w:p>
        </w:tc>
        <w:tc>
          <w:tcPr>
            <w:tcW w:w="1434" w:type="pct"/>
            <w:gridSpan w:val="2"/>
          </w:tcPr>
          <w:p w14:paraId="1F3E63A7" w14:textId="77777777" w:rsidR="00DE64CD" w:rsidRDefault="00DE64CD" w:rsidP="00A4557C">
            <w:pPr>
              <w:pStyle w:val="Tablecells"/>
              <w:spacing w:before="0" w:after="0"/>
              <w:jc w:val="center"/>
              <w:rPr>
                <w:rFonts w:ascii="ITC Avant Garde" w:hAnsi="ITC Avant Garde"/>
                <w:szCs w:val="18"/>
                <w:lang w:val="es-ES_tradnl"/>
              </w:rPr>
            </w:pPr>
            <w:r>
              <w:rPr>
                <w:rFonts w:ascii="ITC Avant Garde" w:hAnsi="ITC Avant Garde"/>
                <w:szCs w:val="18"/>
                <w:lang w:val="es-ES_tradnl"/>
              </w:rPr>
              <w:t>80%</w:t>
            </w:r>
          </w:p>
        </w:tc>
        <w:tc>
          <w:tcPr>
            <w:tcW w:w="1165" w:type="pct"/>
            <w:vAlign w:val="center"/>
          </w:tcPr>
          <w:p w14:paraId="3781C1EE" w14:textId="77777777" w:rsidR="00DE64CD" w:rsidRPr="00480AE5" w:rsidRDefault="00DE64CD" w:rsidP="00A4557C">
            <w:pPr>
              <w:pStyle w:val="Tablecells"/>
              <w:spacing w:before="0" w:after="0"/>
              <w:jc w:val="center"/>
              <w:rPr>
                <w:rFonts w:ascii="ITC Avant Garde" w:hAnsi="ITC Avant Garde"/>
                <w:szCs w:val="18"/>
                <w:lang w:val="es-ES_tradnl"/>
              </w:rPr>
            </w:pPr>
            <w:r>
              <w:rPr>
                <w:rFonts w:ascii="ITC Avant Garde" w:hAnsi="ITC Avant Garde"/>
                <w:szCs w:val="18"/>
                <w:lang w:val="es-ES_tradnl"/>
              </w:rPr>
              <w:t>20%</w:t>
            </w:r>
          </w:p>
        </w:tc>
        <w:tc>
          <w:tcPr>
            <w:tcW w:w="1272" w:type="pct"/>
          </w:tcPr>
          <w:p w14:paraId="07F98D26" w14:textId="77777777" w:rsidR="00DE64CD" w:rsidRPr="00480AE5" w:rsidRDefault="00DE64CD" w:rsidP="00A4557C">
            <w:pPr>
              <w:pStyle w:val="Tablecells"/>
              <w:spacing w:before="0" w:after="0"/>
              <w:jc w:val="center"/>
              <w:rPr>
                <w:rFonts w:ascii="ITC Avant Garde" w:hAnsi="ITC Avant Garde"/>
                <w:szCs w:val="18"/>
                <w:lang w:val="es-ES_tradnl"/>
              </w:rPr>
            </w:pPr>
            <w:r>
              <w:rPr>
                <w:rFonts w:ascii="ITC Avant Garde" w:hAnsi="ITC Avant Garde"/>
                <w:szCs w:val="18"/>
                <w:lang w:val="es-ES_tradnl"/>
              </w:rPr>
              <w:t>$40</w:t>
            </w:r>
          </w:p>
        </w:tc>
      </w:tr>
      <w:tr w:rsidR="00DE64CD" w:rsidRPr="00C1472F" w14:paraId="1A756F38" w14:textId="77777777" w:rsidTr="00A4557C">
        <w:trPr>
          <w:trHeight w:val="235"/>
          <w:jc w:val="center"/>
        </w:trPr>
        <w:tc>
          <w:tcPr>
            <w:tcW w:w="1129" w:type="pct"/>
            <w:tcBorders>
              <w:bottom w:val="single" w:sz="4" w:space="0" w:color="999999" w:themeColor="text1" w:themeTint="66"/>
            </w:tcBorders>
          </w:tcPr>
          <w:p w14:paraId="5E5FC6BE" w14:textId="77777777" w:rsidR="00DE64CD" w:rsidRPr="002B4C67" w:rsidRDefault="00DE64CD" w:rsidP="00A4557C">
            <w:pPr>
              <w:pStyle w:val="Tablecells"/>
              <w:spacing w:before="0" w:after="0"/>
              <w:jc w:val="both"/>
              <w:rPr>
                <w:rFonts w:ascii="ITC Avant Garde" w:hAnsi="ITC Avant Garde"/>
                <w:szCs w:val="18"/>
                <w:lang w:val="es-ES_tradnl"/>
              </w:rPr>
            </w:pPr>
            <w:r w:rsidRPr="002B4C67">
              <w:rPr>
                <w:rFonts w:ascii="ITC Avant Garde" w:hAnsi="ITC Avant Garde"/>
                <w:szCs w:val="18"/>
                <w:lang w:val="es-ES_tradnl"/>
              </w:rPr>
              <w:t>Servicios de voz</w:t>
            </w:r>
          </w:p>
        </w:tc>
        <w:tc>
          <w:tcPr>
            <w:tcW w:w="1434" w:type="pct"/>
            <w:gridSpan w:val="2"/>
            <w:tcBorders>
              <w:bottom w:val="single" w:sz="4" w:space="0" w:color="999999" w:themeColor="text1" w:themeTint="66"/>
            </w:tcBorders>
          </w:tcPr>
          <w:p w14:paraId="1B584390" w14:textId="77777777" w:rsidR="00DE64CD" w:rsidRDefault="00DE64CD" w:rsidP="00A4557C">
            <w:pPr>
              <w:pStyle w:val="Tablecells"/>
              <w:spacing w:before="0" w:after="0"/>
              <w:jc w:val="center"/>
              <w:rPr>
                <w:rFonts w:ascii="ITC Avant Garde" w:hAnsi="ITC Avant Garde"/>
                <w:szCs w:val="18"/>
                <w:lang w:val="es-ES_tradnl"/>
              </w:rPr>
            </w:pPr>
            <w:r>
              <w:rPr>
                <w:rFonts w:ascii="ITC Avant Garde" w:hAnsi="ITC Avant Garde"/>
                <w:szCs w:val="18"/>
                <w:lang w:val="es-ES_tradnl"/>
              </w:rPr>
              <w:t>65%</w:t>
            </w:r>
          </w:p>
        </w:tc>
        <w:tc>
          <w:tcPr>
            <w:tcW w:w="1165" w:type="pct"/>
            <w:tcBorders>
              <w:bottom w:val="single" w:sz="4" w:space="0" w:color="999999" w:themeColor="text1" w:themeTint="66"/>
            </w:tcBorders>
            <w:vAlign w:val="center"/>
          </w:tcPr>
          <w:p w14:paraId="2424AB4E" w14:textId="77777777" w:rsidR="00DE64CD" w:rsidRPr="00480AE5" w:rsidRDefault="00DE64CD" w:rsidP="00A4557C">
            <w:pPr>
              <w:pStyle w:val="Tablecells"/>
              <w:spacing w:before="0" w:after="0"/>
              <w:jc w:val="center"/>
              <w:rPr>
                <w:rFonts w:ascii="ITC Avant Garde" w:hAnsi="ITC Avant Garde"/>
                <w:szCs w:val="18"/>
                <w:lang w:val="es-ES_tradnl"/>
              </w:rPr>
            </w:pPr>
            <w:r>
              <w:rPr>
                <w:rFonts w:ascii="ITC Avant Garde" w:hAnsi="ITC Avant Garde"/>
                <w:szCs w:val="18"/>
                <w:lang w:val="es-ES_tradnl"/>
              </w:rPr>
              <w:t>35%</w:t>
            </w:r>
          </w:p>
        </w:tc>
        <w:tc>
          <w:tcPr>
            <w:tcW w:w="1272" w:type="pct"/>
            <w:tcBorders>
              <w:bottom w:val="single" w:sz="4" w:space="0" w:color="999999" w:themeColor="text1" w:themeTint="66"/>
            </w:tcBorders>
          </w:tcPr>
          <w:p w14:paraId="2DCC8775" w14:textId="77777777" w:rsidR="00DE64CD" w:rsidRPr="00480AE5" w:rsidRDefault="00DE64CD" w:rsidP="00A4557C">
            <w:pPr>
              <w:pStyle w:val="Tablecells"/>
              <w:spacing w:before="0" w:after="0"/>
              <w:jc w:val="center"/>
              <w:rPr>
                <w:rFonts w:ascii="ITC Avant Garde" w:hAnsi="ITC Avant Garde"/>
                <w:szCs w:val="18"/>
                <w:lang w:val="es-ES_tradnl"/>
              </w:rPr>
            </w:pPr>
            <w:r>
              <w:rPr>
                <w:rFonts w:ascii="ITC Avant Garde" w:hAnsi="ITC Avant Garde"/>
                <w:szCs w:val="18"/>
                <w:lang w:val="es-ES_tradnl"/>
              </w:rPr>
              <w:t>$70</w:t>
            </w:r>
          </w:p>
        </w:tc>
      </w:tr>
      <w:tr w:rsidR="00DE64CD" w:rsidRPr="00C1472F" w14:paraId="542B5822" w14:textId="77777777" w:rsidTr="00A4557C">
        <w:trPr>
          <w:trHeight w:val="235"/>
          <w:jc w:val="center"/>
        </w:trPr>
        <w:tc>
          <w:tcPr>
            <w:tcW w:w="1129" w:type="pct"/>
            <w:tcBorders>
              <w:bottom w:val="single" w:sz="4" w:space="0" w:color="auto"/>
            </w:tcBorders>
          </w:tcPr>
          <w:p w14:paraId="26387769" w14:textId="77777777" w:rsidR="00DE64CD" w:rsidRPr="002B4C67" w:rsidRDefault="00DE64CD" w:rsidP="00A4557C">
            <w:pPr>
              <w:pStyle w:val="Tablecells"/>
              <w:spacing w:before="0" w:after="0"/>
              <w:jc w:val="both"/>
              <w:rPr>
                <w:rFonts w:ascii="ITC Avant Garde" w:hAnsi="ITC Avant Garde"/>
                <w:szCs w:val="18"/>
                <w:lang w:val="es-ES_tradnl"/>
              </w:rPr>
            </w:pPr>
            <w:r>
              <w:rPr>
                <w:rFonts w:ascii="ITC Avant Garde" w:hAnsi="ITC Avant Garde"/>
                <w:szCs w:val="18"/>
                <w:lang w:val="es-ES_tradnl"/>
              </w:rPr>
              <w:t>Internet</w:t>
            </w:r>
          </w:p>
        </w:tc>
        <w:tc>
          <w:tcPr>
            <w:tcW w:w="1434" w:type="pct"/>
            <w:gridSpan w:val="2"/>
            <w:tcBorders>
              <w:bottom w:val="single" w:sz="4" w:space="0" w:color="auto"/>
            </w:tcBorders>
          </w:tcPr>
          <w:p w14:paraId="5F49B63C" w14:textId="77777777" w:rsidR="00DE64CD" w:rsidRDefault="00DE64CD" w:rsidP="00A4557C">
            <w:pPr>
              <w:pStyle w:val="Tablecells"/>
              <w:spacing w:before="0" w:after="0"/>
              <w:jc w:val="center"/>
              <w:rPr>
                <w:rFonts w:ascii="ITC Avant Garde" w:hAnsi="ITC Avant Garde"/>
                <w:szCs w:val="18"/>
                <w:lang w:val="es-ES_tradnl"/>
              </w:rPr>
            </w:pPr>
            <w:r>
              <w:rPr>
                <w:rFonts w:ascii="ITC Avant Garde" w:hAnsi="ITC Avant Garde"/>
                <w:szCs w:val="18"/>
                <w:lang w:val="es-ES_tradnl"/>
              </w:rPr>
              <w:t>55%</w:t>
            </w:r>
          </w:p>
        </w:tc>
        <w:tc>
          <w:tcPr>
            <w:tcW w:w="1165" w:type="pct"/>
            <w:tcBorders>
              <w:bottom w:val="single" w:sz="4" w:space="0" w:color="auto"/>
            </w:tcBorders>
            <w:vAlign w:val="center"/>
          </w:tcPr>
          <w:p w14:paraId="29E0F364" w14:textId="77777777" w:rsidR="00DE64CD" w:rsidRPr="00480AE5" w:rsidRDefault="00DE64CD" w:rsidP="00A4557C">
            <w:pPr>
              <w:pStyle w:val="Tablecells"/>
              <w:spacing w:before="0" w:after="0"/>
              <w:jc w:val="center"/>
              <w:rPr>
                <w:rFonts w:ascii="ITC Avant Garde" w:hAnsi="ITC Avant Garde"/>
                <w:szCs w:val="18"/>
                <w:lang w:val="es-ES_tradnl"/>
              </w:rPr>
            </w:pPr>
            <w:r>
              <w:rPr>
                <w:rFonts w:ascii="ITC Avant Garde" w:hAnsi="ITC Avant Garde"/>
                <w:szCs w:val="18"/>
                <w:lang w:val="es-ES_tradnl"/>
              </w:rPr>
              <w:t>45%</w:t>
            </w:r>
          </w:p>
        </w:tc>
        <w:tc>
          <w:tcPr>
            <w:tcW w:w="1272" w:type="pct"/>
            <w:tcBorders>
              <w:bottom w:val="single" w:sz="4" w:space="0" w:color="auto"/>
            </w:tcBorders>
          </w:tcPr>
          <w:p w14:paraId="35E603C4" w14:textId="77777777" w:rsidR="00DE64CD" w:rsidRPr="00480AE5" w:rsidRDefault="00DE64CD" w:rsidP="00A4557C">
            <w:pPr>
              <w:pStyle w:val="Tablecells"/>
              <w:spacing w:before="0" w:after="0"/>
              <w:jc w:val="center"/>
              <w:rPr>
                <w:rFonts w:ascii="ITC Avant Garde" w:hAnsi="ITC Avant Garde"/>
                <w:szCs w:val="18"/>
                <w:lang w:val="es-ES_tradnl"/>
              </w:rPr>
            </w:pPr>
            <w:r>
              <w:rPr>
                <w:rFonts w:ascii="ITC Avant Garde" w:hAnsi="ITC Avant Garde"/>
                <w:szCs w:val="18"/>
                <w:lang w:val="es-ES_tradnl"/>
              </w:rPr>
              <w:t>$90</w:t>
            </w:r>
          </w:p>
        </w:tc>
      </w:tr>
      <w:tr w:rsidR="00DE64CD" w:rsidRPr="00C1472F" w14:paraId="55DB5D15" w14:textId="77777777" w:rsidTr="00A4557C">
        <w:trPr>
          <w:trHeight w:val="235"/>
          <w:jc w:val="center"/>
        </w:trPr>
        <w:tc>
          <w:tcPr>
            <w:tcW w:w="1129" w:type="pct"/>
            <w:tcBorders>
              <w:top w:val="single" w:sz="4" w:space="0" w:color="auto"/>
              <w:bottom w:val="single" w:sz="4" w:space="0" w:color="auto"/>
            </w:tcBorders>
          </w:tcPr>
          <w:p w14:paraId="1DE0F9B4" w14:textId="77777777" w:rsidR="00DE64CD" w:rsidRPr="00480AE5" w:rsidRDefault="00DE64CD" w:rsidP="00A4557C">
            <w:pPr>
              <w:pStyle w:val="Tablecells"/>
              <w:spacing w:before="0" w:after="0"/>
              <w:jc w:val="both"/>
              <w:rPr>
                <w:rFonts w:ascii="ITC Avant Garde" w:hAnsi="ITC Avant Garde"/>
                <w:b/>
              </w:rPr>
            </w:pPr>
            <w:r>
              <w:rPr>
                <w:rFonts w:ascii="ITC Avant Garde" w:hAnsi="ITC Avant Garde"/>
                <w:b/>
              </w:rPr>
              <w:t>Total</w:t>
            </w:r>
          </w:p>
        </w:tc>
        <w:tc>
          <w:tcPr>
            <w:tcW w:w="1434" w:type="pct"/>
            <w:gridSpan w:val="2"/>
            <w:tcBorders>
              <w:top w:val="single" w:sz="4" w:space="0" w:color="auto"/>
              <w:bottom w:val="single" w:sz="4" w:space="0" w:color="auto"/>
            </w:tcBorders>
            <w:shd w:val="clear" w:color="auto" w:fill="E7E6E6" w:themeFill="background2"/>
          </w:tcPr>
          <w:p w14:paraId="5AD830B3" w14:textId="77777777" w:rsidR="00DE64CD" w:rsidRDefault="00DE64CD" w:rsidP="00A4557C">
            <w:pPr>
              <w:pStyle w:val="Tablecells"/>
              <w:spacing w:before="0" w:after="0"/>
              <w:jc w:val="center"/>
              <w:rPr>
                <w:rFonts w:ascii="ITC Avant Garde" w:eastAsia="Times New Roman" w:hAnsi="ITC Avant Garde" w:cs="Arial"/>
                <w:b/>
                <w:sz w:val="16"/>
                <w:szCs w:val="18"/>
                <w:lang w:eastAsia="es-MX"/>
              </w:rPr>
            </w:pPr>
          </w:p>
        </w:tc>
        <w:tc>
          <w:tcPr>
            <w:tcW w:w="1165" w:type="pct"/>
            <w:tcBorders>
              <w:top w:val="single" w:sz="4" w:space="0" w:color="auto"/>
              <w:bottom w:val="single" w:sz="4" w:space="0" w:color="auto"/>
            </w:tcBorders>
            <w:vAlign w:val="center"/>
          </w:tcPr>
          <w:p w14:paraId="32D139B7" w14:textId="77777777" w:rsidR="00DE64CD" w:rsidRPr="00480AE5" w:rsidRDefault="00DE64CD" w:rsidP="00A4557C">
            <w:pPr>
              <w:pStyle w:val="Tablecells"/>
              <w:spacing w:before="0" w:after="0"/>
              <w:jc w:val="center"/>
              <w:rPr>
                <w:rFonts w:ascii="ITC Avant Garde" w:hAnsi="ITC Avant Garde"/>
                <w:szCs w:val="18"/>
                <w:lang w:val="es-ES_tradnl"/>
              </w:rPr>
            </w:pPr>
            <w:r>
              <w:rPr>
                <w:rFonts w:ascii="ITC Avant Garde" w:eastAsia="Times New Roman" w:hAnsi="ITC Avant Garde" w:cs="Arial"/>
                <w:b/>
                <w:sz w:val="16"/>
                <w:szCs w:val="18"/>
                <w:lang w:eastAsia="es-MX"/>
              </w:rPr>
              <w:t>100%</w:t>
            </w:r>
          </w:p>
        </w:tc>
        <w:tc>
          <w:tcPr>
            <w:tcW w:w="1272" w:type="pct"/>
            <w:tcBorders>
              <w:top w:val="single" w:sz="4" w:space="0" w:color="auto"/>
              <w:bottom w:val="single" w:sz="4" w:space="0" w:color="auto"/>
            </w:tcBorders>
          </w:tcPr>
          <w:p w14:paraId="1F9FF088" w14:textId="77777777" w:rsidR="00DE64CD" w:rsidRPr="00480AE5" w:rsidRDefault="00DE64CD" w:rsidP="00A4557C">
            <w:pPr>
              <w:pStyle w:val="Tablecells"/>
              <w:spacing w:before="0" w:after="0"/>
              <w:jc w:val="center"/>
              <w:rPr>
                <w:rFonts w:ascii="ITC Avant Garde" w:eastAsia="Times New Roman" w:hAnsi="ITC Avant Garde" w:cs="Arial"/>
                <w:b/>
                <w:sz w:val="16"/>
                <w:szCs w:val="18"/>
                <w:lang w:eastAsia="es-MX"/>
              </w:rPr>
            </w:pPr>
            <w:r>
              <w:rPr>
                <w:rFonts w:ascii="ITC Avant Garde" w:eastAsia="Times New Roman" w:hAnsi="ITC Avant Garde" w:cs="Arial"/>
                <w:b/>
                <w:sz w:val="16"/>
                <w:szCs w:val="18"/>
                <w:lang w:eastAsia="es-MX"/>
              </w:rPr>
              <w:t>$200</w:t>
            </w:r>
          </w:p>
        </w:tc>
      </w:tr>
    </w:tbl>
    <w:p w14:paraId="5B8EDA00" w14:textId="77777777" w:rsidR="00DE64CD" w:rsidRDefault="00DE64CD" w:rsidP="00DE64CD">
      <w:pPr>
        <w:pStyle w:val="IFTnormal"/>
      </w:pPr>
    </w:p>
    <w:p w14:paraId="124E1702" w14:textId="77777777" w:rsidR="00DE64CD" w:rsidRDefault="00DE64CD" w:rsidP="00DE64CD">
      <w:pPr>
        <w:pStyle w:val="IFTnormal"/>
      </w:pPr>
      <w:r>
        <w:t xml:space="preserve">En el Modelo de Costos Evitados el precio de referencia del SRL se establece a través del </w:t>
      </w:r>
      <w:r w:rsidRPr="008058F9">
        <w:t>factor de estimación del precio implícito</w:t>
      </w:r>
      <w:r>
        <w:t>, como se describe a continuación.</w:t>
      </w:r>
    </w:p>
    <w:p w14:paraId="58D55582" w14:textId="77777777" w:rsidR="00DE64CD" w:rsidRDefault="00DE64CD" w:rsidP="00DE64CD">
      <w:pPr>
        <w:pStyle w:val="IFTnormal"/>
      </w:pPr>
      <w:r>
        <w:t>Dado un conjunto de planes y paquetes que ofrecen un elemento o servicio particular, los i</w:t>
      </w:r>
      <w:r w:rsidRPr="0032136D">
        <w:t>ngresos</w:t>
      </w:r>
      <w:r>
        <w:t xml:space="preserve"> guardan la siguiente relación:</w:t>
      </w:r>
    </w:p>
    <w:p w14:paraId="0B3E3565" w14:textId="77777777" w:rsidR="00DE64CD" w:rsidRPr="00C61238" w:rsidRDefault="00DE64CD" w:rsidP="00DE64CD">
      <w:pPr>
        <w:pStyle w:val="IFTnormal"/>
        <w:rPr>
          <w:sz w:val="20"/>
          <w:szCs w:val="16"/>
        </w:rPr>
      </w:pPr>
      <m:oMathPara>
        <m:oMath>
          <m:r>
            <m:rPr>
              <m:nor/>
            </m:rPr>
            <w:rPr>
              <w:sz w:val="20"/>
              <w:szCs w:val="16"/>
            </w:rPr>
            <m:t xml:space="preserve">Ingresos de los planes y paquetes = </m:t>
          </m:r>
          <m:nary>
            <m:naryPr>
              <m:chr m:val="∑"/>
              <m:limLoc m:val="undOvr"/>
              <m:ctrlPr>
                <w:rPr>
                  <w:rFonts w:ascii="Cambria Math" w:hAnsi="Cambria Math"/>
                  <w:i/>
                  <w:sz w:val="20"/>
                  <w:szCs w:val="16"/>
                </w:rPr>
              </m:ctrlPr>
            </m:naryPr>
            <m:sub>
              <m:r>
                <m:rPr>
                  <m:nor/>
                </m:rPr>
                <w:rPr>
                  <w:sz w:val="20"/>
                  <w:szCs w:val="16"/>
                </w:rPr>
                <m:t>i=1</m:t>
              </m:r>
            </m:sub>
            <m:sup>
              <m:r>
                <m:rPr>
                  <m:nor/>
                </m:rPr>
                <w:rPr>
                  <w:sz w:val="20"/>
                  <w:szCs w:val="16"/>
                </w:rPr>
                <m:t>n</m:t>
              </m:r>
            </m:sup>
            <m:e>
              <m:sSubSup>
                <m:sSubSupPr>
                  <m:ctrlPr>
                    <w:rPr>
                      <w:rFonts w:ascii="Cambria Math" w:hAnsi="Cambria Math"/>
                      <w:i/>
                      <w:sz w:val="20"/>
                      <w:szCs w:val="16"/>
                    </w:rPr>
                  </m:ctrlPr>
                </m:sSubSupPr>
                <m:e>
                  <m:r>
                    <m:rPr>
                      <m:nor/>
                    </m:rPr>
                    <w:rPr>
                      <w:sz w:val="20"/>
                      <w:szCs w:val="16"/>
                      <w:lang w:val="es-MX"/>
                    </w:rPr>
                    <m:t>P</m:t>
                  </m:r>
                </m:e>
                <m:sub>
                  <m:r>
                    <m:rPr>
                      <m:nor/>
                    </m:rPr>
                    <w:rPr>
                      <w:sz w:val="20"/>
                      <w:szCs w:val="16"/>
                      <w:lang w:val="es-MX"/>
                    </w:rPr>
                    <m:t>minorista</m:t>
                  </m:r>
                </m:sub>
                <m:sup>
                  <m:r>
                    <m:rPr>
                      <m:nor/>
                    </m:rPr>
                    <w:rPr>
                      <w:sz w:val="20"/>
                      <w:szCs w:val="16"/>
                      <w:lang w:val="es-MX"/>
                    </w:rPr>
                    <m:t>i</m:t>
                  </m:r>
                </m:sup>
              </m:sSubSup>
              <m:r>
                <m:rPr>
                  <m:nor/>
                </m:rPr>
                <w:rPr>
                  <w:sz w:val="20"/>
                  <w:szCs w:val="16"/>
                  <w:lang w:val="es-MX"/>
                </w:rPr>
                <m:t xml:space="preserve"> × </m:t>
              </m:r>
              <m:sSup>
                <m:sSupPr>
                  <m:ctrlPr>
                    <w:rPr>
                      <w:rFonts w:ascii="Cambria Math" w:hAnsi="Cambria Math"/>
                      <w:i/>
                      <w:sz w:val="20"/>
                      <w:szCs w:val="16"/>
                    </w:rPr>
                  </m:ctrlPr>
                </m:sSupPr>
                <m:e>
                  <m:r>
                    <m:rPr>
                      <m:nor/>
                    </m:rPr>
                    <w:rPr>
                      <w:sz w:val="20"/>
                      <w:szCs w:val="16"/>
                      <w:lang w:val="es-MX"/>
                    </w:rPr>
                    <m:t>Q</m:t>
                  </m:r>
                </m:e>
                <m:sup>
                  <m:r>
                    <m:rPr>
                      <m:nor/>
                    </m:rPr>
                    <w:rPr>
                      <w:sz w:val="20"/>
                      <w:szCs w:val="16"/>
                      <w:lang w:val="es-MX"/>
                    </w:rPr>
                    <m:t>i</m:t>
                  </m:r>
                </m:sup>
              </m:sSup>
            </m:e>
          </m:nary>
        </m:oMath>
      </m:oMathPara>
    </w:p>
    <w:p w14:paraId="6C931D02" w14:textId="77777777" w:rsidR="00DE64CD" w:rsidRPr="00C61238" w:rsidRDefault="00DE64CD" w:rsidP="00DE64CD">
      <w:pPr>
        <w:pStyle w:val="IFTnormal"/>
        <w:rPr>
          <w:sz w:val="20"/>
          <w:szCs w:val="16"/>
          <w:lang w:val="en-US"/>
        </w:rPr>
      </w:pPr>
      <m:oMathPara>
        <m:oMath>
          <m:r>
            <m:rPr>
              <m:nor/>
            </m:rPr>
            <w:rPr>
              <w:sz w:val="20"/>
              <w:szCs w:val="16"/>
              <w:lang w:val="en-US"/>
            </w:rPr>
            <m:t>=</m:t>
          </m:r>
          <m:nary>
            <m:naryPr>
              <m:chr m:val="∑"/>
              <m:limLoc m:val="undOvr"/>
              <m:ctrlPr>
                <w:rPr>
                  <w:rFonts w:ascii="Cambria Math" w:hAnsi="Cambria Math"/>
                  <w:i/>
                  <w:sz w:val="20"/>
                  <w:szCs w:val="16"/>
                </w:rPr>
              </m:ctrlPr>
            </m:naryPr>
            <m:sub>
              <m:r>
                <m:rPr>
                  <m:nor/>
                </m:rPr>
                <w:rPr>
                  <w:sz w:val="20"/>
                  <w:szCs w:val="16"/>
                  <w:lang w:val="en-US"/>
                </w:rPr>
                <m:t>i=1</m:t>
              </m:r>
            </m:sub>
            <m:sup>
              <m:r>
                <m:rPr>
                  <m:nor/>
                </m:rPr>
                <w:rPr>
                  <w:sz w:val="20"/>
                  <w:szCs w:val="16"/>
                  <w:lang w:val="en-US"/>
                </w:rPr>
                <m:t>n</m:t>
              </m:r>
            </m:sup>
            <m:e>
              <m:sSubSup>
                <m:sSubSupPr>
                  <m:ctrlPr>
                    <w:rPr>
                      <w:rFonts w:ascii="Cambria Math" w:hAnsi="Cambria Math"/>
                      <w:sz w:val="20"/>
                      <w:szCs w:val="16"/>
                      <w:lang w:val="en-US"/>
                    </w:rPr>
                  </m:ctrlPr>
                </m:sSubSupPr>
                <m:e>
                  <m:r>
                    <m:rPr>
                      <m:nor/>
                    </m:rPr>
                    <w:rPr>
                      <w:sz w:val="20"/>
                      <w:szCs w:val="16"/>
                      <w:lang w:val="en-US"/>
                    </w:rPr>
                    <m:t>P</m:t>
                  </m:r>
                </m:e>
                <m:sub>
                  <m:r>
                    <m:rPr>
                      <m:nor/>
                    </m:rPr>
                    <w:rPr>
                      <w:sz w:val="20"/>
                      <w:szCs w:val="16"/>
                      <w:lang w:val="en-US"/>
                    </w:rPr>
                    <m:t>implícito</m:t>
                  </m:r>
                </m:sub>
                <m:sup>
                  <m:r>
                    <m:rPr>
                      <m:nor/>
                    </m:rPr>
                    <w:rPr>
                      <w:sz w:val="20"/>
                      <w:szCs w:val="16"/>
                      <w:lang w:val="en-US"/>
                    </w:rPr>
                    <m:t>i</m:t>
                  </m:r>
                </m:sup>
              </m:sSubSup>
              <m:r>
                <m:rPr>
                  <m:nor/>
                </m:rPr>
                <w:rPr>
                  <w:sz w:val="20"/>
                  <w:szCs w:val="16"/>
                  <w:lang w:val="en-US"/>
                </w:rPr>
                <m:t xml:space="preserve"> × </m:t>
              </m:r>
              <m:sSup>
                <m:sSupPr>
                  <m:ctrlPr>
                    <w:rPr>
                      <w:rFonts w:ascii="Cambria Math" w:hAnsi="Cambria Math"/>
                      <w:i/>
                      <w:sz w:val="20"/>
                      <w:szCs w:val="16"/>
                    </w:rPr>
                  </m:ctrlPr>
                </m:sSupPr>
                <m:e>
                  <m:r>
                    <m:rPr>
                      <m:nor/>
                    </m:rPr>
                    <w:rPr>
                      <w:sz w:val="20"/>
                      <w:szCs w:val="16"/>
                      <w:lang w:val="en-US"/>
                    </w:rPr>
                    <m:t>Q</m:t>
                  </m:r>
                </m:e>
                <m:sup>
                  <m:r>
                    <m:rPr>
                      <m:nor/>
                    </m:rPr>
                    <w:rPr>
                      <w:sz w:val="20"/>
                      <w:szCs w:val="16"/>
                      <w:lang w:val="en-US"/>
                    </w:rPr>
                    <m:t>i</m:t>
                  </m:r>
                </m:sup>
              </m:sSup>
            </m:e>
          </m:nary>
          <m:r>
            <m:rPr>
              <m:nor/>
            </m:rPr>
            <w:rPr>
              <w:sz w:val="20"/>
              <w:szCs w:val="16"/>
              <w:lang w:val="en-US"/>
            </w:rPr>
            <m:t>+</m:t>
          </m:r>
          <m:r>
            <w:rPr>
              <w:rFonts w:ascii="Cambria Math" w:hAnsi="Cambria Math"/>
              <w:sz w:val="20"/>
              <w:szCs w:val="16"/>
              <w:lang w:val="en-US"/>
            </w:rPr>
            <m:t xml:space="preserve"> </m:t>
          </m:r>
          <m:nary>
            <m:naryPr>
              <m:chr m:val="∑"/>
              <m:limLoc m:val="undOvr"/>
              <m:ctrlPr>
                <w:rPr>
                  <w:rFonts w:ascii="Cambria Math" w:hAnsi="Cambria Math"/>
                  <w:i/>
                  <w:sz w:val="20"/>
                  <w:szCs w:val="16"/>
                </w:rPr>
              </m:ctrlPr>
            </m:naryPr>
            <m:sub>
              <m:r>
                <m:rPr>
                  <m:nor/>
                </m:rPr>
                <w:rPr>
                  <w:sz w:val="20"/>
                  <w:szCs w:val="16"/>
                  <w:lang w:val="en-US"/>
                </w:rPr>
                <m:t>i=1</m:t>
              </m:r>
            </m:sub>
            <m:sup>
              <m:r>
                <m:rPr>
                  <m:nor/>
                </m:rPr>
                <w:rPr>
                  <w:sz w:val="20"/>
                  <w:szCs w:val="16"/>
                  <w:lang w:val="en-US"/>
                </w:rPr>
                <m:t>n</m:t>
              </m:r>
            </m:sup>
            <m:e>
              <m:sSubSup>
                <m:sSubSupPr>
                  <m:ctrlPr>
                    <w:rPr>
                      <w:rFonts w:ascii="Cambria Math" w:hAnsi="Cambria Math"/>
                      <w:sz w:val="20"/>
                      <w:szCs w:val="16"/>
                      <w:lang w:val="en-US"/>
                    </w:rPr>
                  </m:ctrlPr>
                </m:sSubSupPr>
                <m:e>
                  <m:r>
                    <m:rPr>
                      <m:nor/>
                    </m:rPr>
                    <w:rPr>
                      <w:rFonts w:ascii="Cambria Math"/>
                      <w:sz w:val="20"/>
                      <w:szCs w:val="16"/>
                      <w:lang w:val="en-US"/>
                    </w:rPr>
                    <m:t>(</m:t>
                  </m:r>
                  <m:sSubSup>
                    <m:sSubSupPr>
                      <m:ctrlPr>
                        <w:rPr>
                          <w:rFonts w:ascii="Cambria Math" w:hAnsi="Cambria Math"/>
                          <w:i/>
                          <w:sz w:val="20"/>
                          <w:szCs w:val="16"/>
                        </w:rPr>
                      </m:ctrlPr>
                    </m:sSubSupPr>
                    <m:e>
                      <m:r>
                        <m:rPr>
                          <m:nor/>
                        </m:rPr>
                        <w:rPr>
                          <w:sz w:val="20"/>
                          <w:szCs w:val="16"/>
                          <w:lang w:val="en-US"/>
                        </w:rPr>
                        <m:t>P</m:t>
                      </m:r>
                    </m:e>
                    <m:sub>
                      <m:r>
                        <m:rPr>
                          <m:nor/>
                        </m:rPr>
                        <w:rPr>
                          <w:sz w:val="20"/>
                          <w:szCs w:val="16"/>
                          <w:lang w:val="en-US"/>
                        </w:rPr>
                        <m:t>minorista</m:t>
                      </m:r>
                    </m:sub>
                    <m:sup>
                      <m:r>
                        <m:rPr>
                          <m:nor/>
                        </m:rPr>
                        <w:rPr>
                          <w:sz w:val="20"/>
                          <w:szCs w:val="16"/>
                          <w:lang w:val="en-US"/>
                        </w:rPr>
                        <m:t>i</m:t>
                      </m:r>
                    </m:sup>
                  </m:sSubSup>
                  <m:r>
                    <m:rPr>
                      <m:nor/>
                    </m:rPr>
                    <w:rPr>
                      <w:rFonts w:ascii="Cambria Math"/>
                      <w:sz w:val="20"/>
                      <w:szCs w:val="16"/>
                      <w:lang w:val="en-US"/>
                    </w:rPr>
                    <m:t xml:space="preserve"> - </m:t>
                  </m:r>
                  <m:r>
                    <m:rPr>
                      <m:nor/>
                    </m:rPr>
                    <w:rPr>
                      <w:sz w:val="20"/>
                      <w:szCs w:val="16"/>
                      <w:lang w:val="en-US"/>
                    </w:rPr>
                    <m:t>P</m:t>
                  </m:r>
                </m:e>
                <m:sub>
                  <m:r>
                    <m:rPr>
                      <m:nor/>
                    </m:rPr>
                    <w:rPr>
                      <w:sz w:val="20"/>
                      <w:szCs w:val="16"/>
                      <w:lang w:val="en-US"/>
                    </w:rPr>
                    <m:t>implícito</m:t>
                  </m:r>
                </m:sub>
                <m:sup>
                  <m:r>
                    <m:rPr>
                      <m:nor/>
                    </m:rPr>
                    <w:rPr>
                      <w:sz w:val="20"/>
                      <w:szCs w:val="16"/>
                      <w:lang w:val="en-US"/>
                    </w:rPr>
                    <m:t>i</m:t>
                  </m:r>
                </m:sup>
              </m:sSubSup>
              <m:r>
                <m:rPr>
                  <m:nor/>
                </m:rPr>
                <w:rPr>
                  <w:rFonts w:ascii="Cambria Math"/>
                  <w:sz w:val="20"/>
                  <w:szCs w:val="16"/>
                  <w:lang w:val="en-US"/>
                </w:rPr>
                <m:t>)</m:t>
              </m:r>
              <m:r>
                <m:rPr>
                  <m:nor/>
                </m:rPr>
                <w:rPr>
                  <w:sz w:val="20"/>
                  <w:szCs w:val="16"/>
                  <w:lang w:val="en-US"/>
                </w:rPr>
                <m:t xml:space="preserve"> × </m:t>
              </m:r>
              <m:sSup>
                <m:sSupPr>
                  <m:ctrlPr>
                    <w:rPr>
                      <w:rFonts w:ascii="Cambria Math" w:hAnsi="Cambria Math"/>
                      <w:i/>
                      <w:sz w:val="20"/>
                      <w:szCs w:val="16"/>
                    </w:rPr>
                  </m:ctrlPr>
                </m:sSupPr>
                <m:e>
                  <m:r>
                    <m:rPr>
                      <m:nor/>
                    </m:rPr>
                    <w:rPr>
                      <w:sz w:val="20"/>
                      <w:szCs w:val="16"/>
                      <w:lang w:val="en-US"/>
                    </w:rPr>
                    <m:t>Q</m:t>
                  </m:r>
                </m:e>
                <m:sup>
                  <m:r>
                    <m:rPr>
                      <m:nor/>
                    </m:rPr>
                    <w:rPr>
                      <w:sz w:val="20"/>
                      <w:szCs w:val="16"/>
                      <w:lang w:val="en-US"/>
                    </w:rPr>
                    <m:t>i</m:t>
                  </m:r>
                </m:sup>
              </m:sSup>
            </m:e>
          </m:nary>
          <m:r>
            <m:rPr>
              <m:nor/>
            </m:rPr>
            <w:rPr>
              <w:sz w:val="20"/>
              <w:szCs w:val="16"/>
              <w:lang w:val="en-US"/>
            </w:rPr>
            <m:t>=</m:t>
          </m:r>
        </m:oMath>
      </m:oMathPara>
    </w:p>
    <w:p w14:paraId="62CCD434" w14:textId="77777777" w:rsidR="00DE64CD" w:rsidRPr="00624099" w:rsidRDefault="00DE64CD" w:rsidP="00DE64CD">
      <w:pPr>
        <w:pStyle w:val="IFTnormal"/>
        <w:rPr>
          <w:sz w:val="20"/>
          <w:szCs w:val="16"/>
        </w:rPr>
      </w:pPr>
      <m:oMathPara>
        <m:oMath>
          <m:r>
            <m:rPr>
              <m:nor/>
            </m:rPr>
            <w:rPr>
              <w:rFonts w:ascii="Cambria Math"/>
              <w:sz w:val="20"/>
              <w:szCs w:val="16"/>
            </w:rPr>
            <m:t xml:space="preserve">= </m:t>
          </m:r>
          <m:r>
            <m:rPr>
              <m:nor/>
            </m:rPr>
            <w:rPr>
              <w:sz w:val="20"/>
              <w:szCs w:val="16"/>
            </w:rPr>
            <m:t xml:space="preserve">Ingresos del servicio de interés + </m:t>
          </m:r>
        </m:oMath>
      </m:oMathPara>
    </w:p>
    <w:p w14:paraId="66F5C01B" w14:textId="77777777" w:rsidR="00DE64CD" w:rsidRPr="00624099" w:rsidRDefault="00DE64CD" w:rsidP="00DE64CD">
      <w:pPr>
        <w:pStyle w:val="IFTnormal"/>
        <w:rPr>
          <w:sz w:val="20"/>
          <w:szCs w:val="16"/>
        </w:rPr>
      </w:pPr>
      <m:oMathPara>
        <m:oMath>
          <m:r>
            <m:rPr>
              <m:nor/>
            </m:rPr>
            <w:rPr>
              <w:sz w:val="20"/>
              <w:szCs w:val="16"/>
            </w:rPr>
            <m:t>Ingresos del resto de servicios que se ofrecen en planes y paquetes.</m:t>
          </m:r>
        </m:oMath>
      </m:oMathPara>
    </w:p>
    <w:p w14:paraId="7CD7B741" w14:textId="77777777" w:rsidR="00DE64CD" w:rsidRDefault="00DE64CD" w:rsidP="00DE64CD">
      <w:pPr>
        <w:pStyle w:val="IFTnormal"/>
      </w:pPr>
      <w:r>
        <w:t>Donde para el periodo de tiempo en estudio, los términos involucrados tienen el significado descrito a continuación:</w:t>
      </w:r>
    </w:p>
    <w:p w14:paraId="7A9E2495" w14:textId="77777777" w:rsidR="00DE64CD" w:rsidRPr="00C61238" w:rsidRDefault="00DE64CD" w:rsidP="00DE64CD">
      <w:pPr>
        <w:pStyle w:val="IFTnormal"/>
        <w:numPr>
          <w:ilvl w:val="0"/>
          <w:numId w:val="18"/>
        </w:numPr>
      </w:pPr>
      <m:oMath>
        <m:r>
          <m:rPr>
            <m:nor/>
          </m:rPr>
          <w:rPr>
            <w:sz w:val="20"/>
            <w:szCs w:val="16"/>
          </w:rPr>
          <m:t>n</m:t>
        </m:r>
        <m:r>
          <m:rPr>
            <m:nor/>
          </m:rPr>
          <w:rPr>
            <w:rFonts w:ascii="Cambria Math"/>
            <w:sz w:val="20"/>
            <w:szCs w:val="16"/>
          </w:rPr>
          <m:t>:</m:t>
        </m:r>
      </m:oMath>
      <w:r>
        <w:rPr>
          <w:sz w:val="20"/>
          <w:szCs w:val="16"/>
        </w:rPr>
        <w:t xml:space="preserve"> </w:t>
      </w:r>
      <w:r w:rsidRPr="00624099">
        <w:rPr>
          <w:szCs w:val="16"/>
        </w:rPr>
        <w:t>denota el número de planes o paquetes en cuestión,</w:t>
      </w:r>
    </w:p>
    <w:p w14:paraId="1FEE5E98" w14:textId="77777777" w:rsidR="00DE64CD" w:rsidRDefault="003175E4" w:rsidP="00DE64CD">
      <w:pPr>
        <w:pStyle w:val="IFTnormal"/>
        <w:numPr>
          <w:ilvl w:val="0"/>
          <w:numId w:val="18"/>
        </w:numPr>
      </w:pPr>
      <m:oMath>
        <m:sSubSup>
          <m:sSubSupPr>
            <m:ctrlPr>
              <w:rPr>
                <w:rFonts w:ascii="Cambria Math" w:hAnsi="Cambria Math"/>
                <w:i/>
                <w:sz w:val="20"/>
                <w:szCs w:val="16"/>
              </w:rPr>
            </m:ctrlPr>
          </m:sSubSupPr>
          <m:e>
            <m:r>
              <m:rPr>
                <m:nor/>
              </m:rPr>
              <w:rPr>
                <w:sz w:val="20"/>
                <w:szCs w:val="16"/>
                <w:lang w:val="es-MX"/>
              </w:rPr>
              <m:t>P</m:t>
            </m:r>
          </m:e>
          <m:sub>
            <m:r>
              <m:rPr>
                <m:nor/>
              </m:rPr>
              <w:rPr>
                <w:sz w:val="20"/>
                <w:szCs w:val="16"/>
                <w:lang w:val="es-MX"/>
              </w:rPr>
              <m:t>minorista</m:t>
            </m:r>
          </m:sub>
          <m:sup>
            <m:r>
              <m:rPr>
                <m:nor/>
              </m:rPr>
              <w:rPr>
                <w:sz w:val="20"/>
                <w:szCs w:val="16"/>
                <w:lang w:val="es-MX"/>
              </w:rPr>
              <m:t>i</m:t>
            </m:r>
          </m:sup>
        </m:sSubSup>
      </m:oMath>
      <w:r w:rsidR="00DE64CD">
        <w:t>: se refiere al precio minorista del i-ésimo plan o paquete,</w:t>
      </w:r>
    </w:p>
    <w:p w14:paraId="16AFA771" w14:textId="77777777" w:rsidR="00DE64CD" w:rsidRDefault="003175E4" w:rsidP="00DE64CD">
      <w:pPr>
        <w:pStyle w:val="IFTnormal"/>
        <w:numPr>
          <w:ilvl w:val="0"/>
          <w:numId w:val="18"/>
        </w:numPr>
      </w:pPr>
      <m:oMath>
        <m:sSup>
          <m:sSupPr>
            <m:ctrlPr>
              <w:rPr>
                <w:rFonts w:ascii="Cambria Math" w:hAnsi="Cambria Math"/>
                <w:i/>
                <w:sz w:val="20"/>
                <w:szCs w:val="16"/>
              </w:rPr>
            </m:ctrlPr>
          </m:sSupPr>
          <m:e>
            <m:r>
              <m:rPr>
                <m:nor/>
              </m:rPr>
              <w:rPr>
                <w:sz w:val="20"/>
                <w:szCs w:val="16"/>
                <w:lang w:val="es-MX"/>
              </w:rPr>
              <m:t>Q</m:t>
            </m:r>
          </m:e>
          <m:sup>
            <m:r>
              <m:rPr>
                <m:nor/>
              </m:rPr>
              <w:rPr>
                <w:sz w:val="20"/>
                <w:szCs w:val="16"/>
                <w:lang w:val="es-MX"/>
              </w:rPr>
              <m:t>i</m:t>
            </m:r>
          </m:sup>
        </m:sSup>
      </m:oMath>
      <w:r w:rsidR="00DE64CD">
        <w:t>: corresponde a la cantidad de usuarios que contratan el i-ésimo plan o paquete, y</w:t>
      </w:r>
    </w:p>
    <w:p w14:paraId="6BB752B2" w14:textId="77777777" w:rsidR="00DE64CD" w:rsidRDefault="003175E4" w:rsidP="00DE64CD">
      <w:pPr>
        <w:pStyle w:val="IFTnormal"/>
        <w:numPr>
          <w:ilvl w:val="0"/>
          <w:numId w:val="18"/>
        </w:numPr>
      </w:pPr>
      <m:oMath>
        <m:sSubSup>
          <m:sSubSupPr>
            <m:ctrlPr>
              <w:rPr>
                <w:rFonts w:ascii="Cambria Math" w:hAnsi="Cambria Math"/>
                <w:sz w:val="20"/>
                <w:szCs w:val="16"/>
                <w:lang w:val="en-US"/>
              </w:rPr>
            </m:ctrlPr>
          </m:sSubSupPr>
          <m:e>
            <m:r>
              <m:rPr>
                <m:nor/>
              </m:rPr>
              <w:rPr>
                <w:sz w:val="20"/>
                <w:szCs w:val="16"/>
                <w:lang w:val="es-MX"/>
              </w:rPr>
              <m:t>P</m:t>
            </m:r>
          </m:e>
          <m:sub>
            <m:r>
              <m:rPr>
                <m:nor/>
              </m:rPr>
              <w:rPr>
                <w:sz w:val="20"/>
                <w:szCs w:val="16"/>
                <w:lang w:val="es-MX"/>
              </w:rPr>
              <m:t>implícito</m:t>
            </m:r>
          </m:sub>
          <m:sup>
            <m:r>
              <m:rPr>
                <m:nor/>
              </m:rPr>
              <w:rPr>
                <w:sz w:val="20"/>
                <w:szCs w:val="16"/>
                <w:lang w:val="es-MX"/>
              </w:rPr>
              <m:t>i</m:t>
            </m:r>
          </m:sup>
        </m:sSubSup>
      </m:oMath>
      <w:r w:rsidR="00DE64CD" w:rsidRPr="00E525CE">
        <w:rPr>
          <w:sz w:val="20"/>
          <w:szCs w:val="16"/>
          <w:lang w:val="es-MX"/>
        </w:rPr>
        <w:t xml:space="preserve">: </w:t>
      </w:r>
      <w:r w:rsidR="00DE64CD">
        <w:t>relativo al precio implícito del servicio de interés, con respecto al i-ésimo plan o paquete</w:t>
      </w:r>
    </w:p>
    <w:p w14:paraId="72EC5CCA" w14:textId="77777777" w:rsidR="00DE64CD" w:rsidRDefault="00DE64CD" w:rsidP="00DE64CD">
      <w:pPr>
        <w:pStyle w:val="IFTnormal"/>
      </w:pPr>
      <w:r>
        <w:t xml:space="preserve">En consecuencia, </w:t>
      </w:r>
      <w:r w:rsidRPr="00A40292">
        <w:rPr>
          <w:b/>
        </w:rPr>
        <w:t>a nivel promedio</w:t>
      </w:r>
      <w:r>
        <w:t>, el factor de estimación del precio implícito de un servicio se puede aproximar por el cociente entre 1) los i</w:t>
      </w:r>
      <w:r w:rsidRPr="0032136D">
        <w:t xml:space="preserve">ngresos </w:t>
      </w:r>
      <w:r>
        <w:t xml:space="preserve">obtenidos por todos los servicios distintos de aquel cuyo precio implícito resulta de interés y 2) los ingresos de planes y paquetes en estudio. </w:t>
      </w:r>
    </w:p>
    <w:p w14:paraId="70B0A166" w14:textId="05546DCA" w:rsidR="00DE64CD" w:rsidRDefault="00DE64CD" w:rsidP="00DE64CD">
      <w:pPr>
        <w:pStyle w:val="IFTnormal"/>
      </w:pPr>
      <w:r>
        <w:t>Asimismo, también se desprende que para estimar la cantidad descrita en el inciso 1), basta hacer la diferencia entre los precios minoristas de los planes y paquetes junto con el precio implícito</w:t>
      </w:r>
      <w:r w:rsidR="008577FA">
        <w:t xml:space="preserve"> </w:t>
      </w:r>
      <w:r>
        <w:t>de un elemento o servicio que se incluye en los planes o paquetes y multiplicar dicho valor por la cantidad de clientes correspondientes.</w:t>
      </w:r>
    </w:p>
    <w:p w14:paraId="432CB52C" w14:textId="77777777" w:rsidR="00DE64CD" w:rsidRDefault="00DE64CD" w:rsidP="00DE64CD">
      <w:pPr>
        <w:pStyle w:val="IFTnormal"/>
      </w:pPr>
      <w:r>
        <w:t xml:space="preserve">A través de dicho procedimiento en el Modelo de Costos Evitados, se calculan los factores </w:t>
      </w:r>
      <w:r w:rsidRPr="008F0715">
        <w:t xml:space="preserve">de </w:t>
      </w:r>
      <w:r>
        <w:t>estimación del precio implícito,</w:t>
      </w:r>
      <w:r w:rsidRPr="00147B5C">
        <w:t xml:space="preserve"> </w:t>
      </w:r>
      <w:r>
        <w:t xml:space="preserve">a nivel promedio, correspondiente a la renta de línea </w:t>
      </w:r>
      <m:oMath>
        <m:r>
          <w:rPr>
            <w:rFonts w:ascii="Cambria Math" w:hAnsi="Cambria Math"/>
          </w:rPr>
          <m:t>(</m:t>
        </m:r>
        <m:r>
          <m:rPr>
            <m:nor/>
          </m:rPr>
          <w:rPr>
            <w:b/>
          </w:rPr>
          <m:t>%</m:t>
        </m:r>
        <m:r>
          <m:rPr>
            <m:nor/>
          </m:rPr>
          <w:rPr>
            <w:rFonts w:ascii="Calibri" w:hAnsi="Calibri" w:cs="Calibri"/>
            <w:b/>
            <w:color w:val="auto"/>
          </w:rPr>
          <m:t xml:space="preserve"> </m:t>
        </m:r>
        <m:sSub>
          <m:sSubPr>
            <m:ctrlPr>
              <w:rPr>
                <w:rFonts w:ascii="Cambria Math" w:hAnsi="Cambria Math" w:cs="Calibri"/>
                <w:b/>
                <w:i/>
                <w:color w:val="auto"/>
              </w:rPr>
            </m:ctrlPr>
          </m:sSubPr>
          <m:e>
            <m:r>
              <m:rPr>
                <m:nor/>
              </m:rPr>
              <w:rPr>
                <w:rFonts w:ascii="Calibri" w:hAnsi="Calibri" w:cs="Calibri"/>
                <w:b/>
                <w:color w:val="auto"/>
              </w:rPr>
              <m:t>β</m:t>
            </m:r>
          </m:e>
          <m:sub>
            <m:r>
              <m:rPr>
                <m:nor/>
              </m:rPr>
              <w:rPr>
                <w:rFonts w:cs="Calibri"/>
                <w:b/>
                <w:color w:val="auto"/>
              </w:rPr>
              <m:t>renta de línea</m:t>
            </m:r>
          </m:sub>
        </m:sSub>
        <m:r>
          <m:rPr>
            <m:nor/>
          </m:rPr>
          <w:rPr>
            <w:rFonts w:ascii="Cambria Math" w:hAnsi="Calibri" w:cs="Calibri"/>
            <w:color w:val="auto"/>
          </w:rPr>
          <m:t>)</m:t>
        </m:r>
      </m:oMath>
      <w:r>
        <w:t xml:space="preserve">, servicios voz </w:t>
      </w:r>
      <m:oMath>
        <m:r>
          <w:rPr>
            <w:rFonts w:ascii="Cambria Math" w:hAnsi="Cambria Math"/>
          </w:rPr>
          <m:t>(</m:t>
        </m:r>
        <m:r>
          <m:rPr>
            <m:nor/>
          </m:rPr>
          <w:rPr>
            <w:b/>
          </w:rPr>
          <m:t>%</m:t>
        </m:r>
        <m:r>
          <m:rPr>
            <m:nor/>
          </m:rPr>
          <w:rPr>
            <w:rFonts w:ascii="Calibri" w:hAnsi="Calibri" w:cs="Calibri"/>
            <w:b/>
            <w:color w:val="auto"/>
          </w:rPr>
          <m:t xml:space="preserve"> </m:t>
        </m:r>
        <m:sSub>
          <m:sSubPr>
            <m:ctrlPr>
              <w:rPr>
                <w:rFonts w:ascii="Cambria Math" w:hAnsi="Cambria Math" w:cs="Calibri"/>
                <w:b/>
                <w:i/>
                <w:color w:val="auto"/>
              </w:rPr>
            </m:ctrlPr>
          </m:sSubPr>
          <m:e>
            <m:r>
              <m:rPr>
                <m:nor/>
              </m:rPr>
              <w:rPr>
                <w:rFonts w:ascii="Calibri" w:hAnsi="Calibri" w:cs="Calibri"/>
                <w:b/>
                <w:color w:val="auto"/>
              </w:rPr>
              <m:t>β</m:t>
            </m:r>
          </m:e>
          <m:sub>
            <m:r>
              <m:rPr>
                <m:nor/>
              </m:rPr>
              <w:rPr>
                <w:rFonts w:cs="Calibri"/>
                <w:b/>
                <w:color w:val="auto"/>
              </w:rPr>
              <m:t>servicios de voz</m:t>
            </m:r>
          </m:sub>
        </m:sSub>
        <m:r>
          <m:rPr>
            <m:nor/>
          </m:rPr>
          <w:rPr>
            <w:rFonts w:ascii="Cambria Math" w:hAnsi="Calibri" w:cs="Calibri"/>
            <w:color w:val="auto"/>
          </w:rPr>
          <m:t>)</m:t>
        </m:r>
      </m:oMath>
      <w:r>
        <w:rPr>
          <w:b/>
          <w:color w:val="auto"/>
        </w:rPr>
        <w:t xml:space="preserve"> </w:t>
      </w:r>
      <w:r>
        <w:t xml:space="preserve">y servicio de Internet </w:t>
      </w:r>
      <m:oMath>
        <m:r>
          <w:rPr>
            <w:rFonts w:ascii="Cambria Math" w:hAnsi="Cambria Math"/>
          </w:rPr>
          <m:t>(</m:t>
        </m:r>
        <m:r>
          <m:rPr>
            <m:nor/>
          </m:rPr>
          <w:rPr>
            <w:b/>
          </w:rPr>
          <m:t>%</m:t>
        </m:r>
        <m:r>
          <m:rPr>
            <m:nor/>
          </m:rPr>
          <w:rPr>
            <w:rFonts w:ascii="Calibri" w:hAnsi="Calibri" w:cs="Calibri"/>
            <w:b/>
            <w:color w:val="auto"/>
          </w:rPr>
          <m:t xml:space="preserve"> </m:t>
        </m:r>
        <m:sSub>
          <m:sSubPr>
            <m:ctrlPr>
              <w:rPr>
                <w:rFonts w:ascii="Cambria Math" w:hAnsi="Cambria Math" w:cs="Calibri"/>
                <w:b/>
                <w:i/>
                <w:color w:val="auto"/>
              </w:rPr>
            </m:ctrlPr>
          </m:sSubPr>
          <m:e>
            <m:r>
              <m:rPr>
                <m:nor/>
              </m:rPr>
              <w:rPr>
                <w:rFonts w:ascii="Calibri" w:hAnsi="Calibri" w:cs="Calibri"/>
                <w:b/>
                <w:color w:val="auto"/>
              </w:rPr>
              <m:t>β</m:t>
            </m:r>
          </m:e>
          <m:sub>
            <m:r>
              <m:rPr>
                <m:nor/>
              </m:rPr>
              <w:rPr>
                <w:rFonts w:cs="Calibri"/>
                <w:b/>
                <w:color w:val="auto"/>
              </w:rPr>
              <m:t>servicio de Internet</m:t>
            </m:r>
          </m:sub>
        </m:sSub>
        <m:r>
          <m:rPr>
            <m:nor/>
          </m:rPr>
          <w:rPr>
            <w:rFonts w:ascii="Cambria Math" w:hAnsi="Calibri" w:cs="Calibri"/>
            <w:color w:val="auto"/>
          </w:rPr>
          <m:t>)</m:t>
        </m:r>
      </m:oMath>
      <w:r>
        <w:t>.</w:t>
      </w:r>
    </w:p>
    <w:p w14:paraId="252F4136" w14:textId="77777777" w:rsidR="00DE64CD" w:rsidRPr="00A92C5E" w:rsidRDefault="00DE64CD" w:rsidP="00DE64CD">
      <w:pPr>
        <w:pStyle w:val="PuntosC4"/>
        <w:numPr>
          <w:ilvl w:val="3"/>
          <w:numId w:val="40"/>
        </w:numPr>
        <w:ind w:left="993" w:hanging="993"/>
        <w:outlineLvl w:val="2"/>
      </w:pPr>
      <w:bookmarkStart w:id="35" w:name="_Toc51700010"/>
      <w:bookmarkStart w:id="36" w:name="_Toc52188499"/>
      <w:r w:rsidRPr="00A92C5E">
        <w:t>Precio de referencia del SRLT</w:t>
      </w:r>
      <w:bookmarkEnd w:id="35"/>
      <w:bookmarkEnd w:id="36"/>
    </w:p>
    <w:p w14:paraId="20E5817F" w14:textId="3615323A" w:rsidR="00DE64CD" w:rsidRDefault="00DE64CD" w:rsidP="00DE64CD">
      <w:pPr>
        <w:pStyle w:val="IFTnormal"/>
      </w:pPr>
      <w:r>
        <w:t xml:space="preserve">El precio de referencia para este servicio se estima a partir del </w:t>
      </w:r>
      <w:r w:rsidRPr="00AC7E83">
        <w:t>precio implícito</w:t>
      </w:r>
      <w:r w:rsidR="00DF0731">
        <w:t xml:space="preserve"> obtenido del Módulo de Imputación de </w:t>
      </w:r>
      <w:r w:rsidR="009E453D">
        <w:t>P</w:t>
      </w:r>
      <w:r w:rsidR="00DF0731">
        <w:t>recios</w:t>
      </w:r>
      <w:r w:rsidR="009E453D">
        <w:t xml:space="preserve"> Implícitos</w:t>
      </w:r>
      <w:r w:rsidR="00DF0731">
        <w:t>, es decir antes de tomar en cuenta los servicios digitales</w:t>
      </w:r>
      <w:r>
        <w:t>, a nivel promedio</w:t>
      </w:r>
      <w:r w:rsidRPr="00AC7E83">
        <w:t xml:space="preserve"> de los servicios asociados a telefonía (es decir</w:t>
      </w:r>
      <w:r>
        <w:t>, que no incluyen servicios de I</w:t>
      </w:r>
      <w:r w:rsidRPr="00AC7E83">
        <w:t>nternet)</w:t>
      </w:r>
      <w:r>
        <w:t>.</w:t>
      </w:r>
    </w:p>
    <w:p w14:paraId="1FA5A68D" w14:textId="0F380178" w:rsidR="00DE64CD" w:rsidRDefault="00DE64CD" w:rsidP="00DE64CD">
      <w:pPr>
        <w:pStyle w:val="IFTnormal"/>
      </w:pPr>
      <w:r>
        <w:t xml:space="preserve">En este sentido, empleando los factores de </w:t>
      </w:r>
      <w:r w:rsidRPr="008F0715">
        <w:t xml:space="preserve">factor de </w:t>
      </w:r>
      <w:r>
        <w:t>estimación del precio implícito,</w:t>
      </w:r>
      <w:r w:rsidRPr="00147B5C">
        <w:t xml:space="preserve"> </w:t>
      </w:r>
      <w:r>
        <w:t xml:space="preserve">a nivel promedio, correspondiente a la renta de línea </w:t>
      </w:r>
      <m:oMath>
        <m:r>
          <w:rPr>
            <w:rFonts w:ascii="Cambria Math" w:hAnsi="Cambria Math"/>
          </w:rPr>
          <m:t>(</m:t>
        </m:r>
        <m:r>
          <m:rPr>
            <m:nor/>
          </m:rPr>
          <w:rPr>
            <w:b/>
          </w:rPr>
          <m:t>%</m:t>
        </m:r>
        <m:r>
          <m:rPr>
            <m:nor/>
          </m:rPr>
          <w:rPr>
            <w:rFonts w:ascii="Calibri" w:hAnsi="Calibri" w:cs="Calibri"/>
            <w:b/>
            <w:color w:val="auto"/>
          </w:rPr>
          <m:t xml:space="preserve"> </m:t>
        </m:r>
        <m:sSub>
          <m:sSubPr>
            <m:ctrlPr>
              <w:rPr>
                <w:rFonts w:ascii="Cambria Math" w:hAnsi="Cambria Math" w:cs="Calibri"/>
                <w:b/>
                <w:i/>
                <w:color w:val="auto"/>
              </w:rPr>
            </m:ctrlPr>
          </m:sSubPr>
          <m:e>
            <m:r>
              <m:rPr>
                <m:nor/>
              </m:rPr>
              <w:rPr>
                <w:rFonts w:ascii="Calibri" w:hAnsi="Calibri" w:cs="Calibri"/>
                <w:b/>
                <w:color w:val="auto"/>
              </w:rPr>
              <m:t>β</m:t>
            </m:r>
          </m:e>
          <m:sub>
            <m:r>
              <m:rPr>
                <m:nor/>
              </m:rPr>
              <w:rPr>
                <w:rFonts w:cs="Calibri"/>
                <w:b/>
                <w:color w:val="auto"/>
              </w:rPr>
              <m:t>renta de línea</m:t>
            </m:r>
          </m:sub>
        </m:sSub>
        <m:r>
          <m:rPr>
            <m:nor/>
          </m:rPr>
          <w:rPr>
            <w:rFonts w:ascii="Cambria Math" w:hAnsi="Calibri" w:cs="Calibri"/>
            <w:color w:val="auto"/>
          </w:rPr>
          <m:t>)</m:t>
        </m:r>
      </m:oMath>
      <w:r>
        <w:t xml:space="preserve"> y servicios voz </w:t>
      </w:r>
      <m:oMath>
        <m:r>
          <w:rPr>
            <w:rFonts w:ascii="Cambria Math" w:hAnsi="Cambria Math"/>
          </w:rPr>
          <m:t>(</m:t>
        </m:r>
        <m:r>
          <m:rPr>
            <m:nor/>
          </m:rPr>
          <w:rPr>
            <w:b/>
          </w:rPr>
          <m:t>%</m:t>
        </m:r>
        <m:r>
          <m:rPr>
            <m:nor/>
          </m:rPr>
          <w:rPr>
            <w:rFonts w:ascii="Calibri" w:hAnsi="Calibri" w:cs="Calibri"/>
            <w:b/>
            <w:color w:val="auto"/>
          </w:rPr>
          <m:t xml:space="preserve"> </m:t>
        </m:r>
        <m:sSub>
          <m:sSubPr>
            <m:ctrlPr>
              <w:rPr>
                <w:rFonts w:ascii="Cambria Math" w:hAnsi="Cambria Math" w:cs="Calibri"/>
                <w:b/>
                <w:i/>
                <w:color w:val="auto"/>
              </w:rPr>
            </m:ctrlPr>
          </m:sSubPr>
          <m:e>
            <m:r>
              <m:rPr>
                <m:nor/>
              </m:rPr>
              <w:rPr>
                <w:rFonts w:ascii="Calibri" w:hAnsi="Calibri" w:cs="Calibri"/>
                <w:b/>
                <w:color w:val="auto"/>
              </w:rPr>
              <m:t>β</m:t>
            </m:r>
          </m:e>
          <m:sub>
            <m:r>
              <m:rPr>
                <m:nor/>
              </m:rPr>
              <w:rPr>
                <w:rFonts w:cs="Calibri"/>
                <w:b/>
                <w:color w:val="auto"/>
              </w:rPr>
              <m:t>servicios de voz</m:t>
            </m:r>
          </m:sub>
        </m:sSub>
        <m:r>
          <m:rPr>
            <m:nor/>
          </m:rPr>
          <w:rPr>
            <w:rFonts w:ascii="Cambria Math" w:hAnsi="Calibri" w:cs="Calibri"/>
            <w:color w:val="auto"/>
          </w:rPr>
          <m:t>)</m:t>
        </m:r>
      </m:oMath>
      <w:r>
        <w:t>, el precio de referencia del SRLT se establece tomando a partir de</w:t>
      </w:r>
      <w:r w:rsidR="00DF0731">
        <w:t xml:space="preserve">l precio implícito obtenido del Módulo de Imputación de </w:t>
      </w:r>
      <w:r w:rsidR="009E453D">
        <w:t>P</w:t>
      </w:r>
      <w:r w:rsidR="00DF0731">
        <w:t>recios</w:t>
      </w:r>
      <w:r w:rsidR="009E453D">
        <w:t xml:space="preserve"> Implícitos</w:t>
      </w:r>
      <w:r w:rsidR="00DF0731">
        <w:t xml:space="preserve"> </w:t>
      </w:r>
      <w:r>
        <w:t xml:space="preserve">de </w:t>
      </w:r>
      <w:r w:rsidR="00DF0731">
        <w:t>los elementos relati</w:t>
      </w:r>
      <w:r w:rsidR="001F1C16">
        <w:t>vos a renta de la línea o de servicio de voz</w:t>
      </w:r>
      <w:r w:rsidR="00DF0731">
        <w:t xml:space="preserve"> que componen </w:t>
      </w:r>
      <w:r>
        <w:t>un plan o paquete</w:t>
      </w:r>
      <w:r w:rsidR="00D96B0C">
        <w:t xml:space="preserve"> de Telmex y Telnor</w:t>
      </w:r>
      <w:r w:rsidRPr="008F0715">
        <w:t xml:space="preserve"> (</w:t>
      </w:r>
      <m:oMath>
        <m:sSub>
          <m:sSubPr>
            <m:ctrlPr>
              <w:rPr>
                <w:rFonts w:ascii="Cambria Math" w:hAnsi="Cambria Math"/>
                <w:b/>
              </w:rPr>
            </m:ctrlPr>
          </m:sSubPr>
          <m:e>
            <m:r>
              <m:rPr>
                <m:nor/>
              </m:rPr>
              <w:rPr>
                <w:b/>
              </w:rPr>
              <m:t>P</m:t>
            </m:r>
          </m:e>
          <m:sub>
            <m:r>
              <m:rPr>
                <m:nor/>
              </m:rPr>
              <w:rPr>
                <w:b/>
              </w:rPr>
              <m:t>minorista implícito</m:t>
            </m:r>
          </m:sub>
        </m:sSub>
        <m:r>
          <m:rPr>
            <m:sty m:val="bi"/>
          </m:rPr>
          <w:rPr>
            <w:rFonts w:ascii="Cambria Math" w:hAnsi="Cambria Math"/>
          </w:rPr>
          <m:t xml:space="preserve">) </m:t>
        </m:r>
      </m:oMath>
      <w:r w:rsidR="001F1C16">
        <w:rPr>
          <w:b/>
        </w:rPr>
        <w:t xml:space="preserve"> </w:t>
      </w:r>
      <w:r w:rsidRPr="008F0715">
        <w:t>)</w:t>
      </w:r>
      <w:r>
        <w:t>:</w:t>
      </w:r>
    </w:p>
    <w:p w14:paraId="30F338A7" w14:textId="1E9E7DAE" w:rsidR="00DE64CD" w:rsidRDefault="003175E4" w:rsidP="00DE64CD">
      <w:pPr>
        <w:pStyle w:val="IFTnormal"/>
        <w:numPr>
          <w:ilvl w:val="0"/>
          <w:numId w:val="19"/>
        </w:numPr>
        <w:jc w:val="center"/>
      </w:pPr>
      <m:oMath>
        <m:sSup>
          <m:sSupPr>
            <m:ctrlPr>
              <w:rPr>
                <w:rFonts w:ascii="Cambria Math" w:hAnsi="Cambria Math"/>
                <w:b/>
              </w:rPr>
            </m:ctrlPr>
          </m:sSupPr>
          <m:e>
            <m:r>
              <m:rPr>
                <m:nor/>
              </m:rPr>
              <w:rPr>
                <w:rFonts w:ascii="Cambria Math"/>
                <w:b/>
                <w:iCs/>
              </w:rPr>
              <m:t xml:space="preserve"> </m:t>
            </m:r>
            <m:r>
              <m:rPr>
                <m:nor/>
              </m:rPr>
              <w:rPr>
                <w:b/>
                <w:iCs/>
              </w:rPr>
              <m:t>P</m:t>
            </m:r>
          </m:e>
          <m:sup>
            <m:r>
              <m:rPr>
                <m:nor/>
              </m:rPr>
              <w:rPr>
                <w:b/>
                <w:iCs/>
              </w:rPr>
              <m:t>r</m:t>
            </m:r>
          </m:sup>
        </m:sSup>
      </m:oMath>
      <w:r w:rsidR="00DE64CD">
        <w:rPr>
          <w:b/>
        </w:rPr>
        <w:t xml:space="preserve"> = </w:t>
      </w:r>
      <m:oMath>
        <m:sSub>
          <m:sSubPr>
            <m:ctrlPr>
              <w:rPr>
                <w:rFonts w:ascii="Cambria Math" w:hAnsi="Cambria Math"/>
                <w:b/>
              </w:rPr>
            </m:ctrlPr>
          </m:sSubPr>
          <m:e>
            <m:r>
              <m:rPr>
                <m:nor/>
              </m:rPr>
              <w:rPr>
                <w:b/>
              </w:rPr>
              <m:t>P</m:t>
            </m:r>
          </m:e>
          <m:sub>
            <m:r>
              <m:rPr>
                <m:nor/>
              </m:rPr>
              <w:rPr>
                <w:b/>
              </w:rPr>
              <m:t>minorista implícito</m:t>
            </m:r>
          </m:sub>
        </m:sSub>
        <m:r>
          <m:rPr>
            <m:sty m:val="bi"/>
          </m:rPr>
          <w:rPr>
            <w:rFonts w:ascii="Cambria Math" w:hAnsi="Cambria Math"/>
          </w:rPr>
          <m:t xml:space="preserve"> ×(</m:t>
        </m:r>
        <m:r>
          <m:rPr>
            <m:nor/>
          </m:rPr>
          <w:rPr>
            <w:b/>
          </w:rPr>
          <m:t>1- %</m:t>
        </m:r>
        <m:sSub>
          <m:sSubPr>
            <m:ctrlPr>
              <w:rPr>
                <w:rFonts w:ascii="Cambria Math" w:hAnsi="Cambria Math" w:cs="Calibri"/>
                <w:b/>
                <w:i/>
                <w:color w:val="auto"/>
              </w:rPr>
            </m:ctrlPr>
          </m:sSubPr>
          <m:e>
            <m:r>
              <m:rPr>
                <m:nor/>
              </m:rPr>
              <w:rPr>
                <w:rFonts w:ascii="Calibri" w:hAnsi="Calibri" w:cs="Calibri"/>
                <w:b/>
                <w:color w:val="auto"/>
              </w:rPr>
              <m:t>β</m:t>
            </m:r>
          </m:e>
          <m:sub>
            <m:r>
              <m:rPr>
                <m:nor/>
              </m:rPr>
              <w:rPr>
                <w:rFonts w:cs="Calibri"/>
                <w:b/>
                <w:color w:val="auto"/>
              </w:rPr>
              <m:t>renta de línea</m:t>
            </m:r>
          </m:sub>
        </m:sSub>
        <m:r>
          <m:rPr>
            <m:sty m:val="b"/>
          </m:rPr>
          <w:rPr>
            <w:rFonts w:ascii="Cambria Math" w:hAnsi="Cambria Math"/>
            <w:color w:val="555555"/>
            <w:sz w:val="21"/>
            <w:szCs w:val="21"/>
            <w:shd w:val="clear" w:color="auto" w:fill="FFFFFF"/>
          </w:rPr>
          <m:t xml:space="preserve">) </m:t>
        </m:r>
      </m:oMath>
    </w:p>
    <w:p w14:paraId="7DD138CE" w14:textId="611FC6ED" w:rsidR="00DE64CD" w:rsidRDefault="003175E4" w:rsidP="00DE64CD">
      <w:pPr>
        <w:pStyle w:val="IFTnormal"/>
        <w:numPr>
          <w:ilvl w:val="0"/>
          <w:numId w:val="19"/>
        </w:numPr>
        <w:jc w:val="center"/>
      </w:pPr>
      <m:oMath>
        <m:sSup>
          <m:sSupPr>
            <m:ctrlPr>
              <w:rPr>
                <w:rFonts w:ascii="Cambria Math" w:hAnsi="Cambria Math"/>
                <w:b/>
              </w:rPr>
            </m:ctrlPr>
          </m:sSupPr>
          <m:e>
            <m:r>
              <m:rPr>
                <m:nor/>
              </m:rPr>
              <w:rPr>
                <w:rFonts w:ascii="Cambria Math"/>
                <w:b/>
                <w:iCs/>
              </w:rPr>
              <m:t xml:space="preserve"> </m:t>
            </m:r>
            <m:r>
              <m:rPr>
                <m:nor/>
              </m:rPr>
              <w:rPr>
                <w:b/>
                <w:iCs/>
              </w:rPr>
              <m:t>P</m:t>
            </m:r>
          </m:e>
          <m:sup>
            <m:r>
              <m:rPr>
                <m:nor/>
              </m:rPr>
              <w:rPr>
                <w:b/>
                <w:iCs/>
              </w:rPr>
              <m:t>r</m:t>
            </m:r>
          </m:sup>
        </m:sSup>
      </m:oMath>
      <w:r w:rsidR="00DE64CD">
        <w:rPr>
          <w:b/>
        </w:rPr>
        <w:t xml:space="preserve"> = </w:t>
      </w:r>
      <m:oMath>
        <m:sSub>
          <m:sSubPr>
            <m:ctrlPr>
              <w:rPr>
                <w:rFonts w:ascii="Cambria Math" w:hAnsi="Cambria Math"/>
                <w:b/>
              </w:rPr>
            </m:ctrlPr>
          </m:sSubPr>
          <m:e>
            <m:r>
              <m:rPr>
                <m:nor/>
              </m:rPr>
              <w:rPr>
                <w:b/>
              </w:rPr>
              <m:t>P</m:t>
            </m:r>
          </m:e>
          <m:sub>
            <m:r>
              <m:rPr>
                <m:nor/>
              </m:rPr>
              <w:rPr>
                <w:b/>
              </w:rPr>
              <m:t>minorista implícito</m:t>
            </m:r>
          </m:sub>
        </m:sSub>
        <m:r>
          <m:rPr>
            <m:sty m:val="bi"/>
          </m:rPr>
          <w:rPr>
            <w:rFonts w:ascii="Cambria Math" w:hAnsi="Cambria Math"/>
          </w:rPr>
          <m:t xml:space="preserve"> ×(</m:t>
        </m:r>
        <m:r>
          <m:rPr>
            <m:nor/>
          </m:rPr>
          <w:rPr>
            <w:b/>
          </w:rPr>
          <m:t>1- %</m:t>
        </m:r>
        <m:sSub>
          <m:sSubPr>
            <m:ctrlPr>
              <w:rPr>
                <w:rFonts w:ascii="Cambria Math" w:hAnsi="Cambria Math" w:cs="Calibri"/>
                <w:b/>
                <w:i/>
                <w:color w:val="auto"/>
              </w:rPr>
            </m:ctrlPr>
          </m:sSubPr>
          <m:e>
            <m:r>
              <m:rPr>
                <m:nor/>
              </m:rPr>
              <w:rPr>
                <w:rFonts w:ascii="Calibri" w:hAnsi="Calibri" w:cs="Calibri"/>
                <w:b/>
                <w:color w:val="auto"/>
              </w:rPr>
              <m:t>β</m:t>
            </m:r>
          </m:e>
          <m:sub>
            <m:r>
              <m:rPr>
                <m:nor/>
              </m:rPr>
              <w:rPr>
                <w:rFonts w:cs="Calibri"/>
                <w:b/>
                <w:color w:val="auto"/>
              </w:rPr>
              <m:t>servicios de voz</m:t>
            </m:r>
          </m:sub>
        </m:sSub>
        <m:r>
          <m:rPr>
            <m:sty m:val="b"/>
          </m:rPr>
          <w:rPr>
            <w:rFonts w:ascii="Cambria Math" w:hAnsi="Cambria Math"/>
            <w:color w:val="555555"/>
            <w:sz w:val="21"/>
            <w:szCs w:val="21"/>
            <w:shd w:val="clear" w:color="auto" w:fill="FFFFFF"/>
          </w:rPr>
          <m:t xml:space="preserve">) </m:t>
        </m:r>
      </m:oMath>
    </w:p>
    <w:p w14:paraId="5E7D2461" w14:textId="773BAFF1" w:rsidR="00DE64CD" w:rsidRDefault="00DE64CD" w:rsidP="00DE64CD">
      <w:pPr>
        <w:pStyle w:val="IFTnormal"/>
        <w:rPr>
          <w:lang w:val="es-MX"/>
        </w:rPr>
      </w:pPr>
      <w:r>
        <w:rPr>
          <w:lang w:val="es-MX"/>
        </w:rPr>
        <w:t>Para facilitar el entendimiento de la metodología anteriormente descrita, se presentan esquemas de la misma:</w:t>
      </w:r>
    </w:p>
    <w:p w14:paraId="01E98CA9" w14:textId="3C7A71E9" w:rsidR="00DE64CD" w:rsidRDefault="00D65B90" w:rsidP="00DE64CD">
      <w:pPr>
        <w:pStyle w:val="IFTnormal"/>
      </w:pPr>
      <w:r w:rsidRPr="00806136">
        <w:rPr>
          <w:noProof/>
          <w:lang w:val="es-MX" w:eastAsia="es-MX"/>
        </w:rPr>
        <mc:AlternateContent>
          <mc:Choice Requires="wps">
            <w:drawing>
              <wp:anchor distT="0" distB="0" distL="114300" distR="114300" simplePos="0" relativeHeight="251658254" behindDoc="0" locked="0" layoutInCell="1" allowOverlap="1" wp14:anchorId="13062F89" wp14:editId="2D5C12C8">
                <wp:simplePos x="0" y="0"/>
                <wp:positionH relativeFrom="margin">
                  <wp:posOffset>5319189</wp:posOffset>
                </wp:positionH>
                <wp:positionV relativeFrom="paragraph">
                  <wp:posOffset>1485265</wp:posOffset>
                </wp:positionV>
                <wp:extent cx="993683" cy="327704"/>
                <wp:effectExtent l="0" t="0" r="0" b="0"/>
                <wp:wrapNone/>
                <wp:docPr id="50" name="CuadroTexto 11"/>
                <wp:cNvGraphicFramePr/>
                <a:graphic xmlns:a="http://schemas.openxmlformats.org/drawingml/2006/main">
                  <a:graphicData uri="http://schemas.microsoft.com/office/word/2010/wordprocessingShape">
                    <wps:wsp>
                      <wps:cNvSpPr txBox="1"/>
                      <wps:spPr>
                        <a:xfrm>
                          <a:off x="0" y="0"/>
                          <a:ext cx="993683" cy="327704"/>
                        </a:xfrm>
                        <a:prstGeom prst="rect">
                          <a:avLst/>
                        </a:prstGeom>
                        <a:solidFill>
                          <a:srgbClr val="7F7F7F"/>
                        </a:solidFill>
                        <a:ln>
                          <a:noFill/>
                        </a:ln>
                      </wps:spPr>
                      <wps:txbx>
                        <w:txbxContent>
                          <w:p w14:paraId="51B198CB" w14:textId="6A420E9E" w:rsidR="00012570" w:rsidRPr="00D65B90" w:rsidRDefault="00012570" w:rsidP="00D65B90">
                            <w:pPr>
                              <w:pStyle w:val="NormalWeb"/>
                              <w:spacing w:before="0" w:beforeAutospacing="0" w:after="0" w:afterAutospacing="0"/>
                              <w:jc w:val="center"/>
                              <w:rPr>
                                <w:sz w:val="10"/>
                                <w:szCs w:val="15"/>
                              </w:rPr>
                            </w:pPr>
                            <w:r w:rsidRPr="00D65B90">
                              <w:rPr>
                                <w:rFonts w:ascii="ITC Avant Garde" w:hAnsi="ITC Avant Garde" w:cstheme="minorBidi"/>
                                <w:color w:val="FFFFFF" w:themeColor="background1"/>
                                <w:kern w:val="24"/>
                                <w:sz w:val="10"/>
                                <w:szCs w:val="15"/>
                              </w:rPr>
                              <w:t>Precios Implícitos del Módulo de Imputación de Precios</w:t>
                            </w:r>
                            <w:r>
                              <w:rPr>
                                <w:rFonts w:ascii="ITC Avant Garde" w:hAnsi="ITC Avant Garde" w:cstheme="minorBidi"/>
                                <w:color w:val="FFFFFF" w:themeColor="background1"/>
                                <w:kern w:val="24"/>
                                <w:sz w:val="10"/>
                                <w:szCs w:val="15"/>
                              </w:rPr>
                              <w:t xml:space="preserve"> Implícitos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062F89" id="_x0000_s1031" type="#_x0000_t202" style="position:absolute;left:0;text-align:left;margin-left:418.85pt;margin-top:116.95pt;width:78.25pt;height:25.8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" fillcolor="#7f7f7f" stroked="f">
                <v:textbox>
                  <w:txbxContent>
                    <w:p w14:paraId="51B198CB" w14:textId="6A420E9E" w:rsidR="00012570" w:rsidRPr="00D65B90" w:rsidRDefault="00012570" w:rsidP="00D65B90">
                      <w:pPr>
                        <w:pStyle w:val="NormalWeb"/>
                        <w:spacing w:before="0" w:beforeAutospacing="0" w:after="0" w:afterAutospacing="0"/>
                        <w:jc w:val="center"/>
                        <w:rPr>
                          <w:sz w:val="10"/>
                          <w:szCs w:val="15"/>
                        </w:rPr>
                      </w:pPr>
                      <w:r w:rsidRPr="00D65B90">
                        <w:rPr>
                          <w:rFonts w:ascii="ITC Avant Garde" w:hAnsi="ITC Avant Garde" w:cstheme="minorBidi"/>
                          <w:color w:val="FFFFFF" w:themeColor="background1"/>
                          <w:kern w:val="24"/>
                          <w:sz w:val="10"/>
                          <w:szCs w:val="15"/>
                        </w:rPr>
                        <w:t>Precios Implícitos del Módulo de Imputación de Precios</w:t>
                      </w:r>
                      <w:r>
                        <w:rPr>
                          <w:rFonts w:ascii="ITC Avant Garde" w:hAnsi="ITC Avant Garde" w:cstheme="minorBidi"/>
                          <w:color w:val="FFFFFF" w:themeColor="background1"/>
                          <w:kern w:val="24"/>
                          <w:sz w:val="10"/>
                          <w:szCs w:val="15"/>
                        </w:rPr>
                        <w:t xml:space="preserve"> Implícitos</w:t>
                      </w:r>
                    </w:p>
                  </w:txbxContent>
                </v:textbox>
                <w10:wrap anchorx="margin"/>
              </v:shape>
            </w:pict>
          </mc:Fallback>
        </mc:AlternateContent>
      </w:r>
      <w:r w:rsidRPr="00806136">
        <w:rPr>
          <w:noProof/>
          <w:lang w:val="es-MX" w:eastAsia="es-MX"/>
        </w:rPr>
        <mc:AlternateContent>
          <mc:Choice Requires="wps">
            <w:drawing>
              <wp:anchor distT="0" distB="0" distL="114300" distR="114300" simplePos="0" relativeHeight="251658253" behindDoc="0" locked="0" layoutInCell="1" allowOverlap="1" wp14:anchorId="648F85FB" wp14:editId="6A28A476">
                <wp:simplePos x="0" y="0"/>
                <wp:positionH relativeFrom="column">
                  <wp:posOffset>267680</wp:posOffset>
                </wp:positionH>
                <wp:positionV relativeFrom="paragraph">
                  <wp:posOffset>1300766</wp:posOffset>
                </wp:positionV>
                <wp:extent cx="554355" cy="97155"/>
                <wp:effectExtent l="0" t="0" r="0" b="0"/>
                <wp:wrapNone/>
                <wp:docPr id="46" name="CuadroTexto 7"/>
                <wp:cNvGraphicFramePr/>
                <a:graphic xmlns:a="http://schemas.openxmlformats.org/drawingml/2006/main">
                  <a:graphicData uri="http://schemas.microsoft.com/office/word/2010/wordprocessingShape">
                    <wps:wsp>
                      <wps:cNvSpPr txBox="1"/>
                      <wps:spPr>
                        <a:xfrm>
                          <a:off x="0" y="0"/>
                          <a:ext cx="554355" cy="97155"/>
                        </a:xfrm>
                        <a:prstGeom prst="rect">
                          <a:avLst/>
                        </a:prstGeom>
                        <a:solidFill>
                          <a:srgbClr val="C4DD8E"/>
                        </a:solidFill>
                        <a:ln>
                          <a:noFill/>
                        </a:ln>
                      </wps:spPr>
                      <wps:txbx>
                        <w:txbxContent>
                          <w:p w14:paraId="2E69193D" w14:textId="77777777" w:rsidR="00012570" w:rsidRDefault="00012570" w:rsidP="001200E5">
                            <w:pPr>
                              <w:pStyle w:val="NormalWeb"/>
                              <w:spacing w:before="0" w:beforeAutospacing="0" w:after="0" w:afterAutospacing="0"/>
                              <w:jc w:val="cente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8F85FB" id="_x0000_s1032" type="#_x0000_t202" style="position:absolute;left:0;text-align:left;margin-left:21.1pt;margin-top:102.4pt;width:43.65pt;height:7.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" fillcolor="#c4dd8e" stroked="f">
                <v:textbox>
                  <w:txbxContent>
                    <w:p w14:paraId="2E69193D" w14:textId="77777777" w:rsidR="00012570" w:rsidRDefault="00012570" w:rsidP="001200E5">
                      <w:pPr>
                        <w:pStyle w:val="NormalWeb"/>
                        <w:spacing w:before="0" w:beforeAutospacing="0" w:after="0" w:afterAutospacing="0"/>
                        <w:jc w:val="center"/>
                      </w:pPr>
                    </w:p>
                  </w:txbxContent>
                </v:textbox>
              </v:shape>
            </w:pict>
          </mc:Fallback>
        </mc:AlternateContent>
      </w:r>
      <w:r w:rsidR="00DE64CD">
        <w:rPr>
          <w:noProof/>
          <w:lang w:val="es-MX" w:eastAsia="es-MX"/>
        </w:rPr>
        <w:drawing>
          <wp:inline distT="0" distB="0" distL="0" distR="0" wp14:anchorId="3B3968C2" wp14:editId="6E636527">
            <wp:extent cx="5960731" cy="2112010"/>
            <wp:effectExtent l="0" t="0" r="2540" b="254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0164"/>
                    <a:stretch/>
                  </pic:blipFill>
                  <pic:spPr bwMode="auto">
                    <a:xfrm>
                      <a:off x="0" y="0"/>
                      <a:ext cx="5987157" cy="2121373"/>
                    </a:xfrm>
                    <a:prstGeom prst="rect">
                      <a:avLst/>
                    </a:prstGeom>
                    <a:noFill/>
                    <a:ln>
                      <a:noFill/>
                    </a:ln>
                    <a:extLst>
                      <a:ext uri="{53640926-AAD7-44D8-BBD7-CCE9431645EC}">
                        <a14:shadowObscured xmlns:a14="http://schemas.microsoft.com/office/drawing/2010/main"/>
                      </a:ext>
                    </a:extLst>
                  </pic:spPr>
                </pic:pic>
              </a:graphicData>
            </a:graphic>
          </wp:inline>
        </w:drawing>
      </w:r>
    </w:p>
    <w:p w14:paraId="77C5E6B0" w14:textId="20A83E0E" w:rsidR="00DE64CD" w:rsidRDefault="00DE64CD" w:rsidP="00DE64CD">
      <w:pPr>
        <w:pStyle w:val="IFTnormal"/>
        <w:ind w:right="48"/>
        <w:rPr>
          <w:noProof/>
          <w:lang w:val="es-MX" w:eastAsia="es-MX"/>
        </w:rPr>
      </w:pPr>
      <w:r>
        <w:rPr>
          <w:b/>
          <w:color w:val="000000" w:themeColor="text1"/>
          <w:sz w:val="18"/>
          <w:szCs w:val="18"/>
        </w:rPr>
        <w:t xml:space="preserve">Figura </w:t>
      </w:r>
      <w:r w:rsidR="00475A8C">
        <w:rPr>
          <w:b/>
          <w:color w:val="000000" w:themeColor="text1"/>
          <w:sz w:val="18"/>
          <w:szCs w:val="18"/>
        </w:rPr>
        <w:t>6</w:t>
      </w:r>
      <w:r w:rsidRPr="005F6455">
        <w:rPr>
          <w:b/>
          <w:color w:val="000000" w:themeColor="text1"/>
          <w:sz w:val="18"/>
          <w:szCs w:val="18"/>
        </w:rPr>
        <w:t>:</w:t>
      </w:r>
      <w:r w:rsidRPr="005F6455">
        <w:rPr>
          <w:color w:val="000000" w:themeColor="text1"/>
          <w:sz w:val="18"/>
          <w:szCs w:val="18"/>
        </w:rPr>
        <w:t xml:space="preserve"> Esquema </w:t>
      </w:r>
      <w:r>
        <w:rPr>
          <w:color w:val="000000" w:themeColor="text1"/>
          <w:sz w:val="18"/>
          <w:szCs w:val="18"/>
        </w:rPr>
        <w:t>de la metodología del Modelo de Costos Evitados para la tarifa de referencia del SRLT, asociada a la renta de la línea telefónica (</w:t>
      </w:r>
      <w:r w:rsidRPr="00F533C6">
        <w:rPr>
          <w:b/>
          <w:color w:val="000000" w:themeColor="text1"/>
          <w:sz w:val="18"/>
          <w:szCs w:val="18"/>
        </w:rPr>
        <w:t>Fuente:</w:t>
      </w:r>
      <w:r>
        <w:rPr>
          <w:color w:val="000000" w:themeColor="text1"/>
          <w:sz w:val="18"/>
          <w:szCs w:val="18"/>
        </w:rPr>
        <w:t xml:space="preserve"> IFT).</w:t>
      </w:r>
    </w:p>
    <w:p w14:paraId="7E2FF016" w14:textId="4070D561" w:rsidR="00DE64CD" w:rsidRDefault="00D65B90" w:rsidP="00DE64CD">
      <w:pPr>
        <w:pStyle w:val="IFTnormal"/>
        <w:rPr>
          <w:noProof/>
          <w:lang w:eastAsia="es-MX"/>
        </w:rPr>
      </w:pPr>
      <w:r w:rsidRPr="00806136">
        <w:rPr>
          <w:noProof/>
          <w:lang w:val="es-MX" w:eastAsia="es-MX"/>
        </w:rPr>
        <mc:AlternateContent>
          <mc:Choice Requires="wps">
            <w:drawing>
              <wp:anchor distT="0" distB="0" distL="114300" distR="114300" simplePos="0" relativeHeight="251658256" behindDoc="0" locked="0" layoutInCell="1" allowOverlap="1" wp14:anchorId="4A4CCFA9" wp14:editId="476A0DD4">
                <wp:simplePos x="0" y="0"/>
                <wp:positionH relativeFrom="column">
                  <wp:posOffset>245110</wp:posOffset>
                </wp:positionH>
                <wp:positionV relativeFrom="paragraph">
                  <wp:posOffset>1314244</wp:posOffset>
                </wp:positionV>
                <wp:extent cx="554355" cy="97155"/>
                <wp:effectExtent l="0" t="0" r="0" b="0"/>
                <wp:wrapNone/>
                <wp:docPr id="52" name="CuadroTexto 7"/>
                <wp:cNvGraphicFramePr/>
                <a:graphic xmlns:a="http://schemas.openxmlformats.org/drawingml/2006/main">
                  <a:graphicData uri="http://schemas.microsoft.com/office/word/2010/wordprocessingShape">
                    <wps:wsp>
                      <wps:cNvSpPr txBox="1"/>
                      <wps:spPr>
                        <a:xfrm>
                          <a:off x="0" y="0"/>
                          <a:ext cx="554355" cy="97155"/>
                        </a:xfrm>
                        <a:prstGeom prst="rect">
                          <a:avLst/>
                        </a:prstGeom>
                        <a:solidFill>
                          <a:srgbClr val="C4DD8E"/>
                        </a:solidFill>
                        <a:ln>
                          <a:noFill/>
                        </a:ln>
                      </wps:spPr>
                      <wps:txbx>
                        <w:txbxContent>
                          <w:p w14:paraId="3818C3FB" w14:textId="77777777" w:rsidR="00012570" w:rsidRDefault="00012570" w:rsidP="00D65B90">
                            <w:pPr>
                              <w:pStyle w:val="NormalWeb"/>
                              <w:spacing w:before="0" w:beforeAutospacing="0" w:after="0" w:afterAutospacing="0"/>
                              <w:jc w:val="cente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4CCFA9" id="_x0000_s1033" type="#_x0000_t202" style="position:absolute;left:0;text-align:left;margin-left:19.3pt;margin-top:103.5pt;width:43.65pt;height:7.6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" fillcolor="#c4dd8e" stroked="f">
                <v:textbox>
                  <w:txbxContent>
                    <w:p w14:paraId="3818C3FB" w14:textId="77777777" w:rsidR="00012570" w:rsidRDefault="00012570" w:rsidP="00D65B90">
                      <w:pPr>
                        <w:pStyle w:val="NormalWeb"/>
                        <w:spacing w:before="0" w:beforeAutospacing="0" w:after="0" w:afterAutospacing="0"/>
                        <w:jc w:val="center"/>
                      </w:pPr>
                    </w:p>
                  </w:txbxContent>
                </v:textbox>
              </v:shape>
            </w:pict>
          </mc:Fallback>
        </mc:AlternateContent>
      </w:r>
      <w:r w:rsidRPr="00806136">
        <w:rPr>
          <w:noProof/>
          <w:lang w:val="es-MX" w:eastAsia="es-MX"/>
        </w:rPr>
        <mc:AlternateContent>
          <mc:Choice Requires="wps">
            <w:drawing>
              <wp:anchor distT="0" distB="0" distL="114300" distR="114300" simplePos="0" relativeHeight="251658255" behindDoc="0" locked="0" layoutInCell="1" allowOverlap="1" wp14:anchorId="6CD46A7B" wp14:editId="2883E4A3">
                <wp:simplePos x="0" y="0"/>
                <wp:positionH relativeFrom="margin">
                  <wp:posOffset>5298231</wp:posOffset>
                </wp:positionH>
                <wp:positionV relativeFrom="paragraph">
                  <wp:posOffset>1457207</wp:posOffset>
                </wp:positionV>
                <wp:extent cx="993683" cy="327704"/>
                <wp:effectExtent l="0" t="0" r="0" b="0"/>
                <wp:wrapNone/>
                <wp:docPr id="51" name="CuadroTexto 11"/>
                <wp:cNvGraphicFramePr/>
                <a:graphic xmlns:a="http://schemas.openxmlformats.org/drawingml/2006/main">
                  <a:graphicData uri="http://schemas.microsoft.com/office/word/2010/wordprocessingShape">
                    <wps:wsp>
                      <wps:cNvSpPr txBox="1"/>
                      <wps:spPr>
                        <a:xfrm>
                          <a:off x="0" y="0"/>
                          <a:ext cx="993683" cy="327704"/>
                        </a:xfrm>
                        <a:prstGeom prst="rect">
                          <a:avLst/>
                        </a:prstGeom>
                        <a:solidFill>
                          <a:srgbClr val="7F7F7F"/>
                        </a:solidFill>
                        <a:ln>
                          <a:noFill/>
                        </a:ln>
                      </wps:spPr>
                      <wps:txbx>
                        <w:txbxContent>
                          <w:p w14:paraId="3121428F" w14:textId="1A188E75" w:rsidR="00012570" w:rsidRPr="00D65B90" w:rsidRDefault="00012570" w:rsidP="00D65B90">
                            <w:pPr>
                              <w:pStyle w:val="NormalWeb"/>
                              <w:spacing w:before="0" w:beforeAutospacing="0" w:after="0" w:afterAutospacing="0"/>
                              <w:jc w:val="center"/>
                              <w:rPr>
                                <w:sz w:val="10"/>
                                <w:szCs w:val="15"/>
                              </w:rPr>
                            </w:pPr>
                            <w:r w:rsidRPr="00D65B90">
                              <w:rPr>
                                <w:rFonts w:ascii="ITC Avant Garde" w:hAnsi="ITC Avant Garde" w:cstheme="minorBidi"/>
                                <w:color w:val="FFFFFF" w:themeColor="background1"/>
                                <w:kern w:val="24"/>
                                <w:sz w:val="10"/>
                                <w:szCs w:val="15"/>
                              </w:rPr>
                              <w:t>Precios Implícitos del Módulo de Imputación de Precios</w:t>
                            </w:r>
                            <w:r>
                              <w:rPr>
                                <w:rFonts w:ascii="ITC Avant Garde" w:hAnsi="ITC Avant Garde" w:cstheme="minorBidi"/>
                                <w:color w:val="FFFFFF" w:themeColor="background1"/>
                                <w:kern w:val="24"/>
                                <w:sz w:val="10"/>
                                <w:szCs w:val="15"/>
                              </w:rPr>
                              <w:t xml:space="preserve"> Implícitos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D46A7B" id="_x0000_s1034" type="#_x0000_t202" style="position:absolute;left:0;text-align:left;margin-left:417.2pt;margin-top:114.75pt;width:78.25pt;height:25.8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" fillcolor="#7f7f7f" stroked="f">
                <v:textbox>
                  <w:txbxContent>
                    <w:p w14:paraId="3121428F" w14:textId="1A188E75" w:rsidR="00012570" w:rsidRPr="00D65B90" w:rsidRDefault="00012570" w:rsidP="00D65B90">
                      <w:pPr>
                        <w:pStyle w:val="NormalWeb"/>
                        <w:spacing w:before="0" w:beforeAutospacing="0" w:after="0" w:afterAutospacing="0"/>
                        <w:jc w:val="center"/>
                        <w:rPr>
                          <w:sz w:val="10"/>
                          <w:szCs w:val="15"/>
                        </w:rPr>
                      </w:pPr>
                      <w:r w:rsidRPr="00D65B90">
                        <w:rPr>
                          <w:rFonts w:ascii="ITC Avant Garde" w:hAnsi="ITC Avant Garde" w:cstheme="minorBidi"/>
                          <w:color w:val="FFFFFF" w:themeColor="background1"/>
                          <w:kern w:val="24"/>
                          <w:sz w:val="10"/>
                          <w:szCs w:val="15"/>
                        </w:rPr>
                        <w:t>Precios Implícitos del Módulo de Imputación de Precios</w:t>
                      </w:r>
                      <w:r>
                        <w:rPr>
                          <w:rFonts w:ascii="ITC Avant Garde" w:hAnsi="ITC Avant Garde" w:cstheme="minorBidi"/>
                          <w:color w:val="FFFFFF" w:themeColor="background1"/>
                          <w:kern w:val="24"/>
                          <w:sz w:val="10"/>
                          <w:szCs w:val="15"/>
                        </w:rPr>
                        <w:t xml:space="preserve"> Implícitos</w:t>
                      </w:r>
                    </w:p>
                  </w:txbxContent>
                </v:textbox>
                <w10:wrap anchorx="margin"/>
              </v:shape>
            </w:pict>
          </mc:Fallback>
        </mc:AlternateContent>
      </w:r>
      <w:r w:rsidR="00DE64CD">
        <w:rPr>
          <w:noProof/>
          <w:lang w:val="es-MX" w:eastAsia="es-MX"/>
        </w:rPr>
        <w:drawing>
          <wp:inline distT="0" distB="0" distL="0" distR="0" wp14:anchorId="29B835CF" wp14:editId="1AF519BF">
            <wp:extent cx="5930683" cy="2112696"/>
            <wp:effectExtent l="0" t="0" r="0" b="190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9733"/>
                    <a:stretch/>
                  </pic:blipFill>
                  <pic:spPr bwMode="auto">
                    <a:xfrm>
                      <a:off x="0" y="0"/>
                      <a:ext cx="5962970" cy="2124198"/>
                    </a:xfrm>
                    <a:prstGeom prst="rect">
                      <a:avLst/>
                    </a:prstGeom>
                    <a:noFill/>
                    <a:ln>
                      <a:noFill/>
                    </a:ln>
                    <a:extLst>
                      <a:ext uri="{53640926-AAD7-44D8-BBD7-CCE9431645EC}">
                        <a14:shadowObscured xmlns:a14="http://schemas.microsoft.com/office/drawing/2010/main"/>
                      </a:ext>
                    </a:extLst>
                  </pic:spPr>
                </pic:pic>
              </a:graphicData>
            </a:graphic>
          </wp:inline>
        </w:drawing>
      </w:r>
    </w:p>
    <w:p w14:paraId="101A8065" w14:textId="43A834D3" w:rsidR="00DE64CD" w:rsidRDefault="00DE64CD" w:rsidP="00DE64CD">
      <w:pPr>
        <w:pStyle w:val="IFTnormal"/>
        <w:ind w:right="48"/>
        <w:rPr>
          <w:color w:val="000000" w:themeColor="text1"/>
          <w:sz w:val="18"/>
          <w:szCs w:val="18"/>
        </w:rPr>
      </w:pPr>
      <w:r>
        <w:rPr>
          <w:b/>
          <w:color w:val="000000" w:themeColor="text1"/>
          <w:sz w:val="18"/>
          <w:szCs w:val="18"/>
        </w:rPr>
        <w:t>F</w:t>
      </w:r>
      <w:r w:rsidR="00475A8C">
        <w:rPr>
          <w:b/>
          <w:color w:val="000000" w:themeColor="text1"/>
          <w:sz w:val="18"/>
          <w:szCs w:val="18"/>
        </w:rPr>
        <w:t>igura 7</w:t>
      </w:r>
      <w:r w:rsidRPr="005F6455">
        <w:rPr>
          <w:b/>
          <w:color w:val="000000" w:themeColor="text1"/>
          <w:sz w:val="18"/>
          <w:szCs w:val="18"/>
        </w:rPr>
        <w:t>:</w:t>
      </w:r>
      <w:r w:rsidRPr="005F6455">
        <w:rPr>
          <w:color w:val="000000" w:themeColor="text1"/>
          <w:sz w:val="18"/>
          <w:szCs w:val="18"/>
        </w:rPr>
        <w:t xml:space="preserve"> Esquema </w:t>
      </w:r>
      <w:r>
        <w:rPr>
          <w:color w:val="000000" w:themeColor="text1"/>
          <w:sz w:val="18"/>
          <w:szCs w:val="18"/>
        </w:rPr>
        <w:t>de la metodología del Modelo de Costos Evitados para la tarifa de referencia del SRLT, asociada a servicios de voz (</w:t>
      </w:r>
      <w:r w:rsidRPr="00F533C6">
        <w:rPr>
          <w:b/>
          <w:color w:val="000000" w:themeColor="text1"/>
          <w:sz w:val="18"/>
          <w:szCs w:val="18"/>
        </w:rPr>
        <w:t>Fuente:</w:t>
      </w:r>
      <w:r>
        <w:rPr>
          <w:color w:val="000000" w:themeColor="text1"/>
          <w:sz w:val="18"/>
          <w:szCs w:val="18"/>
        </w:rPr>
        <w:t xml:space="preserve"> IFT).</w:t>
      </w:r>
    </w:p>
    <w:p w14:paraId="63BC54AB" w14:textId="77777777" w:rsidR="00DE64CD" w:rsidRPr="00A92C5E" w:rsidRDefault="00DE64CD" w:rsidP="00DE64CD">
      <w:pPr>
        <w:pStyle w:val="PuntosC4"/>
        <w:numPr>
          <w:ilvl w:val="3"/>
          <w:numId w:val="40"/>
        </w:numPr>
        <w:ind w:left="993" w:hanging="993"/>
        <w:outlineLvl w:val="2"/>
      </w:pPr>
      <w:bookmarkStart w:id="37" w:name="_Toc51700011"/>
      <w:bookmarkStart w:id="38" w:name="_Toc52188500"/>
      <w:r>
        <w:t>Precio de referencia del SRI</w:t>
      </w:r>
      <w:bookmarkEnd w:id="37"/>
      <w:bookmarkEnd w:id="38"/>
    </w:p>
    <w:p w14:paraId="33E6ADD3" w14:textId="2989FD31" w:rsidR="00DE64CD" w:rsidRDefault="00DE64CD" w:rsidP="00DE64CD">
      <w:pPr>
        <w:pStyle w:val="IFTnormal"/>
      </w:pPr>
      <w:r>
        <w:t xml:space="preserve">El </w:t>
      </w:r>
      <w:r w:rsidR="00880D90">
        <w:t>precio implícito de internet</w:t>
      </w:r>
      <w:r>
        <w:t xml:space="preserve"> de un plan o paquete</w:t>
      </w:r>
      <w:r w:rsidR="00D96B0C">
        <w:t xml:space="preserve"> de Telmex y Telnor</w:t>
      </w:r>
      <w:r w:rsidRPr="008F0715">
        <w:t xml:space="preserve"> (</w:t>
      </w:r>
      <m:oMath>
        <m:sSub>
          <m:sSubPr>
            <m:ctrlPr>
              <w:rPr>
                <w:rFonts w:ascii="Cambria Math" w:hAnsi="Cambria Math"/>
                <w:b/>
              </w:rPr>
            </m:ctrlPr>
          </m:sSubPr>
          <m:e>
            <m:r>
              <m:rPr>
                <m:nor/>
              </m:rPr>
              <w:rPr>
                <w:b/>
              </w:rPr>
              <m:t>P</m:t>
            </m:r>
          </m:e>
          <m:sub>
            <m:r>
              <m:rPr>
                <m:nor/>
              </m:rPr>
              <w:rPr>
                <w:b/>
              </w:rPr>
              <m:t>minorista</m:t>
            </m:r>
          </m:sub>
        </m:sSub>
      </m:oMath>
      <w:r w:rsidRPr="008F0715">
        <w:t>)</w:t>
      </w:r>
      <w:r>
        <w:t xml:space="preserve"> en el que se provee Internet, conforme a l</w:t>
      </w:r>
      <w:r w:rsidR="00E51763">
        <w:t>o siguiente</w:t>
      </w:r>
      <w:r>
        <w:t>:</w:t>
      </w:r>
    </w:p>
    <w:p w14:paraId="33A73E63" w14:textId="00E24F8B" w:rsidR="00DE64CD" w:rsidRDefault="003175E4" w:rsidP="00DE64CD">
      <w:pPr>
        <w:pStyle w:val="IFTnormal"/>
        <w:ind w:left="1080"/>
        <w:jc w:val="center"/>
      </w:pPr>
      <m:oMath>
        <m:sSup>
          <m:sSupPr>
            <m:ctrlPr>
              <w:rPr>
                <w:rFonts w:ascii="Cambria Math" w:hAnsi="Cambria Math"/>
                <w:b/>
              </w:rPr>
            </m:ctrlPr>
          </m:sSupPr>
          <m:e>
            <m:r>
              <m:rPr>
                <m:nor/>
              </m:rPr>
              <w:rPr>
                <w:rFonts w:ascii="Cambria Math"/>
                <w:b/>
                <w:iCs/>
              </w:rPr>
              <m:t xml:space="preserve"> </m:t>
            </m:r>
            <m:r>
              <m:rPr>
                <m:nor/>
              </m:rPr>
              <w:rPr>
                <w:b/>
                <w:iCs/>
              </w:rPr>
              <m:t>P</m:t>
            </m:r>
          </m:e>
          <m:sup>
            <m:r>
              <m:rPr>
                <m:nor/>
              </m:rPr>
              <w:rPr>
                <w:b/>
                <w:iCs/>
              </w:rPr>
              <m:t>r</m:t>
            </m:r>
          </m:sup>
        </m:sSup>
      </m:oMath>
      <w:r w:rsidR="00DE64CD">
        <w:rPr>
          <w:b/>
        </w:rPr>
        <w:t xml:space="preserve"> = </w:t>
      </w:r>
      <m:oMath>
        <m:sSub>
          <m:sSubPr>
            <m:ctrlPr>
              <w:rPr>
                <w:rFonts w:ascii="Cambria Math" w:hAnsi="Cambria Math"/>
                <w:b/>
              </w:rPr>
            </m:ctrlPr>
          </m:sSubPr>
          <m:e>
            <m:r>
              <m:rPr>
                <m:nor/>
              </m:rPr>
              <w:rPr>
                <w:b/>
              </w:rPr>
              <m:t>P</m:t>
            </m:r>
          </m:e>
          <m:sub>
            <m:r>
              <m:rPr>
                <m:nor/>
              </m:rPr>
              <w:rPr>
                <w:rFonts w:ascii="Cambria Math"/>
                <w:b/>
              </w:rPr>
              <m:t>i</m:t>
            </m:r>
            <m:r>
              <m:rPr>
                <m:nor/>
              </m:rPr>
              <w:rPr>
                <w:b/>
              </w:rPr>
              <m:t>mplícito</m:t>
            </m:r>
          </m:sub>
        </m:sSub>
        <m:r>
          <m:rPr>
            <m:sty m:val="bi"/>
          </m:rPr>
          <w:rPr>
            <w:rFonts w:ascii="Cambria Math" w:hAnsi="Cambria Math"/>
          </w:rPr>
          <m:t xml:space="preserve"> </m:t>
        </m:r>
      </m:oMath>
    </w:p>
    <w:p w14:paraId="650C22B9" w14:textId="4A3D6D7A" w:rsidR="00880D90" w:rsidRDefault="00880D90" w:rsidP="00DE64CD">
      <w:pPr>
        <w:pStyle w:val="IFTnormal"/>
      </w:pPr>
      <w:r>
        <w:t xml:space="preserve">Al establecer el precio implícito de internet como partida para el precio de referencia del SRI se </w:t>
      </w:r>
      <w:r w:rsidR="00E51763">
        <w:t>excluyen</w:t>
      </w:r>
      <w:r>
        <w:t xml:space="preserve"> los servicios </w:t>
      </w:r>
      <w:r w:rsidR="00D96B0C">
        <w:t>adicionales</w:t>
      </w:r>
      <w:r>
        <w:t xml:space="preserve"> asociados a la banda ancha</w:t>
      </w:r>
      <w:r w:rsidR="00E51763">
        <w:t xml:space="preserve">. Su exclusión se fundamenta en el hecho de que los servicios </w:t>
      </w:r>
      <w:r w:rsidR="00D96B0C">
        <w:t>adicionales</w:t>
      </w:r>
      <w:r w:rsidR="00E51763">
        <w:t xml:space="preserve"> asociados a la banda ancha son provistos</w:t>
      </w:r>
      <w:r w:rsidR="00431971">
        <w:t xml:space="preserve"> por terceros</w:t>
      </w:r>
      <w:r w:rsidR="00E51763">
        <w:t>, y, según el entendimiento del Instituto ello</w:t>
      </w:r>
      <w:r w:rsidR="00431971">
        <w:t xml:space="preserve"> impide su inclusión en los servicios de reventa</w:t>
      </w:r>
      <w:r>
        <w:t xml:space="preserve">. Los precios implícitos de </w:t>
      </w:r>
      <w:r w:rsidR="003529EC">
        <w:t xml:space="preserve">dichos </w:t>
      </w:r>
      <w:r>
        <w:t xml:space="preserve">servicios no son descontados por el factor de estimación del precio implícito ni son reflejados en el precio de referencia del SRI. </w:t>
      </w:r>
    </w:p>
    <w:p w14:paraId="42410179" w14:textId="77777777" w:rsidR="00DE64CD" w:rsidRDefault="00DE64CD" w:rsidP="00DE64CD">
      <w:pPr>
        <w:pStyle w:val="IFTnormal"/>
        <w:ind w:right="48"/>
        <w:rPr>
          <w:color w:val="000000" w:themeColor="text1"/>
          <w:sz w:val="18"/>
          <w:szCs w:val="18"/>
        </w:rPr>
      </w:pPr>
    </w:p>
    <w:p w14:paraId="52E24983" w14:textId="77777777" w:rsidR="00DE64CD" w:rsidRPr="00A92C5E" w:rsidRDefault="00DE64CD" w:rsidP="00DE64CD">
      <w:pPr>
        <w:pStyle w:val="PuntosC4"/>
        <w:numPr>
          <w:ilvl w:val="3"/>
          <w:numId w:val="40"/>
        </w:numPr>
        <w:ind w:left="993" w:hanging="993"/>
        <w:outlineLvl w:val="2"/>
      </w:pPr>
      <w:bookmarkStart w:id="39" w:name="_Toc51700012"/>
      <w:bookmarkStart w:id="40" w:name="_Toc52188501"/>
      <w:r>
        <w:t>Precio de referencia del SRP</w:t>
      </w:r>
      <w:bookmarkEnd w:id="39"/>
      <w:bookmarkEnd w:id="40"/>
    </w:p>
    <w:p w14:paraId="4E2AF62A" w14:textId="42993FF5" w:rsidR="00DE64CD" w:rsidRPr="00324945" w:rsidRDefault="00DE64CD" w:rsidP="00DE64CD">
      <w:pPr>
        <w:pStyle w:val="IFTnormal"/>
      </w:pPr>
      <w:r>
        <w:t>En el Modelo de Costos Evitados, el precio de referencia del SRP se considerará a través de l</w:t>
      </w:r>
      <w:r w:rsidRPr="00324945">
        <w:t xml:space="preserve">os precios implícitos de los </w:t>
      </w:r>
      <w:r>
        <w:t>elementos</w:t>
      </w:r>
      <w:r w:rsidRPr="00324945">
        <w:t xml:space="preserve"> </w:t>
      </w:r>
      <w:r>
        <w:t xml:space="preserve">o servicios que se incluyen en </w:t>
      </w:r>
      <w:r w:rsidRPr="00324945">
        <w:t xml:space="preserve">los planes y paquetes mediante los cuales </w:t>
      </w:r>
      <w:r w:rsidR="00D96B0C">
        <w:t>Telmex y Telnor proporcionan</w:t>
      </w:r>
      <w:r w:rsidRPr="00324945">
        <w:t xml:space="preserve"> telefonía </w:t>
      </w:r>
      <w:r>
        <w:t>e Internet</w:t>
      </w:r>
      <w:r w:rsidRPr="00324945">
        <w:t>, de manera conjunta</w:t>
      </w:r>
      <w:r w:rsidR="00880D90">
        <w:t xml:space="preserve"> a la excepción de </w:t>
      </w:r>
      <w:r w:rsidR="007054BB">
        <w:t xml:space="preserve">los precios implícitos de </w:t>
      </w:r>
      <w:r w:rsidR="008C59A6">
        <w:t>los servicios</w:t>
      </w:r>
      <w:r w:rsidR="00E51763">
        <w:t xml:space="preserve"> </w:t>
      </w:r>
      <w:r w:rsidR="00D96B0C">
        <w:t xml:space="preserve">adicionales </w:t>
      </w:r>
      <w:r w:rsidR="00E51763">
        <w:t>asociados a la</w:t>
      </w:r>
      <w:r w:rsidR="00880D90">
        <w:t xml:space="preserve"> banda an</w:t>
      </w:r>
      <w:r w:rsidR="007054BB">
        <w:t>cha ofrecidos por terceros por no tener</w:t>
      </w:r>
      <w:r w:rsidR="00880D90">
        <w:t xml:space="preserve"> portabilidad en los servicios de reventa</w:t>
      </w:r>
      <w:r w:rsidRPr="00324945">
        <w:t>.</w:t>
      </w:r>
    </w:p>
    <w:p w14:paraId="61327F59" w14:textId="503B2E47" w:rsidR="00DE64CD" w:rsidRDefault="00880D90" w:rsidP="00DE64CD">
      <w:pPr>
        <w:pStyle w:val="IFTnormal"/>
        <w:rPr>
          <w:lang w:val="es-MX"/>
        </w:rPr>
      </w:pPr>
      <w:r>
        <w:rPr>
          <w:lang w:val="es-MX"/>
        </w:rPr>
        <w:t>P</w:t>
      </w:r>
      <w:r w:rsidR="00DE64CD">
        <w:rPr>
          <w:lang w:val="es-MX"/>
        </w:rPr>
        <w:t>ara</w:t>
      </w:r>
      <w:r w:rsidR="00DE64CD" w:rsidRPr="00324945">
        <w:t xml:space="preserve"> </w:t>
      </w:r>
      <w:r w:rsidR="00DE64CD" w:rsidRPr="001D1E25">
        <w:t>el caso del SRP,</w:t>
      </w:r>
      <w:r w:rsidR="00DE64CD">
        <w:t xml:space="preserve"> </w:t>
      </w:r>
      <w:r w:rsidR="00DE64CD" w:rsidRPr="00020002">
        <w:t xml:space="preserve">los precios </w:t>
      </w:r>
      <w:r w:rsidR="00DE64CD">
        <w:t>implícitos</w:t>
      </w:r>
      <w:r w:rsidR="00DE64CD" w:rsidRPr="00020002">
        <w:t xml:space="preserve"> a emplearse corresponden a</w:t>
      </w:r>
      <w:r w:rsidR="00DE64CD">
        <w:t xml:space="preserve"> los estimados por el modelo para</w:t>
      </w:r>
      <w:r w:rsidR="00DE64CD" w:rsidRPr="00020002">
        <w:t xml:space="preserve"> planes o paquetes mediante los cuales </w:t>
      </w:r>
      <w:r w:rsidR="00D96B0C">
        <w:t>Telmex y Telnor</w:t>
      </w:r>
      <w:r w:rsidR="00DE64CD" w:rsidRPr="00020002">
        <w:t xml:space="preserve"> ofrece simultáneamente</w:t>
      </w:r>
      <w:r w:rsidR="00DE64CD">
        <w:t xml:space="preserve"> telefonía e Internet, a los cuales se les descontarán los correspondientes costos evitados. </w:t>
      </w:r>
    </w:p>
    <w:p w14:paraId="694C6E38" w14:textId="77777777" w:rsidR="00DE64CD" w:rsidRDefault="00DE64CD" w:rsidP="00DE64CD">
      <w:pPr>
        <w:pStyle w:val="PuntosC4"/>
        <w:numPr>
          <w:ilvl w:val="3"/>
          <w:numId w:val="40"/>
        </w:numPr>
        <w:ind w:left="993" w:hanging="993"/>
        <w:outlineLvl w:val="2"/>
      </w:pPr>
      <w:bookmarkStart w:id="41" w:name="_Ref530166584"/>
      <w:bookmarkStart w:id="42" w:name="_Toc51700013"/>
      <w:bookmarkStart w:id="43" w:name="_Toc52188502"/>
      <w:r>
        <w:t>Precio de referencia asociado al SRMLT</w:t>
      </w:r>
      <w:bookmarkEnd w:id="41"/>
      <w:bookmarkEnd w:id="42"/>
      <w:bookmarkEnd w:id="43"/>
    </w:p>
    <w:p w14:paraId="342D41F8" w14:textId="009E2D64" w:rsidR="00DE64CD" w:rsidRDefault="00DE64CD" w:rsidP="00DE64CD">
      <w:pPr>
        <w:pStyle w:val="IFTnormal"/>
      </w:pPr>
      <w:r w:rsidRPr="00CA3CB4">
        <w:t xml:space="preserve">Para el SRMLT, el precio de referencia se considera a partir del promedio ponderado </w:t>
      </w:r>
      <w:r w:rsidR="00E51763">
        <w:t>los precios implícitos de</w:t>
      </w:r>
      <w:r w:rsidRPr="00CA3CB4">
        <w:t xml:space="preserve"> acceso a la línea dentro de los diferentes planes y paquetes en estudio, a efecto de reflejar las particularidades del acceso a la línea telefónica que se observ</w:t>
      </w:r>
      <w:r w:rsidR="00D96B0C">
        <w:t>a en la oferta minorista de Telmex y Telnor</w:t>
      </w:r>
      <w:r w:rsidRPr="00CA3CB4">
        <w:t>, de acuerdo al uso residencial o comercial de la misma.</w:t>
      </w:r>
    </w:p>
    <w:p w14:paraId="4748A8F3" w14:textId="57E51A3E" w:rsidR="00DE64CD" w:rsidRPr="001508CB" w:rsidRDefault="007054BB" w:rsidP="00DE64CD">
      <w:pPr>
        <w:pStyle w:val="IFTnormal"/>
      </w:pPr>
      <w:r w:rsidRPr="007054BB">
        <w:rPr>
          <w:noProof/>
          <w:lang w:val="es-MX" w:eastAsia="es-MX"/>
        </w:rPr>
        <mc:AlternateContent>
          <mc:Choice Requires="wps">
            <w:drawing>
              <wp:anchor distT="0" distB="0" distL="114300" distR="114300" simplePos="0" relativeHeight="251658241" behindDoc="0" locked="0" layoutInCell="1" allowOverlap="1" wp14:anchorId="6DD235E8" wp14:editId="0AC4A9CF">
                <wp:simplePos x="0" y="0"/>
                <wp:positionH relativeFrom="margin">
                  <wp:posOffset>600842</wp:posOffset>
                </wp:positionH>
                <wp:positionV relativeFrom="paragraph">
                  <wp:posOffset>1047438</wp:posOffset>
                </wp:positionV>
                <wp:extent cx="640569" cy="120402"/>
                <wp:effectExtent l="0" t="0" r="7620" b="0"/>
                <wp:wrapNone/>
                <wp:docPr id="11" name="Rectángulo 4"/>
                <wp:cNvGraphicFramePr/>
                <a:graphic xmlns:a="http://schemas.openxmlformats.org/drawingml/2006/main">
                  <a:graphicData uri="http://schemas.microsoft.com/office/word/2010/wordprocessingShape">
                    <wps:wsp>
                      <wps:cNvSpPr/>
                      <wps:spPr>
                        <a:xfrm>
                          <a:off x="0" y="0"/>
                          <a:ext cx="640569" cy="120402"/>
                        </a:xfrm>
                        <a:prstGeom prst="rect">
                          <a:avLst/>
                        </a:prstGeom>
                        <a:solidFill>
                          <a:srgbClr val="C4DD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6E03C" id="Rectángulo 4" o:spid="_x0000_s1026" style="position:absolute;margin-left:47.3pt;margin-top:82.5pt;width:50.45pt;height:9.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" fillcolor="#c4dd8e" stroked="f" strokeweight="1pt">
                <w10:wrap anchorx="margin"/>
              </v:rect>
            </w:pict>
          </mc:Fallback>
        </mc:AlternateContent>
      </w:r>
      <w:r w:rsidR="00DE64CD">
        <w:rPr>
          <w:noProof/>
          <w:lang w:val="es-MX" w:eastAsia="es-MX"/>
        </w:rPr>
        <w:drawing>
          <wp:inline distT="0" distB="0" distL="0" distR="0" wp14:anchorId="29325AC4" wp14:editId="01E39061">
            <wp:extent cx="6135749" cy="2782956"/>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49659" cy="2789265"/>
                    </a:xfrm>
                    <a:prstGeom prst="rect">
                      <a:avLst/>
                    </a:prstGeom>
                    <a:noFill/>
                  </pic:spPr>
                </pic:pic>
              </a:graphicData>
            </a:graphic>
          </wp:inline>
        </w:drawing>
      </w:r>
    </w:p>
    <w:p w14:paraId="498654A8" w14:textId="6DE5D45F" w:rsidR="00DE64CD" w:rsidRDefault="00DE64CD" w:rsidP="00DE64CD">
      <w:pPr>
        <w:pStyle w:val="IFTnormal"/>
        <w:ind w:right="48"/>
        <w:rPr>
          <w:color w:val="000000" w:themeColor="text1"/>
          <w:sz w:val="18"/>
          <w:szCs w:val="18"/>
        </w:rPr>
      </w:pPr>
      <w:r>
        <w:rPr>
          <w:b/>
          <w:color w:val="000000" w:themeColor="text1"/>
          <w:sz w:val="18"/>
          <w:szCs w:val="18"/>
        </w:rPr>
        <w:t xml:space="preserve">Figura </w:t>
      </w:r>
      <w:r w:rsidR="00E51763">
        <w:rPr>
          <w:b/>
          <w:color w:val="000000" w:themeColor="text1"/>
          <w:sz w:val="18"/>
          <w:szCs w:val="18"/>
        </w:rPr>
        <w:t>8</w:t>
      </w:r>
      <w:r w:rsidRPr="005F6455">
        <w:rPr>
          <w:b/>
          <w:color w:val="000000" w:themeColor="text1"/>
          <w:sz w:val="18"/>
          <w:szCs w:val="18"/>
        </w:rPr>
        <w:t>:</w:t>
      </w:r>
      <w:r w:rsidRPr="005F6455">
        <w:rPr>
          <w:color w:val="000000" w:themeColor="text1"/>
          <w:sz w:val="18"/>
          <w:szCs w:val="18"/>
        </w:rPr>
        <w:t xml:space="preserve"> Esquema </w:t>
      </w:r>
      <w:r>
        <w:rPr>
          <w:color w:val="000000" w:themeColor="text1"/>
          <w:sz w:val="18"/>
          <w:szCs w:val="18"/>
        </w:rPr>
        <w:t>del uso de estimación de la tarifa de referencia del SR</w:t>
      </w:r>
      <w:r w:rsidR="007054BB">
        <w:rPr>
          <w:color w:val="000000" w:themeColor="text1"/>
          <w:sz w:val="18"/>
          <w:szCs w:val="18"/>
        </w:rPr>
        <w:t>MLT</w:t>
      </w:r>
      <w:r>
        <w:rPr>
          <w:color w:val="000000" w:themeColor="text1"/>
          <w:sz w:val="18"/>
          <w:szCs w:val="18"/>
        </w:rPr>
        <w:t xml:space="preserve">, asociada a los servicios de </w:t>
      </w:r>
      <w:r w:rsidR="007054BB">
        <w:rPr>
          <w:color w:val="000000" w:themeColor="text1"/>
          <w:sz w:val="18"/>
          <w:szCs w:val="18"/>
        </w:rPr>
        <w:t>telefonía</w:t>
      </w:r>
      <w:r w:rsidR="00B65234">
        <w:rPr>
          <w:color w:val="000000" w:themeColor="text1"/>
          <w:sz w:val="18"/>
          <w:szCs w:val="18"/>
        </w:rPr>
        <w:t xml:space="preserve"> de Telmex y Telnor</w:t>
      </w:r>
      <w:r>
        <w:rPr>
          <w:color w:val="000000" w:themeColor="text1"/>
          <w:sz w:val="18"/>
          <w:szCs w:val="18"/>
        </w:rPr>
        <w:t xml:space="preserve"> (</w:t>
      </w:r>
      <w:r w:rsidRPr="00F533C6">
        <w:rPr>
          <w:b/>
          <w:color w:val="000000" w:themeColor="text1"/>
          <w:sz w:val="18"/>
          <w:szCs w:val="18"/>
        </w:rPr>
        <w:t>Fuente:</w:t>
      </w:r>
      <w:r>
        <w:rPr>
          <w:color w:val="000000" w:themeColor="text1"/>
          <w:sz w:val="18"/>
          <w:szCs w:val="18"/>
        </w:rPr>
        <w:t xml:space="preserve"> IFT).</w:t>
      </w:r>
    </w:p>
    <w:p w14:paraId="416A9DD4" w14:textId="333E2A9A" w:rsidR="00DE64CD" w:rsidRDefault="00DE64CD" w:rsidP="00DE64CD">
      <w:pPr>
        <w:pStyle w:val="IFTnormal"/>
      </w:pPr>
      <w:r>
        <w:t>Este sentido, los precios implícitos del acceso a la línea telefónica para los dife</w:t>
      </w:r>
      <w:r w:rsidR="00B65234">
        <w:t>rentes planes y paquetes de Telmex y Telnor</w:t>
      </w:r>
      <w:r>
        <w:t xml:space="preserve"> se obtienen mediante el procedimiento descrito en la sección </w:t>
      </w:r>
      <w:r>
        <w:fldChar w:fldCharType="begin"/>
      </w:r>
      <w:r>
        <w:instrText xml:space="preserve"> REF _Ref530071083 \r \h </w:instrText>
      </w:r>
      <w:r>
        <w:fldChar w:fldCharType="separate"/>
      </w:r>
      <w:r w:rsidR="007054BB">
        <w:t>1.3.1</w:t>
      </w:r>
      <w:r>
        <w:fldChar w:fldCharType="end"/>
      </w:r>
      <w:r>
        <w:t>, mismos que se ponderan conforme a la distribución de usuarios de los p</w:t>
      </w:r>
      <w:r w:rsidR="00B65234">
        <w:t>lanes y paquetes en los que Telmex y Telnor</w:t>
      </w:r>
      <w:r>
        <w:t xml:space="preserve"> ofrece</w:t>
      </w:r>
      <w:r w:rsidR="00B65234">
        <w:t>n</w:t>
      </w:r>
      <w:r>
        <w:t xml:space="preserve"> líneas telefónicas de uso residencial y comercial.</w:t>
      </w:r>
    </w:p>
    <w:p w14:paraId="32359DF7" w14:textId="63BC708A" w:rsidR="00DE64CD" w:rsidRPr="008E03CC" w:rsidRDefault="00DE64CD" w:rsidP="00DE64CD">
      <w:pPr>
        <w:pStyle w:val="PuntosC4"/>
        <w:numPr>
          <w:ilvl w:val="3"/>
          <w:numId w:val="40"/>
        </w:numPr>
        <w:ind w:left="993" w:hanging="993"/>
        <w:outlineLvl w:val="2"/>
      </w:pPr>
      <w:bookmarkStart w:id="44" w:name="_Ref530138278"/>
      <w:bookmarkStart w:id="45" w:name="_Ref51585426"/>
      <w:bookmarkStart w:id="46" w:name="_Toc51700014"/>
      <w:bookmarkStart w:id="47" w:name="_Toc52188503"/>
      <w:r>
        <w:t>Precio de referencia asociado al SAIB</w:t>
      </w:r>
      <w:bookmarkEnd w:id="44"/>
      <w:r w:rsidR="00777A6C">
        <w:t xml:space="preserve"> </w:t>
      </w:r>
      <w:r w:rsidR="00A14005">
        <w:t>a</w:t>
      </w:r>
      <w:r w:rsidR="00777A6C">
        <w:t>simétrico</w:t>
      </w:r>
      <w:bookmarkEnd w:id="45"/>
      <w:bookmarkEnd w:id="46"/>
      <w:bookmarkEnd w:id="47"/>
    </w:p>
    <w:p w14:paraId="4DF9DF4D" w14:textId="6D95BCC9" w:rsidR="00DE64CD" w:rsidRDefault="00DE64CD" w:rsidP="00DE64CD">
      <w:pPr>
        <w:pStyle w:val="IFTnormal"/>
      </w:pPr>
      <w:r>
        <w:t xml:space="preserve">El precio de referencia del SAIB </w:t>
      </w:r>
      <w:r w:rsidR="00A14005">
        <w:t xml:space="preserve">asimétrico </w:t>
      </w:r>
      <w:r>
        <w:t xml:space="preserve">se establece a partir del precio implícito </w:t>
      </w:r>
      <w:r w:rsidR="00D15D7B">
        <w:t xml:space="preserve">promedio </w:t>
      </w:r>
      <w:r>
        <w:t xml:space="preserve">de un determinado perfil de velocidad. Con este objetivo, se debe tener en </w:t>
      </w:r>
      <w:r w:rsidR="00B65234">
        <w:t>cuenta que en la práctica Telmex y Telnor</w:t>
      </w:r>
      <w:r>
        <w:t xml:space="preserve"> ofrece</w:t>
      </w:r>
      <w:r w:rsidR="00B65234">
        <w:t>n</w:t>
      </w:r>
      <w:r>
        <w:t xml:space="preserve"> 1) planes y paquetes que incluyen diferentes perfiles de velocidad, así como que 2) un mismo perfil de velocidad se puede ofrecer en diferentes planes o paquetes.</w:t>
      </w:r>
    </w:p>
    <w:p w14:paraId="05F86D42" w14:textId="40186715" w:rsidR="00DE64CD" w:rsidRDefault="00DE64CD" w:rsidP="00DE64CD">
      <w:pPr>
        <w:pStyle w:val="IFTnormal"/>
      </w:pPr>
      <w:r>
        <w:t>Por otra parte, existen dos escenarios relevantes que en la práctica pueden ocurrir cuando un CS contrate el SAIB</w:t>
      </w:r>
      <w:r w:rsidR="00A14005">
        <w:t xml:space="preserve"> asimétrico</w:t>
      </w:r>
      <w:r>
        <w:t>:</w:t>
      </w:r>
    </w:p>
    <w:p w14:paraId="2684401D" w14:textId="77777777" w:rsidR="00DE64CD" w:rsidRDefault="00DE64CD" w:rsidP="00DE64CD">
      <w:pPr>
        <w:pStyle w:val="IFTnormal"/>
        <w:numPr>
          <w:ilvl w:val="0"/>
          <w:numId w:val="20"/>
        </w:numPr>
      </w:pPr>
      <w:r w:rsidRPr="009E7482">
        <w:rPr>
          <w:b/>
        </w:rPr>
        <w:t>Caso I:</w:t>
      </w:r>
      <w:r>
        <w:t xml:space="preserve"> cuando 1) l</w:t>
      </w:r>
      <w:r>
        <w:rPr>
          <w:rFonts w:eastAsia="Times New Roman" w:cs="Times New Roman"/>
          <w:lang w:eastAsia="en-US"/>
        </w:rPr>
        <w:t>os servicios se prestan a través de fibra óptica, o bien 2) se prestan a través de cobre, pero no se hace uso de las frecuencias bajas para prestar servicios de voz por el mismo medio</w:t>
      </w:r>
      <w:r>
        <w:t>.</w:t>
      </w:r>
    </w:p>
    <w:p w14:paraId="3A9C68C9" w14:textId="01A49653" w:rsidR="00DE64CD" w:rsidRDefault="00DE64CD" w:rsidP="00DE64CD">
      <w:pPr>
        <w:pStyle w:val="IFTnormal"/>
        <w:numPr>
          <w:ilvl w:val="0"/>
          <w:numId w:val="20"/>
        </w:numPr>
      </w:pPr>
      <w:r w:rsidRPr="009E7482">
        <w:rPr>
          <w:b/>
        </w:rPr>
        <w:t xml:space="preserve">Caso </w:t>
      </w:r>
      <w:r w:rsidRPr="00AD2B81">
        <w:rPr>
          <w:b/>
        </w:rPr>
        <w:t>II:</w:t>
      </w:r>
      <w:r>
        <w:t xml:space="preserve"> </w:t>
      </w:r>
      <w:r w:rsidRPr="00AF731C">
        <w:t>cuando los servicios se prestan a través cobre y se hace uso de las frecuencias bajas para prestar servicios de voz</w:t>
      </w:r>
      <w:r w:rsidR="00B65234">
        <w:t xml:space="preserve"> (ya sea por el mismo CS, Telmex o Telnor</w:t>
      </w:r>
      <w:r w:rsidRPr="00AF731C">
        <w:t xml:space="preserve"> o bien otro CS)</w:t>
      </w:r>
      <w:r>
        <w:t>.</w:t>
      </w:r>
    </w:p>
    <w:p w14:paraId="1D6CAF1A" w14:textId="77777777" w:rsidR="00DE64CD" w:rsidRDefault="00DE64CD" w:rsidP="00DE64CD">
      <w:pPr>
        <w:pStyle w:val="IFTnormal"/>
      </w:pPr>
      <w:r>
        <w:t xml:space="preserve">En el contexto del </w:t>
      </w:r>
      <w:r w:rsidRPr="001C6A87">
        <w:rPr>
          <w:b/>
        </w:rPr>
        <w:t xml:space="preserve">Caso </w:t>
      </w:r>
      <w:r>
        <w:rPr>
          <w:b/>
        </w:rPr>
        <w:t>I</w:t>
      </w:r>
      <w:r w:rsidRPr="001C6A87">
        <w:rPr>
          <w:b/>
        </w:rPr>
        <w:t>I</w:t>
      </w:r>
      <w:r w:rsidRPr="00BE0B7F">
        <w:t>,</w:t>
      </w:r>
      <w:r>
        <w:t xml:space="preserve"> para establecer el precio de referencia de cada perfil de velocidad en el modelo se involucra un valor para representar el</w:t>
      </w:r>
      <w:r w:rsidRPr="008A270E">
        <w:t xml:space="preserve"> </w:t>
      </w:r>
      <w:r>
        <w:t>valor del medio de transmisión en el componente de voz. Este se emplea para ajustar el precio implícito de aquellos planes o paquetes que proveen servicios de Internet (sin servicios de voz), descontándolo al precio implícito de Internet.</w:t>
      </w:r>
    </w:p>
    <w:p w14:paraId="6D86483E" w14:textId="0851A0AB" w:rsidR="00DE64CD" w:rsidRDefault="00DE64CD" w:rsidP="00DE64CD">
      <w:pPr>
        <w:pStyle w:val="IFTnormal"/>
      </w:pPr>
      <w:r>
        <w:t>Dicha consideración es necesaria dado que como se explica en la sección</w:t>
      </w:r>
      <w:r w:rsidR="00D15D7B">
        <w:t xml:space="preserve"> </w:t>
      </w:r>
      <w:r w:rsidR="00D15D7B">
        <w:fldChar w:fldCharType="begin"/>
      </w:r>
      <w:r w:rsidR="00D15D7B">
        <w:instrText xml:space="preserve"> REF _Ref530071083 \r \h </w:instrText>
      </w:r>
      <w:r w:rsidR="00D15D7B">
        <w:fldChar w:fldCharType="separate"/>
      </w:r>
      <w:r w:rsidR="00D15D7B">
        <w:t>1.3.1</w:t>
      </w:r>
      <w:r w:rsidR="00D15D7B">
        <w:fldChar w:fldCharType="end"/>
      </w:r>
      <w:r>
        <w:t>, la representación del precio implícito para el servicio de Internet incluye</w:t>
      </w:r>
      <w:r w:rsidRPr="009E7482">
        <w:t xml:space="preserve"> un componente que permite la recuperación </w:t>
      </w:r>
      <w:r>
        <w:t>del valor del medio de transmisión en el componente de voz, pues coincide con la renta men</w:t>
      </w:r>
      <w:r w:rsidR="00B93087">
        <w:t>sual que Telmex y Telnor</w:t>
      </w:r>
      <w:r w:rsidR="00D15D7B">
        <w:t xml:space="preserve"> cobra</w:t>
      </w:r>
      <w:r w:rsidR="00B93087">
        <w:t>n</w:t>
      </w:r>
      <w:r w:rsidR="00D15D7B">
        <w:t xml:space="preserve"> a los </w:t>
      </w:r>
      <w:r>
        <w:t>usuarios de tales planes o paquetes</w:t>
      </w:r>
      <w:r w:rsidRPr="009E7482">
        <w:t xml:space="preserve">. </w:t>
      </w:r>
    </w:p>
    <w:p w14:paraId="538E5D85" w14:textId="38B0C6D4" w:rsidR="00DE64CD" w:rsidRDefault="00DE64CD" w:rsidP="00DE64CD">
      <w:pPr>
        <w:pStyle w:val="IFTnormal"/>
      </w:pPr>
      <w:r>
        <w:t>Es decir</w:t>
      </w:r>
      <w:r w:rsidR="00B65234">
        <w:t>, dado que Telmex y Telnor</w:t>
      </w:r>
      <w:r w:rsidRPr="009E7482">
        <w:t xml:space="preserve"> recibe</w:t>
      </w:r>
      <w:r w:rsidR="00B65234">
        <w:t>n</w:t>
      </w:r>
      <w:r w:rsidRPr="009E7482">
        <w:t xml:space="preserve"> una remuneración relativa al servicio de telefonía</w:t>
      </w:r>
      <w:r>
        <w:t xml:space="preserve"> por parte del usuario final</w:t>
      </w:r>
      <w:r w:rsidRPr="009E7482">
        <w:t xml:space="preserve">, se debe </w:t>
      </w:r>
      <w:r>
        <w:t>descontar</w:t>
      </w:r>
      <w:r w:rsidRPr="009E7482">
        <w:t xml:space="preserve"> </w:t>
      </w:r>
      <w:r>
        <w:t>e</w:t>
      </w:r>
      <w:r w:rsidRPr="009E7482">
        <w:t xml:space="preserve">l componente de la recuperación del </w:t>
      </w:r>
      <w:r>
        <w:t>valor del medio de transmisión en el componente de voz</w:t>
      </w:r>
      <w:r w:rsidRPr="009E7482">
        <w:t xml:space="preserve"> en comento, </w:t>
      </w:r>
      <w:r>
        <w:t xml:space="preserve">con el fin de evitar </w:t>
      </w:r>
      <w:r w:rsidRPr="009E7482">
        <w:t>un</w:t>
      </w:r>
      <w:r>
        <w:t>a</w:t>
      </w:r>
      <w:r w:rsidRPr="009E7482">
        <w:t xml:space="preserve"> doble cont</w:t>
      </w:r>
      <w:r>
        <w:t>abilización del mismo</w:t>
      </w:r>
      <w:r w:rsidRPr="009E7482">
        <w:t xml:space="preserve">. </w:t>
      </w:r>
    </w:p>
    <w:p w14:paraId="17A69FD8" w14:textId="693D4EE4" w:rsidR="00DE64CD" w:rsidRDefault="00DE64CD" w:rsidP="00DE64CD">
      <w:pPr>
        <w:pStyle w:val="IFTnormal"/>
      </w:pPr>
      <w:r>
        <w:t>En consecuencia, para establecer la tarifa del SAIB</w:t>
      </w:r>
      <w:r w:rsidR="00A14005">
        <w:t xml:space="preserve"> asimétrico</w:t>
      </w:r>
      <w:r>
        <w:t xml:space="preserve"> de cada perfil de velocidad</w:t>
      </w:r>
      <w:r w:rsidRPr="009E7482">
        <w:t xml:space="preserve"> </w:t>
      </w:r>
      <w:r>
        <w:t xml:space="preserve">en el </w:t>
      </w:r>
      <w:r w:rsidRPr="001C6A87">
        <w:rPr>
          <w:b/>
        </w:rPr>
        <w:t>Caso I</w:t>
      </w:r>
      <w:r>
        <w:t xml:space="preserve">, </w:t>
      </w:r>
      <w:r w:rsidRPr="009E7482">
        <w:t xml:space="preserve">se debe añadir </w:t>
      </w:r>
      <w:r>
        <w:t xml:space="preserve">al precio implícito por perfil de velocidad </w:t>
      </w:r>
      <w:r w:rsidRPr="009E7482">
        <w:t xml:space="preserve">el </w:t>
      </w:r>
      <w:r>
        <w:t>valor del medio de transmisión en el componente de voz</w:t>
      </w:r>
      <w:r w:rsidRPr="009E7482">
        <w:t xml:space="preserve"> por el cual se presta el servicio</w:t>
      </w:r>
      <w:r>
        <w:rPr>
          <w:rStyle w:val="Refdenotaalpie"/>
        </w:rPr>
        <w:footnoteReference w:id="21"/>
      </w:r>
      <w:r>
        <w:t>,</w:t>
      </w:r>
      <w:r w:rsidRPr="009E7482">
        <w:t xml:space="preserve"> de modo que se as</w:t>
      </w:r>
      <w:r w:rsidR="00B65234">
        <w:t xml:space="preserve">egure que Telmex y Telnor </w:t>
      </w:r>
      <w:r>
        <w:t>recupera</w:t>
      </w:r>
      <w:r w:rsidR="00B65234">
        <w:t>n</w:t>
      </w:r>
      <w:r w:rsidRPr="009E7482">
        <w:t xml:space="preserve"> efectivamente</w:t>
      </w:r>
      <w:r>
        <w:t xml:space="preserve"> los costos asociados, tanto del valor del medio de transmisión en el componente de voz como del servicio de Internet.</w:t>
      </w:r>
    </w:p>
    <w:p w14:paraId="6E4EE3DA" w14:textId="49FDD371" w:rsidR="00DE64CD" w:rsidRDefault="00DE64CD" w:rsidP="00847571">
      <w:pPr>
        <w:pStyle w:val="IFTnormal"/>
      </w:pPr>
      <w:r>
        <w:t>Tomando en cuenta lo anterior,</w:t>
      </w:r>
      <w:r w:rsidRPr="00005CE0">
        <w:t xml:space="preserve"> </w:t>
      </w:r>
      <w:r>
        <w:t xml:space="preserve">el precio implícito de un determinado perfil de velocidad para el SAIB </w:t>
      </w:r>
      <w:r w:rsidR="00A14005">
        <w:t xml:space="preserve">asimétrico </w:t>
      </w:r>
      <w:r>
        <w:t xml:space="preserve">se aproxima en el modelo con base en el promedio ponderado (conforme al número de clientes y su distribución en la oferta </w:t>
      </w:r>
      <w:r w:rsidR="00B65234">
        <w:t>minorista de Telmex y Telnor</w:t>
      </w:r>
      <w:r>
        <w:t>) de los precios implícitos de dicho perfil estimados para todos los plan</w:t>
      </w:r>
      <w:r w:rsidR="00E51763">
        <w:t xml:space="preserve">es </w:t>
      </w:r>
      <w:r>
        <w:t>y</w:t>
      </w:r>
      <w:r w:rsidR="00847571">
        <w:t xml:space="preserve"> </w:t>
      </w:r>
      <w:r>
        <w:t>paquetes que incluyen servicios de Internet. En concreto, lo anterior se efectúa a través del siguiente procedimiento:</w:t>
      </w:r>
    </w:p>
    <w:p w14:paraId="63881FD9" w14:textId="6F0942C6" w:rsidR="00DE64CD" w:rsidRDefault="00DE64CD" w:rsidP="00DE64CD">
      <w:pPr>
        <w:pStyle w:val="IFTnormal"/>
        <w:numPr>
          <w:ilvl w:val="0"/>
          <w:numId w:val="21"/>
        </w:numPr>
        <w:rPr>
          <w:b/>
        </w:rPr>
      </w:pPr>
      <w:r>
        <w:rPr>
          <w:b/>
        </w:rPr>
        <w:t>Determinación de p</w:t>
      </w:r>
      <w:r w:rsidRPr="00AF2A96">
        <w:rPr>
          <w:b/>
        </w:rPr>
        <w:t xml:space="preserve">recios implícitos </w:t>
      </w:r>
      <w:r>
        <w:rPr>
          <w:b/>
        </w:rPr>
        <w:t>ajustados de servicios de I</w:t>
      </w:r>
      <w:r w:rsidRPr="00AF2A96">
        <w:rPr>
          <w:b/>
        </w:rPr>
        <w:t>nternet</w:t>
      </w:r>
      <w:r w:rsidR="00B65234">
        <w:rPr>
          <w:b/>
        </w:rPr>
        <w:t xml:space="preserve"> que Telmex y Telnor</w:t>
      </w:r>
      <w:r>
        <w:rPr>
          <w:b/>
        </w:rPr>
        <w:t xml:space="preserve"> presta</w:t>
      </w:r>
      <w:r w:rsidR="00B65234">
        <w:rPr>
          <w:b/>
        </w:rPr>
        <w:t>n</w:t>
      </w:r>
      <w:r>
        <w:rPr>
          <w:b/>
        </w:rPr>
        <w:t xml:space="preserve"> a través de sus planes y paquetes. -</w:t>
      </w:r>
      <w:r w:rsidRPr="00AF2A96">
        <w:rPr>
          <w:b/>
        </w:rPr>
        <w:t xml:space="preserve"> </w:t>
      </w:r>
      <w:r>
        <w:t>Esta etapa se realiza de acuerdo a lo siguiente:</w:t>
      </w:r>
    </w:p>
    <w:p w14:paraId="783AB932" w14:textId="0B7CF46E" w:rsidR="00DE64CD" w:rsidRPr="008C574E" w:rsidRDefault="00DE64CD" w:rsidP="00DE64CD">
      <w:pPr>
        <w:pStyle w:val="IFTnormal"/>
        <w:numPr>
          <w:ilvl w:val="1"/>
          <w:numId w:val="21"/>
        </w:numPr>
        <w:rPr>
          <w:b/>
        </w:rPr>
      </w:pPr>
      <w:r>
        <w:rPr>
          <w:i/>
        </w:rPr>
        <w:t>P</w:t>
      </w:r>
      <w:r w:rsidRPr="008C574E">
        <w:rPr>
          <w:i/>
        </w:rPr>
        <w:t>la</w:t>
      </w:r>
      <w:r w:rsidR="00B65234">
        <w:rPr>
          <w:i/>
        </w:rPr>
        <w:t>nes o paquetes en los que Telmex y Telnor</w:t>
      </w:r>
      <w:r w:rsidRPr="008C574E">
        <w:rPr>
          <w:i/>
        </w:rPr>
        <w:t xml:space="preserve"> brinda</w:t>
      </w:r>
      <w:r w:rsidR="00B65234">
        <w:rPr>
          <w:i/>
        </w:rPr>
        <w:t>n</w:t>
      </w:r>
      <w:r w:rsidRPr="008C574E">
        <w:rPr>
          <w:i/>
        </w:rPr>
        <w:t>, de manera conjunto, servicio</w:t>
      </w:r>
      <w:r>
        <w:rPr>
          <w:i/>
        </w:rPr>
        <w:t>s de telefonía e I</w:t>
      </w:r>
      <w:r w:rsidRPr="008C574E">
        <w:rPr>
          <w:i/>
        </w:rPr>
        <w:t>nternet:</w:t>
      </w:r>
      <w:r>
        <w:t xml:space="preserve"> este paso se realiza conforme al procedimiento descrito en la sección </w:t>
      </w:r>
      <w:r>
        <w:fldChar w:fldCharType="begin"/>
      </w:r>
      <w:r>
        <w:instrText xml:space="preserve"> REF _Ref530071083 \r \h </w:instrText>
      </w:r>
      <w:r>
        <w:fldChar w:fldCharType="separate"/>
      </w:r>
      <w:r w:rsidR="007054BB">
        <w:t>1.3.1</w:t>
      </w:r>
      <w:r>
        <w:fldChar w:fldCharType="end"/>
      </w:r>
      <w:r>
        <w:t xml:space="preserve"> del presente documento.</w:t>
      </w:r>
    </w:p>
    <w:p w14:paraId="7FDFAC8B" w14:textId="02027B51" w:rsidR="00DE64CD" w:rsidRPr="00AF2A96" w:rsidRDefault="00DE64CD" w:rsidP="00DE64CD">
      <w:pPr>
        <w:pStyle w:val="IFTnormal"/>
        <w:numPr>
          <w:ilvl w:val="1"/>
          <w:numId w:val="21"/>
        </w:numPr>
        <w:rPr>
          <w:b/>
        </w:rPr>
      </w:pPr>
      <w:r>
        <w:rPr>
          <w:i/>
        </w:rPr>
        <w:t>P</w:t>
      </w:r>
      <w:r w:rsidRPr="008C574E">
        <w:rPr>
          <w:i/>
        </w:rPr>
        <w:t>la</w:t>
      </w:r>
      <w:r w:rsidR="00B65234">
        <w:rPr>
          <w:i/>
        </w:rPr>
        <w:t>nes o paquetes en los que Telmex y Telnor</w:t>
      </w:r>
      <w:r w:rsidRPr="008C574E">
        <w:rPr>
          <w:i/>
        </w:rPr>
        <w:t xml:space="preserve"> brinda</w:t>
      </w:r>
      <w:r w:rsidR="00B65234">
        <w:rPr>
          <w:i/>
        </w:rPr>
        <w:t>n</w:t>
      </w:r>
      <w:r>
        <w:rPr>
          <w:i/>
        </w:rPr>
        <w:t xml:space="preserve"> </w:t>
      </w:r>
      <w:r w:rsidRPr="008C574E">
        <w:rPr>
          <w:i/>
        </w:rPr>
        <w:t>servicio</w:t>
      </w:r>
      <w:r>
        <w:rPr>
          <w:i/>
        </w:rPr>
        <w:t>s</w:t>
      </w:r>
      <w:r w:rsidRPr="008C574E">
        <w:rPr>
          <w:i/>
        </w:rPr>
        <w:t xml:space="preserve"> de </w:t>
      </w:r>
      <w:r w:rsidR="00130901">
        <w:rPr>
          <w:i/>
        </w:rPr>
        <w:t>internet de manera individual (sin telefonía</w:t>
      </w:r>
      <w:r>
        <w:rPr>
          <w:i/>
        </w:rPr>
        <w:t>)</w:t>
      </w:r>
      <w:r w:rsidRPr="008C574E">
        <w:rPr>
          <w:i/>
        </w:rPr>
        <w:t>:</w:t>
      </w:r>
      <w:r>
        <w:rPr>
          <w:i/>
        </w:rPr>
        <w:t xml:space="preserve"> </w:t>
      </w:r>
      <w:r>
        <w:t xml:space="preserve">al precio implícito estimado en la sección </w:t>
      </w:r>
      <w:r>
        <w:fldChar w:fldCharType="begin"/>
      </w:r>
      <w:r>
        <w:instrText xml:space="preserve"> REF _Ref530071083 \r \h </w:instrText>
      </w:r>
      <w:r>
        <w:fldChar w:fldCharType="separate"/>
      </w:r>
      <w:r w:rsidR="007054BB">
        <w:t>1.3.1</w:t>
      </w:r>
      <w:r>
        <w:fldChar w:fldCharType="end"/>
      </w:r>
      <w:r>
        <w:t xml:space="preserve"> del presente documento para estos planes o paquetes, se descuenta el valor que representa al medio de transmisión en el componente de voz, según el medio de transmisión</w:t>
      </w:r>
      <w:r w:rsidR="00130901">
        <w:t xml:space="preserve"> (cobre o fibra)</w:t>
      </w:r>
      <w:r>
        <w:t>.</w:t>
      </w:r>
    </w:p>
    <w:p w14:paraId="42EB5A97" w14:textId="185DEDF3" w:rsidR="00DE64CD" w:rsidRDefault="00DE64CD" w:rsidP="00DE64CD">
      <w:pPr>
        <w:pStyle w:val="IFTnormal"/>
        <w:numPr>
          <w:ilvl w:val="0"/>
          <w:numId w:val="21"/>
        </w:numPr>
        <w:rPr>
          <w:b/>
        </w:rPr>
      </w:pPr>
      <w:r>
        <w:rPr>
          <w:b/>
        </w:rPr>
        <w:t>Precio implícito promedio ponderado de cada Mbps dentro de l</w:t>
      </w:r>
      <w:r w:rsidR="00B65234">
        <w:rPr>
          <w:b/>
        </w:rPr>
        <w:t>os perfiles de velocidad de Telmex y Telnor</w:t>
      </w:r>
      <w:r>
        <w:rPr>
          <w:b/>
        </w:rPr>
        <w:t xml:space="preserve">. – </w:t>
      </w:r>
      <w:r w:rsidRPr="00812812">
        <w:t>E</w:t>
      </w:r>
      <w:r>
        <w:t>sta etapa se realiza como sigue:</w:t>
      </w:r>
    </w:p>
    <w:p w14:paraId="59FF23B4" w14:textId="4E88F92E" w:rsidR="00DE64CD" w:rsidRPr="00F609FE" w:rsidRDefault="00DE64CD" w:rsidP="00DE64CD">
      <w:pPr>
        <w:pStyle w:val="IFTnormal"/>
        <w:numPr>
          <w:ilvl w:val="1"/>
          <w:numId w:val="21"/>
        </w:numPr>
        <w:rPr>
          <w:b/>
        </w:rPr>
      </w:pPr>
      <w:r w:rsidRPr="00107013">
        <w:rPr>
          <w:i/>
        </w:rPr>
        <w:t>Agrupación de precios implícitos por perfil:</w:t>
      </w:r>
      <w:r>
        <w:t xml:space="preserve"> Los datos anteriores se agrupan conforme al perfil de velocidad (en Mbps), y se ponderan empleado la distribución de usuarios que corre</w:t>
      </w:r>
      <w:r w:rsidR="005A5A5E">
        <w:t>sponde al plan o paquete de Telmex y  Telnor</w:t>
      </w:r>
      <w:r>
        <w:t xml:space="preserve"> asociado.</w:t>
      </w:r>
    </w:p>
    <w:p w14:paraId="2C0989DB" w14:textId="77777777" w:rsidR="00DE64CD" w:rsidRPr="002E4D06" w:rsidRDefault="00DE64CD" w:rsidP="00DE64CD">
      <w:pPr>
        <w:pStyle w:val="IFTnormal"/>
        <w:numPr>
          <w:ilvl w:val="1"/>
          <w:numId w:val="21"/>
        </w:numPr>
        <w:rPr>
          <w:b/>
        </w:rPr>
      </w:pPr>
      <w:r w:rsidRPr="002E4D06">
        <w:rPr>
          <w:i/>
        </w:rPr>
        <w:t>Precio implícito por Mbps</w:t>
      </w:r>
      <w:r>
        <w:t xml:space="preserve">, </w:t>
      </w:r>
      <w:r>
        <w:rPr>
          <w:i/>
        </w:rPr>
        <w:t>dentro de un</w:t>
      </w:r>
      <w:r w:rsidRPr="002E4D06">
        <w:rPr>
          <w:i/>
        </w:rPr>
        <w:t xml:space="preserve"> perfil de velocidad</w:t>
      </w:r>
      <w:r>
        <w:t xml:space="preserve">: Los datos anteriores se dividen entre la cantidad de Mbps que se ofrece a través del perfil de velocidad correspondiente, para obtener una aproximación del precio implícito que cada Mbps representaría dentro de cada perfil. </w:t>
      </w:r>
    </w:p>
    <w:p w14:paraId="04FA6BC2" w14:textId="67F2B7C7" w:rsidR="00DE64CD" w:rsidRDefault="00DE64CD" w:rsidP="00DE64CD">
      <w:pPr>
        <w:pStyle w:val="IFTnormal"/>
        <w:ind w:left="1440"/>
      </w:pPr>
      <w:r>
        <w:t>En complemento</w:t>
      </w:r>
      <w:r w:rsidR="00847571">
        <w:t>,</w:t>
      </w:r>
      <w:r>
        <w:t xml:space="preserve"> tales valores se </w:t>
      </w:r>
      <w:r w:rsidR="005A5A5E">
        <w:t>registran para la estimación de tendencia con los valores previos del Modelo correspondientes</w:t>
      </w:r>
      <w:r>
        <w:t xml:space="preserve">. </w:t>
      </w:r>
    </w:p>
    <w:p w14:paraId="160492BF" w14:textId="6ECFF255" w:rsidR="00DE64CD" w:rsidRDefault="00DE64CD" w:rsidP="00DE64CD">
      <w:pPr>
        <w:pStyle w:val="IFTnormal"/>
        <w:ind w:left="1440"/>
      </w:pPr>
      <w:r>
        <w:t>Dicha consideración tiene el propósito de reflejar la tendencia del precio implícito de la velocidad de los servicios de internet, considerando el conjunto completo de perfiles que este provee a sus usuarios, así como asegurar la consistencia con la información hi</w:t>
      </w:r>
      <w:r w:rsidR="005A5A5E">
        <w:t>stórica proporcionada por Telmex y Telnor</w:t>
      </w:r>
      <w:r>
        <w:t>, así como contar con una herramienta estadística que permita considerar perfiles introducidos a futuro.</w:t>
      </w:r>
    </w:p>
    <w:p w14:paraId="487E75BD" w14:textId="77777777" w:rsidR="00DE64CD" w:rsidRDefault="00DE64CD" w:rsidP="00DE64CD">
      <w:pPr>
        <w:pStyle w:val="IFTnormal"/>
        <w:jc w:val="center"/>
      </w:pPr>
      <w:r>
        <w:rPr>
          <w:noProof/>
          <w:lang w:val="es-MX" w:eastAsia="es-MX"/>
        </w:rPr>
        <w:drawing>
          <wp:inline distT="0" distB="0" distL="0" distR="0" wp14:anchorId="6510021F" wp14:editId="322E3C40">
            <wp:extent cx="5880348" cy="2845932"/>
            <wp:effectExtent l="0" t="0" r="635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92431" cy="2851780"/>
                    </a:xfrm>
                    <a:prstGeom prst="rect">
                      <a:avLst/>
                    </a:prstGeom>
                    <a:noFill/>
                  </pic:spPr>
                </pic:pic>
              </a:graphicData>
            </a:graphic>
          </wp:inline>
        </w:drawing>
      </w:r>
    </w:p>
    <w:p w14:paraId="3677B106" w14:textId="3E24DF50" w:rsidR="00DE64CD" w:rsidRDefault="00CE2ECB" w:rsidP="00DE64CD">
      <w:pPr>
        <w:pStyle w:val="IFTnormal"/>
        <w:ind w:right="48"/>
      </w:pPr>
      <w:r>
        <w:rPr>
          <w:b/>
          <w:color w:val="000000" w:themeColor="text1"/>
          <w:sz w:val="18"/>
          <w:szCs w:val="18"/>
        </w:rPr>
        <w:t>Figura 9</w:t>
      </w:r>
      <w:r w:rsidR="00DE64CD" w:rsidRPr="005F6455">
        <w:rPr>
          <w:b/>
          <w:color w:val="000000" w:themeColor="text1"/>
          <w:sz w:val="18"/>
          <w:szCs w:val="18"/>
        </w:rPr>
        <w:t>:</w:t>
      </w:r>
      <w:r w:rsidR="00DE64CD" w:rsidRPr="005F6455">
        <w:rPr>
          <w:color w:val="000000" w:themeColor="text1"/>
          <w:sz w:val="18"/>
          <w:szCs w:val="18"/>
        </w:rPr>
        <w:t xml:space="preserve"> Esquema </w:t>
      </w:r>
      <w:r w:rsidR="00DE64CD">
        <w:rPr>
          <w:color w:val="000000" w:themeColor="text1"/>
          <w:sz w:val="18"/>
          <w:szCs w:val="18"/>
        </w:rPr>
        <w:t xml:space="preserve">de las etapas </w:t>
      </w:r>
      <w:r w:rsidR="00DE64CD" w:rsidRPr="00374C62">
        <w:rPr>
          <w:b/>
          <w:color w:val="000000" w:themeColor="text1"/>
          <w:sz w:val="18"/>
          <w:szCs w:val="18"/>
        </w:rPr>
        <w:t>I</w:t>
      </w:r>
      <w:r w:rsidR="00DE64CD">
        <w:rPr>
          <w:color w:val="000000" w:themeColor="text1"/>
          <w:sz w:val="18"/>
          <w:szCs w:val="18"/>
        </w:rPr>
        <w:t xml:space="preserve"> y </w:t>
      </w:r>
      <w:r w:rsidR="00DE64CD" w:rsidRPr="00374C62">
        <w:rPr>
          <w:b/>
          <w:color w:val="000000" w:themeColor="text1"/>
          <w:sz w:val="18"/>
          <w:szCs w:val="18"/>
        </w:rPr>
        <w:t>II</w:t>
      </w:r>
      <w:r w:rsidR="00DE64CD">
        <w:rPr>
          <w:color w:val="000000" w:themeColor="text1"/>
          <w:sz w:val="18"/>
          <w:szCs w:val="18"/>
        </w:rPr>
        <w:t xml:space="preserve"> de la metodología empleada en el modelo para establecer el precio de referencia del SAIB, conforme a los precios implícitos de los planes y paquetes mediante los que ofrece servicios de Internet (</w:t>
      </w:r>
      <w:r w:rsidR="00DE64CD" w:rsidRPr="00F533C6">
        <w:rPr>
          <w:b/>
          <w:color w:val="000000" w:themeColor="text1"/>
          <w:sz w:val="18"/>
          <w:szCs w:val="18"/>
        </w:rPr>
        <w:t>Fuente:</w:t>
      </w:r>
      <w:r w:rsidR="00DE64CD">
        <w:rPr>
          <w:color w:val="000000" w:themeColor="text1"/>
          <w:sz w:val="18"/>
          <w:szCs w:val="18"/>
        </w:rPr>
        <w:t xml:space="preserve"> IFT).</w:t>
      </w:r>
    </w:p>
    <w:p w14:paraId="28CEF318" w14:textId="04111EBC" w:rsidR="00DE64CD" w:rsidRPr="00051DF3" w:rsidRDefault="00DE64CD" w:rsidP="00DE64CD">
      <w:pPr>
        <w:pStyle w:val="IFTnormal"/>
        <w:numPr>
          <w:ilvl w:val="0"/>
          <w:numId w:val="21"/>
        </w:numPr>
        <w:rPr>
          <w:b/>
        </w:rPr>
      </w:pPr>
      <w:r>
        <w:rPr>
          <w:b/>
        </w:rPr>
        <w:t>Precio implícito promedio de l</w:t>
      </w:r>
      <w:r w:rsidR="005A5A5E">
        <w:rPr>
          <w:b/>
        </w:rPr>
        <w:t>os perfiles de velocidad de Telmex y Telnor</w:t>
      </w:r>
      <w:r>
        <w:rPr>
          <w:b/>
        </w:rPr>
        <w:t xml:space="preserve">. – </w:t>
      </w:r>
      <w:r>
        <w:t>Dicha etapa se realiza como sigue:</w:t>
      </w:r>
    </w:p>
    <w:p w14:paraId="2650B73D" w14:textId="6E655F41" w:rsidR="00DE64CD" w:rsidRPr="002E4D06" w:rsidRDefault="00DE64CD" w:rsidP="00DE64CD">
      <w:pPr>
        <w:pStyle w:val="IFTnormal"/>
        <w:numPr>
          <w:ilvl w:val="1"/>
          <w:numId w:val="21"/>
        </w:numPr>
        <w:rPr>
          <w:b/>
        </w:rPr>
      </w:pPr>
      <w:r>
        <w:rPr>
          <w:i/>
        </w:rPr>
        <w:t>Curva de proyección del precio promedio ponderado del p</w:t>
      </w:r>
      <w:r w:rsidRPr="002E4D06">
        <w:rPr>
          <w:i/>
        </w:rPr>
        <w:t xml:space="preserve">recio implícito </w:t>
      </w:r>
      <w:r>
        <w:rPr>
          <w:i/>
        </w:rPr>
        <w:t>de cada</w:t>
      </w:r>
      <w:r w:rsidRPr="002E4D06">
        <w:rPr>
          <w:i/>
        </w:rPr>
        <w:t xml:space="preserve"> perfil de velocidad</w:t>
      </w:r>
      <w:r>
        <w:t xml:space="preserve">: Los valores obtenidos en </w:t>
      </w:r>
      <w:r w:rsidRPr="001A6FBA">
        <w:rPr>
          <w:b/>
        </w:rPr>
        <w:t>II.</w:t>
      </w:r>
      <w:r>
        <w:rPr>
          <w:b/>
        </w:rPr>
        <w:t xml:space="preserve"> b.,</w:t>
      </w:r>
      <w:r>
        <w:t xml:space="preserve"> se ajustan mediante una función potencial</w:t>
      </w:r>
      <w:r>
        <w:rPr>
          <w:rStyle w:val="Refdenotaalpie"/>
        </w:rPr>
        <w:footnoteReference w:id="22"/>
      </w:r>
      <w:r>
        <w:t>, cuyo resultado es una curva que modela, a nivel promedio, el precio implícito por c</w:t>
      </w:r>
      <w:r w:rsidR="00B838B7">
        <w:t>ada Mbps de los perfiles de Telmex y Telnor</w:t>
      </w:r>
      <w:r>
        <w:t>, la cual se extrapola multiplicándolo por la cantidad de Mbps correspondientes.</w:t>
      </w:r>
    </w:p>
    <w:p w14:paraId="019258A2" w14:textId="22E2D2FE" w:rsidR="00DE64CD" w:rsidRPr="00051DF3" w:rsidRDefault="00DE64CD" w:rsidP="00DE64CD">
      <w:pPr>
        <w:pStyle w:val="IFTnormal"/>
        <w:numPr>
          <w:ilvl w:val="1"/>
          <w:numId w:val="21"/>
        </w:numPr>
        <w:rPr>
          <w:b/>
        </w:rPr>
      </w:pPr>
      <w:r>
        <w:t>El precio de referencia del SAIB</w:t>
      </w:r>
      <w:r w:rsidR="00A14005">
        <w:t xml:space="preserve"> asimétrico</w:t>
      </w:r>
      <w:r>
        <w:t xml:space="preserve">, para cada perfil de velocidad de Internet que se ofrece </w:t>
      </w:r>
      <w:r w:rsidR="005A5A5E">
        <w:t>en los planes y paquetes de Telmex y Telnor</w:t>
      </w:r>
      <w:r>
        <w:t xml:space="preserve">, se determina como los valores obtenidos en </w:t>
      </w:r>
      <w:r w:rsidRPr="00EC7250">
        <w:rPr>
          <w:b/>
        </w:rPr>
        <w:t xml:space="preserve">III. </w:t>
      </w:r>
      <w:r>
        <w:rPr>
          <w:b/>
        </w:rPr>
        <w:t>a</w:t>
      </w:r>
      <w:r>
        <w:t>.</w:t>
      </w:r>
    </w:p>
    <w:p w14:paraId="665EFE8A" w14:textId="77777777" w:rsidR="00DE64CD" w:rsidRDefault="00E729AD" w:rsidP="00DE64CD">
      <w:pPr>
        <w:pStyle w:val="IFTnormal"/>
        <w:ind w:right="615"/>
        <w:rPr>
          <w:color w:val="000000" w:themeColor="text1"/>
          <w:sz w:val="18"/>
          <w:szCs w:val="18"/>
        </w:rPr>
      </w:pPr>
      <w:r>
        <w:rPr>
          <w:noProof/>
          <w:color w:val="000000" w:themeColor="text1"/>
          <w:sz w:val="18"/>
          <w:szCs w:val="18"/>
          <w:lang w:val="es-MX" w:eastAsia="es-MX"/>
        </w:rPr>
        <mc:AlternateContent>
          <mc:Choice Requires="wps">
            <w:drawing>
              <wp:anchor distT="0" distB="0" distL="114300" distR="114300" simplePos="0" relativeHeight="251658246" behindDoc="0" locked="0" layoutInCell="1" allowOverlap="1" wp14:anchorId="39C2BC06" wp14:editId="2E30B410">
                <wp:simplePos x="0" y="0"/>
                <wp:positionH relativeFrom="column">
                  <wp:posOffset>5146242</wp:posOffset>
                </wp:positionH>
                <wp:positionV relativeFrom="paragraph">
                  <wp:posOffset>103131</wp:posOffset>
                </wp:positionV>
                <wp:extent cx="591710" cy="206136"/>
                <wp:effectExtent l="0" t="0" r="0" b="3810"/>
                <wp:wrapNone/>
                <wp:docPr id="17" name="Cuadro de texto 17"/>
                <wp:cNvGraphicFramePr/>
                <a:graphic xmlns:a="http://schemas.openxmlformats.org/drawingml/2006/main">
                  <a:graphicData uri="http://schemas.microsoft.com/office/word/2010/wordprocessingShape">
                    <wps:wsp>
                      <wps:cNvSpPr txBox="1"/>
                      <wps:spPr>
                        <a:xfrm>
                          <a:off x="0" y="0"/>
                          <a:ext cx="591710" cy="206136"/>
                        </a:xfrm>
                        <a:prstGeom prst="rect">
                          <a:avLst/>
                        </a:prstGeom>
                        <a:noFill/>
                        <a:ln w="6350">
                          <a:noFill/>
                        </a:ln>
                      </wps:spPr>
                      <wps:txbx>
                        <w:txbxContent>
                          <w:p w14:paraId="766AF98A" w14:textId="5301DDB7" w:rsidR="00012570" w:rsidRPr="00E729AD" w:rsidRDefault="00012570">
                            <w:pPr>
                              <w:rPr>
                                <w:rFonts w:ascii="ITC Avant Garde" w:hAnsi="ITC Avant Garde" w:cs="Arial"/>
                                <w:color w:val="FFFFFF" w:themeColor="background1"/>
                                <w:sz w:val="2"/>
                                <w14:textOutline w14:w="9525" w14:cap="rnd" w14:cmpd="sng" w14:algn="ctr">
                                  <w14:solidFill>
                                    <w14:schemeClr w14:val="bg1"/>
                                  </w14:solidFill>
                                  <w14:prstDash w14:val="solid"/>
                                  <w14:bevel/>
                                </w14:textOutline>
                              </w:rPr>
                            </w:pPr>
                            <w:r w:rsidRPr="00E729AD">
                              <w:rPr>
                                <w:rFonts w:ascii="ITC Avant Garde" w:hAnsi="ITC Avant Garde" w:cs="Arial"/>
                                <w:color w:val="FFFFFF" w:themeColor="background1"/>
                                <w:sz w:val="12"/>
                              </w:rPr>
                              <w:t>anterio</w:t>
                            </w:r>
                            <w:r>
                              <w:rPr>
                                <w:rFonts w:ascii="ITC Avant Garde" w:hAnsi="ITC Avant Garde" w:cs="Arial"/>
                                <w:color w:val="FFFFFF" w:themeColor="background1"/>
                                <w:sz w:val="1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2BC06" id="Cuadro de texto 17" o:spid="_x0000_s1035" type="#_x0000_t202" style="position:absolute;left:0;text-align:left;margin-left:405.2pt;margin-top:8.1pt;width:46.6pt;height:16.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" filled="f" stroked="f" strokeweight=".5pt">
                <v:textbox>
                  <w:txbxContent>
                    <w:p w14:paraId="766AF98A" w14:textId="5301DDB7" w:rsidR="00012570" w:rsidRPr="00E729AD" w:rsidRDefault="00012570">
                      <w:pPr>
                        <w:rPr>
                          <w:rFonts w:ascii="ITC Avant Garde" w:hAnsi="ITC Avant Garde" w:cs="Arial"/>
                          <w:color w:val="FFFFFF" w:themeColor="background1"/>
                          <w:sz w:val="2"/>
                          <w14:textOutline w14:w="9525" w14:cap="rnd" w14:cmpd="sng" w14:algn="ctr">
                            <w14:solidFill>
                              <w14:schemeClr w14:val="bg1"/>
                            </w14:solidFill>
                            <w14:prstDash w14:val="solid"/>
                            <w14:bevel/>
                          </w14:textOutline>
                        </w:rPr>
                      </w:pPr>
                      <w:r w:rsidRPr="00E729AD">
                        <w:rPr>
                          <w:rFonts w:ascii="ITC Avant Garde" w:hAnsi="ITC Avant Garde" w:cs="Arial"/>
                          <w:color w:val="FFFFFF" w:themeColor="background1"/>
                          <w:sz w:val="12"/>
                        </w:rPr>
                        <w:t>anterio</w:t>
                      </w:r>
                      <w:r>
                        <w:rPr>
                          <w:rFonts w:ascii="ITC Avant Garde" w:hAnsi="ITC Avant Garde" w:cs="Arial"/>
                          <w:color w:val="FFFFFF" w:themeColor="background1"/>
                          <w:sz w:val="12"/>
                        </w:rPr>
                        <w:t>r</w:t>
                      </w:r>
                    </w:p>
                  </w:txbxContent>
                </v:textbox>
              </v:shape>
            </w:pict>
          </mc:Fallback>
        </mc:AlternateContent>
      </w:r>
      <w:r>
        <w:rPr>
          <w:noProof/>
          <w:color w:val="000000" w:themeColor="text1"/>
          <w:sz w:val="18"/>
          <w:szCs w:val="18"/>
          <w:lang w:val="es-MX" w:eastAsia="es-MX"/>
        </w:rPr>
        <mc:AlternateContent>
          <mc:Choice Requires="wps">
            <w:drawing>
              <wp:anchor distT="0" distB="0" distL="114300" distR="114300" simplePos="0" relativeHeight="251658245" behindDoc="0" locked="0" layoutInCell="1" allowOverlap="1" wp14:anchorId="25F67B73" wp14:editId="1E109E34">
                <wp:simplePos x="0" y="0"/>
                <wp:positionH relativeFrom="column">
                  <wp:posOffset>5241382</wp:posOffset>
                </wp:positionH>
                <wp:positionV relativeFrom="paragraph">
                  <wp:posOffset>150701</wp:posOffset>
                </wp:positionV>
                <wp:extent cx="496841" cy="116282"/>
                <wp:effectExtent l="0" t="0" r="0" b="0"/>
                <wp:wrapNone/>
                <wp:docPr id="16" name="Rectángulo 16"/>
                <wp:cNvGraphicFramePr/>
                <a:graphic xmlns:a="http://schemas.openxmlformats.org/drawingml/2006/main">
                  <a:graphicData uri="http://schemas.microsoft.com/office/word/2010/wordprocessingShape">
                    <wps:wsp>
                      <wps:cNvSpPr/>
                      <wps:spPr>
                        <a:xfrm>
                          <a:off x="0" y="0"/>
                          <a:ext cx="496841" cy="116282"/>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6EE22A" id="Rectángulo 16" o:spid="_x0000_s1026" style="position:absolute;margin-left:412.7pt;margin-top:11.85pt;width:39.1pt;height:9.1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" fillcolor="#7f7f7f [1612]" stroked="f" strokeweight="1pt"/>
            </w:pict>
          </mc:Fallback>
        </mc:AlternateContent>
      </w:r>
      <w:r w:rsidR="00DE64CD">
        <w:rPr>
          <w:noProof/>
          <w:color w:val="000000" w:themeColor="text1"/>
          <w:sz w:val="18"/>
          <w:szCs w:val="18"/>
          <w:lang w:val="es-MX" w:eastAsia="es-MX"/>
        </w:rPr>
        <w:drawing>
          <wp:inline distT="0" distB="0" distL="0" distR="0" wp14:anchorId="32CA26B0" wp14:editId="103AF3B3">
            <wp:extent cx="6096497" cy="2010583"/>
            <wp:effectExtent l="0" t="0" r="0" b="889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40962" cy="2025247"/>
                    </a:xfrm>
                    <a:prstGeom prst="rect">
                      <a:avLst/>
                    </a:prstGeom>
                    <a:noFill/>
                  </pic:spPr>
                </pic:pic>
              </a:graphicData>
            </a:graphic>
          </wp:inline>
        </w:drawing>
      </w:r>
    </w:p>
    <w:p w14:paraId="6557DD1B" w14:textId="267D99F6" w:rsidR="00DE64CD" w:rsidRDefault="00DE64CD" w:rsidP="00DE64CD">
      <w:pPr>
        <w:pStyle w:val="IFTnormal"/>
        <w:ind w:right="48"/>
      </w:pPr>
      <w:r>
        <w:rPr>
          <w:b/>
          <w:color w:val="000000" w:themeColor="text1"/>
          <w:sz w:val="18"/>
          <w:szCs w:val="18"/>
        </w:rPr>
        <w:t xml:space="preserve">Figura </w:t>
      </w:r>
      <w:r w:rsidR="00CE2ECB">
        <w:rPr>
          <w:b/>
          <w:color w:val="000000" w:themeColor="text1"/>
          <w:sz w:val="18"/>
          <w:szCs w:val="18"/>
        </w:rPr>
        <w:t>10</w:t>
      </w:r>
      <w:r w:rsidRPr="005F6455">
        <w:rPr>
          <w:b/>
          <w:color w:val="000000" w:themeColor="text1"/>
          <w:sz w:val="18"/>
          <w:szCs w:val="18"/>
        </w:rPr>
        <w:t>:</w:t>
      </w:r>
      <w:r w:rsidRPr="005F6455">
        <w:rPr>
          <w:color w:val="000000" w:themeColor="text1"/>
          <w:sz w:val="18"/>
          <w:szCs w:val="18"/>
        </w:rPr>
        <w:t xml:space="preserve"> Esquema </w:t>
      </w:r>
      <w:r>
        <w:rPr>
          <w:color w:val="000000" w:themeColor="text1"/>
          <w:sz w:val="18"/>
          <w:szCs w:val="18"/>
        </w:rPr>
        <w:t xml:space="preserve">de la etapa </w:t>
      </w:r>
      <w:r>
        <w:rPr>
          <w:b/>
          <w:color w:val="000000" w:themeColor="text1"/>
          <w:sz w:val="18"/>
          <w:szCs w:val="18"/>
        </w:rPr>
        <w:t xml:space="preserve">III </w:t>
      </w:r>
      <w:r>
        <w:rPr>
          <w:color w:val="000000" w:themeColor="text1"/>
          <w:sz w:val="18"/>
          <w:szCs w:val="18"/>
        </w:rPr>
        <w:t>de la metodología seguida en el modelo para establecer el precio de referencia del SAIB, conforme a los precios implícitos de los planes y paquetes mediante los que ofrece servicios de Internet (</w:t>
      </w:r>
      <w:r w:rsidRPr="00F533C6">
        <w:rPr>
          <w:b/>
          <w:color w:val="000000" w:themeColor="text1"/>
          <w:sz w:val="18"/>
          <w:szCs w:val="18"/>
        </w:rPr>
        <w:t>Fuente:</w:t>
      </w:r>
      <w:r>
        <w:rPr>
          <w:color w:val="000000" w:themeColor="text1"/>
          <w:sz w:val="18"/>
          <w:szCs w:val="18"/>
        </w:rPr>
        <w:t xml:space="preserve"> IFT).</w:t>
      </w:r>
    </w:p>
    <w:p w14:paraId="37E63069" w14:textId="5FFE50AC" w:rsidR="004731F3" w:rsidRDefault="00777A6C" w:rsidP="004731F3">
      <w:pPr>
        <w:pStyle w:val="PuntosC4"/>
        <w:numPr>
          <w:ilvl w:val="3"/>
          <w:numId w:val="40"/>
        </w:numPr>
        <w:ind w:left="993" w:hanging="993"/>
        <w:outlineLvl w:val="2"/>
      </w:pPr>
      <w:bookmarkStart w:id="48" w:name="_Ref51595918"/>
      <w:bookmarkStart w:id="49" w:name="_Toc51700015"/>
      <w:bookmarkStart w:id="50" w:name="_Toc52188504"/>
      <w:r>
        <w:t>Pr</w:t>
      </w:r>
      <w:r w:rsidR="00260818">
        <w:t>ecio de referencia asociado al SAIB simétrico</w:t>
      </w:r>
      <w:bookmarkEnd w:id="48"/>
      <w:bookmarkEnd w:id="49"/>
      <w:bookmarkEnd w:id="50"/>
    </w:p>
    <w:p w14:paraId="3A69C23B" w14:textId="26565FE1" w:rsidR="004731F3" w:rsidRDefault="004731F3" w:rsidP="004731F3">
      <w:pPr>
        <w:pStyle w:val="PuntosC4"/>
        <w:ind w:left="0" w:firstLine="0"/>
        <w:outlineLvl w:val="2"/>
      </w:pPr>
      <w:bookmarkStart w:id="51" w:name="_Toc52188505"/>
      <w:r>
        <w:rPr>
          <w:b w:val="0"/>
        </w:rPr>
        <w:t>Para establecer el precio de referencia asociado al SAIB simétrico se proceden a las siguientes etapas:</w:t>
      </w:r>
      <w:bookmarkEnd w:id="51"/>
      <w:r>
        <w:rPr>
          <w:b w:val="0"/>
        </w:rPr>
        <w:t xml:space="preserve"> </w:t>
      </w:r>
    </w:p>
    <w:p w14:paraId="0C498557" w14:textId="2162F0A1" w:rsidR="00777A6C" w:rsidRDefault="00777A6C" w:rsidP="005D063D">
      <w:pPr>
        <w:pStyle w:val="IFTnormal"/>
        <w:numPr>
          <w:ilvl w:val="0"/>
          <w:numId w:val="48"/>
        </w:numPr>
      </w:pPr>
      <w:r>
        <w:rPr>
          <w:lang w:val="es-MX"/>
        </w:rPr>
        <w:t>Se calcula</w:t>
      </w:r>
      <w:r w:rsidR="00A14005">
        <w:rPr>
          <w:lang w:val="es-MX"/>
        </w:rPr>
        <w:t xml:space="preserve"> el sobrecosto en porcentaje que representa ascender a la opción de simetría respecto al preció implícito de Internet </w:t>
      </w:r>
      <w:r w:rsidR="00A14005">
        <w:t xml:space="preserve">estimado en la sección </w:t>
      </w:r>
      <w:r w:rsidR="00A14005">
        <w:fldChar w:fldCharType="begin"/>
      </w:r>
      <w:r w:rsidR="00A14005">
        <w:instrText xml:space="preserve"> REF _Ref530071083 \r \h </w:instrText>
      </w:r>
      <w:r w:rsidR="00A14005">
        <w:fldChar w:fldCharType="separate"/>
      </w:r>
      <w:r w:rsidR="005D063D">
        <w:t>1.3.1</w:t>
      </w:r>
      <w:r w:rsidR="00A14005">
        <w:fldChar w:fldCharType="end"/>
      </w:r>
      <w:r w:rsidR="00A14005">
        <w:t xml:space="preserve"> del presente documento para los planes o paquetes </w:t>
      </w:r>
      <w:r w:rsidR="00B452B0">
        <w:t xml:space="preserve">a los cuales es aplicable </w:t>
      </w:r>
      <w:r w:rsidR="00A14005">
        <w:t xml:space="preserve">el ascenso a la opción de simetría. </w:t>
      </w:r>
    </w:p>
    <w:p w14:paraId="08C7F163" w14:textId="22DE333A" w:rsidR="00A14005" w:rsidRPr="005D063D" w:rsidRDefault="00B452B0" w:rsidP="005D063D">
      <w:pPr>
        <w:pStyle w:val="IFTnormal"/>
        <w:numPr>
          <w:ilvl w:val="0"/>
          <w:numId w:val="48"/>
        </w:numPr>
      </w:pPr>
      <w:r>
        <w:t xml:space="preserve">Se aplica este porcentaje sobre el </w:t>
      </w:r>
      <w:r w:rsidR="00A14005">
        <w:t xml:space="preserve">precio de referencia del SAIB </w:t>
      </w:r>
      <w:r w:rsidR="00BE495B">
        <w:t>a</w:t>
      </w:r>
      <w:r w:rsidR="00A14005">
        <w:t>simétrico</w:t>
      </w:r>
      <w:r w:rsidR="00CF1280">
        <w:t xml:space="preserve"> tal como estimado en la secci</w:t>
      </w:r>
      <w:r w:rsidR="00260818">
        <w:t xml:space="preserve">ón </w:t>
      </w:r>
      <w:r w:rsidR="00260818">
        <w:fldChar w:fldCharType="begin"/>
      </w:r>
      <w:r w:rsidR="00260818">
        <w:instrText xml:space="preserve"> REF _Ref51585426 \r \h </w:instrText>
      </w:r>
      <w:r w:rsidR="00260818">
        <w:fldChar w:fldCharType="separate"/>
      </w:r>
      <w:r w:rsidR="00260818">
        <w:t>1.3.2.5</w:t>
      </w:r>
      <w:r w:rsidR="00260818">
        <w:fldChar w:fldCharType="end"/>
      </w:r>
      <w:r w:rsidR="00260818">
        <w:t xml:space="preserve"> </w:t>
      </w:r>
      <w:r w:rsidR="00CF1280">
        <w:t>III.a</w:t>
      </w:r>
      <w:r w:rsidR="00A14005">
        <w:t xml:space="preserve">, para cada perfil de velocidad de Internet que se ofrece </w:t>
      </w:r>
      <w:r>
        <w:t>a velocidad simétric</w:t>
      </w:r>
      <w:r w:rsidR="00CF1280">
        <w:t>a.</w:t>
      </w:r>
      <w:r w:rsidR="00A14005">
        <w:t xml:space="preserve"> </w:t>
      </w:r>
    </w:p>
    <w:p w14:paraId="5C565BB1" w14:textId="77777777" w:rsidR="00DE64CD" w:rsidRPr="00246BE2" w:rsidRDefault="00DE64CD" w:rsidP="00DE64CD">
      <w:pPr>
        <w:pStyle w:val="PuntosC4"/>
        <w:numPr>
          <w:ilvl w:val="1"/>
          <w:numId w:val="40"/>
        </w:numPr>
        <w:ind w:left="567" w:hanging="567"/>
        <w:outlineLvl w:val="1"/>
      </w:pPr>
      <w:bookmarkStart w:id="52" w:name="_Toc51700016"/>
      <w:bookmarkStart w:id="53" w:name="_Toc52188506"/>
      <w:r>
        <w:t>Metodología para definir los costos evitados de los servicios de desagregación</w:t>
      </w:r>
      <w:bookmarkEnd w:id="52"/>
      <w:bookmarkEnd w:id="53"/>
    </w:p>
    <w:p w14:paraId="7808858A" w14:textId="77777777" w:rsidR="00DE64CD" w:rsidRDefault="00DE64CD" w:rsidP="00DE64CD">
      <w:pPr>
        <w:pStyle w:val="PuntosC4"/>
        <w:numPr>
          <w:ilvl w:val="2"/>
          <w:numId w:val="40"/>
        </w:numPr>
        <w:ind w:left="709" w:hanging="709"/>
        <w:outlineLvl w:val="2"/>
      </w:pPr>
      <w:r>
        <w:t xml:space="preserve"> </w:t>
      </w:r>
      <w:bookmarkStart w:id="54" w:name="_Toc51700017"/>
      <w:bookmarkStart w:id="55" w:name="_Toc52188507"/>
      <w:r>
        <w:t>Definición de conceptos de costos evitados del Servicios de Reventa y SAIB</w:t>
      </w:r>
      <w:bookmarkEnd w:id="54"/>
      <w:bookmarkEnd w:id="55"/>
    </w:p>
    <w:p w14:paraId="79F80314" w14:textId="77777777" w:rsidR="00DE64CD" w:rsidRPr="00F561CA" w:rsidRDefault="00DE64CD" w:rsidP="00DE64CD">
      <w:pPr>
        <w:pStyle w:val="IFTnormal"/>
      </w:pPr>
      <w:r w:rsidRPr="00F561CA">
        <w:t xml:space="preserve">Para el desarrollo del </w:t>
      </w:r>
      <w:r>
        <w:t>Modelo de Costos</w:t>
      </w:r>
      <w:r w:rsidRPr="00F561CA">
        <w:t xml:space="preserve"> se </w:t>
      </w:r>
      <w:r>
        <w:t>consideran</w:t>
      </w:r>
      <w:r w:rsidRPr="00F561CA">
        <w:t xml:space="preserve"> las siguientes categorías </w:t>
      </w:r>
      <w:r>
        <w:t xml:space="preserve">de </w:t>
      </w:r>
      <w:r w:rsidRPr="00F561CA">
        <w:t>costos evi</w:t>
      </w:r>
      <w:r>
        <w:t>tados de servicios de desagregación:</w:t>
      </w:r>
    </w:p>
    <w:p w14:paraId="3A9B1186" w14:textId="77777777" w:rsidR="00DE64CD" w:rsidRPr="002007A0" w:rsidRDefault="00DE64CD" w:rsidP="00DE64CD">
      <w:pPr>
        <w:pStyle w:val="IFTnormal"/>
        <w:numPr>
          <w:ilvl w:val="0"/>
          <w:numId w:val="13"/>
        </w:numPr>
        <w:rPr>
          <w:b/>
        </w:rPr>
      </w:pPr>
      <w:r>
        <w:rPr>
          <w:b/>
        </w:rPr>
        <w:t xml:space="preserve">Facturación: </w:t>
      </w:r>
      <w:r w:rsidRPr="002007A0">
        <w:t>incluyendo el sistema de facturación a usuarios finales minoristas),</w:t>
      </w:r>
    </w:p>
    <w:p w14:paraId="69FC13E0" w14:textId="77777777" w:rsidR="00DE64CD" w:rsidRPr="002007A0" w:rsidRDefault="00DE64CD" w:rsidP="00DE64CD">
      <w:pPr>
        <w:pStyle w:val="IFTnormal"/>
        <w:numPr>
          <w:ilvl w:val="0"/>
          <w:numId w:val="13"/>
        </w:numPr>
        <w:rPr>
          <w:b/>
        </w:rPr>
      </w:pPr>
      <w:r w:rsidRPr="002007A0">
        <w:rPr>
          <w:b/>
        </w:rPr>
        <w:t>Deuda incobrable</w:t>
      </w:r>
      <w:r w:rsidRPr="002007A0">
        <w:t>,</w:t>
      </w:r>
    </w:p>
    <w:p w14:paraId="06935C2F" w14:textId="6BCCF05A" w:rsidR="00DE64CD" w:rsidRPr="00F561CA" w:rsidRDefault="00DE64CD" w:rsidP="00DE64CD">
      <w:pPr>
        <w:pStyle w:val="IFTnormal"/>
        <w:numPr>
          <w:ilvl w:val="0"/>
          <w:numId w:val="13"/>
        </w:numPr>
      </w:pPr>
      <w:r w:rsidRPr="002007A0">
        <w:rPr>
          <w:b/>
        </w:rPr>
        <w:t>Mercadotecnia y publicidad:</w:t>
      </w:r>
      <w:r>
        <w:t xml:space="preserve"> En este caso </w:t>
      </w:r>
      <w:r w:rsidRPr="00F561CA">
        <w:t xml:space="preserve">se asume que los costos de ventas y </w:t>
      </w:r>
      <w:r>
        <w:t>mercadotecnia</w:t>
      </w:r>
      <w:r w:rsidRPr="00F561CA">
        <w:t xml:space="preserve"> son atribuibles únicamente a los servicios de </w:t>
      </w:r>
      <w:r>
        <w:t>Internet</w:t>
      </w:r>
      <w:r w:rsidR="00B838B7">
        <w:t>, bajo la hipótesis de que Telmex y Telnor</w:t>
      </w:r>
      <w:r w:rsidRPr="00F561CA">
        <w:t xml:space="preserve"> dirige</w:t>
      </w:r>
      <w:r w:rsidR="00B838B7">
        <w:t>n</w:t>
      </w:r>
      <w:r w:rsidRPr="00F561CA">
        <w:t xml:space="preserve"> su publicidad para captar suscriptores en servicios que ofrecen </w:t>
      </w:r>
      <w:r>
        <w:t>Internet</w:t>
      </w:r>
      <w:r w:rsidRPr="00F561CA">
        <w:t>, y no suscriptores de voz fija</w:t>
      </w:r>
      <w:r>
        <w:t xml:space="preserve"> (en modalidad individuales, es decir, sin la provisión conjunta con el servicio de Internet)</w:t>
      </w:r>
      <w:r w:rsidRPr="00F561CA">
        <w:t>.</w:t>
      </w:r>
    </w:p>
    <w:p w14:paraId="5E442873" w14:textId="77777777" w:rsidR="00DE64CD" w:rsidRPr="002007A0" w:rsidRDefault="00DE64CD" w:rsidP="00DE64CD">
      <w:pPr>
        <w:pStyle w:val="IFTnormal"/>
        <w:numPr>
          <w:ilvl w:val="0"/>
          <w:numId w:val="13"/>
        </w:numPr>
        <w:rPr>
          <w:b/>
        </w:rPr>
      </w:pPr>
      <w:r w:rsidRPr="002007A0">
        <w:rPr>
          <w:b/>
        </w:rPr>
        <w:t>Servicio d</w:t>
      </w:r>
      <w:r>
        <w:rPr>
          <w:b/>
        </w:rPr>
        <w:t xml:space="preserve">e atención al cliente: </w:t>
      </w:r>
      <w:r w:rsidRPr="002007A0">
        <w:t>incluyendo asistencia técnica de primera línea.</w:t>
      </w:r>
    </w:p>
    <w:p w14:paraId="77D0B883" w14:textId="77777777" w:rsidR="00DE64CD" w:rsidRPr="00F561CA" w:rsidRDefault="00DE64CD" w:rsidP="00DE64CD">
      <w:pPr>
        <w:pStyle w:val="IFTnormal"/>
        <w:numPr>
          <w:ilvl w:val="0"/>
          <w:numId w:val="13"/>
        </w:numPr>
      </w:pPr>
      <w:r w:rsidRPr="002007A0">
        <w:rPr>
          <w:b/>
        </w:rPr>
        <w:t>Gastos generales y administrativos:</w:t>
      </w:r>
      <w:r w:rsidRPr="00F561CA">
        <w:t xml:space="preserve"> incluyendo los gastos de personal (salarios y participación en las utilidades) y los asociados al uso de espacio para oficina,</w:t>
      </w:r>
    </w:p>
    <w:p w14:paraId="1D4379A5" w14:textId="77777777" w:rsidR="00DE64CD" w:rsidRPr="00F561CA" w:rsidRDefault="00DE64CD" w:rsidP="00DE64CD">
      <w:pPr>
        <w:pStyle w:val="Tablecells"/>
        <w:numPr>
          <w:ilvl w:val="0"/>
          <w:numId w:val="11"/>
        </w:numPr>
        <w:spacing w:before="0" w:after="0"/>
        <w:jc w:val="both"/>
        <w:rPr>
          <w:rFonts w:ascii="ITC Avant Garde" w:hAnsi="ITC Avant Garde"/>
          <w:sz w:val="22"/>
          <w:lang w:val="es-ES_tradnl"/>
        </w:rPr>
      </w:pPr>
      <w:r w:rsidRPr="002007A0">
        <w:rPr>
          <w:rFonts w:ascii="ITC Avant Garde" w:hAnsi="ITC Avant Garde"/>
          <w:b/>
          <w:sz w:val="22"/>
          <w:lang w:val="es-ES_tradnl"/>
        </w:rPr>
        <w:t>Margen de beneficios sobre costos evitados</w:t>
      </w:r>
      <w:r w:rsidRPr="002007A0">
        <w:rPr>
          <w:rStyle w:val="Refdenotaalpie"/>
          <w:rFonts w:ascii="ITC Avant Garde" w:hAnsi="ITC Avant Garde"/>
          <w:sz w:val="20"/>
          <w:szCs w:val="20"/>
          <w:lang w:val="es-ES_tradnl"/>
        </w:rPr>
        <w:footnoteReference w:id="23"/>
      </w:r>
      <w:r w:rsidRPr="00F561CA">
        <w:rPr>
          <w:rFonts w:ascii="ITC Avant Garde" w:hAnsi="ITC Avant Garde"/>
          <w:sz w:val="22"/>
          <w:lang w:val="es-ES_tradnl"/>
        </w:rPr>
        <w:t>.</w:t>
      </w:r>
    </w:p>
    <w:p w14:paraId="409E72C0" w14:textId="77777777" w:rsidR="00DE64CD" w:rsidRPr="00F561CA" w:rsidRDefault="00DE64CD" w:rsidP="00DE64CD">
      <w:pPr>
        <w:pStyle w:val="Tablecells"/>
        <w:spacing w:before="0" w:after="0"/>
        <w:jc w:val="both"/>
        <w:rPr>
          <w:rFonts w:ascii="ITC Avant Garde" w:hAnsi="ITC Avant Garde"/>
          <w:sz w:val="22"/>
          <w:lang w:val="es-ES_tradnl"/>
        </w:rPr>
      </w:pPr>
    </w:p>
    <w:p w14:paraId="19A5185A" w14:textId="2E8AB724" w:rsidR="00DE64CD" w:rsidRDefault="00DE64CD" w:rsidP="00DE64CD">
      <w:pPr>
        <w:pStyle w:val="IFTnormal"/>
      </w:pPr>
      <w:r>
        <w:t xml:space="preserve">Como se describió en la sección </w:t>
      </w:r>
      <w:r>
        <w:fldChar w:fldCharType="begin"/>
      </w:r>
      <w:r>
        <w:instrText xml:space="preserve"> REF _Ref530071322 \r \h </w:instrText>
      </w:r>
      <w:r>
        <w:fldChar w:fldCharType="separate"/>
      </w:r>
      <w:r w:rsidR="00580AF0">
        <w:t>1.3</w:t>
      </w:r>
      <w:r>
        <w:fldChar w:fldCharType="end"/>
      </w:r>
      <w:r>
        <w:t>, en el modelo los ingresos asociados a los servicios de renta de línea, voz e Internet que se inclu</w:t>
      </w:r>
      <w:r w:rsidR="00B838B7">
        <w:t>yen en planes y paquetes de Telmex y Telnor</w:t>
      </w:r>
      <w:r>
        <w:t xml:space="preserve"> mediante los cuales ofrece servicio de telefonía e Internet en el mercado minorista, se calculan a través de los precios implícitos de estos.</w:t>
      </w:r>
    </w:p>
    <w:p w14:paraId="6DA3FE0C" w14:textId="26667EC2" w:rsidR="00DE64CD" w:rsidRDefault="00DE64CD" w:rsidP="00DE64CD">
      <w:pPr>
        <w:pStyle w:val="IFTnormal"/>
      </w:pPr>
      <w:r>
        <w:t xml:space="preserve">A partir de estos ingresos, los conceptos de costos evitados correspondientes a los elementos o servicios que se incluyen </w:t>
      </w:r>
      <w:r w:rsidR="00B838B7">
        <w:t>en los planes y paquetes de Telmex y Telnor</w:t>
      </w:r>
      <w:r>
        <w:t>, se representan como se describe a continuación:</w:t>
      </w:r>
    </w:p>
    <w:tbl>
      <w:tblPr>
        <w:tblStyle w:val="Tabladecuadrcula1clara"/>
        <w:tblW w:w="5015" w:type="pct"/>
        <w:jc w:val="center"/>
        <w:tblLayout w:type="fixed"/>
        <w:tblLook w:val="0420" w:firstRow="1" w:lastRow="0" w:firstColumn="0" w:lastColumn="0" w:noHBand="0" w:noVBand="1"/>
        <w:tblCaption w:val="Figura 3: Estrutura del modelo de costos de coubicación móvil (Fuente: IFT, 2015)"/>
        <w:tblDescription w:val="Se divida en hoja de cálculo y descripción"/>
      </w:tblPr>
      <w:tblGrid>
        <w:gridCol w:w="2792"/>
        <w:gridCol w:w="2777"/>
        <w:gridCol w:w="3285"/>
      </w:tblGrid>
      <w:tr w:rsidR="00DE64CD" w:rsidRPr="002007A0" w14:paraId="3D110A26" w14:textId="77777777" w:rsidTr="00A4557C">
        <w:trPr>
          <w:cnfStyle w:val="100000000000" w:firstRow="1" w:lastRow="0" w:firstColumn="0" w:lastColumn="0" w:oddVBand="0" w:evenVBand="0" w:oddHBand="0" w:evenHBand="0" w:firstRowFirstColumn="0" w:firstRowLastColumn="0" w:lastRowFirstColumn="0" w:lastRowLastColumn="0"/>
          <w:trHeight w:val="70"/>
          <w:tblHeader/>
          <w:jc w:val="center"/>
        </w:trPr>
        <w:tc>
          <w:tcPr>
            <w:tcW w:w="1577" w:type="pct"/>
            <w:shd w:val="clear" w:color="auto" w:fill="E7E6E6" w:themeFill="background2"/>
          </w:tcPr>
          <w:p w14:paraId="47560BE5" w14:textId="77777777" w:rsidR="00DE64CD" w:rsidRPr="002007A0" w:rsidRDefault="00DE64CD" w:rsidP="00A4557C">
            <w:pPr>
              <w:pStyle w:val="Tableheading"/>
              <w:spacing w:before="0" w:after="0"/>
              <w:jc w:val="center"/>
              <w:rPr>
                <w:rFonts w:ascii="ITC Avant Garde" w:hAnsi="ITC Avant Garde"/>
                <w:b/>
                <w:color w:val="000000" w:themeColor="text1"/>
                <w:sz w:val="20"/>
                <w:szCs w:val="20"/>
                <w:lang w:val="es-ES_tradnl"/>
              </w:rPr>
            </w:pPr>
            <w:r w:rsidRPr="002007A0">
              <w:rPr>
                <w:rFonts w:ascii="ITC Avant Garde" w:hAnsi="ITC Avant Garde"/>
                <w:b/>
                <w:color w:val="000000" w:themeColor="text1"/>
                <w:sz w:val="20"/>
                <w:szCs w:val="20"/>
                <w:lang w:val="es-ES_tradnl"/>
              </w:rPr>
              <w:t>Concepto</w:t>
            </w:r>
          </w:p>
        </w:tc>
        <w:tc>
          <w:tcPr>
            <w:tcW w:w="1568" w:type="pct"/>
            <w:shd w:val="clear" w:color="auto" w:fill="E7E6E6" w:themeFill="background2"/>
          </w:tcPr>
          <w:p w14:paraId="4B131BA5" w14:textId="77777777" w:rsidR="00DE64CD" w:rsidRPr="002007A0" w:rsidRDefault="00DE64CD" w:rsidP="00A4557C">
            <w:pPr>
              <w:pStyle w:val="Tableheading"/>
              <w:spacing w:before="0" w:after="0"/>
              <w:jc w:val="center"/>
              <w:rPr>
                <w:rFonts w:ascii="ITC Avant Garde" w:hAnsi="ITC Avant Garde"/>
                <w:b/>
                <w:color w:val="000000" w:themeColor="text1"/>
                <w:sz w:val="20"/>
                <w:szCs w:val="20"/>
                <w:lang w:val="es-ES_tradnl"/>
              </w:rPr>
            </w:pPr>
            <w:r w:rsidRPr="002007A0">
              <w:rPr>
                <w:rFonts w:ascii="ITC Avant Garde" w:hAnsi="ITC Avant Garde"/>
                <w:b/>
                <w:color w:val="000000" w:themeColor="text1"/>
                <w:sz w:val="20"/>
                <w:szCs w:val="20"/>
                <w:lang w:val="es-ES_tradnl"/>
              </w:rPr>
              <w:t>Enfoque de estimación</w:t>
            </w:r>
          </w:p>
        </w:tc>
        <w:tc>
          <w:tcPr>
            <w:tcW w:w="1855" w:type="pct"/>
            <w:shd w:val="clear" w:color="auto" w:fill="E7E6E6" w:themeFill="background2"/>
          </w:tcPr>
          <w:p w14:paraId="37185F69" w14:textId="77777777" w:rsidR="00DE64CD" w:rsidRPr="002007A0" w:rsidRDefault="00DE64CD" w:rsidP="00A4557C">
            <w:pPr>
              <w:pStyle w:val="Tableheading"/>
              <w:spacing w:before="0" w:after="0"/>
              <w:jc w:val="center"/>
              <w:rPr>
                <w:rFonts w:ascii="ITC Avant Garde" w:hAnsi="ITC Avant Garde"/>
                <w:b/>
                <w:color w:val="000000" w:themeColor="text1"/>
                <w:sz w:val="20"/>
                <w:szCs w:val="20"/>
                <w:lang w:val="es-ES_tradnl"/>
              </w:rPr>
            </w:pPr>
            <w:r>
              <w:rPr>
                <w:rFonts w:ascii="ITC Avant Garde" w:hAnsi="ITC Avant Garde"/>
                <w:b/>
                <w:color w:val="000000" w:themeColor="text1"/>
                <w:sz w:val="20"/>
                <w:szCs w:val="20"/>
                <w:lang w:val="es-ES_tradnl"/>
              </w:rPr>
              <w:t>Representación en el modelo</w:t>
            </w:r>
          </w:p>
        </w:tc>
      </w:tr>
      <w:tr w:rsidR="00DE64CD" w:rsidRPr="002007A0" w14:paraId="7970855E" w14:textId="77777777" w:rsidTr="00A4557C">
        <w:trPr>
          <w:trHeight w:val="298"/>
          <w:jc w:val="center"/>
        </w:trPr>
        <w:tc>
          <w:tcPr>
            <w:tcW w:w="1577" w:type="pct"/>
            <w:vAlign w:val="center"/>
          </w:tcPr>
          <w:p w14:paraId="51BF26D3" w14:textId="77777777" w:rsidR="00DE64CD" w:rsidRPr="004856AC" w:rsidRDefault="00DE64CD" w:rsidP="00A4557C">
            <w:pPr>
              <w:pStyle w:val="Tablecells"/>
              <w:spacing w:before="0" w:after="0"/>
              <w:ind w:right="-18"/>
              <w:jc w:val="both"/>
              <w:rPr>
                <w:rFonts w:ascii="ITC Avant Garde" w:hAnsi="ITC Avant Garde"/>
                <w:szCs w:val="18"/>
                <w:lang w:val="es-ES_tradnl"/>
              </w:rPr>
            </w:pPr>
            <w:r w:rsidRPr="004856AC">
              <w:rPr>
                <w:rFonts w:ascii="ITC Avant Garde" w:hAnsi="ITC Avant Garde"/>
                <w:szCs w:val="18"/>
                <w:lang w:val="es-ES_tradnl"/>
              </w:rPr>
              <w:t>Facturación, (incluyendo el sistema de facturación a usuarios finales minoristas)</w:t>
            </w:r>
          </w:p>
        </w:tc>
        <w:tc>
          <w:tcPr>
            <w:tcW w:w="1568" w:type="pct"/>
            <w:vAlign w:val="center"/>
          </w:tcPr>
          <w:p w14:paraId="2D415062" w14:textId="77777777" w:rsidR="00DE64CD" w:rsidRPr="004856AC" w:rsidRDefault="00DE64CD" w:rsidP="00A4557C">
            <w:pPr>
              <w:pStyle w:val="Tablecells"/>
              <w:spacing w:before="0" w:after="0"/>
              <w:ind w:right="-18"/>
              <w:jc w:val="both"/>
              <w:rPr>
                <w:rFonts w:ascii="ITC Avant Garde" w:hAnsi="ITC Avant Garde"/>
                <w:szCs w:val="18"/>
                <w:lang w:val="es-ES_tradnl"/>
              </w:rPr>
            </w:pPr>
            <w:r w:rsidRPr="004856AC">
              <w:rPr>
                <w:rFonts w:ascii="ITC Avant Garde" w:hAnsi="ITC Avant Garde"/>
                <w:szCs w:val="18"/>
                <w:lang w:val="es-ES_tradnl"/>
              </w:rPr>
              <w:t>Proporcional a total de ingresos del servicio en estudio</w:t>
            </w:r>
          </w:p>
        </w:tc>
        <w:tc>
          <w:tcPr>
            <w:tcW w:w="1855" w:type="pct"/>
            <w:vAlign w:val="center"/>
          </w:tcPr>
          <w:p w14:paraId="3DB59060" w14:textId="77777777" w:rsidR="00DE64CD" w:rsidRPr="004856AC" w:rsidRDefault="00DE64CD" w:rsidP="00A4557C">
            <w:pPr>
              <w:pStyle w:val="Tablecells"/>
              <w:spacing w:before="0" w:after="0"/>
              <w:jc w:val="center"/>
              <w:rPr>
                <w:rFonts w:ascii="ITC Avant Garde" w:hAnsi="ITC Avant Garde"/>
                <w:szCs w:val="18"/>
                <w:lang w:val="es-ES_tradnl"/>
              </w:rPr>
            </w:pPr>
            <w:r w:rsidRPr="004856AC">
              <w:rPr>
                <w:rFonts w:ascii="ITC Avant Garde" w:hAnsi="ITC Avant Garde"/>
                <w:szCs w:val="18"/>
                <w:lang w:val="es-ES_tradnl"/>
              </w:rPr>
              <w:t>5% sobre total de ingresos</w:t>
            </w:r>
          </w:p>
        </w:tc>
      </w:tr>
      <w:tr w:rsidR="00DE64CD" w:rsidRPr="002007A0" w14:paraId="1EA53ED0" w14:textId="77777777" w:rsidTr="00A4557C">
        <w:trPr>
          <w:trHeight w:val="288"/>
          <w:jc w:val="center"/>
        </w:trPr>
        <w:tc>
          <w:tcPr>
            <w:tcW w:w="1577" w:type="pct"/>
            <w:shd w:val="clear" w:color="auto" w:fill="F2F2F2" w:themeFill="background1" w:themeFillShade="F2"/>
          </w:tcPr>
          <w:p w14:paraId="6CB966D3" w14:textId="77777777" w:rsidR="00DE64CD" w:rsidRPr="004856AC" w:rsidRDefault="00DE64CD" w:rsidP="00A4557C">
            <w:pPr>
              <w:pStyle w:val="Tablecells"/>
              <w:spacing w:before="0" w:after="0"/>
              <w:ind w:right="-18"/>
              <w:jc w:val="both"/>
              <w:rPr>
                <w:rFonts w:ascii="ITC Avant Garde" w:hAnsi="ITC Avant Garde"/>
                <w:szCs w:val="18"/>
                <w:lang w:val="es-ES_tradnl"/>
              </w:rPr>
            </w:pPr>
            <w:r w:rsidRPr="004856AC">
              <w:rPr>
                <w:rFonts w:ascii="ITC Avant Garde" w:hAnsi="ITC Avant Garde"/>
                <w:szCs w:val="18"/>
                <w:lang w:val="es-ES_tradnl"/>
              </w:rPr>
              <w:t>Deuda incobrable</w:t>
            </w:r>
          </w:p>
        </w:tc>
        <w:tc>
          <w:tcPr>
            <w:tcW w:w="1568" w:type="pct"/>
            <w:shd w:val="clear" w:color="auto" w:fill="F2F2F2" w:themeFill="background1" w:themeFillShade="F2"/>
            <w:vAlign w:val="center"/>
          </w:tcPr>
          <w:p w14:paraId="1FAA9A46" w14:textId="77777777" w:rsidR="00DE64CD" w:rsidRPr="004856AC" w:rsidRDefault="00DE64CD" w:rsidP="00A4557C">
            <w:pPr>
              <w:pStyle w:val="Tablecells"/>
              <w:spacing w:before="0" w:after="0"/>
              <w:ind w:right="-18"/>
              <w:jc w:val="both"/>
              <w:rPr>
                <w:rFonts w:ascii="ITC Avant Garde" w:hAnsi="ITC Avant Garde"/>
                <w:szCs w:val="18"/>
                <w:lang w:val="es-ES_tradnl"/>
              </w:rPr>
            </w:pPr>
            <w:r w:rsidRPr="004856AC">
              <w:rPr>
                <w:rFonts w:ascii="ITC Avant Garde" w:hAnsi="ITC Avant Garde"/>
                <w:szCs w:val="18"/>
                <w:lang w:val="es-ES_tradnl"/>
              </w:rPr>
              <w:t>Proporcional a total de ingresos del servicio en estudio</w:t>
            </w:r>
          </w:p>
        </w:tc>
        <w:tc>
          <w:tcPr>
            <w:tcW w:w="1855" w:type="pct"/>
            <w:shd w:val="clear" w:color="auto" w:fill="F2F2F2" w:themeFill="background1" w:themeFillShade="F2"/>
            <w:vAlign w:val="center"/>
          </w:tcPr>
          <w:p w14:paraId="6EED3F60" w14:textId="604B5A35" w:rsidR="00DE64CD" w:rsidRPr="004856AC" w:rsidRDefault="00DE64CD" w:rsidP="00A4557C">
            <w:pPr>
              <w:pStyle w:val="Tablecells"/>
              <w:spacing w:before="0" w:after="0"/>
              <w:jc w:val="center"/>
              <w:rPr>
                <w:rFonts w:ascii="ITC Avant Garde" w:hAnsi="ITC Avant Garde"/>
                <w:szCs w:val="18"/>
                <w:lang w:val="es-ES_tradnl"/>
              </w:rPr>
            </w:pPr>
            <w:r>
              <w:rPr>
                <w:rFonts w:ascii="ITC Avant Garde" w:hAnsi="ITC Avant Garde"/>
                <w:szCs w:val="18"/>
                <w:lang w:val="es-ES_tradnl"/>
              </w:rPr>
              <w:t>3</w:t>
            </w:r>
            <w:r w:rsidR="00D76AE8">
              <w:rPr>
                <w:rFonts w:ascii="ITC Avant Garde" w:hAnsi="ITC Avant Garde"/>
                <w:szCs w:val="18"/>
                <w:lang w:val="es-ES_tradnl"/>
              </w:rPr>
              <w:t>.9</w:t>
            </w:r>
            <w:r w:rsidRPr="004856AC">
              <w:rPr>
                <w:rFonts w:ascii="ITC Avant Garde" w:hAnsi="ITC Avant Garde"/>
                <w:szCs w:val="18"/>
                <w:lang w:val="es-ES_tradnl"/>
              </w:rPr>
              <w:t>2%</w:t>
            </w:r>
            <w:r>
              <w:rPr>
                <w:rStyle w:val="Refdenotaalpie"/>
                <w:rFonts w:ascii="ITC Avant Garde" w:hAnsi="ITC Avant Garde"/>
                <w:szCs w:val="18"/>
                <w:lang w:val="es-ES_tradnl"/>
              </w:rPr>
              <w:footnoteReference w:id="24"/>
            </w:r>
            <w:r w:rsidRPr="004856AC">
              <w:rPr>
                <w:rFonts w:ascii="ITC Avant Garde" w:hAnsi="ITC Avant Garde"/>
                <w:szCs w:val="18"/>
                <w:lang w:val="es-ES_tradnl"/>
              </w:rPr>
              <w:t xml:space="preserve"> sobre total de ingresos</w:t>
            </w:r>
          </w:p>
        </w:tc>
      </w:tr>
      <w:tr w:rsidR="00DE64CD" w:rsidRPr="002007A0" w14:paraId="393AD708" w14:textId="77777777" w:rsidTr="00A4557C">
        <w:trPr>
          <w:trHeight w:val="288"/>
          <w:jc w:val="center"/>
        </w:trPr>
        <w:tc>
          <w:tcPr>
            <w:tcW w:w="1577" w:type="pct"/>
            <w:tcBorders>
              <w:bottom w:val="single" w:sz="4" w:space="0" w:color="999999" w:themeColor="text1" w:themeTint="66"/>
            </w:tcBorders>
          </w:tcPr>
          <w:p w14:paraId="44676BA2" w14:textId="77777777" w:rsidR="00DE64CD" w:rsidRPr="004856AC" w:rsidRDefault="00DE64CD" w:rsidP="00A4557C">
            <w:pPr>
              <w:pStyle w:val="Tablecells"/>
              <w:spacing w:before="0" w:after="0"/>
              <w:ind w:right="-18"/>
              <w:jc w:val="both"/>
              <w:rPr>
                <w:rFonts w:ascii="ITC Avant Garde" w:hAnsi="ITC Avant Garde"/>
                <w:szCs w:val="18"/>
                <w:lang w:val="es-ES_tradnl"/>
              </w:rPr>
            </w:pPr>
            <w:r w:rsidRPr="004856AC">
              <w:rPr>
                <w:rFonts w:ascii="ITC Avant Garde" w:hAnsi="ITC Avant Garde"/>
                <w:szCs w:val="18"/>
                <w:lang w:val="es-ES_tradnl"/>
              </w:rPr>
              <w:t>Mercadotecnia y publicidad</w:t>
            </w:r>
          </w:p>
        </w:tc>
        <w:tc>
          <w:tcPr>
            <w:tcW w:w="1568" w:type="pct"/>
            <w:tcBorders>
              <w:bottom w:val="single" w:sz="4" w:space="0" w:color="999999" w:themeColor="text1" w:themeTint="66"/>
            </w:tcBorders>
            <w:vAlign w:val="center"/>
          </w:tcPr>
          <w:p w14:paraId="4E98F6EC" w14:textId="4114513A" w:rsidR="00DE64CD" w:rsidRPr="004856AC" w:rsidRDefault="00DE64CD" w:rsidP="00A4557C">
            <w:pPr>
              <w:pStyle w:val="Tablecells"/>
              <w:spacing w:before="0" w:after="0"/>
              <w:ind w:right="-18"/>
              <w:jc w:val="both"/>
              <w:rPr>
                <w:rFonts w:ascii="ITC Avant Garde" w:hAnsi="ITC Avant Garde"/>
                <w:szCs w:val="18"/>
                <w:lang w:val="es-ES_tradnl"/>
              </w:rPr>
            </w:pPr>
            <w:r w:rsidRPr="004856AC">
              <w:rPr>
                <w:rFonts w:ascii="ITC Avant Garde" w:hAnsi="ITC Avant Garde"/>
                <w:szCs w:val="18"/>
                <w:lang w:val="es-ES_tradnl"/>
              </w:rPr>
              <w:t>Se toma el máximo de 1) una estimación proporcional a</w:t>
            </w:r>
            <w:r w:rsidR="00580AF0">
              <w:rPr>
                <w:rFonts w:ascii="ITC Avant Garde" w:hAnsi="ITC Avant Garde"/>
                <w:szCs w:val="18"/>
                <w:lang w:val="es-ES_tradnl"/>
              </w:rPr>
              <w:t>l</w:t>
            </w:r>
            <w:r w:rsidRPr="004856AC">
              <w:rPr>
                <w:rFonts w:ascii="ITC Avant Garde" w:hAnsi="ITC Avant Garde"/>
                <w:szCs w:val="18"/>
                <w:lang w:val="es-ES_tradnl"/>
              </w:rPr>
              <w:t xml:space="preserve"> total de ingresos del servicio en estudio y 2) una estimación de los costos de atención a clientes, por la cantidad de suscriptores brutos adicionales.</w:t>
            </w:r>
          </w:p>
        </w:tc>
        <w:tc>
          <w:tcPr>
            <w:tcW w:w="1855" w:type="pct"/>
            <w:tcBorders>
              <w:bottom w:val="single" w:sz="4" w:space="0" w:color="999999" w:themeColor="text1" w:themeTint="66"/>
            </w:tcBorders>
          </w:tcPr>
          <w:p w14:paraId="5D45AA1A" w14:textId="5AA90CA2" w:rsidR="00DE64CD" w:rsidRPr="004856AC" w:rsidRDefault="00DE64CD" w:rsidP="00A4557C">
            <w:pPr>
              <w:pStyle w:val="Tablecells"/>
              <w:spacing w:before="0" w:after="0"/>
              <w:jc w:val="both"/>
              <w:rPr>
                <w:rFonts w:ascii="ITC Avant Garde" w:hAnsi="ITC Avant Garde"/>
                <w:szCs w:val="18"/>
                <w:lang w:val="es-ES_tradnl"/>
              </w:rPr>
            </w:pPr>
            <w:r w:rsidRPr="004856AC">
              <w:rPr>
                <w:rFonts w:ascii="ITC Avant Garde" w:hAnsi="ITC Avant Garde"/>
                <w:szCs w:val="18"/>
                <w:lang w:val="es-ES_tradnl"/>
              </w:rPr>
              <w:t>Se asume que los costos de ventas y mercadotecnia son atribuibles únicamente a los servicios de Internet, bajo la hipótesis de que los operadores dirigen su publicidad para captar suscriptores en servicios que ofrecen internet, y no suscriptores de voz fija.</w:t>
            </w:r>
          </w:p>
          <w:p w14:paraId="549B96A3" w14:textId="77777777" w:rsidR="00DE64CD" w:rsidRPr="004856AC" w:rsidRDefault="00DE64CD" w:rsidP="00A4557C">
            <w:pPr>
              <w:pStyle w:val="Tablecells"/>
              <w:spacing w:before="0" w:after="0"/>
              <w:jc w:val="both"/>
              <w:rPr>
                <w:rFonts w:ascii="ITC Avant Garde" w:hAnsi="ITC Avant Garde"/>
                <w:szCs w:val="18"/>
                <w:lang w:val="es-ES_tradnl"/>
              </w:rPr>
            </w:pPr>
          </w:p>
          <w:p w14:paraId="65BC3EBE" w14:textId="5AD4FF98" w:rsidR="00DE64CD" w:rsidRDefault="00DE64CD" w:rsidP="00A4557C">
            <w:pPr>
              <w:pStyle w:val="Tablecells"/>
              <w:spacing w:before="0" w:after="0"/>
              <w:jc w:val="both"/>
              <w:rPr>
                <w:rFonts w:ascii="ITC Avant Garde" w:hAnsi="ITC Avant Garde"/>
                <w:szCs w:val="18"/>
                <w:lang w:val="es-ES_tradnl"/>
              </w:rPr>
            </w:pPr>
            <w:r w:rsidRPr="004856AC">
              <w:rPr>
                <w:rFonts w:ascii="ITC Avant Garde" w:hAnsi="ITC Avant Garde"/>
                <w:szCs w:val="18"/>
                <w:lang w:val="es-ES_tradnl"/>
              </w:rPr>
              <w:t>En la primera alternativa</w:t>
            </w:r>
            <w:r w:rsidR="002F02F0">
              <w:rPr>
                <w:rFonts w:ascii="ITC Avant Garde" w:hAnsi="ITC Avant Garde"/>
                <w:szCs w:val="18"/>
                <w:lang w:val="es-ES_tradnl"/>
              </w:rPr>
              <w:t xml:space="preserve"> (estimación proporcional al total de ingresos)</w:t>
            </w:r>
            <w:r w:rsidRPr="004856AC">
              <w:rPr>
                <w:rFonts w:ascii="ITC Avant Garde" w:hAnsi="ITC Avant Garde"/>
                <w:szCs w:val="18"/>
                <w:lang w:val="es-ES_tradnl"/>
              </w:rPr>
              <w:t xml:space="preserve"> se asume 10% sobre total de ingresos del servicio en estudio, para el caso de servicios de Internet.</w:t>
            </w:r>
          </w:p>
          <w:p w14:paraId="6FEEDA55" w14:textId="5AC7388D" w:rsidR="004731F3" w:rsidRPr="004856AC" w:rsidRDefault="004731F3" w:rsidP="00A4557C">
            <w:pPr>
              <w:pStyle w:val="Tablecells"/>
              <w:spacing w:before="0" w:after="0"/>
              <w:jc w:val="both"/>
              <w:rPr>
                <w:rFonts w:ascii="ITC Avant Garde" w:hAnsi="ITC Avant Garde"/>
                <w:szCs w:val="18"/>
                <w:lang w:val="es-ES_tradnl"/>
              </w:rPr>
            </w:pPr>
            <w:r>
              <w:rPr>
                <w:rFonts w:ascii="ITC Avant Garde" w:hAnsi="ITC Avant Garde"/>
                <w:szCs w:val="18"/>
                <w:lang w:val="es-ES_tradnl"/>
              </w:rPr>
              <w:t>En la segunda alternativa</w:t>
            </w:r>
            <w:r w:rsidR="002F02F0">
              <w:rPr>
                <w:rFonts w:ascii="ITC Avant Garde" w:hAnsi="ITC Avant Garde"/>
                <w:szCs w:val="18"/>
                <w:lang w:val="es-ES_tradnl"/>
              </w:rPr>
              <w:t xml:space="preserve"> (estimación de costos de atención a clientes)</w:t>
            </w:r>
            <w:r>
              <w:rPr>
                <w:rFonts w:ascii="ITC Avant Garde" w:hAnsi="ITC Avant Garde"/>
                <w:szCs w:val="18"/>
                <w:lang w:val="es-ES_tradnl"/>
              </w:rPr>
              <w:t xml:space="preserve"> se multiplica la cantidad de suscriptores brutos adicionales por los c</w:t>
            </w:r>
            <w:r w:rsidRPr="004731F3">
              <w:rPr>
                <w:rFonts w:ascii="ITC Avant Garde" w:hAnsi="ITC Avant Garde"/>
                <w:szCs w:val="18"/>
                <w:lang w:val="es-ES_tradnl"/>
              </w:rPr>
              <w:t>ostos de marketing y ventas por suscriptor bruto adicional</w:t>
            </w:r>
            <w:r w:rsidR="00CE2ECB">
              <w:rPr>
                <w:rFonts w:ascii="ITC Avant Garde" w:hAnsi="ITC Avant Garde"/>
                <w:szCs w:val="18"/>
                <w:lang w:val="es-ES_tradnl"/>
              </w:rPr>
              <w:t>.</w:t>
            </w:r>
          </w:p>
        </w:tc>
      </w:tr>
      <w:tr w:rsidR="00DE64CD" w:rsidRPr="002007A0" w14:paraId="3ACC8138" w14:textId="77777777" w:rsidTr="00A4557C">
        <w:trPr>
          <w:trHeight w:val="288"/>
          <w:jc w:val="center"/>
        </w:trPr>
        <w:tc>
          <w:tcPr>
            <w:tcW w:w="1577" w:type="pct"/>
            <w:tcBorders>
              <w:bottom w:val="single" w:sz="4" w:space="0" w:color="auto"/>
            </w:tcBorders>
            <w:shd w:val="clear" w:color="auto" w:fill="F2F2F2" w:themeFill="background1" w:themeFillShade="F2"/>
          </w:tcPr>
          <w:p w14:paraId="215813F7" w14:textId="77777777" w:rsidR="00DE64CD" w:rsidRPr="004856AC" w:rsidRDefault="00DE64CD" w:rsidP="00A4557C">
            <w:pPr>
              <w:pStyle w:val="Tablecells"/>
              <w:spacing w:before="0" w:after="0"/>
              <w:ind w:right="-18"/>
              <w:jc w:val="both"/>
              <w:rPr>
                <w:rFonts w:ascii="ITC Avant Garde" w:hAnsi="ITC Avant Garde"/>
                <w:szCs w:val="18"/>
                <w:lang w:val="es-ES_tradnl"/>
              </w:rPr>
            </w:pPr>
            <w:r w:rsidRPr="004856AC">
              <w:rPr>
                <w:rFonts w:ascii="ITC Avant Garde" w:hAnsi="ITC Avant Garde"/>
                <w:szCs w:val="18"/>
                <w:lang w:val="es-ES_tradnl"/>
              </w:rPr>
              <w:t>Servicio de atención al cliente (incluyendo asistencia técnica de primera línea),</w:t>
            </w:r>
          </w:p>
        </w:tc>
        <w:tc>
          <w:tcPr>
            <w:tcW w:w="1568" w:type="pct"/>
            <w:tcBorders>
              <w:bottom w:val="single" w:sz="4" w:space="0" w:color="auto"/>
            </w:tcBorders>
            <w:shd w:val="clear" w:color="auto" w:fill="F2F2F2" w:themeFill="background1" w:themeFillShade="F2"/>
            <w:vAlign w:val="center"/>
          </w:tcPr>
          <w:p w14:paraId="4B02BE33" w14:textId="77777777" w:rsidR="00DE64CD" w:rsidRPr="004856AC" w:rsidRDefault="00DE64CD" w:rsidP="00A4557C">
            <w:pPr>
              <w:pStyle w:val="Tablecells"/>
              <w:spacing w:before="0" w:after="0"/>
              <w:ind w:right="-18"/>
              <w:jc w:val="both"/>
              <w:rPr>
                <w:rFonts w:ascii="ITC Avant Garde" w:hAnsi="ITC Avant Garde"/>
                <w:szCs w:val="18"/>
                <w:lang w:val="es-ES_tradnl"/>
              </w:rPr>
            </w:pPr>
            <w:r w:rsidRPr="004856AC">
              <w:rPr>
                <w:rFonts w:ascii="ITC Avant Garde" w:hAnsi="ITC Avant Garde"/>
                <w:szCs w:val="18"/>
                <w:lang w:val="es-ES_tradnl"/>
              </w:rPr>
              <w:t>Proporcional al número de personal necesario para atender a los suscriptores y el costo que representa cada empleado</w:t>
            </w:r>
          </w:p>
          <w:p w14:paraId="434791B4" w14:textId="77777777" w:rsidR="00DE64CD" w:rsidRPr="004856AC" w:rsidRDefault="00DE64CD" w:rsidP="00A4557C">
            <w:pPr>
              <w:pStyle w:val="Tablecells"/>
              <w:spacing w:before="0" w:after="0"/>
              <w:ind w:right="-18"/>
              <w:jc w:val="both"/>
              <w:rPr>
                <w:rFonts w:ascii="ITC Avant Garde" w:hAnsi="ITC Avant Garde"/>
                <w:szCs w:val="18"/>
                <w:lang w:val="es-ES_tradnl"/>
              </w:rPr>
            </w:pPr>
          </w:p>
        </w:tc>
        <w:tc>
          <w:tcPr>
            <w:tcW w:w="1855" w:type="pct"/>
            <w:tcBorders>
              <w:bottom w:val="single" w:sz="4" w:space="0" w:color="auto"/>
            </w:tcBorders>
            <w:shd w:val="clear" w:color="auto" w:fill="F2F2F2" w:themeFill="background1" w:themeFillShade="F2"/>
          </w:tcPr>
          <w:p w14:paraId="2BAD84CD" w14:textId="45750711" w:rsidR="00DE64CD" w:rsidRPr="004856AC" w:rsidRDefault="00DE64CD" w:rsidP="00A4557C">
            <w:pPr>
              <w:pStyle w:val="Tablecells"/>
              <w:spacing w:before="0" w:after="0"/>
              <w:ind w:right="-18"/>
              <w:jc w:val="both"/>
              <w:rPr>
                <w:rFonts w:ascii="ITC Avant Garde" w:hAnsi="ITC Avant Garde"/>
                <w:szCs w:val="18"/>
                <w:lang w:val="es-ES_tradnl"/>
              </w:rPr>
            </w:pPr>
            <w:r w:rsidRPr="004856AC">
              <w:rPr>
                <w:rFonts w:ascii="ITC Avant Garde" w:hAnsi="ITC Avant Garde"/>
                <w:szCs w:val="18"/>
                <w:lang w:val="es-ES_tradnl"/>
              </w:rPr>
              <w:t>Se estima mediante una estimación de la cantidad de personal necesario, por el costo</w:t>
            </w:r>
            <w:r w:rsidR="002F02F0">
              <w:rPr>
                <w:rFonts w:ascii="ITC Avant Garde" w:hAnsi="ITC Avant Garde"/>
                <w:szCs w:val="18"/>
                <w:lang w:val="es-ES_tradnl"/>
              </w:rPr>
              <w:t xml:space="preserve"> que representa para Telmex y Telnor</w:t>
            </w:r>
            <w:r w:rsidRPr="004856AC">
              <w:rPr>
                <w:rFonts w:ascii="ITC Avant Garde" w:hAnsi="ITC Avant Garde"/>
                <w:szCs w:val="18"/>
                <w:lang w:val="es-ES_tradnl"/>
              </w:rPr>
              <w:t xml:space="preserve"> su contratación</w:t>
            </w:r>
          </w:p>
        </w:tc>
      </w:tr>
      <w:tr w:rsidR="00DE64CD" w:rsidRPr="002007A0" w14:paraId="6CFA1B8D" w14:textId="77777777" w:rsidTr="00A4557C">
        <w:trPr>
          <w:trHeight w:val="288"/>
          <w:jc w:val="center"/>
        </w:trPr>
        <w:tc>
          <w:tcPr>
            <w:tcW w:w="1577" w:type="pct"/>
            <w:tcBorders>
              <w:bottom w:val="single" w:sz="4" w:space="0" w:color="auto"/>
            </w:tcBorders>
          </w:tcPr>
          <w:p w14:paraId="52860587" w14:textId="77777777" w:rsidR="00DE64CD" w:rsidRPr="004856AC" w:rsidRDefault="00DE64CD" w:rsidP="00A4557C">
            <w:pPr>
              <w:pStyle w:val="Tablecells"/>
              <w:spacing w:before="0" w:after="0"/>
              <w:ind w:right="-18"/>
              <w:jc w:val="both"/>
              <w:rPr>
                <w:rFonts w:ascii="ITC Avant Garde" w:hAnsi="ITC Avant Garde"/>
                <w:szCs w:val="18"/>
                <w:lang w:val="es-ES_tradnl"/>
              </w:rPr>
            </w:pPr>
            <w:r w:rsidRPr="004856AC">
              <w:rPr>
                <w:rFonts w:ascii="ITC Avant Garde" w:hAnsi="ITC Avant Garde"/>
                <w:szCs w:val="18"/>
                <w:lang w:val="es-ES_tradnl"/>
              </w:rPr>
              <w:t>Gastos generales y administrativos, incluyendo los gastos de personal (salarios y participación en las utilidades) y los asociados al uso de espacio para oficina,</w:t>
            </w:r>
          </w:p>
        </w:tc>
        <w:tc>
          <w:tcPr>
            <w:tcW w:w="1568" w:type="pct"/>
            <w:tcBorders>
              <w:bottom w:val="single" w:sz="4" w:space="0" w:color="auto"/>
            </w:tcBorders>
            <w:vAlign w:val="center"/>
          </w:tcPr>
          <w:p w14:paraId="7A8EF11E" w14:textId="77777777" w:rsidR="00DE64CD" w:rsidRPr="004856AC" w:rsidRDefault="00DE64CD" w:rsidP="00A4557C">
            <w:pPr>
              <w:pStyle w:val="Tablecells"/>
              <w:spacing w:before="0" w:after="0"/>
              <w:jc w:val="both"/>
              <w:rPr>
                <w:rFonts w:ascii="ITC Avant Garde" w:hAnsi="ITC Avant Garde"/>
                <w:szCs w:val="18"/>
                <w:lang w:val="es-ES_tradnl"/>
              </w:rPr>
            </w:pPr>
            <w:r w:rsidRPr="004856AC">
              <w:rPr>
                <w:rFonts w:ascii="ITC Avant Garde" w:hAnsi="ITC Avant Garde"/>
                <w:szCs w:val="18"/>
                <w:lang w:val="es-ES_tradnl"/>
              </w:rPr>
              <w:t>Se obtiene como la suma de dos componentes:</w:t>
            </w:r>
          </w:p>
          <w:p w14:paraId="58C50D60" w14:textId="77777777" w:rsidR="00DE64CD" w:rsidRPr="004856AC" w:rsidRDefault="00DE64CD" w:rsidP="00A4557C">
            <w:pPr>
              <w:pStyle w:val="Tablecells"/>
              <w:spacing w:before="0" w:after="0"/>
              <w:jc w:val="both"/>
              <w:rPr>
                <w:rFonts w:ascii="ITC Avant Garde" w:hAnsi="ITC Avant Garde"/>
                <w:szCs w:val="18"/>
                <w:lang w:val="es-ES_tradnl"/>
              </w:rPr>
            </w:pPr>
            <w:r w:rsidRPr="004856AC">
              <w:rPr>
                <w:rFonts w:ascii="ITC Avant Garde" w:hAnsi="ITC Avant Garde"/>
                <w:szCs w:val="18"/>
                <w:lang w:val="es-ES_tradnl"/>
              </w:rPr>
              <w:t>1) Costos asociados al uso de espacio de oficinas, estimado por cantidad de empleado y costo del espacio de oficina,</w:t>
            </w:r>
          </w:p>
          <w:p w14:paraId="1A9EF0EC" w14:textId="77777777" w:rsidR="00DE64CD" w:rsidRPr="004856AC" w:rsidRDefault="00DE64CD" w:rsidP="00A4557C">
            <w:pPr>
              <w:pStyle w:val="Tablecells"/>
              <w:spacing w:before="0" w:after="0"/>
              <w:jc w:val="both"/>
              <w:rPr>
                <w:rFonts w:ascii="ITC Avant Garde" w:hAnsi="ITC Avant Garde"/>
                <w:szCs w:val="18"/>
                <w:lang w:val="es-ES_tradnl"/>
              </w:rPr>
            </w:pPr>
            <w:r w:rsidRPr="004856AC">
              <w:rPr>
                <w:rFonts w:ascii="ITC Avant Garde" w:hAnsi="ITC Avant Garde"/>
                <w:szCs w:val="18"/>
                <w:lang w:val="es-ES_tradnl"/>
              </w:rPr>
              <w:t>2) Costos generales y administrativos modelados como un porcentaje sobre el total de ingresos</w:t>
            </w:r>
          </w:p>
        </w:tc>
        <w:tc>
          <w:tcPr>
            <w:tcW w:w="1855" w:type="pct"/>
            <w:tcBorders>
              <w:bottom w:val="single" w:sz="4" w:space="0" w:color="auto"/>
            </w:tcBorders>
          </w:tcPr>
          <w:p w14:paraId="5E8D476D" w14:textId="77777777" w:rsidR="00DE64CD" w:rsidRPr="004856AC" w:rsidRDefault="00DE64CD" w:rsidP="00A4557C">
            <w:pPr>
              <w:pStyle w:val="Tablecells"/>
              <w:spacing w:before="0" w:after="0"/>
              <w:jc w:val="both"/>
              <w:rPr>
                <w:rFonts w:ascii="ITC Avant Garde" w:hAnsi="ITC Avant Garde"/>
                <w:szCs w:val="18"/>
                <w:lang w:val="es-ES_tradnl"/>
              </w:rPr>
            </w:pPr>
            <w:r w:rsidRPr="004856AC">
              <w:rPr>
                <w:rFonts w:ascii="ITC Avant Garde" w:hAnsi="ITC Avant Garde"/>
                <w:szCs w:val="18"/>
                <w:lang w:val="es-ES_tradnl"/>
              </w:rPr>
              <w:t>En la segunda alternativa se asume 2% sobre total de ingresos del servicio en estudio</w:t>
            </w:r>
          </w:p>
        </w:tc>
      </w:tr>
      <w:tr w:rsidR="00DE64CD" w:rsidRPr="002007A0" w14:paraId="23E0AD3C" w14:textId="77777777" w:rsidTr="00A4557C">
        <w:trPr>
          <w:trHeight w:val="288"/>
          <w:jc w:val="center"/>
        </w:trPr>
        <w:tc>
          <w:tcPr>
            <w:tcW w:w="1577" w:type="pct"/>
            <w:tcBorders>
              <w:bottom w:val="single" w:sz="4" w:space="0" w:color="auto"/>
            </w:tcBorders>
            <w:shd w:val="clear" w:color="auto" w:fill="F2F2F2" w:themeFill="background1" w:themeFillShade="F2"/>
          </w:tcPr>
          <w:p w14:paraId="51FFF332" w14:textId="77777777" w:rsidR="00DE64CD" w:rsidRPr="004856AC" w:rsidRDefault="00DE64CD" w:rsidP="00A4557C">
            <w:pPr>
              <w:pStyle w:val="Tablecells"/>
              <w:spacing w:before="0" w:after="0"/>
              <w:ind w:right="-18"/>
              <w:jc w:val="both"/>
              <w:rPr>
                <w:rFonts w:ascii="ITC Avant Garde" w:hAnsi="ITC Avant Garde"/>
                <w:szCs w:val="18"/>
                <w:lang w:val="es-ES_tradnl"/>
              </w:rPr>
            </w:pPr>
            <w:r w:rsidRPr="004856AC">
              <w:rPr>
                <w:rFonts w:ascii="ITC Avant Garde" w:hAnsi="ITC Avant Garde"/>
                <w:szCs w:val="18"/>
                <w:lang w:val="es-ES_tradnl"/>
              </w:rPr>
              <w:t>Margen de beneficios sobre costos evitados</w:t>
            </w:r>
          </w:p>
        </w:tc>
        <w:tc>
          <w:tcPr>
            <w:tcW w:w="1568" w:type="pct"/>
            <w:tcBorders>
              <w:bottom w:val="single" w:sz="4" w:space="0" w:color="auto"/>
            </w:tcBorders>
            <w:shd w:val="clear" w:color="auto" w:fill="F2F2F2" w:themeFill="background1" w:themeFillShade="F2"/>
            <w:vAlign w:val="center"/>
          </w:tcPr>
          <w:p w14:paraId="6321B27C" w14:textId="77777777" w:rsidR="00DE64CD" w:rsidRPr="004856AC" w:rsidRDefault="00DE64CD" w:rsidP="00A4557C">
            <w:pPr>
              <w:pStyle w:val="Tablecells"/>
              <w:spacing w:before="0" w:after="0"/>
              <w:jc w:val="both"/>
              <w:rPr>
                <w:rFonts w:ascii="ITC Avant Garde" w:hAnsi="ITC Avant Garde"/>
                <w:szCs w:val="18"/>
                <w:lang w:val="es-ES_tradnl"/>
              </w:rPr>
            </w:pPr>
            <w:r w:rsidRPr="004856AC">
              <w:rPr>
                <w:rFonts w:ascii="ITC Avant Garde" w:hAnsi="ITC Avant Garde"/>
                <w:szCs w:val="18"/>
                <w:lang w:val="es-ES_tradnl"/>
              </w:rPr>
              <w:t>Proporcional al nivel de costos evitados de todos los rubros anteriores</w:t>
            </w:r>
          </w:p>
        </w:tc>
        <w:tc>
          <w:tcPr>
            <w:tcW w:w="1855" w:type="pct"/>
            <w:tcBorders>
              <w:bottom w:val="single" w:sz="4" w:space="0" w:color="auto"/>
            </w:tcBorders>
            <w:shd w:val="clear" w:color="auto" w:fill="F2F2F2" w:themeFill="background1" w:themeFillShade="F2"/>
          </w:tcPr>
          <w:p w14:paraId="1EC9196A" w14:textId="022A478F" w:rsidR="00DE64CD" w:rsidRPr="004856AC" w:rsidRDefault="00DE64CD" w:rsidP="00A4557C">
            <w:pPr>
              <w:pStyle w:val="Tablecells"/>
              <w:spacing w:before="0" w:after="0"/>
              <w:jc w:val="both"/>
              <w:rPr>
                <w:rFonts w:ascii="ITC Avant Garde" w:hAnsi="ITC Avant Garde"/>
                <w:szCs w:val="18"/>
                <w:lang w:val="es-ES_tradnl"/>
              </w:rPr>
            </w:pPr>
            <w:r>
              <w:rPr>
                <w:rFonts w:ascii="ITC Avant Garde" w:hAnsi="ITC Avant Garde"/>
                <w:szCs w:val="18"/>
                <w:lang w:val="es-ES_tradnl"/>
              </w:rPr>
              <w:t xml:space="preserve">Se asume </w:t>
            </w:r>
            <w:r w:rsidR="00580AF0">
              <w:rPr>
                <w:rFonts w:ascii="ITC Avant Garde" w:hAnsi="ITC Avant Garde"/>
                <w:szCs w:val="18"/>
                <w:lang w:val="es-ES_tradnl"/>
              </w:rPr>
              <w:t>9.12</w:t>
            </w:r>
            <w:r w:rsidRPr="004856AC">
              <w:rPr>
                <w:rFonts w:ascii="ITC Avant Garde" w:hAnsi="ITC Avant Garde"/>
                <w:szCs w:val="18"/>
                <w:lang w:val="es-ES_tradnl"/>
              </w:rPr>
              <w:t>%</w:t>
            </w:r>
            <w:r>
              <w:rPr>
                <w:rStyle w:val="Refdenotaalpie"/>
                <w:rFonts w:ascii="ITC Avant Garde" w:hAnsi="ITC Avant Garde"/>
                <w:szCs w:val="18"/>
                <w:lang w:val="es-ES_tradnl"/>
              </w:rPr>
              <w:footnoteReference w:id="25"/>
            </w:r>
            <w:r w:rsidRPr="004856AC">
              <w:rPr>
                <w:rFonts w:ascii="ITC Avant Garde" w:hAnsi="ITC Avant Garde"/>
                <w:szCs w:val="18"/>
                <w:lang w:val="es-ES_tradnl"/>
              </w:rPr>
              <w:t xml:space="preserve"> sobre total de la suma de los costos evitados de los rubros anteriores</w:t>
            </w:r>
          </w:p>
        </w:tc>
      </w:tr>
    </w:tbl>
    <w:p w14:paraId="7D629356" w14:textId="77777777" w:rsidR="00DE64CD" w:rsidRDefault="00DE64CD" w:rsidP="00DE64CD">
      <w:pPr>
        <w:pStyle w:val="IFTnormal"/>
      </w:pPr>
      <w:r>
        <w:br/>
        <w:t xml:space="preserve">Al sumar la representación de todos los conceptos previos, en términos del ingreso correspondiente, se obtienen los </w:t>
      </w:r>
      <w:r w:rsidRPr="00F561CA">
        <w:t xml:space="preserve">costos evitados </w:t>
      </w:r>
      <w:r>
        <w:t>asociados a la renta de línea, voz e Internet</w:t>
      </w:r>
      <w:r w:rsidRPr="00F561CA">
        <w:t xml:space="preserve">. </w:t>
      </w:r>
    </w:p>
    <w:p w14:paraId="49BB4174" w14:textId="77777777" w:rsidR="00DE64CD" w:rsidRDefault="00DE64CD" w:rsidP="00DE64CD">
      <w:pPr>
        <w:pStyle w:val="IFTnormal"/>
      </w:pPr>
      <w:r>
        <w:t>En este sentido, al dividir d</w:t>
      </w:r>
      <w:r w:rsidRPr="00F561CA">
        <w:t xml:space="preserve">icho valor </w:t>
      </w:r>
      <w:r>
        <w:t>entre</w:t>
      </w:r>
      <w:r w:rsidRPr="00F561CA">
        <w:t xml:space="preserve"> total de ingresos obtenidos por el operador </w:t>
      </w:r>
      <w:r>
        <w:t>(según corresponda, renta de línea, voz e Internet) se obtiene la porción que deberá descontarse del precio de referencia para</w:t>
      </w:r>
      <w:r w:rsidRPr="00F561CA">
        <w:t xml:space="preserve"> determinar el nivel tarifario de los correspondientes servicios mayoristas</w:t>
      </w:r>
      <w:r>
        <w:t>, misma que representan el nivel de costos evitados de los servicios de desagregación conforme al alcance de los mismos</w:t>
      </w:r>
      <w:r w:rsidRPr="00F561CA">
        <w:t>.</w:t>
      </w:r>
    </w:p>
    <w:p w14:paraId="2FCAD8AE" w14:textId="1A98AFD7" w:rsidR="00DE64CD" w:rsidRDefault="00E86AA8" w:rsidP="00DE64CD">
      <w:pPr>
        <w:pStyle w:val="IFTnormal"/>
        <w:jc w:val="center"/>
        <w:rPr>
          <w:b/>
        </w:rPr>
      </w:pPr>
      <w:r w:rsidRPr="007054BB">
        <w:rPr>
          <w:noProof/>
          <w:lang w:val="es-MX" w:eastAsia="es-MX"/>
        </w:rPr>
        <mc:AlternateContent>
          <mc:Choice Requires="wps">
            <w:drawing>
              <wp:anchor distT="0" distB="0" distL="114300" distR="114300" simplePos="0" relativeHeight="251658242" behindDoc="0" locked="0" layoutInCell="1" allowOverlap="1" wp14:anchorId="37CE54E6" wp14:editId="72331C6C">
                <wp:simplePos x="0" y="0"/>
                <wp:positionH relativeFrom="margin">
                  <wp:posOffset>460165</wp:posOffset>
                </wp:positionH>
                <wp:positionV relativeFrom="paragraph">
                  <wp:posOffset>907799</wp:posOffset>
                </wp:positionV>
                <wp:extent cx="210264" cy="102686"/>
                <wp:effectExtent l="0" t="0" r="0" b="0"/>
                <wp:wrapNone/>
                <wp:docPr id="12" name="Rectángulo 4"/>
                <wp:cNvGraphicFramePr/>
                <a:graphic xmlns:a="http://schemas.openxmlformats.org/drawingml/2006/main">
                  <a:graphicData uri="http://schemas.microsoft.com/office/word/2010/wordprocessingShape">
                    <wps:wsp>
                      <wps:cNvSpPr/>
                      <wps:spPr>
                        <a:xfrm>
                          <a:off x="0" y="0"/>
                          <a:ext cx="210264" cy="102686"/>
                        </a:xfrm>
                        <a:prstGeom prst="rect">
                          <a:avLst/>
                        </a:prstGeom>
                        <a:solidFill>
                          <a:srgbClr val="C4DD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AAFA5" id="Rectángulo 4" o:spid="_x0000_s1026" style="position:absolute;margin-left:36.25pt;margin-top:71.5pt;width:16.55pt;height:8.1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" fillcolor="#c4dd8e" stroked="f" strokeweight="1pt">
                <w10:wrap anchorx="margin"/>
              </v:rect>
            </w:pict>
          </mc:Fallback>
        </mc:AlternateContent>
      </w:r>
      <w:r w:rsidR="00DE64CD">
        <w:rPr>
          <w:b/>
          <w:noProof/>
          <w:lang w:val="es-MX" w:eastAsia="es-MX"/>
        </w:rPr>
        <w:drawing>
          <wp:inline distT="0" distB="0" distL="0" distR="0" wp14:anchorId="0E88E426" wp14:editId="34A54246">
            <wp:extent cx="6237374" cy="3120284"/>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53872" cy="3128537"/>
                    </a:xfrm>
                    <a:prstGeom prst="rect">
                      <a:avLst/>
                    </a:prstGeom>
                    <a:noFill/>
                  </pic:spPr>
                </pic:pic>
              </a:graphicData>
            </a:graphic>
          </wp:inline>
        </w:drawing>
      </w:r>
    </w:p>
    <w:p w14:paraId="13E76760" w14:textId="5EF66588" w:rsidR="00DE64CD" w:rsidRDefault="000170B6" w:rsidP="00DE64CD">
      <w:pPr>
        <w:pStyle w:val="IFTnormal"/>
        <w:rPr>
          <w:lang w:val="es-MX"/>
        </w:rPr>
      </w:pPr>
      <w:r>
        <w:rPr>
          <w:b/>
          <w:color w:val="000000" w:themeColor="text1"/>
          <w:sz w:val="18"/>
          <w:szCs w:val="18"/>
        </w:rPr>
        <w:t>Figura 1</w:t>
      </w:r>
      <w:r w:rsidR="00CE2ECB">
        <w:rPr>
          <w:b/>
          <w:color w:val="000000" w:themeColor="text1"/>
          <w:sz w:val="18"/>
          <w:szCs w:val="18"/>
        </w:rPr>
        <w:t>1</w:t>
      </w:r>
      <w:r w:rsidR="00DE64CD" w:rsidRPr="005F6455">
        <w:rPr>
          <w:b/>
          <w:color w:val="000000" w:themeColor="text1"/>
          <w:sz w:val="18"/>
          <w:szCs w:val="18"/>
        </w:rPr>
        <w:t>:</w:t>
      </w:r>
      <w:r w:rsidR="00DE64CD" w:rsidRPr="005F6455">
        <w:rPr>
          <w:color w:val="000000" w:themeColor="text1"/>
          <w:sz w:val="18"/>
          <w:szCs w:val="18"/>
        </w:rPr>
        <w:t xml:space="preserve"> Esquema </w:t>
      </w:r>
      <w:r w:rsidR="00DE64CD">
        <w:rPr>
          <w:color w:val="000000" w:themeColor="text1"/>
          <w:sz w:val="18"/>
          <w:szCs w:val="18"/>
        </w:rPr>
        <w:t>de la estimación de los costos evitados en el modelo los elementos o servicios que se incluyen</w:t>
      </w:r>
      <w:r w:rsidR="002F02F0">
        <w:rPr>
          <w:color w:val="000000" w:themeColor="text1"/>
          <w:sz w:val="18"/>
          <w:szCs w:val="18"/>
        </w:rPr>
        <w:t xml:space="preserve"> en los planes y paquetes de Telmex y Telnor</w:t>
      </w:r>
      <w:r w:rsidR="00DE64CD">
        <w:rPr>
          <w:color w:val="000000" w:themeColor="text1"/>
          <w:sz w:val="18"/>
          <w:szCs w:val="18"/>
        </w:rPr>
        <w:t xml:space="preserve"> (</w:t>
      </w:r>
      <w:r w:rsidR="00DE64CD" w:rsidRPr="00AA6F02">
        <w:rPr>
          <w:b/>
          <w:color w:val="000000" w:themeColor="text1"/>
          <w:sz w:val="18"/>
          <w:szCs w:val="18"/>
        </w:rPr>
        <w:t>Fuente:</w:t>
      </w:r>
      <w:r w:rsidR="00DE64CD">
        <w:rPr>
          <w:color w:val="000000" w:themeColor="text1"/>
          <w:sz w:val="18"/>
          <w:szCs w:val="18"/>
        </w:rPr>
        <w:t xml:space="preserve"> IFT).</w:t>
      </w:r>
      <w:r w:rsidR="00E86AA8" w:rsidRPr="00E86AA8">
        <w:rPr>
          <w:lang w:val="es-MX"/>
        </w:rPr>
        <w:t xml:space="preserve"> </w:t>
      </w:r>
    </w:p>
    <w:p w14:paraId="2F759163" w14:textId="77777777" w:rsidR="00DE64CD" w:rsidRPr="0042635C" w:rsidRDefault="00DE64CD" w:rsidP="00DE64CD">
      <w:pPr>
        <w:pStyle w:val="IFTnormal"/>
        <w:rPr>
          <w:b/>
          <w:lang w:val="es-MX"/>
        </w:rPr>
      </w:pPr>
    </w:p>
    <w:p w14:paraId="4C574FB1" w14:textId="77777777" w:rsidR="00DE64CD" w:rsidRDefault="00DE64CD" w:rsidP="00DE64CD">
      <w:pPr>
        <w:pStyle w:val="PuntosC4"/>
        <w:numPr>
          <w:ilvl w:val="3"/>
          <w:numId w:val="40"/>
        </w:numPr>
        <w:ind w:left="993" w:hanging="993"/>
        <w:outlineLvl w:val="2"/>
      </w:pPr>
      <w:r>
        <w:t xml:space="preserve"> </w:t>
      </w:r>
      <w:bookmarkStart w:id="56" w:name="_Ref525627896"/>
      <w:bookmarkStart w:id="57" w:name="_Toc525656730"/>
      <w:bookmarkStart w:id="58" w:name="_Toc51700018"/>
      <w:bookmarkStart w:id="59" w:name="_Toc52188508"/>
      <w:r>
        <w:t>Conceptos relevantes para la definición de costos evitados asociados al SAIB</w:t>
      </w:r>
      <w:bookmarkEnd w:id="56"/>
      <w:bookmarkEnd w:id="57"/>
      <w:bookmarkEnd w:id="58"/>
      <w:bookmarkEnd w:id="59"/>
    </w:p>
    <w:p w14:paraId="4C991324" w14:textId="202FEAAC" w:rsidR="00DE64CD" w:rsidRDefault="00DE64CD" w:rsidP="00DE64CD">
      <w:pPr>
        <w:pStyle w:val="IFTnormal"/>
      </w:pPr>
      <w:r>
        <w:t>Por otra parte, para el caso del SAIB, en el modelo se considera que, derivado de los diferentes niveles en los que se puede llevar a cabo la entrega del tráfico en puertos de acceso indirecto (local, regional o nacional), dicho servicio mayorista hace uso de dive</w:t>
      </w:r>
      <w:r w:rsidR="00B838B7">
        <w:t>rsos segmentos de la red de Telmex y Telnor</w:t>
      </w:r>
      <w:r>
        <w:t>.</w:t>
      </w:r>
      <w:r w:rsidRPr="00DB52DC">
        <w:rPr>
          <w:rFonts w:ascii="Calibri" w:hAnsi="Calibri" w:cs="Times New Roman"/>
          <w:noProof/>
          <w:color w:val="auto"/>
          <w:lang w:val="es-MX" w:eastAsia="es-MX"/>
        </w:rPr>
        <w:t xml:space="preserve"> </w:t>
      </w:r>
      <w:r w:rsidRPr="00A06050">
        <w:t>En este sentido, al dejar de emplear</w:t>
      </w:r>
      <w:r>
        <w:t xml:space="preserve">se </w:t>
      </w:r>
      <w:r w:rsidRPr="00A06050">
        <w:t>segmentos de la red para la provisión de</w:t>
      </w:r>
      <w:r>
        <w:t xml:space="preserve"> </w:t>
      </w:r>
      <w:r w:rsidRPr="00A06050">
        <w:t>l</w:t>
      </w:r>
      <w:r>
        <w:t>os</w:t>
      </w:r>
      <w:r w:rsidRPr="00A06050">
        <w:t xml:space="preserve"> servicios, </w:t>
      </w:r>
      <w:r w:rsidR="002F02F0">
        <w:t>Telmex y Telnor</w:t>
      </w:r>
      <w:r w:rsidRPr="00A06050">
        <w:t xml:space="preserve"> deja</w:t>
      </w:r>
      <w:r w:rsidR="002F02F0">
        <w:t>n</w:t>
      </w:r>
      <w:r w:rsidRPr="00A06050">
        <w:t xml:space="preserve"> de incurrir en los costos asociados a uso de la infraestructura </w:t>
      </w:r>
      <w:r>
        <w:t>presente en dichos segmentos para</w:t>
      </w:r>
      <w:r w:rsidRPr="00A06050">
        <w:t xml:space="preserve"> prestaci</w:t>
      </w:r>
      <w:r>
        <w:t xml:space="preserve">ón del SAIB, con lo cual </w:t>
      </w:r>
      <w:r w:rsidRPr="00A06050">
        <w:t xml:space="preserve">deben considerarse como costos a descontarse </w:t>
      </w:r>
      <w:r>
        <w:t xml:space="preserve">del precio de referencia </w:t>
      </w:r>
      <w:r w:rsidRPr="00A06050">
        <w:t>bajo una metodología de costos evitados.</w:t>
      </w:r>
    </w:p>
    <w:p w14:paraId="27801DC0" w14:textId="77777777" w:rsidR="00DE64CD" w:rsidRDefault="00DE64CD" w:rsidP="00DE64CD">
      <w:pPr>
        <w:pStyle w:val="IFTnormal"/>
        <w:jc w:val="center"/>
      </w:pPr>
      <w:r>
        <w:rPr>
          <w:noProof/>
          <w:lang w:val="es-MX" w:eastAsia="es-MX"/>
        </w:rPr>
        <mc:AlternateContent>
          <mc:Choice Requires="wpg">
            <w:drawing>
              <wp:inline distT="0" distB="0" distL="0" distR="0" wp14:anchorId="42EC414F" wp14:editId="7C925148">
                <wp:extent cx="5384800" cy="2479675"/>
                <wp:effectExtent l="0" t="0" r="25400" b="0"/>
                <wp:docPr id="221" name="Grupo 221"/>
                <wp:cNvGraphicFramePr/>
                <a:graphic xmlns:a="http://schemas.openxmlformats.org/drawingml/2006/main">
                  <a:graphicData uri="http://schemas.microsoft.com/office/word/2010/wordprocessingGroup">
                    <wpg:wgp>
                      <wpg:cNvGrpSpPr/>
                      <wpg:grpSpPr>
                        <a:xfrm>
                          <a:off x="0" y="0"/>
                          <a:ext cx="5384800" cy="2479675"/>
                          <a:chOff x="0" y="0"/>
                          <a:chExt cx="5385133" cy="2479675"/>
                        </a:xfrm>
                      </wpg:grpSpPr>
                      <wpg:grpSp>
                        <wpg:cNvPr id="98" name="Grupo 98"/>
                        <wpg:cNvGrpSpPr/>
                        <wpg:grpSpPr>
                          <a:xfrm>
                            <a:off x="0" y="0"/>
                            <a:ext cx="5303522" cy="2479675"/>
                            <a:chOff x="0" y="0"/>
                            <a:chExt cx="5303522" cy="2479853"/>
                          </a:xfrm>
                        </wpg:grpSpPr>
                        <wpg:grpSp>
                          <wpg:cNvPr id="69" name="Grupo 34"/>
                          <wpg:cNvGrpSpPr/>
                          <wpg:grpSpPr>
                            <a:xfrm>
                              <a:off x="0" y="0"/>
                              <a:ext cx="5303522" cy="2223135"/>
                              <a:chOff x="0" y="-63858"/>
                              <a:chExt cx="6046632" cy="2356427"/>
                            </a:xfrm>
                          </wpg:grpSpPr>
                          <wpg:grpSp>
                            <wpg:cNvPr id="70" name="Grupo 70"/>
                            <wpg:cNvGrpSpPr/>
                            <wpg:grpSpPr>
                              <a:xfrm>
                                <a:off x="0" y="-63858"/>
                                <a:ext cx="6046632" cy="2356427"/>
                                <a:chOff x="0" y="-63858"/>
                                <a:chExt cx="6046632" cy="2356427"/>
                              </a:xfrm>
                            </wpg:grpSpPr>
                            <pic:pic xmlns:pic="http://schemas.openxmlformats.org/drawingml/2006/picture">
                              <pic:nvPicPr>
                                <pic:cNvPr id="71" name="Picture 15" descr="P:\projects\MKGRA\MKGRA062 - Research Icons 2012\Final icons AW\Hous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8749" y="841155"/>
                                  <a:ext cx="599978" cy="599978"/>
                                </a:xfrm>
                                <a:prstGeom prst="rect">
                                  <a:avLst/>
                                </a:prstGeom>
                                <a:noFill/>
                                <a:extLst>
                                  <a:ext uri="{909E8E84-426E-40DD-AFC4-6F175D3DCCD1}">
                                    <a14:hiddenFill xmlns:a14="http://schemas.microsoft.com/office/drawing/2010/main">
                                      <a:solidFill>
                                        <a:srgbClr val="FFFFFF"/>
                                      </a:solidFill>
                                    </a14:hiddenFill>
                                  </a:ext>
                                </a:extLst>
                              </pic:spPr>
                            </pic:pic>
                            <wpg:grpSp>
                              <wpg:cNvPr id="72" name="Group 171"/>
                              <wpg:cNvGrpSpPr/>
                              <wpg:grpSpPr>
                                <a:xfrm>
                                  <a:off x="1918241" y="841155"/>
                                  <a:ext cx="776665" cy="785752"/>
                                  <a:chOff x="1918241" y="841155"/>
                                  <a:chExt cx="776665" cy="785752"/>
                                </a:xfrm>
                              </wpg:grpSpPr>
                              <pic:pic xmlns:pic="http://schemas.openxmlformats.org/drawingml/2006/picture">
                                <pic:nvPicPr>
                                  <pic:cNvPr id="73" name="Picture 2" descr="P:\projects\MKGRA\MKGRA062 - Research Icons 2012\Final icons AW\telecoms-street-cabine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058643" y="841155"/>
                                    <a:ext cx="599978" cy="599978"/>
                                  </a:xfrm>
                                  <a:prstGeom prst="rect">
                                    <a:avLst/>
                                  </a:prstGeom>
                                  <a:noFill/>
                                  <a:extLst>
                                    <a:ext uri="{909E8E84-426E-40DD-AFC4-6F175D3DCCD1}">
                                      <a14:hiddenFill xmlns:a14="http://schemas.microsoft.com/office/drawing/2010/main">
                                        <a:solidFill>
                                          <a:srgbClr val="FFFFFF"/>
                                        </a:solidFill>
                                      </a14:hiddenFill>
                                    </a:ext>
                                  </a:extLst>
                                </pic:spPr>
                              </pic:pic>
                              <wps:wsp>
                                <wps:cNvPr id="74" name="TextBox 173"/>
                                <wps:cNvSpPr txBox="1"/>
                                <wps:spPr>
                                  <a:xfrm>
                                    <a:off x="1918241" y="1396075"/>
                                    <a:ext cx="776665" cy="230832"/>
                                  </a:xfrm>
                                  <a:prstGeom prst="rect">
                                    <a:avLst/>
                                  </a:prstGeom>
                                  <a:noFill/>
                                </wps:spPr>
                                <wps:txbx>
                                  <w:txbxContent>
                                    <w:p w14:paraId="3EA7DE81"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Central</w:t>
                                      </w:r>
                                    </w:p>
                                  </w:txbxContent>
                                </wps:txbx>
                                <wps:bodyPr wrap="square" rtlCol="0" anchor="ctr">
                                  <a:noAutofit/>
                                </wps:bodyPr>
                              </wps:wsp>
                            </wpg:grpSp>
                            <wps:wsp>
                              <wps:cNvPr id="75" name="TextBox 174"/>
                              <wps:cNvSpPr txBox="1"/>
                              <wps:spPr>
                                <a:xfrm>
                                  <a:off x="0" y="1344074"/>
                                  <a:ext cx="672548" cy="282833"/>
                                </a:xfrm>
                                <a:prstGeom prst="rect">
                                  <a:avLst/>
                                </a:prstGeom>
                                <a:noFill/>
                              </wps:spPr>
                              <wps:txbx>
                                <w:txbxContent>
                                  <w:p w14:paraId="7BF036A2"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Hogar</w:t>
                                    </w:r>
                                  </w:p>
                                </w:txbxContent>
                              </wps:txbx>
                              <wps:bodyPr wrap="square" rtlCol="0" anchor="ctr">
                                <a:noAutofit/>
                              </wps:bodyPr>
                            </wps:wsp>
                            <wps:wsp>
                              <wps:cNvPr id="76" name="Oval 175"/>
                              <wps:cNvSpPr/>
                              <wps:spPr>
                                <a:xfrm>
                                  <a:off x="2973089" y="959986"/>
                                  <a:ext cx="2543653" cy="364319"/>
                                </a:xfrm>
                                <a:prstGeom prst="ellipse">
                                  <a:avLst/>
                                </a:prstGeom>
                                <a:noFill/>
                                <a:ln w="25400" cap="flat" cmpd="sng" algn="ctr">
                                  <a:solidFill>
                                    <a:srgbClr val="000000"/>
                                  </a:solidFill>
                                  <a:prstDash val="solid"/>
                                </a:ln>
                                <a:effectLst/>
                              </wps:spPr>
                              <wps:txbx>
                                <w:txbxContent>
                                  <w:p w14:paraId="70CD2524" w14:textId="77777777" w:rsidR="00012570" w:rsidRPr="00A23832" w:rsidRDefault="00012570" w:rsidP="00DE64CD">
                                    <w:pPr>
                                      <w:pStyle w:val="NormalWeb"/>
                                      <w:spacing w:before="0" w:beforeAutospacing="0" w:after="0" w:afterAutospacing="0"/>
                                      <w:jc w:val="center"/>
                                      <w:rPr>
                                        <w:sz w:val="16"/>
                                      </w:rPr>
                                    </w:pPr>
                                    <w:r w:rsidRPr="00A23832">
                                      <w:rPr>
                                        <w:rFonts w:ascii="ITC Avant Garde" w:hAnsi="ITC Avant Garde" w:cstheme="minorBidi"/>
                                        <w:b/>
                                        <w:bCs/>
                                        <w:color w:val="000000"/>
                                        <w:kern w:val="24"/>
                                        <w:sz w:val="18"/>
                                        <w:szCs w:val="28"/>
                                        <w:lang w:val="es-ES_tradnl"/>
                                      </w:rPr>
                                      <w:t>Red del AEP</w:t>
                                    </w:r>
                                  </w:p>
                                </w:txbxContent>
                              </wps:txbx>
                              <wps:bodyPr rtlCol="0" anchor="ctr"/>
                            </wps:wsp>
                            <wps:wsp>
                              <wps:cNvPr id="77" name="Straight Connector 176"/>
                              <wps:cNvCnPr/>
                              <wps:spPr>
                                <a:xfrm>
                                  <a:off x="648727" y="1141144"/>
                                  <a:ext cx="1409916" cy="0"/>
                                </a:xfrm>
                                <a:prstGeom prst="line">
                                  <a:avLst/>
                                </a:prstGeom>
                                <a:noFill/>
                                <a:ln w="28575" cap="flat" cmpd="sng" algn="ctr">
                                  <a:solidFill>
                                    <a:srgbClr val="000000"/>
                                  </a:solidFill>
                                  <a:prstDash val="solid"/>
                                </a:ln>
                                <a:effectLst/>
                              </wps:spPr>
                              <wps:bodyPr/>
                            </wps:wsp>
                            <wps:wsp>
                              <wps:cNvPr id="78" name="Straight Connector 177"/>
                              <wps:cNvCnPr/>
                              <wps:spPr>
                                <a:xfrm>
                                  <a:off x="2658621" y="1141144"/>
                                  <a:ext cx="314468" cy="1002"/>
                                </a:xfrm>
                                <a:prstGeom prst="line">
                                  <a:avLst/>
                                </a:prstGeom>
                                <a:noFill/>
                                <a:ln w="28575" cap="flat" cmpd="sng" algn="ctr">
                                  <a:solidFill>
                                    <a:srgbClr val="000000"/>
                                  </a:solidFill>
                                  <a:prstDash val="solid"/>
                                </a:ln>
                                <a:effectLst/>
                              </wps:spPr>
                              <wps:bodyPr/>
                            </wps:wsp>
                            <wps:wsp>
                              <wps:cNvPr id="79" name="Straight Connector 178"/>
                              <wps:cNvCnPr/>
                              <wps:spPr>
                                <a:xfrm>
                                  <a:off x="3345598" y="1270952"/>
                                  <a:ext cx="75" cy="210283"/>
                                </a:xfrm>
                                <a:prstGeom prst="line">
                                  <a:avLst/>
                                </a:prstGeom>
                                <a:noFill/>
                                <a:ln w="28575" cap="flat" cmpd="sng" algn="ctr">
                                  <a:solidFill>
                                    <a:srgbClr val="000000"/>
                                  </a:solidFill>
                                  <a:prstDash val="solid"/>
                                </a:ln>
                                <a:effectLst/>
                              </wps:spPr>
                              <wps:bodyPr/>
                            </wps:wsp>
                            <wps:wsp>
                              <wps:cNvPr id="80" name="Straight Connector 179"/>
                              <wps:cNvCnPr/>
                              <wps:spPr>
                                <a:xfrm flipH="1">
                                  <a:off x="4244833" y="1324305"/>
                                  <a:ext cx="83" cy="156930"/>
                                </a:xfrm>
                                <a:prstGeom prst="line">
                                  <a:avLst/>
                                </a:prstGeom>
                                <a:noFill/>
                                <a:ln w="28575" cap="flat" cmpd="sng" algn="ctr">
                                  <a:solidFill>
                                    <a:srgbClr val="000000"/>
                                  </a:solidFill>
                                  <a:prstDash val="solid"/>
                                </a:ln>
                                <a:effectLst/>
                              </wps:spPr>
                              <wps:bodyPr/>
                            </wps:wsp>
                            <wps:wsp>
                              <wps:cNvPr id="81" name="Straight Connector 180"/>
                              <wps:cNvCnPr/>
                              <wps:spPr>
                                <a:xfrm flipH="1">
                                  <a:off x="5143993" y="1270952"/>
                                  <a:ext cx="240" cy="210283"/>
                                </a:xfrm>
                                <a:prstGeom prst="line">
                                  <a:avLst/>
                                </a:prstGeom>
                                <a:noFill/>
                                <a:ln w="28575" cap="flat" cmpd="sng" algn="ctr">
                                  <a:solidFill>
                                    <a:srgbClr val="000000"/>
                                  </a:solidFill>
                                  <a:prstDash val="solid"/>
                                </a:ln>
                                <a:effectLst/>
                              </wps:spPr>
                              <wps:bodyPr/>
                            </wps:wsp>
                            <wpg:grpSp>
                              <wpg:cNvPr id="82" name="Group 181"/>
                              <wpg:cNvGrpSpPr/>
                              <wpg:grpSpPr>
                                <a:xfrm>
                                  <a:off x="3009399" y="1481235"/>
                                  <a:ext cx="672548" cy="692310"/>
                                  <a:chOff x="3009399" y="1481235"/>
                                  <a:chExt cx="672548" cy="692310"/>
                                </a:xfrm>
                              </wpg:grpSpPr>
                              <pic:pic xmlns:pic="http://schemas.openxmlformats.org/drawingml/2006/picture">
                                <pic:nvPicPr>
                                  <pic:cNvPr id="83" name="Picture 7" descr="P:\projects\MKGRA\MKGRA062 - Research Icons 2012\Final icons AW\Clou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045684" y="1481235"/>
                                    <a:ext cx="599978" cy="599978"/>
                                  </a:xfrm>
                                  <a:prstGeom prst="rect">
                                    <a:avLst/>
                                  </a:prstGeom>
                                  <a:noFill/>
                                  <a:extLst>
                                    <a:ext uri="{909E8E84-426E-40DD-AFC4-6F175D3DCCD1}">
                                      <a14:hiddenFill xmlns:a14="http://schemas.microsoft.com/office/drawing/2010/main">
                                        <a:solidFill>
                                          <a:srgbClr val="FFFFFF"/>
                                        </a:solidFill>
                                      </a14:hiddenFill>
                                    </a:ext>
                                  </a:extLst>
                                </pic:spPr>
                              </pic:pic>
                              <wps:wsp>
                                <wps:cNvPr id="84" name="TextBox 183"/>
                                <wps:cNvSpPr txBox="1"/>
                                <wps:spPr>
                                  <a:xfrm>
                                    <a:off x="3009399" y="1942713"/>
                                    <a:ext cx="672548" cy="230832"/>
                                  </a:xfrm>
                                  <a:prstGeom prst="rect">
                                    <a:avLst/>
                                  </a:prstGeom>
                                  <a:noFill/>
                                </wps:spPr>
                                <wps:txbx>
                                  <w:txbxContent>
                                    <w:p w14:paraId="4B9A8051"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Local</w:t>
                                      </w:r>
                                    </w:p>
                                  </w:txbxContent>
                                </wps:txbx>
                                <wps:bodyPr wrap="square" rtlCol="0" anchor="ctr">
                                  <a:noAutofit/>
                                </wps:bodyPr>
                              </wps:wsp>
                            </wpg:grpSp>
                            <wpg:grpSp>
                              <wpg:cNvPr id="85" name="Group 184"/>
                              <wpg:cNvGrpSpPr/>
                              <wpg:grpSpPr>
                                <a:xfrm>
                                  <a:off x="3838024" y="1441147"/>
                                  <a:ext cx="813783" cy="779158"/>
                                  <a:chOff x="3838024" y="1441147"/>
                                  <a:chExt cx="813783" cy="779158"/>
                                </a:xfrm>
                              </wpg:grpSpPr>
                              <pic:pic xmlns:pic="http://schemas.openxmlformats.org/drawingml/2006/picture">
                                <pic:nvPicPr>
                                  <pic:cNvPr id="86" name="Picture 7" descr="P:\projects\MKGRA\MKGRA062 - Research Icons 2012\Final icons AW\Clou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903145" y="1441147"/>
                                    <a:ext cx="599978" cy="599978"/>
                                  </a:xfrm>
                                  <a:prstGeom prst="rect">
                                    <a:avLst/>
                                  </a:prstGeom>
                                  <a:noFill/>
                                  <a:extLst>
                                    <a:ext uri="{909E8E84-426E-40DD-AFC4-6F175D3DCCD1}">
                                      <a14:hiddenFill xmlns:a14="http://schemas.microsoft.com/office/drawing/2010/main">
                                        <a:solidFill>
                                          <a:srgbClr val="FFFFFF"/>
                                        </a:solidFill>
                                      </a14:hiddenFill>
                                    </a:ext>
                                  </a:extLst>
                                </pic:spPr>
                              </pic:pic>
                              <wps:wsp>
                                <wps:cNvPr id="87" name="TextBox 186"/>
                                <wps:cNvSpPr txBox="1"/>
                                <wps:spPr>
                                  <a:xfrm>
                                    <a:off x="3838024" y="1937883"/>
                                    <a:ext cx="813783" cy="282422"/>
                                  </a:xfrm>
                                  <a:prstGeom prst="rect">
                                    <a:avLst/>
                                  </a:prstGeom>
                                  <a:noFill/>
                                </wps:spPr>
                                <wps:txbx>
                                  <w:txbxContent>
                                    <w:p w14:paraId="135124DB"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Regional</w:t>
                                      </w:r>
                                    </w:p>
                                  </w:txbxContent>
                                </wps:txbx>
                                <wps:bodyPr wrap="square" rtlCol="0" anchor="ctr">
                                  <a:noAutofit/>
                                </wps:bodyPr>
                              </wps:wsp>
                            </wpg:grpSp>
                            <wpg:grpSp>
                              <wpg:cNvPr id="88" name="Group 187"/>
                              <wpg:cNvGrpSpPr/>
                              <wpg:grpSpPr>
                                <a:xfrm>
                                  <a:off x="4730178" y="1481235"/>
                                  <a:ext cx="813783" cy="687480"/>
                                  <a:chOff x="4730178" y="1481235"/>
                                  <a:chExt cx="813783" cy="687480"/>
                                </a:xfrm>
                              </wpg:grpSpPr>
                              <pic:pic xmlns:pic="http://schemas.openxmlformats.org/drawingml/2006/picture">
                                <pic:nvPicPr>
                                  <pic:cNvPr id="89" name="Picture 7" descr="P:\projects\MKGRA\MKGRA062 - Research Icons 2012\Final icons AW\Clou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844004" y="1481235"/>
                                    <a:ext cx="599978" cy="599978"/>
                                  </a:xfrm>
                                  <a:prstGeom prst="rect">
                                    <a:avLst/>
                                  </a:prstGeom>
                                  <a:noFill/>
                                  <a:extLst>
                                    <a:ext uri="{909E8E84-426E-40DD-AFC4-6F175D3DCCD1}">
                                      <a14:hiddenFill xmlns:a14="http://schemas.microsoft.com/office/drawing/2010/main">
                                        <a:solidFill>
                                          <a:srgbClr val="FFFFFF"/>
                                        </a:solidFill>
                                      </a14:hiddenFill>
                                    </a:ext>
                                  </a:extLst>
                                </pic:spPr>
                              </pic:pic>
                              <wps:wsp>
                                <wps:cNvPr id="90" name="TextBox 189"/>
                                <wps:cNvSpPr txBox="1"/>
                                <wps:spPr>
                                  <a:xfrm>
                                    <a:off x="4730178" y="1937883"/>
                                    <a:ext cx="813783" cy="230832"/>
                                  </a:xfrm>
                                  <a:prstGeom prst="rect">
                                    <a:avLst/>
                                  </a:prstGeom>
                                  <a:noFill/>
                                </wps:spPr>
                                <wps:txbx>
                                  <w:txbxContent>
                                    <w:p w14:paraId="2B7C217D"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Nacional</w:t>
                                      </w:r>
                                    </w:p>
                                  </w:txbxContent>
                                </wps:txbx>
                                <wps:bodyPr wrap="square" rtlCol="0" anchor="ctr">
                                  <a:noAutofit/>
                                </wps:bodyPr>
                              </wps:wsp>
                            </wpg:grpSp>
                            <pic:pic xmlns:pic="http://schemas.openxmlformats.org/drawingml/2006/picture">
                              <pic:nvPicPr>
                                <pic:cNvPr id="91" name="Picture 15" descr="P:\projects\MKGRA\MKGRA062 - Research Icons 2012\Final icons AW\Hous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8749" y="1692591"/>
                                  <a:ext cx="599978" cy="599978"/>
                                </a:xfrm>
                                <a:prstGeom prst="rect">
                                  <a:avLst/>
                                </a:prstGeom>
                                <a:noFill/>
                                <a:extLst>
                                  <a:ext uri="{909E8E84-426E-40DD-AFC4-6F175D3DCCD1}">
                                    <a14:hiddenFill xmlns:a14="http://schemas.microsoft.com/office/drawing/2010/main">
                                      <a:solidFill>
                                        <a:srgbClr val="FFFFFF"/>
                                      </a:solidFill>
                                    </a14:hiddenFill>
                                  </a:ext>
                                </a:extLst>
                              </pic:spPr>
                            </pic:pic>
                            <wps:wsp>
                              <wps:cNvPr id="92" name="Elbow Connector 191"/>
                              <wps:cNvCnPr/>
                              <wps:spPr>
                                <a:xfrm flipV="1">
                                  <a:off x="648727" y="1141144"/>
                                  <a:ext cx="1409916" cy="851436"/>
                                </a:xfrm>
                                <a:prstGeom prst="bentConnector3">
                                  <a:avLst/>
                                </a:prstGeom>
                                <a:noFill/>
                                <a:ln w="28575" cap="flat" cmpd="sng" algn="ctr">
                                  <a:solidFill>
                                    <a:srgbClr val="000000"/>
                                  </a:solidFill>
                                  <a:prstDash val="solid"/>
                                </a:ln>
                                <a:effectLst/>
                              </wps:spPr>
                              <wps:bodyPr/>
                            </wps:wsp>
                            <wps:wsp>
                              <wps:cNvPr id="93" name="TextBox 193"/>
                              <wps:cNvSpPr txBox="1"/>
                              <wps:spPr>
                                <a:xfrm>
                                  <a:off x="3591661" y="-63858"/>
                                  <a:ext cx="2454971" cy="524240"/>
                                </a:xfrm>
                                <a:prstGeom prst="rect">
                                  <a:avLst/>
                                </a:prstGeom>
                                <a:noFill/>
                              </wps:spPr>
                              <wps:txbx>
                                <w:txbxContent>
                                  <w:p w14:paraId="0851DE9C" w14:textId="77777777" w:rsidR="00012570" w:rsidRDefault="00012570" w:rsidP="00DE64CD">
                                    <w:pPr>
                                      <w:pStyle w:val="NormalWeb"/>
                                      <w:spacing w:before="0" w:beforeAutospacing="0" w:after="0" w:afterAutospacing="0"/>
                                      <w:jc w:val="both"/>
                                    </w:pPr>
                                    <w:r>
                                      <w:rPr>
                                        <w:rFonts w:ascii="ITC Avant Garde" w:hAnsi="ITC Avant Garde" w:cstheme="minorBidi"/>
                                        <w:color w:val="000000" w:themeColor="text1"/>
                                        <w:kern w:val="24"/>
                                        <w:sz w:val="18"/>
                                        <w:szCs w:val="18"/>
                                        <w:lang w:val="es-ES_tradnl"/>
                                      </w:rPr>
                                      <w:t xml:space="preserve">Segmento de red </w:t>
                                    </w:r>
                                    <w:r>
                                      <w:rPr>
                                        <w:rFonts w:ascii="ITC Avant Garde" w:hAnsi="ITC Avant Garde" w:cstheme="minorBidi"/>
                                        <w:b/>
                                        <w:bCs/>
                                        <w:color w:val="000000" w:themeColor="text1"/>
                                        <w:kern w:val="24"/>
                                        <w:sz w:val="18"/>
                                        <w:szCs w:val="18"/>
                                        <w:lang w:val="es-ES_tradnl"/>
                                      </w:rPr>
                                      <w:t xml:space="preserve">no usado </w:t>
                                    </w:r>
                                    <w:r>
                                      <w:rPr>
                                        <w:rFonts w:ascii="ITC Avant Garde" w:hAnsi="ITC Avant Garde" w:cstheme="minorBidi"/>
                                        <w:color w:val="000000" w:themeColor="text1"/>
                                        <w:kern w:val="24"/>
                                        <w:sz w:val="18"/>
                                        <w:szCs w:val="18"/>
                                        <w:lang w:val="es-ES_tradnl"/>
                                      </w:rPr>
                                      <w:t>por el SAIB con entrega de tráfico a nivel local</w:t>
                                    </w:r>
                                  </w:p>
                                </w:txbxContent>
                              </wps:txbx>
                              <wps:bodyPr wrap="square" rtlCol="0" anchor="ctr">
                                <a:noAutofit/>
                              </wps:bodyPr>
                            </wps:wsp>
                            <wps:wsp>
                              <wps:cNvPr id="94" name="Right Brace 194"/>
                              <wps:cNvSpPr/>
                              <wps:spPr>
                                <a:xfrm rot="16200000">
                                  <a:off x="4809215" y="-655106"/>
                                  <a:ext cx="107306" cy="2367525"/>
                                </a:xfrm>
                                <a:prstGeom prst="rightBrace">
                                  <a:avLst>
                                    <a:gd name="adj1" fmla="val 80702"/>
                                    <a:gd name="adj2" fmla="val 50000"/>
                                  </a:avLst>
                                </a:prstGeom>
                                <a:noFill/>
                                <a:ln w="19050" cap="flat" cmpd="sng" algn="ctr">
                                  <a:solidFill>
                                    <a:srgbClr val="C00000"/>
                                  </a:solidFill>
                                  <a:prstDash val="solid"/>
                                </a:ln>
                                <a:effectLst/>
                              </wps:spPr>
                              <wps:bodyPr rtlCol="0" anchor="ctr"/>
                            </wps:wsp>
                            <wps:wsp>
                              <wps:cNvPr id="95" name="TextBox 195"/>
                              <wps:cNvSpPr txBox="1"/>
                              <wps:spPr>
                                <a:xfrm>
                                  <a:off x="1722609" y="170890"/>
                                  <a:ext cx="486582" cy="230832"/>
                                </a:xfrm>
                                <a:prstGeom prst="rect">
                                  <a:avLst/>
                                </a:prstGeom>
                                <a:noFill/>
                              </wps:spPr>
                              <wps:txbx>
                                <w:txbxContent>
                                  <w:p w14:paraId="6DB1F135" w14:textId="77777777" w:rsidR="00012570" w:rsidRPr="00A23832" w:rsidRDefault="00012570" w:rsidP="00DE64CD">
                                    <w:pPr>
                                      <w:pStyle w:val="NormalWeb"/>
                                      <w:spacing w:before="0" w:beforeAutospacing="0" w:after="0" w:afterAutospacing="0"/>
                                      <w:rPr>
                                        <w:b/>
                                      </w:rPr>
                                    </w:pPr>
                                    <w:r w:rsidRPr="00A23832">
                                      <w:rPr>
                                        <w:rFonts w:ascii="ITC Avant Garde" w:hAnsi="ITC Avant Garde" w:cstheme="minorBidi"/>
                                        <w:b/>
                                        <w:color w:val="000000" w:themeColor="text1"/>
                                        <w:kern w:val="24"/>
                                        <w:sz w:val="18"/>
                                        <w:szCs w:val="18"/>
                                        <w:lang w:val="es-ES_tradnl"/>
                                      </w:rPr>
                                      <w:t>SAIB</w:t>
                                    </w:r>
                                  </w:p>
                                </w:txbxContent>
                              </wps:txbx>
                              <wps:bodyPr wrap="square" rtlCol="0" anchor="ctr">
                                <a:noAutofit/>
                              </wps:bodyPr>
                            </wps:wsp>
                          </wpg:grpSp>
                          <wps:wsp>
                            <wps:cNvPr id="96" name="Right Brace 194"/>
                            <wps:cNvSpPr/>
                            <wps:spPr>
                              <a:xfrm rot="16200000">
                                <a:off x="1857881" y="-1152333"/>
                                <a:ext cx="107176" cy="3362192"/>
                              </a:xfrm>
                              <a:prstGeom prst="rightBrace">
                                <a:avLst>
                                  <a:gd name="adj1" fmla="val 80702"/>
                                  <a:gd name="adj2" fmla="val 50000"/>
                                </a:avLst>
                              </a:prstGeom>
                              <a:noFill/>
                              <a:ln w="19050" cap="flat" cmpd="sng" algn="ctr">
                                <a:solidFill>
                                  <a:srgbClr val="C00000"/>
                                </a:solidFill>
                                <a:prstDash val="solid"/>
                              </a:ln>
                              <a:effectLst/>
                            </wps:spPr>
                            <wps:bodyPr rtlCol="0" anchor="ctr"/>
                          </wps:wsp>
                        </wpg:grpSp>
                        <wps:wsp>
                          <wps:cNvPr id="97" name="TextBox 174"/>
                          <wps:cNvSpPr txBox="1"/>
                          <wps:spPr>
                            <a:xfrm>
                              <a:off x="0" y="2223821"/>
                              <a:ext cx="589894" cy="256032"/>
                            </a:xfrm>
                            <a:prstGeom prst="rect">
                              <a:avLst/>
                            </a:prstGeom>
                            <a:noFill/>
                          </wps:spPr>
                          <wps:txbx>
                            <w:txbxContent>
                              <w:p w14:paraId="58EFE52F"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Hogar</w:t>
                                </w:r>
                              </w:p>
                            </w:txbxContent>
                          </wps:txbx>
                          <wps:bodyPr wrap="square" rtlCol="0" anchor="ctr">
                            <a:noAutofit/>
                          </wps:bodyPr>
                        </wps:wsp>
                      </wpg:grpSp>
                      <wps:wsp>
                        <wps:cNvPr id="65" name="Straight Connector 177"/>
                        <wps:cNvCnPr/>
                        <wps:spPr>
                          <a:xfrm flipV="1">
                            <a:off x="4845133" y="1140031"/>
                            <a:ext cx="540000" cy="0"/>
                          </a:xfrm>
                          <a:prstGeom prst="line">
                            <a:avLst/>
                          </a:prstGeom>
                          <a:ln w="28575">
                            <a:solidFill>
                              <a:srgbClr val="000000"/>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2EC414F" id="Grupo 221" o:spid="_x0000_s1036" style="width:424pt;height:195.25pt;mso-position-horizontal-relative:char;mso-position-vertical-relative:line" coordsize="53851,24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">
                <v:group id="Grupo 98" o:spid="_x0000_s1037" style="position:absolute;width:53035;height:24796" coordsize="53035,2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upo 34" o:spid="_x0000_s1038" style="position:absolute;width:53035;height:22231" coordorigin=",-638" coordsize="60466,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upo 70" o:spid="_x0000_s1039" style="position:absolute;top:-638;width:60466;height:23563" coordorigin=",-638" coordsize="60466,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40" type="#_x0000_t75" style="position:absolute;left:487;top:8411;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">
                        <v:imagedata r:id="rId29" o:title="House"/>
                      </v:shape>
                      <v:group id="Group 171" o:spid="_x0000_s1041" style="position:absolute;left:19182;top:8411;width:7767;height:7858" coordorigin="19182,8411" coordsize="7766,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Picture 2" o:spid="_x0000_s1042" type="#_x0000_t75" style="position:absolute;left:20586;top:8411;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">
                          <v:imagedata r:id="rId30" o:title="telecoms-street-cabinet"/>
                        </v:shape>
                        <v:shape id="TextBox 173" o:spid="_x0000_s1043" type="#_x0000_t202" style="position:absolute;left:19182;top:13960;width:7767;height: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" filled="f" stroked="f">
                          <v:textbox>
                            <w:txbxContent>
                              <w:p w14:paraId="3EA7DE81"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Central</w:t>
                                </w:r>
                              </w:p>
                            </w:txbxContent>
                          </v:textbox>
                        </v:shape>
                      </v:group>
                      <v:shape id="TextBox 174" o:spid="_x0000_s1044" type="#_x0000_t202" style="position:absolute;top:13440;width:6725;height:2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" filled="f" stroked="f">
                        <v:textbox>
                          <w:txbxContent>
                            <w:p w14:paraId="7BF036A2"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Hogar</w:t>
                              </w:r>
                            </w:p>
                          </w:txbxContent>
                        </v:textbox>
                      </v:shape>
                      <v:oval id="Oval 175" o:spid="_x0000_s1045" style="position:absolute;left:29730;top:9599;width:25437;height:3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" filled="f" strokeweight="2pt">
                        <v:textbox>
                          <w:txbxContent>
                            <w:p w14:paraId="70CD2524" w14:textId="77777777" w:rsidR="00012570" w:rsidRPr="00A23832" w:rsidRDefault="00012570" w:rsidP="00DE64CD">
                              <w:pPr>
                                <w:pStyle w:val="NormalWeb"/>
                                <w:spacing w:before="0" w:beforeAutospacing="0" w:after="0" w:afterAutospacing="0"/>
                                <w:jc w:val="center"/>
                                <w:rPr>
                                  <w:sz w:val="16"/>
                                </w:rPr>
                              </w:pPr>
                              <w:r w:rsidRPr="00A23832">
                                <w:rPr>
                                  <w:rFonts w:ascii="ITC Avant Garde" w:hAnsi="ITC Avant Garde" w:cstheme="minorBidi"/>
                                  <w:b/>
                                  <w:bCs/>
                                  <w:color w:val="000000"/>
                                  <w:kern w:val="24"/>
                                  <w:sz w:val="18"/>
                                  <w:szCs w:val="28"/>
                                  <w:lang w:val="es-ES_tradnl"/>
                                </w:rPr>
                                <w:t>Red del AEP</w:t>
                              </w:r>
                            </w:p>
                          </w:txbxContent>
                        </v:textbox>
                      </v:oval>
                      <v:line id="Straight Connector 176" o:spid="_x0000_s1046" style="position:absolute;visibility:visible;mso-wrap-style:square" from="6487,11411" to="20586,1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" strokeweight="2.25pt"/>
                      <v:line id="Straight Connector 177" o:spid="_x0000_s1047" style="position:absolute;visibility:visible;mso-wrap-style:square" from="26586,11411" to="29730,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" strokeweight="2.25pt"/>
                      <v:line id="Straight Connector 178" o:spid="_x0000_s1048" style="position:absolute;visibility:visible;mso-wrap-style:square" from="33455,12709" to="33456,14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" strokeweight="2.25pt"/>
                      <v:line id="Straight Connector 179" o:spid="_x0000_s1049" style="position:absolute;flip:x;visibility:visible;mso-wrap-style:square" from="42448,13243" to="42449,14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" strokeweight="2.25pt"/>
                      <v:line id="Straight Connector 180" o:spid="_x0000_s1050" style="position:absolute;flip:x;visibility:visible;mso-wrap-style:square" from="51439,12709" to="51442,14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" strokeweight="2.25pt"/>
                      <v:group id="Group 181" o:spid="_x0000_s1051" style="position:absolute;left:30093;top:14812;width:6726;height:6923" coordorigin="30093,14812" coordsize="6725,6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Picture 7" o:spid="_x0000_s1052" type="#_x0000_t75" style="position:absolute;left:30456;top:14812;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">
                          <v:imagedata r:id="rId31" o:title="Cloud"/>
                        </v:shape>
                        <v:shape id="TextBox 183" o:spid="_x0000_s1053" type="#_x0000_t202" style="position:absolute;left:30093;top:19427;width:6726;height:2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" filled="f" stroked="f">
                          <v:textbox>
                            <w:txbxContent>
                              <w:p w14:paraId="4B9A8051"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Local</w:t>
                                </w:r>
                              </w:p>
                            </w:txbxContent>
                          </v:textbox>
                        </v:shape>
                      </v:group>
                      <v:group id="Group 184" o:spid="_x0000_s1054" style="position:absolute;left:38380;top:14411;width:8138;height:7792" coordorigin="38380,14411" coordsize="8137,7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Picture 7" o:spid="_x0000_s1055" type="#_x0000_t75" style="position:absolute;left:39031;top:14411;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">
                          <v:imagedata r:id="rId31" o:title="Cloud"/>
                        </v:shape>
                        <v:shape id="TextBox 186" o:spid="_x0000_s1056" type="#_x0000_t202" style="position:absolute;left:38380;top:19378;width:8138;height:2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" filled="f" stroked="f">
                          <v:textbox>
                            <w:txbxContent>
                              <w:p w14:paraId="135124DB"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Regional</w:t>
                                </w:r>
                              </w:p>
                            </w:txbxContent>
                          </v:textbox>
                        </v:shape>
                      </v:group>
                      <v:group id="Group 187" o:spid="_x0000_s1057" style="position:absolute;left:47301;top:14812;width:8138;height:6875" coordorigin="47301,14812" coordsize="8137,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Picture 7" o:spid="_x0000_s1058" type="#_x0000_t75" style="position:absolute;left:48440;top:14812;width:5999;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">
                          <v:imagedata r:id="rId31" o:title="Cloud"/>
                        </v:shape>
                        <v:shape id="TextBox 189" o:spid="_x0000_s1059" type="#_x0000_t202" style="position:absolute;left:47301;top:19378;width:8138;height: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" filled="f" stroked="f">
                          <v:textbox>
                            <w:txbxContent>
                              <w:p w14:paraId="2B7C217D"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Nacional</w:t>
                                </w:r>
                              </w:p>
                            </w:txbxContent>
                          </v:textbox>
                        </v:shape>
                      </v:group>
                      <v:shape id="Picture 15" o:spid="_x0000_s1060" type="#_x0000_t75" style="position:absolute;left:487;top:16925;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">
                        <v:imagedata r:id="rId29" o:title="Hous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1" o:spid="_x0000_s1061" type="#_x0000_t34" style="position:absolute;left:6487;top:11411;width:14099;height:851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" strokeweight="2.25pt"/>
                      <v:shape id="TextBox 193" o:spid="_x0000_s1062" type="#_x0000_t202" style="position:absolute;left:35916;top:-638;width:24550;height:5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" filled="f" stroked="f">
                        <v:textbox>
                          <w:txbxContent>
                            <w:p w14:paraId="0851DE9C" w14:textId="77777777" w:rsidR="00012570" w:rsidRDefault="00012570" w:rsidP="00DE64CD">
                              <w:pPr>
                                <w:pStyle w:val="NormalWeb"/>
                                <w:spacing w:before="0" w:beforeAutospacing="0" w:after="0" w:afterAutospacing="0"/>
                                <w:jc w:val="both"/>
                              </w:pPr>
                              <w:r>
                                <w:rPr>
                                  <w:rFonts w:ascii="ITC Avant Garde" w:hAnsi="ITC Avant Garde" w:cstheme="minorBidi"/>
                                  <w:color w:val="000000" w:themeColor="text1"/>
                                  <w:kern w:val="24"/>
                                  <w:sz w:val="18"/>
                                  <w:szCs w:val="18"/>
                                  <w:lang w:val="es-ES_tradnl"/>
                                </w:rPr>
                                <w:t xml:space="preserve">Segmento de red </w:t>
                              </w:r>
                              <w:r>
                                <w:rPr>
                                  <w:rFonts w:ascii="ITC Avant Garde" w:hAnsi="ITC Avant Garde" w:cstheme="minorBidi"/>
                                  <w:b/>
                                  <w:bCs/>
                                  <w:color w:val="000000" w:themeColor="text1"/>
                                  <w:kern w:val="24"/>
                                  <w:sz w:val="18"/>
                                  <w:szCs w:val="18"/>
                                  <w:lang w:val="es-ES_tradnl"/>
                                </w:rPr>
                                <w:t xml:space="preserve">no usado </w:t>
                              </w:r>
                              <w:r>
                                <w:rPr>
                                  <w:rFonts w:ascii="ITC Avant Garde" w:hAnsi="ITC Avant Garde" w:cstheme="minorBidi"/>
                                  <w:color w:val="000000" w:themeColor="text1"/>
                                  <w:kern w:val="24"/>
                                  <w:sz w:val="18"/>
                                  <w:szCs w:val="18"/>
                                  <w:lang w:val="es-ES_tradnl"/>
                                </w:rPr>
                                <w:t>por el SAIB con entrega de tráfico a nivel local</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94" o:spid="_x0000_s1063" type="#_x0000_t88" style="position:absolute;left:48092;top:-6551;width:1073;height:236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" adj="790" strokecolor="#c00000" strokeweight="1.5pt"/>
                      <v:shape id="TextBox 195" o:spid="_x0000_s1064" type="#_x0000_t202" style="position:absolute;left:17226;top:1708;width:4865;height: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" filled="f" stroked="f">
                        <v:textbox>
                          <w:txbxContent>
                            <w:p w14:paraId="6DB1F135" w14:textId="77777777" w:rsidR="00012570" w:rsidRPr="00A23832" w:rsidRDefault="00012570" w:rsidP="00DE64CD">
                              <w:pPr>
                                <w:pStyle w:val="NormalWeb"/>
                                <w:spacing w:before="0" w:beforeAutospacing="0" w:after="0" w:afterAutospacing="0"/>
                                <w:rPr>
                                  <w:b/>
                                </w:rPr>
                              </w:pPr>
                              <w:r w:rsidRPr="00A23832">
                                <w:rPr>
                                  <w:rFonts w:ascii="ITC Avant Garde" w:hAnsi="ITC Avant Garde" w:cstheme="minorBidi"/>
                                  <w:b/>
                                  <w:color w:val="000000" w:themeColor="text1"/>
                                  <w:kern w:val="24"/>
                                  <w:sz w:val="18"/>
                                  <w:szCs w:val="18"/>
                                  <w:lang w:val="es-ES_tradnl"/>
                                </w:rPr>
                                <w:t>SAIB</w:t>
                              </w:r>
                            </w:p>
                          </w:txbxContent>
                        </v:textbox>
                      </v:shape>
                    </v:group>
                    <v:shape id="Right Brace 194" o:spid="_x0000_s1065" type="#_x0000_t88" style="position:absolute;left:18578;top:-11524;width:1072;height:336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" adj="556" strokecolor="#c00000" strokeweight="1.5pt"/>
                  </v:group>
                  <v:shape id="TextBox 174" o:spid="_x0000_s1066" type="#_x0000_t202" style="position:absolute;top:22238;width:5898;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" filled="f" stroked="f">
                    <v:textbox>
                      <w:txbxContent>
                        <w:p w14:paraId="58EFE52F"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Hogar</w:t>
                          </w:r>
                        </w:p>
                      </w:txbxContent>
                    </v:textbox>
                  </v:shape>
                </v:group>
                <v:line id="Straight Connector 177" o:spid="_x0000_s1067" style="position:absolute;flip:y;visibility:visible;mso-wrap-style:square" from="48451,11400" to="53851,1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" strokeweight="2.25pt">
                  <v:stroke dashstyle="3 1" joinstyle="miter"/>
                </v:line>
                <w10:anchorlock/>
              </v:group>
            </w:pict>
          </mc:Fallback>
        </mc:AlternateContent>
      </w:r>
    </w:p>
    <w:p w14:paraId="79022823" w14:textId="392BED74" w:rsidR="00DE64CD" w:rsidRDefault="00CE2ECB" w:rsidP="00DE64CD">
      <w:pPr>
        <w:pStyle w:val="IFTnormal"/>
        <w:ind w:left="567" w:right="615"/>
        <w:rPr>
          <w:color w:val="000000" w:themeColor="text1"/>
          <w:sz w:val="18"/>
          <w:szCs w:val="18"/>
        </w:rPr>
      </w:pPr>
      <w:r>
        <w:rPr>
          <w:b/>
          <w:color w:val="000000" w:themeColor="text1"/>
          <w:sz w:val="18"/>
          <w:szCs w:val="18"/>
        </w:rPr>
        <w:t>Figura 12</w:t>
      </w:r>
      <w:r w:rsidR="00DE64CD" w:rsidRPr="005F6455">
        <w:rPr>
          <w:b/>
          <w:color w:val="000000" w:themeColor="text1"/>
          <w:sz w:val="18"/>
          <w:szCs w:val="18"/>
        </w:rPr>
        <w:t>:</w:t>
      </w:r>
      <w:r w:rsidR="00DE64CD" w:rsidRPr="005F6455">
        <w:rPr>
          <w:color w:val="000000" w:themeColor="text1"/>
          <w:sz w:val="18"/>
          <w:szCs w:val="18"/>
        </w:rPr>
        <w:t xml:space="preserve"> Esquema </w:t>
      </w:r>
      <w:r w:rsidR="00DE64CD">
        <w:rPr>
          <w:color w:val="000000" w:themeColor="text1"/>
          <w:sz w:val="18"/>
          <w:szCs w:val="18"/>
        </w:rPr>
        <w:t xml:space="preserve">del SAIB con entrega de tráfico a nivel local </w:t>
      </w:r>
      <w:r w:rsidR="002F02F0">
        <w:rPr>
          <w:color w:val="000000" w:themeColor="text1"/>
          <w:sz w:val="18"/>
          <w:szCs w:val="18"/>
        </w:rPr>
        <w:t>y del segmento de la red de Telmex y Telnor</w:t>
      </w:r>
      <w:r w:rsidR="00DE64CD">
        <w:rPr>
          <w:color w:val="000000" w:themeColor="text1"/>
          <w:sz w:val="18"/>
          <w:szCs w:val="18"/>
        </w:rPr>
        <w:t xml:space="preserve"> no usado por dicho servicio de desagregación</w:t>
      </w:r>
    </w:p>
    <w:p w14:paraId="62CABB4D" w14:textId="77777777" w:rsidR="00DE64CD" w:rsidRPr="005F6455" w:rsidRDefault="00DE64CD" w:rsidP="00DE64CD">
      <w:pPr>
        <w:pStyle w:val="IFTnormal"/>
        <w:ind w:left="567" w:right="615"/>
        <w:rPr>
          <w:color w:val="000000" w:themeColor="text1"/>
          <w:sz w:val="18"/>
          <w:szCs w:val="18"/>
          <w:lang w:eastAsia="es-MX"/>
        </w:rPr>
      </w:pPr>
      <w:r>
        <w:rPr>
          <w:noProof/>
          <w:lang w:val="es-MX" w:eastAsia="es-MX"/>
        </w:rPr>
        <mc:AlternateContent>
          <mc:Choice Requires="wpg">
            <w:drawing>
              <wp:inline distT="0" distB="0" distL="0" distR="0" wp14:anchorId="14453257" wp14:editId="3DA8FEC2">
                <wp:extent cx="5442585" cy="2662571"/>
                <wp:effectExtent l="0" t="0" r="24765" b="0"/>
                <wp:docPr id="222" name="Grupo 222"/>
                <wp:cNvGraphicFramePr/>
                <a:graphic xmlns:a="http://schemas.openxmlformats.org/drawingml/2006/main">
                  <a:graphicData uri="http://schemas.microsoft.com/office/word/2010/wordprocessingGroup">
                    <wpg:wgp>
                      <wpg:cNvGrpSpPr/>
                      <wpg:grpSpPr>
                        <a:xfrm>
                          <a:off x="0" y="0"/>
                          <a:ext cx="5442585" cy="2662571"/>
                          <a:chOff x="0" y="-183011"/>
                          <a:chExt cx="5443005" cy="2662686"/>
                        </a:xfrm>
                      </wpg:grpSpPr>
                      <wpg:grpSp>
                        <wpg:cNvPr id="223" name="Grupo 223"/>
                        <wpg:cNvGrpSpPr/>
                        <wpg:grpSpPr>
                          <a:xfrm>
                            <a:off x="0" y="-183011"/>
                            <a:ext cx="5443005" cy="2662686"/>
                            <a:chOff x="0" y="-183025"/>
                            <a:chExt cx="5443005" cy="2662878"/>
                          </a:xfrm>
                        </wpg:grpSpPr>
                        <wpg:grpSp>
                          <wpg:cNvPr id="224" name="Grupo 34"/>
                          <wpg:cNvGrpSpPr/>
                          <wpg:grpSpPr>
                            <a:xfrm>
                              <a:off x="0" y="-183025"/>
                              <a:ext cx="5443005" cy="2406160"/>
                              <a:chOff x="0" y="-257856"/>
                              <a:chExt cx="6205658" cy="2550425"/>
                            </a:xfrm>
                          </wpg:grpSpPr>
                          <wpg:grpSp>
                            <wpg:cNvPr id="225" name="Grupo 225"/>
                            <wpg:cNvGrpSpPr/>
                            <wpg:grpSpPr>
                              <a:xfrm>
                                <a:off x="0" y="-257856"/>
                                <a:ext cx="6205658" cy="2550425"/>
                                <a:chOff x="0" y="-257856"/>
                                <a:chExt cx="6205658" cy="2550425"/>
                              </a:xfrm>
                            </wpg:grpSpPr>
                            <pic:pic xmlns:pic="http://schemas.openxmlformats.org/drawingml/2006/picture">
                              <pic:nvPicPr>
                                <pic:cNvPr id="226" name="Picture 15" descr="P:\projects\MKGRA\MKGRA062 - Research Icons 2012\Final icons AW\Hous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8749" y="841155"/>
                                  <a:ext cx="599978" cy="599978"/>
                                </a:xfrm>
                                <a:prstGeom prst="rect">
                                  <a:avLst/>
                                </a:prstGeom>
                                <a:noFill/>
                                <a:extLst>
                                  <a:ext uri="{909E8E84-426E-40DD-AFC4-6F175D3DCCD1}">
                                    <a14:hiddenFill xmlns:a14="http://schemas.microsoft.com/office/drawing/2010/main">
                                      <a:solidFill>
                                        <a:srgbClr val="FFFFFF"/>
                                      </a:solidFill>
                                    </a14:hiddenFill>
                                  </a:ext>
                                </a:extLst>
                              </pic:spPr>
                            </pic:pic>
                            <wpg:grpSp>
                              <wpg:cNvPr id="227" name="Group 171"/>
                              <wpg:cNvGrpSpPr/>
                              <wpg:grpSpPr>
                                <a:xfrm>
                                  <a:off x="1918241" y="841155"/>
                                  <a:ext cx="776665" cy="785752"/>
                                  <a:chOff x="1918241" y="841155"/>
                                  <a:chExt cx="776665" cy="785752"/>
                                </a:xfrm>
                              </wpg:grpSpPr>
                              <pic:pic xmlns:pic="http://schemas.openxmlformats.org/drawingml/2006/picture">
                                <pic:nvPicPr>
                                  <pic:cNvPr id="228" name="Picture 2" descr="P:\projects\MKGRA\MKGRA062 - Research Icons 2012\Final icons AW\telecoms-street-cabine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058643" y="841155"/>
                                    <a:ext cx="599978" cy="599978"/>
                                  </a:xfrm>
                                  <a:prstGeom prst="rect">
                                    <a:avLst/>
                                  </a:prstGeom>
                                  <a:noFill/>
                                  <a:extLst>
                                    <a:ext uri="{909E8E84-426E-40DD-AFC4-6F175D3DCCD1}">
                                      <a14:hiddenFill xmlns:a14="http://schemas.microsoft.com/office/drawing/2010/main">
                                        <a:solidFill>
                                          <a:srgbClr val="FFFFFF"/>
                                        </a:solidFill>
                                      </a14:hiddenFill>
                                    </a:ext>
                                  </a:extLst>
                                </pic:spPr>
                              </pic:pic>
                              <wps:wsp>
                                <wps:cNvPr id="229" name="TextBox 173"/>
                                <wps:cNvSpPr txBox="1"/>
                                <wps:spPr>
                                  <a:xfrm>
                                    <a:off x="1918241" y="1396075"/>
                                    <a:ext cx="776665" cy="230832"/>
                                  </a:xfrm>
                                  <a:prstGeom prst="rect">
                                    <a:avLst/>
                                  </a:prstGeom>
                                  <a:noFill/>
                                </wps:spPr>
                                <wps:txbx>
                                  <w:txbxContent>
                                    <w:p w14:paraId="307CA5E1"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Central</w:t>
                                      </w:r>
                                    </w:p>
                                  </w:txbxContent>
                                </wps:txbx>
                                <wps:bodyPr wrap="square" rtlCol="0" anchor="ctr">
                                  <a:noAutofit/>
                                </wps:bodyPr>
                              </wps:wsp>
                            </wpg:grpSp>
                            <wps:wsp>
                              <wps:cNvPr id="230" name="TextBox 174"/>
                              <wps:cNvSpPr txBox="1"/>
                              <wps:spPr>
                                <a:xfrm>
                                  <a:off x="0" y="1344055"/>
                                  <a:ext cx="672548" cy="282842"/>
                                </a:xfrm>
                                <a:prstGeom prst="rect">
                                  <a:avLst/>
                                </a:prstGeom>
                                <a:noFill/>
                              </wps:spPr>
                              <wps:txbx>
                                <w:txbxContent>
                                  <w:p w14:paraId="163125BA"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Hogar</w:t>
                                    </w:r>
                                  </w:p>
                                </w:txbxContent>
                              </wps:txbx>
                              <wps:bodyPr wrap="square" rtlCol="0" anchor="ctr">
                                <a:noAutofit/>
                              </wps:bodyPr>
                            </wps:wsp>
                            <wps:wsp>
                              <wps:cNvPr id="231" name="Oval 175"/>
                              <wps:cNvSpPr/>
                              <wps:spPr>
                                <a:xfrm>
                                  <a:off x="2973089" y="959986"/>
                                  <a:ext cx="2543653" cy="364319"/>
                                </a:xfrm>
                                <a:prstGeom prst="ellipse">
                                  <a:avLst/>
                                </a:prstGeom>
                                <a:noFill/>
                                <a:ln w="25400" cap="flat" cmpd="sng" algn="ctr">
                                  <a:solidFill>
                                    <a:srgbClr val="000000"/>
                                  </a:solidFill>
                                  <a:prstDash val="solid"/>
                                </a:ln>
                                <a:effectLst/>
                              </wps:spPr>
                              <wps:txbx>
                                <w:txbxContent>
                                  <w:p w14:paraId="4FA1A53A" w14:textId="77777777" w:rsidR="00012570" w:rsidRPr="00A23832" w:rsidRDefault="00012570" w:rsidP="00DE64CD">
                                    <w:pPr>
                                      <w:pStyle w:val="NormalWeb"/>
                                      <w:spacing w:before="0" w:beforeAutospacing="0" w:after="0" w:afterAutospacing="0"/>
                                      <w:jc w:val="center"/>
                                      <w:rPr>
                                        <w:sz w:val="16"/>
                                      </w:rPr>
                                    </w:pPr>
                                    <w:r w:rsidRPr="00A23832">
                                      <w:rPr>
                                        <w:rFonts w:ascii="ITC Avant Garde" w:hAnsi="ITC Avant Garde" w:cstheme="minorBidi"/>
                                        <w:b/>
                                        <w:bCs/>
                                        <w:color w:val="000000"/>
                                        <w:kern w:val="24"/>
                                        <w:sz w:val="18"/>
                                        <w:szCs w:val="28"/>
                                        <w:lang w:val="es-ES_tradnl"/>
                                      </w:rPr>
                                      <w:t>Red del AEP</w:t>
                                    </w:r>
                                  </w:p>
                                </w:txbxContent>
                              </wps:txbx>
                              <wps:bodyPr rtlCol="0" anchor="ctr"/>
                            </wps:wsp>
                            <wps:wsp>
                              <wps:cNvPr id="232" name="Straight Connector 176"/>
                              <wps:cNvCnPr/>
                              <wps:spPr>
                                <a:xfrm>
                                  <a:off x="648727" y="1141144"/>
                                  <a:ext cx="1409916" cy="0"/>
                                </a:xfrm>
                                <a:prstGeom prst="line">
                                  <a:avLst/>
                                </a:prstGeom>
                                <a:noFill/>
                                <a:ln w="28575" cap="flat" cmpd="sng" algn="ctr">
                                  <a:solidFill>
                                    <a:srgbClr val="000000"/>
                                  </a:solidFill>
                                  <a:prstDash val="solid"/>
                                </a:ln>
                                <a:effectLst/>
                              </wps:spPr>
                              <wps:bodyPr/>
                            </wps:wsp>
                            <wps:wsp>
                              <wps:cNvPr id="233" name="Straight Connector 177"/>
                              <wps:cNvCnPr/>
                              <wps:spPr>
                                <a:xfrm>
                                  <a:off x="2658621" y="1141144"/>
                                  <a:ext cx="314468" cy="1002"/>
                                </a:xfrm>
                                <a:prstGeom prst="line">
                                  <a:avLst/>
                                </a:prstGeom>
                                <a:noFill/>
                                <a:ln w="28575" cap="flat" cmpd="sng" algn="ctr">
                                  <a:solidFill>
                                    <a:srgbClr val="000000"/>
                                  </a:solidFill>
                                  <a:prstDash val="solid"/>
                                </a:ln>
                                <a:effectLst/>
                              </wps:spPr>
                              <wps:bodyPr/>
                            </wps:wsp>
                            <wps:wsp>
                              <wps:cNvPr id="234" name="Straight Connector 178"/>
                              <wps:cNvCnPr/>
                              <wps:spPr>
                                <a:xfrm>
                                  <a:off x="3345598" y="1270952"/>
                                  <a:ext cx="75" cy="210283"/>
                                </a:xfrm>
                                <a:prstGeom prst="line">
                                  <a:avLst/>
                                </a:prstGeom>
                                <a:noFill/>
                                <a:ln w="28575" cap="flat" cmpd="sng" algn="ctr">
                                  <a:solidFill>
                                    <a:srgbClr val="000000"/>
                                  </a:solidFill>
                                  <a:prstDash val="solid"/>
                                </a:ln>
                                <a:effectLst/>
                              </wps:spPr>
                              <wps:bodyPr/>
                            </wps:wsp>
                            <wps:wsp>
                              <wps:cNvPr id="235" name="Straight Connector 179"/>
                              <wps:cNvCnPr/>
                              <wps:spPr>
                                <a:xfrm flipH="1">
                                  <a:off x="4244833" y="1324305"/>
                                  <a:ext cx="83" cy="156930"/>
                                </a:xfrm>
                                <a:prstGeom prst="line">
                                  <a:avLst/>
                                </a:prstGeom>
                                <a:noFill/>
                                <a:ln w="28575" cap="flat" cmpd="sng" algn="ctr">
                                  <a:solidFill>
                                    <a:srgbClr val="000000"/>
                                  </a:solidFill>
                                  <a:prstDash val="solid"/>
                                </a:ln>
                                <a:effectLst/>
                              </wps:spPr>
                              <wps:bodyPr/>
                            </wps:wsp>
                            <wps:wsp>
                              <wps:cNvPr id="236" name="Straight Connector 180"/>
                              <wps:cNvCnPr/>
                              <wps:spPr>
                                <a:xfrm flipH="1">
                                  <a:off x="5143993" y="1270952"/>
                                  <a:ext cx="240" cy="210283"/>
                                </a:xfrm>
                                <a:prstGeom prst="line">
                                  <a:avLst/>
                                </a:prstGeom>
                                <a:noFill/>
                                <a:ln w="28575" cap="flat" cmpd="sng" algn="ctr">
                                  <a:solidFill>
                                    <a:srgbClr val="000000"/>
                                  </a:solidFill>
                                  <a:prstDash val="solid"/>
                                </a:ln>
                                <a:effectLst/>
                              </wps:spPr>
                              <wps:bodyPr/>
                            </wps:wsp>
                            <wpg:grpSp>
                              <wpg:cNvPr id="237" name="Group 181"/>
                              <wpg:cNvGrpSpPr/>
                              <wpg:grpSpPr>
                                <a:xfrm>
                                  <a:off x="3009399" y="1481235"/>
                                  <a:ext cx="672548" cy="692310"/>
                                  <a:chOff x="3009399" y="1481235"/>
                                  <a:chExt cx="672548" cy="692310"/>
                                </a:xfrm>
                              </wpg:grpSpPr>
                              <pic:pic xmlns:pic="http://schemas.openxmlformats.org/drawingml/2006/picture">
                                <pic:nvPicPr>
                                  <pic:cNvPr id="238" name="Picture 7" descr="P:\projects\MKGRA\MKGRA062 - Research Icons 2012\Final icons AW\Clou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045684" y="1481235"/>
                                    <a:ext cx="599978" cy="599978"/>
                                  </a:xfrm>
                                  <a:prstGeom prst="rect">
                                    <a:avLst/>
                                  </a:prstGeom>
                                  <a:noFill/>
                                  <a:extLst>
                                    <a:ext uri="{909E8E84-426E-40DD-AFC4-6F175D3DCCD1}">
                                      <a14:hiddenFill xmlns:a14="http://schemas.microsoft.com/office/drawing/2010/main">
                                        <a:solidFill>
                                          <a:srgbClr val="FFFFFF"/>
                                        </a:solidFill>
                                      </a14:hiddenFill>
                                    </a:ext>
                                  </a:extLst>
                                </pic:spPr>
                              </pic:pic>
                              <wps:wsp>
                                <wps:cNvPr id="239" name="TextBox 183"/>
                                <wps:cNvSpPr txBox="1"/>
                                <wps:spPr>
                                  <a:xfrm>
                                    <a:off x="3009399" y="1942713"/>
                                    <a:ext cx="672548" cy="230832"/>
                                  </a:xfrm>
                                  <a:prstGeom prst="rect">
                                    <a:avLst/>
                                  </a:prstGeom>
                                  <a:noFill/>
                                </wps:spPr>
                                <wps:txbx>
                                  <w:txbxContent>
                                    <w:p w14:paraId="1E4593C8"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Local</w:t>
                                      </w:r>
                                    </w:p>
                                  </w:txbxContent>
                                </wps:txbx>
                                <wps:bodyPr wrap="square" rtlCol="0" anchor="ctr">
                                  <a:noAutofit/>
                                </wps:bodyPr>
                              </wps:wsp>
                            </wpg:grpSp>
                            <wpg:grpSp>
                              <wpg:cNvPr id="240" name="Group 184"/>
                              <wpg:cNvGrpSpPr/>
                              <wpg:grpSpPr>
                                <a:xfrm>
                                  <a:off x="3838024" y="1441147"/>
                                  <a:ext cx="813783" cy="779158"/>
                                  <a:chOff x="3838024" y="1441147"/>
                                  <a:chExt cx="813783" cy="779158"/>
                                </a:xfrm>
                              </wpg:grpSpPr>
                              <pic:pic xmlns:pic="http://schemas.openxmlformats.org/drawingml/2006/picture">
                                <pic:nvPicPr>
                                  <pic:cNvPr id="241" name="Picture 7" descr="P:\projects\MKGRA\MKGRA062 - Research Icons 2012\Final icons AW\Clou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903145" y="1441147"/>
                                    <a:ext cx="599978" cy="599978"/>
                                  </a:xfrm>
                                  <a:prstGeom prst="rect">
                                    <a:avLst/>
                                  </a:prstGeom>
                                  <a:noFill/>
                                  <a:extLst>
                                    <a:ext uri="{909E8E84-426E-40DD-AFC4-6F175D3DCCD1}">
                                      <a14:hiddenFill xmlns:a14="http://schemas.microsoft.com/office/drawing/2010/main">
                                        <a:solidFill>
                                          <a:srgbClr val="FFFFFF"/>
                                        </a:solidFill>
                                      </a14:hiddenFill>
                                    </a:ext>
                                  </a:extLst>
                                </pic:spPr>
                              </pic:pic>
                              <wps:wsp>
                                <wps:cNvPr id="242" name="TextBox 186"/>
                                <wps:cNvSpPr txBox="1"/>
                                <wps:spPr>
                                  <a:xfrm>
                                    <a:off x="3838024" y="1937883"/>
                                    <a:ext cx="813783" cy="282422"/>
                                  </a:xfrm>
                                  <a:prstGeom prst="rect">
                                    <a:avLst/>
                                  </a:prstGeom>
                                  <a:noFill/>
                                </wps:spPr>
                                <wps:txbx>
                                  <w:txbxContent>
                                    <w:p w14:paraId="20C5B40F"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Regional</w:t>
                                      </w:r>
                                    </w:p>
                                  </w:txbxContent>
                                </wps:txbx>
                                <wps:bodyPr wrap="square" rtlCol="0" anchor="ctr">
                                  <a:noAutofit/>
                                </wps:bodyPr>
                              </wps:wsp>
                            </wpg:grpSp>
                            <wpg:grpSp>
                              <wpg:cNvPr id="243" name="Group 187"/>
                              <wpg:cNvGrpSpPr/>
                              <wpg:grpSpPr>
                                <a:xfrm>
                                  <a:off x="4730178" y="1481235"/>
                                  <a:ext cx="813783" cy="687480"/>
                                  <a:chOff x="4730178" y="1481235"/>
                                  <a:chExt cx="813783" cy="687480"/>
                                </a:xfrm>
                              </wpg:grpSpPr>
                              <pic:pic xmlns:pic="http://schemas.openxmlformats.org/drawingml/2006/picture">
                                <pic:nvPicPr>
                                  <pic:cNvPr id="244" name="Picture 7" descr="P:\projects\MKGRA\MKGRA062 - Research Icons 2012\Final icons AW\Clou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844004" y="1481235"/>
                                    <a:ext cx="599978" cy="599978"/>
                                  </a:xfrm>
                                  <a:prstGeom prst="rect">
                                    <a:avLst/>
                                  </a:prstGeom>
                                  <a:noFill/>
                                  <a:extLst>
                                    <a:ext uri="{909E8E84-426E-40DD-AFC4-6F175D3DCCD1}">
                                      <a14:hiddenFill xmlns:a14="http://schemas.microsoft.com/office/drawing/2010/main">
                                        <a:solidFill>
                                          <a:srgbClr val="FFFFFF"/>
                                        </a:solidFill>
                                      </a14:hiddenFill>
                                    </a:ext>
                                  </a:extLst>
                                </pic:spPr>
                              </pic:pic>
                              <wps:wsp>
                                <wps:cNvPr id="245" name="TextBox 189"/>
                                <wps:cNvSpPr txBox="1"/>
                                <wps:spPr>
                                  <a:xfrm>
                                    <a:off x="4730178" y="1937883"/>
                                    <a:ext cx="813783" cy="230832"/>
                                  </a:xfrm>
                                  <a:prstGeom prst="rect">
                                    <a:avLst/>
                                  </a:prstGeom>
                                  <a:noFill/>
                                </wps:spPr>
                                <wps:txbx>
                                  <w:txbxContent>
                                    <w:p w14:paraId="2441186D"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Nacional</w:t>
                                      </w:r>
                                    </w:p>
                                  </w:txbxContent>
                                </wps:txbx>
                                <wps:bodyPr wrap="square" rtlCol="0" anchor="ctr">
                                  <a:noAutofit/>
                                </wps:bodyPr>
                              </wps:wsp>
                            </wpg:grpSp>
                            <pic:pic xmlns:pic="http://schemas.openxmlformats.org/drawingml/2006/picture">
                              <pic:nvPicPr>
                                <pic:cNvPr id="246" name="Picture 15" descr="P:\projects\MKGRA\MKGRA062 - Research Icons 2012\Final icons AW\Hous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8749" y="1692591"/>
                                  <a:ext cx="599978" cy="599978"/>
                                </a:xfrm>
                                <a:prstGeom prst="rect">
                                  <a:avLst/>
                                </a:prstGeom>
                                <a:noFill/>
                                <a:extLst>
                                  <a:ext uri="{909E8E84-426E-40DD-AFC4-6F175D3DCCD1}">
                                    <a14:hiddenFill xmlns:a14="http://schemas.microsoft.com/office/drawing/2010/main">
                                      <a:solidFill>
                                        <a:srgbClr val="FFFFFF"/>
                                      </a:solidFill>
                                    </a14:hiddenFill>
                                  </a:ext>
                                </a:extLst>
                              </pic:spPr>
                            </pic:pic>
                            <wps:wsp>
                              <wps:cNvPr id="247" name="Elbow Connector 191"/>
                              <wps:cNvCnPr/>
                              <wps:spPr>
                                <a:xfrm flipV="1">
                                  <a:off x="648727" y="1141144"/>
                                  <a:ext cx="1409916" cy="851436"/>
                                </a:xfrm>
                                <a:prstGeom prst="bentConnector3">
                                  <a:avLst/>
                                </a:prstGeom>
                                <a:noFill/>
                                <a:ln w="28575" cap="flat" cmpd="sng" algn="ctr">
                                  <a:solidFill>
                                    <a:srgbClr val="000000"/>
                                  </a:solidFill>
                                  <a:prstDash val="solid"/>
                                </a:ln>
                                <a:effectLst/>
                              </wps:spPr>
                              <wps:bodyPr/>
                            </wps:wsp>
                            <wps:wsp>
                              <wps:cNvPr id="248" name="TextBox 193"/>
                              <wps:cNvSpPr txBox="1"/>
                              <wps:spPr>
                                <a:xfrm>
                                  <a:off x="4328452" y="-257856"/>
                                  <a:ext cx="1877189" cy="733026"/>
                                </a:xfrm>
                                <a:prstGeom prst="rect">
                                  <a:avLst/>
                                </a:prstGeom>
                                <a:noFill/>
                              </wps:spPr>
                              <wps:txbx>
                                <w:txbxContent>
                                  <w:p w14:paraId="36B0CEEE" w14:textId="77777777" w:rsidR="00012570" w:rsidRDefault="00012570" w:rsidP="00DE64CD">
                                    <w:pPr>
                                      <w:pStyle w:val="NormalWeb"/>
                                      <w:spacing w:before="0" w:beforeAutospacing="0" w:after="0" w:afterAutospacing="0"/>
                                      <w:jc w:val="both"/>
                                    </w:pPr>
                                    <w:r>
                                      <w:rPr>
                                        <w:rFonts w:ascii="ITC Avant Garde" w:hAnsi="ITC Avant Garde" w:cstheme="minorBidi"/>
                                        <w:color w:val="000000" w:themeColor="text1"/>
                                        <w:kern w:val="24"/>
                                        <w:sz w:val="18"/>
                                        <w:szCs w:val="18"/>
                                        <w:lang w:val="es-ES_tradnl"/>
                                      </w:rPr>
                                      <w:t xml:space="preserve">Segmento de red </w:t>
                                    </w:r>
                                    <w:r>
                                      <w:rPr>
                                        <w:rFonts w:ascii="ITC Avant Garde" w:hAnsi="ITC Avant Garde" w:cstheme="minorBidi"/>
                                        <w:b/>
                                        <w:bCs/>
                                        <w:color w:val="000000" w:themeColor="text1"/>
                                        <w:kern w:val="24"/>
                                        <w:sz w:val="18"/>
                                        <w:szCs w:val="18"/>
                                        <w:lang w:val="es-ES_tradnl"/>
                                      </w:rPr>
                                      <w:t xml:space="preserve">no usado </w:t>
                                    </w:r>
                                    <w:r>
                                      <w:rPr>
                                        <w:rFonts w:ascii="ITC Avant Garde" w:hAnsi="ITC Avant Garde" w:cstheme="minorBidi"/>
                                        <w:color w:val="000000" w:themeColor="text1"/>
                                        <w:kern w:val="24"/>
                                        <w:sz w:val="18"/>
                                        <w:szCs w:val="18"/>
                                        <w:lang w:val="es-ES_tradnl"/>
                                      </w:rPr>
                                      <w:t>por el SAIB con entrega de tráfico a nivel regional</w:t>
                                    </w:r>
                                  </w:p>
                                </w:txbxContent>
                              </wps:txbx>
                              <wps:bodyPr wrap="square" rtlCol="0" anchor="ctr">
                                <a:noAutofit/>
                              </wps:bodyPr>
                            </wps:wsp>
                            <wps:wsp>
                              <wps:cNvPr id="249" name="Right Brace 194"/>
                              <wps:cNvSpPr/>
                              <wps:spPr>
                                <a:xfrm rot="16200000">
                                  <a:off x="5269501" y="-353678"/>
                                  <a:ext cx="107306" cy="1765009"/>
                                </a:xfrm>
                                <a:prstGeom prst="rightBrace">
                                  <a:avLst>
                                    <a:gd name="adj1" fmla="val 80702"/>
                                    <a:gd name="adj2" fmla="val 50000"/>
                                  </a:avLst>
                                </a:prstGeom>
                                <a:noFill/>
                                <a:ln w="19050" cap="flat" cmpd="sng" algn="ctr">
                                  <a:solidFill>
                                    <a:srgbClr val="C00000"/>
                                  </a:solidFill>
                                  <a:prstDash val="solid"/>
                                </a:ln>
                                <a:effectLst/>
                              </wps:spPr>
                              <wps:bodyPr rtlCol="0" anchor="ctr"/>
                            </wps:wsp>
                            <wps:wsp>
                              <wps:cNvPr id="250" name="TextBox 195"/>
                              <wps:cNvSpPr txBox="1"/>
                              <wps:spPr>
                                <a:xfrm>
                                  <a:off x="2042802" y="185647"/>
                                  <a:ext cx="486582" cy="230832"/>
                                </a:xfrm>
                                <a:prstGeom prst="rect">
                                  <a:avLst/>
                                </a:prstGeom>
                                <a:noFill/>
                              </wps:spPr>
                              <wps:txbx>
                                <w:txbxContent>
                                  <w:p w14:paraId="59DC11C8" w14:textId="77777777" w:rsidR="00012570" w:rsidRPr="00A23832" w:rsidRDefault="00012570" w:rsidP="00DE64CD">
                                    <w:pPr>
                                      <w:pStyle w:val="NormalWeb"/>
                                      <w:spacing w:before="0" w:beforeAutospacing="0" w:after="0" w:afterAutospacing="0"/>
                                      <w:rPr>
                                        <w:b/>
                                      </w:rPr>
                                    </w:pPr>
                                    <w:r w:rsidRPr="00A23832">
                                      <w:rPr>
                                        <w:rFonts w:ascii="ITC Avant Garde" w:hAnsi="ITC Avant Garde" w:cstheme="minorBidi"/>
                                        <w:b/>
                                        <w:color w:val="000000" w:themeColor="text1"/>
                                        <w:kern w:val="24"/>
                                        <w:sz w:val="18"/>
                                        <w:szCs w:val="18"/>
                                        <w:lang w:val="es-ES_tradnl"/>
                                      </w:rPr>
                                      <w:t>SAIB</w:t>
                                    </w:r>
                                  </w:p>
                                </w:txbxContent>
                              </wps:txbx>
                              <wps:bodyPr wrap="square" rtlCol="0" anchor="ctr">
                                <a:noAutofit/>
                              </wps:bodyPr>
                            </wps:wsp>
                          </wpg:grpSp>
                          <wps:wsp>
                            <wps:cNvPr id="251" name="Right Brace 194"/>
                            <wps:cNvSpPr/>
                            <wps:spPr>
                              <a:xfrm rot="16200000">
                                <a:off x="2251067" y="-1545517"/>
                                <a:ext cx="107176" cy="4148561"/>
                              </a:xfrm>
                              <a:prstGeom prst="rightBrace">
                                <a:avLst>
                                  <a:gd name="adj1" fmla="val 80702"/>
                                  <a:gd name="adj2" fmla="val 50000"/>
                                </a:avLst>
                              </a:prstGeom>
                              <a:noFill/>
                              <a:ln w="19050" cap="flat" cmpd="sng" algn="ctr">
                                <a:solidFill>
                                  <a:srgbClr val="C00000"/>
                                </a:solidFill>
                                <a:prstDash val="solid"/>
                              </a:ln>
                              <a:effectLst/>
                            </wps:spPr>
                            <wps:bodyPr rtlCol="0" anchor="ctr"/>
                          </wps:wsp>
                        </wpg:grpSp>
                        <wps:wsp>
                          <wps:cNvPr id="252" name="TextBox 174"/>
                          <wps:cNvSpPr txBox="1"/>
                          <wps:spPr>
                            <a:xfrm>
                              <a:off x="0" y="2223821"/>
                              <a:ext cx="589894" cy="256032"/>
                            </a:xfrm>
                            <a:prstGeom prst="rect">
                              <a:avLst/>
                            </a:prstGeom>
                            <a:noFill/>
                          </wps:spPr>
                          <wps:txbx>
                            <w:txbxContent>
                              <w:p w14:paraId="0CA3209E"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Hogar</w:t>
                                </w:r>
                              </w:p>
                            </w:txbxContent>
                          </wps:txbx>
                          <wps:bodyPr wrap="square" rtlCol="0" anchor="ctr">
                            <a:noAutofit/>
                          </wps:bodyPr>
                        </wps:wsp>
                      </wpg:grpSp>
                      <wps:wsp>
                        <wps:cNvPr id="253" name="Straight Connector 177"/>
                        <wps:cNvCnPr/>
                        <wps:spPr>
                          <a:xfrm flipV="1">
                            <a:off x="4845133" y="1140031"/>
                            <a:ext cx="540000" cy="0"/>
                          </a:xfrm>
                          <a:prstGeom prst="line">
                            <a:avLst/>
                          </a:prstGeom>
                          <a:ln w="28575">
                            <a:solidFill>
                              <a:srgbClr val="000000"/>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4453257" id="Grupo 222" o:spid="_x0000_s1068" style="width:428.55pt;height:209.65pt;mso-position-horizontal-relative:char;mso-position-vertical-relative:line" coordorigin=",-1830" coordsize="54430,26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">
                <v:group id="Grupo 223" o:spid="_x0000_s1069" style="position:absolute;top:-1830;width:54430;height:26626" coordorigin=",-1830" coordsize="54430,26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group id="Grupo 34" o:spid="_x0000_s1070" style="position:absolute;top:-1830;width:54430;height:24061" coordorigin=",-2578" coordsize="62056,2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upo 225" o:spid="_x0000_s1071" style="position:absolute;top:-2578;width:62056;height:25503" coordorigin=",-2578" coordsize="62056,2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Picture 15" o:spid="_x0000_s1072" type="#_x0000_t75" style="position:absolute;left:487;top:8411;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">
                        <v:imagedata r:id="rId29" o:title="House"/>
                      </v:shape>
                      <v:group id="Group 171" o:spid="_x0000_s1073" style="position:absolute;left:19182;top:8411;width:7767;height:7858" coordorigin="19182,8411" coordsize="7766,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Picture 2" o:spid="_x0000_s1074" type="#_x0000_t75" style="position:absolute;left:20586;top:8411;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">
                          <v:imagedata r:id="rId30" o:title="telecoms-street-cabinet"/>
                        </v:shape>
                        <v:shape id="TextBox 173" o:spid="_x0000_s1075" type="#_x0000_t202" style="position:absolute;left:19182;top:13960;width:7767;height: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" filled="f" stroked="f">
                          <v:textbox>
                            <w:txbxContent>
                              <w:p w14:paraId="307CA5E1"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Central</w:t>
                                </w:r>
                              </w:p>
                            </w:txbxContent>
                          </v:textbox>
                        </v:shape>
                      </v:group>
                      <v:shape id="TextBox 174" o:spid="_x0000_s1076" type="#_x0000_t202" style="position:absolute;top:13440;width:6725;height:2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" filled="f" stroked="f">
                        <v:textbox>
                          <w:txbxContent>
                            <w:p w14:paraId="163125BA"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Hogar</w:t>
                              </w:r>
                            </w:p>
                          </w:txbxContent>
                        </v:textbox>
                      </v:shape>
                      <v:oval id="Oval 175" o:spid="_x0000_s1077" style="position:absolute;left:29730;top:9599;width:25437;height:3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" filled="f" strokeweight="2pt">
                        <v:textbox>
                          <w:txbxContent>
                            <w:p w14:paraId="4FA1A53A" w14:textId="77777777" w:rsidR="00012570" w:rsidRPr="00A23832" w:rsidRDefault="00012570" w:rsidP="00DE64CD">
                              <w:pPr>
                                <w:pStyle w:val="NormalWeb"/>
                                <w:spacing w:before="0" w:beforeAutospacing="0" w:after="0" w:afterAutospacing="0"/>
                                <w:jc w:val="center"/>
                                <w:rPr>
                                  <w:sz w:val="16"/>
                                </w:rPr>
                              </w:pPr>
                              <w:r w:rsidRPr="00A23832">
                                <w:rPr>
                                  <w:rFonts w:ascii="ITC Avant Garde" w:hAnsi="ITC Avant Garde" w:cstheme="minorBidi"/>
                                  <w:b/>
                                  <w:bCs/>
                                  <w:color w:val="000000"/>
                                  <w:kern w:val="24"/>
                                  <w:sz w:val="18"/>
                                  <w:szCs w:val="28"/>
                                  <w:lang w:val="es-ES_tradnl"/>
                                </w:rPr>
                                <w:t>Red del AEP</w:t>
                              </w:r>
                            </w:p>
                          </w:txbxContent>
                        </v:textbox>
                      </v:oval>
                      <v:line id="Straight Connector 176" o:spid="_x0000_s1078" style="position:absolute;visibility:visible;mso-wrap-style:square" from="6487,11411" to="20586,1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" strokeweight="2.25pt"/>
                      <v:line id="Straight Connector 177" o:spid="_x0000_s1079" style="position:absolute;visibility:visible;mso-wrap-style:square" from="26586,11411" to="29730,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" strokeweight="2.25pt"/>
                      <v:line id="Straight Connector 178" o:spid="_x0000_s1080" style="position:absolute;visibility:visible;mso-wrap-style:square" from="33455,12709" to="33456,14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" strokeweight="2.25pt"/>
                      <v:line id="Straight Connector 179" o:spid="_x0000_s1081" style="position:absolute;flip:x;visibility:visible;mso-wrap-style:square" from="42448,13243" to="42449,14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" strokeweight="2.25pt"/>
                      <v:line id="Straight Connector 180" o:spid="_x0000_s1082" style="position:absolute;flip:x;visibility:visible;mso-wrap-style:square" from="51439,12709" to="51442,14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" strokeweight="2.25pt"/>
                      <v:group id="Group 181" o:spid="_x0000_s1083" style="position:absolute;left:30093;top:14812;width:6726;height:6923" coordorigin="30093,14812" coordsize="6725,6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Picture 7" o:spid="_x0000_s1084" type="#_x0000_t75" style="position:absolute;left:30456;top:14812;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">
                          <v:imagedata r:id="rId31" o:title="Cloud"/>
                        </v:shape>
                        <v:shape id="TextBox 183" o:spid="_x0000_s1085" type="#_x0000_t202" style="position:absolute;left:30093;top:19427;width:6726;height:2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" filled="f" stroked="f">
                          <v:textbox>
                            <w:txbxContent>
                              <w:p w14:paraId="1E4593C8"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Local</w:t>
                                </w:r>
                              </w:p>
                            </w:txbxContent>
                          </v:textbox>
                        </v:shape>
                      </v:group>
                      <v:group id="Group 184" o:spid="_x0000_s1086" style="position:absolute;left:38380;top:14411;width:8138;height:7792" coordorigin="38380,14411" coordsize="8137,7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Picture 7" o:spid="_x0000_s1087" type="#_x0000_t75" style="position:absolute;left:39031;top:14411;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">
                          <v:imagedata r:id="rId31" o:title="Cloud"/>
                        </v:shape>
                        <v:shape id="TextBox 186" o:spid="_x0000_s1088" type="#_x0000_t202" style="position:absolute;left:38380;top:19378;width:8138;height:2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" filled="f" stroked="f">
                          <v:textbox>
                            <w:txbxContent>
                              <w:p w14:paraId="20C5B40F"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Regional</w:t>
                                </w:r>
                              </w:p>
                            </w:txbxContent>
                          </v:textbox>
                        </v:shape>
                      </v:group>
                      <v:group id="Group 187" o:spid="_x0000_s1089" style="position:absolute;left:47301;top:14812;width:8138;height:6875" coordorigin="47301,14812" coordsize="8137,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Picture 7" o:spid="_x0000_s1090" type="#_x0000_t75" style="position:absolute;left:48440;top:14812;width:5999;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">
                          <v:imagedata r:id="rId31" o:title="Cloud"/>
                        </v:shape>
                        <v:shape id="TextBox 189" o:spid="_x0000_s1091" type="#_x0000_t202" style="position:absolute;left:47301;top:19378;width:8138;height: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" filled="f" stroked="f">
                          <v:textbox>
                            <w:txbxContent>
                              <w:p w14:paraId="2441186D"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Nacional</w:t>
                                </w:r>
                              </w:p>
                            </w:txbxContent>
                          </v:textbox>
                        </v:shape>
                      </v:group>
                      <v:shape id="Picture 15" o:spid="_x0000_s1092" type="#_x0000_t75" style="position:absolute;left:487;top:16925;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">
                        <v:imagedata r:id="rId29" o:title="House"/>
                      </v:shape>
                      <v:shape id="Elbow Connector 191" o:spid="_x0000_s1093" type="#_x0000_t34" style="position:absolute;left:6487;top:11411;width:14099;height:851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" strokeweight="2.25pt"/>
                      <v:shape id="TextBox 193" o:spid="_x0000_s1094" type="#_x0000_t202" style="position:absolute;left:43284;top:-2578;width:18772;height:7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" filled="f" stroked="f">
                        <v:textbox>
                          <w:txbxContent>
                            <w:p w14:paraId="36B0CEEE" w14:textId="77777777" w:rsidR="00012570" w:rsidRDefault="00012570" w:rsidP="00DE64CD">
                              <w:pPr>
                                <w:pStyle w:val="NormalWeb"/>
                                <w:spacing w:before="0" w:beforeAutospacing="0" w:after="0" w:afterAutospacing="0"/>
                                <w:jc w:val="both"/>
                              </w:pPr>
                              <w:r>
                                <w:rPr>
                                  <w:rFonts w:ascii="ITC Avant Garde" w:hAnsi="ITC Avant Garde" w:cstheme="minorBidi"/>
                                  <w:color w:val="000000" w:themeColor="text1"/>
                                  <w:kern w:val="24"/>
                                  <w:sz w:val="18"/>
                                  <w:szCs w:val="18"/>
                                  <w:lang w:val="es-ES_tradnl"/>
                                </w:rPr>
                                <w:t xml:space="preserve">Segmento de red </w:t>
                              </w:r>
                              <w:r>
                                <w:rPr>
                                  <w:rFonts w:ascii="ITC Avant Garde" w:hAnsi="ITC Avant Garde" w:cstheme="minorBidi"/>
                                  <w:b/>
                                  <w:bCs/>
                                  <w:color w:val="000000" w:themeColor="text1"/>
                                  <w:kern w:val="24"/>
                                  <w:sz w:val="18"/>
                                  <w:szCs w:val="18"/>
                                  <w:lang w:val="es-ES_tradnl"/>
                                </w:rPr>
                                <w:t xml:space="preserve">no usado </w:t>
                              </w:r>
                              <w:r>
                                <w:rPr>
                                  <w:rFonts w:ascii="ITC Avant Garde" w:hAnsi="ITC Avant Garde" w:cstheme="minorBidi"/>
                                  <w:color w:val="000000" w:themeColor="text1"/>
                                  <w:kern w:val="24"/>
                                  <w:sz w:val="18"/>
                                  <w:szCs w:val="18"/>
                                  <w:lang w:val="es-ES_tradnl"/>
                                </w:rPr>
                                <w:t>por el SAIB con entrega de tráfico a nivel regional</w:t>
                              </w:r>
                            </w:p>
                          </w:txbxContent>
                        </v:textbox>
                      </v:shape>
                      <v:shape id="Right Brace 194" o:spid="_x0000_s1095" type="#_x0000_t88" style="position:absolute;left:52694;top:-3537;width:1073;height:176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" adj="1060" strokecolor="#c00000" strokeweight="1.5pt"/>
                      <v:shape id="TextBox 195" o:spid="_x0000_s1096" type="#_x0000_t202" style="position:absolute;left:20428;top:1856;width:4865;height:2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" filled="f" stroked="f">
                        <v:textbox>
                          <w:txbxContent>
                            <w:p w14:paraId="59DC11C8" w14:textId="77777777" w:rsidR="00012570" w:rsidRPr="00A23832" w:rsidRDefault="00012570" w:rsidP="00DE64CD">
                              <w:pPr>
                                <w:pStyle w:val="NormalWeb"/>
                                <w:spacing w:before="0" w:beforeAutospacing="0" w:after="0" w:afterAutospacing="0"/>
                                <w:rPr>
                                  <w:b/>
                                </w:rPr>
                              </w:pPr>
                              <w:r w:rsidRPr="00A23832">
                                <w:rPr>
                                  <w:rFonts w:ascii="ITC Avant Garde" w:hAnsi="ITC Avant Garde" w:cstheme="minorBidi"/>
                                  <w:b/>
                                  <w:color w:val="000000" w:themeColor="text1"/>
                                  <w:kern w:val="24"/>
                                  <w:sz w:val="18"/>
                                  <w:szCs w:val="18"/>
                                  <w:lang w:val="es-ES_tradnl"/>
                                </w:rPr>
                                <w:t>SAIB</w:t>
                              </w:r>
                            </w:p>
                          </w:txbxContent>
                        </v:textbox>
                      </v:shape>
                    </v:group>
                    <v:shape id="Right Brace 194" o:spid="_x0000_s1097" type="#_x0000_t88" style="position:absolute;left:22510;top:-15456;width:1072;height:414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" adj="450" strokecolor="#c00000" strokeweight="1.5pt"/>
                  </v:group>
                  <v:shape id="TextBox 174" o:spid="_x0000_s1098" type="#_x0000_t202" style="position:absolute;top:22238;width:5898;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" filled="f" stroked="f">
                    <v:textbox>
                      <w:txbxContent>
                        <w:p w14:paraId="0CA3209E"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Hogar</w:t>
                          </w:r>
                        </w:p>
                      </w:txbxContent>
                    </v:textbox>
                  </v:shape>
                </v:group>
                <v:line id="Straight Connector 177" o:spid="_x0000_s1099" style="position:absolute;flip:y;visibility:visible;mso-wrap-style:square" from="48451,11400" to="53851,1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" strokeweight="2.25pt">
                  <v:stroke dashstyle="3 1" joinstyle="miter"/>
                </v:line>
                <w10:anchorlock/>
              </v:group>
            </w:pict>
          </mc:Fallback>
        </mc:AlternateContent>
      </w:r>
    </w:p>
    <w:p w14:paraId="16806B17" w14:textId="5550BF10" w:rsidR="00DE64CD" w:rsidRDefault="00CE2ECB" w:rsidP="00DE64CD">
      <w:pPr>
        <w:pStyle w:val="IFTnormal"/>
        <w:rPr>
          <w:color w:val="000000" w:themeColor="text1"/>
          <w:sz w:val="18"/>
          <w:szCs w:val="18"/>
        </w:rPr>
      </w:pPr>
      <w:r>
        <w:rPr>
          <w:b/>
          <w:color w:val="000000" w:themeColor="text1"/>
          <w:sz w:val="18"/>
          <w:szCs w:val="18"/>
        </w:rPr>
        <w:t>Figura 13</w:t>
      </w:r>
      <w:r w:rsidR="00DE64CD" w:rsidRPr="005F6455">
        <w:rPr>
          <w:b/>
          <w:color w:val="000000" w:themeColor="text1"/>
          <w:sz w:val="18"/>
          <w:szCs w:val="18"/>
        </w:rPr>
        <w:t>:</w:t>
      </w:r>
      <w:r w:rsidR="00DE64CD" w:rsidRPr="005F6455">
        <w:rPr>
          <w:color w:val="000000" w:themeColor="text1"/>
          <w:sz w:val="18"/>
          <w:szCs w:val="18"/>
        </w:rPr>
        <w:t xml:space="preserve"> Esquema </w:t>
      </w:r>
      <w:r w:rsidR="00DE64CD">
        <w:rPr>
          <w:color w:val="000000" w:themeColor="text1"/>
          <w:sz w:val="18"/>
          <w:szCs w:val="18"/>
        </w:rPr>
        <w:t xml:space="preserve">del SAIB con entrega de tráfico a nivel regional </w:t>
      </w:r>
      <w:r w:rsidR="002F02F0">
        <w:rPr>
          <w:color w:val="000000" w:themeColor="text1"/>
          <w:sz w:val="18"/>
          <w:szCs w:val="18"/>
        </w:rPr>
        <w:t>y del segmento de la red de Telmex y Telnor</w:t>
      </w:r>
      <w:r w:rsidR="00DE64CD">
        <w:rPr>
          <w:color w:val="000000" w:themeColor="text1"/>
          <w:sz w:val="18"/>
          <w:szCs w:val="18"/>
        </w:rPr>
        <w:t xml:space="preserve"> no usado por dicho servicio de desagregación</w:t>
      </w:r>
    </w:p>
    <w:p w14:paraId="57991D55" w14:textId="77777777" w:rsidR="00DE64CD" w:rsidRPr="005F6455" w:rsidRDefault="00DE64CD" w:rsidP="00DE64CD">
      <w:pPr>
        <w:pStyle w:val="IFTnormal"/>
        <w:ind w:right="615"/>
        <w:rPr>
          <w:color w:val="000000" w:themeColor="text1"/>
          <w:sz w:val="18"/>
          <w:szCs w:val="18"/>
          <w:lang w:eastAsia="es-MX"/>
        </w:rPr>
      </w:pPr>
      <w:r>
        <w:rPr>
          <w:noProof/>
          <w:lang w:val="es-MX" w:eastAsia="es-MX"/>
        </w:rPr>
        <mc:AlternateContent>
          <mc:Choice Requires="wpg">
            <w:drawing>
              <wp:inline distT="0" distB="0" distL="0" distR="0" wp14:anchorId="17423970" wp14:editId="62A232CF">
                <wp:extent cx="5909205" cy="2710192"/>
                <wp:effectExtent l="0" t="0" r="15875" b="0"/>
                <wp:docPr id="254" name="Grupo 254"/>
                <wp:cNvGraphicFramePr/>
                <a:graphic xmlns:a="http://schemas.openxmlformats.org/drawingml/2006/main">
                  <a:graphicData uri="http://schemas.microsoft.com/office/word/2010/wordprocessingGroup">
                    <wpg:wgp>
                      <wpg:cNvGrpSpPr/>
                      <wpg:grpSpPr>
                        <a:xfrm>
                          <a:off x="0" y="0"/>
                          <a:ext cx="5909205" cy="2710192"/>
                          <a:chOff x="0" y="-230634"/>
                          <a:chExt cx="5909661" cy="2710309"/>
                        </a:xfrm>
                      </wpg:grpSpPr>
                      <wpg:grpSp>
                        <wpg:cNvPr id="255" name="Grupo 255"/>
                        <wpg:cNvGrpSpPr/>
                        <wpg:grpSpPr>
                          <a:xfrm>
                            <a:off x="0" y="-230634"/>
                            <a:ext cx="5909661" cy="2710309"/>
                            <a:chOff x="0" y="-230651"/>
                            <a:chExt cx="5909661" cy="2710504"/>
                          </a:xfrm>
                        </wpg:grpSpPr>
                        <wpg:grpSp>
                          <wpg:cNvPr id="256" name="Grupo 34"/>
                          <wpg:cNvGrpSpPr/>
                          <wpg:grpSpPr>
                            <a:xfrm>
                              <a:off x="0" y="-230651"/>
                              <a:ext cx="5909661" cy="2453786"/>
                              <a:chOff x="0" y="-308338"/>
                              <a:chExt cx="6737699" cy="2600907"/>
                            </a:xfrm>
                          </wpg:grpSpPr>
                          <wpg:grpSp>
                            <wpg:cNvPr id="257" name="Grupo 257"/>
                            <wpg:cNvGrpSpPr/>
                            <wpg:grpSpPr>
                              <a:xfrm>
                                <a:off x="0" y="-308338"/>
                                <a:ext cx="6737699" cy="2600907"/>
                                <a:chOff x="0" y="-308338"/>
                                <a:chExt cx="6737699" cy="2600907"/>
                              </a:xfrm>
                            </wpg:grpSpPr>
                            <pic:pic xmlns:pic="http://schemas.openxmlformats.org/drawingml/2006/picture">
                              <pic:nvPicPr>
                                <pic:cNvPr id="258" name="Picture 15" descr="P:\projects\MKGRA\MKGRA062 - Research Icons 2012\Final icons AW\Hous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8749" y="841155"/>
                                  <a:ext cx="599978" cy="599978"/>
                                </a:xfrm>
                                <a:prstGeom prst="rect">
                                  <a:avLst/>
                                </a:prstGeom>
                                <a:noFill/>
                                <a:extLst>
                                  <a:ext uri="{909E8E84-426E-40DD-AFC4-6F175D3DCCD1}">
                                    <a14:hiddenFill xmlns:a14="http://schemas.microsoft.com/office/drawing/2010/main">
                                      <a:solidFill>
                                        <a:srgbClr val="FFFFFF"/>
                                      </a:solidFill>
                                    </a14:hiddenFill>
                                  </a:ext>
                                </a:extLst>
                              </pic:spPr>
                            </pic:pic>
                            <wpg:grpSp>
                              <wpg:cNvPr id="259" name="Group 171"/>
                              <wpg:cNvGrpSpPr/>
                              <wpg:grpSpPr>
                                <a:xfrm>
                                  <a:off x="1918241" y="841155"/>
                                  <a:ext cx="776665" cy="785752"/>
                                  <a:chOff x="1918241" y="841155"/>
                                  <a:chExt cx="776665" cy="785752"/>
                                </a:xfrm>
                              </wpg:grpSpPr>
                              <pic:pic xmlns:pic="http://schemas.openxmlformats.org/drawingml/2006/picture">
                                <pic:nvPicPr>
                                  <pic:cNvPr id="260" name="Picture 2" descr="P:\projects\MKGRA\MKGRA062 - Research Icons 2012\Final icons AW\telecoms-street-cabine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058643" y="841155"/>
                                    <a:ext cx="599978" cy="599978"/>
                                  </a:xfrm>
                                  <a:prstGeom prst="rect">
                                    <a:avLst/>
                                  </a:prstGeom>
                                  <a:noFill/>
                                  <a:extLst>
                                    <a:ext uri="{909E8E84-426E-40DD-AFC4-6F175D3DCCD1}">
                                      <a14:hiddenFill xmlns:a14="http://schemas.microsoft.com/office/drawing/2010/main">
                                        <a:solidFill>
                                          <a:srgbClr val="FFFFFF"/>
                                        </a:solidFill>
                                      </a14:hiddenFill>
                                    </a:ext>
                                  </a:extLst>
                                </pic:spPr>
                              </pic:pic>
                              <wps:wsp>
                                <wps:cNvPr id="261" name="TextBox 173"/>
                                <wps:cNvSpPr txBox="1"/>
                                <wps:spPr>
                                  <a:xfrm>
                                    <a:off x="1918241" y="1396075"/>
                                    <a:ext cx="776665" cy="230832"/>
                                  </a:xfrm>
                                  <a:prstGeom prst="rect">
                                    <a:avLst/>
                                  </a:prstGeom>
                                  <a:noFill/>
                                </wps:spPr>
                                <wps:txbx>
                                  <w:txbxContent>
                                    <w:p w14:paraId="1BA0BD49"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Central</w:t>
                                      </w:r>
                                    </w:p>
                                  </w:txbxContent>
                                </wps:txbx>
                                <wps:bodyPr wrap="square" rtlCol="0" anchor="ctr">
                                  <a:noAutofit/>
                                </wps:bodyPr>
                              </wps:wsp>
                            </wpg:grpSp>
                            <wps:wsp>
                              <wps:cNvPr id="262" name="TextBox 174"/>
                              <wps:cNvSpPr txBox="1"/>
                              <wps:spPr>
                                <a:xfrm>
                                  <a:off x="0" y="1344067"/>
                                  <a:ext cx="672548" cy="282832"/>
                                </a:xfrm>
                                <a:prstGeom prst="rect">
                                  <a:avLst/>
                                </a:prstGeom>
                                <a:noFill/>
                              </wps:spPr>
                              <wps:txbx>
                                <w:txbxContent>
                                  <w:p w14:paraId="584ABB2F"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Hogar</w:t>
                                    </w:r>
                                  </w:p>
                                </w:txbxContent>
                              </wps:txbx>
                              <wps:bodyPr wrap="square" rtlCol="0" anchor="ctr">
                                <a:noAutofit/>
                              </wps:bodyPr>
                            </wps:wsp>
                            <wps:wsp>
                              <wps:cNvPr id="263" name="Oval 175"/>
                              <wps:cNvSpPr/>
                              <wps:spPr>
                                <a:xfrm>
                                  <a:off x="2973089" y="959986"/>
                                  <a:ext cx="2543653" cy="364319"/>
                                </a:xfrm>
                                <a:prstGeom prst="ellipse">
                                  <a:avLst/>
                                </a:prstGeom>
                                <a:noFill/>
                                <a:ln w="25400" cap="flat" cmpd="sng" algn="ctr">
                                  <a:solidFill>
                                    <a:srgbClr val="000000"/>
                                  </a:solidFill>
                                  <a:prstDash val="solid"/>
                                </a:ln>
                                <a:effectLst/>
                              </wps:spPr>
                              <wps:txbx>
                                <w:txbxContent>
                                  <w:p w14:paraId="6800A086" w14:textId="77777777" w:rsidR="00012570" w:rsidRPr="00A23832" w:rsidRDefault="00012570" w:rsidP="00DE64CD">
                                    <w:pPr>
                                      <w:pStyle w:val="NormalWeb"/>
                                      <w:spacing w:before="0" w:beforeAutospacing="0" w:after="0" w:afterAutospacing="0"/>
                                      <w:jc w:val="center"/>
                                      <w:rPr>
                                        <w:sz w:val="16"/>
                                      </w:rPr>
                                    </w:pPr>
                                    <w:r w:rsidRPr="00A23832">
                                      <w:rPr>
                                        <w:rFonts w:ascii="ITC Avant Garde" w:hAnsi="ITC Avant Garde" w:cstheme="minorBidi"/>
                                        <w:b/>
                                        <w:bCs/>
                                        <w:color w:val="000000"/>
                                        <w:kern w:val="24"/>
                                        <w:sz w:val="18"/>
                                        <w:szCs w:val="28"/>
                                        <w:lang w:val="es-ES_tradnl"/>
                                      </w:rPr>
                                      <w:t>Red del AEP</w:t>
                                    </w:r>
                                  </w:p>
                                </w:txbxContent>
                              </wps:txbx>
                              <wps:bodyPr rtlCol="0" anchor="ctr"/>
                            </wps:wsp>
                            <wps:wsp>
                              <wps:cNvPr id="264" name="Straight Connector 176"/>
                              <wps:cNvCnPr/>
                              <wps:spPr>
                                <a:xfrm>
                                  <a:off x="648727" y="1141144"/>
                                  <a:ext cx="1409916" cy="0"/>
                                </a:xfrm>
                                <a:prstGeom prst="line">
                                  <a:avLst/>
                                </a:prstGeom>
                                <a:noFill/>
                                <a:ln w="28575" cap="flat" cmpd="sng" algn="ctr">
                                  <a:solidFill>
                                    <a:srgbClr val="000000"/>
                                  </a:solidFill>
                                  <a:prstDash val="solid"/>
                                </a:ln>
                                <a:effectLst/>
                              </wps:spPr>
                              <wps:bodyPr/>
                            </wps:wsp>
                            <wps:wsp>
                              <wps:cNvPr id="265" name="Straight Connector 177"/>
                              <wps:cNvCnPr/>
                              <wps:spPr>
                                <a:xfrm>
                                  <a:off x="2658621" y="1141144"/>
                                  <a:ext cx="314468" cy="1002"/>
                                </a:xfrm>
                                <a:prstGeom prst="line">
                                  <a:avLst/>
                                </a:prstGeom>
                                <a:noFill/>
                                <a:ln w="28575" cap="flat" cmpd="sng" algn="ctr">
                                  <a:solidFill>
                                    <a:srgbClr val="000000"/>
                                  </a:solidFill>
                                  <a:prstDash val="solid"/>
                                </a:ln>
                                <a:effectLst/>
                              </wps:spPr>
                              <wps:bodyPr/>
                            </wps:wsp>
                            <wps:wsp>
                              <wps:cNvPr id="266" name="Straight Connector 178"/>
                              <wps:cNvCnPr/>
                              <wps:spPr>
                                <a:xfrm>
                                  <a:off x="3345598" y="1270952"/>
                                  <a:ext cx="75" cy="210283"/>
                                </a:xfrm>
                                <a:prstGeom prst="line">
                                  <a:avLst/>
                                </a:prstGeom>
                                <a:noFill/>
                                <a:ln w="28575" cap="flat" cmpd="sng" algn="ctr">
                                  <a:solidFill>
                                    <a:srgbClr val="000000"/>
                                  </a:solidFill>
                                  <a:prstDash val="solid"/>
                                </a:ln>
                                <a:effectLst/>
                              </wps:spPr>
                              <wps:bodyPr/>
                            </wps:wsp>
                            <wps:wsp>
                              <wps:cNvPr id="267" name="Straight Connector 179"/>
                              <wps:cNvCnPr/>
                              <wps:spPr>
                                <a:xfrm flipH="1">
                                  <a:off x="4244833" y="1324305"/>
                                  <a:ext cx="83" cy="156930"/>
                                </a:xfrm>
                                <a:prstGeom prst="line">
                                  <a:avLst/>
                                </a:prstGeom>
                                <a:noFill/>
                                <a:ln w="28575" cap="flat" cmpd="sng" algn="ctr">
                                  <a:solidFill>
                                    <a:srgbClr val="000000"/>
                                  </a:solidFill>
                                  <a:prstDash val="solid"/>
                                </a:ln>
                                <a:effectLst/>
                              </wps:spPr>
                              <wps:bodyPr/>
                            </wps:wsp>
                            <wps:wsp>
                              <wps:cNvPr id="268" name="Straight Connector 180"/>
                              <wps:cNvCnPr/>
                              <wps:spPr>
                                <a:xfrm flipH="1">
                                  <a:off x="5143993" y="1270952"/>
                                  <a:ext cx="240" cy="210283"/>
                                </a:xfrm>
                                <a:prstGeom prst="line">
                                  <a:avLst/>
                                </a:prstGeom>
                                <a:noFill/>
                                <a:ln w="28575" cap="flat" cmpd="sng" algn="ctr">
                                  <a:solidFill>
                                    <a:srgbClr val="000000"/>
                                  </a:solidFill>
                                  <a:prstDash val="solid"/>
                                </a:ln>
                                <a:effectLst/>
                              </wps:spPr>
                              <wps:bodyPr/>
                            </wps:wsp>
                            <wpg:grpSp>
                              <wpg:cNvPr id="269" name="Group 181"/>
                              <wpg:cNvGrpSpPr/>
                              <wpg:grpSpPr>
                                <a:xfrm>
                                  <a:off x="3009399" y="1481235"/>
                                  <a:ext cx="672548" cy="692310"/>
                                  <a:chOff x="3009399" y="1481235"/>
                                  <a:chExt cx="672548" cy="692310"/>
                                </a:xfrm>
                              </wpg:grpSpPr>
                              <pic:pic xmlns:pic="http://schemas.openxmlformats.org/drawingml/2006/picture">
                                <pic:nvPicPr>
                                  <pic:cNvPr id="270" name="Picture 7" descr="P:\projects\MKGRA\MKGRA062 - Research Icons 2012\Final icons AW\Clou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045684" y="1481235"/>
                                    <a:ext cx="599978" cy="599978"/>
                                  </a:xfrm>
                                  <a:prstGeom prst="rect">
                                    <a:avLst/>
                                  </a:prstGeom>
                                  <a:noFill/>
                                  <a:extLst>
                                    <a:ext uri="{909E8E84-426E-40DD-AFC4-6F175D3DCCD1}">
                                      <a14:hiddenFill xmlns:a14="http://schemas.microsoft.com/office/drawing/2010/main">
                                        <a:solidFill>
                                          <a:srgbClr val="FFFFFF"/>
                                        </a:solidFill>
                                      </a14:hiddenFill>
                                    </a:ext>
                                  </a:extLst>
                                </pic:spPr>
                              </pic:pic>
                              <wps:wsp>
                                <wps:cNvPr id="271" name="TextBox 183"/>
                                <wps:cNvSpPr txBox="1"/>
                                <wps:spPr>
                                  <a:xfrm>
                                    <a:off x="3009399" y="1942713"/>
                                    <a:ext cx="672548" cy="230832"/>
                                  </a:xfrm>
                                  <a:prstGeom prst="rect">
                                    <a:avLst/>
                                  </a:prstGeom>
                                  <a:noFill/>
                                </wps:spPr>
                                <wps:txbx>
                                  <w:txbxContent>
                                    <w:p w14:paraId="595EE699"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Local</w:t>
                                      </w:r>
                                    </w:p>
                                  </w:txbxContent>
                                </wps:txbx>
                                <wps:bodyPr wrap="square" rtlCol="0" anchor="ctr">
                                  <a:noAutofit/>
                                </wps:bodyPr>
                              </wps:wsp>
                            </wpg:grpSp>
                            <wpg:grpSp>
                              <wpg:cNvPr id="272" name="Group 184"/>
                              <wpg:cNvGrpSpPr/>
                              <wpg:grpSpPr>
                                <a:xfrm>
                                  <a:off x="3838024" y="1441147"/>
                                  <a:ext cx="813783" cy="779158"/>
                                  <a:chOff x="3838024" y="1441147"/>
                                  <a:chExt cx="813783" cy="779158"/>
                                </a:xfrm>
                              </wpg:grpSpPr>
                              <pic:pic xmlns:pic="http://schemas.openxmlformats.org/drawingml/2006/picture">
                                <pic:nvPicPr>
                                  <pic:cNvPr id="273" name="Picture 7" descr="P:\projects\MKGRA\MKGRA062 - Research Icons 2012\Final icons AW\Clou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903145" y="1441147"/>
                                    <a:ext cx="599978" cy="599978"/>
                                  </a:xfrm>
                                  <a:prstGeom prst="rect">
                                    <a:avLst/>
                                  </a:prstGeom>
                                  <a:noFill/>
                                  <a:extLst>
                                    <a:ext uri="{909E8E84-426E-40DD-AFC4-6F175D3DCCD1}">
                                      <a14:hiddenFill xmlns:a14="http://schemas.microsoft.com/office/drawing/2010/main">
                                        <a:solidFill>
                                          <a:srgbClr val="FFFFFF"/>
                                        </a:solidFill>
                                      </a14:hiddenFill>
                                    </a:ext>
                                  </a:extLst>
                                </pic:spPr>
                              </pic:pic>
                              <wps:wsp>
                                <wps:cNvPr id="274" name="TextBox 186"/>
                                <wps:cNvSpPr txBox="1"/>
                                <wps:spPr>
                                  <a:xfrm>
                                    <a:off x="3838024" y="1937883"/>
                                    <a:ext cx="813783" cy="282422"/>
                                  </a:xfrm>
                                  <a:prstGeom prst="rect">
                                    <a:avLst/>
                                  </a:prstGeom>
                                  <a:noFill/>
                                </wps:spPr>
                                <wps:txbx>
                                  <w:txbxContent>
                                    <w:p w14:paraId="1D279433"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Regional</w:t>
                                      </w:r>
                                    </w:p>
                                  </w:txbxContent>
                                </wps:txbx>
                                <wps:bodyPr wrap="square" rtlCol="0" anchor="ctr">
                                  <a:noAutofit/>
                                </wps:bodyPr>
                              </wps:wsp>
                            </wpg:grpSp>
                            <wpg:grpSp>
                              <wpg:cNvPr id="275" name="Group 187"/>
                              <wpg:cNvGrpSpPr/>
                              <wpg:grpSpPr>
                                <a:xfrm>
                                  <a:off x="4730178" y="1481235"/>
                                  <a:ext cx="813783" cy="687480"/>
                                  <a:chOff x="4730178" y="1481235"/>
                                  <a:chExt cx="813783" cy="687480"/>
                                </a:xfrm>
                              </wpg:grpSpPr>
                              <pic:pic xmlns:pic="http://schemas.openxmlformats.org/drawingml/2006/picture">
                                <pic:nvPicPr>
                                  <pic:cNvPr id="276" name="Picture 7" descr="P:\projects\MKGRA\MKGRA062 - Research Icons 2012\Final icons AW\Clou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844004" y="1481235"/>
                                    <a:ext cx="599978" cy="599978"/>
                                  </a:xfrm>
                                  <a:prstGeom prst="rect">
                                    <a:avLst/>
                                  </a:prstGeom>
                                  <a:noFill/>
                                  <a:extLst>
                                    <a:ext uri="{909E8E84-426E-40DD-AFC4-6F175D3DCCD1}">
                                      <a14:hiddenFill xmlns:a14="http://schemas.microsoft.com/office/drawing/2010/main">
                                        <a:solidFill>
                                          <a:srgbClr val="FFFFFF"/>
                                        </a:solidFill>
                                      </a14:hiddenFill>
                                    </a:ext>
                                  </a:extLst>
                                </pic:spPr>
                              </pic:pic>
                              <wps:wsp>
                                <wps:cNvPr id="277" name="TextBox 189"/>
                                <wps:cNvSpPr txBox="1"/>
                                <wps:spPr>
                                  <a:xfrm>
                                    <a:off x="4730178" y="1937883"/>
                                    <a:ext cx="813783" cy="230832"/>
                                  </a:xfrm>
                                  <a:prstGeom prst="rect">
                                    <a:avLst/>
                                  </a:prstGeom>
                                  <a:noFill/>
                                </wps:spPr>
                                <wps:txbx>
                                  <w:txbxContent>
                                    <w:p w14:paraId="024D7C35"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Nacional</w:t>
                                      </w:r>
                                    </w:p>
                                  </w:txbxContent>
                                </wps:txbx>
                                <wps:bodyPr wrap="square" rtlCol="0" anchor="ctr">
                                  <a:noAutofit/>
                                </wps:bodyPr>
                              </wps:wsp>
                            </wpg:grpSp>
                            <pic:pic xmlns:pic="http://schemas.openxmlformats.org/drawingml/2006/picture">
                              <pic:nvPicPr>
                                <pic:cNvPr id="278" name="Picture 15" descr="P:\projects\MKGRA\MKGRA062 - Research Icons 2012\Final icons AW\Hous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8749" y="1692591"/>
                                  <a:ext cx="599978" cy="599978"/>
                                </a:xfrm>
                                <a:prstGeom prst="rect">
                                  <a:avLst/>
                                </a:prstGeom>
                                <a:noFill/>
                                <a:extLst>
                                  <a:ext uri="{909E8E84-426E-40DD-AFC4-6F175D3DCCD1}">
                                    <a14:hiddenFill xmlns:a14="http://schemas.microsoft.com/office/drawing/2010/main">
                                      <a:solidFill>
                                        <a:srgbClr val="FFFFFF"/>
                                      </a:solidFill>
                                    </a14:hiddenFill>
                                  </a:ext>
                                </a:extLst>
                              </pic:spPr>
                            </pic:pic>
                            <wps:wsp>
                              <wps:cNvPr id="279" name="Elbow Connector 191"/>
                              <wps:cNvCnPr/>
                              <wps:spPr>
                                <a:xfrm flipV="1">
                                  <a:off x="648727" y="1141144"/>
                                  <a:ext cx="1409916" cy="851436"/>
                                </a:xfrm>
                                <a:prstGeom prst="bentConnector3">
                                  <a:avLst/>
                                </a:prstGeom>
                                <a:noFill/>
                                <a:ln w="28575" cap="flat" cmpd="sng" algn="ctr">
                                  <a:solidFill>
                                    <a:srgbClr val="000000"/>
                                  </a:solidFill>
                                  <a:prstDash val="solid"/>
                                </a:ln>
                                <a:effectLst/>
                              </wps:spPr>
                              <wps:bodyPr/>
                            </wps:wsp>
                            <wps:wsp>
                              <wps:cNvPr id="280" name="TextBox 193"/>
                              <wps:cNvSpPr txBox="1"/>
                              <wps:spPr>
                                <a:xfrm>
                                  <a:off x="4842800" y="-308338"/>
                                  <a:ext cx="1893303" cy="838068"/>
                                </a:xfrm>
                                <a:prstGeom prst="rect">
                                  <a:avLst/>
                                </a:prstGeom>
                                <a:noFill/>
                              </wps:spPr>
                              <wps:txbx>
                                <w:txbxContent>
                                  <w:p w14:paraId="08D30E14" w14:textId="77777777" w:rsidR="00012570" w:rsidRDefault="00012570" w:rsidP="00DE64CD">
                                    <w:pPr>
                                      <w:pStyle w:val="NormalWeb"/>
                                      <w:spacing w:before="0" w:beforeAutospacing="0" w:after="0" w:afterAutospacing="0"/>
                                      <w:jc w:val="both"/>
                                    </w:pPr>
                                    <w:r>
                                      <w:rPr>
                                        <w:rFonts w:ascii="ITC Avant Garde" w:hAnsi="ITC Avant Garde" w:cstheme="minorBidi"/>
                                        <w:color w:val="000000" w:themeColor="text1"/>
                                        <w:kern w:val="24"/>
                                        <w:sz w:val="18"/>
                                        <w:szCs w:val="18"/>
                                        <w:lang w:val="es-ES_tradnl"/>
                                      </w:rPr>
                                      <w:t xml:space="preserve">Segmento de red </w:t>
                                    </w:r>
                                    <w:r>
                                      <w:rPr>
                                        <w:rFonts w:ascii="ITC Avant Garde" w:hAnsi="ITC Avant Garde" w:cstheme="minorBidi"/>
                                        <w:b/>
                                        <w:bCs/>
                                        <w:color w:val="000000" w:themeColor="text1"/>
                                        <w:kern w:val="24"/>
                                        <w:sz w:val="18"/>
                                        <w:szCs w:val="18"/>
                                        <w:lang w:val="es-ES_tradnl"/>
                                      </w:rPr>
                                      <w:t xml:space="preserve">no usado </w:t>
                                    </w:r>
                                    <w:r>
                                      <w:rPr>
                                        <w:rFonts w:ascii="ITC Avant Garde" w:hAnsi="ITC Avant Garde" w:cstheme="minorBidi"/>
                                        <w:color w:val="000000" w:themeColor="text1"/>
                                        <w:kern w:val="24"/>
                                        <w:sz w:val="18"/>
                                        <w:szCs w:val="18"/>
                                        <w:lang w:val="es-ES_tradnl"/>
                                      </w:rPr>
                                      <w:t>por el SAIB con entrega de tráfico a nivel nacional</w:t>
                                    </w:r>
                                  </w:p>
                                </w:txbxContent>
                              </wps:txbx>
                              <wps:bodyPr wrap="square" rtlCol="0" anchor="ctr">
                                <a:noAutofit/>
                              </wps:bodyPr>
                            </wps:wsp>
                            <wps:wsp>
                              <wps:cNvPr id="281" name="Right Brace 194"/>
                              <wps:cNvSpPr/>
                              <wps:spPr>
                                <a:xfrm rot="16200000">
                                  <a:off x="5767545" y="-387680"/>
                                  <a:ext cx="107306" cy="1833002"/>
                                </a:xfrm>
                                <a:prstGeom prst="rightBrace">
                                  <a:avLst>
                                    <a:gd name="adj1" fmla="val 80702"/>
                                    <a:gd name="adj2" fmla="val 50000"/>
                                  </a:avLst>
                                </a:prstGeom>
                                <a:noFill/>
                                <a:ln w="19050" cap="flat" cmpd="sng" algn="ctr">
                                  <a:solidFill>
                                    <a:srgbClr val="C00000"/>
                                  </a:solidFill>
                                  <a:prstDash val="solid"/>
                                </a:ln>
                                <a:effectLst/>
                              </wps:spPr>
                              <wps:bodyPr rtlCol="0" anchor="ctr"/>
                            </wps:wsp>
                            <wps:wsp>
                              <wps:cNvPr id="282" name="TextBox 195"/>
                              <wps:cNvSpPr txBox="1"/>
                              <wps:spPr>
                                <a:xfrm>
                                  <a:off x="2265631" y="195741"/>
                                  <a:ext cx="486582" cy="230832"/>
                                </a:xfrm>
                                <a:prstGeom prst="rect">
                                  <a:avLst/>
                                </a:prstGeom>
                                <a:noFill/>
                              </wps:spPr>
                              <wps:txbx>
                                <w:txbxContent>
                                  <w:p w14:paraId="751B7547" w14:textId="77777777" w:rsidR="00012570" w:rsidRPr="00A23832" w:rsidRDefault="00012570" w:rsidP="00DE64CD">
                                    <w:pPr>
                                      <w:pStyle w:val="NormalWeb"/>
                                      <w:spacing w:before="0" w:beforeAutospacing="0" w:after="0" w:afterAutospacing="0"/>
                                      <w:rPr>
                                        <w:b/>
                                      </w:rPr>
                                    </w:pPr>
                                    <w:r w:rsidRPr="00A23832">
                                      <w:rPr>
                                        <w:rFonts w:ascii="ITC Avant Garde" w:hAnsi="ITC Avant Garde" w:cstheme="minorBidi"/>
                                        <w:b/>
                                        <w:color w:val="000000" w:themeColor="text1"/>
                                        <w:kern w:val="24"/>
                                        <w:sz w:val="18"/>
                                        <w:szCs w:val="18"/>
                                        <w:lang w:val="es-ES_tradnl"/>
                                      </w:rPr>
                                      <w:t>SAIB</w:t>
                                    </w:r>
                                  </w:p>
                                </w:txbxContent>
                              </wps:txbx>
                              <wps:bodyPr wrap="square" rtlCol="0" anchor="ctr">
                                <a:noAutofit/>
                              </wps:bodyPr>
                            </wps:wsp>
                          </wpg:grpSp>
                          <wps:wsp>
                            <wps:cNvPr id="283" name="Right Brace 194"/>
                            <wps:cNvSpPr/>
                            <wps:spPr>
                              <a:xfrm rot="16200000">
                                <a:off x="2483521" y="-1778045"/>
                                <a:ext cx="107171" cy="4613606"/>
                              </a:xfrm>
                              <a:prstGeom prst="rightBrace">
                                <a:avLst>
                                  <a:gd name="adj1" fmla="val 80702"/>
                                  <a:gd name="adj2" fmla="val 50000"/>
                                </a:avLst>
                              </a:prstGeom>
                              <a:noFill/>
                              <a:ln w="19050" cap="flat" cmpd="sng" algn="ctr">
                                <a:solidFill>
                                  <a:srgbClr val="C00000"/>
                                </a:solidFill>
                                <a:prstDash val="solid"/>
                              </a:ln>
                              <a:effectLst/>
                            </wps:spPr>
                            <wps:bodyPr rtlCol="0" anchor="ctr"/>
                          </wps:wsp>
                        </wpg:grpSp>
                        <wps:wsp>
                          <wps:cNvPr id="284" name="TextBox 174"/>
                          <wps:cNvSpPr txBox="1"/>
                          <wps:spPr>
                            <a:xfrm>
                              <a:off x="0" y="2223821"/>
                              <a:ext cx="589894" cy="256032"/>
                            </a:xfrm>
                            <a:prstGeom prst="rect">
                              <a:avLst/>
                            </a:prstGeom>
                            <a:noFill/>
                          </wps:spPr>
                          <wps:txbx>
                            <w:txbxContent>
                              <w:p w14:paraId="78B45354"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Hogar</w:t>
                                </w:r>
                              </w:p>
                            </w:txbxContent>
                          </wps:txbx>
                          <wps:bodyPr wrap="square" rtlCol="0" anchor="ctr">
                            <a:noAutofit/>
                          </wps:bodyPr>
                        </wps:wsp>
                      </wpg:grpSp>
                      <wps:wsp>
                        <wps:cNvPr id="285" name="Straight Connector 177"/>
                        <wps:cNvCnPr/>
                        <wps:spPr>
                          <a:xfrm flipV="1">
                            <a:off x="4845133" y="1140031"/>
                            <a:ext cx="540000" cy="0"/>
                          </a:xfrm>
                          <a:prstGeom prst="line">
                            <a:avLst/>
                          </a:prstGeom>
                          <a:ln w="28575">
                            <a:solidFill>
                              <a:srgbClr val="000000"/>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7423970" id="Grupo 254" o:spid="_x0000_s1100" style="width:465.3pt;height:213.4pt;mso-position-horizontal-relative:char;mso-position-vertical-relative:line" coordorigin=",-2306" coordsize="59096,27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">
                <v:group id="Grupo 255" o:spid="_x0000_s1101" style="position:absolute;top:-2306;width:59096;height:27102" coordorigin=",-2306" coordsize="59096,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group id="Grupo 34" o:spid="_x0000_s1102" style="position:absolute;top:-2306;width:59096;height:24537" coordorigin=",-3083" coordsize="67376,2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group id="Grupo 257" o:spid="_x0000_s1103" style="position:absolute;top:-3083;width:67376;height:26008" coordorigin=",-3083" coordsize="67376,2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Picture 15" o:spid="_x0000_s1104" type="#_x0000_t75" style="position:absolute;left:487;top:8411;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">
                        <v:imagedata r:id="rId29" o:title="House"/>
                      </v:shape>
                      <v:group id="Group 171" o:spid="_x0000_s1105" style="position:absolute;left:19182;top:8411;width:7767;height:7858" coordorigin="19182,8411" coordsize="7766,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Picture 2" o:spid="_x0000_s1106" type="#_x0000_t75" style="position:absolute;left:20586;top:8411;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">
                          <v:imagedata r:id="rId30" o:title="telecoms-street-cabinet"/>
                        </v:shape>
                        <v:shape id="TextBox 173" o:spid="_x0000_s1107" type="#_x0000_t202" style="position:absolute;left:19182;top:13960;width:7767;height: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" filled="f" stroked="f">
                          <v:textbox>
                            <w:txbxContent>
                              <w:p w14:paraId="1BA0BD49"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Central</w:t>
                                </w:r>
                              </w:p>
                            </w:txbxContent>
                          </v:textbox>
                        </v:shape>
                      </v:group>
                      <v:shape id="TextBox 174" o:spid="_x0000_s1108" type="#_x0000_t202" style="position:absolute;top:13440;width:6725;height:2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" filled="f" stroked="f">
                        <v:textbox>
                          <w:txbxContent>
                            <w:p w14:paraId="584ABB2F"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Hogar</w:t>
                              </w:r>
                            </w:p>
                          </w:txbxContent>
                        </v:textbox>
                      </v:shape>
                      <v:oval id="Oval 175" o:spid="_x0000_s1109" style="position:absolute;left:29730;top:9599;width:25437;height:3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" filled="f" strokeweight="2pt">
                        <v:textbox>
                          <w:txbxContent>
                            <w:p w14:paraId="6800A086" w14:textId="77777777" w:rsidR="00012570" w:rsidRPr="00A23832" w:rsidRDefault="00012570" w:rsidP="00DE64CD">
                              <w:pPr>
                                <w:pStyle w:val="NormalWeb"/>
                                <w:spacing w:before="0" w:beforeAutospacing="0" w:after="0" w:afterAutospacing="0"/>
                                <w:jc w:val="center"/>
                                <w:rPr>
                                  <w:sz w:val="16"/>
                                </w:rPr>
                              </w:pPr>
                              <w:r w:rsidRPr="00A23832">
                                <w:rPr>
                                  <w:rFonts w:ascii="ITC Avant Garde" w:hAnsi="ITC Avant Garde" w:cstheme="minorBidi"/>
                                  <w:b/>
                                  <w:bCs/>
                                  <w:color w:val="000000"/>
                                  <w:kern w:val="24"/>
                                  <w:sz w:val="18"/>
                                  <w:szCs w:val="28"/>
                                  <w:lang w:val="es-ES_tradnl"/>
                                </w:rPr>
                                <w:t>Red del AEP</w:t>
                              </w:r>
                            </w:p>
                          </w:txbxContent>
                        </v:textbox>
                      </v:oval>
                      <v:line id="Straight Connector 176" o:spid="_x0000_s1110" style="position:absolute;visibility:visible;mso-wrap-style:square" from="6487,11411" to="20586,1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" strokeweight="2.25pt"/>
                      <v:line id="Straight Connector 177" o:spid="_x0000_s1111" style="position:absolute;visibility:visible;mso-wrap-style:square" from="26586,11411" to="29730,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" strokeweight="2.25pt"/>
                      <v:line id="Straight Connector 178" o:spid="_x0000_s1112" style="position:absolute;visibility:visible;mso-wrap-style:square" from="33455,12709" to="33456,14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" strokeweight="2.25pt"/>
                      <v:line id="Straight Connector 179" o:spid="_x0000_s1113" style="position:absolute;flip:x;visibility:visible;mso-wrap-style:square" from="42448,13243" to="42449,14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" strokeweight="2.25pt"/>
                      <v:line id="Straight Connector 180" o:spid="_x0000_s1114" style="position:absolute;flip:x;visibility:visible;mso-wrap-style:square" from="51439,12709" to="51442,14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" strokeweight="2.25pt"/>
                      <v:group id="Group 181" o:spid="_x0000_s1115" style="position:absolute;left:30093;top:14812;width:6726;height:6923" coordorigin="30093,14812" coordsize="6725,6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Picture 7" o:spid="_x0000_s1116" type="#_x0000_t75" style="position:absolute;left:30456;top:14812;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">
                          <v:imagedata r:id="rId31" o:title="Cloud"/>
                        </v:shape>
                        <v:shape id="TextBox 183" o:spid="_x0000_s1117" type="#_x0000_t202" style="position:absolute;left:30093;top:19427;width:6726;height:2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" filled="f" stroked="f">
                          <v:textbox>
                            <w:txbxContent>
                              <w:p w14:paraId="595EE699"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Local</w:t>
                                </w:r>
                              </w:p>
                            </w:txbxContent>
                          </v:textbox>
                        </v:shape>
                      </v:group>
                      <v:group id="Group 184" o:spid="_x0000_s1118" style="position:absolute;left:38380;top:14411;width:8138;height:7792" coordorigin="38380,14411" coordsize="8137,7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Picture 7" o:spid="_x0000_s1119" type="#_x0000_t75" style="position:absolute;left:39031;top:14411;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">
                          <v:imagedata r:id="rId31" o:title="Cloud"/>
                        </v:shape>
                        <v:shape id="TextBox 186" o:spid="_x0000_s1120" type="#_x0000_t202" style="position:absolute;left:38380;top:19378;width:8138;height:2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" filled="f" stroked="f">
                          <v:textbox>
                            <w:txbxContent>
                              <w:p w14:paraId="1D279433"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Regional</w:t>
                                </w:r>
                              </w:p>
                            </w:txbxContent>
                          </v:textbox>
                        </v:shape>
                      </v:group>
                      <v:group id="Group 187" o:spid="_x0000_s1121" style="position:absolute;left:47301;top:14812;width:8138;height:6875" coordorigin="47301,14812" coordsize="8137,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Picture 7" o:spid="_x0000_s1122" type="#_x0000_t75" style="position:absolute;left:48440;top:14812;width:5999;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">
                          <v:imagedata r:id="rId31" o:title="Cloud"/>
                        </v:shape>
                        <v:shape id="TextBox 189" o:spid="_x0000_s1123" type="#_x0000_t202" style="position:absolute;left:47301;top:19378;width:8138;height: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" filled="f" stroked="f">
                          <v:textbox>
                            <w:txbxContent>
                              <w:p w14:paraId="024D7C35"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Nacional</w:t>
                                </w:r>
                              </w:p>
                            </w:txbxContent>
                          </v:textbox>
                        </v:shape>
                      </v:group>
                      <v:shape id="Picture 15" o:spid="_x0000_s1124" type="#_x0000_t75" style="position:absolute;left:487;top:16925;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">
                        <v:imagedata r:id="rId29" o:title="House"/>
                      </v:shape>
                      <v:shape id="Elbow Connector 191" o:spid="_x0000_s1125" type="#_x0000_t34" style="position:absolute;left:6487;top:11411;width:14099;height:851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" strokeweight="2.25pt"/>
                      <v:shape id="TextBox 193" o:spid="_x0000_s1126" type="#_x0000_t202" style="position:absolute;left:48428;top:-3083;width:18933;height:8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" filled="f" stroked="f">
                        <v:textbox>
                          <w:txbxContent>
                            <w:p w14:paraId="08D30E14" w14:textId="77777777" w:rsidR="00012570" w:rsidRDefault="00012570" w:rsidP="00DE64CD">
                              <w:pPr>
                                <w:pStyle w:val="NormalWeb"/>
                                <w:spacing w:before="0" w:beforeAutospacing="0" w:after="0" w:afterAutospacing="0"/>
                                <w:jc w:val="both"/>
                              </w:pPr>
                              <w:r>
                                <w:rPr>
                                  <w:rFonts w:ascii="ITC Avant Garde" w:hAnsi="ITC Avant Garde" w:cstheme="minorBidi"/>
                                  <w:color w:val="000000" w:themeColor="text1"/>
                                  <w:kern w:val="24"/>
                                  <w:sz w:val="18"/>
                                  <w:szCs w:val="18"/>
                                  <w:lang w:val="es-ES_tradnl"/>
                                </w:rPr>
                                <w:t xml:space="preserve">Segmento de red </w:t>
                              </w:r>
                              <w:r>
                                <w:rPr>
                                  <w:rFonts w:ascii="ITC Avant Garde" w:hAnsi="ITC Avant Garde" w:cstheme="minorBidi"/>
                                  <w:b/>
                                  <w:bCs/>
                                  <w:color w:val="000000" w:themeColor="text1"/>
                                  <w:kern w:val="24"/>
                                  <w:sz w:val="18"/>
                                  <w:szCs w:val="18"/>
                                  <w:lang w:val="es-ES_tradnl"/>
                                </w:rPr>
                                <w:t xml:space="preserve">no usado </w:t>
                              </w:r>
                              <w:r>
                                <w:rPr>
                                  <w:rFonts w:ascii="ITC Avant Garde" w:hAnsi="ITC Avant Garde" w:cstheme="minorBidi"/>
                                  <w:color w:val="000000" w:themeColor="text1"/>
                                  <w:kern w:val="24"/>
                                  <w:sz w:val="18"/>
                                  <w:szCs w:val="18"/>
                                  <w:lang w:val="es-ES_tradnl"/>
                                </w:rPr>
                                <w:t>por el SAIB con entrega de tráfico a nivel nacional</w:t>
                              </w:r>
                            </w:p>
                          </w:txbxContent>
                        </v:textbox>
                      </v:shape>
                      <v:shape id="Right Brace 194" o:spid="_x0000_s1127" type="#_x0000_t88" style="position:absolute;left:57674;top:-3877;width:1073;height:183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" adj="1020" strokecolor="#c00000" strokeweight="1.5pt"/>
                      <v:shape id="TextBox 195" o:spid="_x0000_s1128" type="#_x0000_t202" style="position:absolute;left:22656;top:1957;width:4866;height:2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" filled="f" stroked="f">
                        <v:textbox>
                          <w:txbxContent>
                            <w:p w14:paraId="751B7547" w14:textId="77777777" w:rsidR="00012570" w:rsidRPr="00A23832" w:rsidRDefault="00012570" w:rsidP="00DE64CD">
                              <w:pPr>
                                <w:pStyle w:val="NormalWeb"/>
                                <w:spacing w:before="0" w:beforeAutospacing="0" w:after="0" w:afterAutospacing="0"/>
                                <w:rPr>
                                  <w:b/>
                                </w:rPr>
                              </w:pPr>
                              <w:r w:rsidRPr="00A23832">
                                <w:rPr>
                                  <w:rFonts w:ascii="ITC Avant Garde" w:hAnsi="ITC Avant Garde" w:cstheme="minorBidi"/>
                                  <w:b/>
                                  <w:color w:val="000000" w:themeColor="text1"/>
                                  <w:kern w:val="24"/>
                                  <w:sz w:val="18"/>
                                  <w:szCs w:val="18"/>
                                  <w:lang w:val="es-ES_tradnl"/>
                                </w:rPr>
                                <w:t>SAIB</w:t>
                              </w:r>
                            </w:p>
                          </w:txbxContent>
                        </v:textbox>
                      </v:shape>
                    </v:group>
                    <v:shape id="Right Brace 194" o:spid="_x0000_s1129" type="#_x0000_t88" style="position:absolute;left:24835;top:-17781;width:1072;height:461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" adj="405" strokecolor="#c00000" strokeweight="1.5pt"/>
                  </v:group>
                  <v:shape id="TextBox 174" o:spid="_x0000_s1130" type="#_x0000_t202" style="position:absolute;top:22238;width:5898;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" filled="f" stroked="f">
                    <v:textbox>
                      <w:txbxContent>
                        <w:p w14:paraId="78B45354" w14:textId="77777777" w:rsidR="00012570" w:rsidRDefault="00012570" w:rsidP="00DE64CD">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Hogar</w:t>
                          </w:r>
                        </w:p>
                      </w:txbxContent>
                    </v:textbox>
                  </v:shape>
                </v:group>
                <v:line id="Straight Connector 177" o:spid="_x0000_s1131" style="position:absolute;flip:y;visibility:visible;mso-wrap-style:square" from="48451,11400" to="53851,1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" strokeweight="2.25pt">
                  <v:stroke dashstyle="3 1" joinstyle="miter"/>
                </v:line>
                <w10:anchorlock/>
              </v:group>
            </w:pict>
          </mc:Fallback>
        </mc:AlternateContent>
      </w:r>
    </w:p>
    <w:p w14:paraId="280726C3" w14:textId="7CA14FA2" w:rsidR="00DE64CD" w:rsidRDefault="00CE2ECB" w:rsidP="00DE64CD">
      <w:pPr>
        <w:pStyle w:val="IFTnormal"/>
      </w:pPr>
      <w:r>
        <w:rPr>
          <w:b/>
          <w:color w:val="000000" w:themeColor="text1"/>
          <w:sz w:val="18"/>
          <w:szCs w:val="18"/>
        </w:rPr>
        <w:t>Figura 14</w:t>
      </w:r>
      <w:r w:rsidR="00DE64CD" w:rsidRPr="005F6455">
        <w:rPr>
          <w:b/>
          <w:color w:val="000000" w:themeColor="text1"/>
          <w:sz w:val="18"/>
          <w:szCs w:val="18"/>
        </w:rPr>
        <w:t>:</w:t>
      </w:r>
      <w:r w:rsidR="00DE64CD" w:rsidRPr="005F6455">
        <w:rPr>
          <w:color w:val="000000" w:themeColor="text1"/>
          <w:sz w:val="18"/>
          <w:szCs w:val="18"/>
        </w:rPr>
        <w:t xml:space="preserve"> Esquema </w:t>
      </w:r>
      <w:r w:rsidR="00DE64CD">
        <w:rPr>
          <w:color w:val="000000" w:themeColor="text1"/>
          <w:sz w:val="18"/>
          <w:szCs w:val="18"/>
        </w:rPr>
        <w:t xml:space="preserve">del SAIB con entrega de tráfico a nivel nacional </w:t>
      </w:r>
      <w:r w:rsidR="002F02F0">
        <w:rPr>
          <w:color w:val="000000" w:themeColor="text1"/>
          <w:sz w:val="18"/>
          <w:szCs w:val="18"/>
        </w:rPr>
        <w:t>y del segmento de la red de Telmex y Telnor</w:t>
      </w:r>
      <w:r w:rsidR="00DE64CD">
        <w:rPr>
          <w:color w:val="000000" w:themeColor="text1"/>
          <w:sz w:val="18"/>
          <w:szCs w:val="18"/>
        </w:rPr>
        <w:t xml:space="preserve"> no usado por dicho servicio de desagregación</w:t>
      </w:r>
    </w:p>
    <w:p w14:paraId="3566DB5C" w14:textId="20D29E9F" w:rsidR="00DE64CD" w:rsidRDefault="00DE64CD" w:rsidP="00DE64CD">
      <w:pPr>
        <w:pStyle w:val="IFTnormal"/>
      </w:pPr>
      <w:r>
        <w:t>Asimismo, también se debe tener presente que mientras mayor sea el perfil de velocidad contratado por un CS a través del SAIB, se hará un uso cada vez más intensivo de los mencion</w:t>
      </w:r>
      <w:r w:rsidR="002F02F0">
        <w:t>ados segmentos de la red de Telmex y Telnor</w:t>
      </w:r>
      <w:r>
        <w:t>, puesto que a través de ellos se realiza la entrega de tráfico en un pCAI.</w:t>
      </w:r>
    </w:p>
    <w:p w14:paraId="45FA2E11" w14:textId="087B0DE3" w:rsidR="00DE64CD" w:rsidRDefault="00DE64CD" w:rsidP="00DE64CD">
      <w:pPr>
        <w:pStyle w:val="IFTnormal"/>
      </w:pPr>
      <w:r>
        <w:t>El procedimiento metodológico seguido para implementar los puntos anteriores se describe a continuación, considerando los</w:t>
      </w:r>
      <w:r w:rsidR="002F02F0">
        <w:t xml:space="preserve"> datos proporcionados por Telmex y Telnor</w:t>
      </w:r>
      <w:r>
        <w:t xml:space="preserve"> a través del Requerimiento de Información del Modelo de Costos Evitados, respecto a los elementos de su red que intervienen en la prestación del SAIB:</w:t>
      </w:r>
    </w:p>
    <w:tbl>
      <w:tblPr>
        <w:tblStyle w:val="Tabladecuadrcula1clara"/>
        <w:tblW w:w="5000" w:type="pct"/>
        <w:jc w:val="center"/>
        <w:tblLook w:val="0420" w:firstRow="1" w:lastRow="0" w:firstColumn="0" w:lastColumn="0" w:noHBand="0" w:noVBand="1"/>
      </w:tblPr>
      <w:tblGrid>
        <w:gridCol w:w="1462"/>
        <w:gridCol w:w="7366"/>
      </w:tblGrid>
      <w:tr w:rsidR="00DE64CD" w:rsidRPr="00802790" w14:paraId="03DC038F" w14:textId="77777777" w:rsidTr="00A4557C">
        <w:trPr>
          <w:cnfStyle w:val="100000000000" w:firstRow="1" w:lastRow="0" w:firstColumn="0" w:lastColumn="0" w:oddVBand="0" w:evenVBand="0" w:oddHBand="0" w:evenHBand="0" w:firstRowFirstColumn="0" w:firstRowLastColumn="0" w:lastRowFirstColumn="0" w:lastRowLastColumn="0"/>
          <w:trHeight w:val="278"/>
          <w:tblHeader/>
          <w:jc w:val="center"/>
        </w:trPr>
        <w:tc>
          <w:tcPr>
            <w:tcW w:w="828" w:type="pct"/>
            <w:shd w:val="clear" w:color="auto" w:fill="E7E6E6" w:themeFill="background2"/>
          </w:tcPr>
          <w:p w14:paraId="29C60D41" w14:textId="77777777" w:rsidR="00DE64CD" w:rsidRPr="00802790" w:rsidRDefault="00DE64CD" w:rsidP="00A4557C">
            <w:pPr>
              <w:pStyle w:val="Tableheading"/>
              <w:spacing w:before="0" w:after="0"/>
              <w:jc w:val="center"/>
              <w:rPr>
                <w:rFonts w:ascii="ITC Avant Garde" w:hAnsi="ITC Avant Garde"/>
                <w:b/>
                <w:color w:val="000000" w:themeColor="text1"/>
                <w:sz w:val="20"/>
                <w:szCs w:val="18"/>
                <w:lang w:val="es-ES_tradnl"/>
              </w:rPr>
            </w:pPr>
            <w:r w:rsidRPr="00802790">
              <w:rPr>
                <w:rFonts w:ascii="ITC Avant Garde" w:hAnsi="ITC Avant Garde" w:cs="Arial"/>
                <w:b/>
                <w:color w:val="000000"/>
                <w:sz w:val="20"/>
                <w:lang w:val="es-ES" w:eastAsia="es-ES"/>
              </w:rPr>
              <w:t>Concepto</w:t>
            </w:r>
          </w:p>
        </w:tc>
        <w:tc>
          <w:tcPr>
            <w:tcW w:w="4172" w:type="pct"/>
            <w:shd w:val="clear" w:color="auto" w:fill="E7E6E6" w:themeFill="background2"/>
          </w:tcPr>
          <w:p w14:paraId="2DF7509B" w14:textId="77777777" w:rsidR="00DE64CD" w:rsidRPr="00802790" w:rsidRDefault="00DE64CD" w:rsidP="00A4557C">
            <w:pPr>
              <w:pStyle w:val="Tableheading"/>
              <w:spacing w:before="0" w:after="0"/>
              <w:jc w:val="center"/>
              <w:rPr>
                <w:rFonts w:ascii="ITC Avant Garde" w:hAnsi="ITC Avant Garde"/>
                <w:b/>
                <w:color w:val="000000" w:themeColor="text1"/>
                <w:sz w:val="20"/>
                <w:szCs w:val="18"/>
                <w:lang w:val="es-ES_tradnl"/>
              </w:rPr>
            </w:pPr>
            <w:r w:rsidRPr="00802790">
              <w:rPr>
                <w:rFonts w:ascii="ITC Avant Garde" w:hAnsi="ITC Avant Garde"/>
                <w:b/>
                <w:color w:val="000000" w:themeColor="text1"/>
                <w:sz w:val="20"/>
                <w:szCs w:val="18"/>
                <w:lang w:val="es-ES_tradnl"/>
              </w:rPr>
              <w:t xml:space="preserve">Descripción </w:t>
            </w:r>
          </w:p>
        </w:tc>
      </w:tr>
      <w:tr w:rsidR="00DE64CD" w:rsidRPr="00802790" w14:paraId="378408F9" w14:textId="77777777" w:rsidTr="00A4557C">
        <w:trPr>
          <w:trHeight w:val="276"/>
          <w:jc w:val="center"/>
        </w:trPr>
        <w:tc>
          <w:tcPr>
            <w:tcW w:w="828" w:type="pct"/>
            <w:vAlign w:val="center"/>
          </w:tcPr>
          <w:p w14:paraId="2A812FBC" w14:textId="77777777" w:rsidR="00DE64CD" w:rsidRPr="00802790" w:rsidRDefault="00DE64CD" w:rsidP="00A4557C">
            <w:pPr>
              <w:pStyle w:val="IFTnormal"/>
              <w:jc w:val="center"/>
              <w:rPr>
                <w:b/>
                <w:sz w:val="20"/>
              </w:rPr>
            </w:pPr>
            <w:r w:rsidRPr="00802790">
              <w:rPr>
                <w:b/>
                <w:sz w:val="20"/>
              </w:rPr>
              <w:t>“Acceso”</w:t>
            </w:r>
          </w:p>
        </w:tc>
        <w:tc>
          <w:tcPr>
            <w:tcW w:w="4172" w:type="pct"/>
            <w:vAlign w:val="center"/>
          </w:tcPr>
          <w:p w14:paraId="39110E46" w14:textId="77777777" w:rsidR="00DE64CD" w:rsidRPr="00802790" w:rsidRDefault="00DE64CD" w:rsidP="00A4557C">
            <w:pPr>
              <w:pStyle w:val="Tablecells"/>
              <w:spacing w:before="0" w:after="0"/>
              <w:jc w:val="both"/>
              <w:rPr>
                <w:rFonts w:ascii="ITC Avant Garde" w:hAnsi="ITC Avant Garde"/>
                <w:sz w:val="20"/>
                <w:szCs w:val="18"/>
                <w:lang w:val="es-ES_tradnl"/>
              </w:rPr>
            </w:pPr>
            <w:r w:rsidRPr="00802790">
              <w:rPr>
                <w:rFonts w:ascii="ITC Avant Garde" w:hAnsi="ITC Avant Garde"/>
                <w:sz w:val="20"/>
                <w:szCs w:val="18"/>
                <w:lang w:val="es-ES_tradnl"/>
              </w:rPr>
              <w:t>Es relativo al “</w:t>
            </w:r>
            <w:r w:rsidRPr="00802790">
              <w:rPr>
                <w:rFonts w:ascii="ITC Avant Garde" w:hAnsi="ITC Avant Garde"/>
                <w:i/>
                <w:sz w:val="20"/>
                <w:lang w:val="es-MX"/>
              </w:rPr>
              <w:t>segmento de red es responsable de establecer la comunicación física desde el equipo en el sitio del cliente (CPE: Customer Premises Equipment) hasta el equipo de acceso en la central. En el equipo de acceso en la central se realiza la configuración necesaria para implementar la velocidad de transferencia con la cual se comunica con el equipo CPE (modem u ONT)</w:t>
            </w:r>
            <w:r w:rsidRPr="00802790">
              <w:rPr>
                <w:rFonts w:ascii="ITC Avant Garde" w:hAnsi="ITC Avant Garde"/>
                <w:sz w:val="20"/>
                <w:szCs w:val="18"/>
                <w:lang w:val="es-ES_tradnl"/>
              </w:rPr>
              <w:t>”.</w:t>
            </w:r>
          </w:p>
          <w:p w14:paraId="5E5D5823" w14:textId="77777777" w:rsidR="00DE64CD" w:rsidRPr="00802790" w:rsidRDefault="00DE64CD" w:rsidP="00A4557C">
            <w:pPr>
              <w:pStyle w:val="Tablecells"/>
              <w:spacing w:before="0" w:after="0"/>
              <w:jc w:val="both"/>
              <w:rPr>
                <w:rFonts w:ascii="ITC Avant Garde" w:hAnsi="ITC Avant Garde"/>
                <w:sz w:val="20"/>
                <w:szCs w:val="18"/>
                <w:lang w:val="es-ES_tradnl"/>
              </w:rPr>
            </w:pPr>
          </w:p>
          <w:p w14:paraId="3E0B2635" w14:textId="77777777" w:rsidR="00DE64CD" w:rsidRPr="00802790" w:rsidRDefault="00DE64CD" w:rsidP="00A4557C">
            <w:pPr>
              <w:pStyle w:val="Tablecells"/>
              <w:spacing w:before="0" w:after="0"/>
              <w:jc w:val="both"/>
              <w:rPr>
                <w:rFonts w:ascii="ITC Avant Garde" w:hAnsi="ITC Avant Garde"/>
                <w:sz w:val="20"/>
                <w:szCs w:val="18"/>
                <w:lang w:val="es-ES_tradnl"/>
              </w:rPr>
            </w:pPr>
            <w:r w:rsidRPr="00802790">
              <w:rPr>
                <w:rFonts w:ascii="ITC Avant Garde" w:hAnsi="ITC Avant Garde"/>
                <w:sz w:val="20"/>
                <w:szCs w:val="18"/>
                <w:lang w:val="es-ES_tradnl"/>
              </w:rPr>
              <w:t>Asimismo, se indica que “</w:t>
            </w:r>
            <w:r w:rsidRPr="00802790">
              <w:rPr>
                <w:rFonts w:ascii="ITC Avant Garde" w:hAnsi="ITC Avant Garde"/>
                <w:i/>
                <w:sz w:val="20"/>
                <w:lang w:val="es-MX"/>
              </w:rPr>
              <w:t>Para su comunicación utiliza protocolos de capa física del tipo xDSL o GPON. Estos equipos no tienen posibilidad de interpretar los protocolos de capas superiores (como es el caso del protocolo IP utilizado en Internet), en consecuencia, sólo transportan la información dirigida o recibida por el CPE del cliente, pero no participa en ninguna decisión relacionada con el contenido de la misma</w:t>
            </w:r>
            <w:r w:rsidRPr="00802790">
              <w:rPr>
                <w:rFonts w:ascii="ITC Avant Garde" w:hAnsi="ITC Avant Garde"/>
                <w:sz w:val="20"/>
                <w:szCs w:val="18"/>
                <w:lang w:val="es-ES_tradnl"/>
              </w:rPr>
              <w:t>” y que “</w:t>
            </w:r>
            <w:r w:rsidRPr="00802790">
              <w:rPr>
                <w:rFonts w:ascii="ITC Avant Garde" w:hAnsi="ITC Avant Garde"/>
                <w:i/>
                <w:sz w:val="20"/>
                <w:szCs w:val="18"/>
                <w:lang w:val="es-ES_tradnl"/>
              </w:rPr>
              <w:t>La frontera de este segmento está determinada por el puerto lado red (uplink) localizado en el equipo de acceso</w:t>
            </w:r>
            <w:r w:rsidRPr="00802790">
              <w:rPr>
                <w:rFonts w:ascii="ITC Avant Garde" w:hAnsi="ITC Avant Garde"/>
                <w:sz w:val="20"/>
                <w:szCs w:val="18"/>
                <w:lang w:val="es-ES_tradnl"/>
              </w:rPr>
              <w:t>”.</w:t>
            </w:r>
          </w:p>
          <w:p w14:paraId="4CC5A3E2" w14:textId="77777777" w:rsidR="00DE64CD" w:rsidRPr="00802790" w:rsidRDefault="00DE64CD" w:rsidP="00A4557C">
            <w:pPr>
              <w:pStyle w:val="Tablecells"/>
              <w:spacing w:before="0" w:after="0"/>
              <w:jc w:val="both"/>
              <w:rPr>
                <w:rFonts w:ascii="ITC Avant Garde" w:hAnsi="ITC Avant Garde"/>
                <w:sz w:val="20"/>
                <w:szCs w:val="18"/>
                <w:lang w:val="es-ES_tradnl"/>
              </w:rPr>
            </w:pPr>
          </w:p>
          <w:p w14:paraId="552CECC4" w14:textId="393B68E6" w:rsidR="00DE64CD" w:rsidRPr="00802790" w:rsidRDefault="00DE64CD" w:rsidP="00A4557C">
            <w:pPr>
              <w:pStyle w:val="Tablecells"/>
              <w:jc w:val="both"/>
              <w:rPr>
                <w:rFonts w:ascii="ITC Avant Garde" w:hAnsi="ITC Avant Garde"/>
                <w:sz w:val="20"/>
                <w:szCs w:val="18"/>
                <w:lang w:val="es-ES_tradnl"/>
              </w:rPr>
            </w:pPr>
            <w:r w:rsidRPr="00802790">
              <w:rPr>
                <w:rFonts w:ascii="ITC Avant Garde" w:hAnsi="ITC Avant Garde"/>
                <w:sz w:val="20"/>
                <w:szCs w:val="18"/>
                <w:lang w:val="es-ES_tradnl"/>
              </w:rPr>
              <w:t>En co</w:t>
            </w:r>
            <w:r w:rsidR="00B93087">
              <w:rPr>
                <w:rFonts w:ascii="ITC Avant Garde" w:hAnsi="ITC Avant Garde"/>
                <w:sz w:val="20"/>
                <w:szCs w:val="18"/>
                <w:lang w:val="es-ES_tradnl"/>
              </w:rPr>
              <w:t>mplemento, se precisa que Telmex y Telnor</w:t>
            </w:r>
            <w:r w:rsidRPr="00802790">
              <w:rPr>
                <w:rFonts w:ascii="ITC Avant Garde" w:hAnsi="ITC Avant Garde"/>
                <w:sz w:val="20"/>
                <w:szCs w:val="18"/>
                <w:lang w:val="es-ES_tradnl"/>
              </w:rPr>
              <w:t xml:space="preserve"> considera</w:t>
            </w:r>
            <w:r w:rsidR="00B93087">
              <w:rPr>
                <w:rFonts w:ascii="ITC Avant Garde" w:hAnsi="ITC Avant Garde"/>
                <w:sz w:val="20"/>
                <w:szCs w:val="18"/>
                <w:lang w:val="es-ES_tradnl"/>
              </w:rPr>
              <w:t>n</w:t>
            </w:r>
            <w:r w:rsidRPr="00802790">
              <w:rPr>
                <w:rFonts w:ascii="ITC Avant Garde" w:hAnsi="ITC Avant Garde"/>
                <w:sz w:val="20"/>
                <w:szCs w:val="18"/>
                <w:lang w:val="es-ES_tradnl"/>
              </w:rPr>
              <w:t xml:space="preserve"> que “</w:t>
            </w:r>
            <w:r w:rsidRPr="00802790">
              <w:rPr>
                <w:rFonts w:ascii="ITC Avant Garde" w:hAnsi="ITC Avant Garde"/>
                <w:i/>
                <w:sz w:val="20"/>
                <w:szCs w:val="18"/>
                <w:lang w:val="es-ES_tradnl"/>
              </w:rPr>
              <w:t>Este segmento en su conjunto constituye el servicio conocido como Servicio de Acceso Indirecto al Blucle (SAIB)</w:t>
            </w:r>
            <w:r w:rsidRPr="00802790">
              <w:rPr>
                <w:rFonts w:ascii="ITC Avant Garde" w:hAnsi="ITC Avant Garde"/>
                <w:sz w:val="20"/>
                <w:szCs w:val="18"/>
                <w:lang w:val="es-ES_tradnl"/>
              </w:rPr>
              <w:t>” y que dicho segmento está formado por “</w:t>
            </w:r>
            <w:r w:rsidRPr="00802790">
              <w:rPr>
                <w:rFonts w:ascii="ITC Avant Garde" w:hAnsi="ITC Avant Garde"/>
                <w:i/>
                <w:sz w:val="20"/>
                <w:szCs w:val="18"/>
                <w:lang w:val="es-MX"/>
              </w:rPr>
              <w:t>El punto de conexión terminal localizado en el sitio del cliente</w:t>
            </w:r>
            <w:r w:rsidRPr="00802790">
              <w:rPr>
                <w:rFonts w:ascii="ITC Avant Garde" w:hAnsi="ITC Avant Garde"/>
                <w:sz w:val="20"/>
                <w:szCs w:val="18"/>
                <w:lang w:val="es-ES_tradnl"/>
              </w:rPr>
              <w:t>”, “</w:t>
            </w:r>
            <w:r w:rsidRPr="00802790">
              <w:rPr>
                <w:rFonts w:ascii="ITC Avant Garde" w:hAnsi="ITC Avant Garde"/>
                <w:i/>
                <w:sz w:val="20"/>
                <w:szCs w:val="18"/>
                <w:lang w:val="es-MX"/>
              </w:rPr>
              <w:t>El medio de transmisión (líneas de cobre o de fibra óptica en función de la tecnología utilizada) utilizado para conectar el sitio del cliente con el equipo de acceso</w:t>
            </w:r>
            <w:r w:rsidRPr="00802790">
              <w:rPr>
                <w:rFonts w:ascii="ITC Avant Garde" w:hAnsi="ITC Avant Garde"/>
                <w:sz w:val="20"/>
                <w:szCs w:val="18"/>
                <w:lang w:val="es-ES_tradnl"/>
              </w:rPr>
              <w:t>” y “</w:t>
            </w:r>
            <w:r w:rsidRPr="00802790">
              <w:rPr>
                <w:rFonts w:ascii="ITC Avant Garde" w:hAnsi="ITC Avant Garde"/>
                <w:i/>
                <w:sz w:val="20"/>
                <w:szCs w:val="18"/>
                <w:lang w:val="es-MX"/>
              </w:rPr>
              <w:t>El equipo de acceso (DSLAM u OLT en función de la tecnología utilizada) localizado en las instalaciones de Telmex</w:t>
            </w:r>
            <w:r w:rsidRPr="00802790">
              <w:rPr>
                <w:rFonts w:ascii="ITC Avant Garde" w:hAnsi="ITC Avant Garde"/>
                <w:sz w:val="20"/>
                <w:szCs w:val="18"/>
                <w:lang w:val="es-ES_tradnl"/>
              </w:rPr>
              <w:t>”.</w:t>
            </w:r>
          </w:p>
        </w:tc>
      </w:tr>
      <w:tr w:rsidR="00DE64CD" w:rsidRPr="00802790" w14:paraId="5C0A6426" w14:textId="77777777" w:rsidTr="00A4557C">
        <w:trPr>
          <w:trHeight w:val="276"/>
          <w:jc w:val="center"/>
        </w:trPr>
        <w:tc>
          <w:tcPr>
            <w:tcW w:w="828" w:type="pct"/>
            <w:shd w:val="clear" w:color="auto" w:fill="F2F2F2" w:themeFill="background1" w:themeFillShade="F2"/>
            <w:vAlign w:val="center"/>
          </w:tcPr>
          <w:p w14:paraId="5F591644" w14:textId="77777777" w:rsidR="00DE64CD" w:rsidRPr="00802790" w:rsidRDefault="00DE64CD" w:rsidP="00A4557C">
            <w:pPr>
              <w:pStyle w:val="IFTnormal"/>
              <w:jc w:val="center"/>
              <w:rPr>
                <w:b/>
                <w:sz w:val="20"/>
              </w:rPr>
            </w:pPr>
            <w:r w:rsidRPr="00802790">
              <w:rPr>
                <w:b/>
                <w:sz w:val="20"/>
              </w:rPr>
              <w:t>“Transporte Local”</w:t>
            </w:r>
          </w:p>
        </w:tc>
        <w:tc>
          <w:tcPr>
            <w:tcW w:w="4172" w:type="pct"/>
            <w:shd w:val="clear" w:color="auto" w:fill="F2F2F2" w:themeFill="background1" w:themeFillShade="F2"/>
            <w:vAlign w:val="center"/>
          </w:tcPr>
          <w:p w14:paraId="77B8186D" w14:textId="77777777" w:rsidR="00DE64CD" w:rsidRPr="00802790" w:rsidRDefault="00DE64CD" w:rsidP="00A4557C">
            <w:pPr>
              <w:pStyle w:val="Tablecells"/>
              <w:spacing w:before="0" w:after="0"/>
              <w:jc w:val="both"/>
              <w:rPr>
                <w:rFonts w:ascii="ITC Avant Garde" w:hAnsi="ITC Avant Garde"/>
                <w:sz w:val="20"/>
                <w:lang w:val="es-MX"/>
              </w:rPr>
            </w:pPr>
            <w:r w:rsidRPr="00802790">
              <w:rPr>
                <w:rFonts w:ascii="ITC Avant Garde" w:hAnsi="ITC Avant Garde"/>
                <w:sz w:val="20"/>
                <w:szCs w:val="18"/>
                <w:lang w:val="es-ES_tradnl"/>
              </w:rPr>
              <w:t>Constituye “</w:t>
            </w:r>
            <w:r w:rsidRPr="00802790">
              <w:rPr>
                <w:rFonts w:ascii="ITC Avant Garde" w:hAnsi="ITC Avant Garde"/>
                <w:i/>
                <w:sz w:val="20"/>
                <w:lang w:val="es-MX"/>
              </w:rPr>
              <w:t>segmento formado por los equipos y medios de transmisión que conforman la red de transporte urbana. Tiene como función realizar la agregación de los distintos equipos de acceso localizados en su área de cobertura para transportar la información que éstos últimos envían y reciben desde los proveedores de acceso a Internet</w:t>
            </w:r>
            <w:r w:rsidRPr="00802790">
              <w:rPr>
                <w:rFonts w:ascii="ITC Avant Garde" w:hAnsi="ITC Avant Garde"/>
                <w:sz w:val="20"/>
                <w:lang w:val="es-MX"/>
              </w:rPr>
              <w:t xml:space="preserve">”. </w:t>
            </w:r>
          </w:p>
          <w:p w14:paraId="6C8DF2C0" w14:textId="77777777" w:rsidR="00DE64CD" w:rsidRPr="00802790" w:rsidRDefault="00DE64CD" w:rsidP="00A4557C">
            <w:pPr>
              <w:pStyle w:val="Tablecells"/>
              <w:spacing w:before="0" w:after="0"/>
              <w:jc w:val="both"/>
              <w:rPr>
                <w:rFonts w:ascii="ITC Avant Garde" w:hAnsi="ITC Avant Garde"/>
                <w:sz w:val="20"/>
                <w:lang w:val="es-MX"/>
              </w:rPr>
            </w:pPr>
          </w:p>
          <w:p w14:paraId="1CA691FC" w14:textId="77777777" w:rsidR="00DE64CD" w:rsidRPr="00802790" w:rsidRDefault="00DE64CD" w:rsidP="00A4557C">
            <w:pPr>
              <w:pStyle w:val="Tablecells"/>
              <w:spacing w:before="0" w:after="0"/>
              <w:jc w:val="both"/>
              <w:rPr>
                <w:rFonts w:ascii="ITC Avant Garde" w:hAnsi="ITC Avant Garde"/>
                <w:sz w:val="20"/>
                <w:lang w:val="es-MX"/>
              </w:rPr>
            </w:pPr>
            <w:r w:rsidRPr="00802790">
              <w:rPr>
                <w:rFonts w:ascii="ITC Avant Garde" w:hAnsi="ITC Avant Garde"/>
                <w:sz w:val="20"/>
                <w:lang w:val="es-MX"/>
              </w:rPr>
              <w:t>En tales términos “</w:t>
            </w:r>
            <w:r w:rsidRPr="00802790">
              <w:rPr>
                <w:rFonts w:ascii="ITC Avant Garde" w:hAnsi="ITC Avant Garde"/>
                <w:i/>
                <w:sz w:val="20"/>
                <w:lang w:val="es-MX"/>
              </w:rPr>
              <w:t>Para su comunicación utiliza protocolos equivalentes a la capa II del Modelo OSI (normalmente Ethernet). Al igual que el segmento anterior, este segmento no es capaz de interpretar a los protocolos de capas superiores y sólo transportan la información</w:t>
            </w:r>
            <w:r w:rsidRPr="00802790">
              <w:rPr>
                <w:rFonts w:ascii="ITC Avant Garde" w:hAnsi="ITC Avant Garde"/>
                <w:sz w:val="20"/>
                <w:lang w:val="es-MX"/>
              </w:rPr>
              <w:t>”, indicándose que “</w:t>
            </w:r>
            <w:r w:rsidRPr="00802790">
              <w:rPr>
                <w:rFonts w:ascii="ITC Avant Garde" w:hAnsi="ITC Avant Garde"/>
                <w:i/>
                <w:sz w:val="20"/>
                <w:lang w:val="es-MX"/>
              </w:rPr>
              <w:t>La frontera de este segmento está determinada por los puertos de conexión que entregan/reciben el tráfico del Proveedor de Acceso a Internet y los puertos que conectan a los equipos de acceso</w:t>
            </w:r>
            <w:r w:rsidRPr="00802790">
              <w:rPr>
                <w:rFonts w:ascii="ITC Avant Garde" w:hAnsi="ITC Avant Garde"/>
                <w:sz w:val="20"/>
                <w:lang w:val="es-MX"/>
              </w:rPr>
              <w:t>”.</w:t>
            </w:r>
          </w:p>
          <w:p w14:paraId="3D3B291E" w14:textId="77777777" w:rsidR="00DE64CD" w:rsidRPr="00802790" w:rsidRDefault="00DE64CD" w:rsidP="00A4557C">
            <w:pPr>
              <w:pStyle w:val="Tablecells"/>
              <w:spacing w:before="0" w:after="0"/>
              <w:jc w:val="both"/>
              <w:rPr>
                <w:rFonts w:ascii="ITC Avant Garde" w:hAnsi="ITC Avant Garde"/>
                <w:sz w:val="20"/>
                <w:lang w:val="es-MX"/>
              </w:rPr>
            </w:pPr>
          </w:p>
          <w:p w14:paraId="21A5430F" w14:textId="6D2D766A" w:rsidR="00DE64CD" w:rsidRPr="00802790" w:rsidRDefault="00DE64CD" w:rsidP="00A4557C">
            <w:pPr>
              <w:pStyle w:val="Tablecells"/>
              <w:spacing w:before="0" w:after="0"/>
              <w:jc w:val="both"/>
              <w:rPr>
                <w:rFonts w:ascii="ITC Avant Garde" w:hAnsi="ITC Avant Garde"/>
                <w:sz w:val="20"/>
                <w:lang w:val="es-MX"/>
              </w:rPr>
            </w:pPr>
            <w:r w:rsidRPr="00802790">
              <w:rPr>
                <w:rFonts w:ascii="ITC Avant Garde" w:hAnsi="ITC Avant Garde"/>
                <w:sz w:val="20"/>
                <w:lang w:val="es-MX"/>
              </w:rPr>
              <w:t xml:space="preserve">Por </w:t>
            </w:r>
            <w:r w:rsidR="002F02F0">
              <w:rPr>
                <w:rFonts w:ascii="ITC Avant Garde" w:hAnsi="ITC Avant Garde"/>
                <w:sz w:val="20"/>
                <w:lang w:val="es-MX"/>
              </w:rPr>
              <w:t>otra parte se precisa que Telmex y Telnor</w:t>
            </w:r>
            <w:r w:rsidRPr="00802790">
              <w:rPr>
                <w:rFonts w:ascii="ITC Avant Garde" w:hAnsi="ITC Avant Garde"/>
                <w:sz w:val="20"/>
                <w:lang w:val="es-MX"/>
              </w:rPr>
              <w:t xml:space="preserve"> considera</w:t>
            </w:r>
            <w:r w:rsidR="002F02F0">
              <w:rPr>
                <w:rFonts w:ascii="ITC Avant Garde" w:hAnsi="ITC Avant Garde"/>
                <w:sz w:val="20"/>
                <w:lang w:val="es-MX"/>
              </w:rPr>
              <w:t>n</w:t>
            </w:r>
            <w:r w:rsidRPr="00802790">
              <w:rPr>
                <w:rFonts w:ascii="ITC Avant Garde" w:hAnsi="ITC Avant Garde"/>
                <w:sz w:val="20"/>
                <w:lang w:val="es-MX"/>
              </w:rPr>
              <w:t xml:space="preserve"> que este “</w:t>
            </w:r>
            <w:r w:rsidRPr="00802790">
              <w:rPr>
                <w:rFonts w:ascii="ITC Avant Garde" w:hAnsi="ITC Avant Garde"/>
                <w:i/>
                <w:sz w:val="20"/>
                <w:lang w:val="es-MX"/>
              </w:rPr>
              <w:t>segmento en su conjunto constituye el servicio conocido como Servicio de Concentración y Distribución (SCyD) en sus distintas modalidades, en función de su área de cobertura</w:t>
            </w:r>
            <w:r w:rsidRPr="00802790">
              <w:rPr>
                <w:rFonts w:ascii="ITC Avant Garde" w:hAnsi="ITC Avant Garde"/>
                <w:sz w:val="20"/>
                <w:lang w:val="es-MX"/>
              </w:rPr>
              <w:t>”</w:t>
            </w:r>
          </w:p>
        </w:tc>
      </w:tr>
      <w:tr w:rsidR="00DE64CD" w:rsidRPr="00802790" w14:paraId="2579B3CB" w14:textId="77777777" w:rsidTr="00A4557C">
        <w:trPr>
          <w:trHeight w:val="276"/>
          <w:jc w:val="center"/>
        </w:trPr>
        <w:tc>
          <w:tcPr>
            <w:tcW w:w="828" w:type="pct"/>
            <w:shd w:val="clear" w:color="auto" w:fill="auto"/>
            <w:vAlign w:val="center"/>
          </w:tcPr>
          <w:p w14:paraId="15B0ED82" w14:textId="77777777" w:rsidR="00DE64CD" w:rsidRPr="00802790" w:rsidRDefault="00DE64CD" w:rsidP="00A4557C">
            <w:pPr>
              <w:pStyle w:val="IFTnormal"/>
              <w:jc w:val="center"/>
              <w:rPr>
                <w:b/>
                <w:sz w:val="20"/>
                <w:szCs w:val="18"/>
              </w:rPr>
            </w:pPr>
            <w:r w:rsidRPr="00802790">
              <w:rPr>
                <w:b/>
                <w:sz w:val="20"/>
                <w:szCs w:val="18"/>
              </w:rPr>
              <w:t>“Transporte Red IP”</w:t>
            </w:r>
          </w:p>
        </w:tc>
        <w:tc>
          <w:tcPr>
            <w:tcW w:w="4172" w:type="pct"/>
            <w:shd w:val="clear" w:color="auto" w:fill="auto"/>
            <w:vAlign w:val="center"/>
          </w:tcPr>
          <w:p w14:paraId="3F9456B0" w14:textId="77777777" w:rsidR="00DE64CD" w:rsidRPr="00802790" w:rsidRDefault="00DE64CD" w:rsidP="00A4557C">
            <w:pPr>
              <w:pStyle w:val="Tablecells"/>
              <w:spacing w:before="0" w:after="0"/>
              <w:jc w:val="both"/>
              <w:rPr>
                <w:rFonts w:ascii="ITC Avant Garde" w:hAnsi="ITC Avant Garde"/>
                <w:sz w:val="20"/>
                <w:szCs w:val="18"/>
                <w:lang w:val="es-ES_tradnl"/>
              </w:rPr>
            </w:pPr>
            <w:r w:rsidRPr="00802790">
              <w:rPr>
                <w:rFonts w:ascii="ITC Avant Garde" w:hAnsi="ITC Avant Garde"/>
                <w:sz w:val="20"/>
                <w:szCs w:val="18"/>
                <w:lang w:val="es-ES_tradnl"/>
              </w:rPr>
              <w:t>Corresponde al “</w:t>
            </w:r>
            <w:r w:rsidRPr="00802790">
              <w:rPr>
                <w:rFonts w:ascii="ITC Avant Garde" w:hAnsi="ITC Avant Garde"/>
                <w:i/>
                <w:sz w:val="20"/>
                <w:szCs w:val="18"/>
                <w:lang w:val="es-ES_tradnl"/>
              </w:rPr>
              <w:t>segmento formado por la totalidad de equipos enrutadores y medios de transmisión que en su conjunto forman la red de transporte IP por medio de la cual se realiza la conectividad e interoperabilidad de la totalidad de clientes conectados a los equipos edge del Proveedor de Acceso a Internet. Es común que a este de red se les conozca de forma genérica como el Backbone de la red.</w:t>
            </w:r>
            <w:r w:rsidRPr="00802790">
              <w:rPr>
                <w:rFonts w:ascii="ITC Avant Garde" w:hAnsi="ITC Avant Garde"/>
                <w:sz w:val="20"/>
                <w:szCs w:val="18"/>
                <w:lang w:val="es-ES_tradnl"/>
              </w:rPr>
              <w:t>”</w:t>
            </w:r>
          </w:p>
          <w:p w14:paraId="38CE7C33" w14:textId="77777777" w:rsidR="00DE64CD" w:rsidRPr="00802790" w:rsidRDefault="00DE64CD" w:rsidP="00A4557C">
            <w:pPr>
              <w:pStyle w:val="Tablecells"/>
              <w:spacing w:before="0" w:after="0"/>
              <w:jc w:val="both"/>
              <w:rPr>
                <w:rFonts w:ascii="ITC Avant Garde" w:hAnsi="ITC Avant Garde"/>
                <w:sz w:val="20"/>
                <w:szCs w:val="18"/>
                <w:lang w:val="es-ES_tradnl"/>
              </w:rPr>
            </w:pPr>
          </w:p>
          <w:p w14:paraId="647F7755" w14:textId="77777777" w:rsidR="00DE64CD" w:rsidRPr="00802790" w:rsidRDefault="00DE64CD" w:rsidP="00A4557C">
            <w:pPr>
              <w:pStyle w:val="Tablecells"/>
              <w:spacing w:before="0" w:after="0"/>
              <w:jc w:val="both"/>
              <w:rPr>
                <w:rFonts w:ascii="ITC Avant Garde" w:hAnsi="ITC Avant Garde"/>
                <w:sz w:val="20"/>
                <w:lang w:val="es-MX"/>
              </w:rPr>
            </w:pPr>
            <w:r w:rsidRPr="00802790">
              <w:rPr>
                <w:rFonts w:ascii="ITC Avant Garde" w:hAnsi="ITC Avant Garde"/>
                <w:sz w:val="20"/>
                <w:szCs w:val="18"/>
                <w:lang w:val="es-ES_tradnl"/>
              </w:rPr>
              <w:t>Asimismo “</w:t>
            </w:r>
            <w:r w:rsidRPr="00802790">
              <w:rPr>
                <w:rFonts w:ascii="ITC Avant Garde" w:hAnsi="ITC Avant Garde"/>
                <w:i/>
                <w:sz w:val="20"/>
                <w:lang w:val="es-MX"/>
              </w:rPr>
              <w:t>esta red tiene una estructura jerárquica con tres niveles: Dorsal, Regional y Sectorial, los tres niveles realizan funciones de tránsito entre los clientes internos y las entidades externas con las que se intercambia tráfico de Internet en alguna de sus modalidades (IP Transit, Peering). A través de este segmento de red se realiza la conectividad con el Internet Global y con las diferentes entidades con las que se tienen acuerdos de peering</w:t>
            </w:r>
            <w:r w:rsidRPr="00802790">
              <w:rPr>
                <w:rFonts w:ascii="ITC Avant Garde" w:hAnsi="ITC Avant Garde"/>
                <w:sz w:val="20"/>
                <w:lang w:val="es-MX"/>
              </w:rPr>
              <w:t>”.</w:t>
            </w:r>
          </w:p>
          <w:p w14:paraId="0911EAAC" w14:textId="77777777" w:rsidR="00DE64CD" w:rsidRPr="00802790" w:rsidRDefault="00DE64CD" w:rsidP="00A4557C">
            <w:pPr>
              <w:pStyle w:val="Tablecells"/>
              <w:spacing w:before="0" w:after="0"/>
              <w:jc w:val="both"/>
              <w:rPr>
                <w:rFonts w:ascii="ITC Avant Garde" w:hAnsi="ITC Avant Garde"/>
                <w:sz w:val="20"/>
                <w:lang w:val="es-MX"/>
              </w:rPr>
            </w:pPr>
          </w:p>
          <w:p w14:paraId="0F648674" w14:textId="77777777" w:rsidR="00DE64CD" w:rsidRPr="00802790" w:rsidRDefault="00DE64CD" w:rsidP="00A4557C">
            <w:pPr>
              <w:pStyle w:val="Tablecells"/>
              <w:spacing w:before="0" w:after="0"/>
              <w:jc w:val="both"/>
              <w:rPr>
                <w:rFonts w:ascii="ITC Avant Garde" w:hAnsi="ITC Avant Garde"/>
                <w:sz w:val="20"/>
                <w:lang w:val="es-MX"/>
              </w:rPr>
            </w:pPr>
            <w:r w:rsidRPr="00802790">
              <w:rPr>
                <w:rFonts w:ascii="ITC Avant Garde" w:hAnsi="ITC Avant Garde"/>
                <w:sz w:val="20"/>
                <w:lang w:val="es-MX"/>
              </w:rPr>
              <w:t>En complemento, se indica que “</w:t>
            </w:r>
            <w:r w:rsidRPr="00802790">
              <w:rPr>
                <w:rFonts w:ascii="ITC Avant Garde" w:hAnsi="ITC Avant Garde"/>
                <w:i/>
                <w:sz w:val="20"/>
                <w:lang w:val="es-MX"/>
              </w:rPr>
              <w:t>la conexión entre los distintos Punto de Presencia (PoPs) de la Red IP se realiza a través de enlaces de transporte locales y de larga distancia, en una topología redundante sobre rutas físicas diferentes. Los enlaces de transporte, a su vez, utilizan tecnología óptica (tipo WDM).</w:t>
            </w:r>
            <w:r w:rsidRPr="00802790">
              <w:rPr>
                <w:rFonts w:ascii="ITC Avant Garde" w:hAnsi="ITC Avant Garde"/>
                <w:sz w:val="20"/>
                <w:lang w:val="es-MX"/>
              </w:rPr>
              <w:t>”</w:t>
            </w:r>
          </w:p>
          <w:p w14:paraId="1E86CBF0" w14:textId="77777777" w:rsidR="00DE64CD" w:rsidRPr="00802790" w:rsidRDefault="00DE64CD" w:rsidP="00A4557C">
            <w:pPr>
              <w:pStyle w:val="Tablecells"/>
              <w:spacing w:before="0" w:after="0"/>
              <w:jc w:val="both"/>
              <w:rPr>
                <w:rFonts w:ascii="ITC Avant Garde" w:hAnsi="ITC Avant Garde"/>
                <w:sz w:val="20"/>
                <w:lang w:val="es-MX"/>
              </w:rPr>
            </w:pPr>
          </w:p>
          <w:p w14:paraId="344A67B7" w14:textId="77777777" w:rsidR="00DE64CD" w:rsidRPr="00802790" w:rsidRDefault="00DE64CD" w:rsidP="00A4557C">
            <w:pPr>
              <w:pStyle w:val="Tablecells"/>
              <w:spacing w:before="0" w:after="0"/>
              <w:jc w:val="both"/>
              <w:rPr>
                <w:rFonts w:ascii="ITC Avant Garde" w:hAnsi="ITC Avant Garde"/>
                <w:sz w:val="20"/>
                <w:szCs w:val="18"/>
                <w:lang w:val="es-ES_tradnl"/>
              </w:rPr>
            </w:pPr>
            <w:r w:rsidRPr="00802790">
              <w:rPr>
                <w:rFonts w:ascii="ITC Avant Garde" w:hAnsi="ITC Avant Garde"/>
                <w:sz w:val="20"/>
                <w:lang w:val="es-MX"/>
              </w:rPr>
              <w:t>De acuerdo a la información aportada en dicho segmento se encuentran sistemas de apoyo tales como “DNS”, “AAA” (servicio responsable de realizar procesos de autenticación, autorización y contabilidad de clientes), “DHCP”, “Gestión y Monitoreo”, así como “eMail”</w:t>
            </w:r>
          </w:p>
        </w:tc>
      </w:tr>
      <w:tr w:rsidR="00DE64CD" w:rsidRPr="00802790" w14:paraId="0F8218E5" w14:textId="77777777" w:rsidTr="00A4557C">
        <w:trPr>
          <w:trHeight w:val="276"/>
          <w:jc w:val="center"/>
        </w:trPr>
        <w:tc>
          <w:tcPr>
            <w:tcW w:w="828" w:type="pct"/>
            <w:shd w:val="clear" w:color="auto" w:fill="F2F2F2" w:themeFill="background1" w:themeFillShade="F2"/>
            <w:vAlign w:val="center"/>
          </w:tcPr>
          <w:p w14:paraId="48F34431" w14:textId="77777777" w:rsidR="00DE64CD" w:rsidRPr="00802790" w:rsidRDefault="00DE64CD" w:rsidP="00A4557C">
            <w:pPr>
              <w:pStyle w:val="IFTnormal"/>
              <w:jc w:val="center"/>
              <w:rPr>
                <w:b/>
                <w:sz w:val="20"/>
                <w:szCs w:val="18"/>
              </w:rPr>
            </w:pPr>
            <w:r w:rsidRPr="00802790">
              <w:rPr>
                <w:b/>
                <w:sz w:val="20"/>
                <w:szCs w:val="18"/>
              </w:rPr>
              <w:t>“Transporte Internet Global”</w:t>
            </w:r>
          </w:p>
        </w:tc>
        <w:tc>
          <w:tcPr>
            <w:tcW w:w="4172" w:type="pct"/>
            <w:shd w:val="clear" w:color="auto" w:fill="F2F2F2" w:themeFill="background1" w:themeFillShade="F2"/>
            <w:vAlign w:val="center"/>
          </w:tcPr>
          <w:p w14:paraId="378BF6A6" w14:textId="77777777" w:rsidR="00DE64CD" w:rsidRPr="00802790" w:rsidRDefault="00DE64CD" w:rsidP="00A4557C">
            <w:pPr>
              <w:pStyle w:val="IFTnormal"/>
              <w:rPr>
                <w:sz w:val="20"/>
                <w:szCs w:val="18"/>
              </w:rPr>
            </w:pPr>
            <w:r w:rsidRPr="00802790">
              <w:rPr>
                <w:rFonts w:eastAsiaTheme="minorHAnsi" w:cstheme="minorBidi"/>
                <w:color w:val="auto"/>
                <w:sz w:val="20"/>
                <w:szCs w:val="18"/>
                <w:lang w:eastAsia="en-US"/>
              </w:rPr>
              <w:t>Se refiere al “</w:t>
            </w:r>
            <w:r w:rsidRPr="00802790">
              <w:rPr>
                <w:rFonts w:eastAsiaTheme="minorHAnsi" w:cstheme="minorBidi"/>
                <w:i/>
                <w:color w:val="auto"/>
                <w:sz w:val="20"/>
                <w:szCs w:val="18"/>
                <w:lang w:eastAsia="en-US"/>
              </w:rPr>
              <w:t>segmento por medio del cual se realiza la conexión entre el backbone del Proveedor de Acceso a Internet con el Internet Global”</w:t>
            </w:r>
            <w:r w:rsidRPr="00802790">
              <w:rPr>
                <w:rFonts w:eastAsiaTheme="minorHAnsi" w:cstheme="minorBidi"/>
                <w:color w:val="auto"/>
                <w:sz w:val="20"/>
                <w:szCs w:val="18"/>
                <w:lang w:eastAsia="en-US"/>
              </w:rPr>
              <w:t xml:space="preserve"> mismo que se encuentra “</w:t>
            </w:r>
            <w:r w:rsidRPr="00802790">
              <w:rPr>
                <w:rFonts w:eastAsiaTheme="minorHAnsi" w:cstheme="minorBidi"/>
                <w:i/>
                <w:color w:val="auto"/>
                <w:sz w:val="20"/>
                <w:szCs w:val="18"/>
                <w:lang w:eastAsia="en-US"/>
              </w:rPr>
              <w:t xml:space="preserve">conformado por enlaces dedicados desde equipos de backbone hacia equipos localizados en los proveedores de acceso al Internet Global (conocidos como IP Transit Provider), y hacia otros proveedores de </w:t>
            </w:r>
            <w:r w:rsidRPr="00802790">
              <w:rPr>
                <w:rFonts w:eastAsiaTheme="minorHAnsi" w:cstheme="minorBidi"/>
                <w:i/>
                <w:color w:val="auto"/>
                <w:sz w:val="20"/>
                <w:szCs w:val="18"/>
                <w:lang w:val="es-MX" w:eastAsia="en-US"/>
              </w:rPr>
              <w:t>acceso a Internet con los que se tienen Acuerdos de Intercambio de Tráfico (peering)”.</w:t>
            </w:r>
          </w:p>
        </w:tc>
      </w:tr>
    </w:tbl>
    <w:p w14:paraId="0D01D3D3" w14:textId="77777777" w:rsidR="00DE64CD" w:rsidRDefault="00DE64CD" w:rsidP="00DE64CD">
      <w:pPr>
        <w:pStyle w:val="IFTnormal"/>
        <w:rPr>
          <w:lang w:val="es-MX"/>
        </w:rPr>
      </w:pPr>
    </w:p>
    <w:p w14:paraId="1A27F5D5" w14:textId="12424FAB" w:rsidR="00DE64CD" w:rsidRDefault="00DE64CD" w:rsidP="00DE64CD">
      <w:pPr>
        <w:pStyle w:val="IFTnormal"/>
        <w:rPr>
          <w:lang w:val="es-MX"/>
        </w:rPr>
      </w:pPr>
      <w:r>
        <w:rPr>
          <w:lang w:val="es-MX"/>
        </w:rPr>
        <w:t>Al respecto, a partir de lo anterior, se establecen las siguientes hipótesis de uso de los niveles de agregación del Servicio de Concentración y Distribución (SCyD), es decir local, regional y nacional</w:t>
      </w:r>
      <w:r w:rsidR="00E86AA8">
        <w:rPr>
          <w:lang w:val="es-MX"/>
        </w:rPr>
        <w:t>,</w:t>
      </w:r>
      <w:r>
        <w:rPr>
          <w:lang w:val="es-MX"/>
        </w:rPr>
        <w:t xml:space="preserve"> por los segmentos de red anteriormente mencionados:</w:t>
      </w:r>
    </w:p>
    <w:tbl>
      <w:tblPr>
        <w:tblStyle w:val="Tabladecuadrcula1clara"/>
        <w:tblW w:w="5000" w:type="pct"/>
        <w:jc w:val="center"/>
        <w:tblLook w:val="0420" w:firstRow="1" w:lastRow="0" w:firstColumn="0" w:lastColumn="0" w:noHBand="0" w:noVBand="1"/>
      </w:tblPr>
      <w:tblGrid>
        <w:gridCol w:w="1462"/>
        <w:gridCol w:w="7366"/>
      </w:tblGrid>
      <w:tr w:rsidR="00DE64CD" w:rsidRPr="00E537BD" w14:paraId="64AC1852" w14:textId="77777777" w:rsidTr="00A4557C">
        <w:trPr>
          <w:cnfStyle w:val="100000000000" w:firstRow="1" w:lastRow="0" w:firstColumn="0" w:lastColumn="0" w:oddVBand="0" w:evenVBand="0" w:oddHBand="0" w:evenHBand="0" w:firstRowFirstColumn="0" w:firstRowLastColumn="0" w:lastRowFirstColumn="0" w:lastRowLastColumn="0"/>
          <w:trHeight w:val="278"/>
          <w:tblHeader/>
          <w:jc w:val="center"/>
        </w:trPr>
        <w:tc>
          <w:tcPr>
            <w:tcW w:w="828" w:type="pct"/>
            <w:shd w:val="clear" w:color="auto" w:fill="E7E6E6" w:themeFill="background2"/>
          </w:tcPr>
          <w:p w14:paraId="0A0EBE5B" w14:textId="77777777" w:rsidR="00DE64CD" w:rsidRPr="00E537BD" w:rsidRDefault="00DE64CD" w:rsidP="00A4557C">
            <w:pPr>
              <w:pStyle w:val="Tableheading"/>
              <w:spacing w:before="0" w:after="0"/>
              <w:jc w:val="center"/>
              <w:rPr>
                <w:rFonts w:ascii="ITC Avant Garde" w:hAnsi="ITC Avant Garde"/>
                <w:b/>
                <w:color w:val="000000" w:themeColor="text1"/>
                <w:szCs w:val="18"/>
                <w:lang w:val="es-ES_tradnl"/>
              </w:rPr>
            </w:pPr>
            <w:r>
              <w:rPr>
                <w:rFonts w:ascii="ITC Avant Garde" w:hAnsi="ITC Avant Garde" w:cs="Arial"/>
                <w:b/>
                <w:color w:val="000000"/>
                <w:lang w:val="es-ES" w:eastAsia="es-ES"/>
              </w:rPr>
              <w:t>Niveles de agregación</w:t>
            </w:r>
          </w:p>
        </w:tc>
        <w:tc>
          <w:tcPr>
            <w:tcW w:w="4172" w:type="pct"/>
            <w:shd w:val="clear" w:color="auto" w:fill="E7E6E6" w:themeFill="background2"/>
          </w:tcPr>
          <w:p w14:paraId="72A95198" w14:textId="77777777" w:rsidR="00DE64CD" w:rsidRPr="00E537BD" w:rsidRDefault="00DE64CD" w:rsidP="00A4557C">
            <w:pPr>
              <w:pStyle w:val="Tableheading"/>
              <w:spacing w:before="0" w:after="0"/>
              <w:jc w:val="center"/>
              <w:rPr>
                <w:rFonts w:ascii="ITC Avant Garde" w:hAnsi="ITC Avant Garde"/>
                <w:b/>
                <w:color w:val="000000" w:themeColor="text1"/>
                <w:szCs w:val="18"/>
                <w:lang w:val="es-ES_tradnl"/>
              </w:rPr>
            </w:pPr>
            <w:r>
              <w:rPr>
                <w:rFonts w:ascii="ITC Avant Garde" w:hAnsi="ITC Avant Garde"/>
                <w:b/>
                <w:color w:val="000000" w:themeColor="text1"/>
                <w:szCs w:val="18"/>
                <w:lang w:val="es-ES_tradnl"/>
              </w:rPr>
              <w:t>Hipótesis del Modelo de Costos Evitados</w:t>
            </w:r>
          </w:p>
        </w:tc>
      </w:tr>
      <w:tr w:rsidR="00DE64CD" w:rsidRPr="00DF1768" w14:paraId="46B925AC" w14:textId="77777777" w:rsidTr="00A4557C">
        <w:trPr>
          <w:trHeight w:val="276"/>
          <w:jc w:val="center"/>
        </w:trPr>
        <w:tc>
          <w:tcPr>
            <w:tcW w:w="828" w:type="pct"/>
            <w:vAlign w:val="center"/>
          </w:tcPr>
          <w:p w14:paraId="392DF567" w14:textId="77777777" w:rsidR="00DE64CD" w:rsidRPr="00DF1768" w:rsidRDefault="00DE64CD" w:rsidP="00A4557C">
            <w:pPr>
              <w:pStyle w:val="IFTnormal"/>
              <w:rPr>
                <w:b/>
                <w:sz w:val="18"/>
              </w:rPr>
            </w:pPr>
            <w:r>
              <w:rPr>
                <w:b/>
                <w:sz w:val="18"/>
              </w:rPr>
              <w:t>Local</w:t>
            </w:r>
          </w:p>
        </w:tc>
        <w:tc>
          <w:tcPr>
            <w:tcW w:w="4172" w:type="pct"/>
            <w:vAlign w:val="center"/>
          </w:tcPr>
          <w:p w14:paraId="332C54AC" w14:textId="77777777" w:rsidR="00DE64CD" w:rsidRPr="00DF1768" w:rsidRDefault="00DE64CD" w:rsidP="00A4557C">
            <w:pPr>
              <w:pStyle w:val="Tablecells"/>
              <w:jc w:val="both"/>
              <w:rPr>
                <w:rFonts w:ascii="ITC Avant Garde" w:hAnsi="ITC Avant Garde"/>
                <w:szCs w:val="18"/>
                <w:lang w:val="es-ES_tradnl"/>
              </w:rPr>
            </w:pPr>
            <w:r>
              <w:rPr>
                <w:rFonts w:ascii="ITC Avant Garde" w:hAnsi="ITC Avant Garde"/>
                <w:szCs w:val="18"/>
                <w:lang w:val="es-ES_tradnl"/>
              </w:rPr>
              <w:t xml:space="preserve">Para la provisión del SCyD en este nivel de agregación se evita emplear el segmento “regional” y “backbone” de la </w:t>
            </w:r>
            <w:r w:rsidRPr="00616E18">
              <w:rPr>
                <w:rFonts w:ascii="ITC Avant Garde" w:hAnsi="ITC Avant Garde"/>
                <w:szCs w:val="18"/>
                <w:lang w:val="es-MX"/>
              </w:rPr>
              <w:t>“Red IP”</w:t>
            </w:r>
            <w:r>
              <w:rPr>
                <w:rFonts w:ascii="ITC Avant Garde" w:hAnsi="ITC Avant Garde"/>
                <w:szCs w:val="18"/>
                <w:lang w:val="es-ES_tradnl"/>
              </w:rPr>
              <w:t xml:space="preserve">, así como las partes “regional”, “backbone” e “internacional” asociadas al </w:t>
            </w:r>
            <w:r w:rsidRPr="005B5118">
              <w:rPr>
                <w:rFonts w:ascii="ITC Avant Garde" w:hAnsi="ITC Avant Garde"/>
                <w:szCs w:val="18"/>
                <w:lang w:val="es-ES_tradnl"/>
              </w:rPr>
              <w:t xml:space="preserve">“Transporte Red IP”, así como el segmento </w:t>
            </w:r>
            <w:r>
              <w:rPr>
                <w:rFonts w:ascii="ITC Avant Garde" w:hAnsi="ITC Avant Garde"/>
                <w:szCs w:val="18"/>
                <w:lang w:val="es-ES_tradnl"/>
              </w:rPr>
              <w:t>“</w:t>
            </w:r>
            <w:r w:rsidRPr="005B5118">
              <w:rPr>
                <w:rFonts w:ascii="ITC Avant Garde" w:hAnsi="ITC Avant Garde"/>
                <w:szCs w:val="18"/>
                <w:lang w:val="es-ES_tradnl"/>
              </w:rPr>
              <w:t>Transporte Internet Global</w:t>
            </w:r>
            <w:r>
              <w:rPr>
                <w:rFonts w:ascii="ITC Avant Garde" w:hAnsi="ITC Avant Garde"/>
                <w:szCs w:val="18"/>
                <w:lang w:val="es-ES_tradnl"/>
              </w:rPr>
              <w:t>”</w:t>
            </w:r>
            <w:r>
              <w:rPr>
                <w:rStyle w:val="Refdenotaalpie"/>
                <w:rFonts w:ascii="ITC Avant Garde" w:hAnsi="ITC Avant Garde"/>
                <w:szCs w:val="18"/>
                <w:lang w:val="es-ES_tradnl"/>
              </w:rPr>
              <w:footnoteReference w:id="26"/>
            </w:r>
            <w:r>
              <w:rPr>
                <w:rFonts w:ascii="ITC Avant Garde" w:hAnsi="ITC Avant Garde"/>
                <w:szCs w:val="18"/>
                <w:lang w:val="es-ES_tradnl"/>
              </w:rPr>
              <w:t>.</w:t>
            </w:r>
          </w:p>
        </w:tc>
      </w:tr>
      <w:tr w:rsidR="00DE64CD" w:rsidRPr="00DF1768" w14:paraId="6BF26CDE" w14:textId="77777777" w:rsidTr="00A4557C">
        <w:trPr>
          <w:trHeight w:val="276"/>
          <w:jc w:val="center"/>
        </w:trPr>
        <w:tc>
          <w:tcPr>
            <w:tcW w:w="828" w:type="pct"/>
            <w:vAlign w:val="center"/>
          </w:tcPr>
          <w:p w14:paraId="47E7137F" w14:textId="77777777" w:rsidR="00DE64CD" w:rsidRPr="00DF1768" w:rsidRDefault="00DE64CD" w:rsidP="00A4557C">
            <w:pPr>
              <w:pStyle w:val="IFTnormal"/>
              <w:rPr>
                <w:b/>
                <w:sz w:val="18"/>
              </w:rPr>
            </w:pPr>
            <w:r>
              <w:rPr>
                <w:b/>
                <w:sz w:val="18"/>
              </w:rPr>
              <w:t>Regional</w:t>
            </w:r>
          </w:p>
        </w:tc>
        <w:tc>
          <w:tcPr>
            <w:tcW w:w="4172" w:type="pct"/>
            <w:vAlign w:val="center"/>
          </w:tcPr>
          <w:p w14:paraId="06E3CB14" w14:textId="77777777" w:rsidR="00DE64CD" w:rsidRPr="0070387D" w:rsidRDefault="00DE64CD" w:rsidP="00A4557C">
            <w:pPr>
              <w:pStyle w:val="Tablecells"/>
              <w:jc w:val="both"/>
              <w:rPr>
                <w:rFonts w:ascii="ITC Avant Garde" w:hAnsi="ITC Avant Garde"/>
                <w:szCs w:val="18"/>
                <w:lang w:val="es-ES_tradnl"/>
              </w:rPr>
            </w:pPr>
            <w:r>
              <w:rPr>
                <w:rFonts w:ascii="ITC Avant Garde" w:hAnsi="ITC Avant Garde"/>
                <w:szCs w:val="18"/>
                <w:lang w:val="es-ES_tradnl"/>
              </w:rPr>
              <w:t>Se considera que p</w:t>
            </w:r>
            <w:r w:rsidRPr="005B5118">
              <w:rPr>
                <w:rFonts w:ascii="ITC Avant Garde" w:hAnsi="ITC Avant Garde"/>
                <w:szCs w:val="18"/>
                <w:lang w:val="es-ES_tradnl"/>
              </w:rPr>
              <w:t>ara la provisi</w:t>
            </w:r>
            <w:r>
              <w:rPr>
                <w:rFonts w:ascii="ITC Avant Garde" w:hAnsi="ITC Avant Garde"/>
                <w:szCs w:val="18"/>
                <w:lang w:val="es-ES_tradnl"/>
              </w:rPr>
              <w:t xml:space="preserve">ón del SCyD a este nivel de agregación se evita emplear el “backbone” de la </w:t>
            </w:r>
            <w:r w:rsidRPr="00616E18">
              <w:rPr>
                <w:rFonts w:ascii="ITC Avant Garde" w:hAnsi="ITC Avant Garde"/>
                <w:szCs w:val="18"/>
                <w:lang w:val="es-MX"/>
              </w:rPr>
              <w:t>“Red IP”</w:t>
            </w:r>
            <w:r>
              <w:rPr>
                <w:rFonts w:ascii="ITC Avant Garde" w:hAnsi="ITC Avant Garde"/>
                <w:szCs w:val="18"/>
                <w:lang w:val="es-ES_tradnl"/>
              </w:rPr>
              <w:t xml:space="preserve">, así como el “backbone” y la parte “internacional” asociadas al </w:t>
            </w:r>
            <w:r w:rsidRPr="005B5118">
              <w:rPr>
                <w:rFonts w:ascii="ITC Avant Garde" w:hAnsi="ITC Avant Garde"/>
                <w:szCs w:val="18"/>
                <w:lang w:val="es-ES_tradnl"/>
              </w:rPr>
              <w:t xml:space="preserve">“Transporte Red IP”, así como el segmento </w:t>
            </w:r>
            <w:r>
              <w:rPr>
                <w:rFonts w:ascii="ITC Avant Garde" w:hAnsi="ITC Avant Garde"/>
                <w:szCs w:val="18"/>
                <w:lang w:val="es-ES_tradnl"/>
              </w:rPr>
              <w:t>“</w:t>
            </w:r>
            <w:r w:rsidRPr="005B5118">
              <w:rPr>
                <w:rFonts w:ascii="ITC Avant Garde" w:hAnsi="ITC Avant Garde"/>
                <w:szCs w:val="18"/>
                <w:lang w:val="es-ES_tradnl"/>
              </w:rPr>
              <w:t>Transporte Internet Global</w:t>
            </w:r>
            <w:r>
              <w:rPr>
                <w:rFonts w:ascii="ITC Avant Garde" w:hAnsi="ITC Avant Garde"/>
                <w:szCs w:val="18"/>
                <w:lang w:val="es-ES_tradnl"/>
              </w:rPr>
              <w:t>”.</w:t>
            </w:r>
          </w:p>
        </w:tc>
      </w:tr>
      <w:tr w:rsidR="00DE64CD" w:rsidRPr="00DF1768" w14:paraId="2C026701" w14:textId="77777777" w:rsidTr="00A4557C">
        <w:trPr>
          <w:trHeight w:val="276"/>
          <w:jc w:val="center"/>
        </w:trPr>
        <w:tc>
          <w:tcPr>
            <w:tcW w:w="828" w:type="pct"/>
            <w:vAlign w:val="center"/>
          </w:tcPr>
          <w:p w14:paraId="4E47801A" w14:textId="77777777" w:rsidR="00DE64CD" w:rsidRPr="00DF1768" w:rsidRDefault="00DE64CD" w:rsidP="00A4557C">
            <w:pPr>
              <w:pStyle w:val="IFTnormal"/>
              <w:rPr>
                <w:b/>
                <w:sz w:val="18"/>
              </w:rPr>
            </w:pPr>
            <w:r>
              <w:rPr>
                <w:b/>
                <w:sz w:val="18"/>
              </w:rPr>
              <w:t>Nacional</w:t>
            </w:r>
          </w:p>
        </w:tc>
        <w:tc>
          <w:tcPr>
            <w:tcW w:w="4172" w:type="pct"/>
            <w:vAlign w:val="center"/>
          </w:tcPr>
          <w:p w14:paraId="280A3E3D" w14:textId="77777777" w:rsidR="00DE64CD" w:rsidRPr="005B5118" w:rsidRDefault="00DE64CD" w:rsidP="00A4557C">
            <w:pPr>
              <w:pStyle w:val="Tablecells"/>
              <w:jc w:val="both"/>
              <w:rPr>
                <w:rFonts w:ascii="ITC Avant Garde" w:hAnsi="ITC Avant Garde"/>
                <w:szCs w:val="18"/>
                <w:lang w:val="es-MX"/>
              </w:rPr>
            </w:pPr>
            <w:r>
              <w:rPr>
                <w:rFonts w:ascii="ITC Avant Garde" w:hAnsi="ITC Avant Garde"/>
                <w:szCs w:val="18"/>
                <w:lang w:val="es-ES_tradnl"/>
              </w:rPr>
              <w:t>P</w:t>
            </w:r>
            <w:r w:rsidRPr="005B5118">
              <w:rPr>
                <w:rFonts w:ascii="ITC Avant Garde" w:hAnsi="ITC Avant Garde"/>
                <w:szCs w:val="18"/>
                <w:lang w:val="es-ES_tradnl"/>
              </w:rPr>
              <w:t xml:space="preserve">ara la provisión </w:t>
            </w:r>
            <w:r>
              <w:rPr>
                <w:rFonts w:ascii="ITC Avant Garde" w:hAnsi="ITC Avant Garde"/>
                <w:szCs w:val="18"/>
                <w:lang w:val="es-ES_tradnl"/>
              </w:rPr>
              <w:t xml:space="preserve">del SCyD en este nivel de agregación se evita emplear la parte “internacional” asociada al </w:t>
            </w:r>
            <w:r w:rsidRPr="005B5118">
              <w:rPr>
                <w:rFonts w:ascii="ITC Avant Garde" w:hAnsi="ITC Avant Garde"/>
                <w:szCs w:val="18"/>
                <w:lang w:val="es-ES_tradnl"/>
              </w:rPr>
              <w:t xml:space="preserve">“Transporte Red IP”, así como el segmento </w:t>
            </w:r>
            <w:r>
              <w:rPr>
                <w:rFonts w:ascii="ITC Avant Garde" w:hAnsi="ITC Avant Garde"/>
                <w:szCs w:val="18"/>
                <w:lang w:val="es-ES_tradnl"/>
              </w:rPr>
              <w:t>“</w:t>
            </w:r>
            <w:r w:rsidRPr="005B5118">
              <w:rPr>
                <w:rFonts w:ascii="ITC Avant Garde" w:hAnsi="ITC Avant Garde"/>
                <w:szCs w:val="18"/>
                <w:lang w:val="es-ES_tradnl"/>
              </w:rPr>
              <w:t>Transporte Internet Global</w:t>
            </w:r>
            <w:r>
              <w:rPr>
                <w:rFonts w:ascii="ITC Avant Garde" w:hAnsi="ITC Avant Garde"/>
                <w:szCs w:val="18"/>
                <w:lang w:val="es-ES_tradnl"/>
              </w:rPr>
              <w:t>”.</w:t>
            </w:r>
          </w:p>
        </w:tc>
      </w:tr>
    </w:tbl>
    <w:p w14:paraId="733657B8" w14:textId="77777777" w:rsidR="00DE64CD" w:rsidRPr="0070387D" w:rsidRDefault="00DE64CD" w:rsidP="00DE64CD">
      <w:pPr>
        <w:pStyle w:val="IFTnormal"/>
      </w:pPr>
    </w:p>
    <w:p w14:paraId="06D01D31" w14:textId="31CC22D5" w:rsidR="00DE64CD" w:rsidRDefault="00DE64CD" w:rsidP="00DE64CD">
      <w:pPr>
        <w:pStyle w:val="IFTnormal"/>
      </w:pPr>
      <w:r>
        <w:t xml:space="preserve">Considerando lo anterior, en el </w:t>
      </w:r>
      <w:r w:rsidR="002F02F0">
        <w:t>modelo se parte de datos de Telmex y Telnor</w:t>
      </w:r>
      <w:r>
        <w:t xml:space="preserve"> respecto al nivel de inversión necesarios para proveer servicios de Internet en cada uno de los segmentos de red aludidos. </w:t>
      </w:r>
    </w:p>
    <w:p w14:paraId="78FC9147" w14:textId="243F617A" w:rsidR="00DE64CD" w:rsidRDefault="00DE64CD" w:rsidP="00DE64CD">
      <w:pPr>
        <w:pStyle w:val="IFTnormal"/>
      </w:pPr>
      <w:r>
        <w:t>En este sentido, de acuerdo con dicha información, la distribución de inversión de los difere</w:t>
      </w:r>
      <w:r w:rsidR="002F02F0">
        <w:t>ntes segmentos de la red de Telmex y Telnor</w:t>
      </w:r>
      <w:r>
        <w:t xml:space="preserve"> que emplea para el transporte IP corresponde a:</w:t>
      </w:r>
    </w:p>
    <w:tbl>
      <w:tblPr>
        <w:tblStyle w:val="Tabladecuadrcula1clara"/>
        <w:tblW w:w="0" w:type="auto"/>
        <w:jc w:val="center"/>
        <w:tblLook w:val="0420" w:firstRow="1" w:lastRow="0" w:firstColumn="0" w:lastColumn="0" w:noHBand="0" w:noVBand="1"/>
      </w:tblPr>
      <w:tblGrid>
        <w:gridCol w:w="1548"/>
        <w:gridCol w:w="5941"/>
      </w:tblGrid>
      <w:tr w:rsidR="00DE64CD" w:rsidRPr="00644B3C" w14:paraId="1695D825" w14:textId="77777777" w:rsidTr="00A4557C">
        <w:trPr>
          <w:cnfStyle w:val="100000000000" w:firstRow="1" w:lastRow="0" w:firstColumn="0" w:lastColumn="0" w:oddVBand="0" w:evenVBand="0" w:oddHBand="0" w:evenHBand="0" w:firstRowFirstColumn="0" w:firstRowLastColumn="0" w:lastRowFirstColumn="0" w:lastRowLastColumn="0"/>
          <w:trHeight w:val="278"/>
          <w:jc w:val="center"/>
        </w:trPr>
        <w:tc>
          <w:tcPr>
            <w:tcW w:w="0" w:type="auto"/>
            <w:gridSpan w:val="2"/>
            <w:shd w:val="clear" w:color="auto" w:fill="E7E6E6" w:themeFill="background2"/>
          </w:tcPr>
          <w:p w14:paraId="0C5E3EA4" w14:textId="77777777" w:rsidR="00DE64CD" w:rsidRPr="00644B3C" w:rsidRDefault="00DE64CD" w:rsidP="00A4557C">
            <w:pPr>
              <w:pStyle w:val="Tableheading"/>
              <w:spacing w:before="0" w:after="0"/>
              <w:jc w:val="center"/>
              <w:rPr>
                <w:rFonts w:ascii="ITC Avant Garde" w:hAnsi="ITC Avant Garde"/>
                <w:b/>
                <w:color w:val="000000" w:themeColor="text1"/>
                <w:szCs w:val="18"/>
                <w:lang w:val="es-ES_tradnl"/>
              </w:rPr>
            </w:pPr>
            <w:r w:rsidRPr="00644B3C">
              <w:rPr>
                <w:rFonts w:ascii="ITC Avant Garde" w:hAnsi="ITC Avant Garde"/>
                <w:b/>
                <w:color w:val="000000" w:themeColor="text1"/>
                <w:lang w:val="es-MX"/>
              </w:rPr>
              <w:t>Distribución de inversión para transporte IP</w:t>
            </w:r>
          </w:p>
        </w:tc>
      </w:tr>
      <w:tr w:rsidR="00DE64CD" w:rsidRPr="00644B3C" w14:paraId="61F58AE2" w14:textId="77777777" w:rsidTr="00A4557C">
        <w:trPr>
          <w:trHeight w:val="278"/>
          <w:jc w:val="center"/>
        </w:trPr>
        <w:tc>
          <w:tcPr>
            <w:tcW w:w="0" w:type="auto"/>
            <w:shd w:val="clear" w:color="auto" w:fill="E7E6E6" w:themeFill="background2"/>
          </w:tcPr>
          <w:p w14:paraId="0D91D09F" w14:textId="77777777" w:rsidR="00DE64CD" w:rsidRPr="00644B3C" w:rsidRDefault="00DE64CD" w:rsidP="00A4557C">
            <w:pPr>
              <w:pStyle w:val="Tableheading"/>
              <w:spacing w:before="0" w:after="0"/>
              <w:jc w:val="center"/>
              <w:rPr>
                <w:rFonts w:ascii="ITC Avant Garde" w:hAnsi="ITC Avant Garde"/>
                <w:b w:val="0"/>
                <w:color w:val="000000" w:themeColor="text1"/>
                <w:szCs w:val="18"/>
                <w:lang w:val="es-ES_tradnl"/>
              </w:rPr>
            </w:pPr>
            <w:r w:rsidRPr="00644B3C">
              <w:rPr>
                <w:rFonts w:ascii="ITC Avant Garde" w:hAnsi="ITC Avant Garde" w:cs="Arial"/>
                <w:b w:val="0"/>
                <w:color w:val="000000"/>
                <w:lang w:val="es-ES" w:eastAsia="es-ES"/>
              </w:rPr>
              <w:t>Concepto</w:t>
            </w:r>
          </w:p>
        </w:tc>
        <w:tc>
          <w:tcPr>
            <w:tcW w:w="0" w:type="auto"/>
            <w:shd w:val="clear" w:color="auto" w:fill="E7E6E6" w:themeFill="background2"/>
          </w:tcPr>
          <w:p w14:paraId="2DFD1AB0" w14:textId="77777777" w:rsidR="00DE64CD" w:rsidRPr="00BC4D83" w:rsidRDefault="00DE64CD" w:rsidP="00A4557C">
            <w:pPr>
              <w:pStyle w:val="Tableheading"/>
              <w:spacing w:before="0" w:after="0"/>
              <w:jc w:val="center"/>
              <w:rPr>
                <w:rFonts w:ascii="ITC Avant Garde" w:hAnsi="ITC Avant Garde"/>
                <w:b w:val="0"/>
                <w:color w:val="000000" w:themeColor="text1"/>
                <w:szCs w:val="18"/>
                <w:lang w:val="es-ES_tradnl"/>
              </w:rPr>
            </w:pPr>
            <w:r w:rsidRPr="00BC4D83">
              <w:rPr>
                <w:rFonts w:ascii="ITC Avant Garde" w:hAnsi="ITC Avant Garde"/>
                <w:b w:val="0"/>
                <w:color w:val="000000" w:themeColor="text1"/>
                <w:szCs w:val="18"/>
                <w:lang w:val="es-ES_tradnl"/>
              </w:rPr>
              <w:t>Valor porcentual correspondiente inversión en segmento de red</w:t>
            </w:r>
          </w:p>
        </w:tc>
      </w:tr>
      <w:tr w:rsidR="00DE64CD" w:rsidRPr="00644B3C" w14:paraId="6F548578" w14:textId="77777777" w:rsidTr="00A4557C">
        <w:trPr>
          <w:trHeight w:val="276"/>
          <w:jc w:val="center"/>
        </w:trPr>
        <w:tc>
          <w:tcPr>
            <w:tcW w:w="0" w:type="auto"/>
          </w:tcPr>
          <w:p w14:paraId="23DDDBBE" w14:textId="77777777" w:rsidR="00DE64CD" w:rsidRPr="00644B3C" w:rsidRDefault="00DE64CD" w:rsidP="00A4557C">
            <w:pPr>
              <w:pStyle w:val="IFTnormal"/>
              <w:jc w:val="center"/>
              <w:rPr>
                <w:b/>
                <w:sz w:val="18"/>
                <w:szCs w:val="18"/>
              </w:rPr>
            </w:pPr>
            <w:r>
              <w:rPr>
                <w:sz w:val="18"/>
                <w:szCs w:val="18"/>
              </w:rPr>
              <w:t>“</w:t>
            </w:r>
            <w:r w:rsidRPr="00644B3C">
              <w:rPr>
                <w:sz w:val="18"/>
                <w:szCs w:val="18"/>
              </w:rPr>
              <w:t>Sectorial</w:t>
            </w:r>
            <w:r>
              <w:rPr>
                <w:sz w:val="18"/>
                <w:szCs w:val="18"/>
              </w:rPr>
              <w:t>”</w:t>
            </w:r>
          </w:p>
        </w:tc>
        <w:tc>
          <w:tcPr>
            <w:tcW w:w="0" w:type="auto"/>
          </w:tcPr>
          <w:p w14:paraId="1143C11F" w14:textId="77777777" w:rsidR="00DE64CD" w:rsidRPr="00BC4D83" w:rsidRDefault="00DE64CD" w:rsidP="00A4557C">
            <w:pPr>
              <w:pStyle w:val="Tablecells"/>
              <w:spacing w:before="0" w:after="0"/>
              <w:jc w:val="center"/>
              <w:rPr>
                <w:rFonts w:ascii="ITC Avant Garde" w:hAnsi="ITC Avant Garde"/>
                <w:szCs w:val="18"/>
                <w:lang w:val="es-ES_tradnl"/>
              </w:rPr>
            </w:pPr>
            <w:r w:rsidRPr="00BC4D83">
              <w:rPr>
                <w:rFonts w:ascii="ITC Avant Garde" w:hAnsi="ITC Avant Garde"/>
                <w:szCs w:val="18"/>
              </w:rPr>
              <w:t>21.94%</w:t>
            </w:r>
          </w:p>
        </w:tc>
      </w:tr>
      <w:tr w:rsidR="00DE64CD" w:rsidRPr="00644B3C" w14:paraId="1A2FFAE0" w14:textId="77777777" w:rsidTr="00A4557C">
        <w:trPr>
          <w:trHeight w:val="276"/>
          <w:jc w:val="center"/>
        </w:trPr>
        <w:tc>
          <w:tcPr>
            <w:tcW w:w="0" w:type="auto"/>
            <w:shd w:val="clear" w:color="auto" w:fill="F2F2F2" w:themeFill="background1" w:themeFillShade="F2"/>
          </w:tcPr>
          <w:p w14:paraId="18914A2D" w14:textId="77777777" w:rsidR="00DE64CD" w:rsidRPr="00644B3C" w:rsidRDefault="00DE64CD" w:rsidP="00A4557C">
            <w:pPr>
              <w:pStyle w:val="IFTnormal"/>
              <w:jc w:val="center"/>
              <w:rPr>
                <w:b/>
                <w:sz w:val="18"/>
                <w:szCs w:val="18"/>
              </w:rPr>
            </w:pPr>
            <w:r>
              <w:rPr>
                <w:sz w:val="18"/>
                <w:szCs w:val="18"/>
              </w:rPr>
              <w:t>“</w:t>
            </w:r>
            <w:r w:rsidRPr="00644B3C">
              <w:rPr>
                <w:sz w:val="18"/>
                <w:szCs w:val="18"/>
              </w:rPr>
              <w:t>Regional</w:t>
            </w:r>
            <w:r>
              <w:rPr>
                <w:sz w:val="18"/>
                <w:szCs w:val="18"/>
              </w:rPr>
              <w:t>”</w:t>
            </w:r>
          </w:p>
        </w:tc>
        <w:tc>
          <w:tcPr>
            <w:tcW w:w="0" w:type="auto"/>
            <w:shd w:val="clear" w:color="auto" w:fill="F2F2F2" w:themeFill="background1" w:themeFillShade="F2"/>
          </w:tcPr>
          <w:p w14:paraId="18D7644F" w14:textId="77777777" w:rsidR="00DE64CD" w:rsidRPr="00BC4D83" w:rsidRDefault="00DE64CD" w:rsidP="00A4557C">
            <w:pPr>
              <w:pStyle w:val="Tablecells"/>
              <w:spacing w:before="0" w:after="0"/>
              <w:jc w:val="center"/>
              <w:rPr>
                <w:rFonts w:ascii="ITC Avant Garde" w:hAnsi="ITC Avant Garde"/>
                <w:szCs w:val="18"/>
                <w:lang w:val="es-ES_tradnl"/>
              </w:rPr>
            </w:pPr>
            <w:r w:rsidRPr="00BC4D83">
              <w:rPr>
                <w:rFonts w:ascii="ITC Avant Garde" w:hAnsi="ITC Avant Garde"/>
                <w:szCs w:val="18"/>
              </w:rPr>
              <w:t>24.59%</w:t>
            </w:r>
          </w:p>
        </w:tc>
      </w:tr>
      <w:tr w:rsidR="00DE64CD" w:rsidRPr="00644B3C" w14:paraId="68F2B823" w14:textId="77777777" w:rsidTr="00A4557C">
        <w:trPr>
          <w:trHeight w:val="276"/>
          <w:jc w:val="center"/>
        </w:trPr>
        <w:tc>
          <w:tcPr>
            <w:tcW w:w="0" w:type="auto"/>
            <w:shd w:val="clear" w:color="auto" w:fill="auto"/>
          </w:tcPr>
          <w:p w14:paraId="3DB8247D" w14:textId="77777777" w:rsidR="00DE64CD" w:rsidRPr="00644B3C" w:rsidRDefault="00DE64CD" w:rsidP="00A4557C">
            <w:pPr>
              <w:pStyle w:val="IFTnormal"/>
              <w:jc w:val="center"/>
              <w:rPr>
                <w:rFonts w:cs="Times New Roman"/>
                <w:b/>
                <w:sz w:val="18"/>
                <w:szCs w:val="18"/>
              </w:rPr>
            </w:pPr>
            <w:r>
              <w:rPr>
                <w:sz w:val="18"/>
                <w:szCs w:val="18"/>
              </w:rPr>
              <w:t>“</w:t>
            </w:r>
            <w:r w:rsidRPr="00644B3C">
              <w:rPr>
                <w:sz w:val="18"/>
                <w:szCs w:val="18"/>
              </w:rPr>
              <w:t>Backbone</w:t>
            </w:r>
            <w:r>
              <w:rPr>
                <w:sz w:val="18"/>
                <w:szCs w:val="18"/>
              </w:rPr>
              <w:t>”</w:t>
            </w:r>
          </w:p>
        </w:tc>
        <w:tc>
          <w:tcPr>
            <w:tcW w:w="0" w:type="auto"/>
            <w:shd w:val="clear" w:color="auto" w:fill="auto"/>
          </w:tcPr>
          <w:p w14:paraId="5C5CA354" w14:textId="77777777" w:rsidR="00DE64CD" w:rsidRPr="00BC4D83" w:rsidRDefault="00DE64CD" w:rsidP="00A4557C">
            <w:pPr>
              <w:pStyle w:val="Tablecells"/>
              <w:spacing w:before="0" w:after="0"/>
              <w:jc w:val="center"/>
              <w:rPr>
                <w:rFonts w:ascii="ITC Avant Garde" w:hAnsi="ITC Avant Garde"/>
                <w:szCs w:val="18"/>
                <w:lang w:val="es-ES_tradnl"/>
              </w:rPr>
            </w:pPr>
            <w:r w:rsidRPr="00BC4D83">
              <w:rPr>
                <w:rFonts w:ascii="ITC Avant Garde" w:hAnsi="ITC Avant Garde"/>
                <w:szCs w:val="18"/>
              </w:rPr>
              <w:t>19.70%</w:t>
            </w:r>
          </w:p>
        </w:tc>
      </w:tr>
      <w:tr w:rsidR="00DE64CD" w:rsidRPr="00644B3C" w14:paraId="0C70C5CD" w14:textId="77777777" w:rsidTr="00A4557C">
        <w:trPr>
          <w:trHeight w:val="276"/>
          <w:jc w:val="center"/>
        </w:trPr>
        <w:tc>
          <w:tcPr>
            <w:tcW w:w="0" w:type="auto"/>
            <w:shd w:val="clear" w:color="auto" w:fill="F2F2F2" w:themeFill="background1" w:themeFillShade="F2"/>
          </w:tcPr>
          <w:p w14:paraId="428F02C3" w14:textId="77777777" w:rsidR="00DE64CD" w:rsidRPr="00644B3C" w:rsidRDefault="00DE64CD" w:rsidP="00A4557C">
            <w:pPr>
              <w:pStyle w:val="IFTnormal"/>
              <w:jc w:val="center"/>
              <w:rPr>
                <w:rFonts w:cs="Times New Roman"/>
                <w:b/>
                <w:sz w:val="18"/>
                <w:szCs w:val="18"/>
              </w:rPr>
            </w:pPr>
            <w:r>
              <w:rPr>
                <w:sz w:val="18"/>
                <w:szCs w:val="18"/>
              </w:rPr>
              <w:t>“</w:t>
            </w:r>
            <w:r w:rsidRPr="00644B3C">
              <w:rPr>
                <w:sz w:val="18"/>
                <w:szCs w:val="18"/>
              </w:rPr>
              <w:t>Internacional</w:t>
            </w:r>
            <w:r>
              <w:rPr>
                <w:sz w:val="18"/>
                <w:szCs w:val="18"/>
              </w:rPr>
              <w:t>”</w:t>
            </w:r>
          </w:p>
        </w:tc>
        <w:tc>
          <w:tcPr>
            <w:tcW w:w="0" w:type="auto"/>
            <w:shd w:val="clear" w:color="auto" w:fill="F2F2F2" w:themeFill="background1" w:themeFillShade="F2"/>
          </w:tcPr>
          <w:p w14:paraId="0369C9D6" w14:textId="77777777" w:rsidR="00DE64CD" w:rsidRPr="00BC4D83" w:rsidRDefault="00DE64CD" w:rsidP="00A4557C">
            <w:pPr>
              <w:pStyle w:val="Tablecells"/>
              <w:spacing w:before="0" w:after="0"/>
              <w:jc w:val="center"/>
              <w:rPr>
                <w:rFonts w:ascii="ITC Avant Garde" w:hAnsi="ITC Avant Garde"/>
                <w:szCs w:val="18"/>
                <w:lang w:val="es-ES_tradnl"/>
              </w:rPr>
            </w:pPr>
            <w:r w:rsidRPr="00BC4D83">
              <w:rPr>
                <w:rFonts w:ascii="ITC Avant Garde" w:hAnsi="ITC Avant Garde"/>
                <w:szCs w:val="18"/>
              </w:rPr>
              <w:t>33.76%</w:t>
            </w:r>
          </w:p>
        </w:tc>
      </w:tr>
      <w:tr w:rsidR="00DE64CD" w:rsidRPr="00644B3C" w14:paraId="3BEE72BB" w14:textId="77777777" w:rsidTr="00A4557C">
        <w:trPr>
          <w:trHeight w:val="276"/>
          <w:jc w:val="center"/>
        </w:trPr>
        <w:tc>
          <w:tcPr>
            <w:tcW w:w="0" w:type="auto"/>
            <w:shd w:val="clear" w:color="auto" w:fill="auto"/>
            <w:vAlign w:val="center"/>
          </w:tcPr>
          <w:p w14:paraId="5D60FFA5" w14:textId="77777777" w:rsidR="00DE64CD" w:rsidRPr="00644B3C" w:rsidRDefault="00DE64CD" w:rsidP="00A4557C">
            <w:pPr>
              <w:pStyle w:val="IFTnormal"/>
              <w:jc w:val="center"/>
              <w:rPr>
                <w:rFonts w:cs="Times New Roman"/>
                <w:b/>
                <w:sz w:val="18"/>
                <w:szCs w:val="18"/>
              </w:rPr>
            </w:pPr>
            <w:r w:rsidRPr="00644B3C">
              <w:rPr>
                <w:rFonts w:cs="Times New Roman"/>
                <w:b/>
                <w:sz w:val="18"/>
                <w:szCs w:val="18"/>
              </w:rPr>
              <w:t>Total</w:t>
            </w:r>
          </w:p>
        </w:tc>
        <w:tc>
          <w:tcPr>
            <w:tcW w:w="0" w:type="auto"/>
            <w:shd w:val="clear" w:color="auto" w:fill="auto"/>
            <w:vAlign w:val="center"/>
          </w:tcPr>
          <w:p w14:paraId="6D3C434B" w14:textId="77777777" w:rsidR="00DE64CD" w:rsidRPr="00BC4D83" w:rsidRDefault="00DE64CD" w:rsidP="00A4557C">
            <w:pPr>
              <w:pStyle w:val="Tablecells"/>
              <w:spacing w:before="0" w:after="0"/>
              <w:jc w:val="center"/>
              <w:rPr>
                <w:rFonts w:ascii="ITC Avant Garde" w:hAnsi="ITC Avant Garde"/>
                <w:b/>
                <w:szCs w:val="18"/>
                <w:lang w:val="es-ES_tradnl"/>
              </w:rPr>
            </w:pPr>
            <w:r w:rsidRPr="00BC4D83">
              <w:rPr>
                <w:rFonts w:ascii="ITC Avant Garde" w:hAnsi="ITC Avant Garde"/>
                <w:b/>
                <w:szCs w:val="18"/>
                <w:lang w:val="es-ES_tradnl"/>
              </w:rPr>
              <w:t>100%</w:t>
            </w:r>
          </w:p>
        </w:tc>
      </w:tr>
    </w:tbl>
    <w:p w14:paraId="45B44BB9" w14:textId="77777777" w:rsidR="00DE64CD" w:rsidRDefault="00DE64CD" w:rsidP="00DE64CD">
      <w:pPr>
        <w:pStyle w:val="IFTnormal"/>
      </w:pPr>
    </w:p>
    <w:p w14:paraId="30C9BF3E" w14:textId="1A65B923" w:rsidR="00DE64CD" w:rsidRDefault="00DE64CD" w:rsidP="00DE64CD">
      <w:pPr>
        <w:pStyle w:val="IFTnormal"/>
      </w:pPr>
      <w:r>
        <w:t>En complemento, la distribución de inversión de los difere</w:t>
      </w:r>
      <w:r w:rsidR="002F02F0">
        <w:t>ntes segmentos de la red de Telmex y Telnor</w:t>
      </w:r>
      <w:r>
        <w:t xml:space="preserve"> que de la red IP se muestra en el siguiente cuadro.</w:t>
      </w:r>
    </w:p>
    <w:tbl>
      <w:tblPr>
        <w:tblStyle w:val="Tabladecuadrcula1clara"/>
        <w:tblW w:w="0" w:type="auto"/>
        <w:jc w:val="center"/>
        <w:tblLook w:val="0420" w:firstRow="1" w:lastRow="0" w:firstColumn="0" w:lastColumn="0" w:noHBand="0" w:noVBand="1"/>
      </w:tblPr>
      <w:tblGrid>
        <w:gridCol w:w="1441"/>
        <w:gridCol w:w="5941"/>
      </w:tblGrid>
      <w:tr w:rsidR="00DE64CD" w:rsidRPr="00644B3C" w14:paraId="784781BC" w14:textId="77777777" w:rsidTr="00A4557C">
        <w:trPr>
          <w:cnfStyle w:val="100000000000" w:firstRow="1" w:lastRow="0" w:firstColumn="0" w:lastColumn="0" w:oddVBand="0" w:evenVBand="0" w:oddHBand="0" w:evenHBand="0" w:firstRowFirstColumn="0" w:firstRowLastColumn="0" w:lastRowFirstColumn="0" w:lastRowLastColumn="0"/>
          <w:trHeight w:val="278"/>
          <w:tblHeader/>
          <w:jc w:val="center"/>
        </w:trPr>
        <w:tc>
          <w:tcPr>
            <w:tcW w:w="7382" w:type="dxa"/>
            <w:gridSpan w:val="2"/>
            <w:shd w:val="clear" w:color="auto" w:fill="E7E6E6" w:themeFill="background2"/>
          </w:tcPr>
          <w:p w14:paraId="46BA687E" w14:textId="77777777" w:rsidR="00DE64CD" w:rsidRPr="00BC4D83" w:rsidRDefault="00DE64CD" w:rsidP="00A4557C">
            <w:pPr>
              <w:pStyle w:val="Tableheading"/>
              <w:spacing w:before="0" w:after="0"/>
              <w:jc w:val="center"/>
              <w:rPr>
                <w:rFonts w:ascii="ITC Avant Garde" w:hAnsi="ITC Avant Garde"/>
                <w:b/>
                <w:color w:val="000000" w:themeColor="text1"/>
                <w:szCs w:val="18"/>
                <w:lang w:val="es-ES_tradnl"/>
              </w:rPr>
            </w:pPr>
            <w:r w:rsidRPr="00BC4D83">
              <w:rPr>
                <w:rFonts w:ascii="ITC Avant Garde" w:hAnsi="ITC Avant Garde"/>
                <w:b/>
                <w:color w:val="000000" w:themeColor="text1"/>
                <w:lang w:val="es-MX"/>
              </w:rPr>
              <w:t>Distribución de inversión para Red IP</w:t>
            </w:r>
          </w:p>
        </w:tc>
      </w:tr>
      <w:tr w:rsidR="00DE64CD" w:rsidRPr="00644B3C" w14:paraId="125B8079" w14:textId="77777777" w:rsidTr="00A4557C">
        <w:trPr>
          <w:trHeight w:val="278"/>
          <w:jc w:val="center"/>
        </w:trPr>
        <w:tc>
          <w:tcPr>
            <w:tcW w:w="1441" w:type="dxa"/>
            <w:shd w:val="clear" w:color="auto" w:fill="E7E6E6" w:themeFill="background2"/>
          </w:tcPr>
          <w:p w14:paraId="6A4912F0" w14:textId="77777777" w:rsidR="00DE64CD" w:rsidRPr="00644B3C" w:rsidRDefault="00DE64CD" w:rsidP="00A4557C">
            <w:pPr>
              <w:pStyle w:val="Tableheading"/>
              <w:spacing w:before="0" w:after="0"/>
              <w:jc w:val="center"/>
              <w:rPr>
                <w:rFonts w:ascii="ITC Avant Garde" w:hAnsi="ITC Avant Garde"/>
                <w:b w:val="0"/>
                <w:color w:val="000000" w:themeColor="text1"/>
                <w:szCs w:val="18"/>
                <w:lang w:val="es-ES_tradnl"/>
              </w:rPr>
            </w:pPr>
            <w:r w:rsidRPr="00644B3C">
              <w:rPr>
                <w:rFonts w:ascii="ITC Avant Garde" w:hAnsi="ITC Avant Garde" w:cs="Arial"/>
                <w:b w:val="0"/>
                <w:color w:val="000000"/>
                <w:lang w:val="es-ES" w:eastAsia="es-ES"/>
              </w:rPr>
              <w:t>Concepto</w:t>
            </w:r>
          </w:p>
        </w:tc>
        <w:tc>
          <w:tcPr>
            <w:tcW w:w="0" w:type="auto"/>
            <w:shd w:val="clear" w:color="auto" w:fill="E7E6E6" w:themeFill="background2"/>
          </w:tcPr>
          <w:p w14:paraId="106874F4" w14:textId="77777777" w:rsidR="00DE64CD" w:rsidRPr="00BC4D83" w:rsidRDefault="00DE64CD" w:rsidP="00A4557C">
            <w:pPr>
              <w:pStyle w:val="Tableheading"/>
              <w:spacing w:before="0" w:after="0"/>
              <w:jc w:val="center"/>
              <w:rPr>
                <w:rFonts w:ascii="ITC Avant Garde" w:hAnsi="ITC Avant Garde"/>
                <w:b w:val="0"/>
                <w:color w:val="000000" w:themeColor="text1"/>
                <w:szCs w:val="18"/>
                <w:lang w:val="es-ES_tradnl"/>
              </w:rPr>
            </w:pPr>
            <w:r w:rsidRPr="00BC4D83">
              <w:rPr>
                <w:rFonts w:ascii="ITC Avant Garde" w:hAnsi="ITC Avant Garde"/>
                <w:b w:val="0"/>
                <w:color w:val="000000" w:themeColor="text1"/>
                <w:szCs w:val="18"/>
                <w:lang w:val="es-ES_tradnl"/>
              </w:rPr>
              <w:t>Valor porcentual correspondiente inversión en segmento de red</w:t>
            </w:r>
          </w:p>
        </w:tc>
      </w:tr>
      <w:tr w:rsidR="00DE64CD" w:rsidRPr="00644B3C" w14:paraId="03E98617" w14:textId="77777777" w:rsidTr="00A4557C">
        <w:trPr>
          <w:trHeight w:val="276"/>
          <w:jc w:val="center"/>
        </w:trPr>
        <w:tc>
          <w:tcPr>
            <w:tcW w:w="1441" w:type="dxa"/>
          </w:tcPr>
          <w:p w14:paraId="5B5C4E8A" w14:textId="77777777" w:rsidR="00DE64CD" w:rsidRPr="00644B3C" w:rsidRDefault="00DE64CD" w:rsidP="00A4557C">
            <w:pPr>
              <w:pStyle w:val="IFTnormal"/>
              <w:jc w:val="center"/>
              <w:rPr>
                <w:b/>
                <w:sz w:val="18"/>
                <w:szCs w:val="18"/>
              </w:rPr>
            </w:pPr>
            <w:r>
              <w:rPr>
                <w:sz w:val="18"/>
                <w:szCs w:val="18"/>
              </w:rPr>
              <w:t>“</w:t>
            </w:r>
            <w:r w:rsidRPr="00644B3C">
              <w:rPr>
                <w:sz w:val="18"/>
                <w:szCs w:val="18"/>
              </w:rPr>
              <w:t>Sectorial</w:t>
            </w:r>
            <w:r>
              <w:rPr>
                <w:sz w:val="18"/>
                <w:szCs w:val="18"/>
              </w:rPr>
              <w:t>”</w:t>
            </w:r>
          </w:p>
        </w:tc>
        <w:tc>
          <w:tcPr>
            <w:tcW w:w="0" w:type="auto"/>
          </w:tcPr>
          <w:p w14:paraId="7F3DE0E4" w14:textId="77777777" w:rsidR="00DE64CD" w:rsidRPr="00BC4D83" w:rsidRDefault="00DE64CD" w:rsidP="00A4557C">
            <w:pPr>
              <w:pStyle w:val="Tablecells"/>
              <w:spacing w:after="0"/>
              <w:jc w:val="center"/>
              <w:rPr>
                <w:rFonts w:ascii="ITC Avant Garde" w:hAnsi="ITC Avant Garde"/>
                <w:szCs w:val="18"/>
                <w:lang w:val="es-ES_tradnl"/>
              </w:rPr>
            </w:pPr>
            <w:r w:rsidRPr="00BC4D83">
              <w:rPr>
                <w:rFonts w:ascii="ITC Avant Garde" w:hAnsi="ITC Avant Garde"/>
                <w:szCs w:val="18"/>
                <w:lang w:val="es-ES_tradnl"/>
              </w:rPr>
              <w:t>28.19%</w:t>
            </w:r>
          </w:p>
        </w:tc>
      </w:tr>
      <w:tr w:rsidR="00DE64CD" w:rsidRPr="00644B3C" w14:paraId="6A8CEF43" w14:textId="77777777" w:rsidTr="00A4557C">
        <w:trPr>
          <w:trHeight w:val="276"/>
          <w:jc w:val="center"/>
        </w:trPr>
        <w:tc>
          <w:tcPr>
            <w:tcW w:w="1441" w:type="dxa"/>
            <w:shd w:val="clear" w:color="auto" w:fill="F2F2F2" w:themeFill="background1" w:themeFillShade="F2"/>
          </w:tcPr>
          <w:p w14:paraId="30C9CC31" w14:textId="77777777" w:rsidR="00DE64CD" w:rsidRPr="00644B3C" w:rsidRDefault="00DE64CD" w:rsidP="00A4557C">
            <w:pPr>
              <w:pStyle w:val="IFTnormal"/>
              <w:jc w:val="center"/>
              <w:rPr>
                <w:b/>
                <w:sz w:val="18"/>
                <w:szCs w:val="18"/>
              </w:rPr>
            </w:pPr>
            <w:r>
              <w:rPr>
                <w:sz w:val="18"/>
                <w:szCs w:val="18"/>
              </w:rPr>
              <w:t>“</w:t>
            </w:r>
            <w:r w:rsidRPr="00644B3C">
              <w:rPr>
                <w:sz w:val="18"/>
                <w:szCs w:val="18"/>
              </w:rPr>
              <w:t>Regional</w:t>
            </w:r>
            <w:r>
              <w:rPr>
                <w:sz w:val="18"/>
                <w:szCs w:val="18"/>
              </w:rPr>
              <w:t>”</w:t>
            </w:r>
          </w:p>
        </w:tc>
        <w:tc>
          <w:tcPr>
            <w:tcW w:w="0" w:type="auto"/>
            <w:shd w:val="clear" w:color="auto" w:fill="F2F2F2" w:themeFill="background1" w:themeFillShade="F2"/>
          </w:tcPr>
          <w:p w14:paraId="48AB313E" w14:textId="77777777" w:rsidR="00DE64CD" w:rsidRPr="00BC4D83" w:rsidRDefault="00DE64CD" w:rsidP="00A4557C">
            <w:pPr>
              <w:pStyle w:val="Tablecells"/>
              <w:spacing w:after="0"/>
              <w:jc w:val="center"/>
              <w:rPr>
                <w:rFonts w:ascii="ITC Avant Garde" w:hAnsi="ITC Avant Garde"/>
                <w:szCs w:val="18"/>
                <w:lang w:val="es-ES_tradnl"/>
              </w:rPr>
            </w:pPr>
            <w:r w:rsidRPr="00BC4D83">
              <w:rPr>
                <w:rFonts w:ascii="ITC Avant Garde" w:hAnsi="ITC Avant Garde"/>
                <w:szCs w:val="18"/>
                <w:lang w:val="es-ES_tradnl"/>
              </w:rPr>
              <w:t>32.42%</w:t>
            </w:r>
          </w:p>
        </w:tc>
      </w:tr>
      <w:tr w:rsidR="00DE64CD" w:rsidRPr="00644B3C" w14:paraId="76CCD4BC" w14:textId="77777777" w:rsidTr="00A4557C">
        <w:trPr>
          <w:trHeight w:val="276"/>
          <w:jc w:val="center"/>
        </w:trPr>
        <w:tc>
          <w:tcPr>
            <w:tcW w:w="1441" w:type="dxa"/>
            <w:shd w:val="clear" w:color="auto" w:fill="auto"/>
          </w:tcPr>
          <w:p w14:paraId="3BC3D214" w14:textId="77777777" w:rsidR="00DE64CD" w:rsidRPr="00644B3C" w:rsidRDefault="00DE64CD" w:rsidP="00A4557C">
            <w:pPr>
              <w:pStyle w:val="IFTnormal"/>
              <w:jc w:val="center"/>
              <w:rPr>
                <w:rFonts w:cs="Times New Roman"/>
                <w:b/>
                <w:sz w:val="18"/>
                <w:szCs w:val="18"/>
              </w:rPr>
            </w:pPr>
            <w:r>
              <w:rPr>
                <w:sz w:val="18"/>
                <w:szCs w:val="18"/>
              </w:rPr>
              <w:t>“</w:t>
            </w:r>
            <w:r w:rsidRPr="00644B3C">
              <w:rPr>
                <w:sz w:val="18"/>
                <w:szCs w:val="18"/>
              </w:rPr>
              <w:t>Backbone</w:t>
            </w:r>
            <w:r>
              <w:rPr>
                <w:sz w:val="18"/>
                <w:szCs w:val="18"/>
              </w:rPr>
              <w:t>”</w:t>
            </w:r>
          </w:p>
        </w:tc>
        <w:tc>
          <w:tcPr>
            <w:tcW w:w="0" w:type="auto"/>
            <w:shd w:val="clear" w:color="auto" w:fill="auto"/>
          </w:tcPr>
          <w:p w14:paraId="625F22F4" w14:textId="77777777" w:rsidR="00DE64CD" w:rsidRPr="00BC4D83" w:rsidRDefault="00DE64CD" w:rsidP="00A4557C">
            <w:pPr>
              <w:pStyle w:val="Tablecells"/>
              <w:spacing w:before="0" w:after="0"/>
              <w:jc w:val="center"/>
              <w:rPr>
                <w:rFonts w:ascii="ITC Avant Garde" w:hAnsi="ITC Avant Garde"/>
                <w:szCs w:val="18"/>
                <w:lang w:val="es-ES_tradnl"/>
              </w:rPr>
            </w:pPr>
            <w:r w:rsidRPr="00BC4D83">
              <w:rPr>
                <w:rFonts w:ascii="ITC Avant Garde" w:hAnsi="ITC Avant Garde"/>
                <w:szCs w:val="18"/>
                <w:lang w:val="es-ES_tradnl"/>
              </w:rPr>
              <w:t>39.39%</w:t>
            </w:r>
          </w:p>
        </w:tc>
      </w:tr>
      <w:tr w:rsidR="00DE64CD" w:rsidRPr="00644B3C" w14:paraId="22C105E0" w14:textId="77777777" w:rsidTr="00A4557C">
        <w:trPr>
          <w:trHeight w:val="276"/>
          <w:jc w:val="center"/>
        </w:trPr>
        <w:tc>
          <w:tcPr>
            <w:tcW w:w="1441" w:type="dxa"/>
            <w:shd w:val="clear" w:color="auto" w:fill="F2F2F2" w:themeFill="background1" w:themeFillShade="F2"/>
            <w:vAlign w:val="center"/>
          </w:tcPr>
          <w:p w14:paraId="2B0A384B" w14:textId="77777777" w:rsidR="00DE64CD" w:rsidRPr="00644B3C" w:rsidRDefault="00DE64CD" w:rsidP="00A4557C">
            <w:pPr>
              <w:pStyle w:val="IFTnormal"/>
              <w:jc w:val="center"/>
              <w:rPr>
                <w:rFonts w:cs="Times New Roman"/>
                <w:b/>
                <w:sz w:val="18"/>
                <w:szCs w:val="18"/>
              </w:rPr>
            </w:pPr>
            <w:r w:rsidRPr="00644B3C">
              <w:rPr>
                <w:rFonts w:cs="Times New Roman"/>
                <w:b/>
                <w:sz w:val="18"/>
                <w:szCs w:val="18"/>
              </w:rPr>
              <w:t>Total</w:t>
            </w:r>
          </w:p>
        </w:tc>
        <w:tc>
          <w:tcPr>
            <w:tcW w:w="0" w:type="auto"/>
            <w:shd w:val="clear" w:color="auto" w:fill="F2F2F2" w:themeFill="background1" w:themeFillShade="F2"/>
            <w:vAlign w:val="center"/>
          </w:tcPr>
          <w:p w14:paraId="421E62CC" w14:textId="77777777" w:rsidR="00DE64CD" w:rsidRPr="00BC4D83" w:rsidRDefault="00DE64CD" w:rsidP="00A4557C">
            <w:pPr>
              <w:pStyle w:val="Tablecells"/>
              <w:spacing w:before="0" w:after="0"/>
              <w:jc w:val="center"/>
              <w:rPr>
                <w:rFonts w:ascii="ITC Avant Garde" w:hAnsi="ITC Avant Garde"/>
                <w:b/>
                <w:szCs w:val="18"/>
                <w:lang w:val="es-ES_tradnl"/>
              </w:rPr>
            </w:pPr>
            <w:r w:rsidRPr="00BC4D83">
              <w:rPr>
                <w:rFonts w:ascii="ITC Avant Garde" w:hAnsi="ITC Avant Garde"/>
                <w:b/>
                <w:szCs w:val="18"/>
                <w:lang w:val="es-ES_tradnl"/>
              </w:rPr>
              <w:t>100%</w:t>
            </w:r>
          </w:p>
        </w:tc>
      </w:tr>
    </w:tbl>
    <w:p w14:paraId="620B2D14" w14:textId="77777777" w:rsidR="00DE64CD" w:rsidRDefault="00DE64CD" w:rsidP="00DE64CD">
      <w:pPr>
        <w:pStyle w:val="IFTnormal"/>
      </w:pPr>
    </w:p>
    <w:p w14:paraId="61CD35C6" w14:textId="10D36EC2" w:rsidR="00DE64CD" w:rsidRDefault="00DE64CD" w:rsidP="00DE64CD">
      <w:pPr>
        <w:pStyle w:val="IFTnormal"/>
      </w:pPr>
      <w:r>
        <w:t>A partir de estos, se estiman los costos promedio que corresponderían a la provisión de servicios para un perfil de Mbps con referencia a</w:t>
      </w:r>
      <w:r w:rsidR="002F02F0">
        <w:t xml:space="preserve"> los segmentos de la red de Telmex y Telnor</w:t>
      </w:r>
      <w:r>
        <w:t xml:space="preserve"> en donde se lleva acabo el transporte, así como el uso de la red IP, el transporte asociado a la red IP y el “</w:t>
      </w:r>
      <w:r w:rsidRPr="0039015F">
        <w:t>Transporte Internet Global</w:t>
      </w:r>
      <w:r>
        <w:t>” para la provisión del SCyD. Lo anterior se realiza con los sigui</w:t>
      </w:r>
      <w:r w:rsidR="002F02F0">
        <w:t>entes datos aportados por Telmex y Telnor</w:t>
      </w:r>
      <w:r>
        <w:t>, en la Respuesta al Requerimiento del Modelo de Costos Evitados:</w:t>
      </w:r>
    </w:p>
    <w:tbl>
      <w:tblPr>
        <w:tblStyle w:val="Tabladecuadrcula1clara"/>
        <w:tblW w:w="5015" w:type="pct"/>
        <w:jc w:val="center"/>
        <w:tblLook w:val="0420" w:firstRow="1" w:lastRow="0" w:firstColumn="0" w:lastColumn="0" w:noHBand="0" w:noVBand="1"/>
        <w:tblCaption w:val="Figura 3: Estrutura del modelo de costos de coubicación móvil (Fuente: IFT, 2015)"/>
        <w:tblDescription w:val="Se divida en hoja de cálculo y descripción"/>
      </w:tblPr>
      <w:tblGrid>
        <w:gridCol w:w="3060"/>
        <w:gridCol w:w="3063"/>
        <w:gridCol w:w="2731"/>
      </w:tblGrid>
      <w:tr w:rsidR="00DE64CD" w:rsidRPr="002007A0" w14:paraId="25AC4CD3" w14:textId="77777777" w:rsidTr="00A4557C">
        <w:trPr>
          <w:cnfStyle w:val="100000000000" w:firstRow="1" w:lastRow="0" w:firstColumn="0" w:lastColumn="0" w:oddVBand="0" w:evenVBand="0" w:oddHBand="0" w:evenHBand="0" w:firstRowFirstColumn="0" w:firstRowLastColumn="0" w:lastRowFirstColumn="0" w:lastRowLastColumn="0"/>
          <w:trHeight w:val="70"/>
          <w:tblHeader/>
          <w:jc w:val="center"/>
        </w:trPr>
        <w:tc>
          <w:tcPr>
            <w:tcW w:w="1728" w:type="pct"/>
            <w:shd w:val="clear" w:color="auto" w:fill="E7E6E6" w:themeFill="background2"/>
          </w:tcPr>
          <w:p w14:paraId="1894E125" w14:textId="4D8AA34E" w:rsidR="00DE64CD" w:rsidRPr="002007A0" w:rsidRDefault="00DE64CD" w:rsidP="00A4557C">
            <w:pPr>
              <w:pStyle w:val="Tableheading"/>
              <w:spacing w:before="0" w:after="0"/>
              <w:jc w:val="center"/>
              <w:rPr>
                <w:rFonts w:ascii="ITC Avant Garde" w:hAnsi="ITC Avant Garde"/>
                <w:b/>
                <w:color w:val="000000" w:themeColor="text1"/>
                <w:sz w:val="20"/>
                <w:szCs w:val="20"/>
                <w:lang w:val="es-ES_tradnl"/>
              </w:rPr>
            </w:pPr>
            <w:r>
              <w:rPr>
                <w:rFonts w:ascii="ITC Avant Garde" w:hAnsi="ITC Avant Garde"/>
                <w:b/>
                <w:color w:val="000000" w:themeColor="text1"/>
                <w:sz w:val="20"/>
                <w:szCs w:val="20"/>
                <w:lang w:val="es-ES_tradnl"/>
              </w:rPr>
              <w:t>Segmento de la</w:t>
            </w:r>
            <w:r w:rsidR="00B93087">
              <w:rPr>
                <w:rFonts w:ascii="ITC Avant Garde" w:hAnsi="ITC Avant Garde"/>
                <w:b/>
                <w:color w:val="000000" w:themeColor="text1"/>
                <w:sz w:val="20"/>
                <w:szCs w:val="20"/>
                <w:lang w:val="es-ES_tradnl"/>
              </w:rPr>
              <w:t xml:space="preserve"> red de Telmex y Telnor</w:t>
            </w:r>
            <w:r>
              <w:rPr>
                <w:rFonts w:ascii="ITC Avant Garde" w:hAnsi="ITC Avant Garde"/>
                <w:b/>
                <w:color w:val="000000" w:themeColor="text1"/>
                <w:sz w:val="20"/>
                <w:szCs w:val="20"/>
                <w:lang w:val="es-ES_tradnl"/>
              </w:rPr>
              <w:t xml:space="preserve"> sobre la que se requirió información de costos</w:t>
            </w:r>
          </w:p>
        </w:tc>
        <w:tc>
          <w:tcPr>
            <w:tcW w:w="1730" w:type="pct"/>
            <w:shd w:val="clear" w:color="auto" w:fill="E7E6E6" w:themeFill="background2"/>
          </w:tcPr>
          <w:p w14:paraId="228E17B8" w14:textId="2C6FA96A" w:rsidR="00DE64CD" w:rsidRPr="002007A0" w:rsidRDefault="00DE64CD" w:rsidP="00A4557C">
            <w:pPr>
              <w:pStyle w:val="Tableheading"/>
              <w:spacing w:before="0" w:after="0"/>
              <w:jc w:val="center"/>
              <w:rPr>
                <w:rFonts w:ascii="ITC Avant Garde" w:hAnsi="ITC Avant Garde"/>
                <w:b/>
                <w:color w:val="000000" w:themeColor="text1"/>
                <w:sz w:val="20"/>
                <w:szCs w:val="20"/>
                <w:lang w:val="es-ES_tradnl"/>
              </w:rPr>
            </w:pPr>
            <w:r>
              <w:rPr>
                <w:rFonts w:ascii="ITC Avant Garde" w:hAnsi="ITC Avant Garde"/>
                <w:b/>
                <w:color w:val="000000" w:themeColor="text1"/>
                <w:sz w:val="20"/>
                <w:szCs w:val="20"/>
                <w:lang w:val="es-ES_tradnl"/>
              </w:rPr>
              <w:t>Análisis de</w:t>
            </w:r>
            <w:r w:rsidR="002F02F0">
              <w:rPr>
                <w:rFonts w:ascii="ITC Avant Garde" w:hAnsi="ITC Avant Garde"/>
                <w:b/>
                <w:color w:val="000000" w:themeColor="text1"/>
                <w:sz w:val="20"/>
                <w:szCs w:val="20"/>
                <w:lang w:val="es-ES_tradnl"/>
              </w:rPr>
              <w:t xml:space="preserve"> información aportada por Telmex y Telnor</w:t>
            </w:r>
          </w:p>
        </w:tc>
        <w:tc>
          <w:tcPr>
            <w:tcW w:w="1542" w:type="pct"/>
            <w:shd w:val="clear" w:color="auto" w:fill="E7E6E6" w:themeFill="background2"/>
          </w:tcPr>
          <w:p w14:paraId="4030A810" w14:textId="77777777" w:rsidR="00DE64CD" w:rsidRPr="002007A0" w:rsidRDefault="00DE64CD" w:rsidP="00A4557C">
            <w:pPr>
              <w:pStyle w:val="Tableheading"/>
              <w:spacing w:before="0" w:after="0"/>
              <w:jc w:val="center"/>
              <w:rPr>
                <w:rFonts w:ascii="ITC Avant Garde" w:hAnsi="ITC Avant Garde"/>
                <w:b/>
                <w:color w:val="000000" w:themeColor="text1"/>
                <w:sz w:val="20"/>
                <w:szCs w:val="20"/>
                <w:lang w:val="es-ES_tradnl"/>
              </w:rPr>
            </w:pPr>
            <w:r>
              <w:rPr>
                <w:rFonts w:ascii="ITC Avant Garde" w:hAnsi="ITC Avant Garde"/>
                <w:b/>
                <w:color w:val="000000" w:themeColor="text1"/>
                <w:sz w:val="20"/>
                <w:szCs w:val="20"/>
                <w:lang w:val="es-ES_tradnl"/>
              </w:rPr>
              <w:t>Representación en modelo</w:t>
            </w:r>
          </w:p>
        </w:tc>
      </w:tr>
      <w:tr w:rsidR="00DE64CD" w:rsidRPr="002007A0" w14:paraId="6C890B7F" w14:textId="77777777" w:rsidTr="00A4557C">
        <w:trPr>
          <w:trHeight w:val="298"/>
          <w:jc w:val="center"/>
        </w:trPr>
        <w:tc>
          <w:tcPr>
            <w:tcW w:w="1728" w:type="pct"/>
            <w:vAlign w:val="center"/>
          </w:tcPr>
          <w:p w14:paraId="5E0BFA6A" w14:textId="77777777" w:rsidR="00DE64CD" w:rsidRPr="00B754C0" w:rsidRDefault="00DE64CD" w:rsidP="00A4557C">
            <w:pPr>
              <w:pStyle w:val="Tablecells"/>
              <w:spacing w:before="0" w:after="0"/>
              <w:ind w:right="-18"/>
              <w:jc w:val="center"/>
              <w:rPr>
                <w:rFonts w:ascii="ITC Avant Garde" w:hAnsi="ITC Avant Garde"/>
                <w:szCs w:val="18"/>
                <w:lang w:val="es-ES_tradnl"/>
              </w:rPr>
            </w:pPr>
            <w:r w:rsidRPr="00B754C0">
              <w:rPr>
                <w:rFonts w:ascii="ITC Avant Garde" w:hAnsi="ITC Avant Garde"/>
                <w:szCs w:val="18"/>
                <w:lang w:val="es-ES_tradnl"/>
              </w:rPr>
              <w:t>“Transporte Local”</w:t>
            </w:r>
          </w:p>
        </w:tc>
        <w:tc>
          <w:tcPr>
            <w:tcW w:w="1730" w:type="pct"/>
            <w:vAlign w:val="center"/>
          </w:tcPr>
          <w:p w14:paraId="0C92A474" w14:textId="77777777" w:rsidR="00DE64CD" w:rsidRPr="00B754C0" w:rsidRDefault="00DE64CD" w:rsidP="00A4557C">
            <w:pPr>
              <w:pStyle w:val="Tablecells"/>
              <w:spacing w:before="0" w:after="0"/>
              <w:ind w:right="-18"/>
              <w:jc w:val="both"/>
              <w:rPr>
                <w:rFonts w:ascii="ITC Avant Garde" w:hAnsi="ITC Avant Garde"/>
                <w:szCs w:val="18"/>
                <w:lang w:val="es-ES_tradnl"/>
              </w:rPr>
            </w:pPr>
            <w:r w:rsidRPr="00B754C0">
              <w:rPr>
                <w:rFonts w:ascii="ITC Avant Garde" w:hAnsi="ITC Avant Garde"/>
                <w:szCs w:val="18"/>
                <w:lang w:val="es-ES_tradnl"/>
              </w:rPr>
              <w:t>Reportó niveles de inversión de “Puertos Carrier Ethernet”, “Fuerza y Clima”, “Fibra Óptica” y “Canalización”, para dicho segmento de red.</w:t>
            </w:r>
          </w:p>
        </w:tc>
        <w:tc>
          <w:tcPr>
            <w:tcW w:w="1542" w:type="pct"/>
            <w:vAlign w:val="center"/>
          </w:tcPr>
          <w:p w14:paraId="70BBB7DA" w14:textId="5431BC79" w:rsidR="00DE64CD" w:rsidRPr="00B754C0" w:rsidRDefault="00DE64CD" w:rsidP="00A4557C">
            <w:pPr>
              <w:pStyle w:val="Tablecells"/>
              <w:spacing w:before="0" w:after="0"/>
              <w:jc w:val="both"/>
              <w:rPr>
                <w:rFonts w:ascii="ITC Avant Garde" w:hAnsi="ITC Avant Garde"/>
                <w:szCs w:val="18"/>
                <w:lang w:val="es-ES_tradnl"/>
              </w:rPr>
            </w:pPr>
            <w:r w:rsidRPr="00B754C0">
              <w:rPr>
                <w:rFonts w:ascii="ITC Avant Garde" w:hAnsi="ITC Avant Garde"/>
                <w:szCs w:val="18"/>
                <w:lang w:val="es-ES_tradnl"/>
              </w:rPr>
              <w:t>Atribuido conforme al uso ancha de empleado p</w:t>
            </w:r>
            <w:r w:rsidR="002F02F0">
              <w:rPr>
                <w:rFonts w:ascii="ITC Avant Garde" w:hAnsi="ITC Avant Garde"/>
                <w:szCs w:val="18"/>
                <w:lang w:val="es-ES_tradnl"/>
              </w:rPr>
              <w:t>or del perfil, reportado por Telmex y Telnor</w:t>
            </w:r>
            <w:r w:rsidRPr="00B754C0">
              <w:rPr>
                <w:rFonts w:ascii="ITC Avant Garde" w:hAnsi="ITC Avant Garde"/>
                <w:szCs w:val="18"/>
                <w:lang w:val="es-ES_tradnl"/>
              </w:rPr>
              <w:t xml:space="preserve">. </w:t>
            </w:r>
          </w:p>
        </w:tc>
      </w:tr>
      <w:tr w:rsidR="00DE64CD" w:rsidRPr="002007A0" w14:paraId="1D381665" w14:textId="77777777" w:rsidTr="00A4557C">
        <w:trPr>
          <w:trHeight w:val="288"/>
          <w:jc w:val="center"/>
        </w:trPr>
        <w:tc>
          <w:tcPr>
            <w:tcW w:w="1728" w:type="pct"/>
            <w:shd w:val="clear" w:color="auto" w:fill="F2F2F2" w:themeFill="background1" w:themeFillShade="F2"/>
          </w:tcPr>
          <w:p w14:paraId="608AF727" w14:textId="77777777" w:rsidR="00DE64CD" w:rsidRPr="00B754C0" w:rsidRDefault="00DE64CD" w:rsidP="00A4557C">
            <w:pPr>
              <w:pStyle w:val="Tablecells"/>
              <w:spacing w:before="0" w:after="0"/>
              <w:ind w:right="-18"/>
              <w:jc w:val="both"/>
              <w:rPr>
                <w:rFonts w:ascii="ITC Avant Garde" w:hAnsi="ITC Avant Garde"/>
                <w:szCs w:val="18"/>
                <w:lang w:val="es-ES_tradnl"/>
              </w:rPr>
            </w:pPr>
            <w:r w:rsidRPr="00B754C0">
              <w:rPr>
                <w:rFonts w:ascii="ITC Avant Garde" w:hAnsi="ITC Avant Garde"/>
                <w:szCs w:val="18"/>
                <w:lang w:val="es-ES_tradnl"/>
              </w:rPr>
              <w:t>“Red IP”</w:t>
            </w:r>
          </w:p>
        </w:tc>
        <w:tc>
          <w:tcPr>
            <w:tcW w:w="1730" w:type="pct"/>
            <w:shd w:val="clear" w:color="auto" w:fill="F2F2F2" w:themeFill="background1" w:themeFillShade="F2"/>
            <w:vAlign w:val="center"/>
          </w:tcPr>
          <w:p w14:paraId="4E388249" w14:textId="77777777" w:rsidR="00DE64CD" w:rsidRPr="00B754C0" w:rsidRDefault="00DE64CD" w:rsidP="00A4557C">
            <w:pPr>
              <w:pStyle w:val="Tablecells"/>
              <w:spacing w:before="0" w:after="0"/>
              <w:ind w:right="-18"/>
              <w:jc w:val="both"/>
              <w:rPr>
                <w:rFonts w:ascii="ITC Avant Garde" w:hAnsi="ITC Avant Garde"/>
                <w:szCs w:val="18"/>
                <w:lang w:val="es-ES_tradnl"/>
              </w:rPr>
            </w:pPr>
            <w:r w:rsidRPr="00B754C0">
              <w:rPr>
                <w:rFonts w:ascii="ITC Avant Garde" w:hAnsi="ITC Avant Garde"/>
                <w:szCs w:val="18"/>
                <w:lang w:val="es-ES_tradnl"/>
              </w:rPr>
              <w:t>Reportó niveles de inversión de “Puertos Carrier Ethernet”, “Fuerza y Clima”, “Fibra Óptica” y “Canalización”, para dicho segmento de red.</w:t>
            </w:r>
          </w:p>
        </w:tc>
        <w:tc>
          <w:tcPr>
            <w:tcW w:w="1542" w:type="pct"/>
            <w:shd w:val="clear" w:color="auto" w:fill="F2F2F2" w:themeFill="background1" w:themeFillShade="F2"/>
            <w:vAlign w:val="center"/>
          </w:tcPr>
          <w:p w14:paraId="68EB12AB" w14:textId="3F725F19" w:rsidR="00DE64CD" w:rsidRPr="00B754C0" w:rsidRDefault="00DE64CD" w:rsidP="00A4557C">
            <w:pPr>
              <w:pStyle w:val="Tablecells"/>
              <w:spacing w:before="0" w:after="0"/>
              <w:jc w:val="both"/>
              <w:rPr>
                <w:rFonts w:ascii="ITC Avant Garde" w:hAnsi="ITC Avant Garde"/>
                <w:szCs w:val="18"/>
                <w:lang w:val="es-ES_tradnl"/>
              </w:rPr>
            </w:pPr>
            <w:r w:rsidRPr="00B754C0">
              <w:rPr>
                <w:rFonts w:ascii="ITC Avant Garde" w:hAnsi="ITC Avant Garde"/>
                <w:szCs w:val="18"/>
                <w:lang w:val="es-ES_tradnl"/>
              </w:rPr>
              <w:t>Atribuido conforme al uso ancha de empleado p</w:t>
            </w:r>
            <w:r w:rsidR="002F02F0">
              <w:rPr>
                <w:rFonts w:ascii="ITC Avant Garde" w:hAnsi="ITC Avant Garde"/>
                <w:szCs w:val="18"/>
                <w:lang w:val="es-ES_tradnl"/>
              </w:rPr>
              <w:t>or del perfil, reportado por Telmex y Telnor</w:t>
            </w:r>
            <w:r w:rsidRPr="00B754C0">
              <w:rPr>
                <w:rFonts w:ascii="ITC Avant Garde" w:hAnsi="ITC Avant Garde"/>
                <w:szCs w:val="18"/>
                <w:lang w:val="es-ES_tradnl"/>
              </w:rPr>
              <w:t>.</w:t>
            </w:r>
          </w:p>
        </w:tc>
      </w:tr>
      <w:tr w:rsidR="00DE64CD" w:rsidRPr="002007A0" w14:paraId="6CF6794E" w14:textId="77777777" w:rsidTr="00A4557C">
        <w:trPr>
          <w:trHeight w:val="288"/>
          <w:jc w:val="center"/>
        </w:trPr>
        <w:tc>
          <w:tcPr>
            <w:tcW w:w="1728" w:type="pct"/>
            <w:tcBorders>
              <w:bottom w:val="single" w:sz="4" w:space="0" w:color="999999" w:themeColor="text1" w:themeTint="66"/>
            </w:tcBorders>
          </w:tcPr>
          <w:p w14:paraId="0BBFE63A" w14:textId="77777777" w:rsidR="00DE64CD" w:rsidRPr="00B754C0" w:rsidRDefault="00DE64CD" w:rsidP="00A4557C">
            <w:pPr>
              <w:pStyle w:val="Tablecells"/>
              <w:spacing w:before="0" w:after="0"/>
              <w:ind w:right="-18"/>
              <w:jc w:val="both"/>
              <w:rPr>
                <w:rFonts w:ascii="ITC Avant Garde" w:hAnsi="ITC Avant Garde"/>
                <w:szCs w:val="18"/>
                <w:lang w:val="es-ES_tradnl"/>
              </w:rPr>
            </w:pPr>
            <w:r w:rsidRPr="00B754C0">
              <w:rPr>
                <w:rFonts w:ascii="ITC Avant Garde" w:hAnsi="ITC Avant Garde"/>
                <w:szCs w:val="18"/>
                <w:lang w:val="es-ES_tradnl"/>
              </w:rPr>
              <w:t>“Transporte Red IP”</w:t>
            </w:r>
          </w:p>
        </w:tc>
        <w:tc>
          <w:tcPr>
            <w:tcW w:w="1730" w:type="pct"/>
            <w:tcBorders>
              <w:bottom w:val="single" w:sz="4" w:space="0" w:color="999999" w:themeColor="text1" w:themeTint="66"/>
            </w:tcBorders>
            <w:vAlign w:val="center"/>
          </w:tcPr>
          <w:p w14:paraId="5BF00820" w14:textId="77777777" w:rsidR="00DE64CD" w:rsidRPr="00B754C0" w:rsidRDefault="00DE64CD" w:rsidP="00A4557C">
            <w:pPr>
              <w:pStyle w:val="Tablecells"/>
              <w:spacing w:before="0" w:after="0"/>
              <w:ind w:right="-18"/>
              <w:jc w:val="both"/>
              <w:rPr>
                <w:rFonts w:ascii="ITC Avant Garde" w:hAnsi="ITC Avant Garde"/>
                <w:szCs w:val="18"/>
                <w:lang w:val="es-ES_tradnl"/>
              </w:rPr>
            </w:pPr>
            <w:r w:rsidRPr="00B754C0">
              <w:rPr>
                <w:rFonts w:ascii="ITC Avant Garde" w:hAnsi="ITC Avant Garde"/>
                <w:szCs w:val="18"/>
                <w:lang w:val="es-ES_tradnl"/>
              </w:rPr>
              <w:t>Se aportaron datos de los niveles de inversión en los niveles “Sectorial”, “Regional”, “Backbone” e “Internacional”</w:t>
            </w:r>
          </w:p>
        </w:tc>
        <w:tc>
          <w:tcPr>
            <w:tcW w:w="1542" w:type="pct"/>
            <w:tcBorders>
              <w:bottom w:val="single" w:sz="4" w:space="0" w:color="999999" w:themeColor="text1" w:themeTint="66"/>
            </w:tcBorders>
          </w:tcPr>
          <w:p w14:paraId="2274914A" w14:textId="77777777" w:rsidR="00DE64CD" w:rsidRPr="00B754C0" w:rsidRDefault="00DE64CD" w:rsidP="00A4557C">
            <w:pPr>
              <w:pStyle w:val="Tablecells"/>
              <w:spacing w:before="0" w:after="0"/>
              <w:jc w:val="both"/>
              <w:rPr>
                <w:rFonts w:ascii="ITC Avant Garde" w:hAnsi="ITC Avant Garde"/>
                <w:szCs w:val="18"/>
                <w:lang w:val="es-ES_tradnl"/>
              </w:rPr>
            </w:pPr>
            <w:r w:rsidRPr="00B754C0">
              <w:rPr>
                <w:rFonts w:ascii="ITC Avant Garde" w:hAnsi="ITC Avant Garde"/>
                <w:szCs w:val="18"/>
                <w:lang w:val="es-ES_tradnl"/>
              </w:rPr>
              <w:t>Representado como el promedio de la inversión respecto al número de clientes de Internet, independiente de la velocidad del perfil.</w:t>
            </w:r>
          </w:p>
        </w:tc>
      </w:tr>
      <w:tr w:rsidR="00DE64CD" w:rsidRPr="002007A0" w14:paraId="2567A467" w14:textId="77777777" w:rsidTr="00A4557C">
        <w:trPr>
          <w:trHeight w:val="288"/>
          <w:jc w:val="center"/>
        </w:trPr>
        <w:tc>
          <w:tcPr>
            <w:tcW w:w="1728" w:type="pct"/>
            <w:tcBorders>
              <w:bottom w:val="single" w:sz="4" w:space="0" w:color="auto"/>
            </w:tcBorders>
            <w:shd w:val="clear" w:color="auto" w:fill="F2F2F2" w:themeFill="background1" w:themeFillShade="F2"/>
          </w:tcPr>
          <w:p w14:paraId="469892BB" w14:textId="77777777" w:rsidR="00DE64CD" w:rsidRPr="00B754C0" w:rsidRDefault="00DE64CD" w:rsidP="00A4557C">
            <w:pPr>
              <w:pStyle w:val="Tablecells"/>
              <w:spacing w:before="0" w:after="0"/>
              <w:ind w:right="-18"/>
              <w:jc w:val="both"/>
              <w:rPr>
                <w:rFonts w:ascii="ITC Avant Garde" w:hAnsi="ITC Avant Garde"/>
                <w:szCs w:val="18"/>
                <w:lang w:val="es-ES_tradnl"/>
              </w:rPr>
            </w:pPr>
            <w:r w:rsidRPr="00B754C0">
              <w:rPr>
                <w:rFonts w:ascii="ITC Avant Garde" w:hAnsi="ITC Avant Garde"/>
                <w:szCs w:val="18"/>
                <w:lang w:val="es-ES_tradnl"/>
              </w:rPr>
              <w:t>“Transporte Internet Global”</w:t>
            </w:r>
          </w:p>
        </w:tc>
        <w:tc>
          <w:tcPr>
            <w:tcW w:w="1730" w:type="pct"/>
            <w:tcBorders>
              <w:bottom w:val="single" w:sz="4" w:space="0" w:color="auto"/>
            </w:tcBorders>
            <w:shd w:val="clear" w:color="auto" w:fill="F2F2F2" w:themeFill="background1" w:themeFillShade="F2"/>
            <w:vAlign w:val="center"/>
          </w:tcPr>
          <w:p w14:paraId="6641F143" w14:textId="3830D14E" w:rsidR="00DE64CD" w:rsidRPr="00B754C0" w:rsidRDefault="00DE64CD" w:rsidP="00A4557C">
            <w:pPr>
              <w:pStyle w:val="Tablecells"/>
              <w:spacing w:before="0" w:after="0"/>
              <w:ind w:right="-18"/>
              <w:jc w:val="both"/>
              <w:rPr>
                <w:rFonts w:ascii="ITC Avant Garde" w:hAnsi="ITC Avant Garde"/>
                <w:szCs w:val="18"/>
                <w:lang w:val="es-ES_tradnl"/>
              </w:rPr>
            </w:pPr>
            <w:r w:rsidRPr="00B754C0">
              <w:rPr>
                <w:rFonts w:ascii="ITC Avant Garde" w:hAnsi="ITC Avant Garde"/>
                <w:szCs w:val="18"/>
                <w:lang w:val="es-ES_tradnl"/>
              </w:rPr>
              <w:t xml:space="preserve">Se reportó valor de inversión total por consumo de ancho </w:t>
            </w:r>
            <w:r w:rsidR="002F02F0">
              <w:rPr>
                <w:rFonts w:ascii="ITC Avant Garde" w:hAnsi="ITC Avant Garde"/>
                <w:szCs w:val="18"/>
                <w:lang w:val="es-ES_tradnl"/>
              </w:rPr>
              <w:t>de banda de los usuarios de Telmex y Telnor</w:t>
            </w:r>
            <w:r w:rsidRPr="00B754C0">
              <w:rPr>
                <w:rFonts w:ascii="ITC Avant Garde" w:hAnsi="ITC Avant Garde"/>
                <w:szCs w:val="18"/>
                <w:lang w:val="es-ES_tradnl"/>
              </w:rPr>
              <w:t xml:space="preserve"> hasta el “</w:t>
            </w:r>
            <w:r w:rsidRPr="00B754C0">
              <w:rPr>
                <w:rFonts w:ascii="ITC Avant Garde" w:hAnsi="ITC Avant Garde"/>
                <w:i/>
                <w:szCs w:val="18"/>
                <w:lang w:val="es-ES_tradnl"/>
              </w:rPr>
              <w:t>Network Access Point</w:t>
            </w:r>
            <w:r w:rsidRPr="00B754C0">
              <w:rPr>
                <w:rFonts w:ascii="ITC Avant Garde" w:hAnsi="ITC Avant Garde"/>
                <w:szCs w:val="18"/>
                <w:lang w:val="es-ES_tradnl"/>
              </w:rPr>
              <w:t>” (NAP, por sus siglas en inglés).</w:t>
            </w:r>
          </w:p>
        </w:tc>
        <w:tc>
          <w:tcPr>
            <w:tcW w:w="1542" w:type="pct"/>
            <w:tcBorders>
              <w:bottom w:val="single" w:sz="4" w:space="0" w:color="auto"/>
            </w:tcBorders>
            <w:shd w:val="clear" w:color="auto" w:fill="F2F2F2" w:themeFill="background1" w:themeFillShade="F2"/>
          </w:tcPr>
          <w:p w14:paraId="0AD195AC" w14:textId="77777777" w:rsidR="00DE64CD" w:rsidRPr="00B754C0" w:rsidRDefault="00DE64CD" w:rsidP="00A4557C">
            <w:pPr>
              <w:pStyle w:val="Tablecells"/>
              <w:spacing w:before="0" w:after="0"/>
              <w:ind w:right="-18"/>
              <w:jc w:val="both"/>
              <w:rPr>
                <w:rFonts w:ascii="ITC Avant Garde" w:hAnsi="ITC Avant Garde"/>
                <w:szCs w:val="18"/>
                <w:lang w:val="es-ES_tradnl"/>
              </w:rPr>
            </w:pPr>
            <w:r w:rsidRPr="00B754C0">
              <w:rPr>
                <w:rFonts w:ascii="ITC Avant Garde" w:hAnsi="ITC Avant Garde"/>
                <w:szCs w:val="18"/>
                <w:lang w:val="es-ES_tradnl"/>
              </w:rPr>
              <w:t>Representado como el promedio de la inversión respecto al número de clientes activos de Internet, independiente de la velocidad del perfil.</w:t>
            </w:r>
          </w:p>
        </w:tc>
      </w:tr>
    </w:tbl>
    <w:p w14:paraId="141AD0BF" w14:textId="77777777" w:rsidR="00DE64CD" w:rsidRDefault="00DE64CD" w:rsidP="00DE64CD">
      <w:pPr>
        <w:pStyle w:val="IFTnormal"/>
      </w:pPr>
    </w:p>
    <w:p w14:paraId="63C6F43E" w14:textId="0065C268" w:rsidR="00DE64CD" w:rsidRDefault="00DE64CD" w:rsidP="00DE64CD">
      <w:pPr>
        <w:pStyle w:val="IFTnormal"/>
      </w:pPr>
      <w:r w:rsidRPr="00ED1E52">
        <w:t xml:space="preserve">Los valores anteriores </w:t>
      </w:r>
      <w:r>
        <w:t xml:space="preserve">(a excepción del dato empleado para representar a nivel promedio los costos </w:t>
      </w:r>
      <w:r>
        <w:rPr>
          <w:szCs w:val="18"/>
        </w:rPr>
        <w:t>“</w:t>
      </w:r>
      <w:r w:rsidRPr="005B5118">
        <w:rPr>
          <w:szCs w:val="18"/>
        </w:rPr>
        <w:t>Transporte Internet Global</w:t>
      </w:r>
      <w:r>
        <w:rPr>
          <w:szCs w:val="18"/>
        </w:rPr>
        <w:t>”</w:t>
      </w:r>
      <w:r>
        <w:t xml:space="preserve">) </w:t>
      </w:r>
      <w:r w:rsidRPr="00ED1E52">
        <w:t>se escalan, con los dat</w:t>
      </w:r>
      <w:r w:rsidR="002F02F0">
        <w:t>os del uso de ancho de banda de Telmex y Telnor</w:t>
      </w:r>
      <w:r w:rsidRPr="00ED1E52">
        <w:t xml:space="preserve"> para todos los perfiles considerados para el SAIB. Dicha estimación se basa en el supuesto de que los costos asociados al uso de estos segmentos de la red </w:t>
      </w:r>
      <w:r w:rsidR="000B539C">
        <w:t>de Telmex y Telnor</w:t>
      </w:r>
      <w:r w:rsidRPr="00ED1E52">
        <w:t xml:space="preserve"> son proporcionales al uso de ancho de banda de cada perfil.</w:t>
      </w:r>
    </w:p>
    <w:p w14:paraId="71463E13" w14:textId="0788A8C9" w:rsidR="0040010D" w:rsidRDefault="00D83278" w:rsidP="00DE64CD">
      <w:pPr>
        <w:pStyle w:val="IFTnormal"/>
      </w:pPr>
      <w:r>
        <w:t>Con respecto a</w:t>
      </w:r>
      <w:r w:rsidR="000B539C">
        <w:t>l uso de ancho de banda</w:t>
      </w:r>
      <w:r>
        <w:t xml:space="preserve">, se utiliza el </w:t>
      </w:r>
      <w:r w:rsidR="00041BAA">
        <w:t xml:space="preserve">siguiente procedimiento: </w:t>
      </w:r>
      <w:r w:rsidR="0040010D">
        <w:t xml:space="preserve"> </w:t>
      </w:r>
    </w:p>
    <w:p w14:paraId="16DC29EE" w14:textId="7C76E58D" w:rsidR="0040010D" w:rsidRDefault="00041BAA" w:rsidP="00ED6A3C">
      <w:pPr>
        <w:pStyle w:val="IFTnormal"/>
        <w:numPr>
          <w:ilvl w:val="0"/>
          <w:numId w:val="49"/>
        </w:numPr>
      </w:pPr>
      <w:r>
        <w:t>El uso de ancho de banda es actualizado</w:t>
      </w:r>
      <w:r w:rsidR="0040010D" w:rsidRPr="00971FD6">
        <w:t xml:space="preserve"> con base en los máximos históricos reportados por </w:t>
      </w:r>
      <w:r w:rsidR="00B93087">
        <w:t>Telmex y Telnor</w:t>
      </w:r>
      <w:r w:rsidR="00EB2259">
        <w:t xml:space="preserve"> </w:t>
      </w:r>
      <w:r w:rsidR="000B539C">
        <w:t>al Instituto</w:t>
      </w:r>
      <w:r w:rsidR="009373A7">
        <w:t xml:space="preserve"> para los perfiles de velocidad ofrecidos por Telmex y Telnor en sus planes. </w:t>
      </w:r>
    </w:p>
    <w:p w14:paraId="07D0C4ED" w14:textId="1B0B04EA" w:rsidR="0040010D" w:rsidRDefault="00EB2259" w:rsidP="00ED6A3C">
      <w:pPr>
        <w:pStyle w:val="IFTnormal"/>
        <w:numPr>
          <w:ilvl w:val="0"/>
          <w:numId w:val="49"/>
        </w:numPr>
      </w:pPr>
      <w:r>
        <w:t xml:space="preserve">Los valores obtenidos en </w:t>
      </w:r>
      <w:r>
        <w:rPr>
          <w:b/>
        </w:rPr>
        <w:t>1.,</w:t>
      </w:r>
      <w:r>
        <w:t xml:space="preserve"> se ajustan mediante una función potencial</w:t>
      </w:r>
      <w:r>
        <w:rPr>
          <w:rStyle w:val="Refdenotaalpie"/>
        </w:rPr>
        <w:footnoteReference w:id="27"/>
      </w:r>
      <w:r>
        <w:t xml:space="preserve">, cuyo resultado es una curva que modela, a nivel promedio, el uso de ancho de banda por cada perfil </w:t>
      </w:r>
      <w:r w:rsidR="00486A62">
        <w:t xml:space="preserve">asimétrico </w:t>
      </w:r>
      <w:r>
        <w:t>de</w:t>
      </w:r>
      <w:r w:rsidR="00B93087">
        <w:t xml:space="preserve"> Telmex y Telnor</w:t>
      </w:r>
      <w:r>
        <w:t>.</w:t>
      </w:r>
      <w:r w:rsidR="0040010D">
        <w:t xml:space="preserve"> </w:t>
      </w:r>
    </w:p>
    <w:p w14:paraId="795A2A3D" w14:textId="4E5181B8" w:rsidR="004346E2" w:rsidRPr="00ED1E52" w:rsidRDefault="00041BAA" w:rsidP="00041BAA">
      <w:pPr>
        <w:pStyle w:val="IFTnormal"/>
      </w:pPr>
      <w:r>
        <w:t xml:space="preserve">Adicionalmente, para </w:t>
      </w:r>
      <w:r w:rsidR="004346E2">
        <w:t>los perfiles simétrico</w:t>
      </w:r>
      <w:r w:rsidR="00B452B0">
        <w:t>s</w:t>
      </w:r>
      <w:r w:rsidR="00486A62">
        <w:t xml:space="preserve"> se incrementa el uso de ancho de banda obtenido en 2. por </w:t>
      </w:r>
      <w:r w:rsidR="00531266">
        <w:t>un</w:t>
      </w:r>
      <w:r w:rsidR="00486A62">
        <w:t xml:space="preserve"> factor de simetría</w:t>
      </w:r>
      <w:r w:rsidR="00531266">
        <w:t>, el cual</w:t>
      </w:r>
      <w:r w:rsidR="00486A62">
        <w:t xml:space="preserve"> se define por </w:t>
      </w:r>
      <w:r w:rsidR="00486A62" w:rsidRPr="00C44D47">
        <w:t>la</w:t>
      </w:r>
      <w:r w:rsidR="00E56E20">
        <w:t xml:space="preserve"> proporción del ancho de banda de subida necesario para hacer simétrico el perfil</w:t>
      </w:r>
      <w:r>
        <w:rPr>
          <w:rStyle w:val="Refdenotaalpie"/>
        </w:rPr>
        <w:footnoteReference w:id="28"/>
      </w:r>
      <w:r w:rsidR="00E56E20">
        <w:t xml:space="preserve">. Para este cálculo se emplea la velocidad de bajada real </w:t>
      </w:r>
      <w:r w:rsidR="00695F74">
        <w:t>recibida por los usuarios finales en lugar de la velocidad contratada</w:t>
      </w:r>
      <w:r w:rsidR="00D83278">
        <w:t xml:space="preserve"> a partir de información con que cuenta el Instituto</w:t>
      </w:r>
      <w:r w:rsidR="00695F74">
        <w:t xml:space="preserve">. </w:t>
      </w:r>
      <w:r w:rsidR="004346E2">
        <w:t xml:space="preserve">  </w:t>
      </w:r>
    </w:p>
    <w:p w14:paraId="7C1B0770" w14:textId="2D33D402" w:rsidR="00F874FF" w:rsidRDefault="00DE64CD" w:rsidP="00DE64CD">
      <w:pPr>
        <w:pStyle w:val="IFTnormal"/>
      </w:pPr>
      <w:r>
        <w:t xml:space="preserve">El proceso anteriormente descrito se emplea en el modelo para estimar, perfil a perfil, cuáles serían, a nivel </w:t>
      </w:r>
      <w:r w:rsidRPr="00644B3C">
        <w:rPr>
          <w:lang w:val="es-MX"/>
        </w:rPr>
        <w:t>promedio, los costos evitados correspondientes a un SAIB, dependiendo del nivel de</w:t>
      </w:r>
      <w:r>
        <w:t xml:space="preserve"> entrega del SCyD.</w:t>
      </w:r>
    </w:p>
    <w:p w14:paraId="062CCC08" w14:textId="77777777" w:rsidR="00DE64CD" w:rsidRDefault="00DE64CD" w:rsidP="00DE64CD">
      <w:pPr>
        <w:pStyle w:val="IFTnormal"/>
      </w:pPr>
    </w:p>
    <w:p w14:paraId="7F9C00F4" w14:textId="77777777" w:rsidR="00DE64CD" w:rsidRDefault="00DE64CD" w:rsidP="00DE64CD">
      <w:pPr>
        <w:pStyle w:val="PuntosC4"/>
        <w:numPr>
          <w:ilvl w:val="3"/>
          <w:numId w:val="40"/>
        </w:numPr>
        <w:ind w:left="993" w:hanging="993"/>
        <w:outlineLvl w:val="2"/>
      </w:pPr>
      <w:bookmarkStart w:id="60" w:name="_Ref51594608"/>
      <w:bookmarkStart w:id="61" w:name="_Toc51700019"/>
      <w:bookmarkStart w:id="62" w:name="_Toc52188509"/>
      <w:r>
        <w:t>Otras consideraciones metodológicas</w:t>
      </w:r>
      <w:bookmarkEnd w:id="60"/>
      <w:bookmarkEnd w:id="61"/>
      <w:bookmarkEnd w:id="62"/>
      <w:r>
        <w:t xml:space="preserve"> </w:t>
      </w:r>
    </w:p>
    <w:p w14:paraId="1EDD9DBC" w14:textId="77777777" w:rsidR="00DE64CD" w:rsidRDefault="00DE64CD" w:rsidP="00DE64CD">
      <w:pPr>
        <w:pStyle w:val="Niv2C4"/>
        <w:ind w:left="0" w:firstLine="0"/>
      </w:pPr>
      <w:bookmarkStart w:id="63" w:name="_Ref530492505"/>
      <w:r>
        <w:t xml:space="preserve">Diferenciación </w:t>
      </w:r>
      <w:r w:rsidRPr="006060E3">
        <w:t xml:space="preserve">del costo de las calidades </w:t>
      </w:r>
      <w:r w:rsidRPr="007450B5">
        <w:rPr>
          <w:i/>
        </w:rPr>
        <w:t xml:space="preserve">Best </w:t>
      </w:r>
      <w:r>
        <w:rPr>
          <w:i/>
        </w:rPr>
        <w:t>e</w:t>
      </w:r>
      <w:r w:rsidRPr="007450B5">
        <w:rPr>
          <w:i/>
        </w:rPr>
        <w:t>ffort</w:t>
      </w:r>
      <w:r w:rsidRPr="006060E3">
        <w:t xml:space="preserve"> y </w:t>
      </w:r>
      <w:r w:rsidRPr="007450B5">
        <w:rPr>
          <w:i/>
        </w:rPr>
        <w:t>VoIP</w:t>
      </w:r>
      <w:r w:rsidRPr="006060E3">
        <w:t xml:space="preserve"> para el SAIB</w:t>
      </w:r>
      <w:bookmarkEnd w:id="63"/>
    </w:p>
    <w:p w14:paraId="36F8E9F9" w14:textId="77777777" w:rsidR="00DE64CD" w:rsidRDefault="00DE64CD" w:rsidP="00DE64CD">
      <w:pPr>
        <w:pStyle w:val="IFTnormal"/>
        <w:rPr>
          <w:lang w:val="es-MX"/>
        </w:rPr>
      </w:pPr>
      <w:r w:rsidRPr="00962EB0">
        <w:rPr>
          <w:lang w:val="es-MX"/>
        </w:rPr>
        <w:t>En el modelo se incorporan una serie de referencias internacionales</w:t>
      </w:r>
      <w:r>
        <w:rPr>
          <w:lang w:val="es-MX"/>
        </w:rPr>
        <w:t xml:space="preserve">, basadas en países </w:t>
      </w:r>
      <w:r>
        <w:t xml:space="preserve">en donde se ha impuesto a los operadores históricos obligaciones de proveer servicios mayoristas de tipo </w:t>
      </w:r>
      <w:r w:rsidRPr="00A538C3">
        <w:rPr>
          <w:i/>
        </w:rPr>
        <w:t>Wholesale Line Rental</w:t>
      </w:r>
      <w:r>
        <w:rPr>
          <w:i/>
        </w:rPr>
        <w:t xml:space="preserve">, </w:t>
      </w:r>
      <w:r>
        <w:t xml:space="preserve">las cuales corresponden a factores de sobrecostos para representar el costo al que equivaldría un servicio con calidad </w:t>
      </w:r>
      <w:r w:rsidRPr="0014532D">
        <w:rPr>
          <w:i/>
        </w:rPr>
        <w:t>Real time</w:t>
      </w:r>
      <w:r w:rsidRPr="0014532D">
        <w:t xml:space="preserve"> a partir de</w:t>
      </w:r>
      <w:r>
        <w:t xml:space="preserve"> un servicio</w:t>
      </w:r>
      <w:r w:rsidRPr="0014532D">
        <w:t xml:space="preserve"> </w:t>
      </w:r>
      <w:r w:rsidRPr="0014532D">
        <w:rPr>
          <w:i/>
        </w:rPr>
        <w:t>Best effort</w:t>
      </w:r>
      <w:r>
        <w:t xml:space="preserve"> </w:t>
      </w:r>
      <w:r w:rsidRPr="00962EB0">
        <w:rPr>
          <w:rStyle w:val="Refdenotaalpie"/>
          <w:color w:val="auto"/>
          <w:lang w:val="es-MX"/>
        </w:rPr>
        <w:footnoteReference w:id="29"/>
      </w:r>
      <w:r>
        <w:t xml:space="preserve">. </w:t>
      </w:r>
    </w:p>
    <w:p w14:paraId="0634C389" w14:textId="77777777" w:rsidR="00DE64CD" w:rsidRPr="00962EB0" w:rsidRDefault="00DE64CD" w:rsidP="00DE64CD">
      <w:pPr>
        <w:pStyle w:val="IFTnormal"/>
        <w:rPr>
          <w:lang w:val="es-MX"/>
        </w:rPr>
      </w:pPr>
      <w:r>
        <w:rPr>
          <w:lang w:val="es-MX"/>
        </w:rPr>
        <w:t>En este sentido en el modelo los valores anteriores se incorporan</w:t>
      </w:r>
      <w:r w:rsidRPr="00962EB0">
        <w:rPr>
          <w:lang w:val="es-MX"/>
        </w:rPr>
        <w:t xml:space="preserve"> para re</w:t>
      </w:r>
      <w:r>
        <w:rPr>
          <w:lang w:val="es-MX"/>
        </w:rPr>
        <w:t>presentar</w:t>
      </w:r>
      <w:r w:rsidRPr="00962EB0">
        <w:rPr>
          <w:lang w:val="es-MX"/>
        </w:rPr>
        <w:t xml:space="preserve"> la diferenciación de costo para calidades del SAIB (</w:t>
      </w:r>
      <w:r w:rsidRPr="0017326E">
        <w:rPr>
          <w:i/>
          <w:lang w:val="es-MX"/>
        </w:rPr>
        <w:t>Best effort</w:t>
      </w:r>
      <w:r w:rsidRPr="00962EB0">
        <w:rPr>
          <w:lang w:val="es-MX"/>
        </w:rPr>
        <w:t xml:space="preserve"> y </w:t>
      </w:r>
      <w:r w:rsidRPr="0017326E">
        <w:rPr>
          <w:i/>
          <w:lang w:val="es-MX"/>
        </w:rPr>
        <w:t>VoIP</w:t>
      </w:r>
      <w:r w:rsidRPr="00962EB0">
        <w:rPr>
          <w:lang w:val="es-MX"/>
        </w:rPr>
        <w:t>), considerando factores que permiten escalar</w:t>
      </w:r>
      <w:r>
        <w:rPr>
          <w:lang w:val="es-MX"/>
        </w:rPr>
        <w:t xml:space="preserve"> </w:t>
      </w:r>
      <w:r w:rsidRPr="00962EB0">
        <w:rPr>
          <w:lang w:val="es-MX"/>
        </w:rPr>
        <w:t>el cobro de dicho servicio de acuerdo a</w:t>
      </w:r>
      <w:r>
        <w:rPr>
          <w:lang w:val="es-MX"/>
        </w:rPr>
        <w:t xml:space="preserve"> la diferencia entre las calidades </w:t>
      </w:r>
      <w:r w:rsidRPr="00AB160B">
        <w:rPr>
          <w:i/>
          <w:lang w:val="es-MX"/>
        </w:rPr>
        <w:t>Best effort</w:t>
      </w:r>
      <w:r>
        <w:rPr>
          <w:lang w:val="es-MX"/>
        </w:rPr>
        <w:t xml:space="preserve"> y </w:t>
      </w:r>
      <w:r w:rsidRPr="00AB160B">
        <w:rPr>
          <w:i/>
          <w:lang w:val="es-MX"/>
        </w:rPr>
        <w:t>VoIP</w:t>
      </w:r>
      <w:r w:rsidRPr="00962EB0">
        <w:rPr>
          <w:lang w:val="es-MX"/>
        </w:rPr>
        <w:t xml:space="preserve"> en términos de costos</w:t>
      </w:r>
      <w:r>
        <w:rPr>
          <w:lang w:val="es-MX"/>
        </w:rPr>
        <w:t>, las cuales se muestran en la siguiente tabla:</w:t>
      </w:r>
    </w:p>
    <w:tbl>
      <w:tblPr>
        <w:tblStyle w:val="Tabladecuadrcula1clara"/>
        <w:tblW w:w="0" w:type="auto"/>
        <w:jc w:val="center"/>
        <w:tblLook w:val="0420" w:firstRow="1" w:lastRow="0" w:firstColumn="0" w:lastColumn="0" w:noHBand="0" w:noVBand="1"/>
        <w:tblCaption w:val="Figura 3: Estrutura del modelo de costos de coubicación móvil (Fuente: IFT, 2015)"/>
        <w:tblDescription w:val="Se divida en hoja de cálculo y descripción"/>
      </w:tblPr>
      <w:tblGrid>
        <w:gridCol w:w="4015"/>
        <w:gridCol w:w="2696"/>
      </w:tblGrid>
      <w:tr w:rsidR="00DE64CD" w:rsidRPr="00C1472F" w14:paraId="36DB7AB6" w14:textId="77777777" w:rsidTr="00A4557C">
        <w:trPr>
          <w:cnfStyle w:val="100000000000" w:firstRow="1" w:lastRow="0" w:firstColumn="0" w:lastColumn="0" w:oddVBand="0" w:evenVBand="0" w:oddHBand="0" w:evenHBand="0" w:firstRowFirstColumn="0" w:firstRowLastColumn="0" w:lastRowFirstColumn="0" w:lastRowLastColumn="0"/>
          <w:trHeight w:val="289"/>
          <w:jc w:val="center"/>
        </w:trPr>
        <w:tc>
          <w:tcPr>
            <w:tcW w:w="0" w:type="auto"/>
            <w:gridSpan w:val="2"/>
            <w:shd w:val="clear" w:color="auto" w:fill="E7E6E6" w:themeFill="background2"/>
          </w:tcPr>
          <w:p w14:paraId="313E1C96" w14:textId="77777777" w:rsidR="00DE64CD" w:rsidRPr="00480AE5" w:rsidRDefault="00DE64CD" w:rsidP="00A4557C">
            <w:pPr>
              <w:pStyle w:val="Tableheading"/>
              <w:spacing w:before="0" w:after="0"/>
              <w:jc w:val="both"/>
              <w:rPr>
                <w:rFonts w:ascii="ITC Avant Garde" w:hAnsi="ITC Avant Garde"/>
                <w:b/>
                <w:color w:val="000000" w:themeColor="text1"/>
                <w:szCs w:val="18"/>
                <w:lang w:val="es-ES_tradnl"/>
              </w:rPr>
            </w:pPr>
            <w:r w:rsidRPr="00480AE5">
              <w:rPr>
                <w:rFonts w:ascii="ITC Avant Garde" w:hAnsi="ITC Avant Garde"/>
                <w:b/>
                <w:color w:val="000000" w:themeColor="text1"/>
                <w:szCs w:val="18"/>
                <w:lang w:val="es-ES_tradnl"/>
              </w:rPr>
              <w:t xml:space="preserve">Factores </w:t>
            </w:r>
            <w:r>
              <w:rPr>
                <w:rFonts w:ascii="ITC Avant Garde" w:hAnsi="ITC Avant Garde"/>
                <w:b/>
                <w:color w:val="000000" w:themeColor="text1"/>
                <w:szCs w:val="18"/>
                <w:lang w:val="es-ES_tradnl"/>
              </w:rPr>
              <w:t xml:space="preserve">de </w:t>
            </w:r>
            <w:r w:rsidRPr="00480AE5">
              <w:rPr>
                <w:rFonts w:ascii="ITC Avant Garde" w:hAnsi="ITC Avant Garde"/>
                <w:b/>
                <w:color w:val="000000" w:themeColor="text1"/>
                <w:szCs w:val="18"/>
                <w:lang w:val="es-ES_tradnl"/>
              </w:rPr>
              <w:t xml:space="preserve">ajuste de costo para calidad </w:t>
            </w:r>
            <w:r w:rsidRPr="009B044D">
              <w:rPr>
                <w:rFonts w:ascii="ITC Avant Garde" w:hAnsi="ITC Avant Garde"/>
                <w:b/>
                <w:i/>
                <w:color w:val="000000" w:themeColor="text1"/>
                <w:szCs w:val="18"/>
                <w:lang w:val="es-ES_tradnl"/>
              </w:rPr>
              <w:t>Real time</w:t>
            </w:r>
            <w:r w:rsidRPr="00480AE5">
              <w:rPr>
                <w:rFonts w:ascii="ITC Avant Garde" w:hAnsi="ITC Avant Garde"/>
                <w:b/>
                <w:color w:val="000000" w:themeColor="text1"/>
                <w:szCs w:val="18"/>
                <w:lang w:val="es-ES_tradnl"/>
              </w:rPr>
              <w:t xml:space="preserve"> a partir de </w:t>
            </w:r>
            <w:r w:rsidRPr="004D4414">
              <w:rPr>
                <w:rFonts w:ascii="ITC Avant Garde" w:hAnsi="ITC Avant Garde"/>
                <w:b/>
                <w:i/>
                <w:color w:val="000000" w:themeColor="text1"/>
                <w:szCs w:val="18"/>
                <w:lang w:val="es-ES_tradnl"/>
              </w:rPr>
              <w:t>Best effort</w:t>
            </w:r>
          </w:p>
        </w:tc>
      </w:tr>
      <w:tr w:rsidR="00DE64CD" w:rsidRPr="00C1472F" w14:paraId="2F6CA60E" w14:textId="77777777" w:rsidTr="00A4557C">
        <w:trPr>
          <w:trHeight w:val="289"/>
          <w:jc w:val="center"/>
        </w:trPr>
        <w:tc>
          <w:tcPr>
            <w:tcW w:w="0" w:type="auto"/>
            <w:shd w:val="clear" w:color="auto" w:fill="E7E6E6" w:themeFill="background2"/>
          </w:tcPr>
          <w:p w14:paraId="1CFF7841" w14:textId="77777777" w:rsidR="00DE64CD" w:rsidRPr="002B4C67" w:rsidRDefault="00DE64CD" w:rsidP="00A4557C">
            <w:pPr>
              <w:pStyle w:val="Tableheading"/>
              <w:spacing w:before="0" w:after="0"/>
              <w:jc w:val="center"/>
              <w:rPr>
                <w:rFonts w:ascii="ITC Avant Garde" w:hAnsi="ITC Avant Garde"/>
                <w:color w:val="000000" w:themeColor="text1"/>
                <w:szCs w:val="18"/>
                <w:lang w:val="es-ES_tradnl"/>
              </w:rPr>
            </w:pPr>
            <w:r w:rsidRPr="002B4C67">
              <w:rPr>
                <w:rFonts w:ascii="ITC Avant Garde" w:hAnsi="ITC Avant Garde"/>
                <w:color w:val="000000" w:themeColor="text1"/>
                <w:szCs w:val="18"/>
                <w:lang w:val="es-ES_tradnl"/>
              </w:rPr>
              <w:t>Países</w:t>
            </w:r>
          </w:p>
        </w:tc>
        <w:tc>
          <w:tcPr>
            <w:tcW w:w="0" w:type="auto"/>
            <w:shd w:val="clear" w:color="auto" w:fill="E7E6E6" w:themeFill="background2"/>
          </w:tcPr>
          <w:p w14:paraId="0FB50AD1" w14:textId="77777777" w:rsidR="00DE64CD" w:rsidRPr="002B4C67" w:rsidRDefault="00DE64CD" w:rsidP="00A4557C">
            <w:pPr>
              <w:pStyle w:val="Tableheading"/>
              <w:spacing w:before="0" w:after="0"/>
              <w:jc w:val="center"/>
              <w:rPr>
                <w:rFonts w:ascii="ITC Avant Garde" w:hAnsi="ITC Avant Garde"/>
                <w:color w:val="000000" w:themeColor="text1"/>
                <w:szCs w:val="18"/>
                <w:lang w:val="es-ES_tradnl"/>
              </w:rPr>
            </w:pPr>
            <w:r w:rsidRPr="002B4C67">
              <w:rPr>
                <w:rFonts w:ascii="ITC Avant Garde" w:hAnsi="ITC Avant Garde"/>
                <w:color w:val="000000" w:themeColor="text1"/>
                <w:szCs w:val="18"/>
                <w:lang w:val="es-ES_tradnl"/>
              </w:rPr>
              <w:t>Valor</w:t>
            </w:r>
          </w:p>
        </w:tc>
      </w:tr>
      <w:tr w:rsidR="00DE64CD" w:rsidRPr="00C1472F" w14:paraId="389C550A" w14:textId="77777777" w:rsidTr="00A4557C">
        <w:trPr>
          <w:trHeight w:val="287"/>
          <w:jc w:val="center"/>
        </w:trPr>
        <w:tc>
          <w:tcPr>
            <w:tcW w:w="0" w:type="auto"/>
          </w:tcPr>
          <w:p w14:paraId="762B2E6A" w14:textId="77777777" w:rsidR="00DE64CD" w:rsidRPr="0017326E" w:rsidRDefault="00DE64CD" w:rsidP="00A4557C">
            <w:pPr>
              <w:pStyle w:val="Tablecells"/>
              <w:spacing w:before="0" w:after="0"/>
              <w:jc w:val="both"/>
              <w:rPr>
                <w:rFonts w:ascii="ITC Avant Garde" w:hAnsi="ITC Avant Garde"/>
                <w:b/>
                <w:szCs w:val="18"/>
                <w:lang w:val="es-ES_tradnl"/>
              </w:rPr>
            </w:pPr>
            <w:r w:rsidRPr="0017326E">
              <w:rPr>
                <w:rFonts w:ascii="ITC Avant Garde" w:hAnsi="ITC Avant Garde"/>
              </w:rPr>
              <w:t>Francia</w:t>
            </w:r>
          </w:p>
        </w:tc>
        <w:tc>
          <w:tcPr>
            <w:tcW w:w="0" w:type="auto"/>
            <w:vAlign w:val="center"/>
          </w:tcPr>
          <w:p w14:paraId="71A095B6" w14:textId="77777777" w:rsidR="00DE64CD" w:rsidRPr="00480AE5" w:rsidRDefault="00DE64CD" w:rsidP="00A4557C">
            <w:pPr>
              <w:pStyle w:val="Tablecells"/>
              <w:spacing w:before="0" w:after="0"/>
              <w:jc w:val="center"/>
              <w:rPr>
                <w:rFonts w:ascii="ITC Avant Garde" w:hAnsi="ITC Avant Garde"/>
                <w:szCs w:val="18"/>
                <w:lang w:val="es-ES_tradnl"/>
              </w:rPr>
            </w:pPr>
            <w:r w:rsidRPr="00480AE5">
              <w:rPr>
                <w:rFonts w:ascii="ITC Avant Garde" w:eastAsia="Times New Roman" w:hAnsi="ITC Avant Garde" w:cs="Arial"/>
                <w:sz w:val="16"/>
                <w:szCs w:val="18"/>
                <w:lang w:eastAsia="es-MX"/>
              </w:rPr>
              <w:t>1.00</w:t>
            </w:r>
          </w:p>
        </w:tc>
      </w:tr>
      <w:tr w:rsidR="00DE64CD" w:rsidRPr="00C1472F" w14:paraId="6C13489D" w14:textId="77777777" w:rsidTr="00A4557C">
        <w:trPr>
          <w:trHeight w:val="278"/>
          <w:jc w:val="center"/>
        </w:trPr>
        <w:tc>
          <w:tcPr>
            <w:tcW w:w="0" w:type="auto"/>
            <w:shd w:val="clear" w:color="auto" w:fill="F2F2F2" w:themeFill="background1" w:themeFillShade="F2"/>
          </w:tcPr>
          <w:p w14:paraId="60772617" w14:textId="77777777" w:rsidR="00DE64CD" w:rsidRPr="0017326E" w:rsidRDefault="00DE64CD" w:rsidP="00A4557C">
            <w:pPr>
              <w:pStyle w:val="Tablecells"/>
              <w:spacing w:before="0" w:after="0"/>
              <w:jc w:val="both"/>
              <w:rPr>
                <w:rFonts w:ascii="ITC Avant Garde" w:hAnsi="ITC Avant Garde"/>
                <w:b/>
                <w:szCs w:val="18"/>
                <w:lang w:val="es-ES_tradnl"/>
              </w:rPr>
            </w:pPr>
            <w:r w:rsidRPr="0017326E">
              <w:rPr>
                <w:rFonts w:ascii="ITC Avant Garde" w:hAnsi="ITC Avant Garde"/>
              </w:rPr>
              <w:t>UK</w:t>
            </w:r>
          </w:p>
        </w:tc>
        <w:tc>
          <w:tcPr>
            <w:tcW w:w="0" w:type="auto"/>
            <w:shd w:val="clear" w:color="auto" w:fill="F2F2F2" w:themeFill="background1" w:themeFillShade="F2"/>
            <w:vAlign w:val="center"/>
          </w:tcPr>
          <w:p w14:paraId="55FD28CE" w14:textId="77777777" w:rsidR="00DE64CD" w:rsidRPr="00480AE5" w:rsidRDefault="00DE64CD" w:rsidP="00A4557C">
            <w:pPr>
              <w:pStyle w:val="Tablecells"/>
              <w:spacing w:before="0" w:after="0"/>
              <w:jc w:val="center"/>
              <w:rPr>
                <w:rFonts w:ascii="ITC Avant Garde" w:hAnsi="ITC Avant Garde"/>
                <w:szCs w:val="18"/>
                <w:lang w:val="es-ES_tradnl"/>
              </w:rPr>
            </w:pPr>
            <w:r w:rsidRPr="00480AE5">
              <w:rPr>
                <w:rFonts w:ascii="ITC Avant Garde" w:eastAsia="Times New Roman" w:hAnsi="ITC Avant Garde" w:cs="Arial"/>
                <w:sz w:val="16"/>
                <w:szCs w:val="18"/>
                <w:lang w:eastAsia="es-MX"/>
              </w:rPr>
              <w:t>1.125</w:t>
            </w:r>
          </w:p>
        </w:tc>
      </w:tr>
      <w:tr w:rsidR="00DE64CD" w:rsidRPr="00C1472F" w14:paraId="4544DC79" w14:textId="77777777" w:rsidTr="00A4557C">
        <w:trPr>
          <w:trHeight w:val="278"/>
          <w:jc w:val="center"/>
        </w:trPr>
        <w:tc>
          <w:tcPr>
            <w:tcW w:w="0" w:type="auto"/>
            <w:tcBorders>
              <w:bottom w:val="single" w:sz="4" w:space="0" w:color="999999" w:themeColor="text1" w:themeTint="66"/>
            </w:tcBorders>
          </w:tcPr>
          <w:p w14:paraId="3AD5B0D0" w14:textId="77777777" w:rsidR="00DE64CD" w:rsidRPr="0017326E" w:rsidRDefault="00DE64CD" w:rsidP="00A4557C">
            <w:pPr>
              <w:pStyle w:val="Tablecells"/>
              <w:spacing w:before="0" w:after="0"/>
              <w:jc w:val="both"/>
              <w:rPr>
                <w:rFonts w:ascii="ITC Avant Garde" w:hAnsi="ITC Avant Garde"/>
                <w:b/>
                <w:szCs w:val="18"/>
                <w:lang w:val="es-ES_tradnl"/>
              </w:rPr>
            </w:pPr>
            <w:r w:rsidRPr="0017326E">
              <w:rPr>
                <w:rFonts w:ascii="ITC Avant Garde" w:hAnsi="ITC Avant Garde"/>
              </w:rPr>
              <w:t>Italia</w:t>
            </w:r>
          </w:p>
        </w:tc>
        <w:tc>
          <w:tcPr>
            <w:tcW w:w="0" w:type="auto"/>
            <w:tcBorders>
              <w:bottom w:val="single" w:sz="4" w:space="0" w:color="999999" w:themeColor="text1" w:themeTint="66"/>
            </w:tcBorders>
            <w:vAlign w:val="center"/>
          </w:tcPr>
          <w:p w14:paraId="32ECE61E" w14:textId="77777777" w:rsidR="00DE64CD" w:rsidRPr="00480AE5" w:rsidRDefault="00DE64CD" w:rsidP="00A4557C">
            <w:pPr>
              <w:pStyle w:val="Tablecells"/>
              <w:spacing w:before="0" w:after="0"/>
              <w:jc w:val="center"/>
              <w:rPr>
                <w:rFonts w:ascii="ITC Avant Garde" w:hAnsi="ITC Avant Garde"/>
                <w:szCs w:val="18"/>
                <w:lang w:val="es-ES_tradnl"/>
              </w:rPr>
            </w:pPr>
            <w:r w:rsidRPr="00480AE5">
              <w:rPr>
                <w:rFonts w:ascii="ITC Avant Garde" w:eastAsia="Times New Roman" w:hAnsi="ITC Avant Garde" w:cs="Arial"/>
                <w:sz w:val="16"/>
                <w:szCs w:val="18"/>
                <w:lang w:eastAsia="es-MX"/>
              </w:rPr>
              <w:t>1.37</w:t>
            </w:r>
          </w:p>
        </w:tc>
      </w:tr>
      <w:tr w:rsidR="00DE64CD" w:rsidRPr="00C1472F" w14:paraId="4AB97983" w14:textId="77777777" w:rsidTr="00A4557C">
        <w:trPr>
          <w:trHeight w:val="278"/>
          <w:jc w:val="center"/>
        </w:trPr>
        <w:tc>
          <w:tcPr>
            <w:tcW w:w="0" w:type="auto"/>
            <w:tcBorders>
              <w:bottom w:val="single" w:sz="4" w:space="0" w:color="auto"/>
            </w:tcBorders>
            <w:shd w:val="clear" w:color="auto" w:fill="F2F2F2" w:themeFill="background1" w:themeFillShade="F2"/>
          </w:tcPr>
          <w:p w14:paraId="7DCAE40C" w14:textId="77777777" w:rsidR="00DE64CD" w:rsidRPr="0017326E" w:rsidRDefault="00DE64CD" w:rsidP="00A4557C">
            <w:pPr>
              <w:pStyle w:val="Tablecells"/>
              <w:spacing w:before="0" w:after="0"/>
              <w:jc w:val="both"/>
              <w:rPr>
                <w:rFonts w:ascii="ITC Avant Garde" w:hAnsi="ITC Avant Garde"/>
                <w:b/>
                <w:szCs w:val="18"/>
                <w:lang w:val="es-ES_tradnl"/>
              </w:rPr>
            </w:pPr>
            <w:r w:rsidRPr="0017326E">
              <w:rPr>
                <w:rFonts w:ascii="ITC Avant Garde" w:hAnsi="ITC Avant Garde"/>
              </w:rPr>
              <w:t>España</w:t>
            </w:r>
          </w:p>
        </w:tc>
        <w:tc>
          <w:tcPr>
            <w:tcW w:w="0" w:type="auto"/>
            <w:tcBorders>
              <w:bottom w:val="single" w:sz="4" w:space="0" w:color="auto"/>
            </w:tcBorders>
            <w:shd w:val="clear" w:color="auto" w:fill="F2F2F2" w:themeFill="background1" w:themeFillShade="F2"/>
            <w:vAlign w:val="center"/>
          </w:tcPr>
          <w:p w14:paraId="6B9B953F" w14:textId="77777777" w:rsidR="00DE64CD" w:rsidRPr="00480AE5" w:rsidRDefault="00DE64CD" w:rsidP="00A4557C">
            <w:pPr>
              <w:pStyle w:val="Tablecells"/>
              <w:spacing w:before="0" w:after="0"/>
              <w:jc w:val="center"/>
              <w:rPr>
                <w:rFonts w:ascii="ITC Avant Garde" w:hAnsi="ITC Avant Garde"/>
                <w:szCs w:val="18"/>
                <w:lang w:val="es-ES_tradnl"/>
              </w:rPr>
            </w:pPr>
            <w:r w:rsidRPr="00480AE5">
              <w:rPr>
                <w:rFonts w:ascii="ITC Avant Garde" w:eastAsia="Times New Roman" w:hAnsi="ITC Avant Garde" w:cs="Arial"/>
                <w:sz w:val="16"/>
                <w:szCs w:val="18"/>
                <w:lang w:eastAsia="es-MX"/>
              </w:rPr>
              <w:t>1.31</w:t>
            </w:r>
          </w:p>
        </w:tc>
      </w:tr>
      <w:tr w:rsidR="00DE64CD" w:rsidRPr="00C1472F" w14:paraId="7763B56E" w14:textId="77777777" w:rsidTr="00A4557C">
        <w:trPr>
          <w:trHeight w:val="278"/>
          <w:jc w:val="center"/>
        </w:trPr>
        <w:tc>
          <w:tcPr>
            <w:tcW w:w="0" w:type="auto"/>
            <w:tcBorders>
              <w:top w:val="single" w:sz="4" w:space="0" w:color="auto"/>
              <w:bottom w:val="single" w:sz="4" w:space="0" w:color="auto"/>
            </w:tcBorders>
          </w:tcPr>
          <w:p w14:paraId="48777885" w14:textId="77777777" w:rsidR="00DE64CD" w:rsidRPr="00480AE5" w:rsidRDefault="00DE64CD" w:rsidP="00A4557C">
            <w:pPr>
              <w:pStyle w:val="Tablecells"/>
              <w:spacing w:before="0" w:after="0"/>
              <w:jc w:val="both"/>
              <w:rPr>
                <w:rFonts w:ascii="ITC Avant Garde" w:hAnsi="ITC Avant Garde"/>
                <w:b/>
              </w:rPr>
            </w:pPr>
            <w:r w:rsidRPr="00480AE5">
              <w:rPr>
                <w:rFonts w:ascii="ITC Avant Garde" w:hAnsi="ITC Avant Garde"/>
                <w:b/>
              </w:rPr>
              <w:t>Promedio</w:t>
            </w:r>
          </w:p>
        </w:tc>
        <w:tc>
          <w:tcPr>
            <w:tcW w:w="0" w:type="auto"/>
            <w:tcBorders>
              <w:top w:val="single" w:sz="4" w:space="0" w:color="auto"/>
              <w:bottom w:val="single" w:sz="4" w:space="0" w:color="auto"/>
            </w:tcBorders>
            <w:vAlign w:val="center"/>
          </w:tcPr>
          <w:p w14:paraId="2A576FAB" w14:textId="77777777" w:rsidR="00DE64CD" w:rsidRPr="00480AE5" w:rsidRDefault="00DE64CD" w:rsidP="00A4557C">
            <w:pPr>
              <w:pStyle w:val="Tablecells"/>
              <w:spacing w:before="0" w:after="0"/>
              <w:jc w:val="center"/>
              <w:rPr>
                <w:rFonts w:ascii="ITC Avant Garde" w:hAnsi="ITC Avant Garde"/>
                <w:szCs w:val="18"/>
                <w:lang w:val="es-ES_tradnl"/>
              </w:rPr>
            </w:pPr>
            <w:r w:rsidRPr="00480AE5">
              <w:rPr>
                <w:rFonts w:ascii="ITC Avant Garde" w:eastAsia="Times New Roman" w:hAnsi="ITC Avant Garde" w:cs="Arial"/>
                <w:b/>
                <w:sz w:val="16"/>
                <w:szCs w:val="18"/>
                <w:lang w:eastAsia="es-MX"/>
              </w:rPr>
              <w:t>1.20</w:t>
            </w:r>
          </w:p>
        </w:tc>
      </w:tr>
    </w:tbl>
    <w:p w14:paraId="473433A6" w14:textId="77777777" w:rsidR="00DE64CD" w:rsidRDefault="00DE64CD" w:rsidP="00DE64CD">
      <w:pPr>
        <w:pStyle w:val="IFTnormal"/>
      </w:pPr>
    </w:p>
    <w:p w14:paraId="1F2A7FF6" w14:textId="3194E704" w:rsidR="007E3A10" w:rsidRDefault="00DE64CD" w:rsidP="00DE64CD">
      <w:pPr>
        <w:pStyle w:val="IFTnormal"/>
      </w:pPr>
      <w:r w:rsidRPr="004C61F2">
        <w:rPr>
          <w:lang w:val="es-MX"/>
        </w:rPr>
        <w:t>En</w:t>
      </w:r>
      <w:r w:rsidRPr="00962EB0">
        <w:t xml:space="preserve"> consideración de lo anterior, en el modelo se emplea como parámetro de referencia</w:t>
      </w:r>
      <w:r>
        <w:t xml:space="preserve"> equivale</w:t>
      </w:r>
      <w:r w:rsidRPr="00962EB0">
        <w:t xml:space="preserve"> </w:t>
      </w:r>
      <w:r>
        <w:t xml:space="preserve">aproximadamente </w:t>
      </w:r>
      <w:r w:rsidRPr="00962EB0">
        <w:t xml:space="preserve">a 20%, el cual se integra al precio como </w:t>
      </w:r>
      <w:r>
        <w:t xml:space="preserve">un </w:t>
      </w:r>
      <w:r w:rsidRPr="00962EB0">
        <w:t xml:space="preserve">20% extra en el costo asociado al SCyD, </w:t>
      </w:r>
      <w:r>
        <w:t xml:space="preserve">correspondiente a los costos de un servicio de calidad </w:t>
      </w:r>
      <w:r w:rsidRPr="00462730">
        <w:rPr>
          <w:i/>
        </w:rPr>
        <w:t>VoIP</w:t>
      </w:r>
      <w:r>
        <w:t xml:space="preserve">, con respecto a un servicio </w:t>
      </w:r>
      <w:r>
        <w:rPr>
          <w:i/>
        </w:rPr>
        <w:t>B</w:t>
      </w:r>
      <w:r w:rsidRPr="00462730">
        <w:rPr>
          <w:i/>
        </w:rPr>
        <w:t>est effort</w:t>
      </w:r>
      <w:r>
        <w:t xml:space="preserve">, </w:t>
      </w:r>
      <w:r w:rsidRPr="00962EB0">
        <w:t>diferenciándose de acuerdo al nivel y perfil requerido por el CS.</w:t>
      </w:r>
      <w:r w:rsidR="00B838B7">
        <w:t xml:space="preserve"> Este valor de referencia internacional podrá ser actualizado a la luz de nueva información o de calidades adicionales</w:t>
      </w:r>
    </w:p>
    <w:p w14:paraId="386F506E" w14:textId="77777777" w:rsidR="00B838B7" w:rsidRDefault="00B838B7" w:rsidP="00DE64CD">
      <w:pPr>
        <w:pStyle w:val="IFTnormal"/>
      </w:pPr>
    </w:p>
    <w:p w14:paraId="0E680CBD" w14:textId="77777777" w:rsidR="00DE64CD" w:rsidRDefault="00DE64CD" w:rsidP="00DE64CD">
      <w:pPr>
        <w:pStyle w:val="PuntosC4"/>
        <w:numPr>
          <w:ilvl w:val="1"/>
          <w:numId w:val="40"/>
        </w:numPr>
        <w:ind w:left="567" w:hanging="567"/>
        <w:outlineLvl w:val="1"/>
      </w:pPr>
      <w:bookmarkStart w:id="64" w:name="_Toc51700020"/>
      <w:bookmarkStart w:id="65" w:name="_Toc52188510"/>
      <w:r>
        <w:t>Resumen de esquemas de aplicación del Modelo de Costos Evitados</w:t>
      </w:r>
      <w:bookmarkEnd w:id="64"/>
      <w:bookmarkEnd w:id="65"/>
    </w:p>
    <w:p w14:paraId="48BD73AB" w14:textId="77777777" w:rsidR="00DE64CD" w:rsidRPr="00A92C5E" w:rsidRDefault="00DE64CD" w:rsidP="00DE64CD">
      <w:pPr>
        <w:pStyle w:val="PuntosC4"/>
        <w:numPr>
          <w:ilvl w:val="3"/>
          <w:numId w:val="40"/>
        </w:numPr>
        <w:ind w:left="993" w:hanging="993"/>
        <w:outlineLvl w:val="2"/>
      </w:pPr>
      <w:bookmarkStart w:id="66" w:name="_Toc51700021"/>
      <w:bookmarkStart w:id="67" w:name="_Toc52188511"/>
      <w:r>
        <w:t>Esquema para el SRLT</w:t>
      </w:r>
      <w:bookmarkEnd w:id="66"/>
      <w:bookmarkEnd w:id="67"/>
    </w:p>
    <w:p w14:paraId="270B4C20" w14:textId="214C29F0" w:rsidR="00DE64CD" w:rsidRDefault="00DE64CD" w:rsidP="00DE64CD">
      <w:pPr>
        <w:pStyle w:val="IFTnormal"/>
      </w:pPr>
      <w:r>
        <w:t>P</w:t>
      </w:r>
      <w:r w:rsidRPr="008F0715">
        <w:t xml:space="preserve">ara </w:t>
      </w:r>
      <w:r>
        <w:t>determinar el nivel tarifario del SRLT (</w:t>
      </w:r>
      <m:oMath>
        <m:sSup>
          <m:sSupPr>
            <m:ctrlPr>
              <w:rPr>
                <w:rFonts w:ascii="Cambria Math" w:hAnsi="Cambria Math"/>
                <w:b/>
              </w:rPr>
            </m:ctrlPr>
          </m:sSupPr>
          <m:e>
            <m:r>
              <m:rPr>
                <m:nor/>
              </m:rPr>
              <w:rPr>
                <w:b/>
                <w:iCs/>
              </w:rPr>
              <m:t>P</m:t>
            </m:r>
          </m:e>
          <m:sup>
            <m:r>
              <m:rPr>
                <m:nor/>
              </m:rPr>
              <w:rPr>
                <w:b/>
                <w:iCs/>
              </w:rPr>
              <m:t>r</m:t>
            </m:r>
          </m:sup>
        </m:sSup>
        <m:r>
          <m:rPr>
            <m:sty m:val="bi"/>
          </m:rPr>
          <w:rPr>
            <w:rFonts w:ascii="Cambria Math" w:hAnsi="Cambria Math"/>
          </w:rPr>
          <m:t>)</m:t>
        </m:r>
      </m:oMath>
      <w:r>
        <w:t xml:space="preserve">, en el modelo se estima primero </w:t>
      </w:r>
      <w:r w:rsidRPr="008F0715">
        <w:t>el precio</w:t>
      </w:r>
      <w:r>
        <w:t xml:space="preserve"> de referencia, a partir de</w:t>
      </w:r>
      <w:r w:rsidR="00A02949">
        <w:t>l</w:t>
      </w:r>
      <w:r>
        <w:t xml:space="preserve"> </w:t>
      </w:r>
      <w:r w:rsidR="00A02949">
        <w:t xml:space="preserve">precio implícito obtenido del Módulo de Imputación de </w:t>
      </w:r>
      <w:r w:rsidR="009E453D">
        <w:t>P</w:t>
      </w:r>
      <w:r w:rsidR="00A02949">
        <w:t>recios</w:t>
      </w:r>
      <w:r w:rsidR="00A02949" w:rsidDel="00A02949">
        <w:t xml:space="preserve"> </w:t>
      </w:r>
      <w:r w:rsidR="009E453D">
        <w:t>Implícitos</w:t>
      </w:r>
      <w:r w:rsidRPr="008F0715">
        <w:t>(</w:t>
      </w:r>
      <m:oMath>
        <m:sSub>
          <m:sSubPr>
            <m:ctrlPr>
              <w:rPr>
                <w:rFonts w:ascii="Cambria Math" w:hAnsi="Cambria Math"/>
                <w:b/>
              </w:rPr>
            </m:ctrlPr>
          </m:sSubPr>
          <m:e>
            <m:r>
              <m:rPr>
                <m:nor/>
              </m:rPr>
              <w:rPr>
                <w:b/>
              </w:rPr>
              <m:t>P</m:t>
            </m:r>
          </m:e>
          <m:sub>
            <m:r>
              <m:rPr>
                <m:nor/>
              </m:rPr>
              <w:rPr>
                <w:b/>
              </w:rPr>
              <m:t>minorista implícito</m:t>
            </m:r>
          </m:sub>
        </m:sSub>
      </m:oMath>
      <w:r w:rsidRPr="008F0715">
        <w:t>)</w:t>
      </w:r>
      <w:r>
        <w:t>, de la renta de la línea</w:t>
      </w:r>
      <w:r w:rsidR="00A02949">
        <w:t xml:space="preserve"> y del</w:t>
      </w:r>
      <w:r>
        <w:t xml:space="preserve"> servicio de voz. Para ello se estima el precio implícito de dichos </w:t>
      </w:r>
      <w:r w:rsidRPr="008F0715">
        <w:t>servicio</w:t>
      </w:r>
      <w:r>
        <w:t xml:space="preserve">s, a partir del factor de representación del precio implícito de la renta de línea </w:t>
      </w:r>
      <m:oMath>
        <m:r>
          <w:rPr>
            <w:rFonts w:ascii="Cambria Math" w:hAnsi="Cambria Math"/>
          </w:rPr>
          <m:t>(</m:t>
        </m:r>
        <m:r>
          <m:rPr>
            <m:nor/>
          </m:rPr>
          <w:rPr>
            <w:b/>
          </w:rPr>
          <m:t>%</m:t>
        </m:r>
        <m:r>
          <m:rPr>
            <m:nor/>
          </m:rPr>
          <w:rPr>
            <w:rFonts w:ascii="Calibri" w:hAnsi="Calibri" w:cs="Calibri"/>
            <w:b/>
            <w:color w:val="auto"/>
          </w:rPr>
          <m:t xml:space="preserve"> </m:t>
        </m:r>
        <m:sSub>
          <m:sSubPr>
            <m:ctrlPr>
              <w:rPr>
                <w:rFonts w:ascii="Cambria Math" w:hAnsi="Cambria Math" w:cs="Calibri"/>
                <w:b/>
                <w:i/>
                <w:color w:val="auto"/>
              </w:rPr>
            </m:ctrlPr>
          </m:sSubPr>
          <m:e>
            <m:r>
              <m:rPr>
                <m:nor/>
              </m:rPr>
              <w:rPr>
                <w:rFonts w:ascii="Calibri" w:hAnsi="Calibri" w:cs="Calibri"/>
                <w:b/>
                <w:color w:val="auto"/>
              </w:rPr>
              <m:t>β</m:t>
            </m:r>
          </m:e>
          <m:sub>
            <m:r>
              <m:rPr>
                <m:nor/>
              </m:rPr>
              <w:rPr>
                <w:rFonts w:cs="Calibri"/>
                <w:b/>
                <w:color w:val="auto"/>
              </w:rPr>
              <m:t>renta de línea</m:t>
            </m:r>
          </m:sub>
        </m:sSub>
        <m:r>
          <m:rPr>
            <m:nor/>
          </m:rPr>
          <w:rPr>
            <w:rFonts w:ascii="Cambria Math" w:hAnsi="Calibri" w:cs="Calibri"/>
            <w:color w:val="auto"/>
          </w:rPr>
          <m:t>)</m:t>
        </m:r>
      </m:oMath>
      <w:r>
        <w:t xml:space="preserve"> o servicios voz </w:t>
      </w:r>
      <m:oMath>
        <m:r>
          <w:rPr>
            <w:rFonts w:ascii="Cambria Math" w:hAnsi="Cambria Math"/>
          </w:rPr>
          <m:t>(</m:t>
        </m:r>
        <m:r>
          <m:rPr>
            <m:nor/>
          </m:rPr>
          <w:rPr>
            <w:b/>
          </w:rPr>
          <m:t>%</m:t>
        </m:r>
        <m:r>
          <m:rPr>
            <m:nor/>
          </m:rPr>
          <w:rPr>
            <w:rFonts w:ascii="Calibri" w:hAnsi="Calibri" w:cs="Calibri"/>
            <w:b/>
            <w:color w:val="auto"/>
          </w:rPr>
          <m:t xml:space="preserve"> </m:t>
        </m:r>
        <m:sSub>
          <m:sSubPr>
            <m:ctrlPr>
              <w:rPr>
                <w:rFonts w:ascii="Cambria Math" w:hAnsi="Cambria Math" w:cs="Calibri"/>
                <w:b/>
                <w:i/>
                <w:color w:val="auto"/>
              </w:rPr>
            </m:ctrlPr>
          </m:sSubPr>
          <m:e>
            <m:r>
              <m:rPr>
                <m:nor/>
              </m:rPr>
              <w:rPr>
                <w:rFonts w:ascii="Calibri" w:hAnsi="Calibri" w:cs="Calibri"/>
                <w:b/>
                <w:color w:val="auto"/>
              </w:rPr>
              <m:t>β</m:t>
            </m:r>
          </m:e>
          <m:sub>
            <m:r>
              <m:rPr>
                <m:nor/>
              </m:rPr>
              <w:rPr>
                <w:rFonts w:cs="Calibri"/>
                <w:b/>
                <w:color w:val="auto"/>
              </w:rPr>
              <m:t>servicios de voz</m:t>
            </m:r>
          </m:sub>
        </m:sSub>
        <m:r>
          <m:rPr>
            <m:nor/>
          </m:rPr>
          <w:rPr>
            <w:rFonts w:ascii="Cambria Math" w:hAnsi="Calibri" w:cs="Calibri"/>
            <w:color w:val="auto"/>
          </w:rPr>
          <m:t>)</m:t>
        </m:r>
      </m:oMath>
      <w:r>
        <w:t>, según corresponda, para posteriormente descontar los costos evitados asociados tales servicios, es decir, renta de línea (</w:t>
      </w:r>
      <m:oMath>
        <m:r>
          <m:rPr>
            <m:sty m:val="b"/>
          </m:rPr>
          <w:rPr>
            <w:rFonts w:ascii="Cambria Math" w:hAnsi="Cambria Math"/>
          </w:rPr>
          <m:t>%</m:t>
        </m:r>
        <m:sSub>
          <m:sSubPr>
            <m:ctrlPr>
              <w:rPr>
                <w:rFonts w:ascii="Cambria Math" w:hAnsi="Cambria Math"/>
                <w:b/>
              </w:rPr>
            </m:ctrlPr>
          </m:sSubPr>
          <m:e>
            <m:r>
              <m:rPr>
                <m:nor/>
              </m:rPr>
              <w:rPr>
                <w:b/>
                <w:iCs/>
              </w:rPr>
              <m:t>c</m:t>
            </m:r>
          </m:e>
          <m:sub>
            <m:r>
              <m:rPr>
                <m:nor/>
              </m:rPr>
              <w:rPr>
                <w:b/>
              </w:rPr>
              <m:t>renta de línea</m:t>
            </m:r>
          </m:sub>
        </m:sSub>
      </m:oMath>
      <w:r w:rsidRPr="00AE54F6">
        <w:t>)</w:t>
      </w:r>
      <w:r>
        <w:t xml:space="preserve"> o voz (</w:t>
      </w:r>
      <m:oMath>
        <m:r>
          <m:rPr>
            <m:sty m:val="b"/>
          </m:rPr>
          <w:rPr>
            <w:rFonts w:ascii="Cambria Math" w:hAnsi="Cambria Math"/>
          </w:rPr>
          <m:t>%</m:t>
        </m:r>
        <m:sSub>
          <m:sSubPr>
            <m:ctrlPr>
              <w:rPr>
                <w:rFonts w:ascii="Cambria Math" w:hAnsi="Cambria Math"/>
                <w:b/>
              </w:rPr>
            </m:ctrlPr>
          </m:sSubPr>
          <m:e>
            <m:r>
              <m:rPr>
                <m:nor/>
              </m:rPr>
              <w:rPr>
                <w:b/>
                <w:iCs/>
              </w:rPr>
              <m:t>c</m:t>
            </m:r>
          </m:e>
          <m:sub>
            <m:r>
              <m:rPr>
                <m:nor/>
              </m:rPr>
              <w:rPr>
                <w:b/>
              </w:rPr>
              <m:t>servicios de voz</m:t>
            </m:r>
          </m:sub>
        </m:sSub>
      </m:oMath>
      <w:r>
        <w:t>). Lo anterior se traduce en las expresiones, de acuerdo a los casos antes descritos:</w:t>
      </w:r>
    </w:p>
    <w:p w14:paraId="77743BC4" w14:textId="01CC6391" w:rsidR="00DE64CD" w:rsidRDefault="003175E4" w:rsidP="00DE64CD">
      <w:pPr>
        <w:pStyle w:val="IFTnormal"/>
        <w:numPr>
          <w:ilvl w:val="0"/>
          <w:numId w:val="23"/>
        </w:numPr>
        <w:jc w:val="center"/>
      </w:pPr>
      <m:oMath>
        <m:sSup>
          <m:sSupPr>
            <m:ctrlPr>
              <w:rPr>
                <w:rFonts w:ascii="Cambria Math" w:hAnsi="Cambria Math"/>
                <w:b/>
              </w:rPr>
            </m:ctrlPr>
          </m:sSupPr>
          <m:e>
            <m:r>
              <m:rPr>
                <m:nor/>
              </m:rPr>
              <w:rPr>
                <w:rFonts w:ascii="Cambria Math"/>
                <w:b/>
                <w:iCs/>
              </w:rPr>
              <m:t xml:space="preserve"> </m:t>
            </m:r>
            <m:r>
              <m:rPr>
                <m:nor/>
              </m:rPr>
              <w:rPr>
                <w:b/>
                <w:iCs/>
              </w:rPr>
              <m:t>P</m:t>
            </m:r>
          </m:e>
          <m:sup>
            <m:r>
              <m:rPr>
                <m:nor/>
              </m:rPr>
              <w:rPr>
                <w:b/>
                <w:iCs/>
              </w:rPr>
              <m:t>r</m:t>
            </m:r>
          </m:sup>
        </m:sSup>
      </m:oMath>
      <w:r w:rsidR="00DE64CD">
        <w:rPr>
          <w:b/>
        </w:rPr>
        <w:t xml:space="preserve"> = </w:t>
      </w:r>
      <m:oMath>
        <m:sSub>
          <m:sSubPr>
            <m:ctrlPr>
              <w:rPr>
                <w:rFonts w:ascii="Cambria Math" w:hAnsi="Cambria Math"/>
                <w:b/>
              </w:rPr>
            </m:ctrlPr>
          </m:sSubPr>
          <m:e>
            <m:r>
              <m:rPr>
                <m:nor/>
              </m:rPr>
              <w:rPr>
                <w:b/>
              </w:rPr>
              <m:t>P</m:t>
            </m:r>
          </m:e>
          <m:sub>
            <m:r>
              <m:rPr>
                <m:nor/>
              </m:rPr>
              <w:rPr>
                <w:b/>
              </w:rPr>
              <m:t>minorista implícito</m:t>
            </m:r>
          </m:sub>
        </m:sSub>
        <m:r>
          <m:rPr>
            <m:sty m:val="bi"/>
          </m:rPr>
          <w:rPr>
            <w:rFonts w:ascii="Cambria Math" w:hAnsi="Cambria Math"/>
          </w:rPr>
          <m:t xml:space="preserve"> ×(</m:t>
        </m:r>
        <m:r>
          <m:rPr>
            <m:nor/>
          </m:rPr>
          <w:rPr>
            <w:b/>
          </w:rPr>
          <m:t>1- %</m:t>
        </m:r>
        <m:sSub>
          <m:sSubPr>
            <m:ctrlPr>
              <w:rPr>
                <w:rFonts w:ascii="Cambria Math" w:hAnsi="Cambria Math" w:cs="Calibri"/>
                <w:b/>
                <w:i/>
                <w:color w:val="auto"/>
              </w:rPr>
            </m:ctrlPr>
          </m:sSubPr>
          <m:e>
            <m:r>
              <m:rPr>
                <m:nor/>
              </m:rPr>
              <w:rPr>
                <w:rFonts w:ascii="Calibri" w:hAnsi="Calibri" w:cs="Calibri"/>
                <w:b/>
                <w:color w:val="auto"/>
              </w:rPr>
              <m:t>β</m:t>
            </m:r>
          </m:e>
          <m:sub>
            <m:r>
              <m:rPr>
                <m:nor/>
              </m:rPr>
              <w:rPr>
                <w:rFonts w:cs="Calibri"/>
                <w:b/>
                <w:color w:val="auto"/>
              </w:rPr>
              <m:t>renta de línea</m:t>
            </m:r>
          </m:sub>
        </m:sSub>
        <m:r>
          <m:rPr>
            <m:sty m:val="b"/>
          </m:rPr>
          <w:rPr>
            <w:rFonts w:ascii="Cambria Math" w:hAnsi="Cambria Math"/>
            <w:color w:val="555555"/>
            <w:sz w:val="21"/>
            <w:szCs w:val="21"/>
            <w:shd w:val="clear" w:color="auto" w:fill="FFFFFF"/>
          </w:rPr>
          <m:t xml:space="preserve">- </m:t>
        </m:r>
        <m:r>
          <m:rPr>
            <m:sty m:val="b"/>
          </m:rPr>
          <w:rPr>
            <w:rFonts w:ascii="Cambria Math" w:hAnsi="Cambria Math"/>
          </w:rPr>
          <m:t>%</m:t>
        </m:r>
        <m:sSub>
          <m:sSubPr>
            <m:ctrlPr>
              <w:rPr>
                <w:rFonts w:ascii="Cambria Math" w:hAnsi="Cambria Math"/>
                <w:b/>
              </w:rPr>
            </m:ctrlPr>
          </m:sSubPr>
          <m:e>
            <m:r>
              <m:rPr>
                <m:nor/>
              </m:rPr>
              <w:rPr>
                <w:b/>
                <w:iCs/>
              </w:rPr>
              <m:t>c</m:t>
            </m:r>
          </m:e>
          <m:sub>
            <m:r>
              <m:rPr>
                <m:nor/>
              </m:rPr>
              <w:rPr>
                <w:b/>
              </w:rPr>
              <m:t>renta de línea</m:t>
            </m:r>
          </m:sub>
        </m:sSub>
        <m:r>
          <m:rPr>
            <m:sty m:val="b"/>
          </m:rPr>
          <w:rPr>
            <w:rFonts w:ascii="Cambria Math" w:hAnsi="Cambria Math"/>
            <w:color w:val="555555"/>
            <w:sz w:val="21"/>
            <w:szCs w:val="21"/>
            <w:shd w:val="clear" w:color="auto" w:fill="FFFFFF"/>
          </w:rPr>
          <m:t xml:space="preserve">) </m:t>
        </m:r>
      </m:oMath>
    </w:p>
    <w:p w14:paraId="4125CDBB" w14:textId="27B25C8D" w:rsidR="00DE64CD" w:rsidRDefault="003175E4" w:rsidP="00DE64CD">
      <w:pPr>
        <w:pStyle w:val="IFTnormal"/>
        <w:numPr>
          <w:ilvl w:val="0"/>
          <w:numId w:val="23"/>
        </w:numPr>
        <w:jc w:val="center"/>
      </w:pPr>
      <m:oMath>
        <m:sSup>
          <m:sSupPr>
            <m:ctrlPr>
              <w:rPr>
                <w:rFonts w:ascii="Cambria Math" w:hAnsi="Cambria Math"/>
                <w:b/>
              </w:rPr>
            </m:ctrlPr>
          </m:sSupPr>
          <m:e>
            <m:r>
              <m:rPr>
                <m:nor/>
              </m:rPr>
              <w:rPr>
                <w:rFonts w:ascii="Cambria Math"/>
                <w:b/>
                <w:iCs/>
              </w:rPr>
              <m:t xml:space="preserve"> </m:t>
            </m:r>
            <m:r>
              <m:rPr>
                <m:nor/>
              </m:rPr>
              <w:rPr>
                <w:b/>
                <w:iCs/>
              </w:rPr>
              <m:t>P</m:t>
            </m:r>
          </m:e>
          <m:sup>
            <m:r>
              <m:rPr>
                <m:nor/>
              </m:rPr>
              <w:rPr>
                <w:b/>
                <w:iCs/>
              </w:rPr>
              <m:t>r</m:t>
            </m:r>
          </m:sup>
        </m:sSup>
      </m:oMath>
      <w:r w:rsidR="00DE64CD">
        <w:rPr>
          <w:b/>
        </w:rPr>
        <w:t xml:space="preserve"> = </w:t>
      </w:r>
      <m:oMath>
        <m:sSub>
          <m:sSubPr>
            <m:ctrlPr>
              <w:rPr>
                <w:rFonts w:ascii="Cambria Math" w:hAnsi="Cambria Math"/>
                <w:b/>
              </w:rPr>
            </m:ctrlPr>
          </m:sSubPr>
          <m:e>
            <m:r>
              <m:rPr>
                <m:nor/>
              </m:rPr>
              <w:rPr>
                <w:b/>
              </w:rPr>
              <m:t>P</m:t>
            </m:r>
          </m:e>
          <m:sub>
            <m:r>
              <m:rPr>
                <m:nor/>
              </m:rPr>
              <w:rPr>
                <w:b/>
              </w:rPr>
              <m:t>minorista implícito</m:t>
            </m:r>
          </m:sub>
        </m:sSub>
        <m:r>
          <m:rPr>
            <m:sty m:val="bi"/>
          </m:rPr>
          <w:rPr>
            <w:rFonts w:ascii="Cambria Math" w:hAnsi="Cambria Math"/>
          </w:rPr>
          <m:t xml:space="preserve"> ×(</m:t>
        </m:r>
        <m:r>
          <m:rPr>
            <m:nor/>
          </m:rPr>
          <w:rPr>
            <w:b/>
          </w:rPr>
          <m:t>1- %</m:t>
        </m:r>
        <m:sSub>
          <m:sSubPr>
            <m:ctrlPr>
              <w:rPr>
                <w:rFonts w:ascii="Cambria Math" w:hAnsi="Cambria Math" w:cs="Calibri"/>
                <w:b/>
                <w:i/>
                <w:color w:val="auto"/>
              </w:rPr>
            </m:ctrlPr>
          </m:sSubPr>
          <m:e>
            <m:r>
              <m:rPr>
                <m:nor/>
              </m:rPr>
              <w:rPr>
                <w:rFonts w:ascii="Calibri" w:hAnsi="Calibri" w:cs="Calibri"/>
                <w:b/>
                <w:color w:val="auto"/>
              </w:rPr>
              <m:t>β</m:t>
            </m:r>
          </m:e>
          <m:sub>
            <m:r>
              <m:rPr>
                <m:nor/>
              </m:rPr>
              <w:rPr>
                <w:rFonts w:cs="Calibri"/>
                <w:b/>
                <w:color w:val="auto"/>
              </w:rPr>
              <m:t>servicios de voz</m:t>
            </m:r>
          </m:sub>
        </m:sSub>
        <m:r>
          <m:rPr>
            <m:sty m:val="b"/>
          </m:rPr>
          <w:rPr>
            <w:rFonts w:ascii="Cambria Math" w:hAnsi="Cambria Math"/>
            <w:color w:val="555555"/>
            <w:sz w:val="21"/>
            <w:szCs w:val="21"/>
            <w:shd w:val="clear" w:color="auto" w:fill="FFFFFF"/>
          </w:rPr>
          <m:t xml:space="preserve">- </m:t>
        </m:r>
        <m:r>
          <m:rPr>
            <m:sty m:val="b"/>
          </m:rPr>
          <w:rPr>
            <w:rFonts w:ascii="Cambria Math" w:hAnsi="Cambria Math"/>
          </w:rPr>
          <m:t>%</m:t>
        </m:r>
        <m:sSub>
          <m:sSubPr>
            <m:ctrlPr>
              <w:rPr>
                <w:rFonts w:ascii="Cambria Math" w:hAnsi="Cambria Math"/>
                <w:b/>
              </w:rPr>
            </m:ctrlPr>
          </m:sSubPr>
          <m:e>
            <m:r>
              <m:rPr>
                <m:nor/>
              </m:rPr>
              <w:rPr>
                <w:b/>
                <w:iCs/>
              </w:rPr>
              <m:t>c</m:t>
            </m:r>
          </m:e>
          <m:sub>
            <m:r>
              <m:rPr>
                <m:nor/>
              </m:rPr>
              <w:rPr>
                <w:b/>
              </w:rPr>
              <m:t>servicios de voz</m:t>
            </m:r>
          </m:sub>
        </m:sSub>
        <m:r>
          <m:rPr>
            <m:sty m:val="b"/>
          </m:rPr>
          <w:rPr>
            <w:rFonts w:ascii="Cambria Math" w:hAnsi="Cambria Math"/>
            <w:color w:val="555555"/>
            <w:sz w:val="21"/>
            <w:szCs w:val="21"/>
            <w:shd w:val="clear" w:color="auto" w:fill="FFFFFF"/>
          </w:rPr>
          <m:t xml:space="preserve">) </m:t>
        </m:r>
      </m:oMath>
    </w:p>
    <w:p w14:paraId="62525EC4" w14:textId="77777777" w:rsidR="00DE64CD" w:rsidRPr="00A92C5E" w:rsidRDefault="00DE64CD" w:rsidP="00DE64CD">
      <w:pPr>
        <w:pStyle w:val="PuntosC4"/>
        <w:numPr>
          <w:ilvl w:val="3"/>
          <w:numId w:val="40"/>
        </w:numPr>
        <w:ind w:left="993" w:hanging="993"/>
        <w:outlineLvl w:val="2"/>
      </w:pPr>
      <w:bookmarkStart w:id="68" w:name="_Toc51700022"/>
      <w:bookmarkStart w:id="69" w:name="_Toc52188512"/>
      <w:r>
        <w:t>Esquema para el SRI</w:t>
      </w:r>
      <w:bookmarkEnd w:id="68"/>
      <w:bookmarkEnd w:id="69"/>
    </w:p>
    <w:p w14:paraId="0D0A6B42" w14:textId="1DABC4D0" w:rsidR="00DE64CD" w:rsidRDefault="00DE64CD" w:rsidP="00DE64CD">
      <w:pPr>
        <w:pStyle w:val="IFTnormal"/>
      </w:pPr>
      <w:r>
        <w:t>A efecto de determinar el nivel tarifario del SRI (</w:t>
      </w:r>
      <m:oMath>
        <m:sSup>
          <m:sSupPr>
            <m:ctrlPr>
              <w:rPr>
                <w:rFonts w:ascii="Cambria Math" w:hAnsi="Cambria Math"/>
                <w:b/>
              </w:rPr>
            </m:ctrlPr>
          </m:sSupPr>
          <m:e>
            <m:r>
              <m:rPr>
                <m:nor/>
              </m:rPr>
              <w:rPr>
                <w:b/>
                <w:iCs/>
              </w:rPr>
              <m:t>P</m:t>
            </m:r>
          </m:e>
          <m:sup>
            <m:r>
              <m:rPr>
                <m:nor/>
              </m:rPr>
              <w:rPr>
                <w:b/>
                <w:iCs/>
              </w:rPr>
              <m:t>r</m:t>
            </m:r>
          </m:sup>
        </m:sSup>
        <m:r>
          <m:rPr>
            <m:sty m:val="bi"/>
          </m:rPr>
          <w:rPr>
            <w:rFonts w:ascii="Cambria Math" w:hAnsi="Cambria Math"/>
          </w:rPr>
          <m:t>)</m:t>
        </m:r>
      </m:oMath>
      <w:r w:rsidR="00695F74">
        <w:rPr>
          <w:b/>
        </w:rPr>
        <w:t xml:space="preserve"> </w:t>
      </w:r>
      <w:r w:rsidR="00695F74" w:rsidRPr="003C4845">
        <w:t>que sea asimétrico o simétrico</w:t>
      </w:r>
      <w:r>
        <w:t xml:space="preserve">, a través del modelo se determina de inicio </w:t>
      </w:r>
      <w:r w:rsidR="002719DA">
        <w:t>a partir de la</w:t>
      </w:r>
      <w:r w:rsidR="002719DA" w:rsidRPr="008F0715">
        <w:t xml:space="preserve"> tarifa</w:t>
      </w:r>
      <w:r w:rsidR="002719DA">
        <w:t xml:space="preserve"> minorista de un plan o paquete</w:t>
      </w:r>
      <w:r w:rsidR="00621C47">
        <w:t xml:space="preserve"> de Telmex y Telnor</w:t>
      </w:r>
      <w:r w:rsidR="002719DA" w:rsidRPr="008F0715">
        <w:t xml:space="preserve"> </w:t>
      </w:r>
      <w:r w:rsidRPr="008F0715">
        <w:t>el precio</w:t>
      </w:r>
      <w:r>
        <w:t xml:space="preserve"> </w:t>
      </w:r>
      <w:r w:rsidR="002719DA">
        <w:t>implícito de internet en este plan</w:t>
      </w:r>
      <w:r>
        <w:t xml:space="preserve">, </w:t>
      </w:r>
      <w:r w:rsidRPr="008F0715">
        <w:t>(</w:t>
      </w:r>
      <m:oMath>
        <m:sSub>
          <m:sSubPr>
            <m:ctrlPr>
              <w:rPr>
                <w:rFonts w:ascii="Cambria Math" w:hAnsi="Cambria Math"/>
                <w:b/>
              </w:rPr>
            </m:ctrlPr>
          </m:sSubPr>
          <m:e>
            <m:r>
              <m:rPr>
                <m:nor/>
              </m:rPr>
              <w:rPr>
                <w:b/>
              </w:rPr>
              <m:t>P</m:t>
            </m:r>
          </m:e>
          <m:sub>
            <m:r>
              <m:rPr>
                <m:sty m:val="bi"/>
              </m:rPr>
              <w:rPr>
                <w:rFonts w:ascii="Cambria Math" w:hAnsi="Cambria Math"/>
              </w:rPr>
              <m:t>i</m:t>
            </m:r>
            <m:r>
              <m:rPr>
                <m:sty m:val="b"/>
              </m:rPr>
              <w:rPr>
                <w:rFonts w:ascii="Cambria Math" w:hAnsi="Cambria Math"/>
              </w:rPr>
              <m:t>mplícito</m:t>
            </m:r>
          </m:sub>
        </m:sSub>
      </m:oMath>
      <w:r w:rsidRPr="008F0715">
        <w:t>)</w:t>
      </w:r>
      <w:r>
        <w:t>, de acuerdo a si este se trata da en un producto en el que ofrece Internet, en modalidad individual</w:t>
      </w:r>
      <w:r w:rsidR="002719DA">
        <w:t xml:space="preserve"> </w:t>
      </w:r>
      <w:r>
        <w:rPr>
          <w:color w:val="auto"/>
        </w:rPr>
        <w:t>para descontar los costos evitados del servicio de Internet (</w:t>
      </w:r>
      <m:oMath>
        <m:r>
          <m:rPr>
            <m:sty m:val="b"/>
          </m:rPr>
          <w:rPr>
            <w:rFonts w:ascii="Cambria Math" w:hAnsi="Cambria Math"/>
          </w:rPr>
          <m:t>%</m:t>
        </m:r>
        <m:sSub>
          <m:sSubPr>
            <m:ctrlPr>
              <w:rPr>
                <w:rFonts w:ascii="Cambria Math" w:hAnsi="Cambria Math"/>
                <w:b/>
              </w:rPr>
            </m:ctrlPr>
          </m:sSubPr>
          <m:e>
            <m:r>
              <m:rPr>
                <m:nor/>
              </m:rPr>
              <w:rPr>
                <w:b/>
              </w:rPr>
              <m:t>c</m:t>
            </m:r>
          </m:e>
          <m:sub>
            <m:r>
              <m:rPr>
                <m:nor/>
              </m:rPr>
              <w:rPr>
                <w:b/>
              </w:rPr>
              <m:t>Internet</m:t>
            </m:r>
          </m:sub>
        </m:sSub>
        <m:r>
          <m:rPr>
            <m:sty m:val="bi"/>
          </m:rPr>
          <w:rPr>
            <w:rFonts w:ascii="Cambria Math" w:hAnsi="Cambria Math"/>
          </w:rPr>
          <m:t>)</m:t>
        </m:r>
      </m:oMath>
      <w:r>
        <w:t>, lo que deriva en la siguiente expresión algebraica:</w:t>
      </w:r>
    </w:p>
    <w:p w14:paraId="63C18596" w14:textId="164CAC3E" w:rsidR="00DE64CD" w:rsidRPr="000B7AC7" w:rsidRDefault="003175E4" w:rsidP="00DE64CD">
      <w:pPr>
        <w:pStyle w:val="IFTnormal"/>
        <w:numPr>
          <w:ilvl w:val="0"/>
          <w:numId w:val="23"/>
        </w:numPr>
        <w:jc w:val="center"/>
        <w:rPr>
          <w:lang w:val="es-MX"/>
        </w:rPr>
      </w:pPr>
      <m:oMath>
        <m:sSup>
          <m:sSupPr>
            <m:ctrlPr>
              <w:rPr>
                <w:rFonts w:ascii="Cambria Math" w:hAnsi="Cambria Math"/>
                <w:b/>
              </w:rPr>
            </m:ctrlPr>
          </m:sSupPr>
          <m:e>
            <m:r>
              <m:rPr>
                <m:nor/>
              </m:rPr>
              <w:rPr>
                <w:rFonts w:ascii="Cambria Math"/>
                <w:b/>
                <w:iCs/>
                <w:lang w:val="es-MX"/>
              </w:rPr>
              <m:t xml:space="preserve"> </m:t>
            </m:r>
            <m:r>
              <m:rPr>
                <m:nor/>
              </m:rPr>
              <w:rPr>
                <w:b/>
                <w:iCs/>
                <w:lang w:val="es-MX"/>
              </w:rPr>
              <m:t>P</m:t>
            </m:r>
          </m:e>
          <m:sup>
            <m:r>
              <m:rPr>
                <m:nor/>
              </m:rPr>
              <w:rPr>
                <w:b/>
                <w:iCs/>
                <w:lang w:val="es-MX"/>
              </w:rPr>
              <m:t>r</m:t>
            </m:r>
          </m:sup>
        </m:sSup>
      </m:oMath>
      <w:r w:rsidR="00DE64CD" w:rsidRPr="000B7AC7">
        <w:rPr>
          <w:b/>
          <w:lang w:val="es-MX"/>
        </w:rPr>
        <w:t xml:space="preserve"> = </w:t>
      </w:r>
      <m:oMath>
        <m:sSub>
          <m:sSubPr>
            <m:ctrlPr>
              <w:rPr>
                <w:rFonts w:ascii="Cambria Math" w:hAnsi="Cambria Math"/>
                <w:b/>
              </w:rPr>
            </m:ctrlPr>
          </m:sSubPr>
          <m:e>
            <m:r>
              <m:rPr>
                <m:nor/>
              </m:rPr>
              <w:rPr>
                <w:b/>
                <w:lang w:val="es-MX"/>
              </w:rPr>
              <m:t>P</m:t>
            </m:r>
          </m:e>
          <m:sub>
            <m:r>
              <m:rPr>
                <m:nor/>
              </m:rPr>
              <w:rPr>
                <w:rFonts w:ascii="Cambria Math"/>
                <w:b/>
                <w:lang w:val="es-MX"/>
              </w:rPr>
              <m:t>impl</m:t>
            </m:r>
            <m:r>
              <m:rPr>
                <m:nor/>
              </m:rPr>
              <w:rPr>
                <w:rFonts w:ascii="Cambria Math"/>
                <w:b/>
                <w:lang w:val="es-MX"/>
              </w:rPr>
              <m:t>í</m:t>
            </m:r>
            <m:r>
              <m:rPr>
                <m:nor/>
              </m:rPr>
              <w:rPr>
                <w:rFonts w:ascii="Cambria Math"/>
                <w:b/>
                <w:lang w:val="es-MX"/>
              </w:rPr>
              <m:t>cito</m:t>
            </m:r>
          </m:sub>
        </m:sSub>
        <m:r>
          <m:rPr>
            <m:sty m:val="bi"/>
          </m:rPr>
          <w:rPr>
            <w:rFonts w:ascii="Cambria Math" w:hAnsi="Cambria Math"/>
            <w:lang w:val="es-MX"/>
          </w:rPr>
          <m:t xml:space="preserve"> ×(</m:t>
        </m:r>
        <m:r>
          <m:rPr>
            <m:nor/>
          </m:rPr>
          <w:rPr>
            <w:b/>
            <w:lang w:val="es-MX"/>
          </w:rPr>
          <m:t>1</m:t>
        </m:r>
        <m:r>
          <m:rPr>
            <m:sty m:val="b"/>
          </m:rPr>
          <w:rPr>
            <w:rFonts w:ascii="Cambria Math" w:hAnsi="Cambria Math"/>
            <w:color w:val="555555"/>
            <w:sz w:val="21"/>
            <w:szCs w:val="21"/>
            <w:shd w:val="clear" w:color="auto" w:fill="FFFFFF"/>
            <w:lang w:val="es-MX"/>
          </w:rPr>
          <m:t>-</m:t>
        </m:r>
        <m:r>
          <m:rPr>
            <m:sty m:val="b"/>
          </m:rPr>
          <w:rPr>
            <w:rFonts w:ascii="Cambria Math" w:hAnsi="Cambria Math"/>
            <w:lang w:val="es-MX"/>
          </w:rPr>
          <m:t>%</m:t>
        </m:r>
        <m:sSub>
          <m:sSubPr>
            <m:ctrlPr>
              <w:rPr>
                <w:rFonts w:ascii="Cambria Math" w:hAnsi="Cambria Math"/>
                <w:b/>
              </w:rPr>
            </m:ctrlPr>
          </m:sSubPr>
          <m:e>
            <m:r>
              <m:rPr>
                <m:nor/>
              </m:rPr>
              <w:rPr>
                <w:b/>
                <w:lang w:val="es-MX"/>
              </w:rPr>
              <m:t>c</m:t>
            </m:r>
          </m:e>
          <m:sub>
            <m:r>
              <m:rPr>
                <m:nor/>
              </m:rPr>
              <w:rPr>
                <w:b/>
                <w:lang w:val="es-MX"/>
              </w:rPr>
              <m:t>Internet</m:t>
            </m:r>
          </m:sub>
        </m:sSub>
        <m:r>
          <m:rPr>
            <m:sty m:val="bi"/>
          </m:rPr>
          <w:rPr>
            <w:rFonts w:ascii="Cambria Math" w:hAnsi="Cambria Math"/>
            <w:lang w:val="es-MX"/>
          </w:rPr>
          <m:t xml:space="preserve"> </m:t>
        </m:r>
        <m:r>
          <m:rPr>
            <m:sty m:val="b"/>
          </m:rPr>
          <w:rPr>
            <w:rFonts w:ascii="Cambria Math" w:hAnsi="Cambria Math"/>
            <w:color w:val="555555"/>
            <w:sz w:val="21"/>
            <w:szCs w:val="21"/>
            <w:shd w:val="clear" w:color="auto" w:fill="FFFFFF"/>
            <w:lang w:val="es-MX"/>
          </w:rPr>
          <m:t xml:space="preserve">) </m:t>
        </m:r>
      </m:oMath>
    </w:p>
    <w:p w14:paraId="122EB7B1" w14:textId="77777777" w:rsidR="00DE64CD" w:rsidRPr="00517758" w:rsidRDefault="00DE64CD" w:rsidP="00DE64CD">
      <w:pPr>
        <w:pStyle w:val="PuntosC4"/>
        <w:numPr>
          <w:ilvl w:val="3"/>
          <w:numId w:val="40"/>
        </w:numPr>
        <w:ind w:left="993" w:hanging="993"/>
        <w:outlineLvl w:val="2"/>
      </w:pPr>
      <w:bookmarkStart w:id="70" w:name="_Toc525570039"/>
      <w:bookmarkStart w:id="71" w:name="_Toc525579159"/>
      <w:bookmarkStart w:id="72" w:name="_Toc525656735"/>
      <w:bookmarkStart w:id="73" w:name="_Toc51700023"/>
      <w:bookmarkStart w:id="74" w:name="_Toc52188513"/>
      <w:r w:rsidRPr="00517758">
        <w:t xml:space="preserve">Esquema aplicable </w:t>
      </w:r>
      <w:r>
        <w:t xml:space="preserve">al </w:t>
      </w:r>
      <w:r w:rsidRPr="00517758">
        <w:t>SR</w:t>
      </w:r>
      <w:r>
        <w:t>P</w:t>
      </w:r>
      <w:bookmarkEnd w:id="70"/>
      <w:bookmarkEnd w:id="71"/>
      <w:bookmarkEnd w:id="72"/>
      <w:bookmarkEnd w:id="73"/>
      <w:bookmarkEnd w:id="74"/>
    </w:p>
    <w:p w14:paraId="2549BFDE" w14:textId="0CD81031" w:rsidR="00DE64CD" w:rsidRDefault="00DE64CD" w:rsidP="00DE64CD">
      <w:pPr>
        <w:pStyle w:val="IFTnormal"/>
      </w:pPr>
      <w:r>
        <w:t>Por otra parte, e</w:t>
      </w:r>
      <w:r w:rsidRPr="001D1E25">
        <w:t>n el caso del SRP,</w:t>
      </w:r>
      <w:r>
        <w:t xml:space="preserve"> </w:t>
      </w:r>
      <w:r w:rsidRPr="00020002">
        <w:t xml:space="preserve">los precios </w:t>
      </w:r>
      <w:r>
        <w:t>implícitos</w:t>
      </w:r>
      <w:r w:rsidRPr="00020002">
        <w:t xml:space="preserve"> a emplearse corresponden a</w:t>
      </w:r>
      <w:r>
        <w:t xml:space="preserve"> los estimados por el modelo para</w:t>
      </w:r>
      <w:r w:rsidRPr="00020002">
        <w:t xml:space="preserve"> planes o paq</w:t>
      </w:r>
      <w:r w:rsidR="00B93087">
        <w:t>uetes mediante los cuales Telmex y Telnor</w:t>
      </w:r>
      <w:r w:rsidRPr="00020002">
        <w:t xml:space="preserve"> ofrece</w:t>
      </w:r>
      <w:r w:rsidR="00B93087">
        <w:t>n</w:t>
      </w:r>
      <w:r w:rsidRPr="00020002">
        <w:t xml:space="preserve"> simultáneamente</w:t>
      </w:r>
      <w:r>
        <w:t xml:space="preserve"> telefonía e Internet, en consideración de lo cual</w:t>
      </w:r>
      <w:r w:rsidRPr="001D1E25">
        <w:t xml:space="preserve"> </w:t>
      </w:r>
      <w:r>
        <w:t>la estimación correspondiente se realiza a través del esquema:</w:t>
      </w:r>
    </w:p>
    <w:p w14:paraId="195274D4" w14:textId="521F4157" w:rsidR="00DE64CD" w:rsidRDefault="003175E4" w:rsidP="00DE64CD">
      <w:pPr>
        <w:pStyle w:val="IFTnormal"/>
        <w:jc w:val="center"/>
      </w:pPr>
      <m:oMath>
        <m:sSub>
          <m:sSubPr>
            <m:ctrlPr>
              <w:rPr>
                <w:rFonts w:ascii="Cambria Math" w:hAnsi="Cambria Math"/>
                <w:b/>
              </w:rPr>
            </m:ctrlPr>
          </m:sSubPr>
          <m:e>
            <m:r>
              <m:rPr>
                <m:nor/>
              </m:rPr>
              <w:rPr>
                <w:b/>
              </w:rPr>
              <m:t>P</m:t>
            </m:r>
          </m:e>
          <m:sub>
            <m:r>
              <m:rPr>
                <m:nor/>
              </m:rPr>
              <w:rPr>
                <w:b/>
              </w:rPr>
              <m:t>mayorista</m:t>
            </m:r>
          </m:sub>
        </m:sSub>
      </m:oMath>
      <w:r w:rsidR="00DE64CD">
        <w:rPr>
          <w:b/>
        </w:rPr>
        <w:t xml:space="preserve"> = </w:t>
      </w:r>
      <m:oMath>
        <m:sSub>
          <m:sSubPr>
            <m:ctrlPr>
              <w:rPr>
                <w:rFonts w:ascii="Cambria Math" w:hAnsi="Cambria Math"/>
                <w:b/>
              </w:rPr>
            </m:ctrlPr>
          </m:sSubPr>
          <m:e>
            <m:r>
              <m:rPr>
                <m:nor/>
              </m:rPr>
              <w:rPr>
                <w:b/>
              </w:rPr>
              <m:t>P</m:t>
            </m:r>
          </m:e>
          <m:sub>
            <m:r>
              <m:rPr>
                <m:nor/>
              </m:rPr>
              <w:rPr>
                <w:b/>
              </w:rPr>
              <m:t>implícito renta de línea</m:t>
            </m:r>
          </m:sub>
        </m:sSub>
        <m:r>
          <m:rPr>
            <m:sty m:val="bi"/>
          </m:rPr>
          <w:rPr>
            <w:rFonts w:ascii="Cambria Math" w:hAnsi="Cambria Math"/>
          </w:rPr>
          <m:t xml:space="preserve"> ×</m:t>
        </m:r>
        <m:d>
          <m:dPr>
            <m:ctrlPr>
              <w:rPr>
                <w:rFonts w:ascii="Cambria Math" w:hAnsi="Cambria Math"/>
                <w:b/>
                <w:i/>
              </w:rPr>
            </m:ctrlPr>
          </m:dPr>
          <m:e>
            <m:r>
              <m:rPr>
                <m:sty m:val="bi"/>
              </m:rPr>
              <w:rPr>
                <w:rFonts w:ascii="Cambria Math" w:hAnsi="Cambria Math"/>
              </w:rPr>
              <m:t>1</m:t>
            </m:r>
            <m:r>
              <m:rPr>
                <m:sty m:val="b"/>
              </m:rPr>
              <w:rPr>
                <w:rFonts w:ascii="Cambria Math" w:hAnsi="Cambria Math"/>
              </w:rPr>
              <m:t>- %</m:t>
            </m:r>
            <m:sSub>
              <m:sSubPr>
                <m:ctrlPr>
                  <w:rPr>
                    <w:rFonts w:ascii="Cambria Math" w:hAnsi="Cambria Math"/>
                    <w:b/>
                  </w:rPr>
                </m:ctrlPr>
              </m:sSubPr>
              <m:e>
                <m:r>
                  <m:rPr>
                    <m:nor/>
                  </m:rPr>
                  <w:rPr>
                    <w:b/>
                    <w:iCs/>
                  </w:rPr>
                  <m:t>c</m:t>
                </m:r>
              </m:e>
              <m:sub>
                <m:r>
                  <m:rPr>
                    <m:nor/>
                  </m:rPr>
                  <w:rPr>
                    <w:b/>
                  </w:rPr>
                  <m:t>renta de línea</m:t>
                </m:r>
              </m:sub>
            </m:sSub>
            <m:ctrlPr>
              <w:rPr>
                <w:rFonts w:ascii="Cambria Math" w:hAnsi="Cambria Math"/>
                <w:b/>
              </w:rPr>
            </m:ctrlPr>
          </m:e>
        </m:d>
        <m:r>
          <m:rPr>
            <m:sty m:val="b"/>
          </m:rPr>
          <w:rPr>
            <w:rFonts w:ascii="Cambria Math" w:hAnsi="Arial"/>
            <w:color w:val="555555"/>
            <w:sz w:val="21"/>
            <w:szCs w:val="21"/>
            <w:shd w:val="clear" w:color="auto" w:fill="FFFFFF"/>
          </w:rPr>
          <m:t xml:space="preserve">+ </m:t>
        </m:r>
        <m:sSub>
          <m:sSubPr>
            <m:ctrlPr>
              <w:rPr>
                <w:rFonts w:ascii="Cambria Math" w:hAnsi="Cambria Math"/>
                <w:b/>
              </w:rPr>
            </m:ctrlPr>
          </m:sSubPr>
          <m:e>
            <m:r>
              <m:rPr>
                <m:nor/>
              </m:rPr>
              <w:rPr>
                <w:rFonts w:ascii="Cambria Math"/>
                <w:b/>
              </w:rPr>
              <m:t xml:space="preserve">( </m:t>
            </m:r>
            <m:r>
              <m:rPr>
                <m:nor/>
              </m:rPr>
              <w:rPr>
                <w:b/>
              </w:rPr>
              <m:t>P</m:t>
            </m:r>
          </m:e>
          <m:sub>
            <m:r>
              <m:rPr>
                <m:nor/>
              </m:rPr>
              <w:rPr>
                <w:b/>
              </w:rPr>
              <m:t>implícito servicios de voz</m:t>
            </m:r>
          </m:sub>
        </m:sSub>
        <m:r>
          <m:rPr>
            <m:sty m:val="bi"/>
          </m:rPr>
          <w:rPr>
            <w:rFonts w:ascii="Cambria Math" w:hAnsi="Cambria Math"/>
          </w:rPr>
          <m:t xml:space="preserve">+ </m:t>
        </m:r>
        <m:sSub>
          <m:sSubPr>
            <m:ctrlPr>
              <w:rPr>
                <w:rFonts w:ascii="Cambria Math" w:hAnsi="Cambria Math"/>
                <w:b/>
              </w:rPr>
            </m:ctrlPr>
          </m:sSubPr>
          <m:e>
            <m:r>
              <m:rPr>
                <m:nor/>
              </m:rPr>
              <w:rPr>
                <w:rFonts w:ascii="Cambria Math"/>
                <w:b/>
              </w:rPr>
              <m:t xml:space="preserve"> </m:t>
            </m:r>
            <m:r>
              <m:rPr>
                <m:nor/>
              </m:rPr>
              <w:rPr>
                <w:b/>
              </w:rPr>
              <m:t>P</m:t>
            </m:r>
          </m:e>
          <m:sub>
            <m:r>
              <m:rPr>
                <m:nor/>
              </m:rPr>
              <w:rPr>
                <w:b/>
              </w:rPr>
              <m:t xml:space="preserve">implícito servicios </m:t>
            </m:r>
            <m:r>
              <m:rPr>
                <m:nor/>
              </m:rPr>
              <w:rPr>
                <w:rFonts w:ascii="Cambria Math"/>
                <w:b/>
              </w:rPr>
              <m:t xml:space="preserve"> </m:t>
            </m:r>
            <m:r>
              <m:rPr>
                <m:nor/>
              </m:rPr>
              <w:rPr>
                <w:b/>
              </w:rPr>
              <m:t>digitales de voz</m:t>
            </m:r>
          </m:sub>
        </m:sSub>
        <m:r>
          <m:rPr>
            <m:sty m:val="bi"/>
          </m:rPr>
          <w:rPr>
            <w:rFonts w:ascii="Cambria Math" w:hAnsi="Cambria Math"/>
          </w:rPr>
          <m:t>) ×</m:t>
        </m:r>
        <m:d>
          <m:dPr>
            <m:ctrlPr>
              <w:rPr>
                <w:rFonts w:ascii="Cambria Math" w:hAnsi="Cambria Math"/>
                <w:b/>
                <w:i/>
              </w:rPr>
            </m:ctrlPr>
          </m:dPr>
          <m:e>
            <m:r>
              <m:rPr>
                <m:sty m:val="bi"/>
              </m:rPr>
              <w:rPr>
                <w:rFonts w:ascii="Cambria Math" w:hAnsi="Cambria Math"/>
              </w:rPr>
              <m:t>1</m:t>
            </m:r>
            <m:r>
              <m:rPr>
                <m:sty m:val="b"/>
              </m:rPr>
              <w:rPr>
                <w:rFonts w:ascii="Cambria Math" w:hAnsi="Cambria Math"/>
              </w:rPr>
              <m:t>- %</m:t>
            </m:r>
            <m:sSub>
              <m:sSubPr>
                <m:ctrlPr>
                  <w:rPr>
                    <w:rFonts w:ascii="Cambria Math" w:hAnsi="Cambria Math"/>
                    <w:b/>
                  </w:rPr>
                </m:ctrlPr>
              </m:sSubPr>
              <m:e>
                <m:r>
                  <m:rPr>
                    <m:nor/>
                  </m:rPr>
                  <w:rPr>
                    <w:b/>
                    <w:iCs/>
                  </w:rPr>
                  <m:t>c</m:t>
                </m:r>
              </m:e>
              <m:sub>
                <m:r>
                  <m:rPr>
                    <m:nor/>
                  </m:rPr>
                  <w:rPr>
                    <w:b/>
                  </w:rPr>
                  <m:t>servicios de voz</m:t>
                </m:r>
              </m:sub>
            </m:sSub>
            <m:ctrlPr>
              <w:rPr>
                <w:rFonts w:ascii="Cambria Math" w:hAnsi="Cambria Math"/>
                <w:b/>
              </w:rPr>
            </m:ctrlPr>
          </m:e>
        </m:d>
        <m:r>
          <m:rPr>
            <m:sty m:val="bi"/>
          </m:rPr>
          <w:rPr>
            <w:rFonts w:ascii="Cambria Math" w:hAnsi="Cambria Math"/>
          </w:rPr>
          <m:t xml:space="preserve">+ </m:t>
        </m:r>
        <m:r>
          <m:rPr>
            <m:sty m:val="b"/>
          </m:rPr>
          <w:rPr>
            <w:rFonts w:ascii="Cambria Math" w:hAnsi="Arial"/>
            <w:color w:val="555555"/>
            <w:sz w:val="21"/>
            <w:szCs w:val="21"/>
            <w:shd w:val="clear" w:color="auto" w:fill="FFFFFF"/>
          </w:rPr>
          <m:t xml:space="preserve"> </m:t>
        </m:r>
        <m:sSub>
          <m:sSubPr>
            <m:ctrlPr>
              <w:rPr>
                <w:rFonts w:ascii="Cambria Math" w:hAnsi="Cambria Math"/>
                <w:b/>
              </w:rPr>
            </m:ctrlPr>
          </m:sSubPr>
          <m:e>
            <m:r>
              <m:rPr>
                <m:nor/>
              </m:rPr>
              <w:rPr>
                <w:b/>
              </w:rPr>
              <m:t>P</m:t>
            </m:r>
          </m:e>
          <m:sub>
            <m:r>
              <m:rPr>
                <m:nor/>
              </m:rPr>
              <w:rPr>
                <w:b/>
              </w:rPr>
              <m:t>implícito Internet</m:t>
            </m:r>
          </m:sub>
        </m:sSub>
        <m:r>
          <m:rPr>
            <m:sty m:val="bi"/>
          </m:rPr>
          <w:rPr>
            <w:rFonts w:ascii="Cambria Math" w:hAnsi="Cambria Math"/>
          </w:rPr>
          <m:t xml:space="preserve"> ×</m:t>
        </m:r>
        <m:d>
          <m:dPr>
            <m:ctrlPr>
              <w:rPr>
                <w:rFonts w:ascii="Cambria Math" w:hAnsi="Cambria Math"/>
                <w:b/>
              </w:rPr>
            </m:ctrlPr>
          </m:dPr>
          <m:e>
            <m:r>
              <m:rPr>
                <m:sty m:val="b"/>
              </m:rPr>
              <w:rPr>
                <w:rFonts w:ascii="Cambria Math" w:hAnsi="Cambria Math"/>
              </w:rPr>
              <m:t>1- %</m:t>
            </m:r>
            <m:sSub>
              <m:sSubPr>
                <m:ctrlPr>
                  <w:rPr>
                    <w:rFonts w:ascii="Cambria Math" w:hAnsi="Cambria Math"/>
                    <w:b/>
                  </w:rPr>
                </m:ctrlPr>
              </m:sSubPr>
              <m:e>
                <m:r>
                  <m:rPr>
                    <m:nor/>
                  </m:rPr>
                  <w:rPr>
                    <w:b/>
                  </w:rPr>
                  <m:t>c</m:t>
                </m:r>
              </m:e>
              <m:sub>
                <m:r>
                  <m:rPr>
                    <m:nor/>
                  </m:rPr>
                  <w:rPr>
                    <w:b/>
                  </w:rPr>
                  <m:t>Internet</m:t>
                </m:r>
              </m:sub>
            </m:sSub>
          </m:e>
        </m:d>
      </m:oMath>
    </w:p>
    <w:p w14:paraId="0B589FF1" w14:textId="77777777" w:rsidR="00DE64CD" w:rsidRDefault="00DE64CD" w:rsidP="00DE64CD">
      <w:pPr>
        <w:pStyle w:val="IFTnormal"/>
      </w:pPr>
      <w:r>
        <w:t>Donde los términos involucrados tienen el significado descrito en la siguiente tabla:</w:t>
      </w:r>
    </w:p>
    <w:tbl>
      <w:tblPr>
        <w:tblStyle w:val="Tabladecuadrcula1clara"/>
        <w:tblW w:w="5000" w:type="pct"/>
        <w:jc w:val="center"/>
        <w:tblLook w:val="0420" w:firstRow="1" w:lastRow="0" w:firstColumn="0" w:lastColumn="0" w:noHBand="0" w:noVBand="1"/>
      </w:tblPr>
      <w:tblGrid>
        <w:gridCol w:w="2253"/>
        <w:gridCol w:w="6575"/>
      </w:tblGrid>
      <w:tr w:rsidR="00DE64CD" w:rsidRPr="00E537BD" w14:paraId="44BB2363" w14:textId="77777777" w:rsidTr="00A4557C">
        <w:trPr>
          <w:cnfStyle w:val="100000000000" w:firstRow="1" w:lastRow="0" w:firstColumn="0" w:lastColumn="0" w:oddVBand="0" w:evenVBand="0" w:oddHBand="0" w:evenHBand="0" w:firstRowFirstColumn="0" w:firstRowLastColumn="0" w:lastRowFirstColumn="0" w:lastRowLastColumn="0"/>
          <w:trHeight w:val="278"/>
          <w:jc w:val="center"/>
        </w:trPr>
        <w:tc>
          <w:tcPr>
            <w:tcW w:w="1260" w:type="pct"/>
            <w:shd w:val="clear" w:color="auto" w:fill="E7E6E6" w:themeFill="background2"/>
          </w:tcPr>
          <w:p w14:paraId="61FC997F" w14:textId="77777777" w:rsidR="00DE64CD" w:rsidRPr="00E537BD" w:rsidRDefault="00DE64CD" w:rsidP="00A4557C">
            <w:pPr>
              <w:pStyle w:val="Tableheading"/>
              <w:spacing w:before="0" w:after="0"/>
              <w:jc w:val="center"/>
              <w:rPr>
                <w:rFonts w:ascii="ITC Avant Garde" w:hAnsi="ITC Avant Garde"/>
                <w:b/>
                <w:color w:val="000000" w:themeColor="text1"/>
                <w:szCs w:val="18"/>
                <w:lang w:val="es-ES_tradnl"/>
              </w:rPr>
            </w:pPr>
            <w:r>
              <w:rPr>
                <w:rFonts w:ascii="ITC Avant Garde" w:hAnsi="ITC Avant Garde" w:cs="Arial"/>
                <w:b/>
                <w:color w:val="000000"/>
                <w:lang w:val="es-ES" w:eastAsia="es-ES"/>
              </w:rPr>
              <w:t>Concepto</w:t>
            </w:r>
          </w:p>
        </w:tc>
        <w:tc>
          <w:tcPr>
            <w:tcW w:w="3740" w:type="pct"/>
            <w:shd w:val="clear" w:color="auto" w:fill="E7E6E6" w:themeFill="background2"/>
          </w:tcPr>
          <w:p w14:paraId="329978C6" w14:textId="77777777" w:rsidR="00DE64CD" w:rsidRPr="00E537BD" w:rsidRDefault="00DE64CD" w:rsidP="00A4557C">
            <w:pPr>
              <w:pStyle w:val="Tableheading"/>
              <w:spacing w:before="0" w:after="0"/>
              <w:jc w:val="center"/>
              <w:rPr>
                <w:rFonts w:ascii="ITC Avant Garde" w:hAnsi="ITC Avant Garde"/>
                <w:b/>
                <w:color w:val="000000" w:themeColor="text1"/>
                <w:szCs w:val="18"/>
                <w:lang w:val="es-ES_tradnl"/>
              </w:rPr>
            </w:pPr>
            <w:r>
              <w:rPr>
                <w:rFonts w:ascii="ITC Avant Garde" w:hAnsi="ITC Avant Garde"/>
                <w:b/>
                <w:color w:val="000000" w:themeColor="text1"/>
                <w:szCs w:val="18"/>
                <w:lang w:val="es-ES_tradnl"/>
              </w:rPr>
              <w:t>Descripción</w:t>
            </w:r>
            <w:r w:rsidRPr="00E537BD">
              <w:rPr>
                <w:rFonts w:ascii="ITC Avant Garde" w:hAnsi="ITC Avant Garde"/>
                <w:b/>
                <w:color w:val="000000" w:themeColor="text1"/>
                <w:szCs w:val="18"/>
                <w:lang w:val="es-ES_tradnl"/>
              </w:rPr>
              <w:t xml:space="preserve"> </w:t>
            </w:r>
          </w:p>
        </w:tc>
      </w:tr>
      <w:tr w:rsidR="00DE64CD" w:rsidRPr="00480AE5" w14:paraId="19D137A8" w14:textId="77777777" w:rsidTr="00A4557C">
        <w:trPr>
          <w:trHeight w:val="276"/>
          <w:jc w:val="center"/>
        </w:trPr>
        <w:tc>
          <w:tcPr>
            <w:tcW w:w="1260" w:type="pct"/>
            <w:vAlign w:val="center"/>
          </w:tcPr>
          <w:p w14:paraId="5A49768A" w14:textId="77777777" w:rsidR="00DE64CD" w:rsidRPr="001D1E25" w:rsidRDefault="003175E4" w:rsidP="00A4557C">
            <w:pPr>
              <w:pStyle w:val="IFTnormal"/>
              <w:jc w:val="center"/>
              <w:rPr>
                <w:rFonts w:ascii="Cambria Math" w:hAnsi="Cambria Math"/>
                <w:b/>
              </w:rPr>
            </w:pPr>
            <m:oMathPara>
              <m:oMath>
                <m:sSub>
                  <m:sSubPr>
                    <m:ctrlPr>
                      <w:rPr>
                        <w:rFonts w:ascii="Cambria Math" w:hAnsi="Cambria Math"/>
                        <w:b/>
                      </w:rPr>
                    </m:ctrlPr>
                  </m:sSubPr>
                  <m:e>
                    <m:r>
                      <m:rPr>
                        <m:nor/>
                      </m:rPr>
                      <w:rPr>
                        <w:b/>
                      </w:rPr>
                      <m:t>P</m:t>
                    </m:r>
                  </m:e>
                  <m:sub>
                    <m:r>
                      <m:rPr>
                        <m:nor/>
                      </m:rPr>
                      <w:rPr>
                        <w:b/>
                      </w:rPr>
                      <m:t>implícito renta de línea</m:t>
                    </m:r>
                  </m:sub>
                </m:sSub>
              </m:oMath>
            </m:oMathPara>
          </w:p>
        </w:tc>
        <w:tc>
          <w:tcPr>
            <w:tcW w:w="3740" w:type="pct"/>
            <w:vAlign w:val="center"/>
          </w:tcPr>
          <w:p w14:paraId="4F556359" w14:textId="77777777" w:rsidR="00DE64CD" w:rsidRPr="00480AE5" w:rsidRDefault="00DE64CD" w:rsidP="00A4557C">
            <w:pPr>
              <w:pStyle w:val="Tablecells"/>
              <w:spacing w:before="0" w:after="0"/>
              <w:jc w:val="both"/>
              <w:rPr>
                <w:rFonts w:ascii="ITC Avant Garde" w:hAnsi="ITC Avant Garde"/>
                <w:szCs w:val="18"/>
                <w:lang w:val="es-ES_tradnl"/>
              </w:rPr>
            </w:pPr>
            <w:r>
              <w:rPr>
                <w:rFonts w:ascii="ITC Avant Garde" w:hAnsi="ITC Avant Garde"/>
                <w:szCs w:val="18"/>
                <w:lang w:val="es-ES_tradnl"/>
              </w:rPr>
              <w:t>Se refiere al precio implícito estimado por el modelo de la renta de la línea del plan o paquete en estudio.</w:t>
            </w:r>
          </w:p>
        </w:tc>
      </w:tr>
      <w:tr w:rsidR="00DE64CD" w:rsidRPr="00480AE5" w14:paraId="6CB64C11" w14:textId="77777777" w:rsidTr="00A4557C">
        <w:trPr>
          <w:trHeight w:val="276"/>
          <w:jc w:val="center"/>
        </w:trPr>
        <w:tc>
          <w:tcPr>
            <w:tcW w:w="1260" w:type="pct"/>
            <w:shd w:val="clear" w:color="auto" w:fill="F2F2F2" w:themeFill="background1" w:themeFillShade="F2"/>
            <w:vAlign w:val="center"/>
          </w:tcPr>
          <w:p w14:paraId="0A50F835" w14:textId="77777777" w:rsidR="00DE64CD" w:rsidRPr="001D1E25" w:rsidRDefault="00DE64CD" w:rsidP="00A4557C">
            <w:pPr>
              <w:pStyle w:val="IFTnormal"/>
              <w:jc w:val="center"/>
              <w:rPr>
                <w:rFonts w:ascii="Cambria Math" w:hAnsi="Cambria Math"/>
                <w:b/>
              </w:rPr>
            </w:pPr>
            <m:oMathPara>
              <m:oMath>
                <m:r>
                  <m:rPr>
                    <m:sty m:val="b"/>
                  </m:rPr>
                  <w:rPr>
                    <w:rFonts w:ascii="Cambria Math" w:hAnsi="Cambria Math"/>
                  </w:rPr>
                  <m:t>%</m:t>
                </m:r>
                <m:sSub>
                  <m:sSubPr>
                    <m:ctrlPr>
                      <w:rPr>
                        <w:rFonts w:ascii="Cambria Math" w:hAnsi="Cambria Math"/>
                        <w:b/>
                      </w:rPr>
                    </m:ctrlPr>
                  </m:sSubPr>
                  <m:e>
                    <m:r>
                      <m:rPr>
                        <m:nor/>
                      </m:rPr>
                      <w:rPr>
                        <w:b/>
                        <w:iCs/>
                      </w:rPr>
                      <m:t>c</m:t>
                    </m:r>
                  </m:e>
                  <m:sub>
                    <m:r>
                      <m:rPr>
                        <m:nor/>
                      </m:rPr>
                      <w:rPr>
                        <w:b/>
                      </w:rPr>
                      <m:t>renta de línea</m:t>
                    </m:r>
                  </m:sub>
                </m:sSub>
              </m:oMath>
            </m:oMathPara>
          </w:p>
        </w:tc>
        <w:tc>
          <w:tcPr>
            <w:tcW w:w="3740" w:type="pct"/>
            <w:shd w:val="clear" w:color="auto" w:fill="F2F2F2" w:themeFill="background1" w:themeFillShade="F2"/>
            <w:vAlign w:val="center"/>
          </w:tcPr>
          <w:p w14:paraId="5F4ECA5D" w14:textId="77777777" w:rsidR="00DE64CD" w:rsidRPr="00480AE5" w:rsidRDefault="00DE64CD" w:rsidP="00A4557C">
            <w:pPr>
              <w:pStyle w:val="Tablecells"/>
              <w:spacing w:before="0" w:after="0"/>
              <w:jc w:val="both"/>
              <w:rPr>
                <w:rFonts w:ascii="ITC Avant Garde" w:hAnsi="ITC Avant Garde"/>
                <w:szCs w:val="18"/>
                <w:lang w:val="es-ES_tradnl"/>
              </w:rPr>
            </w:pPr>
            <w:r>
              <w:rPr>
                <w:rFonts w:ascii="ITC Avant Garde" w:hAnsi="ITC Avant Garde"/>
                <w:szCs w:val="18"/>
                <w:lang w:val="es-ES_tradnl"/>
              </w:rPr>
              <w:t>Representa el porcentaje de costos evitados estimado respecto al servicio de renta de la línea.</w:t>
            </w:r>
          </w:p>
        </w:tc>
      </w:tr>
      <w:tr w:rsidR="00DE64CD" w:rsidRPr="00480AE5" w14:paraId="50C79D65" w14:textId="77777777" w:rsidTr="00A4557C">
        <w:trPr>
          <w:trHeight w:val="276"/>
          <w:jc w:val="center"/>
        </w:trPr>
        <w:tc>
          <w:tcPr>
            <w:tcW w:w="1260" w:type="pct"/>
            <w:vAlign w:val="center"/>
          </w:tcPr>
          <w:p w14:paraId="289112CD" w14:textId="77777777" w:rsidR="00DE64CD" w:rsidRPr="004F1A57" w:rsidRDefault="003175E4" w:rsidP="00A4557C">
            <w:pPr>
              <w:pStyle w:val="IFTnormal"/>
              <w:rPr>
                <w:b/>
                <w:szCs w:val="18"/>
              </w:rPr>
            </w:pPr>
            <m:oMathPara>
              <m:oMath>
                <m:sSub>
                  <m:sSubPr>
                    <m:ctrlPr>
                      <w:rPr>
                        <w:rFonts w:ascii="Cambria Math" w:hAnsi="Cambria Math"/>
                        <w:b/>
                      </w:rPr>
                    </m:ctrlPr>
                  </m:sSubPr>
                  <m:e>
                    <m:r>
                      <m:rPr>
                        <m:nor/>
                      </m:rPr>
                      <w:rPr>
                        <w:b/>
                      </w:rPr>
                      <m:t>P</m:t>
                    </m:r>
                  </m:e>
                  <m:sub>
                    <m:r>
                      <m:rPr>
                        <m:nor/>
                      </m:rPr>
                      <w:rPr>
                        <w:b/>
                      </w:rPr>
                      <m:t>implícito servicios de voz</m:t>
                    </m:r>
                  </m:sub>
                </m:sSub>
              </m:oMath>
            </m:oMathPara>
          </w:p>
        </w:tc>
        <w:tc>
          <w:tcPr>
            <w:tcW w:w="3740" w:type="pct"/>
            <w:vAlign w:val="center"/>
          </w:tcPr>
          <w:p w14:paraId="608B083B" w14:textId="77777777" w:rsidR="00DE64CD" w:rsidRPr="00480AE5" w:rsidRDefault="00DE64CD" w:rsidP="00A4557C">
            <w:pPr>
              <w:pStyle w:val="Tablecells"/>
              <w:spacing w:before="0" w:after="0"/>
              <w:jc w:val="both"/>
              <w:rPr>
                <w:rFonts w:ascii="ITC Avant Garde" w:hAnsi="ITC Avant Garde"/>
                <w:szCs w:val="18"/>
                <w:lang w:val="es-ES_tradnl"/>
              </w:rPr>
            </w:pPr>
            <w:r>
              <w:rPr>
                <w:rFonts w:ascii="ITC Avant Garde" w:hAnsi="ITC Avant Garde"/>
                <w:szCs w:val="18"/>
                <w:lang w:val="es-ES_tradnl"/>
              </w:rPr>
              <w:t>Se refiere al precio implícito estimado para los servicios de voz asociados al plan o paquete en estudio</w:t>
            </w:r>
          </w:p>
        </w:tc>
      </w:tr>
      <w:tr w:rsidR="00DE64CD" w:rsidRPr="00480AE5" w14:paraId="2BE9251F" w14:textId="77777777" w:rsidTr="00A4557C">
        <w:trPr>
          <w:trHeight w:val="276"/>
          <w:jc w:val="center"/>
        </w:trPr>
        <w:tc>
          <w:tcPr>
            <w:tcW w:w="1260" w:type="pct"/>
            <w:shd w:val="clear" w:color="auto" w:fill="F2F2F2" w:themeFill="background1" w:themeFillShade="F2"/>
            <w:vAlign w:val="center"/>
          </w:tcPr>
          <w:p w14:paraId="14EDFCFE" w14:textId="77777777" w:rsidR="00DE64CD" w:rsidRPr="004F1A57" w:rsidRDefault="00DE64CD" w:rsidP="00A4557C">
            <w:pPr>
              <w:pStyle w:val="IFTnormal"/>
              <w:rPr>
                <w:b/>
                <w:szCs w:val="18"/>
              </w:rPr>
            </w:pPr>
            <m:oMathPara>
              <m:oMath>
                <m:r>
                  <m:rPr>
                    <m:sty m:val="b"/>
                  </m:rPr>
                  <w:rPr>
                    <w:rFonts w:ascii="Cambria Math" w:hAnsi="Cambria Math"/>
                  </w:rPr>
                  <m:t>%</m:t>
                </m:r>
                <m:sSub>
                  <m:sSubPr>
                    <m:ctrlPr>
                      <w:rPr>
                        <w:rFonts w:ascii="Cambria Math" w:hAnsi="Cambria Math"/>
                        <w:b/>
                      </w:rPr>
                    </m:ctrlPr>
                  </m:sSubPr>
                  <m:e>
                    <m:r>
                      <m:rPr>
                        <m:nor/>
                      </m:rPr>
                      <w:rPr>
                        <w:b/>
                        <w:iCs/>
                      </w:rPr>
                      <m:t>c</m:t>
                    </m:r>
                  </m:e>
                  <m:sub>
                    <m:r>
                      <m:rPr>
                        <m:nor/>
                      </m:rPr>
                      <w:rPr>
                        <w:b/>
                      </w:rPr>
                      <m:t>servicios de voz</m:t>
                    </m:r>
                  </m:sub>
                </m:sSub>
              </m:oMath>
            </m:oMathPara>
          </w:p>
        </w:tc>
        <w:tc>
          <w:tcPr>
            <w:tcW w:w="3740" w:type="pct"/>
            <w:shd w:val="clear" w:color="auto" w:fill="F2F2F2" w:themeFill="background1" w:themeFillShade="F2"/>
            <w:vAlign w:val="center"/>
          </w:tcPr>
          <w:p w14:paraId="090F52D3" w14:textId="77777777" w:rsidR="00DE64CD" w:rsidRPr="00480AE5" w:rsidRDefault="00DE64CD" w:rsidP="00A4557C">
            <w:pPr>
              <w:pStyle w:val="Tablecells"/>
              <w:spacing w:before="0" w:after="0"/>
              <w:jc w:val="both"/>
              <w:rPr>
                <w:rFonts w:ascii="ITC Avant Garde" w:hAnsi="ITC Avant Garde"/>
                <w:szCs w:val="18"/>
                <w:lang w:val="es-ES_tradnl"/>
              </w:rPr>
            </w:pPr>
            <w:r>
              <w:rPr>
                <w:rFonts w:ascii="ITC Avant Garde" w:hAnsi="ITC Avant Garde"/>
                <w:szCs w:val="18"/>
                <w:lang w:val="es-ES_tradnl"/>
              </w:rPr>
              <w:t>Representa el porcentaje de costos evitados estimado respecto a los servicios de voz.</w:t>
            </w:r>
          </w:p>
        </w:tc>
      </w:tr>
      <w:tr w:rsidR="00DE64CD" w:rsidRPr="00480AE5" w14:paraId="16AD2894" w14:textId="77777777" w:rsidTr="00A4557C">
        <w:trPr>
          <w:trHeight w:val="276"/>
          <w:jc w:val="center"/>
        </w:trPr>
        <w:tc>
          <w:tcPr>
            <w:tcW w:w="1260" w:type="pct"/>
            <w:vAlign w:val="center"/>
          </w:tcPr>
          <w:p w14:paraId="2A41E025" w14:textId="77777777" w:rsidR="00DE64CD" w:rsidRPr="004F1A57" w:rsidRDefault="003175E4" w:rsidP="00A4557C">
            <w:pPr>
              <w:pStyle w:val="IFTnormal"/>
              <w:rPr>
                <w:b/>
                <w:szCs w:val="18"/>
              </w:rPr>
            </w:pPr>
            <m:oMathPara>
              <m:oMath>
                <m:sSub>
                  <m:sSubPr>
                    <m:ctrlPr>
                      <w:rPr>
                        <w:rFonts w:ascii="Cambria Math" w:hAnsi="Cambria Math"/>
                        <w:b/>
                      </w:rPr>
                    </m:ctrlPr>
                  </m:sSubPr>
                  <m:e>
                    <m:r>
                      <m:rPr>
                        <m:nor/>
                      </m:rPr>
                      <w:rPr>
                        <w:b/>
                      </w:rPr>
                      <m:t>P</m:t>
                    </m:r>
                  </m:e>
                  <m:sub>
                    <m:r>
                      <m:rPr>
                        <m:nor/>
                      </m:rPr>
                      <w:rPr>
                        <w:b/>
                      </w:rPr>
                      <m:t>implícito Internet</m:t>
                    </m:r>
                  </m:sub>
                </m:sSub>
              </m:oMath>
            </m:oMathPara>
          </w:p>
        </w:tc>
        <w:tc>
          <w:tcPr>
            <w:tcW w:w="3740" w:type="pct"/>
            <w:vAlign w:val="center"/>
          </w:tcPr>
          <w:p w14:paraId="3C40A2AA" w14:textId="77777777" w:rsidR="00DE64CD" w:rsidRPr="00480AE5" w:rsidRDefault="00DE64CD" w:rsidP="00A4557C">
            <w:pPr>
              <w:pStyle w:val="Tablecells"/>
              <w:spacing w:before="0" w:after="0"/>
              <w:jc w:val="both"/>
              <w:rPr>
                <w:rFonts w:ascii="ITC Avant Garde" w:hAnsi="ITC Avant Garde"/>
                <w:szCs w:val="18"/>
                <w:lang w:val="es-ES_tradnl"/>
              </w:rPr>
            </w:pPr>
            <w:r>
              <w:rPr>
                <w:rFonts w:ascii="ITC Avant Garde" w:hAnsi="ITC Avant Garde"/>
                <w:szCs w:val="18"/>
                <w:lang w:val="es-ES_tradnl"/>
              </w:rPr>
              <w:t>Corresponde al precio implícito estimado para el servicio de Internet, respecto al plan o paquete en estudio</w:t>
            </w:r>
          </w:p>
        </w:tc>
      </w:tr>
      <w:tr w:rsidR="00DE64CD" w:rsidRPr="00480AE5" w14:paraId="7750AA00" w14:textId="77777777" w:rsidTr="00A4557C">
        <w:trPr>
          <w:trHeight w:val="268"/>
          <w:jc w:val="center"/>
        </w:trPr>
        <w:tc>
          <w:tcPr>
            <w:tcW w:w="1260" w:type="pct"/>
            <w:shd w:val="clear" w:color="auto" w:fill="F2F2F2" w:themeFill="background1" w:themeFillShade="F2"/>
            <w:vAlign w:val="center"/>
          </w:tcPr>
          <w:p w14:paraId="0BFA80EC" w14:textId="77777777" w:rsidR="00DE64CD" w:rsidRPr="004F1A57" w:rsidRDefault="00DE64CD" w:rsidP="00A4557C">
            <w:pPr>
              <w:pStyle w:val="IFTnormal"/>
              <w:rPr>
                <w:b/>
                <w:szCs w:val="18"/>
              </w:rPr>
            </w:pPr>
            <m:oMathPara>
              <m:oMath>
                <m:r>
                  <m:rPr>
                    <m:sty m:val="b"/>
                  </m:rPr>
                  <w:rPr>
                    <w:rFonts w:ascii="Cambria Math" w:hAnsi="Cambria Math"/>
                  </w:rPr>
                  <m:t>%</m:t>
                </m:r>
                <m:sSub>
                  <m:sSubPr>
                    <m:ctrlPr>
                      <w:rPr>
                        <w:rFonts w:ascii="Cambria Math" w:hAnsi="Cambria Math"/>
                        <w:b/>
                      </w:rPr>
                    </m:ctrlPr>
                  </m:sSubPr>
                  <m:e>
                    <m:r>
                      <m:rPr>
                        <m:nor/>
                      </m:rPr>
                      <w:rPr>
                        <w:b/>
                        <w:iCs/>
                      </w:rPr>
                      <m:t>c</m:t>
                    </m:r>
                  </m:e>
                  <m:sub>
                    <m:r>
                      <m:rPr>
                        <m:nor/>
                      </m:rPr>
                      <w:rPr>
                        <w:b/>
                      </w:rPr>
                      <m:t>banda ancha</m:t>
                    </m:r>
                  </m:sub>
                </m:sSub>
              </m:oMath>
            </m:oMathPara>
          </w:p>
        </w:tc>
        <w:tc>
          <w:tcPr>
            <w:tcW w:w="3740" w:type="pct"/>
            <w:shd w:val="clear" w:color="auto" w:fill="F2F2F2" w:themeFill="background1" w:themeFillShade="F2"/>
            <w:vAlign w:val="center"/>
          </w:tcPr>
          <w:p w14:paraId="24309855" w14:textId="77777777" w:rsidR="00DE64CD" w:rsidRPr="00480AE5" w:rsidRDefault="00DE64CD" w:rsidP="00A4557C">
            <w:pPr>
              <w:pStyle w:val="Tablecells"/>
              <w:spacing w:before="0" w:after="0"/>
              <w:jc w:val="both"/>
              <w:rPr>
                <w:rFonts w:ascii="ITC Avant Garde" w:hAnsi="ITC Avant Garde"/>
                <w:szCs w:val="18"/>
                <w:lang w:val="es-ES_tradnl"/>
              </w:rPr>
            </w:pPr>
            <w:r>
              <w:rPr>
                <w:rFonts w:ascii="ITC Avant Garde" w:hAnsi="ITC Avant Garde"/>
                <w:szCs w:val="18"/>
                <w:lang w:val="es-ES_tradnl"/>
              </w:rPr>
              <w:t>Representa el porcentaje de costos evitados, relativo a los servicios de Internet.</w:t>
            </w:r>
          </w:p>
        </w:tc>
      </w:tr>
    </w:tbl>
    <w:p w14:paraId="6C96B9E2" w14:textId="77777777" w:rsidR="00DE64CD" w:rsidRDefault="00DE64CD" w:rsidP="00DE64CD">
      <w:pPr>
        <w:pStyle w:val="IFTnormal"/>
        <w:rPr>
          <w:lang w:val="es-MX"/>
        </w:rPr>
      </w:pPr>
    </w:p>
    <w:p w14:paraId="6D6604EA" w14:textId="1AB74EB5" w:rsidR="00DE64CD" w:rsidRDefault="00DE64CD" w:rsidP="00DE64CD">
      <w:pPr>
        <w:pStyle w:val="IFTnormal"/>
        <w:rPr>
          <w:noProof/>
          <w:lang w:eastAsia="es-MX"/>
        </w:rPr>
      </w:pPr>
      <w:r w:rsidRPr="00DB2F85">
        <w:t xml:space="preserve">En lo referente a los nuevos planes o paquetes mediante los cuales se ofrecen conjuntamente servicios de telefonía e internet, en el modelo se estima un porcentaje de descuento aplicable al precio minorista, como el promedio ponderado (por la distribución de </w:t>
      </w:r>
      <w:r w:rsidR="00FF6805">
        <w:t>usuarios de los paquetes de Telmex y Telnor</w:t>
      </w:r>
      <w:r w:rsidRPr="00DB2F85">
        <w:t>) del nivel de descuento total que se obtiene al comparar el precio mayorista y minorista de los planes y paquetes existente</w:t>
      </w:r>
      <w:r w:rsidR="00FF6805">
        <w:t>s en la oferta minorista de Telmex y Telnor</w:t>
      </w:r>
      <w:r w:rsidRPr="00DB2F85">
        <w:t>, que se consideran directamente en dicha herramienta.</w:t>
      </w:r>
    </w:p>
    <w:p w14:paraId="7DD781E9" w14:textId="77777777" w:rsidR="00DE64CD" w:rsidRPr="00517758" w:rsidRDefault="00DE64CD" w:rsidP="00DE64CD">
      <w:pPr>
        <w:pStyle w:val="PuntosC4"/>
        <w:numPr>
          <w:ilvl w:val="3"/>
          <w:numId w:val="40"/>
        </w:numPr>
        <w:ind w:left="993" w:hanging="993"/>
        <w:outlineLvl w:val="2"/>
      </w:pPr>
      <w:bookmarkStart w:id="75" w:name="_Toc525570040"/>
      <w:bookmarkStart w:id="76" w:name="_Toc525579160"/>
      <w:bookmarkStart w:id="77" w:name="_Toc525656736"/>
      <w:r>
        <w:t xml:space="preserve"> </w:t>
      </w:r>
      <w:bookmarkStart w:id="78" w:name="_Toc51700024"/>
      <w:bookmarkStart w:id="79" w:name="_Toc52188514"/>
      <w:r w:rsidRPr="00517758">
        <w:t xml:space="preserve">Esquema aplicable </w:t>
      </w:r>
      <w:r>
        <w:t xml:space="preserve">al </w:t>
      </w:r>
      <w:r w:rsidRPr="00517758">
        <w:t>SR</w:t>
      </w:r>
      <w:r>
        <w:t>M</w:t>
      </w:r>
      <w:r w:rsidRPr="00517758">
        <w:t>L</w:t>
      </w:r>
      <w:r>
        <w:t>T</w:t>
      </w:r>
      <w:bookmarkEnd w:id="75"/>
      <w:bookmarkEnd w:id="76"/>
      <w:bookmarkEnd w:id="77"/>
      <w:bookmarkEnd w:id="78"/>
      <w:bookmarkEnd w:id="79"/>
    </w:p>
    <w:p w14:paraId="4F9FC00E" w14:textId="77777777" w:rsidR="00DE64CD" w:rsidRDefault="00DE64CD" w:rsidP="00DE64CD">
      <w:pPr>
        <w:pStyle w:val="IFTnormal"/>
      </w:pPr>
      <w:r>
        <w:t xml:space="preserve">En el caso del SRLMT, en el modelo a efecto de determinar la tarifa correspondiente se utiliza el esquema: </w:t>
      </w:r>
    </w:p>
    <w:p w14:paraId="3E97AF07" w14:textId="3528C8F1" w:rsidR="00DE64CD" w:rsidRDefault="003175E4" w:rsidP="00DE64CD">
      <w:pPr>
        <w:pStyle w:val="IFTnormal"/>
        <w:jc w:val="center"/>
      </w:pPr>
      <m:oMath>
        <m:sSub>
          <m:sSubPr>
            <m:ctrlPr>
              <w:rPr>
                <w:rFonts w:ascii="Cambria Math" w:hAnsi="Cambria Math"/>
                <w:b/>
              </w:rPr>
            </m:ctrlPr>
          </m:sSubPr>
          <m:e>
            <m:r>
              <m:rPr>
                <m:nor/>
              </m:rPr>
              <w:rPr>
                <w:b/>
              </w:rPr>
              <m:t>P</m:t>
            </m:r>
          </m:e>
          <m:sub>
            <m:r>
              <m:rPr>
                <m:nor/>
              </m:rPr>
              <w:rPr>
                <w:b/>
              </w:rPr>
              <m:t>mayorista</m:t>
            </m:r>
          </m:sub>
        </m:sSub>
      </m:oMath>
      <w:r w:rsidR="00DE64CD">
        <w:rPr>
          <w:b/>
        </w:rPr>
        <w:t xml:space="preserve"> = </w:t>
      </w:r>
      <m:oMath>
        <m:sSub>
          <m:sSubPr>
            <m:ctrlPr>
              <w:rPr>
                <w:rFonts w:ascii="Cambria Math" w:hAnsi="Cambria Math"/>
                <w:b/>
              </w:rPr>
            </m:ctrlPr>
          </m:sSubPr>
          <m:e>
            <m:r>
              <m:rPr>
                <m:nor/>
              </m:rPr>
              <w:rPr>
                <w:b/>
              </w:rPr>
              <m:t>P</m:t>
            </m:r>
          </m:e>
          <m:sub>
            <m:r>
              <m:rPr>
                <m:nor/>
              </m:rPr>
              <w:rPr>
                <w:b/>
              </w:rPr>
              <m:t xml:space="preserve"> implícito promedio del acceso </m:t>
            </m:r>
          </m:sub>
        </m:sSub>
        <m:r>
          <m:rPr>
            <m:sty m:val="bi"/>
          </m:rPr>
          <w:rPr>
            <w:rFonts w:ascii="Cambria Math" w:hAnsi="Cambria Math"/>
          </w:rPr>
          <m:t xml:space="preserve"> ×(1</m:t>
        </m:r>
        <m:r>
          <m:rPr>
            <m:nor/>
          </m:rPr>
          <w:rPr>
            <w:b/>
          </w:rPr>
          <m:t>-</m:t>
        </m:r>
        <m:r>
          <m:rPr>
            <m:sty m:val="b"/>
          </m:rPr>
          <w:rPr>
            <w:rFonts w:ascii="Cambria Math" w:hAnsi="Cambria Math"/>
          </w:rPr>
          <m:t>%</m:t>
        </m:r>
        <m:sSub>
          <m:sSubPr>
            <m:ctrlPr>
              <w:rPr>
                <w:rFonts w:ascii="Cambria Math" w:hAnsi="Cambria Math"/>
                <w:b/>
              </w:rPr>
            </m:ctrlPr>
          </m:sSubPr>
          <m:e>
            <m:r>
              <m:rPr>
                <m:nor/>
              </m:rPr>
              <w:rPr>
                <w:b/>
                <w:iCs/>
              </w:rPr>
              <m:t>c</m:t>
            </m:r>
          </m:e>
          <m:sub>
            <m:r>
              <m:rPr>
                <m:nor/>
              </m:rPr>
              <w:rPr>
                <w:b/>
              </w:rPr>
              <m:t>servicios de voz</m:t>
            </m:r>
          </m:sub>
        </m:sSub>
        <m:r>
          <m:rPr>
            <m:sty m:val="b"/>
          </m:rPr>
          <w:rPr>
            <w:rFonts w:ascii="Cambria Math" w:hAnsi="Cambria Math"/>
            <w:color w:val="555555"/>
            <w:sz w:val="21"/>
            <w:szCs w:val="21"/>
            <w:shd w:val="clear" w:color="auto" w:fill="FFFFFF"/>
          </w:rPr>
          <m:t>)</m:t>
        </m:r>
        <m:r>
          <m:rPr>
            <m:sty m:val="b"/>
          </m:rPr>
          <w:rPr>
            <w:rFonts w:ascii="Cambria Math" w:hAnsi="Arial"/>
            <w:color w:val="555555"/>
            <w:sz w:val="21"/>
            <w:szCs w:val="21"/>
            <w:shd w:val="clear" w:color="auto" w:fill="FFFFFF"/>
          </w:rPr>
          <m:t xml:space="preserve"> </m:t>
        </m:r>
      </m:oMath>
    </w:p>
    <w:p w14:paraId="5C22867E" w14:textId="77777777" w:rsidR="00DE64CD" w:rsidRDefault="00DE64CD" w:rsidP="00DE64CD">
      <w:pPr>
        <w:pStyle w:val="IFTnormal"/>
      </w:pPr>
      <w:r>
        <w:t>Donde los términos involucrados denotan lo siguiente:</w:t>
      </w:r>
    </w:p>
    <w:tbl>
      <w:tblPr>
        <w:tblStyle w:val="Tabladecuadrcula1clara"/>
        <w:tblW w:w="5000" w:type="pct"/>
        <w:jc w:val="center"/>
        <w:tblLook w:val="0420" w:firstRow="1" w:lastRow="0" w:firstColumn="0" w:lastColumn="0" w:noHBand="0" w:noVBand="1"/>
      </w:tblPr>
      <w:tblGrid>
        <w:gridCol w:w="2736"/>
        <w:gridCol w:w="6092"/>
      </w:tblGrid>
      <w:tr w:rsidR="00DE64CD" w:rsidRPr="00E537BD" w14:paraId="769EFDFF" w14:textId="77777777" w:rsidTr="00A4557C">
        <w:trPr>
          <w:cnfStyle w:val="100000000000" w:firstRow="1" w:lastRow="0" w:firstColumn="0" w:lastColumn="0" w:oddVBand="0" w:evenVBand="0" w:oddHBand="0" w:evenHBand="0" w:firstRowFirstColumn="0" w:firstRowLastColumn="0" w:lastRowFirstColumn="0" w:lastRowLastColumn="0"/>
          <w:trHeight w:val="278"/>
          <w:jc w:val="center"/>
        </w:trPr>
        <w:tc>
          <w:tcPr>
            <w:tcW w:w="1260" w:type="pct"/>
            <w:shd w:val="clear" w:color="auto" w:fill="E7E6E6" w:themeFill="background2"/>
          </w:tcPr>
          <w:p w14:paraId="338E7FA4" w14:textId="77777777" w:rsidR="00DE64CD" w:rsidRPr="00E537BD" w:rsidRDefault="00DE64CD" w:rsidP="00A4557C">
            <w:pPr>
              <w:pStyle w:val="Tableheading"/>
              <w:spacing w:before="0" w:after="0"/>
              <w:jc w:val="center"/>
              <w:rPr>
                <w:rFonts w:ascii="ITC Avant Garde" w:hAnsi="ITC Avant Garde"/>
                <w:b/>
                <w:color w:val="000000" w:themeColor="text1"/>
                <w:szCs w:val="18"/>
                <w:lang w:val="es-ES_tradnl"/>
              </w:rPr>
            </w:pPr>
            <w:r>
              <w:rPr>
                <w:rFonts w:ascii="ITC Avant Garde" w:hAnsi="ITC Avant Garde" w:cs="Arial"/>
                <w:b/>
                <w:color w:val="000000"/>
                <w:lang w:val="es-ES" w:eastAsia="es-ES"/>
              </w:rPr>
              <w:t>Concepto</w:t>
            </w:r>
          </w:p>
        </w:tc>
        <w:tc>
          <w:tcPr>
            <w:tcW w:w="3740" w:type="pct"/>
            <w:shd w:val="clear" w:color="auto" w:fill="E7E6E6" w:themeFill="background2"/>
          </w:tcPr>
          <w:p w14:paraId="7CC397AF" w14:textId="77777777" w:rsidR="00DE64CD" w:rsidRPr="00E537BD" w:rsidRDefault="00DE64CD" w:rsidP="00A4557C">
            <w:pPr>
              <w:pStyle w:val="Tableheading"/>
              <w:spacing w:before="0" w:after="0"/>
              <w:jc w:val="center"/>
              <w:rPr>
                <w:rFonts w:ascii="ITC Avant Garde" w:hAnsi="ITC Avant Garde"/>
                <w:b/>
                <w:color w:val="000000" w:themeColor="text1"/>
                <w:szCs w:val="18"/>
                <w:lang w:val="es-ES_tradnl"/>
              </w:rPr>
            </w:pPr>
            <w:r>
              <w:rPr>
                <w:rFonts w:ascii="ITC Avant Garde" w:hAnsi="ITC Avant Garde"/>
                <w:b/>
                <w:color w:val="000000" w:themeColor="text1"/>
                <w:szCs w:val="18"/>
                <w:lang w:val="es-ES_tradnl"/>
              </w:rPr>
              <w:t>Descripción</w:t>
            </w:r>
          </w:p>
        </w:tc>
      </w:tr>
      <w:tr w:rsidR="00DE64CD" w:rsidRPr="00480AE5" w14:paraId="6733279B" w14:textId="77777777" w:rsidTr="00A4557C">
        <w:trPr>
          <w:trHeight w:val="276"/>
          <w:jc w:val="center"/>
        </w:trPr>
        <w:tc>
          <w:tcPr>
            <w:tcW w:w="1260" w:type="pct"/>
            <w:vAlign w:val="center"/>
          </w:tcPr>
          <w:p w14:paraId="4C830F5B" w14:textId="1249F66F" w:rsidR="00DE64CD" w:rsidRPr="001D1E25" w:rsidRDefault="003175E4" w:rsidP="00A4557C">
            <w:pPr>
              <w:pStyle w:val="IFTnormal"/>
              <w:jc w:val="center"/>
              <w:rPr>
                <w:rFonts w:ascii="Cambria Math" w:hAnsi="Cambria Math"/>
                <w:b/>
              </w:rPr>
            </w:pPr>
            <m:oMathPara>
              <m:oMath>
                <m:sSub>
                  <m:sSubPr>
                    <m:ctrlPr>
                      <w:rPr>
                        <w:rFonts w:ascii="Cambria Math" w:hAnsi="Cambria Math"/>
                        <w:b/>
                      </w:rPr>
                    </m:ctrlPr>
                  </m:sSubPr>
                  <m:e>
                    <m:r>
                      <m:rPr>
                        <m:nor/>
                      </m:rPr>
                      <w:rPr>
                        <w:b/>
                      </w:rPr>
                      <m:t>P</m:t>
                    </m:r>
                  </m:e>
                  <m:sub>
                    <m:r>
                      <m:rPr>
                        <m:nor/>
                      </m:rPr>
                      <w:rPr>
                        <w:b/>
                      </w:rPr>
                      <m:t>implícito promedio del acceso</m:t>
                    </m:r>
                  </m:sub>
                </m:sSub>
              </m:oMath>
            </m:oMathPara>
          </w:p>
        </w:tc>
        <w:tc>
          <w:tcPr>
            <w:tcW w:w="3740" w:type="pct"/>
            <w:vAlign w:val="center"/>
          </w:tcPr>
          <w:p w14:paraId="5AF0E94D" w14:textId="61DFD9CD" w:rsidR="00DE64CD" w:rsidRPr="00480AE5" w:rsidRDefault="00DE64CD" w:rsidP="00A4557C">
            <w:pPr>
              <w:pStyle w:val="Tablecells"/>
              <w:spacing w:before="0" w:after="0"/>
              <w:jc w:val="both"/>
              <w:rPr>
                <w:rFonts w:ascii="ITC Avant Garde" w:hAnsi="ITC Avant Garde"/>
                <w:szCs w:val="18"/>
                <w:lang w:val="es-ES_tradnl"/>
              </w:rPr>
            </w:pPr>
            <w:r>
              <w:rPr>
                <w:rFonts w:ascii="ITC Avant Garde" w:hAnsi="ITC Avant Garde"/>
                <w:szCs w:val="18"/>
                <w:lang w:val="es-ES_tradnl"/>
              </w:rPr>
              <w:t xml:space="preserve">Se refiere al precio </w:t>
            </w:r>
            <w:r w:rsidR="000B7AC7">
              <w:rPr>
                <w:rFonts w:ascii="ITC Avant Garde" w:hAnsi="ITC Avant Garde"/>
                <w:szCs w:val="18"/>
                <w:lang w:val="es-ES_tradnl"/>
              </w:rPr>
              <w:t xml:space="preserve">implícito </w:t>
            </w:r>
            <w:r>
              <w:rPr>
                <w:rFonts w:ascii="ITC Avant Garde" w:hAnsi="ITC Avant Garde"/>
                <w:szCs w:val="18"/>
                <w:lang w:val="es-ES_tradnl"/>
              </w:rPr>
              <w:t xml:space="preserve">promedio estimado por el modelo para el acceso a la línea telefónica de uso residencial o no residencial, según corresponda (ver sección </w:t>
            </w:r>
            <w:r>
              <w:rPr>
                <w:rFonts w:ascii="ITC Avant Garde" w:hAnsi="ITC Avant Garde"/>
                <w:szCs w:val="18"/>
                <w:lang w:val="es-ES_tradnl"/>
              </w:rPr>
              <w:fldChar w:fldCharType="begin"/>
            </w:r>
            <w:r>
              <w:rPr>
                <w:rFonts w:ascii="ITC Avant Garde" w:hAnsi="ITC Avant Garde"/>
                <w:szCs w:val="18"/>
                <w:lang w:val="es-ES_tradnl"/>
              </w:rPr>
              <w:instrText xml:space="preserve"> REF _Ref530166584 \r \h </w:instrText>
            </w:r>
            <w:r>
              <w:rPr>
                <w:rFonts w:ascii="ITC Avant Garde" w:hAnsi="ITC Avant Garde"/>
                <w:szCs w:val="18"/>
                <w:lang w:val="es-ES_tradnl"/>
              </w:rPr>
            </w:r>
            <w:r>
              <w:rPr>
                <w:rFonts w:ascii="ITC Avant Garde" w:hAnsi="ITC Avant Garde"/>
                <w:szCs w:val="18"/>
                <w:lang w:val="es-ES_tradnl"/>
              </w:rPr>
              <w:fldChar w:fldCharType="separate"/>
            </w:r>
            <w:r w:rsidR="000B7AC7">
              <w:rPr>
                <w:rFonts w:ascii="ITC Avant Garde" w:hAnsi="ITC Avant Garde"/>
                <w:szCs w:val="18"/>
                <w:lang w:val="es-ES_tradnl"/>
              </w:rPr>
              <w:t>1.3.2.4</w:t>
            </w:r>
            <w:r>
              <w:rPr>
                <w:rFonts w:ascii="ITC Avant Garde" w:hAnsi="ITC Avant Garde"/>
                <w:szCs w:val="18"/>
                <w:lang w:val="es-ES_tradnl"/>
              </w:rPr>
              <w:fldChar w:fldCharType="end"/>
            </w:r>
            <w:r>
              <w:rPr>
                <w:rFonts w:ascii="ITC Avant Garde" w:hAnsi="ITC Avant Garde"/>
                <w:szCs w:val="18"/>
                <w:lang w:val="es-ES_tradnl"/>
              </w:rPr>
              <w:t>).</w:t>
            </w:r>
          </w:p>
        </w:tc>
      </w:tr>
      <w:tr w:rsidR="00DE64CD" w:rsidRPr="00480AE5" w14:paraId="0803AB01" w14:textId="77777777" w:rsidTr="00A4557C">
        <w:trPr>
          <w:trHeight w:val="276"/>
          <w:jc w:val="center"/>
        </w:trPr>
        <w:tc>
          <w:tcPr>
            <w:tcW w:w="1260" w:type="pct"/>
            <w:shd w:val="clear" w:color="auto" w:fill="F2F2F2" w:themeFill="background1" w:themeFillShade="F2"/>
            <w:vAlign w:val="center"/>
          </w:tcPr>
          <w:p w14:paraId="30835015" w14:textId="77777777" w:rsidR="00DE64CD" w:rsidRPr="004F1A57" w:rsidRDefault="00DE64CD" w:rsidP="00A4557C">
            <w:pPr>
              <w:pStyle w:val="IFTnormal"/>
              <w:rPr>
                <w:b/>
                <w:szCs w:val="18"/>
              </w:rPr>
            </w:pPr>
            <m:oMathPara>
              <m:oMath>
                <m:r>
                  <m:rPr>
                    <m:sty m:val="b"/>
                  </m:rPr>
                  <w:rPr>
                    <w:rFonts w:ascii="Cambria Math" w:hAnsi="Cambria Math"/>
                  </w:rPr>
                  <m:t>%</m:t>
                </m:r>
                <m:sSub>
                  <m:sSubPr>
                    <m:ctrlPr>
                      <w:rPr>
                        <w:rFonts w:ascii="Cambria Math" w:hAnsi="Cambria Math"/>
                        <w:b/>
                      </w:rPr>
                    </m:ctrlPr>
                  </m:sSubPr>
                  <m:e>
                    <m:r>
                      <m:rPr>
                        <m:nor/>
                      </m:rPr>
                      <w:rPr>
                        <w:b/>
                        <w:iCs/>
                      </w:rPr>
                      <m:t>c</m:t>
                    </m:r>
                  </m:e>
                  <m:sub>
                    <m:r>
                      <m:rPr>
                        <m:nor/>
                      </m:rPr>
                      <w:rPr>
                        <w:b/>
                      </w:rPr>
                      <m:t>servicios de voz</m:t>
                    </m:r>
                  </m:sub>
                </m:sSub>
              </m:oMath>
            </m:oMathPara>
          </w:p>
        </w:tc>
        <w:tc>
          <w:tcPr>
            <w:tcW w:w="3740" w:type="pct"/>
            <w:shd w:val="clear" w:color="auto" w:fill="F2F2F2" w:themeFill="background1" w:themeFillShade="F2"/>
            <w:vAlign w:val="center"/>
          </w:tcPr>
          <w:p w14:paraId="38A40940" w14:textId="77777777" w:rsidR="00DE64CD" w:rsidRPr="00480AE5" w:rsidRDefault="00DE64CD" w:rsidP="00A4557C">
            <w:pPr>
              <w:pStyle w:val="Tablecells"/>
              <w:spacing w:before="0" w:after="0"/>
              <w:jc w:val="both"/>
              <w:rPr>
                <w:rFonts w:ascii="ITC Avant Garde" w:hAnsi="ITC Avant Garde"/>
                <w:szCs w:val="18"/>
                <w:lang w:val="es-ES_tradnl"/>
              </w:rPr>
            </w:pPr>
            <w:r>
              <w:rPr>
                <w:rFonts w:ascii="ITC Avant Garde" w:hAnsi="ITC Avant Garde"/>
                <w:szCs w:val="18"/>
                <w:lang w:val="es-ES_tradnl"/>
              </w:rPr>
              <w:t>Representa el porcentaje de costos evitados relativo a los servicios de voz</w:t>
            </w:r>
          </w:p>
        </w:tc>
      </w:tr>
    </w:tbl>
    <w:p w14:paraId="0FC3F52C" w14:textId="77777777" w:rsidR="00DE64CD" w:rsidRDefault="00DE64CD" w:rsidP="00DE64CD">
      <w:pPr>
        <w:pStyle w:val="IFTnormal"/>
      </w:pPr>
    </w:p>
    <w:p w14:paraId="6BA1481D" w14:textId="77777777" w:rsidR="00DE64CD" w:rsidRPr="00517758" w:rsidRDefault="00DE64CD" w:rsidP="00DE64CD">
      <w:pPr>
        <w:pStyle w:val="PuntosC4"/>
        <w:numPr>
          <w:ilvl w:val="3"/>
          <w:numId w:val="40"/>
        </w:numPr>
        <w:ind w:left="993" w:hanging="993"/>
        <w:outlineLvl w:val="2"/>
      </w:pPr>
      <w:bookmarkStart w:id="80" w:name="_Toc525570041"/>
      <w:bookmarkStart w:id="81" w:name="_Toc525579161"/>
      <w:bookmarkStart w:id="82" w:name="_Ref525628106"/>
      <w:bookmarkStart w:id="83" w:name="_Toc525656737"/>
      <w:r>
        <w:t xml:space="preserve"> </w:t>
      </w:r>
      <w:bookmarkStart w:id="84" w:name="_Ref51599634"/>
      <w:bookmarkStart w:id="85" w:name="_Toc51700025"/>
      <w:bookmarkStart w:id="86" w:name="_Toc52188515"/>
      <w:r w:rsidRPr="00517758">
        <w:t xml:space="preserve">Esquema aplicable </w:t>
      </w:r>
      <w:r>
        <w:t>al SAIB</w:t>
      </w:r>
      <w:bookmarkEnd w:id="80"/>
      <w:bookmarkEnd w:id="81"/>
      <w:bookmarkEnd w:id="82"/>
      <w:bookmarkEnd w:id="83"/>
      <w:bookmarkEnd w:id="84"/>
      <w:bookmarkEnd w:id="85"/>
      <w:bookmarkEnd w:id="86"/>
    </w:p>
    <w:p w14:paraId="501BED93" w14:textId="2682634D" w:rsidR="007F6F99" w:rsidRDefault="00DE64CD" w:rsidP="00F874FF">
      <w:pPr>
        <w:pStyle w:val="IFTnormal"/>
      </w:pPr>
      <w:r>
        <w:t>En el caso del SAIB</w:t>
      </w:r>
      <w:r w:rsidR="00F85BA2">
        <w:t xml:space="preserve"> asimétrico</w:t>
      </w:r>
      <w:r>
        <w:t xml:space="preserve">, para describir el esquema correspondiente hay que recordar (ver sección </w:t>
      </w:r>
      <w:r>
        <w:fldChar w:fldCharType="begin"/>
      </w:r>
      <w:r>
        <w:instrText xml:space="preserve"> REF _Ref530138278 \r \h </w:instrText>
      </w:r>
      <w:r>
        <w:fldChar w:fldCharType="separate"/>
      </w:r>
      <w:r w:rsidR="007F6F99">
        <w:t>1.3.2.5</w:t>
      </w:r>
      <w:r>
        <w:fldChar w:fldCharType="end"/>
      </w:r>
      <w:r>
        <w:t>) que s</w:t>
      </w:r>
      <w:r w:rsidR="00BE23D4">
        <w:t>e distinguen dos circunstancias</w:t>
      </w:r>
      <w:r w:rsidRPr="00654606">
        <w:t xml:space="preserve"> </w:t>
      </w:r>
      <w:r w:rsidR="007F6F99">
        <w:t>1</w:t>
      </w:r>
      <w:r>
        <w:t xml:space="preserve">) </w:t>
      </w:r>
      <w:r>
        <w:rPr>
          <w:b/>
        </w:rPr>
        <w:t>Caso I</w:t>
      </w:r>
      <w:r w:rsidRPr="00654606">
        <w:rPr>
          <w:b/>
        </w:rPr>
        <w:t>:</w:t>
      </w:r>
      <w:r>
        <w:t xml:space="preserve"> Cuando el SAIB </w:t>
      </w:r>
      <w:r w:rsidR="007F6F99">
        <w:t xml:space="preserve">se provee </w:t>
      </w:r>
      <w:r>
        <w:t xml:space="preserve">por un medio de transmisión diferente al cobre, o bien cuando dicho servicio se provee por cobre pero por el mismo medio de transmisión no se ofrecen servicios de voz al Usuario Final </w:t>
      </w:r>
      <w:r w:rsidR="005B68C9">
        <w:t>(ya sea por el mismo CS, Telmex o Telnor</w:t>
      </w:r>
      <w:r w:rsidRPr="00654606">
        <w:t xml:space="preserve"> o bien otro CS)</w:t>
      </w:r>
      <w:r w:rsidR="007F6F99">
        <w:t xml:space="preserve"> y 2) </w:t>
      </w:r>
      <w:r w:rsidR="007F6F99">
        <w:rPr>
          <w:b/>
        </w:rPr>
        <w:t>C</w:t>
      </w:r>
      <w:r w:rsidR="007F6F99" w:rsidRPr="00654606">
        <w:rPr>
          <w:b/>
        </w:rPr>
        <w:t>aso I</w:t>
      </w:r>
      <w:r w:rsidR="007F6F99">
        <w:rPr>
          <w:b/>
        </w:rPr>
        <w:t>I</w:t>
      </w:r>
      <w:r w:rsidR="007F6F99" w:rsidRPr="00654606">
        <w:rPr>
          <w:b/>
        </w:rPr>
        <w:t>:</w:t>
      </w:r>
      <w:r w:rsidR="007F6F99">
        <w:t xml:space="preserve"> cuando</w:t>
      </w:r>
      <w:r w:rsidR="007F6F99" w:rsidRPr="00654606">
        <w:t xml:space="preserve"> el servicio se preste a través cobre, y bajo el supuesto de que a través de dicho medio de transmisión se provea el servicio de voz al usuario final (ya sea por el mismo CS, </w:t>
      </w:r>
      <w:r w:rsidR="005B68C9">
        <w:t>Telmex o Telnor</w:t>
      </w:r>
      <w:r w:rsidR="005B68C9" w:rsidRPr="00654606">
        <w:t xml:space="preserve"> </w:t>
      </w:r>
      <w:r w:rsidR="007F6F99" w:rsidRPr="00654606">
        <w:t>o bien otro CS)</w:t>
      </w:r>
      <w:r>
        <w:t>.</w:t>
      </w:r>
      <w:r w:rsidR="00F874FF">
        <w:t xml:space="preserve"> </w:t>
      </w:r>
    </w:p>
    <w:p w14:paraId="2558640B" w14:textId="5EC1A2F4" w:rsidR="00DE64CD" w:rsidRPr="00A77982" w:rsidRDefault="004161EE" w:rsidP="00DE64CD">
      <w:pPr>
        <w:pStyle w:val="IFTnormal"/>
        <w:rPr>
          <w:color w:val="auto"/>
        </w:rPr>
      </w:pPr>
      <w:r>
        <w:rPr>
          <w:color w:val="auto"/>
        </w:rPr>
        <w:t xml:space="preserve">Al respecto, en </w:t>
      </w:r>
      <w:r w:rsidR="007F6F99">
        <w:rPr>
          <w:color w:val="auto"/>
        </w:rPr>
        <w:t xml:space="preserve">las resoluciones </w:t>
      </w:r>
      <w:r w:rsidR="00A77982" w:rsidRPr="003A4703">
        <w:rPr>
          <w:bCs/>
        </w:rPr>
        <w:t>P/IFT/250220/62</w:t>
      </w:r>
      <w:r w:rsidR="00A77982">
        <w:rPr>
          <w:bCs/>
        </w:rPr>
        <w:t xml:space="preserve"> y </w:t>
      </w:r>
      <w:r w:rsidR="00A77982" w:rsidRPr="003A4703">
        <w:rPr>
          <w:bCs/>
        </w:rPr>
        <w:t>P/IFT/250220/61</w:t>
      </w:r>
      <w:r w:rsidR="00A77982">
        <w:rPr>
          <w:bCs/>
        </w:rPr>
        <w:t xml:space="preserve"> </w:t>
      </w:r>
      <w:r w:rsidR="00F874FF">
        <w:rPr>
          <w:color w:val="auto"/>
        </w:rPr>
        <w:t xml:space="preserve">se distinguen dos modalidades de cobro </w:t>
      </w:r>
      <w:r>
        <w:rPr>
          <w:color w:val="auto"/>
        </w:rPr>
        <w:t xml:space="preserve">o estructuras tarifarias: </w:t>
      </w:r>
      <w:r w:rsidR="00F874FF">
        <w:rPr>
          <w:color w:val="auto"/>
        </w:rPr>
        <w:t xml:space="preserve">1) </w:t>
      </w:r>
      <w:r w:rsidR="00F874FF" w:rsidRPr="007C3CDB">
        <w:rPr>
          <w:b/>
          <w:color w:val="auto"/>
        </w:rPr>
        <w:t>Opción A</w:t>
      </w:r>
      <w:r w:rsidR="00F874FF">
        <w:rPr>
          <w:color w:val="auto"/>
        </w:rPr>
        <w:t xml:space="preserve">: cuando el SAIB incluye el componente correspondiente al SCyD; y 2) </w:t>
      </w:r>
      <w:r w:rsidR="00F874FF" w:rsidRPr="00250395">
        <w:rPr>
          <w:b/>
          <w:color w:val="auto"/>
        </w:rPr>
        <w:t>Opción B:</w:t>
      </w:r>
      <w:r w:rsidR="00F874FF">
        <w:rPr>
          <w:color w:val="auto"/>
        </w:rPr>
        <w:t xml:space="preserve"> cuando de las tarifas para el SAIB y el SCyD se calculan de manera separada.  </w:t>
      </w:r>
      <w:r>
        <w:rPr>
          <w:color w:val="auto"/>
        </w:rPr>
        <w:t xml:space="preserve">De esta forma en el Modelo de Costos Evitados también se determina una tarifa para el SAIB descontando la parte correspondiente al SCyD. </w:t>
      </w:r>
    </w:p>
    <w:p w14:paraId="4B02B5DD" w14:textId="3F4E3D35" w:rsidR="00DE64CD" w:rsidRDefault="00DE64CD" w:rsidP="00DE64CD">
      <w:pPr>
        <w:pStyle w:val="IFTnormal"/>
      </w:pPr>
      <w:r>
        <w:t xml:space="preserve">Para el </w:t>
      </w:r>
      <w:r w:rsidRPr="00AD6943">
        <w:rPr>
          <w:b/>
        </w:rPr>
        <w:t>Caso I</w:t>
      </w:r>
      <w:r w:rsidR="00A77982">
        <w:rPr>
          <w:b/>
        </w:rPr>
        <w:t>I</w:t>
      </w:r>
      <w:r>
        <w:t xml:space="preserve">, cuando se trate de un servicio con calidad tipo </w:t>
      </w:r>
      <w:r w:rsidRPr="00654606">
        <w:rPr>
          <w:i/>
        </w:rPr>
        <w:t>Best effort</w:t>
      </w:r>
      <w:r>
        <w:t xml:space="preserve">, a efecto de determinar la tarifa correspondiente se echa mano del esquema: </w:t>
      </w:r>
    </w:p>
    <w:p w14:paraId="4207BE25" w14:textId="1497CE2C" w:rsidR="00DE64CD" w:rsidRDefault="00F874FF" w:rsidP="00DE64CD">
      <w:pPr>
        <w:pStyle w:val="IFTnormal"/>
        <w:jc w:val="center"/>
      </w:pPr>
      <w:r>
        <w:rPr>
          <w:color w:val="auto"/>
        </w:rPr>
        <w:t xml:space="preserve">(Opción A) </w:t>
      </w:r>
      <m:oMath>
        <m:sSub>
          <m:sSubPr>
            <m:ctrlPr>
              <w:rPr>
                <w:rFonts w:ascii="Cambria Math" w:hAnsi="Cambria Math"/>
                <w:b/>
              </w:rPr>
            </m:ctrlPr>
          </m:sSubPr>
          <m:e>
            <m:r>
              <m:rPr>
                <m:nor/>
              </m:rPr>
              <w:rPr>
                <w:b/>
              </w:rPr>
              <m:t>P</m:t>
            </m:r>
          </m:e>
          <m:sub>
            <m:r>
              <m:rPr>
                <m:nor/>
              </m:rPr>
              <w:rPr>
                <w:b/>
              </w:rPr>
              <m:t>mayorista</m:t>
            </m:r>
          </m:sub>
        </m:sSub>
      </m:oMath>
      <w:r w:rsidR="00DE64CD">
        <w:rPr>
          <w:b/>
        </w:rPr>
        <w:t xml:space="preserve"> = </w:t>
      </w:r>
      <m:oMath>
        <m:sSub>
          <m:sSubPr>
            <m:ctrlPr>
              <w:rPr>
                <w:rFonts w:ascii="Cambria Math" w:hAnsi="Cambria Math"/>
                <w:b/>
              </w:rPr>
            </m:ctrlPr>
          </m:sSubPr>
          <m:e>
            <m:r>
              <m:rPr>
                <m:nor/>
              </m:rPr>
              <w:rPr>
                <w:b/>
              </w:rPr>
              <m:t>P</m:t>
            </m:r>
          </m:e>
          <m:sub>
            <m:r>
              <m:rPr>
                <m:nor/>
              </m:rPr>
              <w:rPr>
                <w:b/>
              </w:rPr>
              <m:t>implícito perfil de velocidad</m:t>
            </m:r>
          </m:sub>
        </m:sSub>
        <m:r>
          <m:rPr>
            <m:sty m:val="bi"/>
          </m:rPr>
          <w:rPr>
            <w:rFonts w:ascii="Cambria Math" w:hAnsi="Cambria Math"/>
          </w:rPr>
          <m:t xml:space="preserve"> ×</m:t>
        </m:r>
        <m:d>
          <m:dPr>
            <m:ctrlPr>
              <w:rPr>
                <w:rFonts w:ascii="Cambria Math" w:hAnsi="Cambria Math"/>
                <w:b/>
                <w:i/>
              </w:rPr>
            </m:ctrlPr>
          </m:dPr>
          <m:e>
            <m:r>
              <m:rPr>
                <m:nor/>
              </m:rPr>
              <w:rPr>
                <w:b/>
                <w:sz w:val="16"/>
              </w:rPr>
              <m:t>1</m:t>
            </m:r>
            <m:r>
              <m:rPr>
                <m:sty m:val="b"/>
              </m:rPr>
              <w:rPr>
                <w:rFonts w:ascii="Cambria Math" w:hAnsi="Cambria Math"/>
              </w:rPr>
              <m:t>-%</m:t>
            </m:r>
            <m:sSub>
              <m:sSubPr>
                <m:ctrlPr>
                  <w:rPr>
                    <w:rFonts w:ascii="Cambria Math" w:hAnsi="Cambria Math"/>
                    <w:b/>
                  </w:rPr>
                </m:ctrlPr>
              </m:sSubPr>
              <m:e>
                <m:r>
                  <m:rPr>
                    <m:nor/>
                  </m:rPr>
                  <w:rPr>
                    <w:b/>
                    <w:iCs/>
                  </w:rPr>
                  <m:t>c</m:t>
                </m:r>
              </m:e>
              <m:sub>
                <m:r>
                  <m:rPr>
                    <m:nor/>
                  </m:rPr>
                  <w:rPr>
                    <w:b/>
                  </w:rPr>
                  <m:t>servicios banda ancha</m:t>
                </m:r>
              </m:sub>
            </m:sSub>
            <m:ctrlPr>
              <w:rPr>
                <w:rFonts w:ascii="Cambria Math" w:hAnsi="Cambria Math"/>
                <w:b/>
                <w:color w:val="555555"/>
                <w:sz w:val="21"/>
                <w:szCs w:val="21"/>
                <w:shd w:val="clear" w:color="auto" w:fill="FFFFFF"/>
              </w:rPr>
            </m:ctrlPr>
          </m:e>
        </m:d>
        <m:r>
          <m:rPr>
            <m:sty m:val="bi"/>
          </m:rPr>
          <w:rPr>
            <w:rFonts w:ascii="Cambria Math" w:hAnsi="Cambria Math"/>
          </w:rPr>
          <m:t xml:space="preserve">- </m:t>
        </m:r>
        <m:sSub>
          <m:sSubPr>
            <m:ctrlPr>
              <w:rPr>
                <w:rFonts w:ascii="Cambria Math" w:hAnsi="Cambria Math"/>
                <w:b/>
              </w:rPr>
            </m:ctrlPr>
          </m:sSubPr>
          <m:e>
            <m:r>
              <m:rPr>
                <m:nor/>
              </m:rPr>
              <w:rPr>
                <w:b/>
                <w:iCs/>
              </w:rPr>
              <m:t>c</m:t>
            </m:r>
          </m:e>
          <m:sub>
            <m:r>
              <m:rPr>
                <m:nor/>
              </m:rPr>
              <w:rPr>
                <w:b/>
              </w:rPr>
              <m:t>nivel de entrega</m:t>
            </m:r>
          </m:sub>
        </m:sSub>
      </m:oMath>
    </w:p>
    <w:p w14:paraId="15C9071D" w14:textId="77777777" w:rsidR="00F874FF" w:rsidRPr="00130FDE" w:rsidRDefault="00F874FF" w:rsidP="00F874FF">
      <w:pPr>
        <w:pStyle w:val="IFTnormal"/>
        <w:jc w:val="center"/>
        <w:rPr>
          <w:color w:val="auto"/>
        </w:rPr>
      </w:pPr>
      <w:r>
        <w:rPr>
          <w:color w:val="auto"/>
        </w:rPr>
        <w:t xml:space="preserve">(Opción B) </w:t>
      </w:r>
      <m:oMath>
        <m:sSub>
          <m:sSubPr>
            <m:ctrlPr>
              <w:rPr>
                <w:rFonts w:ascii="Cambria Math" w:hAnsi="Cambria Math"/>
                <w:b/>
                <w:color w:val="auto"/>
              </w:rPr>
            </m:ctrlPr>
          </m:sSubPr>
          <m:e>
            <m:r>
              <m:rPr>
                <m:nor/>
              </m:rPr>
              <w:rPr>
                <w:b/>
                <w:color w:val="auto"/>
              </w:rPr>
              <m:t>P</m:t>
            </m:r>
          </m:e>
          <m:sub>
            <m:r>
              <m:rPr>
                <m:nor/>
              </m:rPr>
              <w:rPr>
                <w:b/>
                <w:color w:val="auto"/>
              </w:rPr>
              <m:t>mayorista</m:t>
            </m:r>
          </m:sub>
        </m:sSub>
      </m:oMath>
      <w:r w:rsidRPr="00130FDE">
        <w:rPr>
          <w:b/>
          <w:color w:val="auto"/>
        </w:rPr>
        <w:t xml:space="preserve"> = </w:t>
      </w:r>
      <m:oMath>
        <m:sSub>
          <m:sSubPr>
            <m:ctrlPr>
              <w:rPr>
                <w:rFonts w:ascii="Cambria Math" w:hAnsi="Cambria Math"/>
                <w:b/>
                <w:color w:val="auto"/>
              </w:rPr>
            </m:ctrlPr>
          </m:sSubPr>
          <m:e>
            <m:r>
              <m:rPr>
                <m:nor/>
              </m:rPr>
              <w:rPr>
                <w:b/>
                <w:color w:val="auto"/>
              </w:rPr>
              <m:t>P</m:t>
            </m:r>
          </m:e>
          <m:sub>
            <m:r>
              <m:rPr>
                <m:nor/>
              </m:rPr>
              <w:rPr>
                <w:b/>
                <w:color w:val="auto"/>
              </w:rPr>
              <m:t>implícito perfil de velocidad</m:t>
            </m:r>
          </m:sub>
        </m:sSub>
        <m:r>
          <m:rPr>
            <m:sty m:val="bi"/>
          </m:rPr>
          <w:rPr>
            <w:rFonts w:ascii="Cambria Math" w:hAnsi="Cambria Math"/>
            <w:color w:val="auto"/>
          </w:rPr>
          <m:t xml:space="preserve"> ×</m:t>
        </m:r>
        <m:d>
          <m:dPr>
            <m:ctrlPr>
              <w:rPr>
                <w:rFonts w:ascii="Cambria Math" w:hAnsi="Cambria Math"/>
                <w:b/>
                <w:i/>
                <w:color w:val="auto"/>
              </w:rPr>
            </m:ctrlPr>
          </m:dPr>
          <m:e>
            <m:r>
              <m:rPr>
                <m:nor/>
              </m:rPr>
              <w:rPr>
                <w:b/>
                <w:color w:val="auto"/>
                <w:sz w:val="16"/>
              </w:rPr>
              <m:t>1</m:t>
            </m:r>
            <m:r>
              <m:rPr>
                <m:sty m:val="b"/>
              </m:rPr>
              <w:rPr>
                <w:rFonts w:ascii="Cambria Math" w:hAnsi="Cambria Math"/>
                <w:color w:val="auto"/>
              </w:rPr>
              <m:t>-%</m:t>
            </m:r>
            <m:sSub>
              <m:sSubPr>
                <m:ctrlPr>
                  <w:rPr>
                    <w:rFonts w:ascii="Cambria Math" w:hAnsi="Cambria Math"/>
                    <w:b/>
                    <w:color w:val="auto"/>
                  </w:rPr>
                </m:ctrlPr>
              </m:sSubPr>
              <m:e>
                <m:r>
                  <m:rPr>
                    <m:nor/>
                  </m:rPr>
                  <w:rPr>
                    <w:b/>
                    <w:iCs/>
                    <w:color w:val="auto"/>
                  </w:rPr>
                  <m:t>c</m:t>
                </m:r>
              </m:e>
              <m:sub>
                <m:r>
                  <m:rPr>
                    <m:nor/>
                  </m:rPr>
                  <w:rPr>
                    <w:b/>
                    <w:color w:val="auto"/>
                  </w:rPr>
                  <m:t>servicios banda ancha</m:t>
                </m:r>
              </m:sub>
            </m:sSub>
            <m:ctrlPr>
              <w:rPr>
                <w:rFonts w:ascii="Cambria Math" w:hAnsi="Cambria Math"/>
                <w:b/>
                <w:color w:val="auto"/>
                <w:sz w:val="21"/>
                <w:szCs w:val="21"/>
                <w:shd w:val="clear" w:color="auto" w:fill="FFFFFF"/>
              </w:rPr>
            </m:ctrlPr>
          </m:e>
        </m:d>
        <m:r>
          <m:rPr>
            <m:sty m:val="bi"/>
          </m:rPr>
          <w:rPr>
            <w:rFonts w:ascii="Cambria Math" w:hAnsi="Cambria Math"/>
            <w:color w:val="auto"/>
          </w:rPr>
          <m:t xml:space="preserve">- </m:t>
        </m:r>
        <m:sSub>
          <m:sSubPr>
            <m:ctrlPr>
              <w:rPr>
                <w:rFonts w:ascii="Cambria Math" w:hAnsi="Cambria Math"/>
                <w:b/>
                <w:color w:val="auto"/>
              </w:rPr>
            </m:ctrlPr>
          </m:sSubPr>
          <m:e>
            <m:r>
              <m:rPr>
                <m:nor/>
              </m:rPr>
              <w:rPr>
                <w:b/>
                <w:iCs/>
                <w:color w:val="auto"/>
              </w:rPr>
              <m:t>c</m:t>
            </m:r>
          </m:e>
          <m:sub>
            <m:r>
              <m:rPr>
                <m:nor/>
              </m:rPr>
              <w:rPr>
                <w:b/>
                <w:color w:val="auto"/>
              </w:rPr>
              <m:t>nivel de entrega</m:t>
            </m:r>
          </m:sub>
        </m:sSub>
      </m:oMath>
      <w:r>
        <w:rPr>
          <w:b/>
          <w:color w:val="auto"/>
        </w:rPr>
        <w:t xml:space="preserve"> - </w:t>
      </w:r>
      <m:oMath>
        <m:sSub>
          <m:sSubPr>
            <m:ctrlPr>
              <w:rPr>
                <w:rFonts w:ascii="Cambria Math" w:hAnsi="Cambria Math"/>
                <w:b/>
                <w:color w:val="auto"/>
              </w:rPr>
            </m:ctrlPr>
          </m:sSubPr>
          <m:e>
            <m:r>
              <m:rPr>
                <m:nor/>
              </m:rPr>
              <w:rPr>
                <w:b/>
                <w:iCs/>
                <w:color w:val="auto"/>
              </w:rPr>
              <m:t>c</m:t>
            </m:r>
          </m:e>
          <m:sub>
            <m:r>
              <m:rPr>
                <m:nor/>
              </m:rPr>
              <w:rPr>
                <w:rFonts w:ascii="Cambria Math"/>
                <w:b/>
                <w:color w:val="auto"/>
              </w:rPr>
              <m:t>SCyD</m:t>
            </m:r>
          </m:sub>
        </m:sSub>
      </m:oMath>
    </w:p>
    <w:p w14:paraId="3E1669A2" w14:textId="5B466C2D" w:rsidR="00DE64CD" w:rsidRPr="001D1E25" w:rsidRDefault="00DE64CD" w:rsidP="00DE64CD">
      <w:pPr>
        <w:pStyle w:val="IFTnormal"/>
      </w:pPr>
      <w:r>
        <w:t>Donde los términos involucrados denotan lo siguiente:</w:t>
      </w:r>
    </w:p>
    <w:tbl>
      <w:tblPr>
        <w:tblStyle w:val="Tabladecuadrcula1clara"/>
        <w:tblW w:w="5000" w:type="pct"/>
        <w:jc w:val="center"/>
        <w:tblLook w:val="0420" w:firstRow="1" w:lastRow="0" w:firstColumn="0" w:lastColumn="0" w:noHBand="0" w:noVBand="1"/>
      </w:tblPr>
      <w:tblGrid>
        <w:gridCol w:w="2503"/>
        <w:gridCol w:w="6325"/>
      </w:tblGrid>
      <w:tr w:rsidR="00DE64CD" w:rsidRPr="00E537BD" w14:paraId="1436AFA0" w14:textId="77777777" w:rsidTr="00A4557C">
        <w:trPr>
          <w:cnfStyle w:val="100000000000" w:firstRow="1" w:lastRow="0" w:firstColumn="0" w:lastColumn="0" w:oddVBand="0" w:evenVBand="0" w:oddHBand="0" w:evenHBand="0" w:firstRowFirstColumn="0" w:firstRowLastColumn="0" w:lastRowFirstColumn="0" w:lastRowLastColumn="0"/>
          <w:trHeight w:val="278"/>
          <w:tblHeader/>
          <w:jc w:val="center"/>
        </w:trPr>
        <w:tc>
          <w:tcPr>
            <w:tcW w:w="1333" w:type="pct"/>
            <w:shd w:val="clear" w:color="auto" w:fill="E7E6E6" w:themeFill="background2"/>
          </w:tcPr>
          <w:p w14:paraId="7CDF3DAB" w14:textId="77777777" w:rsidR="00DE64CD" w:rsidRPr="00E537BD" w:rsidRDefault="00DE64CD" w:rsidP="00A4557C">
            <w:pPr>
              <w:pStyle w:val="Tableheading"/>
              <w:spacing w:before="0" w:after="0"/>
              <w:jc w:val="center"/>
              <w:rPr>
                <w:rFonts w:ascii="ITC Avant Garde" w:hAnsi="ITC Avant Garde"/>
                <w:b/>
                <w:color w:val="000000" w:themeColor="text1"/>
                <w:szCs w:val="18"/>
                <w:lang w:val="es-ES_tradnl"/>
              </w:rPr>
            </w:pPr>
            <w:r>
              <w:rPr>
                <w:rFonts w:ascii="ITC Avant Garde" w:hAnsi="ITC Avant Garde" w:cs="Arial"/>
                <w:b/>
                <w:color w:val="000000"/>
                <w:lang w:val="es-ES" w:eastAsia="es-ES"/>
              </w:rPr>
              <w:t>Concepto</w:t>
            </w:r>
          </w:p>
        </w:tc>
        <w:tc>
          <w:tcPr>
            <w:tcW w:w="3667" w:type="pct"/>
            <w:shd w:val="clear" w:color="auto" w:fill="E7E6E6" w:themeFill="background2"/>
          </w:tcPr>
          <w:p w14:paraId="1B4DD6D0" w14:textId="77777777" w:rsidR="00DE64CD" w:rsidRPr="00E537BD" w:rsidRDefault="00DE64CD" w:rsidP="00A4557C">
            <w:pPr>
              <w:pStyle w:val="Tableheading"/>
              <w:spacing w:before="0" w:after="0"/>
              <w:jc w:val="center"/>
              <w:rPr>
                <w:rFonts w:ascii="ITC Avant Garde" w:hAnsi="ITC Avant Garde"/>
                <w:b/>
                <w:color w:val="000000" w:themeColor="text1"/>
                <w:szCs w:val="18"/>
                <w:lang w:val="es-ES_tradnl"/>
              </w:rPr>
            </w:pPr>
            <w:r>
              <w:rPr>
                <w:rFonts w:ascii="ITC Avant Garde" w:hAnsi="ITC Avant Garde"/>
                <w:b/>
                <w:color w:val="000000" w:themeColor="text1"/>
                <w:szCs w:val="18"/>
                <w:lang w:val="es-ES_tradnl"/>
              </w:rPr>
              <w:t>Descripción</w:t>
            </w:r>
          </w:p>
        </w:tc>
      </w:tr>
      <w:tr w:rsidR="00DE64CD" w:rsidRPr="00480AE5" w14:paraId="7F19CF14" w14:textId="77777777" w:rsidTr="00A4557C">
        <w:trPr>
          <w:trHeight w:val="276"/>
          <w:jc w:val="center"/>
        </w:trPr>
        <w:tc>
          <w:tcPr>
            <w:tcW w:w="1333" w:type="pct"/>
            <w:vAlign w:val="center"/>
          </w:tcPr>
          <w:p w14:paraId="10FC3A3C" w14:textId="77777777" w:rsidR="00DE64CD" w:rsidRPr="001D1E25" w:rsidRDefault="003175E4" w:rsidP="00A4557C">
            <w:pPr>
              <w:pStyle w:val="IFTnormal"/>
              <w:jc w:val="center"/>
              <w:rPr>
                <w:rFonts w:ascii="Cambria Math" w:hAnsi="Cambria Math"/>
                <w:b/>
              </w:rPr>
            </w:pPr>
            <m:oMathPara>
              <m:oMath>
                <m:sSub>
                  <m:sSubPr>
                    <m:ctrlPr>
                      <w:rPr>
                        <w:rFonts w:ascii="Cambria Math" w:hAnsi="Cambria Math"/>
                        <w:b/>
                      </w:rPr>
                    </m:ctrlPr>
                  </m:sSubPr>
                  <m:e>
                    <m:r>
                      <m:rPr>
                        <m:nor/>
                      </m:rPr>
                      <w:rPr>
                        <w:b/>
                      </w:rPr>
                      <m:t>P</m:t>
                    </m:r>
                  </m:e>
                  <m:sub>
                    <m:r>
                      <m:rPr>
                        <m:nor/>
                      </m:rPr>
                      <w:rPr>
                        <w:b/>
                      </w:rPr>
                      <m:t>implícito perfil de velocida</m:t>
                    </m:r>
                    <m:r>
                      <m:rPr>
                        <m:nor/>
                      </m:rPr>
                      <w:rPr>
                        <w:rFonts w:ascii="Cambria Math"/>
                        <w:b/>
                      </w:rPr>
                      <m:t>d</m:t>
                    </m:r>
                  </m:sub>
                </m:sSub>
              </m:oMath>
            </m:oMathPara>
          </w:p>
        </w:tc>
        <w:tc>
          <w:tcPr>
            <w:tcW w:w="3667" w:type="pct"/>
            <w:vAlign w:val="center"/>
          </w:tcPr>
          <w:p w14:paraId="3752D09C" w14:textId="77777777" w:rsidR="00DE64CD" w:rsidRPr="00480AE5" w:rsidRDefault="00DE64CD" w:rsidP="00A4557C">
            <w:pPr>
              <w:pStyle w:val="Tablecells"/>
              <w:spacing w:before="0" w:after="0"/>
              <w:jc w:val="both"/>
              <w:rPr>
                <w:rFonts w:ascii="ITC Avant Garde" w:hAnsi="ITC Avant Garde"/>
                <w:szCs w:val="18"/>
                <w:lang w:val="es-ES_tradnl"/>
              </w:rPr>
            </w:pPr>
            <w:r>
              <w:rPr>
                <w:rFonts w:ascii="ITC Avant Garde" w:hAnsi="ITC Avant Garde"/>
                <w:szCs w:val="18"/>
                <w:lang w:val="es-ES_tradnl"/>
              </w:rPr>
              <w:t>Se refiere al precio implícito estimado por el modelo para el perfil de velocidad, según corresponda</w:t>
            </w:r>
          </w:p>
        </w:tc>
      </w:tr>
      <w:tr w:rsidR="00DE64CD" w:rsidRPr="00480AE5" w14:paraId="4F0F8466" w14:textId="77777777" w:rsidTr="00A4557C">
        <w:trPr>
          <w:trHeight w:val="276"/>
          <w:jc w:val="center"/>
        </w:trPr>
        <w:tc>
          <w:tcPr>
            <w:tcW w:w="1333" w:type="pct"/>
            <w:shd w:val="clear" w:color="auto" w:fill="F2F2F2" w:themeFill="background1" w:themeFillShade="F2"/>
            <w:vAlign w:val="center"/>
          </w:tcPr>
          <w:p w14:paraId="1C2A2D60" w14:textId="77777777" w:rsidR="00DE64CD" w:rsidRPr="004F1A57" w:rsidRDefault="00DE64CD" w:rsidP="00A4557C">
            <w:pPr>
              <w:pStyle w:val="IFTnormal"/>
              <w:rPr>
                <w:b/>
                <w:szCs w:val="18"/>
              </w:rPr>
            </w:pPr>
            <m:oMathPara>
              <m:oMath>
                <m:r>
                  <m:rPr>
                    <m:sty m:val="b"/>
                  </m:rPr>
                  <w:rPr>
                    <w:rFonts w:ascii="Cambria Math" w:hAnsi="Cambria Math"/>
                  </w:rPr>
                  <m:t>%</m:t>
                </m:r>
                <m:sSub>
                  <m:sSubPr>
                    <m:ctrlPr>
                      <w:rPr>
                        <w:rFonts w:ascii="Cambria Math" w:hAnsi="Cambria Math"/>
                        <w:b/>
                      </w:rPr>
                    </m:ctrlPr>
                  </m:sSubPr>
                  <m:e>
                    <m:r>
                      <m:rPr>
                        <m:nor/>
                      </m:rPr>
                      <w:rPr>
                        <w:b/>
                        <w:iCs/>
                      </w:rPr>
                      <m:t>c</m:t>
                    </m:r>
                  </m:e>
                  <m:sub>
                    <m:r>
                      <m:rPr>
                        <m:nor/>
                      </m:rPr>
                      <w:rPr>
                        <w:b/>
                      </w:rPr>
                      <m:t>servicios banda ancha</m:t>
                    </m:r>
                  </m:sub>
                </m:sSub>
              </m:oMath>
            </m:oMathPara>
          </w:p>
        </w:tc>
        <w:tc>
          <w:tcPr>
            <w:tcW w:w="3667" w:type="pct"/>
            <w:shd w:val="clear" w:color="auto" w:fill="F2F2F2" w:themeFill="background1" w:themeFillShade="F2"/>
            <w:vAlign w:val="center"/>
          </w:tcPr>
          <w:p w14:paraId="191B8023" w14:textId="77777777" w:rsidR="00DE64CD" w:rsidRPr="00480AE5" w:rsidRDefault="00DE64CD" w:rsidP="00A4557C">
            <w:pPr>
              <w:pStyle w:val="Tablecells"/>
              <w:spacing w:before="0" w:after="0"/>
              <w:jc w:val="both"/>
              <w:rPr>
                <w:rFonts w:ascii="ITC Avant Garde" w:hAnsi="ITC Avant Garde"/>
                <w:szCs w:val="18"/>
                <w:lang w:val="es-ES_tradnl"/>
              </w:rPr>
            </w:pPr>
            <w:r>
              <w:rPr>
                <w:rFonts w:ascii="ITC Avant Garde" w:hAnsi="ITC Avant Garde"/>
                <w:szCs w:val="18"/>
                <w:lang w:val="es-ES_tradnl"/>
              </w:rPr>
              <w:t>Representa el porcentaje de costos evitados estimado respecto al precio implícito de banda ancha</w:t>
            </w:r>
          </w:p>
        </w:tc>
      </w:tr>
      <w:tr w:rsidR="00DE64CD" w:rsidRPr="00480AE5" w14:paraId="7E83DFD3" w14:textId="77777777" w:rsidTr="00A4557C">
        <w:trPr>
          <w:trHeight w:val="276"/>
          <w:jc w:val="center"/>
        </w:trPr>
        <w:tc>
          <w:tcPr>
            <w:tcW w:w="1333" w:type="pct"/>
            <w:shd w:val="clear" w:color="auto" w:fill="F2F2F2" w:themeFill="background1" w:themeFillShade="F2"/>
            <w:vAlign w:val="center"/>
          </w:tcPr>
          <w:p w14:paraId="2157140C" w14:textId="77777777" w:rsidR="00DE64CD" w:rsidRPr="004F1A57" w:rsidRDefault="003175E4" w:rsidP="00A4557C">
            <w:pPr>
              <w:pStyle w:val="IFTnormal"/>
              <w:rPr>
                <w:rFonts w:cs="Times New Roman"/>
                <w:b/>
              </w:rPr>
            </w:pPr>
            <m:oMathPara>
              <m:oMath>
                <m:sSub>
                  <m:sSubPr>
                    <m:ctrlPr>
                      <w:rPr>
                        <w:rFonts w:ascii="Cambria Math" w:hAnsi="Cambria Math"/>
                        <w:b/>
                      </w:rPr>
                    </m:ctrlPr>
                  </m:sSubPr>
                  <m:e>
                    <m:r>
                      <m:rPr>
                        <m:nor/>
                      </m:rPr>
                      <w:rPr>
                        <w:b/>
                        <w:iCs/>
                      </w:rPr>
                      <m:t>c</m:t>
                    </m:r>
                  </m:e>
                  <m:sub>
                    <m:r>
                      <m:rPr>
                        <m:nor/>
                      </m:rPr>
                      <w:rPr>
                        <w:b/>
                      </w:rPr>
                      <m:t>nivel de entrega</m:t>
                    </m:r>
                  </m:sub>
                </m:sSub>
              </m:oMath>
            </m:oMathPara>
          </w:p>
        </w:tc>
        <w:tc>
          <w:tcPr>
            <w:tcW w:w="3667" w:type="pct"/>
            <w:shd w:val="clear" w:color="auto" w:fill="F2F2F2" w:themeFill="background1" w:themeFillShade="F2"/>
            <w:vAlign w:val="center"/>
          </w:tcPr>
          <w:p w14:paraId="24A8E5C8" w14:textId="7C61CB9C" w:rsidR="00DE64CD" w:rsidRDefault="00DE64CD" w:rsidP="00A4557C">
            <w:pPr>
              <w:pStyle w:val="Tablecells"/>
              <w:spacing w:before="0" w:after="0"/>
              <w:jc w:val="both"/>
              <w:rPr>
                <w:rFonts w:ascii="ITC Avant Garde" w:hAnsi="ITC Avant Garde"/>
                <w:szCs w:val="18"/>
                <w:lang w:val="es-ES_tradnl"/>
              </w:rPr>
            </w:pPr>
            <w:r>
              <w:rPr>
                <w:rFonts w:ascii="ITC Avant Garde" w:hAnsi="ITC Avant Garde"/>
                <w:szCs w:val="18"/>
                <w:lang w:val="es-ES_tradnl"/>
              </w:rPr>
              <w:t xml:space="preserve">Corresponde a los costos evitados derivados de la entrega del tráfico a nivel local, regional o nacional (ver sección </w:t>
            </w:r>
            <w:r>
              <w:rPr>
                <w:rFonts w:ascii="ITC Avant Garde" w:hAnsi="ITC Avant Garde"/>
                <w:szCs w:val="18"/>
                <w:lang w:val="es-ES_tradnl"/>
              </w:rPr>
              <w:fldChar w:fldCharType="begin"/>
            </w:r>
            <w:r>
              <w:rPr>
                <w:rFonts w:ascii="ITC Avant Garde" w:hAnsi="ITC Avant Garde"/>
                <w:szCs w:val="18"/>
                <w:lang w:val="es-ES_tradnl"/>
              </w:rPr>
              <w:instrText xml:space="preserve"> REF _Ref525627896 \r \h </w:instrText>
            </w:r>
            <w:r>
              <w:rPr>
                <w:rFonts w:ascii="ITC Avant Garde" w:hAnsi="ITC Avant Garde"/>
                <w:szCs w:val="18"/>
                <w:lang w:val="es-ES_tradnl"/>
              </w:rPr>
            </w:r>
            <w:r>
              <w:rPr>
                <w:rFonts w:ascii="ITC Avant Garde" w:hAnsi="ITC Avant Garde"/>
                <w:szCs w:val="18"/>
                <w:lang w:val="es-ES_tradnl"/>
              </w:rPr>
              <w:fldChar w:fldCharType="separate"/>
            </w:r>
            <w:r w:rsidR="00170ED3">
              <w:rPr>
                <w:rFonts w:ascii="ITC Avant Garde" w:hAnsi="ITC Avant Garde"/>
                <w:szCs w:val="18"/>
                <w:lang w:val="es-ES_tradnl"/>
              </w:rPr>
              <w:t>1.4.1.1</w:t>
            </w:r>
            <w:r>
              <w:rPr>
                <w:rFonts w:ascii="ITC Avant Garde" w:hAnsi="ITC Avant Garde"/>
                <w:szCs w:val="18"/>
                <w:lang w:val="es-ES_tradnl"/>
              </w:rPr>
              <w:fldChar w:fldCharType="end"/>
            </w:r>
            <w:r>
              <w:rPr>
                <w:rFonts w:ascii="ITC Avant Garde" w:hAnsi="ITC Avant Garde"/>
                <w:szCs w:val="18"/>
                <w:lang w:val="es-ES_tradnl"/>
              </w:rPr>
              <w:t>)</w:t>
            </w:r>
          </w:p>
        </w:tc>
      </w:tr>
      <w:tr w:rsidR="00A77982" w:rsidRPr="00480AE5" w14:paraId="3B9CF50C" w14:textId="77777777" w:rsidTr="00A4557C">
        <w:trPr>
          <w:trHeight w:val="276"/>
          <w:jc w:val="center"/>
        </w:trPr>
        <w:tc>
          <w:tcPr>
            <w:tcW w:w="1333" w:type="pct"/>
            <w:shd w:val="clear" w:color="auto" w:fill="F2F2F2" w:themeFill="background1" w:themeFillShade="F2"/>
            <w:vAlign w:val="center"/>
          </w:tcPr>
          <w:p w14:paraId="4455A1F0" w14:textId="4612E230" w:rsidR="00A77982" w:rsidRDefault="003175E4" w:rsidP="00A4557C">
            <w:pPr>
              <w:pStyle w:val="IFTnormal"/>
              <w:rPr>
                <w:rFonts w:ascii="Calibri" w:hAnsi="Calibri" w:cs="Times New Roman"/>
                <w:b/>
              </w:rPr>
            </w:pPr>
            <m:oMathPara>
              <m:oMath>
                <m:sSub>
                  <m:sSubPr>
                    <m:ctrlPr>
                      <w:rPr>
                        <w:rFonts w:ascii="Cambria Math" w:hAnsi="Cambria Math"/>
                        <w:b/>
                      </w:rPr>
                    </m:ctrlPr>
                  </m:sSubPr>
                  <m:e>
                    <m:r>
                      <m:rPr>
                        <m:nor/>
                      </m:rPr>
                      <w:rPr>
                        <w:b/>
                        <w:iCs/>
                      </w:rPr>
                      <m:t>c</m:t>
                    </m:r>
                  </m:e>
                  <m:sub>
                    <m:r>
                      <m:rPr>
                        <m:nor/>
                      </m:rPr>
                      <w:rPr>
                        <w:b/>
                      </w:rPr>
                      <m:t>SCyD</m:t>
                    </m:r>
                  </m:sub>
                </m:sSub>
              </m:oMath>
            </m:oMathPara>
          </w:p>
        </w:tc>
        <w:tc>
          <w:tcPr>
            <w:tcW w:w="3667" w:type="pct"/>
            <w:shd w:val="clear" w:color="auto" w:fill="F2F2F2" w:themeFill="background1" w:themeFillShade="F2"/>
            <w:vAlign w:val="center"/>
          </w:tcPr>
          <w:p w14:paraId="24326016" w14:textId="1B22B354" w:rsidR="00A77982" w:rsidRPr="003C4845" w:rsidRDefault="00A77982" w:rsidP="00A77982">
            <w:pPr>
              <w:pStyle w:val="Tablecells"/>
              <w:spacing w:before="0" w:after="0"/>
              <w:jc w:val="both"/>
              <w:rPr>
                <w:rFonts w:ascii="ITC Avant Garde" w:hAnsi="ITC Avant Garde"/>
                <w:szCs w:val="18"/>
                <w:lang w:val="es-MX"/>
              </w:rPr>
            </w:pPr>
            <w:r>
              <w:rPr>
                <w:rFonts w:ascii="ITC Avant Garde" w:hAnsi="ITC Avant Garde"/>
                <w:szCs w:val="18"/>
                <w:lang w:val="es-ES_tradnl"/>
              </w:rPr>
              <w:t>E</w:t>
            </w:r>
            <w:r w:rsidRPr="00A77982">
              <w:rPr>
                <w:rFonts w:ascii="ITC Avant Garde" w:hAnsi="ITC Avant Garde"/>
                <w:szCs w:val="18"/>
                <w:lang w:val="es-MX"/>
              </w:rPr>
              <w:t>l SAIB no incluye los costos asociados al uso del segmento regional y nacional de la red del AEP</w:t>
            </w:r>
            <w:r>
              <w:rPr>
                <w:rFonts w:ascii="ITC Avant Garde" w:hAnsi="ITC Avant Garde"/>
                <w:szCs w:val="18"/>
                <w:lang w:val="es-MX"/>
              </w:rPr>
              <w:t>.</w:t>
            </w:r>
          </w:p>
        </w:tc>
      </w:tr>
    </w:tbl>
    <w:p w14:paraId="48B92857" w14:textId="77777777" w:rsidR="00A76FBD" w:rsidRDefault="00A76FBD" w:rsidP="00DE64CD">
      <w:pPr>
        <w:pStyle w:val="IFTnormal"/>
      </w:pPr>
    </w:p>
    <w:p w14:paraId="2DE42AC9" w14:textId="56A88179" w:rsidR="00DE64CD" w:rsidRPr="00BE2039" w:rsidRDefault="00DE64CD" w:rsidP="00DE64CD">
      <w:pPr>
        <w:pStyle w:val="IFTnormal"/>
      </w:pPr>
      <w:r>
        <w:t xml:space="preserve">En complemento, bajo las hipótesis del Caso </w:t>
      </w:r>
      <w:r w:rsidR="00F85BA2">
        <w:t>I</w:t>
      </w:r>
      <w:r>
        <w:t xml:space="preserve">I, cuando se trate de servicio con calidad tipo </w:t>
      </w:r>
      <w:r>
        <w:rPr>
          <w:i/>
        </w:rPr>
        <w:t>VoIP</w:t>
      </w:r>
      <w:r>
        <w:t xml:space="preserve">, a la expresión mostrada anteriormente se le sumarán </w:t>
      </w:r>
      <w:r>
        <w:rPr>
          <w:szCs w:val="18"/>
        </w:rPr>
        <w:t xml:space="preserve">el </w:t>
      </w:r>
      <w:r w:rsidRPr="00B92978">
        <w:rPr>
          <w:szCs w:val="18"/>
        </w:rPr>
        <w:t>factor de</w:t>
      </w:r>
      <w:r>
        <w:rPr>
          <w:szCs w:val="18"/>
        </w:rPr>
        <w:t xml:space="preserve"> 20% explicado en la </w:t>
      </w:r>
      <w:r w:rsidRPr="00BE2039">
        <w:rPr>
          <w:szCs w:val="18"/>
        </w:rPr>
        <w:t>sección</w:t>
      </w:r>
      <w:r>
        <w:rPr>
          <w:szCs w:val="18"/>
        </w:rPr>
        <w:t xml:space="preserve"> </w:t>
      </w:r>
      <w:r w:rsidR="00F85BA2">
        <w:rPr>
          <w:szCs w:val="18"/>
        </w:rPr>
        <w:fldChar w:fldCharType="begin"/>
      </w:r>
      <w:r w:rsidR="00F85BA2">
        <w:rPr>
          <w:szCs w:val="18"/>
        </w:rPr>
        <w:instrText xml:space="preserve"> REF _Ref51594608 \r \h </w:instrText>
      </w:r>
      <w:r w:rsidR="00F85BA2">
        <w:rPr>
          <w:szCs w:val="18"/>
        </w:rPr>
      </w:r>
      <w:r w:rsidR="00F85BA2">
        <w:rPr>
          <w:szCs w:val="18"/>
        </w:rPr>
        <w:fldChar w:fldCharType="separate"/>
      </w:r>
      <w:r w:rsidR="00C945B5">
        <w:rPr>
          <w:szCs w:val="18"/>
        </w:rPr>
        <w:t>1.4.1.2</w:t>
      </w:r>
      <w:r w:rsidR="00F85BA2">
        <w:rPr>
          <w:szCs w:val="18"/>
        </w:rPr>
        <w:fldChar w:fldCharType="end"/>
      </w:r>
      <w:r>
        <w:rPr>
          <w:szCs w:val="18"/>
        </w:rPr>
        <w:t xml:space="preserve"> </w:t>
      </w:r>
      <w:r w:rsidRPr="00B92978">
        <w:rPr>
          <w:szCs w:val="18"/>
        </w:rPr>
        <w:t>para</w:t>
      </w:r>
      <w:r>
        <w:rPr>
          <w:szCs w:val="18"/>
        </w:rPr>
        <w:t xml:space="preserve"> determinar los niveles correspondientes a la</w:t>
      </w:r>
      <w:r w:rsidRPr="00B92978">
        <w:rPr>
          <w:szCs w:val="18"/>
        </w:rPr>
        <w:t xml:space="preserve"> calidad </w:t>
      </w:r>
      <w:r w:rsidRPr="00B92978">
        <w:rPr>
          <w:i/>
          <w:szCs w:val="18"/>
        </w:rPr>
        <w:t>VoIP</w:t>
      </w:r>
      <w:r>
        <w:rPr>
          <w:i/>
          <w:szCs w:val="18"/>
        </w:rPr>
        <w:t xml:space="preserve"> </w:t>
      </w:r>
      <w:r>
        <w:rPr>
          <w:szCs w:val="18"/>
        </w:rPr>
        <w:t xml:space="preserve">a partir de la calidad </w:t>
      </w:r>
      <w:r w:rsidRPr="00BE2039">
        <w:rPr>
          <w:i/>
          <w:szCs w:val="18"/>
        </w:rPr>
        <w:t>Best effort</w:t>
      </w:r>
      <w:r>
        <w:rPr>
          <w:i/>
          <w:szCs w:val="18"/>
        </w:rPr>
        <w:t>.</w:t>
      </w:r>
    </w:p>
    <w:p w14:paraId="254A244F" w14:textId="515A9C70" w:rsidR="00DE64CD" w:rsidRDefault="00DE64CD" w:rsidP="00DE64CD">
      <w:pPr>
        <w:pStyle w:val="IFTnormal"/>
      </w:pPr>
      <w:r>
        <w:t xml:space="preserve">Finalmente, los niveles tarifarios del SAIB, correspondientes al Caso I (tanto para calidades </w:t>
      </w:r>
      <w:r w:rsidRPr="00BE2039">
        <w:rPr>
          <w:i/>
        </w:rPr>
        <w:t>Best effort</w:t>
      </w:r>
      <w:r>
        <w:t xml:space="preserve"> y </w:t>
      </w:r>
      <w:r w:rsidRPr="00BE2039">
        <w:rPr>
          <w:i/>
        </w:rPr>
        <w:t>VoIP</w:t>
      </w:r>
      <w:r>
        <w:t xml:space="preserve">), se determinan a partir de </w:t>
      </w:r>
      <w:r w:rsidR="00424F2C">
        <w:t>los resultados obtenidos en el C</w:t>
      </w:r>
      <w:r>
        <w:t>aso I</w:t>
      </w:r>
      <w:r w:rsidR="00F85BA2">
        <w:t>I</w:t>
      </w:r>
      <w:r>
        <w:t>, añadiendo el costo promedio del bucle local, estimado para cada perfil de velocidad.</w:t>
      </w:r>
    </w:p>
    <w:p w14:paraId="3BA9C2AE" w14:textId="77777777" w:rsidR="00170ED3" w:rsidRDefault="00F85BA2" w:rsidP="003C4845">
      <w:pPr>
        <w:jc w:val="both"/>
        <w:rPr>
          <w:rFonts w:ascii="ITC Avant Garde" w:hAnsi="ITC Avant Garde" w:cs="Arial"/>
          <w:color w:val="000000"/>
          <w:lang w:val="es-ES_tradnl" w:eastAsia="es-ES"/>
        </w:rPr>
      </w:pPr>
      <w:r>
        <w:rPr>
          <w:rFonts w:ascii="ITC Avant Garde" w:hAnsi="ITC Avant Garde" w:cs="Arial"/>
          <w:color w:val="000000"/>
          <w:lang w:val="es-ES_tradnl" w:eastAsia="es-ES"/>
        </w:rPr>
        <w:t xml:space="preserve">En el caso del SAIB simétrico, se estiman tarifas únicamente para el Caso I bajo la premisa que no se pueden brindar velocidades simétricas </w:t>
      </w:r>
      <w:r w:rsidRPr="00F85BA2">
        <w:rPr>
          <w:rFonts w:ascii="ITC Avant Garde" w:hAnsi="ITC Avant Garde" w:cs="Arial"/>
          <w:color w:val="000000"/>
          <w:lang w:val="es-ES_tradnl" w:eastAsia="es-ES"/>
        </w:rPr>
        <w:t xml:space="preserve">a través </w:t>
      </w:r>
      <w:r>
        <w:rPr>
          <w:rFonts w:ascii="ITC Avant Garde" w:hAnsi="ITC Avant Garde" w:cs="Arial"/>
          <w:color w:val="000000"/>
          <w:lang w:val="es-ES_tradnl" w:eastAsia="es-ES"/>
        </w:rPr>
        <w:t>de cobre mientras</w:t>
      </w:r>
      <w:r w:rsidRPr="00F85BA2">
        <w:rPr>
          <w:rFonts w:ascii="ITC Avant Garde" w:hAnsi="ITC Avant Garde" w:cs="Arial"/>
          <w:color w:val="000000"/>
          <w:lang w:val="es-ES_tradnl" w:eastAsia="es-ES"/>
        </w:rPr>
        <w:t xml:space="preserve"> se hace uso de las frecuencias bajas para prestar servicios de voz</w:t>
      </w:r>
      <w:r>
        <w:rPr>
          <w:rFonts w:ascii="ITC Avant Garde" w:hAnsi="ITC Avant Garde" w:cs="Arial"/>
          <w:color w:val="000000"/>
          <w:lang w:val="es-ES_tradnl" w:eastAsia="es-ES"/>
        </w:rPr>
        <w:t xml:space="preserve"> por el mismo medio de transmisión. </w:t>
      </w:r>
      <w:r w:rsidR="00170ED3">
        <w:rPr>
          <w:rFonts w:ascii="ITC Avant Garde" w:hAnsi="ITC Avant Garde" w:cs="Arial"/>
          <w:color w:val="000000"/>
          <w:lang w:val="es-ES_tradnl" w:eastAsia="es-ES"/>
        </w:rPr>
        <w:t>A</w:t>
      </w:r>
      <w:r w:rsidR="00170ED3" w:rsidRPr="00170ED3">
        <w:rPr>
          <w:rFonts w:ascii="ITC Avant Garde" w:hAnsi="ITC Avant Garde" w:cs="Arial"/>
          <w:color w:val="000000"/>
          <w:lang w:val="es-ES_tradnl" w:eastAsia="es-ES"/>
        </w:rPr>
        <w:t xml:space="preserve"> efecto de determinar la tarifa correspondiente se echa mano del esquema: </w:t>
      </w:r>
      <w:r w:rsidRPr="00F85BA2">
        <w:rPr>
          <w:rFonts w:ascii="ITC Avant Garde" w:hAnsi="ITC Avant Garde" w:cs="Arial"/>
          <w:color w:val="000000"/>
          <w:lang w:val="es-ES_tradnl" w:eastAsia="es-ES"/>
        </w:rPr>
        <w:t xml:space="preserve"> </w:t>
      </w:r>
    </w:p>
    <w:p w14:paraId="1FF56A4A" w14:textId="21CE0D69" w:rsidR="006C3454" w:rsidRDefault="003175E4" w:rsidP="006C3454">
      <w:pPr>
        <w:pStyle w:val="IFTnormal"/>
        <w:ind w:left="720"/>
        <w:jc w:val="center"/>
        <w:rPr>
          <w:b/>
        </w:rPr>
      </w:pPr>
      <m:oMath>
        <m:sSub>
          <m:sSubPr>
            <m:ctrlPr>
              <w:rPr>
                <w:rFonts w:ascii="Cambria Math" w:hAnsi="Cambria Math"/>
                <w:b/>
              </w:rPr>
            </m:ctrlPr>
          </m:sSubPr>
          <m:e>
            <m:r>
              <m:rPr>
                <m:nor/>
              </m:rPr>
              <w:rPr>
                <w:b/>
              </w:rPr>
              <m:t>P</m:t>
            </m:r>
          </m:e>
          <m:sub>
            <m:r>
              <m:rPr>
                <m:nor/>
              </m:rPr>
              <w:rPr>
                <w:b/>
              </w:rPr>
              <m:t>mayorista</m:t>
            </m:r>
          </m:sub>
        </m:sSub>
      </m:oMath>
      <w:r w:rsidR="006C3454">
        <w:rPr>
          <w:b/>
        </w:rPr>
        <w:t xml:space="preserve"> = </w:t>
      </w:r>
      <m:oMath>
        <m:sSub>
          <m:sSubPr>
            <m:ctrlPr>
              <w:rPr>
                <w:rFonts w:ascii="Cambria Math" w:hAnsi="Cambria Math"/>
                <w:b/>
              </w:rPr>
            </m:ctrlPr>
          </m:sSubPr>
          <m:e>
            <m:r>
              <m:rPr>
                <m:nor/>
              </m:rPr>
              <w:rPr>
                <w:b/>
              </w:rPr>
              <m:t>P</m:t>
            </m:r>
          </m:e>
          <m:sub>
            <m:r>
              <m:rPr>
                <m:nor/>
              </m:rPr>
              <w:rPr>
                <w:b/>
              </w:rPr>
              <m:t>implícito perfil de velocidad</m:t>
            </m:r>
            <m:r>
              <m:rPr>
                <m:nor/>
              </m:rPr>
              <w:rPr>
                <w:rFonts w:ascii="Cambria Math"/>
                <w:b/>
              </w:rPr>
              <m:t xml:space="preserve"> sim</m:t>
            </m:r>
            <m:r>
              <m:rPr>
                <m:nor/>
              </m:rPr>
              <w:rPr>
                <w:rFonts w:ascii="Cambria Math"/>
                <w:b/>
              </w:rPr>
              <m:t>é</m:t>
            </m:r>
            <m:r>
              <m:rPr>
                <m:nor/>
              </m:rPr>
              <w:rPr>
                <w:rFonts w:ascii="Cambria Math"/>
                <w:b/>
              </w:rPr>
              <m:t>trica</m:t>
            </m:r>
          </m:sub>
        </m:sSub>
        <m:r>
          <m:rPr>
            <m:sty m:val="bi"/>
          </m:rPr>
          <w:rPr>
            <w:rFonts w:ascii="Cambria Math" w:hAnsi="Cambria Math"/>
          </w:rPr>
          <m:t xml:space="preserve"> ×</m:t>
        </m:r>
        <m:d>
          <m:dPr>
            <m:ctrlPr>
              <w:rPr>
                <w:rFonts w:ascii="Cambria Math" w:hAnsi="Cambria Math"/>
                <w:b/>
                <w:i/>
              </w:rPr>
            </m:ctrlPr>
          </m:dPr>
          <m:e>
            <m:r>
              <m:rPr>
                <m:nor/>
              </m:rPr>
              <w:rPr>
                <w:b/>
                <w:sz w:val="16"/>
              </w:rPr>
              <m:t>1</m:t>
            </m:r>
            <m:r>
              <m:rPr>
                <m:sty m:val="b"/>
              </m:rPr>
              <w:rPr>
                <w:rFonts w:ascii="Cambria Math" w:hAnsi="Cambria Math"/>
              </w:rPr>
              <m:t>-%</m:t>
            </m:r>
            <m:sSub>
              <m:sSubPr>
                <m:ctrlPr>
                  <w:rPr>
                    <w:rFonts w:ascii="Cambria Math" w:hAnsi="Cambria Math"/>
                    <w:b/>
                  </w:rPr>
                </m:ctrlPr>
              </m:sSubPr>
              <m:e>
                <m:r>
                  <m:rPr>
                    <m:nor/>
                  </m:rPr>
                  <w:rPr>
                    <w:b/>
                    <w:iCs/>
                  </w:rPr>
                  <m:t>c</m:t>
                </m:r>
              </m:e>
              <m:sub>
                <m:r>
                  <m:rPr>
                    <m:nor/>
                  </m:rPr>
                  <w:rPr>
                    <w:b/>
                  </w:rPr>
                  <m:t>servicios banda ancha</m:t>
                </m:r>
              </m:sub>
            </m:sSub>
            <m:ctrlPr>
              <w:rPr>
                <w:rFonts w:ascii="Cambria Math" w:hAnsi="Cambria Math"/>
                <w:b/>
                <w:color w:val="555555"/>
                <w:sz w:val="21"/>
                <w:szCs w:val="21"/>
                <w:shd w:val="clear" w:color="auto" w:fill="FFFFFF"/>
              </w:rPr>
            </m:ctrlPr>
          </m:e>
        </m:d>
        <m:r>
          <m:rPr>
            <m:sty m:val="bi"/>
          </m:rPr>
          <w:rPr>
            <w:rFonts w:ascii="Cambria Math" w:hAnsi="Cambria Math"/>
          </w:rPr>
          <m:t xml:space="preserve">- </m:t>
        </m:r>
        <m:sSub>
          <m:sSubPr>
            <m:ctrlPr>
              <w:rPr>
                <w:rFonts w:ascii="Cambria Math" w:hAnsi="Cambria Math"/>
                <w:b/>
              </w:rPr>
            </m:ctrlPr>
          </m:sSubPr>
          <m:e>
            <m:r>
              <m:rPr>
                <m:nor/>
              </m:rPr>
              <w:rPr>
                <w:b/>
                <w:iCs/>
              </w:rPr>
              <m:t>c</m:t>
            </m:r>
          </m:e>
          <m:sub>
            <m:r>
              <m:rPr>
                <m:nor/>
              </m:rPr>
              <w:rPr>
                <w:b/>
              </w:rPr>
              <m:t>nivel de entrega</m:t>
            </m:r>
            <m:r>
              <m:rPr>
                <m:nor/>
              </m:rPr>
              <w:rPr>
                <w:rFonts w:ascii="Cambria Math"/>
                <w:b/>
              </w:rPr>
              <m:t xml:space="preserve"> </m:t>
            </m:r>
            <m:r>
              <m:rPr>
                <m:nor/>
              </m:rPr>
              <w:rPr>
                <w:b/>
              </w:rPr>
              <m:t>simétrica</m:t>
            </m:r>
            <m:r>
              <m:rPr>
                <m:nor/>
              </m:rPr>
              <w:rPr>
                <w:rFonts w:ascii="Cambria Math"/>
                <w:b/>
              </w:rPr>
              <m:t xml:space="preserve"> </m:t>
            </m:r>
          </m:sub>
        </m:sSub>
        <m:r>
          <m:rPr>
            <m:sty m:val="bi"/>
          </m:rPr>
          <w:rPr>
            <w:rFonts w:ascii="Cambria Math" w:hAnsi="Cambria Math"/>
          </w:rPr>
          <m:t xml:space="preserve">+ </m:t>
        </m:r>
        <m:sSub>
          <m:sSubPr>
            <m:ctrlPr>
              <w:rPr>
                <w:rFonts w:ascii="Cambria Math" w:hAnsi="Cambria Math"/>
                <w:b/>
              </w:rPr>
            </m:ctrlPr>
          </m:sSubPr>
          <m:e>
            <m:r>
              <m:rPr>
                <m:nor/>
              </m:rPr>
              <w:rPr>
                <w:b/>
              </w:rPr>
              <m:t>P</m:t>
            </m:r>
          </m:e>
          <m:sub>
            <m:r>
              <m:rPr>
                <m:nor/>
              </m:rPr>
              <w:rPr>
                <w:b/>
              </w:rPr>
              <m:t>bucle local de fibra</m:t>
            </m:r>
          </m:sub>
        </m:sSub>
      </m:oMath>
    </w:p>
    <w:p w14:paraId="0B5CA18A" w14:textId="77777777" w:rsidR="00170ED3" w:rsidRPr="001D1E25" w:rsidRDefault="00170ED3" w:rsidP="00170ED3">
      <w:pPr>
        <w:pStyle w:val="IFTnormal"/>
      </w:pPr>
      <w:r>
        <w:t>Donde los términos involucrados denotan lo siguiente:</w:t>
      </w:r>
    </w:p>
    <w:tbl>
      <w:tblPr>
        <w:tblStyle w:val="Tabladecuadrcula1clara"/>
        <w:tblW w:w="5000" w:type="pct"/>
        <w:jc w:val="center"/>
        <w:tblLook w:val="0420" w:firstRow="1" w:lastRow="0" w:firstColumn="0" w:lastColumn="0" w:noHBand="0" w:noVBand="1"/>
      </w:tblPr>
      <w:tblGrid>
        <w:gridCol w:w="3264"/>
        <w:gridCol w:w="5564"/>
      </w:tblGrid>
      <w:tr w:rsidR="00170ED3" w:rsidRPr="00E537BD" w14:paraId="107CAB63" w14:textId="77777777" w:rsidTr="00066B43">
        <w:trPr>
          <w:cnfStyle w:val="100000000000" w:firstRow="1" w:lastRow="0" w:firstColumn="0" w:lastColumn="0" w:oddVBand="0" w:evenVBand="0" w:oddHBand="0" w:evenHBand="0" w:firstRowFirstColumn="0" w:firstRowLastColumn="0" w:lastRowFirstColumn="0" w:lastRowLastColumn="0"/>
          <w:trHeight w:val="278"/>
          <w:tblHeader/>
          <w:jc w:val="center"/>
        </w:trPr>
        <w:tc>
          <w:tcPr>
            <w:tcW w:w="1333" w:type="pct"/>
            <w:shd w:val="clear" w:color="auto" w:fill="E7E6E6" w:themeFill="background2"/>
          </w:tcPr>
          <w:p w14:paraId="7BADE2CD" w14:textId="77777777" w:rsidR="00170ED3" w:rsidRPr="00E537BD" w:rsidRDefault="00170ED3" w:rsidP="00066B43">
            <w:pPr>
              <w:pStyle w:val="Tableheading"/>
              <w:spacing w:before="0" w:after="0"/>
              <w:jc w:val="center"/>
              <w:rPr>
                <w:rFonts w:ascii="ITC Avant Garde" w:hAnsi="ITC Avant Garde"/>
                <w:b/>
                <w:color w:val="000000" w:themeColor="text1"/>
                <w:szCs w:val="18"/>
                <w:lang w:val="es-ES_tradnl"/>
              </w:rPr>
            </w:pPr>
            <w:r>
              <w:rPr>
                <w:rFonts w:ascii="ITC Avant Garde" w:hAnsi="ITC Avant Garde" w:cs="Arial"/>
                <w:b/>
                <w:color w:val="000000"/>
                <w:lang w:val="es-ES" w:eastAsia="es-ES"/>
              </w:rPr>
              <w:t>Concepto</w:t>
            </w:r>
          </w:p>
        </w:tc>
        <w:tc>
          <w:tcPr>
            <w:tcW w:w="3667" w:type="pct"/>
            <w:shd w:val="clear" w:color="auto" w:fill="E7E6E6" w:themeFill="background2"/>
          </w:tcPr>
          <w:p w14:paraId="58E2D11A" w14:textId="77777777" w:rsidR="00170ED3" w:rsidRPr="00E537BD" w:rsidRDefault="00170ED3" w:rsidP="00066B43">
            <w:pPr>
              <w:pStyle w:val="Tableheading"/>
              <w:spacing w:before="0" w:after="0"/>
              <w:jc w:val="center"/>
              <w:rPr>
                <w:rFonts w:ascii="ITC Avant Garde" w:hAnsi="ITC Avant Garde"/>
                <w:b/>
                <w:color w:val="000000" w:themeColor="text1"/>
                <w:szCs w:val="18"/>
                <w:lang w:val="es-ES_tradnl"/>
              </w:rPr>
            </w:pPr>
            <w:r>
              <w:rPr>
                <w:rFonts w:ascii="ITC Avant Garde" w:hAnsi="ITC Avant Garde"/>
                <w:b/>
                <w:color w:val="000000" w:themeColor="text1"/>
                <w:szCs w:val="18"/>
                <w:lang w:val="es-ES_tradnl"/>
              </w:rPr>
              <w:t>Descripción</w:t>
            </w:r>
          </w:p>
        </w:tc>
      </w:tr>
      <w:tr w:rsidR="00170ED3" w:rsidRPr="00480AE5" w14:paraId="53CCDE98" w14:textId="77777777" w:rsidTr="00066B43">
        <w:trPr>
          <w:trHeight w:val="276"/>
          <w:jc w:val="center"/>
        </w:trPr>
        <w:tc>
          <w:tcPr>
            <w:tcW w:w="1333" w:type="pct"/>
            <w:vAlign w:val="center"/>
          </w:tcPr>
          <w:p w14:paraId="19C7BFBF" w14:textId="2784E505" w:rsidR="00170ED3" w:rsidRPr="003C4845" w:rsidRDefault="003175E4" w:rsidP="00066B43">
            <w:pPr>
              <w:pStyle w:val="IFTnormal"/>
              <w:jc w:val="center"/>
              <w:rPr>
                <w:b/>
              </w:rPr>
            </w:pPr>
            <m:oMathPara>
              <m:oMath>
                <m:sSub>
                  <m:sSubPr>
                    <m:ctrlPr>
                      <w:rPr>
                        <w:rFonts w:ascii="Cambria Math" w:hAnsi="Cambria Math"/>
                        <w:b/>
                      </w:rPr>
                    </m:ctrlPr>
                  </m:sSubPr>
                  <m:e>
                    <m:r>
                      <m:rPr>
                        <m:nor/>
                      </m:rPr>
                      <w:rPr>
                        <w:b/>
                      </w:rPr>
                      <m:t>P</m:t>
                    </m:r>
                  </m:e>
                  <m:sub>
                    <m:r>
                      <m:rPr>
                        <m:nor/>
                      </m:rPr>
                      <w:rPr>
                        <w:b/>
                      </w:rPr>
                      <m:t>implícito perfil de velocidad simétrica</m:t>
                    </m:r>
                  </m:sub>
                </m:sSub>
              </m:oMath>
            </m:oMathPara>
          </w:p>
        </w:tc>
        <w:tc>
          <w:tcPr>
            <w:tcW w:w="3667" w:type="pct"/>
            <w:vAlign w:val="center"/>
          </w:tcPr>
          <w:p w14:paraId="1F13C081" w14:textId="64670BDC" w:rsidR="00170ED3" w:rsidRPr="00480AE5" w:rsidRDefault="00170ED3" w:rsidP="00066B43">
            <w:pPr>
              <w:pStyle w:val="Tablecells"/>
              <w:spacing w:before="0" w:after="0"/>
              <w:jc w:val="both"/>
              <w:rPr>
                <w:rFonts w:ascii="ITC Avant Garde" w:hAnsi="ITC Avant Garde"/>
                <w:szCs w:val="18"/>
                <w:lang w:val="es-ES_tradnl"/>
              </w:rPr>
            </w:pPr>
            <w:r>
              <w:rPr>
                <w:rFonts w:ascii="ITC Avant Garde" w:hAnsi="ITC Avant Garde"/>
                <w:szCs w:val="18"/>
                <w:lang w:val="es-ES_tradnl"/>
              </w:rPr>
              <w:t xml:space="preserve">Se refiere al precio implícito estimado por el modelo para el perfil de velocidad simétrica, según corresponda (ver sección </w:t>
            </w:r>
            <w:r>
              <w:rPr>
                <w:rFonts w:ascii="ITC Avant Garde" w:hAnsi="ITC Avant Garde"/>
                <w:szCs w:val="18"/>
                <w:lang w:val="es-ES_tradnl"/>
              </w:rPr>
              <w:fldChar w:fldCharType="begin"/>
            </w:r>
            <w:r>
              <w:rPr>
                <w:rFonts w:ascii="ITC Avant Garde" w:hAnsi="ITC Avant Garde"/>
                <w:szCs w:val="18"/>
                <w:lang w:val="es-ES_tradnl"/>
              </w:rPr>
              <w:instrText xml:space="preserve"> REF _Ref51595918 \r \h </w:instrText>
            </w:r>
            <w:r>
              <w:rPr>
                <w:rFonts w:ascii="ITC Avant Garde" w:hAnsi="ITC Avant Garde"/>
                <w:szCs w:val="18"/>
                <w:lang w:val="es-ES_tradnl"/>
              </w:rPr>
            </w:r>
            <w:r>
              <w:rPr>
                <w:rFonts w:ascii="ITC Avant Garde" w:hAnsi="ITC Avant Garde"/>
                <w:szCs w:val="18"/>
                <w:lang w:val="es-ES_tradnl"/>
              </w:rPr>
              <w:fldChar w:fldCharType="separate"/>
            </w:r>
            <w:r>
              <w:rPr>
                <w:rFonts w:ascii="ITC Avant Garde" w:hAnsi="ITC Avant Garde"/>
                <w:szCs w:val="18"/>
                <w:lang w:val="es-ES_tradnl"/>
              </w:rPr>
              <w:t>1.3.2.6</w:t>
            </w:r>
            <w:r>
              <w:rPr>
                <w:rFonts w:ascii="ITC Avant Garde" w:hAnsi="ITC Avant Garde"/>
                <w:szCs w:val="18"/>
                <w:lang w:val="es-ES_tradnl"/>
              </w:rPr>
              <w:fldChar w:fldCharType="end"/>
            </w:r>
            <w:r>
              <w:rPr>
                <w:rFonts w:ascii="ITC Avant Garde" w:hAnsi="ITC Avant Garde"/>
                <w:szCs w:val="18"/>
                <w:lang w:val="es-ES_tradnl"/>
              </w:rPr>
              <w:t>)</w:t>
            </w:r>
          </w:p>
        </w:tc>
      </w:tr>
      <w:tr w:rsidR="00170ED3" w:rsidRPr="00480AE5" w14:paraId="7CEF29AB" w14:textId="77777777" w:rsidTr="00066B43">
        <w:trPr>
          <w:trHeight w:val="276"/>
          <w:jc w:val="center"/>
        </w:trPr>
        <w:tc>
          <w:tcPr>
            <w:tcW w:w="1333" w:type="pct"/>
            <w:shd w:val="clear" w:color="auto" w:fill="F2F2F2" w:themeFill="background1" w:themeFillShade="F2"/>
            <w:vAlign w:val="center"/>
          </w:tcPr>
          <w:p w14:paraId="75843CDD" w14:textId="77777777" w:rsidR="00170ED3" w:rsidRPr="004F1A57" w:rsidRDefault="00170ED3" w:rsidP="00066B43">
            <w:pPr>
              <w:pStyle w:val="IFTnormal"/>
              <w:rPr>
                <w:b/>
                <w:szCs w:val="18"/>
              </w:rPr>
            </w:pPr>
            <m:oMathPara>
              <m:oMath>
                <m:r>
                  <m:rPr>
                    <m:sty m:val="b"/>
                  </m:rPr>
                  <w:rPr>
                    <w:rFonts w:ascii="Cambria Math" w:hAnsi="Cambria Math"/>
                  </w:rPr>
                  <m:t>%</m:t>
                </m:r>
                <m:sSub>
                  <m:sSubPr>
                    <m:ctrlPr>
                      <w:rPr>
                        <w:rFonts w:ascii="Cambria Math" w:hAnsi="Cambria Math"/>
                        <w:b/>
                      </w:rPr>
                    </m:ctrlPr>
                  </m:sSubPr>
                  <m:e>
                    <m:r>
                      <m:rPr>
                        <m:nor/>
                      </m:rPr>
                      <w:rPr>
                        <w:b/>
                        <w:iCs/>
                      </w:rPr>
                      <m:t>c</m:t>
                    </m:r>
                  </m:e>
                  <m:sub>
                    <m:r>
                      <m:rPr>
                        <m:nor/>
                      </m:rPr>
                      <w:rPr>
                        <w:b/>
                      </w:rPr>
                      <m:t>servicios banda ancha</m:t>
                    </m:r>
                  </m:sub>
                </m:sSub>
              </m:oMath>
            </m:oMathPara>
          </w:p>
        </w:tc>
        <w:tc>
          <w:tcPr>
            <w:tcW w:w="3667" w:type="pct"/>
            <w:shd w:val="clear" w:color="auto" w:fill="F2F2F2" w:themeFill="background1" w:themeFillShade="F2"/>
            <w:vAlign w:val="center"/>
          </w:tcPr>
          <w:p w14:paraId="6D1FEDB5" w14:textId="77777777" w:rsidR="00170ED3" w:rsidRPr="00480AE5" w:rsidRDefault="00170ED3" w:rsidP="00066B43">
            <w:pPr>
              <w:pStyle w:val="Tablecells"/>
              <w:spacing w:before="0" w:after="0"/>
              <w:jc w:val="both"/>
              <w:rPr>
                <w:rFonts w:ascii="ITC Avant Garde" w:hAnsi="ITC Avant Garde"/>
                <w:szCs w:val="18"/>
                <w:lang w:val="es-ES_tradnl"/>
              </w:rPr>
            </w:pPr>
            <w:r>
              <w:rPr>
                <w:rFonts w:ascii="ITC Avant Garde" w:hAnsi="ITC Avant Garde"/>
                <w:szCs w:val="18"/>
                <w:lang w:val="es-ES_tradnl"/>
              </w:rPr>
              <w:t>Representa el porcentaje de costos evitados estimado respecto al precio implícito de banda ancha</w:t>
            </w:r>
          </w:p>
        </w:tc>
      </w:tr>
      <w:tr w:rsidR="00170ED3" w:rsidRPr="00480AE5" w14:paraId="66C120DB" w14:textId="77777777" w:rsidTr="00066B43">
        <w:trPr>
          <w:trHeight w:val="276"/>
          <w:jc w:val="center"/>
        </w:trPr>
        <w:tc>
          <w:tcPr>
            <w:tcW w:w="1333" w:type="pct"/>
            <w:shd w:val="clear" w:color="auto" w:fill="F2F2F2" w:themeFill="background1" w:themeFillShade="F2"/>
            <w:vAlign w:val="center"/>
          </w:tcPr>
          <w:p w14:paraId="7E1E7B21" w14:textId="77777777" w:rsidR="00170ED3" w:rsidRPr="004F1A57" w:rsidRDefault="003175E4" w:rsidP="00066B43">
            <w:pPr>
              <w:pStyle w:val="IFTnormal"/>
              <w:rPr>
                <w:rFonts w:cs="Times New Roman"/>
                <w:b/>
              </w:rPr>
            </w:pPr>
            <m:oMathPara>
              <m:oMath>
                <m:sSub>
                  <m:sSubPr>
                    <m:ctrlPr>
                      <w:rPr>
                        <w:rFonts w:ascii="Cambria Math" w:hAnsi="Cambria Math"/>
                        <w:b/>
                      </w:rPr>
                    </m:ctrlPr>
                  </m:sSubPr>
                  <m:e>
                    <m:r>
                      <m:rPr>
                        <m:nor/>
                      </m:rPr>
                      <w:rPr>
                        <w:b/>
                        <w:iCs/>
                      </w:rPr>
                      <m:t>c</m:t>
                    </m:r>
                  </m:e>
                  <m:sub>
                    <m:r>
                      <m:rPr>
                        <m:nor/>
                      </m:rPr>
                      <w:rPr>
                        <w:b/>
                      </w:rPr>
                      <m:t>nivel de entrega</m:t>
                    </m:r>
                  </m:sub>
                </m:sSub>
              </m:oMath>
            </m:oMathPara>
          </w:p>
        </w:tc>
        <w:tc>
          <w:tcPr>
            <w:tcW w:w="3667" w:type="pct"/>
            <w:shd w:val="clear" w:color="auto" w:fill="F2F2F2" w:themeFill="background1" w:themeFillShade="F2"/>
            <w:vAlign w:val="center"/>
          </w:tcPr>
          <w:p w14:paraId="7266A47C" w14:textId="4D0BF105" w:rsidR="00170ED3" w:rsidRDefault="00170ED3" w:rsidP="00066B43">
            <w:pPr>
              <w:pStyle w:val="Tablecells"/>
              <w:spacing w:before="0" w:after="0"/>
              <w:jc w:val="both"/>
              <w:rPr>
                <w:rFonts w:ascii="ITC Avant Garde" w:hAnsi="ITC Avant Garde"/>
                <w:szCs w:val="18"/>
                <w:lang w:val="es-ES_tradnl"/>
              </w:rPr>
            </w:pPr>
            <w:r>
              <w:rPr>
                <w:rFonts w:ascii="ITC Avant Garde" w:hAnsi="ITC Avant Garde"/>
                <w:szCs w:val="18"/>
                <w:lang w:val="es-ES_tradnl"/>
              </w:rPr>
              <w:t xml:space="preserve">Corresponde a los costos evitados derivados de la entrega del tráfico a nivel local, regional o nacional (ver sección </w:t>
            </w:r>
            <w:r>
              <w:rPr>
                <w:rFonts w:ascii="ITC Avant Garde" w:hAnsi="ITC Avant Garde"/>
                <w:szCs w:val="18"/>
                <w:lang w:val="es-ES_tradnl"/>
              </w:rPr>
              <w:fldChar w:fldCharType="begin"/>
            </w:r>
            <w:r>
              <w:rPr>
                <w:rFonts w:ascii="ITC Avant Garde" w:hAnsi="ITC Avant Garde"/>
                <w:szCs w:val="18"/>
                <w:lang w:val="es-ES_tradnl"/>
              </w:rPr>
              <w:instrText xml:space="preserve"> REF _Ref525627896 \r \h </w:instrText>
            </w:r>
            <w:r>
              <w:rPr>
                <w:rFonts w:ascii="ITC Avant Garde" w:hAnsi="ITC Avant Garde"/>
                <w:szCs w:val="18"/>
                <w:lang w:val="es-ES_tradnl"/>
              </w:rPr>
            </w:r>
            <w:r>
              <w:rPr>
                <w:rFonts w:ascii="ITC Avant Garde" w:hAnsi="ITC Avant Garde"/>
                <w:szCs w:val="18"/>
                <w:lang w:val="es-ES_tradnl"/>
              </w:rPr>
              <w:fldChar w:fldCharType="separate"/>
            </w:r>
            <w:r>
              <w:rPr>
                <w:rFonts w:ascii="ITC Avant Garde" w:hAnsi="ITC Avant Garde"/>
                <w:szCs w:val="18"/>
                <w:lang w:val="es-ES_tradnl"/>
              </w:rPr>
              <w:t>1.4.1.1</w:t>
            </w:r>
            <w:r>
              <w:rPr>
                <w:rFonts w:ascii="ITC Avant Garde" w:hAnsi="ITC Avant Garde"/>
                <w:szCs w:val="18"/>
                <w:lang w:val="es-ES_tradnl"/>
              </w:rPr>
              <w:fldChar w:fldCharType="end"/>
            </w:r>
            <w:r>
              <w:rPr>
                <w:rFonts w:ascii="ITC Avant Garde" w:hAnsi="ITC Avant Garde"/>
                <w:szCs w:val="18"/>
                <w:lang w:val="es-ES_tradnl"/>
              </w:rPr>
              <w:t xml:space="preserve">) incrementados mediante el uso de ancho de banda por el factor de simetría. </w:t>
            </w:r>
          </w:p>
        </w:tc>
      </w:tr>
      <w:tr w:rsidR="00170ED3" w:rsidRPr="00480AE5" w14:paraId="285FE23A" w14:textId="77777777" w:rsidTr="00066B43">
        <w:trPr>
          <w:trHeight w:val="276"/>
          <w:jc w:val="center"/>
        </w:trPr>
        <w:tc>
          <w:tcPr>
            <w:tcW w:w="1333" w:type="pct"/>
            <w:shd w:val="clear" w:color="auto" w:fill="F2F2F2" w:themeFill="background1" w:themeFillShade="F2"/>
            <w:vAlign w:val="center"/>
          </w:tcPr>
          <w:p w14:paraId="7BE8B134" w14:textId="408ED0E8" w:rsidR="00170ED3" w:rsidRDefault="003175E4" w:rsidP="00066B43">
            <w:pPr>
              <w:pStyle w:val="IFTnormal"/>
              <w:rPr>
                <w:rFonts w:ascii="Calibri" w:hAnsi="Calibri" w:cs="Times New Roman"/>
                <w:b/>
              </w:rPr>
            </w:pPr>
            <m:oMathPara>
              <m:oMath>
                <m:sSub>
                  <m:sSubPr>
                    <m:ctrlPr>
                      <w:rPr>
                        <w:rFonts w:ascii="Cambria Math" w:hAnsi="Cambria Math"/>
                        <w:b/>
                      </w:rPr>
                    </m:ctrlPr>
                  </m:sSubPr>
                  <m:e>
                    <m:r>
                      <m:rPr>
                        <m:nor/>
                      </m:rPr>
                      <w:rPr>
                        <w:b/>
                      </w:rPr>
                      <m:t>P</m:t>
                    </m:r>
                  </m:e>
                  <m:sub>
                    <m:r>
                      <m:rPr>
                        <m:nor/>
                      </m:rPr>
                      <w:rPr>
                        <w:b/>
                      </w:rPr>
                      <m:t>bucle local de fibra</m:t>
                    </m:r>
                  </m:sub>
                </m:sSub>
              </m:oMath>
            </m:oMathPara>
          </w:p>
        </w:tc>
        <w:tc>
          <w:tcPr>
            <w:tcW w:w="3667" w:type="pct"/>
            <w:shd w:val="clear" w:color="auto" w:fill="F2F2F2" w:themeFill="background1" w:themeFillShade="F2"/>
            <w:vAlign w:val="center"/>
          </w:tcPr>
          <w:p w14:paraId="28E305BD" w14:textId="0936AE80" w:rsidR="00170ED3" w:rsidRDefault="00CF1529" w:rsidP="00066B43">
            <w:pPr>
              <w:pStyle w:val="Tablecells"/>
              <w:spacing w:before="0" w:after="0"/>
              <w:jc w:val="both"/>
              <w:rPr>
                <w:rFonts w:ascii="ITC Avant Garde" w:hAnsi="ITC Avant Garde"/>
                <w:szCs w:val="18"/>
                <w:lang w:val="es-ES_tradnl"/>
              </w:rPr>
            </w:pPr>
            <w:r>
              <w:rPr>
                <w:rFonts w:ascii="ITC Avant Garde" w:hAnsi="ITC Avant Garde"/>
                <w:szCs w:val="18"/>
                <w:lang w:val="es-ES_tradnl"/>
              </w:rPr>
              <w:t xml:space="preserve">Corresponde al valor del medio de transmisión estimado por el IFT. </w:t>
            </w:r>
          </w:p>
        </w:tc>
      </w:tr>
    </w:tbl>
    <w:p w14:paraId="78E52F83" w14:textId="77777777" w:rsidR="00170ED3" w:rsidRPr="003C4845" w:rsidRDefault="00170ED3" w:rsidP="006C3454">
      <w:pPr>
        <w:pStyle w:val="IFTnormal"/>
        <w:ind w:left="720"/>
        <w:jc w:val="center"/>
        <w:rPr>
          <w:lang w:val="es-MX"/>
        </w:rPr>
      </w:pPr>
    </w:p>
    <w:p w14:paraId="285FA286" w14:textId="3FDB487E" w:rsidR="00DE64CD" w:rsidRDefault="00CF1529" w:rsidP="00BE23D4">
      <w:pPr>
        <w:pStyle w:val="IFTnormal"/>
        <w:numPr>
          <w:ilvl w:val="1"/>
          <w:numId w:val="40"/>
        </w:numPr>
      </w:pPr>
      <w:r>
        <w:rPr>
          <w:b/>
        </w:rPr>
        <w:t xml:space="preserve">Actualizaciones </w:t>
      </w:r>
      <w:r w:rsidR="00070DEE">
        <w:rPr>
          <w:b/>
        </w:rPr>
        <w:t>puntuales</w:t>
      </w:r>
      <w:r>
        <w:rPr>
          <w:b/>
        </w:rPr>
        <w:t xml:space="preserve"> del Modelo de Costos Evitados 2021 </w:t>
      </w:r>
      <w:bookmarkStart w:id="87" w:name="_Toc525656738"/>
      <w:bookmarkStart w:id="88" w:name="_Toc525656739"/>
      <w:bookmarkStart w:id="89" w:name="_Toc525656740"/>
      <w:bookmarkStart w:id="90" w:name="_Toc525656741"/>
      <w:bookmarkStart w:id="91" w:name="_Toc525656742"/>
      <w:bookmarkStart w:id="92" w:name="_Toc525656743"/>
      <w:bookmarkStart w:id="93" w:name="_Toc525656744"/>
      <w:bookmarkStart w:id="94" w:name="_Toc525656745"/>
      <w:bookmarkStart w:id="95" w:name="_Toc525656746"/>
      <w:bookmarkStart w:id="96" w:name="_Toc525656747"/>
      <w:bookmarkStart w:id="97" w:name="_Toc525656748"/>
      <w:bookmarkEnd w:id="87"/>
      <w:bookmarkEnd w:id="88"/>
      <w:bookmarkEnd w:id="89"/>
      <w:bookmarkEnd w:id="90"/>
      <w:bookmarkEnd w:id="91"/>
      <w:bookmarkEnd w:id="92"/>
      <w:bookmarkEnd w:id="93"/>
      <w:bookmarkEnd w:id="94"/>
      <w:bookmarkEnd w:id="95"/>
      <w:bookmarkEnd w:id="96"/>
      <w:bookmarkEnd w:id="97"/>
    </w:p>
    <w:p w14:paraId="74FC70FB" w14:textId="39F989D1" w:rsidR="00DE64CD" w:rsidRPr="00FB4FCE" w:rsidRDefault="00DE64CD" w:rsidP="00DE64CD">
      <w:pPr>
        <w:pStyle w:val="IFTnormal"/>
        <w:numPr>
          <w:ilvl w:val="0"/>
          <w:numId w:val="11"/>
        </w:numPr>
      </w:pPr>
      <w:r w:rsidRPr="00FB4FCE">
        <w:t>El costo mensual por empleado dedicado a la atención del cliente minorista se actualiza a partir de</w:t>
      </w:r>
      <w:r w:rsidR="006C3454">
        <w:t>l</w:t>
      </w:r>
      <w:r w:rsidRPr="00FB4FCE">
        <w:t xml:space="preserve"> aumento sala</w:t>
      </w:r>
      <w:r w:rsidR="00B93087">
        <w:t>rial de Telmex</w:t>
      </w:r>
      <w:r w:rsidRPr="00FB4FCE">
        <w:t xml:space="preserve"> </w:t>
      </w:r>
      <w:r w:rsidR="006C3454">
        <w:t xml:space="preserve">cada año, pactado por acuerdo sindical </w:t>
      </w:r>
      <w:r w:rsidRPr="00FB4FCE">
        <w:t>(</w:t>
      </w:r>
      <w:r w:rsidR="006C3454">
        <w:t>4.5</w:t>
      </w:r>
      <w:r w:rsidRPr="00FB4FCE">
        <w:t xml:space="preserve">% en </w:t>
      </w:r>
      <w:r w:rsidR="006C3454">
        <w:t>2020)</w:t>
      </w:r>
    </w:p>
    <w:p w14:paraId="13873A95" w14:textId="4245E196" w:rsidR="00DE64CD" w:rsidRDefault="00DE64CD" w:rsidP="00DE64CD">
      <w:pPr>
        <w:pStyle w:val="IFTnormal"/>
        <w:numPr>
          <w:ilvl w:val="0"/>
          <w:numId w:val="11"/>
        </w:numPr>
      </w:pPr>
      <w:r w:rsidRPr="008B7509">
        <w:t xml:space="preserve">El parámetro de deuda incobrable se actualiza </w:t>
      </w:r>
      <w:r>
        <w:t>a partir de los</w:t>
      </w:r>
      <w:r w:rsidRPr="008B7509">
        <w:t xml:space="preserve"> datos de</w:t>
      </w:r>
      <w:r w:rsidR="00E3218C">
        <w:t xml:space="preserve"> </w:t>
      </w:r>
      <w:r w:rsidRPr="008B7509">
        <w:t>l</w:t>
      </w:r>
      <w:r w:rsidR="00E3218C">
        <w:t>os</w:t>
      </w:r>
      <w:r w:rsidRPr="008B7509">
        <w:t xml:space="preserve"> documento</w:t>
      </w:r>
      <w:r w:rsidR="00E3218C">
        <w:t xml:space="preserve">s </w:t>
      </w:r>
      <w:r w:rsidR="00BE495B">
        <w:t>públicos</w:t>
      </w:r>
      <w:r w:rsidRPr="008B7509">
        <w:t xml:space="preserve"> “</w:t>
      </w:r>
      <w:r w:rsidRPr="008B7509">
        <w:rPr>
          <w:i/>
        </w:rPr>
        <w:t>América Móvil Annual Report  on Form 20-F</w:t>
      </w:r>
      <w:r w:rsidRPr="008B7509">
        <w:t>”</w:t>
      </w:r>
      <w:r w:rsidRPr="008B7509">
        <w:rPr>
          <w:rStyle w:val="Refdenotaalpie"/>
        </w:rPr>
        <w:footnoteReference w:id="30"/>
      </w:r>
      <w:r>
        <w:t>.</w:t>
      </w:r>
    </w:p>
    <w:p w14:paraId="45DF2119" w14:textId="17DA96FC" w:rsidR="00DE64CD" w:rsidRPr="00D7100C" w:rsidRDefault="00DE64CD" w:rsidP="00DE64CD">
      <w:pPr>
        <w:pStyle w:val="IFTnormal"/>
        <w:numPr>
          <w:ilvl w:val="0"/>
          <w:numId w:val="11"/>
        </w:numPr>
      </w:pPr>
      <w:r w:rsidRPr="00D7100C">
        <w:t>El margen de beneficio sobre costos evitados se actualiz</w:t>
      </w:r>
      <w:r w:rsidR="00E3218C">
        <w:t>a</w:t>
      </w:r>
      <w:r w:rsidRPr="00D7100C">
        <w:t xml:space="preserve"> conforme al CCPP nominal antes de impuestos establecido en el “ACUERDO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w:t>
      </w:r>
      <w:r w:rsidR="00CF1529">
        <w:t xml:space="preserve"> XXXX</w:t>
      </w:r>
      <w:r w:rsidRPr="00D7100C">
        <w:t xml:space="preserve">.”, publicado </w:t>
      </w:r>
      <w:r w:rsidR="00CF1529">
        <w:t xml:space="preserve">cada año </w:t>
      </w:r>
      <w:r w:rsidRPr="00D7100C">
        <w:t>en el Diario Oficial de la Federación</w:t>
      </w:r>
      <w:r>
        <w:t>.</w:t>
      </w:r>
    </w:p>
    <w:p w14:paraId="4DE227C6" w14:textId="68AE8047" w:rsidR="00DB5653" w:rsidRDefault="00DB5653" w:rsidP="00DB5653">
      <w:pPr>
        <w:pStyle w:val="IFTnormal"/>
        <w:numPr>
          <w:ilvl w:val="0"/>
          <w:numId w:val="22"/>
        </w:numPr>
      </w:pPr>
      <w:r w:rsidRPr="003B09A3">
        <w:t>Los costos asociados al SCyD se actualiza</w:t>
      </w:r>
      <w:r>
        <w:t>n</w:t>
      </w:r>
      <w:r w:rsidRPr="003B09A3">
        <w:t>, a partir del CCPP nominal antes de impuestos, descrito en el punto anterior, así como con base en el tipo de cambio MXN / USD, de la “Encuesta sobre las Expectativas de los Especialistas en Economía del Sector Privado</w:t>
      </w:r>
      <w:r>
        <w:t>” del mes de</w:t>
      </w:r>
      <w:r w:rsidRPr="003B09A3">
        <w:t xml:space="preserve"> </w:t>
      </w:r>
      <w:r w:rsidR="004161EE">
        <w:t>s</w:t>
      </w:r>
      <w:r w:rsidRPr="003B09A3">
        <w:t xml:space="preserve">eptiembre publicada por el Banco de México el 1 de octubre de </w:t>
      </w:r>
      <w:r>
        <w:t xml:space="preserve">cada año. </w:t>
      </w:r>
    </w:p>
    <w:p w14:paraId="1D0D73A4" w14:textId="66354BEC" w:rsidR="00DE64CD" w:rsidRPr="008A270E" w:rsidRDefault="00DE64CD" w:rsidP="00DE64CD">
      <w:pPr>
        <w:pStyle w:val="IFTnormal"/>
        <w:numPr>
          <w:ilvl w:val="0"/>
          <w:numId w:val="22"/>
        </w:numPr>
      </w:pPr>
      <w:r>
        <w:t>Para representar el</w:t>
      </w:r>
      <w:r w:rsidRPr="008A270E">
        <w:t xml:space="preserve"> </w:t>
      </w:r>
      <w:r>
        <w:t>valor del medio de transmisión sobre</w:t>
      </w:r>
      <w:r w:rsidRPr="008A270E">
        <w:t xml:space="preserve"> cobre </w:t>
      </w:r>
      <w:r w:rsidR="00CF1529">
        <w:t xml:space="preserve">y sobre fibra óptica </w:t>
      </w:r>
      <w:r>
        <w:t xml:space="preserve">se utiliza </w:t>
      </w:r>
      <w:r w:rsidR="004F582A">
        <w:t xml:space="preserve">lo obtenido </w:t>
      </w:r>
      <w:r>
        <w:t xml:space="preserve">a partir del </w:t>
      </w:r>
      <w:r w:rsidRPr="003872B3">
        <w:rPr>
          <w:bCs/>
          <w:lang w:val="es-MX"/>
        </w:rPr>
        <w:t xml:space="preserve">Modelo </w:t>
      </w:r>
      <w:r>
        <w:rPr>
          <w:bCs/>
          <w:lang w:val="es-MX"/>
        </w:rPr>
        <w:t xml:space="preserve">Costos Integral de la </w:t>
      </w:r>
      <w:r w:rsidRPr="003872B3">
        <w:rPr>
          <w:bCs/>
          <w:lang w:val="es-MX"/>
        </w:rPr>
        <w:t>Red de Acceso Fijo</w:t>
      </w:r>
      <w:r w:rsidR="00CF1529">
        <w:rPr>
          <w:bCs/>
          <w:lang w:val="es-MX"/>
        </w:rPr>
        <w:t xml:space="preserve">. </w:t>
      </w:r>
    </w:p>
    <w:p w14:paraId="71481944" w14:textId="5E20710F" w:rsidR="00ED5ECA" w:rsidRDefault="00ED5ECA" w:rsidP="00491BB1">
      <w:pPr>
        <w:pStyle w:val="PuntosC4"/>
        <w:numPr>
          <w:ilvl w:val="0"/>
          <w:numId w:val="40"/>
        </w:numPr>
        <w:outlineLvl w:val="1"/>
      </w:pPr>
      <w:bookmarkStart w:id="98" w:name="_Toc51700027"/>
      <w:bookmarkStart w:id="99" w:name="_Toc52188516"/>
      <w:r>
        <w:t>Presentación del modelo Excel</w:t>
      </w:r>
      <w:bookmarkEnd w:id="98"/>
      <w:bookmarkEnd w:id="99"/>
    </w:p>
    <w:p w14:paraId="58382AA8" w14:textId="7DDDDE4A" w:rsidR="00F951A2" w:rsidRDefault="00F951A2" w:rsidP="00F951A2">
      <w:pPr>
        <w:pStyle w:val="IFTnormal"/>
        <w:rPr>
          <w:lang w:val="es-CR"/>
        </w:rPr>
      </w:pPr>
      <w:r>
        <w:t xml:space="preserve">El Modelo de </w:t>
      </w:r>
      <w:r w:rsidR="00746F17">
        <w:t>C</w:t>
      </w:r>
      <w:r>
        <w:t xml:space="preserve">ostos </w:t>
      </w:r>
      <w:r w:rsidR="00746F17">
        <w:t>E</w:t>
      </w:r>
      <w:r>
        <w:t>vitados se ha implementado en un libro de hojas de cálculo</w:t>
      </w:r>
      <w:r w:rsidR="00746F17">
        <w:t xml:space="preserve"> en </w:t>
      </w:r>
      <w:r>
        <w:t xml:space="preserve">formato </w:t>
      </w:r>
      <w:r w:rsidR="00F43D74">
        <w:t>Excel</w:t>
      </w:r>
      <w:r>
        <w:t xml:space="preserve">. </w:t>
      </w:r>
      <w:r w:rsidR="00746F17">
        <w:t>Co</w:t>
      </w:r>
      <w:r>
        <w:t xml:space="preserve">n relación a la estructura seguida para la implementación del modelo, se han agrupado las diferentes hojas del modelo por bloques o </w:t>
      </w:r>
      <w:r>
        <w:rPr>
          <w:lang w:val="es-CR"/>
        </w:rPr>
        <w:t>pasos de cálculo:</w:t>
      </w:r>
    </w:p>
    <w:tbl>
      <w:tblPr>
        <w:tblStyle w:val="Tabladecuadrcula1clara"/>
        <w:tblW w:w="5000" w:type="pct"/>
        <w:jc w:val="center"/>
        <w:tblLook w:val="0420" w:firstRow="1" w:lastRow="0" w:firstColumn="0" w:lastColumn="0" w:noHBand="0" w:noVBand="1"/>
        <w:tblCaption w:val="Figura 3: Estrutura del modelo de costos de coubicación móvil (Fuente: IFT, 2015)"/>
        <w:tblDescription w:val="Se divida en hoja de cálculo y descripción"/>
      </w:tblPr>
      <w:tblGrid>
        <w:gridCol w:w="2225"/>
        <w:gridCol w:w="6603"/>
      </w:tblGrid>
      <w:tr w:rsidR="00F951A2" w:rsidRPr="00C1472F" w14:paraId="2FE6BD10" w14:textId="77777777" w:rsidTr="00351337">
        <w:trPr>
          <w:cnfStyle w:val="100000000000" w:firstRow="1" w:lastRow="0" w:firstColumn="0" w:lastColumn="0" w:oddVBand="0" w:evenVBand="0" w:oddHBand="0" w:evenHBand="0" w:firstRowFirstColumn="0" w:firstRowLastColumn="0" w:lastRowFirstColumn="0" w:lastRowLastColumn="0"/>
          <w:trHeight w:val="278"/>
          <w:tblHeader/>
          <w:jc w:val="center"/>
        </w:trPr>
        <w:tc>
          <w:tcPr>
            <w:tcW w:w="1260" w:type="pct"/>
            <w:shd w:val="clear" w:color="auto" w:fill="E7E6E6" w:themeFill="background2"/>
          </w:tcPr>
          <w:p w14:paraId="7DC94CEA" w14:textId="77777777" w:rsidR="00F951A2" w:rsidRPr="00E537BD" w:rsidRDefault="00F951A2" w:rsidP="00351337">
            <w:pPr>
              <w:pStyle w:val="Tableheading"/>
              <w:spacing w:before="0" w:after="0"/>
              <w:jc w:val="center"/>
              <w:rPr>
                <w:rFonts w:ascii="ITC Avant Garde" w:hAnsi="ITC Avant Garde"/>
                <w:b/>
                <w:color w:val="000000" w:themeColor="text1"/>
                <w:szCs w:val="18"/>
                <w:lang w:val="es-ES_tradnl"/>
              </w:rPr>
            </w:pPr>
            <w:r>
              <w:rPr>
                <w:rFonts w:ascii="ITC Avant Garde" w:hAnsi="ITC Avant Garde" w:cs="Arial"/>
                <w:b/>
                <w:color w:val="000000"/>
                <w:lang w:val="es-ES" w:eastAsia="es-ES"/>
              </w:rPr>
              <w:t>Nombre de la hoja</w:t>
            </w:r>
          </w:p>
        </w:tc>
        <w:tc>
          <w:tcPr>
            <w:tcW w:w="3740" w:type="pct"/>
            <w:shd w:val="clear" w:color="auto" w:fill="E7E6E6" w:themeFill="background2"/>
          </w:tcPr>
          <w:p w14:paraId="2E989DB4" w14:textId="77777777" w:rsidR="00F951A2" w:rsidRPr="00E537BD" w:rsidRDefault="00F951A2" w:rsidP="00351337">
            <w:pPr>
              <w:pStyle w:val="Tableheading"/>
              <w:spacing w:before="0" w:after="0"/>
              <w:jc w:val="center"/>
              <w:rPr>
                <w:rFonts w:ascii="ITC Avant Garde" w:hAnsi="ITC Avant Garde"/>
                <w:b/>
                <w:color w:val="000000" w:themeColor="text1"/>
                <w:szCs w:val="18"/>
                <w:lang w:val="es-ES_tradnl"/>
              </w:rPr>
            </w:pPr>
            <w:r w:rsidRPr="00E537BD">
              <w:rPr>
                <w:rFonts w:ascii="ITC Avant Garde" w:hAnsi="ITC Avant Garde"/>
                <w:b/>
                <w:color w:val="000000" w:themeColor="text1"/>
                <w:szCs w:val="18"/>
                <w:lang w:val="es-ES_tradnl"/>
              </w:rPr>
              <w:t xml:space="preserve">Unidad </w:t>
            </w:r>
          </w:p>
        </w:tc>
      </w:tr>
      <w:tr w:rsidR="00F951A2" w:rsidRPr="00C1472F" w14:paraId="0E5C4C68" w14:textId="77777777" w:rsidTr="00351337">
        <w:trPr>
          <w:trHeight w:val="276"/>
          <w:jc w:val="center"/>
        </w:trPr>
        <w:tc>
          <w:tcPr>
            <w:tcW w:w="1260" w:type="pct"/>
            <w:vAlign w:val="center"/>
          </w:tcPr>
          <w:p w14:paraId="41EFCAE8" w14:textId="343E72C9" w:rsidR="00F951A2" w:rsidRPr="003853B5" w:rsidRDefault="00F951A2" w:rsidP="00351337">
            <w:pPr>
              <w:pStyle w:val="Tablecells"/>
              <w:spacing w:after="0"/>
              <w:ind w:right="39"/>
              <w:jc w:val="both"/>
              <w:rPr>
                <w:rFonts w:ascii="ITC Avant Garde" w:hAnsi="ITC Avant Garde"/>
                <w:b/>
                <w:szCs w:val="18"/>
                <w:lang w:val="es-ES_tradnl"/>
              </w:rPr>
            </w:pPr>
            <w:r w:rsidRPr="003853B5">
              <w:rPr>
                <w:rFonts w:ascii="ITC Avant Garde" w:hAnsi="ITC Avant Garde"/>
                <w:b/>
                <w:szCs w:val="18"/>
                <w:lang w:val="es-ES_tradnl"/>
              </w:rPr>
              <w:t>Lista</w:t>
            </w:r>
            <w:r w:rsidR="00622629">
              <w:rPr>
                <w:rFonts w:ascii="ITC Avant Garde" w:hAnsi="ITC Avant Garde"/>
                <w:b/>
                <w:szCs w:val="18"/>
                <w:lang w:val="es-ES_tradnl"/>
              </w:rPr>
              <w:t>s</w:t>
            </w:r>
          </w:p>
        </w:tc>
        <w:tc>
          <w:tcPr>
            <w:tcW w:w="3740" w:type="pct"/>
            <w:vAlign w:val="center"/>
          </w:tcPr>
          <w:p w14:paraId="2747F3AF" w14:textId="77777777" w:rsidR="00F951A2" w:rsidRPr="00480AE5" w:rsidRDefault="00F951A2" w:rsidP="00351337">
            <w:pPr>
              <w:pStyle w:val="Tablecells"/>
              <w:spacing w:before="0" w:after="0"/>
              <w:jc w:val="both"/>
              <w:rPr>
                <w:rFonts w:ascii="ITC Avant Garde" w:hAnsi="ITC Avant Garde"/>
                <w:szCs w:val="18"/>
                <w:lang w:val="es-ES_tradnl"/>
              </w:rPr>
            </w:pPr>
            <w:r w:rsidRPr="001852F1">
              <w:rPr>
                <w:rFonts w:ascii="ITC Avant Garde" w:hAnsi="ITC Avant Garde"/>
                <w:szCs w:val="18"/>
                <w:lang w:val="es-ES_tradnl"/>
              </w:rPr>
              <w:t xml:space="preserve">Contiene </w:t>
            </w:r>
            <w:r>
              <w:rPr>
                <w:rFonts w:ascii="ITC Avant Garde" w:hAnsi="ITC Avant Garde"/>
                <w:szCs w:val="18"/>
                <w:lang w:val="es-ES_tradnl"/>
              </w:rPr>
              <w:t>una serie de listas que se emplean para especificar variables auxiliares del modelo (por ejemplo, el nombre de los planes y paquetes).</w:t>
            </w:r>
          </w:p>
        </w:tc>
      </w:tr>
      <w:tr w:rsidR="00F951A2" w:rsidRPr="00C1472F" w14:paraId="593D39C0" w14:textId="77777777" w:rsidTr="00351337">
        <w:trPr>
          <w:trHeight w:val="268"/>
          <w:jc w:val="center"/>
        </w:trPr>
        <w:tc>
          <w:tcPr>
            <w:tcW w:w="1260" w:type="pct"/>
            <w:shd w:val="clear" w:color="auto" w:fill="F2F2F2" w:themeFill="background1" w:themeFillShade="F2"/>
            <w:vAlign w:val="center"/>
          </w:tcPr>
          <w:p w14:paraId="05EBDE5E" w14:textId="77777777" w:rsidR="00F951A2" w:rsidRPr="003853B5" w:rsidRDefault="00F951A2" w:rsidP="00351337">
            <w:pPr>
              <w:pStyle w:val="Tablecells"/>
              <w:spacing w:after="0"/>
              <w:ind w:right="39"/>
              <w:jc w:val="both"/>
              <w:rPr>
                <w:rFonts w:ascii="ITC Avant Garde" w:hAnsi="ITC Avant Garde"/>
                <w:b/>
                <w:szCs w:val="18"/>
                <w:lang w:val="es-ES_tradnl"/>
              </w:rPr>
            </w:pPr>
            <w:r w:rsidRPr="003853B5">
              <w:rPr>
                <w:rFonts w:ascii="ITC Avant Garde" w:hAnsi="ITC Avant Garde"/>
                <w:b/>
                <w:szCs w:val="18"/>
                <w:lang w:val="es-ES_tradnl"/>
              </w:rPr>
              <w:t>Control</w:t>
            </w:r>
          </w:p>
        </w:tc>
        <w:tc>
          <w:tcPr>
            <w:tcW w:w="3740" w:type="pct"/>
            <w:shd w:val="clear" w:color="auto" w:fill="F2F2F2" w:themeFill="background1" w:themeFillShade="F2"/>
            <w:vAlign w:val="center"/>
          </w:tcPr>
          <w:p w14:paraId="44BE728C" w14:textId="77777777" w:rsidR="00F951A2" w:rsidRPr="00480AE5" w:rsidRDefault="00F951A2" w:rsidP="00351337">
            <w:pPr>
              <w:pStyle w:val="Tablecells"/>
              <w:spacing w:before="0" w:after="0"/>
              <w:jc w:val="both"/>
              <w:rPr>
                <w:rFonts w:ascii="ITC Avant Garde" w:hAnsi="ITC Avant Garde"/>
                <w:szCs w:val="18"/>
                <w:lang w:val="es-ES_tradnl"/>
              </w:rPr>
            </w:pPr>
            <w:r w:rsidRPr="001852F1">
              <w:rPr>
                <w:rFonts w:ascii="ITC Avant Garde" w:hAnsi="ITC Avant Garde"/>
                <w:szCs w:val="18"/>
                <w:lang w:val="es-ES_tradnl"/>
              </w:rPr>
              <w:t>Contiene una lista de los pará</w:t>
            </w:r>
            <w:r>
              <w:rPr>
                <w:rFonts w:ascii="ITC Avant Garde" w:hAnsi="ITC Avant Garde"/>
                <w:szCs w:val="18"/>
                <w:lang w:val="es-ES_tradnl"/>
              </w:rPr>
              <w:t>metros utilizados en el modelo. Entre variables el año de referencia, variables que permiten definir los costos evitados de los servicios, entre otros.</w:t>
            </w:r>
          </w:p>
        </w:tc>
      </w:tr>
      <w:tr w:rsidR="00F951A2" w:rsidRPr="00C1472F" w14:paraId="25379FB7" w14:textId="77777777" w:rsidTr="00351337">
        <w:trPr>
          <w:trHeight w:val="268"/>
          <w:jc w:val="center"/>
        </w:trPr>
        <w:tc>
          <w:tcPr>
            <w:tcW w:w="1260" w:type="pct"/>
            <w:vAlign w:val="center"/>
          </w:tcPr>
          <w:p w14:paraId="1CDD733D" w14:textId="77777777" w:rsidR="00F951A2" w:rsidRPr="003853B5" w:rsidRDefault="00F951A2" w:rsidP="00351337">
            <w:pPr>
              <w:pStyle w:val="Tablecells"/>
              <w:spacing w:after="0"/>
              <w:ind w:right="39"/>
              <w:jc w:val="both"/>
              <w:rPr>
                <w:rFonts w:ascii="ITC Avant Garde" w:hAnsi="ITC Avant Garde"/>
                <w:b/>
                <w:szCs w:val="18"/>
                <w:lang w:val="es-ES_tradnl"/>
              </w:rPr>
            </w:pPr>
            <w:r w:rsidRPr="003853B5">
              <w:rPr>
                <w:rFonts w:ascii="ITC Avant Garde" w:hAnsi="ITC Avant Garde"/>
                <w:b/>
                <w:szCs w:val="18"/>
                <w:lang w:val="es-ES_tradnl"/>
              </w:rPr>
              <w:t>Mercado</w:t>
            </w:r>
          </w:p>
        </w:tc>
        <w:tc>
          <w:tcPr>
            <w:tcW w:w="3740" w:type="pct"/>
            <w:vAlign w:val="center"/>
          </w:tcPr>
          <w:p w14:paraId="769AA1A1" w14:textId="17B9E790" w:rsidR="00F951A2" w:rsidRPr="00480AE5" w:rsidRDefault="00F951A2" w:rsidP="00351337">
            <w:pPr>
              <w:pStyle w:val="Tablecells"/>
              <w:spacing w:before="0" w:after="0"/>
              <w:jc w:val="both"/>
              <w:rPr>
                <w:rFonts w:ascii="ITC Avant Garde" w:hAnsi="ITC Avant Garde"/>
                <w:szCs w:val="18"/>
                <w:lang w:val="es-ES_tradnl"/>
              </w:rPr>
            </w:pPr>
            <w:r>
              <w:rPr>
                <w:rFonts w:ascii="ITC Avant Garde" w:hAnsi="ITC Avant Garde"/>
                <w:szCs w:val="18"/>
                <w:lang w:val="es-ES_tradnl"/>
              </w:rPr>
              <w:t xml:space="preserve">Muestra información del mercado de telefonía y banda ancha fija, así como la </w:t>
            </w:r>
            <w:r w:rsidR="004F582A">
              <w:rPr>
                <w:rFonts w:ascii="ITC Avant Garde" w:hAnsi="ITC Avant Garde"/>
                <w:szCs w:val="18"/>
                <w:lang w:val="es-ES_tradnl"/>
              </w:rPr>
              <w:t>distribución de usuarios de Telmex y Telnor</w:t>
            </w:r>
            <w:r>
              <w:rPr>
                <w:rFonts w:ascii="ITC Avant Garde" w:hAnsi="ITC Avant Garde"/>
                <w:szCs w:val="18"/>
                <w:lang w:val="es-ES_tradnl"/>
              </w:rPr>
              <w:t xml:space="preserve"> a través de sus dife</w:t>
            </w:r>
            <w:r w:rsidR="004F582A">
              <w:rPr>
                <w:rFonts w:ascii="ITC Avant Garde" w:hAnsi="ITC Avant Garde"/>
                <w:szCs w:val="18"/>
                <w:lang w:val="es-ES_tradnl"/>
              </w:rPr>
              <w:t>rentes planes y paquetes de Telmex y Telnor</w:t>
            </w:r>
            <w:r>
              <w:rPr>
                <w:rFonts w:ascii="ITC Avant Garde" w:hAnsi="ITC Avant Garde"/>
                <w:szCs w:val="18"/>
                <w:lang w:val="es-ES_tradnl"/>
              </w:rPr>
              <w:t>.</w:t>
            </w:r>
          </w:p>
        </w:tc>
      </w:tr>
      <w:tr w:rsidR="00F951A2" w:rsidRPr="00C1472F" w14:paraId="4D2CC141" w14:textId="77777777" w:rsidTr="00351337">
        <w:trPr>
          <w:trHeight w:val="268"/>
          <w:jc w:val="center"/>
        </w:trPr>
        <w:tc>
          <w:tcPr>
            <w:tcW w:w="1260" w:type="pct"/>
            <w:shd w:val="clear" w:color="auto" w:fill="F2F2F2" w:themeFill="background1" w:themeFillShade="F2"/>
            <w:vAlign w:val="center"/>
          </w:tcPr>
          <w:p w14:paraId="435D9A92" w14:textId="77777777" w:rsidR="00F951A2" w:rsidRPr="003853B5" w:rsidRDefault="00F951A2" w:rsidP="00351337">
            <w:pPr>
              <w:pStyle w:val="Tablecells"/>
              <w:spacing w:after="0"/>
              <w:ind w:right="39"/>
              <w:jc w:val="both"/>
              <w:rPr>
                <w:rFonts w:ascii="ITC Avant Garde" w:hAnsi="ITC Avant Garde"/>
                <w:b/>
                <w:szCs w:val="18"/>
                <w:lang w:val="es-ES_tradnl"/>
              </w:rPr>
            </w:pPr>
            <w:r w:rsidRPr="003853B5">
              <w:rPr>
                <w:rFonts w:ascii="ITC Avant Garde" w:hAnsi="ITC Avant Garde"/>
                <w:b/>
                <w:szCs w:val="18"/>
                <w:lang w:val="es-ES_tradnl"/>
              </w:rPr>
              <w:t>Cálculos auxiliares</w:t>
            </w:r>
          </w:p>
        </w:tc>
        <w:tc>
          <w:tcPr>
            <w:tcW w:w="3740" w:type="pct"/>
            <w:shd w:val="clear" w:color="auto" w:fill="F2F2F2" w:themeFill="background1" w:themeFillShade="F2"/>
            <w:vAlign w:val="center"/>
          </w:tcPr>
          <w:p w14:paraId="78FFAB14" w14:textId="77777777" w:rsidR="00F951A2" w:rsidRDefault="00F951A2" w:rsidP="00351337">
            <w:pPr>
              <w:pStyle w:val="Tablecells"/>
              <w:spacing w:before="0" w:after="0"/>
              <w:jc w:val="both"/>
              <w:rPr>
                <w:rFonts w:ascii="ITC Avant Garde" w:hAnsi="ITC Avant Garde"/>
                <w:szCs w:val="18"/>
                <w:lang w:val="es-ES_tradnl"/>
              </w:rPr>
            </w:pPr>
            <w:r>
              <w:rPr>
                <w:rFonts w:ascii="ITC Avant Garde" w:hAnsi="ITC Avant Garde"/>
                <w:szCs w:val="18"/>
                <w:lang w:val="es-ES_tradnl"/>
              </w:rPr>
              <w:t>Esta hoja presenta la estimación de diversos elementos que se emplean a lo largo del modelo, mismos que se listan a continuación:</w:t>
            </w:r>
          </w:p>
          <w:p w14:paraId="03530885" w14:textId="016A7493" w:rsidR="00F951A2" w:rsidRPr="008E56B2" w:rsidRDefault="00F951A2" w:rsidP="00F951A2">
            <w:pPr>
              <w:pStyle w:val="Tablecells"/>
              <w:numPr>
                <w:ilvl w:val="0"/>
                <w:numId w:val="53"/>
              </w:numPr>
              <w:spacing w:before="0" w:after="0"/>
              <w:jc w:val="both"/>
              <w:rPr>
                <w:rFonts w:ascii="ITC Avant Garde" w:hAnsi="ITC Avant Garde"/>
                <w:b/>
                <w:szCs w:val="18"/>
                <w:lang w:val="es-ES_tradnl"/>
              </w:rPr>
            </w:pPr>
            <w:r w:rsidRPr="008E56B2">
              <w:rPr>
                <w:rFonts w:ascii="ITC Avant Garde" w:hAnsi="ITC Avant Garde"/>
                <w:b/>
                <w:szCs w:val="18"/>
                <w:lang w:val="es-ES_tradnl"/>
              </w:rPr>
              <w:t>Información asociada a servicios digitales:</w:t>
            </w:r>
            <w:r w:rsidR="00622629">
              <w:rPr>
                <w:rFonts w:ascii="ITC Avant Garde" w:hAnsi="ITC Avant Garde"/>
                <w:szCs w:val="18"/>
                <w:lang w:val="es-ES_tradnl"/>
              </w:rPr>
              <w:t xml:space="preserve"> comprende </w:t>
            </w:r>
            <w:r>
              <w:rPr>
                <w:rFonts w:ascii="ITC Avant Garde" w:hAnsi="ITC Avant Garde"/>
                <w:szCs w:val="18"/>
                <w:lang w:val="es-ES_tradnl"/>
              </w:rPr>
              <w:t xml:space="preserve">el costo </w:t>
            </w:r>
            <w:r w:rsidR="00BE3D43">
              <w:rPr>
                <w:rFonts w:ascii="ITC Avant Garde" w:hAnsi="ITC Avant Garde"/>
                <w:szCs w:val="18"/>
                <w:lang w:val="es-ES_tradnl"/>
              </w:rPr>
              <w:t xml:space="preserve">de los </w:t>
            </w:r>
            <w:r w:rsidR="00622629">
              <w:rPr>
                <w:rFonts w:ascii="ITC Avant Garde" w:hAnsi="ITC Avant Garde"/>
                <w:szCs w:val="18"/>
                <w:lang w:val="es-ES_tradnl"/>
              </w:rPr>
              <w:t>servicio</w:t>
            </w:r>
            <w:r w:rsidR="00BE3D43">
              <w:rPr>
                <w:rFonts w:ascii="ITC Avant Garde" w:hAnsi="ITC Avant Garde"/>
                <w:szCs w:val="18"/>
                <w:lang w:val="es-ES_tradnl"/>
              </w:rPr>
              <w:t>s</w:t>
            </w:r>
            <w:r w:rsidR="00622629">
              <w:rPr>
                <w:rFonts w:ascii="ITC Avant Garde" w:hAnsi="ITC Avant Garde"/>
                <w:szCs w:val="18"/>
                <w:lang w:val="es-ES_tradnl"/>
              </w:rPr>
              <w:t xml:space="preserve"> digital</w:t>
            </w:r>
            <w:r w:rsidR="00BE3D43">
              <w:rPr>
                <w:rFonts w:ascii="ITC Avant Garde" w:hAnsi="ITC Avant Garde"/>
                <w:szCs w:val="18"/>
                <w:lang w:val="es-ES_tradnl"/>
              </w:rPr>
              <w:t>es en función de su cantidad.</w:t>
            </w:r>
            <w:r w:rsidR="00622629">
              <w:rPr>
                <w:rFonts w:ascii="ITC Avant Garde" w:hAnsi="ITC Avant Garde"/>
                <w:szCs w:val="18"/>
                <w:lang w:val="es-ES_tradnl"/>
              </w:rPr>
              <w:t xml:space="preserve"> </w:t>
            </w:r>
          </w:p>
          <w:p w14:paraId="237A794F" w14:textId="6BBB0AE6" w:rsidR="00F951A2" w:rsidRPr="008E56B2" w:rsidRDefault="00F951A2" w:rsidP="00F951A2">
            <w:pPr>
              <w:pStyle w:val="Tablecells"/>
              <w:numPr>
                <w:ilvl w:val="0"/>
                <w:numId w:val="53"/>
              </w:numPr>
              <w:spacing w:before="0" w:after="0"/>
              <w:jc w:val="both"/>
              <w:rPr>
                <w:rFonts w:ascii="ITC Avant Garde" w:hAnsi="ITC Avant Garde"/>
                <w:b/>
                <w:szCs w:val="18"/>
                <w:lang w:val="es-ES_tradnl"/>
              </w:rPr>
            </w:pPr>
            <w:r w:rsidRPr="008E56B2">
              <w:rPr>
                <w:rFonts w:ascii="ITC Avant Garde" w:hAnsi="ITC Avant Garde"/>
                <w:b/>
                <w:szCs w:val="18"/>
                <w:lang w:val="es-ES_tradnl"/>
              </w:rPr>
              <w:t>Datos de tráfico de llam</w:t>
            </w:r>
            <w:r w:rsidR="004F582A">
              <w:rPr>
                <w:rFonts w:ascii="ITC Avant Garde" w:hAnsi="ITC Avant Garde"/>
                <w:b/>
                <w:szCs w:val="18"/>
                <w:lang w:val="es-ES_tradnl"/>
              </w:rPr>
              <w:t>adas salientes de la red de Telmex y Telnor</w:t>
            </w:r>
            <w:r w:rsidRPr="008E56B2">
              <w:rPr>
                <w:rFonts w:ascii="ITC Avant Garde" w:hAnsi="ITC Avant Garde"/>
                <w:b/>
                <w:szCs w:val="18"/>
                <w:lang w:val="es-ES_tradnl"/>
              </w:rPr>
              <w:t xml:space="preserve">: </w:t>
            </w:r>
            <w:r>
              <w:rPr>
                <w:rFonts w:ascii="ITC Avant Garde" w:hAnsi="ITC Avant Garde"/>
                <w:szCs w:val="18"/>
                <w:lang w:val="es-ES_tradnl"/>
              </w:rPr>
              <w:t xml:space="preserve">recoge la duración media de </w:t>
            </w:r>
            <w:r w:rsidR="004F582A">
              <w:rPr>
                <w:rFonts w:ascii="ITC Avant Garde" w:hAnsi="ITC Avant Garde"/>
                <w:szCs w:val="18"/>
                <w:lang w:val="es-ES_tradnl"/>
              </w:rPr>
              <w:t>las llamadas telefónicas de Telmex y Telnor</w:t>
            </w:r>
            <w:r>
              <w:rPr>
                <w:rFonts w:ascii="ITC Avant Garde" w:hAnsi="ITC Avant Garde"/>
                <w:szCs w:val="18"/>
                <w:lang w:val="es-ES_tradnl"/>
              </w:rPr>
              <w:t xml:space="preserve"> a diferentes destinos.</w:t>
            </w:r>
          </w:p>
          <w:p w14:paraId="2C8C9EE0" w14:textId="77777777" w:rsidR="00F951A2" w:rsidRPr="005D600F" w:rsidRDefault="00F951A2" w:rsidP="00F951A2">
            <w:pPr>
              <w:pStyle w:val="Tablecells"/>
              <w:numPr>
                <w:ilvl w:val="0"/>
                <w:numId w:val="53"/>
              </w:numPr>
              <w:spacing w:before="0" w:after="0"/>
              <w:jc w:val="both"/>
              <w:rPr>
                <w:rFonts w:ascii="ITC Avant Garde" w:hAnsi="ITC Avant Garde"/>
                <w:b/>
                <w:szCs w:val="18"/>
                <w:lang w:val="es-ES_tradnl"/>
              </w:rPr>
            </w:pPr>
            <w:r w:rsidRPr="0009049D">
              <w:rPr>
                <w:rFonts w:ascii="ITC Avant Garde" w:hAnsi="ITC Avant Garde"/>
                <w:b/>
                <w:szCs w:val="18"/>
                <w:lang w:val="es-ES_tradnl"/>
              </w:rPr>
              <w:t>Estimación de valor unitario por minuto de llamada de voz a números fijos</w:t>
            </w:r>
            <w:r>
              <w:rPr>
                <w:rFonts w:ascii="ITC Avant Garde" w:hAnsi="ITC Avant Garde"/>
                <w:b/>
                <w:szCs w:val="18"/>
                <w:lang w:val="es-ES_tradnl"/>
              </w:rPr>
              <w:t xml:space="preserve">: </w:t>
            </w:r>
            <w:r>
              <w:rPr>
                <w:rFonts w:ascii="ITC Avant Garde" w:hAnsi="ITC Avant Garde"/>
                <w:szCs w:val="18"/>
                <w:lang w:val="es-ES_tradnl"/>
              </w:rPr>
              <w:t>es relativo a la estimación del precio unitario, por minuto, de las llamadas que se ofrecen dentro de la renta de línea.</w:t>
            </w:r>
          </w:p>
          <w:p w14:paraId="29B7B352" w14:textId="049E7D54" w:rsidR="00F951A2" w:rsidRPr="003A3308" w:rsidRDefault="00F951A2" w:rsidP="003A3308">
            <w:pPr>
              <w:pStyle w:val="Tablecells"/>
              <w:numPr>
                <w:ilvl w:val="0"/>
                <w:numId w:val="53"/>
              </w:numPr>
              <w:spacing w:before="0" w:after="0"/>
              <w:jc w:val="both"/>
              <w:rPr>
                <w:rFonts w:ascii="ITC Avant Garde" w:hAnsi="ITC Avant Garde"/>
                <w:szCs w:val="18"/>
                <w:lang w:val="es-ES_tradnl"/>
              </w:rPr>
            </w:pPr>
            <w:r w:rsidRPr="005D600F">
              <w:rPr>
                <w:rFonts w:ascii="ITC Avant Garde" w:hAnsi="ITC Avant Garde"/>
                <w:b/>
                <w:szCs w:val="18"/>
                <w:lang w:val="es-ES_tradnl"/>
              </w:rPr>
              <w:t xml:space="preserve">Representación del costo mensual promedio </w:t>
            </w:r>
            <w:r w:rsidR="00622629">
              <w:rPr>
                <w:rFonts w:ascii="ITC Avant Garde" w:hAnsi="ITC Avant Garde"/>
                <w:b/>
                <w:szCs w:val="18"/>
                <w:lang w:val="es-ES_tradnl"/>
              </w:rPr>
              <w:t xml:space="preserve">ponderado </w:t>
            </w:r>
            <w:r w:rsidRPr="005D600F">
              <w:rPr>
                <w:rFonts w:ascii="ITC Avant Garde" w:hAnsi="ITC Avant Garde"/>
                <w:b/>
                <w:szCs w:val="18"/>
                <w:lang w:val="es-ES_tradnl"/>
              </w:rPr>
              <w:t>del bucle, por plan/paquete con banda ancha fija</w:t>
            </w:r>
            <w:r w:rsidR="003A3308">
              <w:rPr>
                <w:rFonts w:ascii="ITC Avant Garde" w:hAnsi="ITC Avant Garde"/>
                <w:b/>
                <w:szCs w:val="18"/>
                <w:lang w:val="es-ES_tradnl"/>
              </w:rPr>
              <w:t xml:space="preserve"> y por perfil de velocidad</w:t>
            </w:r>
            <w:r w:rsidRPr="003A3308">
              <w:rPr>
                <w:rFonts w:ascii="ITC Avant Garde" w:hAnsi="ITC Avant Garde"/>
                <w:b/>
                <w:szCs w:val="18"/>
                <w:lang w:val="es-ES_tradnl"/>
              </w:rPr>
              <w:t xml:space="preserve">: </w:t>
            </w:r>
            <w:r w:rsidRPr="003A3308">
              <w:rPr>
                <w:rFonts w:ascii="ITC Avant Garde" w:hAnsi="ITC Avant Garde"/>
                <w:szCs w:val="18"/>
                <w:lang w:val="es-ES_tradnl"/>
              </w:rPr>
              <w:t>se toma en cuenta el valor d</w:t>
            </w:r>
            <w:r w:rsidRPr="003A3308">
              <w:rPr>
                <w:rFonts w:ascii="ITC Avant Garde" w:hAnsi="ITC Avant Garde"/>
                <w:szCs w:val="18"/>
                <w:lang w:val="es-419"/>
              </w:rPr>
              <w:t>el costo del bucle local de cobre y de fibra, estimados por otros modelos de costos de la red de acceso, del Instituto.</w:t>
            </w:r>
          </w:p>
          <w:p w14:paraId="17E761B0" w14:textId="37B790F0" w:rsidR="00F951A2" w:rsidRPr="00972867" w:rsidRDefault="00F951A2" w:rsidP="00F951A2">
            <w:pPr>
              <w:pStyle w:val="Tablecells"/>
              <w:numPr>
                <w:ilvl w:val="0"/>
                <w:numId w:val="53"/>
              </w:numPr>
              <w:spacing w:before="0" w:after="0"/>
              <w:jc w:val="both"/>
              <w:rPr>
                <w:rFonts w:ascii="ITC Avant Garde" w:hAnsi="ITC Avant Garde"/>
                <w:b/>
                <w:szCs w:val="18"/>
                <w:lang w:val="es-ES_tradnl"/>
              </w:rPr>
            </w:pPr>
            <w:r w:rsidRPr="003417C5">
              <w:rPr>
                <w:rFonts w:ascii="ITC Avant Garde" w:hAnsi="ITC Avant Garde"/>
                <w:b/>
                <w:szCs w:val="18"/>
                <w:lang w:val="es-ES_tradnl"/>
              </w:rPr>
              <w:t>Representación del precio implícito por perfil</w:t>
            </w:r>
            <w:r>
              <w:rPr>
                <w:rFonts w:ascii="ITC Avant Garde" w:hAnsi="ITC Avant Garde"/>
                <w:b/>
                <w:szCs w:val="18"/>
                <w:lang w:val="es-ES_tradnl"/>
              </w:rPr>
              <w:t xml:space="preserve"> de velocidad: </w:t>
            </w:r>
            <w:r>
              <w:rPr>
                <w:rFonts w:ascii="ITC Avant Garde" w:hAnsi="ITC Avant Garde"/>
                <w:szCs w:val="18"/>
                <w:lang w:val="es-ES_tradnl"/>
              </w:rPr>
              <w:t>se refiere a la representación del valor promedio ponderado (por distribución de usuarios,</w:t>
            </w:r>
            <w:r w:rsidR="00D33B62">
              <w:rPr>
                <w:rFonts w:ascii="ITC Avant Garde" w:hAnsi="ITC Avant Garde"/>
                <w:szCs w:val="18"/>
                <w:lang w:val="es-ES_tradnl"/>
              </w:rPr>
              <w:t xml:space="preserve"> por cada plan y paquete de Telmex y Telnor</w:t>
            </w:r>
            <w:r>
              <w:rPr>
                <w:rFonts w:ascii="ITC Avant Garde" w:hAnsi="ITC Avant Garde"/>
                <w:szCs w:val="18"/>
                <w:lang w:val="es-ES_tradnl"/>
              </w:rPr>
              <w:t>) del precio implícito asociado a banda ancha</w:t>
            </w:r>
            <w:r w:rsidR="00066B43">
              <w:rPr>
                <w:rFonts w:ascii="ITC Avant Garde" w:hAnsi="ITC Avant Garde"/>
                <w:szCs w:val="18"/>
                <w:lang w:val="es-ES_tradnl"/>
              </w:rPr>
              <w:t xml:space="preserve"> para cada perfil de velocidad.</w:t>
            </w:r>
            <w:r>
              <w:rPr>
                <w:rFonts w:ascii="ITC Avant Garde" w:hAnsi="ITC Avant Garde"/>
                <w:szCs w:val="18"/>
                <w:lang w:val="es-ES_tradnl"/>
              </w:rPr>
              <w:br/>
              <w:t xml:space="preserve">Cabe destacar que, tal como se explica </w:t>
            </w:r>
            <w:r w:rsidRPr="00066B43">
              <w:rPr>
                <w:rFonts w:ascii="ITC Avant Garde" w:hAnsi="ITC Avant Garde"/>
                <w:szCs w:val="18"/>
                <w:lang w:val="es-ES_tradnl"/>
              </w:rPr>
              <w:t xml:space="preserve">en </w:t>
            </w:r>
            <w:r w:rsidR="00066B43" w:rsidRPr="00066B43">
              <w:rPr>
                <w:rFonts w:ascii="ITC Avant Garde" w:hAnsi="ITC Avant Garde"/>
                <w:szCs w:val="18"/>
                <w:lang w:val="es-ES_tradnl"/>
              </w:rPr>
              <w:t xml:space="preserve">la </w:t>
            </w:r>
            <w:r w:rsidR="00066B43" w:rsidRPr="009D6735">
              <w:rPr>
                <w:rFonts w:ascii="ITC Avant Garde" w:hAnsi="ITC Avant Garde"/>
                <w:szCs w:val="18"/>
                <w:lang w:val="es-ES_tradnl"/>
              </w:rPr>
              <w:t xml:space="preserve">sección </w:t>
            </w:r>
            <w:r w:rsidR="00066B43" w:rsidRPr="009D6735">
              <w:rPr>
                <w:rFonts w:ascii="ITC Avant Garde" w:hAnsi="ITC Avant Garde"/>
                <w:szCs w:val="18"/>
                <w:lang w:val="es-ES_tradnl"/>
              </w:rPr>
              <w:fldChar w:fldCharType="begin"/>
            </w:r>
            <w:r w:rsidR="00066B43" w:rsidRPr="009D6735">
              <w:rPr>
                <w:rFonts w:ascii="ITC Avant Garde" w:hAnsi="ITC Avant Garde"/>
                <w:szCs w:val="18"/>
                <w:lang w:val="es-ES_tradnl"/>
              </w:rPr>
              <w:instrText xml:space="preserve"> REF _Ref51585426 \r \h </w:instrText>
            </w:r>
            <w:r w:rsidR="00066B43" w:rsidRPr="009D6735">
              <w:rPr>
                <w:rFonts w:ascii="ITC Avant Garde" w:hAnsi="ITC Avant Garde"/>
                <w:szCs w:val="18"/>
                <w:lang w:val="es-ES_tradnl"/>
              </w:rPr>
            </w:r>
            <w:r w:rsidR="00066B43" w:rsidRPr="009D6735">
              <w:rPr>
                <w:rFonts w:ascii="ITC Avant Garde" w:hAnsi="ITC Avant Garde"/>
                <w:szCs w:val="18"/>
                <w:lang w:val="es-ES_tradnl"/>
              </w:rPr>
              <w:fldChar w:fldCharType="separate"/>
            </w:r>
            <w:r w:rsidR="00066B43" w:rsidRPr="009D6735">
              <w:rPr>
                <w:rFonts w:ascii="ITC Avant Garde" w:hAnsi="ITC Avant Garde"/>
                <w:szCs w:val="18"/>
                <w:lang w:val="es-ES_tradnl"/>
              </w:rPr>
              <w:t>1.3.2.5</w:t>
            </w:r>
            <w:r w:rsidR="00066B43" w:rsidRPr="009D6735">
              <w:rPr>
                <w:rFonts w:ascii="ITC Avant Garde" w:hAnsi="ITC Avant Garde"/>
                <w:szCs w:val="18"/>
                <w:lang w:val="es-ES_tradnl"/>
              </w:rPr>
              <w:fldChar w:fldCharType="end"/>
            </w:r>
            <w:r w:rsidRPr="009D6735">
              <w:rPr>
                <w:rFonts w:ascii="ITC Avant Garde" w:hAnsi="ITC Avant Garde"/>
                <w:szCs w:val="18"/>
                <w:lang w:val="es-ES_tradnl"/>
              </w:rPr>
              <w:t>,</w:t>
            </w:r>
            <w:r w:rsidRPr="009D6735">
              <w:rPr>
                <w:lang w:val="es-419"/>
              </w:rPr>
              <w:t xml:space="preserve"> </w:t>
            </w:r>
            <w:r w:rsidRPr="009D6735">
              <w:rPr>
                <w:rFonts w:ascii="ITC Avant Garde" w:hAnsi="ITC Avant Garde"/>
                <w:szCs w:val="18"/>
                <w:lang w:val="es-ES_tradnl"/>
              </w:rPr>
              <w:t xml:space="preserve">en dicho proceso se contempla un ajuste sobre el precio </w:t>
            </w:r>
            <w:r w:rsidRPr="003417C5">
              <w:rPr>
                <w:rFonts w:ascii="ITC Avant Garde" w:hAnsi="ITC Avant Garde"/>
                <w:szCs w:val="18"/>
                <w:lang w:val="es-ES_tradnl"/>
              </w:rPr>
              <w:t xml:space="preserve">implícito de los servicios de banda ancha que se presten bajo modalidades </w:t>
            </w:r>
            <w:r w:rsidRPr="00173A91">
              <w:rPr>
                <w:rFonts w:ascii="ITC Avant Garde" w:hAnsi="ITC Avant Garde"/>
                <w:i/>
                <w:szCs w:val="18"/>
                <w:lang w:val="es-ES_tradnl"/>
              </w:rPr>
              <w:t>single play</w:t>
            </w:r>
            <w:r w:rsidRPr="003417C5">
              <w:rPr>
                <w:rFonts w:ascii="ITC Avant Garde" w:hAnsi="ITC Avant Garde"/>
                <w:szCs w:val="18"/>
                <w:lang w:val="es-ES_tradnl"/>
              </w:rPr>
              <w:t>, descontando el valor medio del bucle local, referido al tipo de medio de transmisión</w:t>
            </w:r>
            <w:r>
              <w:rPr>
                <w:rFonts w:ascii="ITC Avant Garde" w:hAnsi="ITC Avant Garde"/>
                <w:szCs w:val="18"/>
                <w:lang w:val="es-ES_tradnl"/>
              </w:rPr>
              <w:t xml:space="preserve"> por el que se proveen los servicios a los Usuarios Finales.</w:t>
            </w:r>
          </w:p>
          <w:p w14:paraId="7B75FAF3" w14:textId="4899A683" w:rsidR="003A3308" w:rsidRPr="003A3308" w:rsidRDefault="00F951A2" w:rsidP="003A3308">
            <w:pPr>
              <w:pStyle w:val="Tablecells"/>
              <w:numPr>
                <w:ilvl w:val="0"/>
                <w:numId w:val="53"/>
              </w:numPr>
              <w:spacing w:before="0" w:after="0"/>
              <w:jc w:val="both"/>
              <w:rPr>
                <w:rFonts w:ascii="ITC Avant Garde" w:hAnsi="ITC Avant Garde"/>
                <w:b/>
                <w:szCs w:val="18"/>
                <w:lang w:val="es-ES_tradnl"/>
              </w:rPr>
            </w:pPr>
            <w:r w:rsidRPr="00972867">
              <w:rPr>
                <w:rFonts w:ascii="ITC Avant Garde" w:hAnsi="ITC Avant Garde"/>
                <w:b/>
                <w:szCs w:val="18"/>
                <w:lang w:val="es-ES_tradnl"/>
              </w:rPr>
              <w:t>Factores de sobrecosto para best effort (estimaciones de tarifas para calidad VoIP)</w:t>
            </w:r>
            <w:r>
              <w:rPr>
                <w:rFonts w:ascii="ITC Avant Garde" w:hAnsi="ITC Avant Garde"/>
                <w:b/>
                <w:szCs w:val="18"/>
                <w:lang w:val="es-ES_tradnl"/>
              </w:rPr>
              <w:t xml:space="preserve">: </w:t>
            </w:r>
            <w:r>
              <w:rPr>
                <w:rFonts w:ascii="ITC Avant Garde" w:hAnsi="ITC Avant Garde"/>
                <w:szCs w:val="18"/>
                <w:lang w:val="es-ES_tradnl"/>
              </w:rPr>
              <w:t xml:space="preserve">se refiere al porcentaje de estimación del </w:t>
            </w:r>
            <w:r w:rsidRPr="00B92978">
              <w:rPr>
                <w:rFonts w:ascii="ITC Avant Garde" w:hAnsi="ITC Avant Garde"/>
                <w:szCs w:val="18"/>
                <w:lang w:val="es-ES_tradnl"/>
              </w:rPr>
              <w:t>costo</w:t>
            </w:r>
            <w:r>
              <w:rPr>
                <w:rFonts w:ascii="ITC Avant Garde" w:hAnsi="ITC Avant Garde"/>
                <w:szCs w:val="18"/>
                <w:lang w:val="es-ES_tradnl"/>
              </w:rPr>
              <w:t xml:space="preserve"> que se deben aplicar a los servicios de tipo</w:t>
            </w:r>
            <w:r w:rsidRPr="00B92978">
              <w:rPr>
                <w:rFonts w:ascii="ITC Avant Garde" w:hAnsi="ITC Avant Garde"/>
                <w:szCs w:val="18"/>
                <w:lang w:val="es-ES_tradnl"/>
              </w:rPr>
              <w:t xml:space="preserve"> </w:t>
            </w:r>
            <w:r w:rsidRPr="00B92978">
              <w:rPr>
                <w:rFonts w:ascii="ITC Avant Garde" w:hAnsi="ITC Avant Garde"/>
                <w:i/>
                <w:szCs w:val="18"/>
                <w:lang w:val="es-ES_tradnl"/>
              </w:rPr>
              <w:t>best effort</w:t>
            </w:r>
            <w:r w:rsidRPr="00B92978">
              <w:rPr>
                <w:rFonts w:ascii="ITC Avant Garde" w:hAnsi="ITC Avant Garde"/>
                <w:szCs w:val="18"/>
                <w:lang w:val="es-ES_tradnl"/>
              </w:rPr>
              <w:t xml:space="preserve"> para </w:t>
            </w:r>
            <w:r>
              <w:rPr>
                <w:rFonts w:ascii="ITC Avant Garde" w:hAnsi="ITC Avant Garde"/>
                <w:szCs w:val="18"/>
                <w:lang w:val="es-ES_tradnl"/>
              </w:rPr>
              <w:t>determinar los niveles correspondientes a la</w:t>
            </w:r>
            <w:r w:rsidRPr="00B92978">
              <w:rPr>
                <w:rFonts w:ascii="ITC Avant Garde" w:hAnsi="ITC Avant Garde"/>
                <w:szCs w:val="18"/>
                <w:lang w:val="es-ES_tradnl"/>
              </w:rPr>
              <w:t xml:space="preserve"> calidad </w:t>
            </w:r>
            <w:r w:rsidRPr="00B92978">
              <w:rPr>
                <w:rFonts w:ascii="ITC Avant Garde" w:hAnsi="ITC Avant Garde"/>
                <w:i/>
                <w:szCs w:val="18"/>
                <w:lang w:val="es-ES_tradnl"/>
              </w:rPr>
              <w:t>VoIP</w:t>
            </w:r>
            <w:r>
              <w:rPr>
                <w:rFonts w:ascii="ITC Avant Garde" w:hAnsi="ITC Avant Garde"/>
                <w:i/>
                <w:szCs w:val="18"/>
                <w:lang w:val="es-ES_tradnl"/>
              </w:rPr>
              <w:t xml:space="preserve">. </w:t>
            </w:r>
            <w:r>
              <w:rPr>
                <w:rFonts w:ascii="ITC Avant Garde" w:hAnsi="ITC Avant Garde"/>
                <w:szCs w:val="18"/>
                <w:lang w:val="es-ES_tradnl"/>
              </w:rPr>
              <w:t>Dicho valor se emplea en la hoja “Cálculos SCyD”.</w:t>
            </w:r>
          </w:p>
          <w:p w14:paraId="2EBF8FEB" w14:textId="77777777" w:rsidR="00F951A2" w:rsidRPr="003A3308" w:rsidRDefault="003A3308" w:rsidP="003A3308">
            <w:pPr>
              <w:pStyle w:val="Tablecells"/>
              <w:numPr>
                <w:ilvl w:val="0"/>
                <w:numId w:val="53"/>
              </w:numPr>
              <w:spacing w:before="0" w:after="0"/>
              <w:jc w:val="both"/>
              <w:rPr>
                <w:rFonts w:ascii="ITC Avant Garde" w:hAnsi="ITC Avant Garde"/>
                <w:b/>
                <w:szCs w:val="18"/>
                <w:lang w:val="es-ES_tradnl"/>
              </w:rPr>
            </w:pPr>
            <w:r>
              <w:rPr>
                <w:rFonts w:ascii="ITC Avant Garde" w:hAnsi="ITC Avant Garde"/>
                <w:b/>
                <w:szCs w:val="18"/>
                <w:lang w:val="es-ES_tradnl"/>
              </w:rPr>
              <w:t xml:space="preserve">Estimación del factor de simetría: </w:t>
            </w:r>
            <w:r>
              <w:rPr>
                <w:rFonts w:ascii="ITC Avant Garde" w:hAnsi="ITC Avant Garde"/>
                <w:szCs w:val="18"/>
                <w:lang w:val="es-ES_tradnl"/>
              </w:rPr>
              <w:t>s</w:t>
            </w:r>
            <w:r w:rsidRPr="003A3308">
              <w:rPr>
                <w:rFonts w:ascii="ITC Avant Garde" w:hAnsi="ITC Avant Garde"/>
                <w:szCs w:val="18"/>
                <w:lang w:val="es-ES_tradnl"/>
              </w:rPr>
              <w:t>e estima la proporción del ancho de banda de subida necesario para hacer simétrico al perfil</w:t>
            </w:r>
            <w:r>
              <w:rPr>
                <w:rFonts w:ascii="ITC Avant Garde" w:hAnsi="ITC Avant Garde"/>
                <w:szCs w:val="18"/>
                <w:lang w:val="es-ES_tradnl"/>
              </w:rPr>
              <w:t xml:space="preserve"> con base en la </w:t>
            </w:r>
            <w:r w:rsidRPr="003A3308">
              <w:rPr>
                <w:rFonts w:ascii="ITC Avant Garde" w:hAnsi="ITC Avant Garde"/>
                <w:szCs w:val="18"/>
                <w:lang w:val="es-ES_tradnl"/>
              </w:rPr>
              <w:t>c</w:t>
            </w:r>
            <w:r w:rsidR="00F951A2" w:rsidRPr="003A3308">
              <w:rPr>
                <w:rFonts w:ascii="ITC Avant Garde" w:hAnsi="ITC Avant Garde"/>
                <w:szCs w:val="18"/>
                <w:lang w:val="es-ES_tradnl"/>
              </w:rPr>
              <w:t>alificación real del bucle local</w:t>
            </w:r>
            <w:r>
              <w:rPr>
                <w:rFonts w:ascii="ITC Avant Garde" w:hAnsi="ITC Avant Garde"/>
                <w:szCs w:val="18"/>
                <w:lang w:val="es-ES_tradnl"/>
              </w:rPr>
              <w:t>.</w:t>
            </w:r>
          </w:p>
          <w:p w14:paraId="3A43915F" w14:textId="39A395E0" w:rsidR="003A3308" w:rsidRPr="003A3308" w:rsidRDefault="003A3308" w:rsidP="003A3308">
            <w:pPr>
              <w:pStyle w:val="Tablecells"/>
              <w:numPr>
                <w:ilvl w:val="0"/>
                <w:numId w:val="53"/>
              </w:numPr>
              <w:spacing w:before="0" w:after="0"/>
              <w:jc w:val="both"/>
              <w:rPr>
                <w:rFonts w:ascii="ITC Avant Garde" w:hAnsi="ITC Avant Garde"/>
                <w:b/>
                <w:szCs w:val="18"/>
                <w:lang w:val="es-ES_tradnl"/>
              </w:rPr>
            </w:pPr>
            <w:r w:rsidRPr="003417C5">
              <w:rPr>
                <w:rFonts w:ascii="ITC Avant Garde" w:hAnsi="ITC Avant Garde"/>
                <w:b/>
                <w:szCs w:val="18"/>
                <w:lang w:val="es-ES_tradnl"/>
              </w:rPr>
              <w:t>Represe</w:t>
            </w:r>
            <w:r>
              <w:rPr>
                <w:rFonts w:ascii="ITC Avant Garde" w:hAnsi="ITC Avant Garde"/>
                <w:b/>
                <w:szCs w:val="18"/>
                <w:lang w:val="es-ES_tradnl"/>
              </w:rPr>
              <w:t>ntación del precio implícito de los</w:t>
            </w:r>
            <w:r w:rsidRPr="003417C5">
              <w:rPr>
                <w:rFonts w:ascii="ITC Avant Garde" w:hAnsi="ITC Avant Garde"/>
                <w:b/>
                <w:szCs w:val="18"/>
                <w:lang w:val="es-ES_tradnl"/>
              </w:rPr>
              <w:t xml:space="preserve"> perfil</w:t>
            </w:r>
            <w:r>
              <w:rPr>
                <w:rFonts w:ascii="ITC Avant Garde" w:hAnsi="ITC Avant Garde"/>
                <w:b/>
                <w:szCs w:val="18"/>
                <w:lang w:val="es-ES_tradnl"/>
              </w:rPr>
              <w:t xml:space="preserve">es de velocidad simétrica: </w:t>
            </w:r>
            <w:r w:rsidR="003753BB">
              <w:rPr>
                <w:rFonts w:ascii="ITC Avant Garde" w:hAnsi="ITC Avant Garde"/>
                <w:szCs w:val="18"/>
                <w:lang w:val="es-ES_tradnl"/>
              </w:rPr>
              <w:t xml:space="preserve">se calcula el precio implícito asociada a la banda ancha para cada perfil de velocidad simétrica partiendo de las tarifas minoristas de estos perfiles y del precio implícito de la banda ancha después de descuento en los planes asimétricos a los cuales se adicionan. </w:t>
            </w:r>
          </w:p>
        </w:tc>
      </w:tr>
      <w:tr w:rsidR="00622629" w:rsidRPr="00C1472F" w14:paraId="2C5620FE" w14:textId="77777777" w:rsidTr="00351337">
        <w:trPr>
          <w:trHeight w:val="268"/>
          <w:jc w:val="center"/>
        </w:trPr>
        <w:tc>
          <w:tcPr>
            <w:tcW w:w="1260" w:type="pct"/>
            <w:shd w:val="clear" w:color="auto" w:fill="F2F2F2" w:themeFill="background1" w:themeFillShade="F2"/>
            <w:vAlign w:val="center"/>
          </w:tcPr>
          <w:p w14:paraId="3FF3835E" w14:textId="665B1720" w:rsidR="00622629" w:rsidRPr="003853B5" w:rsidRDefault="00622629" w:rsidP="00D33B62">
            <w:pPr>
              <w:pStyle w:val="Tablecells"/>
              <w:spacing w:after="0"/>
              <w:ind w:right="39"/>
              <w:rPr>
                <w:rFonts w:ascii="ITC Avant Garde" w:hAnsi="ITC Avant Garde"/>
                <w:b/>
                <w:szCs w:val="18"/>
                <w:lang w:val="es-ES_tradnl"/>
              </w:rPr>
            </w:pPr>
            <w:r>
              <w:rPr>
                <w:rFonts w:ascii="ITC Avant Garde" w:hAnsi="ITC Avant Garde"/>
                <w:b/>
                <w:szCs w:val="18"/>
                <w:lang w:val="es-ES_tradnl"/>
              </w:rPr>
              <w:t>Módulo de Imputación de Precios</w:t>
            </w:r>
            <w:r w:rsidR="009E453D">
              <w:rPr>
                <w:rFonts w:ascii="ITC Avant Garde" w:hAnsi="ITC Avant Garde"/>
                <w:b/>
                <w:szCs w:val="18"/>
                <w:lang w:val="es-ES_tradnl"/>
              </w:rPr>
              <w:t xml:space="preserve"> Implícitos</w:t>
            </w:r>
          </w:p>
        </w:tc>
        <w:tc>
          <w:tcPr>
            <w:tcW w:w="3740" w:type="pct"/>
            <w:shd w:val="clear" w:color="auto" w:fill="F2F2F2" w:themeFill="background1" w:themeFillShade="F2"/>
            <w:vAlign w:val="center"/>
          </w:tcPr>
          <w:p w14:paraId="640C78CD" w14:textId="1351668A" w:rsidR="00D921CA" w:rsidRPr="00D921CA" w:rsidRDefault="00D921CA" w:rsidP="00D921CA">
            <w:pPr>
              <w:pStyle w:val="Tablecells"/>
              <w:spacing w:before="0" w:after="0"/>
              <w:jc w:val="both"/>
              <w:rPr>
                <w:rFonts w:ascii="ITC Avant Garde" w:hAnsi="ITC Avant Garde"/>
                <w:szCs w:val="18"/>
                <w:lang w:val="es-ES_tradnl"/>
              </w:rPr>
            </w:pPr>
            <w:r>
              <w:rPr>
                <w:rFonts w:ascii="ITC Avant Garde" w:hAnsi="ITC Avant Garde"/>
                <w:szCs w:val="18"/>
                <w:lang w:val="es-ES_tradnl"/>
              </w:rPr>
              <w:t xml:space="preserve">Esta hoja aterriza </w:t>
            </w:r>
            <w:r w:rsidR="00066B43">
              <w:rPr>
                <w:rFonts w:ascii="ITC Avant Garde" w:hAnsi="ITC Avant Garde"/>
                <w:szCs w:val="18"/>
                <w:lang w:val="es-ES_tradnl"/>
              </w:rPr>
              <w:t>los resultados d</w:t>
            </w:r>
            <w:r w:rsidR="00E2345E">
              <w:rPr>
                <w:rFonts w:ascii="ITC Avant Garde" w:hAnsi="ITC Avant Garde"/>
                <w:szCs w:val="18"/>
                <w:lang w:val="es-ES_tradnl"/>
              </w:rPr>
              <w:t>el ejercicio</w:t>
            </w:r>
            <w:r w:rsidR="00066B43">
              <w:rPr>
                <w:rFonts w:ascii="ITC Avant Garde" w:hAnsi="ITC Avant Garde"/>
                <w:szCs w:val="18"/>
                <w:lang w:val="es-ES_tradnl"/>
              </w:rPr>
              <w:t xml:space="preserve"> econométrico</w:t>
            </w:r>
            <w:r w:rsidR="00E2345E">
              <w:rPr>
                <w:rFonts w:ascii="ITC Avant Garde" w:hAnsi="ITC Avant Garde"/>
                <w:szCs w:val="18"/>
                <w:lang w:val="es-ES_tradnl"/>
              </w:rPr>
              <w:t xml:space="preserve"> </w:t>
            </w:r>
            <w:r w:rsidR="00066B43">
              <w:rPr>
                <w:rFonts w:ascii="ITC Avant Garde" w:hAnsi="ITC Avant Garde"/>
                <w:szCs w:val="18"/>
                <w:lang w:val="es-ES_tradnl"/>
              </w:rPr>
              <w:t xml:space="preserve">de determinantes de los precios de los paquetes </w:t>
            </w:r>
            <w:r w:rsidR="00066B43" w:rsidRPr="00066B43">
              <w:rPr>
                <w:rFonts w:ascii="ITC Avant Garde" w:hAnsi="ITC Avant Garde"/>
                <w:i/>
                <w:szCs w:val="18"/>
                <w:lang w:val="es-ES_tradnl"/>
              </w:rPr>
              <w:t>doble play</w:t>
            </w:r>
            <w:r w:rsidR="00066B43">
              <w:rPr>
                <w:rFonts w:ascii="ITC Avant Garde" w:hAnsi="ITC Avant Garde"/>
                <w:szCs w:val="18"/>
                <w:lang w:val="es-ES_tradnl"/>
              </w:rPr>
              <w:t xml:space="preserve"> </w:t>
            </w:r>
            <w:r w:rsidR="00E2345E">
              <w:rPr>
                <w:rFonts w:ascii="ITC Avant Garde" w:hAnsi="ITC Avant Garde"/>
                <w:szCs w:val="18"/>
                <w:lang w:val="es-ES_tradnl"/>
              </w:rPr>
              <w:t>a</w:t>
            </w:r>
            <w:r w:rsidR="00B93087">
              <w:rPr>
                <w:rFonts w:ascii="ITC Avant Garde" w:hAnsi="ITC Avant Garde"/>
                <w:szCs w:val="18"/>
                <w:lang w:val="es-ES_tradnl"/>
              </w:rPr>
              <w:t xml:space="preserve"> los planes de Telmex y Telnor</w:t>
            </w:r>
            <w:r w:rsidR="00066B43">
              <w:rPr>
                <w:rFonts w:ascii="ITC Avant Garde" w:hAnsi="ITC Avant Garde"/>
                <w:szCs w:val="18"/>
                <w:lang w:val="es-ES_tradnl"/>
              </w:rPr>
              <w:t xml:space="preserve"> para inferir los precios implícitos de la línea telefónica, de la voz y de la banda ancha: </w:t>
            </w:r>
            <w:r w:rsidR="00E2345E">
              <w:rPr>
                <w:rFonts w:ascii="ITC Avant Garde" w:hAnsi="ITC Avant Garde"/>
                <w:szCs w:val="18"/>
                <w:lang w:val="es-ES_tradnl"/>
              </w:rPr>
              <w:t xml:space="preserve"> </w:t>
            </w:r>
          </w:p>
          <w:p w14:paraId="65D2581A" w14:textId="77777777" w:rsidR="00622629" w:rsidRDefault="00D921CA" w:rsidP="00D921CA">
            <w:pPr>
              <w:pStyle w:val="Tablecells"/>
              <w:numPr>
                <w:ilvl w:val="0"/>
                <w:numId w:val="55"/>
              </w:numPr>
              <w:spacing w:before="0" w:after="0"/>
              <w:jc w:val="both"/>
              <w:rPr>
                <w:rFonts w:ascii="ITC Avant Garde" w:hAnsi="ITC Avant Garde"/>
                <w:szCs w:val="18"/>
                <w:lang w:val="es-ES_tradnl"/>
              </w:rPr>
            </w:pPr>
            <w:r>
              <w:rPr>
                <w:rFonts w:ascii="ITC Avant Garde" w:hAnsi="ITC Avant Garde"/>
                <w:b/>
                <w:szCs w:val="18"/>
                <w:lang w:val="es-ES_tradnl"/>
              </w:rPr>
              <w:t xml:space="preserve">Presentación de los resultados de la regresión </w:t>
            </w:r>
            <w:r w:rsidR="00066B43" w:rsidRPr="00066B43">
              <w:rPr>
                <w:rFonts w:ascii="ITC Avant Garde" w:hAnsi="ITC Avant Garde"/>
                <w:b/>
                <w:szCs w:val="18"/>
                <w:lang w:val="es-ES_tradnl"/>
              </w:rPr>
              <w:t>del estudio de</w:t>
            </w:r>
            <w:r w:rsidRPr="00066B43">
              <w:rPr>
                <w:rFonts w:ascii="ITC Avant Garde" w:hAnsi="ITC Avant Garde"/>
                <w:b/>
                <w:szCs w:val="18"/>
                <w:lang w:val="es-ES_tradnl"/>
              </w:rPr>
              <w:t xml:space="preserve"> precios implícitos a nivel de mercado</w:t>
            </w:r>
            <w:r w:rsidR="00066B43">
              <w:rPr>
                <w:rFonts w:ascii="ITC Avant Garde" w:hAnsi="ITC Avant Garde"/>
                <w:b/>
                <w:szCs w:val="18"/>
                <w:lang w:val="es-ES_tradnl"/>
              </w:rPr>
              <w:t xml:space="preserve"> </w:t>
            </w:r>
            <w:r w:rsidR="00066B43" w:rsidRPr="00066B43">
              <w:rPr>
                <w:rFonts w:ascii="ITC Avant Garde" w:hAnsi="ITC Avant Garde"/>
                <w:b/>
                <w:i/>
                <w:szCs w:val="18"/>
                <w:lang w:val="es-ES_tradnl"/>
              </w:rPr>
              <w:t>doble play</w:t>
            </w:r>
            <w:r w:rsidRPr="00066B43">
              <w:rPr>
                <w:rFonts w:ascii="ITC Avant Garde" w:hAnsi="ITC Avant Garde"/>
                <w:szCs w:val="18"/>
                <w:lang w:val="es-ES_tradnl"/>
              </w:rPr>
              <w:t xml:space="preserve"> tal como se explica en la sección</w:t>
            </w:r>
            <w:r w:rsidR="00066B43" w:rsidRPr="00066B43">
              <w:rPr>
                <w:rFonts w:ascii="ITC Avant Garde" w:hAnsi="ITC Avant Garde"/>
                <w:szCs w:val="18"/>
                <w:lang w:val="es-ES_tradnl"/>
              </w:rPr>
              <w:t xml:space="preserve"> </w:t>
            </w:r>
            <w:r w:rsidR="00066B43" w:rsidRPr="00066B43">
              <w:rPr>
                <w:rFonts w:ascii="ITC Avant Garde" w:hAnsi="ITC Avant Garde"/>
                <w:szCs w:val="18"/>
                <w:lang w:val="es-ES_tradnl"/>
              </w:rPr>
              <w:fldChar w:fldCharType="begin"/>
            </w:r>
            <w:r w:rsidR="00066B43" w:rsidRPr="00066B43">
              <w:rPr>
                <w:rFonts w:ascii="ITC Avant Garde" w:hAnsi="ITC Avant Garde"/>
                <w:szCs w:val="18"/>
                <w:lang w:val="es-ES_tradnl"/>
              </w:rPr>
              <w:instrText xml:space="preserve"> REF _Ref530071083 \r \h </w:instrText>
            </w:r>
            <w:r w:rsidR="00066B43" w:rsidRPr="00066B43">
              <w:rPr>
                <w:rFonts w:ascii="ITC Avant Garde" w:hAnsi="ITC Avant Garde"/>
                <w:szCs w:val="18"/>
                <w:lang w:val="es-ES_tradnl"/>
              </w:rPr>
            </w:r>
            <w:r w:rsidR="00066B43" w:rsidRPr="00066B43">
              <w:rPr>
                <w:rFonts w:ascii="ITC Avant Garde" w:hAnsi="ITC Avant Garde"/>
                <w:szCs w:val="18"/>
                <w:lang w:val="es-ES_tradnl"/>
              </w:rPr>
              <w:fldChar w:fldCharType="separate"/>
            </w:r>
            <w:r w:rsidR="00066B43" w:rsidRPr="00066B43">
              <w:rPr>
                <w:rFonts w:ascii="ITC Avant Garde" w:hAnsi="ITC Avant Garde"/>
                <w:szCs w:val="18"/>
                <w:lang w:val="es-ES_tradnl"/>
              </w:rPr>
              <w:t>1.3.1</w:t>
            </w:r>
            <w:r w:rsidR="00066B43" w:rsidRPr="00066B43">
              <w:rPr>
                <w:rFonts w:ascii="ITC Avant Garde" w:hAnsi="ITC Avant Garde"/>
                <w:szCs w:val="18"/>
                <w:lang w:val="es-ES_tradnl"/>
              </w:rPr>
              <w:fldChar w:fldCharType="end"/>
            </w:r>
            <w:r w:rsidR="00066B43" w:rsidRPr="00066B43">
              <w:rPr>
                <w:rFonts w:ascii="ITC Avant Garde" w:hAnsi="ITC Avant Garde"/>
                <w:szCs w:val="18"/>
                <w:lang w:val="es-ES_tradnl"/>
              </w:rPr>
              <w:t xml:space="preserve">. </w:t>
            </w:r>
          </w:p>
          <w:p w14:paraId="4490B504" w14:textId="77777777" w:rsidR="00066B43" w:rsidRDefault="00066B43" w:rsidP="00D921CA">
            <w:pPr>
              <w:pStyle w:val="Tablecells"/>
              <w:numPr>
                <w:ilvl w:val="0"/>
                <w:numId w:val="55"/>
              </w:numPr>
              <w:spacing w:before="0" w:after="0"/>
              <w:jc w:val="both"/>
              <w:rPr>
                <w:rFonts w:ascii="ITC Avant Garde" w:hAnsi="ITC Avant Garde"/>
                <w:szCs w:val="18"/>
                <w:lang w:val="es-ES_tradnl"/>
              </w:rPr>
            </w:pPr>
            <w:r>
              <w:rPr>
                <w:rFonts w:ascii="ITC Avant Garde" w:hAnsi="ITC Avant Garde"/>
                <w:b/>
                <w:szCs w:val="18"/>
                <w:lang w:val="es-ES_tradnl"/>
              </w:rPr>
              <w:t>Estimación del precio promedio de Netflix</w:t>
            </w:r>
            <w:r>
              <w:rPr>
                <w:rFonts w:ascii="ITC Avant Garde" w:hAnsi="ITC Avant Garde"/>
                <w:szCs w:val="18"/>
                <w:lang w:val="es-ES_tradnl"/>
              </w:rPr>
              <w:t xml:space="preserve">, según la cantidad de dispositivos incluidos (ver sección </w:t>
            </w:r>
            <w:r>
              <w:rPr>
                <w:rFonts w:ascii="ITC Avant Garde" w:hAnsi="ITC Avant Garde"/>
                <w:szCs w:val="18"/>
                <w:lang w:val="es-ES_tradnl"/>
              </w:rPr>
              <w:fldChar w:fldCharType="begin"/>
            </w:r>
            <w:r>
              <w:rPr>
                <w:rFonts w:ascii="ITC Avant Garde" w:hAnsi="ITC Avant Garde"/>
                <w:szCs w:val="18"/>
                <w:lang w:val="es-ES_tradnl"/>
              </w:rPr>
              <w:instrText xml:space="preserve"> REF _Ref530071083 \r \h </w:instrText>
            </w:r>
            <w:r>
              <w:rPr>
                <w:rFonts w:ascii="ITC Avant Garde" w:hAnsi="ITC Avant Garde"/>
                <w:szCs w:val="18"/>
                <w:lang w:val="es-ES_tradnl"/>
              </w:rPr>
            </w:r>
            <w:r>
              <w:rPr>
                <w:rFonts w:ascii="ITC Avant Garde" w:hAnsi="ITC Avant Garde"/>
                <w:szCs w:val="18"/>
                <w:lang w:val="es-ES_tradnl"/>
              </w:rPr>
              <w:fldChar w:fldCharType="separate"/>
            </w:r>
            <w:r>
              <w:rPr>
                <w:rFonts w:ascii="ITC Avant Garde" w:hAnsi="ITC Avant Garde"/>
                <w:szCs w:val="18"/>
                <w:lang w:val="es-ES_tradnl"/>
              </w:rPr>
              <w:t>1.3.1</w:t>
            </w:r>
            <w:r>
              <w:rPr>
                <w:rFonts w:ascii="ITC Avant Garde" w:hAnsi="ITC Avant Garde"/>
                <w:szCs w:val="18"/>
                <w:lang w:val="es-ES_tradnl"/>
              </w:rPr>
              <w:fldChar w:fldCharType="end"/>
            </w:r>
            <w:r>
              <w:rPr>
                <w:rFonts w:ascii="ITC Avant Garde" w:hAnsi="ITC Avant Garde"/>
                <w:szCs w:val="18"/>
                <w:lang w:val="es-ES_tradnl"/>
              </w:rPr>
              <w:t xml:space="preserve"> </w:t>
            </w:r>
            <w:r>
              <w:rPr>
                <w:rFonts w:ascii="ITC Avant Garde" w:hAnsi="ITC Avant Garde"/>
                <w:szCs w:val="18"/>
                <w:lang w:val="es-ES_tradnl"/>
              </w:rPr>
              <w:fldChar w:fldCharType="begin"/>
            </w:r>
            <w:r>
              <w:rPr>
                <w:rFonts w:ascii="ITC Avant Garde" w:hAnsi="ITC Avant Garde"/>
                <w:szCs w:val="18"/>
                <w:lang w:val="es-ES_tradnl"/>
              </w:rPr>
              <w:instrText xml:space="preserve"> REF _Ref51597214 \r \h </w:instrText>
            </w:r>
            <w:r>
              <w:rPr>
                <w:rFonts w:ascii="ITC Avant Garde" w:hAnsi="ITC Avant Garde"/>
                <w:szCs w:val="18"/>
                <w:lang w:val="es-ES_tradnl"/>
              </w:rPr>
            </w:r>
            <w:r>
              <w:rPr>
                <w:rFonts w:ascii="ITC Avant Garde" w:hAnsi="ITC Avant Garde"/>
                <w:szCs w:val="18"/>
                <w:lang w:val="es-ES_tradnl"/>
              </w:rPr>
              <w:fldChar w:fldCharType="separate"/>
            </w:r>
            <w:r>
              <w:rPr>
                <w:rFonts w:ascii="ITC Avant Garde" w:hAnsi="ITC Avant Garde"/>
                <w:szCs w:val="18"/>
                <w:lang w:val="es-ES_tradnl"/>
              </w:rPr>
              <w:t>b)</w:t>
            </w:r>
            <w:r>
              <w:rPr>
                <w:rFonts w:ascii="ITC Avant Garde" w:hAnsi="ITC Avant Garde"/>
                <w:szCs w:val="18"/>
                <w:lang w:val="es-ES_tradnl"/>
              </w:rPr>
              <w:fldChar w:fldCharType="end"/>
            </w:r>
            <w:r>
              <w:rPr>
                <w:rFonts w:ascii="ITC Avant Garde" w:hAnsi="ITC Avant Garde"/>
                <w:szCs w:val="18"/>
                <w:lang w:val="es-ES_tradnl"/>
              </w:rPr>
              <w:t xml:space="preserve"> ). </w:t>
            </w:r>
          </w:p>
          <w:p w14:paraId="7C03796C" w14:textId="4EB4C5D0" w:rsidR="00066B43" w:rsidRDefault="00066B43" w:rsidP="000C0542">
            <w:pPr>
              <w:pStyle w:val="Tablecells"/>
              <w:numPr>
                <w:ilvl w:val="0"/>
                <w:numId w:val="55"/>
              </w:numPr>
              <w:spacing w:before="0" w:after="0"/>
              <w:jc w:val="both"/>
              <w:rPr>
                <w:rFonts w:ascii="ITC Avant Garde" w:hAnsi="ITC Avant Garde"/>
                <w:szCs w:val="18"/>
                <w:lang w:val="es-ES_tradnl"/>
              </w:rPr>
            </w:pPr>
            <w:r>
              <w:rPr>
                <w:rFonts w:ascii="ITC Avant Garde" w:hAnsi="ITC Avant Garde"/>
                <w:b/>
                <w:szCs w:val="18"/>
                <w:lang w:val="es-ES_tradnl"/>
              </w:rPr>
              <w:t xml:space="preserve">Aplicación de los resultados de la regresión y cálculo de los Precios Implícitos </w:t>
            </w:r>
            <w:r>
              <w:rPr>
                <w:rFonts w:ascii="ITC Avant Garde" w:hAnsi="ITC Avant Garde"/>
                <w:szCs w:val="18"/>
                <w:lang w:val="es-ES_tradnl"/>
              </w:rPr>
              <w:t>(integrados con los servicios digitales</w:t>
            </w:r>
            <w:r w:rsidR="008C59A6">
              <w:rPr>
                <w:rFonts w:ascii="ITC Avant Garde" w:hAnsi="ITC Avant Garde"/>
                <w:szCs w:val="18"/>
                <w:lang w:val="es-ES_tradnl"/>
              </w:rPr>
              <w:t xml:space="preserve"> y servicios</w:t>
            </w:r>
            <w:r w:rsidR="000C0542">
              <w:rPr>
                <w:rFonts w:ascii="ITC Avant Garde" w:hAnsi="ITC Avant Garde"/>
                <w:szCs w:val="18"/>
                <w:lang w:val="es-ES_tradnl"/>
              </w:rPr>
              <w:t xml:space="preserve"> adicionales asociados a la banda ancha</w:t>
            </w:r>
            <w:r>
              <w:rPr>
                <w:rFonts w:ascii="ITC Avant Garde" w:hAnsi="ITC Avant Garde"/>
                <w:szCs w:val="18"/>
                <w:lang w:val="es-ES_tradnl"/>
              </w:rPr>
              <w:t>)</w:t>
            </w:r>
            <w:r>
              <w:rPr>
                <w:rFonts w:ascii="ITC Avant Garde" w:hAnsi="ITC Avant Garde"/>
                <w:b/>
                <w:szCs w:val="18"/>
                <w:lang w:val="es-ES_tradnl"/>
              </w:rPr>
              <w:t xml:space="preserve">. </w:t>
            </w:r>
            <w:r>
              <w:rPr>
                <w:rFonts w:ascii="ITC Avant Garde" w:hAnsi="ITC Avant Garde"/>
                <w:szCs w:val="18"/>
                <w:lang w:val="es-ES_tradnl"/>
              </w:rPr>
              <w:t xml:space="preserve"> </w:t>
            </w:r>
          </w:p>
        </w:tc>
      </w:tr>
      <w:tr w:rsidR="00F951A2" w:rsidRPr="00C1472F" w14:paraId="1881CB52" w14:textId="77777777" w:rsidTr="00351337">
        <w:trPr>
          <w:trHeight w:val="268"/>
          <w:jc w:val="center"/>
        </w:trPr>
        <w:tc>
          <w:tcPr>
            <w:tcW w:w="1260" w:type="pct"/>
            <w:vAlign w:val="center"/>
          </w:tcPr>
          <w:p w14:paraId="48FEA8FD" w14:textId="77777777" w:rsidR="00F951A2" w:rsidRPr="003853B5" w:rsidRDefault="00F951A2" w:rsidP="00351337">
            <w:pPr>
              <w:pStyle w:val="Tablecells"/>
              <w:spacing w:after="0"/>
              <w:ind w:right="39"/>
              <w:jc w:val="both"/>
              <w:rPr>
                <w:rFonts w:ascii="ITC Avant Garde" w:hAnsi="ITC Avant Garde"/>
                <w:b/>
                <w:szCs w:val="18"/>
                <w:lang w:val="es-ES_tradnl"/>
              </w:rPr>
            </w:pPr>
            <w:r w:rsidRPr="003853B5">
              <w:rPr>
                <w:rFonts w:ascii="ITC Avant Garde" w:hAnsi="ITC Avant Garde"/>
                <w:b/>
                <w:szCs w:val="18"/>
                <w:lang w:val="es-ES_tradnl"/>
              </w:rPr>
              <w:t>Cálculos principales</w:t>
            </w:r>
          </w:p>
        </w:tc>
        <w:tc>
          <w:tcPr>
            <w:tcW w:w="3740" w:type="pct"/>
            <w:vAlign w:val="center"/>
          </w:tcPr>
          <w:p w14:paraId="6CA5CB99" w14:textId="6D14F690" w:rsidR="00F951A2" w:rsidRDefault="00F951A2" w:rsidP="00351337">
            <w:pPr>
              <w:pStyle w:val="Tablecells"/>
              <w:spacing w:before="0" w:after="0"/>
              <w:jc w:val="both"/>
              <w:rPr>
                <w:rFonts w:ascii="ITC Avant Garde" w:hAnsi="ITC Avant Garde"/>
                <w:szCs w:val="18"/>
                <w:lang w:val="es-ES_tradnl"/>
              </w:rPr>
            </w:pPr>
            <w:r>
              <w:rPr>
                <w:rFonts w:ascii="ITC Avant Garde" w:hAnsi="ITC Avant Garde"/>
                <w:szCs w:val="18"/>
                <w:lang w:val="es-ES_tradnl"/>
              </w:rPr>
              <w:t>Contiene los cálculos de los precios implícitos de la canasta de servicios que se incluye en la renta mensual de los planes y paq</w:t>
            </w:r>
            <w:r w:rsidR="00D33B62">
              <w:rPr>
                <w:rFonts w:ascii="ITC Avant Garde" w:hAnsi="ITC Avant Garde"/>
                <w:szCs w:val="18"/>
                <w:lang w:val="es-ES_tradnl"/>
              </w:rPr>
              <w:t>uetes mediante los cuales Telmex y Telnor</w:t>
            </w:r>
            <w:r>
              <w:rPr>
                <w:rFonts w:ascii="ITC Avant Garde" w:hAnsi="ITC Avant Garde"/>
                <w:szCs w:val="18"/>
                <w:lang w:val="es-ES_tradnl"/>
              </w:rPr>
              <w:t xml:space="preserve"> ofrece</w:t>
            </w:r>
            <w:r w:rsidR="00D33B62">
              <w:rPr>
                <w:rFonts w:ascii="ITC Avant Garde" w:hAnsi="ITC Avant Garde"/>
                <w:szCs w:val="18"/>
                <w:lang w:val="es-ES_tradnl"/>
              </w:rPr>
              <w:t>n</w:t>
            </w:r>
            <w:r>
              <w:rPr>
                <w:rFonts w:ascii="ITC Avant Garde" w:hAnsi="ITC Avant Garde"/>
                <w:szCs w:val="18"/>
                <w:lang w:val="es-ES_tradnl"/>
              </w:rPr>
              <w:t xml:space="preserve"> servicios asociados a telefonía y banda ancha fija. </w:t>
            </w:r>
          </w:p>
          <w:p w14:paraId="2F8096AF" w14:textId="77777777" w:rsidR="00F951A2" w:rsidRDefault="00F951A2" w:rsidP="00351337">
            <w:pPr>
              <w:pStyle w:val="Tablecells"/>
              <w:spacing w:before="0" w:after="0"/>
              <w:jc w:val="both"/>
              <w:rPr>
                <w:rFonts w:ascii="ITC Avant Garde" w:hAnsi="ITC Avant Garde"/>
                <w:szCs w:val="18"/>
                <w:lang w:val="es-ES_tradnl"/>
              </w:rPr>
            </w:pPr>
          </w:p>
          <w:p w14:paraId="732172D7" w14:textId="77777777" w:rsidR="00F951A2" w:rsidRDefault="00F951A2" w:rsidP="00351337">
            <w:pPr>
              <w:pStyle w:val="Tablecells"/>
              <w:spacing w:before="0" w:after="0"/>
              <w:jc w:val="both"/>
              <w:rPr>
                <w:rFonts w:ascii="ITC Avant Garde" w:hAnsi="ITC Avant Garde"/>
                <w:szCs w:val="18"/>
                <w:lang w:val="es-ES_tradnl"/>
              </w:rPr>
            </w:pPr>
            <w:r>
              <w:rPr>
                <w:rFonts w:ascii="ITC Avant Garde" w:hAnsi="ITC Avant Garde"/>
                <w:szCs w:val="18"/>
                <w:lang w:val="es-ES_tradnl"/>
              </w:rPr>
              <w:t>Fundamentalmente, lo anterior se efectúa a través de los siguientes apartados:</w:t>
            </w:r>
          </w:p>
          <w:p w14:paraId="653F95F1" w14:textId="77777777" w:rsidR="00F951A2" w:rsidRDefault="00F951A2" w:rsidP="00F951A2">
            <w:pPr>
              <w:pStyle w:val="Tablecells"/>
              <w:numPr>
                <w:ilvl w:val="0"/>
                <w:numId w:val="54"/>
              </w:numPr>
              <w:spacing w:before="0" w:after="0"/>
              <w:jc w:val="both"/>
              <w:rPr>
                <w:rFonts w:ascii="ITC Avant Garde" w:hAnsi="ITC Avant Garde"/>
                <w:szCs w:val="18"/>
                <w:lang w:val="es-ES_tradnl"/>
              </w:rPr>
            </w:pPr>
            <w:r w:rsidRPr="0097562E">
              <w:rPr>
                <w:rFonts w:ascii="ITC Avant Garde" w:hAnsi="ITC Avant Garde"/>
                <w:b/>
                <w:szCs w:val="18"/>
                <w:lang w:val="es-ES_tradnl"/>
              </w:rPr>
              <w:t>Información general de planes y paquetes:</w:t>
            </w:r>
            <w:r>
              <w:rPr>
                <w:rFonts w:ascii="ITC Avant Garde" w:hAnsi="ITC Avant Garde"/>
                <w:szCs w:val="18"/>
                <w:lang w:val="es-ES_tradnl"/>
              </w:rPr>
              <w:t xml:space="preserve"> reúne datos del tipo de servicio (telefonía y/o banda ancha fija), modalidad (residencial o no residencial), así como datos de usuarios por cada plan y paquete, entre otros.</w:t>
            </w:r>
          </w:p>
          <w:p w14:paraId="536837DC" w14:textId="55025436" w:rsidR="00F951A2" w:rsidRPr="007D6E86" w:rsidRDefault="00F951A2" w:rsidP="00F951A2">
            <w:pPr>
              <w:pStyle w:val="Tablecells"/>
              <w:numPr>
                <w:ilvl w:val="0"/>
                <w:numId w:val="54"/>
              </w:numPr>
              <w:spacing w:before="0" w:after="0"/>
              <w:jc w:val="both"/>
              <w:rPr>
                <w:rFonts w:ascii="ITC Avant Garde" w:hAnsi="ITC Avant Garde"/>
                <w:b/>
                <w:szCs w:val="18"/>
                <w:lang w:val="es-ES_tradnl"/>
              </w:rPr>
            </w:pPr>
            <w:r w:rsidRPr="007D6E86">
              <w:rPr>
                <w:rFonts w:ascii="ITC Avant Garde" w:hAnsi="ITC Avant Garde"/>
                <w:b/>
                <w:szCs w:val="18"/>
                <w:lang w:val="es-ES_tradnl"/>
              </w:rPr>
              <w:t xml:space="preserve">Estimación del precio implícito de los servicios </w:t>
            </w:r>
            <w:r w:rsidR="00940A38">
              <w:rPr>
                <w:rFonts w:ascii="ITC Avant Garde" w:hAnsi="ITC Avant Garde"/>
                <w:b/>
                <w:szCs w:val="18"/>
                <w:lang w:val="es-ES_tradnl"/>
              </w:rPr>
              <w:t xml:space="preserve">digitales </w:t>
            </w:r>
            <w:r w:rsidRPr="007D6E86">
              <w:rPr>
                <w:rFonts w:ascii="ITC Avant Garde" w:hAnsi="ITC Avant Garde"/>
                <w:b/>
                <w:szCs w:val="18"/>
                <w:lang w:val="es-ES_tradnl"/>
              </w:rPr>
              <w:t>asociados a voz que integran los plaques y paquetes</w:t>
            </w:r>
            <w:r>
              <w:rPr>
                <w:rFonts w:ascii="ITC Avant Garde" w:hAnsi="ITC Avant Garde"/>
                <w:b/>
                <w:szCs w:val="18"/>
                <w:lang w:val="es-ES_tradnl"/>
              </w:rPr>
              <w:t>.</w:t>
            </w:r>
          </w:p>
          <w:p w14:paraId="6033CFAE" w14:textId="2944633B" w:rsidR="00F951A2" w:rsidRPr="007D6E86" w:rsidRDefault="00F951A2" w:rsidP="00F951A2">
            <w:pPr>
              <w:pStyle w:val="Tablecells"/>
              <w:numPr>
                <w:ilvl w:val="0"/>
                <w:numId w:val="54"/>
              </w:numPr>
              <w:spacing w:before="0" w:after="0"/>
              <w:jc w:val="both"/>
              <w:rPr>
                <w:rFonts w:ascii="ITC Avant Garde" w:hAnsi="ITC Avant Garde"/>
                <w:b/>
                <w:szCs w:val="18"/>
                <w:lang w:val="es-ES_tradnl"/>
              </w:rPr>
            </w:pPr>
            <w:r w:rsidRPr="007D6E86">
              <w:rPr>
                <w:rFonts w:ascii="ITC Avant Garde" w:hAnsi="ITC Avant Garde"/>
                <w:b/>
                <w:szCs w:val="18"/>
                <w:lang w:val="es-ES_tradnl"/>
              </w:rPr>
              <w:t>Estimación del precio implícito de los servicios</w:t>
            </w:r>
            <w:r w:rsidR="00940A38">
              <w:rPr>
                <w:rFonts w:ascii="ITC Avant Garde" w:hAnsi="ITC Avant Garde"/>
                <w:b/>
                <w:szCs w:val="18"/>
                <w:lang w:val="es-ES_tradnl"/>
              </w:rPr>
              <w:t xml:space="preserve"> </w:t>
            </w:r>
            <w:r w:rsidR="000C0542">
              <w:rPr>
                <w:rFonts w:ascii="ITC Avant Garde" w:hAnsi="ITC Avant Garde"/>
                <w:b/>
                <w:szCs w:val="18"/>
                <w:lang w:val="es-ES_tradnl"/>
              </w:rPr>
              <w:t xml:space="preserve">adicionales </w:t>
            </w:r>
            <w:r w:rsidR="00B93087">
              <w:rPr>
                <w:rFonts w:ascii="ITC Avant Garde" w:hAnsi="ITC Avant Garde"/>
                <w:b/>
                <w:szCs w:val="18"/>
                <w:lang w:val="es-ES_tradnl"/>
              </w:rPr>
              <w:t xml:space="preserve">asociados a la banda ancha </w:t>
            </w:r>
            <w:r w:rsidRPr="007D6E86">
              <w:rPr>
                <w:rFonts w:ascii="ITC Avant Garde" w:hAnsi="ITC Avant Garde"/>
                <w:b/>
                <w:szCs w:val="18"/>
                <w:lang w:val="es-ES_tradnl"/>
              </w:rPr>
              <w:t>que integran los plaques y paquetes</w:t>
            </w:r>
            <w:r>
              <w:rPr>
                <w:rFonts w:ascii="ITC Avant Garde" w:hAnsi="ITC Avant Garde"/>
                <w:b/>
                <w:szCs w:val="18"/>
                <w:lang w:val="es-ES_tradnl"/>
              </w:rPr>
              <w:t>.</w:t>
            </w:r>
          </w:p>
          <w:p w14:paraId="3EB34178" w14:textId="72706A25" w:rsidR="00F951A2" w:rsidRPr="0097562E" w:rsidRDefault="00F951A2" w:rsidP="00F951A2">
            <w:pPr>
              <w:pStyle w:val="Tablecells"/>
              <w:numPr>
                <w:ilvl w:val="0"/>
                <w:numId w:val="54"/>
              </w:numPr>
              <w:spacing w:before="0" w:after="0"/>
              <w:jc w:val="both"/>
              <w:rPr>
                <w:rFonts w:ascii="ITC Avant Garde" w:hAnsi="ITC Avant Garde"/>
                <w:b/>
                <w:szCs w:val="18"/>
                <w:lang w:val="es-ES_tradnl"/>
              </w:rPr>
            </w:pPr>
            <w:r w:rsidRPr="0097562E">
              <w:rPr>
                <w:rFonts w:ascii="ITC Avant Garde" w:hAnsi="ITC Avant Garde"/>
                <w:b/>
                <w:szCs w:val="18"/>
                <w:lang w:val="es-ES_tradnl"/>
              </w:rPr>
              <w:t>Estimación de</w:t>
            </w:r>
            <w:r w:rsidR="00940A38">
              <w:rPr>
                <w:rFonts w:ascii="ITC Avant Garde" w:hAnsi="ITC Avant Garde"/>
                <w:b/>
                <w:szCs w:val="18"/>
                <w:lang w:val="es-ES_tradnl"/>
              </w:rPr>
              <w:t>l precio de</w:t>
            </w:r>
            <w:r w:rsidRPr="0097562E">
              <w:rPr>
                <w:rFonts w:ascii="ITC Avant Garde" w:hAnsi="ITC Avant Garde"/>
                <w:b/>
                <w:szCs w:val="18"/>
                <w:lang w:val="es-ES_tradnl"/>
              </w:rPr>
              <w:t xml:space="preserve"> acceso a la línea telefónica dentro de los planes y paquetes</w:t>
            </w:r>
            <w:r>
              <w:rPr>
                <w:rFonts w:ascii="ITC Avant Garde" w:hAnsi="ITC Avant Garde"/>
                <w:b/>
                <w:szCs w:val="18"/>
                <w:lang w:val="es-ES_tradnl"/>
              </w:rPr>
              <w:t xml:space="preserve">: </w:t>
            </w:r>
            <w:r>
              <w:rPr>
                <w:rFonts w:ascii="ITC Avant Garde" w:hAnsi="ITC Avant Garde"/>
                <w:szCs w:val="18"/>
                <w:lang w:val="es-ES_tradnl"/>
              </w:rPr>
              <w:t xml:space="preserve">cuyo propósito es estimar el precio a nivel promedio ponderado (de acuerdo a la distribución de usuarios </w:t>
            </w:r>
            <w:r w:rsidR="00D33B62">
              <w:rPr>
                <w:rFonts w:ascii="ITC Avant Garde" w:hAnsi="ITC Avant Garde"/>
                <w:szCs w:val="18"/>
                <w:lang w:val="es-ES_tradnl"/>
              </w:rPr>
              <w:t>de los planes y paquetes de Telmex y Telnor</w:t>
            </w:r>
            <w:r>
              <w:rPr>
                <w:rFonts w:ascii="ITC Avant Garde" w:hAnsi="ITC Avant Garde"/>
                <w:szCs w:val="18"/>
                <w:lang w:val="es-ES_tradnl"/>
              </w:rPr>
              <w:t>), que representa el acceso de una línea de uso residencial y no residencial.</w:t>
            </w:r>
          </w:p>
          <w:p w14:paraId="7DE36AB6" w14:textId="77777777" w:rsidR="00F951A2" w:rsidRPr="00480AE5" w:rsidRDefault="00F951A2" w:rsidP="00351337">
            <w:pPr>
              <w:pStyle w:val="Tablecells"/>
              <w:spacing w:before="0" w:after="0"/>
              <w:jc w:val="both"/>
              <w:rPr>
                <w:rFonts w:ascii="ITC Avant Garde" w:hAnsi="ITC Avant Garde"/>
                <w:szCs w:val="18"/>
                <w:lang w:val="es-ES_tradnl"/>
              </w:rPr>
            </w:pPr>
          </w:p>
        </w:tc>
      </w:tr>
      <w:tr w:rsidR="00F951A2" w:rsidRPr="00C1472F" w14:paraId="2CF5EC8C" w14:textId="77777777" w:rsidTr="00351337">
        <w:trPr>
          <w:trHeight w:val="268"/>
          <w:jc w:val="center"/>
        </w:trPr>
        <w:tc>
          <w:tcPr>
            <w:tcW w:w="1260" w:type="pct"/>
            <w:shd w:val="clear" w:color="auto" w:fill="F2F2F2" w:themeFill="background1" w:themeFillShade="F2"/>
            <w:vAlign w:val="center"/>
          </w:tcPr>
          <w:p w14:paraId="4661BE5D" w14:textId="77777777" w:rsidR="00F951A2" w:rsidRPr="003853B5" w:rsidRDefault="00F951A2" w:rsidP="00351337">
            <w:pPr>
              <w:pStyle w:val="Tablecells"/>
              <w:spacing w:after="0"/>
              <w:ind w:right="39"/>
              <w:jc w:val="both"/>
              <w:rPr>
                <w:rFonts w:ascii="ITC Avant Garde" w:hAnsi="ITC Avant Garde"/>
                <w:b/>
                <w:szCs w:val="18"/>
                <w:lang w:val="es-ES_tradnl"/>
              </w:rPr>
            </w:pPr>
            <w:r w:rsidRPr="003853B5">
              <w:rPr>
                <w:rFonts w:ascii="ITC Avant Garde" w:hAnsi="ITC Avant Garde"/>
                <w:b/>
                <w:szCs w:val="18"/>
                <w:lang w:val="es-ES_tradnl"/>
              </w:rPr>
              <w:t>Cálculos SCyD</w:t>
            </w:r>
          </w:p>
        </w:tc>
        <w:tc>
          <w:tcPr>
            <w:tcW w:w="3740" w:type="pct"/>
            <w:shd w:val="clear" w:color="auto" w:fill="F2F2F2" w:themeFill="background1" w:themeFillShade="F2"/>
            <w:vAlign w:val="center"/>
          </w:tcPr>
          <w:p w14:paraId="2ED0CAC1" w14:textId="7AD9EA07" w:rsidR="00F951A2" w:rsidRDefault="00F951A2" w:rsidP="00351337">
            <w:pPr>
              <w:pStyle w:val="Tablecells"/>
              <w:spacing w:before="0" w:after="0"/>
              <w:jc w:val="both"/>
              <w:rPr>
                <w:rFonts w:ascii="ITC Avant Garde" w:hAnsi="ITC Avant Garde"/>
                <w:szCs w:val="18"/>
                <w:lang w:val="es-ES_tradnl"/>
              </w:rPr>
            </w:pPr>
            <w:r>
              <w:rPr>
                <w:rFonts w:ascii="ITC Avant Garde" w:hAnsi="ITC Avant Garde"/>
                <w:szCs w:val="18"/>
                <w:lang w:val="es-ES_tradnl"/>
              </w:rPr>
              <w:t xml:space="preserve">A través de esta </w:t>
            </w:r>
            <w:r w:rsidR="00940A38">
              <w:rPr>
                <w:rFonts w:ascii="ITC Avant Garde" w:hAnsi="ITC Avant Garde"/>
                <w:szCs w:val="18"/>
                <w:lang w:val="es-ES_tradnl"/>
              </w:rPr>
              <w:t xml:space="preserve">hoja </w:t>
            </w:r>
            <w:r>
              <w:rPr>
                <w:rFonts w:ascii="ITC Avant Garde" w:hAnsi="ITC Avant Garde"/>
                <w:szCs w:val="18"/>
                <w:lang w:val="es-ES_tradnl"/>
              </w:rPr>
              <w:t>se estiman los c</w:t>
            </w:r>
            <w:r w:rsidRPr="006326A1">
              <w:rPr>
                <w:rFonts w:ascii="ITC Avant Garde" w:hAnsi="ITC Avant Garde"/>
                <w:szCs w:val="18"/>
                <w:lang w:val="es-ES_tradnl"/>
              </w:rPr>
              <w:t>ostos asociados a la provisión de perfiles de velocidad en los diferentes segmentos de red</w:t>
            </w:r>
            <w:r>
              <w:rPr>
                <w:rFonts w:ascii="ITC Avant Garde" w:hAnsi="ITC Avant Garde"/>
                <w:szCs w:val="18"/>
                <w:lang w:val="es-ES_tradnl"/>
              </w:rPr>
              <w:t xml:space="preserve">. </w:t>
            </w:r>
          </w:p>
          <w:p w14:paraId="1AFF2735" w14:textId="77777777" w:rsidR="00F951A2" w:rsidRDefault="00F951A2" w:rsidP="00351337">
            <w:pPr>
              <w:pStyle w:val="Tablecells"/>
              <w:spacing w:before="0" w:after="0"/>
              <w:jc w:val="both"/>
              <w:rPr>
                <w:rFonts w:ascii="ITC Avant Garde" w:hAnsi="ITC Avant Garde"/>
                <w:szCs w:val="18"/>
                <w:lang w:val="es-ES_tradnl"/>
              </w:rPr>
            </w:pPr>
          </w:p>
          <w:p w14:paraId="498FCE9B" w14:textId="77777777" w:rsidR="00F951A2" w:rsidRPr="00480AE5" w:rsidRDefault="00F951A2" w:rsidP="00351337">
            <w:pPr>
              <w:pStyle w:val="Tablecells"/>
              <w:spacing w:before="0" w:after="0"/>
              <w:jc w:val="both"/>
              <w:rPr>
                <w:rFonts w:ascii="ITC Avant Garde" w:hAnsi="ITC Avant Garde"/>
                <w:szCs w:val="18"/>
                <w:lang w:val="es-ES_tradnl"/>
              </w:rPr>
            </w:pPr>
            <w:r>
              <w:rPr>
                <w:rFonts w:ascii="ITC Avant Garde" w:hAnsi="ITC Avant Garde"/>
                <w:szCs w:val="18"/>
                <w:lang w:val="es-ES_tradnl"/>
              </w:rPr>
              <w:t xml:space="preserve">Empleando tales datos se estiman, por perfil, los costos evitados correspondientes al SCyD según el nivel de entrega del tráfico (es decir, local, regional y nacional) y los </w:t>
            </w:r>
            <w:r w:rsidRPr="00B92978">
              <w:rPr>
                <w:rFonts w:ascii="ITC Avant Garde" w:hAnsi="ITC Avant Garde"/>
                <w:szCs w:val="18"/>
                <w:lang w:val="es-ES_tradnl"/>
              </w:rPr>
              <w:t>factores de sobre costo</w:t>
            </w:r>
            <w:r>
              <w:rPr>
                <w:rFonts w:ascii="ITC Avant Garde" w:hAnsi="ITC Avant Garde"/>
                <w:szCs w:val="18"/>
                <w:lang w:val="es-ES_tradnl"/>
              </w:rPr>
              <w:t xml:space="preserve"> que se deben aplicar a los servicios de tipo</w:t>
            </w:r>
            <w:r w:rsidRPr="00B92978">
              <w:rPr>
                <w:rFonts w:ascii="ITC Avant Garde" w:hAnsi="ITC Avant Garde"/>
                <w:szCs w:val="18"/>
                <w:lang w:val="es-ES_tradnl"/>
              </w:rPr>
              <w:t xml:space="preserve"> </w:t>
            </w:r>
            <w:r w:rsidRPr="00B92978">
              <w:rPr>
                <w:rFonts w:ascii="ITC Avant Garde" w:hAnsi="ITC Avant Garde"/>
                <w:i/>
                <w:szCs w:val="18"/>
                <w:lang w:val="es-ES_tradnl"/>
              </w:rPr>
              <w:t>best effort</w:t>
            </w:r>
            <w:r w:rsidRPr="00B92978">
              <w:rPr>
                <w:rFonts w:ascii="ITC Avant Garde" w:hAnsi="ITC Avant Garde"/>
                <w:szCs w:val="18"/>
                <w:lang w:val="es-ES_tradnl"/>
              </w:rPr>
              <w:t xml:space="preserve"> para</w:t>
            </w:r>
            <w:r>
              <w:rPr>
                <w:rFonts w:ascii="ITC Avant Garde" w:hAnsi="ITC Avant Garde"/>
                <w:szCs w:val="18"/>
                <w:lang w:val="es-ES_tradnl"/>
              </w:rPr>
              <w:t xml:space="preserve"> determinar los niveles correspondientes a la</w:t>
            </w:r>
            <w:r w:rsidRPr="00B92978">
              <w:rPr>
                <w:rFonts w:ascii="ITC Avant Garde" w:hAnsi="ITC Avant Garde"/>
                <w:szCs w:val="18"/>
                <w:lang w:val="es-ES_tradnl"/>
              </w:rPr>
              <w:t xml:space="preserve"> calidad </w:t>
            </w:r>
            <w:r w:rsidRPr="00B92978">
              <w:rPr>
                <w:rFonts w:ascii="ITC Avant Garde" w:hAnsi="ITC Avant Garde"/>
                <w:i/>
                <w:szCs w:val="18"/>
                <w:lang w:val="es-ES_tradnl"/>
              </w:rPr>
              <w:t>VoIP</w:t>
            </w:r>
            <w:r>
              <w:rPr>
                <w:rFonts w:ascii="ITC Avant Garde" w:hAnsi="ITC Avant Garde"/>
                <w:i/>
                <w:szCs w:val="18"/>
                <w:lang w:val="es-ES_tradnl"/>
              </w:rPr>
              <w:t>.</w:t>
            </w:r>
          </w:p>
        </w:tc>
      </w:tr>
      <w:tr w:rsidR="00F951A2" w:rsidRPr="00C1472F" w14:paraId="04C484E9" w14:textId="77777777" w:rsidTr="00351337">
        <w:trPr>
          <w:trHeight w:val="268"/>
          <w:jc w:val="center"/>
        </w:trPr>
        <w:tc>
          <w:tcPr>
            <w:tcW w:w="1260" w:type="pct"/>
            <w:vAlign w:val="center"/>
          </w:tcPr>
          <w:p w14:paraId="71808156" w14:textId="77777777" w:rsidR="00F951A2" w:rsidRPr="003853B5" w:rsidRDefault="00F951A2" w:rsidP="00351337">
            <w:pPr>
              <w:pStyle w:val="Tablecells"/>
              <w:spacing w:after="0"/>
              <w:ind w:right="39"/>
              <w:jc w:val="both"/>
              <w:rPr>
                <w:rFonts w:ascii="ITC Avant Garde" w:hAnsi="ITC Avant Garde"/>
                <w:b/>
                <w:szCs w:val="18"/>
                <w:lang w:val="es-ES_tradnl"/>
              </w:rPr>
            </w:pPr>
            <w:r w:rsidRPr="003853B5">
              <w:rPr>
                <w:rFonts w:ascii="ITC Avant Garde" w:hAnsi="ITC Avant Garde"/>
                <w:b/>
                <w:szCs w:val="18"/>
                <w:lang w:val="es-ES_tradnl"/>
              </w:rPr>
              <w:t>Cálculos Renta de Línea y Voz</w:t>
            </w:r>
          </w:p>
        </w:tc>
        <w:tc>
          <w:tcPr>
            <w:tcW w:w="3740" w:type="pct"/>
            <w:vAlign w:val="center"/>
          </w:tcPr>
          <w:p w14:paraId="69EEAF35" w14:textId="77777777" w:rsidR="00F951A2" w:rsidRPr="00480AE5" w:rsidRDefault="00F951A2" w:rsidP="00351337">
            <w:pPr>
              <w:pStyle w:val="Tablecells"/>
              <w:spacing w:before="0" w:after="0"/>
              <w:jc w:val="both"/>
              <w:rPr>
                <w:rFonts w:ascii="ITC Avant Garde" w:hAnsi="ITC Avant Garde"/>
                <w:szCs w:val="18"/>
                <w:lang w:val="es-ES_tradnl"/>
              </w:rPr>
            </w:pPr>
            <w:r>
              <w:rPr>
                <w:rFonts w:ascii="ITC Avant Garde" w:hAnsi="ITC Avant Garde"/>
                <w:szCs w:val="18"/>
                <w:lang w:val="es-ES_tradnl"/>
              </w:rPr>
              <w:t>Contiene los cálculos del 1) factor de estimación del precio implícito asociado a la renta de línea y servicios de voz, así como de 2) los costos evitados de dichos servicios, en función de los ingresos totales.</w:t>
            </w:r>
          </w:p>
        </w:tc>
      </w:tr>
      <w:tr w:rsidR="00F951A2" w:rsidRPr="00C1472F" w14:paraId="31B81B1B" w14:textId="77777777" w:rsidTr="00351337">
        <w:trPr>
          <w:trHeight w:val="268"/>
          <w:jc w:val="center"/>
        </w:trPr>
        <w:tc>
          <w:tcPr>
            <w:tcW w:w="1260" w:type="pct"/>
            <w:shd w:val="clear" w:color="auto" w:fill="F2F2F2" w:themeFill="background1" w:themeFillShade="F2"/>
            <w:vAlign w:val="center"/>
          </w:tcPr>
          <w:p w14:paraId="022B8D67" w14:textId="77777777" w:rsidR="00F951A2" w:rsidRPr="003853B5" w:rsidRDefault="00F951A2" w:rsidP="002222CD">
            <w:pPr>
              <w:pStyle w:val="Tablecells"/>
              <w:spacing w:after="0"/>
              <w:ind w:right="39"/>
              <w:rPr>
                <w:rFonts w:ascii="ITC Avant Garde" w:hAnsi="ITC Avant Garde"/>
                <w:b/>
                <w:szCs w:val="18"/>
                <w:lang w:val="es-ES_tradnl"/>
              </w:rPr>
            </w:pPr>
            <w:r w:rsidRPr="003853B5">
              <w:rPr>
                <w:rFonts w:ascii="ITC Avant Garde" w:hAnsi="ITC Avant Garde"/>
                <w:b/>
                <w:szCs w:val="18"/>
                <w:lang w:val="es-ES_tradnl"/>
              </w:rPr>
              <w:t>Cálculos Banda Ancha</w:t>
            </w:r>
          </w:p>
        </w:tc>
        <w:tc>
          <w:tcPr>
            <w:tcW w:w="3740" w:type="pct"/>
            <w:shd w:val="clear" w:color="auto" w:fill="F2F2F2" w:themeFill="background1" w:themeFillShade="F2"/>
            <w:vAlign w:val="center"/>
          </w:tcPr>
          <w:p w14:paraId="5BDC6914" w14:textId="77777777" w:rsidR="00F951A2" w:rsidRPr="00480AE5" w:rsidRDefault="00F951A2" w:rsidP="00351337">
            <w:pPr>
              <w:pStyle w:val="Tablecells"/>
              <w:spacing w:before="0" w:after="0"/>
              <w:jc w:val="both"/>
              <w:rPr>
                <w:rFonts w:ascii="ITC Avant Garde" w:hAnsi="ITC Avant Garde"/>
                <w:szCs w:val="18"/>
                <w:lang w:val="es-ES_tradnl"/>
              </w:rPr>
            </w:pPr>
            <w:r>
              <w:rPr>
                <w:rFonts w:ascii="ITC Avant Garde" w:hAnsi="ITC Avant Garde"/>
                <w:szCs w:val="18"/>
                <w:lang w:val="es-ES_tradnl"/>
              </w:rPr>
              <w:t>Aborda los cálculos del 1) factor de estimación del precio implícito asociado al servicio de banda ancha, 2) así como de los costos evitados de dicho servicios, en función de los ingresos totales.</w:t>
            </w:r>
          </w:p>
        </w:tc>
      </w:tr>
      <w:tr w:rsidR="00F951A2" w:rsidRPr="00C1472F" w14:paraId="7C59851A" w14:textId="77777777" w:rsidTr="00351337">
        <w:trPr>
          <w:trHeight w:val="268"/>
          <w:jc w:val="center"/>
        </w:trPr>
        <w:tc>
          <w:tcPr>
            <w:tcW w:w="1260" w:type="pct"/>
            <w:shd w:val="clear" w:color="auto" w:fill="F2F2F2" w:themeFill="background1" w:themeFillShade="F2"/>
            <w:vAlign w:val="center"/>
          </w:tcPr>
          <w:p w14:paraId="7EF4A86E" w14:textId="7A87C9A7" w:rsidR="00F951A2" w:rsidRPr="003853B5" w:rsidRDefault="00CB20E5" w:rsidP="00351337">
            <w:pPr>
              <w:pStyle w:val="Tablecells"/>
              <w:spacing w:after="0"/>
              <w:ind w:right="39"/>
              <w:jc w:val="both"/>
              <w:rPr>
                <w:rFonts w:ascii="ITC Avant Garde" w:hAnsi="ITC Avant Garde"/>
                <w:b/>
                <w:szCs w:val="18"/>
                <w:lang w:val="es-ES_tradnl"/>
              </w:rPr>
            </w:pPr>
            <w:r>
              <w:rPr>
                <w:rFonts w:ascii="ITC Avant Garde" w:hAnsi="ITC Avant Garde"/>
                <w:b/>
                <w:szCs w:val="18"/>
                <w:lang w:val="es-ES_tradnl"/>
              </w:rPr>
              <w:t>Tarifas SRL</w:t>
            </w:r>
          </w:p>
        </w:tc>
        <w:tc>
          <w:tcPr>
            <w:tcW w:w="3740" w:type="pct"/>
            <w:shd w:val="clear" w:color="auto" w:fill="F2F2F2" w:themeFill="background1" w:themeFillShade="F2"/>
            <w:vAlign w:val="center"/>
          </w:tcPr>
          <w:p w14:paraId="0AEE8B0F" w14:textId="102CEC02" w:rsidR="00F951A2" w:rsidRDefault="00CB20E5" w:rsidP="00351337">
            <w:pPr>
              <w:pStyle w:val="Tablecells"/>
              <w:spacing w:before="0" w:after="0"/>
              <w:jc w:val="both"/>
              <w:rPr>
                <w:rFonts w:ascii="ITC Avant Garde" w:hAnsi="ITC Avant Garde"/>
                <w:szCs w:val="18"/>
                <w:lang w:val="es-ES_tradnl"/>
              </w:rPr>
            </w:pPr>
            <w:r>
              <w:rPr>
                <w:rFonts w:ascii="ITC Avant Garde" w:hAnsi="ITC Avant Garde"/>
                <w:szCs w:val="18"/>
                <w:lang w:val="es-ES_tradnl"/>
              </w:rPr>
              <w:t>Con</w:t>
            </w:r>
            <w:r w:rsidR="001F6D3E">
              <w:rPr>
                <w:rFonts w:ascii="ITC Avant Garde" w:hAnsi="ITC Avant Garde"/>
                <w:szCs w:val="18"/>
                <w:lang w:val="es-ES_tradnl"/>
              </w:rPr>
              <w:t>tiene los resultados del modelo para los servicios de reventa de línea; de Internet y de paquetes</w:t>
            </w:r>
          </w:p>
        </w:tc>
      </w:tr>
      <w:tr w:rsidR="00CB20E5" w:rsidRPr="00C1472F" w14:paraId="3502DF97" w14:textId="77777777" w:rsidTr="00351337">
        <w:trPr>
          <w:trHeight w:val="268"/>
          <w:jc w:val="center"/>
        </w:trPr>
        <w:tc>
          <w:tcPr>
            <w:tcW w:w="1260" w:type="pct"/>
            <w:shd w:val="clear" w:color="auto" w:fill="F2F2F2" w:themeFill="background1" w:themeFillShade="F2"/>
            <w:vAlign w:val="center"/>
          </w:tcPr>
          <w:p w14:paraId="5E1F9E63" w14:textId="7CAE3274" w:rsidR="00CB20E5" w:rsidRDefault="00CB20E5" w:rsidP="00351337">
            <w:pPr>
              <w:pStyle w:val="Tablecells"/>
              <w:spacing w:after="0"/>
              <w:ind w:right="39"/>
              <w:jc w:val="both"/>
              <w:rPr>
                <w:rFonts w:ascii="ITC Avant Garde" w:hAnsi="ITC Avant Garde"/>
                <w:b/>
                <w:szCs w:val="18"/>
                <w:lang w:val="es-ES_tradnl"/>
              </w:rPr>
            </w:pPr>
            <w:r>
              <w:rPr>
                <w:rFonts w:ascii="ITC Avant Garde" w:hAnsi="ITC Avant Garde"/>
                <w:b/>
                <w:szCs w:val="18"/>
                <w:lang w:val="es-ES_tradnl"/>
              </w:rPr>
              <w:t>Tarifas SRMLT</w:t>
            </w:r>
          </w:p>
        </w:tc>
        <w:tc>
          <w:tcPr>
            <w:tcW w:w="3740" w:type="pct"/>
            <w:shd w:val="clear" w:color="auto" w:fill="F2F2F2" w:themeFill="background1" w:themeFillShade="F2"/>
            <w:vAlign w:val="center"/>
          </w:tcPr>
          <w:p w14:paraId="7E0C32B9" w14:textId="3A2E6DDE" w:rsidR="00CB20E5" w:rsidRDefault="001F6D3E" w:rsidP="00351337">
            <w:pPr>
              <w:pStyle w:val="Tablecells"/>
              <w:spacing w:before="0" w:after="0"/>
              <w:jc w:val="both"/>
              <w:rPr>
                <w:rFonts w:ascii="ITC Avant Garde" w:hAnsi="ITC Avant Garde"/>
                <w:szCs w:val="18"/>
                <w:lang w:val="es-ES_tradnl"/>
              </w:rPr>
            </w:pPr>
            <w:r>
              <w:rPr>
                <w:rFonts w:ascii="ITC Avant Garde" w:hAnsi="ITC Avant Garde"/>
                <w:szCs w:val="18"/>
                <w:lang w:val="es-ES_tradnl"/>
              </w:rPr>
              <w:t xml:space="preserve">Contiene los resultados del modelo para el servicio de reventa mayorista de la línea telefónica. </w:t>
            </w:r>
          </w:p>
        </w:tc>
      </w:tr>
      <w:tr w:rsidR="00CB20E5" w:rsidRPr="00C1472F" w14:paraId="3A3C6459" w14:textId="77777777" w:rsidTr="00351337">
        <w:trPr>
          <w:trHeight w:val="268"/>
          <w:jc w:val="center"/>
        </w:trPr>
        <w:tc>
          <w:tcPr>
            <w:tcW w:w="1260" w:type="pct"/>
            <w:shd w:val="clear" w:color="auto" w:fill="F2F2F2" w:themeFill="background1" w:themeFillShade="F2"/>
            <w:vAlign w:val="center"/>
          </w:tcPr>
          <w:p w14:paraId="51F419D0" w14:textId="4F15F6AB" w:rsidR="00CB20E5" w:rsidRDefault="00CB20E5" w:rsidP="00351337">
            <w:pPr>
              <w:pStyle w:val="Tablecells"/>
              <w:spacing w:after="0"/>
              <w:ind w:right="39"/>
              <w:jc w:val="both"/>
              <w:rPr>
                <w:rFonts w:ascii="ITC Avant Garde" w:hAnsi="ITC Avant Garde"/>
                <w:b/>
                <w:szCs w:val="18"/>
                <w:lang w:val="es-ES_tradnl"/>
              </w:rPr>
            </w:pPr>
            <w:r>
              <w:rPr>
                <w:rFonts w:ascii="ITC Avant Garde" w:hAnsi="ITC Avant Garde"/>
                <w:b/>
                <w:szCs w:val="18"/>
                <w:lang w:val="es-ES_tradnl"/>
              </w:rPr>
              <w:t>Tarifas SAIB</w:t>
            </w:r>
          </w:p>
        </w:tc>
        <w:tc>
          <w:tcPr>
            <w:tcW w:w="3740" w:type="pct"/>
            <w:shd w:val="clear" w:color="auto" w:fill="F2F2F2" w:themeFill="background1" w:themeFillShade="F2"/>
            <w:vAlign w:val="center"/>
          </w:tcPr>
          <w:p w14:paraId="1C8F22F2" w14:textId="0371B219" w:rsidR="00CB20E5" w:rsidRDefault="001F6D3E" w:rsidP="001F6D3E">
            <w:pPr>
              <w:pStyle w:val="Tablecells"/>
              <w:spacing w:before="0" w:after="0"/>
              <w:jc w:val="both"/>
              <w:rPr>
                <w:rFonts w:ascii="ITC Avant Garde" w:hAnsi="ITC Avant Garde"/>
                <w:szCs w:val="18"/>
                <w:lang w:val="es-ES_tradnl"/>
              </w:rPr>
            </w:pPr>
            <w:r>
              <w:rPr>
                <w:rFonts w:ascii="ITC Avant Garde" w:hAnsi="ITC Avant Garde"/>
                <w:szCs w:val="18"/>
                <w:lang w:val="es-ES_tradnl"/>
              </w:rPr>
              <w:t>Contiene los resultados del modelo para el SAIB</w:t>
            </w:r>
          </w:p>
        </w:tc>
      </w:tr>
      <w:tr w:rsidR="00F951A2" w:rsidRPr="00C1472F" w14:paraId="739A90E0" w14:textId="77777777" w:rsidTr="00351337">
        <w:trPr>
          <w:trHeight w:val="268"/>
          <w:jc w:val="center"/>
        </w:trPr>
        <w:tc>
          <w:tcPr>
            <w:tcW w:w="1260" w:type="pct"/>
            <w:shd w:val="clear" w:color="auto" w:fill="F2F2F2" w:themeFill="background1" w:themeFillShade="F2"/>
            <w:vAlign w:val="center"/>
          </w:tcPr>
          <w:p w14:paraId="115441AA" w14:textId="77777777" w:rsidR="00F951A2" w:rsidRDefault="00F951A2" w:rsidP="00351337">
            <w:pPr>
              <w:pStyle w:val="Tablecells"/>
              <w:spacing w:after="0"/>
              <w:ind w:right="39"/>
              <w:jc w:val="both"/>
              <w:rPr>
                <w:rFonts w:ascii="ITC Avant Garde" w:hAnsi="ITC Avant Garde"/>
                <w:b/>
                <w:szCs w:val="18"/>
                <w:lang w:val="es-ES_tradnl"/>
              </w:rPr>
            </w:pPr>
            <w:r>
              <w:rPr>
                <w:rFonts w:ascii="ITC Avant Garde" w:hAnsi="ITC Avant Garde"/>
                <w:b/>
                <w:szCs w:val="18"/>
                <w:lang w:val="es-ES_tradnl"/>
              </w:rPr>
              <w:t>Datos AEP</w:t>
            </w:r>
            <w:r w:rsidRPr="0051578B">
              <w:rPr>
                <w:rFonts w:ascii="ITC Avant Garde" w:hAnsi="ITC Avant Garde"/>
                <w:b/>
                <w:szCs w:val="18"/>
                <w:lang w:val="es-ES_tradnl"/>
              </w:rPr>
              <w:sym w:font="Wingdings" w:char="F0E0"/>
            </w:r>
          </w:p>
        </w:tc>
        <w:tc>
          <w:tcPr>
            <w:tcW w:w="3740" w:type="pct"/>
            <w:shd w:val="clear" w:color="auto" w:fill="F2F2F2" w:themeFill="background1" w:themeFillShade="F2"/>
            <w:vAlign w:val="center"/>
          </w:tcPr>
          <w:p w14:paraId="6867DD1D" w14:textId="3A80D8B8" w:rsidR="00F951A2" w:rsidRDefault="00F951A2" w:rsidP="00351337">
            <w:pPr>
              <w:pStyle w:val="Tablecells"/>
              <w:spacing w:before="0" w:after="0"/>
              <w:jc w:val="both"/>
              <w:rPr>
                <w:rFonts w:ascii="ITC Avant Garde" w:hAnsi="ITC Avant Garde"/>
                <w:szCs w:val="18"/>
                <w:lang w:val="es-ES_tradnl"/>
              </w:rPr>
            </w:pPr>
            <w:r>
              <w:rPr>
                <w:rFonts w:ascii="ITC Avant Garde" w:hAnsi="ITC Avant Garde"/>
                <w:szCs w:val="18"/>
                <w:lang w:val="es-ES_tradnl"/>
              </w:rPr>
              <w:t>Se emplea como un marcador para indicar que la información de las hojas posteriores refi</w:t>
            </w:r>
            <w:r w:rsidR="002222CD">
              <w:rPr>
                <w:rFonts w:ascii="ITC Avant Garde" w:hAnsi="ITC Avant Garde"/>
                <w:szCs w:val="18"/>
                <w:lang w:val="es-ES_tradnl"/>
              </w:rPr>
              <w:t>ere a datos aportados por Telmex y Telnor</w:t>
            </w:r>
            <w:r>
              <w:rPr>
                <w:rFonts w:ascii="ITC Avant Garde" w:hAnsi="ITC Avant Garde"/>
                <w:szCs w:val="18"/>
                <w:lang w:val="es-ES_tradnl"/>
              </w:rPr>
              <w:t xml:space="preserve"> para el desarrollo del modelo de costos.</w:t>
            </w:r>
          </w:p>
        </w:tc>
      </w:tr>
      <w:tr w:rsidR="00F951A2" w:rsidRPr="00C1472F" w14:paraId="2B456E8B" w14:textId="77777777" w:rsidTr="00351337">
        <w:trPr>
          <w:trHeight w:val="268"/>
          <w:jc w:val="center"/>
        </w:trPr>
        <w:tc>
          <w:tcPr>
            <w:tcW w:w="1260" w:type="pct"/>
            <w:shd w:val="clear" w:color="auto" w:fill="F2F2F2" w:themeFill="background1" w:themeFillShade="F2"/>
            <w:vAlign w:val="center"/>
          </w:tcPr>
          <w:p w14:paraId="0BB4DE6F" w14:textId="7D945E8F" w:rsidR="00F951A2" w:rsidRPr="003853B5" w:rsidRDefault="00CB20E5" w:rsidP="002222CD">
            <w:pPr>
              <w:pStyle w:val="Tablecells"/>
              <w:spacing w:after="0"/>
              <w:ind w:right="39"/>
              <w:rPr>
                <w:rFonts w:ascii="ITC Avant Garde" w:hAnsi="ITC Avant Garde"/>
                <w:b/>
                <w:szCs w:val="18"/>
                <w:lang w:val="es-ES_tradnl"/>
              </w:rPr>
            </w:pPr>
            <w:r>
              <w:rPr>
                <w:rFonts w:ascii="ITC Avant Garde" w:hAnsi="ITC Avant Garde"/>
                <w:b/>
                <w:szCs w:val="18"/>
                <w:lang w:val="es-ES_tradnl"/>
              </w:rPr>
              <w:t xml:space="preserve">Info </w:t>
            </w:r>
            <w:r w:rsidR="00F951A2" w:rsidRPr="007A18AC">
              <w:rPr>
                <w:rFonts w:ascii="ITC Avant Garde" w:hAnsi="ITC Avant Garde"/>
                <w:b/>
                <w:szCs w:val="18"/>
                <w:lang w:val="es-ES_tradnl"/>
              </w:rPr>
              <w:t>General Planes Paquetes</w:t>
            </w:r>
          </w:p>
        </w:tc>
        <w:tc>
          <w:tcPr>
            <w:tcW w:w="3740" w:type="pct"/>
            <w:shd w:val="clear" w:color="auto" w:fill="F2F2F2" w:themeFill="background1" w:themeFillShade="F2"/>
            <w:vAlign w:val="center"/>
          </w:tcPr>
          <w:p w14:paraId="34C601F2" w14:textId="31DB21C1" w:rsidR="00F951A2" w:rsidRDefault="002222CD" w:rsidP="00351337">
            <w:pPr>
              <w:pStyle w:val="Tablecells"/>
              <w:spacing w:before="0" w:after="0"/>
              <w:jc w:val="both"/>
              <w:rPr>
                <w:rFonts w:ascii="ITC Avant Garde" w:hAnsi="ITC Avant Garde"/>
                <w:szCs w:val="18"/>
                <w:lang w:val="es-ES_tradnl"/>
              </w:rPr>
            </w:pPr>
            <w:r>
              <w:rPr>
                <w:rFonts w:ascii="ITC Avant Garde" w:hAnsi="ITC Avant Garde"/>
                <w:szCs w:val="18"/>
                <w:lang w:val="es-ES_tradnl"/>
              </w:rPr>
              <w:t>Datos aportados por Telmex y Telnor</w:t>
            </w:r>
            <w:r w:rsidR="00F951A2">
              <w:rPr>
                <w:rFonts w:ascii="ITC Avant Garde" w:hAnsi="ITC Avant Garde"/>
                <w:szCs w:val="18"/>
                <w:lang w:val="es-ES_tradnl"/>
              </w:rPr>
              <w:t xml:space="preserve"> de los planes y paquetes mediante los cuales ofrece servicios de telefonía y banda ancha fija, relativos a niveles tarifarios del segmento minorista, canasta de servicios incluidos, cantidad de llamadas y minutos de voz consumidas, entre otros.</w:t>
            </w:r>
          </w:p>
        </w:tc>
      </w:tr>
      <w:tr w:rsidR="00F951A2" w:rsidRPr="00C1472F" w14:paraId="15EB5852" w14:textId="77777777" w:rsidTr="00351337">
        <w:trPr>
          <w:trHeight w:val="268"/>
          <w:jc w:val="center"/>
        </w:trPr>
        <w:tc>
          <w:tcPr>
            <w:tcW w:w="1260" w:type="pct"/>
            <w:shd w:val="clear" w:color="auto" w:fill="auto"/>
            <w:vAlign w:val="center"/>
          </w:tcPr>
          <w:p w14:paraId="21AE84DE" w14:textId="42A07CB7" w:rsidR="00F951A2" w:rsidRPr="003853B5" w:rsidRDefault="00F951A2" w:rsidP="00F951A2">
            <w:pPr>
              <w:pStyle w:val="Tablecells"/>
              <w:spacing w:after="0"/>
              <w:ind w:right="39"/>
              <w:jc w:val="both"/>
              <w:rPr>
                <w:rFonts w:ascii="ITC Avant Garde" w:hAnsi="ITC Avant Garde"/>
                <w:b/>
                <w:szCs w:val="18"/>
                <w:lang w:val="es-ES_tradnl"/>
              </w:rPr>
            </w:pPr>
            <w:r w:rsidRPr="007A18AC">
              <w:rPr>
                <w:rFonts w:ascii="ITC Avant Garde" w:hAnsi="ITC Avant Garde"/>
                <w:b/>
                <w:szCs w:val="18"/>
                <w:lang w:val="es-ES_tradnl"/>
              </w:rPr>
              <w:t>Datos Precios</w:t>
            </w:r>
          </w:p>
        </w:tc>
        <w:tc>
          <w:tcPr>
            <w:tcW w:w="3740" w:type="pct"/>
            <w:shd w:val="clear" w:color="auto" w:fill="auto"/>
            <w:vAlign w:val="center"/>
          </w:tcPr>
          <w:p w14:paraId="3F2BFF3B" w14:textId="3D2B2659" w:rsidR="00F951A2" w:rsidRDefault="002222CD" w:rsidP="00F951A2">
            <w:pPr>
              <w:pStyle w:val="Tablecells"/>
              <w:spacing w:before="0" w:after="0"/>
              <w:jc w:val="both"/>
              <w:rPr>
                <w:rFonts w:ascii="ITC Avant Garde" w:hAnsi="ITC Avant Garde"/>
                <w:szCs w:val="18"/>
                <w:lang w:val="es-ES_tradnl"/>
              </w:rPr>
            </w:pPr>
            <w:r>
              <w:rPr>
                <w:rFonts w:ascii="ITC Avant Garde" w:hAnsi="ITC Avant Garde"/>
                <w:szCs w:val="18"/>
                <w:lang w:val="es-ES_tradnl"/>
              </w:rPr>
              <w:t>Datos aportados por Telmex y Telnor</w:t>
            </w:r>
            <w:r w:rsidR="00F951A2">
              <w:rPr>
                <w:rFonts w:ascii="ITC Avant Garde" w:hAnsi="ITC Avant Garde"/>
                <w:szCs w:val="18"/>
                <w:lang w:val="es-ES_tradnl"/>
              </w:rPr>
              <w:t xml:space="preserve"> para representar los precios implícitos de los diferentes planes y paquetes</w:t>
            </w:r>
            <w:r w:rsidR="00940A38">
              <w:rPr>
                <w:rFonts w:ascii="ITC Avant Garde" w:hAnsi="ITC Avant Garde"/>
                <w:szCs w:val="18"/>
                <w:lang w:val="es-ES_tradnl"/>
              </w:rPr>
              <w:t>, incluyendo los de entrada,</w:t>
            </w:r>
            <w:r w:rsidR="00F951A2">
              <w:rPr>
                <w:rFonts w:ascii="ITC Avant Garde" w:hAnsi="ITC Avant Garde"/>
                <w:szCs w:val="18"/>
                <w:lang w:val="es-ES_tradnl"/>
              </w:rPr>
              <w:t xml:space="preserve"> mediante los cuales ofrece</w:t>
            </w:r>
            <w:r>
              <w:rPr>
                <w:rFonts w:ascii="ITC Avant Garde" w:hAnsi="ITC Avant Garde"/>
                <w:szCs w:val="18"/>
                <w:lang w:val="es-ES_tradnl"/>
              </w:rPr>
              <w:t>n</w:t>
            </w:r>
            <w:r w:rsidR="00F951A2">
              <w:rPr>
                <w:rFonts w:ascii="ITC Avant Garde" w:hAnsi="ITC Avant Garde"/>
                <w:szCs w:val="18"/>
                <w:lang w:val="es-ES_tradnl"/>
              </w:rPr>
              <w:t xml:space="preserve"> servicios de telefonía y banda ancha fija</w:t>
            </w:r>
            <w:r w:rsidR="00940A38">
              <w:rPr>
                <w:rFonts w:ascii="ITC Avant Garde" w:hAnsi="ITC Avant Garde"/>
                <w:szCs w:val="18"/>
                <w:lang w:val="es-ES_tradnl"/>
              </w:rPr>
              <w:t>.</w:t>
            </w:r>
          </w:p>
        </w:tc>
      </w:tr>
    </w:tbl>
    <w:p w14:paraId="1D9E2D2F" w14:textId="77777777" w:rsidR="00F951A2" w:rsidRDefault="00F951A2" w:rsidP="00F951A2">
      <w:pPr>
        <w:pStyle w:val="PuntosC4"/>
        <w:ind w:left="0" w:firstLine="0"/>
        <w:outlineLvl w:val="1"/>
      </w:pPr>
    </w:p>
    <w:p w14:paraId="3D3B9DEC" w14:textId="4056FF9A" w:rsidR="00F951A2" w:rsidRDefault="00ED5ECA" w:rsidP="00F951A2">
      <w:pPr>
        <w:pStyle w:val="PuntosC4"/>
        <w:numPr>
          <w:ilvl w:val="1"/>
          <w:numId w:val="40"/>
        </w:numPr>
        <w:outlineLvl w:val="1"/>
      </w:pPr>
      <w:bookmarkStart w:id="100" w:name="_Toc51700028"/>
      <w:bookmarkStart w:id="101" w:name="_Toc52188517"/>
      <w:r>
        <w:t>Estructura del modelo (diagrama de flujo)</w:t>
      </w:r>
      <w:bookmarkEnd w:id="100"/>
      <w:bookmarkEnd w:id="101"/>
    </w:p>
    <w:p w14:paraId="4A92D0BA" w14:textId="63FFFE50" w:rsidR="00F951A2" w:rsidRDefault="00F951A2" w:rsidP="00F951A2">
      <w:pPr>
        <w:pStyle w:val="IFTnormal"/>
        <w:rPr>
          <w:lang w:val="es-MX"/>
        </w:rPr>
      </w:pPr>
      <w:r>
        <w:rPr>
          <w:lang w:val="es-MX"/>
        </w:rPr>
        <w:t>En línea con lo expuesto anteriormente respecto a</w:t>
      </w:r>
      <w:r w:rsidRPr="00004D76">
        <w:rPr>
          <w:lang w:val="es-MX"/>
        </w:rPr>
        <w:t xml:space="preserve">l </w:t>
      </w:r>
      <w:r w:rsidRPr="00462730">
        <w:t xml:space="preserve">Modelo de </w:t>
      </w:r>
      <w:r>
        <w:t>C</w:t>
      </w:r>
      <w:r w:rsidRPr="00462730">
        <w:t xml:space="preserve">ostos </w:t>
      </w:r>
      <w:r>
        <w:t>E</w:t>
      </w:r>
      <w:r w:rsidR="002222CD">
        <w:t>vitados</w:t>
      </w:r>
      <w:r>
        <w:t xml:space="preserve">, a continuación, </w:t>
      </w:r>
      <w:r>
        <w:rPr>
          <w:lang w:val="es-MX"/>
        </w:rPr>
        <w:t xml:space="preserve">se resumen, </w:t>
      </w:r>
      <w:r w:rsidRPr="00004D76">
        <w:rPr>
          <w:lang w:val="es-MX"/>
        </w:rPr>
        <w:t>de manera esquemática</w:t>
      </w:r>
      <w:r>
        <w:rPr>
          <w:lang w:val="es-MX"/>
        </w:rPr>
        <w:t>,</w:t>
      </w:r>
      <w:r w:rsidRPr="00004D76">
        <w:rPr>
          <w:lang w:val="es-MX"/>
        </w:rPr>
        <w:t xml:space="preserve"> las etapas de cálculo antes descritas para llevar a cabo el cálculo</w:t>
      </w:r>
      <w:r>
        <w:rPr>
          <w:lang w:val="es-MX"/>
        </w:rPr>
        <w:t xml:space="preserve"> de los niveles tarifarios para el SRL, SRMLT y SAIB</w:t>
      </w:r>
      <w:r w:rsidRPr="00004D76">
        <w:rPr>
          <w:lang w:val="es-MX"/>
        </w:rPr>
        <w:t>.</w:t>
      </w:r>
    </w:p>
    <w:p w14:paraId="7D5E553F" w14:textId="77777777" w:rsidR="00F951A2" w:rsidRDefault="00F951A2" w:rsidP="00F951A2">
      <w:pPr>
        <w:pStyle w:val="IFTnormal"/>
        <w:rPr>
          <w:lang w:val="es-MX"/>
        </w:rPr>
      </w:pPr>
    </w:p>
    <w:p w14:paraId="26F93E62" w14:textId="3E71E5AB" w:rsidR="00F951A2" w:rsidRDefault="00940A38" w:rsidP="00F951A2">
      <w:pPr>
        <w:pStyle w:val="IFTnormal"/>
        <w:ind w:left="360"/>
        <w:jc w:val="center"/>
        <w:rPr>
          <w:lang w:val="es-MX"/>
        </w:rPr>
      </w:pPr>
      <w:r>
        <w:rPr>
          <w:noProof/>
          <w:lang w:val="es-MX" w:eastAsia="es-MX"/>
        </w:rPr>
        <mc:AlternateContent>
          <mc:Choice Requires="wps">
            <w:drawing>
              <wp:anchor distT="0" distB="0" distL="114300" distR="114300" simplePos="0" relativeHeight="251658243" behindDoc="0" locked="0" layoutInCell="1" allowOverlap="1" wp14:anchorId="3284B082" wp14:editId="1CCFD0BE">
                <wp:simplePos x="0" y="0"/>
                <wp:positionH relativeFrom="column">
                  <wp:posOffset>1086939</wp:posOffset>
                </wp:positionH>
                <wp:positionV relativeFrom="paragraph">
                  <wp:posOffset>847989</wp:posOffset>
                </wp:positionV>
                <wp:extent cx="200851" cy="105168"/>
                <wp:effectExtent l="0" t="0" r="8890" b="9525"/>
                <wp:wrapNone/>
                <wp:docPr id="13" name="Rectángulo 13"/>
                <wp:cNvGraphicFramePr/>
                <a:graphic xmlns:a="http://schemas.openxmlformats.org/drawingml/2006/main">
                  <a:graphicData uri="http://schemas.microsoft.com/office/word/2010/wordprocessingShape">
                    <wps:wsp>
                      <wps:cNvSpPr/>
                      <wps:spPr>
                        <a:xfrm>
                          <a:off x="0" y="0"/>
                          <a:ext cx="200851" cy="10516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81E09" id="Rectángulo 13" o:spid="_x0000_s1026" style="position:absolute;margin-left:85.6pt;margin-top:66.75pt;width:15.8pt;height:8.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" fillcolor="#7f7f7f [1612]" stroked="f" strokeweight="1pt"/>
            </w:pict>
          </mc:Fallback>
        </mc:AlternateContent>
      </w:r>
      <w:r w:rsidR="00F951A2">
        <w:rPr>
          <w:noProof/>
          <w:lang w:val="es-MX" w:eastAsia="es-MX"/>
        </w:rPr>
        <w:drawing>
          <wp:inline distT="0" distB="0" distL="0" distR="0" wp14:anchorId="6AB95AA7" wp14:editId="63D7AB3B">
            <wp:extent cx="4457700" cy="263668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68436" cy="2643033"/>
                    </a:xfrm>
                    <a:prstGeom prst="rect">
                      <a:avLst/>
                    </a:prstGeom>
                    <a:noFill/>
                  </pic:spPr>
                </pic:pic>
              </a:graphicData>
            </a:graphic>
          </wp:inline>
        </w:drawing>
      </w:r>
    </w:p>
    <w:p w14:paraId="42DB100A" w14:textId="5C71913D" w:rsidR="00F951A2" w:rsidRDefault="00066AF3" w:rsidP="00F951A2">
      <w:pPr>
        <w:pStyle w:val="IFTnormal"/>
        <w:ind w:left="360"/>
        <w:jc w:val="center"/>
        <w:rPr>
          <w:color w:val="000000" w:themeColor="text1"/>
          <w:sz w:val="18"/>
          <w:szCs w:val="18"/>
        </w:rPr>
      </w:pPr>
      <w:r>
        <w:rPr>
          <w:b/>
          <w:color w:val="000000" w:themeColor="text1"/>
          <w:sz w:val="18"/>
          <w:szCs w:val="18"/>
        </w:rPr>
        <w:t>Figura 15</w:t>
      </w:r>
      <w:r w:rsidR="00F951A2" w:rsidRPr="005F6455">
        <w:rPr>
          <w:b/>
          <w:color w:val="000000" w:themeColor="text1"/>
          <w:sz w:val="18"/>
          <w:szCs w:val="18"/>
        </w:rPr>
        <w:t>:</w:t>
      </w:r>
      <w:r w:rsidR="00F951A2" w:rsidRPr="005F6455">
        <w:rPr>
          <w:color w:val="000000" w:themeColor="text1"/>
          <w:sz w:val="18"/>
          <w:szCs w:val="18"/>
        </w:rPr>
        <w:t xml:space="preserve"> Esquema </w:t>
      </w:r>
      <w:r w:rsidR="00F951A2">
        <w:rPr>
          <w:color w:val="000000" w:themeColor="text1"/>
          <w:sz w:val="18"/>
          <w:szCs w:val="18"/>
        </w:rPr>
        <w:t>de la estimación de los costos evitados en el modelo para el SRL, SRMLT y SAIB</w:t>
      </w:r>
      <w:r w:rsidR="00A66A56">
        <w:rPr>
          <w:color w:val="000000" w:themeColor="text1"/>
          <w:sz w:val="18"/>
          <w:szCs w:val="18"/>
        </w:rPr>
        <w:t xml:space="preserve"> (</w:t>
      </w:r>
      <w:r w:rsidR="00A66A56">
        <w:rPr>
          <w:b/>
          <w:color w:val="000000" w:themeColor="text1"/>
          <w:sz w:val="18"/>
          <w:szCs w:val="18"/>
        </w:rPr>
        <w:t xml:space="preserve">Fuente: </w:t>
      </w:r>
      <w:r w:rsidR="00A66A56">
        <w:rPr>
          <w:color w:val="000000" w:themeColor="text1"/>
          <w:sz w:val="18"/>
          <w:szCs w:val="18"/>
        </w:rPr>
        <w:t>IFT)</w:t>
      </w:r>
    </w:p>
    <w:p w14:paraId="690332B0" w14:textId="77777777" w:rsidR="00F951A2" w:rsidRDefault="00F951A2" w:rsidP="00F951A2">
      <w:pPr>
        <w:pStyle w:val="IFTnormal"/>
        <w:ind w:left="360"/>
        <w:jc w:val="center"/>
        <w:rPr>
          <w:lang w:val="es-MX"/>
        </w:rPr>
      </w:pPr>
    </w:p>
    <w:p w14:paraId="3ABC68B9" w14:textId="77777777" w:rsidR="00F951A2" w:rsidRDefault="00F951A2" w:rsidP="00F951A2">
      <w:pPr>
        <w:pStyle w:val="IFTnormal"/>
        <w:ind w:left="360"/>
        <w:jc w:val="center"/>
        <w:rPr>
          <w:noProof/>
          <w:lang w:val="es-MX" w:eastAsia="es-MX"/>
        </w:rPr>
      </w:pPr>
    </w:p>
    <w:p w14:paraId="690A526D" w14:textId="1C091C10" w:rsidR="00F951A2" w:rsidRDefault="00F35C1B" w:rsidP="00F951A2">
      <w:pPr>
        <w:pStyle w:val="IFTnormal"/>
        <w:ind w:left="360"/>
        <w:jc w:val="center"/>
        <w:rPr>
          <w:lang w:val="es-MX"/>
        </w:rPr>
      </w:pPr>
      <w:r>
        <w:rPr>
          <w:noProof/>
          <w:lang w:val="es-MX" w:eastAsia="es-MX"/>
        </w:rPr>
        <mc:AlternateContent>
          <mc:Choice Requires="wps">
            <w:drawing>
              <wp:anchor distT="0" distB="0" distL="114300" distR="114300" simplePos="0" relativeHeight="251658244" behindDoc="0" locked="0" layoutInCell="1" allowOverlap="1" wp14:anchorId="24865FD1" wp14:editId="5E87DB33">
                <wp:simplePos x="0" y="0"/>
                <wp:positionH relativeFrom="column">
                  <wp:posOffset>1836626</wp:posOffset>
                </wp:positionH>
                <wp:positionV relativeFrom="paragraph">
                  <wp:posOffset>112395</wp:posOffset>
                </wp:positionV>
                <wp:extent cx="210971" cy="100426"/>
                <wp:effectExtent l="0" t="0" r="0" b="0"/>
                <wp:wrapNone/>
                <wp:docPr id="14" name="Rectángulo 14"/>
                <wp:cNvGraphicFramePr/>
                <a:graphic xmlns:a="http://schemas.openxmlformats.org/drawingml/2006/main">
                  <a:graphicData uri="http://schemas.microsoft.com/office/word/2010/wordprocessingShape">
                    <wps:wsp>
                      <wps:cNvSpPr/>
                      <wps:spPr>
                        <a:xfrm>
                          <a:off x="0" y="0"/>
                          <a:ext cx="210971" cy="100426"/>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79A80" id="Rectángulo 14" o:spid="_x0000_s1026" style="position:absolute;margin-left:144.6pt;margin-top:8.85pt;width:16.6pt;height:7.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" fillcolor="#7f7f7f" stroked="f" strokeweight="1pt"/>
            </w:pict>
          </mc:Fallback>
        </mc:AlternateContent>
      </w:r>
      <w:r w:rsidR="00F951A2">
        <w:rPr>
          <w:noProof/>
          <w:lang w:val="es-MX" w:eastAsia="es-MX"/>
        </w:rPr>
        <w:drawing>
          <wp:inline distT="0" distB="0" distL="0" distR="0" wp14:anchorId="63D0EC38" wp14:editId="61030EDC">
            <wp:extent cx="4248150" cy="2464098"/>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49360" cy="2464800"/>
                    </a:xfrm>
                    <a:prstGeom prst="rect">
                      <a:avLst/>
                    </a:prstGeom>
                    <a:noFill/>
                  </pic:spPr>
                </pic:pic>
              </a:graphicData>
            </a:graphic>
          </wp:inline>
        </w:drawing>
      </w:r>
    </w:p>
    <w:p w14:paraId="4C091BE7" w14:textId="48CEBE96" w:rsidR="00F951A2" w:rsidRDefault="00066AF3" w:rsidP="00F951A2">
      <w:pPr>
        <w:pStyle w:val="IFTnormal"/>
        <w:ind w:left="360"/>
        <w:jc w:val="center"/>
        <w:rPr>
          <w:color w:val="000000" w:themeColor="text1"/>
          <w:sz w:val="18"/>
          <w:szCs w:val="18"/>
        </w:rPr>
      </w:pPr>
      <w:r>
        <w:rPr>
          <w:b/>
          <w:color w:val="000000" w:themeColor="text1"/>
          <w:sz w:val="18"/>
          <w:szCs w:val="18"/>
        </w:rPr>
        <w:t>Figura 16</w:t>
      </w:r>
      <w:r w:rsidR="00F951A2" w:rsidRPr="005F6455">
        <w:rPr>
          <w:b/>
          <w:color w:val="000000" w:themeColor="text1"/>
          <w:sz w:val="18"/>
          <w:szCs w:val="18"/>
        </w:rPr>
        <w:t>:</w:t>
      </w:r>
      <w:r w:rsidR="00F951A2" w:rsidRPr="005F6455">
        <w:rPr>
          <w:color w:val="000000" w:themeColor="text1"/>
          <w:sz w:val="18"/>
          <w:szCs w:val="18"/>
        </w:rPr>
        <w:t xml:space="preserve"> Esquema </w:t>
      </w:r>
      <w:r w:rsidR="00F951A2">
        <w:rPr>
          <w:color w:val="000000" w:themeColor="text1"/>
          <w:sz w:val="18"/>
          <w:szCs w:val="18"/>
        </w:rPr>
        <w:t>de la estimación de las tarifas del SAIB</w:t>
      </w:r>
      <w:r w:rsidR="00A66A56">
        <w:rPr>
          <w:color w:val="000000" w:themeColor="text1"/>
          <w:sz w:val="18"/>
          <w:szCs w:val="18"/>
        </w:rPr>
        <w:t xml:space="preserve"> (</w:t>
      </w:r>
      <w:r w:rsidR="00A66A56">
        <w:rPr>
          <w:b/>
          <w:color w:val="000000" w:themeColor="text1"/>
          <w:sz w:val="18"/>
          <w:szCs w:val="18"/>
        </w:rPr>
        <w:t xml:space="preserve">Fuente: </w:t>
      </w:r>
      <w:r w:rsidR="00A66A56">
        <w:rPr>
          <w:color w:val="000000" w:themeColor="text1"/>
          <w:sz w:val="18"/>
          <w:szCs w:val="18"/>
        </w:rPr>
        <w:t>IFT)</w:t>
      </w:r>
    </w:p>
    <w:p w14:paraId="1F0700E0" w14:textId="05B44E7C" w:rsidR="00F951A2" w:rsidRDefault="00F951A2" w:rsidP="00F951A2">
      <w:pPr>
        <w:pStyle w:val="IFTnormal"/>
        <w:rPr>
          <w:lang w:val="es-MX"/>
        </w:rPr>
      </w:pPr>
    </w:p>
    <w:p w14:paraId="6498877E" w14:textId="77777777" w:rsidR="00F951A2" w:rsidRPr="00F951A2" w:rsidRDefault="00F951A2" w:rsidP="00F951A2">
      <w:pPr>
        <w:pStyle w:val="IFTnormal"/>
        <w:rPr>
          <w:lang w:val="es-MX"/>
        </w:rPr>
      </w:pPr>
    </w:p>
    <w:p w14:paraId="376ABFFE" w14:textId="7D047881" w:rsidR="00ED5ECA" w:rsidRDefault="00491BB1" w:rsidP="00491BB1">
      <w:pPr>
        <w:pStyle w:val="PuntosC4"/>
        <w:numPr>
          <w:ilvl w:val="0"/>
          <w:numId w:val="40"/>
        </w:numPr>
        <w:outlineLvl w:val="1"/>
      </w:pPr>
      <w:r>
        <w:tab/>
      </w:r>
      <w:bookmarkStart w:id="102" w:name="_Toc51700029"/>
      <w:bookmarkStart w:id="103" w:name="_Toc52188518"/>
      <w:r>
        <w:t>Presentación de resultados</w:t>
      </w:r>
      <w:bookmarkEnd w:id="102"/>
      <w:bookmarkEnd w:id="103"/>
    </w:p>
    <w:p w14:paraId="2F8FED71" w14:textId="644476D3" w:rsidR="00351337" w:rsidRPr="00351337" w:rsidRDefault="00351337" w:rsidP="00351337">
      <w:pPr>
        <w:pStyle w:val="IFTnormal"/>
      </w:pPr>
      <w:r>
        <w:t>A continuación, se describen los principales resultados obtenidos con e</w:t>
      </w:r>
      <w:r w:rsidR="002222CD">
        <w:t>l Modelo de Costos Evitados</w:t>
      </w:r>
      <w:r>
        <w:t>, bajo los puntos metodológicos descritos en las secciones precedentes.</w:t>
      </w:r>
    </w:p>
    <w:p w14:paraId="155437D6" w14:textId="676724D9" w:rsidR="00ED5ECA" w:rsidRDefault="00ED5ECA" w:rsidP="00491BB1">
      <w:pPr>
        <w:pStyle w:val="PuntosC4"/>
        <w:numPr>
          <w:ilvl w:val="1"/>
          <w:numId w:val="40"/>
        </w:numPr>
        <w:outlineLvl w:val="1"/>
      </w:pPr>
      <w:bookmarkStart w:id="104" w:name="_Toc51700030"/>
      <w:bookmarkStart w:id="105" w:name="_Toc52188519"/>
      <w:r>
        <w:t>Factores de representación de precios implícitos</w:t>
      </w:r>
      <w:r w:rsidR="00491BB1">
        <w:t xml:space="preserve"> y niveles de costos evitados</w:t>
      </w:r>
      <w:bookmarkEnd w:id="104"/>
      <w:bookmarkEnd w:id="105"/>
    </w:p>
    <w:p w14:paraId="502155D3" w14:textId="149CC073" w:rsidR="00351337" w:rsidRDefault="00351337" w:rsidP="00351337">
      <w:pPr>
        <w:pStyle w:val="IFTnormal"/>
      </w:pPr>
      <w:r>
        <w:t xml:space="preserve">Los valores obtenidos </w:t>
      </w:r>
      <w:r w:rsidR="000D0982">
        <w:t xml:space="preserve">para 2021 </w:t>
      </w:r>
      <w:r>
        <w:t xml:space="preserve">como factores de estimación del precio implícito, a nivel promedio, y los costos evitados, a nivel porcentual del precio minorista </w:t>
      </w:r>
      <w:r w:rsidR="002222CD">
        <w:t>de los planes y paquetes de Telmex y Telnor</w:t>
      </w:r>
      <w:r>
        <w:t>, se muestran en la siguiente tabla:</w:t>
      </w:r>
    </w:p>
    <w:tbl>
      <w:tblPr>
        <w:tblStyle w:val="Tabladecuadrcula1clara"/>
        <w:tblW w:w="0" w:type="auto"/>
        <w:jc w:val="center"/>
        <w:tblLook w:val="0420" w:firstRow="1" w:lastRow="0" w:firstColumn="0" w:lastColumn="0" w:noHBand="0" w:noVBand="1"/>
      </w:tblPr>
      <w:tblGrid>
        <w:gridCol w:w="2207"/>
        <w:gridCol w:w="2213"/>
        <w:gridCol w:w="2195"/>
        <w:gridCol w:w="2213"/>
      </w:tblGrid>
      <w:tr w:rsidR="00351337" w:rsidRPr="00E537BD" w14:paraId="3FC83632" w14:textId="77777777" w:rsidTr="004B3966">
        <w:trPr>
          <w:cnfStyle w:val="100000000000" w:firstRow="1" w:lastRow="0" w:firstColumn="0" w:lastColumn="0" w:oddVBand="0" w:evenVBand="0" w:oddHBand="0" w:evenHBand="0" w:firstRowFirstColumn="0" w:firstRowLastColumn="0" w:lastRowFirstColumn="0" w:lastRowLastColumn="0"/>
          <w:trHeight w:val="289"/>
          <w:jc w:val="center"/>
        </w:trPr>
        <w:tc>
          <w:tcPr>
            <w:tcW w:w="2348" w:type="dxa"/>
            <w:shd w:val="clear" w:color="auto" w:fill="E7E6E6" w:themeFill="background2"/>
            <w:vAlign w:val="center"/>
          </w:tcPr>
          <w:p w14:paraId="29E66DB9" w14:textId="77777777" w:rsidR="00351337" w:rsidRPr="00E537BD" w:rsidRDefault="00351337" w:rsidP="004B3966">
            <w:pPr>
              <w:pStyle w:val="Tableheading"/>
              <w:spacing w:before="0" w:after="0"/>
              <w:jc w:val="center"/>
              <w:rPr>
                <w:rFonts w:ascii="ITC Avant Garde" w:hAnsi="ITC Avant Garde"/>
                <w:b/>
                <w:color w:val="000000" w:themeColor="text1"/>
                <w:szCs w:val="18"/>
                <w:lang w:val="es-ES_tradnl"/>
              </w:rPr>
            </w:pPr>
            <w:r>
              <w:rPr>
                <w:rFonts w:ascii="ITC Avant Garde" w:hAnsi="ITC Avant Garde" w:cs="Arial"/>
                <w:b/>
                <w:color w:val="000000"/>
                <w:lang w:val="es-ES" w:eastAsia="es-ES"/>
              </w:rPr>
              <w:t>Concepto</w:t>
            </w:r>
          </w:p>
        </w:tc>
        <w:tc>
          <w:tcPr>
            <w:tcW w:w="2349" w:type="dxa"/>
            <w:shd w:val="clear" w:color="auto" w:fill="E7E6E6" w:themeFill="background2"/>
            <w:vAlign w:val="center"/>
          </w:tcPr>
          <w:p w14:paraId="080C2588" w14:textId="77777777" w:rsidR="00351337" w:rsidRPr="00F35C1B" w:rsidRDefault="00351337" w:rsidP="004B3966">
            <w:pPr>
              <w:pStyle w:val="Tableheading"/>
              <w:spacing w:before="0" w:after="0"/>
              <w:jc w:val="center"/>
              <w:rPr>
                <w:rFonts w:ascii="ITC Avant Garde" w:hAnsi="ITC Avant Garde"/>
                <w:b/>
                <w:color w:val="auto"/>
                <w:szCs w:val="18"/>
                <w:lang w:val="es-ES_tradnl"/>
              </w:rPr>
            </w:pPr>
            <w:r w:rsidRPr="00F35C1B">
              <w:rPr>
                <w:rFonts w:ascii="ITC Avant Garde" w:hAnsi="ITC Avant Garde"/>
                <w:b/>
                <w:color w:val="auto"/>
                <w:szCs w:val="18"/>
                <w:lang w:val="es-ES_tradnl"/>
              </w:rPr>
              <w:t>Factor de estimación del precio implícito (a nivel promedio)</w:t>
            </w:r>
          </w:p>
        </w:tc>
        <w:tc>
          <w:tcPr>
            <w:tcW w:w="2348" w:type="dxa"/>
            <w:shd w:val="clear" w:color="auto" w:fill="E7E6E6" w:themeFill="background2"/>
            <w:vAlign w:val="center"/>
          </w:tcPr>
          <w:p w14:paraId="55088548" w14:textId="77777777" w:rsidR="00351337" w:rsidRPr="00E537BD" w:rsidRDefault="00351337" w:rsidP="004B3966">
            <w:pPr>
              <w:pStyle w:val="Tableheading"/>
              <w:spacing w:before="0" w:after="0"/>
              <w:jc w:val="center"/>
              <w:rPr>
                <w:rFonts w:ascii="ITC Avant Garde" w:hAnsi="ITC Avant Garde"/>
                <w:b/>
                <w:color w:val="000000" w:themeColor="text1"/>
                <w:szCs w:val="18"/>
                <w:lang w:val="es-ES_tradnl"/>
              </w:rPr>
            </w:pPr>
            <w:r>
              <w:rPr>
                <w:rFonts w:ascii="ITC Avant Garde" w:hAnsi="ITC Avant Garde"/>
                <w:b/>
                <w:color w:val="000000" w:themeColor="text1"/>
                <w:szCs w:val="18"/>
                <w:lang w:val="es-ES_tradnl"/>
              </w:rPr>
              <w:t>Costos evitados</w:t>
            </w:r>
          </w:p>
        </w:tc>
        <w:tc>
          <w:tcPr>
            <w:tcW w:w="2349" w:type="dxa"/>
            <w:shd w:val="clear" w:color="auto" w:fill="E7E6E6" w:themeFill="background2"/>
            <w:vAlign w:val="center"/>
          </w:tcPr>
          <w:p w14:paraId="42EE01CF" w14:textId="3D42F337" w:rsidR="00351337" w:rsidRPr="00E537BD" w:rsidRDefault="00351337" w:rsidP="004B3966">
            <w:pPr>
              <w:pStyle w:val="Tableheading"/>
              <w:spacing w:before="0" w:after="0"/>
              <w:jc w:val="center"/>
              <w:rPr>
                <w:rFonts w:ascii="ITC Avant Garde" w:hAnsi="ITC Avant Garde"/>
                <w:b/>
                <w:color w:val="000000" w:themeColor="text1"/>
                <w:szCs w:val="18"/>
                <w:lang w:val="es-ES_tradnl"/>
              </w:rPr>
            </w:pPr>
            <w:r>
              <w:rPr>
                <w:rFonts w:ascii="ITC Avant Garde" w:hAnsi="ITC Avant Garde"/>
                <w:b/>
                <w:color w:val="000000" w:themeColor="text1"/>
                <w:szCs w:val="18"/>
                <w:lang w:val="es-ES_tradnl"/>
              </w:rPr>
              <w:t>Descuento total</w:t>
            </w:r>
            <w:r w:rsidR="00F35C1B">
              <w:rPr>
                <w:rFonts w:ascii="ITC Avant Garde" w:hAnsi="ITC Avant Garde"/>
                <w:b/>
                <w:color w:val="000000" w:themeColor="text1"/>
                <w:szCs w:val="18"/>
                <w:lang w:val="es-ES_tradnl"/>
              </w:rPr>
              <w:t>*</w:t>
            </w:r>
          </w:p>
        </w:tc>
      </w:tr>
      <w:tr w:rsidR="00351337" w:rsidRPr="008D29C6" w14:paraId="2DBCE99A" w14:textId="77777777" w:rsidTr="00351337">
        <w:trPr>
          <w:trHeight w:val="287"/>
          <w:jc w:val="center"/>
        </w:trPr>
        <w:tc>
          <w:tcPr>
            <w:tcW w:w="2348" w:type="dxa"/>
            <w:vAlign w:val="center"/>
          </w:tcPr>
          <w:p w14:paraId="7ED3E763" w14:textId="77777777" w:rsidR="00351337" w:rsidRPr="00BE2039" w:rsidRDefault="00351337" w:rsidP="00351337">
            <w:pPr>
              <w:pStyle w:val="Tablecells"/>
              <w:spacing w:after="0"/>
              <w:ind w:right="39"/>
              <w:jc w:val="both"/>
              <w:rPr>
                <w:rFonts w:ascii="ITC Avant Garde" w:hAnsi="ITC Avant Garde"/>
                <w:b/>
                <w:szCs w:val="18"/>
                <w:lang w:val="es-ES_tradnl"/>
              </w:rPr>
            </w:pPr>
            <w:r w:rsidRPr="00BE2039">
              <w:rPr>
                <w:rFonts w:ascii="ITC Avant Garde" w:hAnsi="ITC Avant Garde"/>
                <w:b/>
                <w:szCs w:val="18"/>
                <w:lang w:val="es-ES_tradnl"/>
              </w:rPr>
              <w:t>Renta de línea</w:t>
            </w:r>
          </w:p>
        </w:tc>
        <w:tc>
          <w:tcPr>
            <w:tcW w:w="2349" w:type="dxa"/>
            <w:vAlign w:val="center"/>
          </w:tcPr>
          <w:p w14:paraId="2260CF41" w14:textId="4D8521D9" w:rsidR="00351337" w:rsidRPr="00F35C1B" w:rsidRDefault="00564F7D" w:rsidP="00351337">
            <w:pPr>
              <w:pStyle w:val="Tablecells"/>
              <w:spacing w:before="0" w:after="0"/>
              <w:jc w:val="center"/>
              <w:rPr>
                <w:rFonts w:ascii="ITC Avant Garde" w:hAnsi="ITC Avant Garde"/>
                <w:szCs w:val="18"/>
                <w:lang w:val="es-ES_tradnl"/>
              </w:rPr>
            </w:pPr>
            <w:r>
              <w:rPr>
                <w:rFonts w:ascii="ITC Avant Garde" w:hAnsi="ITC Avant Garde"/>
                <w:szCs w:val="18"/>
                <w:lang w:val="es-ES_tradnl"/>
              </w:rPr>
              <w:t>20.63</w:t>
            </w:r>
            <w:r w:rsidR="00351337" w:rsidRPr="00F35C1B">
              <w:rPr>
                <w:rFonts w:ascii="ITC Avant Garde" w:hAnsi="ITC Avant Garde"/>
                <w:szCs w:val="18"/>
                <w:lang w:val="es-ES_tradnl"/>
              </w:rPr>
              <w:t>%</w:t>
            </w:r>
          </w:p>
        </w:tc>
        <w:tc>
          <w:tcPr>
            <w:tcW w:w="2348" w:type="dxa"/>
            <w:vAlign w:val="center"/>
          </w:tcPr>
          <w:p w14:paraId="76FBC80D" w14:textId="1A9665D7" w:rsidR="00351337" w:rsidRPr="008D29C6" w:rsidRDefault="00564F7D" w:rsidP="00351337">
            <w:pPr>
              <w:pStyle w:val="Tablecells"/>
              <w:spacing w:before="0" w:after="0"/>
              <w:jc w:val="center"/>
              <w:rPr>
                <w:rFonts w:ascii="ITC Avant Garde" w:hAnsi="ITC Avant Garde"/>
                <w:szCs w:val="18"/>
                <w:lang w:val="es-ES_tradnl"/>
              </w:rPr>
            </w:pPr>
            <w:r>
              <w:rPr>
                <w:rFonts w:ascii="ITC Avant Garde" w:hAnsi="ITC Avant Garde"/>
                <w:szCs w:val="18"/>
                <w:lang w:val="es-ES_tradnl"/>
              </w:rPr>
              <w:t>11.74</w:t>
            </w:r>
            <w:r w:rsidR="00351337">
              <w:rPr>
                <w:rFonts w:ascii="ITC Avant Garde" w:hAnsi="ITC Avant Garde"/>
                <w:szCs w:val="18"/>
                <w:lang w:val="es-ES_tradnl"/>
              </w:rPr>
              <w:t>%</w:t>
            </w:r>
            <w:r w:rsidR="00F35C1B">
              <w:rPr>
                <w:rFonts w:ascii="ITC Avant Garde" w:hAnsi="ITC Avant Garde"/>
                <w:szCs w:val="18"/>
                <w:lang w:val="es-ES_tradnl"/>
              </w:rPr>
              <w:t>**</w:t>
            </w:r>
          </w:p>
        </w:tc>
        <w:tc>
          <w:tcPr>
            <w:tcW w:w="2349" w:type="dxa"/>
            <w:vAlign w:val="center"/>
          </w:tcPr>
          <w:p w14:paraId="343699F4" w14:textId="2526206E" w:rsidR="00351337" w:rsidRPr="00D85E52" w:rsidRDefault="00564F7D" w:rsidP="00351337">
            <w:pPr>
              <w:pStyle w:val="Tablecells"/>
              <w:spacing w:before="0" w:after="0"/>
              <w:jc w:val="center"/>
              <w:rPr>
                <w:rFonts w:ascii="ITC Avant Garde" w:hAnsi="ITC Avant Garde"/>
                <w:b/>
                <w:szCs w:val="18"/>
                <w:lang w:val="es-ES_tradnl"/>
              </w:rPr>
            </w:pPr>
            <w:r>
              <w:rPr>
                <w:rFonts w:ascii="ITC Avant Garde" w:hAnsi="ITC Avant Garde"/>
                <w:b/>
                <w:szCs w:val="18"/>
                <w:lang w:val="es-ES_tradnl"/>
              </w:rPr>
              <w:t>32.38</w:t>
            </w:r>
            <w:r w:rsidR="00351337" w:rsidRPr="00D85E52">
              <w:rPr>
                <w:rFonts w:ascii="ITC Avant Garde" w:hAnsi="ITC Avant Garde"/>
                <w:b/>
                <w:szCs w:val="18"/>
                <w:lang w:val="es-ES_tradnl"/>
              </w:rPr>
              <w:t>%</w:t>
            </w:r>
          </w:p>
        </w:tc>
      </w:tr>
      <w:tr w:rsidR="00351337" w:rsidRPr="00480AE5" w14:paraId="4CE89433" w14:textId="77777777" w:rsidTr="00351337">
        <w:trPr>
          <w:trHeight w:val="278"/>
          <w:jc w:val="center"/>
        </w:trPr>
        <w:tc>
          <w:tcPr>
            <w:tcW w:w="2348" w:type="dxa"/>
            <w:vAlign w:val="center"/>
          </w:tcPr>
          <w:p w14:paraId="435A891E" w14:textId="77777777" w:rsidR="00351337" w:rsidRPr="00E862FC" w:rsidRDefault="00351337" w:rsidP="00351337">
            <w:pPr>
              <w:pStyle w:val="Tablecells"/>
              <w:spacing w:after="0"/>
              <w:ind w:right="39"/>
              <w:jc w:val="both"/>
              <w:rPr>
                <w:rFonts w:ascii="ITC Avant Garde" w:hAnsi="ITC Avant Garde"/>
                <w:b/>
                <w:szCs w:val="18"/>
                <w:lang w:val="es-ES_tradnl"/>
              </w:rPr>
            </w:pPr>
            <w:r>
              <w:rPr>
                <w:rFonts w:ascii="ITC Avant Garde" w:hAnsi="ITC Avant Garde"/>
                <w:b/>
                <w:szCs w:val="18"/>
                <w:lang w:val="es-ES_tradnl"/>
              </w:rPr>
              <w:t>Servicios de voz</w:t>
            </w:r>
          </w:p>
        </w:tc>
        <w:tc>
          <w:tcPr>
            <w:tcW w:w="2349" w:type="dxa"/>
            <w:vAlign w:val="center"/>
          </w:tcPr>
          <w:p w14:paraId="034B2B61" w14:textId="2720B9D2" w:rsidR="00351337" w:rsidRPr="00F35C1B" w:rsidRDefault="004B3966" w:rsidP="00351337">
            <w:pPr>
              <w:pStyle w:val="Tablecells"/>
              <w:spacing w:before="0" w:after="0"/>
              <w:jc w:val="center"/>
              <w:rPr>
                <w:rFonts w:ascii="ITC Avant Garde" w:hAnsi="ITC Avant Garde"/>
                <w:szCs w:val="18"/>
                <w:lang w:val="es-ES_tradnl"/>
              </w:rPr>
            </w:pPr>
            <w:r>
              <w:rPr>
                <w:rFonts w:ascii="ITC Avant Garde" w:hAnsi="ITC Avant Garde"/>
                <w:szCs w:val="18"/>
                <w:lang w:val="es-ES_tradnl"/>
              </w:rPr>
              <w:t>23.83</w:t>
            </w:r>
            <w:r w:rsidR="00351337" w:rsidRPr="00F35C1B">
              <w:rPr>
                <w:rFonts w:ascii="ITC Avant Garde" w:hAnsi="ITC Avant Garde"/>
                <w:szCs w:val="18"/>
                <w:lang w:val="es-ES_tradnl"/>
              </w:rPr>
              <w:t>%</w:t>
            </w:r>
          </w:p>
        </w:tc>
        <w:tc>
          <w:tcPr>
            <w:tcW w:w="2348" w:type="dxa"/>
            <w:vAlign w:val="center"/>
          </w:tcPr>
          <w:p w14:paraId="75CBD5CB" w14:textId="41A5F816" w:rsidR="00351337" w:rsidRPr="00480AE5" w:rsidRDefault="001804DC" w:rsidP="001804DC">
            <w:pPr>
              <w:pStyle w:val="Tablecells"/>
              <w:spacing w:before="0" w:after="0"/>
              <w:jc w:val="center"/>
              <w:rPr>
                <w:rFonts w:ascii="ITC Avant Garde" w:hAnsi="ITC Avant Garde"/>
                <w:szCs w:val="18"/>
                <w:lang w:val="es-ES_tradnl"/>
              </w:rPr>
            </w:pPr>
            <w:r>
              <w:rPr>
                <w:rFonts w:ascii="ITC Avant Garde" w:hAnsi="ITC Avant Garde"/>
                <w:szCs w:val="18"/>
                <w:lang w:val="es-ES_tradnl"/>
              </w:rPr>
              <w:t>11.27</w:t>
            </w:r>
            <w:r w:rsidR="00AF2414">
              <w:rPr>
                <w:rFonts w:ascii="ITC Avant Garde" w:hAnsi="ITC Avant Garde"/>
                <w:szCs w:val="18"/>
                <w:lang w:val="es-ES_tradnl"/>
              </w:rPr>
              <w:t>%</w:t>
            </w:r>
            <w:r w:rsidR="0057383C">
              <w:rPr>
                <w:rFonts w:ascii="ITC Avant Garde" w:hAnsi="ITC Avant Garde"/>
                <w:szCs w:val="18"/>
                <w:lang w:val="es-ES_tradnl"/>
              </w:rPr>
              <w:t>**</w:t>
            </w:r>
          </w:p>
        </w:tc>
        <w:tc>
          <w:tcPr>
            <w:tcW w:w="2349" w:type="dxa"/>
            <w:vAlign w:val="center"/>
          </w:tcPr>
          <w:p w14:paraId="27D5B760" w14:textId="658F3ED6" w:rsidR="00351337" w:rsidRPr="00D85E52" w:rsidRDefault="001804DC" w:rsidP="00351337">
            <w:pPr>
              <w:pStyle w:val="Tablecells"/>
              <w:spacing w:before="0" w:after="0"/>
              <w:jc w:val="center"/>
              <w:rPr>
                <w:rFonts w:ascii="ITC Avant Garde" w:hAnsi="ITC Avant Garde"/>
                <w:b/>
                <w:szCs w:val="18"/>
                <w:lang w:val="es-ES_tradnl"/>
              </w:rPr>
            </w:pPr>
            <w:r>
              <w:rPr>
                <w:rFonts w:ascii="ITC Avant Garde" w:hAnsi="ITC Avant Garde"/>
                <w:b/>
                <w:szCs w:val="18"/>
                <w:lang w:val="es-ES_tradnl"/>
              </w:rPr>
              <w:t>35.10</w:t>
            </w:r>
            <w:r w:rsidR="00351337" w:rsidRPr="00D85E52">
              <w:rPr>
                <w:rFonts w:ascii="ITC Avant Garde" w:hAnsi="ITC Avant Garde"/>
                <w:b/>
                <w:szCs w:val="18"/>
                <w:lang w:val="es-ES_tradnl"/>
              </w:rPr>
              <w:t>%</w:t>
            </w:r>
          </w:p>
        </w:tc>
      </w:tr>
      <w:tr w:rsidR="00351337" w:rsidRPr="00480AE5" w14:paraId="3FC84B83" w14:textId="77777777" w:rsidTr="00351337">
        <w:trPr>
          <w:trHeight w:val="278"/>
          <w:jc w:val="center"/>
        </w:trPr>
        <w:tc>
          <w:tcPr>
            <w:tcW w:w="2348" w:type="dxa"/>
            <w:vAlign w:val="center"/>
          </w:tcPr>
          <w:p w14:paraId="118A3675" w14:textId="77777777" w:rsidR="00351337" w:rsidRPr="00BE2039" w:rsidRDefault="00351337" w:rsidP="00351337">
            <w:pPr>
              <w:pStyle w:val="Tablecells"/>
              <w:spacing w:after="0"/>
              <w:ind w:right="39"/>
              <w:jc w:val="both"/>
              <w:rPr>
                <w:rFonts w:ascii="ITC Avant Garde" w:hAnsi="ITC Avant Garde"/>
                <w:b/>
                <w:szCs w:val="18"/>
                <w:lang w:val="es-ES_tradnl"/>
              </w:rPr>
            </w:pPr>
            <w:r w:rsidRPr="00BE2039">
              <w:rPr>
                <w:rFonts w:ascii="ITC Avant Garde" w:hAnsi="ITC Avant Garde"/>
                <w:b/>
                <w:szCs w:val="18"/>
                <w:lang w:val="es-ES_tradnl"/>
              </w:rPr>
              <w:t>Banda ancha</w:t>
            </w:r>
          </w:p>
        </w:tc>
        <w:tc>
          <w:tcPr>
            <w:tcW w:w="2349" w:type="dxa"/>
            <w:vAlign w:val="center"/>
          </w:tcPr>
          <w:p w14:paraId="7E57D661" w14:textId="16CC8132" w:rsidR="00351337" w:rsidRPr="00F35C1B" w:rsidRDefault="004B3966" w:rsidP="00351337">
            <w:pPr>
              <w:pStyle w:val="Tablecells"/>
              <w:spacing w:before="0" w:after="0"/>
              <w:jc w:val="center"/>
              <w:rPr>
                <w:rFonts w:ascii="ITC Avant Garde" w:hAnsi="ITC Avant Garde"/>
                <w:szCs w:val="18"/>
                <w:lang w:val="es-ES_tradnl"/>
              </w:rPr>
            </w:pPr>
            <w:r>
              <w:rPr>
                <w:rFonts w:ascii="ITC Avant Garde" w:hAnsi="ITC Avant Garde"/>
                <w:szCs w:val="18"/>
                <w:lang w:val="es-ES_tradnl"/>
              </w:rPr>
              <w:t>15.61</w:t>
            </w:r>
            <w:r w:rsidR="00351337" w:rsidRPr="00F35C1B">
              <w:rPr>
                <w:rFonts w:ascii="ITC Avant Garde" w:hAnsi="ITC Avant Garde"/>
                <w:szCs w:val="18"/>
                <w:lang w:val="es-ES_tradnl"/>
              </w:rPr>
              <w:t>%</w:t>
            </w:r>
          </w:p>
        </w:tc>
        <w:tc>
          <w:tcPr>
            <w:tcW w:w="2348" w:type="dxa"/>
            <w:vAlign w:val="center"/>
          </w:tcPr>
          <w:p w14:paraId="0AC84A11" w14:textId="3BA0C275" w:rsidR="00351337" w:rsidRPr="00480AE5" w:rsidRDefault="004B3966" w:rsidP="00351337">
            <w:pPr>
              <w:pStyle w:val="Tablecells"/>
              <w:spacing w:before="0" w:after="0"/>
              <w:jc w:val="center"/>
              <w:rPr>
                <w:rFonts w:ascii="ITC Avant Garde" w:hAnsi="ITC Avant Garde"/>
                <w:szCs w:val="18"/>
                <w:lang w:val="es-ES_tradnl"/>
              </w:rPr>
            </w:pPr>
            <w:r>
              <w:rPr>
                <w:rFonts w:ascii="ITC Avant Garde" w:hAnsi="ITC Avant Garde"/>
                <w:szCs w:val="18"/>
                <w:lang w:val="es-ES_tradnl"/>
              </w:rPr>
              <w:t>34.33</w:t>
            </w:r>
            <w:r w:rsidR="00351337">
              <w:rPr>
                <w:rFonts w:ascii="ITC Avant Garde" w:hAnsi="ITC Avant Garde"/>
                <w:szCs w:val="18"/>
                <w:lang w:val="es-ES_tradnl"/>
              </w:rPr>
              <w:t>%</w:t>
            </w:r>
            <w:r w:rsidR="00F35C1B">
              <w:rPr>
                <w:rFonts w:ascii="ITC Avant Garde" w:hAnsi="ITC Avant Garde"/>
                <w:szCs w:val="18"/>
                <w:lang w:val="es-ES_tradnl"/>
              </w:rPr>
              <w:t>***</w:t>
            </w:r>
          </w:p>
        </w:tc>
        <w:tc>
          <w:tcPr>
            <w:tcW w:w="2349" w:type="dxa"/>
          </w:tcPr>
          <w:p w14:paraId="40CE2759" w14:textId="4C043B16" w:rsidR="00351337" w:rsidRPr="00D85E52" w:rsidRDefault="004B3966" w:rsidP="00351337">
            <w:pPr>
              <w:pStyle w:val="Tablecells"/>
              <w:spacing w:before="0" w:after="0"/>
              <w:jc w:val="center"/>
              <w:rPr>
                <w:rFonts w:ascii="ITC Avant Garde" w:hAnsi="ITC Avant Garde"/>
                <w:b/>
                <w:szCs w:val="18"/>
                <w:lang w:val="es-ES_tradnl"/>
              </w:rPr>
            </w:pPr>
            <w:r>
              <w:rPr>
                <w:rFonts w:ascii="ITC Avant Garde" w:hAnsi="ITC Avant Garde"/>
                <w:b/>
                <w:szCs w:val="18"/>
                <w:lang w:val="es-ES_tradnl"/>
              </w:rPr>
              <w:t>49.94</w:t>
            </w:r>
            <w:r w:rsidR="00351337" w:rsidRPr="00D85E52">
              <w:rPr>
                <w:rFonts w:ascii="ITC Avant Garde" w:hAnsi="ITC Avant Garde"/>
                <w:b/>
                <w:szCs w:val="18"/>
                <w:lang w:val="es-ES_tradnl"/>
              </w:rPr>
              <w:t>%</w:t>
            </w:r>
          </w:p>
        </w:tc>
      </w:tr>
    </w:tbl>
    <w:p w14:paraId="7892FCA2" w14:textId="77777777" w:rsidR="00F35C1B" w:rsidRPr="00F35C1B" w:rsidRDefault="00F35C1B" w:rsidP="00F35C1B">
      <w:pPr>
        <w:pStyle w:val="IFTnormal"/>
        <w:spacing w:after="0" w:line="240" w:lineRule="auto"/>
        <w:ind w:left="720"/>
        <w:rPr>
          <w:sz w:val="18"/>
        </w:rPr>
      </w:pPr>
      <w:r w:rsidRPr="00F35C1B">
        <w:rPr>
          <w:sz w:val="18"/>
        </w:rPr>
        <w:t>* el descuento total solo aplica para SRLT y servicios de voz.</w:t>
      </w:r>
    </w:p>
    <w:p w14:paraId="7273F9F0" w14:textId="77777777" w:rsidR="00F35C1B" w:rsidRPr="00F35C1B" w:rsidRDefault="00F35C1B" w:rsidP="00F35C1B">
      <w:pPr>
        <w:pStyle w:val="IFTnormal"/>
        <w:spacing w:after="0" w:line="240" w:lineRule="auto"/>
        <w:ind w:left="720"/>
        <w:rPr>
          <w:sz w:val="18"/>
        </w:rPr>
      </w:pPr>
      <w:r w:rsidRPr="00F35C1B">
        <w:rPr>
          <w:sz w:val="18"/>
        </w:rPr>
        <w:t xml:space="preserve">** aplica para SRMLT y los precios asociados al acceso de línea en los paquetes. </w:t>
      </w:r>
    </w:p>
    <w:p w14:paraId="7AFD7777" w14:textId="64E3B720" w:rsidR="00351337" w:rsidRDefault="00F35C1B" w:rsidP="00F35C1B">
      <w:pPr>
        <w:pStyle w:val="IFTnormal"/>
        <w:spacing w:after="0" w:line="240" w:lineRule="auto"/>
        <w:ind w:left="720"/>
        <w:rPr>
          <w:sz w:val="18"/>
        </w:rPr>
      </w:pPr>
      <w:r w:rsidRPr="00F35C1B">
        <w:rPr>
          <w:sz w:val="18"/>
        </w:rPr>
        <w:t xml:space="preserve">*** aplica para los precios asociados a la banda ancha de los SRI y SRP.  </w:t>
      </w:r>
    </w:p>
    <w:p w14:paraId="0EF52BC8" w14:textId="77777777" w:rsidR="00F35C1B" w:rsidRPr="00F35C1B" w:rsidRDefault="00F35C1B" w:rsidP="00F35C1B">
      <w:pPr>
        <w:pStyle w:val="IFTnormal"/>
        <w:spacing w:after="0" w:line="240" w:lineRule="auto"/>
        <w:ind w:left="720"/>
        <w:rPr>
          <w:sz w:val="18"/>
        </w:rPr>
      </w:pPr>
    </w:p>
    <w:p w14:paraId="5AEEC7EF" w14:textId="78FDF02D" w:rsidR="00ED5ECA" w:rsidRDefault="00491BB1" w:rsidP="00491BB1">
      <w:pPr>
        <w:pStyle w:val="PuntosC4"/>
        <w:numPr>
          <w:ilvl w:val="1"/>
          <w:numId w:val="40"/>
        </w:numPr>
        <w:outlineLvl w:val="1"/>
      </w:pPr>
      <w:bookmarkStart w:id="106" w:name="_Toc51700031"/>
      <w:bookmarkStart w:id="107" w:name="_Toc52188520"/>
      <w:r>
        <w:t>Resultados para el SRL</w:t>
      </w:r>
      <w:bookmarkEnd w:id="106"/>
      <w:bookmarkEnd w:id="107"/>
    </w:p>
    <w:p w14:paraId="152B11FD" w14:textId="10A2C6D1" w:rsidR="00351337" w:rsidRDefault="00351337" w:rsidP="00351337">
      <w:pPr>
        <w:pStyle w:val="IFTnormal"/>
      </w:pPr>
      <w:r>
        <w:t xml:space="preserve">Cabe destacar que, como se </w:t>
      </w:r>
      <w:r w:rsidR="0057383C">
        <w:t xml:space="preserve">ha explicado anteriormente (ver </w:t>
      </w:r>
      <w:r>
        <w:t>sección</w:t>
      </w:r>
      <w:r w:rsidR="0057383C">
        <w:t xml:space="preserve"> </w:t>
      </w:r>
      <w:r w:rsidR="0057383C">
        <w:fldChar w:fldCharType="begin"/>
      </w:r>
      <w:r w:rsidR="0057383C">
        <w:instrText xml:space="preserve"> REF _Ref530070936 \r \h </w:instrText>
      </w:r>
      <w:r w:rsidR="0057383C">
        <w:fldChar w:fldCharType="separate"/>
      </w:r>
      <w:r w:rsidR="00C945B5">
        <w:t>1.3.2</w:t>
      </w:r>
      <w:r w:rsidR="0057383C">
        <w:fldChar w:fldCharType="end"/>
      </w:r>
      <w:r>
        <w:t>), el factor de estimación del precio implícito asociado a un servicio que se ofrece dentro de un plan o paquete contratado por un usuario sirve para estimar, a nivel promedio, el precio implícito de dicho servicio descontando un determinado porcentaje al precio minorista de la of</w:t>
      </w:r>
      <w:r w:rsidR="002222CD">
        <w:t>erta minorista contratada a Telmex y Telnor</w:t>
      </w:r>
      <w:r>
        <w:t xml:space="preserve">. En complemento, en el modelo se adoptó el enfoque de emplear como precio de referencia en la metodología de costos evitados al precio implícito de los servicios que se abordan. </w:t>
      </w:r>
    </w:p>
    <w:p w14:paraId="305DC42B" w14:textId="2CF25419" w:rsidR="00351337" w:rsidRDefault="00351337" w:rsidP="00351337">
      <w:pPr>
        <w:pStyle w:val="IFTnormal"/>
      </w:pPr>
      <w:r>
        <w:t xml:space="preserve">En consecuencia, a partir de los datos mostrados en la tabla anterior, en el caso del SRLT, la tarifa por cobro recurrente se determinará aplicando el porcentaje descuento de </w:t>
      </w:r>
      <w:r w:rsidR="00F82498">
        <w:t>32.38</w:t>
      </w:r>
      <w:r>
        <w:t xml:space="preserve">% sobre la tarifa </w:t>
      </w:r>
      <w:r w:rsidR="00746F17">
        <w:t xml:space="preserve">minorista </w:t>
      </w:r>
      <w:r>
        <w:t>autorizada por el Instituto</w:t>
      </w:r>
      <w:r w:rsidR="002222CD">
        <w:t xml:space="preserve"> a</w:t>
      </w:r>
      <w:r>
        <w:t xml:space="preserve"> </w:t>
      </w:r>
      <w:r w:rsidR="00746F17">
        <w:t>Telmex y Telnor</w:t>
      </w:r>
      <w:r>
        <w:t xml:space="preserve">, de aquellos planes y/o paquetes mediante los cuales ofrezca servicios de renta de una línea telefónica, mientras se deberá aplicar una tarifa de </w:t>
      </w:r>
      <w:r w:rsidR="0057383C">
        <w:t>35</w:t>
      </w:r>
      <w:r>
        <w:t>.</w:t>
      </w:r>
      <w:r w:rsidR="00F82498">
        <w:t>10</w:t>
      </w:r>
      <w:r>
        <w:t xml:space="preserve">% sobre la tarifa registrada por </w:t>
      </w:r>
      <w:r w:rsidR="00746F17">
        <w:t xml:space="preserve">dichas empresas </w:t>
      </w:r>
      <w:r>
        <w:t xml:space="preserve">ante el Instituto para aquellos servicios adicionales a la renta de línea telefónica en lo que se incluyan servicios de voz. </w:t>
      </w:r>
    </w:p>
    <w:p w14:paraId="183B7460" w14:textId="3D952163" w:rsidR="00351337" w:rsidRDefault="00351337" w:rsidP="00351337">
      <w:pPr>
        <w:pStyle w:val="IFTnormal"/>
      </w:pPr>
      <w:r>
        <w:t xml:space="preserve">Asimismo, en el caso del SRI, la tarifa por cobro recurrente se determinará aplicando el porcentaje descuento de </w:t>
      </w:r>
      <w:r w:rsidR="0057383C">
        <w:t>34</w:t>
      </w:r>
      <w:r>
        <w:t>.</w:t>
      </w:r>
      <w:r w:rsidR="0057383C">
        <w:t>33</w:t>
      </w:r>
      <w:r>
        <w:t>% sobre</w:t>
      </w:r>
      <w:r w:rsidR="000D0982">
        <w:t xml:space="preserve"> </w:t>
      </w:r>
      <w:r w:rsidR="0057383C">
        <w:t>el precio implícito de la banda ancha fija</w:t>
      </w:r>
      <w:r>
        <w:t>, de aquellos planes y/o paquetes mediante los cuales ofrezca únicamente servicios asociados a banda ancha fija.</w:t>
      </w:r>
    </w:p>
    <w:p w14:paraId="40F3D73F" w14:textId="55F6A715" w:rsidR="00351337" w:rsidRDefault="00351337" w:rsidP="00351337">
      <w:pPr>
        <w:pStyle w:val="IFTnormal"/>
      </w:pPr>
      <w:r>
        <w:t xml:space="preserve">En el caso del SRP, la tarifa por cobro recurrente se determinará a partir de los precios implícitos de los servicios de renta de línea, voz y banda ancha fija, estimados por el presente modelo, que integran un </w:t>
      </w:r>
      <w:r w:rsidR="00B93087">
        <w:t xml:space="preserve">paquete mediante el cual Telmex y Telnor </w:t>
      </w:r>
      <w:r>
        <w:t>ofrece</w:t>
      </w:r>
      <w:r w:rsidR="00B93087">
        <w:t>n</w:t>
      </w:r>
      <w:r>
        <w:t xml:space="preserve"> telefonía y banda ancha fija de manera conjunta, a los cuales se les descontarán, respectivamente, los porcentajes descuento de </w:t>
      </w:r>
      <w:r w:rsidR="0057383C">
        <w:t>11.7</w:t>
      </w:r>
      <w:r w:rsidR="00F82498">
        <w:t>4</w:t>
      </w:r>
      <w:r>
        <w:t xml:space="preserve">%, </w:t>
      </w:r>
      <w:r w:rsidR="00F82498">
        <w:t>11.27</w:t>
      </w:r>
      <w:r>
        <w:t>% y 3</w:t>
      </w:r>
      <w:r w:rsidR="0057383C">
        <w:t>4</w:t>
      </w:r>
      <w:r>
        <w:t>.</w:t>
      </w:r>
      <w:r w:rsidR="0057383C">
        <w:t>33</w:t>
      </w:r>
      <w:r>
        <w:t>%.</w:t>
      </w:r>
    </w:p>
    <w:p w14:paraId="157908B3" w14:textId="283D39D3" w:rsidR="00ED5ECA" w:rsidRDefault="00491BB1" w:rsidP="00491BB1">
      <w:pPr>
        <w:pStyle w:val="PuntosC4"/>
        <w:numPr>
          <w:ilvl w:val="1"/>
          <w:numId w:val="40"/>
        </w:numPr>
        <w:outlineLvl w:val="1"/>
      </w:pPr>
      <w:bookmarkStart w:id="108" w:name="_Toc51700032"/>
      <w:bookmarkStart w:id="109" w:name="_Toc52188521"/>
      <w:r>
        <w:t>Resultados para el SRMLT</w:t>
      </w:r>
      <w:bookmarkEnd w:id="108"/>
      <w:bookmarkEnd w:id="109"/>
    </w:p>
    <w:p w14:paraId="4FE019C9" w14:textId="22DFA64B" w:rsidR="00351337" w:rsidRPr="00351337" w:rsidRDefault="00351337" w:rsidP="00351337">
      <w:pPr>
        <w:pStyle w:val="IFTnormal"/>
      </w:pPr>
      <w:r w:rsidRPr="00351337">
        <w:t xml:space="preserve">En el caso del SMRLT, la tarifa por cobro recurrente se determinará aplicando el porcentaje de descuento de </w:t>
      </w:r>
      <w:r w:rsidR="0057383C">
        <w:t>11</w:t>
      </w:r>
      <w:r w:rsidRPr="00351337">
        <w:t>.</w:t>
      </w:r>
      <w:r w:rsidR="001B1A75">
        <w:t>74</w:t>
      </w:r>
      <w:r w:rsidRPr="00351337">
        <w:t xml:space="preserve">%, sobre el precio </w:t>
      </w:r>
      <w:r w:rsidR="0057383C">
        <w:t xml:space="preserve">implícito </w:t>
      </w:r>
      <w:r w:rsidRPr="00351337">
        <w:t>promedio ponderado de una línea de uso residencial o comercial, según corresponda, en el entendido de que a través de los valores resultantes no se incluye el costo de la originación de llamadas provenientes de los usuarios finales a través del SRMLT) e incluye el costo de la originación de llamadas provenientes de los usuarios finales a través del SRMLT.</w:t>
      </w:r>
    </w:p>
    <w:p w14:paraId="7C3B3C1B" w14:textId="56CFD231" w:rsidR="00ED5ECA" w:rsidRDefault="00ED5ECA" w:rsidP="00491BB1">
      <w:pPr>
        <w:pStyle w:val="PuntosC4"/>
        <w:numPr>
          <w:ilvl w:val="1"/>
          <w:numId w:val="40"/>
        </w:numPr>
        <w:outlineLvl w:val="1"/>
      </w:pPr>
      <w:bookmarkStart w:id="110" w:name="_Toc51700033"/>
      <w:bookmarkStart w:id="111" w:name="_Toc52188522"/>
      <w:r>
        <w:t>Result</w:t>
      </w:r>
      <w:r w:rsidR="00491BB1">
        <w:t>ados para el SAIB</w:t>
      </w:r>
      <w:bookmarkEnd w:id="110"/>
      <w:bookmarkEnd w:id="111"/>
    </w:p>
    <w:p w14:paraId="72C173AF" w14:textId="3B03C8AF" w:rsidR="00351337" w:rsidRPr="00351337" w:rsidRDefault="00351337" w:rsidP="00351337">
      <w:pPr>
        <w:pStyle w:val="IFTnormal"/>
      </w:pPr>
      <w:r w:rsidRPr="00351337">
        <w:t>En lo tocante al SAIB, la tarifa por cobro recurrente se determinará aplicando el porcentaje de descuento de 3</w:t>
      </w:r>
      <w:r w:rsidR="0057383C">
        <w:t>4</w:t>
      </w:r>
      <w:r w:rsidRPr="00351337">
        <w:t>.</w:t>
      </w:r>
      <w:r w:rsidR="0057383C">
        <w:t>33</w:t>
      </w:r>
      <w:r>
        <w:t xml:space="preserve">%, sobre el precio implícito </w:t>
      </w:r>
      <w:r w:rsidRPr="00351337">
        <w:t>promedio ponderado por perfil de velocidad de bajada (en Mbps)</w:t>
      </w:r>
      <w:r w:rsidR="003C4845">
        <w:t xml:space="preserve"> simétrico y asimétrico</w:t>
      </w:r>
      <w:r w:rsidRPr="00351337">
        <w:t xml:space="preserve">, </w:t>
      </w:r>
      <w:r w:rsidR="002222CD">
        <w:t>y</w:t>
      </w:r>
      <w:r w:rsidRPr="00351337">
        <w:t xml:space="preserve"> descontando a dicha cantidad el costo evitado asociados a</w:t>
      </w:r>
      <w:r w:rsidR="002222CD">
        <w:t xml:space="preserve"> los segmentos de la red de Telmex y Telnor que dejan d</w:t>
      </w:r>
      <w:r w:rsidRPr="00351337">
        <w:t>e usarse, dependiendo del nivel en el que se entrega el tráfico del SAIB en un pCAI (es decir, local, regional o nacional (ver sección</w:t>
      </w:r>
      <w:r w:rsidR="003C4845">
        <w:t xml:space="preserve"> </w:t>
      </w:r>
      <w:r w:rsidR="003C4845">
        <w:fldChar w:fldCharType="begin"/>
      </w:r>
      <w:r w:rsidR="003C4845">
        <w:instrText xml:space="preserve"> REF _Ref525627896 \r \h </w:instrText>
      </w:r>
      <w:r w:rsidR="003C4845">
        <w:fldChar w:fldCharType="separate"/>
      </w:r>
      <w:r w:rsidR="003C4845">
        <w:t>1.4.1.1</w:t>
      </w:r>
      <w:r w:rsidR="003C4845">
        <w:fldChar w:fldCharType="end"/>
      </w:r>
      <w:r w:rsidRPr="00351337">
        <w:t>).</w:t>
      </w:r>
    </w:p>
    <w:p w14:paraId="7DBF8A79" w14:textId="01C808E3" w:rsidR="00351337" w:rsidRPr="00351337" w:rsidRDefault="00351337" w:rsidP="00351337">
      <w:pPr>
        <w:pStyle w:val="IFTnormal"/>
      </w:pPr>
      <w:r w:rsidRPr="00351337">
        <w:t xml:space="preserve">Por otra parte, en consistencia con lo expuesto en las secciones </w:t>
      </w:r>
      <w:r w:rsidR="003C4845">
        <w:fldChar w:fldCharType="begin"/>
      </w:r>
      <w:r w:rsidR="003C4845">
        <w:instrText xml:space="preserve"> REF _Ref51594608 \r \h </w:instrText>
      </w:r>
      <w:r w:rsidR="003C4845">
        <w:fldChar w:fldCharType="separate"/>
      </w:r>
      <w:r w:rsidR="003C4845">
        <w:t>1.4.1.2</w:t>
      </w:r>
      <w:r w:rsidR="003C4845">
        <w:fldChar w:fldCharType="end"/>
      </w:r>
      <w:r w:rsidR="003C4845">
        <w:t xml:space="preserve"> </w:t>
      </w:r>
      <w:r w:rsidRPr="00351337">
        <w:t>y</w:t>
      </w:r>
      <w:r w:rsidR="003C4845">
        <w:t xml:space="preserve"> </w:t>
      </w:r>
      <w:r w:rsidR="003C4845">
        <w:fldChar w:fldCharType="begin"/>
      </w:r>
      <w:r w:rsidR="003C4845">
        <w:instrText xml:space="preserve"> REF _Ref51599634 \r \h </w:instrText>
      </w:r>
      <w:r w:rsidR="003C4845">
        <w:fldChar w:fldCharType="separate"/>
      </w:r>
      <w:r w:rsidR="003C4845">
        <w:t>1.5.1.5</w:t>
      </w:r>
      <w:r w:rsidR="003C4845">
        <w:fldChar w:fldCharType="end"/>
      </w:r>
      <w:r w:rsidRPr="00351337">
        <w:t>, el nivel tarifario deberá ajustarse si el servicio c</w:t>
      </w:r>
      <w:r w:rsidR="00BF2E60">
        <w:t>ontratado por el CS corresponde</w:t>
      </w:r>
      <w:r w:rsidRPr="00351337">
        <w:t xml:space="preserve"> a un tipo </w:t>
      </w:r>
      <w:r w:rsidRPr="00BF2E60">
        <w:rPr>
          <w:i/>
        </w:rPr>
        <w:t>Best effort</w:t>
      </w:r>
      <w:r w:rsidRPr="00351337">
        <w:t xml:space="preserve"> o </w:t>
      </w:r>
      <w:r w:rsidRPr="00BF2E60">
        <w:rPr>
          <w:i/>
        </w:rPr>
        <w:t>VoIP</w:t>
      </w:r>
      <w:r w:rsidRPr="00351337">
        <w:t>.</w:t>
      </w:r>
    </w:p>
    <w:p w14:paraId="60C3A881" w14:textId="77777777" w:rsidR="00092744" w:rsidRPr="00DE64CD" w:rsidRDefault="00092744">
      <w:pPr>
        <w:rPr>
          <w:lang w:val="es-ES_tradnl"/>
        </w:rPr>
      </w:pPr>
    </w:p>
    <w:sectPr w:rsidR="00092744" w:rsidRPr="00DE64CD">
      <w:footerReference w:type="default" r:id="rId3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B6C7E1" w14:textId="77777777" w:rsidR="00012570" w:rsidRDefault="00012570" w:rsidP="00DE64CD">
      <w:pPr>
        <w:spacing w:after="0" w:line="240" w:lineRule="auto"/>
      </w:pPr>
      <w:r>
        <w:separator/>
      </w:r>
    </w:p>
  </w:endnote>
  <w:endnote w:type="continuationSeparator" w:id="0">
    <w:p w14:paraId="650B65EF" w14:textId="77777777" w:rsidR="00012570" w:rsidRDefault="00012570" w:rsidP="00DE64CD">
      <w:pPr>
        <w:spacing w:after="0" w:line="240" w:lineRule="auto"/>
      </w:pPr>
      <w:r>
        <w:continuationSeparator/>
      </w:r>
    </w:p>
  </w:endnote>
  <w:endnote w:type="continuationNotice" w:id="1">
    <w:p w14:paraId="51C10157" w14:textId="77777777" w:rsidR="00012570" w:rsidRDefault="000125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419F1" w14:textId="25ED6C1D" w:rsidR="00012570" w:rsidRPr="00EE6D81" w:rsidRDefault="00012570" w:rsidP="00CB00C6">
    <w:pPr>
      <w:pStyle w:val="Piedepgina"/>
      <w:jc w:val="right"/>
      <w:rPr>
        <w:rFonts w:ascii="Arial" w:hAnsi="Arial" w:cs="Arial"/>
        <w:sz w:val="18"/>
      </w:rPr>
    </w:pPr>
    <w:r w:rsidRPr="00EE6D81">
      <w:rPr>
        <w:rFonts w:ascii="Arial" w:hAnsi="Arial" w:cs="Arial"/>
        <w:sz w:val="18"/>
        <w:lang w:val="es-ES"/>
      </w:rPr>
      <w:t xml:space="preserve">Página </w:t>
    </w:r>
    <w:r w:rsidRPr="00EE6D81">
      <w:rPr>
        <w:rFonts w:ascii="Arial" w:hAnsi="Arial" w:cs="Arial"/>
        <w:bCs/>
        <w:sz w:val="18"/>
      </w:rPr>
      <w:fldChar w:fldCharType="begin"/>
    </w:r>
    <w:r w:rsidRPr="00EE6D81">
      <w:rPr>
        <w:rFonts w:ascii="Arial" w:hAnsi="Arial" w:cs="Arial"/>
        <w:bCs/>
        <w:sz w:val="18"/>
      </w:rPr>
      <w:instrText>PAGE  \* Arabic  \* MERGEFORMAT</w:instrText>
    </w:r>
    <w:r w:rsidRPr="00EE6D81">
      <w:rPr>
        <w:rFonts w:ascii="Arial" w:hAnsi="Arial" w:cs="Arial"/>
        <w:bCs/>
        <w:sz w:val="18"/>
      </w:rPr>
      <w:fldChar w:fldCharType="separate"/>
    </w:r>
    <w:r w:rsidR="003175E4">
      <w:rPr>
        <w:rFonts w:ascii="Arial" w:hAnsi="Arial" w:cs="Arial"/>
        <w:bCs/>
        <w:noProof/>
        <w:sz w:val="18"/>
      </w:rPr>
      <w:t>2</w:t>
    </w:r>
    <w:r w:rsidRPr="00EE6D81">
      <w:rPr>
        <w:rFonts w:ascii="Arial" w:hAnsi="Arial" w:cs="Arial"/>
        <w:bCs/>
        <w:sz w:val="18"/>
      </w:rPr>
      <w:fldChar w:fldCharType="end"/>
    </w:r>
    <w:r w:rsidRPr="00EE6D81">
      <w:rPr>
        <w:rFonts w:ascii="Arial" w:hAnsi="Arial" w:cs="Arial"/>
        <w:sz w:val="18"/>
        <w:lang w:val="es-ES"/>
      </w:rPr>
      <w:t xml:space="preserve"> de </w:t>
    </w:r>
    <w:r w:rsidRPr="00EE6D81">
      <w:rPr>
        <w:rFonts w:ascii="Arial" w:hAnsi="Arial" w:cs="Arial"/>
        <w:bCs/>
        <w:sz w:val="18"/>
      </w:rPr>
      <w:fldChar w:fldCharType="begin"/>
    </w:r>
    <w:r w:rsidRPr="00EE6D81">
      <w:rPr>
        <w:rFonts w:ascii="Arial" w:hAnsi="Arial" w:cs="Arial"/>
        <w:bCs/>
        <w:sz w:val="18"/>
      </w:rPr>
      <w:instrText>NUMPAGES  \* Arabic  \* MERGEFORMAT</w:instrText>
    </w:r>
    <w:r w:rsidRPr="00EE6D81">
      <w:rPr>
        <w:rFonts w:ascii="Arial" w:hAnsi="Arial" w:cs="Arial"/>
        <w:bCs/>
        <w:sz w:val="18"/>
      </w:rPr>
      <w:fldChar w:fldCharType="separate"/>
    </w:r>
    <w:r w:rsidR="003175E4" w:rsidRPr="003175E4">
      <w:rPr>
        <w:rFonts w:ascii="Arial" w:hAnsi="Arial" w:cs="Arial"/>
        <w:bCs/>
        <w:noProof/>
        <w:sz w:val="18"/>
        <w:lang w:val="es-ES"/>
      </w:rPr>
      <w:t>55</w:t>
    </w:r>
    <w:r w:rsidRPr="00EE6D81">
      <w:rPr>
        <w:rFonts w:ascii="Arial" w:hAnsi="Arial" w:cs="Arial"/>
        <w:bCs/>
        <w:sz w:val="18"/>
      </w:rPr>
      <w:fldChar w:fldCharType="end"/>
    </w:r>
  </w:p>
  <w:p w14:paraId="7A75EF34" w14:textId="77777777" w:rsidR="00012570" w:rsidRDefault="0001257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ABBE73" w14:textId="77777777" w:rsidR="00012570" w:rsidRDefault="00012570" w:rsidP="00DE64CD">
      <w:pPr>
        <w:spacing w:after="0" w:line="240" w:lineRule="auto"/>
      </w:pPr>
      <w:r>
        <w:separator/>
      </w:r>
    </w:p>
  </w:footnote>
  <w:footnote w:type="continuationSeparator" w:id="0">
    <w:p w14:paraId="60286D4B" w14:textId="77777777" w:rsidR="00012570" w:rsidRDefault="00012570" w:rsidP="00DE64CD">
      <w:pPr>
        <w:spacing w:after="0" w:line="240" w:lineRule="auto"/>
      </w:pPr>
      <w:r>
        <w:continuationSeparator/>
      </w:r>
    </w:p>
  </w:footnote>
  <w:footnote w:type="continuationNotice" w:id="1">
    <w:p w14:paraId="36873315" w14:textId="77777777" w:rsidR="00012570" w:rsidRDefault="00012570">
      <w:pPr>
        <w:spacing w:after="0" w:line="240" w:lineRule="auto"/>
      </w:pPr>
    </w:p>
  </w:footnote>
  <w:footnote w:id="2">
    <w:p w14:paraId="2BCEDC23" w14:textId="77777777" w:rsidR="00012570" w:rsidRPr="00C0715C" w:rsidRDefault="00012570" w:rsidP="007523F2">
      <w:pPr>
        <w:pStyle w:val="IFTnormal"/>
        <w:rPr>
          <w:sz w:val="18"/>
          <w:szCs w:val="18"/>
        </w:rPr>
      </w:pPr>
      <w:r w:rsidRPr="00C0715C">
        <w:rPr>
          <w:rStyle w:val="Refdenotaalpie"/>
          <w:sz w:val="18"/>
          <w:szCs w:val="18"/>
        </w:rPr>
        <w:footnoteRef/>
      </w:r>
      <w:r w:rsidRPr="00C0715C">
        <w:rPr>
          <w:sz w:val="18"/>
          <w:szCs w:val="18"/>
        </w:rPr>
        <w:t xml:space="preserve"> La página electrónica del BIT se encuentra disponible para su consulta a través de la siguiente dirección electrónica: </w:t>
      </w:r>
      <w:hyperlink r:id="rId1" w:history="1">
        <w:r w:rsidRPr="00C0715C">
          <w:rPr>
            <w:rStyle w:val="Hipervnculo"/>
            <w:sz w:val="18"/>
            <w:szCs w:val="18"/>
          </w:rPr>
          <w:t>https://bit.ift.org.mx/BitWebApp/</w:t>
        </w:r>
      </w:hyperlink>
      <w:r w:rsidRPr="00C0715C">
        <w:rPr>
          <w:sz w:val="18"/>
          <w:szCs w:val="18"/>
        </w:rPr>
        <w:t xml:space="preserve"> </w:t>
      </w:r>
    </w:p>
  </w:footnote>
  <w:footnote w:id="3">
    <w:p w14:paraId="636358F1" w14:textId="77777777" w:rsidR="00012570" w:rsidRPr="00C0715C" w:rsidRDefault="00012570" w:rsidP="00C945B5">
      <w:pPr>
        <w:pStyle w:val="IFTnormal"/>
        <w:rPr>
          <w:sz w:val="18"/>
          <w:szCs w:val="18"/>
        </w:rPr>
      </w:pPr>
      <w:r w:rsidRPr="00C0715C">
        <w:rPr>
          <w:rStyle w:val="Refdenotaalpie"/>
          <w:sz w:val="18"/>
          <w:szCs w:val="18"/>
        </w:rPr>
        <w:footnoteRef/>
      </w:r>
      <w:r w:rsidRPr="00C0715C">
        <w:rPr>
          <w:sz w:val="18"/>
          <w:szCs w:val="18"/>
        </w:rPr>
        <w:t xml:space="preserve"> Disponible a través de la siguiente dirección electrónica: </w:t>
      </w:r>
      <w:hyperlink r:id="rId2" w:history="1">
        <w:r w:rsidRPr="00C0715C">
          <w:rPr>
            <w:rStyle w:val="Hipervnculo"/>
            <w:sz w:val="18"/>
            <w:szCs w:val="18"/>
          </w:rPr>
          <w:t>http://www.ift.org.mx/sites/default/files/conocenos/pleno/sesiones/acuerdoliga/pift081117683_1.pdf</w:t>
        </w:r>
      </w:hyperlink>
      <w:r w:rsidRPr="00C0715C">
        <w:rPr>
          <w:sz w:val="18"/>
          <w:szCs w:val="18"/>
        </w:rPr>
        <w:t xml:space="preserve"> </w:t>
      </w:r>
    </w:p>
  </w:footnote>
  <w:footnote w:id="4">
    <w:p w14:paraId="23347EA7" w14:textId="3E09E411" w:rsidR="00012570" w:rsidRPr="00ED3959" w:rsidRDefault="00012570">
      <w:pPr>
        <w:pStyle w:val="Textonotapie"/>
        <w:rPr>
          <w:rFonts w:ascii="ITC Avant Garde" w:hAnsi="ITC Avant Garde"/>
          <w:sz w:val="18"/>
        </w:rPr>
      </w:pPr>
      <w:r w:rsidRPr="00ED3959">
        <w:rPr>
          <w:rStyle w:val="Refdenotaalpie"/>
          <w:rFonts w:ascii="ITC Avant Garde" w:hAnsi="ITC Avant Garde"/>
          <w:sz w:val="18"/>
        </w:rPr>
        <w:footnoteRef/>
      </w:r>
      <w:r w:rsidRPr="00ED3959">
        <w:rPr>
          <w:rFonts w:ascii="ITC Avant Garde" w:hAnsi="ITC Avant Garde"/>
          <w:sz w:val="18"/>
        </w:rPr>
        <w:t xml:space="preserve"> Disponible para su descarga en la siguiente liga </w:t>
      </w:r>
      <w:hyperlink r:id="rId3" w:history="1">
        <w:r w:rsidRPr="00906EC2">
          <w:rPr>
            <w:rStyle w:val="Hipervnculo"/>
            <w:rFonts w:ascii="ITC Avant Garde" w:hAnsi="ITC Avant Garde"/>
            <w:sz w:val="18"/>
          </w:rPr>
          <w:t>http://www.ift.org.mx/sites/default/files/conocenos/pleno/sesiones/acuerdoliga/piftext11121824.pdf</w:t>
        </w:r>
      </w:hyperlink>
      <w:r>
        <w:rPr>
          <w:rFonts w:ascii="ITC Avant Garde" w:hAnsi="ITC Avant Garde"/>
          <w:sz w:val="18"/>
        </w:rPr>
        <w:t xml:space="preserve"> </w:t>
      </w:r>
    </w:p>
  </w:footnote>
  <w:footnote w:id="5">
    <w:p w14:paraId="33E8013E" w14:textId="77777777" w:rsidR="00012570" w:rsidRDefault="00012570" w:rsidP="00AD7BD7">
      <w:pPr>
        <w:pStyle w:val="Textonotapie"/>
        <w:jc w:val="both"/>
      </w:pPr>
      <w:r>
        <w:rPr>
          <w:rStyle w:val="Refdenotaalpie"/>
        </w:rPr>
        <w:footnoteRef/>
      </w:r>
      <w:r>
        <w:t xml:space="preserve"> </w:t>
      </w:r>
      <w:r w:rsidRPr="00282A76">
        <w:rPr>
          <w:rFonts w:ascii="ITC Avant Garde" w:hAnsi="ITC Avant Garde"/>
          <w:sz w:val="18"/>
        </w:rPr>
        <w:t>En términos generales, para el caso de los datos para representar los precios de los servicios que integran la canasta de los planes y paquetes mediante los cuales el AEP ofrece telefonía y banda ancha fija, dicho factor</w:t>
      </w:r>
      <w:r>
        <w:rPr>
          <w:rFonts w:ascii="ITC Avant Garde" w:hAnsi="ITC Avant Garde"/>
          <w:sz w:val="18"/>
        </w:rPr>
        <w:t xml:space="preserve"> aleatorio oscila </w:t>
      </w:r>
      <w:r w:rsidRPr="00282A76">
        <w:rPr>
          <w:rFonts w:ascii="ITC Avant Garde" w:hAnsi="ITC Avant Garde"/>
          <w:sz w:val="18"/>
        </w:rPr>
        <w:t>entre -</w:t>
      </w:r>
      <w:r>
        <w:rPr>
          <w:rFonts w:ascii="ITC Avant Garde" w:hAnsi="ITC Avant Garde"/>
          <w:sz w:val="18"/>
        </w:rPr>
        <w:t>5</w:t>
      </w:r>
      <w:r w:rsidRPr="00282A76">
        <w:rPr>
          <w:rFonts w:ascii="ITC Avant Garde" w:hAnsi="ITC Avant Garde"/>
          <w:sz w:val="18"/>
        </w:rPr>
        <w:t>% y +</w:t>
      </w:r>
      <w:r>
        <w:rPr>
          <w:rFonts w:ascii="ITC Avant Garde" w:hAnsi="ITC Avant Garde"/>
          <w:sz w:val="18"/>
        </w:rPr>
        <w:t>5</w:t>
      </w:r>
      <w:r w:rsidRPr="00282A76">
        <w:rPr>
          <w:rFonts w:ascii="ITC Avant Garde" w:hAnsi="ITC Avant Garde"/>
          <w:sz w:val="18"/>
        </w:rPr>
        <w:t>%</w:t>
      </w:r>
      <w:r>
        <w:rPr>
          <w:rFonts w:ascii="ITC Avant Garde" w:hAnsi="ITC Avant Garde"/>
          <w:sz w:val="18"/>
        </w:rPr>
        <w:t xml:space="preserve">. En el caso de la distribución de los Usuarios Finales que usan tales servicios, se aplica un factor aleatorio </w:t>
      </w:r>
      <w:r w:rsidRPr="00282A76">
        <w:rPr>
          <w:rFonts w:ascii="ITC Avant Garde" w:hAnsi="ITC Avant Garde"/>
          <w:sz w:val="18"/>
        </w:rPr>
        <w:t>entre -10% y +10%</w:t>
      </w:r>
      <w:r>
        <w:rPr>
          <w:rFonts w:ascii="ITC Avant Garde" w:hAnsi="ITC Avant Garde"/>
          <w:sz w:val="18"/>
        </w:rPr>
        <w:t>.</w:t>
      </w:r>
    </w:p>
  </w:footnote>
  <w:footnote w:id="6">
    <w:p w14:paraId="21857782" w14:textId="77777777" w:rsidR="00012570" w:rsidRPr="00C0715C" w:rsidRDefault="00012570" w:rsidP="00ED3959">
      <w:pPr>
        <w:pStyle w:val="IFTnormal"/>
        <w:jc w:val="left"/>
        <w:rPr>
          <w:sz w:val="18"/>
          <w:szCs w:val="18"/>
        </w:rPr>
      </w:pPr>
      <w:r w:rsidRPr="00C0715C">
        <w:rPr>
          <w:rStyle w:val="Refdenotaalpie"/>
          <w:sz w:val="18"/>
          <w:szCs w:val="18"/>
        </w:rPr>
        <w:footnoteRef/>
      </w:r>
      <w:r w:rsidRPr="00C0715C">
        <w:rPr>
          <w:sz w:val="18"/>
          <w:szCs w:val="18"/>
        </w:rPr>
        <w:t xml:space="preserve"> Véase la página 7 del documento </w:t>
      </w:r>
      <w:hyperlink r:id="rId4" w:history="1">
        <w:r w:rsidRPr="00C0715C">
          <w:rPr>
            <w:rStyle w:val="Hipervnculo"/>
            <w:sz w:val="18"/>
            <w:szCs w:val="18"/>
          </w:rPr>
          <w:t>http://www.ift.org.mx/sites/default/files/conocenos/pleno/sesiones/acuerdoliga/piftext24111637anexos_1.pdf</w:t>
        </w:r>
      </w:hyperlink>
      <w:r w:rsidRPr="00C0715C">
        <w:rPr>
          <w:sz w:val="18"/>
          <w:szCs w:val="18"/>
        </w:rPr>
        <w:t xml:space="preserve"> </w:t>
      </w:r>
    </w:p>
  </w:footnote>
  <w:footnote w:id="7">
    <w:p w14:paraId="024A08AC" w14:textId="50FF0447" w:rsidR="00012570" w:rsidRDefault="00012570">
      <w:pPr>
        <w:pStyle w:val="Textonotapie"/>
      </w:pPr>
      <w:r>
        <w:rPr>
          <w:rStyle w:val="Refdenotaalpie"/>
        </w:rPr>
        <w:footnoteRef/>
      </w:r>
      <w:r>
        <w:t xml:space="preserve"> </w:t>
      </w:r>
      <w:r w:rsidRPr="00F702FB">
        <w:rPr>
          <w:rFonts w:ascii="ITC Avant Garde" w:hAnsi="ITC Avant Garde"/>
          <w:sz w:val="16"/>
        </w:rPr>
        <w:t>Disponible para su descarga en la siguiente liga:</w:t>
      </w:r>
      <w:r w:rsidRPr="00F702FB">
        <w:rPr>
          <w:sz w:val="16"/>
        </w:rPr>
        <w:t xml:space="preserve"> </w:t>
      </w:r>
      <w:r w:rsidRPr="00ED3959">
        <w:rPr>
          <w:rFonts w:ascii="ITC Avant Garde" w:hAnsi="ITC Avant Garde"/>
          <w:sz w:val="18"/>
        </w:rPr>
        <w:t>http://www.ift.org.mx/politica-regulatoria/modelo-de-costos-evitados-para-servicios-de-reventa-2019</w:t>
      </w:r>
    </w:p>
  </w:footnote>
  <w:footnote w:id="8">
    <w:p w14:paraId="5BC772DE" w14:textId="77777777" w:rsidR="00012570" w:rsidRDefault="00012570" w:rsidP="003A52BD">
      <w:pPr>
        <w:pStyle w:val="Textonotapie"/>
      </w:pPr>
      <w:r w:rsidRPr="00BD2A2B">
        <w:rPr>
          <w:rStyle w:val="Refdenotaalpie"/>
          <w:sz w:val="16"/>
        </w:rPr>
        <w:footnoteRef/>
      </w:r>
      <w:r w:rsidRPr="00BD2A2B">
        <w:rPr>
          <w:rFonts w:ascii="ITC Avant Garde" w:hAnsi="ITC Avant Garde"/>
          <w:sz w:val="16"/>
        </w:rPr>
        <w:t xml:space="preserve"> http://www.ift.org.mx/politica-regulatoria/ofertas-de-referencia/ofertas-de-referencia-2020</w:t>
      </w:r>
    </w:p>
  </w:footnote>
  <w:footnote w:id="9">
    <w:p w14:paraId="7A69AB9D" w14:textId="77777777" w:rsidR="00012570" w:rsidRPr="009D20B4" w:rsidRDefault="00012570" w:rsidP="00DE64CD">
      <w:pPr>
        <w:pStyle w:val="IFTnormal"/>
        <w:rPr>
          <w:sz w:val="18"/>
          <w:szCs w:val="18"/>
        </w:rPr>
      </w:pPr>
      <w:r w:rsidRPr="009D20B4">
        <w:rPr>
          <w:rStyle w:val="Refdenotaalpie"/>
          <w:sz w:val="18"/>
          <w:szCs w:val="18"/>
        </w:rPr>
        <w:footnoteRef/>
      </w:r>
      <w:r w:rsidRPr="009D20B4">
        <w:rPr>
          <w:sz w:val="18"/>
          <w:szCs w:val="18"/>
        </w:rPr>
        <w:t xml:space="preserve"> En este caso, la fórmula anterior equivaldría a la expresión </w:t>
      </w:r>
      <m:oMath>
        <m:sSup>
          <m:sSupPr>
            <m:ctrlPr>
              <w:rPr>
                <w:rFonts w:ascii="Cambria Math" w:hAnsi="Cambria Math"/>
                <w:b/>
                <w:sz w:val="18"/>
                <w:szCs w:val="18"/>
              </w:rPr>
            </m:ctrlPr>
          </m:sSupPr>
          <m:e>
            <m:r>
              <m:rPr>
                <m:nor/>
              </m:rPr>
              <w:rPr>
                <w:b/>
                <w:iCs/>
                <w:sz w:val="18"/>
                <w:szCs w:val="18"/>
              </w:rPr>
              <m:t>P</m:t>
            </m:r>
          </m:e>
          <m:sup>
            <m:r>
              <m:rPr>
                <m:nor/>
              </m:rPr>
              <w:rPr>
                <w:b/>
                <w:iCs/>
                <w:sz w:val="18"/>
                <w:szCs w:val="18"/>
              </w:rPr>
              <m:t>m</m:t>
            </m:r>
          </m:sup>
        </m:sSup>
        <m:r>
          <m:rPr>
            <m:nor/>
          </m:rPr>
          <w:rPr>
            <w:sz w:val="18"/>
            <w:szCs w:val="18"/>
          </w:rPr>
          <m:t>=</m:t>
        </m:r>
        <m:sSup>
          <m:sSupPr>
            <m:ctrlPr>
              <w:rPr>
                <w:rFonts w:ascii="Cambria Math" w:hAnsi="Cambria Math"/>
                <w:b/>
                <w:sz w:val="18"/>
                <w:szCs w:val="18"/>
              </w:rPr>
            </m:ctrlPr>
          </m:sSupPr>
          <m:e>
            <m:r>
              <m:rPr>
                <m:nor/>
              </m:rPr>
              <w:rPr>
                <w:b/>
                <w:iCs/>
                <w:sz w:val="18"/>
                <w:szCs w:val="18"/>
              </w:rPr>
              <m:t xml:space="preserve"> P</m:t>
            </m:r>
          </m:e>
          <m:sup>
            <m:r>
              <m:rPr>
                <m:nor/>
              </m:rPr>
              <w:rPr>
                <w:b/>
                <w:iCs/>
                <w:sz w:val="18"/>
                <w:szCs w:val="18"/>
              </w:rPr>
              <m:t>r</m:t>
            </m:r>
          </m:sup>
        </m:sSup>
        <m:r>
          <m:rPr>
            <m:nor/>
          </m:rPr>
          <w:rPr>
            <w:b/>
            <w:sz w:val="18"/>
            <w:szCs w:val="18"/>
          </w:rPr>
          <m:t xml:space="preserve"> × (1</m:t>
        </m:r>
        <m:r>
          <m:rPr>
            <m:sty m:val="bi"/>
          </m:rPr>
          <w:rPr>
            <w:rFonts w:ascii="Cambria Math" w:hAnsi="Cambria Math"/>
            <w:sz w:val="18"/>
            <w:szCs w:val="18"/>
          </w:rPr>
          <m:t xml:space="preserve"> </m:t>
        </m:r>
        <m:r>
          <m:rPr>
            <m:nor/>
          </m:rPr>
          <w:rPr>
            <w:sz w:val="18"/>
            <w:szCs w:val="18"/>
          </w:rPr>
          <m:t xml:space="preserve">- </m:t>
        </m:r>
        <m:r>
          <m:rPr>
            <m:nor/>
          </m:rPr>
          <w:rPr>
            <w:b/>
            <w:sz w:val="18"/>
            <w:szCs w:val="18"/>
          </w:rPr>
          <m:t>%</m:t>
        </m:r>
        <m:r>
          <m:rPr>
            <m:nor/>
          </m:rPr>
          <w:rPr>
            <w:b/>
            <w:iCs/>
            <w:sz w:val="18"/>
            <w:szCs w:val="18"/>
          </w:rPr>
          <m:t>c</m:t>
        </m:r>
      </m:oMath>
      <w:r w:rsidRPr="009D20B4">
        <w:rPr>
          <w:b/>
          <w:iCs/>
          <w:sz w:val="18"/>
          <w:szCs w:val="18"/>
        </w:rPr>
        <w:t xml:space="preserve">), </w:t>
      </w:r>
      <w:r w:rsidRPr="009D20B4">
        <w:rPr>
          <w:iCs/>
          <w:sz w:val="18"/>
          <w:szCs w:val="18"/>
        </w:rPr>
        <w:t xml:space="preserve">donde </w:t>
      </w:r>
      <w:r w:rsidRPr="009D20B4">
        <w:rPr>
          <w:b/>
          <w:iCs/>
          <w:sz w:val="18"/>
          <w:szCs w:val="18"/>
        </w:rPr>
        <w:t xml:space="preserve">%c </w:t>
      </w:r>
      <w:r w:rsidRPr="009D20B4">
        <w:rPr>
          <w:iCs/>
          <w:sz w:val="18"/>
          <w:szCs w:val="18"/>
        </w:rPr>
        <w:t>correspondería al valor porcentual del precio de referencia que representaría el nivel de costos evitados asociados al servicio mayorista</w:t>
      </w:r>
      <w:r w:rsidRPr="009D20B4">
        <w:rPr>
          <w:b/>
          <w:iCs/>
          <w:sz w:val="18"/>
          <w:szCs w:val="18"/>
        </w:rPr>
        <w:t>.</w:t>
      </w:r>
    </w:p>
  </w:footnote>
  <w:footnote w:id="10">
    <w:p w14:paraId="5C5F0E09" w14:textId="77777777" w:rsidR="00012570" w:rsidRPr="009D20B4" w:rsidRDefault="00012570" w:rsidP="00DE64CD">
      <w:pPr>
        <w:pStyle w:val="IFTnormal"/>
        <w:rPr>
          <w:sz w:val="18"/>
          <w:szCs w:val="18"/>
        </w:rPr>
      </w:pPr>
      <w:r w:rsidRPr="009D20B4">
        <w:rPr>
          <w:rStyle w:val="Refdenotaalpie"/>
          <w:sz w:val="18"/>
          <w:szCs w:val="18"/>
        </w:rPr>
        <w:footnoteRef/>
      </w:r>
      <w:r w:rsidRPr="009D20B4">
        <w:rPr>
          <w:sz w:val="18"/>
          <w:szCs w:val="18"/>
        </w:rPr>
        <w:t xml:space="preserve"> Véase la dirección electrónica: </w:t>
      </w:r>
      <w:hyperlink r:id="rId5" w:history="1">
        <w:r w:rsidRPr="009D20B4">
          <w:rPr>
            <w:rStyle w:val="Hipervnculo"/>
            <w:sz w:val="18"/>
            <w:szCs w:val="18"/>
          </w:rPr>
          <w:t>https://downloads.telmex.com/pdf/servicios-digitales.pdf</w:t>
        </w:r>
      </w:hyperlink>
      <w:r w:rsidRPr="009D20B4">
        <w:rPr>
          <w:sz w:val="18"/>
          <w:szCs w:val="18"/>
        </w:rPr>
        <w:t xml:space="preserve"> </w:t>
      </w:r>
    </w:p>
  </w:footnote>
  <w:footnote w:id="11">
    <w:p w14:paraId="65683324" w14:textId="77777777" w:rsidR="00012570" w:rsidRPr="009D20B4" w:rsidRDefault="00012570" w:rsidP="00DE64CD">
      <w:pPr>
        <w:pStyle w:val="IFTnormal"/>
        <w:rPr>
          <w:sz w:val="18"/>
          <w:szCs w:val="18"/>
        </w:rPr>
      </w:pPr>
      <w:r w:rsidRPr="009D20B4">
        <w:rPr>
          <w:rStyle w:val="Refdenotaalpie"/>
          <w:sz w:val="18"/>
          <w:szCs w:val="18"/>
        </w:rPr>
        <w:footnoteRef/>
      </w:r>
      <w:r w:rsidRPr="009D20B4">
        <w:rPr>
          <w:sz w:val="18"/>
          <w:szCs w:val="18"/>
        </w:rPr>
        <w:t xml:space="preserve"> Véase la dirección electrónica:</w:t>
      </w:r>
      <w:r w:rsidRPr="009D20B4">
        <w:rPr>
          <w:sz w:val="18"/>
          <w:szCs w:val="18"/>
        </w:rPr>
        <w:tab/>
        <w:t xml:space="preserve"> </w:t>
      </w:r>
      <w:hyperlink r:id="rId6" w:history="1">
        <w:r w:rsidRPr="009D20B4">
          <w:rPr>
            <w:rStyle w:val="Hipervnculo"/>
            <w:sz w:val="18"/>
            <w:szCs w:val="18"/>
          </w:rPr>
          <w:t>https://downloads.telmex.com/pdf/infoRelevante_ClaroVideo.pdf?_ga=2.244867717.1423765675.1536854933-825438508.1517963246</w:t>
        </w:r>
      </w:hyperlink>
      <w:r w:rsidRPr="009D20B4">
        <w:rPr>
          <w:sz w:val="18"/>
          <w:szCs w:val="18"/>
        </w:rPr>
        <w:t xml:space="preserve"> </w:t>
      </w:r>
    </w:p>
  </w:footnote>
  <w:footnote w:id="12">
    <w:p w14:paraId="418C823F" w14:textId="77777777" w:rsidR="00012570" w:rsidRPr="008F67F2" w:rsidRDefault="00012570">
      <w:pPr>
        <w:pStyle w:val="Textonotapie"/>
        <w:rPr>
          <w:rFonts w:ascii="ITC Avant Garde" w:hAnsi="ITC Avant Garde"/>
          <w:sz w:val="18"/>
        </w:rPr>
      </w:pPr>
      <w:r w:rsidRPr="008F67F2">
        <w:rPr>
          <w:rStyle w:val="Refdenotaalpie"/>
          <w:rFonts w:ascii="ITC Avant Garde" w:hAnsi="ITC Avant Garde"/>
        </w:rPr>
        <w:footnoteRef/>
      </w:r>
      <w:r w:rsidRPr="008F67F2">
        <w:rPr>
          <w:rFonts w:ascii="ITC Avant Garde" w:hAnsi="ITC Avant Garde"/>
        </w:rPr>
        <w:t xml:space="preserve"> </w:t>
      </w:r>
      <w:r w:rsidRPr="008F67F2">
        <w:rPr>
          <w:rFonts w:ascii="ITC Avant Garde" w:hAnsi="ITC Avant Garde"/>
          <w:sz w:val="18"/>
        </w:rPr>
        <w:t>https://www.netflix.com/mx/</w:t>
      </w:r>
    </w:p>
  </w:footnote>
  <w:footnote w:id="13">
    <w:p w14:paraId="35249668" w14:textId="22A819E5" w:rsidR="00012570" w:rsidRPr="009D20B4" w:rsidRDefault="00012570" w:rsidP="00DE64CD">
      <w:pPr>
        <w:pStyle w:val="Textonotapie"/>
        <w:jc w:val="both"/>
        <w:rPr>
          <w:rFonts w:ascii="ITC Avant Garde" w:hAnsi="ITC Avant Garde"/>
          <w:sz w:val="18"/>
          <w:szCs w:val="18"/>
        </w:rPr>
      </w:pPr>
      <w:r w:rsidRPr="009D20B4">
        <w:rPr>
          <w:rStyle w:val="Refdenotaalpie"/>
          <w:rFonts w:ascii="ITC Avant Garde" w:hAnsi="ITC Avant Garde"/>
          <w:sz w:val="18"/>
          <w:szCs w:val="18"/>
        </w:rPr>
        <w:footnoteRef/>
      </w:r>
      <w:r w:rsidRPr="009D20B4">
        <w:rPr>
          <w:rFonts w:ascii="ITC Avant Garde" w:hAnsi="ITC Avant Garde"/>
          <w:sz w:val="18"/>
          <w:szCs w:val="18"/>
        </w:rPr>
        <w:t xml:space="preserve"> Es decir, la unidad aplicable a cada elemento o servicio que se incluye en los planes y paquetes </w:t>
      </w:r>
      <w:r>
        <w:rPr>
          <w:rFonts w:ascii="ITC Avant Garde" w:hAnsi="ITC Avant Garde"/>
          <w:sz w:val="18"/>
          <w:szCs w:val="18"/>
        </w:rPr>
        <w:t>de Telmex y Telnor</w:t>
      </w:r>
      <w:r w:rsidRPr="009D20B4">
        <w:rPr>
          <w:rFonts w:ascii="ITC Avant Garde" w:hAnsi="ITC Avant Garde"/>
          <w:sz w:val="18"/>
          <w:szCs w:val="18"/>
        </w:rPr>
        <w:t>.</w:t>
      </w:r>
    </w:p>
  </w:footnote>
  <w:footnote w:id="14">
    <w:p w14:paraId="12E71E8B" w14:textId="21638D4F" w:rsidR="00012570" w:rsidRPr="00FA4085" w:rsidRDefault="00012570" w:rsidP="00FA4085">
      <w:pPr>
        <w:pStyle w:val="IFTnormal"/>
        <w:rPr>
          <w:bCs/>
        </w:rPr>
      </w:pPr>
      <w:r w:rsidRPr="00FA4085">
        <w:rPr>
          <w:rStyle w:val="Refdenotaalpie"/>
          <w:sz w:val="18"/>
          <w:szCs w:val="18"/>
        </w:rPr>
        <w:footnoteRef/>
      </w:r>
      <w:r w:rsidRPr="00FA4085">
        <w:rPr>
          <w:sz w:val="18"/>
          <w:szCs w:val="18"/>
        </w:rPr>
        <w:t xml:space="preserve"> </w:t>
      </w:r>
      <w:r w:rsidRPr="00FA4085">
        <w:rPr>
          <w:sz w:val="16"/>
          <w:szCs w:val="16"/>
        </w:rPr>
        <w:t xml:space="preserve">El Módulo de Imputación de Precios Implícitos es una adaptación de un ejercicio realizado en </w:t>
      </w:r>
      <w:r w:rsidRPr="00FA4085">
        <w:rPr>
          <w:bCs/>
          <w:sz w:val="16"/>
          <w:szCs w:val="16"/>
        </w:rPr>
        <w:t xml:space="preserve">el Estudio Sobre Empaquetamiento y Descuento de 2018 llevado a cabo por la Autoridad Investigadora del Instituto mediante el cual se evaluaron </w:t>
      </w:r>
      <w:r w:rsidRPr="00FA4085">
        <w:rPr>
          <w:sz w:val="16"/>
          <w:szCs w:val="16"/>
        </w:rPr>
        <w:t>los determinantes del precio implícito de los distintos servicios fijos de telecomunicaciones para el sector residencial a través de un modelo econométrico de precios hedónicos</w:t>
      </w:r>
      <w:r w:rsidRPr="00FA4085">
        <w:rPr>
          <w:rStyle w:val="Refdenotaalpie"/>
          <w:sz w:val="16"/>
          <w:szCs w:val="16"/>
        </w:rPr>
        <w:footnoteRef/>
      </w:r>
      <w:r w:rsidRPr="00FA4085">
        <w:rPr>
          <w:sz w:val="16"/>
          <w:szCs w:val="16"/>
        </w:rPr>
        <w:t xml:space="preserve"> de corte transversal</w:t>
      </w:r>
      <w:r w:rsidRPr="00FA4085">
        <w:rPr>
          <w:bCs/>
          <w:sz w:val="16"/>
          <w:szCs w:val="16"/>
        </w:rPr>
        <w:t xml:space="preserve">. </w:t>
      </w:r>
      <w:r w:rsidRPr="00FA4085">
        <w:rPr>
          <w:sz w:val="16"/>
          <w:szCs w:val="16"/>
        </w:rPr>
        <w:t xml:space="preserve"> IFT (2018). </w:t>
      </w:r>
      <w:r w:rsidRPr="00FA4085">
        <w:rPr>
          <w:i/>
          <w:iCs/>
          <w:sz w:val="16"/>
          <w:szCs w:val="16"/>
        </w:rPr>
        <w:t>Estudio sobre Empaquetamiento y Descuento de los Servicios Fijos de Telecomunicaciones</w:t>
      </w:r>
      <w:r w:rsidRPr="00FA4085">
        <w:rPr>
          <w:sz w:val="16"/>
          <w:szCs w:val="16"/>
        </w:rPr>
        <w:t xml:space="preserve">. Autoridad Investigadora, Dirección General de Análisis Económico. Disponible en </w:t>
      </w:r>
      <w:hyperlink r:id="rId7" w:history="1">
        <w:r w:rsidRPr="00FA4085">
          <w:rPr>
            <w:rStyle w:val="Hipervnculo"/>
            <w:sz w:val="16"/>
            <w:szCs w:val="16"/>
          </w:rPr>
          <w:t>http://www.ift.org.mx/sites/default/files/contenidogeneral/autoridad-investigadora/estudiosobreempaquetamientoydescuentodelosserviciosfijosdetelecomunicaciones-1.pdf</w:t>
        </w:r>
      </w:hyperlink>
    </w:p>
  </w:footnote>
  <w:footnote w:id="15">
    <w:p w14:paraId="4261B4B3" w14:textId="410B4BE6" w:rsidR="00012570" w:rsidRPr="00BE6D3F" w:rsidRDefault="00012570" w:rsidP="00F137CE">
      <w:pPr>
        <w:pStyle w:val="Textonotapie"/>
        <w:rPr>
          <w:sz w:val="16"/>
          <w:szCs w:val="16"/>
        </w:rPr>
      </w:pPr>
      <w:r w:rsidRPr="00BE6D3F">
        <w:rPr>
          <w:rStyle w:val="Refdenotaalpie"/>
          <w:sz w:val="16"/>
          <w:szCs w:val="16"/>
        </w:rPr>
        <w:footnoteRef/>
      </w:r>
      <w:r w:rsidRPr="00BE6D3F">
        <w:rPr>
          <w:sz w:val="16"/>
          <w:szCs w:val="16"/>
        </w:rPr>
        <w:t xml:space="preserve"> </w:t>
      </w:r>
      <w:r w:rsidRPr="0095352A">
        <w:rPr>
          <w:rFonts w:ascii="ITC Avant Garde" w:hAnsi="ITC Avant Garde"/>
          <w:sz w:val="16"/>
          <w:szCs w:val="16"/>
        </w:rPr>
        <w:t xml:space="preserve">Datos abiertos, Área de descarga, </w:t>
      </w:r>
      <w:r>
        <w:rPr>
          <w:rFonts w:ascii="ITC Avant Garde" w:hAnsi="ITC Avant Garde"/>
          <w:sz w:val="16"/>
          <w:szCs w:val="16"/>
        </w:rPr>
        <w:t>d</w:t>
      </w:r>
      <w:r w:rsidRPr="0095352A">
        <w:rPr>
          <w:rFonts w:ascii="ITC Avant Garde" w:hAnsi="ITC Avant Garde"/>
          <w:sz w:val="16"/>
          <w:szCs w:val="16"/>
        </w:rPr>
        <w:t xml:space="preserve">isponible en </w:t>
      </w:r>
      <w:r w:rsidRPr="00E50AE4">
        <w:rPr>
          <w:rStyle w:val="Hipervnculo"/>
          <w:rFonts w:ascii="ITC Avant Garde" w:hAnsi="ITC Avant Garde"/>
          <w:sz w:val="16"/>
          <w:szCs w:val="16"/>
        </w:rPr>
        <w:t>https://tarifas.ift.org.mx/ift_visor/</w:t>
      </w:r>
      <w:r w:rsidRPr="0095352A">
        <w:rPr>
          <w:rFonts w:ascii="ITC Avant Garde" w:hAnsi="ITC Avant Garde"/>
          <w:sz w:val="16"/>
          <w:szCs w:val="16"/>
        </w:rPr>
        <w:t xml:space="preserve">. </w:t>
      </w:r>
    </w:p>
  </w:footnote>
  <w:footnote w:id="16">
    <w:p w14:paraId="6E4C5C77" w14:textId="77777777" w:rsidR="00012570" w:rsidRPr="00E977BF" w:rsidRDefault="00012570" w:rsidP="00DE64CD">
      <w:pPr>
        <w:pStyle w:val="IFTnormal"/>
        <w:rPr>
          <w:sz w:val="16"/>
          <w:szCs w:val="18"/>
        </w:rPr>
      </w:pPr>
      <w:r w:rsidRPr="009D20B4">
        <w:rPr>
          <w:rStyle w:val="Refdenotaalpie"/>
          <w:sz w:val="18"/>
          <w:szCs w:val="18"/>
        </w:rPr>
        <w:footnoteRef/>
      </w:r>
      <w:r w:rsidRPr="00E977BF">
        <w:rPr>
          <w:sz w:val="16"/>
          <w:szCs w:val="18"/>
        </w:rPr>
        <w:t>Ver página 1 del documento “</w:t>
      </w:r>
      <w:r w:rsidRPr="00E977BF">
        <w:rPr>
          <w:i/>
          <w:sz w:val="16"/>
          <w:szCs w:val="18"/>
        </w:rPr>
        <w:t>CONDICIONES DEL SERVICIO DE TELEFONÍA BÁSICA PARA MERCADO RESIDENCIAL Y COMERCIAL (MASIVO)</w:t>
      </w:r>
      <w:r w:rsidRPr="00E977BF">
        <w:rPr>
          <w:sz w:val="16"/>
          <w:szCs w:val="18"/>
        </w:rPr>
        <w:t xml:space="preserve">”, disponible a través de la dirección electrónica: </w:t>
      </w:r>
      <w:hyperlink r:id="rId8" w:history="1">
        <w:r w:rsidRPr="00E977BF">
          <w:rPr>
            <w:rStyle w:val="Hipervnculo"/>
            <w:sz w:val="16"/>
            <w:szCs w:val="18"/>
          </w:rPr>
          <w:t>https://downloads.telmex.com/pdf/cond-serv-telefonia-basica.pdf?_ga=2.243445381.1423765675.1536854933-825438508.1517963246</w:t>
        </w:r>
      </w:hyperlink>
      <w:r w:rsidRPr="00E977BF">
        <w:rPr>
          <w:sz w:val="16"/>
          <w:szCs w:val="18"/>
        </w:rPr>
        <w:t xml:space="preserve"> </w:t>
      </w:r>
    </w:p>
  </w:footnote>
  <w:footnote w:id="17">
    <w:p w14:paraId="02842171" w14:textId="77777777" w:rsidR="00012570" w:rsidRPr="00E977BF" w:rsidRDefault="00012570" w:rsidP="00DE64CD">
      <w:pPr>
        <w:pStyle w:val="Textonotapie"/>
        <w:jc w:val="both"/>
        <w:rPr>
          <w:rFonts w:ascii="ITC Avant Garde" w:hAnsi="ITC Avant Garde"/>
          <w:sz w:val="16"/>
          <w:szCs w:val="18"/>
        </w:rPr>
      </w:pPr>
      <w:r w:rsidRPr="00E977BF">
        <w:rPr>
          <w:rStyle w:val="Refdenotaalpie"/>
          <w:rFonts w:ascii="ITC Avant Garde" w:hAnsi="ITC Avant Garde"/>
          <w:sz w:val="16"/>
          <w:szCs w:val="18"/>
        </w:rPr>
        <w:footnoteRef/>
      </w:r>
      <w:r w:rsidRPr="00E977BF">
        <w:rPr>
          <w:rFonts w:ascii="ITC Avant Garde" w:hAnsi="ITC Avant Garde"/>
          <w:sz w:val="16"/>
          <w:szCs w:val="18"/>
        </w:rPr>
        <w:t xml:space="preserve"> El concepto correspondiente a este, dentro del Oficio de Requerimiento de Modelo de Costos Evitados fue el término “banda ancha fija”.</w:t>
      </w:r>
    </w:p>
  </w:footnote>
  <w:footnote w:id="18">
    <w:p w14:paraId="2203A838" w14:textId="77777777" w:rsidR="00012570" w:rsidRPr="009D20B4" w:rsidRDefault="00012570" w:rsidP="00DE64CD">
      <w:pPr>
        <w:pStyle w:val="IFTnormal"/>
        <w:rPr>
          <w:sz w:val="18"/>
          <w:szCs w:val="18"/>
        </w:rPr>
      </w:pPr>
      <w:r w:rsidRPr="009D20B4">
        <w:rPr>
          <w:rStyle w:val="Refdenotaalpie"/>
          <w:sz w:val="18"/>
          <w:szCs w:val="18"/>
        </w:rPr>
        <w:footnoteRef/>
      </w:r>
      <w:r w:rsidRPr="009D20B4">
        <w:rPr>
          <w:sz w:val="18"/>
          <w:szCs w:val="18"/>
        </w:rPr>
        <w:t xml:space="preserve"> En el caso de la “línea residencial”, se incluyen 3 servicios digitales en la renta mensual.</w:t>
      </w:r>
    </w:p>
  </w:footnote>
  <w:footnote w:id="19">
    <w:p w14:paraId="015940B8" w14:textId="1689DD41" w:rsidR="00012570" w:rsidRPr="009D20B4" w:rsidRDefault="00012570" w:rsidP="00DE64CD">
      <w:pPr>
        <w:pStyle w:val="IFTnormal"/>
        <w:rPr>
          <w:sz w:val="18"/>
          <w:szCs w:val="18"/>
        </w:rPr>
      </w:pPr>
      <w:r w:rsidRPr="009D20B4">
        <w:rPr>
          <w:rStyle w:val="Refdenotaalpie"/>
          <w:sz w:val="18"/>
          <w:szCs w:val="18"/>
        </w:rPr>
        <w:footnoteRef/>
      </w:r>
      <w:r w:rsidRPr="009D20B4">
        <w:rPr>
          <w:sz w:val="18"/>
          <w:szCs w:val="18"/>
        </w:rPr>
        <w:t xml:space="preserve"> Estimado con una aproximación del precio promedio del minuto, de acuerdo a las características del “Plan Local Sin Límites”, y un factor del uso de los minutos incluidos en los diferentes planes y paquetes en lo que </w:t>
      </w:r>
      <w:r>
        <w:rPr>
          <w:sz w:val="18"/>
          <w:szCs w:val="18"/>
        </w:rPr>
        <w:t>Telmex y Telnor</w:t>
      </w:r>
      <w:r w:rsidRPr="009D20B4">
        <w:rPr>
          <w:sz w:val="18"/>
          <w:szCs w:val="18"/>
        </w:rPr>
        <w:t xml:space="preserve"> ofrece</w:t>
      </w:r>
      <w:r>
        <w:rPr>
          <w:sz w:val="18"/>
          <w:szCs w:val="18"/>
        </w:rPr>
        <w:t>n</w:t>
      </w:r>
      <w:r w:rsidRPr="009D20B4">
        <w:rPr>
          <w:sz w:val="18"/>
          <w:szCs w:val="18"/>
        </w:rPr>
        <w:t xml:space="preserve"> telefonía fija en su modalidad residencial.</w:t>
      </w:r>
    </w:p>
  </w:footnote>
  <w:footnote w:id="20">
    <w:p w14:paraId="00E328EA" w14:textId="77777777" w:rsidR="00012570" w:rsidRPr="003866AF" w:rsidRDefault="00012570" w:rsidP="00770C73">
      <w:pPr>
        <w:pStyle w:val="IFTnormal"/>
        <w:rPr>
          <w:sz w:val="18"/>
          <w:szCs w:val="18"/>
          <w:lang w:val="fr-FR"/>
        </w:rPr>
      </w:pPr>
      <w:r w:rsidRPr="009D20B4">
        <w:rPr>
          <w:rStyle w:val="Refdenotaalpie"/>
          <w:sz w:val="18"/>
          <w:szCs w:val="18"/>
        </w:rPr>
        <w:footnoteRef/>
      </w:r>
      <w:r w:rsidRPr="003866AF">
        <w:rPr>
          <w:sz w:val="18"/>
          <w:szCs w:val="18"/>
          <w:lang w:val="fr-FR"/>
        </w:rPr>
        <w:t xml:space="preserve"> Véase: </w:t>
      </w:r>
      <w:hyperlink r:id="rId9" w:history="1">
        <w:r w:rsidRPr="003866AF">
          <w:rPr>
            <w:rStyle w:val="Hipervnculo"/>
            <w:sz w:val="18"/>
            <w:szCs w:val="18"/>
            <w:lang w:val="fr-FR"/>
          </w:rPr>
          <w:t>https://www.clarovideo.com/fe/sitesplus/sk_telmex/html/esp/faqs.html</w:t>
        </w:r>
      </w:hyperlink>
      <w:r w:rsidRPr="003866AF">
        <w:rPr>
          <w:sz w:val="18"/>
          <w:szCs w:val="18"/>
          <w:lang w:val="fr-FR"/>
        </w:rPr>
        <w:t xml:space="preserve"> </w:t>
      </w:r>
    </w:p>
  </w:footnote>
  <w:footnote w:id="21">
    <w:p w14:paraId="762B7B9C" w14:textId="625AE172" w:rsidR="00012570" w:rsidRPr="009D20B4" w:rsidRDefault="00012570" w:rsidP="00DE64CD">
      <w:pPr>
        <w:pStyle w:val="Textonotapie"/>
        <w:jc w:val="both"/>
        <w:rPr>
          <w:rFonts w:ascii="ITC Avant Garde" w:hAnsi="ITC Avant Garde" w:cs="Arial"/>
          <w:color w:val="000000"/>
          <w:sz w:val="18"/>
          <w:szCs w:val="18"/>
          <w:lang w:val="es-ES_tradnl" w:eastAsia="es-ES"/>
        </w:rPr>
      </w:pPr>
      <w:r w:rsidRPr="009D20B4">
        <w:rPr>
          <w:rStyle w:val="Refdenotaalpie"/>
          <w:rFonts w:ascii="ITC Avant Garde" w:hAnsi="ITC Avant Garde"/>
          <w:sz w:val="18"/>
          <w:szCs w:val="18"/>
        </w:rPr>
        <w:footnoteRef/>
      </w:r>
      <w:r w:rsidRPr="009D20B4">
        <w:rPr>
          <w:rFonts w:ascii="ITC Avant Garde" w:hAnsi="ITC Avant Garde"/>
          <w:sz w:val="18"/>
          <w:szCs w:val="18"/>
        </w:rPr>
        <w:t xml:space="preserve"> </w:t>
      </w:r>
      <w:r w:rsidRPr="00943134">
        <w:rPr>
          <w:rFonts w:ascii="ITC Avant Garde" w:hAnsi="ITC Avant Garde"/>
          <w:sz w:val="18"/>
          <w:szCs w:val="18"/>
        </w:rPr>
        <w:t>Para representar el valor del medio de transmisión en el componente de voz sobre cobre se utiliza una estimación a partir del Modelo Costos Integral de la Red de Acceso Fijo, y para fibra óptica se emplean estimaciones realizadas por el Instituto</w:t>
      </w:r>
      <w:r w:rsidRPr="009D20B4">
        <w:rPr>
          <w:rFonts w:ascii="ITC Avant Garde" w:hAnsi="ITC Avant Garde" w:cs="Arial"/>
          <w:color w:val="000000"/>
          <w:sz w:val="18"/>
          <w:szCs w:val="18"/>
          <w:lang w:val="es-ES_tradnl" w:eastAsia="es-ES"/>
        </w:rPr>
        <w:t>, bajo los supuestos de que los perfiles de velocidad se proveen como sigue: 1) para 5</w:t>
      </w:r>
      <w:r>
        <w:rPr>
          <w:rFonts w:ascii="ITC Avant Garde" w:hAnsi="ITC Avant Garde" w:cs="Arial"/>
          <w:color w:val="000000"/>
          <w:sz w:val="18"/>
          <w:szCs w:val="18"/>
          <w:lang w:val="es-ES_tradnl" w:eastAsia="es-ES"/>
        </w:rPr>
        <w:t>, 10</w:t>
      </w:r>
      <w:r w:rsidRPr="009D20B4">
        <w:rPr>
          <w:rFonts w:ascii="ITC Avant Garde" w:hAnsi="ITC Avant Garde" w:cs="Arial"/>
          <w:color w:val="000000"/>
          <w:sz w:val="18"/>
          <w:szCs w:val="18"/>
          <w:lang w:val="es-ES_tradnl" w:eastAsia="es-ES"/>
        </w:rPr>
        <w:t xml:space="preserve"> y </w:t>
      </w:r>
      <w:r>
        <w:rPr>
          <w:rFonts w:ascii="ITC Avant Garde" w:hAnsi="ITC Avant Garde" w:cs="Arial"/>
          <w:color w:val="000000"/>
          <w:sz w:val="18"/>
          <w:szCs w:val="18"/>
          <w:lang w:val="es-ES_tradnl" w:eastAsia="es-ES"/>
        </w:rPr>
        <w:t>2</w:t>
      </w:r>
      <w:r w:rsidRPr="009D20B4">
        <w:rPr>
          <w:rFonts w:ascii="ITC Avant Garde" w:hAnsi="ITC Avant Garde" w:cs="Arial"/>
          <w:color w:val="000000"/>
          <w:sz w:val="18"/>
          <w:szCs w:val="18"/>
          <w:lang w:val="es-ES_tradnl" w:eastAsia="es-ES"/>
        </w:rPr>
        <w:t>0 Mbps se asume que se proveen a través de cobre; 2) 30 Mbps se supone que se proveen a través del promedio entre cobre y fibra óptica, así como; 3) para servicios desde 40 Mbps se supone se proveen a través de fibra.</w:t>
      </w:r>
    </w:p>
  </w:footnote>
  <w:footnote w:id="22">
    <w:p w14:paraId="054CEE0E" w14:textId="0599DEC7" w:rsidR="00012570" w:rsidRPr="009D20B4" w:rsidRDefault="00012570" w:rsidP="00DE64CD">
      <w:pPr>
        <w:pStyle w:val="Textonotapie"/>
        <w:jc w:val="both"/>
        <w:rPr>
          <w:rFonts w:ascii="ITC Avant Garde" w:hAnsi="ITC Avant Garde"/>
          <w:sz w:val="18"/>
          <w:szCs w:val="18"/>
        </w:rPr>
      </w:pPr>
      <w:r w:rsidRPr="009D20B4">
        <w:rPr>
          <w:rStyle w:val="Refdenotaalpie"/>
          <w:rFonts w:ascii="ITC Avant Garde" w:hAnsi="ITC Avant Garde"/>
          <w:sz w:val="18"/>
          <w:szCs w:val="18"/>
        </w:rPr>
        <w:footnoteRef/>
      </w:r>
      <w:r w:rsidRPr="009D20B4">
        <w:rPr>
          <w:rFonts w:ascii="ITC Avant Garde" w:hAnsi="ITC Avant Garde"/>
          <w:sz w:val="18"/>
          <w:szCs w:val="18"/>
        </w:rPr>
        <w:t xml:space="preserve"> Se refiere al resultado de efectuar un análisis de regresión a partir de los datos del precio implícito por cada Mbps dentro de los perfiles d</w:t>
      </w:r>
      <w:r>
        <w:rPr>
          <w:rFonts w:ascii="ITC Avant Garde" w:hAnsi="ITC Avant Garde"/>
          <w:sz w:val="18"/>
          <w:szCs w:val="18"/>
        </w:rPr>
        <w:t>e velocidad ofrecidos por Telmex y Telnor</w:t>
      </w:r>
      <w:r w:rsidRPr="009D20B4">
        <w:rPr>
          <w:rFonts w:ascii="ITC Avant Garde" w:hAnsi="ITC Avant Garde"/>
          <w:sz w:val="18"/>
          <w:szCs w:val="18"/>
        </w:rPr>
        <w:t xml:space="preserve"> dentro de sus planes o paquetes, cuyo resultado es una curva exponencial.</w:t>
      </w:r>
    </w:p>
  </w:footnote>
  <w:footnote w:id="23">
    <w:p w14:paraId="735532AD" w14:textId="77777777" w:rsidR="00012570" w:rsidRPr="009D20B4" w:rsidRDefault="00012570" w:rsidP="00DE64CD">
      <w:pPr>
        <w:pStyle w:val="Textonotapie"/>
        <w:jc w:val="both"/>
        <w:rPr>
          <w:rFonts w:ascii="ITC Avant Garde" w:hAnsi="ITC Avant Garde"/>
          <w:sz w:val="18"/>
          <w:szCs w:val="18"/>
        </w:rPr>
      </w:pPr>
      <w:r w:rsidRPr="009D20B4">
        <w:rPr>
          <w:rStyle w:val="Refdenotaalpie"/>
          <w:rFonts w:ascii="ITC Avant Garde" w:hAnsi="ITC Avant Garde"/>
          <w:sz w:val="18"/>
          <w:szCs w:val="18"/>
        </w:rPr>
        <w:footnoteRef/>
      </w:r>
      <w:r w:rsidRPr="009D20B4">
        <w:rPr>
          <w:rFonts w:ascii="ITC Avant Garde" w:hAnsi="ITC Avant Garde"/>
          <w:sz w:val="18"/>
          <w:szCs w:val="18"/>
        </w:rPr>
        <w:t xml:space="preserve"> Este margen representa la proporción de los beneficios que dicho operador puede razonablemente esperar al ofrecer sus servicios minoristas aplicados al conjunto de costos evitados.</w:t>
      </w:r>
    </w:p>
  </w:footnote>
  <w:footnote w:id="24">
    <w:p w14:paraId="2685FB67" w14:textId="77FFA016" w:rsidR="00012570" w:rsidRPr="009D20B4" w:rsidRDefault="00012570" w:rsidP="002F02F0">
      <w:pPr>
        <w:pStyle w:val="Textonotapie"/>
        <w:rPr>
          <w:rFonts w:ascii="ITC Avant Garde" w:hAnsi="ITC Avant Garde"/>
          <w:sz w:val="18"/>
          <w:szCs w:val="18"/>
        </w:rPr>
      </w:pPr>
      <w:r w:rsidRPr="009D20B4">
        <w:rPr>
          <w:rStyle w:val="Refdenotaalpie"/>
          <w:rFonts w:ascii="ITC Avant Garde" w:hAnsi="ITC Avant Garde"/>
          <w:sz w:val="18"/>
          <w:szCs w:val="18"/>
        </w:rPr>
        <w:footnoteRef/>
      </w:r>
      <w:r w:rsidRPr="009D20B4">
        <w:rPr>
          <w:rFonts w:ascii="ITC Avant Garde" w:hAnsi="ITC Avant Garde"/>
          <w:sz w:val="18"/>
          <w:szCs w:val="18"/>
        </w:rPr>
        <w:t xml:space="preserve"> Conforme a los datos del documento “</w:t>
      </w:r>
      <w:r w:rsidRPr="009D20B4">
        <w:rPr>
          <w:rFonts w:ascii="ITC Avant Garde" w:hAnsi="ITC Avant Garde"/>
          <w:i/>
          <w:sz w:val="18"/>
          <w:szCs w:val="18"/>
        </w:rPr>
        <w:t>Amé</w:t>
      </w:r>
      <w:r>
        <w:rPr>
          <w:rFonts w:ascii="ITC Avant Garde" w:hAnsi="ITC Avant Garde"/>
          <w:i/>
          <w:sz w:val="18"/>
          <w:szCs w:val="18"/>
        </w:rPr>
        <w:t>rica Móvil 2019</w:t>
      </w:r>
      <w:r w:rsidRPr="009D20B4">
        <w:rPr>
          <w:rFonts w:ascii="ITC Avant Garde" w:hAnsi="ITC Avant Garde"/>
          <w:i/>
          <w:sz w:val="18"/>
          <w:szCs w:val="18"/>
        </w:rPr>
        <w:t xml:space="preserve"> Annual Report  on Form 20-F</w:t>
      </w:r>
      <w:r w:rsidRPr="009D20B4">
        <w:rPr>
          <w:rFonts w:ascii="ITC Avant Garde" w:hAnsi="ITC Avant Garde"/>
          <w:sz w:val="18"/>
          <w:szCs w:val="18"/>
        </w:rPr>
        <w:t xml:space="preserve">”, disponible para su consulta a través de la siguiente dirección electrónica: </w:t>
      </w:r>
      <w:hyperlink r:id="rId10" w:history="1">
        <w:r w:rsidRPr="00906EC2">
          <w:rPr>
            <w:rStyle w:val="Hipervnculo"/>
            <w:rFonts w:ascii="ITC Avant Garde" w:hAnsi="ITC Avant Garde"/>
            <w:sz w:val="18"/>
            <w:szCs w:val="18"/>
          </w:rPr>
          <w:t>https://s22.q4cdn.com/604986553/files/doc_financials/2019/ar/2019-20-F-EN.pdf</w:t>
        </w:r>
      </w:hyperlink>
      <w:r>
        <w:rPr>
          <w:rFonts w:ascii="ITC Avant Garde" w:hAnsi="ITC Avant Garde"/>
          <w:sz w:val="18"/>
          <w:szCs w:val="18"/>
        </w:rPr>
        <w:t xml:space="preserve"> </w:t>
      </w:r>
    </w:p>
  </w:footnote>
  <w:footnote w:id="25">
    <w:p w14:paraId="7D0A6F43" w14:textId="773C4D16" w:rsidR="00012570" w:rsidRPr="009D20B4" w:rsidRDefault="00012570" w:rsidP="00DE64CD">
      <w:pPr>
        <w:pStyle w:val="Textonotapie"/>
        <w:jc w:val="both"/>
        <w:rPr>
          <w:rFonts w:ascii="ITC Avant Garde" w:hAnsi="ITC Avant Garde"/>
          <w:sz w:val="18"/>
          <w:szCs w:val="18"/>
          <w:lang w:val="es-ES_tradnl"/>
        </w:rPr>
      </w:pPr>
      <w:r w:rsidRPr="009D20B4">
        <w:rPr>
          <w:rStyle w:val="Refdenotaalpie"/>
          <w:rFonts w:ascii="ITC Avant Garde" w:hAnsi="ITC Avant Garde"/>
          <w:sz w:val="18"/>
          <w:szCs w:val="18"/>
        </w:rPr>
        <w:footnoteRef/>
      </w:r>
      <w:r w:rsidRPr="009D20B4">
        <w:rPr>
          <w:rFonts w:ascii="ITC Avant Garde" w:hAnsi="ITC Avant Garde"/>
          <w:sz w:val="18"/>
          <w:szCs w:val="18"/>
        </w:rPr>
        <w:t xml:space="preserve"> De conformidad con el valor del CCPP nominal antes de impuestos establecido en el </w:t>
      </w:r>
      <w:r w:rsidRPr="00E86AA8">
        <w:rPr>
          <w:rFonts w:ascii="ITC Avant Garde" w:hAnsi="ITC Avant Garde"/>
          <w:sz w:val="18"/>
          <w:szCs w:val="18"/>
        </w:rPr>
        <w:t>Anteproyecto de Condiciones técnicas mínimas para la interconexión entre concesionarios de redes públicas de telecomunicaciones y las tarifas que resulten de las metodologías de costos que estarán vigentes para el año 2021</w:t>
      </w:r>
      <w:r>
        <w:rPr>
          <w:rFonts w:ascii="ITC Avant Garde" w:hAnsi="ITC Avant Garde"/>
          <w:sz w:val="18"/>
          <w:szCs w:val="18"/>
        </w:rPr>
        <w:t xml:space="preserve">, disponible en </w:t>
      </w:r>
      <w:r w:rsidRPr="00E86AA8">
        <w:rPr>
          <w:rFonts w:ascii="ITC Avant Garde" w:hAnsi="ITC Avant Garde"/>
          <w:sz w:val="18"/>
          <w:szCs w:val="18"/>
        </w:rPr>
        <w:t>http://www.ift.org.mx/industria/consultas-publicas/anteproyecto-de-condiciones-tecnicas-minimas-para-la-interconexion-entre-concesionarios-de-redes</w:t>
      </w:r>
      <w:r w:rsidRPr="009D20B4">
        <w:rPr>
          <w:rFonts w:ascii="ITC Avant Garde" w:hAnsi="ITC Avant Garde"/>
          <w:sz w:val="18"/>
          <w:szCs w:val="18"/>
        </w:rPr>
        <w:t>.</w:t>
      </w:r>
    </w:p>
  </w:footnote>
  <w:footnote w:id="26">
    <w:p w14:paraId="10120FF8" w14:textId="77777777" w:rsidR="00012570" w:rsidRPr="009D20B4" w:rsidRDefault="00012570" w:rsidP="00DE64CD">
      <w:pPr>
        <w:pStyle w:val="Textonotapie"/>
        <w:jc w:val="both"/>
        <w:rPr>
          <w:rFonts w:ascii="ITC Avant Garde" w:hAnsi="ITC Avant Garde"/>
          <w:sz w:val="18"/>
          <w:szCs w:val="18"/>
        </w:rPr>
      </w:pPr>
      <w:r w:rsidRPr="009D20B4">
        <w:rPr>
          <w:rStyle w:val="Refdenotaalpie"/>
          <w:rFonts w:ascii="ITC Avant Garde" w:hAnsi="ITC Avant Garde"/>
          <w:sz w:val="18"/>
          <w:szCs w:val="18"/>
        </w:rPr>
        <w:footnoteRef/>
      </w:r>
      <w:r w:rsidRPr="009D20B4">
        <w:rPr>
          <w:rFonts w:ascii="ITC Avant Garde" w:hAnsi="ITC Avant Garde"/>
          <w:sz w:val="18"/>
          <w:szCs w:val="18"/>
        </w:rPr>
        <w:t xml:space="preserve"> Este punto bajo el supuesto de que los servicios podrían ser provistos requiriendo algún nivel de agregación a nivel local, como por ejemplo en la agregación de distintos equipos de acceso del mismo distrito.</w:t>
      </w:r>
    </w:p>
  </w:footnote>
  <w:footnote w:id="27">
    <w:p w14:paraId="6A608885" w14:textId="6C6FA065" w:rsidR="00012570" w:rsidRPr="009D20B4" w:rsidRDefault="00012570" w:rsidP="00EB2259">
      <w:pPr>
        <w:pStyle w:val="Textonotapie"/>
        <w:jc w:val="both"/>
        <w:rPr>
          <w:rFonts w:ascii="ITC Avant Garde" w:hAnsi="ITC Avant Garde"/>
          <w:sz w:val="18"/>
          <w:szCs w:val="18"/>
        </w:rPr>
      </w:pPr>
      <w:r w:rsidRPr="009D20B4">
        <w:rPr>
          <w:rStyle w:val="Refdenotaalpie"/>
          <w:rFonts w:ascii="ITC Avant Garde" w:hAnsi="ITC Avant Garde"/>
          <w:sz w:val="18"/>
          <w:szCs w:val="18"/>
        </w:rPr>
        <w:footnoteRef/>
      </w:r>
      <w:r w:rsidRPr="009D20B4">
        <w:rPr>
          <w:rFonts w:ascii="ITC Avant Garde" w:hAnsi="ITC Avant Garde"/>
          <w:sz w:val="18"/>
          <w:szCs w:val="18"/>
        </w:rPr>
        <w:t xml:space="preserve"> Se refiere al resultado de efectuar un análisis de regresión a partir de los datos del </w:t>
      </w:r>
      <w:r>
        <w:rPr>
          <w:rFonts w:ascii="ITC Avant Garde" w:hAnsi="ITC Avant Garde"/>
          <w:sz w:val="18"/>
          <w:szCs w:val="18"/>
        </w:rPr>
        <w:t>uso de ancho de banda</w:t>
      </w:r>
      <w:r w:rsidRPr="009D20B4">
        <w:rPr>
          <w:rFonts w:ascii="ITC Avant Garde" w:hAnsi="ITC Avant Garde"/>
          <w:sz w:val="18"/>
          <w:szCs w:val="18"/>
        </w:rPr>
        <w:t xml:space="preserve"> por cada </w:t>
      </w:r>
      <w:r>
        <w:rPr>
          <w:rFonts w:ascii="ITC Avant Garde" w:hAnsi="ITC Avant Garde"/>
          <w:sz w:val="18"/>
          <w:szCs w:val="18"/>
        </w:rPr>
        <w:t>perfil</w:t>
      </w:r>
      <w:r w:rsidRPr="009D20B4">
        <w:rPr>
          <w:rFonts w:ascii="ITC Avant Garde" w:hAnsi="ITC Avant Garde"/>
          <w:sz w:val="18"/>
          <w:szCs w:val="18"/>
        </w:rPr>
        <w:t xml:space="preserve"> de velocidad ofrecidos por el AEP dentro de sus planes o paquetes, cuyo resultado es una curva exponencial.</w:t>
      </w:r>
    </w:p>
  </w:footnote>
  <w:footnote w:id="28">
    <w:p w14:paraId="16F22134" w14:textId="156079F9" w:rsidR="00012570" w:rsidRDefault="00012570">
      <w:pPr>
        <w:pStyle w:val="Textonotapie"/>
      </w:pPr>
      <w:r>
        <w:rPr>
          <w:rStyle w:val="Refdenotaalpie"/>
        </w:rPr>
        <w:footnoteRef/>
      </w:r>
      <w:r>
        <w:t xml:space="preserve"> </w:t>
      </w:r>
      <w:r w:rsidRPr="00041BAA">
        <w:rPr>
          <w:rFonts w:ascii="ITC Avant Garde" w:hAnsi="ITC Avant Garde"/>
          <w:sz w:val="18"/>
        </w:rPr>
        <w:t>El factor de simetría se define por 1 – (velocidad de subida/velocidad de bajada).</w:t>
      </w:r>
    </w:p>
  </w:footnote>
  <w:footnote w:id="29">
    <w:p w14:paraId="1FFB4C4D" w14:textId="77777777" w:rsidR="00012570" w:rsidRPr="009D20B4" w:rsidRDefault="00012570" w:rsidP="00DE64CD">
      <w:pPr>
        <w:pStyle w:val="IFTnormal"/>
        <w:rPr>
          <w:sz w:val="18"/>
          <w:szCs w:val="18"/>
        </w:rPr>
      </w:pPr>
      <w:r w:rsidRPr="009D20B4">
        <w:rPr>
          <w:rStyle w:val="Refdenotaalpie"/>
          <w:sz w:val="18"/>
          <w:szCs w:val="18"/>
        </w:rPr>
        <w:footnoteRef/>
      </w:r>
      <w:r w:rsidRPr="009D20B4">
        <w:rPr>
          <w:sz w:val="18"/>
          <w:szCs w:val="18"/>
        </w:rPr>
        <w:t xml:space="preserve"> Entre las referencias consideradas se encuentran los factores de ajuste para calidades de servicio presentes en página 72 de la “RESOLUCIÓN POR LA QUE SE REVISAN LOS PRECIOS DE LOS SERVICIOS MAYORISTAS DE BANDA ANCHA GIGADSL, ADSL-IP Y NEBA”, disponible en la siguiente liga electrónica: </w:t>
      </w:r>
      <w:hyperlink r:id="rId11" w:history="1">
        <w:r w:rsidRPr="009D20B4">
          <w:rPr>
            <w:rStyle w:val="Hipervnculo"/>
            <w:sz w:val="18"/>
            <w:szCs w:val="18"/>
          </w:rPr>
          <w:t>https://www.cnmc.es/sites/default/files/1530182_13.pdf</w:t>
        </w:r>
      </w:hyperlink>
    </w:p>
  </w:footnote>
  <w:footnote w:id="30">
    <w:p w14:paraId="65E305BD" w14:textId="77777777" w:rsidR="00012570" w:rsidRPr="009D20B4" w:rsidRDefault="00012570" w:rsidP="00DE64CD">
      <w:pPr>
        <w:pStyle w:val="Textonotapie"/>
        <w:jc w:val="both"/>
        <w:rPr>
          <w:rFonts w:ascii="ITC Avant Garde" w:hAnsi="ITC Avant Garde"/>
          <w:sz w:val="18"/>
          <w:szCs w:val="18"/>
        </w:rPr>
      </w:pPr>
      <w:r w:rsidRPr="009D20B4">
        <w:rPr>
          <w:rStyle w:val="Refdenotaalpie"/>
          <w:rFonts w:ascii="ITC Avant Garde" w:hAnsi="ITC Avant Garde"/>
          <w:sz w:val="18"/>
          <w:szCs w:val="18"/>
        </w:rPr>
        <w:footnoteRef/>
      </w:r>
      <w:r w:rsidRPr="009D20B4">
        <w:rPr>
          <w:rFonts w:ascii="ITC Avant Garde" w:hAnsi="ITC Avant Garde"/>
          <w:sz w:val="18"/>
          <w:szCs w:val="18"/>
        </w:rPr>
        <w:t xml:space="preserve"> Disponible para su consulta a través de la siguiente dirección electrónica: </w:t>
      </w:r>
      <w:hyperlink r:id="rId12" w:history="1">
        <w:r w:rsidRPr="009D20B4">
          <w:rPr>
            <w:rStyle w:val="Hipervnculo"/>
            <w:rFonts w:ascii="ITC Avant Garde" w:hAnsi="ITC Avant Garde"/>
            <w:sz w:val="18"/>
            <w:szCs w:val="18"/>
          </w:rPr>
          <w:t>http://s22.q4cdn.com/604986553/files/doc_financials/annual/2017/2017-annual-report-on-form-20-f.pdf</w:t>
        </w:r>
      </w:hyperlink>
      <w:r w:rsidRPr="009D20B4">
        <w:rPr>
          <w:rFonts w:ascii="ITC Avant Garde" w:hAnsi="ITC Avant Garde"/>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03EA1"/>
    <w:multiLevelType w:val="multilevel"/>
    <w:tmpl w:val="9C968DB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1BE0136"/>
    <w:multiLevelType w:val="hybridMultilevel"/>
    <w:tmpl w:val="AF306E7C"/>
    <w:lvl w:ilvl="0" w:tplc="0AFCA1D0">
      <w:start w:val="1"/>
      <w:numFmt w:val="bullet"/>
      <w:lvlText w:val=""/>
      <w:lvlJc w:val="left"/>
      <w:pPr>
        <w:tabs>
          <w:tab w:val="num" w:pos="643"/>
        </w:tabs>
        <w:ind w:left="643" w:hanging="360"/>
      </w:pPr>
      <w:rPr>
        <w:rFonts w:ascii="Symbol" w:hAnsi="Symbol" w:hint="default"/>
        <w:color w:val="CC330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F963F8"/>
    <w:multiLevelType w:val="hybridMultilevel"/>
    <w:tmpl w:val="CED664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087542"/>
    <w:multiLevelType w:val="multilevel"/>
    <w:tmpl w:val="5F1C0EFC"/>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rFonts w:ascii="ITC Avant Garde" w:hAnsi="ITC Avant Garde"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3EA550F"/>
    <w:multiLevelType w:val="hybridMultilevel"/>
    <w:tmpl w:val="7282762A"/>
    <w:lvl w:ilvl="0" w:tplc="9DE013D6">
      <w:start w:val="1"/>
      <w:numFmt w:val="decimal"/>
      <w:lvlText w:val="%1."/>
      <w:lvlJc w:val="left"/>
      <w:pPr>
        <w:ind w:left="1150" w:hanging="360"/>
      </w:pPr>
      <w:rPr>
        <w:rFonts w:hint="default"/>
      </w:rPr>
    </w:lvl>
    <w:lvl w:ilvl="1" w:tplc="080A0019" w:tentative="1">
      <w:start w:val="1"/>
      <w:numFmt w:val="lowerLetter"/>
      <w:lvlText w:val="%2."/>
      <w:lvlJc w:val="left"/>
      <w:pPr>
        <w:ind w:left="1870" w:hanging="360"/>
      </w:pPr>
    </w:lvl>
    <w:lvl w:ilvl="2" w:tplc="080A001B" w:tentative="1">
      <w:start w:val="1"/>
      <w:numFmt w:val="lowerRoman"/>
      <w:lvlText w:val="%3."/>
      <w:lvlJc w:val="right"/>
      <w:pPr>
        <w:ind w:left="2590" w:hanging="180"/>
      </w:pPr>
    </w:lvl>
    <w:lvl w:ilvl="3" w:tplc="080A000F" w:tentative="1">
      <w:start w:val="1"/>
      <w:numFmt w:val="decimal"/>
      <w:lvlText w:val="%4."/>
      <w:lvlJc w:val="left"/>
      <w:pPr>
        <w:ind w:left="3310" w:hanging="360"/>
      </w:pPr>
    </w:lvl>
    <w:lvl w:ilvl="4" w:tplc="080A0019" w:tentative="1">
      <w:start w:val="1"/>
      <w:numFmt w:val="lowerLetter"/>
      <w:lvlText w:val="%5."/>
      <w:lvlJc w:val="left"/>
      <w:pPr>
        <w:ind w:left="4030" w:hanging="360"/>
      </w:pPr>
    </w:lvl>
    <w:lvl w:ilvl="5" w:tplc="080A001B" w:tentative="1">
      <w:start w:val="1"/>
      <w:numFmt w:val="lowerRoman"/>
      <w:lvlText w:val="%6."/>
      <w:lvlJc w:val="right"/>
      <w:pPr>
        <w:ind w:left="4750" w:hanging="180"/>
      </w:pPr>
    </w:lvl>
    <w:lvl w:ilvl="6" w:tplc="080A000F" w:tentative="1">
      <w:start w:val="1"/>
      <w:numFmt w:val="decimal"/>
      <w:lvlText w:val="%7."/>
      <w:lvlJc w:val="left"/>
      <w:pPr>
        <w:ind w:left="5470" w:hanging="360"/>
      </w:pPr>
    </w:lvl>
    <w:lvl w:ilvl="7" w:tplc="080A0019" w:tentative="1">
      <w:start w:val="1"/>
      <w:numFmt w:val="lowerLetter"/>
      <w:lvlText w:val="%8."/>
      <w:lvlJc w:val="left"/>
      <w:pPr>
        <w:ind w:left="6190" w:hanging="360"/>
      </w:pPr>
    </w:lvl>
    <w:lvl w:ilvl="8" w:tplc="080A001B" w:tentative="1">
      <w:start w:val="1"/>
      <w:numFmt w:val="lowerRoman"/>
      <w:lvlText w:val="%9."/>
      <w:lvlJc w:val="right"/>
      <w:pPr>
        <w:ind w:left="6910" w:hanging="180"/>
      </w:pPr>
    </w:lvl>
  </w:abstractNum>
  <w:abstractNum w:abstractNumId="5" w15:restartNumberingAfterBreak="0">
    <w:nsid w:val="06145FAE"/>
    <w:multiLevelType w:val="hybridMultilevel"/>
    <w:tmpl w:val="E804A22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7020ACB"/>
    <w:multiLevelType w:val="hybridMultilevel"/>
    <w:tmpl w:val="601C785C"/>
    <w:lvl w:ilvl="0" w:tplc="EB6C3F06">
      <w:start w:val="1"/>
      <w:numFmt w:val="bullet"/>
      <w:pStyle w:val="Cita"/>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15:restartNumberingAfterBreak="0">
    <w:nsid w:val="0787768F"/>
    <w:multiLevelType w:val="hybridMultilevel"/>
    <w:tmpl w:val="18A26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9D42D22"/>
    <w:multiLevelType w:val="hybridMultilevel"/>
    <w:tmpl w:val="5E963D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A662AB5"/>
    <w:multiLevelType w:val="hybridMultilevel"/>
    <w:tmpl w:val="A9B2A178"/>
    <w:lvl w:ilvl="0" w:tplc="A8E4C9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C4F59E4"/>
    <w:multiLevelType w:val="hybridMultilevel"/>
    <w:tmpl w:val="8A183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CEA1D18"/>
    <w:multiLevelType w:val="hybridMultilevel"/>
    <w:tmpl w:val="D30AB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FFA2C36"/>
    <w:multiLevelType w:val="multilevel"/>
    <w:tmpl w:val="612A274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1551987"/>
    <w:multiLevelType w:val="hybridMultilevel"/>
    <w:tmpl w:val="252448A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53D6A8D"/>
    <w:multiLevelType w:val="hybridMultilevel"/>
    <w:tmpl w:val="C0144C5E"/>
    <w:lvl w:ilvl="0" w:tplc="616A8E38">
      <w:start w:val="12"/>
      <w:numFmt w:val="bullet"/>
      <w:lvlText w:val="-"/>
      <w:lvlJc w:val="left"/>
      <w:pPr>
        <w:ind w:left="720" w:hanging="360"/>
      </w:pPr>
      <w:rPr>
        <w:rFonts w:ascii="ITC Avant Garde" w:eastAsia="Times New Roman" w:hAnsi="ITC Avant Garde"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5690C74"/>
    <w:multiLevelType w:val="hybridMultilevel"/>
    <w:tmpl w:val="EA125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877E00"/>
    <w:multiLevelType w:val="hybridMultilevel"/>
    <w:tmpl w:val="11B00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7D7396B"/>
    <w:multiLevelType w:val="hybridMultilevel"/>
    <w:tmpl w:val="E11A42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87A39EB"/>
    <w:multiLevelType w:val="hybridMultilevel"/>
    <w:tmpl w:val="4BB258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C1A4C7F"/>
    <w:multiLevelType w:val="hybridMultilevel"/>
    <w:tmpl w:val="0C707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C5A5AD6"/>
    <w:multiLevelType w:val="hybridMultilevel"/>
    <w:tmpl w:val="4BB60D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1DF04758"/>
    <w:multiLevelType w:val="hybridMultilevel"/>
    <w:tmpl w:val="88B2762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219F0FCA"/>
    <w:multiLevelType w:val="hybridMultilevel"/>
    <w:tmpl w:val="C5BEC67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2B241BF"/>
    <w:multiLevelType w:val="hybridMultilevel"/>
    <w:tmpl w:val="18F279C8"/>
    <w:lvl w:ilvl="0" w:tplc="080A0013">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6752061"/>
    <w:multiLevelType w:val="hybridMultilevel"/>
    <w:tmpl w:val="D1B80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6F4266F"/>
    <w:multiLevelType w:val="hybridMultilevel"/>
    <w:tmpl w:val="713470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9196712"/>
    <w:multiLevelType w:val="hybridMultilevel"/>
    <w:tmpl w:val="3CF011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D293913"/>
    <w:multiLevelType w:val="hybridMultilevel"/>
    <w:tmpl w:val="B38A2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38D612A"/>
    <w:multiLevelType w:val="hybridMultilevel"/>
    <w:tmpl w:val="62EEA160"/>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29" w15:restartNumberingAfterBreak="0">
    <w:nsid w:val="35B47387"/>
    <w:multiLevelType w:val="multilevel"/>
    <w:tmpl w:val="225EE3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lang w:val="es-ES_tradnl"/>
      </w:rPr>
    </w:lvl>
    <w:lvl w:ilvl="2">
      <w:start w:val="1"/>
      <w:numFmt w:val="decimal"/>
      <w:lvlText w:val="%1.%2.%3."/>
      <w:lvlJc w:val="left"/>
      <w:pPr>
        <w:ind w:left="1072" w:hanging="504"/>
      </w:pPr>
      <w:rPr>
        <w:rFonts w:hint="default"/>
      </w:rPr>
    </w:lvl>
    <w:lvl w:ilvl="3">
      <w:start w:val="1"/>
      <w:numFmt w:val="decimal"/>
      <w:lvlText w:val="%1.%2.%3.%4."/>
      <w:lvlJc w:val="left"/>
      <w:pPr>
        <w:ind w:left="1728" w:hanging="648"/>
      </w:pPr>
      <w:rPr>
        <w:rFonts w:ascii="ITC Avant Garde" w:hAnsi="ITC Avant Garde" w:hint="default"/>
        <w:b/>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7EB651C"/>
    <w:multiLevelType w:val="hybridMultilevel"/>
    <w:tmpl w:val="2D28E5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A6F7BD4"/>
    <w:multiLevelType w:val="hybridMultilevel"/>
    <w:tmpl w:val="4EA453FC"/>
    <w:lvl w:ilvl="0" w:tplc="010A1E78">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2" w15:restartNumberingAfterBreak="0">
    <w:nsid w:val="3C7F08AD"/>
    <w:multiLevelType w:val="hybridMultilevel"/>
    <w:tmpl w:val="071ACBB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3D227348"/>
    <w:multiLevelType w:val="hybridMultilevel"/>
    <w:tmpl w:val="B2C25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C07CDE"/>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463D4A4D"/>
    <w:multiLevelType w:val="hybridMultilevel"/>
    <w:tmpl w:val="84C60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465A2AEB"/>
    <w:multiLevelType w:val="hybridMultilevel"/>
    <w:tmpl w:val="7FE4DC38"/>
    <w:lvl w:ilvl="0" w:tplc="F2A41F2E">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7" w15:restartNumberingAfterBreak="0">
    <w:nsid w:val="49690C48"/>
    <w:multiLevelType w:val="hybridMultilevel"/>
    <w:tmpl w:val="02E09E7C"/>
    <w:lvl w:ilvl="0" w:tplc="69C417CA">
      <w:start w:val="1"/>
      <w:numFmt w:val="lowerLetter"/>
      <w:lvlText w:val="%1)"/>
      <w:lvlJc w:val="left"/>
      <w:pPr>
        <w:ind w:left="720" w:hanging="360"/>
      </w:pPr>
      <w:rPr>
        <w:rFonts w:ascii="ITC Avant Garde" w:eastAsia="Calibri" w:hAnsi="ITC Avant Garde" w:cs="Arial"/>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4B6813FA"/>
    <w:multiLevelType w:val="hybridMultilevel"/>
    <w:tmpl w:val="7FFC8578"/>
    <w:lvl w:ilvl="0" w:tplc="EF622A8C">
      <w:start w:val="1"/>
      <w:numFmt w:val="decimal"/>
      <w:lvlText w:val="%1."/>
      <w:lvlJc w:val="left"/>
      <w:pPr>
        <w:ind w:left="1150" w:hanging="360"/>
      </w:pPr>
      <w:rPr>
        <w:rFonts w:hint="default"/>
      </w:rPr>
    </w:lvl>
    <w:lvl w:ilvl="1" w:tplc="080A0019" w:tentative="1">
      <w:start w:val="1"/>
      <w:numFmt w:val="lowerLetter"/>
      <w:lvlText w:val="%2."/>
      <w:lvlJc w:val="left"/>
      <w:pPr>
        <w:ind w:left="1870" w:hanging="360"/>
      </w:pPr>
    </w:lvl>
    <w:lvl w:ilvl="2" w:tplc="080A001B" w:tentative="1">
      <w:start w:val="1"/>
      <w:numFmt w:val="lowerRoman"/>
      <w:lvlText w:val="%3."/>
      <w:lvlJc w:val="right"/>
      <w:pPr>
        <w:ind w:left="2590" w:hanging="180"/>
      </w:pPr>
    </w:lvl>
    <w:lvl w:ilvl="3" w:tplc="080A000F" w:tentative="1">
      <w:start w:val="1"/>
      <w:numFmt w:val="decimal"/>
      <w:lvlText w:val="%4."/>
      <w:lvlJc w:val="left"/>
      <w:pPr>
        <w:ind w:left="3310" w:hanging="360"/>
      </w:pPr>
    </w:lvl>
    <w:lvl w:ilvl="4" w:tplc="080A0019" w:tentative="1">
      <w:start w:val="1"/>
      <w:numFmt w:val="lowerLetter"/>
      <w:lvlText w:val="%5."/>
      <w:lvlJc w:val="left"/>
      <w:pPr>
        <w:ind w:left="4030" w:hanging="360"/>
      </w:pPr>
    </w:lvl>
    <w:lvl w:ilvl="5" w:tplc="080A001B" w:tentative="1">
      <w:start w:val="1"/>
      <w:numFmt w:val="lowerRoman"/>
      <w:lvlText w:val="%6."/>
      <w:lvlJc w:val="right"/>
      <w:pPr>
        <w:ind w:left="4750" w:hanging="180"/>
      </w:pPr>
    </w:lvl>
    <w:lvl w:ilvl="6" w:tplc="080A000F" w:tentative="1">
      <w:start w:val="1"/>
      <w:numFmt w:val="decimal"/>
      <w:lvlText w:val="%7."/>
      <w:lvlJc w:val="left"/>
      <w:pPr>
        <w:ind w:left="5470" w:hanging="360"/>
      </w:pPr>
    </w:lvl>
    <w:lvl w:ilvl="7" w:tplc="080A0019" w:tentative="1">
      <w:start w:val="1"/>
      <w:numFmt w:val="lowerLetter"/>
      <w:lvlText w:val="%8."/>
      <w:lvlJc w:val="left"/>
      <w:pPr>
        <w:ind w:left="6190" w:hanging="360"/>
      </w:pPr>
    </w:lvl>
    <w:lvl w:ilvl="8" w:tplc="080A001B" w:tentative="1">
      <w:start w:val="1"/>
      <w:numFmt w:val="lowerRoman"/>
      <w:lvlText w:val="%9."/>
      <w:lvlJc w:val="right"/>
      <w:pPr>
        <w:ind w:left="6910" w:hanging="180"/>
      </w:pPr>
    </w:lvl>
  </w:abstractNum>
  <w:abstractNum w:abstractNumId="39" w15:restartNumberingAfterBreak="0">
    <w:nsid w:val="4B6E096C"/>
    <w:multiLevelType w:val="hybridMultilevel"/>
    <w:tmpl w:val="A34E5090"/>
    <w:lvl w:ilvl="0" w:tplc="1D4AE4F2">
      <w:start w:val="1"/>
      <w:numFmt w:val="upperRoman"/>
      <w:lvlText w:val="%1."/>
      <w:lvlJc w:val="righ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B9439C9"/>
    <w:multiLevelType w:val="multilevel"/>
    <w:tmpl w:val="1B862F3E"/>
    <w:lvl w:ilvl="0">
      <w:start w:val="1"/>
      <w:numFmt w:val="upperRoman"/>
      <w:lvlText w:val="%1."/>
      <w:lvlJc w:val="left"/>
      <w:pPr>
        <w:ind w:left="1571" w:hanging="72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1931" w:hanging="108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291" w:hanging="1440"/>
      </w:pPr>
      <w:rPr>
        <w:rFonts w:hint="default"/>
      </w:rPr>
    </w:lvl>
  </w:abstractNum>
  <w:abstractNum w:abstractNumId="41" w15:restartNumberingAfterBreak="0">
    <w:nsid w:val="4F8D2503"/>
    <w:multiLevelType w:val="hybridMultilevel"/>
    <w:tmpl w:val="546ACF0E"/>
    <w:lvl w:ilvl="0" w:tplc="0BB2EC6C">
      <w:start w:val="14"/>
      <w:numFmt w:val="decimal"/>
      <w:lvlText w:val="%1)"/>
      <w:lvlJc w:val="left"/>
      <w:pPr>
        <w:ind w:left="1211" w:hanging="360"/>
      </w:pPr>
      <w:rPr>
        <w:rFonts w:cs="ITC Avant Gard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5CD60D3"/>
    <w:multiLevelType w:val="hybridMultilevel"/>
    <w:tmpl w:val="02E09E7C"/>
    <w:lvl w:ilvl="0" w:tplc="69C417CA">
      <w:start w:val="1"/>
      <w:numFmt w:val="lowerLetter"/>
      <w:lvlText w:val="%1)"/>
      <w:lvlJc w:val="left"/>
      <w:pPr>
        <w:ind w:left="720" w:hanging="360"/>
      </w:pPr>
      <w:rPr>
        <w:rFonts w:ascii="ITC Avant Garde" w:eastAsia="Calibri" w:hAnsi="ITC Avant Garde" w:cs="Arial"/>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9555031"/>
    <w:multiLevelType w:val="hybridMultilevel"/>
    <w:tmpl w:val="6890B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5A3F790D"/>
    <w:multiLevelType w:val="hybridMultilevel"/>
    <w:tmpl w:val="2D7A2DAC"/>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5" w15:restartNumberingAfterBreak="0">
    <w:nsid w:val="5D525309"/>
    <w:multiLevelType w:val="hybridMultilevel"/>
    <w:tmpl w:val="79C02848"/>
    <w:lvl w:ilvl="0" w:tplc="351AB2BC">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6" w15:restartNumberingAfterBreak="0">
    <w:nsid w:val="5DF1257B"/>
    <w:multiLevelType w:val="hybridMultilevel"/>
    <w:tmpl w:val="23E45F02"/>
    <w:lvl w:ilvl="0" w:tplc="080A0001">
      <w:start w:val="1"/>
      <w:numFmt w:val="bullet"/>
      <w:lvlText w:val=""/>
      <w:lvlJc w:val="left"/>
      <w:pPr>
        <w:ind w:left="1003" w:hanging="360"/>
      </w:pPr>
      <w:rPr>
        <w:rFonts w:ascii="Symbol" w:hAnsi="Symbol"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47" w15:restartNumberingAfterBreak="0">
    <w:nsid w:val="5ED72464"/>
    <w:multiLevelType w:val="hybridMultilevel"/>
    <w:tmpl w:val="8E582B74"/>
    <w:lvl w:ilvl="0" w:tplc="76426794">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607F413C"/>
    <w:multiLevelType w:val="hybridMultilevel"/>
    <w:tmpl w:val="991C6090"/>
    <w:lvl w:ilvl="0" w:tplc="C07AA58C">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62F359E8"/>
    <w:multiLevelType w:val="hybridMultilevel"/>
    <w:tmpl w:val="800CC8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67950BAE"/>
    <w:multiLevelType w:val="hybridMultilevel"/>
    <w:tmpl w:val="BE36C0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6B4C0BB1"/>
    <w:multiLevelType w:val="hybridMultilevel"/>
    <w:tmpl w:val="499E9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6BAB4990"/>
    <w:multiLevelType w:val="multilevel"/>
    <w:tmpl w:val="AE74230C"/>
    <w:lvl w:ilvl="0">
      <w:start w:val="5"/>
      <w:numFmt w:val="decimal"/>
      <w:lvlText w:val="%1."/>
      <w:lvlJc w:val="left"/>
      <w:pPr>
        <w:ind w:left="360" w:hanging="360"/>
      </w:pPr>
      <w:rPr>
        <w:rFonts w:hint="default"/>
      </w:rPr>
    </w:lvl>
    <w:lvl w:ilvl="1">
      <w:start w:val="1"/>
      <w:numFmt w:val="decimal"/>
      <w:pStyle w:val="PuntosC5"/>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6D216710"/>
    <w:multiLevelType w:val="multilevel"/>
    <w:tmpl w:val="F8101138"/>
    <w:lvl w:ilvl="0">
      <w:start w:val="1"/>
      <w:numFmt w:val="upperRoman"/>
      <w:pStyle w:val="NumeracinIFT"/>
      <w:lvlText w:val="%1."/>
      <w:lvlJc w:val="left"/>
      <w:pPr>
        <w:ind w:left="1080" w:hanging="720"/>
      </w:pPr>
      <w:rPr>
        <w:rFonts w:hint="default"/>
        <w:b w:val="0"/>
        <w:bCs w:val="0"/>
        <w:i w:val="0"/>
        <w:iCs w:val="0"/>
      </w:rPr>
    </w:lvl>
    <w:lvl w:ilvl="1">
      <w:start w:val="12"/>
      <w:numFmt w:val="decimal"/>
      <w:isLgl/>
      <w:lvlText w:val="%1.%2"/>
      <w:lvlJc w:val="left"/>
      <w:pPr>
        <w:ind w:left="1316" w:hanging="465"/>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5728" w:hanging="1440"/>
      </w:pPr>
      <w:rPr>
        <w:rFonts w:hint="default"/>
      </w:rPr>
    </w:lvl>
  </w:abstractNum>
  <w:abstractNum w:abstractNumId="54" w15:restartNumberingAfterBreak="0">
    <w:nsid w:val="6E212F76"/>
    <w:multiLevelType w:val="hybridMultilevel"/>
    <w:tmpl w:val="721AE71A"/>
    <w:lvl w:ilvl="0" w:tplc="28D4B3C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6F33385A"/>
    <w:multiLevelType w:val="hybridMultilevel"/>
    <w:tmpl w:val="5174337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13E24CD"/>
    <w:multiLevelType w:val="hybridMultilevel"/>
    <w:tmpl w:val="721AE71A"/>
    <w:lvl w:ilvl="0" w:tplc="28D4B3C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745544B7"/>
    <w:multiLevelType w:val="hybridMultilevel"/>
    <w:tmpl w:val="DC0C745A"/>
    <w:lvl w:ilvl="0" w:tplc="05D888F6">
      <w:start w:val="8"/>
      <w:numFmt w:val="decimal"/>
      <w:lvlText w:val="%1)"/>
      <w:lvlJc w:val="left"/>
      <w:pPr>
        <w:ind w:left="1211"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81168D3"/>
    <w:multiLevelType w:val="hybridMultilevel"/>
    <w:tmpl w:val="56F43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79AC0525"/>
    <w:multiLevelType w:val="hybridMultilevel"/>
    <w:tmpl w:val="B908DB30"/>
    <w:lvl w:ilvl="0" w:tplc="659CA55A">
      <w:start w:val="1"/>
      <w:numFmt w:val="bullet"/>
      <w:pStyle w:val="Listaconvietas"/>
      <w:lvlText w:val=""/>
      <w:lvlJc w:val="left"/>
      <w:pPr>
        <w:ind w:left="720" w:hanging="360"/>
      </w:pPr>
      <w:rPr>
        <w:rFonts w:ascii="Symbol" w:hAnsi="Symbol" w:hint="default"/>
      </w:rPr>
    </w:lvl>
    <w:lvl w:ilvl="1" w:tplc="7E18FA0A">
      <w:numFmt w:val="bullet"/>
      <w:pStyle w:val="Niv2Bullets"/>
      <w:lvlText w:val="-"/>
      <w:lvlJc w:val="left"/>
      <w:pPr>
        <w:ind w:left="1440" w:hanging="360"/>
      </w:pPr>
      <w:rPr>
        <w:rFonts w:ascii="ITC Avant Garde" w:eastAsia="Calibri" w:hAnsi="ITC Avant Garde"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53"/>
  </w:num>
  <w:num w:numId="2">
    <w:abstractNumId w:val="34"/>
  </w:num>
  <w:num w:numId="3">
    <w:abstractNumId w:val="59"/>
  </w:num>
  <w:num w:numId="4">
    <w:abstractNumId w:val="6"/>
  </w:num>
  <w:num w:numId="5">
    <w:abstractNumId w:val="60"/>
  </w:num>
  <w:num w:numId="6">
    <w:abstractNumId w:val="52"/>
  </w:num>
  <w:num w:numId="7">
    <w:abstractNumId w:val="0"/>
  </w:num>
  <w:num w:numId="8">
    <w:abstractNumId w:val="39"/>
  </w:num>
  <w:num w:numId="9">
    <w:abstractNumId w:val="20"/>
  </w:num>
  <w:num w:numId="10">
    <w:abstractNumId w:val="22"/>
  </w:num>
  <w:num w:numId="11">
    <w:abstractNumId w:val="49"/>
  </w:num>
  <w:num w:numId="12">
    <w:abstractNumId w:val="55"/>
  </w:num>
  <w:num w:numId="13">
    <w:abstractNumId w:val="43"/>
  </w:num>
  <w:num w:numId="14">
    <w:abstractNumId w:val="13"/>
  </w:num>
  <w:num w:numId="15">
    <w:abstractNumId w:val="32"/>
  </w:num>
  <w:num w:numId="16">
    <w:abstractNumId w:val="42"/>
  </w:num>
  <w:num w:numId="17">
    <w:abstractNumId w:val="51"/>
  </w:num>
  <w:num w:numId="18">
    <w:abstractNumId w:val="16"/>
  </w:num>
  <w:num w:numId="19">
    <w:abstractNumId w:val="56"/>
  </w:num>
  <w:num w:numId="20">
    <w:abstractNumId w:val="17"/>
  </w:num>
  <w:num w:numId="21">
    <w:abstractNumId w:val="23"/>
  </w:num>
  <w:num w:numId="22">
    <w:abstractNumId w:val="28"/>
  </w:num>
  <w:num w:numId="23">
    <w:abstractNumId w:val="54"/>
  </w:num>
  <w:num w:numId="24">
    <w:abstractNumId w:val="12"/>
  </w:num>
  <w:num w:numId="25">
    <w:abstractNumId w:val="5"/>
  </w:num>
  <w:num w:numId="26">
    <w:abstractNumId w:val="25"/>
  </w:num>
  <w:num w:numId="27">
    <w:abstractNumId w:val="10"/>
  </w:num>
  <w:num w:numId="28">
    <w:abstractNumId w:val="2"/>
  </w:num>
  <w:num w:numId="29">
    <w:abstractNumId w:val="11"/>
  </w:num>
  <w:num w:numId="30">
    <w:abstractNumId w:val="35"/>
  </w:num>
  <w:num w:numId="31">
    <w:abstractNumId w:val="30"/>
  </w:num>
  <w:num w:numId="32">
    <w:abstractNumId w:val="7"/>
  </w:num>
  <w:num w:numId="33">
    <w:abstractNumId w:val="21"/>
  </w:num>
  <w:num w:numId="34">
    <w:abstractNumId w:val="27"/>
  </w:num>
  <w:num w:numId="35">
    <w:abstractNumId w:val="1"/>
  </w:num>
  <w:num w:numId="36">
    <w:abstractNumId w:val="46"/>
  </w:num>
  <w:num w:numId="37">
    <w:abstractNumId w:val="8"/>
  </w:num>
  <w:num w:numId="38">
    <w:abstractNumId w:val="44"/>
  </w:num>
  <w:num w:numId="39">
    <w:abstractNumId w:val="40"/>
  </w:num>
  <w:num w:numId="40">
    <w:abstractNumId w:val="29"/>
  </w:num>
  <w:num w:numId="41">
    <w:abstractNumId w:val="24"/>
  </w:num>
  <w:num w:numId="42">
    <w:abstractNumId w:val="14"/>
  </w:num>
  <w:num w:numId="43">
    <w:abstractNumId w:val="45"/>
  </w:num>
  <w:num w:numId="44">
    <w:abstractNumId w:val="38"/>
  </w:num>
  <w:num w:numId="45">
    <w:abstractNumId w:val="36"/>
  </w:num>
  <w:num w:numId="46">
    <w:abstractNumId w:val="4"/>
  </w:num>
  <w:num w:numId="47">
    <w:abstractNumId w:val="31"/>
  </w:num>
  <w:num w:numId="48">
    <w:abstractNumId w:val="9"/>
  </w:num>
  <w:num w:numId="49">
    <w:abstractNumId w:val="26"/>
  </w:num>
  <w:num w:numId="50">
    <w:abstractNumId w:val="19"/>
  </w:num>
  <w:num w:numId="51">
    <w:abstractNumId w:val="3"/>
  </w:num>
  <w:num w:numId="52">
    <w:abstractNumId w:val="50"/>
  </w:num>
  <w:num w:numId="53">
    <w:abstractNumId w:val="33"/>
  </w:num>
  <w:num w:numId="54">
    <w:abstractNumId w:val="15"/>
  </w:num>
  <w:num w:numId="55">
    <w:abstractNumId w:val="58"/>
  </w:num>
  <w:num w:numId="56">
    <w:abstractNumId w:val="47"/>
  </w:num>
  <w:num w:numId="57">
    <w:abstractNumId w:val="18"/>
  </w:num>
  <w:num w:numId="58">
    <w:abstractNumId w:val="41"/>
  </w:num>
  <w:num w:numId="59">
    <w:abstractNumId w:val="57"/>
  </w:num>
  <w:num w:numId="60">
    <w:abstractNumId w:val="37"/>
  </w:num>
  <w:num w:numId="61">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4CD"/>
    <w:rsid w:val="0000502D"/>
    <w:rsid w:val="00012570"/>
    <w:rsid w:val="000170B6"/>
    <w:rsid w:val="0003543E"/>
    <w:rsid w:val="00041BAA"/>
    <w:rsid w:val="00061DBA"/>
    <w:rsid w:val="00063CE3"/>
    <w:rsid w:val="00066AF3"/>
    <w:rsid w:val="00066B43"/>
    <w:rsid w:val="000701D0"/>
    <w:rsid w:val="00070DEE"/>
    <w:rsid w:val="00074E92"/>
    <w:rsid w:val="00075D81"/>
    <w:rsid w:val="00090E47"/>
    <w:rsid w:val="00092744"/>
    <w:rsid w:val="0009382A"/>
    <w:rsid w:val="000A0FC1"/>
    <w:rsid w:val="000A41D7"/>
    <w:rsid w:val="000B539C"/>
    <w:rsid w:val="000B7AC7"/>
    <w:rsid w:val="000B7CD9"/>
    <w:rsid w:val="000C0542"/>
    <w:rsid w:val="000C08D5"/>
    <w:rsid w:val="000C5425"/>
    <w:rsid w:val="000D0982"/>
    <w:rsid w:val="000E1923"/>
    <w:rsid w:val="000F463E"/>
    <w:rsid w:val="00102D06"/>
    <w:rsid w:val="00114419"/>
    <w:rsid w:val="001146B6"/>
    <w:rsid w:val="001170FC"/>
    <w:rsid w:val="001200E5"/>
    <w:rsid w:val="00130901"/>
    <w:rsid w:val="001370A6"/>
    <w:rsid w:val="001438F6"/>
    <w:rsid w:val="00150436"/>
    <w:rsid w:val="001540DC"/>
    <w:rsid w:val="00170ED3"/>
    <w:rsid w:val="001804DC"/>
    <w:rsid w:val="001A4705"/>
    <w:rsid w:val="001B1A75"/>
    <w:rsid w:val="001B3381"/>
    <w:rsid w:val="001C5898"/>
    <w:rsid w:val="001D5C33"/>
    <w:rsid w:val="001D6648"/>
    <w:rsid w:val="001F0810"/>
    <w:rsid w:val="001F0E9F"/>
    <w:rsid w:val="001F1C16"/>
    <w:rsid w:val="001F5E63"/>
    <w:rsid w:val="001F6D3E"/>
    <w:rsid w:val="002046B8"/>
    <w:rsid w:val="00205ECC"/>
    <w:rsid w:val="00213EC7"/>
    <w:rsid w:val="002165D4"/>
    <w:rsid w:val="002222CD"/>
    <w:rsid w:val="00240366"/>
    <w:rsid w:val="0025451C"/>
    <w:rsid w:val="0025567F"/>
    <w:rsid w:val="00256CEA"/>
    <w:rsid w:val="00260818"/>
    <w:rsid w:val="00270E25"/>
    <w:rsid w:val="002719DA"/>
    <w:rsid w:val="00277802"/>
    <w:rsid w:val="002A5C99"/>
    <w:rsid w:val="002A6692"/>
    <w:rsid w:val="002A79AA"/>
    <w:rsid w:val="002B1858"/>
    <w:rsid w:val="002B661E"/>
    <w:rsid w:val="002C2696"/>
    <w:rsid w:val="002F02F0"/>
    <w:rsid w:val="002F4CFF"/>
    <w:rsid w:val="002F57AF"/>
    <w:rsid w:val="00302BAD"/>
    <w:rsid w:val="00312B25"/>
    <w:rsid w:val="003175E4"/>
    <w:rsid w:val="003253FB"/>
    <w:rsid w:val="003260B8"/>
    <w:rsid w:val="003372F2"/>
    <w:rsid w:val="00340EA6"/>
    <w:rsid w:val="00341554"/>
    <w:rsid w:val="003439C3"/>
    <w:rsid w:val="0035101F"/>
    <w:rsid w:val="00351337"/>
    <w:rsid w:val="003529EC"/>
    <w:rsid w:val="00354574"/>
    <w:rsid w:val="003549C4"/>
    <w:rsid w:val="00361652"/>
    <w:rsid w:val="00366785"/>
    <w:rsid w:val="003671AD"/>
    <w:rsid w:val="003753BB"/>
    <w:rsid w:val="00380573"/>
    <w:rsid w:val="0038472D"/>
    <w:rsid w:val="003852D1"/>
    <w:rsid w:val="0038556E"/>
    <w:rsid w:val="003972A4"/>
    <w:rsid w:val="003A034E"/>
    <w:rsid w:val="003A3308"/>
    <w:rsid w:val="003A3E06"/>
    <w:rsid w:val="003A52BD"/>
    <w:rsid w:val="003B200A"/>
    <w:rsid w:val="003B31DA"/>
    <w:rsid w:val="003B6FBF"/>
    <w:rsid w:val="003C3F7E"/>
    <w:rsid w:val="003C4845"/>
    <w:rsid w:val="003C4E27"/>
    <w:rsid w:val="003C6187"/>
    <w:rsid w:val="003C61D0"/>
    <w:rsid w:val="003C7DDC"/>
    <w:rsid w:val="003D147F"/>
    <w:rsid w:val="003D6179"/>
    <w:rsid w:val="0040010D"/>
    <w:rsid w:val="00413791"/>
    <w:rsid w:val="004161EE"/>
    <w:rsid w:val="00420832"/>
    <w:rsid w:val="00424F2C"/>
    <w:rsid w:val="004274D3"/>
    <w:rsid w:val="00431971"/>
    <w:rsid w:val="004340C9"/>
    <w:rsid w:val="004346E2"/>
    <w:rsid w:val="00435394"/>
    <w:rsid w:val="00436A66"/>
    <w:rsid w:val="004413E8"/>
    <w:rsid w:val="0044393D"/>
    <w:rsid w:val="00457779"/>
    <w:rsid w:val="004648E0"/>
    <w:rsid w:val="00471E59"/>
    <w:rsid w:val="004731F3"/>
    <w:rsid w:val="00475A8C"/>
    <w:rsid w:val="00477E9C"/>
    <w:rsid w:val="004829EF"/>
    <w:rsid w:val="004845DD"/>
    <w:rsid w:val="00486A62"/>
    <w:rsid w:val="0048766B"/>
    <w:rsid w:val="00491BB1"/>
    <w:rsid w:val="00496605"/>
    <w:rsid w:val="004A0DF9"/>
    <w:rsid w:val="004A4548"/>
    <w:rsid w:val="004B0526"/>
    <w:rsid w:val="004B3966"/>
    <w:rsid w:val="004C5D2D"/>
    <w:rsid w:val="004C703F"/>
    <w:rsid w:val="004D05FB"/>
    <w:rsid w:val="004D52BD"/>
    <w:rsid w:val="004D589C"/>
    <w:rsid w:val="004F582A"/>
    <w:rsid w:val="00513428"/>
    <w:rsid w:val="00517231"/>
    <w:rsid w:val="005224C6"/>
    <w:rsid w:val="005235A1"/>
    <w:rsid w:val="00530155"/>
    <w:rsid w:val="005304A2"/>
    <w:rsid w:val="00531266"/>
    <w:rsid w:val="00537833"/>
    <w:rsid w:val="00537E54"/>
    <w:rsid w:val="0054401A"/>
    <w:rsid w:val="00546033"/>
    <w:rsid w:val="00550C58"/>
    <w:rsid w:val="00564F7D"/>
    <w:rsid w:val="00570055"/>
    <w:rsid w:val="00570EC2"/>
    <w:rsid w:val="00571607"/>
    <w:rsid w:val="0057383C"/>
    <w:rsid w:val="00573D82"/>
    <w:rsid w:val="00574F9A"/>
    <w:rsid w:val="00575B70"/>
    <w:rsid w:val="005769BF"/>
    <w:rsid w:val="00580001"/>
    <w:rsid w:val="00580241"/>
    <w:rsid w:val="00580AF0"/>
    <w:rsid w:val="00586D25"/>
    <w:rsid w:val="005A5A5E"/>
    <w:rsid w:val="005B0470"/>
    <w:rsid w:val="005B68C9"/>
    <w:rsid w:val="005C4CDC"/>
    <w:rsid w:val="005D063D"/>
    <w:rsid w:val="005E06F9"/>
    <w:rsid w:val="005E1DB0"/>
    <w:rsid w:val="005E67EB"/>
    <w:rsid w:val="005F3DDE"/>
    <w:rsid w:val="005F5725"/>
    <w:rsid w:val="005F7C05"/>
    <w:rsid w:val="006047E2"/>
    <w:rsid w:val="00607430"/>
    <w:rsid w:val="0060771D"/>
    <w:rsid w:val="00612172"/>
    <w:rsid w:val="0061217F"/>
    <w:rsid w:val="00621C47"/>
    <w:rsid w:val="00622629"/>
    <w:rsid w:val="00623484"/>
    <w:rsid w:val="0062749B"/>
    <w:rsid w:val="0063618F"/>
    <w:rsid w:val="006442FF"/>
    <w:rsid w:val="006509E9"/>
    <w:rsid w:val="00655B45"/>
    <w:rsid w:val="00662140"/>
    <w:rsid w:val="00685DFF"/>
    <w:rsid w:val="0069580C"/>
    <w:rsid w:val="00695F74"/>
    <w:rsid w:val="006A54F9"/>
    <w:rsid w:val="006B092E"/>
    <w:rsid w:val="006B6AE0"/>
    <w:rsid w:val="006C0E2B"/>
    <w:rsid w:val="006C1536"/>
    <w:rsid w:val="006C3454"/>
    <w:rsid w:val="006C6969"/>
    <w:rsid w:val="006C7F56"/>
    <w:rsid w:val="006F0CC3"/>
    <w:rsid w:val="006F2AE9"/>
    <w:rsid w:val="006F681A"/>
    <w:rsid w:val="00700350"/>
    <w:rsid w:val="007054BB"/>
    <w:rsid w:val="00722FDE"/>
    <w:rsid w:val="007269FB"/>
    <w:rsid w:val="00726E80"/>
    <w:rsid w:val="00734944"/>
    <w:rsid w:val="007362A6"/>
    <w:rsid w:val="00746F17"/>
    <w:rsid w:val="0075088E"/>
    <w:rsid w:val="007523F2"/>
    <w:rsid w:val="00755429"/>
    <w:rsid w:val="00766419"/>
    <w:rsid w:val="00770C73"/>
    <w:rsid w:val="0077465F"/>
    <w:rsid w:val="00777A6C"/>
    <w:rsid w:val="0079199E"/>
    <w:rsid w:val="007A250C"/>
    <w:rsid w:val="007A5D8F"/>
    <w:rsid w:val="007A705D"/>
    <w:rsid w:val="007B67F4"/>
    <w:rsid w:val="007B7373"/>
    <w:rsid w:val="007C5C70"/>
    <w:rsid w:val="007D1773"/>
    <w:rsid w:val="007D289B"/>
    <w:rsid w:val="007E312F"/>
    <w:rsid w:val="007E324A"/>
    <w:rsid w:val="007E3A10"/>
    <w:rsid w:val="007F0FF8"/>
    <w:rsid w:val="007F117A"/>
    <w:rsid w:val="007F4989"/>
    <w:rsid w:val="007F4FC1"/>
    <w:rsid w:val="007F6F99"/>
    <w:rsid w:val="00803E74"/>
    <w:rsid w:val="00805AE4"/>
    <w:rsid w:val="00806136"/>
    <w:rsid w:val="008361EF"/>
    <w:rsid w:val="00847571"/>
    <w:rsid w:val="00850542"/>
    <w:rsid w:val="008512A0"/>
    <w:rsid w:val="008577FA"/>
    <w:rsid w:val="00865BE9"/>
    <w:rsid w:val="00880D90"/>
    <w:rsid w:val="0088225C"/>
    <w:rsid w:val="0089384F"/>
    <w:rsid w:val="00896648"/>
    <w:rsid w:val="008A14FA"/>
    <w:rsid w:val="008A2277"/>
    <w:rsid w:val="008A2BB4"/>
    <w:rsid w:val="008A4AB3"/>
    <w:rsid w:val="008B5033"/>
    <w:rsid w:val="008B538B"/>
    <w:rsid w:val="008B58BE"/>
    <w:rsid w:val="008C59A6"/>
    <w:rsid w:val="008D2BDC"/>
    <w:rsid w:val="008D4F35"/>
    <w:rsid w:val="008E2DF2"/>
    <w:rsid w:val="008E399A"/>
    <w:rsid w:val="008E6B7A"/>
    <w:rsid w:val="008E6F07"/>
    <w:rsid w:val="008F10C2"/>
    <w:rsid w:val="008F234E"/>
    <w:rsid w:val="008F67F2"/>
    <w:rsid w:val="008F7A87"/>
    <w:rsid w:val="009025AF"/>
    <w:rsid w:val="0091029E"/>
    <w:rsid w:val="00910B2E"/>
    <w:rsid w:val="00933F64"/>
    <w:rsid w:val="00935D45"/>
    <w:rsid w:val="009373A7"/>
    <w:rsid w:val="00940A38"/>
    <w:rsid w:val="0094373A"/>
    <w:rsid w:val="00946192"/>
    <w:rsid w:val="00954B8E"/>
    <w:rsid w:val="00961FB0"/>
    <w:rsid w:val="0096375B"/>
    <w:rsid w:val="00986386"/>
    <w:rsid w:val="009866F9"/>
    <w:rsid w:val="009868AF"/>
    <w:rsid w:val="00991215"/>
    <w:rsid w:val="009B432A"/>
    <w:rsid w:val="009B7EDF"/>
    <w:rsid w:val="009C0C0F"/>
    <w:rsid w:val="009C4F1A"/>
    <w:rsid w:val="009D6735"/>
    <w:rsid w:val="009D7BF3"/>
    <w:rsid w:val="009E453D"/>
    <w:rsid w:val="009F35F1"/>
    <w:rsid w:val="009F5757"/>
    <w:rsid w:val="00A01E58"/>
    <w:rsid w:val="00A01ECE"/>
    <w:rsid w:val="00A02949"/>
    <w:rsid w:val="00A040C9"/>
    <w:rsid w:val="00A05BC1"/>
    <w:rsid w:val="00A063CC"/>
    <w:rsid w:val="00A101CA"/>
    <w:rsid w:val="00A14005"/>
    <w:rsid w:val="00A33FC7"/>
    <w:rsid w:val="00A4557C"/>
    <w:rsid w:val="00A46CB6"/>
    <w:rsid w:val="00A52496"/>
    <w:rsid w:val="00A55E7D"/>
    <w:rsid w:val="00A565A7"/>
    <w:rsid w:val="00A66A56"/>
    <w:rsid w:val="00A66A65"/>
    <w:rsid w:val="00A67729"/>
    <w:rsid w:val="00A72BDF"/>
    <w:rsid w:val="00A76FBD"/>
    <w:rsid w:val="00A76FBE"/>
    <w:rsid w:val="00A77982"/>
    <w:rsid w:val="00A83183"/>
    <w:rsid w:val="00AA11BB"/>
    <w:rsid w:val="00AA584F"/>
    <w:rsid w:val="00AA639A"/>
    <w:rsid w:val="00AC64A9"/>
    <w:rsid w:val="00AC750C"/>
    <w:rsid w:val="00AD7BD7"/>
    <w:rsid w:val="00AE188B"/>
    <w:rsid w:val="00AE714F"/>
    <w:rsid w:val="00AE7E28"/>
    <w:rsid w:val="00AF2414"/>
    <w:rsid w:val="00AF3176"/>
    <w:rsid w:val="00B02206"/>
    <w:rsid w:val="00B06ED3"/>
    <w:rsid w:val="00B14167"/>
    <w:rsid w:val="00B2267E"/>
    <w:rsid w:val="00B23F4C"/>
    <w:rsid w:val="00B452B0"/>
    <w:rsid w:val="00B510E4"/>
    <w:rsid w:val="00B55561"/>
    <w:rsid w:val="00B61C0A"/>
    <w:rsid w:val="00B64BAA"/>
    <w:rsid w:val="00B65234"/>
    <w:rsid w:val="00B73016"/>
    <w:rsid w:val="00B76408"/>
    <w:rsid w:val="00B82B44"/>
    <w:rsid w:val="00B838B7"/>
    <w:rsid w:val="00B93087"/>
    <w:rsid w:val="00B94943"/>
    <w:rsid w:val="00B97236"/>
    <w:rsid w:val="00BA1887"/>
    <w:rsid w:val="00BB7B8E"/>
    <w:rsid w:val="00BE23D4"/>
    <w:rsid w:val="00BE3D43"/>
    <w:rsid w:val="00BE495B"/>
    <w:rsid w:val="00BE5B7A"/>
    <w:rsid w:val="00BF2107"/>
    <w:rsid w:val="00BF2190"/>
    <w:rsid w:val="00BF2E60"/>
    <w:rsid w:val="00BF7537"/>
    <w:rsid w:val="00C017D1"/>
    <w:rsid w:val="00C353F3"/>
    <w:rsid w:val="00C47C56"/>
    <w:rsid w:val="00C50DC1"/>
    <w:rsid w:val="00C60528"/>
    <w:rsid w:val="00C668B8"/>
    <w:rsid w:val="00C753C8"/>
    <w:rsid w:val="00C77732"/>
    <w:rsid w:val="00C87A6A"/>
    <w:rsid w:val="00C945B5"/>
    <w:rsid w:val="00CA1A08"/>
    <w:rsid w:val="00CB00C6"/>
    <w:rsid w:val="00CB20E5"/>
    <w:rsid w:val="00CC29D3"/>
    <w:rsid w:val="00CC2F2F"/>
    <w:rsid w:val="00CD7950"/>
    <w:rsid w:val="00CE21BB"/>
    <w:rsid w:val="00CE2ECB"/>
    <w:rsid w:val="00CE5F95"/>
    <w:rsid w:val="00CF1280"/>
    <w:rsid w:val="00CF1529"/>
    <w:rsid w:val="00CF2AB4"/>
    <w:rsid w:val="00D15D7B"/>
    <w:rsid w:val="00D17A14"/>
    <w:rsid w:val="00D33B62"/>
    <w:rsid w:val="00D36FB7"/>
    <w:rsid w:val="00D43358"/>
    <w:rsid w:val="00D5375E"/>
    <w:rsid w:val="00D55B58"/>
    <w:rsid w:val="00D55FD0"/>
    <w:rsid w:val="00D6397D"/>
    <w:rsid w:val="00D640E5"/>
    <w:rsid w:val="00D64260"/>
    <w:rsid w:val="00D65B90"/>
    <w:rsid w:val="00D75D3B"/>
    <w:rsid w:val="00D76AE8"/>
    <w:rsid w:val="00D83278"/>
    <w:rsid w:val="00D9097E"/>
    <w:rsid w:val="00D921CA"/>
    <w:rsid w:val="00D92A73"/>
    <w:rsid w:val="00D94A1E"/>
    <w:rsid w:val="00D96B0C"/>
    <w:rsid w:val="00DA1B26"/>
    <w:rsid w:val="00DB330E"/>
    <w:rsid w:val="00DB5653"/>
    <w:rsid w:val="00DC3FCD"/>
    <w:rsid w:val="00DC5963"/>
    <w:rsid w:val="00DC7283"/>
    <w:rsid w:val="00DD07E3"/>
    <w:rsid w:val="00DE1607"/>
    <w:rsid w:val="00DE64CD"/>
    <w:rsid w:val="00DE7134"/>
    <w:rsid w:val="00DF0731"/>
    <w:rsid w:val="00E04D32"/>
    <w:rsid w:val="00E2345E"/>
    <w:rsid w:val="00E3218C"/>
    <w:rsid w:val="00E35EE4"/>
    <w:rsid w:val="00E362EB"/>
    <w:rsid w:val="00E504DE"/>
    <w:rsid w:val="00E50AE4"/>
    <w:rsid w:val="00E51763"/>
    <w:rsid w:val="00E521BD"/>
    <w:rsid w:val="00E56E20"/>
    <w:rsid w:val="00E62B29"/>
    <w:rsid w:val="00E63097"/>
    <w:rsid w:val="00E65876"/>
    <w:rsid w:val="00E7212D"/>
    <w:rsid w:val="00E729AD"/>
    <w:rsid w:val="00E73614"/>
    <w:rsid w:val="00E77786"/>
    <w:rsid w:val="00E8206B"/>
    <w:rsid w:val="00E86AA8"/>
    <w:rsid w:val="00E86D42"/>
    <w:rsid w:val="00E977BF"/>
    <w:rsid w:val="00EA0E35"/>
    <w:rsid w:val="00EA6D98"/>
    <w:rsid w:val="00EB2259"/>
    <w:rsid w:val="00EC2F3C"/>
    <w:rsid w:val="00EC6629"/>
    <w:rsid w:val="00ED3959"/>
    <w:rsid w:val="00ED5ECA"/>
    <w:rsid w:val="00ED6A3C"/>
    <w:rsid w:val="00EF09AF"/>
    <w:rsid w:val="00EF2919"/>
    <w:rsid w:val="00EF337E"/>
    <w:rsid w:val="00EF5A3F"/>
    <w:rsid w:val="00F007BE"/>
    <w:rsid w:val="00F00940"/>
    <w:rsid w:val="00F137CE"/>
    <w:rsid w:val="00F35C1B"/>
    <w:rsid w:val="00F35E06"/>
    <w:rsid w:val="00F43D74"/>
    <w:rsid w:val="00F44C3A"/>
    <w:rsid w:val="00F547F9"/>
    <w:rsid w:val="00F646CE"/>
    <w:rsid w:val="00F702FB"/>
    <w:rsid w:val="00F71217"/>
    <w:rsid w:val="00F745AD"/>
    <w:rsid w:val="00F82498"/>
    <w:rsid w:val="00F854DA"/>
    <w:rsid w:val="00F85BA2"/>
    <w:rsid w:val="00F874FF"/>
    <w:rsid w:val="00F94511"/>
    <w:rsid w:val="00F951A2"/>
    <w:rsid w:val="00F95D02"/>
    <w:rsid w:val="00FA0774"/>
    <w:rsid w:val="00FA4085"/>
    <w:rsid w:val="00FA5E35"/>
    <w:rsid w:val="00FB307D"/>
    <w:rsid w:val="00FB5817"/>
    <w:rsid w:val="00FD2469"/>
    <w:rsid w:val="00FE1E97"/>
    <w:rsid w:val="00FE5542"/>
    <w:rsid w:val="00FF44D0"/>
    <w:rsid w:val="00FF6805"/>
    <w:rsid w:val="00FF6A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9D244"/>
  <w15:chartTrackingRefBased/>
  <w15:docId w15:val="{6C49D8F5-BE89-4440-BE19-1AD97630E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E64CD"/>
    <w:pPr>
      <w:spacing w:after="200" w:line="276" w:lineRule="auto"/>
    </w:pPr>
    <w:rPr>
      <w:rFonts w:ascii="Calibri" w:eastAsia="Calibri" w:hAnsi="Calibri" w:cs="Times New Roman"/>
    </w:rPr>
  </w:style>
  <w:style w:type="paragraph" w:styleId="Ttulo1">
    <w:name w:val="heading 1"/>
    <w:aliases w:val="h1,1,H1,l1,level 1 heading"/>
    <w:basedOn w:val="IFTnormal"/>
    <w:next w:val="Normal"/>
    <w:link w:val="Ttulo1Car"/>
    <w:uiPriority w:val="9"/>
    <w:qFormat/>
    <w:rsid w:val="00DE64CD"/>
    <w:pPr>
      <w:outlineLvl w:val="0"/>
    </w:pPr>
    <w:rPr>
      <w:b/>
      <w:lang w:val="es-ES"/>
    </w:rPr>
  </w:style>
  <w:style w:type="paragraph" w:styleId="Ttulo2">
    <w:name w:val="heading 2"/>
    <w:basedOn w:val="Normal"/>
    <w:next w:val="Normal"/>
    <w:link w:val="Ttulo2Car"/>
    <w:uiPriority w:val="9"/>
    <w:unhideWhenUsed/>
    <w:qFormat/>
    <w:rsid w:val="00DE64CD"/>
    <w:pPr>
      <w:keepNext/>
      <w:jc w:val="center"/>
      <w:outlineLvl w:val="1"/>
    </w:pPr>
    <w:rPr>
      <w:rFonts w:ascii="ITC Avant Garde" w:eastAsia="Times New Roman" w:hAnsi="ITC Avant Garde" w:cs="Arial"/>
      <w:b/>
      <w:bCs/>
      <w:caps/>
    </w:rPr>
  </w:style>
  <w:style w:type="paragraph" w:styleId="Ttulo3">
    <w:name w:val="heading 3"/>
    <w:aliases w:val="h3"/>
    <w:basedOn w:val="Normal"/>
    <w:next w:val="Normal"/>
    <w:link w:val="Ttulo3Car"/>
    <w:uiPriority w:val="9"/>
    <w:rsid w:val="00DE64CD"/>
    <w:pPr>
      <w:keepNext/>
      <w:spacing w:after="0" w:line="240" w:lineRule="auto"/>
      <w:ind w:left="2630"/>
      <w:jc w:val="both"/>
      <w:outlineLvl w:val="2"/>
    </w:pPr>
    <w:rPr>
      <w:rFonts w:ascii="Arial" w:eastAsia="Times New Roman" w:hAnsi="Arial"/>
      <w:b/>
      <w:bCs/>
      <w:szCs w:val="20"/>
    </w:rPr>
  </w:style>
  <w:style w:type="paragraph" w:styleId="Ttulo4">
    <w:name w:val="heading 4"/>
    <w:basedOn w:val="Normal"/>
    <w:next w:val="Normal"/>
    <w:link w:val="Ttulo4Car"/>
    <w:uiPriority w:val="9"/>
    <w:rsid w:val="00DE64CD"/>
    <w:pPr>
      <w:keepNext/>
      <w:spacing w:before="240" w:after="60" w:line="240" w:lineRule="auto"/>
      <w:jc w:val="both"/>
      <w:outlineLvl w:val="3"/>
    </w:pPr>
    <w:rPr>
      <w:rFonts w:ascii="Times New Roman" w:eastAsia="Times New Roman" w:hAnsi="Times New Roman"/>
      <w:b/>
      <w:bCs/>
      <w:sz w:val="28"/>
      <w:szCs w:val="28"/>
      <w:lang w:eastAsia="es-ES"/>
    </w:rPr>
  </w:style>
  <w:style w:type="paragraph" w:styleId="Ttulo5">
    <w:name w:val="heading 5"/>
    <w:aliases w:val="Considerando,Apartado_sub"/>
    <w:basedOn w:val="Normal"/>
    <w:next w:val="Normal"/>
    <w:link w:val="Ttulo5Car"/>
    <w:rsid w:val="00DE64CD"/>
    <w:pPr>
      <w:keepNext/>
      <w:spacing w:after="0" w:line="240" w:lineRule="auto"/>
      <w:jc w:val="both"/>
      <w:outlineLvl w:val="4"/>
    </w:pPr>
    <w:rPr>
      <w:rFonts w:ascii="Arial" w:eastAsia="Times New Roman" w:hAnsi="Arial"/>
      <w:b/>
      <w:sz w:val="20"/>
      <w:szCs w:val="20"/>
    </w:rPr>
  </w:style>
  <w:style w:type="paragraph" w:styleId="Ttulo6">
    <w:name w:val="heading 6"/>
    <w:basedOn w:val="Normal"/>
    <w:next w:val="Normal"/>
    <w:link w:val="Ttulo6Car"/>
    <w:rsid w:val="00DE64CD"/>
    <w:pPr>
      <w:spacing w:before="240" w:after="60" w:line="240" w:lineRule="auto"/>
      <w:jc w:val="both"/>
      <w:outlineLvl w:val="5"/>
    </w:pPr>
    <w:rPr>
      <w:rFonts w:ascii="Times New Roman" w:eastAsia="Times New Roman" w:hAnsi="Times New Roman"/>
      <w:b/>
      <w:bCs/>
      <w:lang w:eastAsia="es-ES"/>
    </w:rPr>
  </w:style>
  <w:style w:type="paragraph" w:styleId="Ttulo7">
    <w:name w:val="heading 7"/>
    <w:basedOn w:val="Normal"/>
    <w:next w:val="Normal"/>
    <w:link w:val="Ttulo7Car"/>
    <w:rsid w:val="00DE64CD"/>
    <w:pPr>
      <w:spacing w:before="240" w:after="60" w:line="240" w:lineRule="auto"/>
      <w:jc w:val="both"/>
      <w:outlineLvl w:val="6"/>
    </w:pPr>
    <w:rPr>
      <w:rFonts w:ascii="Times New Roman" w:eastAsia="Times New Roman" w:hAnsi="Times New Roman"/>
      <w:sz w:val="24"/>
      <w:szCs w:val="24"/>
      <w:lang w:eastAsia="es-ES"/>
    </w:rPr>
  </w:style>
  <w:style w:type="paragraph" w:styleId="Ttulo8">
    <w:name w:val="heading 8"/>
    <w:basedOn w:val="Normal"/>
    <w:next w:val="Normal"/>
    <w:link w:val="Ttulo8Car"/>
    <w:rsid w:val="00DE64CD"/>
    <w:pPr>
      <w:keepNext/>
      <w:spacing w:after="0" w:line="240" w:lineRule="auto"/>
      <w:jc w:val="center"/>
      <w:outlineLvl w:val="7"/>
    </w:pPr>
    <w:rPr>
      <w:rFonts w:ascii="Arial" w:eastAsia="Times New Roman" w:hAnsi="Arial"/>
      <w:b/>
      <w:szCs w:val="20"/>
      <w:lang w:eastAsia="es-ES"/>
    </w:rPr>
  </w:style>
  <w:style w:type="paragraph" w:styleId="Ttulo9">
    <w:name w:val="heading 9"/>
    <w:aliases w:val="Citaciones"/>
    <w:basedOn w:val="Normal"/>
    <w:next w:val="Normal"/>
    <w:link w:val="Ttulo9Car"/>
    <w:rsid w:val="00DE64CD"/>
    <w:pPr>
      <w:spacing w:before="240" w:after="60" w:line="240" w:lineRule="auto"/>
      <w:jc w:val="both"/>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1 Car,H1 Car,l1 Car,level 1 heading Car"/>
    <w:basedOn w:val="Fuentedeprrafopredeter"/>
    <w:link w:val="Ttulo1"/>
    <w:uiPriority w:val="99"/>
    <w:rsid w:val="00DE64CD"/>
    <w:rPr>
      <w:rFonts w:ascii="ITC Avant Garde" w:eastAsia="Calibri" w:hAnsi="ITC Avant Garde" w:cs="Arial"/>
      <w:b/>
      <w:color w:val="000000"/>
      <w:lang w:val="es-ES" w:eastAsia="es-ES"/>
    </w:rPr>
  </w:style>
  <w:style w:type="character" w:customStyle="1" w:styleId="Ttulo2Car">
    <w:name w:val="Título 2 Car"/>
    <w:basedOn w:val="Fuentedeprrafopredeter"/>
    <w:link w:val="Ttulo2"/>
    <w:uiPriority w:val="9"/>
    <w:rsid w:val="00DE64CD"/>
    <w:rPr>
      <w:rFonts w:ascii="ITC Avant Garde" w:eastAsia="Times New Roman" w:hAnsi="ITC Avant Garde" w:cs="Arial"/>
      <w:b/>
      <w:bCs/>
      <w:caps/>
    </w:rPr>
  </w:style>
  <w:style w:type="character" w:customStyle="1" w:styleId="Ttulo3Car">
    <w:name w:val="Título 3 Car"/>
    <w:aliases w:val="h3 Car"/>
    <w:basedOn w:val="Fuentedeprrafopredeter"/>
    <w:link w:val="Ttulo3"/>
    <w:uiPriority w:val="9"/>
    <w:rsid w:val="00DE64CD"/>
    <w:rPr>
      <w:rFonts w:ascii="Arial" w:eastAsia="Times New Roman" w:hAnsi="Arial" w:cs="Times New Roman"/>
      <w:b/>
      <w:bCs/>
      <w:szCs w:val="20"/>
    </w:rPr>
  </w:style>
  <w:style w:type="character" w:customStyle="1" w:styleId="Ttulo4Car">
    <w:name w:val="Título 4 Car"/>
    <w:basedOn w:val="Fuentedeprrafopredeter"/>
    <w:link w:val="Ttulo4"/>
    <w:uiPriority w:val="9"/>
    <w:rsid w:val="00DE64CD"/>
    <w:rPr>
      <w:rFonts w:ascii="Times New Roman" w:eastAsia="Times New Roman" w:hAnsi="Times New Roman" w:cs="Times New Roman"/>
      <w:b/>
      <w:bCs/>
      <w:sz w:val="28"/>
      <w:szCs w:val="28"/>
      <w:lang w:eastAsia="es-ES"/>
    </w:rPr>
  </w:style>
  <w:style w:type="character" w:customStyle="1" w:styleId="Ttulo5Car">
    <w:name w:val="Título 5 Car"/>
    <w:aliases w:val="Considerando Car,Apartado_sub Car"/>
    <w:basedOn w:val="Fuentedeprrafopredeter"/>
    <w:link w:val="Ttulo5"/>
    <w:rsid w:val="00DE64CD"/>
    <w:rPr>
      <w:rFonts w:ascii="Arial" w:eastAsia="Times New Roman" w:hAnsi="Arial" w:cs="Times New Roman"/>
      <w:b/>
      <w:sz w:val="20"/>
      <w:szCs w:val="20"/>
    </w:rPr>
  </w:style>
  <w:style w:type="character" w:customStyle="1" w:styleId="Ttulo6Car">
    <w:name w:val="Título 6 Car"/>
    <w:basedOn w:val="Fuentedeprrafopredeter"/>
    <w:link w:val="Ttulo6"/>
    <w:rsid w:val="00DE64CD"/>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DE64CD"/>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DE64CD"/>
    <w:rPr>
      <w:rFonts w:ascii="Arial" w:eastAsia="Times New Roman" w:hAnsi="Arial" w:cs="Times New Roman"/>
      <w:b/>
      <w:szCs w:val="20"/>
      <w:lang w:eastAsia="es-ES"/>
    </w:rPr>
  </w:style>
  <w:style w:type="character" w:customStyle="1" w:styleId="Ttulo9Car">
    <w:name w:val="Título 9 Car"/>
    <w:aliases w:val="Citaciones Car"/>
    <w:basedOn w:val="Fuentedeprrafopredeter"/>
    <w:link w:val="Ttulo9"/>
    <w:rsid w:val="00DE64CD"/>
    <w:rPr>
      <w:rFonts w:ascii="Arial" w:eastAsia="Times New Roman" w:hAnsi="Arial" w:cs="Arial"/>
      <w:lang w:eastAsia="es-ES"/>
    </w:rPr>
  </w:style>
  <w:style w:type="paragraph" w:customStyle="1" w:styleId="Citaift">
    <w:name w:val="Cita ift"/>
    <w:basedOn w:val="Normal"/>
    <w:link w:val="CitaiftCar"/>
    <w:qFormat/>
    <w:rsid w:val="00DE64CD"/>
    <w:pPr>
      <w:adjustRightInd w:val="0"/>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DE64CD"/>
    <w:rPr>
      <w:rFonts w:ascii="ITC Avant Garde" w:eastAsia="Times New Roman" w:hAnsi="ITC Avant Garde" w:cs="Arial"/>
      <w:i/>
      <w:color w:val="000000"/>
      <w:sz w:val="18"/>
      <w:szCs w:val="18"/>
      <w:lang w:eastAsia="es-ES"/>
    </w:rPr>
  </w:style>
  <w:style w:type="paragraph" w:styleId="Cita">
    <w:name w:val="Quote"/>
    <w:aliases w:val="Bullets cita"/>
    <w:basedOn w:val="Prrafodelista"/>
    <w:next w:val="Normal"/>
    <w:link w:val="CitaCar"/>
    <w:uiPriority w:val="29"/>
    <w:qFormat/>
    <w:rsid w:val="00DE64CD"/>
    <w:pPr>
      <w:numPr>
        <w:numId w:val="4"/>
      </w:numPr>
      <w:ind w:right="616"/>
      <w:jc w:val="both"/>
    </w:pPr>
    <w:rPr>
      <w:rFonts w:ascii="ITC Avant Garde" w:hAnsi="ITC Avant Garde"/>
      <w:i/>
      <w:sz w:val="18"/>
      <w:szCs w:val="18"/>
    </w:rPr>
  </w:style>
  <w:style w:type="character" w:customStyle="1" w:styleId="CitaCar">
    <w:name w:val="Cita Car"/>
    <w:aliases w:val="Bullets cita Car"/>
    <w:basedOn w:val="Fuentedeprrafopredeter"/>
    <w:link w:val="Cita"/>
    <w:uiPriority w:val="29"/>
    <w:rsid w:val="00DE64CD"/>
    <w:rPr>
      <w:rFonts w:ascii="ITC Avant Garde" w:eastAsia="Calibri" w:hAnsi="ITC Avant Garde" w:cs="Times New Roman"/>
      <w:i/>
      <w:sz w:val="18"/>
      <w:szCs w:val="18"/>
    </w:rPr>
  </w:style>
  <w:style w:type="paragraph" w:customStyle="1" w:styleId="IFTnormal">
    <w:name w:val="IFT normal"/>
    <w:basedOn w:val="Normal"/>
    <w:link w:val="IFTnormalCar"/>
    <w:qFormat/>
    <w:rsid w:val="00DE64CD"/>
    <w:pPr>
      <w:jc w:val="both"/>
    </w:pPr>
    <w:rPr>
      <w:rFonts w:ascii="ITC Avant Garde" w:hAnsi="ITC Avant Garde" w:cs="Arial"/>
      <w:color w:val="000000"/>
      <w:lang w:val="es-ES_tradnl" w:eastAsia="es-ES"/>
    </w:rPr>
  </w:style>
  <w:style w:type="paragraph" w:styleId="Listaconvietas">
    <w:name w:val="List Bullet"/>
    <w:aliases w:val="Bullets texto"/>
    <w:basedOn w:val="Normal"/>
    <w:autoRedefine/>
    <w:uiPriority w:val="99"/>
    <w:unhideWhenUsed/>
    <w:qFormat/>
    <w:rsid w:val="00DE64CD"/>
    <w:pPr>
      <w:numPr>
        <w:numId w:val="3"/>
      </w:numPr>
      <w:ind w:left="714" w:hanging="357"/>
      <w:jc w:val="both"/>
    </w:pPr>
    <w:rPr>
      <w:rFonts w:ascii="ITC Avant Garde" w:eastAsia="Times New Roman" w:hAnsi="ITC Avant Garde" w:cs="Arial"/>
      <w:iCs/>
    </w:rPr>
  </w:style>
  <w:style w:type="paragraph" w:styleId="Prrafodelista">
    <w:name w:val="List Paragraph"/>
    <w:aliases w:val="prueba1,Puce focus,Contact,texte de base,Normal bullet 2,List Paragraph1,Numbered List,1st level - Bullet List Paragraph,Lettre d'introduction,List Paragraph11,Normal bullet 21,List Paragraph111,Bullet list1,Paragraphe,Numeración 1,列出段落"/>
    <w:basedOn w:val="Normal"/>
    <w:link w:val="PrrafodelistaCar"/>
    <w:uiPriority w:val="34"/>
    <w:qFormat/>
    <w:rsid w:val="00DE64CD"/>
    <w:pPr>
      <w:ind w:left="720"/>
      <w:contextualSpacing/>
    </w:pPr>
  </w:style>
  <w:style w:type="paragraph" w:customStyle="1" w:styleId="NombreConcesionario">
    <w:name w:val="NombreConcesionario"/>
    <w:basedOn w:val="Ttulo1"/>
    <w:link w:val="NombreConcesionarioCar"/>
    <w:qFormat/>
    <w:rsid w:val="00DE64CD"/>
  </w:style>
  <w:style w:type="character" w:customStyle="1" w:styleId="NombreConcesionarioCar">
    <w:name w:val="NombreConcesionario Car"/>
    <w:link w:val="NombreConcesionario"/>
    <w:rsid w:val="00DE64CD"/>
    <w:rPr>
      <w:rFonts w:ascii="ITC Avant Garde" w:eastAsia="Calibri" w:hAnsi="ITC Avant Garde" w:cs="Arial"/>
      <w:b/>
      <w:color w:val="000000"/>
      <w:lang w:val="es-ES" w:eastAsia="es-ES"/>
    </w:rPr>
  </w:style>
  <w:style w:type="paragraph" w:customStyle="1" w:styleId="NumeracinIFT">
    <w:name w:val="Numeración IFT"/>
    <w:basedOn w:val="Normal"/>
    <w:link w:val="NumeracinIFTCar"/>
    <w:qFormat/>
    <w:rsid w:val="00DE64CD"/>
    <w:pPr>
      <w:numPr>
        <w:numId w:val="1"/>
      </w:numPr>
      <w:tabs>
        <w:tab w:val="left" w:pos="1134"/>
      </w:tabs>
      <w:adjustRightInd w:val="0"/>
      <w:ind w:left="1134" w:hanging="992"/>
      <w:jc w:val="both"/>
    </w:pPr>
    <w:rPr>
      <w:rFonts w:ascii="ITC Avant Garde" w:hAnsi="ITC Avant Garde" w:cs="Arial"/>
      <w:bCs/>
      <w:lang w:eastAsia="es-ES"/>
    </w:rPr>
  </w:style>
  <w:style w:type="character" w:customStyle="1" w:styleId="NumeracinIFTCar">
    <w:name w:val="Numeración IFT Car"/>
    <w:link w:val="NumeracinIFT"/>
    <w:rsid w:val="00DE64CD"/>
    <w:rPr>
      <w:rFonts w:ascii="ITC Avant Garde" w:eastAsia="Calibri" w:hAnsi="ITC Avant Garde" w:cs="Arial"/>
      <w:bCs/>
      <w:lang w:eastAsia="es-ES"/>
    </w:rPr>
  </w:style>
  <w:style w:type="paragraph" w:styleId="Encabezado">
    <w:name w:val="header"/>
    <w:basedOn w:val="Normal"/>
    <w:link w:val="EncabezadoCar"/>
    <w:uiPriority w:val="99"/>
    <w:unhideWhenUsed/>
    <w:rsid w:val="00DE64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64CD"/>
    <w:rPr>
      <w:rFonts w:ascii="Calibri" w:eastAsia="Calibri" w:hAnsi="Calibri" w:cs="Times New Roman"/>
    </w:rPr>
  </w:style>
  <w:style w:type="paragraph" w:styleId="Piedepgina">
    <w:name w:val="footer"/>
    <w:basedOn w:val="Normal"/>
    <w:link w:val="PiedepginaCar"/>
    <w:uiPriority w:val="99"/>
    <w:unhideWhenUsed/>
    <w:rsid w:val="00DE64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64CD"/>
    <w:rPr>
      <w:rFonts w:ascii="Calibri" w:eastAsia="Calibri" w:hAnsi="Calibri" w:cs="Times New Roman"/>
    </w:rPr>
  </w:style>
  <w:style w:type="paragraph" w:customStyle="1" w:styleId="Listamulticolor-nfasis11">
    <w:name w:val="Lista multicolor - Énfasis 11"/>
    <w:basedOn w:val="Normal"/>
    <w:link w:val="Listamulticolor-nfasis1Car"/>
    <w:uiPriority w:val="34"/>
    <w:rsid w:val="00DE64CD"/>
    <w:pPr>
      <w:ind w:left="720"/>
      <w:contextualSpacing/>
    </w:pPr>
  </w:style>
  <w:style w:type="character" w:styleId="Refdecomentario">
    <w:name w:val="annotation reference"/>
    <w:uiPriority w:val="99"/>
    <w:unhideWhenUsed/>
    <w:rsid w:val="00DE64CD"/>
    <w:rPr>
      <w:sz w:val="16"/>
      <w:szCs w:val="16"/>
    </w:rPr>
  </w:style>
  <w:style w:type="paragraph" w:styleId="Textocomentario">
    <w:name w:val="annotation text"/>
    <w:basedOn w:val="Normal"/>
    <w:link w:val="TextocomentarioCar"/>
    <w:uiPriority w:val="99"/>
    <w:unhideWhenUsed/>
    <w:rsid w:val="00DE64CD"/>
    <w:pPr>
      <w:spacing w:line="240" w:lineRule="auto"/>
    </w:pPr>
    <w:rPr>
      <w:rFonts w:eastAsia="Times New Roman"/>
      <w:sz w:val="20"/>
      <w:szCs w:val="20"/>
      <w:lang w:eastAsia="es-MX"/>
    </w:rPr>
  </w:style>
  <w:style w:type="character" w:customStyle="1" w:styleId="TextocomentarioCar">
    <w:name w:val="Texto comentario Car"/>
    <w:basedOn w:val="Fuentedeprrafopredeter"/>
    <w:link w:val="Textocomentario"/>
    <w:uiPriority w:val="99"/>
    <w:rsid w:val="00DE64CD"/>
    <w:rPr>
      <w:rFonts w:ascii="Calibri" w:eastAsia="Times New Roman" w:hAnsi="Calibri" w:cs="Times New Roman"/>
      <w:sz w:val="20"/>
      <w:szCs w:val="20"/>
      <w:lang w:eastAsia="es-MX"/>
    </w:rPr>
  </w:style>
  <w:style w:type="character" w:customStyle="1" w:styleId="Listamulticolor-nfasis1Car">
    <w:name w:val="Lista multicolor - Énfasis 1 Car"/>
    <w:link w:val="Listamulticolor-nfasis11"/>
    <w:uiPriority w:val="34"/>
    <w:rsid w:val="00DE64CD"/>
    <w:rPr>
      <w:rFonts w:ascii="Calibri" w:eastAsia="Calibri" w:hAnsi="Calibri" w:cs="Times New Roman"/>
    </w:rPr>
  </w:style>
  <w:style w:type="character" w:customStyle="1" w:styleId="PrrafodelistaCar">
    <w:name w:val="Párrafo de lista Car"/>
    <w:aliases w:val="prueba1 Car,Puce focus Car,Contact Car,texte de base Car,Normal bullet 2 Car,List Paragraph1 Car,Numbered List Car,1st level - Bullet List Paragraph Car,Lettre d'introduction Car,List Paragraph11 Car,Normal bullet 21 Car,列出段落 Car"/>
    <w:link w:val="Prrafodelista"/>
    <w:uiPriority w:val="34"/>
    <w:qFormat/>
    <w:rsid w:val="00DE64CD"/>
    <w:rPr>
      <w:rFonts w:ascii="Calibri" w:eastAsia="Calibri" w:hAnsi="Calibri" w:cs="Times New Roman"/>
    </w:rPr>
  </w:style>
  <w:style w:type="paragraph" w:styleId="Textodeglobo">
    <w:name w:val="Balloon Text"/>
    <w:basedOn w:val="Normal"/>
    <w:link w:val="TextodegloboCar"/>
    <w:uiPriority w:val="99"/>
    <w:unhideWhenUsed/>
    <w:rsid w:val="00DE64C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DE64CD"/>
    <w:rPr>
      <w:rFonts w:ascii="Segoe UI" w:eastAsia="Calibri" w:hAnsi="Segoe UI" w:cs="Segoe UI"/>
      <w:sz w:val="18"/>
      <w:szCs w:val="18"/>
    </w:rPr>
  </w:style>
  <w:style w:type="character" w:styleId="Hipervnculo">
    <w:name w:val="Hyperlink"/>
    <w:basedOn w:val="Fuentedeprrafopredeter"/>
    <w:uiPriority w:val="99"/>
    <w:unhideWhenUsed/>
    <w:rsid w:val="00DE64CD"/>
    <w:rPr>
      <w:color w:val="0563C1" w:themeColor="hyperlink"/>
      <w:u w:val="single"/>
    </w:rPr>
  </w:style>
  <w:style w:type="paragraph" w:styleId="NormalWeb">
    <w:name w:val="Normal (Web)"/>
    <w:basedOn w:val="Normal"/>
    <w:uiPriority w:val="99"/>
    <w:unhideWhenUsed/>
    <w:rsid w:val="00DE64CD"/>
    <w:pPr>
      <w:spacing w:before="100" w:beforeAutospacing="1" w:after="100" w:afterAutospacing="1" w:line="240" w:lineRule="auto"/>
    </w:pPr>
    <w:rPr>
      <w:rFonts w:ascii="Times New Roman" w:eastAsia="Times New Roman" w:hAnsi="Times New Roman"/>
      <w:sz w:val="24"/>
      <w:szCs w:val="24"/>
      <w:lang w:eastAsia="es-MX"/>
    </w:rPr>
  </w:style>
  <w:style w:type="table" w:styleId="Tablaconcuadrcula">
    <w:name w:val="Table Grid"/>
    <w:basedOn w:val="Tablanormal"/>
    <w:uiPriority w:val="59"/>
    <w:rsid w:val="00DE64CD"/>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Ref,de nota al pie,(NECG) Footnote Reference,o,fr,Style 3,Appel note de bas de p,Style 12,Style 124,Ref. de nota al pie 2,Style 13,FR,Style 17,Style 6,Footnote Reference/,Footnote Reference Superscript,ftref,Footnote number,Footnote"/>
    <w:uiPriority w:val="99"/>
    <w:unhideWhenUsed/>
    <w:qFormat/>
    <w:rsid w:val="00DE64CD"/>
    <w:rPr>
      <w:vertAlign w:val="superscript"/>
    </w:rPr>
  </w:style>
  <w:style w:type="paragraph" w:customStyle="1" w:styleId="Cuadrculamediana21">
    <w:name w:val="Cuadrícula mediana 21"/>
    <w:uiPriority w:val="1"/>
    <w:rsid w:val="00DE64CD"/>
    <w:pPr>
      <w:spacing w:after="0" w:line="240" w:lineRule="auto"/>
    </w:pPr>
    <w:rPr>
      <w:rFonts w:ascii="Calibri" w:eastAsia="Calibri" w:hAnsi="Calibri" w:cs="Times New Roman"/>
    </w:rPr>
  </w:style>
  <w:style w:type="paragraph" w:styleId="Asuntodelcomentario">
    <w:name w:val="annotation subject"/>
    <w:basedOn w:val="Textocomentario"/>
    <w:next w:val="Textocomentario"/>
    <w:link w:val="AsuntodelcomentarioCar"/>
    <w:uiPriority w:val="99"/>
    <w:unhideWhenUsed/>
    <w:rsid w:val="00DE64CD"/>
    <w:rPr>
      <w:b/>
      <w:bCs/>
    </w:rPr>
  </w:style>
  <w:style w:type="character" w:customStyle="1" w:styleId="AsuntodelcomentarioCar">
    <w:name w:val="Asunto del comentario Car"/>
    <w:basedOn w:val="TextocomentarioCar"/>
    <w:link w:val="Asuntodelcomentario"/>
    <w:uiPriority w:val="99"/>
    <w:rsid w:val="00DE64CD"/>
    <w:rPr>
      <w:rFonts w:ascii="Calibri" w:eastAsia="Times New Roman" w:hAnsi="Calibri" w:cs="Times New Roman"/>
      <w:b/>
      <w:bCs/>
      <w:sz w:val="20"/>
      <w:szCs w:val="20"/>
      <w:lang w:eastAsia="es-MX"/>
    </w:rPr>
  </w:style>
  <w:style w:type="paragraph" w:styleId="Listaconvietas2">
    <w:name w:val="List Bullet 2"/>
    <w:basedOn w:val="Normal"/>
    <w:link w:val="Listaconvietas2Car"/>
    <w:uiPriority w:val="99"/>
    <w:unhideWhenUsed/>
    <w:qFormat/>
    <w:rsid w:val="00DE64CD"/>
    <w:pPr>
      <w:ind w:left="1077" w:hanging="360"/>
      <w:contextualSpacing/>
    </w:pPr>
  </w:style>
  <w:style w:type="character" w:styleId="CitaHTML">
    <w:name w:val="HTML Cite"/>
    <w:uiPriority w:val="99"/>
    <w:semiHidden/>
    <w:unhideWhenUsed/>
    <w:rsid w:val="00DE64CD"/>
    <w:rPr>
      <w:i/>
      <w:iCs/>
    </w:rPr>
  </w:style>
  <w:style w:type="paragraph" w:customStyle="1" w:styleId="Sombreadomulticolor-nfasis11">
    <w:name w:val="Sombreado multicolor - Énfasis 11"/>
    <w:hidden/>
    <w:uiPriority w:val="99"/>
    <w:semiHidden/>
    <w:rsid w:val="00DE64CD"/>
    <w:pPr>
      <w:spacing w:after="0" w:line="240" w:lineRule="auto"/>
    </w:pPr>
    <w:rPr>
      <w:rFonts w:ascii="Calibri" w:eastAsia="Calibri" w:hAnsi="Calibri" w:cs="Times New Roman"/>
    </w:rPr>
  </w:style>
  <w:style w:type="paragraph" w:styleId="Sangradetextonormal">
    <w:name w:val="Body Text Indent"/>
    <w:basedOn w:val="Normal"/>
    <w:link w:val="SangradetextonormalCar"/>
    <w:uiPriority w:val="99"/>
    <w:unhideWhenUsed/>
    <w:rsid w:val="00DE64CD"/>
    <w:pPr>
      <w:spacing w:after="120"/>
      <w:ind w:left="283"/>
    </w:pPr>
  </w:style>
  <w:style w:type="character" w:customStyle="1" w:styleId="SangradetextonormalCar">
    <w:name w:val="Sangría de texto normal Car"/>
    <w:basedOn w:val="Fuentedeprrafopredeter"/>
    <w:link w:val="Sangradetextonormal"/>
    <w:uiPriority w:val="99"/>
    <w:rsid w:val="00DE64CD"/>
    <w:rPr>
      <w:rFonts w:ascii="Calibri" w:eastAsia="Calibri" w:hAnsi="Calibri" w:cs="Times New Roman"/>
    </w:rPr>
  </w:style>
  <w:style w:type="character" w:styleId="Nmerodepgina">
    <w:name w:val="page number"/>
    <w:rsid w:val="00DE64CD"/>
  </w:style>
  <w:style w:type="paragraph" w:styleId="Subttulo">
    <w:name w:val="Subtitle"/>
    <w:basedOn w:val="Normal"/>
    <w:link w:val="SubttuloCar"/>
    <w:rsid w:val="00DE64CD"/>
    <w:pPr>
      <w:jc w:val="both"/>
    </w:pPr>
    <w:rPr>
      <w:rFonts w:ascii="ITC Avant Garde" w:hAnsi="ITC Avant Garde"/>
      <w:b/>
    </w:rPr>
  </w:style>
  <w:style w:type="character" w:customStyle="1" w:styleId="SubttuloCar">
    <w:name w:val="Subtítulo Car"/>
    <w:basedOn w:val="Fuentedeprrafopredeter"/>
    <w:link w:val="Subttulo"/>
    <w:rsid w:val="00DE64CD"/>
    <w:rPr>
      <w:rFonts w:ascii="ITC Avant Garde" w:eastAsia="Calibri" w:hAnsi="ITC Avant Garde" w:cs="Times New Roman"/>
      <w:b/>
    </w:rPr>
  </w:style>
  <w:style w:type="paragraph" w:styleId="Textosinformato">
    <w:name w:val="Plain Text"/>
    <w:basedOn w:val="Normal"/>
    <w:link w:val="TextosinformatoCar"/>
    <w:rsid w:val="00DE64CD"/>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DE64CD"/>
    <w:rPr>
      <w:rFonts w:ascii="Courier New" w:eastAsia="Times New Roman" w:hAnsi="Courier New" w:cs="Courier New"/>
      <w:sz w:val="20"/>
      <w:szCs w:val="20"/>
      <w:lang w:eastAsia="es-ES"/>
    </w:rPr>
  </w:style>
  <w:style w:type="character" w:styleId="Hipervnculovisitado">
    <w:name w:val="FollowedHyperlink"/>
    <w:uiPriority w:val="99"/>
    <w:rsid w:val="00DE64CD"/>
    <w:rPr>
      <w:color w:val="800080"/>
      <w:u w:val="single"/>
    </w:rPr>
  </w:style>
  <w:style w:type="paragraph" w:styleId="Lista">
    <w:name w:val="List"/>
    <w:basedOn w:val="Normal"/>
    <w:rsid w:val="00DE64CD"/>
    <w:pPr>
      <w:spacing w:after="0" w:line="240" w:lineRule="auto"/>
      <w:ind w:left="283" w:hanging="283"/>
    </w:pPr>
    <w:rPr>
      <w:rFonts w:ascii="Times New Roman" w:eastAsia="Times New Roman" w:hAnsi="Times New Roman"/>
      <w:sz w:val="24"/>
      <w:szCs w:val="24"/>
      <w:lang w:val="es-ES" w:eastAsia="es-ES"/>
    </w:rPr>
  </w:style>
  <w:style w:type="paragraph" w:styleId="Encabezadodemensaje">
    <w:name w:val="Message Header"/>
    <w:basedOn w:val="Normal"/>
    <w:link w:val="EncabezadodemensajeCar"/>
    <w:rsid w:val="00DE64C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DE64CD"/>
    <w:rPr>
      <w:rFonts w:ascii="Arial" w:eastAsia="Times New Roman" w:hAnsi="Arial" w:cs="Arial"/>
      <w:sz w:val="24"/>
      <w:szCs w:val="24"/>
      <w:shd w:val="pct20" w:color="auto" w:fill="auto"/>
      <w:lang w:val="es-ES" w:eastAsia="es-ES"/>
    </w:rPr>
  </w:style>
  <w:style w:type="paragraph" w:styleId="Continuarlista">
    <w:name w:val="List Continue"/>
    <w:basedOn w:val="Normal"/>
    <w:rsid w:val="00DE64CD"/>
    <w:pPr>
      <w:spacing w:after="120" w:line="240" w:lineRule="auto"/>
      <w:ind w:left="283"/>
    </w:pPr>
    <w:rPr>
      <w:rFonts w:ascii="Times New Roman" w:eastAsia="Times New Roman" w:hAnsi="Times New Roman"/>
      <w:sz w:val="24"/>
      <w:szCs w:val="24"/>
      <w:lang w:val="es-ES" w:eastAsia="es-ES"/>
    </w:rPr>
  </w:style>
  <w:style w:type="paragraph" w:styleId="Listaconnmeros">
    <w:name w:val="List Number"/>
    <w:basedOn w:val="Normal"/>
    <w:uiPriority w:val="99"/>
    <w:rsid w:val="00DE64CD"/>
    <w:pPr>
      <w:tabs>
        <w:tab w:val="num" w:pos="360"/>
      </w:tabs>
      <w:spacing w:after="240" w:line="320" w:lineRule="atLeast"/>
      <w:ind w:left="360" w:hanging="360"/>
      <w:contextualSpacing/>
      <w:jc w:val="both"/>
    </w:pPr>
    <w:rPr>
      <w:rFonts w:ascii="Times New Roman" w:hAnsi="Times New Roman"/>
      <w:lang w:val="es-ES"/>
    </w:rPr>
  </w:style>
  <w:style w:type="character" w:customStyle="1" w:styleId="Listaconvietas2Car">
    <w:name w:val="Lista con viñetas 2 Car"/>
    <w:link w:val="Listaconvietas2"/>
    <w:uiPriority w:val="99"/>
    <w:rsid w:val="00DE64CD"/>
    <w:rPr>
      <w:rFonts w:ascii="Calibri" w:eastAsia="Calibri" w:hAnsi="Calibri" w:cs="Times New Roman"/>
    </w:rPr>
  </w:style>
  <w:style w:type="numbering" w:styleId="1ai">
    <w:name w:val="Outline List 1"/>
    <w:basedOn w:val="Sinlista"/>
    <w:uiPriority w:val="99"/>
    <w:unhideWhenUsed/>
    <w:rsid w:val="00DE64CD"/>
    <w:pPr>
      <w:numPr>
        <w:numId w:val="2"/>
      </w:numPr>
    </w:pPr>
  </w:style>
  <w:style w:type="table" w:styleId="Tablaclsica2">
    <w:name w:val="Table Classic 2"/>
    <w:basedOn w:val="Tablanormal"/>
    <w:rsid w:val="00DE64CD"/>
    <w:pPr>
      <w:spacing w:after="0" w:line="240" w:lineRule="auto"/>
      <w:jc w:val="both"/>
    </w:pPr>
    <w:rPr>
      <w:rFonts w:ascii="Times New Roman" w:eastAsia="Times New Roman" w:hAnsi="Times New Roman" w:cs="Times New Roman"/>
      <w:sz w:val="20"/>
      <w:szCs w:val="20"/>
      <w:lang w:eastAsia="es-E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DE64CD"/>
    <w:pPr>
      <w:spacing w:after="0" w:line="240" w:lineRule="auto"/>
      <w:jc w:val="both"/>
    </w:pPr>
    <w:rPr>
      <w:rFonts w:ascii="Times New Roman" w:eastAsia="Times New Roman" w:hAnsi="Times New Roman" w:cs="Times New Roman"/>
      <w:sz w:val="20"/>
      <w:szCs w:val="20"/>
      <w:lang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3">
    <w:name w:val="Table Classic 3"/>
    <w:basedOn w:val="Tablanormal"/>
    <w:rsid w:val="00DE64CD"/>
    <w:pPr>
      <w:spacing w:after="0" w:line="240" w:lineRule="auto"/>
      <w:jc w:val="both"/>
    </w:pPr>
    <w:rPr>
      <w:rFonts w:ascii="Times New Roman" w:eastAsia="Times New Roman" w:hAnsi="Times New Roman" w:cs="Times New Roman"/>
      <w:color w:val="000080"/>
      <w:sz w:val="20"/>
      <w:szCs w:val="20"/>
      <w:lang w:eastAsia="es-E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Cuadrculamedia3-nfasis1">
    <w:name w:val="Medium Grid 3 Accent 1"/>
    <w:basedOn w:val="Tablanormal"/>
    <w:uiPriority w:val="64"/>
    <w:rsid w:val="00DE64CD"/>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Sinespaciado">
    <w:name w:val="No Spacing"/>
    <w:link w:val="SinespaciadoCar"/>
    <w:uiPriority w:val="1"/>
    <w:qFormat/>
    <w:rsid w:val="00DE64CD"/>
    <w:pPr>
      <w:spacing w:after="0" w:line="240" w:lineRule="auto"/>
    </w:pPr>
    <w:rPr>
      <w:rFonts w:ascii="Calibri" w:eastAsia="Calibri" w:hAnsi="Calibri" w:cs="Times New Roman"/>
    </w:rPr>
  </w:style>
  <w:style w:type="paragraph" w:styleId="Revisin">
    <w:name w:val="Revision"/>
    <w:hidden/>
    <w:uiPriority w:val="99"/>
    <w:semiHidden/>
    <w:rsid w:val="00DE64CD"/>
    <w:pPr>
      <w:spacing w:after="0" w:line="240" w:lineRule="auto"/>
    </w:pPr>
    <w:rPr>
      <w:rFonts w:ascii="Calibri" w:eastAsia="Calibri" w:hAnsi="Calibri" w:cs="Times New Roman"/>
    </w:rPr>
  </w:style>
  <w:style w:type="paragraph" w:customStyle="1" w:styleId="PuntosC4">
    <w:name w:val="PuntosC4"/>
    <w:basedOn w:val="Normal"/>
    <w:link w:val="PuntosC4Car"/>
    <w:qFormat/>
    <w:rsid w:val="00DE64CD"/>
    <w:pPr>
      <w:ind w:left="792" w:hanging="432"/>
      <w:jc w:val="both"/>
    </w:pPr>
    <w:rPr>
      <w:rFonts w:ascii="ITC Avant Garde" w:eastAsia="Times New Roman" w:hAnsi="ITC Avant Garde" w:cs="Arial"/>
      <w:b/>
      <w:iCs/>
    </w:rPr>
  </w:style>
  <w:style w:type="paragraph" w:customStyle="1" w:styleId="Niv2Bullets">
    <w:name w:val="Niv2Bullets"/>
    <w:basedOn w:val="IFTnormal"/>
    <w:next w:val="IFTnormal"/>
    <w:autoRedefine/>
    <w:qFormat/>
    <w:rsid w:val="00DE64CD"/>
    <w:pPr>
      <w:numPr>
        <w:ilvl w:val="1"/>
        <w:numId w:val="3"/>
      </w:numPr>
      <w:ind w:left="1434" w:hanging="357"/>
      <w:contextualSpacing/>
      <w:outlineLvl w:val="1"/>
    </w:pPr>
  </w:style>
  <w:style w:type="paragraph" w:customStyle="1" w:styleId="ApartadoSub">
    <w:name w:val="ApartadoSub"/>
    <w:basedOn w:val="Normal"/>
    <w:qFormat/>
    <w:rsid w:val="00DE64CD"/>
    <w:pPr>
      <w:jc w:val="both"/>
    </w:pPr>
    <w:rPr>
      <w:rFonts w:ascii="ITC Avant Garde" w:hAnsi="ITC Avant Garde"/>
      <w:u w:val="single"/>
    </w:rPr>
  </w:style>
  <w:style w:type="paragraph" w:customStyle="1" w:styleId="ListaCitaOtras">
    <w:name w:val="ListaCitaOtras"/>
    <w:basedOn w:val="Citaift"/>
    <w:link w:val="ListaCitaOtrasCar"/>
    <w:qFormat/>
    <w:rsid w:val="00DE64CD"/>
    <w:pPr>
      <w:numPr>
        <w:numId w:val="5"/>
      </w:numPr>
      <w:ind w:left="1570" w:hanging="357"/>
    </w:pPr>
  </w:style>
  <w:style w:type="character" w:customStyle="1" w:styleId="ListaCitaOtrasCar">
    <w:name w:val="ListaCitaOtras Car"/>
    <w:basedOn w:val="CitaiftCar"/>
    <w:link w:val="ListaCitaOtras"/>
    <w:rsid w:val="00DE64CD"/>
    <w:rPr>
      <w:rFonts w:ascii="ITC Avant Garde" w:eastAsia="Times New Roman" w:hAnsi="ITC Avant Garde" w:cs="Arial"/>
      <w:i/>
      <w:color w:val="000000"/>
      <w:sz w:val="18"/>
      <w:szCs w:val="18"/>
      <w:lang w:eastAsia="es-ES"/>
    </w:rPr>
  </w:style>
  <w:style w:type="paragraph" w:customStyle="1" w:styleId="Titulo1">
    <w:name w:val="Titulo 1"/>
    <w:basedOn w:val="Prrafodelista"/>
    <w:next w:val="Normal"/>
    <w:qFormat/>
    <w:rsid w:val="00DE64CD"/>
    <w:pPr>
      <w:adjustRightInd w:val="0"/>
      <w:spacing w:after="0" w:line="240" w:lineRule="auto"/>
      <w:ind w:left="0"/>
      <w:jc w:val="both"/>
    </w:pPr>
    <w:rPr>
      <w:rFonts w:ascii="ITC Avant Garde" w:eastAsia="Times New Roman" w:hAnsi="ITC Avant Garde" w:cs="Arial"/>
      <w:b/>
      <w:bCs/>
      <w:color w:val="000000"/>
      <w:lang w:val="es-ES" w:eastAsia="es-ES"/>
    </w:rPr>
  </w:style>
  <w:style w:type="table" w:styleId="Sombreadomedio2-nfasis1">
    <w:name w:val="Medium Shading 2 Accent 1"/>
    <w:basedOn w:val="Tablanormal"/>
    <w:uiPriority w:val="64"/>
    <w:rsid w:val="00DE64CD"/>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Listavistosa-nfasis1Car">
    <w:name w:val="Lista vistosa - Énfasis 1 Car"/>
    <w:link w:val="Listavistosa-nfasis1"/>
    <w:uiPriority w:val="34"/>
    <w:semiHidden/>
    <w:rsid w:val="00DE64CD"/>
    <w:rPr>
      <w:sz w:val="22"/>
      <w:szCs w:val="22"/>
      <w:lang w:eastAsia="en-US"/>
    </w:rPr>
  </w:style>
  <w:style w:type="table" w:styleId="Listavistosa-nfasis1">
    <w:name w:val="Colorful List Accent 1"/>
    <w:basedOn w:val="Tablanormal"/>
    <w:link w:val="Listavistosa-nfasis1Car"/>
    <w:uiPriority w:val="34"/>
    <w:semiHidden/>
    <w:unhideWhenUsed/>
    <w:rsid w:val="00DE64CD"/>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PuntosC5">
    <w:name w:val="PuntosC5"/>
    <w:basedOn w:val="PuntosC4"/>
    <w:link w:val="PuntosC5Car"/>
    <w:qFormat/>
    <w:rsid w:val="00DE64CD"/>
    <w:pPr>
      <w:numPr>
        <w:ilvl w:val="1"/>
        <w:numId w:val="6"/>
      </w:numPr>
    </w:pPr>
  </w:style>
  <w:style w:type="paragraph" w:customStyle="1" w:styleId="Niv2C4">
    <w:name w:val="Niv2C4"/>
    <w:basedOn w:val="Subttulo"/>
    <w:qFormat/>
    <w:rsid w:val="00DE64CD"/>
    <w:pPr>
      <w:ind w:left="1224" w:hanging="504"/>
    </w:pPr>
  </w:style>
  <w:style w:type="character" w:customStyle="1" w:styleId="PuntosC4Car">
    <w:name w:val="PuntosC4 Car"/>
    <w:basedOn w:val="Fuentedeprrafopredeter"/>
    <w:link w:val="PuntosC4"/>
    <w:rsid w:val="00DE64CD"/>
    <w:rPr>
      <w:rFonts w:ascii="ITC Avant Garde" w:eastAsia="Times New Roman" w:hAnsi="ITC Avant Garde" w:cs="Arial"/>
      <w:b/>
      <w:iCs/>
    </w:rPr>
  </w:style>
  <w:style w:type="character" w:customStyle="1" w:styleId="PuntosC5Car">
    <w:name w:val="PuntosC5 Car"/>
    <w:basedOn w:val="PuntosC4Car"/>
    <w:link w:val="PuntosC5"/>
    <w:rsid w:val="00DE64CD"/>
    <w:rPr>
      <w:rFonts w:ascii="ITC Avant Garde" w:eastAsia="Times New Roman" w:hAnsi="ITC Avant Garde" w:cs="Arial"/>
      <w:b/>
      <w:iCs/>
    </w:rPr>
  </w:style>
  <w:style w:type="paragraph" w:customStyle="1" w:styleId="Niv3C4">
    <w:name w:val="Niv3C4"/>
    <w:basedOn w:val="Subttulo"/>
    <w:qFormat/>
    <w:rsid w:val="00DE64CD"/>
    <w:pPr>
      <w:ind w:left="1728" w:hanging="648"/>
    </w:pPr>
  </w:style>
  <w:style w:type="paragraph" w:customStyle="1" w:styleId="TxtListado">
    <w:name w:val="TxtListado"/>
    <w:basedOn w:val="Normal"/>
    <w:qFormat/>
    <w:rsid w:val="00DE64CD"/>
    <w:rPr>
      <w:rFonts w:ascii="ITC Avant Garde" w:hAnsi="ITC Avant Garde"/>
      <w:sz w:val="20"/>
      <w:szCs w:val="20"/>
      <w:lang w:eastAsia="es-ES"/>
    </w:rPr>
  </w:style>
  <w:style w:type="paragraph" w:styleId="Textonotapie">
    <w:name w:val="footnote text"/>
    <w:aliases w:val="Footnote Text Char3,Footnote Text Char2 Char,Footnote Text Char Char Char1 Char,Footnote Text Char1 Char1 Char,Footnote Text Char Char Char2,Footnote Text Char Char Char Char,Footnote Text Char1 Char Char Char Char,ALTS FOOTNOTE,Car,5_G"/>
    <w:basedOn w:val="Normal"/>
    <w:link w:val="TextonotapieCar"/>
    <w:uiPriority w:val="99"/>
    <w:unhideWhenUsed/>
    <w:qFormat/>
    <w:rsid w:val="00DE64CD"/>
    <w:pPr>
      <w:spacing w:after="0" w:line="240" w:lineRule="auto"/>
    </w:pPr>
    <w:rPr>
      <w:sz w:val="20"/>
      <w:szCs w:val="20"/>
    </w:rPr>
  </w:style>
  <w:style w:type="character" w:customStyle="1" w:styleId="TextonotapieCar">
    <w:name w:val="Texto nota pie Car"/>
    <w:aliases w:val="Footnote Text Char3 Car,Footnote Text Char2 Char Car,Footnote Text Char Char Char1 Char Car,Footnote Text Char1 Char1 Char Car,Footnote Text Char Char Char2 Car,Footnote Text Char Char Char Char Car,ALTS FOOTNOTE Car,Car Car,5_G Car"/>
    <w:basedOn w:val="Fuentedeprrafopredeter"/>
    <w:link w:val="Textonotapie"/>
    <w:uiPriority w:val="99"/>
    <w:rsid w:val="00DE64CD"/>
    <w:rPr>
      <w:rFonts w:ascii="Calibri" w:eastAsia="Calibri" w:hAnsi="Calibri" w:cs="Times New Roman"/>
      <w:sz w:val="20"/>
      <w:szCs w:val="20"/>
    </w:rPr>
  </w:style>
  <w:style w:type="paragraph" w:styleId="Mapadeldocumento">
    <w:name w:val="Document Map"/>
    <w:basedOn w:val="Normal"/>
    <w:link w:val="MapadeldocumentoCar"/>
    <w:semiHidden/>
    <w:unhideWhenUsed/>
    <w:rsid w:val="00DE64CD"/>
    <w:pPr>
      <w:spacing w:after="0" w:line="240" w:lineRule="auto"/>
    </w:pPr>
    <w:rPr>
      <w:rFonts w:ascii="Lucida Grande" w:hAnsi="Lucida Grande" w:cs="Lucida Grande"/>
      <w:sz w:val="24"/>
      <w:szCs w:val="24"/>
    </w:rPr>
  </w:style>
  <w:style w:type="character" w:customStyle="1" w:styleId="MapadeldocumentoCar">
    <w:name w:val="Mapa del documento Car"/>
    <w:basedOn w:val="Fuentedeprrafopredeter"/>
    <w:link w:val="Mapadeldocumento"/>
    <w:semiHidden/>
    <w:rsid w:val="00DE64CD"/>
    <w:rPr>
      <w:rFonts w:ascii="Lucida Grande" w:eastAsia="Calibri" w:hAnsi="Lucida Grande" w:cs="Lucida Grande"/>
      <w:sz w:val="24"/>
      <w:szCs w:val="24"/>
    </w:rPr>
  </w:style>
  <w:style w:type="character" w:customStyle="1" w:styleId="IFTnormalCar">
    <w:name w:val="IFT normal Car"/>
    <w:basedOn w:val="Fuentedeprrafopredeter"/>
    <w:link w:val="IFTnormal"/>
    <w:qFormat/>
    <w:rsid w:val="00DE64CD"/>
    <w:rPr>
      <w:rFonts w:ascii="ITC Avant Garde" w:eastAsia="Calibri" w:hAnsi="ITC Avant Garde" w:cs="Arial"/>
      <w:color w:val="000000"/>
      <w:lang w:val="es-ES_tradnl" w:eastAsia="es-ES"/>
    </w:rPr>
  </w:style>
  <w:style w:type="paragraph" w:customStyle="1" w:styleId="CitaIFT0">
    <w:name w:val="Cita IFT"/>
    <w:basedOn w:val="IFTTexto"/>
    <w:link w:val="CitaIFTCar0"/>
    <w:qFormat/>
    <w:rsid w:val="00DE64CD"/>
    <w:pPr>
      <w:adjustRightInd w:val="0"/>
      <w:ind w:left="851" w:right="760"/>
    </w:pPr>
    <w:rPr>
      <w:rFonts w:eastAsia="Times New Roman"/>
      <w:bCs/>
      <w:i/>
      <w:sz w:val="18"/>
      <w:szCs w:val="18"/>
    </w:rPr>
  </w:style>
  <w:style w:type="character" w:customStyle="1" w:styleId="CitaIFTCar0">
    <w:name w:val="Cita IFT Car"/>
    <w:link w:val="CitaIFT0"/>
    <w:rsid w:val="00DE64CD"/>
    <w:rPr>
      <w:rFonts w:ascii="ITC Avant Garde" w:eastAsia="Times New Roman" w:hAnsi="ITC Avant Garde" w:cs="Arial"/>
      <w:bCs/>
      <w:i/>
      <w:color w:val="000000"/>
      <w:sz w:val="18"/>
      <w:szCs w:val="18"/>
      <w:lang w:val="es-ES_tradnl" w:eastAsia="es-ES"/>
    </w:rPr>
  </w:style>
  <w:style w:type="paragraph" w:customStyle="1" w:styleId="IFTTexto">
    <w:name w:val="IFT Texto"/>
    <w:link w:val="IFTTextoCar"/>
    <w:qFormat/>
    <w:rsid w:val="00DE64CD"/>
    <w:pPr>
      <w:spacing w:after="200" w:line="276" w:lineRule="auto"/>
      <w:jc w:val="both"/>
    </w:pPr>
    <w:rPr>
      <w:rFonts w:ascii="ITC Avant Garde" w:eastAsia="Calibri" w:hAnsi="ITC Avant Garde" w:cs="Arial"/>
      <w:color w:val="000000"/>
      <w:lang w:val="es-ES_tradnl" w:eastAsia="es-ES"/>
    </w:rPr>
  </w:style>
  <w:style w:type="character" w:customStyle="1" w:styleId="IFTTextoCar">
    <w:name w:val="IFT Texto Car"/>
    <w:basedOn w:val="Fuentedeprrafopredeter"/>
    <w:link w:val="IFTTexto"/>
    <w:rsid w:val="00DE64CD"/>
    <w:rPr>
      <w:rFonts w:ascii="ITC Avant Garde" w:eastAsia="Calibri" w:hAnsi="ITC Avant Garde" w:cs="Arial"/>
      <w:color w:val="000000"/>
      <w:lang w:val="es-ES_tradnl" w:eastAsia="es-ES"/>
    </w:rPr>
  </w:style>
  <w:style w:type="paragraph" w:customStyle="1" w:styleId="Texto">
    <w:name w:val="Texto"/>
    <w:basedOn w:val="Normal"/>
    <w:link w:val="TextoCar"/>
    <w:rsid w:val="00DE64CD"/>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DE64CD"/>
    <w:rPr>
      <w:rFonts w:ascii="Arial" w:eastAsia="Times New Roman" w:hAnsi="Arial" w:cs="Arial"/>
      <w:sz w:val="18"/>
      <w:szCs w:val="20"/>
      <w:lang w:val="es-ES" w:eastAsia="es-ES"/>
    </w:rPr>
  </w:style>
  <w:style w:type="paragraph" w:styleId="TDC1">
    <w:name w:val="toc 1"/>
    <w:basedOn w:val="Normal"/>
    <w:next w:val="Normal"/>
    <w:autoRedefine/>
    <w:uiPriority w:val="39"/>
    <w:unhideWhenUsed/>
    <w:rsid w:val="00DE64CD"/>
    <w:pPr>
      <w:tabs>
        <w:tab w:val="left" w:pos="440"/>
        <w:tab w:val="right" w:leader="dot" w:pos="9394"/>
      </w:tabs>
      <w:spacing w:after="100" w:line="259" w:lineRule="auto"/>
    </w:pPr>
    <w:rPr>
      <w:rFonts w:asciiTheme="minorHAnsi" w:eastAsiaTheme="minorEastAsia" w:hAnsiTheme="minorHAnsi"/>
      <w:lang w:val="en-US"/>
    </w:rPr>
  </w:style>
  <w:style w:type="paragraph" w:customStyle="1" w:styleId="Tablecells">
    <w:name w:val="Table: cells"/>
    <w:qFormat/>
    <w:rsid w:val="00DE64CD"/>
    <w:pPr>
      <w:spacing w:before="40" w:after="40" w:line="240" w:lineRule="exact"/>
      <w:ind w:right="113"/>
    </w:pPr>
    <w:rPr>
      <w:rFonts w:ascii="Arial" w:hAnsi="Arial"/>
      <w:sz w:val="18"/>
      <w:lang w:val="en-GB"/>
    </w:rPr>
  </w:style>
  <w:style w:type="paragraph" w:customStyle="1" w:styleId="Tableheading">
    <w:name w:val="Table: heading"/>
    <w:basedOn w:val="Tablecells"/>
    <w:next w:val="Tablecells"/>
    <w:qFormat/>
    <w:rsid w:val="00DE64CD"/>
    <w:pPr>
      <w:keepNext/>
    </w:pPr>
    <w:rPr>
      <w:b/>
      <w:color w:val="FFFFFF"/>
    </w:rPr>
  </w:style>
  <w:style w:type="table" w:styleId="Tabladecuadrcula1clara">
    <w:name w:val="Grid Table 1 Light"/>
    <w:basedOn w:val="Tablanormal"/>
    <w:uiPriority w:val="99"/>
    <w:rsid w:val="00DE64C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Textodelmarcadordeposicin">
    <w:name w:val="Placeholder Text"/>
    <w:basedOn w:val="Fuentedeprrafopredeter"/>
    <w:uiPriority w:val="99"/>
    <w:semiHidden/>
    <w:rsid w:val="00DE64CD"/>
    <w:rPr>
      <w:color w:val="808080"/>
    </w:rPr>
  </w:style>
  <w:style w:type="table" w:customStyle="1" w:styleId="myTable">
    <w:name w:val="myTable"/>
    <w:uiPriority w:val="99"/>
    <w:rsid w:val="00DE64CD"/>
    <w:pPr>
      <w:spacing w:after="200" w:line="276" w:lineRule="auto"/>
    </w:pPr>
    <w:rPr>
      <w:rFonts w:ascii="Arial" w:eastAsia="Arial" w:hAnsi="Arial" w:cs="Arial"/>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CellMar>
        <w:top w:w="50" w:type="dxa"/>
        <w:left w:w="50" w:type="dxa"/>
        <w:bottom w:w="0" w:type="dxa"/>
        <w:right w:w="50" w:type="dxa"/>
      </w:tblCellMar>
    </w:tblPr>
    <w:tblStylePr w:type="firstRow">
      <w:tblPr/>
      <w:tcPr>
        <w:shd w:val="clear" w:color="auto" w:fill="CC3300"/>
      </w:tcPr>
    </w:tblStylePr>
  </w:style>
  <w:style w:type="character" w:customStyle="1" w:styleId="SinespaciadoCar">
    <w:name w:val="Sin espaciado Car"/>
    <w:basedOn w:val="Fuentedeprrafopredeter"/>
    <w:link w:val="Sinespaciado"/>
    <w:uiPriority w:val="1"/>
    <w:rsid w:val="00DE64CD"/>
    <w:rPr>
      <w:rFonts w:ascii="Calibri" w:eastAsia="Calibri" w:hAnsi="Calibri" w:cs="Times New Roman"/>
    </w:rPr>
  </w:style>
  <w:style w:type="paragraph" w:customStyle="1" w:styleId="Default">
    <w:name w:val="Default"/>
    <w:rsid w:val="00DE64CD"/>
    <w:pPr>
      <w:autoSpaceDE w:val="0"/>
      <w:autoSpaceDN w:val="0"/>
      <w:adjustRightInd w:val="0"/>
      <w:spacing w:after="0" w:line="240" w:lineRule="auto"/>
    </w:pPr>
    <w:rPr>
      <w:rFonts w:ascii="ITC Avant Garde" w:hAnsi="ITC Avant Garde" w:cs="ITC Avant Garde"/>
      <w:color w:val="000000"/>
      <w:sz w:val="24"/>
      <w:szCs w:val="24"/>
    </w:rPr>
  </w:style>
  <w:style w:type="paragraph" w:styleId="Descripcin">
    <w:name w:val="caption"/>
    <w:aliases w:val="Caption (ALL),Caption (all),Inscription,Beschriftung Char Char Char,Beschriftung Char,Caption2,figura,figura1,figura2,ITT d,Table Title,Caption - Centre Graphic,cp + Justified,Left:  2,5 cm,First ...,cp,ref,Fig &amp; Table Title,CaptionCFMU,Ca,C"/>
    <w:basedOn w:val="Normal"/>
    <w:next w:val="Normal"/>
    <w:link w:val="DescripcinCar"/>
    <w:uiPriority w:val="99"/>
    <w:qFormat/>
    <w:rsid w:val="00DE64CD"/>
    <w:pPr>
      <w:spacing w:before="120" w:after="120" w:line="360" w:lineRule="auto"/>
      <w:jc w:val="center"/>
    </w:pPr>
    <w:rPr>
      <w:rFonts w:ascii="Arial" w:eastAsia="Times New Roman" w:hAnsi="Arial"/>
      <w:b/>
      <w:bCs/>
      <w:color w:val="CC3300"/>
      <w:sz w:val="20"/>
      <w:szCs w:val="20"/>
      <w:lang w:val="en-GB" w:eastAsia="fr-FR"/>
    </w:rPr>
  </w:style>
  <w:style w:type="character" w:customStyle="1" w:styleId="DescripcinCar">
    <w:name w:val="Descripción Car"/>
    <w:aliases w:val="Caption (ALL) Car,Caption (all) Car,Inscription Car,Beschriftung Char Char Char Car,Beschriftung Char Car,Caption2 Car,figura Car,figura1 Car,figura2 Car,ITT d Car,Table Title Car,Caption - Centre Graphic Car,cp + Justified Car,5 cm Car"/>
    <w:link w:val="Descripcin"/>
    <w:uiPriority w:val="99"/>
    <w:locked/>
    <w:rsid w:val="00DE64CD"/>
    <w:rPr>
      <w:rFonts w:ascii="Arial" w:eastAsia="Times New Roman" w:hAnsi="Arial" w:cs="Times New Roman"/>
      <w:b/>
      <w:bCs/>
      <w:color w:val="CC3300"/>
      <w:sz w:val="20"/>
      <w:szCs w:val="20"/>
      <w:lang w:val="en-GB" w:eastAsia="fr-FR"/>
    </w:rPr>
  </w:style>
  <w:style w:type="paragraph" w:customStyle="1" w:styleId="Source">
    <w:name w:val="Source"/>
    <w:basedOn w:val="Normal"/>
    <w:link w:val="SourceCar"/>
    <w:qFormat/>
    <w:rsid w:val="00DE64CD"/>
    <w:pPr>
      <w:spacing w:before="240" w:after="0" w:line="300" w:lineRule="auto"/>
      <w:jc w:val="right"/>
    </w:pPr>
    <w:rPr>
      <w:rFonts w:ascii="Arial" w:eastAsia="Times New Roman" w:hAnsi="Arial"/>
      <w:color w:val="808080" w:themeColor="background1" w:themeShade="80"/>
      <w:sz w:val="16"/>
      <w:szCs w:val="24"/>
      <w:lang w:val="fr-FR" w:eastAsia="fr-FR"/>
    </w:rPr>
  </w:style>
  <w:style w:type="character" w:customStyle="1" w:styleId="SourceCar">
    <w:name w:val="Source Car"/>
    <w:basedOn w:val="Fuentedeprrafopredeter"/>
    <w:link w:val="Source"/>
    <w:rsid w:val="00DE64CD"/>
    <w:rPr>
      <w:rFonts w:ascii="Arial" w:eastAsia="Times New Roman" w:hAnsi="Arial" w:cs="Times New Roman"/>
      <w:color w:val="808080" w:themeColor="background1" w:themeShade="80"/>
      <w:sz w:val="16"/>
      <w:szCs w:val="24"/>
      <w:lang w:val="fr-FR" w:eastAsia="fr-FR"/>
    </w:rPr>
  </w:style>
  <w:style w:type="paragraph" w:styleId="TtuloTDC">
    <w:name w:val="TOC Heading"/>
    <w:basedOn w:val="Ttulo1"/>
    <w:next w:val="Normal"/>
    <w:uiPriority w:val="39"/>
    <w:unhideWhenUsed/>
    <w:qFormat/>
    <w:rsid w:val="00EA6D98"/>
    <w:pPr>
      <w:keepNext/>
      <w:keepLines/>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val="es-MX" w:eastAsia="es-MX"/>
    </w:rPr>
  </w:style>
  <w:style w:type="paragraph" w:styleId="TDC2">
    <w:name w:val="toc 2"/>
    <w:basedOn w:val="Normal"/>
    <w:next w:val="Normal"/>
    <w:autoRedefine/>
    <w:uiPriority w:val="39"/>
    <w:unhideWhenUsed/>
    <w:rsid w:val="002046B8"/>
    <w:pPr>
      <w:tabs>
        <w:tab w:val="left" w:pos="880"/>
        <w:tab w:val="right" w:leader="dot" w:pos="8828"/>
      </w:tabs>
      <w:spacing w:after="100"/>
      <w:ind w:left="220"/>
    </w:pPr>
  </w:style>
  <w:style w:type="paragraph" w:styleId="TDC3">
    <w:name w:val="toc 3"/>
    <w:basedOn w:val="Normal"/>
    <w:next w:val="Normal"/>
    <w:autoRedefine/>
    <w:uiPriority w:val="39"/>
    <w:unhideWhenUsed/>
    <w:rsid w:val="00EA6D98"/>
    <w:pPr>
      <w:spacing w:after="100"/>
      <w:ind w:left="440"/>
    </w:pPr>
  </w:style>
  <w:style w:type="paragraph" w:customStyle="1" w:styleId="IFTlet">
    <w:name w:val="IFT let"/>
    <w:basedOn w:val="Normal"/>
    <w:link w:val="IFTletCar"/>
    <w:qFormat/>
    <w:rsid w:val="007E3A10"/>
    <w:pPr>
      <w:spacing w:after="160" w:line="259" w:lineRule="auto"/>
      <w:jc w:val="both"/>
    </w:pPr>
    <w:rPr>
      <w:rFonts w:ascii="Arial" w:eastAsia="Times New Roman" w:hAnsi="Arial" w:cs="Arial"/>
    </w:rPr>
  </w:style>
  <w:style w:type="character" w:customStyle="1" w:styleId="IFTletCar">
    <w:name w:val="IFT let Car"/>
    <w:basedOn w:val="Fuentedeprrafopredeter"/>
    <w:link w:val="IFTlet"/>
    <w:rsid w:val="007E3A10"/>
    <w:rPr>
      <w:rFonts w:ascii="Arial" w:eastAsia="Times New Roman" w:hAnsi="Arial" w:cs="Arial"/>
    </w:rPr>
  </w:style>
  <w:style w:type="paragraph" w:styleId="Textonotaalfinal">
    <w:name w:val="endnote text"/>
    <w:basedOn w:val="Normal"/>
    <w:link w:val="TextonotaalfinalCar"/>
    <w:uiPriority w:val="99"/>
    <w:semiHidden/>
    <w:unhideWhenUsed/>
    <w:rsid w:val="00A040C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040C9"/>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A040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430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settings" Target="settings.xml"/><Relationship Id="rId12" Type="http://schemas.microsoft.com/office/2014/relationships/chartEx" Target="charts/chartEx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downloads.telmex.com/pdf/cond-serv-telefonia-basica.pdf?_ga=2.243445381.1423765675.1536854933-825438508.1517963246" TargetMode="External"/><Relationship Id="rId3" Type="http://schemas.openxmlformats.org/officeDocument/2006/relationships/hyperlink" Target="http://www.ift.org.mx/sites/default/files/conocenos/pleno/sesiones/acuerdoliga/piftext11121824.pdf" TargetMode="External"/><Relationship Id="rId7" Type="http://schemas.openxmlformats.org/officeDocument/2006/relationships/hyperlink" Target="http://www.ift.org.mx/sites/default/files/contenidogeneral/autoridad-investigadora/estudiosobreempaquetamientoydescuentodelosserviciosfijosdetelecomunicaciones-1.pdf" TargetMode="External"/><Relationship Id="rId12" Type="http://schemas.openxmlformats.org/officeDocument/2006/relationships/hyperlink" Target="http://s22.q4cdn.com/604986553/files/doc_financials/annual/2017/2017-annual-report-on-form-20-f.pdf" TargetMode="External"/><Relationship Id="rId2" Type="http://schemas.openxmlformats.org/officeDocument/2006/relationships/hyperlink" Target="http://www.ift.org.mx/sites/default/files/conocenos/pleno/sesiones/acuerdoliga/pift081117683_1.pdf" TargetMode="External"/><Relationship Id="rId1" Type="http://schemas.openxmlformats.org/officeDocument/2006/relationships/hyperlink" Target="https://bit.ift.org.mx/BitWebApp/" TargetMode="External"/><Relationship Id="rId6" Type="http://schemas.openxmlformats.org/officeDocument/2006/relationships/hyperlink" Target="https://downloads.telmex.com/pdf/infoRelevante_ClaroVideo.pdf?_ga=2.244867717.1423765675.1536854933-825438508.1517963246" TargetMode="External"/><Relationship Id="rId11" Type="http://schemas.openxmlformats.org/officeDocument/2006/relationships/hyperlink" Target="https://www.cnmc.es/sites/default/files/1530182_13.pdf" TargetMode="External"/><Relationship Id="rId5" Type="http://schemas.openxmlformats.org/officeDocument/2006/relationships/hyperlink" Target="https://downloads.telmex.com/pdf/servicios-digitales.pdf" TargetMode="External"/><Relationship Id="rId10" Type="http://schemas.openxmlformats.org/officeDocument/2006/relationships/hyperlink" Target="https://s22.q4cdn.com/604986553/files/doc_financials/2019/ar/2019-20-F-EN.pdf" TargetMode="External"/><Relationship Id="rId4" Type="http://schemas.openxmlformats.org/officeDocument/2006/relationships/hyperlink" Target="http://www.ift.org.mx/sites/default/files/conocenos/pleno/sesiones/acuerdoliga/piftext24111637anexos_1.pdf" TargetMode="External"/><Relationship Id="rId9" Type="http://schemas.openxmlformats.org/officeDocument/2006/relationships/hyperlink" Target="https://www.clarovideo.com/fe/sitesplus/sk_telmex/html/esp/faqs.html"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Hoja_de_c_lculo_de_Microsoft_Excel.xlsx"/></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Hoja1!$A$2:$A$5</cx:f>
        <cx:lvl ptCount="4">
          <cx:pt idx="0">Precio minorista</cx:pt>
          <cx:pt idx="1">Precio implícito de 
servicios de internet</cx:pt>
          <cx:pt idx="2">Precio implícito de 
   servicios de voz</cx:pt>
          <cx:pt idx="3">Precio implícito de 
     otros servicios</cx:pt>
        </cx:lvl>
      </cx:strDim>
      <cx:numDim type="val">
        <cx:f>Hoja1!$B$2:$B$5</cx:f>
        <cx:lvl ptCount="4" formatCode="Estándar">
          <cx:pt idx="0">120</cx:pt>
          <cx:pt idx="1">-65</cx:pt>
          <cx:pt idx="2">-25</cx:pt>
          <cx:pt idx="3">-30</cx:pt>
        </cx:lvl>
      </cx:numDim>
    </cx:data>
  </cx:chartData>
  <cx:chart>
    <cx:title pos="t" align="ctr" overlay="0">
      <cx:tx>
        <cx:txData>
          <cx:v/>
        </cx:txData>
      </cx:tx>
      <cx:txPr>
        <a:bodyPr spcFirstLastPara="1" vertOverflow="ellipsis" wrap="square" lIns="0" tIns="0" rIns="0" bIns="0" anchor="ctr" anchorCtr="1"/>
        <a:lstStyle/>
        <a:p>
          <a:pPr algn="ctr">
            <a:defRPr/>
          </a:pPr>
          <a:endParaRPr lang="es-MX" dirty="0"/>
        </a:p>
      </cx:txPr>
    </cx:title>
    <cx:plotArea>
      <cx:plotAreaRegion>
        <cx:series layoutId="waterfall" uniqueId="{319A90F0-D75C-48CA-B6D3-DC5C29089F63}">
          <cx:tx>
            <cx:txData>
              <cx:f>Hoja1!$B$1</cx:f>
              <cx:v>Serie1</cx:v>
            </cx:txData>
          </cx:tx>
          <cx:spPr>
            <a:pattFill prst="pct5">
              <a:fgClr>
                <a:schemeClr val="tx1"/>
              </a:fgClr>
              <a:bgClr>
                <a:schemeClr val="bg1"/>
              </a:bgClr>
            </a:pattFill>
          </cx:spPr>
          <cx:dataPt idx="0">
            <cx:spPr>
              <a:noFill/>
              <a:ln w="19050">
                <a:solidFill>
                  <a:schemeClr val="tx1"/>
                </a:solidFill>
              </a:ln>
            </cx:spPr>
          </cx:dataPt>
          <cx:dataPt idx="2">
            <cx:spPr>
              <a:pattFill prst="pct75"/>
            </cx:spPr>
          </cx:dataPt>
          <cx:dataPt idx="3">
            <cx:spPr>
              <a:pattFill prst="wdDnDiag"/>
            </cx:spPr>
          </cx:dataPt>
          <cx:dataId val="0"/>
          <cx:layoutPr>
            <cx:subtotals/>
          </cx:layoutPr>
        </cx:series>
      </cx:plotAreaRegion>
      <cx:axis id="0">
        <cx:catScaling gapWidth="0.5"/>
        <cx:tickLabels/>
        <cx:numFmt formatCode="#,##0;-#,##0" sourceLinked="0"/>
        <cx:txPr>
          <a:bodyPr spcFirstLastPara="1" vertOverflow="ellipsis" wrap="square" lIns="0" tIns="0" rIns="0" bIns="0" anchor="ctr" anchorCtr="1"/>
          <a:lstStyle/>
          <a:p>
            <a:pPr>
              <a:defRPr sz="800" b="1" i="0" baseline="0">
                <a:latin typeface="ITC Avant Garde" panose="020B0402020203020304" pitchFamily="34" charset="0"/>
              </a:defRPr>
            </a:pPr>
            <a:endParaRPr lang="es-MX" sz="800" b="1" i="0" baseline="0">
              <a:latin typeface="ITC Avant Garde" panose="020B0402020203020304" pitchFamily="34" charset="0"/>
            </a:endParaRPr>
          </a:p>
        </cx:txPr>
      </cx:axis>
      <cx:axis id="1" hidden="1">
        <cx:valScaling max="120"/>
        <cx:tickLabels/>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96">
  <cs:axisTitle>
    <cs:lnRef idx="0"/>
    <cs:fillRef idx="0"/>
    <cs:effectRef idx="0"/>
    <cs:fontRef idx="minor">
      <a:schemeClr val="tx1">
        <a:lumMod val="65000"/>
        <a:lumOff val="35000"/>
      </a:schemeClr>
    </cs:fontRef>
    <cs:defRPr sz="900" b="1" kern="1200"/>
    <cs:bodyPr/>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bodyPr lIns="38100" tIns="19050" rIns="38100" bIns="19050">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solidFill>
        <a:schemeClr val="phClr"/>
      </a:solid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25000"/>
            <a:lumOff val="7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dropLine>
  <cs:errorBar>
    <cs:lnRef idx="0"/>
    <cs:fillRef idx="0"/>
    <cs:effectRef idx="0"/>
    <cs:fontRef idx="minor">
      <a:schemeClr val="dk1"/>
    </cs:fontRef>
  </cs:errorBar>
  <cs:floor>
    <cs:lnRef idx="0"/>
    <cs:fillRef idx="0"/>
    <cs:effectRef idx="0"/>
    <cs:fontRef idx="minor">
      <a:schemeClr val="dk1"/>
    </cs:fontRef>
  </cs:floor>
  <cs:gridlineMajor>
    <cs:lnRef idx="0"/>
    <cs:fillRef idx="0"/>
    <cs:effectRef idx="0"/>
    <cs:fontRef idx="minor">
      <a:schemeClr val="dk1"/>
    </cs:fontRef>
    <cs:spPr>
      <a:ln>
        <a:solidFill>
          <a:schemeClr val="tx1">
            <a:lumMod val="25000"/>
            <a:lumOff val="75000"/>
          </a:schemeClr>
        </a:solidFill>
      </a:ln>
    </cs:spPr>
  </cs:gridlineMajor>
  <cs:gridlineMinor>
    <cs:lnRef idx="0"/>
    <cs:fillRef idx="0"/>
    <cs:effectRef idx="0"/>
    <cs:fontRef idx="minor">
      <a:schemeClr val="dk1"/>
    </cs:fontRef>
    <cs:spPr>
      <a:ln>
        <a:solidFill>
          <a:schemeClr val="tx1">
            <a:lumMod val="25000"/>
            <a:lumOff val="75000"/>
            <a:lumOff val="10000"/>
          </a:schemeClr>
        </a:solidFill>
      </a:ln>
    </cs:spPr>
  </cs:gridlineMinor>
  <cs:hiLoLine>
    <cs:lnRef idx="0"/>
    <cs:fillRef idx="0"/>
    <cs:effectRef idx="0"/>
    <cs:fontRef idx="minor">
      <a:schemeClr val="dk1"/>
    </cs:fontRef>
  </cs:hiLoLine>
  <cs:leaderLine>
    <cs:lnRef idx="0"/>
    <cs:fillRef idx="0"/>
    <cs:effectRef idx="0"/>
    <cs:fontRef idx="minor">
      <a:schemeClr val="dk1"/>
    </cs:fontRef>
  </cs:leaderLine>
  <cs:legend>
    <cs:lnRef idx="0"/>
    <cs:fillRef idx="0"/>
    <cs:effectRef idx="0"/>
    <cs:fontRef idx="minor">
      <a:schemeClr val="tx1">
        <a:lumMod val="65000"/>
        <a:lumOff val="35000"/>
      </a:schemeClr>
    </cs:fontRef>
    <cs:defRPr sz="900" kern="1200"/>
    <cs:bodyPr/>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5073AA3ABB3494C9E08B7E748F430F5"/>
        <w:category>
          <w:name w:val="General"/>
          <w:gallery w:val="placeholder"/>
        </w:category>
        <w:types>
          <w:type w:val="bbPlcHdr"/>
        </w:types>
        <w:behaviors>
          <w:behavior w:val="content"/>
        </w:behaviors>
        <w:guid w:val="{E8F1BB02-4A5C-4686-BB0B-0D9E9C5830AC}"/>
      </w:docPartPr>
      <w:docPartBody>
        <w:p w:rsidR="00B6021F" w:rsidRDefault="00B6021F" w:rsidP="00B6021F">
          <w:pPr>
            <w:pStyle w:val="45073AA3ABB3494C9E08B7E748F430F5"/>
          </w:pPr>
          <w:r>
            <w:rPr>
              <w:color w:val="2E74B5" w:themeColor="accent1" w:themeShade="BF"/>
              <w:sz w:val="24"/>
              <w:szCs w:val="24"/>
              <w:lang w:val="es-ES"/>
            </w:rPr>
            <w:t>[Nombre de la compañía]</w:t>
          </w:r>
        </w:p>
      </w:docPartBody>
    </w:docPart>
    <w:docPart>
      <w:docPartPr>
        <w:name w:val="E2041FADD2D846EF8EFE21AC092ADC34"/>
        <w:category>
          <w:name w:val="General"/>
          <w:gallery w:val="placeholder"/>
        </w:category>
        <w:types>
          <w:type w:val="bbPlcHdr"/>
        </w:types>
        <w:behaviors>
          <w:behavior w:val="content"/>
        </w:behaviors>
        <w:guid w:val="{A6B297CF-10A4-4A9A-B9C6-65B1FD2F3376}"/>
      </w:docPartPr>
      <w:docPartBody>
        <w:p w:rsidR="00770299" w:rsidRDefault="00B6021F">
          <w:pPr>
            <w:pStyle w:val="E2041FADD2D846EF8EFE21AC092ADC34"/>
          </w:pPr>
          <w:r>
            <w:rPr>
              <w:rFonts w:asciiTheme="majorHAnsi" w:eastAsiaTheme="majorEastAsia" w:hAnsiTheme="majorHAnsi" w:cstheme="majorBidi"/>
              <w:color w:val="5B9BD5" w:themeColor="accent1"/>
              <w:sz w:val="88"/>
              <w:szCs w:val="88"/>
              <w:lang w:val="es-ES"/>
            </w:rPr>
            <w:t>[Título del documento]</w:t>
          </w:r>
        </w:p>
      </w:docPartBody>
    </w:docPart>
    <w:docPart>
      <w:docPartPr>
        <w:name w:val="91571F7E5BE241CC82D45B3A5B7D12F0"/>
        <w:category>
          <w:name w:val="General"/>
          <w:gallery w:val="placeholder"/>
        </w:category>
        <w:types>
          <w:type w:val="bbPlcHdr"/>
        </w:types>
        <w:behaviors>
          <w:behavior w:val="content"/>
        </w:behaviors>
        <w:guid w:val="{0E7FC7C1-70E8-4C9B-9278-BE1AE8D8D518}"/>
      </w:docPartPr>
      <w:docPartBody>
        <w:p w:rsidR="00770299" w:rsidRDefault="00B6021F">
          <w:pPr>
            <w:pStyle w:val="91571F7E5BE241CC82D45B3A5B7D12F0"/>
          </w:pPr>
          <w:r>
            <w:rPr>
              <w:color w:val="2E74B5" w:themeColor="accent1" w:themeShade="BF"/>
              <w:sz w:val="24"/>
              <w:szCs w:val="24"/>
              <w:lang w:val="es-ES"/>
            </w:rPr>
            <w:t>[Subtítulo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21F"/>
    <w:rsid w:val="00116C84"/>
    <w:rsid w:val="00495F2B"/>
    <w:rsid w:val="005824A8"/>
    <w:rsid w:val="005F545E"/>
    <w:rsid w:val="00770299"/>
    <w:rsid w:val="007A3728"/>
    <w:rsid w:val="008E0446"/>
    <w:rsid w:val="00957CAB"/>
    <w:rsid w:val="00AD46D2"/>
    <w:rsid w:val="00B6021F"/>
    <w:rsid w:val="00B6249A"/>
    <w:rsid w:val="00C46BE5"/>
    <w:rsid w:val="00C72477"/>
    <w:rsid w:val="00CB6E67"/>
    <w:rsid w:val="00E96A45"/>
    <w:rsid w:val="00F51F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85AB3D63FD84F3C948F7508A9570AF5">
    <w:name w:val="185AB3D63FD84F3C948F7508A9570AF5"/>
    <w:rsid w:val="00B6021F"/>
  </w:style>
  <w:style w:type="paragraph" w:customStyle="1" w:styleId="4A13B4B93E3B489FA3838C4854C0FC5B">
    <w:name w:val="4A13B4B93E3B489FA3838C4854C0FC5B"/>
    <w:rsid w:val="00B6021F"/>
  </w:style>
  <w:style w:type="paragraph" w:customStyle="1" w:styleId="C7F4F8CA96B34BAEBDA3A95FFB89E719">
    <w:name w:val="C7F4F8CA96B34BAEBDA3A95FFB89E719"/>
    <w:rsid w:val="00B6021F"/>
  </w:style>
  <w:style w:type="paragraph" w:customStyle="1" w:styleId="13BF8B20936248509E151E22FF41BFE2">
    <w:name w:val="13BF8B20936248509E151E22FF41BFE2"/>
    <w:rsid w:val="00B6021F"/>
  </w:style>
  <w:style w:type="paragraph" w:customStyle="1" w:styleId="FEAE5428DB0F4537A33EC14CBB575F26">
    <w:name w:val="FEAE5428DB0F4537A33EC14CBB575F26"/>
    <w:rsid w:val="00B6021F"/>
  </w:style>
  <w:style w:type="paragraph" w:customStyle="1" w:styleId="DE28FD14838F46F49E0DFD3E7C4E1163">
    <w:name w:val="DE28FD14838F46F49E0DFD3E7C4E1163"/>
    <w:rsid w:val="00B6021F"/>
  </w:style>
  <w:style w:type="paragraph" w:customStyle="1" w:styleId="FA43E1B4751340279356A60BB7EDE73A">
    <w:name w:val="FA43E1B4751340279356A60BB7EDE73A"/>
    <w:rsid w:val="00B6021F"/>
  </w:style>
  <w:style w:type="paragraph" w:customStyle="1" w:styleId="53A0B3A74FBE4521A7291C8301765CD8">
    <w:name w:val="53A0B3A74FBE4521A7291C8301765CD8"/>
    <w:rsid w:val="00B6021F"/>
  </w:style>
  <w:style w:type="paragraph" w:customStyle="1" w:styleId="75700A734CBB4914BA8C047CB450AEA5">
    <w:name w:val="75700A734CBB4914BA8C047CB450AEA5"/>
    <w:rsid w:val="00B6021F"/>
  </w:style>
  <w:style w:type="paragraph" w:customStyle="1" w:styleId="82AD1AB792CE46BCBC6137CDCE699EE3">
    <w:name w:val="82AD1AB792CE46BCBC6137CDCE699EE3"/>
    <w:rsid w:val="00B6021F"/>
  </w:style>
  <w:style w:type="paragraph" w:customStyle="1" w:styleId="AA505D0D55AE4736812039FFCBAD695C">
    <w:name w:val="AA505D0D55AE4736812039FFCBAD695C"/>
    <w:rsid w:val="00B6021F"/>
  </w:style>
  <w:style w:type="paragraph" w:customStyle="1" w:styleId="14D12324C1204E629AC6AD99D84E52DD">
    <w:name w:val="14D12324C1204E629AC6AD99D84E52DD"/>
    <w:rsid w:val="00B6021F"/>
  </w:style>
  <w:style w:type="paragraph" w:customStyle="1" w:styleId="F4FE6587106F42D9A5951C6EB0852CD8">
    <w:name w:val="F4FE6587106F42D9A5951C6EB0852CD8"/>
    <w:rsid w:val="00B6021F"/>
  </w:style>
  <w:style w:type="paragraph" w:customStyle="1" w:styleId="73F87B975DFF4B5A8E5190B2CDB257F6">
    <w:name w:val="73F87B975DFF4B5A8E5190B2CDB257F6"/>
    <w:rsid w:val="00B6021F"/>
  </w:style>
  <w:style w:type="paragraph" w:customStyle="1" w:styleId="297AB303A47E405C9BD422A98F41B681">
    <w:name w:val="297AB303A47E405C9BD422A98F41B681"/>
    <w:rsid w:val="00B6021F"/>
  </w:style>
  <w:style w:type="paragraph" w:customStyle="1" w:styleId="45073AA3ABB3494C9E08B7E748F430F5">
    <w:name w:val="45073AA3ABB3494C9E08B7E748F430F5"/>
    <w:rsid w:val="00B6021F"/>
  </w:style>
  <w:style w:type="paragraph" w:customStyle="1" w:styleId="4005DEC2F4C44215A11C0B78EE6AA76D">
    <w:name w:val="4005DEC2F4C44215A11C0B78EE6AA76D"/>
    <w:rsid w:val="00B6021F"/>
  </w:style>
  <w:style w:type="paragraph" w:customStyle="1" w:styleId="CC0C8D2E88FC43FBAA2E364EDD847853">
    <w:name w:val="CC0C8D2E88FC43FBAA2E364EDD847853"/>
    <w:rsid w:val="00B6021F"/>
  </w:style>
  <w:style w:type="paragraph" w:customStyle="1" w:styleId="E2041FADD2D846EF8EFE21AC092ADC34">
    <w:name w:val="E2041FADD2D846EF8EFE21AC092ADC34"/>
  </w:style>
  <w:style w:type="paragraph" w:customStyle="1" w:styleId="91571F7E5BE241CC82D45B3A5B7D12F0">
    <w:name w:val="91571F7E5BE241CC82D45B3A5B7D12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ec2e770e8c827b4c671df3dc9465bfd">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00D48-80C2-4680-AF94-9C36027BC66B}">
  <ds:schemaRefs>
    <ds:schemaRef ds:uri="http://schemas.microsoft.com/sharepoint/v3/contenttype/forms"/>
  </ds:schemaRefs>
</ds:datastoreItem>
</file>

<file path=customXml/itemProps2.xml><?xml version="1.0" encoding="utf-8"?>
<ds:datastoreItem xmlns:ds="http://schemas.openxmlformats.org/officeDocument/2006/customXml" ds:itemID="{3423519B-95B4-4B5E-B8D6-D3D472577B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48287C5-0451-4CD8-8972-4235660FE5A5}">
  <ds:schemaRefs>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http://purl.org/dc/dcmitype/"/>
    <ds:schemaRef ds:uri="http://www.w3.org/XML/1998/namespace"/>
    <ds:schemaRef ds:uri="http://schemas.microsoft.com/office/2006/documentManagement/types"/>
    <ds:schemaRef ds:uri="http://purl.org/dc/terms/"/>
  </ds:schemaRefs>
</ds:datastoreItem>
</file>

<file path=customXml/itemProps4.xml><?xml version="1.0" encoding="utf-8"?>
<ds:datastoreItem xmlns:ds="http://schemas.openxmlformats.org/officeDocument/2006/customXml" ds:itemID="{AC3F58E8-02D6-41A3-85B1-8C0AF186C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15600</Words>
  <Characters>85805</Characters>
  <Application>Microsoft Office Word</Application>
  <DocSecurity>0</DocSecurity>
  <Lines>715</Lines>
  <Paragraphs>202</Paragraphs>
  <ScaleCrop>false</ScaleCrop>
  <HeadingPairs>
    <vt:vector size="2" baseType="variant">
      <vt:variant>
        <vt:lpstr>Título</vt:lpstr>
      </vt:variant>
      <vt:variant>
        <vt:i4>1</vt:i4>
      </vt:variant>
    </vt:vector>
  </HeadingPairs>
  <TitlesOfParts>
    <vt:vector size="1" baseType="lpstr">
      <vt:lpstr>Modelo de Costos Evitados para Servicios de Reventa y Servicio de Acceso Indirecto al Bucle Local aplicable a 2021</vt:lpstr>
    </vt:vector>
  </TitlesOfParts>
  <Company>Instituto Federal de Telecomunicaciones</Company>
  <LinksUpToDate>false</LinksUpToDate>
  <CharactersWithSpaces>101203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Costos Evitados para Servicios de Reventa y Servicio de Acceso Indirecto al Bucle Local aplicable a 2021</dc:title>
  <dc:subject>Documento metodológico y descriptivo del modelo para el proceso de consulta pública – Octubre, 2020</dc:subject>
  <dc:creator>Amelie Anne Marielle Brossard Ruffey</dc:creator>
  <cp:keywords/>
  <dc:description/>
  <cp:lastModifiedBy>Amelie Anne Marielle Brossard Ruffey</cp:lastModifiedBy>
  <cp:revision>2</cp:revision>
  <dcterms:created xsi:type="dcterms:W3CDTF">2020-09-29T22:17:00Z</dcterms:created>
  <dcterms:modified xsi:type="dcterms:W3CDTF">2020-09-29T22:17:00Z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