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332B9" w14:textId="77777777" w:rsidR="0013775E" w:rsidRPr="006951A1" w:rsidRDefault="0013775E" w:rsidP="0013775E">
      <w:pPr>
        <w:spacing w:before="240"/>
        <w:jc w:val="both"/>
        <w:rPr>
          <w:rFonts w:ascii="ITC Avant Garde" w:hAnsi="ITC Avant Garde"/>
          <w:b/>
          <w:sz w:val="22"/>
          <w:szCs w:val="22"/>
        </w:rPr>
      </w:pPr>
      <w:r w:rsidRPr="006951A1">
        <w:rPr>
          <w:rFonts w:ascii="ITC Avant Garde" w:hAnsi="ITC Avant Garde"/>
          <w:b/>
          <w:sz w:val="22"/>
          <w:szCs w:val="22"/>
        </w:rPr>
        <w:t xml:space="preserve">ACUERDO MEDIANTE EL CUAL EL PLENO DEL INSTITUTO FEDERAL DE TELECOMUNICACIONES DETERMINA SOMETER A CONSULTA PÚBLICA </w:t>
      </w:r>
      <w:r w:rsidR="00D45E84">
        <w:rPr>
          <w:rFonts w:ascii="ITC Avant Garde" w:hAnsi="ITC Avant Garde"/>
          <w:b/>
          <w:sz w:val="22"/>
          <w:szCs w:val="22"/>
        </w:rPr>
        <w:t>EL</w:t>
      </w:r>
      <w:r w:rsidRPr="006951A1">
        <w:rPr>
          <w:rFonts w:ascii="ITC Avant Garde" w:hAnsi="ITC Avant Garde"/>
          <w:b/>
          <w:sz w:val="22"/>
          <w:szCs w:val="22"/>
        </w:rPr>
        <w:t xml:space="preserve"> “ANTEPROYECTO </w:t>
      </w:r>
      <w:r w:rsidR="008A2F90">
        <w:rPr>
          <w:rFonts w:ascii="ITC Avant Garde" w:hAnsi="ITC Avant Garde"/>
          <w:b/>
          <w:sz w:val="22"/>
          <w:szCs w:val="22"/>
        </w:rPr>
        <w:t>DE MODIFICACIÓN A</w:t>
      </w:r>
      <w:r w:rsidRPr="006951A1">
        <w:rPr>
          <w:rFonts w:ascii="ITC Avant Garde" w:hAnsi="ITC Avant Garde"/>
          <w:b/>
          <w:sz w:val="22"/>
          <w:szCs w:val="22"/>
        </w:rPr>
        <w:t xml:space="preserve"> </w:t>
      </w:r>
      <w:r w:rsidR="00D45E84" w:rsidRPr="00D45E84">
        <w:rPr>
          <w:rFonts w:ascii="ITC Avant Garde" w:hAnsi="ITC Avant Garde"/>
          <w:b/>
          <w:sz w:val="22"/>
          <w:szCs w:val="22"/>
        </w:rPr>
        <w:t>LA DISPOSICIÓN TÉCNICA IFT-011-2017: ESPECIFICACIONES TÉCNICAS DE LOS EQUIPOS TERMINALES MÓVILES QUE PUEDAN HACER USO DEL ESPECTRO RADIOELÉCTRICO O SER CONECTADOS A REDES DE TELECOMUNICACIONES. PARTE 2. EQUIPOS TERMINALES MÓVILES QUE OPERAN EN LAS BANDAS DE 700 MH</w:t>
      </w:r>
      <w:r w:rsidR="007F4D0F">
        <w:rPr>
          <w:rFonts w:ascii="ITC Avant Garde" w:hAnsi="ITC Avant Garde"/>
          <w:b/>
          <w:sz w:val="22"/>
          <w:szCs w:val="22"/>
        </w:rPr>
        <w:t>z</w:t>
      </w:r>
      <w:r w:rsidR="00D45E84" w:rsidRPr="00D45E84">
        <w:rPr>
          <w:rFonts w:ascii="ITC Avant Garde" w:hAnsi="ITC Avant Garde"/>
          <w:b/>
          <w:sz w:val="22"/>
          <w:szCs w:val="22"/>
        </w:rPr>
        <w:t>, 800 MH</w:t>
      </w:r>
      <w:r w:rsidR="007F4D0F">
        <w:rPr>
          <w:rFonts w:ascii="ITC Avant Garde" w:hAnsi="ITC Avant Garde"/>
          <w:b/>
          <w:sz w:val="22"/>
          <w:szCs w:val="22"/>
        </w:rPr>
        <w:t>z</w:t>
      </w:r>
      <w:r w:rsidR="00D45E84" w:rsidRPr="00D45E84">
        <w:rPr>
          <w:rFonts w:ascii="ITC Avant Garde" w:hAnsi="ITC Avant Garde"/>
          <w:b/>
          <w:sz w:val="22"/>
          <w:szCs w:val="22"/>
        </w:rPr>
        <w:t>, 850 MH</w:t>
      </w:r>
      <w:r w:rsidR="007F4D0F">
        <w:rPr>
          <w:rFonts w:ascii="ITC Avant Garde" w:hAnsi="ITC Avant Garde"/>
          <w:b/>
          <w:sz w:val="22"/>
          <w:szCs w:val="22"/>
        </w:rPr>
        <w:t>z</w:t>
      </w:r>
      <w:r w:rsidR="00D45E84" w:rsidRPr="00D45E84">
        <w:rPr>
          <w:rFonts w:ascii="ITC Avant Garde" w:hAnsi="ITC Avant Garde"/>
          <w:b/>
          <w:sz w:val="22"/>
          <w:szCs w:val="22"/>
        </w:rPr>
        <w:t>, 1900 MH</w:t>
      </w:r>
      <w:r w:rsidR="007F4D0F">
        <w:rPr>
          <w:rFonts w:ascii="ITC Avant Garde" w:hAnsi="ITC Avant Garde"/>
          <w:b/>
          <w:sz w:val="22"/>
          <w:szCs w:val="22"/>
        </w:rPr>
        <w:t>z</w:t>
      </w:r>
      <w:r w:rsidR="00D45E84" w:rsidRPr="00D45E84">
        <w:rPr>
          <w:rFonts w:ascii="ITC Avant Garde" w:hAnsi="ITC Avant Garde"/>
          <w:b/>
          <w:sz w:val="22"/>
          <w:szCs w:val="22"/>
        </w:rPr>
        <w:t>, 1700 MH</w:t>
      </w:r>
      <w:r w:rsidR="007F4D0F">
        <w:rPr>
          <w:rFonts w:ascii="ITC Avant Garde" w:hAnsi="ITC Avant Garde"/>
          <w:b/>
          <w:sz w:val="22"/>
          <w:szCs w:val="22"/>
        </w:rPr>
        <w:t>z</w:t>
      </w:r>
      <w:r w:rsidR="00D45E84" w:rsidRPr="00D45E84">
        <w:rPr>
          <w:rFonts w:ascii="ITC Avant Garde" w:hAnsi="ITC Avant Garde"/>
          <w:b/>
          <w:sz w:val="22"/>
          <w:szCs w:val="22"/>
        </w:rPr>
        <w:t>/2100 MH</w:t>
      </w:r>
      <w:r w:rsidR="007F4D0F">
        <w:rPr>
          <w:rFonts w:ascii="ITC Avant Garde" w:hAnsi="ITC Avant Garde"/>
          <w:b/>
          <w:sz w:val="22"/>
          <w:szCs w:val="22"/>
        </w:rPr>
        <w:t>z</w:t>
      </w:r>
      <w:r w:rsidR="00D45E84" w:rsidRPr="00D45E84">
        <w:rPr>
          <w:rFonts w:ascii="ITC Avant Garde" w:hAnsi="ITC Avant Garde"/>
          <w:b/>
          <w:sz w:val="22"/>
          <w:szCs w:val="22"/>
        </w:rPr>
        <w:t xml:space="preserve"> Y/O 2500 MH</w:t>
      </w:r>
      <w:r w:rsidR="007F4D0F">
        <w:rPr>
          <w:rFonts w:ascii="ITC Avant Garde" w:hAnsi="ITC Avant Garde"/>
          <w:b/>
          <w:sz w:val="22"/>
          <w:szCs w:val="22"/>
        </w:rPr>
        <w:t>z</w:t>
      </w:r>
      <w:r w:rsidRPr="006951A1">
        <w:rPr>
          <w:rFonts w:ascii="ITC Avant Garde" w:hAnsi="ITC Avant Garde"/>
          <w:b/>
          <w:sz w:val="22"/>
          <w:szCs w:val="22"/>
        </w:rPr>
        <w:t>”</w:t>
      </w:r>
      <w:r w:rsidR="007F4D0F">
        <w:rPr>
          <w:rFonts w:ascii="ITC Avant Garde" w:hAnsi="ITC Avant Garde"/>
          <w:b/>
          <w:sz w:val="22"/>
          <w:szCs w:val="22"/>
        </w:rPr>
        <w:t>.</w:t>
      </w:r>
      <w:r w:rsidRPr="006951A1">
        <w:rPr>
          <w:rFonts w:ascii="ITC Avant Garde" w:hAnsi="ITC Avant Garde"/>
          <w:b/>
          <w:sz w:val="22"/>
          <w:szCs w:val="22"/>
        </w:rPr>
        <w:t xml:space="preserve"> </w:t>
      </w:r>
    </w:p>
    <w:p w14:paraId="3C1D9197" w14:textId="77777777" w:rsidR="0013775E" w:rsidRPr="006951A1" w:rsidRDefault="0013775E" w:rsidP="0013775E">
      <w:pPr>
        <w:jc w:val="both"/>
        <w:rPr>
          <w:rFonts w:ascii="ITC Avant Garde" w:hAnsi="ITC Avant Garde"/>
          <w:b/>
          <w:sz w:val="22"/>
          <w:szCs w:val="22"/>
        </w:rPr>
      </w:pPr>
    </w:p>
    <w:p w14:paraId="5567120A" w14:textId="77777777" w:rsidR="0013775E" w:rsidRPr="006951A1" w:rsidRDefault="0013775E" w:rsidP="009E26C2">
      <w:pPr>
        <w:jc w:val="center"/>
        <w:rPr>
          <w:rFonts w:ascii="ITC Avant Garde" w:hAnsi="ITC Avant Garde"/>
          <w:b/>
          <w:sz w:val="22"/>
          <w:szCs w:val="22"/>
        </w:rPr>
      </w:pPr>
    </w:p>
    <w:p w14:paraId="6E2BEEB5" w14:textId="77777777" w:rsidR="009E26C2" w:rsidRPr="006951A1" w:rsidRDefault="009E26C2" w:rsidP="009E26C2">
      <w:pPr>
        <w:jc w:val="center"/>
        <w:rPr>
          <w:rFonts w:ascii="ITC Avant Garde" w:hAnsi="ITC Avant Garde"/>
          <w:b/>
          <w:sz w:val="22"/>
          <w:szCs w:val="22"/>
        </w:rPr>
      </w:pPr>
      <w:r w:rsidRPr="006951A1">
        <w:rPr>
          <w:rFonts w:ascii="ITC Avant Garde" w:hAnsi="ITC Avant Garde"/>
          <w:b/>
          <w:sz w:val="22"/>
          <w:szCs w:val="22"/>
        </w:rPr>
        <w:t>ANTECEDENT</w:t>
      </w:r>
      <w:bookmarkStart w:id="0" w:name="_GoBack"/>
      <w:bookmarkEnd w:id="0"/>
      <w:r w:rsidRPr="006951A1">
        <w:rPr>
          <w:rFonts w:ascii="ITC Avant Garde" w:hAnsi="ITC Avant Garde"/>
          <w:b/>
          <w:sz w:val="22"/>
          <w:szCs w:val="22"/>
        </w:rPr>
        <w:t>ES</w:t>
      </w:r>
    </w:p>
    <w:p w14:paraId="2671973B" w14:textId="77777777" w:rsidR="009E26C2" w:rsidRPr="006951A1" w:rsidRDefault="009E26C2" w:rsidP="009E26C2">
      <w:pPr>
        <w:jc w:val="both"/>
        <w:rPr>
          <w:rFonts w:ascii="ITC Avant Garde" w:hAnsi="ITC Avant Garde"/>
          <w:b/>
          <w:sz w:val="22"/>
          <w:szCs w:val="22"/>
        </w:rPr>
      </w:pPr>
    </w:p>
    <w:p w14:paraId="6EC3877A" w14:textId="77777777" w:rsidR="0013775E" w:rsidRPr="006951A1" w:rsidRDefault="0013775E" w:rsidP="009E26C2">
      <w:pPr>
        <w:jc w:val="both"/>
        <w:rPr>
          <w:rFonts w:ascii="ITC Avant Garde" w:eastAsia="Times New Roman" w:hAnsi="ITC Avant Garde" w:cs="Arial"/>
          <w:kern w:val="2"/>
          <w:sz w:val="22"/>
          <w:szCs w:val="22"/>
          <w:lang w:eastAsia="ar-SA"/>
        </w:rPr>
      </w:pPr>
    </w:p>
    <w:p w14:paraId="5E313360" w14:textId="77777777" w:rsidR="0013775E" w:rsidRPr="006951A1" w:rsidRDefault="009E26C2" w:rsidP="00E13414">
      <w:pPr>
        <w:numPr>
          <w:ilvl w:val="0"/>
          <w:numId w:val="1"/>
        </w:numPr>
        <w:suppressAutoHyphens/>
        <w:ind w:left="720"/>
        <w:jc w:val="both"/>
        <w:rPr>
          <w:rFonts w:ascii="ITC Avant Garde" w:hAnsi="ITC Avant Garde" w:cs="Arial"/>
          <w:color w:val="000000" w:themeColor="text1"/>
          <w:kern w:val="1"/>
          <w:sz w:val="22"/>
          <w:szCs w:val="22"/>
          <w:lang w:eastAsia="ar-SA"/>
        </w:rPr>
      </w:pPr>
      <w:r w:rsidRPr="006951A1">
        <w:rPr>
          <w:rFonts w:ascii="ITC Avant Garde" w:eastAsia="Times New Roman" w:hAnsi="ITC Avant Garde" w:cs="Arial"/>
          <w:kern w:val="1"/>
          <w:sz w:val="22"/>
          <w:szCs w:val="22"/>
          <w:lang w:eastAsia="ar-SA"/>
        </w:rPr>
        <w:t xml:space="preserve">El </w:t>
      </w:r>
      <w:r w:rsidR="006951A1" w:rsidRPr="006951A1">
        <w:rPr>
          <w:rFonts w:ascii="ITC Avant Garde" w:hAnsi="ITC Avant Garde"/>
          <w:sz w:val="22"/>
          <w:szCs w:val="22"/>
        </w:rPr>
        <w:t xml:space="preserve">11 de junio de 2013, se creó el Instituto Federal de Telecomunicaciones (en lo sucesivo, el “Instituto”) como un órgano autónomo con personalidad jurídica y patrimonio propio, cuyo objeto es regular, promover y supervisar el uso, aprovechamiento y explotación </w:t>
      </w:r>
      <w:r w:rsidR="006951A1" w:rsidRPr="006951A1">
        <w:rPr>
          <w:rFonts w:ascii="ITC Avant Garde" w:eastAsia="Times New Roman" w:hAnsi="ITC Avant Garde" w:cs="Times New Roman"/>
          <w:sz w:val="22"/>
          <w:szCs w:val="22"/>
          <w:lang w:val="es-ES" w:eastAsia="es-ES"/>
        </w:rPr>
        <w:t xml:space="preserve">del espectro radioeléctrico, las redes y la prestación </w:t>
      </w:r>
      <w:r w:rsidR="006951A1" w:rsidRPr="006951A1">
        <w:rPr>
          <w:rFonts w:ascii="ITC Avant Garde" w:hAnsi="ITC Avant Garde"/>
          <w:sz w:val="22"/>
          <w:szCs w:val="22"/>
        </w:rPr>
        <w:t xml:space="preserve">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Diario Oficial de la Federación (en lo sucesivo, </w:t>
      </w:r>
      <w:r w:rsidR="006951A1">
        <w:rPr>
          <w:rFonts w:ascii="ITC Avant Garde" w:hAnsi="ITC Avant Garde"/>
          <w:sz w:val="22"/>
          <w:szCs w:val="22"/>
        </w:rPr>
        <w:t>“</w:t>
      </w:r>
      <w:r w:rsidR="006951A1" w:rsidRPr="006951A1">
        <w:rPr>
          <w:rFonts w:ascii="ITC Avant Garde" w:hAnsi="ITC Avant Garde"/>
          <w:sz w:val="22"/>
          <w:szCs w:val="22"/>
        </w:rPr>
        <w:t>DOF</w:t>
      </w:r>
      <w:r w:rsidR="006951A1">
        <w:rPr>
          <w:rFonts w:ascii="ITC Avant Garde" w:hAnsi="ITC Avant Garde"/>
          <w:sz w:val="22"/>
          <w:szCs w:val="22"/>
        </w:rPr>
        <w:t>”</w:t>
      </w:r>
      <w:r w:rsidR="006951A1" w:rsidRPr="006951A1">
        <w:rPr>
          <w:rFonts w:ascii="ITC Avant Garde" w:hAnsi="ITC Avant Garde"/>
          <w:sz w:val="22"/>
          <w:szCs w:val="22"/>
        </w:rPr>
        <w:t>) en la fecha antes señalada y el cual entró en vigor al día siguiente de su publicación, es decir el día 12 de junio de 2013.</w:t>
      </w:r>
    </w:p>
    <w:p w14:paraId="208CE4FC" w14:textId="77777777" w:rsidR="006951A1" w:rsidRPr="006951A1" w:rsidRDefault="006951A1" w:rsidP="00E13414">
      <w:pPr>
        <w:suppressAutoHyphens/>
        <w:ind w:left="720"/>
        <w:jc w:val="both"/>
        <w:rPr>
          <w:rFonts w:ascii="ITC Avant Garde" w:hAnsi="ITC Avant Garde" w:cs="Arial"/>
          <w:color w:val="000000" w:themeColor="text1"/>
          <w:kern w:val="1"/>
          <w:sz w:val="22"/>
          <w:szCs w:val="22"/>
          <w:lang w:eastAsia="ar-SA"/>
        </w:rPr>
      </w:pPr>
    </w:p>
    <w:p w14:paraId="58395BBB" w14:textId="77777777" w:rsidR="006951A1" w:rsidRDefault="006951A1" w:rsidP="00E13414">
      <w:pPr>
        <w:numPr>
          <w:ilvl w:val="0"/>
          <w:numId w:val="1"/>
        </w:numPr>
        <w:suppressAutoHyphens/>
        <w:ind w:left="720"/>
        <w:jc w:val="both"/>
        <w:rPr>
          <w:rFonts w:ascii="ITC Avant Garde" w:hAnsi="ITC Avant Garde" w:cs="Arial"/>
          <w:color w:val="000000" w:themeColor="text1"/>
          <w:kern w:val="1"/>
          <w:sz w:val="22"/>
          <w:szCs w:val="22"/>
          <w:lang w:eastAsia="ar-SA"/>
        </w:rPr>
      </w:pPr>
      <w:r w:rsidRPr="006951A1">
        <w:rPr>
          <w:rFonts w:ascii="ITC Avant Garde" w:hAnsi="ITC Avant Garde" w:cs="Arial"/>
          <w:color w:val="000000" w:themeColor="text1"/>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w:t>
      </w:r>
      <w:r>
        <w:rPr>
          <w:rFonts w:ascii="ITC Avant Garde" w:hAnsi="ITC Avant Garde" w:cs="Arial"/>
          <w:color w:val="000000" w:themeColor="text1"/>
          <w:kern w:val="1"/>
          <w:sz w:val="22"/>
          <w:szCs w:val="22"/>
          <w:lang w:eastAsia="ar-SA"/>
        </w:rPr>
        <w:t>ir, el 13 de agosto de 2014.</w:t>
      </w:r>
    </w:p>
    <w:p w14:paraId="2B80FA03" w14:textId="77777777" w:rsidR="006951A1" w:rsidRPr="006951A1" w:rsidRDefault="006951A1" w:rsidP="00E13414">
      <w:pPr>
        <w:suppressAutoHyphens/>
        <w:ind w:left="360"/>
        <w:jc w:val="both"/>
        <w:rPr>
          <w:rFonts w:ascii="ITC Avant Garde" w:hAnsi="ITC Avant Garde" w:cs="Arial"/>
          <w:color w:val="000000" w:themeColor="text1"/>
          <w:kern w:val="1"/>
          <w:sz w:val="22"/>
          <w:szCs w:val="22"/>
          <w:lang w:eastAsia="ar-SA"/>
        </w:rPr>
      </w:pPr>
    </w:p>
    <w:p w14:paraId="0E042035" w14:textId="77777777" w:rsidR="0013775E" w:rsidRDefault="006951A1" w:rsidP="00E13414">
      <w:pPr>
        <w:numPr>
          <w:ilvl w:val="0"/>
          <w:numId w:val="1"/>
        </w:numPr>
        <w:suppressAutoHyphens/>
        <w:ind w:left="720"/>
        <w:jc w:val="both"/>
        <w:rPr>
          <w:rFonts w:ascii="ITC Avant Garde" w:hAnsi="ITC Avant Garde" w:cs="Arial"/>
          <w:color w:val="000000" w:themeColor="text1"/>
          <w:kern w:val="1"/>
          <w:sz w:val="22"/>
          <w:szCs w:val="22"/>
          <w:lang w:eastAsia="ar-SA"/>
        </w:rPr>
      </w:pPr>
      <w:r w:rsidRPr="006951A1">
        <w:rPr>
          <w:rFonts w:ascii="ITC Avant Garde" w:hAnsi="ITC Avant Garde" w:cs="Arial"/>
          <w:color w:val="000000" w:themeColor="text1"/>
          <w:kern w:val="1"/>
          <w:sz w:val="22"/>
          <w:szCs w:val="22"/>
          <w:lang w:eastAsia="ar-SA"/>
        </w:rPr>
        <w:t xml:space="preserve">El 4 de septiembre de 2014, se publicó en el DOF el Estatuto Orgánico del Instituto Federal de Telecomunicaciones (en lo sucesivo, el “Estatuto”), mismo que entró en vigor el 26 de septiembre de 2014; el </w:t>
      </w:r>
      <w:r w:rsidR="002826FB">
        <w:rPr>
          <w:rFonts w:ascii="ITC Avant Garde" w:hAnsi="ITC Avant Garde" w:cs="Arial"/>
          <w:color w:val="000000" w:themeColor="text1"/>
          <w:kern w:val="1"/>
          <w:sz w:val="22"/>
          <w:szCs w:val="22"/>
          <w:lang w:eastAsia="ar-SA"/>
        </w:rPr>
        <w:t>8 de julio</w:t>
      </w:r>
      <w:r>
        <w:rPr>
          <w:rFonts w:ascii="ITC Avant Garde" w:hAnsi="ITC Avant Garde" w:cs="Arial"/>
          <w:color w:val="000000" w:themeColor="text1"/>
          <w:kern w:val="1"/>
          <w:sz w:val="22"/>
          <w:szCs w:val="22"/>
          <w:lang w:eastAsia="ar-SA"/>
        </w:rPr>
        <w:t xml:space="preserve"> de 20</w:t>
      </w:r>
      <w:r w:rsidR="002826FB">
        <w:rPr>
          <w:rFonts w:ascii="ITC Avant Garde" w:hAnsi="ITC Avant Garde" w:cs="Arial"/>
          <w:color w:val="000000" w:themeColor="text1"/>
          <w:kern w:val="1"/>
          <w:sz w:val="22"/>
          <w:szCs w:val="22"/>
          <w:lang w:eastAsia="ar-SA"/>
        </w:rPr>
        <w:t xml:space="preserve">20 </w:t>
      </w:r>
      <w:r w:rsidRPr="006951A1">
        <w:rPr>
          <w:rFonts w:ascii="ITC Avant Garde" w:hAnsi="ITC Avant Garde" w:cs="Arial"/>
          <w:color w:val="000000" w:themeColor="text1"/>
          <w:kern w:val="1"/>
          <w:sz w:val="22"/>
          <w:szCs w:val="22"/>
          <w:lang w:eastAsia="ar-SA"/>
        </w:rPr>
        <w:t>se publicó en el DOF su última modificación.</w:t>
      </w:r>
    </w:p>
    <w:p w14:paraId="4F543FEF" w14:textId="77777777" w:rsidR="006951A1" w:rsidRDefault="006951A1" w:rsidP="00E13414">
      <w:pPr>
        <w:pStyle w:val="Prrafodelista"/>
        <w:ind w:left="1080"/>
        <w:rPr>
          <w:rFonts w:ascii="ITC Avant Garde" w:hAnsi="ITC Avant Garde" w:cs="Arial"/>
          <w:color w:val="000000" w:themeColor="text1"/>
          <w:kern w:val="1"/>
          <w:sz w:val="22"/>
          <w:szCs w:val="22"/>
          <w:lang w:eastAsia="ar-SA"/>
        </w:rPr>
      </w:pPr>
    </w:p>
    <w:p w14:paraId="6E2593E1" w14:textId="77777777" w:rsidR="006951A1" w:rsidRPr="002826FB" w:rsidRDefault="006951A1" w:rsidP="00E13414">
      <w:pPr>
        <w:numPr>
          <w:ilvl w:val="0"/>
          <w:numId w:val="1"/>
        </w:numPr>
        <w:suppressAutoHyphens/>
        <w:ind w:left="720"/>
        <w:jc w:val="both"/>
        <w:rPr>
          <w:rFonts w:ascii="ITC Avant Garde" w:hAnsi="ITC Avant Garde" w:cs="Arial"/>
          <w:color w:val="000000" w:themeColor="text1"/>
          <w:kern w:val="1"/>
          <w:sz w:val="22"/>
          <w:szCs w:val="22"/>
          <w:lang w:eastAsia="ar-SA"/>
        </w:rPr>
      </w:pPr>
      <w:r w:rsidRPr="006951A1">
        <w:rPr>
          <w:rFonts w:ascii="ITC Avant Garde" w:hAnsi="ITC Avant Garde" w:cs="Arial"/>
          <w:color w:val="000000" w:themeColor="text1"/>
          <w:kern w:val="1"/>
          <w:sz w:val="22"/>
          <w:szCs w:val="22"/>
          <w:lang w:eastAsia="ar-SA"/>
        </w:rPr>
        <w:t xml:space="preserve">El </w:t>
      </w:r>
      <w:r w:rsidR="002826FB">
        <w:rPr>
          <w:rFonts w:ascii="ITC Avant Garde" w:hAnsi="ITC Avant Garde" w:cs="Arial"/>
          <w:color w:val="000000" w:themeColor="text1"/>
          <w:kern w:val="1"/>
          <w:sz w:val="22"/>
          <w:szCs w:val="22"/>
          <w:lang w:eastAsia="ar-SA"/>
        </w:rPr>
        <w:t>3</w:t>
      </w:r>
      <w:r>
        <w:rPr>
          <w:rFonts w:ascii="ITC Avant Garde" w:hAnsi="ITC Avant Garde" w:cs="Arial"/>
          <w:color w:val="000000" w:themeColor="text1"/>
          <w:kern w:val="1"/>
          <w:sz w:val="22"/>
          <w:szCs w:val="22"/>
          <w:lang w:eastAsia="ar-SA"/>
        </w:rPr>
        <w:t xml:space="preserve"> de </w:t>
      </w:r>
      <w:r w:rsidR="002826FB">
        <w:rPr>
          <w:rFonts w:ascii="ITC Avant Garde" w:hAnsi="ITC Avant Garde" w:cs="Arial"/>
          <w:color w:val="000000" w:themeColor="text1"/>
          <w:kern w:val="1"/>
          <w:sz w:val="22"/>
          <w:szCs w:val="22"/>
          <w:lang w:eastAsia="ar-SA"/>
        </w:rPr>
        <w:t>enero</w:t>
      </w:r>
      <w:r>
        <w:rPr>
          <w:rFonts w:ascii="ITC Avant Garde" w:hAnsi="ITC Avant Garde" w:cs="Arial"/>
          <w:color w:val="000000" w:themeColor="text1"/>
          <w:kern w:val="1"/>
          <w:sz w:val="22"/>
          <w:szCs w:val="22"/>
          <w:lang w:eastAsia="ar-SA"/>
        </w:rPr>
        <w:t xml:space="preserve"> de 20</w:t>
      </w:r>
      <w:r w:rsidR="002826FB">
        <w:rPr>
          <w:rFonts w:ascii="ITC Avant Garde" w:hAnsi="ITC Avant Garde" w:cs="Arial"/>
          <w:color w:val="000000" w:themeColor="text1"/>
          <w:kern w:val="1"/>
          <w:sz w:val="22"/>
          <w:szCs w:val="22"/>
          <w:lang w:eastAsia="ar-SA"/>
        </w:rPr>
        <w:t>18</w:t>
      </w:r>
      <w:r>
        <w:rPr>
          <w:rFonts w:ascii="ITC Avant Garde" w:hAnsi="ITC Avant Garde" w:cs="Arial"/>
          <w:color w:val="000000" w:themeColor="text1"/>
          <w:kern w:val="1"/>
          <w:sz w:val="22"/>
          <w:szCs w:val="22"/>
          <w:lang w:eastAsia="ar-SA"/>
        </w:rPr>
        <w:t xml:space="preserve">, se publicó en el </w:t>
      </w:r>
      <w:r w:rsidRPr="00200B26">
        <w:rPr>
          <w:rFonts w:ascii="ITC Avant Garde" w:hAnsi="ITC Avant Garde" w:cs="Arial"/>
          <w:color w:val="000000" w:themeColor="text1"/>
          <w:kern w:val="1"/>
          <w:sz w:val="22"/>
          <w:szCs w:val="22"/>
          <w:lang w:eastAsia="ar-SA"/>
        </w:rPr>
        <w:t>DO</w:t>
      </w:r>
      <w:r w:rsidR="00200B26">
        <w:rPr>
          <w:rFonts w:ascii="ITC Avant Garde" w:hAnsi="ITC Avant Garde" w:cs="Arial"/>
          <w:color w:val="000000" w:themeColor="text1"/>
          <w:kern w:val="1"/>
          <w:sz w:val="22"/>
          <w:szCs w:val="22"/>
          <w:lang w:eastAsia="ar-SA"/>
        </w:rPr>
        <w:t xml:space="preserve">F el </w:t>
      </w:r>
      <w:r w:rsidR="00494B39">
        <w:rPr>
          <w:rFonts w:ascii="ITC Avant Garde" w:hAnsi="ITC Avant Garde" w:cs="Arial"/>
          <w:color w:val="000000" w:themeColor="text1"/>
          <w:kern w:val="1"/>
          <w:sz w:val="22"/>
          <w:szCs w:val="22"/>
          <w:lang w:eastAsia="ar-SA"/>
        </w:rPr>
        <w:t>“</w:t>
      </w:r>
      <w:r w:rsidR="002826FB" w:rsidRPr="002826FB">
        <w:rPr>
          <w:rFonts w:ascii="ITC Avant Garde" w:hAnsi="ITC Avant Garde" w:cs="Arial"/>
          <w:color w:val="000000" w:themeColor="text1"/>
          <w:kern w:val="1"/>
          <w:sz w:val="22"/>
          <w:szCs w:val="22"/>
          <w:lang w:eastAsia="ar-SA"/>
        </w:rPr>
        <w:t>ACUERDO mediante el cual el Pleno del Instituto Federal de Telecomunicaciones expide la Disposición Técnica</w:t>
      </w:r>
      <w:r w:rsidR="002826FB">
        <w:rPr>
          <w:rFonts w:ascii="ITC Avant Garde" w:hAnsi="ITC Avant Garde" w:cs="Arial"/>
          <w:color w:val="000000" w:themeColor="text1"/>
          <w:kern w:val="1"/>
          <w:sz w:val="22"/>
          <w:szCs w:val="22"/>
          <w:lang w:eastAsia="ar-SA"/>
        </w:rPr>
        <w:t xml:space="preserve"> </w:t>
      </w:r>
      <w:r w:rsidR="002826FB" w:rsidRPr="002826FB">
        <w:rPr>
          <w:rFonts w:ascii="ITC Avant Garde" w:hAnsi="ITC Avant Garde" w:cs="Arial"/>
          <w:color w:val="000000" w:themeColor="text1"/>
          <w:kern w:val="1"/>
          <w:sz w:val="22"/>
          <w:szCs w:val="22"/>
          <w:lang w:eastAsia="ar-SA"/>
        </w:rPr>
        <w:t>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494B39" w:rsidRPr="002826FB">
        <w:rPr>
          <w:rFonts w:ascii="ITC Avant Garde" w:hAnsi="ITC Avant Garde" w:cs="Arial"/>
          <w:color w:val="000000" w:themeColor="text1"/>
          <w:kern w:val="1"/>
          <w:sz w:val="22"/>
          <w:szCs w:val="22"/>
          <w:lang w:val="es-MX" w:eastAsia="ar-SA"/>
        </w:rPr>
        <w:t>”</w:t>
      </w:r>
      <w:r w:rsidR="00D11E6B">
        <w:rPr>
          <w:rFonts w:ascii="ITC Avant Garde" w:hAnsi="ITC Avant Garde" w:cs="Arial"/>
          <w:color w:val="000000" w:themeColor="text1"/>
          <w:kern w:val="1"/>
          <w:sz w:val="22"/>
          <w:szCs w:val="22"/>
          <w:lang w:val="es-MX" w:eastAsia="ar-SA"/>
        </w:rPr>
        <w:t xml:space="preserve"> </w:t>
      </w:r>
      <w:r w:rsidR="00D11E6B" w:rsidRPr="006951A1">
        <w:rPr>
          <w:rFonts w:ascii="ITC Avant Garde" w:hAnsi="ITC Avant Garde"/>
          <w:sz w:val="22"/>
          <w:szCs w:val="22"/>
        </w:rPr>
        <w:t>(en lo sucesivo, “</w:t>
      </w:r>
      <w:r w:rsidR="00D11E6B" w:rsidRPr="00D11E6B">
        <w:rPr>
          <w:rFonts w:ascii="ITC Avant Garde" w:hAnsi="ITC Avant Garde"/>
          <w:sz w:val="22"/>
          <w:szCs w:val="22"/>
        </w:rPr>
        <w:t>Disposición Técnica Parte 2</w:t>
      </w:r>
      <w:r w:rsidR="00D11E6B" w:rsidRPr="006951A1">
        <w:rPr>
          <w:rFonts w:ascii="ITC Avant Garde" w:hAnsi="ITC Avant Garde"/>
          <w:sz w:val="22"/>
          <w:szCs w:val="22"/>
        </w:rPr>
        <w:t>”)</w:t>
      </w:r>
      <w:r w:rsidR="00D11E6B">
        <w:rPr>
          <w:rFonts w:ascii="ITC Avant Garde" w:hAnsi="ITC Avant Garde"/>
          <w:sz w:val="22"/>
          <w:szCs w:val="22"/>
        </w:rPr>
        <w:t>.</w:t>
      </w:r>
    </w:p>
    <w:p w14:paraId="32A719B2" w14:textId="77777777" w:rsidR="00494B39" w:rsidRDefault="00494B39" w:rsidP="00E13414">
      <w:pPr>
        <w:pStyle w:val="Prrafodelista"/>
        <w:ind w:left="1080"/>
        <w:rPr>
          <w:rFonts w:ascii="ITC Avant Garde" w:hAnsi="ITC Avant Garde" w:cs="Arial"/>
          <w:color w:val="000000" w:themeColor="text1"/>
          <w:kern w:val="1"/>
          <w:sz w:val="22"/>
          <w:szCs w:val="22"/>
          <w:lang w:val="es-MX" w:eastAsia="ar-SA"/>
        </w:rPr>
      </w:pPr>
    </w:p>
    <w:p w14:paraId="4F919E5A" w14:textId="77777777" w:rsidR="00200B26" w:rsidRPr="00494B39" w:rsidRDefault="00494B39" w:rsidP="00E13414">
      <w:pPr>
        <w:numPr>
          <w:ilvl w:val="0"/>
          <w:numId w:val="1"/>
        </w:numPr>
        <w:suppressAutoHyphens/>
        <w:ind w:left="720"/>
        <w:jc w:val="both"/>
        <w:rPr>
          <w:rFonts w:ascii="ITC Avant Garde" w:hAnsi="ITC Avant Garde" w:cs="Arial"/>
          <w:color w:val="000000" w:themeColor="text1"/>
          <w:kern w:val="1"/>
          <w:sz w:val="22"/>
          <w:szCs w:val="22"/>
          <w:lang w:val="es-MX" w:eastAsia="ar-SA"/>
        </w:rPr>
      </w:pPr>
      <w:r w:rsidRPr="00494B39">
        <w:rPr>
          <w:rFonts w:ascii="ITC Avant Garde" w:hAnsi="ITC Avant Garde" w:cs="Arial"/>
          <w:color w:val="000000" w:themeColor="text1"/>
          <w:kern w:val="1"/>
          <w:sz w:val="22"/>
          <w:szCs w:val="22"/>
          <w:lang w:val="es-MX" w:eastAsia="ar-SA"/>
        </w:rPr>
        <w:t xml:space="preserve">El </w:t>
      </w:r>
      <w:r w:rsidR="002826FB">
        <w:rPr>
          <w:rFonts w:ascii="ITC Avant Garde" w:hAnsi="ITC Avant Garde" w:cs="Arial"/>
          <w:color w:val="000000" w:themeColor="text1"/>
          <w:kern w:val="1"/>
          <w:sz w:val="22"/>
          <w:szCs w:val="22"/>
          <w:lang w:val="es-MX" w:eastAsia="ar-SA"/>
        </w:rPr>
        <w:t>20</w:t>
      </w:r>
      <w:r w:rsidRPr="00494B39">
        <w:rPr>
          <w:rFonts w:ascii="ITC Avant Garde" w:hAnsi="ITC Avant Garde" w:cs="Arial"/>
          <w:color w:val="000000" w:themeColor="text1"/>
          <w:kern w:val="1"/>
          <w:sz w:val="22"/>
          <w:szCs w:val="22"/>
          <w:lang w:val="es-MX" w:eastAsia="ar-SA"/>
        </w:rPr>
        <w:t xml:space="preserve"> de ju</w:t>
      </w:r>
      <w:r w:rsidR="002826FB">
        <w:rPr>
          <w:rFonts w:ascii="ITC Avant Garde" w:hAnsi="ITC Avant Garde" w:cs="Arial"/>
          <w:color w:val="000000" w:themeColor="text1"/>
          <w:kern w:val="1"/>
          <w:sz w:val="22"/>
          <w:szCs w:val="22"/>
          <w:lang w:val="es-MX" w:eastAsia="ar-SA"/>
        </w:rPr>
        <w:t>lio de 2018</w:t>
      </w:r>
      <w:r w:rsidRPr="00494B39">
        <w:rPr>
          <w:rFonts w:ascii="ITC Avant Garde" w:hAnsi="ITC Avant Garde" w:cs="Arial"/>
          <w:color w:val="000000" w:themeColor="text1"/>
          <w:kern w:val="1"/>
          <w:sz w:val="22"/>
          <w:szCs w:val="22"/>
          <w:lang w:val="es-MX" w:eastAsia="ar-SA"/>
        </w:rPr>
        <w:t>, se publicó en el DOF el “</w:t>
      </w:r>
      <w:r w:rsidR="002826FB" w:rsidRPr="002826FB">
        <w:rPr>
          <w:rFonts w:ascii="ITC Avant Garde" w:hAnsi="ITC Avant Garde" w:cs="Arial"/>
          <w:color w:val="000000" w:themeColor="text1"/>
          <w:kern w:val="1"/>
          <w:sz w:val="22"/>
          <w:szCs w:val="22"/>
          <w:lang w:val="es-MX" w:eastAsia="ar-SA"/>
        </w:rPr>
        <w:t>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w:t>
      </w:r>
      <w:r w:rsidR="002826FB">
        <w:rPr>
          <w:rFonts w:ascii="ITC Avant Garde" w:hAnsi="ITC Avant Garde" w:cs="Arial"/>
          <w:color w:val="000000" w:themeColor="text1"/>
          <w:kern w:val="1"/>
          <w:sz w:val="22"/>
          <w:szCs w:val="22"/>
          <w:lang w:val="es-MX" w:eastAsia="ar-SA"/>
        </w:rPr>
        <w:t xml:space="preserve"> 1700 MHz/2100 MHz y/o 2500 MHz</w:t>
      </w:r>
      <w:r>
        <w:rPr>
          <w:rFonts w:ascii="ITC Avant Garde" w:hAnsi="ITC Avant Garde" w:cs="Arial"/>
          <w:color w:val="000000" w:themeColor="text1"/>
          <w:kern w:val="1"/>
          <w:sz w:val="22"/>
          <w:szCs w:val="22"/>
          <w:lang w:val="es-MX" w:eastAsia="ar-SA"/>
        </w:rPr>
        <w:t>.</w:t>
      </w:r>
      <w:r w:rsidRPr="00494B39">
        <w:rPr>
          <w:rFonts w:ascii="ITC Avant Garde" w:hAnsi="ITC Avant Garde" w:cs="Arial"/>
          <w:color w:val="000000" w:themeColor="text1"/>
          <w:kern w:val="1"/>
          <w:sz w:val="22"/>
          <w:szCs w:val="22"/>
          <w:lang w:val="es-MX" w:eastAsia="ar-SA"/>
        </w:rPr>
        <w:t>”</w:t>
      </w:r>
    </w:p>
    <w:p w14:paraId="2074B09F" w14:textId="77777777" w:rsidR="00494B39" w:rsidRDefault="00494B39" w:rsidP="00E13414">
      <w:pPr>
        <w:pStyle w:val="Prrafodelista"/>
        <w:ind w:left="1080"/>
        <w:rPr>
          <w:rFonts w:ascii="ITC Avant Garde" w:hAnsi="ITC Avant Garde" w:cs="Arial"/>
          <w:color w:val="000000" w:themeColor="text1"/>
          <w:kern w:val="1"/>
          <w:sz w:val="22"/>
          <w:szCs w:val="22"/>
          <w:lang w:val="es-MX" w:eastAsia="ar-SA"/>
        </w:rPr>
      </w:pPr>
    </w:p>
    <w:p w14:paraId="37A89A01" w14:textId="77777777" w:rsidR="00494B39" w:rsidRDefault="00494B39" w:rsidP="00E13414">
      <w:pPr>
        <w:numPr>
          <w:ilvl w:val="0"/>
          <w:numId w:val="1"/>
        </w:numPr>
        <w:suppressAutoHyphens/>
        <w:ind w:left="720"/>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 xml:space="preserve">El </w:t>
      </w:r>
      <w:r w:rsidR="00426C16">
        <w:rPr>
          <w:rFonts w:ascii="ITC Avant Garde" w:hAnsi="ITC Avant Garde" w:cs="Arial"/>
          <w:color w:val="000000" w:themeColor="text1"/>
          <w:kern w:val="1"/>
          <w:sz w:val="22"/>
          <w:szCs w:val="22"/>
          <w:lang w:val="es-MX" w:eastAsia="ar-SA"/>
        </w:rPr>
        <w:t>2</w:t>
      </w:r>
      <w:r>
        <w:rPr>
          <w:rFonts w:ascii="ITC Avant Garde" w:hAnsi="ITC Avant Garde" w:cs="Arial"/>
          <w:color w:val="000000" w:themeColor="text1"/>
          <w:kern w:val="1"/>
          <w:sz w:val="22"/>
          <w:szCs w:val="22"/>
          <w:lang w:val="es-MX" w:eastAsia="ar-SA"/>
        </w:rPr>
        <w:t xml:space="preserve"> de mayo de 201</w:t>
      </w:r>
      <w:r w:rsidR="00426C16">
        <w:rPr>
          <w:rFonts w:ascii="ITC Avant Garde" w:hAnsi="ITC Avant Garde" w:cs="Arial"/>
          <w:color w:val="000000" w:themeColor="text1"/>
          <w:kern w:val="1"/>
          <w:sz w:val="22"/>
          <w:szCs w:val="22"/>
          <w:lang w:val="es-MX" w:eastAsia="ar-SA"/>
        </w:rPr>
        <w:t>9</w:t>
      </w:r>
      <w:r>
        <w:rPr>
          <w:rFonts w:ascii="ITC Avant Garde" w:hAnsi="ITC Avant Garde" w:cs="Arial"/>
          <w:color w:val="000000" w:themeColor="text1"/>
          <w:kern w:val="1"/>
          <w:sz w:val="22"/>
          <w:szCs w:val="22"/>
          <w:lang w:val="es-MX" w:eastAsia="ar-SA"/>
        </w:rPr>
        <w:t xml:space="preserve">, </w:t>
      </w:r>
      <w:r w:rsidR="00B33EBE">
        <w:rPr>
          <w:rFonts w:ascii="ITC Avant Garde" w:hAnsi="ITC Avant Garde" w:cs="Arial"/>
          <w:color w:val="000000" w:themeColor="text1"/>
          <w:kern w:val="1"/>
          <w:sz w:val="22"/>
          <w:szCs w:val="22"/>
          <w:lang w:val="es-MX" w:eastAsia="ar-SA"/>
        </w:rPr>
        <w:t>se recibió en la</w:t>
      </w:r>
      <w:r w:rsidR="00BD18C2">
        <w:rPr>
          <w:rFonts w:ascii="ITC Avant Garde" w:hAnsi="ITC Avant Garde" w:cs="Arial"/>
          <w:color w:val="000000" w:themeColor="text1"/>
          <w:kern w:val="1"/>
          <w:sz w:val="22"/>
          <w:szCs w:val="22"/>
          <w:lang w:val="es-MX" w:eastAsia="ar-SA"/>
        </w:rPr>
        <w:t xml:space="preserve"> oficialía de partes </w:t>
      </w:r>
      <w:r w:rsidR="00B33EBE">
        <w:rPr>
          <w:rFonts w:ascii="ITC Avant Garde" w:hAnsi="ITC Avant Garde" w:cs="Arial"/>
          <w:color w:val="000000" w:themeColor="text1"/>
          <w:kern w:val="1"/>
          <w:sz w:val="22"/>
          <w:szCs w:val="22"/>
          <w:lang w:val="es-MX" w:eastAsia="ar-SA"/>
        </w:rPr>
        <w:t>del Instituto un escrito de</w:t>
      </w:r>
      <w:r w:rsidR="00426C16">
        <w:rPr>
          <w:rFonts w:ascii="ITC Avant Garde" w:hAnsi="ITC Avant Garde" w:cs="Arial"/>
          <w:color w:val="000000" w:themeColor="text1"/>
          <w:kern w:val="1"/>
          <w:sz w:val="22"/>
          <w:szCs w:val="22"/>
          <w:lang w:val="es-MX" w:eastAsia="ar-SA"/>
        </w:rPr>
        <w:t xml:space="preserve"> </w:t>
      </w:r>
      <w:proofErr w:type="spellStart"/>
      <w:r w:rsidR="008B0A23">
        <w:rPr>
          <w:rFonts w:ascii="ITC Avant Garde" w:hAnsi="ITC Avant Garde" w:cs="Arial"/>
          <w:color w:val="000000" w:themeColor="text1"/>
          <w:kern w:val="1"/>
          <w:sz w:val="22"/>
          <w:szCs w:val="22"/>
          <w:lang w:val="es-MX" w:eastAsia="ar-SA"/>
        </w:rPr>
        <w:t>Altán</w:t>
      </w:r>
      <w:proofErr w:type="spellEnd"/>
      <w:r w:rsidR="008B0A23">
        <w:rPr>
          <w:rFonts w:ascii="ITC Avant Garde" w:hAnsi="ITC Avant Garde" w:cs="Arial"/>
          <w:color w:val="000000" w:themeColor="text1"/>
          <w:kern w:val="1"/>
          <w:sz w:val="22"/>
          <w:szCs w:val="22"/>
          <w:lang w:val="es-MX" w:eastAsia="ar-SA"/>
        </w:rPr>
        <w:t xml:space="preserve"> Redes </w:t>
      </w:r>
      <w:r w:rsidR="008B0A23" w:rsidRPr="008B0A23">
        <w:rPr>
          <w:rFonts w:ascii="ITC Avant Garde" w:hAnsi="ITC Avant Garde" w:cs="Arial"/>
          <w:color w:val="000000" w:themeColor="text1"/>
          <w:kern w:val="1"/>
          <w:sz w:val="22"/>
          <w:szCs w:val="22"/>
          <w:lang w:val="es-MX" w:eastAsia="ar-SA"/>
        </w:rPr>
        <w:t>S.A.P.I. DE C.V.</w:t>
      </w:r>
      <w:r w:rsidR="00426C16" w:rsidRPr="008B0A23">
        <w:rPr>
          <w:rFonts w:ascii="ITC Avant Garde" w:hAnsi="ITC Avant Garde" w:cs="Arial"/>
          <w:color w:val="000000" w:themeColor="text1"/>
          <w:kern w:val="1"/>
          <w:sz w:val="22"/>
          <w:szCs w:val="22"/>
          <w:lang w:val="es-MX" w:eastAsia="ar-SA"/>
        </w:rPr>
        <w:t>,</w:t>
      </w:r>
      <w:r w:rsidR="00426C16" w:rsidRPr="00426C16">
        <w:rPr>
          <w:rFonts w:ascii="ITC Avant Garde" w:hAnsi="ITC Avant Garde" w:cs="Arial"/>
          <w:color w:val="000000" w:themeColor="text1"/>
          <w:kern w:val="1"/>
          <w:sz w:val="22"/>
          <w:szCs w:val="22"/>
          <w:lang w:val="es-MX" w:eastAsia="ar-SA"/>
        </w:rPr>
        <w:t xml:space="preserve"> </w:t>
      </w:r>
      <w:r w:rsidR="00B33EBE">
        <w:rPr>
          <w:rFonts w:ascii="ITC Avant Garde" w:hAnsi="ITC Avant Garde" w:cs="Arial"/>
          <w:color w:val="000000" w:themeColor="text1"/>
          <w:kern w:val="1"/>
          <w:sz w:val="22"/>
          <w:szCs w:val="22"/>
          <w:lang w:val="es-MX" w:eastAsia="ar-SA"/>
        </w:rPr>
        <w:t xml:space="preserve">mediante el </w:t>
      </w:r>
      <w:r w:rsidR="008B0A23">
        <w:rPr>
          <w:rFonts w:ascii="ITC Avant Garde" w:hAnsi="ITC Avant Garde" w:cs="Arial"/>
          <w:color w:val="000000" w:themeColor="text1"/>
          <w:kern w:val="1"/>
          <w:sz w:val="22"/>
          <w:szCs w:val="22"/>
          <w:lang w:val="es-MX" w:eastAsia="ar-SA"/>
        </w:rPr>
        <w:t xml:space="preserve">cual </w:t>
      </w:r>
      <w:r w:rsidR="00447A72">
        <w:rPr>
          <w:rFonts w:ascii="ITC Avant Garde" w:hAnsi="ITC Avant Garde" w:cs="Arial"/>
          <w:color w:val="000000" w:themeColor="text1"/>
          <w:kern w:val="1"/>
          <w:sz w:val="22"/>
          <w:szCs w:val="22"/>
          <w:lang w:val="es-MX" w:eastAsia="ar-SA"/>
        </w:rPr>
        <w:t>señaló</w:t>
      </w:r>
      <w:r w:rsidR="007F3BDC">
        <w:rPr>
          <w:rFonts w:ascii="ITC Avant Garde" w:hAnsi="ITC Avant Garde" w:cs="Arial"/>
          <w:color w:val="000000" w:themeColor="text1"/>
          <w:kern w:val="1"/>
          <w:sz w:val="22"/>
          <w:szCs w:val="22"/>
          <w:lang w:val="es-MX" w:eastAsia="ar-SA"/>
        </w:rPr>
        <w:t xml:space="preserve"> la necesidad de </w:t>
      </w:r>
      <w:r w:rsidR="007F4D0F">
        <w:rPr>
          <w:rFonts w:ascii="ITC Avant Garde" w:hAnsi="ITC Avant Garde" w:cs="Arial"/>
          <w:color w:val="000000" w:themeColor="text1"/>
          <w:kern w:val="1"/>
          <w:sz w:val="22"/>
          <w:szCs w:val="22"/>
          <w:lang w:val="es-MX" w:eastAsia="ar-SA"/>
        </w:rPr>
        <w:t xml:space="preserve">realizar </w:t>
      </w:r>
      <w:r w:rsidR="007F3BDC">
        <w:rPr>
          <w:rFonts w:ascii="ITC Avant Garde" w:hAnsi="ITC Avant Garde" w:cs="Arial"/>
          <w:color w:val="000000" w:themeColor="text1"/>
          <w:kern w:val="1"/>
          <w:sz w:val="22"/>
          <w:szCs w:val="22"/>
          <w:lang w:val="es-MX" w:eastAsia="ar-SA"/>
        </w:rPr>
        <w:t xml:space="preserve">una modificación </w:t>
      </w:r>
      <w:r w:rsidR="00B33EBE">
        <w:rPr>
          <w:rFonts w:ascii="ITC Avant Garde" w:hAnsi="ITC Avant Garde" w:cs="Arial"/>
          <w:color w:val="000000" w:themeColor="text1"/>
          <w:kern w:val="1"/>
          <w:sz w:val="22"/>
          <w:szCs w:val="22"/>
          <w:lang w:val="es-MX" w:eastAsia="ar-SA"/>
        </w:rPr>
        <w:t xml:space="preserve">a </w:t>
      </w:r>
      <w:r w:rsidR="007F3BDC">
        <w:rPr>
          <w:rFonts w:ascii="ITC Avant Garde" w:hAnsi="ITC Avant Garde" w:cs="Arial"/>
          <w:color w:val="000000" w:themeColor="text1"/>
          <w:kern w:val="1"/>
          <w:sz w:val="22"/>
          <w:szCs w:val="22"/>
          <w:lang w:val="es-MX" w:eastAsia="ar-SA"/>
        </w:rPr>
        <w:t>la Disposición Técnica Parte 2 o, en su caso la emi</w:t>
      </w:r>
      <w:r w:rsidR="007F4D0F">
        <w:rPr>
          <w:rFonts w:ascii="ITC Avant Garde" w:hAnsi="ITC Avant Garde" w:cs="Arial"/>
          <w:color w:val="000000" w:themeColor="text1"/>
          <w:kern w:val="1"/>
          <w:sz w:val="22"/>
          <w:szCs w:val="22"/>
          <w:lang w:val="es-MX" w:eastAsia="ar-SA"/>
        </w:rPr>
        <w:t xml:space="preserve">tir </w:t>
      </w:r>
      <w:r w:rsidR="007F3BDC">
        <w:rPr>
          <w:rFonts w:ascii="ITC Avant Garde" w:hAnsi="ITC Avant Garde" w:cs="Arial"/>
          <w:color w:val="000000" w:themeColor="text1"/>
          <w:kern w:val="1"/>
          <w:sz w:val="22"/>
          <w:szCs w:val="22"/>
          <w:lang w:val="es-MX" w:eastAsia="ar-SA"/>
        </w:rPr>
        <w:t>una Disposición Técnica que incorpore la obligación de que los Equipos Terminales Móviles</w:t>
      </w:r>
      <w:r w:rsidR="00FB3A41">
        <w:rPr>
          <w:rFonts w:ascii="ITC Avant Garde" w:hAnsi="ITC Avant Garde" w:cs="Arial"/>
          <w:color w:val="000000" w:themeColor="text1"/>
          <w:kern w:val="1"/>
          <w:sz w:val="22"/>
          <w:szCs w:val="22"/>
          <w:lang w:val="es-MX" w:eastAsia="ar-SA"/>
        </w:rPr>
        <w:t xml:space="preserve"> </w:t>
      </w:r>
      <w:r w:rsidR="00881FA7">
        <w:rPr>
          <w:rFonts w:ascii="ITC Avant Garde" w:hAnsi="ITC Avant Garde" w:cs="Arial"/>
          <w:color w:val="000000" w:themeColor="text1"/>
          <w:kern w:val="1"/>
          <w:sz w:val="22"/>
          <w:szCs w:val="22"/>
          <w:lang w:val="es-MX" w:eastAsia="ar-SA"/>
        </w:rPr>
        <w:t xml:space="preserve">(en lo sucesivo “ETM”), </w:t>
      </w:r>
      <w:r w:rsidR="00FB3A41">
        <w:rPr>
          <w:rFonts w:ascii="ITC Avant Garde" w:hAnsi="ITC Avant Garde" w:cs="Arial"/>
          <w:color w:val="000000" w:themeColor="text1"/>
          <w:kern w:val="1"/>
          <w:sz w:val="22"/>
          <w:szCs w:val="22"/>
          <w:lang w:val="es-MX" w:eastAsia="ar-SA"/>
        </w:rPr>
        <w:t xml:space="preserve">incluyan </w:t>
      </w:r>
      <w:r w:rsidR="007F4D0F">
        <w:rPr>
          <w:rFonts w:ascii="ITC Avant Garde" w:hAnsi="ITC Avant Garde" w:cs="Arial"/>
          <w:color w:val="000000" w:themeColor="text1"/>
          <w:kern w:val="1"/>
          <w:sz w:val="22"/>
          <w:szCs w:val="22"/>
          <w:lang w:val="es-MX" w:eastAsia="ar-SA"/>
        </w:rPr>
        <w:t xml:space="preserve">los parámetros </w:t>
      </w:r>
      <w:proofErr w:type="spellStart"/>
      <w:r w:rsidR="007F4D0F">
        <w:rPr>
          <w:rFonts w:ascii="ITC Avant Garde" w:hAnsi="ITC Avant Garde" w:cs="Arial"/>
          <w:color w:val="000000" w:themeColor="text1"/>
          <w:kern w:val="1"/>
          <w:sz w:val="22"/>
          <w:szCs w:val="22"/>
          <w:lang w:val="es-MX" w:eastAsia="ar-SA"/>
        </w:rPr>
        <w:t>VoLTE</w:t>
      </w:r>
      <w:proofErr w:type="spellEnd"/>
      <w:r w:rsidR="007F4D0F">
        <w:rPr>
          <w:rFonts w:ascii="ITC Avant Garde" w:hAnsi="ITC Avant Garde" w:cs="Arial"/>
          <w:color w:val="000000" w:themeColor="text1"/>
          <w:kern w:val="1"/>
          <w:sz w:val="22"/>
          <w:szCs w:val="22"/>
          <w:lang w:val="es-MX" w:eastAsia="ar-SA"/>
        </w:rPr>
        <w:t xml:space="preserve"> de todos los operadores móviles para llevar a cabo </w:t>
      </w:r>
      <w:r w:rsidR="00881FA7">
        <w:rPr>
          <w:rFonts w:ascii="ITC Avant Garde" w:hAnsi="ITC Avant Garde" w:cs="Arial"/>
          <w:color w:val="000000" w:themeColor="text1"/>
          <w:kern w:val="1"/>
          <w:sz w:val="22"/>
          <w:szCs w:val="22"/>
          <w:lang w:val="es-MX" w:eastAsia="ar-SA"/>
        </w:rPr>
        <w:t xml:space="preserve">el establecimiento de llamadas de voz mediante la funcionalidad de </w:t>
      </w:r>
      <w:proofErr w:type="spellStart"/>
      <w:r w:rsidR="00881FA7">
        <w:rPr>
          <w:rFonts w:ascii="ITC Avant Garde" w:hAnsi="ITC Avant Garde" w:cs="Arial"/>
          <w:color w:val="000000" w:themeColor="text1"/>
          <w:kern w:val="1"/>
          <w:sz w:val="22"/>
          <w:szCs w:val="22"/>
          <w:lang w:val="es-MX" w:eastAsia="ar-SA"/>
        </w:rPr>
        <w:t>VoLTE</w:t>
      </w:r>
      <w:proofErr w:type="spellEnd"/>
      <w:r w:rsidR="007F4D0F">
        <w:rPr>
          <w:rFonts w:ascii="ITC Avant Garde" w:hAnsi="ITC Avant Garde" w:cs="Arial"/>
          <w:color w:val="000000" w:themeColor="text1"/>
          <w:kern w:val="1"/>
          <w:sz w:val="22"/>
          <w:szCs w:val="22"/>
          <w:lang w:val="es-MX" w:eastAsia="ar-SA"/>
        </w:rPr>
        <w:t>.</w:t>
      </w:r>
      <w:r w:rsidR="000E617A">
        <w:rPr>
          <w:rFonts w:ascii="ITC Avant Garde" w:hAnsi="ITC Avant Garde" w:cs="Arial"/>
          <w:color w:val="000000" w:themeColor="text1"/>
          <w:kern w:val="1"/>
          <w:sz w:val="22"/>
          <w:szCs w:val="22"/>
          <w:lang w:val="es-MX" w:eastAsia="ar-SA"/>
        </w:rPr>
        <w:t xml:space="preserve"> </w:t>
      </w:r>
    </w:p>
    <w:p w14:paraId="5A28F4D3" w14:textId="77777777" w:rsidR="003506C1" w:rsidRDefault="003506C1" w:rsidP="00E13414">
      <w:pPr>
        <w:pStyle w:val="Prrafodelista"/>
        <w:ind w:left="1080"/>
        <w:rPr>
          <w:rFonts w:ascii="ITC Avant Garde" w:hAnsi="ITC Avant Garde" w:cs="Arial"/>
          <w:color w:val="000000" w:themeColor="text1"/>
          <w:kern w:val="1"/>
          <w:sz w:val="22"/>
          <w:szCs w:val="22"/>
          <w:lang w:val="es-MX" w:eastAsia="ar-SA"/>
        </w:rPr>
      </w:pPr>
    </w:p>
    <w:p w14:paraId="70452209" w14:textId="50959C6C" w:rsidR="00927F9B" w:rsidRPr="00D4432C" w:rsidRDefault="00111040" w:rsidP="00E13414">
      <w:pPr>
        <w:numPr>
          <w:ilvl w:val="0"/>
          <w:numId w:val="1"/>
        </w:numPr>
        <w:suppressAutoHyphens/>
        <w:ind w:left="720"/>
        <w:jc w:val="both"/>
        <w:rPr>
          <w:rFonts w:ascii="ITC Avant Garde" w:hAnsi="ITC Avant Garde" w:cs="Arial"/>
          <w:color w:val="000000" w:themeColor="text1"/>
          <w:kern w:val="1"/>
          <w:sz w:val="22"/>
          <w:szCs w:val="22"/>
          <w:lang w:val="es-MX" w:eastAsia="ar-SA"/>
        </w:rPr>
      </w:pPr>
      <w:r w:rsidRPr="00CD6047">
        <w:rPr>
          <w:rFonts w:ascii="ITC Avant Garde" w:hAnsi="ITC Avant Garde" w:cs="Arial"/>
          <w:color w:val="000000" w:themeColor="text1"/>
          <w:kern w:val="1"/>
          <w:sz w:val="22"/>
          <w:szCs w:val="22"/>
          <w:lang w:val="es-MX" w:eastAsia="ar-SA"/>
        </w:rPr>
        <w:t>Durante los años 2019-2020</w:t>
      </w:r>
      <w:r w:rsidR="00990859" w:rsidRPr="00D4432C">
        <w:rPr>
          <w:rFonts w:ascii="ITC Avant Garde" w:hAnsi="ITC Avant Garde" w:cs="Arial"/>
          <w:color w:val="000000" w:themeColor="text1"/>
          <w:kern w:val="1"/>
          <w:sz w:val="22"/>
          <w:szCs w:val="22"/>
          <w:lang w:val="es-MX" w:eastAsia="ar-SA"/>
        </w:rPr>
        <w:t xml:space="preserve">, el Instituto ha sostenido reuniones de trabajo e intercambio de información con fabricantes </w:t>
      </w:r>
      <w:r w:rsidR="00C4500F" w:rsidRPr="00D4432C">
        <w:rPr>
          <w:rFonts w:ascii="ITC Avant Garde" w:hAnsi="ITC Avant Garde" w:cs="Arial"/>
          <w:color w:val="000000" w:themeColor="text1"/>
          <w:kern w:val="1"/>
          <w:sz w:val="22"/>
          <w:szCs w:val="22"/>
          <w:lang w:val="es-MX" w:eastAsia="ar-SA"/>
        </w:rPr>
        <w:t xml:space="preserve">de </w:t>
      </w:r>
      <w:r w:rsidR="00881FA7" w:rsidRPr="00D4432C">
        <w:rPr>
          <w:rFonts w:ascii="ITC Avant Garde" w:hAnsi="ITC Avant Garde" w:cs="Arial"/>
          <w:color w:val="000000" w:themeColor="text1"/>
          <w:kern w:val="1"/>
          <w:sz w:val="22"/>
          <w:szCs w:val="22"/>
          <w:lang w:val="es-MX" w:eastAsia="ar-SA"/>
        </w:rPr>
        <w:t>ETM</w:t>
      </w:r>
      <w:r w:rsidR="00172F4D" w:rsidRPr="00D4432C">
        <w:rPr>
          <w:rFonts w:ascii="ITC Avant Garde" w:hAnsi="ITC Avant Garde" w:cs="Arial"/>
          <w:color w:val="000000" w:themeColor="text1"/>
          <w:kern w:val="1"/>
          <w:sz w:val="22"/>
          <w:szCs w:val="22"/>
          <w:lang w:val="es-MX" w:eastAsia="ar-SA"/>
        </w:rPr>
        <w:t xml:space="preserve"> </w:t>
      </w:r>
      <w:r w:rsidR="00990859" w:rsidRPr="00D4432C">
        <w:rPr>
          <w:rFonts w:ascii="ITC Avant Garde" w:hAnsi="ITC Avant Garde" w:cs="Arial"/>
          <w:color w:val="000000" w:themeColor="text1"/>
          <w:kern w:val="1"/>
          <w:sz w:val="22"/>
          <w:szCs w:val="22"/>
          <w:lang w:val="es-MX" w:eastAsia="ar-SA"/>
        </w:rPr>
        <w:t xml:space="preserve">a efecto de revisar </w:t>
      </w:r>
      <w:r w:rsidR="00881FA7" w:rsidRPr="00D4432C">
        <w:rPr>
          <w:rFonts w:ascii="ITC Avant Garde" w:hAnsi="ITC Avant Garde" w:cs="Arial"/>
          <w:color w:val="000000" w:themeColor="text1"/>
          <w:kern w:val="1"/>
          <w:sz w:val="22"/>
          <w:szCs w:val="22"/>
          <w:lang w:val="es-MX" w:eastAsia="ar-SA"/>
        </w:rPr>
        <w:t xml:space="preserve">la problemática del no establecimiento de llamadas de voz mediante la funcionalidad de </w:t>
      </w:r>
      <w:proofErr w:type="spellStart"/>
      <w:r w:rsidR="00881FA7" w:rsidRPr="00D4432C">
        <w:rPr>
          <w:rFonts w:ascii="ITC Avant Garde" w:hAnsi="ITC Avant Garde" w:cs="Arial"/>
          <w:color w:val="000000" w:themeColor="text1"/>
          <w:kern w:val="1"/>
          <w:sz w:val="22"/>
          <w:szCs w:val="22"/>
          <w:lang w:val="es-MX" w:eastAsia="ar-SA"/>
        </w:rPr>
        <w:t>VoLTE</w:t>
      </w:r>
      <w:proofErr w:type="spellEnd"/>
      <w:r w:rsidR="00990859" w:rsidRPr="00D4432C">
        <w:rPr>
          <w:rFonts w:ascii="ITC Avant Garde" w:hAnsi="ITC Avant Garde" w:cs="Arial"/>
          <w:color w:val="000000" w:themeColor="text1"/>
          <w:kern w:val="1"/>
          <w:sz w:val="22"/>
          <w:szCs w:val="22"/>
          <w:lang w:val="es-MX" w:eastAsia="ar-SA"/>
        </w:rPr>
        <w:t xml:space="preserve"> en los ETM</w:t>
      </w:r>
      <w:r w:rsidR="00A3223F" w:rsidRPr="00D4432C">
        <w:rPr>
          <w:rFonts w:ascii="ITC Avant Garde" w:hAnsi="ITC Avant Garde" w:cs="Arial"/>
          <w:color w:val="000000" w:themeColor="text1"/>
          <w:kern w:val="1"/>
          <w:sz w:val="22"/>
          <w:szCs w:val="22"/>
          <w:lang w:val="es-MX" w:eastAsia="ar-SA"/>
        </w:rPr>
        <w:t xml:space="preserve"> </w:t>
      </w:r>
      <w:r w:rsidR="005A427B" w:rsidRPr="00D4432C">
        <w:rPr>
          <w:rFonts w:ascii="ITC Avant Garde" w:hAnsi="ITC Avant Garde" w:cs="Arial"/>
          <w:color w:val="000000" w:themeColor="text1"/>
          <w:kern w:val="1"/>
          <w:sz w:val="22"/>
          <w:szCs w:val="22"/>
          <w:lang w:val="es-MX" w:eastAsia="ar-SA"/>
        </w:rPr>
        <w:t>comercializados en México.</w:t>
      </w:r>
    </w:p>
    <w:p w14:paraId="273795E1" w14:textId="77777777" w:rsidR="00990859" w:rsidRDefault="00990859" w:rsidP="00990859">
      <w:pPr>
        <w:pStyle w:val="Prrafodelista"/>
        <w:rPr>
          <w:rFonts w:ascii="ITC Avant Garde" w:hAnsi="ITC Avant Garde" w:cs="Arial"/>
          <w:color w:val="000000" w:themeColor="text1"/>
          <w:kern w:val="1"/>
          <w:sz w:val="22"/>
          <w:szCs w:val="22"/>
          <w:lang w:val="es-MX" w:eastAsia="ar-SA"/>
        </w:rPr>
      </w:pPr>
    </w:p>
    <w:p w14:paraId="1A7D8DB7" w14:textId="77777777" w:rsidR="00990859" w:rsidRDefault="00990859" w:rsidP="00990859">
      <w:pPr>
        <w:suppressAutoHyphens/>
        <w:ind w:left="360"/>
        <w:jc w:val="both"/>
        <w:rPr>
          <w:rFonts w:ascii="ITC Avant Garde" w:hAnsi="ITC Avant Garde" w:cs="Arial"/>
          <w:color w:val="000000" w:themeColor="text1"/>
          <w:kern w:val="1"/>
          <w:sz w:val="22"/>
          <w:szCs w:val="22"/>
          <w:lang w:val="es-MX" w:eastAsia="ar-SA"/>
        </w:rPr>
      </w:pPr>
    </w:p>
    <w:p w14:paraId="5DB26910" w14:textId="77777777" w:rsidR="009E26C2" w:rsidRPr="0013775E" w:rsidRDefault="009E26C2" w:rsidP="009E26C2">
      <w:pPr>
        <w:jc w:val="center"/>
        <w:rPr>
          <w:rFonts w:ascii="ITC Avant Garde" w:eastAsia="Times New Roman" w:hAnsi="ITC Avant Garde" w:cs="Arial"/>
          <w:b/>
          <w:kern w:val="2"/>
          <w:sz w:val="22"/>
          <w:szCs w:val="22"/>
          <w:lang w:eastAsia="ar-SA"/>
        </w:rPr>
      </w:pPr>
      <w:r w:rsidRPr="0013775E">
        <w:rPr>
          <w:rFonts w:ascii="ITC Avant Garde" w:eastAsia="Times New Roman" w:hAnsi="ITC Avant Garde" w:cs="Arial"/>
          <w:b/>
          <w:kern w:val="2"/>
          <w:sz w:val="22"/>
          <w:szCs w:val="22"/>
          <w:lang w:eastAsia="ar-SA"/>
        </w:rPr>
        <w:t>CONSIDERANDO</w:t>
      </w:r>
    </w:p>
    <w:p w14:paraId="207584DF" w14:textId="77777777" w:rsidR="009E26C2" w:rsidRPr="0013775E" w:rsidRDefault="009E26C2" w:rsidP="009E26C2">
      <w:pPr>
        <w:jc w:val="center"/>
        <w:rPr>
          <w:rFonts w:ascii="ITC Avant Garde" w:eastAsia="Times New Roman" w:hAnsi="ITC Avant Garde" w:cs="Arial"/>
          <w:b/>
          <w:kern w:val="2"/>
          <w:sz w:val="22"/>
          <w:szCs w:val="22"/>
          <w:lang w:eastAsia="ar-SA"/>
        </w:rPr>
      </w:pPr>
    </w:p>
    <w:p w14:paraId="577734BB" w14:textId="77777777" w:rsidR="009E26C2" w:rsidRPr="0013775E" w:rsidRDefault="009E26C2" w:rsidP="009E26C2">
      <w:pPr>
        <w:jc w:val="center"/>
        <w:rPr>
          <w:rFonts w:ascii="ITC Avant Garde" w:eastAsia="Times New Roman" w:hAnsi="ITC Avant Garde" w:cs="Arial"/>
          <w:b/>
          <w:kern w:val="2"/>
          <w:sz w:val="22"/>
          <w:szCs w:val="22"/>
          <w:lang w:eastAsia="ar-SA"/>
        </w:rPr>
      </w:pPr>
    </w:p>
    <w:p w14:paraId="132EBBFC" w14:textId="77777777"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proofErr w:type="gramStart"/>
      <w:r w:rsidRPr="0013775E">
        <w:rPr>
          <w:rFonts w:ascii="ITC Avant Garde" w:eastAsia="Times New Roman" w:hAnsi="ITC Avant Garde" w:cs="Arial"/>
          <w:b/>
          <w:kern w:val="2"/>
          <w:sz w:val="22"/>
          <w:szCs w:val="22"/>
          <w:lang w:eastAsia="ar-SA"/>
        </w:rPr>
        <w:t>PRIMERO.-</w:t>
      </w:r>
      <w:proofErr w:type="gramEnd"/>
      <w:r w:rsidRPr="0013775E">
        <w:rPr>
          <w:rFonts w:ascii="ITC Avant Garde" w:eastAsia="Times New Roman" w:hAnsi="ITC Avant Garde" w:cs="Arial"/>
          <w:b/>
          <w:kern w:val="2"/>
          <w:sz w:val="22"/>
          <w:szCs w:val="22"/>
          <w:lang w:eastAsia="ar-SA"/>
        </w:rPr>
        <w:t xml:space="preserve"> </w:t>
      </w:r>
      <w:r w:rsidR="009960A8">
        <w:rPr>
          <w:rFonts w:ascii="ITC Avant Garde" w:eastAsia="Times New Roman" w:hAnsi="ITC Avant Garde" w:cs="Arial"/>
          <w:b/>
          <w:kern w:val="2"/>
          <w:sz w:val="22"/>
          <w:szCs w:val="22"/>
          <w:lang w:eastAsia="ar-SA"/>
        </w:rPr>
        <w:t>C</w:t>
      </w:r>
      <w:r w:rsidRPr="0013775E">
        <w:rPr>
          <w:rFonts w:ascii="ITC Avant Garde" w:eastAsia="Times New Roman" w:hAnsi="ITC Avant Garde" w:cs="Arial"/>
          <w:b/>
          <w:kern w:val="2"/>
          <w:sz w:val="22"/>
          <w:szCs w:val="22"/>
          <w:lang w:eastAsia="ar-SA"/>
        </w:rPr>
        <w:t>omp</w:t>
      </w:r>
      <w:r w:rsidR="0084731D">
        <w:rPr>
          <w:rFonts w:ascii="ITC Avant Garde" w:eastAsia="Times New Roman" w:hAnsi="ITC Avant Garde" w:cs="Arial"/>
          <w:b/>
          <w:kern w:val="2"/>
          <w:sz w:val="22"/>
          <w:szCs w:val="22"/>
          <w:lang w:eastAsia="ar-SA"/>
        </w:rPr>
        <w:t xml:space="preserve">etencia </w:t>
      </w:r>
      <w:r w:rsidRPr="0013775E">
        <w:rPr>
          <w:rFonts w:ascii="ITC Avant Garde" w:eastAsia="Times New Roman" w:hAnsi="ITC Avant Garde" w:cs="Arial"/>
          <w:b/>
          <w:kern w:val="2"/>
          <w:sz w:val="22"/>
          <w:szCs w:val="22"/>
          <w:lang w:eastAsia="ar-SA"/>
        </w:rPr>
        <w:t>del Instituto.</w:t>
      </w:r>
      <w:r w:rsidRPr="0013775E">
        <w:rPr>
          <w:rFonts w:ascii="ITC Avant Garde" w:hAnsi="ITC Avant Garde" w:cs="Arial"/>
          <w:b/>
          <w:kern w:val="2"/>
          <w:sz w:val="22"/>
          <w:szCs w:val="22"/>
          <w:lang w:eastAsia="ar-SA"/>
        </w:rPr>
        <w:t xml:space="preserve"> </w:t>
      </w:r>
      <w:r w:rsidRPr="0013775E">
        <w:rPr>
          <w:rFonts w:ascii="ITC Avant Garde" w:eastAsia="Times New Roman" w:hAnsi="ITC Avant Garde" w:cs="Arial"/>
          <w:kern w:val="1"/>
          <w:sz w:val="22"/>
          <w:szCs w:val="22"/>
          <w:lang w:eastAsia="ar-SA"/>
        </w:rPr>
        <w:t>De conformidad con lo establecido por el artículo 28 párrafo décimo quinto de la Constitución Política de los Estados Unidos Mexicanos (“Constitución”), el Instituto tiene por objeto el desarrollo eficiente de la radiodifusión y las telecomunicaciones, conforme a lo dispuesto en la propia Constitución y en los términos que fijen las leyes.</w:t>
      </w:r>
    </w:p>
    <w:p w14:paraId="02EE620E" w14:textId="77777777"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p>
    <w:p w14:paraId="0E346CB6" w14:textId="77777777"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Para tal efecto, en términos del precepto constitucional invocado, así como de los artículos 1 y 7 de la Ley Federal de Telecomunicaciones y Radiodifusión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 y 7° de la Constitución.</w:t>
      </w:r>
    </w:p>
    <w:p w14:paraId="0C3B2963" w14:textId="77777777" w:rsidR="009E26C2" w:rsidRPr="0013775E" w:rsidRDefault="009E26C2" w:rsidP="009E26C2">
      <w:pPr>
        <w:jc w:val="both"/>
        <w:rPr>
          <w:rFonts w:ascii="ITC Avant Garde" w:hAnsi="ITC Avant Garde" w:cs="Arial"/>
          <w:sz w:val="22"/>
          <w:szCs w:val="22"/>
        </w:rPr>
      </w:pPr>
    </w:p>
    <w:p w14:paraId="54AF65F9" w14:textId="77777777"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Asimismo, el Instituto es la autoridad en materia de competencia económica de los sectores de radiodifusión y telecomunicaciones, por lo que en éstos ejercerá en forma exclusiva las facultades establecidas por el artículo 28 de la Constitución, la Ley y la Ley Federal de Competencia Económica.</w:t>
      </w:r>
    </w:p>
    <w:p w14:paraId="67E7E556" w14:textId="77777777" w:rsidR="009E26C2" w:rsidRPr="0013775E" w:rsidRDefault="009E26C2" w:rsidP="009E26C2">
      <w:pPr>
        <w:jc w:val="both"/>
        <w:rPr>
          <w:rFonts w:ascii="ITC Avant Garde" w:hAnsi="ITC Avant Garde" w:cs="Arial"/>
          <w:sz w:val="22"/>
          <w:szCs w:val="22"/>
        </w:rPr>
      </w:pPr>
    </w:p>
    <w:p w14:paraId="4655F2F4" w14:textId="77777777" w:rsidR="009E26C2"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lastRenderedPageBreak/>
        <w:t>De igual forma, la fracción IV del párrafo vigésimo del artículo 28 de la Constitución, señala que el Instituto podrá emitir disposiciones administrativas de carácter general</w:t>
      </w:r>
      <w:r w:rsidR="002B46CE">
        <w:rPr>
          <w:rFonts w:ascii="ITC Avant Garde" w:eastAsia="Times New Roman" w:hAnsi="ITC Avant Garde" w:cs="Arial"/>
          <w:kern w:val="1"/>
          <w:sz w:val="22"/>
          <w:szCs w:val="22"/>
          <w:lang w:eastAsia="ar-SA"/>
        </w:rPr>
        <w:t>,</w:t>
      </w:r>
      <w:r w:rsidRPr="0013775E">
        <w:rPr>
          <w:rFonts w:ascii="ITC Avant Garde" w:eastAsia="Times New Roman" w:hAnsi="ITC Avant Garde" w:cs="Arial"/>
          <w:kern w:val="1"/>
          <w:sz w:val="22"/>
          <w:szCs w:val="22"/>
          <w:lang w:eastAsia="ar-SA"/>
        </w:rPr>
        <w:t xml:space="preserve"> </w:t>
      </w:r>
      <w:r w:rsidR="002B46CE" w:rsidRPr="002B46CE">
        <w:rPr>
          <w:rFonts w:ascii="ITC Avant Garde" w:eastAsia="Times New Roman" w:hAnsi="ITC Avant Garde" w:cs="Arial"/>
          <w:kern w:val="1"/>
          <w:sz w:val="22"/>
          <w:szCs w:val="22"/>
          <w:lang w:eastAsia="ar-SA"/>
        </w:rPr>
        <w:t>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6A5644E4" w14:textId="77777777" w:rsidR="00CA4101" w:rsidRDefault="00CA4101" w:rsidP="009E26C2">
      <w:pPr>
        <w:suppressAutoHyphens/>
        <w:ind w:right="-62"/>
        <w:jc w:val="both"/>
        <w:rPr>
          <w:rFonts w:ascii="ITC Avant Garde" w:eastAsia="Times New Roman" w:hAnsi="ITC Avant Garde" w:cs="Arial"/>
          <w:kern w:val="1"/>
          <w:sz w:val="22"/>
          <w:szCs w:val="22"/>
          <w:lang w:eastAsia="ar-SA"/>
        </w:rPr>
      </w:pPr>
    </w:p>
    <w:p w14:paraId="0A9DDF42" w14:textId="4499D07C" w:rsidR="002B46CE" w:rsidRPr="002B46CE" w:rsidRDefault="009E26C2" w:rsidP="009E26C2">
      <w:pPr>
        <w:jc w:val="both"/>
        <w:rPr>
          <w:rFonts w:ascii="ITC Avant Garde" w:eastAsia="Times New Roman" w:hAnsi="ITC Avant Garde" w:cs="Arial"/>
          <w:kern w:val="2"/>
          <w:sz w:val="22"/>
          <w:szCs w:val="22"/>
          <w:lang w:eastAsia="ar-SA"/>
        </w:rPr>
      </w:pPr>
      <w:proofErr w:type="gramStart"/>
      <w:r w:rsidRPr="0013775E">
        <w:rPr>
          <w:rFonts w:ascii="ITC Avant Garde" w:eastAsia="Times New Roman" w:hAnsi="ITC Avant Garde" w:cs="Arial"/>
          <w:b/>
          <w:kern w:val="2"/>
          <w:sz w:val="22"/>
          <w:szCs w:val="22"/>
          <w:lang w:eastAsia="ar-SA"/>
        </w:rPr>
        <w:t>SEGUNDO.-</w:t>
      </w:r>
      <w:proofErr w:type="gramEnd"/>
      <w:r w:rsidRPr="0013775E">
        <w:rPr>
          <w:rFonts w:ascii="ITC Avant Garde" w:eastAsia="Times New Roman" w:hAnsi="ITC Avant Garde" w:cs="Arial"/>
          <w:b/>
          <w:kern w:val="2"/>
          <w:sz w:val="22"/>
          <w:szCs w:val="22"/>
          <w:lang w:eastAsia="ar-SA"/>
        </w:rPr>
        <w:t xml:space="preserve"> </w:t>
      </w:r>
      <w:r w:rsidR="002B46CE">
        <w:rPr>
          <w:rFonts w:ascii="ITC Avant Garde" w:eastAsia="Times New Roman" w:hAnsi="ITC Avant Garde" w:cs="Arial"/>
          <w:b/>
          <w:kern w:val="2"/>
          <w:sz w:val="22"/>
          <w:szCs w:val="22"/>
          <w:lang w:eastAsia="ar-SA"/>
        </w:rPr>
        <w:t xml:space="preserve">De las Disposiciones Técnicas. </w:t>
      </w:r>
      <w:r w:rsidR="002B46CE" w:rsidRPr="002B46CE">
        <w:rPr>
          <w:rFonts w:ascii="ITC Avant Garde" w:eastAsia="Times New Roman" w:hAnsi="ITC Avant Garde" w:cs="Arial"/>
          <w:kern w:val="2"/>
          <w:sz w:val="22"/>
          <w:szCs w:val="22"/>
          <w:lang w:eastAsia="ar-SA"/>
        </w:rPr>
        <w:t>Son instrumentos de observancia general expedidos por el Instituto conforme a lo establecido en el artículo 15 fracción I de la L</w:t>
      </w:r>
      <w:r w:rsidR="00AF6631">
        <w:rPr>
          <w:rFonts w:ascii="ITC Avant Garde" w:eastAsia="Times New Roman" w:hAnsi="ITC Avant Garde" w:cs="Arial"/>
          <w:kern w:val="2"/>
          <w:sz w:val="22"/>
          <w:szCs w:val="22"/>
          <w:lang w:eastAsia="ar-SA"/>
        </w:rPr>
        <w:t>ey</w:t>
      </w:r>
      <w:r w:rsidR="002B46CE" w:rsidRPr="002B46CE">
        <w:rPr>
          <w:rFonts w:ascii="ITC Avant Garde" w:eastAsia="Times New Roman" w:hAnsi="ITC Avant Garde" w:cs="Arial"/>
          <w:kern w:val="2"/>
          <w:sz w:val="22"/>
          <w:szCs w:val="22"/>
          <w:lang w:eastAsia="ar-SA"/>
        </w:rPr>
        <w:t xml:space="preserve">, a través de los cuales se regulan las características y la operación de productos, dispositivos y servicios de telecomunicaciones y radiodifusión y en su caso, la instalación de los equipos, sistemas y la infraestructura en general asociada a </w:t>
      </w:r>
      <w:r w:rsidR="00DC6842">
        <w:rPr>
          <w:rFonts w:ascii="ITC Avant Garde" w:eastAsia="Times New Roman" w:hAnsi="ITC Avant Garde" w:cs="Arial"/>
          <w:kern w:val="2"/>
          <w:sz w:val="22"/>
          <w:szCs w:val="22"/>
          <w:lang w:eastAsia="ar-SA"/>
        </w:rPr>
        <w:t>e</w:t>
      </w:r>
      <w:r w:rsidR="002B46CE" w:rsidRPr="002B46CE">
        <w:rPr>
          <w:rFonts w:ascii="ITC Avant Garde" w:eastAsia="Times New Roman" w:hAnsi="ITC Avant Garde" w:cs="Arial"/>
          <w:kern w:val="2"/>
          <w:sz w:val="22"/>
          <w:szCs w:val="22"/>
          <w:lang w:eastAsia="ar-SA"/>
        </w:rPr>
        <w:t>stos, así como las especificaciones que se refieran a su cumplimiento o aplicación.</w:t>
      </w:r>
    </w:p>
    <w:p w14:paraId="658AA730" w14:textId="77777777" w:rsidR="002B46CE" w:rsidRDefault="002B46CE" w:rsidP="009E26C2">
      <w:pPr>
        <w:jc w:val="both"/>
        <w:rPr>
          <w:rFonts w:ascii="ITC Avant Garde" w:eastAsia="Times New Roman" w:hAnsi="ITC Avant Garde" w:cs="Arial"/>
          <w:b/>
          <w:kern w:val="2"/>
          <w:sz w:val="22"/>
          <w:szCs w:val="22"/>
          <w:lang w:eastAsia="ar-SA"/>
        </w:rPr>
      </w:pPr>
    </w:p>
    <w:p w14:paraId="133CCFD5" w14:textId="5BE0052E" w:rsidR="009E26C2" w:rsidRPr="00C45F93" w:rsidRDefault="002B46CE" w:rsidP="002B46CE">
      <w:pPr>
        <w:jc w:val="both"/>
        <w:rPr>
          <w:rFonts w:ascii="ITC Avant Garde" w:eastAsia="Times New Roman" w:hAnsi="ITC Avant Garde" w:cs="Arial"/>
          <w:kern w:val="2"/>
          <w:sz w:val="22"/>
          <w:szCs w:val="22"/>
          <w:lang w:eastAsia="ar-SA"/>
        </w:rPr>
      </w:pPr>
      <w:proofErr w:type="gramStart"/>
      <w:r>
        <w:rPr>
          <w:rFonts w:ascii="ITC Avant Garde" w:eastAsia="Times New Roman" w:hAnsi="ITC Avant Garde" w:cs="Arial"/>
          <w:b/>
          <w:kern w:val="2"/>
          <w:sz w:val="22"/>
          <w:szCs w:val="22"/>
          <w:lang w:eastAsia="ar-SA"/>
        </w:rPr>
        <w:t>TERCERO.-</w:t>
      </w:r>
      <w:proofErr w:type="gramEnd"/>
      <w:r>
        <w:rPr>
          <w:rFonts w:ascii="ITC Avant Garde" w:eastAsia="Times New Roman" w:hAnsi="ITC Avant Garde" w:cs="Arial"/>
          <w:b/>
          <w:kern w:val="2"/>
          <w:sz w:val="22"/>
          <w:szCs w:val="22"/>
          <w:lang w:eastAsia="ar-SA"/>
        </w:rPr>
        <w:t xml:space="preserve"> Del Marco técnico Regulatorio. </w:t>
      </w:r>
      <w:r w:rsidR="00C45F93" w:rsidRPr="00C45F93">
        <w:rPr>
          <w:rFonts w:ascii="ITC Avant Garde" w:eastAsia="Times New Roman" w:hAnsi="ITC Avant Garde" w:cs="Arial"/>
          <w:kern w:val="2"/>
          <w:sz w:val="22"/>
          <w:szCs w:val="22"/>
          <w:lang w:eastAsia="ar-SA"/>
        </w:rPr>
        <w:t xml:space="preserve">El 3 de enero de 2018, se publicó en el DOF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la cual establece 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 misma que entró en vigor el </w:t>
      </w:r>
      <w:r w:rsidR="000F32AE">
        <w:rPr>
          <w:rFonts w:ascii="ITC Avant Garde" w:eastAsia="Times New Roman" w:hAnsi="ITC Avant Garde" w:cs="Arial"/>
          <w:kern w:val="2"/>
          <w:sz w:val="22"/>
          <w:szCs w:val="22"/>
          <w:lang w:eastAsia="ar-SA"/>
        </w:rPr>
        <w:t>3</w:t>
      </w:r>
      <w:r w:rsidR="000F32AE" w:rsidRPr="00C45F93">
        <w:rPr>
          <w:rFonts w:ascii="ITC Avant Garde" w:eastAsia="Times New Roman" w:hAnsi="ITC Avant Garde" w:cs="Arial"/>
          <w:kern w:val="2"/>
          <w:sz w:val="22"/>
          <w:szCs w:val="22"/>
          <w:lang w:eastAsia="ar-SA"/>
        </w:rPr>
        <w:t xml:space="preserve"> </w:t>
      </w:r>
      <w:r w:rsidR="00C45F93" w:rsidRPr="00C45F93">
        <w:rPr>
          <w:rFonts w:ascii="ITC Avant Garde" w:eastAsia="Times New Roman" w:hAnsi="ITC Avant Garde" w:cs="Arial"/>
          <w:kern w:val="2"/>
          <w:sz w:val="22"/>
          <w:szCs w:val="22"/>
          <w:lang w:eastAsia="ar-SA"/>
        </w:rPr>
        <w:t>de abril de 2018.</w:t>
      </w:r>
    </w:p>
    <w:p w14:paraId="1EFDC75E" w14:textId="77777777" w:rsidR="009E26C2" w:rsidRPr="00C45F93" w:rsidRDefault="009E26C2" w:rsidP="009E26C2">
      <w:pPr>
        <w:jc w:val="both"/>
        <w:rPr>
          <w:rFonts w:ascii="ITC Avant Garde" w:eastAsia="Times New Roman" w:hAnsi="ITC Avant Garde" w:cs="Arial"/>
          <w:kern w:val="2"/>
          <w:sz w:val="22"/>
          <w:szCs w:val="22"/>
          <w:lang w:eastAsia="ar-SA"/>
        </w:rPr>
      </w:pPr>
    </w:p>
    <w:p w14:paraId="08D62257" w14:textId="77777777" w:rsidR="00CA4101" w:rsidRDefault="00C45F93" w:rsidP="009E26C2">
      <w:pPr>
        <w:jc w:val="both"/>
        <w:rPr>
          <w:rFonts w:ascii="ITC Avant Garde" w:eastAsia="Times New Roman" w:hAnsi="ITC Avant Garde" w:cs="Arial"/>
          <w:kern w:val="2"/>
          <w:sz w:val="22"/>
          <w:szCs w:val="22"/>
          <w:lang w:eastAsia="ar-SA"/>
        </w:rPr>
      </w:pPr>
      <w:r>
        <w:rPr>
          <w:rFonts w:ascii="ITC Avant Garde" w:eastAsia="Times New Roman" w:hAnsi="ITC Avant Garde" w:cs="Arial"/>
          <w:kern w:val="2"/>
          <w:sz w:val="22"/>
          <w:szCs w:val="22"/>
          <w:lang w:eastAsia="ar-SA"/>
        </w:rPr>
        <w:t xml:space="preserve">El </w:t>
      </w:r>
      <w:r w:rsidR="00797699">
        <w:rPr>
          <w:rFonts w:ascii="ITC Avant Garde" w:eastAsia="Times New Roman" w:hAnsi="ITC Avant Garde" w:cs="Arial"/>
          <w:kern w:val="2"/>
          <w:sz w:val="22"/>
          <w:szCs w:val="22"/>
          <w:lang w:eastAsia="ar-SA"/>
        </w:rPr>
        <w:t xml:space="preserve">30 de julio de 2018, se publicó en el DOF el </w:t>
      </w:r>
      <w:r w:rsidR="0093354C">
        <w:rPr>
          <w:rFonts w:ascii="ITC Avant Garde" w:eastAsia="Times New Roman" w:hAnsi="ITC Avant Garde" w:cs="Arial"/>
          <w:kern w:val="2"/>
          <w:sz w:val="22"/>
          <w:szCs w:val="22"/>
          <w:lang w:eastAsia="ar-SA"/>
        </w:rPr>
        <w:t>“</w:t>
      </w:r>
      <w:r w:rsidR="0093354C" w:rsidRPr="0093354C">
        <w:rPr>
          <w:rFonts w:ascii="ITC Avant Garde" w:eastAsia="Times New Roman" w:hAnsi="ITC Avant Garde" w:cs="Arial"/>
          <w:kern w:val="2"/>
          <w:sz w:val="22"/>
          <w:szCs w:val="22"/>
          <w:lang w:eastAsia="ar-SA"/>
        </w:rPr>
        <w:t>ACUERDO mediante el cual el Pleno del Instituto Federal de Telecomunicaciones modifica la Disposición Técnica</w:t>
      </w:r>
      <w:r w:rsidR="0093354C">
        <w:rPr>
          <w:rFonts w:ascii="ITC Avant Garde" w:eastAsia="Times New Roman" w:hAnsi="ITC Avant Garde" w:cs="Arial"/>
          <w:kern w:val="2"/>
          <w:sz w:val="22"/>
          <w:szCs w:val="22"/>
          <w:lang w:eastAsia="ar-SA"/>
        </w:rPr>
        <w:t xml:space="preserve"> </w:t>
      </w:r>
      <w:r w:rsidR="0093354C" w:rsidRPr="0093354C">
        <w:rPr>
          <w:rFonts w:ascii="ITC Avant Garde" w:eastAsia="Times New Roman" w:hAnsi="ITC Avant Garde" w:cs="Arial"/>
          <w:kern w:val="2"/>
          <w:sz w:val="22"/>
          <w:szCs w:val="22"/>
          <w:lang w:eastAsia="ar-SA"/>
        </w:rPr>
        <w:t>IFT-011-2017: Especificaciones técnicas de los equipos terminales móviles que puedan hacer uso del espectro</w:t>
      </w:r>
      <w:r w:rsidR="0093354C">
        <w:rPr>
          <w:rFonts w:ascii="ITC Avant Garde" w:eastAsia="Times New Roman" w:hAnsi="ITC Avant Garde" w:cs="Arial"/>
          <w:kern w:val="2"/>
          <w:sz w:val="22"/>
          <w:szCs w:val="22"/>
          <w:lang w:eastAsia="ar-SA"/>
        </w:rPr>
        <w:t xml:space="preserve"> </w:t>
      </w:r>
      <w:r w:rsidR="0093354C" w:rsidRPr="0093354C">
        <w:rPr>
          <w:rFonts w:ascii="ITC Avant Garde" w:eastAsia="Times New Roman" w:hAnsi="ITC Avant Garde" w:cs="Arial"/>
          <w:kern w:val="2"/>
          <w:sz w:val="22"/>
          <w:szCs w:val="22"/>
          <w:lang w:eastAsia="ar-SA"/>
        </w:rPr>
        <w:t>radioeléctr</w:t>
      </w:r>
      <w:r w:rsidR="0093354C">
        <w:rPr>
          <w:rFonts w:ascii="ITC Avant Garde" w:eastAsia="Times New Roman" w:hAnsi="ITC Avant Garde" w:cs="Arial"/>
          <w:kern w:val="2"/>
          <w:sz w:val="22"/>
          <w:szCs w:val="22"/>
          <w:lang w:eastAsia="ar-SA"/>
        </w:rPr>
        <w:t xml:space="preserve">ico o ser conectados a redes de </w:t>
      </w:r>
      <w:r w:rsidR="0093354C" w:rsidRPr="0093354C">
        <w:rPr>
          <w:rFonts w:ascii="ITC Avant Garde" w:eastAsia="Times New Roman" w:hAnsi="ITC Avant Garde" w:cs="Arial"/>
          <w:kern w:val="2"/>
          <w:sz w:val="22"/>
          <w:szCs w:val="22"/>
          <w:lang w:eastAsia="ar-SA"/>
        </w:rPr>
        <w:t>telecomunicaciones. Parte 2. Equipos terminales móviles que operan en</w:t>
      </w:r>
      <w:r w:rsidR="0093354C">
        <w:rPr>
          <w:rFonts w:ascii="ITC Avant Garde" w:eastAsia="Times New Roman" w:hAnsi="ITC Avant Garde" w:cs="Arial"/>
          <w:kern w:val="2"/>
          <w:sz w:val="22"/>
          <w:szCs w:val="22"/>
          <w:lang w:eastAsia="ar-SA"/>
        </w:rPr>
        <w:t xml:space="preserve"> </w:t>
      </w:r>
      <w:r w:rsidR="0093354C" w:rsidRPr="0093354C">
        <w:rPr>
          <w:rFonts w:ascii="ITC Avant Garde" w:eastAsia="Times New Roman" w:hAnsi="ITC Avant Garde" w:cs="Arial"/>
          <w:kern w:val="2"/>
          <w:sz w:val="22"/>
          <w:szCs w:val="22"/>
          <w:lang w:eastAsia="ar-SA"/>
        </w:rPr>
        <w:t>las bandas de 700 MHz, 800 MHz, 850 MHz, 1900 MHz, 1700 MHz/2100 MHz y/o 2500 MHz</w:t>
      </w:r>
      <w:r w:rsidR="0093354C">
        <w:rPr>
          <w:rFonts w:ascii="ITC Avant Garde" w:eastAsia="Times New Roman" w:hAnsi="ITC Avant Garde" w:cs="Arial"/>
          <w:kern w:val="2"/>
          <w:sz w:val="22"/>
          <w:szCs w:val="22"/>
          <w:lang w:eastAsia="ar-SA"/>
        </w:rPr>
        <w:t xml:space="preserve">”, </w:t>
      </w:r>
      <w:r w:rsidR="00A07B0B">
        <w:rPr>
          <w:rFonts w:ascii="ITC Avant Garde" w:eastAsia="Times New Roman" w:hAnsi="ITC Avant Garde" w:cs="Arial"/>
          <w:kern w:val="2"/>
          <w:sz w:val="22"/>
          <w:szCs w:val="22"/>
          <w:lang w:eastAsia="ar-SA"/>
        </w:rPr>
        <w:t xml:space="preserve">mediante el cual se fortalecen </w:t>
      </w:r>
      <w:r w:rsidR="00D962C5">
        <w:rPr>
          <w:rFonts w:ascii="ITC Avant Garde" w:eastAsia="Times New Roman" w:hAnsi="ITC Avant Garde" w:cs="Arial"/>
          <w:kern w:val="2"/>
          <w:sz w:val="22"/>
          <w:szCs w:val="22"/>
          <w:lang w:eastAsia="ar-SA"/>
        </w:rPr>
        <w:t>los métodos de prueba de la referida disp</w:t>
      </w:r>
      <w:r w:rsidR="00A33238">
        <w:rPr>
          <w:rFonts w:ascii="ITC Avant Garde" w:eastAsia="Times New Roman" w:hAnsi="ITC Avant Garde" w:cs="Arial"/>
          <w:kern w:val="2"/>
          <w:sz w:val="22"/>
          <w:szCs w:val="22"/>
          <w:lang w:eastAsia="ar-SA"/>
        </w:rPr>
        <w:t>osición técnica, a efecto de robustecer el proceso de Evaluación de la Conformidad.</w:t>
      </w:r>
    </w:p>
    <w:p w14:paraId="19F01822" w14:textId="77777777" w:rsidR="0074169A" w:rsidRPr="0074169A" w:rsidRDefault="0074169A" w:rsidP="0074169A">
      <w:pPr>
        <w:jc w:val="both"/>
        <w:rPr>
          <w:rFonts w:ascii="ITC Avant Garde" w:eastAsia="Times New Roman" w:hAnsi="ITC Avant Garde" w:cs="Arial"/>
          <w:kern w:val="2"/>
          <w:sz w:val="22"/>
          <w:szCs w:val="22"/>
          <w:lang w:eastAsia="ar-SA"/>
        </w:rPr>
      </w:pPr>
    </w:p>
    <w:p w14:paraId="2ADA907E" w14:textId="77777777" w:rsidR="001B2ACF" w:rsidRDefault="00AA0DF6" w:rsidP="00AA0DF6">
      <w:p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 xml:space="preserve">El 2 de mayo de 2019, </w:t>
      </w:r>
      <w:r w:rsidR="00770435">
        <w:rPr>
          <w:rFonts w:ascii="ITC Avant Garde" w:hAnsi="ITC Avant Garde" w:cs="Arial"/>
          <w:color w:val="000000" w:themeColor="text1"/>
          <w:kern w:val="1"/>
          <w:sz w:val="22"/>
          <w:szCs w:val="22"/>
          <w:lang w:val="es-MX" w:eastAsia="ar-SA"/>
        </w:rPr>
        <w:t xml:space="preserve">se recibió en el Instituto un escrito de </w:t>
      </w:r>
      <w:proofErr w:type="spellStart"/>
      <w:r>
        <w:rPr>
          <w:rFonts w:ascii="ITC Avant Garde" w:hAnsi="ITC Avant Garde" w:cs="Arial"/>
          <w:color w:val="000000" w:themeColor="text1"/>
          <w:kern w:val="1"/>
          <w:sz w:val="22"/>
          <w:szCs w:val="22"/>
          <w:lang w:val="es-MX" w:eastAsia="ar-SA"/>
        </w:rPr>
        <w:t>Altán</w:t>
      </w:r>
      <w:proofErr w:type="spellEnd"/>
      <w:r>
        <w:rPr>
          <w:rFonts w:ascii="ITC Avant Garde" w:hAnsi="ITC Avant Garde" w:cs="Arial"/>
          <w:color w:val="000000" w:themeColor="text1"/>
          <w:kern w:val="1"/>
          <w:sz w:val="22"/>
          <w:szCs w:val="22"/>
          <w:lang w:val="es-MX" w:eastAsia="ar-SA"/>
        </w:rPr>
        <w:t xml:space="preserve"> Redes </w:t>
      </w:r>
      <w:r w:rsidRPr="008B0A23">
        <w:rPr>
          <w:rFonts w:ascii="ITC Avant Garde" w:hAnsi="ITC Avant Garde" w:cs="Arial"/>
          <w:color w:val="000000" w:themeColor="text1"/>
          <w:kern w:val="1"/>
          <w:sz w:val="22"/>
          <w:szCs w:val="22"/>
          <w:lang w:val="es-MX" w:eastAsia="ar-SA"/>
        </w:rPr>
        <w:t xml:space="preserve">S.A.P.I. </w:t>
      </w:r>
      <w:r w:rsidR="0030597B">
        <w:rPr>
          <w:rFonts w:ascii="ITC Avant Garde" w:hAnsi="ITC Avant Garde" w:cs="Arial"/>
          <w:color w:val="000000" w:themeColor="text1"/>
          <w:kern w:val="1"/>
          <w:sz w:val="22"/>
          <w:szCs w:val="22"/>
          <w:lang w:val="es-MX" w:eastAsia="ar-SA"/>
        </w:rPr>
        <w:t>de</w:t>
      </w:r>
      <w:r w:rsidRPr="008B0A23">
        <w:rPr>
          <w:rFonts w:ascii="ITC Avant Garde" w:hAnsi="ITC Avant Garde" w:cs="Arial"/>
          <w:color w:val="000000" w:themeColor="text1"/>
          <w:kern w:val="1"/>
          <w:sz w:val="22"/>
          <w:szCs w:val="22"/>
          <w:lang w:val="es-MX" w:eastAsia="ar-SA"/>
        </w:rPr>
        <w:t xml:space="preserve"> C.V.,</w:t>
      </w:r>
      <w:r w:rsidRPr="00426C16">
        <w:rPr>
          <w:rFonts w:ascii="ITC Avant Garde" w:hAnsi="ITC Avant Garde" w:cs="Arial"/>
          <w:color w:val="000000" w:themeColor="text1"/>
          <w:kern w:val="1"/>
          <w:sz w:val="22"/>
          <w:szCs w:val="22"/>
          <w:lang w:val="es-MX" w:eastAsia="ar-SA"/>
        </w:rPr>
        <w:t xml:space="preserve"> </w:t>
      </w:r>
      <w:r w:rsidR="001B2ACF">
        <w:rPr>
          <w:rFonts w:ascii="ITC Avant Garde" w:hAnsi="ITC Avant Garde" w:cs="Arial"/>
          <w:color w:val="000000" w:themeColor="text1"/>
          <w:kern w:val="1"/>
          <w:sz w:val="22"/>
          <w:szCs w:val="22"/>
          <w:lang w:val="es-MX" w:eastAsia="ar-SA"/>
        </w:rPr>
        <w:t xml:space="preserve">que indica que a finales del año 2017 el parque total de </w:t>
      </w:r>
      <w:proofErr w:type="spellStart"/>
      <w:r w:rsidR="001B2ACF" w:rsidRPr="00881FA7">
        <w:rPr>
          <w:rFonts w:ascii="ITC Avant Garde" w:hAnsi="ITC Avant Garde" w:cs="Arial"/>
          <w:i/>
          <w:color w:val="000000" w:themeColor="text1"/>
          <w:kern w:val="1"/>
          <w:sz w:val="22"/>
          <w:szCs w:val="22"/>
          <w:lang w:val="es-MX" w:eastAsia="ar-SA"/>
        </w:rPr>
        <w:t>Smartphones</w:t>
      </w:r>
      <w:proofErr w:type="spellEnd"/>
      <w:r w:rsidR="001B2ACF">
        <w:rPr>
          <w:rFonts w:ascii="ITC Avant Garde" w:hAnsi="ITC Avant Garde" w:cs="Arial"/>
          <w:color w:val="000000" w:themeColor="text1"/>
          <w:kern w:val="1"/>
          <w:sz w:val="22"/>
          <w:szCs w:val="22"/>
          <w:lang w:val="es-MX" w:eastAsia="ar-SA"/>
        </w:rPr>
        <w:t xml:space="preserve"> en México se estimó en 88.5 millones de unidades </w:t>
      </w:r>
      <w:r w:rsidR="00DE0E2E">
        <w:rPr>
          <w:rFonts w:ascii="ITC Avant Garde" w:hAnsi="ITC Avant Garde" w:cs="Arial"/>
          <w:color w:val="000000" w:themeColor="text1"/>
          <w:kern w:val="1"/>
          <w:sz w:val="22"/>
          <w:szCs w:val="22"/>
          <w:lang w:val="es-MX" w:eastAsia="ar-SA"/>
        </w:rPr>
        <w:t xml:space="preserve">de </w:t>
      </w:r>
      <w:r w:rsidR="001B2ACF">
        <w:rPr>
          <w:rFonts w:ascii="ITC Avant Garde" w:hAnsi="ITC Avant Garde" w:cs="Arial"/>
          <w:color w:val="000000" w:themeColor="text1"/>
          <w:kern w:val="1"/>
          <w:sz w:val="22"/>
          <w:szCs w:val="22"/>
          <w:lang w:val="es-MX" w:eastAsia="ar-SA"/>
        </w:rPr>
        <w:t xml:space="preserve">los cuales </w:t>
      </w:r>
      <w:r w:rsidR="00DE0E2E">
        <w:rPr>
          <w:rFonts w:ascii="ITC Avant Garde" w:hAnsi="ITC Avant Garde" w:cs="Arial"/>
          <w:color w:val="000000" w:themeColor="text1"/>
          <w:kern w:val="1"/>
          <w:sz w:val="22"/>
          <w:szCs w:val="22"/>
          <w:lang w:val="es-MX" w:eastAsia="ar-SA"/>
        </w:rPr>
        <w:t xml:space="preserve">14.8 millones </w:t>
      </w:r>
      <w:r w:rsidR="001B2ACF">
        <w:rPr>
          <w:rFonts w:ascii="ITC Avant Garde" w:hAnsi="ITC Avant Garde" w:cs="Arial"/>
          <w:color w:val="000000" w:themeColor="text1"/>
          <w:kern w:val="1"/>
          <w:sz w:val="22"/>
          <w:szCs w:val="22"/>
          <w:lang w:val="es-MX" w:eastAsia="ar-SA"/>
        </w:rPr>
        <w:t xml:space="preserve">cuentan con </w:t>
      </w:r>
      <w:r w:rsidR="0030597B">
        <w:rPr>
          <w:rFonts w:ascii="ITC Avant Garde" w:hAnsi="ITC Avant Garde" w:cs="Arial"/>
          <w:color w:val="000000" w:themeColor="text1"/>
          <w:kern w:val="1"/>
          <w:sz w:val="22"/>
          <w:szCs w:val="22"/>
          <w:lang w:val="es-MX" w:eastAsia="ar-SA"/>
        </w:rPr>
        <w:t xml:space="preserve">4G, Banda 28 y la funcionalidad de </w:t>
      </w:r>
      <w:proofErr w:type="spellStart"/>
      <w:r w:rsidR="0030597B">
        <w:rPr>
          <w:rFonts w:ascii="ITC Avant Garde" w:hAnsi="ITC Avant Garde" w:cs="Arial"/>
          <w:color w:val="000000" w:themeColor="text1"/>
          <w:kern w:val="1"/>
          <w:sz w:val="22"/>
          <w:szCs w:val="22"/>
          <w:lang w:val="es-MX" w:eastAsia="ar-SA"/>
        </w:rPr>
        <w:t>VoLTE</w:t>
      </w:r>
      <w:proofErr w:type="spellEnd"/>
      <w:r w:rsidR="001B2ACF">
        <w:rPr>
          <w:rFonts w:ascii="ITC Avant Garde" w:hAnsi="ITC Avant Garde" w:cs="Arial"/>
          <w:color w:val="000000" w:themeColor="text1"/>
          <w:kern w:val="1"/>
          <w:sz w:val="22"/>
          <w:szCs w:val="22"/>
          <w:lang w:val="es-MX" w:eastAsia="ar-SA"/>
        </w:rPr>
        <w:t>; además mencion</w:t>
      </w:r>
      <w:r w:rsidR="00DC76F4">
        <w:rPr>
          <w:rFonts w:ascii="ITC Avant Garde" w:hAnsi="ITC Avant Garde" w:cs="Arial"/>
          <w:color w:val="000000" w:themeColor="text1"/>
          <w:kern w:val="1"/>
          <w:sz w:val="22"/>
          <w:szCs w:val="22"/>
          <w:lang w:val="es-MX" w:eastAsia="ar-SA"/>
        </w:rPr>
        <w:t>ó</w:t>
      </w:r>
      <w:r w:rsidR="001B2ACF">
        <w:rPr>
          <w:rFonts w:ascii="ITC Avant Garde" w:hAnsi="ITC Avant Garde" w:cs="Arial"/>
          <w:color w:val="000000" w:themeColor="text1"/>
          <w:kern w:val="1"/>
          <w:sz w:val="22"/>
          <w:szCs w:val="22"/>
          <w:lang w:val="es-MX" w:eastAsia="ar-SA"/>
        </w:rPr>
        <w:t xml:space="preserve"> que se prevé que para el </w:t>
      </w:r>
      <w:r w:rsidR="00DE0E2E">
        <w:rPr>
          <w:rFonts w:ascii="ITC Avant Garde" w:hAnsi="ITC Avant Garde" w:cs="Arial"/>
          <w:color w:val="000000" w:themeColor="text1"/>
          <w:kern w:val="1"/>
          <w:sz w:val="22"/>
          <w:szCs w:val="22"/>
          <w:lang w:val="es-MX" w:eastAsia="ar-SA"/>
        </w:rPr>
        <w:t xml:space="preserve">año </w:t>
      </w:r>
      <w:r w:rsidR="001B2ACF">
        <w:rPr>
          <w:rFonts w:ascii="ITC Avant Garde" w:hAnsi="ITC Avant Garde" w:cs="Arial"/>
          <w:color w:val="000000" w:themeColor="text1"/>
          <w:kern w:val="1"/>
          <w:sz w:val="22"/>
          <w:szCs w:val="22"/>
          <w:lang w:val="es-MX" w:eastAsia="ar-SA"/>
        </w:rPr>
        <w:t>2023 alrededor del 75</w:t>
      </w:r>
      <w:r w:rsidR="00CB06E8">
        <w:rPr>
          <w:rFonts w:ascii="ITC Avant Garde" w:hAnsi="ITC Avant Garde" w:cs="Arial"/>
          <w:color w:val="000000" w:themeColor="text1"/>
          <w:kern w:val="1"/>
          <w:sz w:val="22"/>
          <w:szCs w:val="22"/>
          <w:lang w:val="es-MX" w:eastAsia="ar-SA"/>
        </w:rPr>
        <w:t>% de dicho parque cuenten con las características</w:t>
      </w:r>
      <w:r w:rsidR="00DE0E2E">
        <w:rPr>
          <w:rFonts w:ascii="ITC Avant Garde" w:hAnsi="ITC Avant Garde" w:cs="Arial"/>
          <w:color w:val="000000" w:themeColor="text1"/>
          <w:kern w:val="1"/>
          <w:sz w:val="22"/>
          <w:szCs w:val="22"/>
          <w:lang w:val="es-MX" w:eastAsia="ar-SA"/>
        </w:rPr>
        <w:t xml:space="preserve"> en mención</w:t>
      </w:r>
      <w:r w:rsidR="00CB06E8">
        <w:rPr>
          <w:rFonts w:ascii="ITC Avant Garde" w:hAnsi="ITC Avant Garde" w:cs="Arial"/>
          <w:color w:val="000000" w:themeColor="text1"/>
          <w:kern w:val="1"/>
          <w:sz w:val="22"/>
          <w:szCs w:val="22"/>
          <w:lang w:val="es-MX" w:eastAsia="ar-SA"/>
        </w:rPr>
        <w:t xml:space="preserve">. </w:t>
      </w:r>
    </w:p>
    <w:p w14:paraId="1DE5F7D5" w14:textId="77777777" w:rsidR="001B2ACF" w:rsidRDefault="001B2ACF" w:rsidP="00AA0DF6">
      <w:pPr>
        <w:suppressAutoHyphens/>
        <w:jc w:val="both"/>
        <w:rPr>
          <w:rFonts w:ascii="ITC Avant Garde" w:hAnsi="ITC Avant Garde" w:cs="Arial"/>
          <w:color w:val="000000" w:themeColor="text1"/>
          <w:kern w:val="1"/>
          <w:sz w:val="22"/>
          <w:szCs w:val="22"/>
          <w:lang w:val="es-MX" w:eastAsia="ar-SA"/>
        </w:rPr>
      </w:pPr>
    </w:p>
    <w:p w14:paraId="1A6179DA" w14:textId="77777777" w:rsidR="00DE0E2E" w:rsidRDefault="00DE0E2E" w:rsidP="00AA0DF6">
      <w:pPr>
        <w:suppressAutoHyphens/>
        <w:jc w:val="both"/>
        <w:rPr>
          <w:rFonts w:ascii="ITC Avant Garde" w:hAnsi="ITC Avant Garde" w:cs="Arial"/>
          <w:color w:val="000000" w:themeColor="text1"/>
          <w:kern w:val="1"/>
          <w:sz w:val="22"/>
          <w:szCs w:val="22"/>
          <w:lang w:val="es-MX" w:eastAsia="ar-SA"/>
        </w:rPr>
      </w:pPr>
    </w:p>
    <w:p w14:paraId="288C6103" w14:textId="77777777" w:rsidR="00DE0E2E" w:rsidRDefault="00DE0E2E" w:rsidP="00AA0DF6">
      <w:pPr>
        <w:suppressAutoHyphens/>
        <w:jc w:val="both"/>
        <w:rPr>
          <w:rFonts w:ascii="ITC Avant Garde" w:hAnsi="ITC Avant Garde" w:cs="Arial"/>
          <w:color w:val="000000" w:themeColor="text1"/>
          <w:kern w:val="1"/>
          <w:sz w:val="22"/>
          <w:szCs w:val="22"/>
          <w:lang w:val="es-MX" w:eastAsia="ar-SA"/>
        </w:rPr>
      </w:pPr>
    </w:p>
    <w:p w14:paraId="2C726823" w14:textId="3C339146" w:rsidR="0025557D" w:rsidRDefault="0030597B" w:rsidP="00AA0DF6">
      <w:p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 xml:space="preserve">No </w:t>
      </w:r>
      <w:proofErr w:type="gramStart"/>
      <w:r>
        <w:rPr>
          <w:rFonts w:ascii="ITC Avant Garde" w:hAnsi="ITC Avant Garde" w:cs="Arial"/>
          <w:color w:val="000000" w:themeColor="text1"/>
          <w:kern w:val="1"/>
          <w:sz w:val="22"/>
          <w:szCs w:val="22"/>
          <w:lang w:val="es-MX" w:eastAsia="ar-SA"/>
        </w:rPr>
        <w:t>obstante</w:t>
      </w:r>
      <w:proofErr w:type="gramEnd"/>
      <w:r>
        <w:rPr>
          <w:rFonts w:ascii="ITC Avant Garde" w:hAnsi="ITC Avant Garde" w:cs="Arial"/>
          <w:color w:val="000000" w:themeColor="text1"/>
          <w:kern w:val="1"/>
          <w:sz w:val="22"/>
          <w:szCs w:val="22"/>
          <w:lang w:val="es-MX" w:eastAsia="ar-SA"/>
        </w:rPr>
        <w:t xml:space="preserve"> lo anterior,</w:t>
      </w:r>
      <w:r w:rsidR="0025557D">
        <w:rPr>
          <w:rFonts w:ascii="ITC Avant Garde" w:hAnsi="ITC Avant Garde" w:cs="Arial"/>
          <w:color w:val="000000" w:themeColor="text1"/>
          <w:kern w:val="1"/>
          <w:sz w:val="22"/>
          <w:szCs w:val="22"/>
          <w:lang w:val="es-MX" w:eastAsia="ar-SA"/>
        </w:rPr>
        <w:t xml:space="preserve"> las estimaciones de crecimiento de la penetración</w:t>
      </w:r>
      <w:r w:rsidR="00E050D1">
        <w:rPr>
          <w:rFonts w:ascii="ITC Avant Garde" w:hAnsi="ITC Avant Garde" w:cs="Arial"/>
          <w:color w:val="000000" w:themeColor="text1"/>
          <w:kern w:val="1"/>
          <w:sz w:val="22"/>
          <w:szCs w:val="22"/>
          <w:lang w:val="es-MX" w:eastAsia="ar-SA"/>
        </w:rPr>
        <w:t xml:space="preserve"> de </w:t>
      </w:r>
      <w:r w:rsidR="00E53209">
        <w:rPr>
          <w:rFonts w:ascii="ITC Avant Garde" w:hAnsi="ITC Avant Garde" w:cs="Arial"/>
          <w:color w:val="000000" w:themeColor="text1"/>
          <w:kern w:val="1"/>
          <w:sz w:val="22"/>
          <w:szCs w:val="22"/>
          <w:lang w:val="es-MX" w:eastAsia="ar-SA"/>
        </w:rPr>
        <w:t xml:space="preserve">la funcionalidad de </w:t>
      </w:r>
      <w:proofErr w:type="spellStart"/>
      <w:r w:rsidR="00E050D1">
        <w:rPr>
          <w:rFonts w:ascii="ITC Avant Garde" w:hAnsi="ITC Avant Garde" w:cs="Arial"/>
          <w:color w:val="000000" w:themeColor="text1"/>
          <w:kern w:val="1"/>
          <w:sz w:val="22"/>
          <w:szCs w:val="22"/>
          <w:lang w:val="es-MX" w:eastAsia="ar-SA"/>
        </w:rPr>
        <w:t>VoLTE</w:t>
      </w:r>
      <w:proofErr w:type="spellEnd"/>
      <w:r w:rsidR="00E050D1">
        <w:rPr>
          <w:rFonts w:ascii="ITC Avant Garde" w:hAnsi="ITC Avant Garde" w:cs="Arial"/>
          <w:color w:val="000000" w:themeColor="text1"/>
          <w:kern w:val="1"/>
          <w:sz w:val="22"/>
          <w:szCs w:val="22"/>
          <w:lang w:val="es-MX" w:eastAsia="ar-SA"/>
        </w:rPr>
        <w:t xml:space="preserve"> </w:t>
      </w:r>
      <w:r w:rsidR="00F9155B">
        <w:rPr>
          <w:rFonts w:ascii="ITC Avant Garde" w:hAnsi="ITC Avant Garde" w:cs="Arial"/>
          <w:color w:val="000000" w:themeColor="text1"/>
          <w:kern w:val="1"/>
          <w:sz w:val="22"/>
          <w:szCs w:val="22"/>
          <w:lang w:val="es-MX" w:eastAsia="ar-SA"/>
        </w:rPr>
        <w:t>están en función</w:t>
      </w:r>
      <w:r w:rsidR="00131433" w:rsidRPr="00CD6047">
        <w:rPr>
          <w:rFonts w:ascii="ITC Avant Garde" w:hAnsi="ITC Avant Garde" w:cs="Arial"/>
          <w:color w:val="000000" w:themeColor="text1"/>
          <w:kern w:val="1"/>
          <w:sz w:val="22"/>
          <w:szCs w:val="22"/>
          <w:lang w:val="es-MX" w:eastAsia="ar-SA"/>
        </w:rPr>
        <w:t>,</w:t>
      </w:r>
      <w:r w:rsidR="00E21D4C">
        <w:rPr>
          <w:rFonts w:ascii="ITC Avant Garde" w:hAnsi="ITC Avant Garde" w:cs="Arial"/>
          <w:color w:val="000000" w:themeColor="text1"/>
          <w:kern w:val="1"/>
          <w:sz w:val="22"/>
          <w:szCs w:val="22"/>
          <w:lang w:val="es-MX" w:eastAsia="ar-SA"/>
        </w:rPr>
        <w:t xml:space="preserve"> en gran medida de </w:t>
      </w:r>
      <w:r w:rsidR="00DC76F4">
        <w:rPr>
          <w:rFonts w:ascii="ITC Avant Garde" w:hAnsi="ITC Avant Garde" w:cs="Arial"/>
          <w:color w:val="000000" w:themeColor="text1"/>
          <w:kern w:val="1"/>
          <w:sz w:val="22"/>
          <w:szCs w:val="22"/>
          <w:lang w:val="es-MX" w:eastAsia="ar-SA"/>
        </w:rPr>
        <w:t xml:space="preserve">que </w:t>
      </w:r>
      <w:r w:rsidR="00E21D4C">
        <w:rPr>
          <w:rFonts w:ascii="ITC Avant Garde" w:hAnsi="ITC Avant Garde" w:cs="Arial"/>
          <w:color w:val="000000" w:themeColor="text1"/>
          <w:kern w:val="1"/>
          <w:sz w:val="22"/>
          <w:szCs w:val="22"/>
          <w:lang w:val="es-MX" w:eastAsia="ar-SA"/>
        </w:rPr>
        <w:t>los fabricantes</w:t>
      </w:r>
      <w:r w:rsidR="004C5616">
        <w:rPr>
          <w:rFonts w:ascii="ITC Avant Garde" w:hAnsi="ITC Avant Garde" w:cs="Arial"/>
          <w:color w:val="000000" w:themeColor="text1"/>
          <w:kern w:val="1"/>
          <w:sz w:val="22"/>
          <w:szCs w:val="22"/>
          <w:lang w:val="es-MX" w:eastAsia="ar-SA"/>
        </w:rPr>
        <w:t xml:space="preserve"> de </w:t>
      </w:r>
      <w:r w:rsidR="00F9155B">
        <w:rPr>
          <w:rFonts w:ascii="ITC Avant Garde" w:hAnsi="ITC Avant Garde" w:cs="Arial"/>
          <w:color w:val="000000" w:themeColor="text1"/>
          <w:kern w:val="1"/>
          <w:sz w:val="22"/>
          <w:szCs w:val="22"/>
          <w:lang w:val="es-MX" w:eastAsia="ar-SA"/>
        </w:rPr>
        <w:t>ETM</w:t>
      </w:r>
      <w:r w:rsidR="00B32987">
        <w:rPr>
          <w:rFonts w:ascii="ITC Avant Garde" w:hAnsi="ITC Avant Garde" w:cs="Arial"/>
          <w:color w:val="000000" w:themeColor="text1"/>
          <w:kern w:val="1"/>
          <w:sz w:val="22"/>
          <w:szCs w:val="22"/>
          <w:lang w:val="es-MX" w:eastAsia="ar-SA"/>
        </w:rPr>
        <w:t xml:space="preserve"> </w:t>
      </w:r>
      <w:r w:rsidR="00F9155B">
        <w:rPr>
          <w:rFonts w:ascii="ITC Avant Garde" w:hAnsi="ITC Avant Garde" w:cs="Arial"/>
          <w:color w:val="000000" w:themeColor="text1"/>
          <w:kern w:val="1"/>
          <w:sz w:val="22"/>
          <w:szCs w:val="22"/>
          <w:lang w:val="es-MX" w:eastAsia="ar-SA"/>
        </w:rPr>
        <w:t xml:space="preserve">incluyan </w:t>
      </w:r>
      <w:r w:rsidR="00111040" w:rsidRPr="00CD6047">
        <w:rPr>
          <w:rFonts w:ascii="ITC Avant Garde" w:hAnsi="ITC Avant Garde" w:cs="Arial"/>
          <w:color w:val="000000" w:themeColor="text1"/>
          <w:kern w:val="1"/>
          <w:sz w:val="22"/>
          <w:szCs w:val="22"/>
          <w:lang w:val="es-MX" w:eastAsia="ar-SA"/>
        </w:rPr>
        <w:t xml:space="preserve">dicha </w:t>
      </w:r>
      <w:r w:rsidR="00F33631">
        <w:rPr>
          <w:rFonts w:ascii="ITC Avant Garde" w:hAnsi="ITC Avant Garde" w:cs="Arial"/>
          <w:color w:val="000000" w:themeColor="text1"/>
          <w:kern w:val="1"/>
          <w:sz w:val="22"/>
          <w:szCs w:val="22"/>
          <w:lang w:val="es-MX" w:eastAsia="ar-SA"/>
        </w:rPr>
        <w:t xml:space="preserve">funcionalidad </w:t>
      </w:r>
      <w:r w:rsidR="00234270">
        <w:rPr>
          <w:rFonts w:ascii="ITC Avant Garde" w:hAnsi="ITC Avant Garde" w:cs="Arial"/>
          <w:color w:val="000000" w:themeColor="text1"/>
          <w:kern w:val="1"/>
          <w:sz w:val="22"/>
          <w:szCs w:val="22"/>
          <w:lang w:val="es-MX" w:eastAsia="ar-SA"/>
        </w:rPr>
        <w:t xml:space="preserve">en éstos </w:t>
      </w:r>
      <w:r w:rsidR="00C3517A">
        <w:rPr>
          <w:rFonts w:ascii="ITC Avant Garde" w:hAnsi="ITC Avant Garde" w:cs="Arial"/>
          <w:color w:val="000000" w:themeColor="text1"/>
          <w:kern w:val="1"/>
          <w:sz w:val="22"/>
          <w:szCs w:val="22"/>
          <w:lang w:val="es-MX" w:eastAsia="ar-SA"/>
        </w:rPr>
        <w:t xml:space="preserve">y </w:t>
      </w:r>
      <w:r w:rsidR="00F9155B">
        <w:rPr>
          <w:rFonts w:ascii="ITC Avant Garde" w:hAnsi="ITC Avant Garde" w:cs="Arial"/>
          <w:color w:val="000000" w:themeColor="text1"/>
          <w:kern w:val="1"/>
          <w:sz w:val="22"/>
          <w:szCs w:val="22"/>
          <w:lang w:val="es-MX" w:eastAsia="ar-SA"/>
        </w:rPr>
        <w:t>d</w:t>
      </w:r>
      <w:r w:rsidR="00C3517A">
        <w:rPr>
          <w:rFonts w:ascii="ITC Avant Garde" w:hAnsi="ITC Avant Garde" w:cs="Arial"/>
          <w:color w:val="000000" w:themeColor="text1"/>
          <w:kern w:val="1"/>
          <w:sz w:val="22"/>
          <w:szCs w:val="22"/>
          <w:lang w:val="es-MX" w:eastAsia="ar-SA"/>
        </w:rPr>
        <w:t>el interés que est</w:t>
      </w:r>
      <w:r w:rsidR="00F9155B">
        <w:rPr>
          <w:rFonts w:ascii="ITC Avant Garde" w:hAnsi="ITC Avant Garde" w:cs="Arial"/>
          <w:color w:val="000000" w:themeColor="text1"/>
          <w:kern w:val="1"/>
          <w:sz w:val="22"/>
          <w:szCs w:val="22"/>
          <w:lang w:val="es-MX" w:eastAsia="ar-SA"/>
        </w:rPr>
        <w:t>á</w:t>
      </w:r>
      <w:r w:rsidR="00C3517A">
        <w:rPr>
          <w:rFonts w:ascii="ITC Avant Garde" w:hAnsi="ITC Avant Garde" w:cs="Arial"/>
          <w:color w:val="000000" w:themeColor="text1"/>
          <w:kern w:val="1"/>
          <w:sz w:val="22"/>
          <w:szCs w:val="22"/>
          <w:lang w:val="es-MX" w:eastAsia="ar-SA"/>
        </w:rPr>
        <w:t xml:space="preserve"> tecnología genere en</w:t>
      </w:r>
      <w:r w:rsidR="00E53209">
        <w:rPr>
          <w:rFonts w:ascii="ITC Avant Garde" w:hAnsi="ITC Avant Garde" w:cs="Arial"/>
          <w:color w:val="000000" w:themeColor="text1"/>
          <w:kern w:val="1"/>
          <w:sz w:val="22"/>
          <w:szCs w:val="22"/>
          <w:lang w:val="es-MX" w:eastAsia="ar-SA"/>
        </w:rPr>
        <w:t>tre</w:t>
      </w:r>
      <w:r w:rsidR="00C3517A">
        <w:rPr>
          <w:rFonts w:ascii="ITC Avant Garde" w:hAnsi="ITC Avant Garde" w:cs="Arial"/>
          <w:color w:val="000000" w:themeColor="text1"/>
          <w:kern w:val="1"/>
          <w:sz w:val="22"/>
          <w:szCs w:val="22"/>
          <w:lang w:val="es-MX" w:eastAsia="ar-SA"/>
        </w:rPr>
        <w:t xml:space="preserve"> los operadores</w:t>
      </w:r>
      <w:r w:rsidR="00E53209">
        <w:rPr>
          <w:rFonts w:ascii="ITC Avant Garde" w:hAnsi="ITC Avant Garde" w:cs="Arial"/>
          <w:color w:val="000000" w:themeColor="text1"/>
          <w:kern w:val="1"/>
          <w:sz w:val="22"/>
          <w:szCs w:val="22"/>
          <w:lang w:val="es-MX" w:eastAsia="ar-SA"/>
        </w:rPr>
        <w:t xml:space="preserve"> del servicio móvil</w:t>
      </w:r>
      <w:r w:rsidR="00C3517A">
        <w:rPr>
          <w:rFonts w:ascii="ITC Avant Garde" w:hAnsi="ITC Avant Garde" w:cs="Arial"/>
          <w:color w:val="000000" w:themeColor="text1"/>
          <w:kern w:val="1"/>
          <w:sz w:val="22"/>
          <w:szCs w:val="22"/>
          <w:lang w:val="es-MX" w:eastAsia="ar-SA"/>
        </w:rPr>
        <w:t>.</w:t>
      </w:r>
    </w:p>
    <w:p w14:paraId="3C11DB76" w14:textId="77777777" w:rsidR="005D45E5" w:rsidRDefault="005D45E5" w:rsidP="00AA0DF6">
      <w:pPr>
        <w:suppressAutoHyphens/>
        <w:jc w:val="both"/>
        <w:rPr>
          <w:rFonts w:ascii="ITC Avant Garde" w:hAnsi="ITC Avant Garde" w:cs="Arial"/>
          <w:color w:val="000000" w:themeColor="text1"/>
          <w:kern w:val="1"/>
          <w:sz w:val="22"/>
          <w:szCs w:val="22"/>
          <w:lang w:val="es-MX" w:eastAsia="ar-SA"/>
        </w:rPr>
      </w:pPr>
    </w:p>
    <w:p w14:paraId="141D020E" w14:textId="009A44DF" w:rsidR="00841828" w:rsidRPr="00E53209" w:rsidRDefault="00F879AC" w:rsidP="00AA0DF6">
      <w:p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Asimismo</w:t>
      </w:r>
      <w:r w:rsidR="009839F2">
        <w:rPr>
          <w:rFonts w:ascii="ITC Avant Garde" w:hAnsi="ITC Avant Garde" w:cs="Arial"/>
          <w:color w:val="000000" w:themeColor="text1"/>
          <w:kern w:val="1"/>
          <w:sz w:val="22"/>
          <w:szCs w:val="22"/>
          <w:lang w:val="es-MX" w:eastAsia="ar-SA"/>
        </w:rPr>
        <w:t>,</w:t>
      </w:r>
      <w:r>
        <w:rPr>
          <w:rFonts w:ascii="ITC Avant Garde" w:hAnsi="ITC Avant Garde" w:cs="Arial"/>
          <w:color w:val="000000" w:themeColor="text1"/>
          <w:kern w:val="1"/>
          <w:sz w:val="22"/>
          <w:szCs w:val="22"/>
          <w:lang w:val="es-MX" w:eastAsia="ar-SA"/>
        </w:rPr>
        <w:t xml:space="preserve"> </w:t>
      </w:r>
      <w:r w:rsidR="008D1576" w:rsidRPr="00CD6047">
        <w:rPr>
          <w:rFonts w:ascii="ITC Avant Garde" w:hAnsi="ITC Avant Garde" w:cs="Arial"/>
          <w:color w:val="000000" w:themeColor="text1"/>
          <w:kern w:val="1"/>
          <w:sz w:val="22"/>
          <w:szCs w:val="22"/>
          <w:lang w:val="es-MX" w:eastAsia="ar-SA"/>
        </w:rPr>
        <w:t xml:space="preserve">y dado que existe un amplio mercado para la prestación de servicios móviles en el país, los usuarios al ejercer su derecho de libre elección del operador móvil que les proporcionará dicho servicio, deben tener la certeza que los </w:t>
      </w:r>
      <w:r w:rsidR="00502E9B">
        <w:rPr>
          <w:rFonts w:ascii="ITC Avant Garde" w:hAnsi="ITC Avant Garde" w:cs="Arial"/>
          <w:color w:val="000000" w:themeColor="text1"/>
          <w:kern w:val="1"/>
          <w:sz w:val="22"/>
          <w:szCs w:val="22"/>
          <w:lang w:val="es-MX" w:eastAsia="ar-SA"/>
        </w:rPr>
        <w:t xml:space="preserve">ETM </w:t>
      </w:r>
      <w:r w:rsidR="008D1576" w:rsidRPr="00CD6047">
        <w:rPr>
          <w:rFonts w:ascii="ITC Avant Garde" w:hAnsi="ITC Avant Garde" w:cs="Arial"/>
          <w:color w:val="000000" w:themeColor="text1"/>
          <w:kern w:val="1"/>
          <w:sz w:val="22"/>
          <w:szCs w:val="22"/>
          <w:lang w:val="es-MX" w:eastAsia="ar-SA"/>
        </w:rPr>
        <w:t xml:space="preserve">no cuentan con algún tipo de bloqueo o restricción para su funcionamiento al acceder en la red de cualquier concesionario o en su caso, autorizado que </w:t>
      </w:r>
      <w:r w:rsidR="008D1576" w:rsidRPr="00E02A09">
        <w:rPr>
          <w:rFonts w:ascii="ITC Avant Garde" w:hAnsi="ITC Avant Garde" w:cs="Arial"/>
          <w:color w:val="000000" w:themeColor="text1"/>
          <w:kern w:val="1"/>
          <w:sz w:val="22"/>
          <w:szCs w:val="22"/>
          <w:lang w:val="es-MX" w:eastAsia="ar-SA"/>
        </w:rPr>
        <w:t>eligieron</w:t>
      </w:r>
      <w:r w:rsidR="00EF24E4">
        <w:rPr>
          <w:rFonts w:ascii="ITC Avant Garde" w:hAnsi="ITC Avant Garde" w:cs="Arial"/>
          <w:color w:val="000000" w:themeColor="text1"/>
          <w:kern w:val="1"/>
          <w:sz w:val="22"/>
          <w:szCs w:val="22"/>
          <w:lang w:val="es-MX" w:eastAsia="ar-SA"/>
        </w:rPr>
        <w:t>;</w:t>
      </w:r>
      <w:r w:rsidR="00EF24E4" w:rsidRPr="00EF24E4">
        <w:rPr>
          <w:rFonts w:ascii="ITC Avant Garde" w:hAnsi="ITC Avant Garde" w:cs="Arial"/>
          <w:color w:val="000000" w:themeColor="text1"/>
          <w:kern w:val="1"/>
          <w:sz w:val="22"/>
          <w:szCs w:val="22"/>
          <w:lang w:val="es-MX" w:eastAsia="ar-SA"/>
        </w:rPr>
        <w:t xml:space="preserve"> </w:t>
      </w:r>
      <w:r w:rsidR="00EF24E4">
        <w:rPr>
          <w:rFonts w:ascii="ITC Avant Garde" w:hAnsi="ITC Avant Garde" w:cs="Arial"/>
          <w:color w:val="000000" w:themeColor="text1"/>
          <w:kern w:val="1"/>
          <w:sz w:val="22"/>
          <w:szCs w:val="22"/>
          <w:lang w:val="es-MX" w:eastAsia="ar-SA"/>
        </w:rPr>
        <w:t>e</w:t>
      </w:r>
      <w:r w:rsidR="00EF24E4" w:rsidRPr="00C540C1">
        <w:rPr>
          <w:rFonts w:ascii="ITC Avant Garde" w:hAnsi="ITC Avant Garde" w:cs="Arial"/>
          <w:color w:val="000000" w:themeColor="text1"/>
          <w:kern w:val="1"/>
          <w:sz w:val="22"/>
          <w:szCs w:val="22"/>
          <w:lang w:val="es-MX" w:eastAsia="ar-SA"/>
        </w:rPr>
        <w:t>s decir,</w:t>
      </w:r>
      <w:r w:rsidR="00EF24E4" w:rsidRPr="00CD6047">
        <w:rPr>
          <w:lang w:val="es-MX"/>
        </w:rPr>
        <w:t xml:space="preserve"> </w:t>
      </w:r>
      <w:r w:rsidR="00D14DAC">
        <w:rPr>
          <w:rFonts w:ascii="ITC Avant Garde" w:hAnsi="ITC Avant Garde" w:cs="Arial"/>
          <w:color w:val="000000" w:themeColor="text1"/>
          <w:kern w:val="1"/>
          <w:sz w:val="22"/>
          <w:szCs w:val="22"/>
          <w:lang w:val="es-MX" w:eastAsia="ar-SA"/>
        </w:rPr>
        <w:t xml:space="preserve">si </w:t>
      </w:r>
      <w:r w:rsidR="00DE1E96" w:rsidRPr="00E53209">
        <w:rPr>
          <w:rFonts w:ascii="ITC Avant Garde" w:hAnsi="ITC Avant Garde" w:cs="Arial"/>
          <w:color w:val="000000" w:themeColor="text1"/>
          <w:kern w:val="1"/>
          <w:sz w:val="22"/>
          <w:szCs w:val="22"/>
          <w:lang w:val="es-MX" w:eastAsia="ar-SA"/>
        </w:rPr>
        <w:t>actualmente</w:t>
      </w:r>
      <w:r w:rsidR="00DE1E96">
        <w:rPr>
          <w:rFonts w:ascii="ITC Avant Garde" w:hAnsi="ITC Avant Garde" w:cs="Arial"/>
          <w:color w:val="000000" w:themeColor="text1"/>
          <w:kern w:val="1"/>
          <w:sz w:val="22"/>
          <w:szCs w:val="22"/>
          <w:lang w:val="es-MX" w:eastAsia="ar-SA"/>
        </w:rPr>
        <w:t xml:space="preserve"> </w:t>
      </w:r>
      <w:r w:rsidR="00D14DAC">
        <w:rPr>
          <w:rFonts w:ascii="ITC Avant Garde" w:hAnsi="ITC Avant Garde" w:cs="Arial"/>
          <w:color w:val="000000" w:themeColor="text1"/>
          <w:kern w:val="1"/>
          <w:sz w:val="22"/>
          <w:szCs w:val="22"/>
          <w:lang w:val="es-MX" w:eastAsia="ar-SA"/>
        </w:rPr>
        <w:t>el usuario final</w:t>
      </w:r>
      <w:r w:rsidR="00A4701C" w:rsidRPr="00E53209">
        <w:rPr>
          <w:rFonts w:ascii="ITC Avant Garde" w:hAnsi="ITC Avant Garde" w:cs="Arial"/>
          <w:color w:val="000000" w:themeColor="text1"/>
          <w:kern w:val="1"/>
          <w:sz w:val="22"/>
          <w:szCs w:val="22"/>
          <w:lang w:val="es-MX" w:eastAsia="ar-SA"/>
        </w:rPr>
        <w:t xml:space="preserve"> </w:t>
      </w:r>
      <w:r w:rsidR="009E34AB">
        <w:rPr>
          <w:rFonts w:ascii="ITC Avant Garde" w:hAnsi="ITC Avant Garde" w:cs="Arial"/>
          <w:color w:val="000000" w:themeColor="text1"/>
          <w:kern w:val="1"/>
          <w:sz w:val="22"/>
          <w:szCs w:val="22"/>
          <w:lang w:val="es-MX" w:eastAsia="ar-SA"/>
        </w:rPr>
        <w:t>hace uso de</w:t>
      </w:r>
      <w:r w:rsidR="00D14DAC">
        <w:rPr>
          <w:rFonts w:ascii="ITC Avant Garde" w:hAnsi="ITC Avant Garde" w:cs="Arial"/>
          <w:color w:val="000000" w:themeColor="text1"/>
          <w:kern w:val="1"/>
          <w:sz w:val="22"/>
          <w:szCs w:val="22"/>
          <w:lang w:val="es-MX" w:eastAsia="ar-SA"/>
        </w:rPr>
        <w:t xml:space="preserve"> </w:t>
      </w:r>
      <w:r w:rsidR="00A4701C" w:rsidRPr="00E53209">
        <w:rPr>
          <w:rFonts w:ascii="ITC Avant Garde" w:hAnsi="ITC Avant Garde" w:cs="Arial"/>
          <w:color w:val="000000" w:themeColor="text1"/>
          <w:kern w:val="1"/>
          <w:sz w:val="22"/>
          <w:szCs w:val="22"/>
          <w:lang w:val="es-MX" w:eastAsia="ar-SA"/>
        </w:rPr>
        <w:t xml:space="preserve">un ETM </w:t>
      </w:r>
      <w:r w:rsidR="00CB6958">
        <w:rPr>
          <w:rFonts w:ascii="ITC Avant Garde" w:hAnsi="ITC Avant Garde" w:cs="Arial"/>
          <w:color w:val="000000" w:themeColor="text1"/>
          <w:kern w:val="1"/>
          <w:sz w:val="22"/>
          <w:szCs w:val="22"/>
          <w:lang w:val="es-MX" w:eastAsia="ar-SA"/>
        </w:rPr>
        <w:t xml:space="preserve">que no </w:t>
      </w:r>
      <w:r w:rsidR="00B36896">
        <w:rPr>
          <w:rFonts w:ascii="ITC Avant Garde" w:hAnsi="ITC Avant Garde" w:cs="Arial"/>
          <w:color w:val="000000" w:themeColor="text1"/>
          <w:kern w:val="1"/>
          <w:sz w:val="22"/>
          <w:szCs w:val="22"/>
          <w:lang w:val="es-MX" w:eastAsia="ar-SA"/>
        </w:rPr>
        <w:t>cuent</w:t>
      </w:r>
      <w:r w:rsidR="00DE1E96">
        <w:rPr>
          <w:rFonts w:ascii="ITC Avant Garde" w:hAnsi="ITC Avant Garde" w:cs="Arial"/>
          <w:color w:val="000000" w:themeColor="text1"/>
          <w:kern w:val="1"/>
          <w:sz w:val="22"/>
          <w:szCs w:val="22"/>
          <w:lang w:val="es-MX" w:eastAsia="ar-SA"/>
        </w:rPr>
        <w:t>e</w:t>
      </w:r>
      <w:r w:rsidR="00B36896">
        <w:rPr>
          <w:rFonts w:ascii="ITC Avant Garde" w:hAnsi="ITC Avant Garde" w:cs="Arial"/>
          <w:color w:val="000000" w:themeColor="text1"/>
          <w:kern w:val="1"/>
          <w:sz w:val="22"/>
          <w:szCs w:val="22"/>
          <w:lang w:val="es-MX" w:eastAsia="ar-SA"/>
        </w:rPr>
        <w:t xml:space="preserve"> con los parámetros </w:t>
      </w:r>
      <w:r w:rsidR="00644B96" w:rsidRPr="00CD6047">
        <w:rPr>
          <w:rFonts w:ascii="ITC Avant Garde" w:hAnsi="ITC Avant Garde" w:cs="Arial"/>
          <w:color w:val="000000" w:themeColor="text1"/>
          <w:kern w:val="1"/>
          <w:sz w:val="22"/>
          <w:szCs w:val="22"/>
          <w:lang w:val="es-MX" w:eastAsia="ar-SA"/>
        </w:rPr>
        <w:t>habilitados</w:t>
      </w:r>
      <w:r w:rsidR="00942055">
        <w:rPr>
          <w:rFonts w:ascii="ITC Avant Garde" w:hAnsi="ITC Avant Garde" w:cs="Arial"/>
          <w:color w:val="000000" w:themeColor="text1"/>
          <w:kern w:val="1"/>
          <w:sz w:val="22"/>
          <w:szCs w:val="22"/>
          <w:lang w:val="es-MX" w:eastAsia="ar-SA"/>
        </w:rPr>
        <w:t xml:space="preserve"> y activos</w:t>
      </w:r>
      <w:r w:rsidR="00644B96" w:rsidRPr="00CD6047">
        <w:rPr>
          <w:rFonts w:ascii="ITC Avant Garde" w:hAnsi="ITC Avant Garde" w:cs="Arial"/>
          <w:color w:val="000000" w:themeColor="text1"/>
          <w:kern w:val="1"/>
          <w:sz w:val="22"/>
          <w:szCs w:val="22"/>
          <w:lang w:val="es-MX" w:eastAsia="ar-SA"/>
        </w:rPr>
        <w:t xml:space="preserve"> para la funcionalidad </w:t>
      </w:r>
      <w:proofErr w:type="spellStart"/>
      <w:r w:rsidR="00B36896" w:rsidRPr="00E53209">
        <w:rPr>
          <w:rFonts w:ascii="ITC Avant Garde" w:hAnsi="ITC Avant Garde" w:cs="Arial"/>
          <w:color w:val="000000" w:themeColor="text1"/>
          <w:kern w:val="1"/>
          <w:sz w:val="22"/>
          <w:szCs w:val="22"/>
          <w:lang w:val="es-MX" w:eastAsia="ar-SA"/>
        </w:rPr>
        <w:t>VoLTE</w:t>
      </w:r>
      <w:proofErr w:type="spellEnd"/>
      <w:r w:rsidR="00B36896">
        <w:rPr>
          <w:rFonts w:ascii="ITC Avant Garde" w:hAnsi="ITC Avant Garde" w:cs="Arial"/>
          <w:color w:val="000000" w:themeColor="text1"/>
          <w:kern w:val="1"/>
          <w:sz w:val="22"/>
          <w:szCs w:val="22"/>
          <w:lang w:val="es-MX" w:eastAsia="ar-SA"/>
        </w:rPr>
        <w:t xml:space="preserve"> </w:t>
      </w:r>
      <w:r w:rsidR="00EF24E4">
        <w:rPr>
          <w:rFonts w:ascii="ITC Avant Garde" w:hAnsi="ITC Avant Garde" w:cs="Arial"/>
          <w:color w:val="000000" w:themeColor="text1"/>
          <w:kern w:val="1"/>
          <w:sz w:val="22"/>
          <w:szCs w:val="22"/>
          <w:lang w:val="es-MX" w:eastAsia="ar-SA"/>
        </w:rPr>
        <w:t xml:space="preserve">de </w:t>
      </w:r>
      <w:r w:rsidR="00EF24E4" w:rsidRPr="00CD6047">
        <w:rPr>
          <w:rFonts w:ascii="ITC Avant Garde" w:hAnsi="ITC Avant Garde" w:cs="Arial"/>
          <w:color w:val="000000" w:themeColor="text1"/>
          <w:kern w:val="1"/>
          <w:sz w:val="22"/>
          <w:szCs w:val="22"/>
          <w:lang w:val="es-MX" w:eastAsia="ar-SA"/>
        </w:rPr>
        <w:t xml:space="preserve"> </w:t>
      </w:r>
      <w:r w:rsidR="00A4701C" w:rsidRPr="00E53209">
        <w:rPr>
          <w:rFonts w:ascii="ITC Avant Garde" w:hAnsi="ITC Avant Garde" w:cs="Arial"/>
          <w:color w:val="000000" w:themeColor="text1"/>
          <w:kern w:val="1"/>
          <w:sz w:val="22"/>
          <w:szCs w:val="22"/>
          <w:lang w:val="es-MX" w:eastAsia="ar-SA"/>
        </w:rPr>
        <w:t xml:space="preserve">la red </w:t>
      </w:r>
      <w:r w:rsidR="00485DDC" w:rsidRPr="00E53209">
        <w:rPr>
          <w:rFonts w:ascii="ITC Avant Garde" w:hAnsi="ITC Avant Garde" w:cs="Arial"/>
          <w:color w:val="000000" w:themeColor="text1"/>
          <w:kern w:val="1"/>
          <w:sz w:val="22"/>
          <w:szCs w:val="22"/>
          <w:lang w:val="es-MX" w:eastAsia="ar-SA"/>
        </w:rPr>
        <w:t>del operador de su elección</w:t>
      </w:r>
      <w:r w:rsidR="00E02A09">
        <w:rPr>
          <w:rFonts w:ascii="ITC Avant Garde" w:hAnsi="ITC Avant Garde" w:cs="Arial"/>
          <w:color w:val="000000" w:themeColor="text1"/>
          <w:kern w:val="1"/>
          <w:sz w:val="22"/>
          <w:szCs w:val="22"/>
          <w:lang w:val="es-MX" w:eastAsia="ar-SA"/>
        </w:rPr>
        <w:t>,</w:t>
      </w:r>
      <w:r w:rsidR="00E02A09" w:rsidRPr="00E02A09">
        <w:rPr>
          <w:rFonts w:ascii="ITC Avant Garde" w:hAnsi="ITC Avant Garde" w:cs="Arial"/>
          <w:color w:val="000000" w:themeColor="text1"/>
          <w:kern w:val="1"/>
          <w:sz w:val="22"/>
          <w:szCs w:val="22"/>
          <w:lang w:val="es-MX" w:eastAsia="ar-SA"/>
        </w:rPr>
        <w:t xml:space="preserve"> </w:t>
      </w:r>
      <w:r w:rsidR="00EF24E4" w:rsidRPr="00CD6047">
        <w:rPr>
          <w:rFonts w:ascii="ITC Avant Garde" w:hAnsi="ITC Avant Garde" w:cs="Arial"/>
          <w:color w:val="000000" w:themeColor="text1"/>
          <w:kern w:val="1"/>
          <w:sz w:val="22"/>
          <w:szCs w:val="22"/>
          <w:lang w:val="es-MX" w:eastAsia="ar-SA"/>
        </w:rPr>
        <w:t>no</w:t>
      </w:r>
      <w:r w:rsidR="00C209D6" w:rsidRPr="00E53209">
        <w:rPr>
          <w:rFonts w:ascii="ITC Avant Garde" w:hAnsi="ITC Avant Garde" w:cs="Arial"/>
          <w:color w:val="000000" w:themeColor="text1"/>
          <w:kern w:val="1"/>
          <w:sz w:val="22"/>
          <w:szCs w:val="22"/>
          <w:lang w:val="es-MX" w:eastAsia="ar-SA"/>
        </w:rPr>
        <w:t xml:space="preserve"> podrá utilizar </w:t>
      </w:r>
      <w:r w:rsidR="00EF24E4">
        <w:rPr>
          <w:rFonts w:ascii="ITC Avant Garde" w:hAnsi="ITC Avant Garde" w:cs="Arial"/>
          <w:color w:val="000000" w:themeColor="text1"/>
          <w:kern w:val="1"/>
          <w:sz w:val="22"/>
          <w:szCs w:val="22"/>
          <w:lang w:val="es-MX" w:eastAsia="ar-SA"/>
        </w:rPr>
        <w:t>los</w:t>
      </w:r>
      <w:r w:rsidR="00EF24E4" w:rsidRPr="00CD6047">
        <w:rPr>
          <w:rFonts w:ascii="ITC Avant Garde" w:hAnsi="ITC Avant Garde" w:cs="Arial"/>
          <w:color w:val="000000" w:themeColor="text1"/>
          <w:kern w:val="1"/>
          <w:sz w:val="22"/>
          <w:szCs w:val="22"/>
          <w:lang w:val="es-MX" w:eastAsia="ar-SA"/>
        </w:rPr>
        <w:t xml:space="preserve"> servicio</w:t>
      </w:r>
      <w:r w:rsidR="00EF24E4">
        <w:rPr>
          <w:rFonts w:ascii="ITC Avant Garde" w:hAnsi="ITC Avant Garde" w:cs="Arial"/>
          <w:color w:val="000000" w:themeColor="text1"/>
          <w:kern w:val="1"/>
          <w:sz w:val="22"/>
          <w:szCs w:val="22"/>
          <w:lang w:val="es-MX" w:eastAsia="ar-SA"/>
        </w:rPr>
        <w:t xml:space="preserve">s de </w:t>
      </w:r>
      <w:proofErr w:type="spellStart"/>
      <w:r w:rsidR="00C209D6" w:rsidRPr="00E53209">
        <w:rPr>
          <w:rFonts w:ascii="ITC Avant Garde" w:hAnsi="ITC Avant Garde" w:cs="Arial"/>
          <w:color w:val="000000" w:themeColor="text1"/>
          <w:kern w:val="1"/>
          <w:sz w:val="22"/>
          <w:szCs w:val="22"/>
          <w:lang w:val="es-MX" w:eastAsia="ar-SA"/>
        </w:rPr>
        <w:t>VoLTE</w:t>
      </w:r>
      <w:proofErr w:type="spellEnd"/>
      <w:r w:rsidR="00CB6958">
        <w:rPr>
          <w:rFonts w:ascii="ITC Avant Garde" w:hAnsi="ITC Avant Garde" w:cs="Arial"/>
          <w:color w:val="000000" w:themeColor="text1"/>
          <w:kern w:val="1"/>
          <w:sz w:val="22"/>
          <w:szCs w:val="22"/>
          <w:lang w:val="es-MX" w:eastAsia="ar-SA"/>
        </w:rPr>
        <w:t xml:space="preserve"> </w:t>
      </w:r>
      <w:r w:rsidR="00EF24E4">
        <w:rPr>
          <w:rFonts w:ascii="ITC Avant Garde" w:hAnsi="ITC Avant Garde" w:cs="Arial"/>
          <w:color w:val="000000" w:themeColor="text1"/>
          <w:kern w:val="1"/>
          <w:sz w:val="22"/>
          <w:szCs w:val="22"/>
          <w:lang w:val="es-MX" w:eastAsia="ar-SA"/>
        </w:rPr>
        <w:t>brindados por éste</w:t>
      </w:r>
      <w:r w:rsidR="00C540C1">
        <w:rPr>
          <w:rFonts w:ascii="ITC Avant Garde" w:hAnsi="ITC Avant Garde" w:cs="Arial"/>
          <w:color w:val="000000" w:themeColor="text1"/>
          <w:kern w:val="1"/>
          <w:sz w:val="22"/>
          <w:szCs w:val="22"/>
          <w:lang w:val="es-MX" w:eastAsia="ar-SA"/>
        </w:rPr>
        <w:t>,</w:t>
      </w:r>
      <w:r w:rsidR="00EF24E4">
        <w:rPr>
          <w:rFonts w:ascii="ITC Avant Garde" w:hAnsi="ITC Avant Garde" w:cs="Arial"/>
          <w:color w:val="000000" w:themeColor="text1"/>
          <w:kern w:val="1"/>
          <w:sz w:val="22"/>
          <w:szCs w:val="22"/>
          <w:lang w:val="es-MX" w:eastAsia="ar-SA"/>
        </w:rPr>
        <w:t xml:space="preserve"> </w:t>
      </w:r>
      <w:r w:rsidR="00841828" w:rsidRPr="00E53209">
        <w:rPr>
          <w:rFonts w:ascii="ITC Avant Garde" w:hAnsi="ITC Avant Garde" w:cs="Arial"/>
          <w:color w:val="000000" w:themeColor="text1"/>
          <w:kern w:val="1"/>
          <w:sz w:val="22"/>
          <w:szCs w:val="22"/>
          <w:lang w:val="es-MX" w:eastAsia="ar-SA"/>
        </w:rPr>
        <w:t xml:space="preserve">o bien, tendrá que adquirir </w:t>
      </w:r>
      <w:r w:rsidR="00B36896">
        <w:rPr>
          <w:rFonts w:ascii="ITC Avant Garde" w:hAnsi="ITC Avant Garde" w:cs="Arial"/>
          <w:color w:val="000000" w:themeColor="text1"/>
          <w:kern w:val="1"/>
          <w:sz w:val="22"/>
          <w:szCs w:val="22"/>
          <w:lang w:val="es-MX" w:eastAsia="ar-SA"/>
        </w:rPr>
        <w:t>otro</w:t>
      </w:r>
      <w:r w:rsidR="00B36896" w:rsidRPr="00E53209">
        <w:rPr>
          <w:rFonts w:ascii="ITC Avant Garde" w:hAnsi="ITC Avant Garde" w:cs="Arial"/>
          <w:color w:val="000000" w:themeColor="text1"/>
          <w:kern w:val="1"/>
          <w:sz w:val="22"/>
          <w:szCs w:val="22"/>
          <w:lang w:val="es-MX" w:eastAsia="ar-SA"/>
        </w:rPr>
        <w:t xml:space="preserve"> </w:t>
      </w:r>
      <w:r w:rsidR="00841828" w:rsidRPr="00E53209">
        <w:rPr>
          <w:rFonts w:ascii="ITC Avant Garde" w:hAnsi="ITC Avant Garde" w:cs="Arial"/>
          <w:color w:val="000000" w:themeColor="text1"/>
          <w:kern w:val="1"/>
          <w:sz w:val="22"/>
          <w:szCs w:val="22"/>
          <w:lang w:val="es-MX" w:eastAsia="ar-SA"/>
        </w:rPr>
        <w:t>ETM que</w:t>
      </w:r>
      <w:r w:rsidR="00B36896">
        <w:rPr>
          <w:rFonts w:ascii="ITC Avant Garde" w:hAnsi="ITC Avant Garde" w:cs="Arial"/>
          <w:color w:val="000000" w:themeColor="text1"/>
          <w:kern w:val="1"/>
          <w:sz w:val="22"/>
          <w:szCs w:val="22"/>
          <w:lang w:val="es-MX" w:eastAsia="ar-SA"/>
        </w:rPr>
        <w:t xml:space="preserve"> s</w:t>
      </w:r>
      <w:r w:rsidR="009E34AB">
        <w:rPr>
          <w:rFonts w:ascii="ITC Avant Garde" w:hAnsi="ITC Avant Garde" w:cs="Arial"/>
          <w:color w:val="000000" w:themeColor="text1"/>
          <w:kern w:val="1"/>
          <w:sz w:val="22"/>
          <w:szCs w:val="22"/>
          <w:lang w:val="es-MX" w:eastAsia="ar-SA"/>
        </w:rPr>
        <w:t xml:space="preserve">í </w:t>
      </w:r>
      <w:r w:rsidR="00CB6958">
        <w:rPr>
          <w:rFonts w:ascii="ITC Avant Garde" w:hAnsi="ITC Avant Garde" w:cs="Arial"/>
          <w:color w:val="000000" w:themeColor="text1"/>
          <w:kern w:val="1"/>
          <w:sz w:val="22"/>
          <w:szCs w:val="22"/>
          <w:lang w:val="es-MX" w:eastAsia="ar-SA"/>
        </w:rPr>
        <w:t xml:space="preserve">cuente </w:t>
      </w:r>
      <w:r w:rsidR="00B36896">
        <w:rPr>
          <w:rFonts w:ascii="ITC Avant Garde" w:hAnsi="ITC Avant Garde" w:cs="Arial"/>
          <w:color w:val="000000" w:themeColor="text1"/>
          <w:kern w:val="1"/>
          <w:sz w:val="22"/>
          <w:szCs w:val="22"/>
          <w:lang w:val="es-MX" w:eastAsia="ar-SA"/>
        </w:rPr>
        <w:t xml:space="preserve">con los parámetros </w:t>
      </w:r>
      <w:proofErr w:type="spellStart"/>
      <w:r w:rsidR="00B36896" w:rsidRPr="00E53209">
        <w:rPr>
          <w:rFonts w:ascii="ITC Avant Garde" w:hAnsi="ITC Avant Garde" w:cs="Arial"/>
          <w:color w:val="000000" w:themeColor="text1"/>
          <w:kern w:val="1"/>
          <w:sz w:val="22"/>
          <w:szCs w:val="22"/>
          <w:lang w:val="es-MX" w:eastAsia="ar-SA"/>
        </w:rPr>
        <w:t>VoLTE</w:t>
      </w:r>
      <w:proofErr w:type="spellEnd"/>
      <w:r w:rsidR="00B36896">
        <w:rPr>
          <w:rFonts w:ascii="ITC Avant Garde" w:hAnsi="ITC Avant Garde" w:cs="Arial"/>
          <w:color w:val="000000" w:themeColor="text1"/>
          <w:kern w:val="1"/>
          <w:sz w:val="22"/>
          <w:szCs w:val="22"/>
          <w:lang w:val="es-MX" w:eastAsia="ar-SA"/>
        </w:rPr>
        <w:t xml:space="preserve"> </w:t>
      </w:r>
      <w:r w:rsidR="001054B4" w:rsidRPr="00E53209">
        <w:rPr>
          <w:rFonts w:ascii="ITC Avant Garde" w:hAnsi="ITC Avant Garde" w:cs="Arial"/>
          <w:color w:val="000000" w:themeColor="text1"/>
          <w:kern w:val="1"/>
          <w:sz w:val="22"/>
          <w:szCs w:val="22"/>
          <w:lang w:val="es-MX" w:eastAsia="ar-SA"/>
        </w:rPr>
        <w:t>habilitad</w:t>
      </w:r>
      <w:r w:rsidR="009839F2">
        <w:rPr>
          <w:rFonts w:ascii="ITC Avant Garde" w:hAnsi="ITC Avant Garde" w:cs="Arial"/>
          <w:color w:val="000000" w:themeColor="text1"/>
          <w:kern w:val="1"/>
          <w:sz w:val="22"/>
          <w:szCs w:val="22"/>
          <w:lang w:val="es-MX" w:eastAsia="ar-SA"/>
        </w:rPr>
        <w:t>os</w:t>
      </w:r>
      <w:r w:rsidR="00B36896">
        <w:rPr>
          <w:rFonts w:ascii="ITC Avant Garde" w:hAnsi="ITC Avant Garde" w:cs="Arial"/>
          <w:color w:val="000000" w:themeColor="text1"/>
          <w:kern w:val="1"/>
          <w:sz w:val="22"/>
          <w:szCs w:val="22"/>
          <w:lang w:val="es-MX" w:eastAsia="ar-SA"/>
        </w:rPr>
        <w:t xml:space="preserve"> </w:t>
      </w:r>
      <w:r w:rsidR="00CB6958">
        <w:rPr>
          <w:rFonts w:ascii="ITC Avant Garde" w:hAnsi="ITC Avant Garde" w:cs="Arial"/>
          <w:color w:val="000000" w:themeColor="text1"/>
          <w:kern w:val="1"/>
          <w:sz w:val="22"/>
          <w:szCs w:val="22"/>
          <w:lang w:val="es-MX" w:eastAsia="ar-SA"/>
        </w:rPr>
        <w:t>y activ</w:t>
      </w:r>
      <w:r w:rsidR="009839F2">
        <w:rPr>
          <w:rFonts w:ascii="ITC Avant Garde" w:hAnsi="ITC Avant Garde" w:cs="Arial"/>
          <w:color w:val="000000" w:themeColor="text1"/>
          <w:kern w:val="1"/>
          <w:sz w:val="22"/>
          <w:szCs w:val="22"/>
          <w:lang w:val="es-MX" w:eastAsia="ar-SA"/>
        </w:rPr>
        <w:t xml:space="preserve">os </w:t>
      </w:r>
      <w:r w:rsidR="00841828" w:rsidRPr="00E53209">
        <w:rPr>
          <w:rFonts w:ascii="ITC Avant Garde" w:hAnsi="ITC Avant Garde" w:cs="Arial"/>
          <w:color w:val="000000" w:themeColor="text1"/>
          <w:kern w:val="1"/>
          <w:sz w:val="22"/>
          <w:szCs w:val="22"/>
          <w:lang w:val="es-MX" w:eastAsia="ar-SA"/>
        </w:rPr>
        <w:t xml:space="preserve">de dicha red, </w:t>
      </w:r>
      <w:r w:rsidR="009839F2">
        <w:rPr>
          <w:rFonts w:ascii="ITC Avant Garde" w:hAnsi="ITC Avant Garde" w:cs="Arial"/>
          <w:color w:val="000000" w:themeColor="text1"/>
          <w:kern w:val="1"/>
          <w:sz w:val="22"/>
          <w:szCs w:val="22"/>
          <w:lang w:val="es-MX" w:eastAsia="ar-SA"/>
        </w:rPr>
        <w:t xml:space="preserve">lo que </w:t>
      </w:r>
      <w:r w:rsidR="00841828" w:rsidRPr="00E53209">
        <w:rPr>
          <w:rFonts w:ascii="ITC Avant Garde" w:hAnsi="ITC Avant Garde" w:cs="Arial"/>
          <w:color w:val="000000" w:themeColor="text1"/>
          <w:kern w:val="1"/>
          <w:sz w:val="22"/>
          <w:szCs w:val="22"/>
          <w:lang w:val="es-MX" w:eastAsia="ar-SA"/>
        </w:rPr>
        <w:t>genera</w:t>
      </w:r>
      <w:r w:rsidR="009839F2">
        <w:rPr>
          <w:rFonts w:ascii="ITC Avant Garde" w:hAnsi="ITC Avant Garde" w:cs="Arial"/>
          <w:color w:val="000000" w:themeColor="text1"/>
          <w:kern w:val="1"/>
          <w:sz w:val="22"/>
          <w:szCs w:val="22"/>
          <w:lang w:val="es-MX" w:eastAsia="ar-SA"/>
        </w:rPr>
        <w:t xml:space="preserve">rá </w:t>
      </w:r>
      <w:r w:rsidR="00841828" w:rsidRPr="00E53209">
        <w:rPr>
          <w:rFonts w:ascii="ITC Avant Garde" w:hAnsi="ITC Avant Garde" w:cs="Arial"/>
          <w:color w:val="000000" w:themeColor="text1"/>
          <w:kern w:val="1"/>
          <w:sz w:val="22"/>
          <w:szCs w:val="22"/>
          <w:lang w:val="es-MX" w:eastAsia="ar-SA"/>
        </w:rPr>
        <w:t>al usuario final un gasto innecesario.</w:t>
      </w:r>
    </w:p>
    <w:p w14:paraId="37E491CD" w14:textId="77777777" w:rsidR="00CC4246" w:rsidRDefault="00CC4246" w:rsidP="00AA0DF6">
      <w:pPr>
        <w:suppressAutoHyphens/>
        <w:jc w:val="both"/>
        <w:rPr>
          <w:rFonts w:ascii="ITC Avant Garde" w:hAnsi="ITC Avant Garde" w:cs="Arial"/>
          <w:color w:val="000000" w:themeColor="text1"/>
          <w:kern w:val="1"/>
          <w:sz w:val="22"/>
          <w:szCs w:val="22"/>
          <w:lang w:val="es-MX" w:eastAsia="ar-SA"/>
        </w:rPr>
      </w:pPr>
    </w:p>
    <w:p w14:paraId="56BA4096" w14:textId="6CFB6D2F" w:rsidR="00E53209" w:rsidRDefault="00B74D75" w:rsidP="00E53209">
      <w:p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 xml:space="preserve">Que de acuerdo a su Primero </w:t>
      </w:r>
      <w:r w:rsidR="007B5C86">
        <w:rPr>
          <w:rFonts w:ascii="ITC Avant Garde" w:hAnsi="ITC Avant Garde" w:cs="Arial"/>
          <w:color w:val="000000" w:themeColor="text1"/>
          <w:kern w:val="1"/>
          <w:sz w:val="22"/>
          <w:szCs w:val="22"/>
          <w:lang w:val="es-MX" w:eastAsia="ar-SA"/>
        </w:rPr>
        <w:t xml:space="preserve">Transitorio </w:t>
      </w:r>
      <w:r w:rsidR="00BD3F3C">
        <w:rPr>
          <w:rFonts w:ascii="ITC Avant Garde" w:hAnsi="ITC Avant Garde" w:cs="Arial"/>
          <w:color w:val="000000" w:themeColor="text1"/>
          <w:kern w:val="1"/>
          <w:sz w:val="22"/>
          <w:szCs w:val="22"/>
          <w:lang w:val="es-MX" w:eastAsia="ar-SA"/>
        </w:rPr>
        <w:t xml:space="preserve">de </w:t>
      </w:r>
      <w:r>
        <w:rPr>
          <w:rFonts w:ascii="ITC Avant Garde" w:hAnsi="ITC Avant Garde" w:cs="Arial"/>
          <w:color w:val="000000" w:themeColor="text1"/>
          <w:kern w:val="1"/>
          <w:sz w:val="22"/>
          <w:szCs w:val="22"/>
          <w:lang w:val="es-MX" w:eastAsia="ar-SA"/>
        </w:rPr>
        <w:t xml:space="preserve">la </w:t>
      </w:r>
      <w:r w:rsidR="007B5C86">
        <w:rPr>
          <w:rFonts w:ascii="ITC Avant Garde" w:hAnsi="ITC Avant Garde" w:cs="Arial"/>
          <w:color w:val="000000" w:themeColor="text1"/>
          <w:kern w:val="1"/>
          <w:sz w:val="22"/>
          <w:szCs w:val="22"/>
          <w:lang w:val="es-MX" w:eastAsia="ar-SA"/>
        </w:rPr>
        <w:t>Disposición Técnica Parte 2,</w:t>
      </w:r>
      <w:r w:rsidR="00BD3F3C">
        <w:rPr>
          <w:rFonts w:ascii="ITC Avant Garde" w:hAnsi="ITC Avant Garde" w:cs="Arial"/>
          <w:color w:val="000000" w:themeColor="text1"/>
          <w:kern w:val="1"/>
          <w:sz w:val="22"/>
          <w:szCs w:val="22"/>
          <w:lang w:val="es-MX" w:eastAsia="ar-SA"/>
        </w:rPr>
        <w:t xml:space="preserve"> esta</w:t>
      </w:r>
      <w:r w:rsidR="007B5C86">
        <w:rPr>
          <w:rFonts w:ascii="ITC Avant Garde" w:hAnsi="ITC Avant Garde" w:cs="Arial"/>
          <w:color w:val="000000" w:themeColor="text1"/>
          <w:kern w:val="1"/>
          <w:sz w:val="22"/>
          <w:szCs w:val="22"/>
          <w:lang w:val="es-MX" w:eastAsia="ar-SA"/>
        </w:rPr>
        <w:t xml:space="preserve"> entró en </w:t>
      </w:r>
      <w:r w:rsidR="00E53209" w:rsidRPr="00E53209">
        <w:rPr>
          <w:rFonts w:ascii="ITC Avant Garde" w:hAnsi="ITC Avant Garde" w:cs="Arial"/>
          <w:color w:val="000000" w:themeColor="text1"/>
          <w:kern w:val="1"/>
          <w:sz w:val="22"/>
          <w:szCs w:val="22"/>
          <w:lang w:val="es-MX" w:eastAsia="ar-SA"/>
        </w:rPr>
        <w:t xml:space="preserve">vigor a los noventa días naturales contados a partir de su publicación en el DOF, es decir, el </w:t>
      </w:r>
      <w:r w:rsidR="00F308C4" w:rsidRPr="00E53209">
        <w:rPr>
          <w:rFonts w:ascii="ITC Avant Garde" w:hAnsi="ITC Avant Garde" w:cs="Arial"/>
          <w:color w:val="000000" w:themeColor="text1"/>
          <w:kern w:val="1"/>
          <w:sz w:val="22"/>
          <w:szCs w:val="22"/>
          <w:lang w:val="es-MX" w:eastAsia="ar-SA"/>
        </w:rPr>
        <w:t>3</w:t>
      </w:r>
      <w:r w:rsidR="00E53209" w:rsidRPr="00E53209">
        <w:rPr>
          <w:rFonts w:ascii="ITC Avant Garde" w:hAnsi="ITC Avant Garde" w:cs="Arial"/>
          <w:color w:val="000000" w:themeColor="text1"/>
          <w:kern w:val="1"/>
          <w:sz w:val="22"/>
          <w:szCs w:val="22"/>
          <w:lang w:val="es-MX" w:eastAsia="ar-SA"/>
        </w:rPr>
        <w:t xml:space="preserve"> de abril de 2018, y conforme al acuerdo Primero del Acuerdo mediante el cual el Pleno expidió la Disposición, la misma será revisada por el Instituto al menos a los cinco años contados a partir de su entrada en vigor. Lo anterior, de ninguna manera limita las atribuciones del Instituto para realizar dicha revisión en cualquier momento, dentro del periodo establecido. </w:t>
      </w:r>
    </w:p>
    <w:p w14:paraId="424C8F89" w14:textId="77777777" w:rsidR="00E53209" w:rsidRPr="00E53209" w:rsidRDefault="00E53209" w:rsidP="00E53209">
      <w:pPr>
        <w:suppressAutoHyphens/>
        <w:jc w:val="both"/>
        <w:rPr>
          <w:rFonts w:ascii="ITC Avant Garde" w:hAnsi="ITC Avant Garde" w:cs="Arial"/>
          <w:color w:val="000000" w:themeColor="text1"/>
          <w:kern w:val="1"/>
          <w:sz w:val="22"/>
          <w:szCs w:val="22"/>
          <w:lang w:val="es-MX" w:eastAsia="ar-SA"/>
        </w:rPr>
      </w:pPr>
    </w:p>
    <w:p w14:paraId="0E2B5AD5" w14:textId="77777777" w:rsidR="00E53209" w:rsidRDefault="00E53209" w:rsidP="00E53209">
      <w:pPr>
        <w:suppressAutoHyphens/>
        <w:jc w:val="both"/>
        <w:rPr>
          <w:rFonts w:ascii="ITC Avant Garde" w:hAnsi="ITC Avant Garde" w:cs="Arial"/>
          <w:color w:val="000000" w:themeColor="text1"/>
          <w:kern w:val="1"/>
          <w:sz w:val="22"/>
          <w:szCs w:val="22"/>
          <w:lang w:val="es-MX" w:eastAsia="ar-SA"/>
        </w:rPr>
      </w:pPr>
      <w:r w:rsidRPr="00E53209">
        <w:rPr>
          <w:rFonts w:ascii="ITC Avant Garde" w:hAnsi="ITC Avant Garde" w:cs="Arial"/>
          <w:color w:val="000000" w:themeColor="text1"/>
          <w:kern w:val="1"/>
          <w:sz w:val="22"/>
          <w:szCs w:val="22"/>
          <w:lang w:val="es-MX" w:eastAsia="ar-SA"/>
        </w:rPr>
        <w:t xml:space="preserve">Con base en la problemática expuesta, al </w:t>
      </w:r>
      <w:r w:rsidR="00901DCC" w:rsidRPr="009E34AB">
        <w:rPr>
          <w:rFonts w:ascii="ITC Avant Garde" w:hAnsi="ITC Avant Garde" w:cs="Arial"/>
          <w:color w:val="000000" w:themeColor="text1"/>
          <w:kern w:val="1"/>
          <w:sz w:val="22"/>
          <w:szCs w:val="22"/>
          <w:lang w:val="es-MX" w:eastAsia="ar-SA"/>
        </w:rPr>
        <w:t>incorpor</w:t>
      </w:r>
      <w:r w:rsidR="00901DCC">
        <w:rPr>
          <w:rFonts w:ascii="ITC Avant Garde" w:hAnsi="ITC Avant Garde" w:cs="Arial"/>
          <w:color w:val="000000" w:themeColor="text1"/>
          <w:kern w:val="1"/>
          <w:sz w:val="22"/>
          <w:szCs w:val="22"/>
          <w:lang w:val="es-MX" w:eastAsia="ar-SA"/>
        </w:rPr>
        <w:t>ar la</w:t>
      </w:r>
      <w:r w:rsidR="009E34AB" w:rsidRPr="009E34AB">
        <w:rPr>
          <w:rFonts w:ascii="ITC Avant Garde" w:hAnsi="ITC Avant Garde" w:cs="Arial"/>
          <w:color w:val="000000" w:themeColor="text1"/>
          <w:kern w:val="1"/>
          <w:sz w:val="22"/>
          <w:szCs w:val="22"/>
          <w:lang w:val="es-MX" w:eastAsia="ar-SA"/>
        </w:rPr>
        <w:t xml:space="preserve"> obligación de que los ETM </w:t>
      </w:r>
      <w:r w:rsidR="00901DCC">
        <w:rPr>
          <w:rFonts w:ascii="ITC Avant Garde" w:hAnsi="ITC Avant Garde" w:cs="Arial"/>
          <w:color w:val="000000" w:themeColor="text1"/>
          <w:kern w:val="1"/>
          <w:sz w:val="22"/>
          <w:szCs w:val="22"/>
          <w:lang w:val="es-MX" w:eastAsia="ar-SA"/>
        </w:rPr>
        <w:t xml:space="preserve">cuenten </w:t>
      </w:r>
      <w:r w:rsidR="009E34AB" w:rsidRPr="009E34AB">
        <w:rPr>
          <w:rFonts w:ascii="ITC Avant Garde" w:hAnsi="ITC Avant Garde" w:cs="Arial"/>
          <w:color w:val="000000" w:themeColor="text1"/>
          <w:kern w:val="1"/>
          <w:sz w:val="22"/>
          <w:szCs w:val="22"/>
          <w:lang w:val="es-MX" w:eastAsia="ar-SA"/>
        </w:rPr>
        <w:t xml:space="preserve">con los parámetros </w:t>
      </w:r>
      <w:r w:rsidR="00BD3F3C">
        <w:rPr>
          <w:rFonts w:ascii="ITC Avant Garde" w:hAnsi="ITC Avant Garde" w:cs="Arial"/>
          <w:color w:val="000000" w:themeColor="text1"/>
          <w:kern w:val="1"/>
          <w:sz w:val="22"/>
          <w:szCs w:val="22"/>
          <w:lang w:val="es-MX" w:eastAsia="ar-SA"/>
        </w:rPr>
        <w:t xml:space="preserve">de la funcionalidad </w:t>
      </w:r>
      <w:proofErr w:type="spellStart"/>
      <w:r w:rsidR="00901DCC">
        <w:rPr>
          <w:rFonts w:ascii="ITC Avant Garde" w:hAnsi="ITC Avant Garde" w:cs="Arial"/>
          <w:color w:val="000000" w:themeColor="text1"/>
          <w:kern w:val="1"/>
          <w:sz w:val="22"/>
          <w:szCs w:val="22"/>
          <w:lang w:val="es-MX" w:eastAsia="ar-SA"/>
        </w:rPr>
        <w:t>VoLTE</w:t>
      </w:r>
      <w:proofErr w:type="spellEnd"/>
      <w:r w:rsidR="00901DCC">
        <w:rPr>
          <w:rFonts w:ascii="ITC Avant Garde" w:hAnsi="ITC Avant Garde" w:cs="Arial"/>
          <w:color w:val="000000" w:themeColor="text1"/>
          <w:kern w:val="1"/>
          <w:sz w:val="22"/>
          <w:szCs w:val="22"/>
          <w:lang w:val="es-MX" w:eastAsia="ar-SA"/>
        </w:rPr>
        <w:t xml:space="preserve"> </w:t>
      </w:r>
      <w:r w:rsidR="009E34AB" w:rsidRPr="009E34AB">
        <w:rPr>
          <w:rFonts w:ascii="ITC Avant Garde" w:hAnsi="ITC Avant Garde" w:cs="Arial"/>
          <w:color w:val="000000" w:themeColor="text1"/>
          <w:kern w:val="1"/>
          <w:sz w:val="22"/>
          <w:szCs w:val="22"/>
          <w:lang w:val="es-MX" w:eastAsia="ar-SA"/>
        </w:rPr>
        <w:t>de todos los operadores móviles</w:t>
      </w:r>
      <w:r w:rsidR="00901DCC">
        <w:rPr>
          <w:rFonts w:ascii="ITC Avant Garde" w:hAnsi="ITC Avant Garde" w:cs="Arial"/>
          <w:color w:val="000000" w:themeColor="text1"/>
          <w:kern w:val="1"/>
          <w:sz w:val="22"/>
          <w:szCs w:val="22"/>
          <w:lang w:val="es-MX" w:eastAsia="ar-SA"/>
        </w:rPr>
        <w:t xml:space="preserve"> se coadyuvará </w:t>
      </w:r>
      <w:r w:rsidR="00901DCC" w:rsidRPr="00E53209">
        <w:rPr>
          <w:rFonts w:ascii="ITC Avant Garde" w:hAnsi="ITC Avant Garde" w:cs="Arial"/>
          <w:color w:val="000000" w:themeColor="text1"/>
          <w:kern w:val="1"/>
          <w:sz w:val="22"/>
          <w:szCs w:val="22"/>
          <w:lang w:val="es-MX" w:eastAsia="ar-SA"/>
        </w:rPr>
        <w:t xml:space="preserve">para que los usuarios finales ejerzan eficientemente </w:t>
      </w:r>
      <w:r w:rsidR="003D6950">
        <w:rPr>
          <w:rFonts w:ascii="ITC Avant Garde" w:hAnsi="ITC Avant Garde" w:cs="Arial"/>
          <w:color w:val="000000" w:themeColor="text1"/>
          <w:kern w:val="1"/>
          <w:sz w:val="22"/>
          <w:szCs w:val="22"/>
          <w:lang w:val="es-MX" w:eastAsia="ar-SA"/>
        </w:rPr>
        <w:t xml:space="preserve">su derecho a </w:t>
      </w:r>
      <w:r w:rsidR="00BD3F3C">
        <w:rPr>
          <w:rFonts w:ascii="ITC Avant Garde" w:hAnsi="ITC Avant Garde" w:cs="Arial"/>
          <w:color w:val="000000" w:themeColor="text1"/>
          <w:kern w:val="1"/>
          <w:sz w:val="22"/>
          <w:szCs w:val="22"/>
          <w:lang w:val="es-MX" w:eastAsia="ar-SA"/>
        </w:rPr>
        <w:t>elegir libremente su proveedor de servicios</w:t>
      </w:r>
      <w:r w:rsidRPr="00E53209">
        <w:rPr>
          <w:rFonts w:ascii="ITC Avant Garde" w:hAnsi="ITC Avant Garde" w:cs="Arial"/>
          <w:color w:val="000000" w:themeColor="text1"/>
          <w:kern w:val="1"/>
          <w:sz w:val="22"/>
          <w:szCs w:val="22"/>
          <w:lang w:val="es-MX" w:eastAsia="ar-SA"/>
        </w:rPr>
        <w:t>.</w:t>
      </w:r>
    </w:p>
    <w:p w14:paraId="30484B9C" w14:textId="77777777" w:rsidR="00E53209" w:rsidRPr="00E53209" w:rsidRDefault="00E53209" w:rsidP="00E53209">
      <w:pPr>
        <w:suppressAutoHyphens/>
        <w:jc w:val="both"/>
        <w:rPr>
          <w:rFonts w:ascii="ITC Avant Garde" w:hAnsi="ITC Avant Garde" w:cs="Arial"/>
          <w:color w:val="000000" w:themeColor="text1"/>
          <w:kern w:val="1"/>
          <w:sz w:val="22"/>
          <w:szCs w:val="22"/>
          <w:lang w:val="es-MX" w:eastAsia="ar-SA"/>
        </w:rPr>
      </w:pPr>
    </w:p>
    <w:p w14:paraId="60897C48" w14:textId="77777777" w:rsidR="006A0475" w:rsidRPr="006A0475" w:rsidRDefault="002B46CE" w:rsidP="006A0475">
      <w:pPr>
        <w:jc w:val="both"/>
        <w:rPr>
          <w:rFonts w:ascii="ITC Avant Garde" w:eastAsia="Times New Roman" w:hAnsi="ITC Avant Garde" w:cs="Arial"/>
          <w:kern w:val="2"/>
          <w:sz w:val="22"/>
          <w:szCs w:val="22"/>
          <w:lang w:eastAsia="ar-SA"/>
        </w:rPr>
      </w:pPr>
      <w:proofErr w:type="gramStart"/>
      <w:r>
        <w:rPr>
          <w:rFonts w:ascii="ITC Avant Garde" w:eastAsia="Times New Roman" w:hAnsi="ITC Avant Garde" w:cs="Arial"/>
          <w:b/>
          <w:kern w:val="2"/>
          <w:sz w:val="22"/>
          <w:szCs w:val="22"/>
          <w:lang w:eastAsia="ar-SA"/>
        </w:rPr>
        <w:t>CUARTO</w:t>
      </w:r>
      <w:r w:rsidR="006A0475">
        <w:rPr>
          <w:rFonts w:ascii="ITC Avant Garde" w:eastAsia="Times New Roman" w:hAnsi="ITC Avant Garde" w:cs="Arial"/>
          <w:b/>
          <w:kern w:val="2"/>
          <w:sz w:val="22"/>
          <w:szCs w:val="22"/>
          <w:lang w:eastAsia="ar-SA"/>
        </w:rPr>
        <w:t>.-</w:t>
      </w:r>
      <w:proofErr w:type="gramEnd"/>
      <w:r w:rsidR="006A0475">
        <w:rPr>
          <w:rFonts w:ascii="ITC Avant Garde" w:eastAsia="Times New Roman" w:hAnsi="ITC Avant Garde" w:cs="Arial"/>
          <w:b/>
          <w:kern w:val="2"/>
          <w:sz w:val="22"/>
          <w:szCs w:val="22"/>
          <w:lang w:eastAsia="ar-SA"/>
        </w:rPr>
        <w:t xml:space="preserve"> </w:t>
      </w:r>
      <w:r w:rsidR="00DD390E">
        <w:rPr>
          <w:rFonts w:ascii="ITC Avant Garde" w:eastAsia="Times New Roman" w:hAnsi="ITC Avant Garde" w:cs="Arial"/>
          <w:b/>
          <w:kern w:val="2"/>
          <w:sz w:val="22"/>
          <w:szCs w:val="22"/>
          <w:lang w:eastAsia="ar-SA"/>
        </w:rPr>
        <w:t xml:space="preserve">De la </w:t>
      </w:r>
      <w:r w:rsidR="006A0475">
        <w:rPr>
          <w:rFonts w:ascii="ITC Avant Garde" w:eastAsia="Times New Roman" w:hAnsi="ITC Avant Garde" w:cs="Arial"/>
          <w:b/>
          <w:kern w:val="2"/>
          <w:sz w:val="22"/>
          <w:szCs w:val="22"/>
          <w:lang w:eastAsia="ar-SA"/>
        </w:rPr>
        <w:t xml:space="preserve">Consulta pública. </w:t>
      </w:r>
      <w:r w:rsidR="006A0475" w:rsidRPr="006A0475">
        <w:rPr>
          <w:rFonts w:ascii="ITC Avant Garde" w:eastAsia="Times New Roman" w:hAnsi="ITC Avant Garde" w:cs="Arial"/>
          <w:kern w:val="2"/>
          <w:sz w:val="22"/>
          <w:szCs w:val="22"/>
          <w:lang w:eastAsia="ar-SA"/>
        </w:rPr>
        <w:t xml:space="preserve">La consulta pública tiene por objeto cumplir con los principios de transparencia y participación ciudadana por parte del Instituto, con la finalidad de recabar comentarios de la industria, de especialistas en la materia y del público en general, </w:t>
      </w:r>
      <w:r w:rsidR="006A0475">
        <w:rPr>
          <w:rFonts w:ascii="ITC Avant Garde" w:eastAsia="Times New Roman" w:hAnsi="ITC Avant Garde" w:cs="Arial"/>
          <w:kern w:val="2"/>
          <w:sz w:val="22"/>
          <w:szCs w:val="22"/>
          <w:lang w:eastAsia="ar-SA"/>
        </w:rPr>
        <w:t xml:space="preserve">que contribuyan a un mejor planteamiento de la propuesta de modificación, </w:t>
      </w:r>
      <w:r w:rsidR="006A0475" w:rsidRPr="006A0475">
        <w:rPr>
          <w:rFonts w:ascii="ITC Avant Garde" w:eastAsia="Times New Roman" w:hAnsi="ITC Avant Garde" w:cs="Arial"/>
          <w:kern w:val="2"/>
          <w:sz w:val="22"/>
          <w:szCs w:val="22"/>
          <w:lang w:eastAsia="ar-SA"/>
        </w:rPr>
        <w:t xml:space="preserve">para que sean analizados por este Instituto, y de resultar procedente, con ellos fortalecer sus disposiciones con el fin de perfeccionar su diseño y operación. </w:t>
      </w:r>
    </w:p>
    <w:p w14:paraId="1571C37B" w14:textId="77777777" w:rsidR="001C517F" w:rsidRDefault="001C517F" w:rsidP="009E26C2">
      <w:pPr>
        <w:jc w:val="both"/>
        <w:rPr>
          <w:rFonts w:ascii="ITC Avant Garde" w:eastAsia="Times New Roman" w:hAnsi="ITC Avant Garde" w:cs="Arial"/>
          <w:kern w:val="2"/>
          <w:sz w:val="22"/>
          <w:szCs w:val="22"/>
          <w:lang w:eastAsia="ar-SA"/>
        </w:rPr>
      </w:pPr>
    </w:p>
    <w:p w14:paraId="4864F9AF" w14:textId="77777777" w:rsidR="006A0475" w:rsidRPr="006A0475" w:rsidRDefault="006A0475" w:rsidP="006A0475">
      <w:p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t>En ese sentido, el artículo 51 de la LFTR establece que</w:t>
      </w:r>
      <w:r w:rsidR="008A2F90">
        <w:rPr>
          <w:rFonts w:ascii="ITC Avant Garde" w:eastAsia="Times New Roman" w:hAnsi="ITC Avant Garde" w:cs="Arial"/>
          <w:kern w:val="2"/>
          <w:sz w:val="22"/>
          <w:szCs w:val="22"/>
          <w:lang w:eastAsia="ar-SA"/>
        </w:rPr>
        <w:t>,</w:t>
      </w:r>
      <w:r w:rsidRPr="006A0475">
        <w:rPr>
          <w:rFonts w:ascii="ITC Avant Garde" w:eastAsia="Times New Roman" w:hAnsi="ITC Avant Garde" w:cs="Arial"/>
          <w:kern w:val="2"/>
          <w:sz w:val="22"/>
          <w:szCs w:val="22"/>
          <w:lang w:eastAsia="ar-SA"/>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64CB8AA9" w14:textId="77777777" w:rsidR="001C517F" w:rsidRDefault="001C517F" w:rsidP="009E26C2">
      <w:pPr>
        <w:jc w:val="both"/>
        <w:rPr>
          <w:rFonts w:ascii="ITC Avant Garde" w:eastAsia="Times New Roman" w:hAnsi="ITC Avant Garde" w:cs="Arial"/>
          <w:kern w:val="2"/>
          <w:sz w:val="22"/>
          <w:szCs w:val="22"/>
          <w:lang w:eastAsia="ar-SA"/>
        </w:rPr>
      </w:pPr>
    </w:p>
    <w:p w14:paraId="6F93584C" w14:textId="77777777" w:rsidR="00140B13" w:rsidRDefault="006A0475" w:rsidP="006A0475">
      <w:p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lastRenderedPageBreak/>
        <w:t>En el caso del “</w:t>
      </w:r>
      <w:r w:rsidR="008A2F90" w:rsidRPr="008A2F90">
        <w:rPr>
          <w:rFonts w:ascii="ITC Avant Garde" w:eastAsia="Times New Roman" w:hAnsi="ITC Avant Garde" w:cs="Arial"/>
          <w:kern w:val="2"/>
          <w:sz w:val="22"/>
          <w:szCs w:val="22"/>
          <w:lang w:eastAsia="ar-SA"/>
        </w:rPr>
        <w:t>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w:t>
      </w:r>
      <w:r w:rsidR="008A2F90">
        <w:rPr>
          <w:rFonts w:ascii="ITC Avant Garde" w:eastAsia="Times New Roman" w:hAnsi="ITC Avant Garde" w:cs="Arial"/>
          <w:kern w:val="2"/>
          <w:sz w:val="22"/>
          <w:szCs w:val="22"/>
          <w:lang w:eastAsia="ar-SA"/>
        </w:rPr>
        <w:t xml:space="preserve"> 1700 MHz/2100 MHz y/o 2500 MHz</w:t>
      </w:r>
      <w:r w:rsidR="00AB283D" w:rsidRPr="00AB283D">
        <w:rPr>
          <w:rFonts w:ascii="ITC Avant Garde" w:eastAsia="Times New Roman" w:hAnsi="ITC Avant Garde" w:cs="Arial"/>
          <w:kern w:val="2"/>
          <w:sz w:val="22"/>
          <w:szCs w:val="22"/>
          <w:lang w:eastAsia="ar-SA"/>
        </w:rPr>
        <w:t>.</w:t>
      </w:r>
      <w:r w:rsidRPr="006A0475">
        <w:rPr>
          <w:rFonts w:ascii="ITC Avant Garde" w:eastAsia="Times New Roman" w:hAnsi="ITC Avant Garde" w:cs="Arial"/>
          <w:kern w:val="2"/>
          <w:sz w:val="22"/>
          <w:szCs w:val="22"/>
          <w:lang w:eastAsia="ar-SA"/>
        </w:rPr>
        <w:t>”</w:t>
      </w:r>
      <w:r>
        <w:rPr>
          <w:rFonts w:ascii="ITC Avant Garde" w:eastAsia="Times New Roman" w:hAnsi="ITC Avant Garde" w:cs="Arial"/>
          <w:kern w:val="2"/>
          <w:sz w:val="22"/>
          <w:szCs w:val="22"/>
          <w:lang w:eastAsia="ar-SA"/>
        </w:rPr>
        <w:t>,</w:t>
      </w:r>
      <w:r w:rsidRPr="006A0475">
        <w:rPr>
          <w:rFonts w:ascii="ITC Avant Garde" w:eastAsia="Times New Roman" w:hAnsi="ITC Avant Garde" w:cs="Arial"/>
          <w:kern w:val="2"/>
          <w:sz w:val="22"/>
          <w:szCs w:val="22"/>
          <w:lang w:eastAsia="ar-SA"/>
        </w:rPr>
        <w:t xml:space="preserve"> se considera que su publicidad no compromete los efectos que se pretenden resolver y tampoco es necesario prevenir</w:t>
      </w:r>
      <w:r w:rsidR="00D11FFD">
        <w:rPr>
          <w:rFonts w:ascii="ITC Avant Garde" w:eastAsia="Times New Roman" w:hAnsi="ITC Avant Garde" w:cs="Arial"/>
          <w:kern w:val="2"/>
          <w:sz w:val="22"/>
          <w:szCs w:val="22"/>
          <w:lang w:eastAsia="ar-SA"/>
        </w:rPr>
        <w:t xml:space="preserve"> alguna situación de emergencia</w:t>
      </w:r>
      <w:r w:rsidR="00140B13">
        <w:rPr>
          <w:rFonts w:ascii="ITC Avant Garde" w:eastAsia="Times New Roman" w:hAnsi="ITC Avant Garde" w:cs="Arial"/>
          <w:kern w:val="2"/>
          <w:sz w:val="22"/>
          <w:szCs w:val="22"/>
          <w:lang w:eastAsia="ar-SA"/>
        </w:rPr>
        <w:t>.</w:t>
      </w:r>
    </w:p>
    <w:p w14:paraId="02AF52D3" w14:textId="77777777" w:rsidR="006A0475" w:rsidRPr="006A0475" w:rsidRDefault="006A0475" w:rsidP="006A0475">
      <w:pPr>
        <w:jc w:val="both"/>
        <w:rPr>
          <w:rFonts w:ascii="ITC Avant Garde" w:eastAsia="Times New Roman" w:hAnsi="ITC Avant Garde" w:cs="Arial"/>
          <w:kern w:val="2"/>
          <w:sz w:val="22"/>
          <w:szCs w:val="22"/>
          <w:lang w:eastAsia="ar-SA"/>
        </w:rPr>
      </w:pPr>
    </w:p>
    <w:p w14:paraId="1B091BD5" w14:textId="77777777" w:rsidR="0074169A" w:rsidRPr="0074169A" w:rsidRDefault="006A0475" w:rsidP="0074169A">
      <w:pPr>
        <w:jc w:val="both"/>
        <w:rPr>
          <w:rFonts w:ascii="ITC Avant Garde" w:eastAsia="Times New Roman" w:hAnsi="ITC Avant Garde" w:cs="Arial"/>
          <w:bCs/>
          <w:kern w:val="2"/>
          <w:sz w:val="22"/>
          <w:szCs w:val="22"/>
          <w:lang w:eastAsia="ar-SA"/>
        </w:rPr>
      </w:pPr>
      <w:r w:rsidRPr="006A0475">
        <w:rPr>
          <w:rFonts w:ascii="ITC Avant Garde" w:eastAsia="Times New Roman" w:hAnsi="ITC Avant Garde" w:cs="Arial"/>
          <w:bCs/>
          <w:kern w:val="2"/>
          <w:sz w:val="22"/>
          <w:szCs w:val="22"/>
          <w:lang w:eastAsia="ar-SA"/>
        </w:rPr>
        <w:t>En este sentido, el Pleno del Instituto estima conveniente someter a consulta pública el “</w:t>
      </w:r>
      <w:r w:rsidR="00AB283D" w:rsidRPr="00AB283D">
        <w:rPr>
          <w:rFonts w:ascii="ITC Avant Garde" w:eastAsia="Times New Roman" w:hAnsi="ITC Avant Garde" w:cs="Arial"/>
          <w:bCs/>
          <w:kern w:val="2"/>
          <w:sz w:val="22"/>
          <w:szCs w:val="22"/>
          <w:lang w:eastAsia="ar-SA"/>
        </w:rPr>
        <w:t xml:space="preserve">ANTEPROYECTO DE </w:t>
      </w:r>
      <w:r w:rsidR="000049D7" w:rsidRPr="000049D7">
        <w:rPr>
          <w:rFonts w:ascii="ITC Avant Garde" w:eastAsia="Times New Roman" w:hAnsi="ITC Avant Garde" w:cs="Arial"/>
          <w:bCs/>
          <w:kern w:val="2"/>
          <w:sz w:val="22"/>
          <w:szCs w:val="22"/>
          <w:lang w:eastAsia="ar-SA"/>
        </w:rPr>
        <w:t>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6A0475">
        <w:rPr>
          <w:rFonts w:ascii="ITC Avant Garde" w:eastAsia="Times New Roman" w:hAnsi="ITC Avant Garde" w:cs="Arial"/>
          <w:bCs/>
          <w:kern w:val="2"/>
          <w:sz w:val="22"/>
          <w:szCs w:val="22"/>
          <w:lang w:eastAsia="ar-SA"/>
        </w:rPr>
        <w:t xml:space="preserve">”; el cual se adjunta al presente Acuerdo como Anexo Único y forma parte integral de éste; al efecto, una vez concluido el plazo de consulta respectivo, se publicarán en el portal de Internet del Instituto todos y cada uno de los comentarios, opiniones y propuestas recibidas. </w:t>
      </w:r>
    </w:p>
    <w:p w14:paraId="477D702E" w14:textId="77777777" w:rsidR="00DE43E1" w:rsidRDefault="00DE43E1" w:rsidP="006A0475">
      <w:pPr>
        <w:jc w:val="both"/>
        <w:rPr>
          <w:rFonts w:ascii="ITC Avant Garde" w:eastAsia="Times New Roman" w:hAnsi="ITC Avant Garde" w:cs="Arial"/>
          <w:bCs/>
          <w:kern w:val="2"/>
          <w:sz w:val="22"/>
          <w:szCs w:val="22"/>
          <w:lang w:eastAsia="ar-SA"/>
        </w:rPr>
      </w:pPr>
    </w:p>
    <w:p w14:paraId="32456F3A" w14:textId="77777777" w:rsidR="00DE43E1" w:rsidRPr="006A0475" w:rsidRDefault="00DE43E1" w:rsidP="006A0475">
      <w:pPr>
        <w:jc w:val="both"/>
        <w:rPr>
          <w:rFonts w:ascii="ITC Avant Garde" w:eastAsia="Times New Roman" w:hAnsi="ITC Avant Garde" w:cs="Arial"/>
          <w:bCs/>
          <w:kern w:val="2"/>
          <w:sz w:val="22"/>
          <w:szCs w:val="22"/>
          <w:lang w:eastAsia="ar-SA"/>
        </w:rPr>
      </w:pPr>
      <w:r>
        <w:rPr>
          <w:rFonts w:ascii="ITC Avant Garde" w:eastAsia="Times New Roman" w:hAnsi="ITC Avant Garde" w:cs="Arial"/>
          <w:bCs/>
          <w:kern w:val="2"/>
          <w:sz w:val="22"/>
          <w:szCs w:val="22"/>
          <w:lang w:eastAsia="ar-SA"/>
        </w:rPr>
        <w:t>Asimismo, como parte de la consulta pública, se publicará en conjunto con el Anteproyecto, el correspondiente Análisis de Impacto Regulatorio, conforme a lo dispuesto en el párrafo segundo del artículo 51 de la LFTR.</w:t>
      </w:r>
    </w:p>
    <w:p w14:paraId="2CC8C7BB" w14:textId="77777777" w:rsidR="006A0475" w:rsidRPr="006A0475" w:rsidRDefault="006A0475" w:rsidP="006A0475">
      <w:pPr>
        <w:jc w:val="both"/>
        <w:rPr>
          <w:rFonts w:ascii="ITC Avant Garde" w:eastAsia="Times New Roman" w:hAnsi="ITC Avant Garde" w:cs="Arial"/>
          <w:bCs/>
          <w:kern w:val="2"/>
          <w:sz w:val="22"/>
          <w:szCs w:val="22"/>
          <w:lang w:eastAsia="ar-SA"/>
        </w:rPr>
      </w:pPr>
    </w:p>
    <w:p w14:paraId="2DA32B99" w14:textId="77777777" w:rsidR="002D5EB7" w:rsidRPr="008D0AC3" w:rsidRDefault="002D5EB7" w:rsidP="002D5EB7">
      <w:pPr>
        <w:jc w:val="both"/>
        <w:rPr>
          <w:rFonts w:ascii="ITC Avant Garde" w:eastAsia="Times New Roman" w:hAnsi="ITC Avant Garde" w:cs="Arial"/>
          <w:bCs/>
          <w:kern w:val="2"/>
          <w:sz w:val="22"/>
          <w:szCs w:val="22"/>
          <w:lang w:eastAsia="ar-SA"/>
        </w:rPr>
      </w:pPr>
      <w:r w:rsidRPr="002D5EB7">
        <w:rPr>
          <w:rFonts w:ascii="ITC Avant Garde" w:eastAsia="Times New Roman" w:hAnsi="ITC Avant Garde" w:cs="Arial"/>
          <w:bCs/>
          <w:kern w:val="2"/>
          <w:sz w:val="22"/>
          <w:szCs w:val="22"/>
          <w:lang w:eastAsia="ar-SA"/>
        </w:rPr>
        <w:t xml:space="preserve">Por lo anterior, el </w:t>
      </w:r>
      <w:r w:rsidRPr="00856740">
        <w:rPr>
          <w:rFonts w:ascii="ITC Avant Garde" w:eastAsia="Times New Roman" w:hAnsi="ITC Avant Garde" w:cs="Arial"/>
          <w:bCs/>
          <w:kern w:val="2"/>
          <w:sz w:val="22"/>
          <w:szCs w:val="22"/>
          <w:lang w:eastAsia="ar-SA"/>
        </w:rPr>
        <w:t>Anteproyecto propuesto debe estar sujeto a un proceso de consulta pública por un per</w:t>
      </w:r>
      <w:r w:rsidR="00557AEE" w:rsidRPr="00856740">
        <w:rPr>
          <w:rFonts w:ascii="ITC Avant Garde" w:eastAsia="Times New Roman" w:hAnsi="ITC Avant Garde" w:cs="Arial"/>
          <w:bCs/>
          <w:kern w:val="2"/>
          <w:sz w:val="22"/>
          <w:szCs w:val="22"/>
          <w:lang w:eastAsia="ar-SA"/>
        </w:rPr>
        <w:t>í</w:t>
      </w:r>
      <w:r w:rsidRPr="00856740">
        <w:rPr>
          <w:rFonts w:ascii="ITC Avant Garde" w:eastAsia="Times New Roman" w:hAnsi="ITC Avant Garde" w:cs="Arial"/>
          <w:bCs/>
          <w:kern w:val="2"/>
          <w:sz w:val="22"/>
          <w:szCs w:val="22"/>
          <w:lang w:eastAsia="ar-SA"/>
        </w:rPr>
        <w:t xml:space="preserve">odo de </w:t>
      </w:r>
      <w:r w:rsidR="00640E50" w:rsidRPr="00856740">
        <w:rPr>
          <w:rFonts w:ascii="ITC Avant Garde" w:eastAsia="Times New Roman" w:hAnsi="ITC Avant Garde" w:cs="Arial"/>
          <w:kern w:val="2"/>
          <w:sz w:val="22"/>
          <w:szCs w:val="22"/>
          <w:lang w:eastAsia="ar-SA"/>
        </w:rPr>
        <w:t>20 (veinte)</w:t>
      </w:r>
      <w:r w:rsidR="00640E50" w:rsidRPr="00856740">
        <w:rPr>
          <w:rFonts w:ascii="ITC Avant Garde" w:eastAsia="Times New Roman" w:hAnsi="ITC Avant Garde" w:cs="Arial"/>
          <w:bCs/>
          <w:kern w:val="2"/>
          <w:sz w:val="22"/>
          <w:szCs w:val="22"/>
          <w:lang w:eastAsia="ar-SA"/>
        </w:rPr>
        <w:t xml:space="preserve"> </w:t>
      </w:r>
      <w:r w:rsidRPr="00856740">
        <w:rPr>
          <w:rFonts w:ascii="ITC Avant Garde" w:eastAsia="Times New Roman" w:hAnsi="ITC Avant Garde" w:cs="Arial"/>
          <w:bCs/>
          <w:kern w:val="2"/>
          <w:sz w:val="22"/>
          <w:szCs w:val="22"/>
          <w:lang w:eastAsia="ar-SA"/>
        </w:rPr>
        <w:t>días hábiles</w:t>
      </w:r>
      <w:r w:rsidRPr="00856740">
        <w:rPr>
          <w:rFonts w:ascii="ITC Avant Garde" w:eastAsia="Times New Roman" w:hAnsi="ITC Avant Garde" w:cs="Arial"/>
          <w:b/>
          <w:bCs/>
          <w:kern w:val="2"/>
          <w:sz w:val="22"/>
          <w:szCs w:val="22"/>
          <w:lang w:eastAsia="ar-SA"/>
        </w:rPr>
        <w:t xml:space="preserve"> </w:t>
      </w:r>
      <w:r w:rsidRPr="00856740">
        <w:rPr>
          <w:rFonts w:ascii="ITC Avant Garde" w:eastAsia="Times New Roman" w:hAnsi="ITC Avant Garde" w:cs="Arial"/>
          <w:bCs/>
          <w:kern w:val="2"/>
          <w:sz w:val="22"/>
          <w:szCs w:val="22"/>
          <w:lang w:eastAsia="ar-SA"/>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67CC5E2D" w14:textId="77777777" w:rsidR="002D5EB7" w:rsidRPr="008D0AC3" w:rsidRDefault="002D5EB7" w:rsidP="002D5EB7">
      <w:pPr>
        <w:jc w:val="both"/>
        <w:rPr>
          <w:rFonts w:ascii="ITC Avant Garde" w:eastAsia="Times New Roman" w:hAnsi="ITC Avant Garde" w:cs="Arial"/>
          <w:bCs/>
          <w:kern w:val="2"/>
          <w:sz w:val="22"/>
          <w:szCs w:val="22"/>
          <w:lang w:eastAsia="ar-SA"/>
        </w:rPr>
      </w:pPr>
    </w:p>
    <w:p w14:paraId="2645DD22" w14:textId="77777777" w:rsidR="002D5EB7" w:rsidRPr="008D0AC3" w:rsidRDefault="002D5EB7" w:rsidP="002D5EB7">
      <w:pPr>
        <w:jc w:val="both"/>
        <w:rPr>
          <w:rFonts w:ascii="ITC Avant Garde" w:eastAsia="Times New Roman" w:hAnsi="ITC Avant Garde" w:cs="Arial"/>
          <w:kern w:val="2"/>
          <w:sz w:val="22"/>
          <w:szCs w:val="22"/>
          <w:lang w:val="es-ES" w:eastAsia="ar-SA"/>
        </w:rPr>
      </w:pPr>
      <w:r w:rsidRPr="008D0AC3">
        <w:rPr>
          <w:rFonts w:ascii="ITC Avant Garde" w:eastAsia="Times New Roman" w:hAnsi="ITC Avant Garde" w:cs="Arial"/>
          <w:kern w:val="2"/>
          <w:sz w:val="22"/>
          <w:szCs w:val="22"/>
          <w:lang w:val="es-ES" w:eastAsia="ar-SA"/>
        </w:rPr>
        <w:t>Por las razones expuestas con fundamento en los artículos 6o. y 28, párrafos décimo quinto y vigésimo, fracción IV, de la Constitución Política de los Estados Unidos Mexicanos; 1, 2, 7, 15, fracciones I y LVI, 16, 17 fracción I, 51</w:t>
      </w:r>
      <w:r w:rsidR="000F62A5">
        <w:rPr>
          <w:rFonts w:ascii="ITC Avant Garde" w:eastAsia="Times New Roman" w:hAnsi="ITC Avant Garde" w:cs="Arial"/>
          <w:kern w:val="2"/>
          <w:sz w:val="22"/>
          <w:szCs w:val="22"/>
          <w:lang w:val="es-ES" w:eastAsia="ar-SA"/>
        </w:rPr>
        <w:t xml:space="preserve">, </w:t>
      </w:r>
      <w:r w:rsidRPr="008D0AC3">
        <w:rPr>
          <w:rFonts w:ascii="ITC Avant Garde" w:eastAsia="Times New Roman" w:hAnsi="ITC Avant Garde" w:cs="Arial"/>
          <w:kern w:val="2"/>
          <w:sz w:val="22"/>
          <w:szCs w:val="22"/>
          <w:lang w:val="es-ES" w:eastAsia="ar-SA"/>
        </w:rPr>
        <w:t>52</w:t>
      </w:r>
      <w:r w:rsidR="000F62A5">
        <w:rPr>
          <w:rFonts w:ascii="ITC Avant Garde" w:eastAsia="Times New Roman" w:hAnsi="ITC Avant Garde" w:cs="Arial"/>
          <w:kern w:val="2"/>
          <w:sz w:val="22"/>
          <w:szCs w:val="22"/>
          <w:lang w:val="es-ES" w:eastAsia="ar-SA"/>
        </w:rPr>
        <w:t xml:space="preserve"> y 289</w:t>
      </w:r>
      <w:r w:rsidRPr="008D0AC3">
        <w:rPr>
          <w:rFonts w:ascii="ITC Avant Garde" w:eastAsia="Times New Roman" w:hAnsi="ITC Avant Garde" w:cs="Arial"/>
          <w:kern w:val="2"/>
          <w:sz w:val="22"/>
          <w:szCs w:val="22"/>
          <w:lang w:val="es-ES" w:eastAsia="ar-SA"/>
        </w:rPr>
        <w:t xml:space="preserve"> de la Ley Federal de Telecomunicaciones y Radiodifusión, 1, 4, fracción I y 6 fracción XXXVIII</w:t>
      </w:r>
      <w:r w:rsidR="00837A71" w:rsidRPr="008D0AC3">
        <w:rPr>
          <w:rFonts w:ascii="ITC Avant Garde" w:eastAsia="Times New Roman" w:hAnsi="ITC Avant Garde" w:cs="Arial"/>
          <w:kern w:val="2"/>
          <w:sz w:val="22"/>
          <w:szCs w:val="22"/>
          <w:lang w:val="es-ES" w:eastAsia="ar-SA"/>
        </w:rPr>
        <w:t xml:space="preserve"> </w:t>
      </w:r>
      <w:r w:rsidRPr="008D0AC3">
        <w:rPr>
          <w:rFonts w:ascii="ITC Avant Garde" w:eastAsia="Times New Roman" w:hAnsi="ITC Avant Garde" w:cs="Arial"/>
          <w:kern w:val="2"/>
          <w:sz w:val="22"/>
          <w:szCs w:val="22"/>
          <w:lang w:eastAsia="ar-SA"/>
        </w:rPr>
        <w:t xml:space="preserve">del Estatuto Orgánico del Instituto, </w:t>
      </w:r>
      <w:r w:rsidRPr="008D0AC3">
        <w:rPr>
          <w:rFonts w:ascii="ITC Avant Garde" w:eastAsia="Times New Roman" w:hAnsi="ITC Avant Garde" w:cs="Arial"/>
          <w:kern w:val="2"/>
          <w:sz w:val="22"/>
          <w:szCs w:val="22"/>
          <w:lang w:val="es-ES" w:eastAsia="ar-SA"/>
        </w:rPr>
        <w:t>el Pleno del Instituto Federal de Telecomunicaciones emite el siguiente:</w:t>
      </w:r>
    </w:p>
    <w:p w14:paraId="614133B2" w14:textId="77777777" w:rsidR="006A0475" w:rsidRPr="008D0AC3" w:rsidRDefault="006A0475" w:rsidP="009E26C2">
      <w:pPr>
        <w:jc w:val="both"/>
        <w:rPr>
          <w:rFonts w:ascii="ITC Avant Garde" w:eastAsia="Times New Roman" w:hAnsi="ITC Avant Garde" w:cs="Arial"/>
          <w:kern w:val="2"/>
          <w:sz w:val="22"/>
          <w:szCs w:val="22"/>
          <w:lang w:eastAsia="ar-SA"/>
        </w:rPr>
      </w:pPr>
    </w:p>
    <w:p w14:paraId="1D692568" w14:textId="77777777" w:rsidR="006A0475" w:rsidRPr="008D0AC3" w:rsidRDefault="006A0475" w:rsidP="009E26C2">
      <w:pPr>
        <w:jc w:val="both"/>
        <w:rPr>
          <w:rFonts w:ascii="ITC Avant Garde" w:eastAsia="Times New Roman" w:hAnsi="ITC Avant Garde" w:cs="Arial"/>
          <w:kern w:val="2"/>
          <w:sz w:val="22"/>
          <w:szCs w:val="22"/>
          <w:lang w:eastAsia="ar-SA"/>
        </w:rPr>
      </w:pPr>
    </w:p>
    <w:p w14:paraId="65CCD647" w14:textId="77777777" w:rsidR="002D5EB7" w:rsidRPr="008D0AC3" w:rsidRDefault="002D5EB7" w:rsidP="002D5EB7">
      <w:pPr>
        <w:jc w:val="center"/>
        <w:rPr>
          <w:rFonts w:ascii="ITC Avant Garde" w:eastAsia="Times New Roman" w:hAnsi="ITC Avant Garde" w:cs="Arial"/>
          <w:b/>
          <w:kern w:val="2"/>
          <w:sz w:val="22"/>
          <w:szCs w:val="22"/>
          <w:lang w:val="es-MX" w:eastAsia="ar-SA"/>
        </w:rPr>
      </w:pPr>
      <w:r w:rsidRPr="008D0AC3">
        <w:rPr>
          <w:rFonts w:ascii="ITC Avant Garde" w:eastAsia="Times New Roman" w:hAnsi="ITC Avant Garde" w:cs="Arial"/>
          <w:b/>
          <w:kern w:val="2"/>
          <w:sz w:val="22"/>
          <w:szCs w:val="22"/>
          <w:lang w:val="es-MX" w:eastAsia="ar-SA"/>
        </w:rPr>
        <w:t>ACUERDO</w:t>
      </w:r>
    </w:p>
    <w:p w14:paraId="7E455747" w14:textId="77777777" w:rsidR="002D5EB7" w:rsidRPr="008D0AC3" w:rsidRDefault="002D5EB7" w:rsidP="002D5EB7">
      <w:pPr>
        <w:jc w:val="both"/>
        <w:rPr>
          <w:rFonts w:ascii="ITC Avant Garde" w:eastAsia="Times New Roman" w:hAnsi="ITC Avant Garde" w:cs="Arial"/>
          <w:kern w:val="2"/>
          <w:sz w:val="22"/>
          <w:szCs w:val="22"/>
          <w:lang w:val="es-MX" w:eastAsia="ar-SA"/>
        </w:rPr>
      </w:pPr>
    </w:p>
    <w:p w14:paraId="453237CD" w14:textId="77777777" w:rsidR="002D5EB7" w:rsidRPr="008D0AC3" w:rsidRDefault="002D5EB7" w:rsidP="002D5EB7">
      <w:pPr>
        <w:jc w:val="both"/>
        <w:rPr>
          <w:rFonts w:ascii="ITC Avant Garde" w:eastAsia="Times New Roman" w:hAnsi="ITC Avant Garde" w:cs="Arial"/>
          <w:kern w:val="2"/>
          <w:sz w:val="22"/>
          <w:szCs w:val="22"/>
          <w:lang w:val="es-MX" w:eastAsia="ar-SA"/>
        </w:rPr>
      </w:pPr>
    </w:p>
    <w:p w14:paraId="32939ACD" w14:textId="77777777" w:rsidR="002D5EB7" w:rsidRDefault="002D5EB7" w:rsidP="002D5EB7">
      <w:pPr>
        <w:jc w:val="both"/>
        <w:rPr>
          <w:rFonts w:ascii="ITC Avant Garde" w:eastAsia="Times New Roman" w:hAnsi="ITC Avant Garde" w:cs="Arial"/>
          <w:kern w:val="2"/>
          <w:sz w:val="22"/>
          <w:szCs w:val="22"/>
          <w:lang w:eastAsia="ar-SA"/>
        </w:rPr>
      </w:pPr>
      <w:proofErr w:type="gramStart"/>
      <w:r w:rsidRPr="008D0AC3">
        <w:rPr>
          <w:rFonts w:ascii="ITC Avant Garde" w:eastAsia="Times New Roman" w:hAnsi="ITC Avant Garde" w:cs="Arial"/>
          <w:b/>
          <w:kern w:val="2"/>
          <w:sz w:val="22"/>
          <w:szCs w:val="22"/>
          <w:lang w:val="es-MX" w:eastAsia="ar-SA"/>
        </w:rPr>
        <w:t>PRIMERO</w:t>
      </w:r>
      <w:r w:rsidRPr="008D0AC3">
        <w:rPr>
          <w:rFonts w:ascii="ITC Avant Garde" w:eastAsia="Times New Roman" w:hAnsi="ITC Avant Garde" w:cs="Arial"/>
          <w:kern w:val="2"/>
          <w:sz w:val="22"/>
          <w:szCs w:val="22"/>
          <w:lang w:val="es-MX" w:eastAsia="ar-SA"/>
        </w:rPr>
        <w:t>.-</w:t>
      </w:r>
      <w:proofErr w:type="gramEnd"/>
      <w:r w:rsidRPr="008D0AC3">
        <w:rPr>
          <w:rFonts w:ascii="ITC Avant Garde" w:eastAsia="Times New Roman" w:hAnsi="ITC Avant Garde" w:cs="Arial"/>
          <w:kern w:val="2"/>
          <w:sz w:val="22"/>
          <w:szCs w:val="22"/>
          <w:lang w:val="es-MX" w:eastAsia="ar-SA"/>
        </w:rPr>
        <w:t xml:space="preserve"> </w:t>
      </w:r>
      <w:r w:rsidRPr="008D0AC3">
        <w:rPr>
          <w:rFonts w:ascii="ITC Avant Garde" w:eastAsia="Times New Roman" w:hAnsi="ITC Avant Garde" w:cs="Arial"/>
          <w:bCs/>
          <w:kern w:val="2"/>
          <w:sz w:val="22"/>
          <w:szCs w:val="22"/>
          <w:lang w:eastAsia="ar-SA"/>
        </w:rPr>
        <w:t>Se determina someter a consulta pública el “</w:t>
      </w:r>
      <w:r w:rsidR="007E408C" w:rsidRPr="008D0AC3">
        <w:rPr>
          <w:rFonts w:ascii="ITC Avant Garde" w:eastAsia="Times New Roman" w:hAnsi="ITC Avant Garde" w:cs="Arial"/>
          <w:bCs/>
          <w:kern w:val="2"/>
          <w:sz w:val="22"/>
          <w:szCs w:val="22"/>
          <w:lang w:eastAsia="ar-SA"/>
        </w:rPr>
        <w:t>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w:t>
      </w:r>
      <w:r w:rsidR="00F21D76">
        <w:rPr>
          <w:rFonts w:ascii="ITC Avant Garde" w:eastAsia="Times New Roman" w:hAnsi="ITC Avant Garde" w:cs="Arial"/>
          <w:bCs/>
          <w:kern w:val="2"/>
          <w:sz w:val="22"/>
          <w:szCs w:val="22"/>
          <w:lang w:eastAsia="ar-SA"/>
        </w:rPr>
        <w:t>z</w:t>
      </w:r>
      <w:r w:rsidR="007E408C" w:rsidRPr="008D0AC3">
        <w:rPr>
          <w:rFonts w:ascii="ITC Avant Garde" w:eastAsia="Times New Roman" w:hAnsi="ITC Avant Garde" w:cs="Arial"/>
          <w:bCs/>
          <w:kern w:val="2"/>
          <w:sz w:val="22"/>
          <w:szCs w:val="22"/>
          <w:lang w:eastAsia="ar-SA"/>
        </w:rPr>
        <w:t>, 800 MH</w:t>
      </w:r>
      <w:r w:rsidR="00F21D76">
        <w:rPr>
          <w:rFonts w:ascii="ITC Avant Garde" w:eastAsia="Times New Roman" w:hAnsi="ITC Avant Garde" w:cs="Arial"/>
          <w:bCs/>
          <w:kern w:val="2"/>
          <w:sz w:val="22"/>
          <w:szCs w:val="22"/>
          <w:lang w:eastAsia="ar-SA"/>
        </w:rPr>
        <w:t>z</w:t>
      </w:r>
      <w:r w:rsidR="007E408C" w:rsidRPr="008D0AC3">
        <w:rPr>
          <w:rFonts w:ascii="ITC Avant Garde" w:eastAsia="Times New Roman" w:hAnsi="ITC Avant Garde" w:cs="Arial"/>
          <w:bCs/>
          <w:kern w:val="2"/>
          <w:sz w:val="22"/>
          <w:szCs w:val="22"/>
          <w:lang w:eastAsia="ar-SA"/>
        </w:rPr>
        <w:t>, 850 MH</w:t>
      </w:r>
      <w:r w:rsidR="00F21D76">
        <w:rPr>
          <w:rFonts w:ascii="ITC Avant Garde" w:eastAsia="Times New Roman" w:hAnsi="ITC Avant Garde" w:cs="Arial"/>
          <w:bCs/>
          <w:kern w:val="2"/>
          <w:sz w:val="22"/>
          <w:szCs w:val="22"/>
          <w:lang w:eastAsia="ar-SA"/>
        </w:rPr>
        <w:t>z</w:t>
      </w:r>
      <w:r w:rsidR="007E408C" w:rsidRPr="008D0AC3">
        <w:rPr>
          <w:rFonts w:ascii="ITC Avant Garde" w:eastAsia="Times New Roman" w:hAnsi="ITC Avant Garde" w:cs="Arial"/>
          <w:bCs/>
          <w:kern w:val="2"/>
          <w:sz w:val="22"/>
          <w:szCs w:val="22"/>
          <w:lang w:eastAsia="ar-SA"/>
        </w:rPr>
        <w:t>, 1900 MH</w:t>
      </w:r>
      <w:r w:rsidR="00F21D76">
        <w:rPr>
          <w:rFonts w:ascii="ITC Avant Garde" w:eastAsia="Times New Roman" w:hAnsi="ITC Avant Garde" w:cs="Arial"/>
          <w:bCs/>
          <w:kern w:val="2"/>
          <w:sz w:val="22"/>
          <w:szCs w:val="22"/>
          <w:lang w:eastAsia="ar-SA"/>
        </w:rPr>
        <w:t>z</w:t>
      </w:r>
      <w:r w:rsidR="007E408C" w:rsidRPr="008D0AC3">
        <w:rPr>
          <w:rFonts w:ascii="ITC Avant Garde" w:eastAsia="Times New Roman" w:hAnsi="ITC Avant Garde" w:cs="Arial"/>
          <w:bCs/>
          <w:kern w:val="2"/>
          <w:sz w:val="22"/>
          <w:szCs w:val="22"/>
          <w:lang w:eastAsia="ar-SA"/>
        </w:rPr>
        <w:t>, 1700 MH</w:t>
      </w:r>
      <w:r w:rsidR="00F21D76">
        <w:rPr>
          <w:rFonts w:ascii="ITC Avant Garde" w:eastAsia="Times New Roman" w:hAnsi="ITC Avant Garde" w:cs="Arial"/>
          <w:bCs/>
          <w:kern w:val="2"/>
          <w:sz w:val="22"/>
          <w:szCs w:val="22"/>
          <w:lang w:eastAsia="ar-SA"/>
        </w:rPr>
        <w:t>z</w:t>
      </w:r>
      <w:r w:rsidR="007E408C" w:rsidRPr="008D0AC3">
        <w:rPr>
          <w:rFonts w:ascii="ITC Avant Garde" w:eastAsia="Times New Roman" w:hAnsi="ITC Avant Garde" w:cs="Arial"/>
          <w:bCs/>
          <w:kern w:val="2"/>
          <w:sz w:val="22"/>
          <w:szCs w:val="22"/>
          <w:lang w:eastAsia="ar-SA"/>
        </w:rPr>
        <w:t>/2100 MH</w:t>
      </w:r>
      <w:r w:rsidR="00F21D76">
        <w:rPr>
          <w:rFonts w:ascii="ITC Avant Garde" w:eastAsia="Times New Roman" w:hAnsi="ITC Avant Garde" w:cs="Arial"/>
          <w:bCs/>
          <w:kern w:val="2"/>
          <w:sz w:val="22"/>
          <w:szCs w:val="22"/>
          <w:lang w:eastAsia="ar-SA"/>
        </w:rPr>
        <w:t>z</w:t>
      </w:r>
      <w:r w:rsidR="007E408C" w:rsidRPr="008D0AC3">
        <w:rPr>
          <w:rFonts w:ascii="ITC Avant Garde" w:eastAsia="Times New Roman" w:hAnsi="ITC Avant Garde" w:cs="Arial"/>
          <w:bCs/>
          <w:kern w:val="2"/>
          <w:sz w:val="22"/>
          <w:szCs w:val="22"/>
          <w:lang w:eastAsia="ar-SA"/>
        </w:rPr>
        <w:t xml:space="preserve"> Y/O 2500 MH</w:t>
      </w:r>
      <w:r w:rsidR="00F21D76">
        <w:rPr>
          <w:rFonts w:ascii="ITC Avant Garde" w:eastAsia="Times New Roman" w:hAnsi="ITC Avant Garde" w:cs="Arial"/>
          <w:bCs/>
          <w:kern w:val="2"/>
          <w:sz w:val="22"/>
          <w:szCs w:val="22"/>
          <w:lang w:eastAsia="ar-SA"/>
        </w:rPr>
        <w:t>z</w:t>
      </w:r>
      <w:r w:rsidRPr="008D0AC3">
        <w:rPr>
          <w:rFonts w:ascii="ITC Avant Garde" w:eastAsia="Times New Roman" w:hAnsi="ITC Avant Garde" w:cs="Arial"/>
          <w:bCs/>
          <w:kern w:val="2"/>
          <w:sz w:val="22"/>
          <w:szCs w:val="22"/>
          <w:lang w:eastAsia="ar-SA"/>
        </w:rPr>
        <w:t xml:space="preserve">”, </w:t>
      </w:r>
      <w:r w:rsidRPr="008D0AC3">
        <w:rPr>
          <w:rFonts w:ascii="ITC Avant Garde" w:eastAsia="Times New Roman" w:hAnsi="ITC Avant Garde" w:cs="Arial"/>
          <w:kern w:val="2"/>
          <w:sz w:val="22"/>
          <w:szCs w:val="22"/>
          <w:lang w:eastAsia="ar-SA"/>
        </w:rPr>
        <w:t xml:space="preserve">mismo que se encuentra como Anexo Único del presente Acuerdo. Dicha </w:t>
      </w:r>
      <w:r w:rsidRPr="008D0AC3">
        <w:rPr>
          <w:rFonts w:ascii="ITC Avant Garde" w:eastAsia="Times New Roman" w:hAnsi="ITC Avant Garde" w:cs="Arial"/>
          <w:kern w:val="2"/>
          <w:sz w:val="22"/>
          <w:szCs w:val="22"/>
          <w:lang w:eastAsia="ar-SA"/>
        </w:rPr>
        <w:lastRenderedPageBreak/>
        <w:t xml:space="preserve">consulta pública se realizará durante </w:t>
      </w:r>
      <w:r w:rsidR="00640E50" w:rsidRPr="00BD3F3C">
        <w:rPr>
          <w:rFonts w:ascii="ITC Avant Garde" w:eastAsia="Times New Roman" w:hAnsi="ITC Avant Garde" w:cs="Arial"/>
          <w:kern w:val="2"/>
          <w:sz w:val="22"/>
          <w:szCs w:val="22"/>
          <w:lang w:eastAsia="ar-SA"/>
        </w:rPr>
        <w:t>20 (veinte)</w:t>
      </w:r>
      <w:r w:rsidR="00640E50" w:rsidRPr="00856740">
        <w:rPr>
          <w:rFonts w:ascii="ITC Avant Garde" w:eastAsia="Times New Roman" w:hAnsi="ITC Avant Garde" w:cs="Arial"/>
          <w:kern w:val="2"/>
          <w:sz w:val="22"/>
          <w:szCs w:val="22"/>
          <w:lang w:eastAsia="ar-SA"/>
        </w:rPr>
        <w:t xml:space="preserve"> </w:t>
      </w:r>
      <w:r w:rsidRPr="00856740">
        <w:rPr>
          <w:rFonts w:ascii="ITC Avant Garde" w:eastAsia="Times New Roman" w:hAnsi="ITC Avant Garde" w:cs="Arial"/>
          <w:kern w:val="2"/>
          <w:sz w:val="22"/>
          <w:szCs w:val="22"/>
          <w:lang w:eastAsia="ar-SA"/>
        </w:rPr>
        <w:t xml:space="preserve">días hábiles, contados a partir de su publicación </w:t>
      </w:r>
      <w:r w:rsidRPr="008D0AC3">
        <w:rPr>
          <w:rFonts w:ascii="ITC Avant Garde" w:eastAsia="Times New Roman" w:hAnsi="ITC Avant Garde" w:cs="Arial"/>
          <w:kern w:val="2"/>
          <w:sz w:val="22"/>
          <w:szCs w:val="22"/>
          <w:lang w:eastAsia="ar-SA"/>
        </w:rPr>
        <w:t>en el portal de Internet del Instituto</w:t>
      </w:r>
      <w:r w:rsidRPr="002D5EB7">
        <w:rPr>
          <w:rFonts w:ascii="ITC Avant Garde" w:eastAsia="Times New Roman" w:hAnsi="ITC Avant Garde" w:cs="Arial"/>
          <w:kern w:val="2"/>
          <w:sz w:val="22"/>
          <w:szCs w:val="22"/>
          <w:lang w:eastAsia="ar-SA"/>
        </w:rPr>
        <w:t xml:space="preserve"> Federal de Telecomunicaciones.</w:t>
      </w:r>
      <w:r w:rsidRPr="002D5EB7" w:rsidDel="009026F6">
        <w:rPr>
          <w:rFonts w:ascii="ITC Avant Garde" w:eastAsia="Times New Roman" w:hAnsi="ITC Avant Garde" w:cs="Arial"/>
          <w:kern w:val="2"/>
          <w:sz w:val="22"/>
          <w:szCs w:val="22"/>
          <w:lang w:eastAsia="ar-SA"/>
        </w:rPr>
        <w:t xml:space="preserve"> </w:t>
      </w:r>
    </w:p>
    <w:p w14:paraId="63A67074" w14:textId="77777777" w:rsidR="002D5EB7" w:rsidRPr="002D5EB7" w:rsidRDefault="002D5EB7" w:rsidP="002D5EB7">
      <w:pPr>
        <w:jc w:val="both"/>
        <w:rPr>
          <w:rFonts w:ascii="ITC Avant Garde" w:eastAsia="Times New Roman" w:hAnsi="ITC Avant Garde" w:cs="Arial"/>
          <w:b/>
          <w:bCs/>
          <w:kern w:val="2"/>
          <w:sz w:val="22"/>
          <w:szCs w:val="22"/>
          <w:lang w:eastAsia="ar-SA"/>
        </w:rPr>
      </w:pPr>
    </w:p>
    <w:p w14:paraId="03350502" w14:textId="77777777" w:rsidR="002D5EB7" w:rsidRPr="002D5EB7" w:rsidRDefault="002D5EB7" w:rsidP="002D5EB7">
      <w:pPr>
        <w:jc w:val="both"/>
        <w:rPr>
          <w:rFonts w:ascii="ITC Avant Garde" w:eastAsia="Times New Roman" w:hAnsi="ITC Avant Garde" w:cs="Arial"/>
          <w:kern w:val="2"/>
          <w:sz w:val="22"/>
          <w:szCs w:val="22"/>
          <w:lang w:val="es-MX" w:eastAsia="ar-SA"/>
        </w:rPr>
      </w:pPr>
      <w:proofErr w:type="gramStart"/>
      <w:r w:rsidRPr="002D5EB7">
        <w:rPr>
          <w:rFonts w:ascii="ITC Avant Garde" w:eastAsia="Times New Roman" w:hAnsi="ITC Avant Garde" w:cs="Arial"/>
          <w:b/>
          <w:kern w:val="2"/>
          <w:sz w:val="22"/>
          <w:szCs w:val="22"/>
          <w:lang w:val="es-MX" w:eastAsia="ar-SA"/>
        </w:rPr>
        <w:t>SEGUNDO</w:t>
      </w:r>
      <w:r w:rsidRPr="002D5EB7">
        <w:rPr>
          <w:rFonts w:ascii="ITC Avant Garde" w:eastAsia="Times New Roman" w:hAnsi="ITC Avant Garde" w:cs="Arial"/>
          <w:kern w:val="2"/>
          <w:sz w:val="22"/>
          <w:szCs w:val="22"/>
          <w:lang w:val="es-MX" w:eastAsia="ar-SA"/>
        </w:rPr>
        <w:t>.-</w:t>
      </w:r>
      <w:proofErr w:type="gramEnd"/>
      <w:r w:rsidRPr="002D5EB7">
        <w:rPr>
          <w:rFonts w:ascii="ITC Avant Garde" w:eastAsia="Times New Roman" w:hAnsi="ITC Avant Garde" w:cs="Arial"/>
          <w:kern w:val="2"/>
          <w:sz w:val="22"/>
          <w:szCs w:val="22"/>
          <w:lang w:val="es-MX" w:eastAsia="ar-SA"/>
        </w:rPr>
        <w:t xml:space="preserve"> Se instruye a la Unidad de Política Regulatoria, por conducto de la Dirección General de Regulación Técnica, a recibir y dar la atención que corresponda a las opiniones que sean vertidas de la consulta pública materia del presente Acuerdo.</w:t>
      </w:r>
    </w:p>
    <w:p w14:paraId="240DE2AA" w14:textId="77777777" w:rsidR="002D5EB7" w:rsidRPr="002D5EB7" w:rsidRDefault="002D5EB7" w:rsidP="002D5EB7">
      <w:pPr>
        <w:jc w:val="both"/>
        <w:rPr>
          <w:rFonts w:ascii="ITC Avant Garde" w:eastAsia="Times New Roman" w:hAnsi="ITC Avant Garde" w:cs="Arial"/>
          <w:kern w:val="2"/>
          <w:sz w:val="22"/>
          <w:szCs w:val="22"/>
          <w:lang w:val="es-MX" w:eastAsia="ar-SA"/>
        </w:rPr>
      </w:pPr>
    </w:p>
    <w:p w14:paraId="43BD4B6F" w14:textId="77777777" w:rsidR="002D5EB7" w:rsidRPr="002D5EB7" w:rsidRDefault="002D5EB7" w:rsidP="002D5EB7">
      <w:pPr>
        <w:jc w:val="both"/>
        <w:rPr>
          <w:rFonts w:ascii="ITC Avant Garde" w:eastAsia="Times New Roman" w:hAnsi="ITC Avant Garde" w:cs="Arial"/>
          <w:kern w:val="2"/>
          <w:sz w:val="22"/>
          <w:szCs w:val="22"/>
          <w:lang w:val="es-MX" w:eastAsia="ar-SA"/>
        </w:rPr>
      </w:pPr>
      <w:proofErr w:type="gramStart"/>
      <w:r w:rsidRPr="002D5EB7">
        <w:rPr>
          <w:rFonts w:ascii="ITC Avant Garde" w:eastAsia="Times New Roman" w:hAnsi="ITC Avant Garde" w:cs="Arial"/>
          <w:b/>
          <w:kern w:val="2"/>
          <w:sz w:val="22"/>
          <w:szCs w:val="22"/>
          <w:lang w:val="es-MX" w:eastAsia="ar-SA"/>
        </w:rPr>
        <w:t>TERCERO.-</w:t>
      </w:r>
      <w:proofErr w:type="gramEnd"/>
      <w:r w:rsidRPr="002D5EB7">
        <w:rPr>
          <w:rFonts w:ascii="ITC Avant Garde" w:eastAsia="Times New Roman" w:hAnsi="ITC Avant Garde" w:cs="Arial"/>
          <w:b/>
          <w:kern w:val="2"/>
          <w:sz w:val="22"/>
          <w:szCs w:val="22"/>
          <w:lang w:val="es-MX" w:eastAsia="ar-SA"/>
        </w:rPr>
        <w:t xml:space="preserve"> </w:t>
      </w:r>
      <w:r w:rsidRPr="002D5EB7">
        <w:rPr>
          <w:rFonts w:ascii="ITC Avant Garde" w:eastAsia="Times New Roman" w:hAnsi="ITC Avant Garde" w:cs="Arial"/>
          <w:kern w:val="2"/>
          <w:sz w:val="22"/>
          <w:szCs w:val="22"/>
          <w:lang w:val="es-MX" w:eastAsia="ar-SA"/>
        </w:rPr>
        <w:t>Publíquese en la página de Internet del Instituto Federal de Telecomunicaciones.</w:t>
      </w:r>
    </w:p>
    <w:p w14:paraId="5003AA3B" w14:textId="77777777" w:rsidR="00B32987" w:rsidRDefault="00B32987" w:rsidP="002D5EB7">
      <w:pPr>
        <w:jc w:val="both"/>
        <w:rPr>
          <w:rFonts w:ascii="ITC Avant Garde" w:eastAsia="Times New Roman" w:hAnsi="ITC Avant Garde" w:cs="Arial"/>
          <w:kern w:val="2"/>
          <w:sz w:val="22"/>
          <w:szCs w:val="22"/>
          <w:lang w:val="es-MX" w:eastAsia="ar-SA"/>
        </w:rPr>
      </w:pPr>
    </w:p>
    <w:p w14:paraId="37A66928" w14:textId="77777777" w:rsidR="00AA4759" w:rsidRPr="00E51070" w:rsidRDefault="00B32987" w:rsidP="00E51070">
      <w:pPr>
        <w:jc w:val="center"/>
        <w:rPr>
          <w:rFonts w:ascii="ITC Avant Garde" w:eastAsia="Times New Roman" w:hAnsi="ITC Avant Garde" w:cs="Arial"/>
          <w:b/>
          <w:kern w:val="2"/>
          <w:sz w:val="22"/>
          <w:szCs w:val="22"/>
          <w:lang w:val="es-MX" w:eastAsia="ar-SA"/>
        </w:rPr>
      </w:pPr>
      <w:r w:rsidRPr="00E51070">
        <w:rPr>
          <w:rFonts w:ascii="ITC Avant Garde" w:eastAsia="Times New Roman" w:hAnsi="ITC Avant Garde" w:cs="Arial"/>
          <w:b/>
          <w:kern w:val="2"/>
          <w:sz w:val="22"/>
          <w:szCs w:val="22"/>
          <w:lang w:val="es-MX" w:eastAsia="ar-SA"/>
        </w:rPr>
        <w:t>ANEXO ÚNICO</w:t>
      </w:r>
    </w:p>
    <w:p w14:paraId="061D0790" w14:textId="77777777" w:rsidR="00B32987" w:rsidRDefault="00B32987" w:rsidP="00E51070">
      <w:pPr>
        <w:jc w:val="center"/>
        <w:rPr>
          <w:rFonts w:ascii="ITC Avant Garde" w:eastAsia="Times New Roman" w:hAnsi="ITC Avant Garde" w:cs="Arial"/>
          <w:kern w:val="2"/>
          <w:sz w:val="22"/>
          <w:szCs w:val="22"/>
          <w:lang w:val="es-MX" w:eastAsia="ar-SA"/>
        </w:rPr>
      </w:pPr>
    </w:p>
    <w:p w14:paraId="22B7E599" w14:textId="77777777" w:rsidR="00B32987" w:rsidRDefault="00B32987" w:rsidP="00856740">
      <w:pPr>
        <w:jc w:val="both"/>
        <w:rPr>
          <w:rFonts w:ascii="ITC Avant Garde" w:eastAsia="Times New Roman" w:hAnsi="ITC Avant Garde" w:cs="Arial"/>
          <w:kern w:val="2"/>
          <w:sz w:val="22"/>
          <w:szCs w:val="22"/>
          <w:lang w:val="es-MX" w:eastAsia="ar-SA"/>
        </w:rPr>
      </w:pPr>
      <w:r w:rsidRPr="00B32987">
        <w:rPr>
          <w:rFonts w:ascii="ITC Avant Garde" w:eastAsia="Times New Roman" w:hAnsi="ITC Avant Garde" w:cs="Arial"/>
          <w:kern w:val="2"/>
          <w:sz w:val="22"/>
          <w:szCs w:val="22"/>
          <w:lang w:val="es-MX" w:eastAsia="ar-SA"/>
        </w:rPr>
        <w:t>MODIFICACI</w:t>
      </w:r>
      <w:r>
        <w:rPr>
          <w:rFonts w:ascii="ITC Avant Garde" w:eastAsia="Times New Roman" w:hAnsi="ITC Avant Garde" w:cs="Arial"/>
          <w:kern w:val="2"/>
          <w:sz w:val="22"/>
          <w:szCs w:val="22"/>
          <w:lang w:val="es-MX" w:eastAsia="ar-SA"/>
        </w:rPr>
        <w:t xml:space="preserve">ÓN A </w:t>
      </w:r>
      <w:r w:rsidRPr="00B32987">
        <w:rPr>
          <w:rFonts w:ascii="ITC Avant Garde" w:eastAsia="Times New Roman" w:hAnsi="ITC Avant Garde" w:cs="Arial"/>
          <w:kern w:val="2"/>
          <w:sz w:val="22"/>
          <w:szCs w:val="22"/>
          <w:lang w:val="es-MX" w:eastAsia="ar-SA"/>
        </w:rPr>
        <w:t>LA DISPOSICIÓN TÉCNICA IFT-011-2017: ESPECIFICACIONES TÉCNICAS DE LOS EQUIPOS TERMINALES MÓVILES QUE PUEDAN HACER USO DEL ESPECTRO RADIOELÉCTRICO O SER CONECTADOS A REDES DE TELECOMUNICACIONES. PARTE 2. EQUIPOS TERMINALES MÓVILES QUE OPERAN EN LAS BANDAS DE 700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 800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 850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 1900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 1700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/2100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 xml:space="preserve"> Y/O 2500 MH</w:t>
      </w:r>
      <w:r w:rsidR="001B16B8">
        <w:rPr>
          <w:rFonts w:ascii="ITC Avant Garde" w:eastAsia="Times New Roman" w:hAnsi="ITC Avant Garde" w:cs="Arial"/>
          <w:kern w:val="2"/>
          <w:sz w:val="22"/>
          <w:szCs w:val="22"/>
          <w:lang w:val="es-MX" w:eastAsia="ar-SA"/>
        </w:rPr>
        <w:t>z</w:t>
      </w:r>
      <w:r w:rsidRPr="00B32987">
        <w:rPr>
          <w:rFonts w:ascii="ITC Avant Garde" w:eastAsia="Times New Roman" w:hAnsi="ITC Avant Garde" w:cs="Arial"/>
          <w:kern w:val="2"/>
          <w:sz w:val="22"/>
          <w:szCs w:val="22"/>
          <w:lang w:val="es-MX" w:eastAsia="ar-SA"/>
        </w:rPr>
        <w:t>.</w:t>
      </w:r>
    </w:p>
    <w:p w14:paraId="03EFE099" w14:textId="77777777" w:rsidR="00B32987" w:rsidRDefault="00B32987">
      <w:pPr>
        <w:jc w:val="both"/>
        <w:rPr>
          <w:rFonts w:ascii="ITC Avant Garde" w:eastAsia="Times New Roman" w:hAnsi="ITC Avant Garde" w:cs="Arial"/>
          <w:kern w:val="2"/>
          <w:sz w:val="22"/>
          <w:szCs w:val="22"/>
          <w:lang w:val="es-MX" w:eastAsia="ar-SA"/>
        </w:rPr>
      </w:pPr>
    </w:p>
    <w:p w14:paraId="24880209" w14:textId="77777777" w:rsidR="00731AB9" w:rsidRDefault="00B32987" w:rsidP="00731AB9">
      <w:pPr>
        <w:jc w:val="both"/>
        <w:rPr>
          <w:rFonts w:ascii="ITC Avant Garde" w:eastAsia="Times New Roman" w:hAnsi="ITC Avant Garde" w:cs="Arial"/>
          <w:kern w:val="2"/>
          <w:sz w:val="22"/>
          <w:szCs w:val="22"/>
          <w:lang w:val="es-MX" w:eastAsia="ar-SA"/>
        </w:rPr>
      </w:pPr>
      <w:r w:rsidRPr="00B32987">
        <w:rPr>
          <w:rFonts w:ascii="ITC Avant Garde" w:eastAsia="Times New Roman" w:hAnsi="ITC Avant Garde" w:cs="Arial"/>
          <w:kern w:val="2"/>
          <w:sz w:val="22"/>
          <w:szCs w:val="22"/>
          <w:lang w:val="es-MX" w:eastAsia="ar-SA"/>
        </w:rPr>
        <w:t xml:space="preserve">Se </w:t>
      </w:r>
      <w:r w:rsidRPr="00E51070">
        <w:rPr>
          <w:rFonts w:ascii="ITC Avant Garde" w:eastAsia="Times New Roman" w:hAnsi="ITC Avant Garde" w:cs="Arial"/>
          <w:b/>
          <w:kern w:val="2"/>
          <w:sz w:val="22"/>
          <w:szCs w:val="22"/>
          <w:lang w:val="es-MX" w:eastAsia="ar-SA"/>
        </w:rPr>
        <w:t>MODIFICAN</w:t>
      </w:r>
      <w:r w:rsidRPr="00B32987">
        <w:rPr>
          <w:rFonts w:ascii="ITC Avant Garde" w:eastAsia="Times New Roman" w:hAnsi="ITC Avant Garde" w:cs="Arial"/>
          <w:kern w:val="2"/>
          <w:sz w:val="22"/>
          <w:szCs w:val="22"/>
          <w:lang w:val="es-MX" w:eastAsia="ar-SA"/>
        </w:rPr>
        <w:t xml:space="preserve"> </w:t>
      </w:r>
      <w:r w:rsidR="00731AB9">
        <w:rPr>
          <w:rFonts w:ascii="ITC Avant Garde" w:eastAsia="Times New Roman" w:hAnsi="ITC Avant Garde" w:cs="Arial"/>
          <w:kern w:val="2"/>
          <w:sz w:val="22"/>
          <w:szCs w:val="22"/>
          <w:lang w:val="es-MX" w:eastAsia="ar-SA"/>
        </w:rPr>
        <w:t xml:space="preserve">el índice en los numerales 4.1.2. </w:t>
      </w:r>
      <w:r w:rsidRPr="00B32987">
        <w:rPr>
          <w:rFonts w:ascii="ITC Avant Garde" w:eastAsia="Times New Roman" w:hAnsi="ITC Avant Garde" w:cs="Arial"/>
          <w:kern w:val="2"/>
          <w:sz w:val="22"/>
          <w:szCs w:val="22"/>
          <w:lang w:val="es-MX" w:eastAsia="ar-SA"/>
        </w:rPr>
        <w:t>y</w:t>
      </w:r>
      <w:r w:rsidR="00731AB9">
        <w:rPr>
          <w:rFonts w:ascii="ITC Avant Garde" w:eastAsia="Times New Roman" w:hAnsi="ITC Avant Garde" w:cs="Arial"/>
          <w:kern w:val="2"/>
          <w:sz w:val="22"/>
          <w:szCs w:val="22"/>
          <w:lang w:val="es-MX" w:eastAsia="ar-SA"/>
        </w:rPr>
        <w:t xml:space="preserve"> 5.3.2</w:t>
      </w:r>
      <w:r w:rsidR="005B48D0">
        <w:rPr>
          <w:rFonts w:ascii="ITC Avant Garde" w:eastAsia="Times New Roman" w:hAnsi="ITC Avant Garde" w:cs="Arial"/>
          <w:kern w:val="2"/>
          <w:sz w:val="22"/>
          <w:szCs w:val="22"/>
          <w:lang w:val="es-MX" w:eastAsia="ar-SA"/>
        </w:rPr>
        <w:t>, título</w:t>
      </w:r>
      <w:r w:rsidR="00A1397C">
        <w:rPr>
          <w:rFonts w:ascii="ITC Avant Garde" w:eastAsia="Times New Roman" w:hAnsi="ITC Avant Garde" w:cs="Arial"/>
          <w:kern w:val="2"/>
          <w:sz w:val="22"/>
          <w:szCs w:val="22"/>
          <w:lang w:val="es-MX" w:eastAsia="ar-SA"/>
        </w:rPr>
        <w:t>;</w:t>
      </w:r>
      <w:r w:rsidR="008810DD">
        <w:rPr>
          <w:rFonts w:ascii="ITC Avant Garde" w:eastAsia="Times New Roman" w:hAnsi="ITC Avant Garde" w:cs="Arial"/>
          <w:kern w:val="2"/>
          <w:sz w:val="22"/>
          <w:szCs w:val="22"/>
          <w:lang w:val="es-MX" w:eastAsia="ar-SA"/>
        </w:rPr>
        <w:t xml:space="preserve"> así como </w:t>
      </w:r>
      <w:r w:rsidR="005B48D0">
        <w:rPr>
          <w:rFonts w:ascii="ITC Avant Garde" w:eastAsia="Times New Roman" w:hAnsi="ITC Avant Garde" w:cs="Arial"/>
          <w:kern w:val="2"/>
          <w:sz w:val="22"/>
          <w:szCs w:val="22"/>
          <w:lang w:val="es-MX" w:eastAsia="ar-SA"/>
        </w:rPr>
        <w:t xml:space="preserve">los numerales </w:t>
      </w:r>
      <w:r w:rsidR="00A1397C">
        <w:rPr>
          <w:rFonts w:ascii="ITC Avant Garde" w:eastAsia="Times New Roman" w:hAnsi="ITC Avant Garde" w:cs="Arial"/>
          <w:kern w:val="2"/>
          <w:sz w:val="22"/>
          <w:szCs w:val="22"/>
          <w:lang w:val="es-MX" w:eastAsia="ar-SA"/>
        </w:rPr>
        <w:t xml:space="preserve">4.1.2. título y 5.3.2. título; y se </w:t>
      </w:r>
      <w:r w:rsidR="00A1397C" w:rsidRPr="00A1397C">
        <w:rPr>
          <w:rFonts w:ascii="ITC Avant Garde" w:eastAsia="Times New Roman" w:hAnsi="ITC Avant Garde" w:cs="Arial"/>
          <w:b/>
          <w:kern w:val="2"/>
          <w:sz w:val="22"/>
          <w:szCs w:val="22"/>
          <w:lang w:val="es-MX" w:eastAsia="ar-SA"/>
        </w:rPr>
        <w:t>ADICIONA</w:t>
      </w:r>
      <w:r w:rsidR="005B48D0">
        <w:rPr>
          <w:rFonts w:ascii="ITC Avant Garde" w:eastAsia="Times New Roman" w:hAnsi="ITC Avant Garde" w:cs="Arial"/>
          <w:b/>
          <w:kern w:val="2"/>
          <w:sz w:val="22"/>
          <w:szCs w:val="22"/>
          <w:lang w:val="es-MX" w:eastAsia="ar-SA"/>
        </w:rPr>
        <w:t>N</w:t>
      </w:r>
      <w:r w:rsidR="00602F71">
        <w:rPr>
          <w:rFonts w:ascii="ITC Avant Garde" w:eastAsia="Times New Roman" w:hAnsi="ITC Avant Garde" w:cs="Arial"/>
          <w:b/>
          <w:kern w:val="2"/>
          <w:sz w:val="22"/>
          <w:szCs w:val="22"/>
          <w:lang w:val="es-MX" w:eastAsia="ar-SA"/>
        </w:rPr>
        <w:t xml:space="preserve"> </w:t>
      </w:r>
      <w:r w:rsidR="00602F71">
        <w:rPr>
          <w:rFonts w:ascii="ITC Avant Garde" w:eastAsia="Times New Roman" w:hAnsi="ITC Avant Garde" w:cs="Arial"/>
          <w:kern w:val="2"/>
          <w:sz w:val="22"/>
          <w:szCs w:val="22"/>
          <w:lang w:val="es-MX" w:eastAsia="ar-SA"/>
        </w:rPr>
        <w:t>en</w:t>
      </w:r>
      <w:r w:rsidR="0013516E">
        <w:rPr>
          <w:rFonts w:ascii="ITC Avant Garde" w:eastAsia="Times New Roman" w:hAnsi="ITC Avant Garde" w:cs="Arial"/>
          <w:kern w:val="2"/>
          <w:sz w:val="22"/>
          <w:szCs w:val="22"/>
          <w:lang w:val="es-MX" w:eastAsia="ar-SA"/>
        </w:rPr>
        <w:t xml:space="preserve"> el numeral</w:t>
      </w:r>
      <w:r w:rsidR="00602F71">
        <w:rPr>
          <w:rFonts w:ascii="ITC Avant Garde" w:eastAsia="Times New Roman" w:hAnsi="ITC Avant Garde" w:cs="Arial"/>
          <w:kern w:val="2"/>
          <w:sz w:val="22"/>
          <w:szCs w:val="22"/>
          <w:lang w:val="es-MX" w:eastAsia="ar-SA"/>
        </w:rPr>
        <w:t xml:space="preserve"> 3.2 ABREVIATURAS; </w:t>
      </w:r>
      <w:r w:rsidR="00D351BE">
        <w:rPr>
          <w:rFonts w:ascii="ITC Avant Garde" w:eastAsia="Times New Roman" w:hAnsi="ITC Avant Garde" w:cs="Arial"/>
          <w:kern w:val="2"/>
          <w:sz w:val="22"/>
          <w:szCs w:val="22"/>
          <w:lang w:val="es-MX" w:eastAsia="ar-SA"/>
        </w:rPr>
        <w:t xml:space="preserve">el </w:t>
      </w:r>
      <w:r w:rsidR="00602F71">
        <w:rPr>
          <w:rFonts w:ascii="ITC Avant Garde" w:eastAsia="Times New Roman" w:hAnsi="ITC Avant Garde" w:cs="Arial"/>
          <w:kern w:val="2"/>
          <w:sz w:val="22"/>
          <w:szCs w:val="22"/>
          <w:lang w:val="es-MX" w:eastAsia="ar-SA"/>
        </w:rPr>
        <w:t>segundo párrafo al nu</w:t>
      </w:r>
      <w:r w:rsidR="006264BD">
        <w:rPr>
          <w:rFonts w:ascii="ITC Avant Garde" w:eastAsia="Times New Roman" w:hAnsi="ITC Avant Garde" w:cs="Arial"/>
          <w:kern w:val="2"/>
          <w:sz w:val="22"/>
          <w:szCs w:val="22"/>
          <w:lang w:val="es-MX" w:eastAsia="ar-SA"/>
        </w:rPr>
        <w:t>meral 4.1.2; un segundo y noveno párrafo y los incisos a), b), c), d), e), f), g) y h) del numeral 5.3.2</w:t>
      </w:r>
      <w:r w:rsidR="00731AB9" w:rsidRPr="00B32987">
        <w:rPr>
          <w:rFonts w:ascii="ITC Avant Garde" w:eastAsia="Times New Roman" w:hAnsi="ITC Avant Garde" w:cs="Arial"/>
          <w:kern w:val="2"/>
          <w:sz w:val="22"/>
          <w:szCs w:val="22"/>
          <w:lang w:val="es-MX" w:eastAsia="ar-SA"/>
        </w:rPr>
        <w:t>, para quedar como sigue:</w:t>
      </w:r>
    </w:p>
    <w:p w14:paraId="10C2CC71" w14:textId="77777777" w:rsidR="00E51070" w:rsidRDefault="00E51070" w:rsidP="00731AB9">
      <w:pPr>
        <w:jc w:val="both"/>
        <w:rPr>
          <w:rFonts w:ascii="ITC Avant Garde" w:eastAsia="Times New Roman" w:hAnsi="ITC Avant Garde" w:cs="Arial"/>
          <w:kern w:val="2"/>
          <w:sz w:val="22"/>
          <w:szCs w:val="22"/>
          <w:lang w:val="es-MX" w:eastAsia="ar-SA"/>
        </w:rPr>
      </w:pPr>
    </w:p>
    <w:p w14:paraId="1C29D53B" w14:textId="77777777" w:rsidR="00E51070" w:rsidRDefault="00E51070" w:rsidP="00E51070">
      <w:pPr>
        <w:ind w:firstLine="708"/>
        <w:jc w:val="both"/>
        <w:rPr>
          <w:rFonts w:ascii="ITC Avant Garde" w:eastAsia="Times New Roman" w:hAnsi="ITC Avant Garde" w:cs="Arial"/>
          <w:b/>
          <w:kern w:val="2"/>
          <w:sz w:val="22"/>
          <w:szCs w:val="22"/>
          <w:lang w:val="es-MX" w:eastAsia="ar-SA"/>
        </w:rPr>
      </w:pPr>
      <w:r w:rsidRPr="00E51070">
        <w:rPr>
          <w:rFonts w:ascii="ITC Avant Garde" w:eastAsia="Times New Roman" w:hAnsi="ITC Avant Garde" w:cs="Arial"/>
          <w:b/>
          <w:kern w:val="2"/>
          <w:sz w:val="22"/>
          <w:szCs w:val="22"/>
          <w:lang w:val="es-MX" w:eastAsia="ar-SA"/>
        </w:rPr>
        <w:t>ÍNDICE</w:t>
      </w:r>
    </w:p>
    <w:p w14:paraId="0BE60B88" w14:textId="77777777" w:rsidR="004D51A3" w:rsidRDefault="004D51A3" w:rsidP="00E51070">
      <w:pPr>
        <w:ind w:firstLine="708"/>
        <w:jc w:val="both"/>
        <w:rPr>
          <w:rFonts w:ascii="ITC Avant Garde" w:eastAsia="Times New Roman" w:hAnsi="ITC Avant Garde" w:cs="Arial"/>
          <w:b/>
          <w:kern w:val="2"/>
          <w:sz w:val="22"/>
          <w:szCs w:val="22"/>
          <w:lang w:val="es-MX" w:eastAsia="ar-SA"/>
        </w:rPr>
      </w:pPr>
    </w:p>
    <w:p w14:paraId="135524BE" w14:textId="77777777" w:rsidR="00E51070" w:rsidRDefault="00E51070" w:rsidP="004D51A3">
      <w:pPr>
        <w:ind w:left="708"/>
        <w:jc w:val="both"/>
        <w:rPr>
          <w:rFonts w:ascii="ITC Avant Garde" w:eastAsia="Times New Roman" w:hAnsi="ITC Avant Garde" w:cs="Arial"/>
          <w:kern w:val="2"/>
          <w:sz w:val="22"/>
          <w:szCs w:val="22"/>
          <w:lang w:val="es-MX" w:eastAsia="ar-SA"/>
        </w:rPr>
      </w:pPr>
      <w:r w:rsidRPr="00E51070">
        <w:rPr>
          <w:rFonts w:ascii="ITC Avant Garde" w:eastAsia="Times New Roman" w:hAnsi="ITC Avant Garde" w:cs="Arial"/>
          <w:kern w:val="2"/>
          <w:sz w:val="22"/>
          <w:szCs w:val="22"/>
          <w:lang w:val="es-MX" w:eastAsia="ar-SA"/>
        </w:rPr>
        <w:t xml:space="preserve">4.1.2 Soporte de la banda 28 (700 MHz) APT y llamadas de voz mediante </w:t>
      </w:r>
      <w:proofErr w:type="spellStart"/>
      <w:r w:rsidRPr="00E51070">
        <w:rPr>
          <w:rFonts w:ascii="ITC Avant Garde" w:eastAsia="Times New Roman" w:hAnsi="ITC Avant Garde" w:cs="Arial"/>
          <w:kern w:val="2"/>
          <w:sz w:val="22"/>
          <w:szCs w:val="22"/>
          <w:lang w:val="es-MX" w:eastAsia="ar-SA"/>
        </w:rPr>
        <w:t>VoLTE</w:t>
      </w:r>
      <w:proofErr w:type="spellEnd"/>
    </w:p>
    <w:p w14:paraId="446F59AD" w14:textId="77777777" w:rsidR="00E51070" w:rsidRDefault="00E51070"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7ED014B7" w14:textId="77777777" w:rsidR="00726D29" w:rsidRDefault="00E51070" w:rsidP="004D51A3">
      <w:pPr>
        <w:ind w:left="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 xml:space="preserve">5.3.2 </w:t>
      </w:r>
      <w:r w:rsidR="00726D29" w:rsidRPr="00E51070">
        <w:rPr>
          <w:rFonts w:ascii="ITC Avant Garde" w:eastAsia="Times New Roman" w:hAnsi="ITC Avant Garde" w:cs="Arial"/>
          <w:kern w:val="2"/>
          <w:sz w:val="22"/>
          <w:szCs w:val="22"/>
          <w:lang w:val="es-MX" w:eastAsia="ar-SA"/>
        </w:rPr>
        <w:t xml:space="preserve">Soporte de la banda 28 (700 MHz) APT y llamadas de voz mediante </w:t>
      </w:r>
      <w:proofErr w:type="spellStart"/>
      <w:r w:rsidR="00726D29" w:rsidRPr="00E51070">
        <w:rPr>
          <w:rFonts w:ascii="ITC Avant Garde" w:eastAsia="Times New Roman" w:hAnsi="ITC Avant Garde" w:cs="Arial"/>
          <w:kern w:val="2"/>
          <w:sz w:val="22"/>
          <w:szCs w:val="22"/>
          <w:lang w:val="es-MX" w:eastAsia="ar-SA"/>
        </w:rPr>
        <w:t>VoLTE</w:t>
      </w:r>
      <w:proofErr w:type="spellEnd"/>
    </w:p>
    <w:p w14:paraId="0FB7ACA4" w14:textId="77777777" w:rsidR="00E51070" w:rsidRDefault="00E51070" w:rsidP="00E51070">
      <w:pPr>
        <w:ind w:firstLine="708"/>
        <w:jc w:val="both"/>
        <w:rPr>
          <w:rFonts w:ascii="ITC Avant Garde" w:eastAsia="Times New Roman" w:hAnsi="ITC Avant Garde" w:cs="Arial"/>
          <w:kern w:val="2"/>
          <w:sz w:val="22"/>
          <w:szCs w:val="22"/>
          <w:lang w:val="es-MX" w:eastAsia="ar-SA"/>
        </w:rPr>
      </w:pPr>
    </w:p>
    <w:p w14:paraId="1466C24F" w14:textId="77777777" w:rsidR="00726D29" w:rsidRDefault="00726D29" w:rsidP="00E51070">
      <w:pPr>
        <w:ind w:firstLine="708"/>
        <w:jc w:val="both"/>
        <w:rPr>
          <w:rFonts w:ascii="ITC Avant Garde" w:eastAsia="Times New Roman" w:hAnsi="ITC Avant Garde" w:cs="Arial"/>
          <w:b/>
          <w:kern w:val="2"/>
          <w:sz w:val="22"/>
          <w:szCs w:val="22"/>
          <w:lang w:val="es-MX" w:eastAsia="ar-SA"/>
        </w:rPr>
      </w:pPr>
      <w:r w:rsidRPr="00726D29">
        <w:rPr>
          <w:rFonts w:ascii="ITC Avant Garde" w:eastAsia="Times New Roman" w:hAnsi="ITC Avant Garde" w:cs="Arial"/>
          <w:b/>
          <w:kern w:val="2"/>
          <w:sz w:val="22"/>
          <w:szCs w:val="22"/>
          <w:lang w:val="es-MX" w:eastAsia="ar-SA"/>
        </w:rPr>
        <w:t>ABREVIATURAS</w:t>
      </w:r>
    </w:p>
    <w:p w14:paraId="4539030D" w14:textId="77777777" w:rsidR="00726D29" w:rsidRPr="00C952E7" w:rsidRDefault="00726D29" w:rsidP="00E51070">
      <w:pPr>
        <w:ind w:firstLine="708"/>
        <w:jc w:val="both"/>
        <w:rPr>
          <w:rFonts w:ascii="ITC Avant Garde" w:eastAsia="Times New Roman" w:hAnsi="ITC Avant Garde" w:cs="Arial"/>
          <w:kern w:val="2"/>
          <w:sz w:val="22"/>
          <w:szCs w:val="22"/>
          <w:lang w:val="es-MX" w:eastAsia="ar-SA"/>
        </w:rPr>
      </w:pPr>
      <w:r w:rsidRPr="00C952E7">
        <w:rPr>
          <w:rFonts w:ascii="ITC Avant Garde" w:eastAsia="Times New Roman" w:hAnsi="ITC Avant Garde" w:cs="Arial"/>
          <w:kern w:val="2"/>
          <w:sz w:val="22"/>
          <w:szCs w:val="22"/>
          <w:lang w:val="es-MX" w:eastAsia="ar-SA"/>
        </w:rPr>
        <w:t>…</w:t>
      </w:r>
    </w:p>
    <w:p w14:paraId="3736E5F6" w14:textId="77777777" w:rsidR="00C952E7" w:rsidRPr="00C952E7" w:rsidRDefault="00C952E7" w:rsidP="00E51070">
      <w:pPr>
        <w:ind w:firstLine="708"/>
        <w:jc w:val="both"/>
        <w:rPr>
          <w:rFonts w:ascii="ITC Avant Garde" w:eastAsia="Times New Roman" w:hAnsi="ITC Avant Garde" w:cs="Arial"/>
          <w:kern w:val="2"/>
          <w:sz w:val="22"/>
          <w:szCs w:val="22"/>
          <w:lang w:val="es-MX" w:eastAsia="ar-SA"/>
        </w:rPr>
      </w:pPr>
      <w:r w:rsidRPr="00C952E7">
        <w:rPr>
          <w:rFonts w:ascii="ITC Avant Garde" w:eastAsia="Times New Roman" w:hAnsi="ITC Avant Garde" w:cs="Arial"/>
          <w:kern w:val="2"/>
          <w:sz w:val="22"/>
          <w:szCs w:val="22"/>
          <w:lang w:val="es-MX" w:eastAsia="ar-SA"/>
        </w:rPr>
        <w:t>…</w:t>
      </w:r>
    </w:p>
    <w:p w14:paraId="5020D8D8" w14:textId="77777777" w:rsidR="00C952E7" w:rsidRPr="00C952E7" w:rsidRDefault="00C952E7" w:rsidP="00E51070">
      <w:pPr>
        <w:ind w:firstLine="708"/>
        <w:jc w:val="both"/>
        <w:rPr>
          <w:rFonts w:ascii="ITC Avant Garde" w:eastAsia="Times New Roman" w:hAnsi="ITC Avant Garde" w:cs="Arial"/>
          <w:kern w:val="2"/>
          <w:sz w:val="22"/>
          <w:szCs w:val="22"/>
          <w:lang w:val="es-MX" w:eastAsia="ar-SA"/>
        </w:rPr>
      </w:pPr>
      <w:r w:rsidRPr="00C952E7">
        <w:rPr>
          <w:rFonts w:ascii="ITC Avant Garde" w:eastAsia="Times New Roman" w:hAnsi="ITC Avant Garde" w:cs="Arial"/>
          <w:kern w:val="2"/>
          <w:sz w:val="22"/>
          <w:szCs w:val="22"/>
          <w:lang w:val="es-MX" w:eastAsia="ar-SA"/>
        </w:rPr>
        <w:t>…</w:t>
      </w:r>
    </w:p>
    <w:p w14:paraId="172BC571" w14:textId="77777777" w:rsidR="00726D29" w:rsidRDefault="00726D29" w:rsidP="00C3034D">
      <w:pPr>
        <w:ind w:left="1413" w:hanging="705"/>
        <w:jc w:val="both"/>
        <w:rPr>
          <w:rFonts w:ascii="ITC Avant Garde" w:eastAsia="Times New Roman" w:hAnsi="ITC Avant Garde" w:cs="Arial"/>
          <w:kern w:val="2"/>
          <w:sz w:val="22"/>
          <w:szCs w:val="22"/>
          <w:lang w:val="es-MX" w:eastAsia="ar-SA"/>
        </w:rPr>
      </w:pPr>
      <w:r w:rsidRPr="005B48D0">
        <w:rPr>
          <w:rFonts w:ascii="ITC Avant Garde" w:eastAsia="Times New Roman" w:hAnsi="ITC Avant Garde" w:cs="Arial"/>
          <w:kern w:val="2"/>
          <w:sz w:val="22"/>
          <w:szCs w:val="22"/>
          <w:lang w:val="es-MX" w:eastAsia="ar-SA"/>
        </w:rPr>
        <w:t>APN</w:t>
      </w:r>
      <w:r w:rsidRPr="00726D29">
        <w:rPr>
          <w:rFonts w:ascii="ITC Avant Garde" w:eastAsia="Times New Roman" w:hAnsi="ITC Avant Garde" w:cs="Arial"/>
          <w:kern w:val="2"/>
          <w:sz w:val="22"/>
          <w:szCs w:val="22"/>
          <w:lang w:val="es-MX" w:eastAsia="ar-SA"/>
        </w:rPr>
        <w:tab/>
        <w:t>Nombres de Punto de A</w:t>
      </w:r>
      <w:r w:rsidR="00C952E7">
        <w:rPr>
          <w:rFonts w:ascii="ITC Avant Garde" w:eastAsia="Times New Roman" w:hAnsi="ITC Avant Garde" w:cs="Arial"/>
          <w:kern w:val="2"/>
          <w:sz w:val="22"/>
          <w:szCs w:val="22"/>
          <w:lang w:val="es-MX" w:eastAsia="ar-SA"/>
        </w:rPr>
        <w:t>cceso (por sus siglas en inglés</w:t>
      </w:r>
      <w:r w:rsidRPr="00726D29">
        <w:rPr>
          <w:rFonts w:ascii="ITC Avant Garde" w:eastAsia="Times New Roman" w:hAnsi="ITC Avant Garde" w:cs="Arial"/>
          <w:kern w:val="2"/>
          <w:sz w:val="22"/>
          <w:szCs w:val="22"/>
          <w:lang w:val="es-MX" w:eastAsia="ar-SA"/>
        </w:rPr>
        <w:t xml:space="preserve"> </w:t>
      </w:r>
      <w:r w:rsidRPr="00726D29">
        <w:rPr>
          <w:rFonts w:ascii="ITC Avant Garde" w:eastAsia="Times New Roman" w:hAnsi="ITC Avant Garde" w:cs="Arial"/>
          <w:i/>
          <w:kern w:val="2"/>
          <w:sz w:val="22"/>
          <w:szCs w:val="22"/>
          <w:lang w:val="es-MX" w:eastAsia="ar-SA"/>
        </w:rPr>
        <w:t xml:space="preserve">Access Point </w:t>
      </w:r>
      <w:proofErr w:type="spellStart"/>
      <w:r w:rsidRPr="00726D29">
        <w:rPr>
          <w:rFonts w:ascii="ITC Avant Garde" w:eastAsia="Times New Roman" w:hAnsi="ITC Avant Garde" w:cs="Arial"/>
          <w:i/>
          <w:kern w:val="2"/>
          <w:sz w:val="22"/>
          <w:szCs w:val="22"/>
          <w:lang w:val="es-MX" w:eastAsia="ar-SA"/>
        </w:rPr>
        <w:t>Name</w:t>
      </w:r>
      <w:proofErr w:type="spellEnd"/>
      <w:r w:rsidRPr="00726D29">
        <w:rPr>
          <w:rFonts w:ascii="ITC Avant Garde" w:eastAsia="Times New Roman" w:hAnsi="ITC Avant Garde" w:cs="Arial"/>
          <w:kern w:val="2"/>
          <w:sz w:val="22"/>
          <w:szCs w:val="22"/>
          <w:lang w:val="es-MX" w:eastAsia="ar-SA"/>
        </w:rPr>
        <w:t>).</w:t>
      </w:r>
    </w:p>
    <w:p w14:paraId="054233E8" w14:textId="77777777" w:rsidR="00726D29" w:rsidRDefault="00726D29"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57CDF311"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2F2BE54"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057C4641"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0B9FE5C3"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03E1B85"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39B28134"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0137119"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54E69151" w14:textId="77777777" w:rsidR="00726D29" w:rsidRDefault="00726D29" w:rsidP="00C3034D">
      <w:pPr>
        <w:ind w:left="1413" w:hanging="705"/>
        <w:jc w:val="both"/>
        <w:rPr>
          <w:rFonts w:ascii="ITC Avant Garde" w:eastAsia="Times New Roman" w:hAnsi="ITC Avant Garde" w:cs="Arial"/>
          <w:kern w:val="2"/>
          <w:sz w:val="22"/>
          <w:szCs w:val="22"/>
          <w:lang w:val="es-MX" w:eastAsia="ar-SA"/>
        </w:rPr>
      </w:pPr>
      <w:r w:rsidRPr="005B48D0">
        <w:rPr>
          <w:rFonts w:ascii="ITC Avant Garde" w:eastAsia="Times New Roman" w:hAnsi="ITC Avant Garde" w:cs="Arial"/>
          <w:kern w:val="2"/>
          <w:sz w:val="22"/>
          <w:szCs w:val="22"/>
          <w:lang w:val="es-MX" w:eastAsia="ar-SA"/>
        </w:rPr>
        <w:lastRenderedPageBreak/>
        <w:t>EPS</w:t>
      </w:r>
      <w:r>
        <w:rPr>
          <w:rFonts w:ascii="ITC Avant Garde" w:eastAsia="Times New Roman" w:hAnsi="ITC Avant Garde" w:cs="Arial"/>
          <w:kern w:val="2"/>
          <w:sz w:val="22"/>
          <w:szCs w:val="22"/>
          <w:lang w:val="es-MX" w:eastAsia="ar-SA"/>
        </w:rPr>
        <w:tab/>
        <w:t xml:space="preserve">Sistema </w:t>
      </w:r>
      <w:r w:rsidRPr="00726D29">
        <w:rPr>
          <w:rFonts w:ascii="ITC Avant Garde" w:eastAsia="Times New Roman" w:hAnsi="ITC Avant Garde" w:cs="Arial"/>
          <w:kern w:val="2"/>
          <w:sz w:val="22"/>
          <w:szCs w:val="22"/>
          <w:lang w:val="es-MX" w:eastAsia="ar-SA"/>
        </w:rPr>
        <w:t xml:space="preserve">Evolucionado de Paquetes (por sus siglas en inglés </w:t>
      </w:r>
      <w:proofErr w:type="spellStart"/>
      <w:r w:rsidRPr="00726D29">
        <w:rPr>
          <w:rFonts w:ascii="ITC Avant Garde" w:eastAsia="Times New Roman" w:hAnsi="ITC Avant Garde" w:cs="Arial"/>
          <w:i/>
          <w:kern w:val="2"/>
          <w:sz w:val="22"/>
          <w:szCs w:val="22"/>
          <w:lang w:val="es-MX" w:eastAsia="ar-SA"/>
        </w:rPr>
        <w:t>Evolved</w:t>
      </w:r>
      <w:proofErr w:type="spellEnd"/>
      <w:r w:rsidRPr="00726D29">
        <w:rPr>
          <w:rFonts w:ascii="ITC Avant Garde" w:eastAsia="Times New Roman" w:hAnsi="ITC Avant Garde" w:cs="Arial"/>
          <w:i/>
          <w:kern w:val="2"/>
          <w:sz w:val="22"/>
          <w:szCs w:val="22"/>
          <w:lang w:val="es-MX" w:eastAsia="ar-SA"/>
        </w:rPr>
        <w:t xml:space="preserve"> </w:t>
      </w:r>
      <w:proofErr w:type="spellStart"/>
      <w:r w:rsidRPr="00726D29">
        <w:rPr>
          <w:rFonts w:ascii="ITC Avant Garde" w:eastAsia="Times New Roman" w:hAnsi="ITC Avant Garde" w:cs="Arial"/>
          <w:i/>
          <w:kern w:val="2"/>
          <w:sz w:val="22"/>
          <w:szCs w:val="22"/>
          <w:lang w:val="es-MX" w:eastAsia="ar-SA"/>
        </w:rPr>
        <w:t>Packet</w:t>
      </w:r>
      <w:proofErr w:type="spellEnd"/>
      <w:r w:rsidRPr="00726D29">
        <w:rPr>
          <w:rFonts w:ascii="ITC Avant Garde" w:eastAsia="Times New Roman" w:hAnsi="ITC Avant Garde" w:cs="Arial"/>
          <w:i/>
          <w:kern w:val="2"/>
          <w:sz w:val="22"/>
          <w:szCs w:val="22"/>
          <w:lang w:val="es-MX" w:eastAsia="ar-SA"/>
        </w:rPr>
        <w:t xml:space="preserve"> </w:t>
      </w:r>
      <w:proofErr w:type="spellStart"/>
      <w:r w:rsidR="00C3034D" w:rsidRPr="00726D29">
        <w:rPr>
          <w:rFonts w:ascii="ITC Avant Garde" w:eastAsia="Times New Roman" w:hAnsi="ITC Avant Garde" w:cs="Arial"/>
          <w:i/>
          <w:kern w:val="2"/>
          <w:sz w:val="22"/>
          <w:szCs w:val="22"/>
          <w:lang w:val="es-MX" w:eastAsia="ar-SA"/>
        </w:rPr>
        <w:t>System</w:t>
      </w:r>
      <w:proofErr w:type="spellEnd"/>
      <w:r w:rsidR="00C3034D" w:rsidRPr="00726D29">
        <w:rPr>
          <w:rFonts w:ascii="ITC Avant Garde" w:eastAsia="Times New Roman" w:hAnsi="ITC Avant Garde" w:cs="Arial"/>
          <w:kern w:val="2"/>
          <w:sz w:val="22"/>
          <w:szCs w:val="22"/>
          <w:lang w:val="es-MX" w:eastAsia="ar-SA"/>
        </w:rPr>
        <w:t>)</w:t>
      </w:r>
      <w:r w:rsidRPr="00726D29">
        <w:rPr>
          <w:rFonts w:ascii="ITC Avant Garde" w:eastAsia="Times New Roman" w:hAnsi="ITC Avant Garde" w:cs="Arial"/>
          <w:kern w:val="2"/>
          <w:sz w:val="22"/>
          <w:szCs w:val="22"/>
          <w:lang w:val="es-MX" w:eastAsia="ar-SA"/>
        </w:rPr>
        <w:t>.</w:t>
      </w:r>
    </w:p>
    <w:p w14:paraId="2C61A3F9"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38DC4F3D"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76D8B172"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721C5DE5"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454B0138"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697A91E4"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E3BBBC9"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749FCD55" w14:textId="77777777" w:rsidR="00C952E7" w:rsidRDefault="00C952E7" w:rsidP="00C3034D">
      <w:pPr>
        <w:ind w:left="1413" w:hanging="705"/>
        <w:jc w:val="both"/>
        <w:rPr>
          <w:rFonts w:ascii="ITC Avant Garde" w:eastAsia="Times New Roman" w:hAnsi="ITC Avant Garde" w:cs="Arial"/>
          <w:kern w:val="2"/>
          <w:sz w:val="22"/>
          <w:szCs w:val="22"/>
          <w:lang w:val="es-MX" w:eastAsia="ar-SA"/>
        </w:rPr>
      </w:pPr>
      <w:r w:rsidRPr="005B48D0">
        <w:rPr>
          <w:rFonts w:ascii="ITC Avant Garde" w:eastAsia="Times New Roman" w:hAnsi="ITC Avant Garde" w:cs="Arial"/>
          <w:kern w:val="2"/>
          <w:sz w:val="22"/>
          <w:szCs w:val="22"/>
          <w:lang w:val="es-MX" w:eastAsia="ar-SA"/>
        </w:rPr>
        <w:t>ISIM</w:t>
      </w:r>
      <w:r>
        <w:rPr>
          <w:rFonts w:ascii="ITC Avant Garde" w:eastAsia="Times New Roman" w:hAnsi="ITC Avant Garde" w:cs="Arial"/>
          <w:kern w:val="2"/>
          <w:sz w:val="22"/>
          <w:szCs w:val="22"/>
          <w:lang w:val="es-MX" w:eastAsia="ar-SA"/>
        </w:rPr>
        <w:tab/>
      </w:r>
      <w:r w:rsidRPr="00C952E7">
        <w:rPr>
          <w:rFonts w:ascii="ITC Avant Garde" w:eastAsia="Times New Roman" w:hAnsi="ITC Avant Garde" w:cs="Arial"/>
          <w:kern w:val="2"/>
          <w:sz w:val="22"/>
          <w:szCs w:val="22"/>
          <w:lang w:val="es-MX" w:eastAsia="ar-SA"/>
        </w:rPr>
        <w:t xml:space="preserve">Módulo de identidad de servicios de multimedia IP (del inglés </w:t>
      </w:r>
      <w:r w:rsidRPr="00C952E7">
        <w:rPr>
          <w:rFonts w:ascii="ITC Avant Garde" w:eastAsia="Times New Roman" w:hAnsi="ITC Avant Garde" w:cs="Arial"/>
          <w:i/>
          <w:kern w:val="2"/>
          <w:sz w:val="22"/>
          <w:szCs w:val="22"/>
          <w:lang w:val="es-MX" w:eastAsia="ar-SA"/>
        </w:rPr>
        <w:t xml:space="preserve">IP Multimedia </w:t>
      </w:r>
      <w:proofErr w:type="spellStart"/>
      <w:r w:rsidRPr="00C952E7">
        <w:rPr>
          <w:rFonts w:ascii="ITC Avant Garde" w:eastAsia="Times New Roman" w:hAnsi="ITC Avant Garde" w:cs="Arial"/>
          <w:i/>
          <w:kern w:val="2"/>
          <w:sz w:val="22"/>
          <w:szCs w:val="22"/>
          <w:lang w:val="es-MX" w:eastAsia="ar-SA"/>
        </w:rPr>
        <w:t>Services</w:t>
      </w:r>
      <w:proofErr w:type="spellEnd"/>
      <w:r w:rsidRPr="00C952E7">
        <w:rPr>
          <w:rFonts w:ascii="ITC Avant Garde" w:eastAsia="Times New Roman" w:hAnsi="ITC Avant Garde" w:cs="Arial"/>
          <w:i/>
          <w:kern w:val="2"/>
          <w:sz w:val="22"/>
          <w:szCs w:val="22"/>
          <w:lang w:val="es-MX" w:eastAsia="ar-SA"/>
        </w:rPr>
        <w:t xml:space="preserve"> </w:t>
      </w:r>
      <w:proofErr w:type="spellStart"/>
      <w:r w:rsidRPr="00C952E7">
        <w:rPr>
          <w:rFonts w:ascii="ITC Avant Garde" w:eastAsia="Times New Roman" w:hAnsi="ITC Avant Garde" w:cs="Arial"/>
          <w:i/>
          <w:kern w:val="2"/>
          <w:sz w:val="22"/>
          <w:szCs w:val="22"/>
          <w:lang w:val="es-MX" w:eastAsia="ar-SA"/>
        </w:rPr>
        <w:t>Identity</w:t>
      </w:r>
      <w:proofErr w:type="spellEnd"/>
      <w:r w:rsidRPr="00C952E7">
        <w:rPr>
          <w:rFonts w:ascii="ITC Avant Garde" w:eastAsia="Times New Roman" w:hAnsi="ITC Avant Garde" w:cs="Arial"/>
          <w:i/>
          <w:kern w:val="2"/>
          <w:sz w:val="22"/>
          <w:szCs w:val="22"/>
          <w:lang w:val="es-MX" w:eastAsia="ar-SA"/>
        </w:rPr>
        <w:t xml:space="preserve"> Module</w:t>
      </w:r>
      <w:r w:rsidRPr="00C952E7">
        <w:rPr>
          <w:rFonts w:ascii="ITC Avant Garde" w:eastAsia="Times New Roman" w:hAnsi="ITC Avant Garde" w:cs="Arial"/>
          <w:kern w:val="2"/>
          <w:sz w:val="22"/>
          <w:szCs w:val="22"/>
          <w:lang w:val="es-MX" w:eastAsia="ar-SA"/>
        </w:rPr>
        <w:t>).</w:t>
      </w:r>
    </w:p>
    <w:p w14:paraId="31952260" w14:textId="2716E6D3" w:rsidR="00C952E7" w:rsidRDefault="00C952E7" w:rsidP="00C3034D">
      <w:pPr>
        <w:ind w:left="1413" w:hanging="705"/>
        <w:jc w:val="both"/>
        <w:rPr>
          <w:rFonts w:ascii="ITC Avant Garde" w:eastAsia="Times New Roman" w:hAnsi="ITC Avant Garde" w:cs="Arial"/>
          <w:kern w:val="2"/>
          <w:sz w:val="22"/>
          <w:szCs w:val="22"/>
          <w:lang w:val="es-MX" w:eastAsia="ar-SA"/>
        </w:rPr>
      </w:pPr>
      <w:r w:rsidRPr="005B48D0">
        <w:rPr>
          <w:rFonts w:ascii="ITC Avant Garde" w:eastAsia="Times New Roman" w:hAnsi="ITC Avant Garde" w:cs="Arial"/>
          <w:kern w:val="2"/>
          <w:sz w:val="22"/>
          <w:szCs w:val="22"/>
          <w:lang w:val="es-MX" w:eastAsia="ar-SA"/>
        </w:rPr>
        <w:t>IM</w:t>
      </w:r>
      <w:r w:rsidR="000F32AE">
        <w:rPr>
          <w:rFonts w:ascii="ITC Avant Garde" w:eastAsia="Times New Roman" w:hAnsi="ITC Avant Garde" w:cs="Arial"/>
          <w:kern w:val="2"/>
          <w:sz w:val="22"/>
          <w:szCs w:val="22"/>
          <w:lang w:val="es-MX" w:eastAsia="ar-SA"/>
        </w:rPr>
        <w:t>S</w:t>
      </w:r>
      <w:r>
        <w:rPr>
          <w:rFonts w:ascii="ITC Avant Garde" w:eastAsia="Times New Roman" w:hAnsi="ITC Avant Garde" w:cs="Arial"/>
          <w:kern w:val="2"/>
          <w:sz w:val="22"/>
          <w:szCs w:val="22"/>
          <w:lang w:val="es-MX" w:eastAsia="ar-SA"/>
        </w:rPr>
        <w:tab/>
      </w:r>
      <w:r w:rsidR="00F308C4" w:rsidRPr="00C952E7">
        <w:rPr>
          <w:rFonts w:ascii="ITC Avant Garde" w:eastAsia="Times New Roman" w:hAnsi="ITC Avant Garde" w:cs="Arial"/>
          <w:kern w:val="2"/>
          <w:sz w:val="22"/>
          <w:szCs w:val="22"/>
          <w:lang w:val="es-MX" w:eastAsia="ar-SA"/>
        </w:rPr>
        <w:t>Subsistema Multimed</w:t>
      </w:r>
      <w:r w:rsidR="00F308C4">
        <w:rPr>
          <w:rFonts w:ascii="ITC Avant Garde" w:eastAsia="Times New Roman" w:hAnsi="ITC Avant Garde" w:cs="Arial"/>
          <w:kern w:val="2"/>
          <w:sz w:val="22"/>
          <w:szCs w:val="22"/>
          <w:lang w:val="es-MX" w:eastAsia="ar-SA"/>
        </w:rPr>
        <w:t>ia IP (por sus siglas en inglés</w:t>
      </w:r>
      <w:r w:rsidR="00F308C4" w:rsidRPr="00C952E7">
        <w:rPr>
          <w:rFonts w:ascii="ITC Avant Garde" w:eastAsia="Times New Roman" w:hAnsi="ITC Avant Garde" w:cs="Arial"/>
          <w:kern w:val="2"/>
          <w:sz w:val="22"/>
          <w:szCs w:val="22"/>
          <w:lang w:val="es-MX" w:eastAsia="ar-SA"/>
        </w:rPr>
        <w:t xml:space="preserve"> </w:t>
      </w:r>
      <w:r w:rsidR="00F308C4" w:rsidRPr="00C952E7">
        <w:rPr>
          <w:rFonts w:ascii="ITC Avant Garde" w:eastAsia="Times New Roman" w:hAnsi="ITC Avant Garde" w:cs="Arial"/>
          <w:i/>
          <w:kern w:val="2"/>
          <w:sz w:val="22"/>
          <w:szCs w:val="22"/>
          <w:lang w:val="es-MX" w:eastAsia="ar-SA"/>
        </w:rPr>
        <w:t xml:space="preserve">IP Multimedia </w:t>
      </w:r>
      <w:proofErr w:type="spellStart"/>
      <w:r w:rsidR="00F308C4" w:rsidRPr="00C952E7">
        <w:rPr>
          <w:rFonts w:ascii="ITC Avant Garde" w:eastAsia="Times New Roman" w:hAnsi="ITC Avant Garde" w:cs="Arial"/>
          <w:i/>
          <w:kern w:val="2"/>
          <w:sz w:val="22"/>
          <w:szCs w:val="22"/>
          <w:lang w:val="es-MX" w:eastAsia="ar-SA"/>
        </w:rPr>
        <w:t>Subsystem</w:t>
      </w:r>
      <w:proofErr w:type="spellEnd"/>
      <w:r w:rsidR="00F308C4" w:rsidRPr="00C952E7">
        <w:rPr>
          <w:rFonts w:ascii="ITC Avant Garde" w:eastAsia="Times New Roman" w:hAnsi="ITC Avant Garde" w:cs="Arial"/>
          <w:kern w:val="2"/>
          <w:sz w:val="22"/>
          <w:szCs w:val="22"/>
          <w:lang w:val="es-MX" w:eastAsia="ar-SA"/>
        </w:rPr>
        <w:t>).</w:t>
      </w:r>
    </w:p>
    <w:p w14:paraId="41549750"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653DBB1E"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0C404CB0"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9CAA6CD"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0E6DB60E"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21EDF7AD"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4143715A"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53606ACD"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34EE23E6"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2EE3F7D6"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7AA798F1"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0AA34B57"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358E10C3"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2625DF9C"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6002430"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1E7907FA"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2433C0B0" w14:textId="77777777" w:rsidR="00C952E7" w:rsidRDefault="00C952E7" w:rsidP="00C952E7">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7073E29F" w14:textId="77777777" w:rsidR="00C952E7" w:rsidRDefault="00C952E7" w:rsidP="00E51070">
      <w:pPr>
        <w:ind w:firstLine="708"/>
        <w:jc w:val="both"/>
        <w:rPr>
          <w:rFonts w:ascii="ITC Avant Garde" w:eastAsia="Times New Roman" w:hAnsi="ITC Avant Garde" w:cs="Arial"/>
          <w:kern w:val="2"/>
          <w:sz w:val="22"/>
          <w:szCs w:val="22"/>
          <w:lang w:val="es-MX" w:eastAsia="ar-SA"/>
        </w:rPr>
      </w:pPr>
      <w:proofErr w:type="spellStart"/>
      <w:r w:rsidRPr="005B48D0">
        <w:rPr>
          <w:rFonts w:ascii="ITC Avant Garde" w:eastAsia="Times New Roman" w:hAnsi="ITC Avant Garde" w:cs="Arial"/>
          <w:kern w:val="2"/>
          <w:sz w:val="22"/>
          <w:szCs w:val="22"/>
          <w:lang w:val="es-MX" w:eastAsia="ar-SA"/>
        </w:rPr>
        <w:t>VoLTE</w:t>
      </w:r>
      <w:proofErr w:type="spellEnd"/>
      <w:r>
        <w:rPr>
          <w:rFonts w:ascii="ITC Avant Garde" w:eastAsia="Times New Roman" w:hAnsi="ITC Avant Garde" w:cs="Arial"/>
          <w:kern w:val="2"/>
          <w:sz w:val="22"/>
          <w:szCs w:val="22"/>
          <w:lang w:val="es-MX" w:eastAsia="ar-SA"/>
        </w:rPr>
        <w:tab/>
      </w:r>
      <w:r w:rsidR="00C3034D">
        <w:rPr>
          <w:rFonts w:ascii="ITC Avant Garde" w:eastAsia="Times New Roman" w:hAnsi="ITC Avant Garde" w:cs="Arial"/>
          <w:kern w:val="2"/>
          <w:sz w:val="22"/>
          <w:szCs w:val="22"/>
          <w:lang w:val="es-MX" w:eastAsia="ar-SA"/>
        </w:rPr>
        <w:t xml:space="preserve"> </w:t>
      </w:r>
      <w:r w:rsidRPr="00C952E7">
        <w:rPr>
          <w:rFonts w:ascii="ITC Avant Garde" w:eastAsia="Times New Roman" w:hAnsi="ITC Avant Garde" w:cs="Arial"/>
          <w:kern w:val="2"/>
          <w:sz w:val="22"/>
          <w:szCs w:val="22"/>
          <w:lang w:val="es-MX" w:eastAsia="ar-SA"/>
        </w:rPr>
        <w:t xml:space="preserve">Voz sobre LTE (por sus siglas en inglés </w:t>
      </w:r>
      <w:proofErr w:type="spellStart"/>
      <w:r w:rsidRPr="00D87C22">
        <w:rPr>
          <w:rFonts w:ascii="ITC Avant Garde" w:eastAsia="Times New Roman" w:hAnsi="ITC Avant Garde" w:cs="Arial"/>
          <w:i/>
          <w:kern w:val="2"/>
          <w:sz w:val="22"/>
          <w:szCs w:val="22"/>
          <w:lang w:val="es-MX" w:eastAsia="ar-SA"/>
        </w:rPr>
        <w:t>Voice</w:t>
      </w:r>
      <w:proofErr w:type="spellEnd"/>
      <w:r w:rsidRPr="00D87C22">
        <w:rPr>
          <w:rFonts w:ascii="ITC Avant Garde" w:eastAsia="Times New Roman" w:hAnsi="ITC Avant Garde" w:cs="Arial"/>
          <w:i/>
          <w:kern w:val="2"/>
          <w:sz w:val="22"/>
          <w:szCs w:val="22"/>
          <w:lang w:val="es-MX" w:eastAsia="ar-SA"/>
        </w:rPr>
        <w:t xml:space="preserve"> </w:t>
      </w:r>
      <w:proofErr w:type="spellStart"/>
      <w:r w:rsidRPr="00D87C22">
        <w:rPr>
          <w:rFonts w:ascii="ITC Avant Garde" w:eastAsia="Times New Roman" w:hAnsi="ITC Avant Garde" w:cs="Arial"/>
          <w:i/>
          <w:kern w:val="2"/>
          <w:sz w:val="22"/>
          <w:szCs w:val="22"/>
          <w:lang w:val="es-MX" w:eastAsia="ar-SA"/>
        </w:rPr>
        <w:t>over</w:t>
      </w:r>
      <w:proofErr w:type="spellEnd"/>
      <w:r w:rsidRPr="00D87C22">
        <w:rPr>
          <w:rFonts w:ascii="ITC Avant Garde" w:eastAsia="Times New Roman" w:hAnsi="ITC Avant Garde" w:cs="Arial"/>
          <w:i/>
          <w:kern w:val="2"/>
          <w:sz w:val="22"/>
          <w:szCs w:val="22"/>
          <w:lang w:val="es-MX" w:eastAsia="ar-SA"/>
        </w:rPr>
        <w:t xml:space="preserve"> LTE</w:t>
      </w:r>
      <w:r w:rsidRPr="00C952E7">
        <w:rPr>
          <w:rFonts w:ascii="ITC Avant Garde" w:eastAsia="Times New Roman" w:hAnsi="ITC Avant Garde" w:cs="Arial"/>
          <w:kern w:val="2"/>
          <w:sz w:val="22"/>
          <w:szCs w:val="22"/>
          <w:lang w:val="es-MX" w:eastAsia="ar-SA"/>
        </w:rPr>
        <w:t>).</w:t>
      </w:r>
    </w:p>
    <w:p w14:paraId="28C9E0EE" w14:textId="77777777" w:rsidR="00C952E7" w:rsidRDefault="00C952E7"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63C6C4FA" w14:textId="77777777" w:rsidR="00E05414" w:rsidRDefault="00E05414" w:rsidP="00E51070">
      <w:pPr>
        <w:ind w:firstLine="708"/>
        <w:jc w:val="both"/>
        <w:rPr>
          <w:rFonts w:ascii="ITC Avant Garde" w:eastAsia="Times New Roman" w:hAnsi="ITC Avant Garde" w:cs="Arial"/>
          <w:kern w:val="2"/>
          <w:sz w:val="22"/>
          <w:szCs w:val="22"/>
          <w:lang w:val="es-MX" w:eastAsia="ar-SA"/>
        </w:rPr>
      </w:pPr>
    </w:p>
    <w:p w14:paraId="5B7FA5B4" w14:textId="77777777" w:rsidR="00C952E7" w:rsidRDefault="00C952E7" w:rsidP="00E51070">
      <w:pPr>
        <w:ind w:firstLine="708"/>
        <w:jc w:val="both"/>
        <w:rPr>
          <w:rFonts w:ascii="ITC Avant Garde" w:eastAsia="Times New Roman" w:hAnsi="ITC Avant Garde" w:cs="Arial"/>
          <w:b/>
          <w:kern w:val="2"/>
          <w:sz w:val="22"/>
          <w:szCs w:val="22"/>
          <w:lang w:val="es-MX" w:eastAsia="ar-SA"/>
        </w:rPr>
      </w:pPr>
      <w:r w:rsidRPr="00E05414">
        <w:rPr>
          <w:rFonts w:ascii="ITC Avant Garde" w:eastAsia="Times New Roman" w:hAnsi="ITC Avant Garde" w:cs="Arial"/>
          <w:b/>
          <w:kern w:val="2"/>
          <w:sz w:val="22"/>
          <w:szCs w:val="22"/>
          <w:lang w:val="es-MX" w:eastAsia="ar-SA"/>
        </w:rPr>
        <w:t xml:space="preserve">4.1.2 Soporte de la banda 28 (700 MHz) APT y llamadas de voz mediante </w:t>
      </w:r>
      <w:proofErr w:type="spellStart"/>
      <w:r w:rsidRPr="00E05414">
        <w:rPr>
          <w:rFonts w:ascii="ITC Avant Garde" w:eastAsia="Times New Roman" w:hAnsi="ITC Avant Garde" w:cs="Arial"/>
          <w:b/>
          <w:kern w:val="2"/>
          <w:sz w:val="22"/>
          <w:szCs w:val="22"/>
          <w:lang w:val="es-MX" w:eastAsia="ar-SA"/>
        </w:rPr>
        <w:t>VoLTE</w:t>
      </w:r>
      <w:proofErr w:type="spellEnd"/>
      <w:r w:rsidRPr="00E05414">
        <w:rPr>
          <w:rFonts w:ascii="ITC Avant Garde" w:eastAsia="Times New Roman" w:hAnsi="ITC Avant Garde" w:cs="Arial"/>
          <w:b/>
          <w:kern w:val="2"/>
          <w:sz w:val="22"/>
          <w:szCs w:val="22"/>
          <w:lang w:val="es-MX" w:eastAsia="ar-SA"/>
        </w:rPr>
        <w:t>.</w:t>
      </w:r>
    </w:p>
    <w:p w14:paraId="4B04C009" w14:textId="77777777" w:rsidR="00E05414" w:rsidRDefault="00E05414"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559797C3" w14:textId="6DCD88B3" w:rsidR="00F308C4" w:rsidRDefault="00E05414" w:rsidP="00F308C4">
      <w:pPr>
        <w:ind w:firstLine="708"/>
        <w:jc w:val="both"/>
        <w:rPr>
          <w:rFonts w:ascii="ITC Avant Garde" w:eastAsia="Times New Roman" w:hAnsi="ITC Avant Garde" w:cs="Arial"/>
          <w:kern w:val="2"/>
          <w:sz w:val="22"/>
          <w:szCs w:val="22"/>
          <w:lang w:val="es-MX" w:eastAsia="ar-SA"/>
        </w:rPr>
      </w:pPr>
      <w:r w:rsidRPr="00E05414">
        <w:rPr>
          <w:rFonts w:ascii="ITC Avant Garde" w:eastAsia="Times New Roman" w:hAnsi="ITC Avant Garde" w:cs="Arial"/>
          <w:kern w:val="2"/>
          <w:sz w:val="22"/>
          <w:szCs w:val="22"/>
          <w:lang w:val="es-MX" w:eastAsia="ar-SA"/>
        </w:rPr>
        <w:t xml:space="preserve">Asimismo, en caso de que el ETM cuente con todos los componentes que permitan el establecimiento automático de llamadas de voz mediante la funcionalidad </w:t>
      </w:r>
      <w:proofErr w:type="spellStart"/>
      <w:r w:rsidRPr="00E05414">
        <w:rPr>
          <w:rFonts w:ascii="ITC Avant Garde" w:eastAsia="Times New Roman" w:hAnsi="ITC Avant Garde" w:cs="Arial"/>
          <w:kern w:val="2"/>
          <w:sz w:val="22"/>
          <w:szCs w:val="22"/>
          <w:lang w:val="es-MX" w:eastAsia="ar-SA"/>
        </w:rPr>
        <w:t>VoLTE</w:t>
      </w:r>
      <w:proofErr w:type="spellEnd"/>
      <w:r w:rsidRPr="00E05414">
        <w:rPr>
          <w:rFonts w:ascii="ITC Avant Garde" w:eastAsia="Times New Roman" w:hAnsi="ITC Avant Garde" w:cs="Arial"/>
          <w:kern w:val="2"/>
          <w:sz w:val="22"/>
          <w:szCs w:val="22"/>
          <w:lang w:val="es-MX" w:eastAsia="ar-SA"/>
        </w:rPr>
        <w:t xml:space="preserve"> </w:t>
      </w:r>
      <w:r w:rsidR="00F308C4" w:rsidRPr="00E05414">
        <w:rPr>
          <w:rFonts w:ascii="ITC Avant Garde" w:eastAsia="Times New Roman" w:hAnsi="ITC Avant Garde" w:cs="Arial"/>
          <w:kern w:val="2"/>
          <w:sz w:val="22"/>
          <w:szCs w:val="22"/>
          <w:lang w:val="es-MX" w:eastAsia="ar-SA"/>
        </w:rPr>
        <w:t>desde su fabricación, ésta debe estar habilitada y activa para el usuario</w:t>
      </w:r>
      <w:r w:rsidR="00F308C4">
        <w:rPr>
          <w:rFonts w:ascii="ITC Avant Garde" w:eastAsia="Times New Roman" w:hAnsi="ITC Avant Garde" w:cs="Arial"/>
          <w:kern w:val="2"/>
          <w:sz w:val="22"/>
          <w:szCs w:val="22"/>
          <w:lang w:val="es-MX" w:eastAsia="ar-SA"/>
        </w:rPr>
        <w:t xml:space="preserve">, </w:t>
      </w:r>
      <w:r w:rsidR="00824947">
        <w:rPr>
          <w:rFonts w:ascii="ITC Avant Garde" w:eastAsia="Times New Roman" w:hAnsi="ITC Avant Garde" w:cs="Arial"/>
          <w:kern w:val="2"/>
          <w:sz w:val="22"/>
          <w:szCs w:val="22"/>
          <w:lang w:val="es-MX" w:eastAsia="ar-SA"/>
        </w:rPr>
        <w:t xml:space="preserve">así </w:t>
      </w:r>
      <w:r w:rsidR="00F308C4">
        <w:rPr>
          <w:rFonts w:ascii="ITC Avant Garde" w:eastAsia="Times New Roman" w:hAnsi="ITC Avant Garde" w:cs="Arial"/>
          <w:kern w:val="2"/>
          <w:sz w:val="22"/>
          <w:szCs w:val="22"/>
          <w:lang w:val="es-MX" w:eastAsia="ar-SA"/>
        </w:rPr>
        <w:t xml:space="preserve">como </w:t>
      </w:r>
      <w:r w:rsidR="00824947">
        <w:rPr>
          <w:rFonts w:ascii="ITC Avant Garde" w:eastAsia="Times New Roman" w:hAnsi="ITC Avant Garde" w:cs="Arial"/>
          <w:kern w:val="2"/>
          <w:sz w:val="22"/>
          <w:szCs w:val="22"/>
          <w:lang w:val="es-MX" w:eastAsia="ar-SA"/>
        </w:rPr>
        <w:t xml:space="preserve">en </w:t>
      </w:r>
      <w:r w:rsidR="00F308C4">
        <w:rPr>
          <w:rFonts w:ascii="ITC Avant Garde" w:eastAsia="Times New Roman" w:hAnsi="ITC Avant Garde" w:cs="Arial"/>
          <w:kern w:val="2"/>
          <w:sz w:val="22"/>
          <w:szCs w:val="22"/>
          <w:lang w:val="es-MX" w:eastAsia="ar-SA"/>
        </w:rPr>
        <w:t>las</w:t>
      </w:r>
      <w:r w:rsidR="00F308C4" w:rsidRPr="00670BB4">
        <w:rPr>
          <w:rFonts w:ascii="ITC Avant Garde" w:eastAsia="Times New Roman" w:hAnsi="ITC Avant Garde" w:cs="Arial"/>
          <w:kern w:val="2"/>
          <w:sz w:val="22"/>
          <w:szCs w:val="22"/>
          <w:lang w:val="es-MX" w:eastAsia="ar-SA"/>
        </w:rPr>
        <w:t xml:space="preserve"> </w:t>
      </w:r>
      <w:r w:rsidR="00F308C4">
        <w:rPr>
          <w:rFonts w:ascii="ITC Avant Garde" w:eastAsia="Times New Roman" w:hAnsi="ITC Avant Garde" w:cs="Arial"/>
          <w:kern w:val="2"/>
          <w:sz w:val="22"/>
          <w:szCs w:val="22"/>
          <w:lang w:val="es-MX" w:eastAsia="ar-SA"/>
        </w:rPr>
        <w:t xml:space="preserve">actualizaciones de los sistemas operativos de los </w:t>
      </w:r>
      <w:r w:rsidR="00A7393A">
        <w:rPr>
          <w:rFonts w:ascii="ITC Avant Garde" w:eastAsia="Times New Roman" w:hAnsi="ITC Avant Garde" w:cs="Arial"/>
          <w:kern w:val="2"/>
          <w:sz w:val="22"/>
          <w:szCs w:val="22"/>
          <w:lang w:val="es-MX" w:eastAsia="ar-SA"/>
        </w:rPr>
        <w:t xml:space="preserve">ETM </w:t>
      </w:r>
      <w:r w:rsidR="00F308C4">
        <w:rPr>
          <w:rFonts w:ascii="ITC Avant Garde" w:eastAsia="Times New Roman" w:hAnsi="ITC Avant Garde" w:cs="Arial"/>
          <w:kern w:val="2"/>
          <w:sz w:val="22"/>
          <w:szCs w:val="22"/>
          <w:lang w:val="es-MX" w:eastAsia="ar-SA"/>
        </w:rPr>
        <w:t>que permitan dicha funcionalidad de fábrica</w:t>
      </w:r>
      <w:r w:rsidR="00F308C4" w:rsidRPr="00E05414">
        <w:rPr>
          <w:rFonts w:ascii="ITC Avant Garde" w:eastAsia="Times New Roman" w:hAnsi="ITC Avant Garde" w:cs="Arial"/>
          <w:kern w:val="2"/>
          <w:sz w:val="22"/>
          <w:szCs w:val="22"/>
          <w:lang w:val="es-MX" w:eastAsia="ar-SA"/>
        </w:rPr>
        <w:t>, de tal forma que no exista ningún tipo de bloqueo o restricción para su funcionamiento con cualquier concesionario o en su caso autorizado.</w:t>
      </w:r>
    </w:p>
    <w:p w14:paraId="1047E45A" w14:textId="4F6AF721" w:rsidR="00E05414" w:rsidRDefault="00E05414" w:rsidP="00E51070">
      <w:pPr>
        <w:ind w:firstLine="708"/>
        <w:jc w:val="both"/>
        <w:rPr>
          <w:rFonts w:ascii="ITC Avant Garde" w:eastAsia="Times New Roman" w:hAnsi="ITC Avant Garde" w:cs="Arial"/>
          <w:kern w:val="2"/>
          <w:sz w:val="22"/>
          <w:szCs w:val="22"/>
          <w:lang w:val="es-MX" w:eastAsia="ar-SA"/>
        </w:rPr>
      </w:pPr>
      <w:r w:rsidRPr="00E05414">
        <w:rPr>
          <w:rFonts w:ascii="ITC Avant Garde" w:eastAsia="Times New Roman" w:hAnsi="ITC Avant Garde" w:cs="Arial"/>
          <w:kern w:val="2"/>
          <w:sz w:val="22"/>
          <w:szCs w:val="22"/>
          <w:lang w:val="es-MX" w:eastAsia="ar-SA"/>
        </w:rPr>
        <w:t>.</w:t>
      </w:r>
    </w:p>
    <w:p w14:paraId="31100452" w14:textId="77777777" w:rsidR="0013516E" w:rsidRPr="00E05414" w:rsidRDefault="0013516E" w:rsidP="00E51070">
      <w:pPr>
        <w:ind w:firstLine="708"/>
        <w:jc w:val="both"/>
        <w:rPr>
          <w:rFonts w:ascii="ITC Avant Garde" w:eastAsia="Times New Roman" w:hAnsi="ITC Avant Garde" w:cs="Arial"/>
          <w:kern w:val="2"/>
          <w:sz w:val="22"/>
          <w:szCs w:val="22"/>
          <w:lang w:val="es-MX" w:eastAsia="ar-SA"/>
        </w:rPr>
      </w:pPr>
      <w:r>
        <w:rPr>
          <w:rFonts w:ascii="ITC Avant Garde" w:eastAsia="Times New Roman" w:hAnsi="ITC Avant Garde" w:cs="Arial"/>
          <w:kern w:val="2"/>
          <w:sz w:val="22"/>
          <w:szCs w:val="22"/>
          <w:lang w:val="es-MX" w:eastAsia="ar-SA"/>
        </w:rPr>
        <w:t>…</w:t>
      </w:r>
    </w:p>
    <w:p w14:paraId="4E829D66" w14:textId="77777777" w:rsidR="0067200E" w:rsidRDefault="0067200E" w:rsidP="0067200E">
      <w:pPr>
        <w:pStyle w:val="Texto"/>
        <w:spacing w:line="227" w:lineRule="exact"/>
        <w:ind w:firstLine="0"/>
        <w:rPr>
          <w:rFonts w:ascii="ITC Avant Garde" w:hAnsi="ITC Avant Garde"/>
          <w:b/>
          <w:sz w:val="22"/>
          <w:lang w:val="es-MX"/>
        </w:rPr>
      </w:pPr>
    </w:p>
    <w:p w14:paraId="03DD2335" w14:textId="77777777" w:rsidR="00402008" w:rsidRDefault="00402008" w:rsidP="00402008">
      <w:pPr>
        <w:pStyle w:val="Texto"/>
        <w:spacing w:line="227" w:lineRule="exact"/>
        <w:ind w:firstLine="708"/>
        <w:rPr>
          <w:rFonts w:ascii="ITC Avant Garde" w:hAnsi="ITC Avant Garde"/>
          <w:b/>
          <w:sz w:val="22"/>
          <w:lang w:val="es-MX"/>
        </w:rPr>
      </w:pPr>
      <w:r w:rsidRPr="00D4432C">
        <w:rPr>
          <w:rFonts w:ascii="ITC Avant Garde" w:hAnsi="ITC Avant Garde"/>
          <w:b/>
          <w:sz w:val="22"/>
          <w:lang w:val="es-MX"/>
        </w:rPr>
        <w:lastRenderedPageBreak/>
        <w:t xml:space="preserve">5.3.2 Soporte de la banda 28 (700 MHz) APT y llamadas de voz mediante </w:t>
      </w:r>
      <w:proofErr w:type="spellStart"/>
      <w:r w:rsidRPr="00D4432C">
        <w:rPr>
          <w:rFonts w:ascii="ITC Avant Garde" w:hAnsi="ITC Avant Garde"/>
          <w:b/>
          <w:sz w:val="22"/>
          <w:lang w:val="es-MX"/>
        </w:rPr>
        <w:t>VoLTE</w:t>
      </w:r>
      <w:proofErr w:type="spellEnd"/>
      <w:r w:rsidRPr="00D4432C">
        <w:rPr>
          <w:rFonts w:ascii="ITC Avant Garde" w:hAnsi="ITC Avant Garde"/>
          <w:b/>
          <w:sz w:val="22"/>
          <w:lang w:val="es-MX"/>
        </w:rPr>
        <w:t>.</w:t>
      </w:r>
    </w:p>
    <w:p w14:paraId="559C50DD" w14:textId="68D63268" w:rsidR="00057715" w:rsidRDefault="009265EB" w:rsidP="00402008">
      <w:pPr>
        <w:pStyle w:val="Texto"/>
        <w:spacing w:line="227" w:lineRule="exact"/>
        <w:ind w:firstLine="708"/>
        <w:rPr>
          <w:rFonts w:ascii="ITC Avant Garde" w:hAnsi="ITC Avant Garde"/>
          <w:b/>
          <w:sz w:val="22"/>
          <w:lang w:val="es-MX"/>
        </w:rPr>
      </w:pPr>
      <w:r w:rsidRPr="00402008">
        <w:rPr>
          <w:rFonts w:ascii="ITC Avant Garde" w:hAnsi="ITC Avant Garde"/>
          <w:b/>
          <w:sz w:val="22"/>
          <w:lang w:val="es-MX"/>
        </w:rPr>
        <w:t>Soporte de la banda 28 (700 MHz) APT</w:t>
      </w:r>
    </w:p>
    <w:p w14:paraId="68D7195B"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139ED096" w14:textId="4961C550" w:rsidR="00F308C4" w:rsidRDefault="00F308C4" w:rsidP="00F308C4">
      <w:pPr>
        <w:pStyle w:val="Texto"/>
        <w:spacing w:line="227" w:lineRule="exact"/>
        <w:ind w:firstLine="708"/>
        <w:rPr>
          <w:rFonts w:ascii="ITC Avant Garde" w:hAnsi="ITC Avant Garde"/>
          <w:b/>
          <w:sz w:val="22"/>
          <w:lang w:val="es-MX"/>
        </w:rPr>
      </w:pPr>
    </w:p>
    <w:p w14:paraId="2ACCB0DA"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09A972DD"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44A84FB1"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0806171D"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6CB176E5"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6F2B1458" w14:textId="77777777" w:rsidR="00402008" w:rsidRDefault="00402008" w:rsidP="00402008">
      <w:pPr>
        <w:pStyle w:val="Texto"/>
        <w:spacing w:line="227" w:lineRule="exact"/>
        <w:ind w:firstLine="708"/>
        <w:rPr>
          <w:rFonts w:ascii="ITC Avant Garde" w:hAnsi="ITC Avant Garde"/>
          <w:b/>
          <w:sz w:val="22"/>
          <w:lang w:val="es-MX"/>
        </w:rPr>
      </w:pPr>
      <w:r>
        <w:rPr>
          <w:rFonts w:ascii="ITC Avant Garde" w:hAnsi="ITC Avant Garde"/>
          <w:b/>
          <w:sz w:val="22"/>
          <w:lang w:val="es-MX"/>
        </w:rPr>
        <w:t>…</w:t>
      </w:r>
    </w:p>
    <w:p w14:paraId="62B85633" w14:textId="77777777" w:rsidR="00402008" w:rsidRDefault="00402008" w:rsidP="00402008">
      <w:pPr>
        <w:pStyle w:val="Texto"/>
        <w:spacing w:line="227" w:lineRule="exact"/>
        <w:ind w:firstLine="708"/>
        <w:rPr>
          <w:rFonts w:ascii="ITC Avant Garde" w:hAnsi="ITC Avant Garde"/>
          <w:b/>
          <w:sz w:val="22"/>
          <w:lang w:val="es-MX"/>
        </w:rPr>
      </w:pPr>
      <w:r w:rsidRPr="00402008">
        <w:rPr>
          <w:rFonts w:ascii="ITC Avant Garde" w:hAnsi="ITC Avant Garde"/>
          <w:b/>
          <w:sz w:val="22"/>
          <w:lang w:val="es-MX"/>
        </w:rPr>
        <w:t xml:space="preserve">Llamadas de voz mediante </w:t>
      </w:r>
      <w:proofErr w:type="spellStart"/>
      <w:r w:rsidRPr="00402008">
        <w:rPr>
          <w:rFonts w:ascii="ITC Avant Garde" w:hAnsi="ITC Avant Garde"/>
          <w:b/>
          <w:sz w:val="22"/>
          <w:lang w:val="es-MX"/>
        </w:rPr>
        <w:t>VoLTE</w:t>
      </w:r>
      <w:proofErr w:type="spellEnd"/>
    </w:p>
    <w:p w14:paraId="54CFC176" w14:textId="77777777" w:rsidR="00307D82" w:rsidRPr="00402008" w:rsidRDefault="00307D82" w:rsidP="00307D82">
      <w:pPr>
        <w:pStyle w:val="Texto"/>
        <w:spacing w:line="227" w:lineRule="exact"/>
        <w:rPr>
          <w:rFonts w:ascii="ITC Avant Garde" w:hAnsi="ITC Avant Garde"/>
          <w:b/>
          <w:sz w:val="22"/>
          <w:lang w:val="es-MX"/>
        </w:rPr>
      </w:pPr>
    </w:p>
    <w:p w14:paraId="413DAB07" w14:textId="46DB7CA8" w:rsidR="00402008" w:rsidRDefault="00402008" w:rsidP="00402008">
      <w:pPr>
        <w:pStyle w:val="Texto"/>
        <w:spacing w:line="227" w:lineRule="exact"/>
        <w:ind w:firstLine="708"/>
        <w:rPr>
          <w:rFonts w:ascii="ITC Avant Garde" w:hAnsi="ITC Avant Garde"/>
          <w:sz w:val="22"/>
          <w:lang w:val="es-MX"/>
        </w:rPr>
      </w:pPr>
      <w:r w:rsidRPr="00402008">
        <w:rPr>
          <w:rFonts w:ascii="ITC Avant Garde" w:hAnsi="ITC Avant Garde"/>
          <w:sz w:val="22"/>
          <w:lang w:val="es-MX"/>
        </w:rPr>
        <w:t xml:space="preserve">Este método de prueba solo aplica para los ETM que cuenten con todos los componentes que permitan el establecimiento automático de llamadas de voz mediante la funcionalidad </w:t>
      </w:r>
      <w:proofErr w:type="spellStart"/>
      <w:r w:rsidRPr="00402008">
        <w:rPr>
          <w:rFonts w:ascii="ITC Avant Garde" w:hAnsi="ITC Avant Garde"/>
          <w:sz w:val="22"/>
          <w:lang w:val="es-MX"/>
        </w:rPr>
        <w:t>VoLTE</w:t>
      </w:r>
      <w:proofErr w:type="spellEnd"/>
      <w:r w:rsidRPr="00402008">
        <w:rPr>
          <w:rFonts w:ascii="ITC Avant Garde" w:hAnsi="ITC Avant Garde"/>
          <w:sz w:val="22"/>
          <w:lang w:val="es-MX"/>
        </w:rPr>
        <w:t xml:space="preserve"> desde su fabricación.  </w:t>
      </w:r>
    </w:p>
    <w:p w14:paraId="75D6F93E" w14:textId="77777777" w:rsidR="00307D82" w:rsidRPr="00402008" w:rsidRDefault="00307D82" w:rsidP="00402008">
      <w:pPr>
        <w:pStyle w:val="Texto"/>
        <w:spacing w:line="227" w:lineRule="exact"/>
        <w:ind w:firstLine="708"/>
        <w:rPr>
          <w:rFonts w:ascii="ITC Avant Garde" w:hAnsi="ITC Avant Garde"/>
          <w:sz w:val="22"/>
          <w:lang w:val="es-MX"/>
        </w:rPr>
      </w:pPr>
    </w:p>
    <w:p w14:paraId="5324A739" w14:textId="77777777" w:rsidR="00402008" w:rsidRDefault="00402008" w:rsidP="00307D82">
      <w:pPr>
        <w:pStyle w:val="Texto"/>
        <w:spacing w:line="227" w:lineRule="exact"/>
        <w:ind w:firstLine="708"/>
        <w:rPr>
          <w:rFonts w:ascii="ITC Avant Garde" w:hAnsi="ITC Avant Garde"/>
          <w:sz w:val="22"/>
          <w:lang w:val="es-MX"/>
        </w:rPr>
      </w:pPr>
      <w:r w:rsidRPr="00402008">
        <w:rPr>
          <w:rFonts w:ascii="ITC Avant Garde" w:hAnsi="ITC Avant Garde"/>
          <w:sz w:val="22"/>
          <w:lang w:val="es-MX"/>
        </w:rPr>
        <w:t xml:space="preserve">En su caso, se procede de la siguiente manera para constatar el no bloqueo o restricción del establecimiento automático de llamadas de voz mediante la funcionalidad </w:t>
      </w:r>
      <w:proofErr w:type="spellStart"/>
      <w:r w:rsidRPr="00402008">
        <w:rPr>
          <w:rFonts w:ascii="ITC Avant Garde" w:hAnsi="ITC Avant Garde"/>
          <w:sz w:val="22"/>
          <w:lang w:val="es-MX"/>
        </w:rPr>
        <w:t>VoLTE</w:t>
      </w:r>
      <w:proofErr w:type="spellEnd"/>
      <w:r w:rsidRPr="00402008">
        <w:rPr>
          <w:rFonts w:ascii="ITC Avant Garde" w:hAnsi="ITC Avant Garde"/>
          <w:sz w:val="22"/>
          <w:lang w:val="es-MX"/>
        </w:rPr>
        <w:t>, en la red del concesi</w:t>
      </w:r>
      <w:r w:rsidR="00307D82">
        <w:rPr>
          <w:rFonts w:ascii="ITC Avant Garde" w:hAnsi="ITC Avant Garde"/>
          <w:sz w:val="22"/>
          <w:lang w:val="es-MX"/>
        </w:rPr>
        <w:t xml:space="preserve">onario o en su caso autorizado. </w:t>
      </w:r>
      <w:r w:rsidRPr="00402008">
        <w:rPr>
          <w:rFonts w:ascii="ITC Avant Garde" w:hAnsi="ITC Avant Garde"/>
          <w:sz w:val="22"/>
          <w:lang w:val="es-MX"/>
        </w:rPr>
        <w:t>Lo anterior será llevado a cabo entre dos EBP.</w:t>
      </w:r>
    </w:p>
    <w:p w14:paraId="40301E88" w14:textId="77777777" w:rsidR="00307D82" w:rsidRDefault="00307D82" w:rsidP="00307D82">
      <w:pPr>
        <w:pStyle w:val="Texto"/>
        <w:spacing w:line="227" w:lineRule="exact"/>
        <w:ind w:firstLine="708"/>
        <w:rPr>
          <w:rFonts w:ascii="ITC Avant Garde" w:hAnsi="ITC Avant Garde"/>
          <w:sz w:val="22"/>
          <w:lang w:val="es-MX"/>
        </w:rPr>
      </w:pPr>
    </w:p>
    <w:p w14:paraId="111025AB" w14:textId="77777777" w:rsidR="00402008"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t xml:space="preserve">Insertar en los EBP1 y EBP2 una tarjeta </w:t>
      </w:r>
      <w:r w:rsidR="007F39DE">
        <w:rPr>
          <w:rFonts w:ascii="ITC Avant Garde" w:hAnsi="ITC Avant Garde"/>
          <w:sz w:val="22"/>
          <w:lang w:val="es-MX"/>
        </w:rPr>
        <w:t xml:space="preserve">SIM con capacidad </w:t>
      </w:r>
      <w:r w:rsidRPr="00307D82">
        <w:rPr>
          <w:rFonts w:ascii="ITC Avant Garde" w:hAnsi="ITC Avant Garde"/>
          <w:sz w:val="22"/>
          <w:lang w:val="es-MX"/>
        </w:rPr>
        <w:t>ISIM, correspondiente al concesionario o en su caso autorizado que será examinado;</w:t>
      </w:r>
    </w:p>
    <w:p w14:paraId="3381D7EE" w14:textId="77777777" w:rsidR="00307D82"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t>Encender los EBP1 y EBP2, los cuales deben estar funcionado en condiciones normales de operación;</w:t>
      </w:r>
    </w:p>
    <w:p w14:paraId="174591E4" w14:textId="77777777" w:rsidR="00307D82"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t>Constatar en la pantalla de los EBP a través del icono de indicador de intensidad de señal, que éstos hayan concluido con éxito la conexión al EPS del concesionario o en su caso autorizado correspondiente;</w:t>
      </w:r>
    </w:p>
    <w:p w14:paraId="62FA95CB" w14:textId="6D4A16C4" w:rsidR="00307D82" w:rsidRPr="00307D82"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t xml:space="preserve">Constatar que los EBP1 y EBP2 cuenten con un APN </w:t>
      </w:r>
      <w:proofErr w:type="spellStart"/>
      <w:r w:rsidRPr="00307D82">
        <w:rPr>
          <w:rFonts w:ascii="ITC Avant Garde" w:hAnsi="ITC Avant Garde"/>
          <w:sz w:val="22"/>
          <w:lang w:val="es-MX"/>
        </w:rPr>
        <w:t>VoLTE</w:t>
      </w:r>
      <w:proofErr w:type="spellEnd"/>
      <w:r w:rsidRPr="00307D82">
        <w:rPr>
          <w:rFonts w:ascii="ITC Avant Garde" w:hAnsi="ITC Avant Garde"/>
          <w:sz w:val="22"/>
          <w:lang w:val="es-MX"/>
        </w:rPr>
        <w:t xml:space="preserve"> correspondiente al concesionario o en su caso autorizado de la tarjeta SIM ingresada en el inciso a; lo anterior, siguiendo los pasos siguientes: </w:t>
      </w:r>
    </w:p>
    <w:p w14:paraId="42516EE7" w14:textId="77777777" w:rsidR="00307D82" w:rsidRPr="00307D82" w:rsidRDefault="00307D82" w:rsidP="00307D82">
      <w:pPr>
        <w:pStyle w:val="Texto"/>
        <w:numPr>
          <w:ilvl w:val="1"/>
          <w:numId w:val="10"/>
        </w:numPr>
        <w:spacing w:line="227" w:lineRule="exact"/>
        <w:rPr>
          <w:rFonts w:ascii="ITC Avant Garde" w:hAnsi="ITC Avant Garde"/>
          <w:sz w:val="22"/>
          <w:lang w:val="es-MX"/>
        </w:rPr>
      </w:pPr>
      <w:r w:rsidRPr="00307D82">
        <w:rPr>
          <w:rFonts w:ascii="ITC Avant Garde" w:hAnsi="ITC Avant Garde"/>
          <w:sz w:val="22"/>
          <w:lang w:val="es-MX"/>
        </w:rPr>
        <w:t>Ingrese al menú de configuración;</w:t>
      </w:r>
    </w:p>
    <w:p w14:paraId="49186BCF" w14:textId="77777777" w:rsidR="00307D82" w:rsidRPr="00307D82" w:rsidRDefault="00307D82" w:rsidP="00307D82">
      <w:pPr>
        <w:pStyle w:val="Texto"/>
        <w:numPr>
          <w:ilvl w:val="1"/>
          <w:numId w:val="10"/>
        </w:numPr>
        <w:spacing w:line="227" w:lineRule="exact"/>
        <w:rPr>
          <w:rFonts w:ascii="ITC Avant Garde" w:hAnsi="ITC Avant Garde"/>
          <w:sz w:val="22"/>
          <w:lang w:val="es-MX"/>
        </w:rPr>
      </w:pPr>
      <w:r w:rsidRPr="00307D82">
        <w:rPr>
          <w:rFonts w:ascii="ITC Avant Garde" w:hAnsi="ITC Avant Garde"/>
          <w:sz w:val="22"/>
          <w:lang w:val="es-MX"/>
        </w:rPr>
        <w:t>Conexiones;</w:t>
      </w:r>
    </w:p>
    <w:p w14:paraId="48ECC083" w14:textId="77777777" w:rsidR="00307D82" w:rsidRPr="00307D82" w:rsidRDefault="00307D82" w:rsidP="00307D82">
      <w:pPr>
        <w:pStyle w:val="Texto"/>
        <w:numPr>
          <w:ilvl w:val="1"/>
          <w:numId w:val="10"/>
        </w:numPr>
        <w:spacing w:line="227" w:lineRule="exact"/>
        <w:rPr>
          <w:rFonts w:ascii="ITC Avant Garde" w:hAnsi="ITC Avant Garde"/>
          <w:sz w:val="22"/>
          <w:lang w:val="es-MX"/>
        </w:rPr>
      </w:pPr>
      <w:r w:rsidRPr="00307D82">
        <w:rPr>
          <w:rFonts w:ascii="ITC Avant Garde" w:hAnsi="ITC Avant Garde"/>
          <w:sz w:val="22"/>
          <w:lang w:val="es-MX"/>
        </w:rPr>
        <w:t xml:space="preserve">Redes Móviles y </w:t>
      </w:r>
    </w:p>
    <w:p w14:paraId="3DA2330A" w14:textId="77777777" w:rsidR="00307D82" w:rsidRPr="00307D82" w:rsidRDefault="00307D82" w:rsidP="00307D82">
      <w:pPr>
        <w:pStyle w:val="Texto"/>
        <w:numPr>
          <w:ilvl w:val="1"/>
          <w:numId w:val="10"/>
        </w:numPr>
        <w:spacing w:line="227" w:lineRule="exact"/>
        <w:rPr>
          <w:rFonts w:ascii="ITC Avant Garde" w:hAnsi="ITC Avant Garde"/>
          <w:sz w:val="22"/>
          <w:lang w:val="es-MX"/>
        </w:rPr>
      </w:pPr>
      <w:r w:rsidRPr="00307D82">
        <w:rPr>
          <w:rFonts w:ascii="ITC Avant Garde" w:hAnsi="ITC Avant Garde"/>
          <w:sz w:val="22"/>
          <w:lang w:val="es-MX"/>
        </w:rPr>
        <w:t>Nombres de Punto de Acceso.</w:t>
      </w:r>
    </w:p>
    <w:p w14:paraId="128CCB1F" w14:textId="77777777" w:rsidR="00307D82" w:rsidRDefault="00307D82" w:rsidP="007E5A26">
      <w:pPr>
        <w:pStyle w:val="Texto"/>
        <w:spacing w:line="227" w:lineRule="exact"/>
        <w:ind w:left="1068" w:firstLine="0"/>
        <w:rPr>
          <w:rFonts w:ascii="ITC Avant Garde" w:hAnsi="ITC Avant Garde"/>
          <w:sz w:val="22"/>
          <w:lang w:val="es-MX"/>
        </w:rPr>
      </w:pPr>
      <w:r w:rsidRPr="00D87C22">
        <w:rPr>
          <w:rFonts w:ascii="ITC Avant Garde" w:hAnsi="ITC Avant Garde"/>
          <w:b/>
          <w:sz w:val="22"/>
          <w:lang w:val="es-MX"/>
        </w:rPr>
        <w:t>NOTA</w:t>
      </w:r>
      <w:r w:rsidRPr="00307D82">
        <w:rPr>
          <w:rFonts w:ascii="ITC Avant Garde" w:hAnsi="ITC Avant Garde"/>
          <w:sz w:val="22"/>
          <w:lang w:val="es-MX"/>
        </w:rPr>
        <w:t>: El acceso a los APN puede cambiar dependiendo del menú de configuración de cada ETM.</w:t>
      </w:r>
    </w:p>
    <w:p w14:paraId="3E59187D" w14:textId="77777777" w:rsidR="00307D82"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t>Realice la marcación del EBP1 al EBP2;</w:t>
      </w:r>
    </w:p>
    <w:p w14:paraId="7B0D3E09" w14:textId="77777777" w:rsidR="00307D82"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t xml:space="preserve">Constatar que de manera automática se estableció la llamada de voz mediante la funcionalidad de </w:t>
      </w:r>
      <w:proofErr w:type="spellStart"/>
      <w:r w:rsidRPr="00307D82">
        <w:rPr>
          <w:rFonts w:ascii="ITC Avant Garde" w:hAnsi="ITC Avant Garde"/>
          <w:sz w:val="22"/>
          <w:lang w:val="es-MX"/>
        </w:rPr>
        <w:t>VoLTE</w:t>
      </w:r>
      <w:proofErr w:type="spellEnd"/>
      <w:r w:rsidRPr="00307D82">
        <w:rPr>
          <w:rFonts w:ascii="ITC Avant Garde" w:hAnsi="ITC Avant Garde"/>
          <w:sz w:val="22"/>
          <w:lang w:val="es-MX"/>
        </w:rPr>
        <w:t xml:space="preserve"> entre el EBP1 y el EBP2;</w:t>
      </w:r>
    </w:p>
    <w:p w14:paraId="4611DC2D" w14:textId="77777777" w:rsidR="00307D82" w:rsidRPr="00307D82" w:rsidRDefault="00307D82" w:rsidP="00307D82">
      <w:pPr>
        <w:pStyle w:val="Prrafodelista"/>
        <w:numPr>
          <w:ilvl w:val="0"/>
          <w:numId w:val="9"/>
        </w:numPr>
        <w:rPr>
          <w:rFonts w:ascii="ITC Avant Garde" w:eastAsia="Times New Roman" w:hAnsi="ITC Avant Garde" w:cs="Arial"/>
          <w:sz w:val="22"/>
          <w:szCs w:val="20"/>
          <w:lang w:val="es-MX" w:eastAsia="es-ES"/>
        </w:rPr>
      </w:pPr>
      <w:r w:rsidRPr="00307D82">
        <w:rPr>
          <w:rFonts w:ascii="ITC Avant Garde" w:eastAsia="Times New Roman" w:hAnsi="ITC Avant Garde" w:cs="Arial"/>
          <w:sz w:val="22"/>
          <w:szCs w:val="20"/>
          <w:lang w:val="es-MX" w:eastAsia="es-ES"/>
        </w:rPr>
        <w:t xml:space="preserve">Finalice la llamada de voz mediante la funcionalidad de </w:t>
      </w:r>
      <w:proofErr w:type="spellStart"/>
      <w:r w:rsidRPr="00307D82">
        <w:rPr>
          <w:rFonts w:ascii="ITC Avant Garde" w:eastAsia="Times New Roman" w:hAnsi="ITC Avant Garde" w:cs="Arial"/>
          <w:sz w:val="22"/>
          <w:szCs w:val="20"/>
          <w:lang w:val="es-MX" w:eastAsia="es-ES"/>
        </w:rPr>
        <w:t>VoLTE</w:t>
      </w:r>
      <w:proofErr w:type="spellEnd"/>
      <w:r w:rsidRPr="00307D82">
        <w:rPr>
          <w:rFonts w:ascii="ITC Avant Garde" w:eastAsia="Times New Roman" w:hAnsi="ITC Avant Garde" w:cs="Arial"/>
          <w:sz w:val="22"/>
          <w:szCs w:val="20"/>
          <w:lang w:val="es-MX" w:eastAsia="es-ES"/>
        </w:rPr>
        <w:t xml:space="preserve"> entre el EBP1 y el EBP2;</w:t>
      </w:r>
    </w:p>
    <w:p w14:paraId="36387C65" w14:textId="77777777" w:rsidR="00307D82" w:rsidRPr="00307D82" w:rsidRDefault="00307D82" w:rsidP="00307D82">
      <w:pPr>
        <w:pStyle w:val="Texto"/>
        <w:numPr>
          <w:ilvl w:val="0"/>
          <w:numId w:val="9"/>
        </w:numPr>
        <w:spacing w:line="227" w:lineRule="exact"/>
        <w:rPr>
          <w:rFonts w:ascii="ITC Avant Garde" w:hAnsi="ITC Avant Garde"/>
          <w:sz w:val="22"/>
          <w:lang w:val="es-MX"/>
        </w:rPr>
      </w:pPr>
      <w:r w:rsidRPr="00307D82">
        <w:rPr>
          <w:rFonts w:ascii="ITC Avant Garde" w:hAnsi="ITC Avant Garde"/>
          <w:sz w:val="22"/>
          <w:lang w:val="es-MX"/>
        </w:rPr>
        <w:lastRenderedPageBreak/>
        <w:t>Registre el resultado anterior y anéxelo al reporte de pruebas.</w:t>
      </w:r>
    </w:p>
    <w:p w14:paraId="3009048F" w14:textId="77777777" w:rsidR="0067200E" w:rsidRDefault="0067200E" w:rsidP="00B32987">
      <w:pPr>
        <w:jc w:val="both"/>
        <w:rPr>
          <w:rFonts w:ascii="ITC Avant Garde" w:eastAsia="Times New Roman" w:hAnsi="ITC Avant Garde" w:cs="Arial"/>
          <w:kern w:val="2"/>
          <w:sz w:val="22"/>
          <w:szCs w:val="22"/>
          <w:lang w:val="es-MX" w:eastAsia="ar-SA"/>
        </w:rPr>
      </w:pPr>
    </w:p>
    <w:p w14:paraId="6500C1EE" w14:textId="77777777" w:rsidR="0067200E" w:rsidRPr="00B32987" w:rsidRDefault="0067200E" w:rsidP="00B32987">
      <w:pPr>
        <w:jc w:val="both"/>
        <w:rPr>
          <w:rFonts w:ascii="ITC Avant Garde" w:eastAsia="Times New Roman" w:hAnsi="ITC Avant Garde" w:cs="Arial"/>
          <w:kern w:val="2"/>
          <w:sz w:val="22"/>
          <w:szCs w:val="22"/>
          <w:lang w:val="es-MX" w:eastAsia="ar-SA"/>
        </w:rPr>
      </w:pPr>
    </w:p>
    <w:p w14:paraId="691CBB73" w14:textId="77777777" w:rsidR="00A3223F" w:rsidRDefault="00A3223F" w:rsidP="00307D82">
      <w:pPr>
        <w:jc w:val="center"/>
        <w:rPr>
          <w:rFonts w:ascii="ITC Avant Garde" w:eastAsia="Times New Roman" w:hAnsi="ITC Avant Garde" w:cs="Arial"/>
          <w:b/>
          <w:kern w:val="2"/>
          <w:sz w:val="22"/>
          <w:szCs w:val="22"/>
          <w:lang w:val="es-MX" w:eastAsia="ar-SA"/>
        </w:rPr>
      </w:pPr>
      <w:r w:rsidRPr="00307D82">
        <w:rPr>
          <w:rFonts w:ascii="ITC Avant Garde" w:eastAsia="Times New Roman" w:hAnsi="ITC Avant Garde" w:cs="Arial"/>
          <w:b/>
          <w:kern w:val="2"/>
          <w:sz w:val="22"/>
          <w:szCs w:val="22"/>
          <w:lang w:val="es-MX" w:eastAsia="ar-SA"/>
        </w:rPr>
        <w:t>TRANSITORIOS</w:t>
      </w:r>
    </w:p>
    <w:p w14:paraId="0E500B83" w14:textId="77777777" w:rsidR="00A3223F" w:rsidRPr="00307D82" w:rsidRDefault="00A3223F" w:rsidP="00307D82">
      <w:pPr>
        <w:jc w:val="center"/>
        <w:rPr>
          <w:rFonts w:ascii="ITC Avant Garde" w:eastAsia="Times New Roman" w:hAnsi="ITC Avant Garde" w:cs="Arial"/>
          <w:b/>
          <w:kern w:val="2"/>
          <w:sz w:val="22"/>
          <w:szCs w:val="22"/>
          <w:lang w:val="es-MX" w:eastAsia="ar-SA"/>
        </w:rPr>
      </w:pPr>
    </w:p>
    <w:p w14:paraId="376B6A56" w14:textId="4AE44C97" w:rsidR="00F308C4" w:rsidRPr="002D5EB7" w:rsidRDefault="00A3223F" w:rsidP="00F308C4">
      <w:pPr>
        <w:jc w:val="both"/>
        <w:rPr>
          <w:rFonts w:ascii="ITC Avant Garde" w:eastAsia="Times New Roman" w:hAnsi="ITC Avant Garde" w:cs="Arial"/>
          <w:kern w:val="2"/>
          <w:sz w:val="22"/>
          <w:szCs w:val="22"/>
          <w:lang w:val="es-MX" w:eastAsia="ar-SA"/>
        </w:rPr>
      </w:pPr>
      <w:proofErr w:type="gramStart"/>
      <w:r w:rsidRPr="00307D82">
        <w:rPr>
          <w:rFonts w:ascii="ITC Avant Garde" w:eastAsia="Times New Roman" w:hAnsi="ITC Avant Garde" w:cs="Arial"/>
          <w:b/>
          <w:kern w:val="2"/>
          <w:sz w:val="22"/>
          <w:szCs w:val="22"/>
          <w:lang w:val="es-MX" w:eastAsia="ar-SA"/>
        </w:rPr>
        <w:t>PRIMERO</w:t>
      </w:r>
      <w:r w:rsidRPr="00A3223F">
        <w:rPr>
          <w:rFonts w:ascii="ITC Avant Garde" w:eastAsia="Times New Roman" w:hAnsi="ITC Avant Garde" w:cs="Arial"/>
          <w:kern w:val="2"/>
          <w:sz w:val="22"/>
          <w:szCs w:val="22"/>
          <w:lang w:val="es-MX" w:eastAsia="ar-SA"/>
        </w:rPr>
        <w:t>.-</w:t>
      </w:r>
      <w:proofErr w:type="gramEnd"/>
      <w:r w:rsidRPr="00A3223F">
        <w:rPr>
          <w:rFonts w:ascii="ITC Avant Garde" w:eastAsia="Times New Roman" w:hAnsi="ITC Avant Garde" w:cs="Arial"/>
          <w:kern w:val="2"/>
          <w:sz w:val="22"/>
          <w:szCs w:val="22"/>
          <w:lang w:val="es-MX" w:eastAsia="ar-SA"/>
        </w:rPr>
        <w:t xml:space="preserve"> Las presentes modificaciones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w:t>
      </w:r>
      <w:r w:rsidR="00F308C4" w:rsidRPr="00A3223F">
        <w:rPr>
          <w:rFonts w:ascii="ITC Avant Garde" w:eastAsia="Times New Roman" w:hAnsi="ITC Avant Garde" w:cs="Arial"/>
          <w:kern w:val="2"/>
          <w:sz w:val="22"/>
          <w:szCs w:val="22"/>
          <w:lang w:val="es-MX" w:eastAsia="ar-SA"/>
        </w:rPr>
        <w:t>entrarán en vigor al siguiente de su publicación en el Diario Oficial de la Federación.</w:t>
      </w:r>
    </w:p>
    <w:p w14:paraId="59697464" w14:textId="11EC7D7B" w:rsidR="00F42543" w:rsidRPr="00F42543" w:rsidRDefault="00F42543" w:rsidP="00A7393A">
      <w:pPr>
        <w:jc w:val="both"/>
        <w:rPr>
          <w:rFonts w:ascii="ITC Avant Garde" w:eastAsia="Times New Roman" w:hAnsi="ITC Avant Garde" w:cs="Arial"/>
          <w:kern w:val="2"/>
          <w:sz w:val="22"/>
          <w:szCs w:val="22"/>
          <w:lang w:val="es-MX" w:eastAsia="ar-SA"/>
        </w:rPr>
      </w:pPr>
    </w:p>
    <w:sectPr w:rsidR="00F42543" w:rsidRPr="00F4254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ECE7" w14:textId="77777777" w:rsidR="00071B27" w:rsidRDefault="00071B27" w:rsidP="00B32987">
      <w:r>
        <w:separator/>
      </w:r>
    </w:p>
  </w:endnote>
  <w:endnote w:type="continuationSeparator" w:id="0">
    <w:p w14:paraId="2A3FB8DC" w14:textId="77777777" w:rsidR="00071B27" w:rsidRDefault="00071B27" w:rsidP="00B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6A40E" w14:textId="77777777" w:rsidR="00071B27" w:rsidRDefault="00071B27" w:rsidP="00B32987">
      <w:r>
        <w:separator/>
      </w:r>
    </w:p>
  </w:footnote>
  <w:footnote w:type="continuationSeparator" w:id="0">
    <w:p w14:paraId="125CEAF1" w14:textId="77777777" w:rsidR="00071B27" w:rsidRDefault="00071B27" w:rsidP="00B3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33B0" w14:textId="003AFE70" w:rsidR="00BD5069" w:rsidRDefault="00071B27">
    <w:pPr>
      <w:pStyle w:val="Encabezado"/>
    </w:pPr>
    <w:r>
      <w:rPr>
        <w:noProof/>
      </w:rPr>
      <w:pict w14:anchorId="275EF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344"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9BD6" w14:textId="1858A0CE" w:rsidR="00BD5069" w:rsidRDefault="00071B27">
    <w:pPr>
      <w:pStyle w:val="Encabezado"/>
    </w:pPr>
    <w:r>
      <w:rPr>
        <w:noProof/>
      </w:rPr>
      <w:pict w14:anchorId="395F4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345" o:spid="_x0000_s2051" type="#_x0000_t136" style="position:absolute;margin-left:0;margin-top:0;width:498.4pt;height:154.2pt;rotation:315;z-index:-251653120;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57B0" w14:textId="71E343DE" w:rsidR="00BD5069" w:rsidRDefault="00071B27">
    <w:pPr>
      <w:pStyle w:val="Encabezado"/>
    </w:pPr>
    <w:r>
      <w:rPr>
        <w:noProof/>
      </w:rPr>
      <w:pict w14:anchorId="06728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343"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4E8"/>
    <w:multiLevelType w:val="hybridMultilevel"/>
    <w:tmpl w:val="EEE8F330"/>
    <w:lvl w:ilvl="0" w:tplc="DB284914">
      <w:start w:val="1"/>
      <w:numFmt w:val="decimal"/>
      <w:lvlText w:val="%1."/>
      <w:lvlJc w:val="left"/>
      <w:pPr>
        <w:ind w:left="817" w:hanging="360"/>
      </w:pPr>
      <w:rPr>
        <w:rFonts w:hint="default"/>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2257" w:hanging="180"/>
      </w:pPr>
    </w:lvl>
    <w:lvl w:ilvl="3" w:tplc="080A000F" w:tentative="1">
      <w:start w:val="1"/>
      <w:numFmt w:val="decimal"/>
      <w:lvlText w:val="%4."/>
      <w:lvlJc w:val="left"/>
      <w:pPr>
        <w:ind w:left="2977" w:hanging="360"/>
      </w:pPr>
    </w:lvl>
    <w:lvl w:ilvl="4" w:tplc="080A0019" w:tentative="1">
      <w:start w:val="1"/>
      <w:numFmt w:val="lowerLetter"/>
      <w:lvlText w:val="%5."/>
      <w:lvlJc w:val="left"/>
      <w:pPr>
        <w:ind w:left="3697" w:hanging="360"/>
      </w:pPr>
    </w:lvl>
    <w:lvl w:ilvl="5" w:tplc="080A001B" w:tentative="1">
      <w:start w:val="1"/>
      <w:numFmt w:val="lowerRoman"/>
      <w:lvlText w:val="%6."/>
      <w:lvlJc w:val="right"/>
      <w:pPr>
        <w:ind w:left="4417" w:hanging="180"/>
      </w:pPr>
    </w:lvl>
    <w:lvl w:ilvl="6" w:tplc="080A000F" w:tentative="1">
      <w:start w:val="1"/>
      <w:numFmt w:val="decimal"/>
      <w:lvlText w:val="%7."/>
      <w:lvlJc w:val="left"/>
      <w:pPr>
        <w:ind w:left="5137" w:hanging="360"/>
      </w:pPr>
    </w:lvl>
    <w:lvl w:ilvl="7" w:tplc="080A0019" w:tentative="1">
      <w:start w:val="1"/>
      <w:numFmt w:val="lowerLetter"/>
      <w:lvlText w:val="%8."/>
      <w:lvlJc w:val="left"/>
      <w:pPr>
        <w:ind w:left="5857" w:hanging="360"/>
      </w:pPr>
    </w:lvl>
    <w:lvl w:ilvl="8" w:tplc="080A001B" w:tentative="1">
      <w:start w:val="1"/>
      <w:numFmt w:val="lowerRoman"/>
      <w:lvlText w:val="%9."/>
      <w:lvlJc w:val="right"/>
      <w:pPr>
        <w:ind w:left="6577" w:hanging="180"/>
      </w:pPr>
    </w:lvl>
  </w:abstractNum>
  <w:abstractNum w:abstractNumId="1" w15:restartNumberingAfterBreak="0">
    <w:nsid w:val="08A97CAC"/>
    <w:multiLevelType w:val="hybridMultilevel"/>
    <w:tmpl w:val="C8EC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A3266"/>
    <w:multiLevelType w:val="hybridMultilevel"/>
    <w:tmpl w:val="6354F0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F72BFA"/>
    <w:multiLevelType w:val="hybridMultilevel"/>
    <w:tmpl w:val="C5A28D54"/>
    <w:lvl w:ilvl="0" w:tplc="080A0019">
      <w:start w:val="1"/>
      <w:numFmt w:val="lowerLetter"/>
      <w:lvlText w:val="%1."/>
      <w:lvlJc w:val="left"/>
      <w:pPr>
        <w:ind w:left="1068" w:hanging="360"/>
      </w:pPr>
      <w:rPr>
        <w:rFonts w:hint="default"/>
      </w:rPr>
    </w:lvl>
    <w:lvl w:ilvl="1" w:tplc="080A000F">
      <w:start w:val="1"/>
      <w:numFmt w:val="decimal"/>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D50E15"/>
    <w:multiLevelType w:val="hybridMultilevel"/>
    <w:tmpl w:val="C1FC5A92"/>
    <w:lvl w:ilvl="0" w:tplc="A1BE6F2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213FD6"/>
    <w:multiLevelType w:val="hybridMultilevel"/>
    <w:tmpl w:val="18421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6245A6"/>
    <w:multiLevelType w:val="hybridMultilevel"/>
    <w:tmpl w:val="489E5980"/>
    <w:lvl w:ilvl="0" w:tplc="0C48728E">
      <w:start w:val="1"/>
      <w:numFmt w:val="upperRoman"/>
      <w:lvlText w:val="%1."/>
      <w:lvlJc w:val="righ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B1948D7"/>
    <w:multiLevelType w:val="hybridMultilevel"/>
    <w:tmpl w:val="6450D4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3C7AE7"/>
    <w:multiLevelType w:val="hybridMultilevel"/>
    <w:tmpl w:val="1460F792"/>
    <w:lvl w:ilvl="0" w:tplc="A2E0D73E">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6"/>
  </w:num>
  <w:num w:numId="3">
    <w:abstractNumId w:val="4"/>
  </w:num>
  <w:num w:numId="4">
    <w:abstractNumId w:val="1"/>
  </w:num>
  <w:num w:numId="5">
    <w:abstractNumId w:val="0"/>
  </w:num>
  <w:num w:numId="6">
    <w:abstractNumId w:val="9"/>
  </w:num>
  <w:num w:numId="7">
    <w:abstractNumId w:val="5"/>
  </w:num>
  <w:num w:numId="8">
    <w:abstractNumId w:val="2"/>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ES_tradnl"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C2"/>
    <w:rsid w:val="000019C0"/>
    <w:rsid w:val="000049D7"/>
    <w:rsid w:val="000441CA"/>
    <w:rsid w:val="00057715"/>
    <w:rsid w:val="00071B27"/>
    <w:rsid w:val="000B326E"/>
    <w:rsid w:val="000C1566"/>
    <w:rsid w:val="000D5F72"/>
    <w:rsid w:val="000D6508"/>
    <w:rsid w:val="000E55E2"/>
    <w:rsid w:val="000E5616"/>
    <w:rsid w:val="000E617A"/>
    <w:rsid w:val="000F32AE"/>
    <w:rsid w:val="000F62A5"/>
    <w:rsid w:val="001054B4"/>
    <w:rsid w:val="00111040"/>
    <w:rsid w:val="00131433"/>
    <w:rsid w:val="0013516E"/>
    <w:rsid w:val="0013747E"/>
    <w:rsid w:val="0013775E"/>
    <w:rsid w:val="00137C7B"/>
    <w:rsid w:val="00140B13"/>
    <w:rsid w:val="0015075E"/>
    <w:rsid w:val="0016328A"/>
    <w:rsid w:val="0016438D"/>
    <w:rsid w:val="0016789E"/>
    <w:rsid w:val="00172F4D"/>
    <w:rsid w:val="00177AA2"/>
    <w:rsid w:val="00192971"/>
    <w:rsid w:val="001A0153"/>
    <w:rsid w:val="001A10DB"/>
    <w:rsid w:val="001B16B8"/>
    <w:rsid w:val="001B2ACF"/>
    <w:rsid w:val="001C517F"/>
    <w:rsid w:val="001C5BB4"/>
    <w:rsid w:val="001E66ED"/>
    <w:rsid w:val="001F2615"/>
    <w:rsid w:val="00200B26"/>
    <w:rsid w:val="00210584"/>
    <w:rsid w:val="00222B50"/>
    <w:rsid w:val="002320C8"/>
    <w:rsid w:val="00234270"/>
    <w:rsid w:val="002347AD"/>
    <w:rsid w:val="00253F8B"/>
    <w:rsid w:val="0025557D"/>
    <w:rsid w:val="0026284D"/>
    <w:rsid w:val="0027772E"/>
    <w:rsid w:val="002826FB"/>
    <w:rsid w:val="002B1064"/>
    <w:rsid w:val="002B2EF7"/>
    <w:rsid w:val="002B46CE"/>
    <w:rsid w:val="002D5EB7"/>
    <w:rsid w:val="002F05EF"/>
    <w:rsid w:val="002F73AA"/>
    <w:rsid w:val="00304DDB"/>
    <w:rsid w:val="0030597B"/>
    <w:rsid w:val="00307D82"/>
    <w:rsid w:val="00313C5B"/>
    <w:rsid w:val="00335D6E"/>
    <w:rsid w:val="003506C1"/>
    <w:rsid w:val="00375668"/>
    <w:rsid w:val="003771D5"/>
    <w:rsid w:val="003931EB"/>
    <w:rsid w:val="00397862"/>
    <w:rsid w:val="003D06C5"/>
    <w:rsid w:val="003D6950"/>
    <w:rsid w:val="003E4699"/>
    <w:rsid w:val="00402008"/>
    <w:rsid w:val="00421531"/>
    <w:rsid w:val="00426C16"/>
    <w:rsid w:val="00447A72"/>
    <w:rsid w:val="00485DDC"/>
    <w:rsid w:val="00494B39"/>
    <w:rsid w:val="004A4892"/>
    <w:rsid w:val="004C5616"/>
    <w:rsid w:val="004D0BA6"/>
    <w:rsid w:val="004D1C64"/>
    <w:rsid w:val="004D3067"/>
    <w:rsid w:val="004D51A3"/>
    <w:rsid w:val="004F5380"/>
    <w:rsid w:val="00502E9B"/>
    <w:rsid w:val="00505407"/>
    <w:rsid w:val="005104CF"/>
    <w:rsid w:val="00530745"/>
    <w:rsid w:val="00530C5F"/>
    <w:rsid w:val="00540C61"/>
    <w:rsid w:val="00557AEE"/>
    <w:rsid w:val="0057114B"/>
    <w:rsid w:val="00577BE2"/>
    <w:rsid w:val="0058349F"/>
    <w:rsid w:val="005942AD"/>
    <w:rsid w:val="005A427B"/>
    <w:rsid w:val="005A4E01"/>
    <w:rsid w:val="005B48D0"/>
    <w:rsid w:val="005D10A6"/>
    <w:rsid w:val="005D45E5"/>
    <w:rsid w:val="005D580F"/>
    <w:rsid w:val="005F32A0"/>
    <w:rsid w:val="00602F71"/>
    <w:rsid w:val="006264BD"/>
    <w:rsid w:val="00640194"/>
    <w:rsid w:val="00640E50"/>
    <w:rsid w:val="00644B96"/>
    <w:rsid w:val="006541C5"/>
    <w:rsid w:val="0067200E"/>
    <w:rsid w:val="00694CFD"/>
    <w:rsid w:val="006951A1"/>
    <w:rsid w:val="006A0475"/>
    <w:rsid w:val="006D286A"/>
    <w:rsid w:val="006F4803"/>
    <w:rsid w:val="006F6793"/>
    <w:rsid w:val="00711439"/>
    <w:rsid w:val="00726D29"/>
    <w:rsid w:val="00731AB9"/>
    <w:rsid w:val="00740DA4"/>
    <w:rsid w:val="0074169A"/>
    <w:rsid w:val="00770435"/>
    <w:rsid w:val="007827A1"/>
    <w:rsid w:val="00795571"/>
    <w:rsid w:val="00795E8D"/>
    <w:rsid w:val="00797699"/>
    <w:rsid w:val="007B5C86"/>
    <w:rsid w:val="007C1DB2"/>
    <w:rsid w:val="007E408C"/>
    <w:rsid w:val="007E5A26"/>
    <w:rsid w:val="007F39DE"/>
    <w:rsid w:val="007F3BDC"/>
    <w:rsid w:val="007F4D0F"/>
    <w:rsid w:val="00806A0A"/>
    <w:rsid w:val="00812DB4"/>
    <w:rsid w:val="00824947"/>
    <w:rsid w:val="00830E0C"/>
    <w:rsid w:val="00837A71"/>
    <w:rsid w:val="00841828"/>
    <w:rsid w:val="008463F5"/>
    <w:rsid w:val="0084731D"/>
    <w:rsid w:val="00856740"/>
    <w:rsid w:val="00857EF7"/>
    <w:rsid w:val="0087270F"/>
    <w:rsid w:val="00874731"/>
    <w:rsid w:val="00876899"/>
    <w:rsid w:val="008810DD"/>
    <w:rsid w:val="00881FA7"/>
    <w:rsid w:val="00893B69"/>
    <w:rsid w:val="00894620"/>
    <w:rsid w:val="008A2F90"/>
    <w:rsid w:val="008B0A23"/>
    <w:rsid w:val="008D0AC3"/>
    <w:rsid w:val="008D1576"/>
    <w:rsid w:val="008D22B7"/>
    <w:rsid w:val="008D4759"/>
    <w:rsid w:val="00901DCC"/>
    <w:rsid w:val="009265EB"/>
    <w:rsid w:val="00927F9B"/>
    <w:rsid w:val="0093354C"/>
    <w:rsid w:val="009403A3"/>
    <w:rsid w:val="00942055"/>
    <w:rsid w:val="009839F2"/>
    <w:rsid w:val="00990859"/>
    <w:rsid w:val="009960A8"/>
    <w:rsid w:val="009B26E5"/>
    <w:rsid w:val="009B47AF"/>
    <w:rsid w:val="009C322C"/>
    <w:rsid w:val="009D4D16"/>
    <w:rsid w:val="009D7F50"/>
    <w:rsid w:val="009E26C2"/>
    <w:rsid w:val="009E34AB"/>
    <w:rsid w:val="009E661A"/>
    <w:rsid w:val="009F30A6"/>
    <w:rsid w:val="00A04A36"/>
    <w:rsid w:val="00A07B0B"/>
    <w:rsid w:val="00A1397C"/>
    <w:rsid w:val="00A24D5E"/>
    <w:rsid w:val="00A3223F"/>
    <w:rsid w:val="00A33238"/>
    <w:rsid w:val="00A4701C"/>
    <w:rsid w:val="00A63FFA"/>
    <w:rsid w:val="00A7393A"/>
    <w:rsid w:val="00A83DB3"/>
    <w:rsid w:val="00AA0DF6"/>
    <w:rsid w:val="00AA4759"/>
    <w:rsid w:val="00AB283D"/>
    <w:rsid w:val="00AC0BEC"/>
    <w:rsid w:val="00AF56F9"/>
    <w:rsid w:val="00AF6631"/>
    <w:rsid w:val="00B25C36"/>
    <w:rsid w:val="00B32987"/>
    <w:rsid w:val="00B33658"/>
    <w:rsid w:val="00B33EBE"/>
    <w:rsid w:val="00B35492"/>
    <w:rsid w:val="00B365B1"/>
    <w:rsid w:val="00B36896"/>
    <w:rsid w:val="00B401F6"/>
    <w:rsid w:val="00B42BA0"/>
    <w:rsid w:val="00B74D75"/>
    <w:rsid w:val="00B7672C"/>
    <w:rsid w:val="00B85799"/>
    <w:rsid w:val="00B9099B"/>
    <w:rsid w:val="00BA50F3"/>
    <w:rsid w:val="00BB0525"/>
    <w:rsid w:val="00BB4018"/>
    <w:rsid w:val="00BC73A7"/>
    <w:rsid w:val="00BD18C2"/>
    <w:rsid w:val="00BD32C2"/>
    <w:rsid w:val="00BD3F3C"/>
    <w:rsid w:val="00BD5069"/>
    <w:rsid w:val="00BD5EF6"/>
    <w:rsid w:val="00BF016C"/>
    <w:rsid w:val="00BF4985"/>
    <w:rsid w:val="00C02DBE"/>
    <w:rsid w:val="00C07A65"/>
    <w:rsid w:val="00C13C4B"/>
    <w:rsid w:val="00C209D6"/>
    <w:rsid w:val="00C2653A"/>
    <w:rsid w:val="00C3034D"/>
    <w:rsid w:val="00C3517A"/>
    <w:rsid w:val="00C4500F"/>
    <w:rsid w:val="00C45F93"/>
    <w:rsid w:val="00C47315"/>
    <w:rsid w:val="00C540C1"/>
    <w:rsid w:val="00C63CF6"/>
    <w:rsid w:val="00C8032C"/>
    <w:rsid w:val="00C84C34"/>
    <w:rsid w:val="00C9121C"/>
    <w:rsid w:val="00C93170"/>
    <w:rsid w:val="00C952E7"/>
    <w:rsid w:val="00CA4101"/>
    <w:rsid w:val="00CA5D53"/>
    <w:rsid w:val="00CB06E8"/>
    <w:rsid w:val="00CB6958"/>
    <w:rsid w:val="00CC4246"/>
    <w:rsid w:val="00CE7D7F"/>
    <w:rsid w:val="00D024FD"/>
    <w:rsid w:val="00D07EFC"/>
    <w:rsid w:val="00D11E6B"/>
    <w:rsid w:val="00D11FFD"/>
    <w:rsid w:val="00D14DAC"/>
    <w:rsid w:val="00D165DC"/>
    <w:rsid w:val="00D251BD"/>
    <w:rsid w:val="00D351BE"/>
    <w:rsid w:val="00D35F9B"/>
    <w:rsid w:val="00D4432C"/>
    <w:rsid w:val="00D45E84"/>
    <w:rsid w:val="00D51794"/>
    <w:rsid w:val="00D76E46"/>
    <w:rsid w:val="00D834A6"/>
    <w:rsid w:val="00D87C22"/>
    <w:rsid w:val="00D95F43"/>
    <w:rsid w:val="00D962C5"/>
    <w:rsid w:val="00DB4B45"/>
    <w:rsid w:val="00DC0D57"/>
    <w:rsid w:val="00DC2E67"/>
    <w:rsid w:val="00DC6842"/>
    <w:rsid w:val="00DC76F4"/>
    <w:rsid w:val="00DD353B"/>
    <w:rsid w:val="00DD390E"/>
    <w:rsid w:val="00DD6DE8"/>
    <w:rsid w:val="00DE0E2E"/>
    <w:rsid w:val="00DE1E96"/>
    <w:rsid w:val="00DE43E1"/>
    <w:rsid w:val="00E02A09"/>
    <w:rsid w:val="00E050D1"/>
    <w:rsid w:val="00E05414"/>
    <w:rsid w:val="00E060FB"/>
    <w:rsid w:val="00E13414"/>
    <w:rsid w:val="00E21D4C"/>
    <w:rsid w:val="00E51070"/>
    <w:rsid w:val="00E53209"/>
    <w:rsid w:val="00E62424"/>
    <w:rsid w:val="00EE6410"/>
    <w:rsid w:val="00EF24E4"/>
    <w:rsid w:val="00EF2890"/>
    <w:rsid w:val="00F1136F"/>
    <w:rsid w:val="00F21D76"/>
    <w:rsid w:val="00F308C4"/>
    <w:rsid w:val="00F33631"/>
    <w:rsid w:val="00F42543"/>
    <w:rsid w:val="00F46E7B"/>
    <w:rsid w:val="00F67413"/>
    <w:rsid w:val="00F879AC"/>
    <w:rsid w:val="00F9155B"/>
    <w:rsid w:val="00F97F98"/>
    <w:rsid w:val="00FB1406"/>
    <w:rsid w:val="00FB3A41"/>
    <w:rsid w:val="00FC266B"/>
    <w:rsid w:val="00FE23DD"/>
    <w:rsid w:val="00FF0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23753A"/>
  <w15:chartTrackingRefBased/>
  <w15:docId w15:val="{C489F348-E7C8-48A4-9953-41B85D9D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C2"/>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26C2"/>
    <w:pPr>
      <w:ind w:left="720"/>
      <w:contextualSpacing/>
    </w:pPr>
  </w:style>
  <w:style w:type="character" w:customStyle="1" w:styleId="PrrafodelistaCar">
    <w:name w:val="Párrafo de lista Car"/>
    <w:link w:val="Prrafodelista"/>
    <w:uiPriority w:val="34"/>
    <w:locked/>
    <w:rsid w:val="009E26C2"/>
    <w:rPr>
      <w:rFonts w:eastAsiaTheme="minorEastAsia"/>
      <w:sz w:val="24"/>
      <w:szCs w:val="24"/>
      <w:lang w:val="es-ES_tradnl"/>
    </w:rPr>
  </w:style>
  <w:style w:type="character" w:styleId="Refdecomentario">
    <w:name w:val="annotation reference"/>
    <w:basedOn w:val="Fuentedeprrafopredeter"/>
    <w:uiPriority w:val="99"/>
    <w:semiHidden/>
    <w:unhideWhenUsed/>
    <w:rsid w:val="009E26C2"/>
    <w:rPr>
      <w:sz w:val="16"/>
      <w:szCs w:val="16"/>
    </w:rPr>
  </w:style>
  <w:style w:type="paragraph" w:styleId="Textocomentario">
    <w:name w:val="annotation text"/>
    <w:basedOn w:val="Normal"/>
    <w:link w:val="TextocomentarioCar"/>
    <w:unhideWhenUsed/>
    <w:rsid w:val="009E26C2"/>
    <w:rPr>
      <w:sz w:val="20"/>
      <w:szCs w:val="20"/>
    </w:rPr>
  </w:style>
  <w:style w:type="character" w:customStyle="1" w:styleId="TextocomentarioCar">
    <w:name w:val="Texto comentario Car"/>
    <w:basedOn w:val="Fuentedeprrafopredeter"/>
    <w:link w:val="Textocomentario"/>
    <w:rsid w:val="009E26C2"/>
    <w:rPr>
      <w:rFonts w:eastAsiaTheme="minorEastAsia"/>
      <w:sz w:val="20"/>
      <w:szCs w:val="20"/>
      <w:lang w:val="es-ES_tradnl"/>
    </w:rPr>
  </w:style>
  <w:style w:type="character" w:styleId="Textoennegrita">
    <w:name w:val="Strong"/>
    <w:basedOn w:val="Fuentedeprrafopredeter"/>
    <w:uiPriority w:val="22"/>
    <w:qFormat/>
    <w:rsid w:val="009E26C2"/>
    <w:rPr>
      <w:b/>
      <w:bCs/>
    </w:rPr>
  </w:style>
  <w:style w:type="paragraph" w:styleId="Textodeglobo">
    <w:name w:val="Balloon Text"/>
    <w:basedOn w:val="Normal"/>
    <w:link w:val="TextodegloboCar"/>
    <w:uiPriority w:val="99"/>
    <w:semiHidden/>
    <w:unhideWhenUsed/>
    <w:rsid w:val="009E26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6C2"/>
    <w:rPr>
      <w:rFonts w:ascii="Segoe UI" w:eastAsiaTheme="minorEastAsia"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2B2EF7"/>
    <w:rPr>
      <w:b/>
      <w:bCs/>
    </w:rPr>
  </w:style>
  <w:style w:type="character" w:customStyle="1" w:styleId="AsuntodelcomentarioCar">
    <w:name w:val="Asunto del comentario Car"/>
    <w:basedOn w:val="TextocomentarioCar"/>
    <w:link w:val="Asuntodelcomentario"/>
    <w:uiPriority w:val="99"/>
    <w:semiHidden/>
    <w:rsid w:val="002B2EF7"/>
    <w:rPr>
      <w:rFonts w:eastAsiaTheme="minorEastAsia"/>
      <w:b/>
      <w:bCs/>
      <w:sz w:val="20"/>
      <w:szCs w:val="20"/>
      <w:lang w:val="es-ES_tradnl"/>
    </w:rPr>
  </w:style>
  <w:style w:type="table" w:styleId="Tablaconcuadrcula">
    <w:name w:val="Table Grid"/>
    <w:basedOn w:val="Tablanormal"/>
    <w:uiPriority w:val="39"/>
    <w:rsid w:val="00AA47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209"/>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32987"/>
    <w:pPr>
      <w:tabs>
        <w:tab w:val="center" w:pos="4419"/>
        <w:tab w:val="right" w:pos="8838"/>
      </w:tabs>
    </w:pPr>
  </w:style>
  <w:style w:type="character" w:customStyle="1" w:styleId="EncabezadoCar">
    <w:name w:val="Encabezado Car"/>
    <w:basedOn w:val="Fuentedeprrafopredeter"/>
    <w:link w:val="Encabezado"/>
    <w:uiPriority w:val="99"/>
    <w:rsid w:val="00B32987"/>
    <w:rPr>
      <w:rFonts w:eastAsiaTheme="minorEastAsia"/>
      <w:sz w:val="24"/>
      <w:szCs w:val="24"/>
      <w:lang w:val="es-ES_tradnl"/>
    </w:rPr>
  </w:style>
  <w:style w:type="paragraph" w:styleId="Piedepgina">
    <w:name w:val="footer"/>
    <w:basedOn w:val="Normal"/>
    <w:link w:val="PiedepginaCar"/>
    <w:uiPriority w:val="99"/>
    <w:unhideWhenUsed/>
    <w:rsid w:val="00B32987"/>
    <w:pPr>
      <w:tabs>
        <w:tab w:val="center" w:pos="4419"/>
        <w:tab w:val="right" w:pos="8838"/>
      </w:tabs>
    </w:pPr>
  </w:style>
  <w:style w:type="character" w:customStyle="1" w:styleId="PiedepginaCar">
    <w:name w:val="Pie de página Car"/>
    <w:basedOn w:val="Fuentedeprrafopredeter"/>
    <w:link w:val="Piedepgina"/>
    <w:uiPriority w:val="99"/>
    <w:rsid w:val="00B32987"/>
    <w:rPr>
      <w:rFonts w:eastAsiaTheme="minorEastAsia"/>
      <w:sz w:val="24"/>
      <w:szCs w:val="24"/>
      <w:lang w:val="es-ES_tradnl"/>
    </w:rPr>
  </w:style>
  <w:style w:type="paragraph" w:customStyle="1" w:styleId="Texto">
    <w:name w:val="Texto"/>
    <w:basedOn w:val="Normal"/>
    <w:link w:val="TextoCar"/>
    <w:rsid w:val="00731AB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1AB9"/>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5713">
      <w:bodyDiv w:val="1"/>
      <w:marLeft w:val="0"/>
      <w:marRight w:val="0"/>
      <w:marTop w:val="0"/>
      <w:marBottom w:val="0"/>
      <w:divBdr>
        <w:top w:val="none" w:sz="0" w:space="0" w:color="auto"/>
        <w:left w:val="none" w:sz="0" w:space="0" w:color="auto"/>
        <w:bottom w:val="none" w:sz="0" w:space="0" w:color="auto"/>
        <w:right w:val="none" w:sz="0" w:space="0" w:color="auto"/>
      </w:divBdr>
    </w:div>
    <w:div w:id="21227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5594AC-1D4C-4332-AA46-1EE31527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2881</Words>
  <Characters>15850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DCLTyR</dc:creator>
  <cp:keywords/>
  <dc:description/>
  <cp:lastModifiedBy>CGMR</cp:lastModifiedBy>
  <cp:revision>3</cp:revision>
  <dcterms:created xsi:type="dcterms:W3CDTF">2020-09-07T17:25:00Z</dcterms:created>
  <dcterms:modified xsi:type="dcterms:W3CDTF">2020-09-07T23:38:00Z</dcterms:modified>
</cp:coreProperties>
</file>