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CB2B7" w14:textId="77777777" w:rsidR="0017793B" w:rsidRPr="008813FB" w:rsidRDefault="0017793B" w:rsidP="00E33EAE">
      <w:pPr>
        <w:pStyle w:val="estilo30"/>
        <w:spacing w:before="0" w:beforeAutospacing="0" w:after="0" w:afterAutospacing="0"/>
        <w:ind w:right="49"/>
        <w:jc w:val="right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8813FB">
        <w:rPr>
          <w:rFonts w:ascii="ITC Avant Garde" w:hAnsi="ITC Avant Garde"/>
          <w:b/>
          <w:bCs/>
          <w:color w:val="000000"/>
          <w:sz w:val="20"/>
          <w:szCs w:val="20"/>
        </w:rPr>
        <w:t>INSTITUTO FEDERAL DE TELECOMUNICACIONES</w:t>
      </w:r>
    </w:p>
    <w:p w14:paraId="3540EB27" w14:textId="77777777" w:rsidR="0017793B" w:rsidRPr="008813FB" w:rsidRDefault="0017793B" w:rsidP="00E33EAE">
      <w:pPr>
        <w:pStyle w:val="estilo30"/>
        <w:spacing w:before="0" w:beforeAutospacing="0" w:after="0" w:afterAutospacing="0"/>
        <w:ind w:right="49"/>
        <w:jc w:val="right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8813FB">
        <w:rPr>
          <w:rFonts w:ascii="ITC Avant Garde" w:hAnsi="ITC Avant Garde"/>
          <w:b/>
          <w:bCs/>
          <w:color w:val="000000"/>
          <w:sz w:val="20"/>
          <w:szCs w:val="20"/>
        </w:rPr>
        <w:t>COORDINACIÓN GENERAL DE MEJORA REGULATORIA</w:t>
      </w:r>
    </w:p>
    <w:p w14:paraId="1689F463" w14:textId="77777777" w:rsidR="0017793B" w:rsidRPr="008813FB" w:rsidRDefault="0017793B" w:rsidP="00E33EAE">
      <w:pPr>
        <w:pStyle w:val="estilo30"/>
        <w:spacing w:before="0" w:beforeAutospacing="0" w:after="0" w:afterAutospacing="0"/>
        <w:ind w:right="49"/>
        <w:jc w:val="right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8813FB">
        <w:rPr>
          <w:rFonts w:ascii="ITC Avant Garde" w:hAnsi="ITC Avant Garde"/>
          <w:b/>
          <w:bCs/>
          <w:color w:val="000000"/>
          <w:sz w:val="20"/>
          <w:szCs w:val="20"/>
        </w:rPr>
        <w:t>IFT/211/CGMR/</w:t>
      </w:r>
      <w:r w:rsidR="00AE1A94" w:rsidRPr="008813FB">
        <w:rPr>
          <w:rFonts w:ascii="ITC Avant Garde" w:hAnsi="ITC Avant Garde"/>
          <w:b/>
          <w:bCs/>
          <w:color w:val="000000"/>
          <w:sz w:val="20"/>
          <w:szCs w:val="20"/>
        </w:rPr>
        <w:t>491</w:t>
      </w:r>
      <w:r w:rsidRPr="008813FB">
        <w:rPr>
          <w:rFonts w:ascii="ITC Avant Garde" w:hAnsi="ITC Avant Garde"/>
          <w:b/>
          <w:bCs/>
          <w:color w:val="000000"/>
          <w:sz w:val="20"/>
          <w:szCs w:val="20"/>
        </w:rPr>
        <w:t>/</w:t>
      </w:r>
      <w:r w:rsidR="00915470" w:rsidRPr="008813FB">
        <w:rPr>
          <w:rFonts w:ascii="ITC Avant Garde" w:hAnsi="ITC Avant Garde"/>
          <w:b/>
          <w:bCs/>
          <w:color w:val="000000"/>
          <w:sz w:val="20"/>
          <w:szCs w:val="20"/>
        </w:rPr>
        <w:t>2020</w:t>
      </w:r>
    </w:p>
    <w:p w14:paraId="45713CCD" w14:textId="77777777" w:rsidR="0017793B" w:rsidRPr="008813FB" w:rsidRDefault="0017793B" w:rsidP="00E33EAE">
      <w:pPr>
        <w:pStyle w:val="estilo30"/>
        <w:spacing w:before="0" w:beforeAutospacing="0" w:after="0" w:afterAutospacing="0"/>
        <w:ind w:right="49"/>
        <w:rPr>
          <w:rFonts w:ascii="ITC Avant Garde" w:hAnsi="ITC Avant Garde"/>
          <w:b/>
          <w:bCs/>
          <w:color w:val="000000"/>
          <w:sz w:val="20"/>
          <w:szCs w:val="20"/>
        </w:rPr>
      </w:pPr>
    </w:p>
    <w:p w14:paraId="24365F36" w14:textId="77777777" w:rsidR="0017793B" w:rsidRPr="008813FB" w:rsidRDefault="0017793B" w:rsidP="00E33EAE">
      <w:pPr>
        <w:pStyle w:val="estilo30"/>
        <w:spacing w:before="0" w:beforeAutospacing="0" w:after="0" w:afterAutospacing="0"/>
        <w:ind w:right="49"/>
        <w:jc w:val="right"/>
        <w:rPr>
          <w:rFonts w:ascii="ITC Avant Garde" w:hAnsi="ITC Avant Garde"/>
          <w:bCs/>
          <w:color w:val="000000"/>
          <w:sz w:val="20"/>
          <w:szCs w:val="20"/>
        </w:rPr>
      </w:pPr>
      <w:r w:rsidRPr="008813FB">
        <w:rPr>
          <w:rFonts w:ascii="ITC Avant Garde" w:hAnsi="ITC Avant Garde"/>
          <w:bCs/>
          <w:color w:val="000000"/>
          <w:sz w:val="20"/>
          <w:szCs w:val="20"/>
        </w:rPr>
        <w:t xml:space="preserve">Ciudad de México, a </w:t>
      </w:r>
      <w:r w:rsidR="00AE1A94" w:rsidRPr="008813FB">
        <w:rPr>
          <w:rFonts w:ascii="ITC Avant Garde" w:hAnsi="ITC Avant Garde"/>
          <w:bCs/>
          <w:color w:val="000000"/>
          <w:sz w:val="20"/>
          <w:szCs w:val="20"/>
        </w:rPr>
        <w:t>14</w:t>
      </w:r>
      <w:r w:rsidRPr="008813FB">
        <w:rPr>
          <w:rFonts w:ascii="ITC Avant Garde" w:hAnsi="ITC Avant Garde"/>
          <w:bCs/>
          <w:color w:val="000000"/>
          <w:sz w:val="20"/>
          <w:szCs w:val="20"/>
        </w:rPr>
        <w:t xml:space="preserve"> de </w:t>
      </w:r>
      <w:r w:rsidR="00AE1A94" w:rsidRPr="008813FB">
        <w:rPr>
          <w:rFonts w:ascii="ITC Avant Garde" w:hAnsi="ITC Avant Garde"/>
          <w:bCs/>
          <w:color w:val="000000"/>
          <w:sz w:val="20"/>
          <w:szCs w:val="20"/>
        </w:rPr>
        <w:t>diciembre</w:t>
      </w:r>
      <w:r w:rsidR="00915470" w:rsidRPr="008813FB">
        <w:rPr>
          <w:rFonts w:ascii="ITC Avant Garde" w:hAnsi="ITC Avant Garde"/>
          <w:bCs/>
          <w:color w:val="000000"/>
          <w:sz w:val="20"/>
          <w:szCs w:val="20"/>
        </w:rPr>
        <w:t xml:space="preserve"> de 2020</w:t>
      </w:r>
    </w:p>
    <w:p w14:paraId="54EF732E" w14:textId="77777777" w:rsidR="005A35F2" w:rsidRPr="008813FB" w:rsidRDefault="005A35F2" w:rsidP="00E33EAE">
      <w:pPr>
        <w:pStyle w:val="estilo30"/>
        <w:spacing w:before="0" w:beforeAutospacing="0" w:after="0" w:afterAutospacing="0"/>
        <w:ind w:right="49"/>
        <w:contextualSpacing/>
        <w:jc w:val="both"/>
        <w:rPr>
          <w:rFonts w:ascii="ITC Avant Garde" w:hAnsi="ITC Avant Garde"/>
          <w:b/>
          <w:bCs/>
          <w:color w:val="000000"/>
          <w:sz w:val="20"/>
          <w:szCs w:val="20"/>
        </w:rPr>
      </w:pPr>
    </w:p>
    <w:p w14:paraId="0122A061" w14:textId="77777777" w:rsidR="0017793B" w:rsidRPr="008813FB" w:rsidRDefault="00AE1A94" w:rsidP="00E33EAE">
      <w:pPr>
        <w:pStyle w:val="estilo30"/>
        <w:spacing w:before="0" w:beforeAutospacing="0" w:after="0" w:afterAutospacing="0"/>
        <w:ind w:right="49"/>
        <w:contextualSpacing/>
        <w:jc w:val="both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8813FB">
        <w:rPr>
          <w:rFonts w:ascii="ITC Avant Garde" w:hAnsi="ITC Avant Garde"/>
          <w:b/>
          <w:bCs/>
          <w:color w:val="000000"/>
          <w:sz w:val="20"/>
          <w:szCs w:val="20"/>
        </w:rPr>
        <w:t>HORACIO VILLALOBOS TLATEMPA</w:t>
      </w:r>
    </w:p>
    <w:p w14:paraId="286F5599" w14:textId="77777777" w:rsidR="00F02455" w:rsidRPr="008813FB" w:rsidRDefault="007E458F" w:rsidP="00E33EAE">
      <w:pPr>
        <w:pStyle w:val="estilo30"/>
        <w:spacing w:before="0" w:beforeAutospacing="0" w:after="0" w:afterAutospacing="0"/>
        <w:ind w:right="4585"/>
        <w:contextualSpacing/>
        <w:jc w:val="both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8813FB">
        <w:rPr>
          <w:rFonts w:ascii="ITC Avant Garde" w:hAnsi="ITC Avant Garde"/>
          <w:b/>
          <w:bCs/>
          <w:color w:val="000000"/>
          <w:sz w:val="20"/>
          <w:szCs w:val="20"/>
        </w:rPr>
        <w:t>DIRECTOR</w:t>
      </w:r>
      <w:r w:rsidR="00F02455" w:rsidRPr="008813FB">
        <w:rPr>
          <w:rFonts w:ascii="ITC Avant Garde" w:hAnsi="ITC Avant Garde"/>
          <w:b/>
          <w:bCs/>
          <w:color w:val="000000"/>
          <w:sz w:val="20"/>
          <w:szCs w:val="20"/>
        </w:rPr>
        <w:t xml:space="preserve"> GENERAL DE REGULACIÓN</w:t>
      </w:r>
      <w:r w:rsidRPr="008813FB">
        <w:rPr>
          <w:rFonts w:ascii="ITC Avant Garde" w:hAnsi="ITC Avant Garde"/>
          <w:b/>
          <w:bCs/>
          <w:color w:val="000000"/>
          <w:sz w:val="20"/>
          <w:szCs w:val="20"/>
        </w:rPr>
        <w:t xml:space="preserve"> TÉCNICA</w:t>
      </w:r>
    </w:p>
    <w:p w14:paraId="52339670" w14:textId="77777777" w:rsidR="0017793B" w:rsidRPr="008813FB" w:rsidRDefault="0017793B" w:rsidP="00E33EAE">
      <w:pPr>
        <w:pStyle w:val="estilo30"/>
        <w:spacing w:before="0" w:beforeAutospacing="0" w:after="0" w:afterAutospacing="0"/>
        <w:ind w:right="49"/>
        <w:contextualSpacing/>
        <w:jc w:val="both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8813FB">
        <w:rPr>
          <w:rFonts w:ascii="ITC Avant Garde" w:hAnsi="ITC Avant Garde"/>
          <w:b/>
          <w:bCs/>
          <w:color w:val="000000"/>
          <w:sz w:val="20"/>
          <w:szCs w:val="20"/>
        </w:rPr>
        <w:t>INSTITUTO FEDERAL DE TELECOMUNICACIONES</w:t>
      </w:r>
    </w:p>
    <w:p w14:paraId="201F3373" w14:textId="77777777" w:rsidR="0017793B" w:rsidRPr="008813FB" w:rsidRDefault="0017793B" w:rsidP="00E33EAE">
      <w:pPr>
        <w:pStyle w:val="estilo30"/>
        <w:spacing w:before="0" w:beforeAutospacing="0" w:after="0" w:afterAutospacing="0"/>
        <w:ind w:right="49"/>
        <w:contextualSpacing/>
        <w:jc w:val="both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8813FB">
        <w:rPr>
          <w:rFonts w:ascii="ITC Avant Garde" w:hAnsi="ITC Avant Garde"/>
          <w:b/>
          <w:bCs/>
          <w:color w:val="000000"/>
          <w:sz w:val="20"/>
          <w:szCs w:val="20"/>
        </w:rPr>
        <w:t>P R E S E N T E</w:t>
      </w:r>
    </w:p>
    <w:p w14:paraId="68057C05" w14:textId="77777777" w:rsidR="0017793B" w:rsidRPr="008813FB" w:rsidRDefault="0017793B" w:rsidP="00E33EAE">
      <w:pPr>
        <w:pStyle w:val="estilo30"/>
        <w:spacing w:before="0" w:beforeAutospacing="0" w:after="0" w:afterAutospacing="0"/>
        <w:ind w:right="49"/>
        <w:contextualSpacing/>
        <w:jc w:val="both"/>
        <w:rPr>
          <w:rFonts w:ascii="ITC Avant Garde" w:hAnsi="ITC Avant Garde"/>
          <w:b/>
          <w:bCs/>
          <w:color w:val="000000"/>
          <w:sz w:val="20"/>
          <w:szCs w:val="20"/>
        </w:rPr>
      </w:pPr>
    </w:p>
    <w:p w14:paraId="3573C354" w14:textId="77777777" w:rsidR="0017793B" w:rsidRPr="008813FB" w:rsidRDefault="0017793B" w:rsidP="00E33EAE">
      <w:pPr>
        <w:spacing w:after="0" w:line="240" w:lineRule="auto"/>
        <w:ind w:right="49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 xml:space="preserve">Me refiero al oficio número </w:t>
      </w:r>
      <w:r w:rsidR="007E458F" w:rsidRPr="008813FB">
        <w:rPr>
          <w:rFonts w:ascii="ITC Avant Garde" w:hAnsi="ITC Avant Garde"/>
          <w:bCs/>
          <w:sz w:val="20"/>
          <w:szCs w:val="20"/>
        </w:rPr>
        <w:t>IFT/221/UPR/DG-RTE/031/2020</w:t>
      </w:r>
      <w:r w:rsidR="006D05DC" w:rsidRPr="008813FB">
        <w:rPr>
          <w:rFonts w:ascii="ITC Avant Garde" w:hAnsi="ITC Avant Garde"/>
          <w:bCs/>
          <w:sz w:val="20"/>
          <w:szCs w:val="20"/>
        </w:rPr>
        <w:t xml:space="preserve">, de fecha </w:t>
      </w:r>
      <w:r w:rsidR="007E458F" w:rsidRPr="008813FB">
        <w:rPr>
          <w:rFonts w:ascii="ITC Avant Garde" w:hAnsi="ITC Avant Garde"/>
          <w:bCs/>
          <w:sz w:val="20"/>
          <w:szCs w:val="20"/>
        </w:rPr>
        <w:t>9</w:t>
      </w:r>
      <w:r w:rsidRPr="008813FB">
        <w:rPr>
          <w:rFonts w:ascii="ITC Avant Garde" w:hAnsi="ITC Avant Garde"/>
          <w:bCs/>
          <w:sz w:val="20"/>
          <w:szCs w:val="20"/>
        </w:rPr>
        <w:t xml:space="preserve"> de </w:t>
      </w:r>
      <w:r w:rsidR="007E458F" w:rsidRPr="008813FB">
        <w:rPr>
          <w:rFonts w:ascii="ITC Avant Garde" w:hAnsi="ITC Avant Garde"/>
          <w:bCs/>
          <w:sz w:val="20"/>
          <w:szCs w:val="20"/>
        </w:rPr>
        <w:t>diciembre</w:t>
      </w:r>
      <w:r w:rsidR="00912FE2" w:rsidRPr="008813FB">
        <w:rPr>
          <w:rFonts w:ascii="ITC Avant Garde" w:hAnsi="ITC Avant Garde"/>
          <w:bCs/>
          <w:sz w:val="20"/>
          <w:szCs w:val="20"/>
        </w:rPr>
        <w:t xml:space="preserve"> de 2020</w:t>
      </w:r>
      <w:r w:rsidRPr="008813FB">
        <w:rPr>
          <w:rFonts w:ascii="ITC Avant Garde" w:hAnsi="ITC Avant Garde"/>
          <w:bCs/>
          <w:sz w:val="20"/>
          <w:szCs w:val="20"/>
        </w:rPr>
        <w:t xml:space="preserve">, recibido en </w:t>
      </w:r>
      <w:r w:rsidR="00F53656" w:rsidRPr="008813FB">
        <w:rPr>
          <w:rFonts w:ascii="ITC Avant Garde" w:hAnsi="ITC Avant Garde"/>
          <w:bCs/>
          <w:sz w:val="20"/>
          <w:szCs w:val="20"/>
        </w:rPr>
        <w:t>l</w:t>
      </w:r>
      <w:r w:rsidRPr="008813FB">
        <w:rPr>
          <w:rFonts w:ascii="ITC Avant Garde" w:hAnsi="ITC Avant Garde"/>
          <w:bCs/>
          <w:sz w:val="20"/>
          <w:szCs w:val="20"/>
        </w:rPr>
        <w:t>a Coordinación General de Mejora Regulatoria (en lo sucesivo, la “CGMR”) ese mismo día,</w:t>
      </w:r>
      <w:r w:rsidR="00912FE2" w:rsidRPr="008813FB">
        <w:rPr>
          <w:rFonts w:ascii="ITC Avant Garde" w:hAnsi="ITC Avant Garde"/>
          <w:bCs/>
          <w:sz w:val="20"/>
          <w:szCs w:val="20"/>
        </w:rPr>
        <w:t xml:space="preserve"> vía correo electrónico,</w:t>
      </w:r>
      <w:r w:rsidR="00A776F8" w:rsidRPr="008813FB">
        <w:rPr>
          <w:rFonts w:ascii="ITC Avant Garde" w:hAnsi="ITC Avant Garde"/>
          <w:bCs/>
          <w:sz w:val="20"/>
          <w:szCs w:val="20"/>
        </w:rPr>
        <w:t xml:space="preserve"> mediante el cual </w:t>
      </w:r>
      <w:r w:rsidRPr="008813FB">
        <w:rPr>
          <w:rFonts w:ascii="ITC Avant Garde" w:hAnsi="ITC Avant Garde"/>
          <w:bCs/>
          <w:sz w:val="20"/>
          <w:szCs w:val="20"/>
        </w:rPr>
        <w:t xml:space="preserve">la Unidad de </w:t>
      </w:r>
      <w:r w:rsidR="006D05DC" w:rsidRPr="008813FB">
        <w:rPr>
          <w:rFonts w:ascii="ITC Avant Garde" w:hAnsi="ITC Avant Garde"/>
          <w:bCs/>
          <w:sz w:val="20"/>
          <w:szCs w:val="20"/>
        </w:rPr>
        <w:t>Política Regulatoria</w:t>
      </w:r>
      <w:r w:rsidRPr="008813FB">
        <w:rPr>
          <w:rFonts w:ascii="ITC Avant Garde" w:hAnsi="ITC Avant Garde"/>
          <w:bCs/>
          <w:sz w:val="20"/>
          <w:szCs w:val="20"/>
        </w:rPr>
        <w:t xml:space="preserve"> (en lo sucesivo, </w:t>
      </w:r>
      <w:r w:rsidR="006D05DC" w:rsidRPr="008813FB">
        <w:rPr>
          <w:rFonts w:ascii="ITC Avant Garde" w:hAnsi="ITC Avant Garde"/>
          <w:bCs/>
          <w:sz w:val="20"/>
          <w:szCs w:val="20"/>
        </w:rPr>
        <w:t>la “UPR</w:t>
      </w:r>
      <w:r w:rsidRPr="008813FB">
        <w:rPr>
          <w:rFonts w:ascii="ITC Avant Garde" w:hAnsi="ITC Avant Garde"/>
          <w:bCs/>
          <w:sz w:val="20"/>
          <w:szCs w:val="20"/>
        </w:rPr>
        <w:t xml:space="preserve">”) remite el </w:t>
      </w:r>
      <w:r w:rsidR="00FD0319" w:rsidRPr="008813FB">
        <w:rPr>
          <w:rFonts w:ascii="ITC Avant Garde" w:hAnsi="ITC Avant Garde"/>
          <w:bCs/>
          <w:sz w:val="20"/>
          <w:szCs w:val="20"/>
        </w:rPr>
        <w:t xml:space="preserve">Proyecto de </w:t>
      </w:r>
      <w:r w:rsidR="00FD0319" w:rsidRPr="008813FB">
        <w:rPr>
          <w:rFonts w:ascii="ITC Avant Garde" w:hAnsi="ITC Avant Garde"/>
          <w:b/>
          <w:bCs/>
          <w:sz w:val="20"/>
          <w:szCs w:val="20"/>
        </w:rPr>
        <w:t>“</w:t>
      </w:r>
      <w:r w:rsidR="00AE1A94" w:rsidRPr="008813FB">
        <w:rPr>
          <w:rFonts w:ascii="ITC Avant Garde" w:hAnsi="ITC Avant Garde"/>
          <w:b/>
          <w:bCs/>
          <w:sz w:val="20"/>
          <w:szCs w:val="20"/>
        </w:rPr>
        <w:t>Modificación a la Disposición Técnica IFT-011-2017: Especificaciones técnicas de los equipos terminales móviles que puedan hacer uso del espectro radioeléctrico o ser conectados a redes de telecomunicaciones. Parte 2. Equipos terminales móviles que operan en las bandas de 700 MHz, 800 MHz, 850 MHz, 1900 MHz, 1700 MHz/2100 MHz y/o 2500 MHz</w:t>
      </w:r>
      <w:r w:rsidR="00FD0319" w:rsidRPr="008813FB">
        <w:rPr>
          <w:rFonts w:ascii="ITC Avant Garde" w:hAnsi="ITC Avant Garde"/>
          <w:b/>
          <w:bCs/>
          <w:sz w:val="20"/>
          <w:szCs w:val="20"/>
        </w:rPr>
        <w:t>”</w:t>
      </w:r>
      <w:r w:rsidR="00FD0319" w:rsidRPr="008813FB">
        <w:rPr>
          <w:rFonts w:ascii="ITC Avant Garde" w:hAnsi="ITC Avant Garde"/>
          <w:bCs/>
          <w:sz w:val="20"/>
          <w:szCs w:val="20"/>
        </w:rPr>
        <w:t xml:space="preserve"> </w:t>
      </w:r>
      <w:r w:rsidRPr="008813FB">
        <w:rPr>
          <w:rFonts w:ascii="ITC Avant Garde" w:hAnsi="ITC Avant Garde"/>
          <w:bCs/>
          <w:sz w:val="20"/>
          <w:szCs w:val="20"/>
        </w:rPr>
        <w:t>(en lo sucesivo, el “Proyecto”), acompañado de su respectivo Análisis de Impacto Regulatorio (en lo sucesivo, el “AIR”); ello, a efecto de dar cumplimiento al proceso de mejora regulatoria previsto en el marco jurídico vigente, para la emisión de reglas, lineamientos o disposiciones administrativas de carácter general.</w:t>
      </w:r>
    </w:p>
    <w:p w14:paraId="35193C7E" w14:textId="77777777" w:rsidR="00A776F8" w:rsidRPr="008813FB" w:rsidRDefault="00A776F8" w:rsidP="00E33EAE">
      <w:pPr>
        <w:spacing w:after="0" w:line="240" w:lineRule="auto"/>
        <w:ind w:right="49"/>
        <w:jc w:val="both"/>
        <w:rPr>
          <w:rFonts w:ascii="ITC Avant Garde" w:hAnsi="ITC Avant Garde"/>
          <w:bCs/>
          <w:sz w:val="20"/>
          <w:szCs w:val="20"/>
        </w:rPr>
      </w:pPr>
    </w:p>
    <w:p w14:paraId="2432727C" w14:textId="77777777" w:rsidR="0017793B" w:rsidRPr="008813FB" w:rsidRDefault="0017793B" w:rsidP="00E33EAE">
      <w:pPr>
        <w:pStyle w:val="Default"/>
        <w:ind w:right="49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 xml:space="preserve">Al respecto, </w:t>
      </w:r>
      <w:r w:rsidR="00361066" w:rsidRPr="008813FB">
        <w:rPr>
          <w:rFonts w:ascii="ITC Avant Garde" w:hAnsi="ITC Avant Garde"/>
          <w:bCs/>
          <w:sz w:val="20"/>
          <w:szCs w:val="20"/>
        </w:rPr>
        <w:t xml:space="preserve">con fundamento en lo señalado por los artículos </w:t>
      </w:r>
      <w:r w:rsidRPr="008813FB">
        <w:rPr>
          <w:rFonts w:ascii="ITC Avant Garde" w:hAnsi="ITC Avant Garde"/>
          <w:bCs/>
          <w:sz w:val="20"/>
          <w:szCs w:val="20"/>
        </w:rPr>
        <w:t xml:space="preserve">51 de la </w:t>
      </w:r>
      <w:r w:rsidRPr="008813FB">
        <w:rPr>
          <w:rFonts w:ascii="ITC Avant Garde" w:hAnsi="ITC Avant Garde"/>
          <w:bCs/>
          <w:i/>
          <w:sz w:val="20"/>
          <w:szCs w:val="20"/>
        </w:rPr>
        <w:t>Ley Federal de Telecomunicaciones y Radiodifusión</w:t>
      </w:r>
      <w:r w:rsidR="008E364F" w:rsidRPr="008813FB">
        <w:rPr>
          <w:rFonts w:ascii="ITC Avant Garde" w:hAnsi="ITC Avant Garde"/>
          <w:bCs/>
          <w:i/>
          <w:sz w:val="20"/>
          <w:szCs w:val="20"/>
        </w:rPr>
        <w:t xml:space="preserve"> </w:t>
      </w:r>
      <w:r w:rsidR="008E364F" w:rsidRPr="008813FB">
        <w:rPr>
          <w:rFonts w:ascii="ITC Avant Garde" w:hAnsi="ITC Avant Garde"/>
          <w:bCs/>
          <w:sz w:val="20"/>
          <w:szCs w:val="20"/>
        </w:rPr>
        <w:t>(en lo sucesivo, la “LFTR”)</w:t>
      </w:r>
      <w:r w:rsidRPr="008813FB">
        <w:rPr>
          <w:rFonts w:ascii="ITC Avant Garde" w:hAnsi="ITC Avant Garde"/>
          <w:bCs/>
          <w:sz w:val="20"/>
          <w:szCs w:val="20"/>
        </w:rPr>
        <w:t xml:space="preserve">, Lineamientos Primero, Décimo Primero y Vigésimo </w:t>
      </w:r>
      <w:r w:rsidR="00F53656" w:rsidRPr="008813FB">
        <w:rPr>
          <w:rFonts w:ascii="ITC Avant Garde" w:hAnsi="ITC Avant Garde"/>
          <w:bCs/>
          <w:sz w:val="20"/>
          <w:szCs w:val="20"/>
        </w:rPr>
        <w:t>Primero</w:t>
      </w:r>
      <w:r w:rsidRPr="008813FB">
        <w:rPr>
          <w:rFonts w:ascii="ITC Avant Garde" w:hAnsi="ITC Avant Garde"/>
          <w:bCs/>
          <w:sz w:val="20"/>
          <w:szCs w:val="20"/>
        </w:rPr>
        <w:t xml:space="preserve"> a Vigésimo Cuarto de los </w:t>
      </w:r>
      <w:r w:rsidRPr="008813FB">
        <w:rPr>
          <w:rFonts w:ascii="ITC Avant Garde" w:hAnsi="ITC Avant Garde"/>
          <w:bCs/>
          <w:i/>
          <w:sz w:val="20"/>
          <w:szCs w:val="20"/>
        </w:rPr>
        <w:t>Lineamientos de Consulta Pública y Análisis de Impacto Regulatorio del Instituto Federal de Telecomunicaciones</w:t>
      </w:r>
      <w:r w:rsidR="00361066" w:rsidRPr="008813FB">
        <w:rPr>
          <w:rFonts w:ascii="ITC Avant Garde" w:hAnsi="ITC Avant Garde"/>
          <w:bCs/>
          <w:sz w:val="20"/>
          <w:szCs w:val="20"/>
          <w:vertAlign w:val="superscript"/>
        </w:rPr>
        <w:footnoteReference w:id="1"/>
      </w:r>
      <w:r w:rsidRPr="008813FB">
        <w:rPr>
          <w:rFonts w:ascii="ITC Avant Garde" w:hAnsi="ITC Avant Garde"/>
          <w:bCs/>
          <w:sz w:val="20"/>
          <w:szCs w:val="20"/>
        </w:rPr>
        <w:t xml:space="preserve">, </w:t>
      </w:r>
      <w:r w:rsidR="00564D38" w:rsidRPr="008813FB">
        <w:rPr>
          <w:rFonts w:ascii="ITC Avant Garde" w:hAnsi="ITC Avant Garde"/>
          <w:bCs/>
          <w:sz w:val="20"/>
          <w:szCs w:val="20"/>
        </w:rPr>
        <w:t xml:space="preserve">y 4, fracción VIII, inciso </w:t>
      </w:r>
      <w:proofErr w:type="spellStart"/>
      <w:r w:rsidR="00564D38" w:rsidRPr="008813FB">
        <w:rPr>
          <w:rFonts w:ascii="ITC Avant Garde" w:hAnsi="ITC Avant Garde"/>
          <w:bCs/>
          <w:sz w:val="20"/>
          <w:szCs w:val="20"/>
        </w:rPr>
        <w:t>iv</w:t>
      </w:r>
      <w:proofErr w:type="spellEnd"/>
      <w:r w:rsidR="00564D38" w:rsidRPr="008813FB">
        <w:rPr>
          <w:rFonts w:ascii="ITC Avant Garde" w:hAnsi="ITC Avant Garde"/>
          <w:bCs/>
          <w:sz w:val="20"/>
          <w:szCs w:val="20"/>
        </w:rPr>
        <w:t>),</w:t>
      </w:r>
      <w:r w:rsidR="00361066" w:rsidRPr="008813FB">
        <w:rPr>
          <w:rFonts w:ascii="ITC Avant Garde" w:hAnsi="ITC Avant Garde"/>
          <w:bCs/>
          <w:sz w:val="20"/>
          <w:szCs w:val="20"/>
        </w:rPr>
        <w:t xml:space="preserve"> y 75, fracción II,</w:t>
      </w:r>
      <w:r w:rsidR="00564D38" w:rsidRPr="008813FB">
        <w:rPr>
          <w:rFonts w:ascii="ITC Avant Garde" w:hAnsi="ITC Avant Garde"/>
          <w:bCs/>
          <w:sz w:val="20"/>
          <w:szCs w:val="20"/>
        </w:rPr>
        <w:t xml:space="preserve"> </w:t>
      </w:r>
      <w:r w:rsidRPr="008813FB">
        <w:rPr>
          <w:rFonts w:ascii="ITC Avant Garde" w:hAnsi="ITC Avant Garde"/>
          <w:bCs/>
          <w:sz w:val="20"/>
          <w:szCs w:val="20"/>
        </w:rPr>
        <w:t xml:space="preserve">del </w:t>
      </w:r>
      <w:r w:rsidRPr="008813FB">
        <w:rPr>
          <w:rFonts w:ascii="ITC Avant Garde" w:hAnsi="ITC Avant Garde"/>
          <w:bCs/>
          <w:i/>
          <w:sz w:val="20"/>
          <w:szCs w:val="20"/>
        </w:rPr>
        <w:t>Estatuto Orgánico del Instituto Federal de Telecomunicaciones</w:t>
      </w:r>
      <w:r w:rsidR="00F53656" w:rsidRPr="008813FB">
        <w:rPr>
          <w:rFonts w:ascii="ITC Avant Garde" w:hAnsi="ITC Avant Garde"/>
          <w:bCs/>
          <w:sz w:val="20"/>
          <w:szCs w:val="20"/>
        </w:rPr>
        <w:t>, l</w:t>
      </w:r>
      <w:r w:rsidRPr="008813FB">
        <w:rPr>
          <w:rFonts w:ascii="ITC Avant Garde" w:hAnsi="ITC Avant Garde"/>
          <w:bCs/>
          <w:sz w:val="20"/>
          <w:szCs w:val="20"/>
        </w:rPr>
        <w:t>a CGMR emite la presente opinión no vinculante sobre el AIR del Proyecto, considerándose que, con el mismo, el Institut</w:t>
      </w:r>
      <w:r w:rsidR="00361066" w:rsidRPr="008813FB">
        <w:rPr>
          <w:rFonts w:ascii="ITC Avant Garde" w:hAnsi="ITC Avant Garde"/>
          <w:bCs/>
          <w:sz w:val="20"/>
          <w:szCs w:val="20"/>
        </w:rPr>
        <w:t xml:space="preserve">o Federal de Telecomunicaciones </w:t>
      </w:r>
      <w:r w:rsidRPr="008813FB">
        <w:rPr>
          <w:rFonts w:ascii="ITC Avant Garde" w:hAnsi="ITC Avant Garde"/>
          <w:bCs/>
          <w:sz w:val="20"/>
          <w:szCs w:val="20"/>
        </w:rPr>
        <w:t>transparenta y justifica diversos rubros y aspectos contenidos en la propuesta regulatoria de mérito.</w:t>
      </w:r>
    </w:p>
    <w:p w14:paraId="3E5EC82D" w14:textId="77777777" w:rsidR="0017793B" w:rsidRPr="008813FB" w:rsidRDefault="0017793B" w:rsidP="00E33EAE">
      <w:pPr>
        <w:pStyle w:val="Default"/>
        <w:ind w:right="49"/>
        <w:jc w:val="both"/>
        <w:rPr>
          <w:rFonts w:ascii="ITC Avant Garde" w:hAnsi="ITC Avant Garde"/>
          <w:bCs/>
          <w:sz w:val="20"/>
          <w:szCs w:val="20"/>
        </w:rPr>
      </w:pPr>
    </w:p>
    <w:p w14:paraId="55324AFA" w14:textId="77777777" w:rsidR="0017793B" w:rsidRPr="008813FB" w:rsidRDefault="00ED15E9" w:rsidP="00E33EAE">
      <w:pPr>
        <w:pStyle w:val="Default"/>
        <w:ind w:right="49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>No obstante</w:t>
      </w:r>
      <w:r w:rsidR="0017793B" w:rsidRPr="008813FB">
        <w:rPr>
          <w:rFonts w:ascii="ITC Avant Garde" w:hAnsi="ITC Avant Garde"/>
          <w:bCs/>
          <w:sz w:val="20"/>
          <w:szCs w:val="20"/>
        </w:rPr>
        <w:t>, a efecto de robustecer el c</w:t>
      </w:r>
      <w:r w:rsidR="00F37E68" w:rsidRPr="008813FB">
        <w:rPr>
          <w:rFonts w:ascii="ITC Avant Garde" w:hAnsi="ITC Avant Garde"/>
          <w:bCs/>
          <w:sz w:val="20"/>
          <w:szCs w:val="20"/>
        </w:rPr>
        <w:t>ontenido del AIR</w:t>
      </w:r>
      <w:r w:rsidR="0017793B" w:rsidRPr="008813FB">
        <w:rPr>
          <w:rFonts w:ascii="ITC Avant Garde" w:hAnsi="ITC Avant Garde"/>
          <w:bCs/>
          <w:sz w:val="20"/>
          <w:szCs w:val="20"/>
        </w:rPr>
        <w:t xml:space="preserve">, la CGMR somete a consideración de la </w:t>
      </w:r>
      <w:r w:rsidR="00361066" w:rsidRPr="008813FB">
        <w:rPr>
          <w:rFonts w:ascii="ITC Avant Garde" w:hAnsi="ITC Avant Garde"/>
          <w:bCs/>
          <w:sz w:val="20"/>
          <w:szCs w:val="20"/>
        </w:rPr>
        <w:t>UPR</w:t>
      </w:r>
      <w:r w:rsidR="0017793B" w:rsidRPr="008813FB">
        <w:rPr>
          <w:rFonts w:ascii="ITC Avant Garde" w:hAnsi="ITC Avant Garde"/>
          <w:bCs/>
          <w:sz w:val="20"/>
          <w:szCs w:val="20"/>
        </w:rPr>
        <w:t>, los siguientes comentarios y aportaciones sobre su contenido:</w:t>
      </w:r>
    </w:p>
    <w:p w14:paraId="0573307E" w14:textId="77777777" w:rsidR="00B00BBA" w:rsidRPr="008813FB" w:rsidRDefault="00B00BBA" w:rsidP="00E33EAE">
      <w:pPr>
        <w:pStyle w:val="Default"/>
        <w:ind w:right="49"/>
        <w:jc w:val="both"/>
        <w:rPr>
          <w:rFonts w:ascii="ITC Avant Garde" w:hAnsi="ITC Avant Garde"/>
          <w:bCs/>
          <w:sz w:val="20"/>
          <w:szCs w:val="20"/>
        </w:rPr>
      </w:pPr>
    </w:p>
    <w:p w14:paraId="2F17F2D1" w14:textId="77777777" w:rsidR="00DC7C39" w:rsidRPr="008813FB" w:rsidRDefault="00DC7C39" w:rsidP="0057678D">
      <w:pPr>
        <w:pStyle w:val="Default"/>
        <w:numPr>
          <w:ilvl w:val="0"/>
          <w:numId w:val="6"/>
        </w:numPr>
        <w:ind w:left="567" w:right="49" w:hanging="425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>En el numeral 1</w:t>
      </w:r>
      <w:r w:rsidR="00483325" w:rsidRPr="008813FB">
        <w:rPr>
          <w:rFonts w:ascii="ITC Avant Garde" w:hAnsi="ITC Avant Garde"/>
          <w:bCs/>
          <w:sz w:val="20"/>
          <w:szCs w:val="20"/>
        </w:rPr>
        <w:t xml:space="preserve"> del AIR, relacionado con</w:t>
      </w:r>
      <w:r w:rsidR="000A5243" w:rsidRPr="008813FB">
        <w:rPr>
          <w:rFonts w:ascii="ITC Avant Garde" w:hAnsi="ITC Avant Garde"/>
          <w:bCs/>
          <w:sz w:val="20"/>
          <w:szCs w:val="20"/>
        </w:rPr>
        <w:t xml:space="preserve"> </w:t>
      </w:r>
      <w:r w:rsidRPr="008813FB">
        <w:rPr>
          <w:rFonts w:ascii="ITC Avant Garde" w:hAnsi="ITC Avant Garde"/>
          <w:bCs/>
          <w:sz w:val="20"/>
          <w:szCs w:val="20"/>
        </w:rPr>
        <w:t xml:space="preserve">la problemática que se pretende prevenir o resolver con la propuesta de regulación, la CGMR sugiere a la UPR definir el significado de las siglas </w:t>
      </w:r>
      <w:r w:rsidR="005672D1" w:rsidRPr="008813FB">
        <w:rPr>
          <w:rFonts w:ascii="ITC Avant Garde" w:hAnsi="ITC Avant Garde"/>
          <w:bCs/>
          <w:sz w:val="20"/>
          <w:szCs w:val="20"/>
        </w:rPr>
        <w:t xml:space="preserve">“ETM”, </w:t>
      </w:r>
      <w:r w:rsidR="00074862" w:rsidRPr="008813FB">
        <w:rPr>
          <w:rFonts w:ascii="ITC Avant Garde" w:hAnsi="ITC Avant Garde"/>
          <w:bCs/>
          <w:sz w:val="20"/>
          <w:szCs w:val="20"/>
        </w:rPr>
        <w:t>contenidas</w:t>
      </w:r>
      <w:r w:rsidR="005672D1" w:rsidRPr="008813FB">
        <w:rPr>
          <w:rFonts w:ascii="ITC Avant Garde" w:hAnsi="ITC Avant Garde"/>
          <w:bCs/>
          <w:sz w:val="20"/>
          <w:szCs w:val="20"/>
        </w:rPr>
        <w:t xml:space="preserve"> en el título del segundo párrafo, debido a que éstas son utilizadas </w:t>
      </w:r>
      <w:r w:rsidR="00CE0CA1" w:rsidRPr="008813FB">
        <w:rPr>
          <w:rFonts w:ascii="ITC Avant Garde" w:hAnsi="ITC Avant Garde"/>
          <w:bCs/>
          <w:sz w:val="20"/>
          <w:szCs w:val="20"/>
        </w:rPr>
        <w:t>en varias ocasiones</w:t>
      </w:r>
      <w:r w:rsidR="005672D1" w:rsidRPr="008813FB">
        <w:rPr>
          <w:rFonts w:ascii="ITC Avant Garde" w:hAnsi="ITC Avant Garde"/>
          <w:bCs/>
          <w:sz w:val="20"/>
          <w:szCs w:val="20"/>
        </w:rPr>
        <w:t>.</w:t>
      </w:r>
    </w:p>
    <w:p w14:paraId="44CB19BC" w14:textId="77777777" w:rsidR="005672D1" w:rsidRPr="008813FB" w:rsidRDefault="005672D1" w:rsidP="005672D1">
      <w:pPr>
        <w:pStyle w:val="Default"/>
        <w:ind w:left="851" w:right="49"/>
        <w:jc w:val="both"/>
        <w:rPr>
          <w:rFonts w:ascii="ITC Avant Garde" w:hAnsi="ITC Avant Garde"/>
          <w:bCs/>
          <w:sz w:val="20"/>
          <w:szCs w:val="20"/>
        </w:rPr>
      </w:pPr>
    </w:p>
    <w:p w14:paraId="3EA72B05" w14:textId="77777777" w:rsidR="005672D1" w:rsidRPr="008813FB" w:rsidRDefault="005672D1" w:rsidP="0057678D">
      <w:pPr>
        <w:pStyle w:val="Default"/>
        <w:ind w:left="567" w:right="49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 xml:space="preserve">En el mismo apartado, la CGMR hace del conocimiento de la UPR que el enlace contenido en </w:t>
      </w:r>
      <w:r w:rsidR="004200B2" w:rsidRPr="008813FB">
        <w:rPr>
          <w:rFonts w:ascii="ITC Avant Garde" w:hAnsi="ITC Avant Garde"/>
          <w:bCs/>
          <w:sz w:val="20"/>
          <w:szCs w:val="20"/>
        </w:rPr>
        <w:t>la</w:t>
      </w:r>
      <w:r w:rsidRPr="008813FB">
        <w:rPr>
          <w:rFonts w:ascii="ITC Avant Garde" w:hAnsi="ITC Avant Garde"/>
          <w:bCs/>
          <w:sz w:val="20"/>
          <w:szCs w:val="20"/>
        </w:rPr>
        <w:t xml:space="preserve"> segunda nota al pie de página, </w:t>
      </w:r>
      <w:r w:rsidR="004200B2" w:rsidRPr="008813FB">
        <w:rPr>
          <w:rFonts w:ascii="ITC Avant Garde" w:hAnsi="ITC Avant Garde"/>
          <w:bCs/>
          <w:sz w:val="20"/>
          <w:szCs w:val="20"/>
        </w:rPr>
        <w:t xml:space="preserve">dirige a un portal en el que se solicita una suscripción para </w:t>
      </w:r>
      <w:r w:rsidR="004200B2" w:rsidRPr="008813FB">
        <w:rPr>
          <w:rFonts w:ascii="ITC Avant Garde" w:hAnsi="ITC Avant Garde"/>
          <w:bCs/>
          <w:sz w:val="20"/>
          <w:szCs w:val="20"/>
        </w:rPr>
        <w:lastRenderedPageBreak/>
        <w:t>poder consultar la información, a este respecto se recomienda considerar fuentes públicas alternativas que puedan demostrar la información aquí referida.</w:t>
      </w:r>
    </w:p>
    <w:p w14:paraId="2E2A43F9" w14:textId="77777777" w:rsidR="00074862" w:rsidRPr="008813FB" w:rsidRDefault="00074862" w:rsidP="004200B2">
      <w:pPr>
        <w:pStyle w:val="Default"/>
        <w:ind w:left="851" w:right="49"/>
        <w:jc w:val="both"/>
        <w:rPr>
          <w:rFonts w:ascii="ITC Avant Garde" w:hAnsi="ITC Avant Garde"/>
          <w:bCs/>
          <w:sz w:val="20"/>
          <w:szCs w:val="20"/>
        </w:rPr>
      </w:pPr>
    </w:p>
    <w:p w14:paraId="267E632D" w14:textId="77777777" w:rsidR="00074862" w:rsidRPr="008813FB" w:rsidRDefault="0075267F" w:rsidP="0057678D">
      <w:pPr>
        <w:pStyle w:val="Default"/>
        <w:ind w:left="567" w:right="49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>De igual forma</w:t>
      </w:r>
      <w:r w:rsidR="00074862" w:rsidRPr="008813FB">
        <w:rPr>
          <w:rFonts w:ascii="ITC Avant Garde" w:hAnsi="ITC Avant Garde"/>
          <w:bCs/>
          <w:sz w:val="20"/>
          <w:szCs w:val="20"/>
        </w:rPr>
        <w:t>, en el segundo párrafo de éste</w:t>
      </w:r>
      <w:r w:rsidRPr="008813FB">
        <w:rPr>
          <w:rFonts w:ascii="ITC Avant Garde" w:hAnsi="ITC Avant Garde"/>
          <w:bCs/>
          <w:sz w:val="20"/>
          <w:szCs w:val="20"/>
        </w:rPr>
        <w:t xml:space="preserve"> apartado,</w:t>
      </w:r>
      <w:r w:rsidR="00074862" w:rsidRPr="008813FB">
        <w:rPr>
          <w:rFonts w:ascii="ITC Avant Garde" w:hAnsi="ITC Avant Garde"/>
          <w:bCs/>
          <w:sz w:val="20"/>
          <w:szCs w:val="20"/>
        </w:rPr>
        <w:t xml:space="preserve"> </w:t>
      </w:r>
      <w:r w:rsidR="00DB63BC" w:rsidRPr="008813FB">
        <w:rPr>
          <w:rFonts w:ascii="ITC Avant Garde" w:hAnsi="ITC Avant Garde"/>
          <w:bCs/>
          <w:sz w:val="20"/>
          <w:szCs w:val="20"/>
        </w:rPr>
        <w:t>se</w:t>
      </w:r>
      <w:r w:rsidR="00074862" w:rsidRPr="008813FB">
        <w:rPr>
          <w:rFonts w:ascii="ITC Avant Garde" w:hAnsi="ITC Avant Garde"/>
          <w:bCs/>
          <w:sz w:val="20"/>
          <w:szCs w:val="20"/>
        </w:rPr>
        <w:t xml:space="preserve"> hace mención </w:t>
      </w:r>
      <w:r w:rsidRPr="008813FB">
        <w:rPr>
          <w:rFonts w:ascii="ITC Avant Garde" w:hAnsi="ITC Avant Garde"/>
          <w:bCs/>
          <w:sz w:val="20"/>
          <w:szCs w:val="20"/>
        </w:rPr>
        <w:t>a</w:t>
      </w:r>
      <w:r w:rsidR="00074862" w:rsidRPr="008813FB">
        <w:rPr>
          <w:rFonts w:ascii="ITC Avant Garde" w:hAnsi="ITC Avant Garde"/>
          <w:bCs/>
          <w:sz w:val="20"/>
          <w:szCs w:val="20"/>
        </w:rPr>
        <w:t xml:space="preserve">l reporte denominado “Digital </w:t>
      </w:r>
      <w:proofErr w:type="spellStart"/>
      <w:r w:rsidR="00074862" w:rsidRPr="008813FB">
        <w:rPr>
          <w:rFonts w:ascii="ITC Avant Garde" w:hAnsi="ITC Avant Garde"/>
          <w:bCs/>
          <w:sz w:val="20"/>
          <w:szCs w:val="20"/>
        </w:rPr>
        <w:t>Consumer</w:t>
      </w:r>
      <w:proofErr w:type="spellEnd"/>
      <w:r w:rsidR="00074862" w:rsidRPr="008813FB">
        <w:rPr>
          <w:rFonts w:ascii="ITC Avant Garde" w:hAnsi="ITC Avant Garde"/>
          <w:bCs/>
          <w:sz w:val="20"/>
          <w:szCs w:val="20"/>
        </w:rPr>
        <w:t xml:space="preserve"> </w:t>
      </w:r>
      <w:proofErr w:type="spellStart"/>
      <w:r w:rsidR="00074862" w:rsidRPr="008813FB">
        <w:rPr>
          <w:rFonts w:ascii="ITC Avant Garde" w:hAnsi="ITC Avant Garde"/>
          <w:bCs/>
          <w:sz w:val="20"/>
          <w:szCs w:val="20"/>
        </w:rPr>
        <w:t>Insights</w:t>
      </w:r>
      <w:proofErr w:type="spellEnd"/>
      <w:r w:rsidR="00074862" w:rsidRPr="008813FB">
        <w:rPr>
          <w:rFonts w:ascii="ITC Avant Garde" w:hAnsi="ITC Avant Garde"/>
          <w:bCs/>
          <w:sz w:val="20"/>
          <w:szCs w:val="20"/>
        </w:rPr>
        <w:t xml:space="preserve"> 2020: </w:t>
      </w:r>
      <w:proofErr w:type="spellStart"/>
      <w:r w:rsidR="00074862" w:rsidRPr="008813FB">
        <w:rPr>
          <w:rFonts w:ascii="ITC Avant Garde" w:hAnsi="ITC Avant Garde"/>
          <w:bCs/>
          <w:sz w:val="20"/>
          <w:szCs w:val="20"/>
        </w:rPr>
        <w:t>Latin</w:t>
      </w:r>
      <w:proofErr w:type="spellEnd"/>
      <w:r w:rsidR="00074862" w:rsidRPr="008813FB">
        <w:rPr>
          <w:rFonts w:ascii="ITC Avant Garde" w:hAnsi="ITC Avant Garde"/>
          <w:bCs/>
          <w:sz w:val="20"/>
          <w:szCs w:val="20"/>
        </w:rPr>
        <w:t xml:space="preserve"> </w:t>
      </w:r>
      <w:proofErr w:type="spellStart"/>
      <w:r w:rsidR="00074862" w:rsidRPr="008813FB">
        <w:rPr>
          <w:rFonts w:ascii="ITC Avant Garde" w:hAnsi="ITC Avant Garde"/>
          <w:bCs/>
          <w:sz w:val="20"/>
          <w:szCs w:val="20"/>
        </w:rPr>
        <w:t>America</w:t>
      </w:r>
      <w:proofErr w:type="spellEnd"/>
      <w:r w:rsidR="00074862" w:rsidRPr="008813FB">
        <w:rPr>
          <w:rFonts w:ascii="ITC Avant Garde" w:hAnsi="ITC Avant Garde"/>
          <w:bCs/>
          <w:sz w:val="20"/>
          <w:szCs w:val="20"/>
        </w:rPr>
        <w:t>”</w:t>
      </w:r>
      <w:r w:rsidR="00296EE5" w:rsidRPr="008813FB">
        <w:rPr>
          <w:rFonts w:ascii="ITC Avant Garde" w:hAnsi="ITC Avant Garde"/>
          <w:bCs/>
          <w:sz w:val="20"/>
          <w:szCs w:val="20"/>
        </w:rPr>
        <w:t>,</w:t>
      </w:r>
      <w:r w:rsidR="00074862" w:rsidRPr="008813FB">
        <w:rPr>
          <w:rFonts w:ascii="ITC Avant Garde" w:hAnsi="ITC Avant Garde"/>
          <w:bCs/>
          <w:sz w:val="20"/>
          <w:szCs w:val="20"/>
        </w:rPr>
        <w:t xml:space="preserve"> </w:t>
      </w:r>
      <w:r w:rsidRPr="008813FB">
        <w:rPr>
          <w:rFonts w:ascii="ITC Avant Garde" w:hAnsi="ITC Avant Garde"/>
          <w:bCs/>
          <w:sz w:val="20"/>
          <w:szCs w:val="20"/>
        </w:rPr>
        <w:t xml:space="preserve">el cual </w:t>
      </w:r>
      <w:r w:rsidR="00074862" w:rsidRPr="008813FB">
        <w:rPr>
          <w:rFonts w:ascii="ITC Avant Garde" w:hAnsi="ITC Avant Garde"/>
          <w:bCs/>
          <w:sz w:val="20"/>
          <w:szCs w:val="20"/>
        </w:rPr>
        <w:t xml:space="preserve">muestra </w:t>
      </w:r>
      <w:r w:rsidR="00DB63BC" w:rsidRPr="008813FB">
        <w:rPr>
          <w:rFonts w:ascii="ITC Avant Garde" w:hAnsi="ITC Avant Garde"/>
          <w:bCs/>
          <w:sz w:val="20"/>
          <w:szCs w:val="20"/>
        </w:rPr>
        <w:t xml:space="preserve">el porcentaje de participación de los principales fabricantes de </w:t>
      </w:r>
      <w:r w:rsidR="00DB63BC" w:rsidRPr="008813FB">
        <w:rPr>
          <w:rFonts w:ascii="ITC Avant Garde" w:hAnsi="ITC Avant Garde"/>
          <w:bCs/>
          <w:i/>
          <w:sz w:val="20"/>
          <w:szCs w:val="20"/>
        </w:rPr>
        <w:t>Smartphones</w:t>
      </w:r>
      <w:r w:rsidR="00DB63BC" w:rsidRPr="008813FB">
        <w:rPr>
          <w:rFonts w:ascii="ITC Avant Garde" w:hAnsi="ITC Avant Garde"/>
          <w:bCs/>
          <w:sz w:val="20"/>
          <w:szCs w:val="20"/>
        </w:rPr>
        <w:t xml:space="preserve"> en México, sin embargo, la UPR únicamente </w:t>
      </w:r>
      <w:r w:rsidRPr="008813FB">
        <w:rPr>
          <w:rFonts w:ascii="ITC Avant Garde" w:hAnsi="ITC Avant Garde"/>
          <w:bCs/>
          <w:sz w:val="20"/>
          <w:szCs w:val="20"/>
        </w:rPr>
        <w:t>considera en su análisis a</w:t>
      </w:r>
      <w:r w:rsidR="00DB63BC" w:rsidRPr="008813FB">
        <w:rPr>
          <w:rFonts w:ascii="ITC Avant Garde" w:hAnsi="ITC Avant Garde"/>
          <w:bCs/>
          <w:sz w:val="20"/>
          <w:szCs w:val="20"/>
        </w:rPr>
        <w:t xml:space="preserve"> los fabricantes ubicados en los lugares primero, tercero y cuarto, omitiendo el segundo lugar el cual tiene</w:t>
      </w:r>
      <w:r w:rsidRPr="008813FB">
        <w:rPr>
          <w:rFonts w:ascii="ITC Avant Garde" w:hAnsi="ITC Avant Garde"/>
          <w:bCs/>
          <w:sz w:val="20"/>
          <w:szCs w:val="20"/>
        </w:rPr>
        <w:t xml:space="preserve"> una participación del 19 % en el mercado</w:t>
      </w:r>
      <w:r w:rsidR="00296EE5" w:rsidRPr="008813FB">
        <w:rPr>
          <w:rFonts w:ascii="ITC Avant Garde" w:hAnsi="ITC Avant Garde"/>
          <w:bCs/>
          <w:sz w:val="20"/>
          <w:szCs w:val="20"/>
        </w:rPr>
        <w:t>, lo anterior conforme a la gráfica de la “Figura 1.</w:t>
      </w:r>
      <w:r w:rsidR="00296EE5" w:rsidRPr="008813FB">
        <w:rPr>
          <w:rFonts w:ascii="ITC Avant Garde" w:hAnsi="ITC Avant Garde"/>
          <w:sz w:val="20"/>
          <w:szCs w:val="20"/>
        </w:rPr>
        <w:t xml:space="preserve"> </w:t>
      </w:r>
      <w:r w:rsidR="00296EE5" w:rsidRPr="008813FB">
        <w:rPr>
          <w:rFonts w:ascii="ITC Avant Garde" w:hAnsi="ITC Avant Garde"/>
          <w:bCs/>
          <w:sz w:val="20"/>
          <w:szCs w:val="20"/>
        </w:rPr>
        <w:t>Principales marcas de Fabricantes de Smartphones en México”</w:t>
      </w:r>
      <w:r w:rsidRPr="008813FB">
        <w:rPr>
          <w:rFonts w:ascii="ITC Avant Garde" w:hAnsi="ITC Avant Garde"/>
          <w:bCs/>
          <w:sz w:val="20"/>
          <w:szCs w:val="20"/>
        </w:rPr>
        <w:t>, en este sentido, se sugiere homologar la redacción con</w:t>
      </w:r>
      <w:r w:rsidR="00296EE5" w:rsidRPr="008813FB">
        <w:rPr>
          <w:rFonts w:ascii="ITC Avant Garde" w:hAnsi="ITC Avant Garde"/>
          <w:bCs/>
          <w:sz w:val="20"/>
          <w:szCs w:val="20"/>
        </w:rPr>
        <w:t>forme a</w:t>
      </w:r>
      <w:r w:rsidRPr="008813FB">
        <w:rPr>
          <w:rFonts w:ascii="ITC Avant Garde" w:hAnsi="ITC Avant Garde"/>
          <w:bCs/>
          <w:sz w:val="20"/>
          <w:szCs w:val="20"/>
        </w:rPr>
        <w:t xml:space="preserve"> </w:t>
      </w:r>
      <w:r w:rsidR="001015CB" w:rsidRPr="008813FB">
        <w:rPr>
          <w:rFonts w:ascii="ITC Avant Garde" w:hAnsi="ITC Avant Garde"/>
          <w:bCs/>
          <w:sz w:val="20"/>
          <w:szCs w:val="20"/>
        </w:rPr>
        <w:t xml:space="preserve">la información </w:t>
      </w:r>
      <w:r w:rsidR="00296EE5" w:rsidRPr="008813FB">
        <w:rPr>
          <w:rFonts w:ascii="ITC Avant Garde" w:hAnsi="ITC Avant Garde"/>
          <w:bCs/>
          <w:sz w:val="20"/>
          <w:szCs w:val="20"/>
        </w:rPr>
        <w:t>establecida en dicha gráfica o en su caso señalar la razón por la que no fue considerado dicho fabricante.</w:t>
      </w:r>
    </w:p>
    <w:p w14:paraId="59AF8645" w14:textId="77777777" w:rsidR="00296EE5" w:rsidRPr="008813FB" w:rsidRDefault="00296EE5" w:rsidP="0057678D">
      <w:pPr>
        <w:pStyle w:val="Default"/>
        <w:ind w:left="567" w:right="49"/>
        <w:jc w:val="both"/>
        <w:rPr>
          <w:rFonts w:ascii="ITC Avant Garde" w:hAnsi="ITC Avant Garde"/>
          <w:bCs/>
          <w:sz w:val="20"/>
          <w:szCs w:val="20"/>
        </w:rPr>
      </w:pPr>
    </w:p>
    <w:p w14:paraId="3DBEE580" w14:textId="77777777" w:rsidR="008A3A0E" w:rsidRPr="008813FB" w:rsidRDefault="0000430D" w:rsidP="0057678D">
      <w:pPr>
        <w:pStyle w:val="Default"/>
        <w:ind w:left="567" w:right="49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 xml:space="preserve">Por otra parte, </w:t>
      </w:r>
      <w:r w:rsidR="00BE1951" w:rsidRPr="008813FB">
        <w:rPr>
          <w:rFonts w:ascii="ITC Avant Garde" w:hAnsi="ITC Avant Garde"/>
          <w:bCs/>
          <w:sz w:val="20"/>
          <w:szCs w:val="20"/>
        </w:rPr>
        <w:t>en el tercer párrafo de este apartado, se cita el porcentaje de tráfico de datos del estándar tecnológico 4G incluido LTE, del periodo 2015 a 2019, del Banco de Información de Telecomunicaciones</w:t>
      </w:r>
      <w:r w:rsidR="00766BCD" w:rsidRPr="008813FB">
        <w:rPr>
          <w:rFonts w:ascii="ITC Avant Garde" w:hAnsi="ITC Avant Garde"/>
          <w:bCs/>
          <w:sz w:val="20"/>
          <w:szCs w:val="20"/>
        </w:rPr>
        <w:t xml:space="preserve"> del Instituto Federal de Telecomunicaciones (en lo sucesivo, el “BIT”)</w:t>
      </w:r>
      <w:r w:rsidR="00BE1951" w:rsidRPr="008813FB">
        <w:rPr>
          <w:rFonts w:ascii="ITC Avant Garde" w:hAnsi="ITC Avant Garde"/>
          <w:bCs/>
          <w:sz w:val="20"/>
          <w:szCs w:val="20"/>
        </w:rPr>
        <w:t>,</w:t>
      </w:r>
      <w:r w:rsidR="00886099" w:rsidRPr="008813FB">
        <w:rPr>
          <w:rFonts w:ascii="ITC Avant Garde" w:hAnsi="ITC Avant Garde"/>
          <w:bCs/>
          <w:sz w:val="20"/>
          <w:szCs w:val="20"/>
        </w:rPr>
        <w:t xml:space="preserve"> al respecto</w:t>
      </w:r>
      <w:r w:rsidR="00BE1951" w:rsidRPr="008813FB">
        <w:rPr>
          <w:rFonts w:ascii="ITC Avant Garde" w:hAnsi="ITC Avant Garde"/>
          <w:bCs/>
          <w:sz w:val="20"/>
          <w:szCs w:val="20"/>
        </w:rPr>
        <w:t xml:space="preserve"> la CGMR sugiere a la UPR actualizar </w:t>
      </w:r>
      <w:r w:rsidR="008A3A0E" w:rsidRPr="008813FB">
        <w:rPr>
          <w:rFonts w:ascii="ITC Avant Garde" w:hAnsi="ITC Avant Garde"/>
          <w:bCs/>
          <w:sz w:val="20"/>
          <w:szCs w:val="20"/>
        </w:rPr>
        <w:t>dicha</w:t>
      </w:r>
      <w:r w:rsidR="00BE1951" w:rsidRPr="008813FB">
        <w:rPr>
          <w:rFonts w:ascii="ITC Avant Garde" w:hAnsi="ITC Avant Garde"/>
          <w:bCs/>
          <w:sz w:val="20"/>
          <w:szCs w:val="20"/>
        </w:rPr>
        <w:t xml:space="preserve"> información </w:t>
      </w:r>
      <w:r w:rsidR="008A3A0E" w:rsidRPr="008813FB">
        <w:rPr>
          <w:rFonts w:ascii="ITC Avant Garde" w:hAnsi="ITC Avant Garde"/>
          <w:bCs/>
          <w:sz w:val="20"/>
          <w:szCs w:val="20"/>
        </w:rPr>
        <w:t xml:space="preserve">con los datos </w:t>
      </w:r>
      <w:r w:rsidR="00886099" w:rsidRPr="008813FB">
        <w:rPr>
          <w:rFonts w:ascii="ITC Avant Garde" w:hAnsi="ITC Avant Garde"/>
          <w:bCs/>
          <w:sz w:val="20"/>
          <w:szCs w:val="20"/>
        </w:rPr>
        <w:t>generados al</w:t>
      </w:r>
      <w:r w:rsidR="008A3A0E" w:rsidRPr="008813FB">
        <w:rPr>
          <w:rFonts w:ascii="ITC Avant Garde" w:hAnsi="ITC Avant Garde"/>
          <w:bCs/>
          <w:sz w:val="20"/>
          <w:szCs w:val="20"/>
        </w:rPr>
        <w:t xml:space="preserve"> segundo trimestre del 2020</w:t>
      </w:r>
      <w:r w:rsidR="00886099" w:rsidRPr="008813FB">
        <w:rPr>
          <w:rFonts w:ascii="ITC Avant Garde" w:hAnsi="ITC Avant Garde"/>
          <w:bCs/>
          <w:sz w:val="20"/>
          <w:szCs w:val="20"/>
        </w:rPr>
        <w:t xml:space="preserve"> en dicha plataforma informática</w:t>
      </w:r>
      <w:r w:rsidR="008A3A0E" w:rsidRPr="008813FB">
        <w:rPr>
          <w:rFonts w:ascii="ITC Avant Garde" w:hAnsi="ITC Avant Garde"/>
          <w:bCs/>
          <w:sz w:val="20"/>
          <w:szCs w:val="20"/>
        </w:rPr>
        <w:t>.</w:t>
      </w:r>
    </w:p>
    <w:p w14:paraId="5F773092" w14:textId="77777777" w:rsidR="008A3A0E" w:rsidRPr="008813FB" w:rsidRDefault="008A3A0E" w:rsidP="0057678D">
      <w:pPr>
        <w:pStyle w:val="Default"/>
        <w:ind w:left="567" w:right="49"/>
        <w:jc w:val="both"/>
        <w:rPr>
          <w:rFonts w:ascii="ITC Avant Garde" w:hAnsi="ITC Avant Garde"/>
          <w:bCs/>
          <w:sz w:val="20"/>
          <w:szCs w:val="20"/>
        </w:rPr>
      </w:pPr>
    </w:p>
    <w:p w14:paraId="7A8F3F68" w14:textId="77777777" w:rsidR="005672D1" w:rsidRPr="008813FB" w:rsidRDefault="008A3A0E" w:rsidP="0057678D">
      <w:pPr>
        <w:pStyle w:val="Default"/>
        <w:ind w:left="567" w:right="49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>Por último, respecto a las figuras 2 y 3</w:t>
      </w:r>
      <w:r w:rsidR="00886099" w:rsidRPr="008813FB">
        <w:rPr>
          <w:rFonts w:ascii="ITC Avant Garde" w:hAnsi="ITC Avant Garde"/>
          <w:bCs/>
          <w:sz w:val="20"/>
          <w:szCs w:val="20"/>
        </w:rPr>
        <w:t>,</w:t>
      </w:r>
      <w:r w:rsidRPr="008813FB">
        <w:rPr>
          <w:rFonts w:ascii="ITC Avant Garde" w:hAnsi="ITC Avant Garde"/>
          <w:bCs/>
          <w:sz w:val="20"/>
          <w:szCs w:val="20"/>
        </w:rPr>
        <w:t xml:space="preserve"> contenidas en este apartado, la CGMR sugiere a la UPR señalar la fuente de la cual fueron extraídas dichas imágenes</w:t>
      </w:r>
      <w:r w:rsidR="00886099" w:rsidRPr="008813FB">
        <w:rPr>
          <w:rFonts w:ascii="ITC Avant Garde" w:hAnsi="ITC Avant Garde"/>
          <w:bCs/>
          <w:sz w:val="20"/>
          <w:szCs w:val="20"/>
        </w:rPr>
        <w:t xml:space="preserve"> o en su caso señalar que fueron</w:t>
      </w:r>
      <w:r w:rsidR="00DD07A9" w:rsidRPr="008813FB">
        <w:rPr>
          <w:rFonts w:ascii="ITC Avant Garde" w:hAnsi="ITC Avant Garde"/>
          <w:bCs/>
          <w:sz w:val="20"/>
          <w:szCs w:val="20"/>
        </w:rPr>
        <w:t xml:space="preserve"> de elaboración propia</w:t>
      </w:r>
      <w:r w:rsidRPr="008813FB">
        <w:rPr>
          <w:rFonts w:ascii="ITC Avant Garde" w:hAnsi="ITC Avant Garde"/>
          <w:bCs/>
          <w:sz w:val="20"/>
          <w:szCs w:val="20"/>
        </w:rPr>
        <w:t>.</w:t>
      </w:r>
      <w:r w:rsidR="00BE1951" w:rsidRPr="008813FB">
        <w:rPr>
          <w:rFonts w:ascii="ITC Avant Garde" w:hAnsi="ITC Avant Garde"/>
          <w:bCs/>
          <w:sz w:val="20"/>
          <w:szCs w:val="20"/>
        </w:rPr>
        <w:t xml:space="preserve">  </w:t>
      </w:r>
    </w:p>
    <w:p w14:paraId="648067F9" w14:textId="77777777" w:rsidR="005672D1" w:rsidRPr="008813FB" w:rsidRDefault="005672D1" w:rsidP="005672D1">
      <w:pPr>
        <w:pStyle w:val="Default"/>
        <w:ind w:right="49"/>
        <w:jc w:val="both"/>
        <w:rPr>
          <w:rFonts w:ascii="ITC Avant Garde" w:hAnsi="ITC Avant Garde"/>
          <w:bCs/>
          <w:sz w:val="20"/>
          <w:szCs w:val="20"/>
        </w:rPr>
      </w:pPr>
    </w:p>
    <w:p w14:paraId="2D21AA94" w14:textId="77777777" w:rsidR="00DC7C39" w:rsidRPr="008813FB" w:rsidRDefault="00766BCD" w:rsidP="0057678D">
      <w:pPr>
        <w:pStyle w:val="Default"/>
        <w:numPr>
          <w:ilvl w:val="0"/>
          <w:numId w:val="6"/>
        </w:numPr>
        <w:ind w:left="567" w:right="49" w:hanging="425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>En el numeral 4</w:t>
      </w:r>
      <w:r w:rsidR="00DD07A9" w:rsidRPr="008813FB">
        <w:rPr>
          <w:rFonts w:ascii="ITC Avant Garde" w:hAnsi="ITC Avant Garde"/>
          <w:bCs/>
          <w:sz w:val="20"/>
          <w:szCs w:val="20"/>
        </w:rPr>
        <w:t xml:space="preserve"> del AIR</w:t>
      </w:r>
      <w:r w:rsidRPr="008813FB">
        <w:rPr>
          <w:rFonts w:ascii="ITC Avant Garde" w:hAnsi="ITC Avant Garde"/>
          <w:bCs/>
          <w:sz w:val="20"/>
          <w:szCs w:val="20"/>
        </w:rPr>
        <w:t>, referente a la identificación</w:t>
      </w:r>
      <w:r w:rsidR="00DD07A9" w:rsidRPr="008813FB">
        <w:rPr>
          <w:rFonts w:ascii="ITC Avant Garde" w:hAnsi="ITC Avant Garde"/>
          <w:bCs/>
          <w:sz w:val="20"/>
          <w:szCs w:val="20"/>
        </w:rPr>
        <w:t xml:space="preserve"> de</w:t>
      </w:r>
      <w:r w:rsidRPr="008813FB">
        <w:rPr>
          <w:rFonts w:ascii="ITC Avant Garde" w:hAnsi="ITC Avant Garde"/>
          <w:bCs/>
          <w:sz w:val="20"/>
          <w:szCs w:val="20"/>
        </w:rPr>
        <w:t xml:space="preserve"> los grupos </w:t>
      </w:r>
      <w:r w:rsidR="00DD07A9" w:rsidRPr="008813FB">
        <w:rPr>
          <w:rFonts w:ascii="ITC Avant Garde" w:hAnsi="ITC Avant Garde"/>
          <w:bCs/>
          <w:sz w:val="20"/>
          <w:szCs w:val="20"/>
        </w:rPr>
        <w:t>poblacionales</w:t>
      </w:r>
      <w:r w:rsidRPr="008813FB">
        <w:rPr>
          <w:rFonts w:ascii="ITC Avant Garde" w:hAnsi="ITC Avant Garde"/>
          <w:bCs/>
          <w:sz w:val="20"/>
          <w:szCs w:val="20"/>
        </w:rPr>
        <w:t>, de consumidores, usuarios, audiencias, población indígena y/o industria del sector de telecomunicaciones y radiodifusión que serían impactados por la propuesta de regulación, la CGMR sugiere a la UPR actualizar la cifra de los grupos económicos Proveedores de Servicios de Telecomunicaciones, con la información actualizada</w:t>
      </w:r>
      <w:r w:rsidR="00DD07A9" w:rsidRPr="008813FB">
        <w:rPr>
          <w:rFonts w:ascii="ITC Avant Garde" w:hAnsi="ITC Avant Garde"/>
          <w:bCs/>
          <w:sz w:val="20"/>
          <w:szCs w:val="20"/>
        </w:rPr>
        <w:t xml:space="preserve"> </w:t>
      </w:r>
      <w:r w:rsidRPr="008813FB">
        <w:rPr>
          <w:rFonts w:ascii="ITC Avant Garde" w:hAnsi="ITC Avant Garde"/>
          <w:bCs/>
          <w:sz w:val="20"/>
          <w:szCs w:val="20"/>
        </w:rPr>
        <w:t>al segundo trimestre del año 2020</w:t>
      </w:r>
      <w:r w:rsidR="00DD07A9" w:rsidRPr="008813FB">
        <w:rPr>
          <w:rFonts w:ascii="ITC Avant Garde" w:hAnsi="ITC Avant Garde"/>
          <w:bCs/>
          <w:sz w:val="20"/>
          <w:szCs w:val="20"/>
        </w:rPr>
        <w:t xml:space="preserve"> en el BIT</w:t>
      </w:r>
      <w:r w:rsidR="00D802BD" w:rsidRPr="008813FB">
        <w:rPr>
          <w:rFonts w:ascii="ITC Avant Garde" w:hAnsi="ITC Avant Garde"/>
          <w:bCs/>
          <w:sz w:val="20"/>
          <w:szCs w:val="20"/>
        </w:rPr>
        <w:t>.</w:t>
      </w:r>
    </w:p>
    <w:p w14:paraId="7F99B18D" w14:textId="77777777" w:rsidR="00DC7C39" w:rsidRPr="008813FB" w:rsidRDefault="00DC7C39" w:rsidP="00E33EAE">
      <w:pPr>
        <w:pStyle w:val="Default"/>
        <w:ind w:left="720" w:right="49"/>
        <w:jc w:val="both"/>
        <w:rPr>
          <w:rFonts w:ascii="ITC Avant Garde" w:hAnsi="ITC Avant Garde"/>
          <w:bCs/>
          <w:sz w:val="20"/>
          <w:szCs w:val="20"/>
        </w:rPr>
      </w:pPr>
    </w:p>
    <w:p w14:paraId="463D5A7E" w14:textId="77777777" w:rsidR="00DA1E8E" w:rsidRPr="008813FB" w:rsidRDefault="00DD07A9" w:rsidP="0057678D">
      <w:pPr>
        <w:pStyle w:val="Default"/>
        <w:numPr>
          <w:ilvl w:val="0"/>
          <w:numId w:val="6"/>
        </w:numPr>
        <w:ind w:left="567" w:right="49" w:hanging="425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 xml:space="preserve">En el numeral </w:t>
      </w:r>
      <w:r w:rsidR="000E01F0" w:rsidRPr="008813FB">
        <w:rPr>
          <w:rFonts w:ascii="ITC Avant Garde" w:hAnsi="ITC Avant Garde"/>
          <w:bCs/>
          <w:sz w:val="20"/>
          <w:szCs w:val="20"/>
        </w:rPr>
        <w:t xml:space="preserve">5 del AIR, referente </w:t>
      </w:r>
      <w:r w:rsidRPr="008813FB">
        <w:rPr>
          <w:rFonts w:ascii="ITC Avant Garde" w:hAnsi="ITC Avant Garde"/>
          <w:bCs/>
          <w:sz w:val="20"/>
          <w:szCs w:val="20"/>
        </w:rPr>
        <w:t>al fundamento jurídico que da origen a la emisión de la propuesta de regulación, la CGMR hace del conocimiento de la UPR</w:t>
      </w:r>
      <w:r w:rsidR="001857F1" w:rsidRPr="008813FB">
        <w:rPr>
          <w:rFonts w:ascii="ITC Avant Garde" w:hAnsi="ITC Avant Garde"/>
          <w:bCs/>
          <w:sz w:val="20"/>
          <w:szCs w:val="20"/>
        </w:rPr>
        <w:t xml:space="preserve"> que la fecha de publicación en el Diario Oficial de la Federación</w:t>
      </w:r>
      <w:r w:rsidR="00825557" w:rsidRPr="008813FB">
        <w:rPr>
          <w:rFonts w:ascii="ITC Avant Garde" w:hAnsi="ITC Avant Garde"/>
          <w:bCs/>
          <w:sz w:val="20"/>
          <w:szCs w:val="20"/>
        </w:rPr>
        <w:t xml:space="preserve"> (en lo sucesivo, el “DOF”)</w:t>
      </w:r>
      <w:r w:rsidR="001857F1" w:rsidRPr="008813FB">
        <w:rPr>
          <w:rFonts w:ascii="ITC Avant Garde" w:hAnsi="ITC Avant Garde"/>
          <w:bCs/>
          <w:sz w:val="20"/>
          <w:szCs w:val="20"/>
        </w:rPr>
        <w:t xml:space="preserve"> del “</w:t>
      </w:r>
      <w:r w:rsidR="001857F1" w:rsidRPr="008813FB">
        <w:rPr>
          <w:rFonts w:ascii="ITC Avant Garde" w:hAnsi="ITC Avant Garde"/>
          <w:bCs/>
          <w:i/>
          <w:sz w:val="20"/>
          <w:szCs w:val="20"/>
        </w:rPr>
        <w:t>ACUERDO mediante el cual el Pleno del Instituto Federal de Telecomunicaciones modifica la Disposición Técnica IFT-011-2017: Especificaciones técnicas de los equipos terminales móviles que puedan hacer uso del espectro radioeléctrico o ser conectados a redes de telecomunicaciones. Parte 2. Equipos terminales móviles que operan en las bandas de 700 MHz, 800 MHz, 850 MHz, 1900 MHz, 1700 MHz/2100 MHz y/o 2500 MHz”</w:t>
      </w:r>
      <w:r w:rsidR="001857F1" w:rsidRPr="008813FB">
        <w:rPr>
          <w:rFonts w:ascii="ITC Avant Garde" w:hAnsi="ITC Avant Garde"/>
          <w:bCs/>
          <w:sz w:val="20"/>
          <w:szCs w:val="20"/>
        </w:rPr>
        <w:t>, señalada en el inciso b), es el 30 de julio de 2018 y no así el 20 de julio de 2018.</w:t>
      </w:r>
    </w:p>
    <w:p w14:paraId="3AC57FBF" w14:textId="77777777" w:rsidR="00AA2012" w:rsidRPr="008813FB" w:rsidRDefault="00AA2012" w:rsidP="00AA2012">
      <w:pPr>
        <w:pStyle w:val="Default"/>
        <w:ind w:right="49"/>
        <w:jc w:val="both"/>
        <w:rPr>
          <w:rFonts w:ascii="ITC Avant Garde" w:hAnsi="ITC Avant Garde"/>
          <w:bCs/>
          <w:sz w:val="20"/>
          <w:szCs w:val="20"/>
        </w:rPr>
      </w:pPr>
    </w:p>
    <w:p w14:paraId="45C29269" w14:textId="77777777" w:rsidR="00DD07A9" w:rsidRPr="008813FB" w:rsidRDefault="00DA1E8E" w:rsidP="00460C83">
      <w:pPr>
        <w:pStyle w:val="Default"/>
        <w:numPr>
          <w:ilvl w:val="0"/>
          <w:numId w:val="6"/>
        </w:numPr>
        <w:ind w:left="567" w:right="49" w:hanging="425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 xml:space="preserve">En el numeral 12 del AIR, referente a si la propuesta de regulación reforzará algún derecho de los consumidores, usuarios, audiencias, población indígena, grupos vulnerables y/o industria, la UPR señaló que “el Anteproyecto de mérito no reforzará algún derecho de los consumidores, usuarios, audiencias, población indígena, grupos vulnerables y/o industria de los sectores de </w:t>
      </w:r>
      <w:r w:rsidRPr="008813FB">
        <w:rPr>
          <w:rFonts w:ascii="ITC Avant Garde" w:hAnsi="ITC Avant Garde"/>
          <w:bCs/>
          <w:sz w:val="20"/>
          <w:szCs w:val="20"/>
        </w:rPr>
        <w:lastRenderedPageBreak/>
        <w:t xml:space="preserve">telecomunicaciones y radiodifusión”, al respecto la CGMR sugiere considerar lo señalado por la UPR en el numeral 1 del AIR respecto a que las modificaciones propuestas en el Proyecto coadyuvarán a que los usuarios </w:t>
      </w:r>
      <w:r w:rsidR="00AA2012" w:rsidRPr="008813FB">
        <w:rPr>
          <w:rFonts w:ascii="ITC Avant Garde" w:hAnsi="ITC Avant Garde"/>
          <w:bCs/>
          <w:sz w:val="20"/>
          <w:szCs w:val="20"/>
        </w:rPr>
        <w:t xml:space="preserve">puedan </w:t>
      </w:r>
      <w:r w:rsidRPr="008813FB">
        <w:rPr>
          <w:rFonts w:ascii="ITC Avant Garde" w:hAnsi="ITC Avant Garde"/>
          <w:bCs/>
          <w:sz w:val="20"/>
          <w:szCs w:val="20"/>
        </w:rPr>
        <w:t>ejercer eficientemente su derecho de libre elección de</w:t>
      </w:r>
      <w:r w:rsidR="00AA2012" w:rsidRPr="008813FB">
        <w:rPr>
          <w:rFonts w:ascii="ITC Avant Garde" w:hAnsi="ITC Avant Garde"/>
          <w:bCs/>
          <w:sz w:val="20"/>
          <w:szCs w:val="20"/>
        </w:rPr>
        <w:t>l</w:t>
      </w:r>
      <w:r w:rsidRPr="008813FB">
        <w:rPr>
          <w:rFonts w:ascii="ITC Avant Garde" w:hAnsi="ITC Avant Garde"/>
          <w:bCs/>
          <w:sz w:val="20"/>
          <w:szCs w:val="20"/>
        </w:rPr>
        <w:t xml:space="preserve"> proveedor de servicios</w:t>
      </w:r>
      <w:r w:rsidR="00AA2012" w:rsidRPr="008813FB">
        <w:rPr>
          <w:rFonts w:ascii="ITC Avant Garde" w:hAnsi="ITC Avant Garde"/>
          <w:bCs/>
          <w:sz w:val="20"/>
          <w:szCs w:val="20"/>
        </w:rPr>
        <w:t xml:space="preserve"> de telecomunicaciones, así como, a un acceso</w:t>
      </w:r>
      <w:r w:rsidR="00AA2012" w:rsidRPr="008813FB">
        <w:rPr>
          <w:rFonts w:ascii="ITC Avant Garde" w:hAnsi="ITC Avant Garde"/>
          <w:sz w:val="20"/>
          <w:szCs w:val="20"/>
        </w:rPr>
        <w:t xml:space="preserve"> </w:t>
      </w:r>
      <w:r w:rsidR="00AA2012" w:rsidRPr="008813FB">
        <w:rPr>
          <w:rFonts w:ascii="ITC Avant Garde" w:hAnsi="ITC Avant Garde"/>
          <w:bCs/>
          <w:sz w:val="20"/>
          <w:szCs w:val="20"/>
        </w:rPr>
        <w:t>efectivo de la población a la comunicación de banda ancha y a los servicios de telecomunicaciones.</w:t>
      </w:r>
    </w:p>
    <w:p w14:paraId="54779FAF" w14:textId="77777777" w:rsidR="00460C83" w:rsidRPr="008813FB" w:rsidRDefault="00460C83" w:rsidP="00460C83">
      <w:pPr>
        <w:pStyle w:val="Default"/>
        <w:ind w:right="49"/>
        <w:jc w:val="both"/>
        <w:rPr>
          <w:rFonts w:ascii="ITC Avant Garde" w:hAnsi="ITC Avant Garde"/>
          <w:bCs/>
          <w:sz w:val="20"/>
          <w:szCs w:val="20"/>
        </w:rPr>
      </w:pPr>
    </w:p>
    <w:p w14:paraId="0C35D8BD" w14:textId="77777777" w:rsidR="00101FCE" w:rsidRPr="008813FB" w:rsidRDefault="00AA2012" w:rsidP="0057678D">
      <w:pPr>
        <w:pStyle w:val="Default"/>
        <w:numPr>
          <w:ilvl w:val="0"/>
          <w:numId w:val="6"/>
        </w:numPr>
        <w:ind w:left="567" w:right="49" w:hanging="425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>En el numeral 1</w:t>
      </w:r>
      <w:r w:rsidR="002654C3" w:rsidRPr="008813FB">
        <w:rPr>
          <w:rFonts w:ascii="ITC Avant Garde" w:hAnsi="ITC Avant Garde"/>
          <w:bCs/>
          <w:sz w:val="20"/>
          <w:szCs w:val="20"/>
        </w:rPr>
        <w:t>3</w:t>
      </w:r>
      <w:r w:rsidRPr="008813FB">
        <w:rPr>
          <w:rFonts w:ascii="ITC Avant Garde" w:hAnsi="ITC Avant Garde"/>
          <w:bCs/>
          <w:sz w:val="20"/>
          <w:szCs w:val="20"/>
        </w:rPr>
        <w:t xml:space="preserve"> del AIR, relacionado a los beneficios más significativos derivados de la propuesta de regulación, esta CGMR sugiere a la UPR definir las siglas “EMA”, utilizadas en el párrafo</w:t>
      </w:r>
      <w:r w:rsidR="00101FCE" w:rsidRPr="008813FB">
        <w:rPr>
          <w:rFonts w:ascii="ITC Avant Garde" w:hAnsi="ITC Avant Garde"/>
          <w:bCs/>
          <w:sz w:val="20"/>
          <w:szCs w:val="20"/>
        </w:rPr>
        <w:t xml:space="preserve"> sexto, numeral 1.</w:t>
      </w:r>
    </w:p>
    <w:p w14:paraId="08C88E2D" w14:textId="77777777" w:rsidR="00101FCE" w:rsidRPr="008813FB" w:rsidRDefault="00101FCE" w:rsidP="0057678D">
      <w:pPr>
        <w:pStyle w:val="Default"/>
        <w:ind w:left="567" w:right="49" w:hanging="425"/>
        <w:jc w:val="both"/>
        <w:rPr>
          <w:rFonts w:ascii="ITC Avant Garde" w:hAnsi="ITC Avant Garde"/>
          <w:bCs/>
          <w:sz w:val="20"/>
          <w:szCs w:val="20"/>
        </w:rPr>
      </w:pPr>
    </w:p>
    <w:p w14:paraId="1102FAB7" w14:textId="77777777" w:rsidR="00825557" w:rsidRPr="008813FB" w:rsidRDefault="0057678D" w:rsidP="0057678D">
      <w:pPr>
        <w:pStyle w:val="Default"/>
        <w:ind w:left="567" w:right="49" w:hanging="425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ab/>
      </w:r>
      <w:r w:rsidR="00101FCE" w:rsidRPr="008813FB">
        <w:rPr>
          <w:rFonts w:ascii="ITC Avant Garde" w:hAnsi="ITC Avant Garde"/>
          <w:bCs/>
          <w:sz w:val="20"/>
          <w:szCs w:val="20"/>
        </w:rPr>
        <w:t>Por otra parte, en la tabla de Estimación Cuantitativa, se sugiere modificar el encabezado “Costos Netos”</w:t>
      </w:r>
      <w:r w:rsidR="002B3594" w:rsidRPr="008813FB">
        <w:rPr>
          <w:rFonts w:ascii="ITC Avant Garde" w:hAnsi="ITC Avant Garde"/>
          <w:bCs/>
          <w:sz w:val="20"/>
          <w:szCs w:val="20"/>
        </w:rPr>
        <w:t>, debido a que la manera en la que la UPR está calculando se hace referencia a los “Costos Totales”, lo anterior porque el adjetivo “neto” se refiere al resultado que se obtiene de forma posterior al deducir los gastos o una cantidad determinada.</w:t>
      </w:r>
      <w:r w:rsidR="002A33F5" w:rsidRPr="008813FB">
        <w:rPr>
          <w:rFonts w:ascii="ITC Avant Garde" w:hAnsi="ITC Avant Garde"/>
          <w:bCs/>
          <w:sz w:val="20"/>
          <w:szCs w:val="20"/>
        </w:rPr>
        <w:t xml:space="preserve"> Por otra parte, la CGMR sugiere verificar los </w:t>
      </w:r>
      <w:r w:rsidR="00825557" w:rsidRPr="008813FB">
        <w:rPr>
          <w:rFonts w:ascii="ITC Avant Garde" w:hAnsi="ITC Avant Garde"/>
          <w:bCs/>
          <w:sz w:val="20"/>
          <w:szCs w:val="20"/>
        </w:rPr>
        <w:t xml:space="preserve">siguientes </w:t>
      </w:r>
      <w:r w:rsidR="002A33F5" w:rsidRPr="008813FB">
        <w:rPr>
          <w:rFonts w:ascii="ITC Avant Garde" w:hAnsi="ITC Avant Garde"/>
          <w:bCs/>
          <w:sz w:val="20"/>
          <w:szCs w:val="20"/>
        </w:rPr>
        <w:t>montos</w:t>
      </w:r>
      <w:r w:rsidR="00825557" w:rsidRPr="008813FB">
        <w:rPr>
          <w:rFonts w:ascii="ITC Avant Garde" w:hAnsi="ITC Avant Garde"/>
          <w:bCs/>
          <w:sz w:val="20"/>
          <w:szCs w:val="20"/>
        </w:rPr>
        <w:t>:</w:t>
      </w:r>
    </w:p>
    <w:p w14:paraId="3A58F1F5" w14:textId="77777777" w:rsidR="00825557" w:rsidRPr="008813FB" w:rsidRDefault="00825557" w:rsidP="00825557">
      <w:pPr>
        <w:pStyle w:val="Default"/>
        <w:ind w:left="720" w:right="49"/>
        <w:jc w:val="both"/>
        <w:rPr>
          <w:rFonts w:ascii="ITC Avant Garde" w:hAnsi="ITC Avant Garde"/>
          <w:bCs/>
          <w:sz w:val="20"/>
          <w:szCs w:val="20"/>
        </w:rPr>
      </w:pPr>
    </w:p>
    <w:p w14:paraId="014715AE" w14:textId="77777777" w:rsidR="00825557" w:rsidRPr="008813FB" w:rsidRDefault="002A33F5" w:rsidP="0057678D">
      <w:pPr>
        <w:pStyle w:val="Default"/>
        <w:numPr>
          <w:ilvl w:val="0"/>
          <w:numId w:val="9"/>
        </w:numPr>
        <w:ind w:left="993" w:right="49" w:hanging="426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>Costo Neto de la Acreditación de OC,</w:t>
      </w:r>
      <w:r w:rsidR="00825557" w:rsidRPr="008813FB">
        <w:rPr>
          <w:rFonts w:ascii="ITC Avant Garde" w:hAnsi="ITC Avant Garde"/>
          <w:bCs/>
          <w:sz w:val="20"/>
          <w:szCs w:val="20"/>
        </w:rPr>
        <w:t xml:space="preserve"> en virtud de que la cifra señalada no es el resultado de la sumatoria de los costos y la carga administrativa de la Acreditación del OC;</w:t>
      </w:r>
    </w:p>
    <w:p w14:paraId="1F17673D" w14:textId="77777777" w:rsidR="00101FCE" w:rsidRPr="008813FB" w:rsidRDefault="00825557" w:rsidP="0057678D">
      <w:pPr>
        <w:pStyle w:val="Default"/>
        <w:numPr>
          <w:ilvl w:val="0"/>
          <w:numId w:val="9"/>
        </w:numPr>
        <w:ind w:left="993" w:right="49" w:hanging="426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>C</w:t>
      </w:r>
      <w:r w:rsidR="002A33F5" w:rsidRPr="008813FB">
        <w:rPr>
          <w:rFonts w:ascii="ITC Avant Garde" w:hAnsi="ITC Avant Garde"/>
          <w:bCs/>
          <w:sz w:val="20"/>
          <w:szCs w:val="20"/>
        </w:rPr>
        <w:t>osto de la Solicitud de Certificado de Homologación</w:t>
      </w:r>
      <w:r w:rsidRPr="008813FB">
        <w:rPr>
          <w:rFonts w:ascii="ITC Avant Garde" w:hAnsi="ITC Avant Garde"/>
          <w:bCs/>
          <w:sz w:val="20"/>
          <w:szCs w:val="20"/>
        </w:rPr>
        <w:t>, ya</w:t>
      </w:r>
      <w:r w:rsidR="002A33F5" w:rsidRPr="008813FB">
        <w:rPr>
          <w:rFonts w:ascii="ITC Avant Garde" w:hAnsi="ITC Avant Garde"/>
          <w:bCs/>
          <w:sz w:val="20"/>
          <w:szCs w:val="20"/>
        </w:rPr>
        <w:t xml:space="preserve"> </w:t>
      </w:r>
      <w:r w:rsidRPr="008813FB">
        <w:rPr>
          <w:rFonts w:ascii="ITC Avant Garde" w:hAnsi="ITC Avant Garde"/>
          <w:bCs/>
          <w:sz w:val="20"/>
          <w:szCs w:val="20"/>
        </w:rPr>
        <w:t xml:space="preserve">que </w:t>
      </w:r>
      <w:r w:rsidR="002A33F5" w:rsidRPr="008813FB">
        <w:rPr>
          <w:rFonts w:ascii="ITC Avant Garde" w:hAnsi="ITC Avant Garde"/>
          <w:bCs/>
          <w:sz w:val="20"/>
          <w:szCs w:val="20"/>
        </w:rPr>
        <w:t xml:space="preserve">no es el monto actualizado establecido en el artículo 174-J de la Ley Federal de Derechos, </w:t>
      </w:r>
      <w:r w:rsidRPr="008813FB">
        <w:rPr>
          <w:rFonts w:ascii="ITC Avant Garde" w:hAnsi="ITC Avant Garde"/>
          <w:bCs/>
          <w:sz w:val="20"/>
          <w:szCs w:val="20"/>
        </w:rPr>
        <w:t>modificado a través de</w:t>
      </w:r>
      <w:r w:rsidR="002A33F5" w:rsidRPr="008813FB">
        <w:rPr>
          <w:rFonts w:ascii="ITC Avant Garde" w:hAnsi="ITC Avant Garde"/>
          <w:bCs/>
          <w:sz w:val="20"/>
          <w:szCs w:val="20"/>
        </w:rPr>
        <w:t xml:space="preserve"> la Resolución Miscelánea Fiscal para 2020 y sus anexos 1 y 19, publicada en el </w:t>
      </w:r>
      <w:r w:rsidRPr="008813FB">
        <w:rPr>
          <w:rFonts w:ascii="ITC Avant Garde" w:hAnsi="ITC Avant Garde"/>
          <w:bCs/>
          <w:sz w:val="20"/>
          <w:szCs w:val="20"/>
        </w:rPr>
        <w:t>DOF</w:t>
      </w:r>
      <w:r w:rsidR="002A33F5" w:rsidRPr="008813FB">
        <w:rPr>
          <w:rFonts w:ascii="ITC Avant Garde" w:hAnsi="ITC Avant Garde"/>
          <w:bCs/>
          <w:sz w:val="20"/>
          <w:szCs w:val="20"/>
        </w:rPr>
        <w:t xml:space="preserve"> el 28 de diciembre de 2019</w:t>
      </w:r>
      <w:r w:rsidRPr="008813FB">
        <w:rPr>
          <w:rFonts w:ascii="ITC Avant Garde" w:hAnsi="ITC Avant Garde"/>
          <w:bCs/>
          <w:sz w:val="20"/>
          <w:szCs w:val="20"/>
        </w:rPr>
        <w:t>, y</w:t>
      </w:r>
    </w:p>
    <w:p w14:paraId="5FE05D63" w14:textId="77777777" w:rsidR="00825557" w:rsidRPr="008813FB" w:rsidRDefault="00825557" w:rsidP="0057678D">
      <w:pPr>
        <w:pStyle w:val="Default"/>
        <w:numPr>
          <w:ilvl w:val="0"/>
          <w:numId w:val="9"/>
        </w:numPr>
        <w:ind w:left="993" w:right="49" w:hanging="426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 xml:space="preserve">El Total, tomando en consideración las adecuaciones enumeradas en los incisos anteriores. </w:t>
      </w:r>
    </w:p>
    <w:p w14:paraId="3D6B7638" w14:textId="77777777" w:rsidR="00BF1FD4" w:rsidRPr="008813FB" w:rsidRDefault="00BF1FD4" w:rsidP="00825557">
      <w:pPr>
        <w:pStyle w:val="Default"/>
        <w:ind w:right="49"/>
        <w:jc w:val="both"/>
        <w:rPr>
          <w:rFonts w:ascii="ITC Avant Garde" w:hAnsi="ITC Avant Garde"/>
          <w:bCs/>
          <w:sz w:val="20"/>
          <w:szCs w:val="20"/>
        </w:rPr>
      </w:pPr>
    </w:p>
    <w:p w14:paraId="5EA31D01" w14:textId="77777777" w:rsidR="000E01F0" w:rsidRPr="008813FB" w:rsidRDefault="000E01F0" w:rsidP="00E33EAE">
      <w:pPr>
        <w:pStyle w:val="Default"/>
        <w:ind w:right="49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>En adición a lo anterior, c</w:t>
      </w:r>
      <w:r w:rsidR="0017793B" w:rsidRPr="008813FB">
        <w:rPr>
          <w:rFonts w:ascii="ITC Avant Garde" w:hAnsi="ITC Avant Garde"/>
          <w:bCs/>
          <w:sz w:val="20"/>
          <w:szCs w:val="20"/>
        </w:rPr>
        <w:t>on la finalidad de fortalecer y mejorar algunas de las disposiciones de</w:t>
      </w:r>
      <w:r w:rsidR="00873B2C" w:rsidRPr="008813FB">
        <w:rPr>
          <w:rFonts w:ascii="ITC Avant Garde" w:hAnsi="ITC Avant Garde"/>
          <w:bCs/>
          <w:sz w:val="20"/>
          <w:szCs w:val="20"/>
        </w:rPr>
        <w:t xml:space="preserve">l Proyecto, la CGMR somete a </w:t>
      </w:r>
      <w:r w:rsidR="0017793B" w:rsidRPr="008813FB">
        <w:rPr>
          <w:rFonts w:ascii="ITC Avant Garde" w:hAnsi="ITC Avant Garde"/>
          <w:bCs/>
          <w:sz w:val="20"/>
          <w:szCs w:val="20"/>
        </w:rPr>
        <w:t xml:space="preserve">consideración de la </w:t>
      </w:r>
      <w:r w:rsidR="00BF1FD4" w:rsidRPr="008813FB">
        <w:rPr>
          <w:rFonts w:ascii="ITC Avant Garde" w:hAnsi="ITC Avant Garde"/>
          <w:bCs/>
          <w:sz w:val="20"/>
          <w:szCs w:val="20"/>
        </w:rPr>
        <w:t>UPR</w:t>
      </w:r>
      <w:r w:rsidR="0017793B" w:rsidRPr="008813FB">
        <w:rPr>
          <w:rFonts w:ascii="ITC Avant Garde" w:hAnsi="ITC Avant Garde"/>
          <w:bCs/>
          <w:sz w:val="20"/>
          <w:szCs w:val="20"/>
        </w:rPr>
        <w:t xml:space="preserve">, </w:t>
      </w:r>
      <w:r w:rsidR="007E4022" w:rsidRPr="008813FB">
        <w:rPr>
          <w:rFonts w:ascii="ITC Avant Garde" w:hAnsi="ITC Avant Garde"/>
          <w:bCs/>
          <w:sz w:val="20"/>
          <w:szCs w:val="20"/>
        </w:rPr>
        <w:t>los</w:t>
      </w:r>
      <w:r w:rsidR="00F53656" w:rsidRPr="008813FB">
        <w:rPr>
          <w:rFonts w:ascii="ITC Avant Garde" w:hAnsi="ITC Avant Garde"/>
          <w:bCs/>
          <w:sz w:val="20"/>
          <w:szCs w:val="20"/>
        </w:rPr>
        <w:t xml:space="preserve"> siguiente</w:t>
      </w:r>
      <w:r w:rsidR="007E4022" w:rsidRPr="008813FB">
        <w:rPr>
          <w:rFonts w:ascii="ITC Avant Garde" w:hAnsi="ITC Avant Garde"/>
          <w:bCs/>
          <w:sz w:val="20"/>
          <w:szCs w:val="20"/>
        </w:rPr>
        <w:t>s</w:t>
      </w:r>
      <w:r w:rsidR="00F53656" w:rsidRPr="008813FB">
        <w:rPr>
          <w:rFonts w:ascii="ITC Avant Garde" w:hAnsi="ITC Avant Garde"/>
          <w:bCs/>
          <w:sz w:val="20"/>
          <w:szCs w:val="20"/>
        </w:rPr>
        <w:t xml:space="preserve"> comentario</w:t>
      </w:r>
      <w:r w:rsidR="007E4022" w:rsidRPr="008813FB">
        <w:rPr>
          <w:rFonts w:ascii="ITC Avant Garde" w:hAnsi="ITC Avant Garde"/>
          <w:bCs/>
          <w:sz w:val="20"/>
          <w:szCs w:val="20"/>
        </w:rPr>
        <w:t>s</w:t>
      </w:r>
      <w:r w:rsidR="0017793B" w:rsidRPr="008813FB">
        <w:rPr>
          <w:rFonts w:ascii="ITC Avant Garde" w:hAnsi="ITC Avant Garde"/>
          <w:bCs/>
          <w:sz w:val="20"/>
          <w:szCs w:val="20"/>
        </w:rPr>
        <w:t>:</w:t>
      </w:r>
    </w:p>
    <w:p w14:paraId="329CA753" w14:textId="77777777" w:rsidR="00AC39E3" w:rsidRPr="008813FB" w:rsidRDefault="00AC39E3" w:rsidP="00F53656">
      <w:pPr>
        <w:pStyle w:val="Default"/>
        <w:ind w:right="49"/>
        <w:jc w:val="both"/>
        <w:rPr>
          <w:rFonts w:ascii="ITC Avant Garde" w:hAnsi="ITC Avant Garde"/>
          <w:bCs/>
          <w:sz w:val="20"/>
          <w:szCs w:val="20"/>
        </w:rPr>
      </w:pPr>
    </w:p>
    <w:p w14:paraId="3ECBED93" w14:textId="77777777" w:rsidR="0017793B" w:rsidRPr="008813FB" w:rsidRDefault="007E4022" w:rsidP="0057678D">
      <w:pPr>
        <w:pStyle w:val="Default"/>
        <w:numPr>
          <w:ilvl w:val="0"/>
          <w:numId w:val="10"/>
        </w:numPr>
        <w:ind w:left="567" w:right="49" w:hanging="425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 xml:space="preserve">La CGMR sugiere a la UPR definir el término “Equipo de apoyo”, establecido en el numeral </w:t>
      </w:r>
      <w:r w:rsidRPr="008813FB">
        <w:rPr>
          <w:rFonts w:ascii="ITC Avant Garde" w:hAnsi="ITC Avant Garde"/>
          <w:b/>
          <w:bCs/>
          <w:sz w:val="20"/>
          <w:szCs w:val="20"/>
        </w:rPr>
        <w:t>5.1</w:t>
      </w:r>
      <w:r w:rsidRPr="008813FB">
        <w:rPr>
          <w:rFonts w:ascii="ITC Avant Garde" w:hAnsi="ITC Avant Garde"/>
          <w:bCs/>
          <w:sz w:val="20"/>
          <w:szCs w:val="20"/>
        </w:rPr>
        <w:t xml:space="preserve"> del Índice del Proyecto;</w:t>
      </w:r>
    </w:p>
    <w:p w14:paraId="3065F2C0" w14:textId="77777777" w:rsidR="00AF60D2" w:rsidRPr="008813FB" w:rsidRDefault="00AF60D2" w:rsidP="0057678D">
      <w:pPr>
        <w:pStyle w:val="Default"/>
        <w:ind w:left="567" w:right="49" w:hanging="425"/>
        <w:jc w:val="both"/>
        <w:rPr>
          <w:rFonts w:ascii="ITC Avant Garde" w:hAnsi="ITC Avant Garde"/>
          <w:bCs/>
          <w:sz w:val="20"/>
          <w:szCs w:val="20"/>
        </w:rPr>
      </w:pPr>
    </w:p>
    <w:p w14:paraId="521E7B21" w14:textId="77777777" w:rsidR="007E4022" w:rsidRPr="008813FB" w:rsidRDefault="007E4022" w:rsidP="0057678D">
      <w:pPr>
        <w:pStyle w:val="Default"/>
        <w:numPr>
          <w:ilvl w:val="0"/>
          <w:numId w:val="10"/>
        </w:numPr>
        <w:ind w:left="567" w:right="49" w:hanging="425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 xml:space="preserve">Respecto a la definición del término “Tarjeta SIM”, señalada en la fracción XI bis, del numeral </w:t>
      </w:r>
      <w:r w:rsidRPr="008813FB">
        <w:rPr>
          <w:rFonts w:ascii="ITC Avant Garde" w:hAnsi="ITC Avant Garde"/>
          <w:b/>
          <w:bCs/>
          <w:sz w:val="20"/>
          <w:szCs w:val="20"/>
        </w:rPr>
        <w:t>3.1 DEFINICIONES</w:t>
      </w:r>
      <w:r w:rsidRPr="008813FB">
        <w:rPr>
          <w:rFonts w:ascii="ITC Avant Garde" w:hAnsi="ITC Avant Garde"/>
          <w:bCs/>
          <w:sz w:val="20"/>
          <w:szCs w:val="20"/>
        </w:rPr>
        <w:t xml:space="preserve"> del </w:t>
      </w:r>
      <w:r w:rsidR="001406C0" w:rsidRPr="008813FB">
        <w:rPr>
          <w:rFonts w:ascii="ITC Avant Garde" w:hAnsi="ITC Avant Garde"/>
          <w:bCs/>
          <w:sz w:val="20"/>
          <w:szCs w:val="20"/>
        </w:rPr>
        <w:t xml:space="preserve">Proyecto, la CGMR sugiere a la UPR tomar en consideración la definición establecida para el mismo término en la Oferta de Referencia para la Prestación del Servicio Mayorista de Usuario Visitante 2020, que a la letra señala: </w:t>
      </w:r>
    </w:p>
    <w:p w14:paraId="7666707C" w14:textId="77777777" w:rsidR="0057678D" w:rsidRPr="008813FB" w:rsidRDefault="0057678D" w:rsidP="0057678D">
      <w:pPr>
        <w:pStyle w:val="Default"/>
        <w:ind w:right="49"/>
        <w:jc w:val="both"/>
        <w:rPr>
          <w:rFonts w:ascii="ITC Avant Garde" w:hAnsi="ITC Avant Garde"/>
          <w:bCs/>
          <w:sz w:val="20"/>
          <w:szCs w:val="20"/>
        </w:rPr>
      </w:pPr>
    </w:p>
    <w:p w14:paraId="52F63A89" w14:textId="77777777" w:rsidR="001406C0" w:rsidRPr="008813FB" w:rsidRDefault="001406C0" w:rsidP="0057678D">
      <w:pPr>
        <w:pStyle w:val="Default"/>
        <w:ind w:left="1440" w:right="758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>“Dispositivo Inteligente desmontable usado en Equipos Terminales que almacenan de forma segura la clave de servicio del usuario final para identificarse ante la Red Pública de Telecomunicaciones.”</w:t>
      </w:r>
      <w:r w:rsidR="00AF60D2" w:rsidRPr="008813FB">
        <w:rPr>
          <w:rStyle w:val="FootnoteReference"/>
          <w:rFonts w:ascii="ITC Avant Garde" w:hAnsi="ITC Avant Garde"/>
          <w:bCs/>
          <w:sz w:val="20"/>
          <w:szCs w:val="20"/>
        </w:rPr>
        <w:footnoteReference w:id="2"/>
      </w:r>
    </w:p>
    <w:p w14:paraId="4B306C6A" w14:textId="77777777" w:rsidR="00AF60D2" w:rsidRPr="008813FB" w:rsidRDefault="00AF60D2" w:rsidP="001406C0">
      <w:pPr>
        <w:pStyle w:val="Default"/>
        <w:ind w:left="1440" w:right="49"/>
        <w:jc w:val="both"/>
        <w:rPr>
          <w:rFonts w:ascii="ITC Avant Garde" w:hAnsi="ITC Avant Garde"/>
          <w:bCs/>
          <w:sz w:val="20"/>
          <w:szCs w:val="20"/>
        </w:rPr>
      </w:pPr>
    </w:p>
    <w:p w14:paraId="1BBC05C3" w14:textId="77777777" w:rsidR="00AF60D2" w:rsidRPr="008813FB" w:rsidRDefault="00AF60D2" w:rsidP="0057678D">
      <w:pPr>
        <w:pStyle w:val="Default"/>
        <w:numPr>
          <w:ilvl w:val="0"/>
          <w:numId w:val="10"/>
        </w:numPr>
        <w:ind w:left="567" w:right="49" w:hanging="425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lastRenderedPageBreak/>
        <w:t xml:space="preserve">Con relación al numeral </w:t>
      </w:r>
      <w:r w:rsidRPr="008813FB">
        <w:rPr>
          <w:rFonts w:ascii="ITC Avant Garde" w:hAnsi="ITC Avant Garde"/>
          <w:b/>
          <w:bCs/>
          <w:sz w:val="20"/>
          <w:szCs w:val="20"/>
        </w:rPr>
        <w:t>5.3.3</w:t>
      </w:r>
      <w:r w:rsidRPr="008813FB">
        <w:rPr>
          <w:rFonts w:ascii="ITC Avant Garde" w:hAnsi="ITC Avant Garde"/>
          <w:bCs/>
          <w:sz w:val="20"/>
          <w:szCs w:val="20"/>
        </w:rPr>
        <w:t xml:space="preserve"> </w:t>
      </w:r>
      <w:r w:rsidRPr="008813FB">
        <w:rPr>
          <w:rFonts w:ascii="ITC Avant Garde" w:hAnsi="ITC Avant Garde"/>
          <w:b/>
          <w:bCs/>
          <w:sz w:val="20"/>
          <w:szCs w:val="20"/>
        </w:rPr>
        <w:t xml:space="preserve">Llamadas de voz mediante </w:t>
      </w:r>
      <w:proofErr w:type="spellStart"/>
      <w:r w:rsidRPr="008813FB">
        <w:rPr>
          <w:rFonts w:ascii="ITC Avant Garde" w:hAnsi="ITC Avant Garde"/>
          <w:b/>
          <w:bCs/>
          <w:sz w:val="20"/>
          <w:szCs w:val="20"/>
        </w:rPr>
        <w:t>VoLTE</w:t>
      </w:r>
      <w:proofErr w:type="spellEnd"/>
      <w:r w:rsidRPr="008813FB">
        <w:rPr>
          <w:rFonts w:ascii="ITC Avant Garde" w:hAnsi="ITC Avant Garde"/>
          <w:bCs/>
          <w:sz w:val="20"/>
          <w:szCs w:val="20"/>
        </w:rPr>
        <w:t xml:space="preserve">, en el segundo párrafo del inciso a, la CGMR sugiere a la UPR indicar que el </w:t>
      </w:r>
      <w:r w:rsidR="00A16C01" w:rsidRPr="008813FB">
        <w:rPr>
          <w:rFonts w:ascii="ITC Avant Garde" w:hAnsi="ITC Avant Garde"/>
          <w:bCs/>
          <w:sz w:val="20"/>
          <w:szCs w:val="20"/>
        </w:rPr>
        <w:t>“</w:t>
      </w:r>
      <w:r w:rsidRPr="008813FB">
        <w:rPr>
          <w:rFonts w:ascii="ITC Avant Garde" w:hAnsi="ITC Avant Garde"/>
          <w:bCs/>
          <w:sz w:val="20"/>
          <w:szCs w:val="20"/>
        </w:rPr>
        <w:t>teléfono de ingeniería</w:t>
      </w:r>
      <w:r w:rsidR="00A16C01" w:rsidRPr="008813FB">
        <w:rPr>
          <w:rFonts w:ascii="ITC Avant Garde" w:hAnsi="ITC Avant Garde"/>
          <w:bCs/>
          <w:sz w:val="20"/>
          <w:szCs w:val="20"/>
        </w:rPr>
        <w:t>”</w:t>
      </w:r>
      <w:r w:rsidRPr="008813FB">
        <w:rPr>
          <w:rFonts w:ascii="ITC Avant Garde" w:hAnsi="ITC Avant Garde"/>
          <w:bCs/>
          <w:sz w:val="20"/>
          <w:szCs w:val="20"/>
        </w:rPr>
        <w:t xml:space="preserve"> debe cumplir con las especificaciones de la Tabla 8 bis</w:t>
      </w:r>
      <w:r w:rsidR="00A16C01" w:rsidRPr="008813FB">
        <w:rPr>
          <w:rFonts w:ascii="ITC Avant Garde" w:hAnsi="ITC Avant Garde"/>
          <w:bCs/>
          <w:sz w:val="20"/>
          <w:szCs w:val="20"/>
        </w:rPr>
        <w:t xml:space="preserve"> y no de la Tabla 8</w:t>
      </w:r>
      <w:r w:rsidRPr="008813FB">
        <w:rPr>
          <w:rFonts w:ascii="ITC Avant Garde" w:hAnsi="ITC Avant Garde"/>
          <w:bCs/>
          <w:sz w:val="20"/>
          <w:szCs w:val="20"/>
        </w:rPr>
        <w:t>.</w:t>
      </w:r>
    </w:p>
    <w:p w14:paraId="1735C8DB" w14:textId="77777777" w:rsidR="0047119C" w:rsidRPr="008813FB" w:rsidRDefault="0047119C" w:rsidP="0047119C">
      <w:pPr>
        <w:pStyle w:val="Default"/>
        <w:ind w:left="720" w:right="49"/>
        <w:jc w:val="both"/>
        <w:rPr>
          <w:rFonts w:ascii="ITC Avant Garde" w:hAnsi="ITC Avant Garde"/>
          <w:bCs/>
          <w:sz w:val="20"/>
          <w:szCs w:val="20"/>
        </w:rPr>
      </w:pPr>
    </w:p>
    <w:p w14:paraId="05674A2F" w14:textId="77777777" w:rsidR="0017793B" w:rsidRPr="008813FB" w:rsidRDefault="0017793B" w:rsidP="00E33EAE">
      <w:pPr>
        <w:pStyle w:val="Default"/>
        <w:ind w:right="49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>Esperando que la presente opinión no vinculante le sea de utilidad, quedo a sus órdenes para cualquier comentario o duda que exista sobre el presente.</w:t>
      </w:r>
    </w:p>
    <w:p w14:paraId="6695B1A2" w14:textId="77777777" w:rsidR="00E83E37" w:rsidRPr="008813FB" w:rsidRDefault="00E83E37" w:rsidP="00E33EAE">
      <w:pPr>
        <w:spacing w:after="0" w:line="240" w:lineRule="auto"/>
        <w:ind w:right="49"/>
        <w:jc w:val="both"/>
        <w:rPr>
          <w:rFonts w:ascii="ITC Avant Garde" w:hAnsi="ITC Avant Garde"/>
          <w:bCs/>
          <w:sz w:val="20"/>
          <w:szCs w:val="20"/>
        </w:rPr>
      </w:pPr>
    </w:p>
    <w:p w14:paraId="17CC7569" w14:textId="77777777" w:rsidR="00704038" w:rsidRPr="008813FB" w:rsidRDefault="0017793B" w:rsidP="00E33EAE">
      <w:pPr>
        <w:spacing w:after="0" w:line="240" w:lineRule="auto"/>
        <w:ind w:right="49"/>
        <w:jc w:val="both"/>
        <w:rPr>
          <w:rFonts w:ascii="ITC Avant Garde" w:hAnsi="ITC Avant Garde"/>
          <w:bCs/>
          <w:sz w:val="20"/>
          <w:szCs w:val="20"/>
        </w:rPr>
      </w:pPr>
      <w:r w:rsidRPr="008813FB">
        <w:rPr>
          <w:rFonts w:ascii="ITC Avant Garde" w:hAnsi="ITC Avant Garde"/>
          <w:bCs/>
          <w:sz w:val="20"/>
          <w:szCs w:val="20"/>
        </w:rPr>
        <w:t>Sin otro particular, aprovecho la ocasión para enviarle cordial saludo.</w:t>
      </w:r>
    </w:p>
    <w:p w14:paraId="19C103A8" w14:textId="77777777" w:rsidR="005A35F2" w:rsidRPr="008813FB" w:rsidRDefault="005A35F2" w:rsidP="00E33EAE">
      <w:pPr>
        <w:pStyle w:val="Default"/>
        <w:ind w:right="-142"/>
        <w:jc w:val="both"/>
        <w:rPr>
          <w:rFonts w:ascii="ITC Avant Garde" w:hAnsi="ITC Avant Garde"/>
          <w:bCs/>
          <w:sz w:val="20"/>
          <w:szCs w:val="20"/>
        </w:rPr>
      </w:pPr>
    </w:p>
    <w:p w14:paraId="1CB5F496" w14:textId="77777777" w:rsidR="0057678D" w:rsidRPr="008813FB" w:rsidRDefault="0057678D" w:rsidP="00E33EAE">
      <w:pPr>
        <w:pStyle w:val="Default"/>
        <w:ind w:right="-142"/>
        <w:jc w:val="both"/>
        <w:rPr>
          <w:rFonts w:ascii="ITC Avant Garde" w:hAnsi="ITC Avant Garde"/>
          <w:bCs/>
          <w:sz w:val="20"/>
          <w:szCs w:val="20"/>
        </w:rPr>
      </w:pPr>
    </w:p>
    <w:p w14:paraId="0B74ECF2" w14:textId="77777777" w:rsidR="0017793B" w:rsidRPr="008813FB" w:rsidRDefault="0017793B" w:rsidP="00E33EAE">
      <w:pPr>
        <w:pStyle w:val="estilo30"/>
        <w:spacing w:before="0" w:beforeAutospacing="0" w:after="0" w:afterAutospacing="0"/>
        <w:ind w:right="-142"/>
        <w:jc w:val="center"/>
        <w:rPr>
          <w:rFonts w:ascii="ITC Avant Garde" w:hAnsi="ITC Avant Garde"/>
          <w:b/>
          <w:bCs/>
          <w:color w:val="000000"/>
          <w:sz w:val="20"/>
          <w:szCs w:val="20"/>
          <w:lang w:val="pt-BR"/>
        </w:rPr>
      </w:pPr>
      <w:r w:rsidRPr="008813FB">
        <w:rPr>
          <w:rFonts w:ascii="ITC Avant Garde" w:hAnsi="ITC Avant Garde"/>
          <w:b/>
          <w:bCs/>
          <w:color w:val="000000"/>
          <w:sz w:val="20"/>
          <w:szCs w:val="20"/>
          <w:lang w:val="pt-BR"/>
        </w:rPr>
        <w:t>A T E N T A M E N T E</w:t>
      </w:r>
    </w:p>
    <w:p w14:paraId="1FB2BA36" w14:textId="77777777" w:rsidR="0017793B" w:rsidRPr="008813FB" w:rsidRDefault="0017793B" w:rsidP="00E33EAE">
      <w:pPr>
        <w:pStyle w:val="estilo30"/>
        <w:spacing w:before="0" w:beforeAutospacing="0" w:after="0" w:afterAutospacing="0"/>
        <w:ind w:right="-142"/>
        <w:rPr>
          <w:rFonts w:ascii="ITC Avant Garde" w:hAnsi="ITC Avant Garde"/>
          <w:b/>
          <w:bCs/>
          <w:color w:val="000000"/>
          <w:sz w:val="20"/>
          <w:szCs w:val="20"/>
          <w:lang w:val="pt-BR"/>
        </w:rPr>
      </w:pPr>
    </w:p>
    <w:p w14:paraId="269E693C" w14:textId="77777777" w:rsidR="0017793B" w:rsidRPr="008813FB" w:rsidRDefault="0017793B" w:rsidP="00E33EAE">
      <w:pPr>
        <w:pStyle w:val="estilo30"/>
        <w:spacing w:before="0" w:beforeAutospacing="0" w:after="0" w:afterAutospacing="0"/>
        <w:ind w:right="-142"/>
        <w:rPr>
          <w:rFonts w:ascii="ITC Avant Garde" w:hAnsi="ITC Avant Garde"/>
          <w:b/>
          <w:bCs/>
          <w:color w:val="000000"/>
          <w:sz w:val="20"/>
          <w:szCs w:val="20"/>
          <w:lang w:val="pt-BR"/>
        </w:rPr>
      </w:pPr>
    </w:p>
    <w:p w14:paraId="2637DE71" w14:textId="77777777" w:rsidR="0017793B" w:rsidRPr="008813FB" w:rsidRDefault="0017793B" w:rsidP="00E33EAE">
      <w:pPr>
        <w:pStyle w:val="estilo30"/>
        <w:spacing w:before="0" w:beforeAutospacing="0" w:after="0" w:afterAutospacing="0"/>
        <w:ind w:right="-142"/>
        <w:rPr>
          <w:rFonts w:ascii="ITC Avant Garde" w:hAnsi="ITC Avant Garde"/>
          <w:b/>
          <w:bCs/>
          <w:color w:val="000000"/>
          <w:sz w:val="20"/>
          <w:szCs w:val="20"/>
          <w:lang w:val="pt-BR"/>
        </w:rPr>
      </w:pPr>
    </w:p>
    <w:p w14:paraId="485D5F01" w14:textId="77777777" w:rsidR="0017793B" w:rsidRPr="008813FB" w:rsidRDefault="0017793B" w:rsidP="00E33EAE">
      <w:pPr>
        <w:pStyle w:val="estilo30"/>
        <w:spacing w:before="0" w:beforeAutospacing="0" w:after="0" w:afterAutospacing="0"/>
        <w:ind w:right="-142"/>
        <w:jc w:val="center"/>
        <w:rPr>
          <w:rFonts w:ascii="ITC Avant Garde" w:hAnsi="ITC Avant Garde"/>
          <w:b/>
          <w:bCs/>
          <w:color w:val="000000"/>
          <w:sz w:val="20"/>
          <w:szCs w:val="20"/>
          <w:lang w:val="pt-BR"/>
        </w:rPr>
      </w:pPr>
      <w:r w:rsidRPr="008813FB">
        <w:rPr>
          <w:rFonts w:ascii="ITC Avant Garde" w:hAnsi="ITC Avant Garde"/>
          <w:b/>
          <w:bCs/>
          <w:color w:val="000000"/>
          <w:sz w:val="20"/>
          <w:szCs w:val="20"/>
          <w:lang w:val="pt-BR"/>
        </w:rPr>
        <w:t>LUIS FERNANDO ROSAS YÁÑEZ</w:t>
      </w:r>
    </w:p>
    <w:p w14:paraId="41128DEB" w14:textId="77777777" w:rsidR="0017793B" w:rsidRPr="008813FB" w:rsidRDefault="0017793B" w:rsidP="00E33EAE">
      <w:pPr>
        <w:spacing w:after="0" w:line="240" w:lineRule="auto"/>
        <w:ind w:right="-142"/>
        <w:jc w:val="center"/>
        <w:rPr>
          <w:rFonts w:ascii="ITC Avant Garde" w:hAnsi="ITC Avant Garde"/>
          <w:b/>
          <w:bCs/>
          <w:color w:val="000000"/>
          <w:sz w:val="20"/>
          <w:szCs w:val="20"/>
          <w:lang w:val="pt-BR"/>
        </w:rPr>
      </w:pPr>
      <w:r w:rsidRPr="008813FB">
        <w:rPr>
          <w:rFonts w:ascii="ITC Avant Garde" w:hAnsi="ITC Avant Garde"/>
          <w:b/>
          <w:bCs/>
          <w:color w:val="000000"/>
          <w:sz w:val="20"/>
          <w:szCs w:val="20"/>
          <w:lang w:val="pt-BR"/>
        </w:rPr>
        <w:t>COORDINADOR GENERAL</w:t>
      </w:r>
    </w:p>
    <w:p w14:paraId="7FDB4111" w14:textId="77777777" w:rsidR="0017793B" w:rsidRPr="008813FB" w:rsidRDefault="0017793B" w:rsidP="00E33EAE">
      <w:pPr>
        <w:spacing w:after="0" w:line="240" w:lineRule="auto"/>
        <w:ind w:right="-142"/>
        <w:jc w:val="both"/>
        <w:rPr>
          <w:rFonts w:ascii="ITC Avant Garde" w:hAnsi="ITC Avant Garde" w:cs="Tahoma"/>
          <w:bCs/>
          <w:color w:val="000000"/>
          <w:sz w:val="20"/>
          <w:szCs w:val="20"/>
          <w:lang w:eastAsia="es-MX"/>
        </w:rPr>
      </w:pPr>
    </w:p>
    <w:p w14:paraId="195C1B12" w14:textId="77777777" w:rsidR="00704038" w:rsidRPr="008813FB" w:rsidRDefault="00704038" w:rsidP="00E33EAE">
      <w:pPr>
        <w:pStyle w:val="estilo30"/>
        <w:spacing w:before="0" w:beforeAutospacing="0" w:after="0" w:afterAutospacing="0"/>
        <w:ind w:left="1134" w:right="1183"/>
        <w:jc w:val="center"/>
        <w:rPr>
          <w:rFonts w:ascii="ITC Avant Garde" w:hAnsi="ITC Avant Garde"/>
          <w:b/>
          <w:bCs/>
          <w:color w:val="000000"/>
          <w:sz w:val="15"/>
          <w:szCs w:val="15"/>
        </w:rPr>
      </w:pPr>
      <w:r w:rsidRPr="008813FB">
        <w:rPr>
          <w:rFonts w:ascii="ITC Avant Garde" w:hAnsi="ITC Avant Garde"/>
          <w:bCs/>
          <w:i/>
          <w:color w:val="000000"/>
          <w:sz w:val="15"/>
          <w:szCs w:val="15"/>
        </w:rPr>
        <w:t xml:space="preserve">Durante la contingencia sanitaria originada por </w:t>
      </w:r>
      <w:r w:rsidR="000A6D71" w:rsidRPr="008813FB">
        <w:rPr>
          <w:rFonts w:ascii="ITC Avant Garde" w:hAnsi="ITC Avant Garde"/>
          <w:bCs/>
          <w:i/>
          <w:color w:val="000000"/>
          <w:sz w:val="15"/>
          <w:szCs w:val="15"/>
        </w:rPr>
        <w:t>el virus SARS-CoV2</w:t>
      </w:r>
      <w:r w:rsidRPr="008813FB">
        <w:rPr>
          <w:rFonts w:ascii="ITC Avant Garde" w:hAnsi="ITC Avant Garde"/>
          <w:bCs/>
          <w:i/>
          <w:color w:val="000000"/>
          <w:sz w:val="15"/>
          <w:szCs w:val="15"/>
        </w:rPr>
        <w:t xml:space="preserve">, los oficios serán remitidos vía electrónica y sin firma. Pasando </w:t>
      </w:r>
      <w:r w:rsidR="000A6D71" w:rsidRPr="008813FB">
        <w:rPr>
          <w:rFonts w:ascii="ITC Avant Garde" w:hAnsi="ITC Avant Garde"/>
          <w:bCs/>
          <w:i/>
          <w:color w:val="000000"/>
          <w:sz w:val="15"/>
          <w:szCs w:val="15"/>
        </w:rPr>
        <w:t>dicha circunstancia</w:t>
      </w:r>
      <w:r w:rsidRPr="008813FB">
        <w:rPr>
          <w:rFonts w:ascii="ITC Avant Garde" w:hAnsi="ITC Avant Garde"/>
          <w:bCs/>
          <w:i/>
          <w:color w:val="000000"/>
          <w:sz w:val="15"/>
          <w:szCs w:val="15"/>
        </w:rPr>
        <w:t xml:space="preserve">, en caso de ser necesario, </w:t>
      </w:r>
      <w:r w:rsidR="000A6D71" w:rsidRPr="008813FB">
        <w:rPr>
          <w:rFonts w:ascii="ITC Avant Garde" w:hAnsi="ITC Avant Garde"/>
          <w:bCs/>
          <w:i/>
          <w:color w:val="000000"/>
          <w:sz w:val="15"/>
          <w:szCs w:val="15"/>
        </w:rPr>
        <w:t xml:space="preserve">éstos </w:t>
      </w:r>
      <w:r w:rsidRPr="008813FB">
        <w:rPr>
          <w:rFonts w:ascii="ITC Avant Garde" w:hAnsi="ITC Avant Garde"/>
          <w:bCs/>
          <w:i/>
          <w:color w:val="000000"/>
          <w:sz w:val="15"/>
          <w:szCs w:val="15"/>
        </w:rPr>
        <w:t>podrá</w:t>
      </w:r>
      <w:r w:rsidR="000A6D71" w:rsidRPr="008813FB">
        <w:rPr>
          <w:rFonts w:ascii="ITC Avant Garde" w:hAnsi="ITC Avant Garde"/>
          <w:bCs/>
          <w:i/>
          <w:color w:val="000000"/>
          <w:sz w:val="15"/>
          <w:szCs w:val="15"/>
        </w:rPr>
        <w:t>n</w:t>
      </w:r>
      <w:r w:rsidRPr="008813FB">
        <w:rPr>
          <w:rFonts w:ascii="ITC Avant Garde" w:hAnsi="ITC Avant Garde"/>
          <w:bCs/>
          <w:i/>
          <w:color w:val="000000"/>
          <w:sz w:val="15"/>
          <w:szCs w:val="15"/>
        </w:rPr>
        <w:t xml:space="preserve"> </w:t>
      </w:r>
      <w:r w:rsidR="000A6D71" w:rsidRPr="008813FB">
        <w:rPr>
          <w:rFonts w:ascii="ITC Avant Garde" w:hAnsi="ITC Avant Garde"/>
          <w:bCs/>
          <w:i/>
          <w:color w:val="000000"/>
          <w:sz w:val="15"/>
          <w:szCs w:val="15"/>
        </w:rPr>
        <w:t xml:space="preserve">ser </w:t>
      </w:r>
      <w:r w:rsidRPr="008813FB">
        <w:rPr>
          <w:rFonts w:ascii="ITC Avant Garde" w:hAnsi="ITC Avant Garde"/>
          <w:bCs/>
          <w:i/>
          <w:color w:val="000000"/>
          <w:sz w:val="15"/>
          <w:szCs w:val="15"/>
        </w:rPr>
        <w:t>remiti</w:t>
      </w:r>
      <w:r w:rsidR="000A6D71" w:rsidRPr="008813FB">
        <w:rPr>
          <w:rFonts w:ascii="ITC Avant Garde" w:hAnsi="ITC Avant Garde"/>
          <w:bCs/>
          <w:i/>
          <w:color w:val="000000"/>
          <w:sz w:val="15"/>
          <w:szCs w:val="15"/>
        </w:rPr>
        <w:t>dos</w:t>
      </w:r>
      <w:r w:rsidRPr="008813FB">
        <w:rPr>
          <w:rFonts w:ascii="ITC Avant Garde" w:hAnsi="ITC Avant Garde"/>
          <w:bCs/>
          <w:i/>
          <w:color w:val="000000"/>
          <w:sz w:val="15"/>
          <w:szCs w:val="15"/>
        </w:rPr>
        <w:t xml:space="preserve"> </w:t>
      </w:r>
      <w:r w:rsidR="000A6D71" w:rsidRPr="008813FB">
        <w:rPr>
          <w:rFonts w:ascii="ITC Avant Garde" w:hAnsi="ITC Avant Garde"/>
          <w:bCs/>
          <w:i/>
          <w:color w:val="000000"/>
          <w:sz w:val="15"/>
          <w:szCs w:val="15"/>
        </w:rPr>
        <w:t>físicamente y firmados</w:t>
      </w:r>
      <w:r w:rsidRPr="008813FB">
        <w:rPr>
          <w:rFonts w:ascii="ITC Avant Garde" w:hAnsi="ITC Avant Garde"/>
          <w:bCs/>
          <w:i/>
          <w:color w:val="000000"/>
          <w:sz w:val="15"/>
          <w:szCs w:val="15"/>
        </w:rPr>
        <w:t>.</w:t>
      </w:r>
    </w:p>
    <w:p w14:paraId="7D87389C" w14:textId="77777777" w:rsidR="0017793B" w:rsidRPr="008813FB" w:rsidRDefault="0017793B" w:rsidP="00E33EAE">
      <w:pPr>
        <w:spacing w:after="0" w:line="240" w:lineRule="auto"/>
        <w:ind w:right="-142"/>
        <w:jc w:val="both"/>
        <w:rPr>
          <w:rFonts w:ascii="ITC Avant Garde" w:hAnsi="ITC Avant Garde" w:cs="Tahoma"/>
          <w:bCs/>
          <w:color w:val="000000"/>
          <w:sz w:val="20"/>
          <w:szCs w:val="20"/>
          <w:lang w:eastAsia="es-MX"/>
        </w:rPr>
      </w:pPr>
    </w:p>
    <w:p w14:paraId="4793A5EB" w14:textId="77777777" w:rsidR="0017793B" w:rsidRPr="008813FB" w:rsidRDefault="0017793B" w:rsidP="00E33EAE">
      <w:pPr>
        <w:spacing w:after="0" w:line="240" w:lineRule="auto"/>
        <w:ind w:left="851" w:right="49" w:hanging="851"/>
        <w:jc w:val="both"/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</w:pPr>
      <w:proofErr w:type="spellStart"/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C.c.p</w:t>
      </w:r>
      <w:proofErr w:type="spellEnd"/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. 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ab/>
      </w:r>
      <w:r w:rsidR="001B52A0" w:rsidRPr="008813FB">
        <w:rPr>
          <w:rFonts w:ascii="ITC Avant Garde" w:hAnsi="ITC Avant Garde" w:cs="Tahoma"/>
          <w:b/>
          <w:bCs/>
          <w:color w:val="000000"/>
          <w:sz w:val="16"/>
          <w:szCs w:val="16"/>
          <w:lang w:eastAsia="es-MX"/>
        </w:rPr>
        <w:t>Adolfo Cuevas Teja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, Comisionado Presidente del Instituto Federal de Telecomunicaciones. - Para su conocimiento. - Correo electrónico: </w:t>
      </w:r>
      <w:hyperlink r:id="rId8" w:history="1">
        <w:r w:rsidR="001B52A0" w:rsidRPr="008813FB">
          <w:rPr>
            <w:rStyle w:val="Hyperlink"/>
            <w:rFonts w:ascii="ITC Avant Garde" w:hAnsi="ITC Avant Garde" w:cs="Tahoma"/>
            <w:bCs/>
            <w:sz w:val="16"/>
            <w:szCs w:val="16"/>
            <w:lang w:eastAsia="es-MX"/>
          </w:rPr>
          <w:t>adolfo.cuevas@ift.org.mx</w:t>
        </w:r>
      </w:hyperlink>
    </w:p>
    <w:p w14:paraId="0650FBEC" w14:textId="77777777" w:rsidR="0017793B" w:rsidRPr="008813FB" w:rsidRDefault="0017793B" w:rsidP="006029D3">
      <w:pPr>
        <w:spacing w:after="0" w:line="240" w:lineRule="auto"/>
        <w:ind w:left="851" w:right="49"/>
        <w:jc w:val="both"/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</w:pPr>
      <w:r w:rsidRPr="008813FB">
        <w:rPr>
          <w:rFonts w:ascii="ITC Avant Garde" w:hAnsi="ITC Avant Garde" w:cs="Tahoma"/>
          <w:b/>
          <w:bCs/>
          <w:color w:val="000000"/>
          <w:sz w:val="16"/>
          <w:szCs w:val="16"/>
          <w:lang w:eastAsia="es-MX"/>
        </w:rPr>
        <w:t>Juan José Crispín Borbolla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, Coordinador Ejecutivo del I</w:t>
      </w:r>
      <w:r w:rsidR="001B52A0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nstituto 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F</w:t>
      </w:r>
      <w:r w:rsidR="001B52A0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ederal de 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T</w:t>
      </w:r>
      <w:r w:rsidR="001B52A0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elecomunicaciones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. - Mismo fin</w:t>
      </w:r>
      <w:r w:rsidR="001B52A0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. Correo</w:t>
      </w:r>
      <w:r w:rsidR="006029D3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 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electrónico: </w:t>
      </w:r>
      <w:hyperlink r:id="rId9" w:history="1">
        <w:r w:rsidRPr="008813FB">
          <w:rPr>
            <w:rStyle w:val="Hyperlink"/>
            <w:rFonts w:ascii="ITC Avant Garde" w:hAnsi="ITC Avant Garde" w:cs="Tahoma"/>
            <w:bCs/>
            <w:sz w:val="16"/>
            <w:szCs w:val="16"/>
            <w:lang w:eastAsia="es-MX"/>
          </w:rPr>
          <w:t>juan.crispin@ift.org.mx</w:t>
        </w:r>
      </w:hyperlink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 </w:t>
      </w:r>
    </w:p>
    <w:p w14:paraId="6BDD2E26" w14:textId="77777777" w:rsidR="0017793B" w:rsidRPr="008813FB" w:rsidRDefault="0017793B" w:rsidP="006029D3">
      <w:pPr>
        <w:spacing w:after="0" w:line="240" w:lineRule="auto"/>
        <w:ind w:left="851" w:right="49"/>
        <w:jc w:val="both"/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</w:pPr>
      <w:r w:rsidRPr="008813FB">
        <w:rPr>
          <w:rFonts w:ascii="ITC Avant Garde" w:hAnsi="ITC Avant Garde" w:cs="Tahoma"/>
          <w:b/>
          <w:bCs/>
          <w:color w:val="000000"/>
          <w:sz w:val="16"/>
          <w:szCs w:val="16"/>
          <w:lang w:eastAsia="es-MX"/>
        </w:rPr>
        <w:t>David Gorra Flota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, Secretario Técnico del Pleno del I</w:t>
      </w:r>
      <w:r w:rsidR="001B52A0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nstituto 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F</w:t>
      </w:r>
      <w:r w:rsidR="001B52A0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ederal de 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T</w:t>
      </w:r>
      <w:r w:rsidR="001B52A0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elecomunicaciones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. - Mismo fin. Correo</w:t>
      </w:r>
      <w:r w:rsidR="006029D3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 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electrónico: </w:t>
      </w:r>
      <w:hyperlink r:id="rId10" w:history="1">
        <w:r w:rsidRPr="008813FB">
          <w:rPr>
            <w:rStyle w:val="Hyperlink"/>
            <w:rFonts w:ascii="ITC Avant Garde" w:hAnsi="ITC Avant Garde" w:cs="Tahoma"/>
            <w:bCs/>
            <w:sz w:val="16"/>
            <w:szCs w:val="16"/>
            <w:lang w:eastAsia="es-MX"/>
          </w:rPr>
          <w:t>david.gorra@ift.org.mx</w:t>
        </w:r>
      </w:hyperlink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 </w:t>
      </w:r>
    </w:p>
    <w:p w14:paraId="1F406875" w14:textId="77777777" w:rsidR="0017793B" w:rsidRPr="008813FB" w:rsidRDefault="00CC3F36" w:rsidP="00E33EAE">
      <w:pPr>
        <w:spacing w:after="0" w:line="240" w:lineRule="auto"/>
        <w:ind w:left="851" w:right="49"/>
        <w:jc w:val="both"/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</w:pPr>
      <w:r w:rsidRPr="008813FB">
        <w:rPr>
          <w:rFonts w:ascii="ITC Avant Garde" w:hAnsi="ITC Avant Garde" w:cs="Tahoma"/>
          <w:b/>
          <w:bCs/>
          <w:color w:val="000000"/>
          <w:sz w:val="16"/>
          <w:szCs w:val="16"/>
          <w:lang w:eastAsia="es-MX"/>
        </w:rPr>
        <w:t>Víctor Manuel Rodríguez Hilario</w:t>
      </w:r>
      <w:r w:rsidR="0017793B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,</w:t>
      </w:r>
      <w:r w:rsidR="0017793B" w:rsidRPr="008813FB">
        <w:rPr>
          <w:rFonts w:ascii="ITC Avant Garde" w:hAnsi="ITC Avant Garde" w:cs="Tahoma"/>
          <w:b/>
          <w:bCs/>
          <w:color w:val="000000"/>
          <w:sz w:val="16"/>
          <w:szCs w:val="16"/>
          <w:lang w:eastAsia="es-MX"/>
        </w:rPr>
        <w:t xml:space="preserve"> </w:t>
      </w:r>
      <w:r w:rsidR="0017793B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Titular de la Unidad de </w:t>
      </w:r>
      <w:r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Política Regulatoria</w:t>
      </w:r>
      <w:r w:rsidR="0017793B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 del I</w:t>
      </w:r>
      <w:r w:rsidR="001B52A0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nstituto </w:t>
      </w:r>
      <w:r w:rsidR="0017793B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F</w:t>
      </w:r>
      <w:r w:rsidR="001B52A0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ederal de </w:t>
      </w:r>
      <w:r w:rsidR="0017793B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T</w:t>
      </w:r>
      <w:r w:rsidR="001B52A0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>elecomunicaciones</w:t>
      </w:r>
      <w:r w:rsidR="0017793B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. - Mismo fin. Correo electrónico: </w:t>
      </w:r>
      <w:hyperlink r:id="rId11" w:history="1">
        <w:r w:rsidRPr="008813FB">
          <w:rPr>
            <w:rStyle w:val="Hyperlink"/>
            <w:rFonts w:ascii="ITC Avant Garde" w:hAnsi="ITC Avant Garde" w:cs="Tahoma"/>
            <w:bCs/>
            <w:sz w:val="16"/>
            <w:szCs w:val="16"/>
            <w:lang w:eastAsia="es-MX"/>
          </w:rPr>
          <w:t>victor.rodriguez@ift.org.mx</w:t>
        </w:r>
      </w:hyperlink>
      <w:r w:rsidR="0017793B" w:rsidRPr="008813FB">
        <w:rPr>
          <w:rFonts w:ascii="ITC Avant Garde" w:hAnsi="ITC Avant Garde" w:cs="Tahoma"/>
          <w:bCs/>
          <w:color w:val="000000"/>
          <w:sz w:val="16"/>
          <w:szCs w:val="16"/>
          <w:lang w:eastAsia="es-MX"/>
        </w:rPr>
        <w:t xml:space="preserve"> </w:t>
      </w:r>
    </w:p>
    <w:p w14:paraId="04F425B4" w14:textId="77777777" w:rsidR="0017793B" w:rsidRPr="008813FB" w:rsidRDefault="0017793B" w:rsidP="00E33EAE">
      <w:pPr>
        <w:spacing w:after="0" w:line="240" w:lineRule="auto"/>
        <w:ind w:right="992"/>
        <w:rPr>
          <w:rFonts w:ascii="ITC Avant Garde" w:hAnsi="ITC Avant Garde" w:cs="Tahoma"/>
          <w:bCs/>
          <w:i/>
          <w:color w:val="000000"/>
          <w:sz w:val="20"/>
          <w:szCs w:val="20"/>
          <w:lang w:eastAsia="es-MX"/>
        </w:rPr>
      </w:pPr>
    </w:p>
    <w:p w14:paraId="25570BA9" w14:textId="77777777" w:rsidR="009D4679" w:rsidRPr="0057678D" w:rsidRDefault="00704038" w:rsidP="00E33EAE">
      <w:pPr>
        <w:spacing w:after="0" w:line="240" w:lineRule="auto"/>
        <w:ind w:left="1134" w:right="1183"/>
        <w:jc w:val="center"/>
        <w:rPr>
          <w:rFonts w:ascii="ITC Avant Garde" w:hAnsi="ITC Avant Garde"/>
          <w:i/>
          <w:sz w:val="15"/>
          <w:szCs w:val="15"/>
        </w:rPr>
      </w:pPr>
      <w:r w:rsidRPr="008813FB">
        <w:rPr>
          <w:rFonts w:ascii="ITC Avant Garde" w:hAnsi="ITC Avant Garde"/>
          <w:i/>
          <w:sz w:val="15"/>
          <w:szCs w:val="15"/>
        </w:rPr>
        <w:t>En cumplimiento de lo señalado en el “Acuerdo mediante el cual el Pleno del Instituto Federal de Telecomunicaciones expide los Lineamientos de Austeridad y Disciplina Presupuestaria para el Ejercicio Fiscal 2020”, se informa que las copias de conocimiento que se marcan en el presente documento se enviarán a través de medios electrónicos.</w:t>
      </w:r>
    </w:p>
    <w:sectPr w:rsidR="009D4679" w:rsidRPr="0057678D" w:rsidSect="00DD6C21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3119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A3FE02" w14:textId="77777777" w:rsidR="000A3921" w:rsidRDefault="000A3921" w:rsidP="00406DF7">
      <w:pPr>
        <w:spacing w:after="0" w:line="240" w:lineRule="auto"/>
      </w:pPr>
      <w:r>
        <w:separator/>
      </w:r>
    </w:p>
  </w:endnote>
  <w:endnote w:type="continuationSeparator" w:id="0">
    <w:p w14:paraId="234945B5" w14:textId="77777777" w:rsidR="000A3921" w:rsidRDefault="000A3921" w:rsidP="00406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ITC Avant Garde" w:hAnsi="ITC Avant Garde"/>
        <w:sz w:val="16"/>
        <w:szCs w:val="16"/>
      </w:rPr>
      <w:id w:val="591286195"/>
      <w:docPartObj>
        <w:docPartGallery w:val="Page Numbers (Bottom of Page)"/>
        <w:docPartUnique/>
      </w:docPartObj>
    </w:sdtPr>
    <w:sdtEndPr/>
    <w:sdtContent>
      <w:sdt>
        <w:sdtPr>
          <w:rPr>
            <w:rFonts w:ascii="ITC Avant Garde" w:hAnsi="ITC Avant Garde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B9E3C5F" w14:textId="0A530517" w:rsidR="009D4679" w:rsidRPr="0057678D" w:rsidRDefault="009D4679">
            <w:pPr>
              <w:pStyle w:val="Footer"/>
              <w:jc w:val="right"/>
              <w:rPr>
                <w:rFonts w:ascii="ITC Avant Garde" w:hAnsi="ITC Avant Garde"/>
                <w:sz w:val="16"/>
                <w:szCs w:val="16"/>
              </w:rPr>
            </w:pPr>
            <w:r w:rsidRPr="0057678D">
              <w:rPr>
                <w:rFonts w:ascii="ITC Avant Garde" w:hAnsi="ITC Avant Garde"/>
                <w:sz w:val="16"/>
                <w:szCs w:val="16"/>
                <w:lang w:val="es-ES"/>
              </w:rPr>
              <w:t xml:space="preserve">Página </w:t>
            </w:r>
            <w:r w:rsidRPr="0057678D">
              <w:rPr>
                <w:rFonts w:ascii="ITC Avant Garde" w:hAnsi="ITC Avant Garde"/>
                <w:b/>
                <w:bCs/>
                <w:sz w:val="16"/>
                <w:szCs w:val="16"/>
              </w:rPr>
              <w:fldChar w:fldCharType="begin"/>
            </w:r>
            <w:r w:rsidRPr="0057678D">
              <w:rPr>
                <w:rFonts w:ascii="ITC Avant Garde" w:hAnsi="ITC Avant Garde"/>
                <w:b/>
                <w:bCs/>
                <w:sz w:val="16"/>
                <w:szCs w:val="16"/>
              </w:rPr>
              <w:instrText>PAGE</w:instrText>
            </w:r>
            <w:r w:rsidRPr="0057678D">
              <w:rPr>
                <w:rFonts w:ascii="ITC Avant Garde" w:hAnsi="ITC Avant Garde"/>
                <w:b/>
                <w:bCs/>
                <w:sz w:val="16"/>
                <w:szCs w:val="16"/>
              </w:rPr>
              <w:fldChar w:fldCharType="separate"/>
            </w:r>
            <w:r w:rsidR="008813FB">
              <w:rPr>
                <w:rFonts w:ascii="ITC Avant Garde" w:hAnsi="ITC Avant Garde"/>
                <w:b/>
                <w:bCs/>
                <w:noProof/>
                <w:sz w:val="16"/>
                <w:szCs w:val="16"/>
              </w:rPr>
              <w:t>4</w:t>
            </w:r>
            <w:r w:rsidRPr="0057678D">
              <w:rPr>
                <w:rFonts w:ascii="ITC Avant Garde" w:hAnsi="ITC Avant Garde"/>
                <w:b/>
                <w:bCs/>
                <w:sz w:val="16"/>
                <w:szCs w:val="16"/>
              </w:rPr>
              <w:fldChar w:fldCharType="end"/>
            </w:r>
            <w:r w:rsidRPr="0057678D">
              <w:rPr>
                <w:rFonts w:ascii="ITC Avant Garde" w:hAnsi="ITC Avant Garde"/>
                <w:sz w:val="16"/>
                <w:szCs w:val="16"/>
                <w:lang w:val="es-ES"/>
              </w:rPr>
              <w:t xml:space="preserve"> de </w:t>
            </w:r>
            <w:r w:rsidRPr="0057678D">
              <w:rPr>
                <w:rFonts w:ascii="ITC Avant Garde" w:hAnsi="ITC Avant Garde"/>
                <w:b/>
                <w:bCs/>
                <w:sz w:val="16"/>
                <w:szCs w:val="16"/>
              </w:rPr>
              <w:fldChar w:fldCharType="begin"/>
            </w:r>
            <w:r w:rsidRPr="0057678D">
              <w:rPr>
                <w:rFonts w:ascii="ITC Avant Garde" w:hAnsi="ITC Avant Garde"/>
                <w:b/>
                <w:bCs/>
                <w:sz w:val="16"/>
                <w:szCs w:val="16"/>
              </w:rPr>
              <w:instrText>NUMPAGES</w:instrText>
            </w:r>
            <w:r w:rsidRPr="0057678D">
              <w:rPr>
                <w:rFonts w:ascii="ITC Avant Garde" w:hAnsi="ITC Avant Garde"/>
                <w:b/>
                <w:bCs/>
                <w:sz w:val="16"/>
                <w:szCs w:val="16"/>
              </w:rPr>
              <w:fldChar w:fldCharType="separate"/>
            </w:r>
            <w:r w:rsidR="008813FB">
              <w:rPr>
                <w:rFonts w:ascii="ITC Avant Garde" w:hAnsi="ITC Avant Garde"/>
                <w:b/>
                <w:bCs/>
                <w:noProof/>
                <w:sz w:val="16"/>
                <w:szCs w:val="16"/>
              </w:rPr>
              <w:t>4</w:t>
            </w:r>
            <w:r w:rsidRPr="0057678D">
              <w:rPr>
                <w:rFonts w:ascii="ITC Avant Garde" w:hAnsi="ITC Avant Garde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07ED5B0" w14:textId="77777777" w:rsidR="009D4679" w:rsidRDefault="009D46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665686" w14:textId="77777777" w:rsidR="000A3921" w:rsidRDefault="000A3921" w:rsidP="00406DF7">
      <w:pPr>
        <w:spacing w:after="0" w:line="240" w:lineRule="auto"/>
      </w:pPr>
      <w:r>
        <w:separator/>
      </w:r>
    </w:p>
  </w:footnote>
  <w:footnote w:type="continuationSeparator" w:id="0">
    <w:p w14:paraId="55CC07D1" w14:textId="77777777" w:rsidR="000A3921" w:rsidRDefault="000A3921" w:rsidP="00406DF7">
      <w:pPr>
        <w:spacing w:after="0" w:line="240" w:lineRule="auto"/>
      </w:pPr>
      <w:r>
        <w:continuationSeparator/>
      </w:r>
    </w:p>
  </w:footnote>
  <w:footnote w:id="1">
    <w:p w14:paraId="156A3291" w14:textId="77777777" w:rsidR="00361066" w:rsidRPr="00460C83" w:rsidRDefault="00361066" w:rsidP="00460C83">
      <w:pPr>
        <w:pStyle w:val="FootnoteText"/>
        <w:jc w:val="both"/>
        <w:rPr>
          <w:rFonts w:ascii="ITC Avant Garde" w:hAnsi="ITC Avant Garde"/>
          <w:sz w:val="15"/>
          <w:szCs w:val="15"/>
        </w:rPr>
      </w:pPr>
      <w:r w:rsidRPr="00460C83">
        <w:rPr>
          <w:rStyle w:val="FootnoteReference"/>
          <w:rFonts w:ascii="ITC Avant Garde" w:hAnsi="ITC Avant Garde"/>
          <w:sz w:val="15"/>
          <w:szCs w:val="15"/>
        </w:rPr>
        <w:footnoteRef/>
      </w:r>
      <w:r w:rsidRPr="00460C83">
        <w:rPr>
          <w:rFonts w:ascii="ITC Avant Garde" w:hAnsi="ITC Avant Garde"/>
          <w:sz w:val="15"/>
          <w:szCs w:val="15"/>
        </w:rPr>
        <w:t xml:space="preserve"> Publicados en el Diario Oficial de la Federación el día 8 de noviembre de 2017.</w:t>
      </w:r>
    </w:p>
  </w:footnote>
  <w:footnote w:id="2">
    <w:p w14:paraId="2622912F" w14:textId="77777777" w:rsidR="00AF60D2" w:rsidRPr="00460C83" w:rsidRDefault="00AF60D2" w:rsidP="00460C83">
      <w:pPr>
        <w:pStyle w:val="FootnoteText"/>
        <w:jc w:val="both"/>
        <w:rPr>
          <w:rFonts w:ascii="ITC Avant Garde" w:hAnsi="ITC Avant Garde"/>
          <w:sz w:val="15"/>
          <w:szCs w:val="15"/>
        </w:rPr>
      </w:pPr>
      <w:r w:rsidRPr="00460C83">
        <w:rPr>
          <w:rStyle w:val="FootnoteReference"/>
          <w:rFonts w:ascii="ITC Avant Garde" w:hAnsi="ITC Avant Garde"/>
          <w:sz w:val="15"/>
          <w:szCs w:val="15"/>
        </w:rPr>
        <w:footnoteRef/>
      </w:r>
      <w:r w:rsidRPr="00460C83">
        <w:rPr>
          <w:rFonts w:ascii="ITC Avant Garde" w:hAnsi="ITC Avant Garde"/>
          <w:sz w:val="15"/>
          <w:szCs w:val="15"/>
        </w:rPr>
        <w:t xml:space="preserve"> Disponible en la siguiente dirección de internet: </w:t>
      </w:r>
      <w:hyperlink r:id="rId1" w:history="1">
        <w:r w:rsidRPr="00460C83">
          <w:rPr>
            <w:rStyle w:val="Hyperlink"/>
            <w:rFonts w:ascii="ITC Avant Garde" w:hAnsi="ITC Avant Garde"/>
            <w:sz w:val="15"/>
            <w:szCs w:val="15"/>
          </w:rPr>
          <w:t>http://www.ift.org.mx/sites/default/files/contenidogeneral/politica-regulatoria/ofertatelceluv2020.pdf</w:t>
        </w:r>
      </w:hyperlink>
    </w:p>
    <w:p w14:paraId="17288DDF" w14:textId="77777777" w:rsidR="00AF60D2" w:rsidRPr="00460C83" w:rsidRDefault="00AF60D2" w:rsidP="00460C83">
      <w:pPr>
        <w:pStyle w:val="FootnoteText"/>
        <w:jc w:val="both"/>
        <w:rPr>
          <w:rFonts w:ascii="ITC Avant Garde" w:hAnsi="ITC Avant Garde"/>
          <w:sz w:val="15"/>
          <w:szCs w:val="15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9C2B0" w14:textId="77777777" w:rsidR="009D4679" w:rsidRDefault="000A3921">
    <w:pPr>
      <w:pStyle w:val="Header"/>
    </w:pPr>
    <w:r>
      <w:rPr>
        <w:noProof/>
        <w:lang w:eastAsia="es-MX"/>
      </w:rPr>
      <w:pict w14:anchorId="28BA4F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2656876" o:spid="_x0000_s2095" type="#_x0000_t75" style="position:absolute;margin-left:0;margin-top:0;width:612.25pt;height:11in;z-index:-251657216;mso-position-horizontal:center;mso-position-horizontal-relative:margin;mso-position-vertical:center;mso-position-vertical-relative:margin" o:allowincell="f">
          <v:imagedata r:id="rId1" o:title="Hoja mem 2020_rou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D68B1" w14:textId="77777777" w:rsidR="009D4679" w:rsidRDefault="000A3921">
    <w:pPr>
      <w:pStyle w:val="Header"/>
    </w:pPr>
    <w:r>
      <w:rPr>
        <w:noProof/>
        <w:lang w:eastAsia="es-MX"/>
      </w:rPr>
      <w:pict w14:anchorId="0E75D2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2656877" o:spid="_x0000_s2096" type="#_x0000_t75" style="position:absolute;margin-left:-56.85pt;margin-top:-155.8pt;width:612.25pt;height:11in;z-index:-251656192;mso-position-horizontal-relative:margin;mso-position-vertical-relative:margin" o:allowincell="f">
          <v:imagedata r:id="rId1" o:title="Hoja mem 2020_rou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AD003" w14:textId="77777777" w:rsidR="009D4679" w:rsidRDefault="000A3921">
    <w:pPr>
      <w:pStyle w:val="Header"/>
    </w:pPr>
    <w:r>
      <w:rPr>
        <w:noProof/>
        <w:lang w:eastAsia="es-MX"/>
      </w:rPr>
      <w:pict w14:anchorId="5925AC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2656875" o:spid="_x0000_s2094" type="#_x0000_t75" style="position:absolute;margin-left:0;margin-top:0;width:612.25pt;height:11in;z-index:-251658240;mso-position-horizontal:center;mso-position-horizontal-relative:margin;mso-position-vertical:center;mso-position-vertical-relative:margin" o:allowincell="f">
          <v:imagedata r:id="rId1" o:title="Hoja mem 2020_rou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76438"/>
    <w:multiLevelType w:val="hybridMultilevel"/>
    <w:tmpl w:val="4878AD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40AEE"/>
    <w:multiLevelType w:val="hybridMultilevel"/>
    <w:tmpl w:val="B71AD21E"/>
    <w:lvl w:ilvl="0" w:tplc="DE0C00D8">
      <w:start w:val="3"/>
      <w:numFmt w:val="bullet"/>
      <w:lvlText w:val="-"/>
      <w:lvlJc w:val="left"/>
      <w:pPr>
        <w:ind w:left="720" w:hanging="360"/>
      </w:pPr>
      <w:rPr>
        <w:rFonts w:ascii="ITC Avant Garde" w:eastAsiaTheme="minorHAnsi" w:hAnsi="ITC Avant Garde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D13CD"/>
    <w:multiLevelType w:val="hybridMultilevel"/>
    <w:tmpl w:val="B072A7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176B3F"/>
    <w:multiLevelType w:val="hybridMultilevel"/>
    <w:tmpl w:val="5F580632"/>
    <w:lvl w:ilvl="0" w:tplc="C88648E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590962"/>
    <w:multiLevelType w:val="hybridMultilevel"/>
    <w:tmpl w:val="61C66700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3DA3D37"/>
    <w:multiLevelType w:val="hybridMultilevel"/>
    <w:tmpl w:val="A33E09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B">
      <w:start w:val="1"/>
      <w:numFmt w:val="low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AB06E7"/>
    <w:multiLevelType w:val="hybridMultilevel"/>
    <w:tmpl w:val="013A5076"/>
    <w:lvl w:ilvl="0" w:tplc="3F32CC5C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28425DA"/>
    <w:multiLevelType w:val="hybridMultilevel"/>
    <w:tmpl w:val="1C64A8CC"/>
    <w:lvl w:ilvl="0" w:tplc="5BF67C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1942DA"/>
    <w:multiLevelType w:val="hybridMultilevel"/>
    <w:tmpl w:val="8DE277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F45F06"/>
    <w:multiLevelType w:val="hybridMultilevel"/>
    <w:tmpl w:val="857438E2"/>
    <w:lvl w:ilvl="0" w:tplc="A32AEB6E">
      <w:start w:val="1"/>
      <w:numFmt w:val="bullet"/>
      <w:lvlText w:val="-"/>
      <w:lvlJc w:val="left"/>
      <w:pPr>
        <w:ind w:left="1080" w:hanging="360"/>
      </w:pPr>
      <w:rPr>
        <w:rFonts w:ascii="ITC Avant Garde" w:eastAsia="Calibri" w:hAnsi="ITC Avant Garde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9"/>
  </w:num>
  <w:num w:numId="8">
    <w:abstractNumId w:val="4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DF7"/>
    <w:rsid w:val="0000430D"/>
    <w:rsid w:val="00021266"/>
    <w:rsid w:val="000316E8"/>
    <w:rsid w:val="000432F9"/>
    <w:rsid w:val="00056D83"/>
    <w:rsid w:val="00074862"/>
    <w:rsid w:val="00076531"/>
    <w:rsid w:val="000A3921"/>
    <w:rsid w:val="000A5243"/>
    <w:rsid w:val="000A6D71"/>
    <w:rsid w:val="000D1248"/>
    <w:rsid w:val="000E01F0"/>
    <w:rsid w:val="000F3BF0"/>
    <w:rsid w:val="001015CB"/>
    <w:rsid w:val="00101FCE"/>
    <w:rsid w:val="001213E3"/>
    <w:rsid w:val="00121CDB"/>
    <w:rsid w:val="001406C0"/>
    <w:rsid w:val="001646A5"/>
    <w:rsid w:val="0017793B"/>
    <w:rsid w:val="001857F1"/>
    <w:rsid w:val="00191F01"/>
    <w:rsid w:val="00196A70"/>
    <w:rsid w:val="00197D24"/>
    <w:rsid w:val="001A4263"/>
    <w:rsid w:val="001B36E0"/>
    <w:rsid w:val="001B52A0"/>
    <w:rsid w:val="001C1C34"/>
    <w:rsid w:val="001C2C9E"/>
    <w:rsid w:val="001D49B3"/>
    <w:rsid w:val="001D5C11"/>
    <w:rsid w:val="001F7916"/>
    <w:rsid w:val="002341B6"/>
    <w:rsid w:val="00241F93"/>
    <w:rsid w:val="00244512"/>
    <w:rsid w:val="002547DC"/>
    <w:rsid w:val="0025767D"/>
    <w:rsid w:val="00264025"/>
    <w:rsid w:val="002654C3"/>
    <w:rsid w:val="00282F51"/>
    <w:rsid w:val="00296EE5"/>
    <w:rsid w:val="002A33F5"/>
    <w:rsid w:val="002B15EB"/>
    <w:rsid w:val="002B1B83"/>
    <w:rsid w:val="002B3594"/>
    <w:rsid w:val="002D33A9"/>
    <w:rsid w:val="002E6ED4"/>
    <w:rsid w:val="002E7B35"/>
    <w:rsid w:val="002F5180"/>
    <w:rsid w:val="002F620E"/>
    <w:rsid w:val="00337E78"/>
    <w:rsid w:val="00361066"/>
    <w:rsid w:val="00371B65"/>
    <w:rsid w:val="00386455"/>
    <w:rsid w:val="003A007E"/>
    <w:rsid w:val="003D053F"/>
    <w:rsid w:val="003F5724"/>
    <w:rsid w:val="00406DF7"/>
    <w:rsid w:val="0041055E"/>
    <w:rsid w:val="00417D2D"/>
    <w:rsid w:val="004200B2"/>
    <w:rsid w:val="00420B52"/>
    <w:rsid w:val="00420BED"/>
    <w:rsid w:val="00423B23"/>
    <w:rsid w:val="004562FA"/>
    <w:rsid w:val="00460C83"/>
    <w:rsid w:val="0047119C"/>
    <w:rsid w:val="00483325"/>
    <w:rsid w:val="0048591B"/>
    <w:rsid w:val="00487B89"/>
    <w:rsid w:val="004A0386"/>
    <w:rsid w:val="004A0868"/>
    <w:rsid w:val="004B2C9D"/>
    <w:rsid w:val="004D786C"/>
    <w:rsid w:val="004F4AE1"/>
    <w:rsid w:val="004F77A1"/>
    <w:rsid w:val="00500879"/>
    <w:rsid w:val="00507B36"/>
    <w:rsid w:val="005365D4"/>
    <w:rsid w:val="00537307"/>
    <w:rsid w:val="00564D38"/>
    <w:rsid w:val="005672D1"/>
    <w:rsid w:val="00574A02"/>
    <w:rsid w:val="0057678D"/>
    <w:rsid w:val="00594201"/>
    <w:rsid w:val="005A35F2"/>
    <w:rsid w:val="005C742E"/>
    <w:rsid w:val="005D025E"/>
    <w:rsid w:val="005D21E5"/>
    <w:rsid w:val="005E20F3"/>
    <w:rsid w:val="006027E5"/>
    <w:rsid w:val="006029D3"/>
    <w:rsid w:val="00606E53"/>
    <w:rsid w:val="00607C06"/>
    <w:rsid w:val="00616E56"/>
    <w:rsid w:val="00622896"/>
    <w:rsid w:val="00640D22"/>
    <w:rsid w:val="00671E5A"/>
    <w:rsid w:val="00687169"/>
    <w:rsid w:val="006C6B51"/>
    <w:rsid w:val="006C6F2E"/>
    <w:rsid w:val="006D05DC"/>
    <w:rsid w:val="006E491F"/>
    <w:rsid w:val="006F4D78"/>
    <w:rsid w:val="00704038"/>
    <w:rsid w:val="007131AC"/>
    <w:rsid w:val="0071336C"/>
    <w:rsid w:val="007209B0"/>
    <w:rsid w:val="007235A6"/>
    <w:rsid w:val="0074396A"/>
    <w:rsid w:val="0075267F"/>
    <w:rsid w:val="0075278D"/>
    <w:rsid w:val="00766BCD"/>
    <w:rsid w:val="00774F29"/>
    <w:rsid w:val="00774F76"/>
    <w:rsid w:val="007958C8"/>
    <w:rsid w:val="00795E45"/>
    <w:rsid w:val="007963D2"/>
    <w:rsid w:val="00797099"/>
    <w:rsid w:val="007C246F"/>
    <w:rsid w:val="007E3A61"/>
    <w:rsid w:val="007E4022"/>
    <w:rsid w:val="007E458F"/>
    <w:rsid w:val="0080417E"/>
    <w:rsid w:val="008152C5"/>
    <w:rsid w:val="00817B7C"/>
    <w:rsid w:val="00825557"/>
    <w:rsid w:val="00832511"/>
    <w:rsid w:val="0083372E"/>
    <w:rsid w:val="00847AB1"/>
    <w:rsid w:val="00847DB3"/>
    <w:rsid w:val="0085460E"/>
    <w:rsid w:val="008553F8"/>
    <w:rsid w:val="008732E5"/>
    <w:rsid w:val="00873B2C"/>
    <w:rsid w:val="008813FB"/>
    <w:rsid w:val="00886099"/>
    <w:rsid w:val="00895F3C"/>
    <w:rsid w:val="008A3A0E"/>
    <w:rsid w:val="008C5F71"/>
    <w:rsid w:val="008E364F"/>
    <w:rsid w:val="008F30CF"/>
    <w:rsid w:val="00901102"/>
    <w:rsid w:val="009037F9"/>
    <w:rsid w:val="009101B2"/>
    <w:rsid w:val="00912FE2"/>
    <w:rsid w:val="00915470"/>
    <w:rsid w:val="009602F5"/>
    <w:rsid w:val="00974267"/>
    <w:rsid w:val="0098622C"/>
    <w:rsid w:val="00992E4E"/>
    <w:rsid w:val="009A4EB7"/>
    <w:rsid w:val="009B1254"/>
    <w:rsid w:val="009D4679"/>
    <w:rsid w:val="009E50AB"/>
    <w:rsid w:val="00A005D9"/>
    <w:rsid w:val="00A02D10"/>
    <w:rsid w:val="00A16C01"/>
    <w:rsid w:val="00A4334C"/>
    <w:rsid w:val="00A50EDD"/>
    <w:rsid w:val="00A56CF1"/>
    <w:rsid w:val="00A60757"/>
    <w:rsid w:val="00A72149"/>
    <w:rsid w:val="00A77444"/>
    <w:rsid w:val="00A776F8"/>
    <w:rsid w:val="00AA2012"/>
    <w:rsid w:val="00AA6CB8"/>
    <w:rsid w:val="00AB5F10"/>
    <w:rsid w:val="00AC10F2"/>
    <w:rsid w:val="00AC39E3"/>
    <w:rsid w:val="00AD1B59"/>
    <w:rsid w:val="00AD208B"/>
    <w:rsid w:val="00AD5BF0"/>
    <w:rsid w:val="00AE1A94"/>
    <w:rsid w:val="00AE2D8D"/>
    <w:rsid w:val="00AE6BB3"/>
    <w:rsid w:val="00AF60D2"/>
    <w:rsid w:val="00B00BBA"/>
    <w:rsid w:val="00B231CD"/>
    <w:rsid w:val="00B24A98"/>
    <w:rsid w:val="00B24C08"/>
    <w:rsid w:val="00B2568F"/>
    <w:rsid w:val="00B721E4"/>
    <w:rsid w:val="00B73776"/>
    <w:rsid w:val="00BA07ED"/>
    <w:rsid w:val="00BA0CFE"/>
    <w:rsid w:val="00BA696B"/>
    <w:rsid w:val="00BB22C6"/>
    <w:rsid w:val="00BD7AD5"/>
    <w:rsid w:val="00BE1951"/>
    <w:rsid w:val="00BF1FD4"/>
    <w:rsid w:val="00BF3071"/>
    <w:rsid w:val="00BF366D"/>
    <w:rsid w:val="00BF63DD"/>
    <w:rsid w:val="00C0015F"/>
    <w:rsid w:val="00C00C0C"/>
    <w:rsid w:val="00C20924"/>
    <w:rsid w:val="00C2400A"/>
    <w:rsid w:val="00C251A3"/>
    <w:rsid w:val="00C428EF"/>
    <w:rsid w:val="00C44845"/>
    <w:rsid w:val="00C47D30"/>
    <w:rsid w:val="00C51298"/>
    <w:rsid w:val="00C5251B"/>
    <w:rsid w:val="00C82A35"/>
    <w:rsid w:val="00CA43CC"/>
    <w:rsid w:val="00CB406A"/>
    <w:rsid w:val="00CC18FC"/>
    <w:rsid w:val="00CC3F36"/>
    <w:rsid w:val="00CD6116"/>
    <w:rsid w:val="00CE0CA1"/>
    <w:rsid w:val="00CE4E4C"/>
    <w:rsid w:val="00CF5708"/>
    <w:rsid w:val="00D23713"/>
    <w:rsid w:val="00D4548A"/>
    <w:rsid w:val="00D61AFD"/>
    <w:rsid w:val="00D802BD"/>
    <w:rsid w:val="00D9759D"/>
    <w:rsid w:val="00DA1E8E"/>
    <w:rsid w:val="00DB63BC"/>
    <w:rsid w:val="00DC7C39"/>
    <w:rsid w:val="00DD07A9"/>
    <w:rsid w:val="00DD6C21"/>
    <w:rsid w:val="00DE09C3"/>
    <w:rsid w:val="00DF767F"/>
    <w:rsid w:val="00E02CC7"/>
    <w:rsid w:val="00E05D9D"/>
    <w:rsid w:val="00E072E0"/>
    <w:rsid w:val="00E16803"/>
    <w:rsid w:val="00E33EAE"/>
    <w:rsid w:val="00E35528"/>
    <w:rsid w:val="00E65B66"/>
    <w:rsid w:val="00E83E37"/>
    <w:rsid w:val="00ED15E9"/>
    <w:rsid w:val="00EE7C64"/>
    <w:rsid w:val="00F02455"/>
    <w:rsid w:val="00F233EF"/>
    <w:rsid w:val="00F37E68"/>
    <w:rsid w:val="00F53656"/>
    <w:rsid w:val="00F613F5"/>
    <w:rsid w:val="00F8369D"/>
    <w:rsid w:val="00F95FA7"/>
    <w:rsid w:val="00FA563F"/>
    <w:rsid w:val="00FC6895"/>
    <w:rsid w:val="00FD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."/>
  <w:listSeparator w:val=","/>
  <w14:docId w14:val="3588DFC2"/>
  <w15:docId w15:val="{F3A09F68-B314-426D-A493-B1CC724A6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6D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DF7"/>
  </w:style>
  <w:style w:type="paragraph" w:styleId="Footer">
    <w:name w:val="footer"/>
    <w:basedOn w:val="Normal"/>
    <w:link w:val="FooterChar"/>
    <w:uiPriority w:val="99"/>
    <w:unhideWhenUsed/>
    <w:rsid w:val="00406D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DF7"/>
  </w:style>
  <w:style w:type="paragraph" w:customStyle="1" w:styleId="Default">
    <w:name w:val="Default"/>
    <w:rsid w:val="0017793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es-MX"/>
    </w:rPr>
  </w:style>
  <w:style w:type="paragraph" w:styleId="ListParagraph">
    <w:name w:val="List Paragraph"/>
    <w:aliases w:val="prueba1,4 Viñ 1nivel,Numeración 1,Cuadrícula media 1 - Énfasis 21"/>
    <w:basedOn w:val="Normal"/>
    <w:link w:val="ListParagraphChar"/>
    <w:uiPriority w:val="34"/>
    <w:qFormat/>
    <w:rsid w:val="001779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793B"/>
    <w:rPr>
      <w:color w:val="0000FF" w:themeColor="hyperlink"/>
      <w:u w:val="single"/>
    </w:rPr>
  </w:style>
  <w:style w:type="paragraph" w:customStyle="1" w:styleId="estilo30">
    <w:name w:val="estilo30"/>
    <w:basedOn w:val="Normal"/>
    <w:rsid w:val="00177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FootnoteText">
    <w:name w:val="footnote text"/>
    <w:basedOn w:val="Normal"/>
    <w:link w:val="FootnoteTextChar"/>
    <w:uiPriority w:val="99"/>
    <w:unhideWhenUsed/>
    <w:rsid w:val="0017793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7793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793B"/>
    <w:rPr>
      <w:vertAlign w:val="superscript"/>
    </w:rPr>
  </w:style>
  <w:style w:type="character" w:customStyle="1" w:styleId="ListParagraphChar">
    <w:name w:val="List Paragraph Char"/>
    <w:aliases w:val="prueba1 Char,4 Viñ 1nivel Char,Numeración 1 Char,Cuadrícula media 1 - Énfasis 21 Char"/>
    <w:link w:val="ListParagraph"/>
    <w:uiPriority w:val="34"/>
    <w:qFormat/>
    <w:rsid w:val="0017793B"/>
  </w:style>
  <w:style w:type="character" w:styleId="CommentReference">
    <w:name w:val="annotation reference"/>
    <w:basedOn w:val="DefaultParagraphFont"/>
    <w:uiPriority w:val="99"/>
    <w:semiHidden/>
    <w:unhideWhenUsed/>
    <w:rsid w:val="006228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2896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289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89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F3C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F3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F30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olfo.cuevas@ift.org.mx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ctor.rodriguez@ift.org.m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avid.gorra@ift.org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uan.crispin@ift.org.mx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ft.org.mx/sites/default/files/contenidogeneral/politica-regulatoria/ofertatelceluv202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D3251-6E1A-47A9-BCEB-17300F764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1567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 Alejandro Patiño Ascencio</dc:creator>
  <cp:lastModifiedBy>Primitivo Ortiz Maldonado</cp:lastModifiedBy>
  <cp:revision>4</cp:revision>
  <cp:lastPrinted>2021-02-03T17:04:00Z</cp:lastPrinted>
  <dcterms:created xsi:type="dcterms:W3CDTF">2021-02-03T01:53:00Z</dcterms:created>
  <dcterms:modified xsi:type="dcterms:W3CDTF">2021-02-03T17:04:00Z</dcterms:modified>
</cp:coreProperties>
</file>