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02270" w14:textId="77777777" w:rsidR="005F0540" w:rsidRDefault="005F0540" w:rsidP="005F0540">
      <w:pPr>
        <w:pStyle w:val="Ttulo3"/>
        <w:spacing w:line="352" w:lineRule="auto"/>
        <w:rPr>
          <w:lang w:val="es-MX"/>
        </w:rPr>
      </w:pPr>
    </w:p>
    <w:p w14:paraId="03A54D50" w14:textId="77777777" w:rsidR="005F0540" w:rsidRDefault="005F0540" w:rsidP="005F0540">
      <w:pPr>
        <w:pStyle w:val="Ttulo3"/>
        <w:spacing w:line="352" w:lineRule="auto"/>
        <w:rPr>
          <w:lang w:val="es-MX"/>
        </w:rPr>
      </w:pPr>
    </w:p>
    <w:p w14:paraId="76FB8361" w14:textId="77777777" w:rsidR="005F0540" w:rsidRDefault="005F0540" w:rsidP="005F0540">
      <w:pPr>
        <w:pStyle w:val="Ttulo3"/>
        <w:spacing w:line="352" w:lineRule="auto"/>
        <w:rPr>
          <w:lang w:val="es-MX"/>
        </w:rPr>
      </w:pPr>
    </w:p>
    <w:p w14:paraId="618BAD78" w14:textId="77777777" w:rsidR="005F0540" w:rsidRDefault="005F0540" w:rsidP="005F0540">
      <w:pPr>
        <w:pStyle w:val="Ttulo3"/>
        <w:spacing w:line="352" w:lineRule="auto"/>
        <w:rPr>
          <w:lang w:val="es-MX"/>
        </w:rPr>
      </w:pPr>
    </w:p>
    <w:p w14:paraId="5554DBD3" w14:textId="77777777" w:rsidR="005F0540" w:rsidRDefault="005F0540" w:rsidP="005F0540">
      <w:pPr>
        <w:pStyle w:val="Ttulo3"/>
        <w:spacing w:line="352" w:lineRule="auto"/>
        <w:rPr>
          <w:lang w:val="es-MX"/>
        </w:rPr>
      </w:pPr>
    </w:p>
    <w:p w14:paraId="07A9726B" w14:textId="7976BB31" w:rsidR="005F0540" w:rsidRPr="00886BE7" w:rsidRDefault="005F0540" w:rsidP="005F0540">
      <w:pPr>
        <w:pStyle w:val="Ttulo3"/>
        <w:spacing w:line="352" w:lineRule="auto"/>
        <w:ind w:left="2835"/>
        <w:rPr>
          <w:lang w:val="es-MX"/>
        </w:rPr>
      </w:pPr>
      <w:r w:rsidRPr="00886BE7">
        <w:rPr>
          <w:lang w:val="es-MX"/>
        </w:rPr>
        <w:t xml:space="preserve">Instituto Federal de </w:t>
      </w:r>
      <w:r>
        <w:rPr>
          <w:lang w:val="es-MX"/>
        </w:rPr>
        <w:t>T</w:t>
      </w:r>
      <w:r w:rsidRPr="00886BE7">
        <w:rPr>
          <w:lang w:val="es-MX"/>
        </w:rPr>
        <w:t xml:space="preserve">elecomunicaciones </w:t>
      </w:r>
      <w:r>
        <w:rPr>
          <w:lang w:val="es-MX"/>
        </w:rPr>
        <w:t>(</w:t>
      </w:r>
      <w:r w:rsidRPr="00886BE7">
        <w:rPr>
          <w:lang w:val="es-MX"/>
        </w:rPr>
        <w:t>IFT)</w:t>
      </w:r>
    </w:p>
    <w:p w14:paraId="0A973A22" w14:textId="6CCFC2F2" w:rsidR="005F0540" w:rsidRPr="00886BE7" w:rsidRDefault="005F0540" w:rsidP="005F0540">
      <w:pPr>
        <w:spacing w:before="142" w:line="256" w:lineRule="auto"/>
        <w:ind w:left="2835" w:right="243"/>
        <w:jc w:val="both"/>
        <w:rPr>
          <w:rFonts w:ascii="Franklin Gothic Medium"/>
          <w:sz w:val="48"/>
          <w:lang w:val="es-MX"/>
        </w:rPr>
      </w:pPr>
      <w:r>
        <w:rPr>
          <w:rFonts w:ascii="Franklin Gothic Medium"/>
          <w:sz w:val="48"/>
          <w:lang w:val="es-MX"/>
        </w:rPr>
        <w:t xml:space="preserve">Modelo de costos </w:t>
      </w:r>
      <w:r>
        <w:rPr>
          <w:rFonts w:ascii="Franklin Gothic Medium"/>
          <w:sz w:val="48"/>
          <w:lang w:val="es-MX"/>
        </w:rPr>
        <w:t>de Enlaces Dedicados</w:t>
      </w:r>
      <w:r>
        <w:rPr>
          <w:rFonts w:ascii="Franklin Gothic Medium"/>
          <w:sz w:val="48"/>
          <w:lang w:val="es-MX"/>
        </w:rPr>
        <w:t>: enfoque conceptual</w:t>
      </w:r>
    </w:p>
    <w:p w14:paraId="669DD3DC" w14:textId="77777777" w:rsidR="005F0540" w:rsidRPr="00886BE7" w:rsidRDefault="005F0540" w:rsidP="005F0540">
      <w:pPr>
        <w:pStyle w:val="Textoindependiente"/>
        <w:rPr>
          <w:rFonts w:ascii="Franklin Gothic Medium"/>
          <w:sz w:val="20"/>
          <w:lang w:val="es-MX"/>
        </w:rPr>
      </w:pPr>
    </w:p>
    <w:p w14:paraId="4FD590E3" w14:textId="77777777" w:rsidR="005F0540" w:rsidRPr="00886BE7" w:rsidRDefault="005F0540" w:rsidP="005F0540">
      <w:pPr>
        <w:pStyle w:val="Textoindependiente"/>
        <w:spacing w:before="8"/>
        <w:rPr>
          <w:rFonts w:ascii="Franklin Gothic Medium"/>
          <w:sz w:val="29"/>
          <w:lang w:val="es-MX"/>
        </w:rPr>
      </w:pPr>
      <w:r w:rsidRPr="00886BE7">
        <w:rPr>
          <w:noProof/>
          <w:lang w:val="es-MX" w:eastAsia="es-MX"/>
        </w:rPr>
        <w:drawing>
          <wp:anchor distT="0" distB="0" distL="0" distR="0" simplePos="0" relativeHeight="251673600" behindDoc="0" locked="0" layoutInCell="1" allowOverlap="1" wp14:anchorId="4F2438DE" wp14:editId="3BA685C6">
            <wp:simplePos x="0" y="0"/>
            <wp:positionH relativeFrom="page">
              <wp:posOffset>2903219</wp:posOffset>
            </wp:positionH>
            <wp:positionV relativeFrom="paragraph">
              <wp:posOffset>238828</wp:posOffset>
            </wp:positionV>
            <wp:extent cx="124497" cy="126015"/>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24497" cy="126015"/>
                    </a:xfrm>
                    <a:prstGeom prst="rect">
                      <a:avLst/>
                    </a:prstGeom>
                  </pic:spPr>
                </pic:pic>
              </a:graphicData>
            </a:graphic>
          </wp:anchor>
        </w:drawing>
      </w:r>
      <w:r w:rsidRPr="00886BE7">
        <w:rPr>
          <w:noProof/>
          <w:lang w:val="es-MX" w:eastAsia="es-MX"/>
        </w:rPr>
        <w:drawing>
          <wp:anchor distT="0" distB="0" distL="0" distR="0" simplePos="0" relativeHeight="251674624" behindDoc="0" locked="0" layoutInCell="1" allowOverlap="1" wp14:anchorId="7E66D0B2" wp14:editId="49613FB7">
            <wp:simplePos x="0" y="0"/>
            <wp:positionH relativeFrom="page">
              <wp:posOffset>3168396</wp:posOffset>
            </wp:positionH>
            <wp:positionV relativeFrom="paragraph">
              <wp:posOffset>238828</wp:posOffset>
            </wp:positionV>
            <wp:extent cx="126015" cy="126015"/>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126015" cy="126015"/>
                    </a:xfrm>
                    <a:prstGeom prst="rect">
                      <a:avLst/>
                    </a:prstGeom>
                  </pic:spPr>
                </pic:pic>
              </a:graphicData>
            </a:graphic>
          </wp:anchor>
        </w:drawing>
      </w:r>
      <w:r w:rsidRPr="00886BE7">
        <w:rPr>
          <w:noProof/>
          <w:lang w:val="es-MX" w:eastAsia="es-MX"/>
        </w:rPr>
        <w:drawing>
          <wp:anchor distT="0" distB="0" distL="0" distR="0" simplePos="0" relativeHeight="251659264" behindDoc="0" locked="0" layoutInCell="1" allowOverlap="1" wp14:anchorId="32D61D7B" wp14:editId="5B35D4E5">
            <wp:simplePos x="0" y="0"/>
            <wp:positionH relativeFrom="page">
              <wp:posOffset>3435096</wp:posOffset>
            </wp:positionH>
            <wp:positionV relativeFrom="paragraph">
              <wp:posOffset>238828</wp:posOffset>
            </wp:positionV>
            <wp:extent cx="124497" cy="126015"/>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124497" cy="126015"/>
                    </a:xfrm>
                    <a:prstGeom prst="rect">
                      <a:avLst/>
                    </a:prstGeom>
                  </pic:spPr>
                </pic:pic>
              </a:graphicData>
            </a:graphic>
          </wp:anchor>
        </w:drawing>
      </w:r>
      <w:r w:rsidRPr="00886BE7">
        <w:rPr>
          <w:noProof/>
          <w:lang w:val="es-MX" w:eastAsia="es-MX"/>
        </w:rPr>
        <w:drawing>
          <wp:anchor distT="0" distB="0" distL="0" distR="0" simplePos="0" relativeHeight="251660288" behindDoc="0" locked="0" layoutInCell="1" allowOverlap="1" wp14:anchorId="3B352D88" wp14:editId="02209A2B">
            <wp:simplePos x="0" y="0"/>
            <wp:positionH relativeFrom="page">
              <wp:posOffset>3694176</wp:posOffset>
            </wp:positionH>
            <wp:positionV relativeFrom="paragraph">
              <wp:posOffset>238828</wp:posOffset>
            </wp:positionV>
            <wp:extent cx="124497" cy="126015"/>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124497" cy="126015"/>
                    </a:xfrm>
                    <a:prstGeom prst="rect">
                      <a:avLst/>
                    </a:prstGeom>
                  </pic:spPr>
                </pic:pic>
              </a:graphicData>
            </a:graphic>
          </wp:anchor>
        </w:drawing>
      </w:r>
      <w:r w:rsidRPr="00886BE7">
        <w:rPr>
          <w:noProof/>
          <w:lang w:val="es-MX" w:eastAsia="es-MX"/>
        </w:rPr>
        <w:drawing>
          <wp:anchor distT="0" distB="0" distL="0" distR="0" simplePos="0" relativeHeight="251661312" behindDoc="0" locked="0" layoutInCell="1" allowOverlap="1" wp14:anchorId="37C71C58" wp14:editId="6C9722B3">
            <wp:simplePos x="0" y="0"/>
            <wp:positionH relativeFrom="page">
              <wp:posOffset>3959352</wp:posOffset>
            </wp:positionH>
            <wp:positionV relativeFrom="paragraph">
              <wp:posOffset>238828</wp:posOffset>
            </wp:positionV>
            <wp:extent cx="126015" cy="12601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126015" cy="126015"/>
                    </a:xfrm>
                    <a:prstGeom prst="rect">
                      <a:avLst/>
                    </a:prstGeom>
                  </pic:spPr>
                </pic:pic>
              </a:graphicData>
            </a:graphic>
          </wp:anchor>
        </w:drawing>
      </w:r>
      <w:r w:rsidRPr="00886BE7">
        <w:rPr>
          <w:noProof/>
          <w:lang w:val="es-MX" w:eastAsia="es-MX"/>
        </w:rPr>
        <w:drawing>
          <wp:anchor distT="0" distB="0" distL="0" distR="0" simplePos="0" relativeHeight="251662336" behindDoc="0" locked="0" layoutInCell="1" allowOverlap="1" wp14:anchorId="7D1B2FD9" wp14:editId="17079DBB">
            <wp:simplePos x="0" y="0"/>
            <wp:positionH relativeFrom="page">
              <wp:posOffset>4218432</wp:posOffset>
            </wp:positionH>
            <wp:positionV relativeFrom="paragraph">
              <wp:posOffset>238828</wp:posOffset>
            </wp:positionV>
            <wp:extent cx="126015" cy="126015"/>
            <wp:effectExtent l="0" t="0" r="0" b="0"/>
            <wp:wrapTopAndBottom/>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126015" cy="126015"/>
                    </a:xfrm>
                    <a:prstGeom prst="rect">
                      <a:avLst/>
                    </a:prstGeom>
                  </pic:spPr>
                </pic:pic>
              </a:graphicData>
            </a:graphic>
          </wp:anchor>
        </w:drawing>
      </w:r>
      <w:r w:rsidRPr="00886BE7">
        <w:rPr>
          <w:noProof/>
          <w:lang w:val="es-MX" w:eastAsia="es-MX"/>
        </w:rPr>
        <w:drawing>
          <wp:anchor distT="0" distB="0" distL="0" distR="0" simplePos="0" relativeHeight="251663360" behindDoc="0" locked="0" layoutInCell="1" allowOverlap="1" wp14:anchorId="1A3AD931" wp14:editId="5EAAE080">
            <wp:simplePos x="0" y="0"/>
            <wp:positionH relativeFrom="page">
              <wp:posOffset>4492752</wp:posOffset>
            </wp:positionH>
            <wp:positionV relativeFrom="paragraph">
              <wp:posOffset>238828</wp:posOffset>
            </wp:positionV>
            <wp:extent cx="124497" cy="126015"/>
            <wp:effectExtent l="0" t="0" r="0" b="0"/>
            <wp:wrapTopAndBottom/>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2" cstate="print"/>
                    <a:stretch>
                      <a:fillRect/>
                    </a:stretch>
                  </pic:blipFill>
                  <pic:spPr>
                    <a:xfrm>
                      <a:off x="0" y="0"/>
                      <a:ext cx="124497" cy="126015"/>
                    </a:xfrm>
                    <a:prstGeom prst="rect">
                      <a:avLst/>
                    </a:prstGeom>
                  </pic:spPr>
                </pic:pic>
              </a:graphicData>
            </a:graphic>
          </wp:anchor>
        </w:drawing>
      </w:r>
      <w:r w:rsidRPr="00886BE7">
        <w:rPr>
          <w:noProof/>
          <w:lang w:val="es-MX" w:eastAsia="es-MX"/>
        </w:rPr>
        <w:drawing>
          <wp:anchor distT="0" distB="0" distL="0" distR="0" simplePos="0" relativeHeight="251664384" behindDoc="0" locked="0" layoutInCell="1" allowOverlap="1" wp14:anchorId="5C737513" wp14:editId="545F4D4A">
            <wp:simplePos x="0" y="0"/>
            <wp:positionH relativeFrom="page">
              <wp:posOffset>4751832</wp:posOffset>
            </wp:positionH>
            <wp:positionV relativeFrom="paragraph">
              <wp:posOffset>238828</wp:posOffset>
            </wp:positionV>
            <wp:extent cx="124497" cy="126015"/>
            <wp:effectExtent l="0" t="0" r="0" b="0"/>
            <wp:wrapTopAndBottom/>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0" cstate="print"/>
                    <a:stretch>
                      <a:fillRect/>
                    </a:stretch>
                  </pic:blipFill>
                  <pic:spPr>
                    <a:xfrm>
                      <a:off x="0" y="0"/>
                      <a:ext cx="124497" cy="126015"/>
                    </a:xfrm>
                    <a:prstGeom prst="rect">
                      <a:avLst/>
                    </a:prstGeom>
                  </pic:spPr>
                </pic:pic>
              </a:graphicData>
            </a:graphic>
          </wp:anchor>
        </w:drawing>
      </w:r>
      <w:r w:rsidRPr="00886BE7">
        <w:rPr>
          <w:noProof/>
          <w:lang w:val="es-MX" w:eastAsia="es-MX"/>
        </w:rPr>
        <w:drawing>
          <wp:anchor distT="0" distB="0" distL="0" distR="0" simplePos="0" relativeHeight="251665408" behindDoc="0" locked="0" layoutInCell="1" allowOverlap="1" wp14:anchorId="67250598" wp14:editId="12547FC6">
            <wp:simplePos x="0" y="0"/>
            <wp:positionH relativeFrom="page">
              <wp:posOffset>5010911</wp:posOffset>
            </wp:positionH>
            <wp:positionV relativeFrom="paragraph">
              <wp:posOffset>238828</wp:posOffset>
            </wp:positionV>
            <wp:extent cx="124497" cy="126015"/>
            <wp:effectExtent l="0" t="0" r="0" b="0"/>
            <wp:wrapTopAndBottom/>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0" cstate="print"/>
                    <a:stretch>
                      <a:fillRect/>
                    </a:stretch>
                  </pic:blipFill>
                  <pic:spPr>
                    <a:xfrm>
                      <a:off x="0" y="0"/>
                      <a:ext cx="124497" cy="126015"/>
                    </a:xfrm>
                    <a:prstGeom prst="rect">
                      <a:avLst/>
                    </a:prstGeom>
                  </pic:spPr>
                </pic:pic>
              </a:graphicData>
            </a:graphic>
          </wp:anchor>
        </w:drawing>
      </w:r>
      <w:r w:rsidRPr="00886BE7">
        <w:rPr>
          <w:noProof/>
          <w:lang w:val="es-MX" w:eastAsia="es-MX"/>
        </w:rPr>
        <w:drawing>
          <wp:anchor distT="0" distB="0" distL="0" distR="0" simplePos="0" relativeHeight="251666432" behindDoc="0" locked="0" layoutInCell="1" allowOverlap="1" wp14:anchorId="4EB68374" wp14:editId="4ADDDFA4">
            <wp:simplePos x="0" y="0"/>
            <wp:positionH relativeFrom="page">
              <wp:posOffset>5283707</wp:posOffset>
            </wp:positionH>
            <wp:positionV relativeFrom="paragraph">
              <wp:posOffset>238828</wp:posOffset>
            </wp:positionV>
            <wp:extent cx="124497" cy="126015"/>
            <wp:effectExtent l="0" t="0" r="0" b="0"/>
            <wp:wrapTopAndBottom/>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2" cstate="print"/>
                    <a:stretch>
                      <a:fillRect/>
                    </a:stretch>
                  </pic:blipFill>
                  <pic:spPr>
                    <a:xfrm>
                      <a:off x="0" y="0"/>
                      <a:ext cx="124497" cy="126015"/>
                    </a:xfrm>
                    <a:prstGeom prst="rect">
                      <a:avLst/>
                    </a:prstGeom>
                  </pic:spPr>
                </pic:pic>
              </a:graphicData>
            </a:graphic>
          </wp:anchor>
        </w:drawing>
      </w:r>
      <w:r w:rsidRPr="00886BE7">
        <w:rPr>
          <w:noProof/>
          <w:lang w:val="es-MX" w:eastAsia="es-MX"/>
        </w:rPr>
        <w:drawing>
          <wp:anchor distT="0" distB="0" distL="0" distR="0" simplePos="0" relativeHeight="251667456" behindDoc="0" locked="0" layoutInCell="1" allowOverlap="1" wp14:anchorId="3CD98300" wp14:editId="7F836A77">
            <wp:simplePos x="0" y="0"/>
            <wp:positionH relativeFrom="page">
              <wp:posOffset>5542788</wp:posOffset>
            </wp:positionH>
            <wp:positionV relativeFrom="paragraph">
              <wp:posOffset>238828</wp:posOffset>
            </wp:positionV>
            <wp:extent cx="124497" cy="126015"/>
            <wp:effectExtent l="0" t="0" r="0" b="0"/>
            <wp:wrapTopAndBottom/>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0" cstate="print"/>
                    <a:stretch>
                      <a:fillRect/>
                    </a:stretch>
                  </pic:blipFill>
                  <pic:spPr>
                    <a:xfrm>
                      <a:off x="0" y="0"/>
                      <a:ext cx="124497" cy="126015"/>
                    </a:xfrm>
                    <a:prstGeom prst="rect">
                      <a:avLst/>
                    </a:prstGeom>
                  </pic:spPr>
                </pic:pic>
              </a:graphicData>
            </a:graphic>
          </wp:anchor>
        </w:drawing>
      </w:r>
      <w:r w:rsidRPr="00886BE7">
        <w:rPr>
          <w:noProof/>
          <w:lang w:val="es-MX" w:eastAsia="es-MX"/>
        </w:rPr>
        <w:drawing>
          <wp:anchor distT="0" distB="0" distL="0" distR="0" simplePos="0" relativeHeight="251668480" behindDoc="0" locked="0" layoutInCell="1" allowOverlap="1" wp14:anchorId="6F9864C4" wp14:editId="445EB80D">
            <wp:simplePos x="0" y="0"/>
            <wp:positionH relativeFrom="page">
              <wp:posOffset>5809488</wp:posOffset>
            </wp:positionH>
            <wp:positionV relativeFrom="paragraph">
              <wp:posOffset>238828</wp:posOffset>
            </wp:positionV>
            <wp:extent cx="124497" cy="126015"/>
            <wp:effectExtent l="0" t="0" r="0" b="0"/>
            <wp:wrapTopAndBottom/>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0" cstate="print"/>
                    <a:stretch>
                      <a:fillRect/>
                    </a:stretch>
                  </pic:blipFill>
                  <pic:spPr>
                    <a:xfrm>
                      <a:off x="0" y="0"/>
                      <a:ext cx="124497" cy="126015"/>
                    </a:xfrm>
                    <a:prstGeom prst="rect">
                      <a:avLst/>
                    </a:prstGeom>
                  </pic:spPr>
                </pic:pic>
              </a:graphicData>
            </a:graphic>
          </wp:anchor>
        </w:drawing>
      </w:r>
      <w:r w:rsidRPr="00886BE7">
        <w:rPr>
          <w:noProof/>
          <w:lang w:val="es-MX" w:eastAsia="es-MX"/>
        </w:rPr>
        <w:drawing>
          <wp:anchor distT="0" distB="0" distL="0" distR="0" simplePos="0" relativeHeight="251669504" behindDoc="0" locked="0" layoutInCell="1" allowOverlap="1" wp14:anchorId="00C7A684" wp14:editId="064BB6A0">
            <wp:simplePos x="0" y="0"/>
            <wp:positionH relativeFrom="page">
              <wp:posOffset>6068567</wp:posOffset>
            </wp:positionH>
            <wp:positionV relativeFrom="paragraph">
              <wp:posOffset>238828</wp:posOffset>
            </wp:positionV>
            <wp:extent cx="124497" cy="126015"/>
            <wp:effectExtent l="0" t="0" r="0" b="0"/>
            <wp:wrapTopAndBottom/>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0" cstate="print"/>
                    <a:stretch>
                      <a:fillRect/>
                    </a:stretch>
                  </pic:blipFill>
                  <pic:spPr>
                    <a:xfrm>
                      <a:off x="0" y="0"/>
                      <a:ext cx="124497" cy="126015"/>
                    </a:xfrm>
                    <a:prstGeom prst="rect">
                      <a:avLst/>
                    </a:prstGeom>
                  </pic:spPr>
                </pic:pic>
              </a:graphicData>
            </a:graphic>
          </wp:anchor>
        </w:drawing>
      </w:r>
      <w:r w:rsidRPr="00886BE7">
        <w:rPr>
          <w:noProof/>
          <w:lang w:val="es-MX" w:eastAsia="es-MX"/>
        </w:rPr>
        <w:drawing>
          <wp:anchor distT="0" distB="0" distL="0" distR="0" simplePos="0" relativeHeight="251670528" behindDoc="0" locked="0" layoutInCell="1" allowOverlap="1" wp14:anchorId="21A9D319" wp14:editId="0B14232F">
            <wp:simplePos x="0" y="0"/>
            <wp:positionH relativeFrom="page">
              <wp:posOffset>6341364</wp:posOffset>
            </wp:positionH>
            <wp:positionV relativeFrom="paragraph">
              <wp:posOffset>238828</wp:posOffset>
            </wp:positionV>
            <wp:extent cx="124497" cy="126015"/>
            <wp:effectExtent l="0" t="0" r="0" b="0"/>
            <wp:wrapTopAndBottom/>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0" cstate="print"/>
                    <a:stretch>
                      <a:fillRect/>
                    </a:stretch>
                  </pic:blipFill>
                  <pic:spPr>
                    <a:xfrm>
                      <a:off x="0" y="0"/>
                      <a:ext cx="124497" cy="126015"/>
                    </a:xfrm>
                    <a:prstGeom prst="rect">
                      <a:avLst/>
                    </a:prstGeom>
                  </pic:spPr>
                </pic:pic>
              </a:graphicData>
            </a:graphic>
          </wp:anchor>
        </w:drawing>
      </w:r>
      <w:r w:rsidRPr="00886BE7">
        <w:rPr>
          <w:noProof/>
          <w:lang w:val="es-MX" w:eastAsia="es-MX"/>
        </w:rPr>
        <w:drawing>
          <wp:anchor distT="0" distB="0" distL="0" distR="0" simplePos="0" relativeHeight="251671552" behindDoc="0" locked="0" layoutInCell="1" allowOverlap="1" wp14:anchorId="1E968600" wp14:editId="0F9F6783">
            <wp:simplePos x="0" y="0"/>
            <wp:positionH relativeFrom="page">
              <wp:posOffset>6600444</wp:posOffset>
            </wp:positionH>
            <wp:positionV relativeFrom="paragraph">
              <wp:posOffset>238828</wp:posOffset>
            </wp:positionV>
            <wp:extent cx="124497" cy="126015"/>
            <wp:effectExtent l="0" t="0" r="0" b="0"/>
            <wp:wrapTopAndBottom/>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0" cstate="print"/>
                    <a:stretch>
                      <a:fillRect/>
                    </a:stretch>
                  </pic:blipFill>
                  <pic:spPr>
                    <a:xfrm>
                      <a:off x="0" y="0"/>
                      <a:ext cx="124497" cy="126015"/>
                    </a:xfrm>
                    <a:prstGeom prst="rect">
                      <a:avLst/>
                    </a:prstGeom>
                  </pic:spPr>
                </pic:pic>
              </a:graphicData>
            </a:graphic>
          </wp:anchor>
        </w:drawing>
      </w:r>
      <w:r w:rsidRPr="00886BE7">
        <w:rPr>
          <w:noProof/>
          <w:lang w:val="es-MX" w:eastAsia="es-MX"/>
        </w:rPr>
        <w:drawing>
          <wp:anchor distT="0" distB="0" distL="0" distR="0" simplePos="0" relativeHeight="251672576" behindDoc="0" locked="0" layoutInCell="1" allowOverlap="1" wp14:anchorId="7152BC94" wp14:editId="0E1973DD">
            <wp:simplePos x="0" y="0"/>
            <wp:positionH relativeFrom="page">
              <wp:posOffset>6859523</wp:posOffset>
            </wp:positionH>
            <wp:positionV relativeFrom="paragraph">
              <wp:posOffset>238828</wp:posOffset>
            </wp:positionV>
            <wp:extent cx="124497" cy="126015"/>
            <wp:effectExtent l="0" t="0" r="0" b="0"/>
            <wp:wrapTopAndBottom/>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2" cstate="print"/>
                    <a:stretch>
                      <a:fillRect/>
                    </a:stretch>
                  </pic:blipFill>
                  <pic:spPr>
                    <a:xfrm>
                      <a:off x="0" y="0"/>
                      <a:ext cx="124497" cy="126015"/>
                    </a:xfrm>
                    <a:prstGeom prst="rect">
                      <a:avLst/>
                    </a:prstGeom>
                  </pic:spPr>
                </pic:pic>
              </a:graphicData>
            </a:graphic>
          </wp:anchor>
        </w:drawing>
      </w:r>
    </w:p>
    <w:p w14:paraId="22123428" w14:textId="77777777" w:rsidR="005F0540" w:rsidRDefault="005F0540" w:rsidP="000F58F5">
      <w:pPr>
        <w:spacing w:after="120" w:line="276" w:lineRule="auto"/>
        <w:jc w:val="both"/>
        <w:rPr>
          <w:rFonts w:ascii="Arial" w:hAnsi="Arial" w:cs="Arial"/>
          <w:b/>
          <w:bCs/>
          <w:sz w:val="22"/>
          <w:szCs w:val="22"/>
        </w:rPr>
      </w:pPr>
    </w:p>
    <w:p w14:paraId="38E6435E" w14:textId="77777777" w:rsidR="005F0540" w:rsidRDefault="005F0540" w:rsidP="000F58F5">
      <w:pPr>
        <w:spacing w:after="120" w:line="276" w:lineRule="auto"/>
        <w:jc w:val="both"/>
        <w:rPr>
          <w:rFonts w:ascii="Arial" w:hAnsi="Arial" w:cs="Arial"/>
          <w:b/>
          <w:bCs/>
          <w:sz w:val="22"/>
          <w:szCs w:val="22"/>
        </w:rPr>
      </w:pPr>
    </w:p>
    <w:p w14:paraId="1A80E310" w14:textId="77777777" w:rsidR="005F0540" w:rsidRDefault="005F0540" w:rsidP="000F58F5">
      <w:pPr>
        <w:spacing w:after="120" w:line="276" w:lineRule="auto"/>
        <w:jc w:val="both"/>
        <w:rPr>
          <w:rFonts w:ascii="Arial" w:hAnsi="Arial" w:cs="Arial"/>
          <w:b/>
          <w:bCs/>
          <w:sz w:val="22"/>
          <w:szCs w:val="22"/>
        </w:rPr>
      </w:pPr>
    </w:p>
    <w:p w14:paraId="01F36E79" w14:textId="77777777" w:rsidR="005F0540" w:rsidRDefault="005F0540" w:rsidP="000F58F5">
      <w:pPr>
        <w:spacing w:after="120" w:line="276" w:lineRule="auto"/>
        <w:jc w:val="both"/>
        <w:rPr>
          <w:rFonts w:ascii="Arial" w:hAnsi="Arial" w:cs="Arial"/>
          <w:b/>
          <w:bCs/>
          <w:sz w:val="22"/>
          <w:szCs w:val="22"/>
        </w:rPr>
      </w:pPr>
    </w:p>
    <w:p w14:paraId="59074CDD" w14:textId="77777777" w:rsidR="005F0540" w:rsidRDefault="005F0540" w:rsidP="000F58F5">
      <w:pPr>
        <w:spacing w:after="120" w:line="276" w:lineRule="auto"/>
        <w:jc w:val="both"/>
        <w:rPr>
          <w:rFonts w:ascii="Arial" w:hAnsi="Arial" w:cs="Arial"/>
          <w:b/>
          <w:bCs/>
          <w:sz w:val="22"/>
          <w:szCs w:val="22"/>
        </w:rPr>
      </w:pPr>
    </w:p>
    <w:p w14:paraId="4BD89C62" w14:textId="77777777" w:rsidR="005F0540" w:rsidRDefault="005F0540" w:rsidP="000F58F5">
      <w:pPr>
        <w:spacing w:after="120" w:line="276" w:lineRule="auto"/>
        <w:jc w:val="both"/>
        <w:rPr>
          <w:rFonts w:ascii="Arial" w:hAnsi="Arial" w:cs="Arial"/>
          <w:b/>
          <w:bCs/>
          <w:sz w:val="22"/>
          <w:szCs w:val="22"/>
        </w:rPr>
      </w:pPr>
    </w:p>
    <w:p w14:paraId="662907EE" w14:textId="77777777" w:rsidR="005F0540" w:rsidRDefault="005F0540" w:rsidP="000F58F5">
      <w:pPr>
        <w:spacing w:after="120" w:line="276" w:lineRule="auto"/>
        <w:jc w:val="both"/>
        <w:rPr>
          <w:rFonts w:ascii="Arial" w:hAnsi="Arial" w:cs="Arial"/>
          <w:b/>
          <w:bCs/>
          <w:sz w:val="22"/>
          <w:szCs w:val="22"/>
        </w:rPr>
      </w:pPr>
    </w:p>
    <w:p w14:paraId="69868512" w14:textId="77777777" w:rsidR="005F0540" w:rsidRDefault="005F0540" w:rsidP="000F58F5">
      <w:pPr>
        <w:spacing w:after="120" w:line="276" w:lineRule="auto"/>
        <w:jc w:val="both"/>
        <w:rPr>
          <w:rFonts w:ascii="Arial" w:hAnsi="Arial" w:cs="Arial"/>
          <w:b/>
          <w:bCs/>
          <w:sz w:val="22"/>
          <w:szCs w:val="22"/>
        </w:rPr>
      </w:pPr>
    </w:p>
    <w:p w14:paraId="2A51DF1C" w14:textId="77777777" w:rsidR="005F0540" w:rsidRDefault="005F0540" w:rsidP="000F58F5">
      <w:pPr>
        <w:spacing w:after="120" w:line="276" w:lineRule="auto"/>
        <w:jc w:val="both"/>
        <w:rPr>
          <w:rFonts w:ascii="Arial" w:hAnsi="Arial" w:cs="Arial"/>
          <w:b/>
          <w:bCs/>
          <w:sz w:val="22"/>
          <w:szCs w:val="22"/>
        </w:rPr>
      </w:pPr>
    </w:p>
    <w:p w14:paraId="0406025F" w14:textId="77777777" w:rsidR="005F0540" w:rsidRDefault="005F0540" w:rsidP="000F58F5">
      <w:pPr>
        <w:spacing w:after="120" w:line="276" w:lineRule="auto"/>
        <w:jc w:val="both"/>
        <w:rPr>
          <w:rFonts w:ascii="Arial" w:hAnsi="Arial" w:cs="Arial"/>
          <w:b/>
          <w:bCs/>
          <w:sz w:val="22"/>
          <w:szCs w:val="22"/>
        </w:rPr>
      </w:pPr>
    </w:p>
    <w:p w14:paraId="087C2E09" w14:textId="77777777" w:rsidR="005F0540" w:rsidRDefault="005F0540" w:rsidP="000F58F5">
      <w:pPr>
        <w:spacing w:after="120" w:line="276" w:lineRule="auto"/>
        <w:jc w:val="both"/>
        <w:rPr>
          <w:rFonts w:ascii="Arial" w:hAnsi="Arial" w:cs="Arial"/>
          <w:b/>
          <w:bCs/>
          <w:sz w:val="22"/>
          <w:szCs w:val="22"/>
        </w:rPr>
      </w:pPr>
    </w:p>
    <w:p w14:paraId="2F736032" w14:textId="77777777" w:rsidR="005F0540" w:rsidRDefault="005F0540" w:rsidP="000F58F5">
      <w:pPr>
        <w:spacing w:after="120" w:line="276" w:lineRule="auto"/>
        <w:jc w:val="both"/>
        <w:rPr>
          <w:rFonts w:ascii="Arial" w:hAnsi="Arial" w:cs="Arial"/>
          <w:b/>
          <w:bCs/>
          <w:sz w:val="22"/>
          <w:szCs w:val="22"/>
        </w:rPr>
      </w:pPr>
    </w:p>
    <w:p w14:paraId="05C3925E" w14:textId="77777777" w:rsidR="005F0540" w:rsidRDefault="005F0540" w:rsidP="000F58F5">
      <w:pPr>
        <w:spacing w:after="120" w:line="276" w:lineRule="auto"/>
        <w:jc w:val="both"/>
        <w:rPr>
          <w:rFonts w:ascii="Arial" w:hAnsi="Arial" w:cs="Arial"/>
          <w:b/>
          <w:bCs/>
          <w:sz w:val="22"/>
          <w:szCs w:val="22"/>
        </w:rPr>
      </w:pPr>
    </w:p>
    <w:p w14:paraId="449A77F8" w14:textId="5AF83B9D" w:rsidR="005F0540" w:rsidRDefault="005F0540" w:rsidP="000F58F5">
      <w:pPr>
        <w:spacing w:after="120" w:line="276" w:lineRule="auto"/>
        <w:jc w:val="both"/>
        <w:rPr>
          <w:rFonts w:ascii="Arial" w:hAnsi="Arial" w:cs="Arial"/>
          <w:b/>
          <w:bCs/>
          <w:sz w:val="22"/>
          <w:szCs w:val="22"/>
        </w:rPr>
      </w:pPr>
    </w:p>
    <w:p w14:paraId="0013D6C6" w14:textId="14230A27" w:rsidR="005F0540" w:rsidRDefault="005F0540" w:rsidP="000F58F5">
      <w:pPr>
        <w:spacing w:after="120" w:line="276" w:lineRule="auto"/>
        <w:jc w:val="both"/>
        <w:rPr>
          <w:rFonts w:ascii="Arial" w:hAnsi="Arial" w:cs="Arial"/>
          <w:b/>
          <w:bCs/>
          <w:sz w:val="22"/>
          <w:szCs w:val="22"/>
        </w:rPr>
      </w:pPr>
    </w:p>
    <w:p w14:paraId="1F4931B2" w14:textId="56042B49" w:rsidR="005F0540" w:rsidRDefault="005F0540" w:rsidP="000F58F5">
      <w:pPr>
        <w:spacing w:after="120" w:line="276" w:lineRule="auto"/>
        <w:jc w:val="both"/>
        <w:rPr>
          <w:rFonts w:ascii="Arial" w:hAnsi="Arial" w:cs="Arial"/>
          <w:b/>
          <w:bCs/>
          <w:sz w:val="22"/>
          <w:szCs w:val="22"/>
        </w:rPr>
      </w:pPr>
    </w:p>
    <w:p w14:paraId="78FD6AEE" w14:textId="77777777" w:rsidR="005F0540" w:rsidRDefault="005F0540" w:rsidP="000F58F5">
      <w:pPr>
        <w:spacing w:after="120" w:line="276" w:lineRule="auto"/>
        <w:jc w:val="both"/>
        <w:rPr>
          <w:rFonts w:ascii="Arial" w:hAnsi="Arial" w:cs="Arial"/>
          <w:b/>
          <w:bCs/>
          <w:sz w:val="22"/>
          <w:szCs w:val="22"/>
        </w:rPr>
      </w:pPr>
    </w:p>
    <w:p w14:paraId="618960B1" w14:textId="734CF422" w:rsidR="000F58F5" w:rsidRPr="00B433A7" w:rsidRDefault="000F58F5" w:rsidP="000F58F5">
      <w:pPr>
        <w:spacing w:after="120" w:line="276" w:lineRule="auto"/>
        <w:jc w:val="both"/>
        <w:rPr>
          <w:rFonts w:ascii="Arial" w:eastAsia="Calibri" w:hAnsi="Arial" w:cs="Arial"/>
          <w:bCs/>
          <w:sz w:val="22"/>
          <w:szCs w:val="22"/>
        </w:rPr>
      </w:pPr>
      <w:r w:rsidRPr="00B433A7">
        <w:rPr>
          <w:rFonts w:ascii="Arial" w:hAnsi="Arial" w:cs="Arial"/>
          <w:b/>
          <w:bCs/>
          <w:sz w:val="22"/>
          <w:szCs w:val="22"/>
        </w:rPr>
        <w:lastRenderedPageBreak/>
        <w:t>Elaboración del modelo de costos</w:t>
      </w:r>
      <w:r w:rsidRPr="00B433A7">
        <w:rPr>
          <w:rFonts w:ascii="Arial" w:hAnsi="Arial" w:cs="Arial"/>
          <w:bCs/>
          <w:sz w:val="22"/>
          <w:szCs w:val="22"/>
        </w:rPr>
        <w:t xml:space="preserve">. </w:t>
      </w:r>
      <w:r w:rsidRPr="00B433A7">
        <w:rPr>
          <w:rFonts w:ascii="Arial" w:eastAsia="Calibri" w:hAnsi="Arial" w:cs="Arial"/>
          <w:bCs/>
          <w:sz w:val="22"/>
          <w:szCs w:val="22"/>
        </w:rPr>
        <w:t xml:space="preserve">El modelo de costos se elaboró con una metodología CITLP. Bajo esta metodología el modelo calcula las tarifas mayoristas de enlaces dedicados locales, entre localidades e internacionales. </w:t>
      </w:r>
    </w:p>
    <w:p w14:paraId="6E4F44B6"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Cabe señalar que el modelo se basa en dos fuentes principales:</w:t>
      </w:r>
    </w:p>
    <w:p w14:paraId="720BE5DD" w14:textId="77777777" w:rsidR="000F58F5" w:rsidRPr="00B433A7" w:rsidRDefault="000F58F5" w:rsidP="000F58F5">
      <w:pPr>
        <w:numPr>
          <w:ilvl w:val="0"/>
          <w:numId w:val="3"/>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Información pública.</w:t>
      </w:r>
    </w:p>
    <w:p w14:paraId="4D7E30EB" w14:textId="77777777" w:rsidR="000F58F5" w:rsidRPr="00B433A7" w:rsidRDefault="000F58F5" w:rsidP="000F58F5">
      <w:pPr>
        <w:numPr>
          <w:ilvl w:val="0"/>
          <w:numId w:val="3"/>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Información confidencial provista por el AEP.</w:t>
      </w:r>
    </w:p>
    <w:p w14:paraId="7D2774EB"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
          <w:bCs/>
          <w:sz w:val="22"/>
          <w:szCs w:val="22"/>
        </w:rPr>
        <w:t xml:space="preserve">Hipótesis del Modelo de Costos. </w:t>
      </w:r>
      <w:r w:rsidRPr="00B433A7">
        <w:rPr>
          <w:rFonts w:ascii="Arial" w:eastAsia="Calibri" w:hAnsi="Arial" w:cs="Arial"/>
          <w:bCs/>
          <w:sz w:val="22"/>
          <w:szCs w:val="22"/>
        </w:rPr>
        <w:t>El modelo costos utilizado por el Instituto consta de dos módulos independientes para el cálculo de los tramos local y entre localidades/internacional.</w:t>
      </w:r>
    </w:p>
    <w:p w14:paraId="6DBD5B7F" w14:textId="5AACBE5D"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 xml:space="preserve">Para el caso de Enlaces Locales los costos se calculan con base </w:t>
      </w:r>
      <w:r w:rsidR="00FB50A3">
        <w:rPr>
          <w:rFonts w:ascii="Arial" w:eastAsia="Calibri" w:hAnsi="Arial" w:cs="Arial"/>
          <w:bCs/>
          <w:sz w:val="22"/>
          <w:szCs w:val="22"/>
        </w:rPr>
        <w:t>en</w:t>
      </w:r>
      <w:r w:rsidRPr="00B433A7">
        <w:rPr>
          <w:rFonts w:ascii="Arial" w:eastAsia="Calibri" w:hAnsi="Arial" w:cs="Arial"/>
          <w:bCs/>
          <w:sz w:val="22"/>
          <w:szCs w:val="22"/>
        </w:rPr>
        <w:t xml:space="preserve"> un modelo </w:t>
      </w:r>
      <w:proofErr w:type="spellStart"/>
      <w:r w:rsidRPr="00B433A7">
        <w:rPr>
          <w:rFonts w:ascii="Arial" w:eastAsia="Calibri" w:hAnsi="Arial" w:cs="Arial"/>
          <w:bCs/>
          <w:sz w:val="22"/>
          <w:szCs w:val="22"/>
        </w:rPr>
        <w:t>unianual</w:t>
      </w:r>
      <w:proofErr w:type="spellEnd"/>
      <w:r w:rsidRPr="00B433A7">
        <w:rPr>
          <w:rFonts w:ascii="Arial" w:eastAsia="Calibri" w:hAnsi="Arial" w:cs="Arial"/>
          <w:bCs/>
          <w:sz w:val="22"/>
          <w:szCs w:val="22"/>
        </w:rPr>
        <w:t xml:space="preserve"> </w:t>
      </w:r>
      <w:proofErr w:type="spellStart"/>
      <w:r w:rsidRPr="00B433A7">
        <w:rPr>
          <w:rFonts w:ascii="Arial" w:eastAsia="Calibri" w:hAnsi="Arial" w:cs="Arial"/>
          <w:bCs/>
          <w:sz w:val="22"/>
          <w:szCs w:val="22"/>
        </w:rPr>
        <w:t>bottom</w:t>
      </w:r>
      <w:proofErr w:type="spellEnd"/>
      <w:r w:rsidRPr="00B433A7">
        <w:rPr>
          <w:rFonts w:ascii="Arial" w:eastAsia="Calibri" w:hAnsi="Arial" w:cs="Arial"/>
          <w:bCs/>
          <w:sz w:val="22"/>
          <w:szCs w:val="22"/>
        </w:rPr>
        <w:t>-up que incluye los costos anualizados del equipamiento de red necesarios, los costos de la infraestructura de cobre y fibra, así como los costos de transporte de tráfico entre centrales del AEP calculado a partir del modelo de interconexión fija para enlaces dedicados.</w:t>
      </w:r>
    </w:p>
    <w:p w14:paraId="146C085B"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 xml:space="preserve">Asimismo, se han definido reglas de ingeniería en función de los elementos de red necesarios para ofrecer el servicio de enlaces dedicados. </w:t>
      </w:r>
    </w:p>
    <w:p w14:paraId="0F895038"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En línea con la Oferta de Referencia, el modelo costea el precio de una punta de enlace dedicado, pudiendo estar formado el enlace de una o dos puntas que conectan cada una el emplazamiento del operador con una central del AEP.</w:t>
      </w:r>
    </w:p>
    <w:p w14:paraId="21D740EC" w14:textId="6B53C6C2"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 xml:space="preserve">Para el caso del Costo de Capital Promedio Ponderado </w:t>
      </w:r>
      <w:r w:rsidRPr="00B433A7">
        <w:rPr>
          <w:rFonts w:ascii="Arial" w:eastAsia="Calibri" w:hAnsi="Arial" w:cs="Arial"/>
          <w:sz w:val="22"/>
          <w:szCs w:val="22"/>
        </w:rPr>
        <w:t xml:space="preserve">se considera un CCPP nominal antes de impuestos del </w:t>
      </w:r>
      <w:r w:rsidR="00FB50A3">
        <w:rPr>
          <w:rFonts w:ascii="Arial" w:eastAsia="Calibri" w:hAnsi="Arial" w:cs="Arial"/>
          <w:sz w:val="22"/>
          <w:szCs w:val="22"/>
        </w:rPr>
        <w:t>5.94</w:t>
      </w:r>
      <w:r w:rsidRPr="00B433A7">
        <w:rPr>
          <w:rFonts w:ascii="Arial" w:eastAsia="Calibri" w:hAnsi="Arial" w:cs="Arial"/>
          <w:sz w:val="22"/>
          <w:szCs w:val="22"/>
        </w:rPr>
        <w:t>%, en línea con el empleado en los modelos de costos de servicios conmutados de interconexión</w:t>
      </w:r>
      <w:r w:rsidRPr="00B433A7" w:rsidDel="00B301AD">
        <w:rPr>
          <w:rFonts w:ascii="Arial" w:eastAsia="Calibri" w:hAnsi="Arial" w:cs="Arial"/>
          <w:bCs/>
          <w:sz w:val="22"/>
          <w:szCs w:val="22"/>
        </w:rPr>
        <w:t>.</w:t>
      </w:r>
    </w:p>
    <w:p w14:paraId="59E269A3"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Por lo que respecta a los enlaces entre localidades e internacionales se calculan todos los costos asociados a los enlaces dedicados con base a un modelo de mercado de enlaces y a los costos resultantes del modelo de interconexión fija para enlaces dedicados entre localidades e internacionales, según la demanda de los mismos.</w:t>
      </w:r>
    </w:p>
    <w:p w14:paraId="5DFB6C21"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Para calcular los precios unitarios de los enlaces con base en velocidades y distancias, se aplica un gradiente de precios que permite asegurar la recuperación de todos los costos incurridos por el servicio de enlaces dedicados.</w:t>
      </w:r>
    </w:p>
    <w:p w14:paraId="117006A2"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Se han calculado los precios asociados a todos los enlaces ofrecidos por el AEP e incluidos en la oferta de referencia.</w:t>
      </w:r>
    </w:p>
    <w:p w14:paraId="11BB23C3" w14:textId="3B70E6DA" w:rsidR="000F58F5"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
          <w:bCs/>
          <w:sz w:val="22"/>
          <w:szCs w:val="22"/>
        </w:rPr>
        <w:t>Modelo de Mercado.</w:t>
      </w:r>
      <w:r w:rsidRPr="00B433A7">
        <w:rPr>
          <w:rFonts w:ascii="Arial" w:eastAsia="Calibri" w:hAnsi="Arial" w:cs="Arial"/>
          <w:sz w:val="22"/>
          <w:szCs w:val="22"/>
        </w:rPr>
        <w:t xml:space="preserve"> </w:t>
      </w:r>
      <w:r w:rsidRPr="00B433A7">
        <w:rPr>
          <w:rFonts w:ascii="Arial" w:eastAsia="Calibri" w:hAnsi="Arial" w:cs="Arial"/>
          <w:bCs/>
          <w:sz w:val="22"/>
          <w:szCs w:val="22"/>
        </w:rPr>
        <w:t>Se desarrolló un modelo de mercado que refleja la evolución de los enlaces TDM y Ethernet entre localidades e internacionales a largo plazo (figura1).</w:t>
      </w:r>
    </w:p>
    <w:p w14:paraId="755500E7" w14:textId="5910883D" w:rsidR="00CA3534" w:rsidRDefault="00CA3534" w:rsidP="000F58F5">
      <w:pPr>
        <w:spacing w:after="120" w:line="276" w:lineRule="auto"/>
        <w:jc w:val="both"/>
        <w:rPr>
          <w:rFonts w:ascii="Arial" w:eastAsia="Calibri" w:hAnsi="Arial" w:cs="Arial"/>
          <w:bCs/>
          <w:sz w:val="22"/>
          <w:szCs w:val="22"/>
        </w:rPr>
      </w:pPr>
    </w:p>
    <w:p w14:paraId="6A4782C5" w14:textId="5470AE03" w:rsidR="00CA3534" w:rsidRDefault="00CA3534" w:rsidP="000F58F5">
      <w:pPr>
        <w:spacing w:after="120" w:line="276" w:lineRule="auto"/>
        <w:jc w:val="both"/>
        <w:rPr>
          <w:rFonts w:ascii="Arial" w:eastAsia="Calibri" w:hAnsi="Arial" w:cs="Arial"/>
          <w:bCs/>
          <w:sz w:val="22"/>
          <w:szCs w:val="22"/>
        </w:rPr>
      </w:pPr>
    </w:p>
    <w:p w14:paraId="01D078E5" w14:textId="35BA8777" w:rsidR="00CA3534" w:rsidRDefault="00CA3534" w:rsidP="000F58F5">
      <w:pPr>
        <w:spacing w:after="120" w:line="276" w:lineRule="auto"/>
        <w:jc w:val="both"/>
        <w:rPr>
          <w:rFonts w:ascii="Arial" w:eastAsia="Calibri" w:hAnsi="Arial" w:cs="Arial"/>
          <w:bCs/>
          <w:sz w:val="22"/>
          <w:szCs w:val="22"/>
        </w:rPr>
      </w:pPr>
    </w:p>
    <w:p w14:paraId="4FEBA265" w14:textId="77777777" w:rsidR="00CA3534" w:rsidRPr="00B433A7" w:rsidRDefault="00CA3534" w:rsidP="000F58F5">
      <w:pPr>
        <w:spacing w:after="120" w:line="276" w:lineRule="auto"/>
        <w:jc w:val="both"/>
        <w:rPr>
          <w:rFonts w:ascii="Arial" w:eastAsia="Calibri" w:hAnsi="Arial" w:cs="Arial"/>
          <w:bCs/>
          <w:sz w:val="22"/>
          <w:szCs w:val="22"/>
        </w:rPr>
      </w:pPr>
    </w:p>
    <w:p w14:paraId="72011EED" w14:textId="0B5D128C" w:rsidR="00CA3534" w:rsidRDefault="00CA3534" w:rsidP="00CA3534">
      <w:pPr>
        <w:pStyle w:val="Border"/>
        <w:rPr>
          <w:rFonts w:ascii="Arial" w:eastAsia="Calibri" w:hAnsi="Arial" w:cs="Arial"/>
        </w:rPr>
      </w:pPr>
      <w:r w:rsidRPr="00CA3534">
        <w:rPr>
          <w:noProof/>
          <w:lang w:val="es-MX" w:eastAsia="es-MX"/>
        </w:rPr>
        <w:lastRenderedPageBreak/>
        <w:drawing>
          <wp:inline distT="0" distB="0" distL="0" distR="0" wp14:anchorId="47D9819A" wp14:editId="05F30EEA">
            <wp:extent cx="5612130" cy="13525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2130" cy="1352550"/>
                    </a:xfrm>
                    <a:prstGeom prst="rect">
                      <a:avLst/>
                    </a:prstGeom>
                    <a:noFill/>
                    <a:ln>
                      <a:noFill/>
                    </a:ln>
                  </pic:spPr>
                </pic:pic>
              </a:graphicData>
            </a:graphic>
          </wp:inline>
        </w:drawing>
      </w:r>
    </w:p>
    <w:p w14:paraId="4A6388DF"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El modelo de mercado se basa en información provista por el AEP en donde es considerado lo siguiente:</w:t>
      </w:r>
    </w:p>
    <w:p w14:paraId="6786B5C4" w14:textId="77777777" w:rsidR="000F58F5" w:rsidRPr="00B433A7" w:rsidRDefault="000F58F5" w:rsidP="000F58F5">
      <w:pPr>
        <w:numPr>
          <w:ilvl w:val="0"/>
          <w:numId w:val="1"/>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Estimación del crecimiento de capacidad total transportada por enlaces dedicados.</w:t>
      </w:r>
    </w:p>
    <w:p w14:paraId="35F8097A" w14:textId="77777777" w:rsidR="000F58F5" w:rsidRPr="00B433A7" w:rsidRDefault="000F58F5" w:rsidP="000F58F5">
      <w:pPr>
        <w:numPr>
          <w:ilvl w:val="0"/>
          <w:numId w:val="1"/>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El tráfico es separado por tecnología: TDM y Ethernet.</w:t>
      </w:r>
    </w:p>
    <w:p w14:paraId="07906F08" w14:textId="73AC85E7" w:rsidR="000F58F5" w:rsidRPr="00B433A7" w:rsidRDefault="000F58F5" w:rsidP="000F58F5">
      <w:pPr>
        <w:numPr>
          <w:ilvl w:val="0"/>
          <w:numId w:val="1"/>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 xml:space="preserve">Cada tecnología se estima la distribución de enlaces según velocidad y distancia hasta </w:t>
      </w:r>
      <w:r w:rsidR="00DB5760">
        <w:rPr>
          <w:rFonts w:ascii="Arial" w:eastAsia="Calibri" w:hAnsi="Arial" w:cs="Arial"/>
          <w:bCs/>
          <w:sz w:val="22"/>
          <w:szCs w:val="22"/>
        </w:rPr>
        <w:t>2025.</w:t>
      </w:r>
    </w:p>
    <w:p w14:paraId="4B0033FD" w14:textId="77777777" w:rsidR="000F58F5" w:rsidRPr="00B433A7" w:rsidRDefault="000F58F5" w:rsidP="000F58F5">
      <w:pPr>
        <w:numPr>
          <w:ilvl w:val="0"/>
          <w:numId w:val="1"/>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Se calcula el número total de enlaces en el mercado con base en la capacidad total y la velocidad media por enlace.</w:t>
      </w:r>
    </w:p>
    <w:p w14:paraId="79960C8A" w14:textId="0C6BF6A2" w:rsidR="00DC6088" w:rsidRPr="00B433A7" w:rsidRDefault="000F58F5" w:rsidP="00DC6088">
      <w:pPr>
        <w:spacing w:after="120" w:line="276" w:lineRule="auto"/>
        <w:jc w:val="both"/>
        <w:rPr>
          <w:rFonts w:ascii="Arial" w:eastAsia="Calibri" w:hAnsi="Arial" w:cs="Arial"/>
          <w:bCs/>
          <w:sz w:val="22"/>
          <w:szCs w:val="22"/>
        </w:rPr>
      </w:pPr>
      <w:r w:rsidRPr="00B433A7">
        <w:rPr>
          <w:rFonts w:ascii="Arial" w:eastAsia="Calibri" w:hAnsi="Arial" w:cs="Arial"/>
          <w:b/>
          <w:bCs/>
          <w:sz w:val="22"/>
          <w:szCs w:val="22"/>
        </w:rPr>
        <w:t xml:space="preserve">Enlaces dedicados entre localidades e internacionales (consideración de la demanda y costos del modelo). </w:t>
      </w:r>
      <w:r w:rsidRPr="00B433A7">
        <w:rPr>
          <w:rFonts w:ascii="Arial" w:eastAsia="Calibri" w:hAnsi="Arial" w:cs="Arial"/>
          <w:bCs/>
          <w:sz w:val="22"/>
          <w:szCs w:val="22"/>
        </w:rPr>
        <w:t>El costo de los enlaces entre localidades e internacionales utiliza como insumos los costos calculados por el modelo de interconexión fija. Asimismo, los enlaces internacionales se consideran como enlaces de larga distancia, al que se le añade un costo extra asociado a los equipos de conversión SDH/SONET para enlaces TDM de velocidades inferiores a 34Mbps.</w:t>
      </w:r>
      <w:r w:rsidR="00DC6088" w:rsidRPr="00DC6088">
        <w:t xml:space="preserve"> </w:t>
      </w:r>
    </w:p>
    <w:p w14:paraId="70525BEA" w14:textId="7E03307F" w:rsidR="000F58F5" w:rsidRPr="00B433A7" w:rsidRDefault="00860B81" w:rsidP="00860B81">
      <w:pPr>
        <w:spacing w:after="120" w:line="320" w:lineRule="atLeast"/>
        <w:jc w:val="center"/>
        <w:rPr>
          <w:rFonts w:ascii="Arial" w:eastAsia="Calibri" w:hAnsi="Arial" w:cs="Arial"/>
          <w:bCs/>
          <w:sz w:val="22"/>
          <w:szCs w:val="22"/>
        </w:rPr>
      </w:pPr>
      <w:r w:rsidRPr="00860B81">
        <w:rPr>
          <w:noProof/>
          <w:lang w:val="es-MX" w:eastAsia="es-MX"/>
        </w:rPr>
        <w:drawing>
          <wp:inline distT="0" distB="0" distL="0" distR="0" wp14:anchorId="04E027F2" wp14:editId="3D0B7757">
            <wp:extent cx="2956484" cy="315043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6143" cy="3171386"/>
                    </a:xfrm>
                    <a:prstGeom prst="rect">
                      <a:avLst/>
                    </a:prstGeom>
                    <a:noFill/>
                    <a:ln>
                      <a:noFill/>
                    </a:ln>
                  </pic:spPr>
                </pic:pic>
              </a:graphicData>
            </a:graphic>
          </wp:inline>
        </w:drawing>
      </w:r>
    </w:p>
    <w:p w14:paraId="741D5F26" w14:textId="77777777" w:rsidR="00DC6088" w:rsidRDefault="00DC6088" w:rsidP="000F58F5">
      <w:pPr>
        <w:spacing w:after="120" w:line="276" w:lineRule="auto"/>
        <w:jc w:val="both"/>
        <w:rPr>
          <w:rFonts w:ascii="Arial" w:eastAsia="Calibri" w:hAnsi="Arial" w:cs="Arial"/>
          <w:bCs/>
          <w:sz w:val="22"/>
          <w:szCs w:val="22"/>
        </w:rPr>
      </w:pPr>
    </w:p>
    <w:p w14:paraId="229D0324" w14:textId="24E158EE"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lastRenderedPageBreak/>
        <w:t>Cabe señalar que en la oferta de referencia se diferencia entre enlaces digitales (TDM) y enlaces Ethernet, por tal razón se calculan dos gradientes distintos de precios lo que permite fijar los precios por separado para ambas tecnologías, reflejando sus especificidades.</w:t>
      </w:r>
    </w:p>
    <w:p w14:paraId="7C8E3B8A"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En virtud de lo anterior, la estructura de precios actual para enlaces entre localidades e internacionales TDM difiere de la de enlaces Ethernet, tal que:</w:t>
      </w:r>
    </w:p>
    <w:p w14:paraId="778F1790" w14:textId="77777777" w:rsidR="000F58F5" w:rsidRPr="00B433A7" w:rsidRDefault="000F58F5" w:rsidP="000F58F5">
      <w:pPr>
        <w:numPr>
          <w:ilvl w:val="0"/>
          <w:numId w:val="2"/>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Enlaces TDM: parte fija + precio por kilómetro</w:t>
      </w:r>
    </w:p>
    <w:p w14:paraId="4787E806" w14:textId="77777777" w:rsidR="000F58F5" w:rsidRPr="00B433A7" w:rsidRDefault="000F58F5" w:rsidP="000F58F5">
      <w:pPr>
        <w:numPr>
          <w:ilvl w:val="0"/>
          <w:numId w:val="2"/>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Enlaces Ethernet: precio por kilómetro</w:t>
      </w:r>
    </w:p>
    <w:p w14:paraId="43DCF9A2" w14:textId="4E6DBB5C" w:rsidR="000F58F5" w:rsidRPr="00B433A7" w:rsidRDefault="00DC6088" w:rsidP="00DC6088">
      <w:pPr>
        <w:spacing w:after="120" w:line="320" w:lineRule="atLeast"/>
        <w:jc w:val="center"/>
        <w:rPr>
          <w:rFonts w:ascii="Arial" w:eastAsia="Calibri" w:hAnsi="Arial" w:cs="Arial"/>
          <w:bCs/>
          <w:sz w:val="16"/>
          <w:szCs w:val="22"/>
        </w:rPr>
      </w:pPr>
      <w:r w:rsidRPr="00DC6088">
        <w:rPr>
          <w:noProof/>
          <w:lang w:val="es-MX" w:eastAsia="es-MX"/>
        </w:rPr>
        <w:drawing>
          <wp:inline distT="0" distB="0" distL="0" distR="0" wp14:anchorId="0D874238" wp14:editId="0A93699F">
            <wp:extent cx="5612130" cy="124523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2130" cy="1245235"/>
                    </a:xfrm>
                    <a:prstGeom prst="rect">
                      <a:avLst/>
                    </a:prstGeom>
                    <a:noFill/>
                    <a:ln>
                      <a:noFill/>
                    </a:ln>
                  </pic:spPr>
                </pic:pic>
              </a:graphicData>
            </a:graphic>
          </wp:inline>
        </w:drawing>
      </w:r>
    </w:p>
    <w:p w14:paraId="2D371ECB"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El modelo de mercado de enlaces dedicados calcula la demanda total de enlaces del AEP entre localidades e internacionales, separando las tecnologías TDM y Ethernet.</w:t>
      </w:r>
    </w:p>
    <w:p w14:paraId="36A524C4"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–La demanda se estima en términos de capacidad y en número de enlaces.</w:t>
      </w:r>
    </w:p>
    <w:p w14:paraId="788056EE" w14:textId="61B8862C"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A partir del cálculo de la capacidad total de enlaces dedicados entre localidades e internacionales, se actualizan los datos del operador fijo incumbente en el modelo de mercado 2020.</w:t>
      </w:r>
    </w:p>
    <w:p w14:paraId="6E93DF98"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Por último, se distribuyen los costos CITLP resultantes del modelo de interconexión 2020 asociados al servicio de enlaces dedicados, asegurando así que se recuperan todos los costos.</w:t>
      </w:r>
    </w:p>
    <w:p w14:paraId="39F5C33B" w14:textId="2CD8EB73" w:rsidR="000F58F5" w:rsidRPr="00B433A7" w:rsidRDefault="00DC6088" w:rsidP="00DC6088">
      <w:pPr>
        <w:spacing w:after="120" w:line="320" w:lineRule="atLeast"/>
        <w:jc w:val="center"/>
        <w:rPr>
          <w:rFonts w:ascii="Arial" w:eastAsia="Calibri" w:hAnsi="Arial" w:cs="Arial"/>
          <w:bCs/>
          <w:sz w:val="22"/>
          <w:szCs w:val="22"/>
        </w:rPr>
      </w:pPr>
      <w:r w:rsidRPr="00DC6088">
        <w:rPr>
          <w:noProof/>
          <w:lang w:val="es-MX" w:eastAsia="es-MX"/>
        </w:rPr>
        <w:drawing>
          <wp:inline distT="0" distB="0" distL="0" distR="0" wp14:anchorId="23801877" wp14:editId="41AAF3D5">
            <wp:extent cx="5612130" cy="1207135"/>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2130" cy="1207135"/>
                    </a:xfrm>
                    <a:prstGeom prst="rect">
                      <a:avLst/>
                    </a:prstGeom>
                    <a:noFill/>
                    <a:ln>
                      <a:noFill/>
                    </a:ln>
                  </pic:spPr>
                </pic:pic>
              </a:graphicData>
            </a:graphic>
          </wp:inline>
        </w:drawing>
      </w:r>
    </w:p>
    <w:p w14:paraId="244F6F66" w14:textId="2CFC1D61" w:rsidR="000F58F5" w:rsidRPr="00B433A7" w:rsidRDefault="000F58F5" w:rsidP="000F58F5">
      <w:pPr>
        <w:spacing w:after="120" w:line="276" w:lineRule="auto"/>
        <w:jc w:val="center"/>
        <w:rPr>
          <w:rFonts w:ascii="Arial" w:eastAsia="Calibri" w:hAnsi="Arial" w:cs="Arial"/>
          <w:bCs/>
          <w:sz w:val="16"/>
          <w:szCs w:val="22"/>
        </w:rPr>
      </w:pPr>
      <w:r w:rsidRPr="00B433A7">
        <w:rPr>
          <w:rFonts w:ascii="Arial" w:eastAsia="Calibri" w:hAnsi="Arial" w:cs="Arial"/>
          <w:bCs/>
          <w:sz w:val="16"/>
          <w:szCs w:val="22"/>
          <w:vertAlign w:val="superscript"/>
        </w:rPr>
        <w:footnoteReference w:id="1"/>
      </w:r>
    </w:p>
    <w:p w14:paraId="1671620A"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Para el cálculo de los precios de los enlaces se emplea un gradiente de precios, tal y como se presenta a continuación.</w:t>
      </w:r>
    </w:p>
    <w:p w14:paraId="16CAE623"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
          <w:bCs/>
          <w:sz w:val="22"/>
          <w:szCs w:val="22"/>
        </w:rPr>
        <w:t>Utilización de gradiente de precio</w:t>
      </w:r>
      <w:r w:rsidRPr="00B433A7">
        <w:rPr>
          <w:rFonts w:ascii="Arial" w:eastAsia="Calibri" w:hAnsi="Arial" w:cs="Arial"/>
          <w:bCs/>
          <w:sz w:val="22"/>
          <w:szCs w:val="22"/>
        </w:rPr>
        <w:t xml:space="preserve"> </w:t>
      </w:r>
    </w:p>
    <w:p w14:paraId="00EB91A7"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lastRenderedPageBreak/>
        <w:t>Existe a nivel comercial un componente de diferenciación entre costos y precios difíciles de replicar en un modelo de costos ascendente. Generalmente las estructuras comerciales de precios no están orientadas puramente a costos, sino que toman en cuenta la elasticidad de la demanda.</w:t>
      </w:r>
    </w:p>
    <w:p w14:paraId="683F6B56"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Esta estructura se observa en todos los mercados, tanto regulados como no regulados, y es crítica en el caso de los enlaces dedicados para proteger a los usuarios que necesitan menores capacidades, que son generalmente proporcionalmente significativamente más caras desde un punto de vista puramente de costos.</w:t>
      </w:r>
    </w:p>
    <w:p w14:paraId="6405C0DF"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Además, la estructura de precios de enlaces dedicados en México no ha cambiado en más de 15 años, al menos para productos TDM. Por ello, los CS efectuaron inversiones con base en el listado actual de precios, y es importante mantener una estructura similar o, al menos, en línea con la observada internacionalmente. Para replicar este efecto se calculan los precios de los enlaces distribuyendo los costos con base a un sistema de gradientes que refleja esta diferenciación de precios.</w:t>
      </w:r>
    </w:p>
    <w:p w14:paraId="4BC50F44" w14:textId="5681D6B8"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Los gradientes se construyen a partir de una velocidad de referencia - E1 para TDM y 1</w:t>
      </w:r>
      <w:r w:rsidR="00DC6088">
        <w:rPr>
          <w:rFonts w:ascii="Arial" w:eastAsia="Calibri" w:hAnsi="Arial" w:cs="Arial"/>
          <w:bCs/>
          <w:sz w:val="22"/>
          <w:szCs w:val="22"/>
        </w:rPr>
        <w:t>00M</w:t>
      </w:r>
      <w:r w:rsidRPr="00B433A7">
        <w:rPr>
          <w:rFonts w:ascii="Arial" w:eastAsia="Calibri" w:hAnsi="Arial" w:cs="Arial"/>
          <w:bCs/>
          <w:sz w:val="22"/>
          <w:szCs w:val="22"/>
        </w:rPr>
        <w:t>bps para Ethernet – y una distancia de referencia –40.5km (D1). Con base en el reparto de costos entre TDM y Ethernet, se calculan precios para dichos enlaces de referencia (E1 D1 equivalentes y 1</w:t>
      </w:r>
      <w:r w:rsidR="00DC6088">
        <w:rPr>
          <w:rFonts w:ascii="Arial" w:eastAsia="Calibri" w:hAnsi="Arial" w:cs="Arial"/>
          <w:bCs/>
          <w:sz w:val="22"/>
          <w:szCs w:val="22"/>
        </w:rPr>
        <w:t>00Mbps</w:t>
      </w:r>
      <w:r w:rsidRPr="00B433A7">
        <w:rPr>
          <w:rFonts w:ascii="Arial" w:eastAsia="Calibri" w:hAnsi="Arial" w:cs="Arial"/>
          <w:bCs/>
          <w:sz w:val="22"/>
          <w:szCs w:val="22"/>
        </w:rPr>
        <w:t xml:space="preserve"> D1 equivalentes) a partir de los cuales, junto con el gradiente definido, se extrapolan los precios de todos los enlaces de la Oferta de Referencia.</w:t>
      </w:r>
    </w:p>
    <w:p w14:paraId="61E77EE4" w14:textId="313E1994" w:rsidR="000F58F5" w:rsidRPr="00B433A7" w:rsidRDefault="00DC6088" w:rsidP="00DC6088">
      <w:pPr>
        <w:spacing w:after="120" w:line="320" w:lineRule="atLeast"/>
        <w:jc w:val="center"/>
        <w:rPr>
          <w:rFonts w:ascii="Arial" w:eastAsia="Calibri" w:hAnsi="Arial" w:cs="Arial"/>
          <w:bCs/>
          <w:sz w:val="22"/>
          <w:szCs w:val="22"/>
        </w:rPr>
      </w:pPr>
      <w:r w:rsidRPr="00DC6088">
        <w:rPr>
          <w:noProof/>
          <w:lang w:val="es-MX" w:eastAsia="es-MX"/>
        </w:rPr>
        <w:drawing>
          <wp:inline distT="0" distB="0" distL="0" distR="0" wp14:anchorId="5B9FE3B3" wp14:editId="00C76F4A">
            <wp:extent cx="5612130" cy="2966085"/>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2130" cy="2966085"/>
                    </a:xfrm>
                    <a:prstGeom prst="rect">
                      <a:avLst/>
                    </a:prstGeom>
                    <a:noFill/>
                    <a:ln>
                      <a:noFill/>
                    </a:ln>
                  </pic:spPr>
                </pic:pic>
              </a:graphicData>
            </a:graphic>
          </wp:inline>
        </w:drawing>
      </w:r>
    </w:p>
    <w:p w14:paraId="3EEE300B"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Tomando como referencia la velocidad de un tipo de enlace se calcula el gradiente como el cociente entre el precio de cada tecnología y el de referencia.</w:t>
      </w:r>
    </w:p>
    <w:p w14:paraId="52B5EAF7"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Entonces se ponderan los resultados para cada tecnología con la distribución de los enlaces en función de la distancia y el valor ponderado del gradiente se aplica a los resultados del modelo para la tecnología de referencia, disminuyendo la linealidad del modelo de costos.</w:t>
      </w:r>
    </w:p>
    <w:p w14:paraId="2803DED2"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
          <w:bCs/>
          <w:sz w:val="22"/>
          <w:szCs w:val="22"/>
        </w:rPr>
        <w:lastRenderedPageBreak/>
        <w:t xml:space="preserve">Renta mensual de enlaces entre localidades. </w:t>
      </w:r>
      <w:r w:rsidRPr="00B433A7">
        <w:rPr>
          <w:rFonts w:ascii="Arial" w:eastAsia="Calibri" w:hAnsi="Arial" w:cs="Arial"/>
          <w:bCs/>
          <w:sz w:val="22"/>
          <w:szCs w:val="22"/>
        </w:rPr>
        <w:t>Con base en los costos de cada tecnología y el número de enlaces equivalentes, se calcula el costo de los enlaces de referencia.</w:t>
      </w:r>
    </w:p>
    <w:p w14:paraId="3787F701" w14:textId="3B898B2D" w:rsidR="000F58F5" w:rsidRPr="00B433A7" w:rsidRDefault="00F70373" w:rsidP="00F70373">
      <w:pPr>
        <w:spacing w:after="120" w:line="320" w:lineRule="atLeast"/>
        <w:jc w:val="center"/>
        <w:rPr>
          <w:rFonts w:ascii="Arial" w:eastAsia="Calibri" w:hAnsi="Arial" w:cs="Arial"/>
          <w:bCs/>
          <w:sz w:val="22"/>
          <w:szCs w:val="22"/>
        </w:rPr>
      </w:pPr>
      <w:r w:rsidRPr="00F70373">
        <w:rPr>
          <w:noProof/>
          <w:lang w:val="es-MX" w:eastAsia="es-MX"/>
        </w:rPr>
        <w:drawing>
          <wp:inline distT="0" distB="0" distL="0" distR="0" wp14:anchorId="61A16789" wp14:editId="1B04CD79">
            <wp:extent cx="5612130" cy="655955"/>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2130" cy="655955"/>
                    </a:xfrm>
                    <a:prstGeom prst="rect">
                      <a:avLst/>
                    </a:prstGeom>
                    <a:noFill/>
                    <a:ln>
                      <a:noFill/>
                    </a:ln>
                  </pic:spPr>
                </pic:pic>
              </a:graphicData>
            </a:graphic>
          </wp:inline>
        </w:drawing>
      </w:r>
    </w:p>
    <w:p w14:paraId="2145876D"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Las rentas mensuales de todos los enlaces se calculan aplicando el gradiente de precios al costo de los enlaces equivalentes. Cabe notar que se mantiene constante el gradiente de distancias, mientras que se modifica el gradiente por velocidad.</w:t>
      </w:r>
    </w:p>
    <w:p w14:paraId="0369295B"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De tal forma que:</w:t>
      </w:r>
    </w:p>
    <w:p w14:paraId="746449D8" w14:textId="58472726" w:rsidR="000F58F5" w:rsidRPr="00B433A7" w:rsidRDefault="00F70373" w:rsidP="00F70373">
      <w:pPr>
        <w:spacing w:after="120" w:line="320" w:lineRule="atLeast"/>
        <w:jc w:val="center"/>
        <w:rPr>
          <w:rFonts w:ascii="Arial" w:eastAsia="Calibri" w:hAnsi="Arial" w:cs="Arial"/>
          <w:bCs/>
          <w:sz w:val="22"/>
          <w:szCs w:val="22"/>
        </w:rPr>
      </w:pPr>
      <w:r w:rsidRPr="00F70373">
        <w:rPr>
          <w:noProof/>
          <w:lang w:val="es-MX" w:eastAsia="es-MX"/>
        </w:rPr>
        <w:drawing>
          <wp:inline distT="0" distB="0" distL="0" distR="0" wp14:anchorId="3AA14208" wp14:editId="48000D94">
            <wp:extent cx="5612130" cy="44132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2130" cy="441325"/>
                    </a:xfrm>
                    <a:prstGeom prst="rect">
                      <a:avLst/>
                    </a:prstGeom>
                    <a:noFill/>
                    <a:ln>
                      <a:noFill/>
                    </a:ln>
                  </pic:spPr>
                </pic:pic>
              </a:graphicData>
            </a:graphic>
          </wp:inline>
        </w:drawing>
      </w:r>
    </w:p>
    <w:p w14:paraId="173B71A2" w14:textId="77777777" w:rsidR="000F58F5" w:rsidRPr="00B433A7" w:rsidRDefault="000F58F5" w:rsidP="000F58F5">
      <w:pPr>
        <w:spacing w:after="120" w:line="276" w:lineRule="auto"/>
        <w:jc w:val="center"/>
        <w:rPr>
          <w:rFonts w:ascii="Arial" w:eastAsia="Calibri" w:hAnsi="Arial" w:cs="Arial"/>
          <w:bCs/>
          <w:sz w:val="22"/>
          <w:szCs w:val="22"/>
        </w:rPr>
      </w:pPr>
      <w:r w:rsidRPr="00B433A7">
        <w:rPr>
          <w:rFonts w:ascii="Arial" w:eastAsia="Calibri" w:hAnsi="Arial" w:cs="Arial"/>
          <w:b/>
          <w:bCs/>
          <w:sz w:val="22"/>
          <w:szCs w:val="22"/>
        </w:rPr>
        <w:t xml:space="preserve">Enlaces dedicados Internacionales. </w:t>
      </w:r>
      <w:r w:rsidRPr="00B433A7">
        <w:rPr>
          <w:rFonts w:ascii="Arial" w:eastAsia="Calibri" w:hAnsi="Arial" w:cs="Arial"/>
          <w:bCs/>
          <w:sz w:val="22"/>
          <w:szCs w:val="22"/>
        </w:rPr>
        <w:t>Los enlaces internacionales TDM requieren de equipos de traducción para adaptar el tráfico a países que emplean PDH portadoras-T y SONET.</w:t>
      </w:r>
    </w:p>
    <w:p w14:paraId="5E8323E0" w14:textId="0ABFEE01" w:rsidR="000F58F5" w:rsidRPr="00B433A7" w:rsidRDefault="001D5C1E" w:rsidP="001D5C1E">
      <w:pPr>
        <w:spacing w:after="120" w:line="320" w:lineRule="atLeast"/>
        <w:jc w:val="center"/>
        <w:rPr>
          <w:rFonts w:ascii="Arial" w:eastAsia="Calibri" w:hAnsi="Arial" w:cs="Arial"/>
          <w:bCs/>
          <w:sz w:val="22"/>
          <w:szCs w:val="22"/>
        </w:rPr>
      </w:pPr>
      <w:r w:rsidRPr="001D5C1E">
        <w:rPr>
          <w:noProof/>
          <w:lang w:val="es-MX" w:eastAsia="es-MX"/>
        </w:rPr>
        <w:drawing>
          <wp:inline distT="0" distB="0" distL="0" distR="0" wp14:anchorId="54F94700" wp14:editId="09C10A42">
            <wp:extent cx="5612130" cy="105981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2130" cy="1059815"/>
                    </a:xfrm>
                    <a:prstGeom prst="rect">
                      <a:avLst/>
                    </a:prstGeom>
                    <a:noFill/>
                    <a:ln>
                      <a:noFill/>
                    </a:ln>
                  </pic:spPr>
                </pic:pic>
              </a:graphicData>
            </a:graphic>
          </wp:inline>
        </w:drawing>
      </w:r>
    </w:p>
    <w:p w14:paraId="0195EA2C"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 xml:space="preserve">Por ello, el </w:t>
      </w:r>
      <w:proofErr w:type="spellStart"/>
      <w:r w:rsidRPr="00B433A7">
        <w:rPr>
          <w:rFonts w:ascii="Arial" w:eastAsia="Calibri" w:hAnsi="Arial" w:cs="Arial"/>
          <w:bCs/>
          <w:sz w:val="22"/>
          <w:szCs w:val="22"/>
        </w:rPr>
        <w:t>AEP</w:t>
      </w:r>
      <w:proofErr w:type="spellEnd"/>
      <w:r w:rsidRPr="00B433A7">
        <w:rPr>
          <w:rFonts w:ascii="Arial" w:eastAsia="Calibri" w:hAnsi="Arial" w:cs="Arial"/>
          <w:bCs/>
          <w:sz w:val="22"/>
          <w:szCs w:val="22"/>
        </w:rPr>
        <w:t xml:space="preserve"> ha de disponer de equipos especiales de traducción de interfaces para poder transportar el tráfico al extranjero.</w:t>
      </w:r>
    </w:p>
    <w:p w14:paraId="6F455D7E"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Debido a los costos de estos equipos, los precios de los enlaces internacionales TDM son ligeramente superiores a los nacionales (entre localidades) para aquellas velocidades a las que se aplica la traducción.</w:t>
      </w:r>
    </w:p>
    <w:p w14:paraId="53209DDD"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Los precios de enlaces entre localidades e internacionales para Ethernet son idénticos, toda vez que para estas interfaces no se requiere de equipos de traducción para transportar el tráfico al extranjero.</w:t>
      </w:r>
    </w:p>
    <w:p w14:paraId="25550CAA"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Por lo tanto, el costo de los enlaces internacionales se calcula de la siguiente manera:</w:t>
      </w:r>
    </w:p>
    <w:p w14:paraId="4AD3A661" w14:textId="77777777" w:rsidR="000F58F5" w:rsidRPr="00B433A7" w:rsidRDefault="000F58F5" w:rsidP="000F58F5">
      <w:pPr>
        <w:numPr>
          <w:ilvl w:val="0"/>
          <w:numId w:val="2"/>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Enlaces TDM internacionales: Costo proporcional extraído del modelo de interconexión fija + costo de los equipos de traducción para aquellas velocidades que lo requieren.</w:t>
      </w:r>
    </w:p>
    <w:p w14:paraId="34A2C229" w14:textId="77777777" w:rsidR="000F58F5" w:rsidRPr="00B433A7" w:rsidRDefault="000F58F5" w:rsidP="000F58F5">
      <w:pPr>
        <w:numPr>
          <w:ilvl w:val="0"/>
          <w:numId w:val="2"/>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Enlaces Ethernet internacionales: Costo proporcional extraído del modelo de interconexión fija.</w:t>
      </w:r>
    </w:p>
    <w:p w14:paraId="62FF8073"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
          <w:bCs/>
          <w:sz w:val="22"/>
          <w:szCs w:val="22"/>
        </w:rPr>
        <w:t xml:space="preserve">Costos de instalación. </w:t>
      </w:r>
      <w:r w:rsidRPr="00B433A7">
        <w:rPr>
          <w:rFonts w:ascii="Arial" w:eastAsia="Calibri" w:hAnsi="Arial" w:cs="Arial"/>
          <w:bCs/>
          <w:sz w:val="22"/>
          <w:szCs w:val="22"/>
        </w:rPr>
        <w:t xml:space="preserve">Los costos de instalación de enlaces entre localidades y enlaces internacionales se basan exclusivamente en el costo de la mano de obra necesaria para dicha instalación. </w:t>
      </w:r>
    </w:p>
    <w:p w14:paraId="7EEFA8A5"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lastRenderedPageBreak/>
        <w:t>Los cálculos efectuados para el cálculo de los costos totales de instalación para enlaces TDM y Ethernet son los siguientes:</w:t>
      </w:r>
    </w:p>
    <w:p w14:paraId="4B25BF39" w14:textId="39E2C6A0" w:rsidR="000F58F5" w:rsidRPr="00B433A7" w:rsidRDefault="00F70373" w:rsidP="00F70373">
      <w:pPr>
        <w:spacing w:after="120" w:line="320" w:lineRule="atLeast"/>
        <w:jc w:val="center"/>
        <w:rPr>
          <w:rFonts w:ascii="Arial" w:eastAsia="Calibri" w:hAnsi="Arial" w:cs="Arial"/>
          <w:bCs/>
          <w:sz w:val="22"/>
          <w:szCs w:val="22"/>
        </w:rPr>
      </w:pPr>
      <w:r w:rsidRPr="00F70373">
        <w:rPr>
          <w:noProof/>
          <w:lang w:val="es-MX" w:eastAsia="es-MX"/>
        </w:rPr>
        <w:drawing>
          <wp:inline distT="0" distB="0" distL="0" distR="0" wp14:anchorId="35F46037" wp14:editId="0A0716EE">
            <wp:extent cx="5612130" cy="1955165"/>
            <wp:effectExtent l="0" t="0" r="762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2130" cy="1955165"/>
                    </a:xfrm>
                    <a:prstGeom prst="rect">
                      <a:avLst/>
                    </a:prstGeom>
                    <a:noFill/>
                    <a:ln>
                      <a:noFill/>
                    </a:ln>
                  </pic:spPr>
                </pic:pic>
              </a:graphicData>
            </a:graphic>
          </wp:inline>
        </w:drawing>
      </w:r>
    </w:p>
    <w:p w14:paraId="0225BC29" w14:textId="71D1A6C4"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Partiendo de esta información se calcula el costo de instalación para los enlaces de referencia (E1 equivalente para TDM y 1</w:t>
      </w:r>
      <w:r w:rsidR="00DC6088">
        <w:rPr>
          <w:rFonts w:ascii="Arial" w:eastAsia="Calibri" w:hAnsi="Arial" w:cs="Arial"/>
          <w:bCs/>
          <w:sz w:val="22"/>
          <w:szCs w:val="22"/>
        </w:rPr>
        <w:t>00Mbps</w:t>
      </w:r>
      <w:r w:rsidRPr="00B433A7">
        <w:rPr>
          <w:rFonts w:ascii="Arial" w:eastAsia="Calibri" w:hAnsi="Arial" w:cs="Arial"/>
          <w:bCs/>
          <w:sz w:val="22"/>
          <w:szCs w:val="22"/>
        </w:rPr>
        <w:t xml:space="preserve"> equivalente para Ethernet) y a continuación se aplica un gradiente basado en los precios de instalación actuales de Telmex.</w:t>
      </w:r>
    </w:p>
    <w:p w14:paraId="7CB02B2F"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
          <w:bCs/>
          <w:sz w:val="22"/>
          <w:szCs w:val="22"/>
        </w:rPr>
        <w:t xml:space="preserve">Enlaces dedicados locales. </w:t>
      </w:r>
      <w:r w:rsidRPr="00B433A7">
        <w:rPr>
          <w:rFonts w:ascii="Arial" w:eastAsia="Calibri" w:hAnsi="Arial" w:cs="Arial"/>
          <w:bCs/>
          <w:sz w:val="22"/>
          <w:szCs w:val="22"/>
        </w:rPr>
        <w:t>Para el cálculo de los precios de enlaces locales se han empleado precios regulados de desagregación y la arquitectura de enlaces del AEP.</w:t>
      </w:r>
    </w:p>
    <w:p w14:paraId="0D75B66C" w14:textId="1E18ACE3" w:rsidR="000F58F5" w:rsidRPr="00B433A7" w:rsidRDefault="00860B81" w:rsidP="00860B81">
      <w:pPr>
        <w:spacing w:after="120" w:line="320" w:lineRule="atLeast"/>
        <w:jc w:val="center"/>
        <w:rPr>
          <w:rFonts w:ascii="Arial" w:eastAsia="Calibri" w:hAnsi="Arial" w:cs="Arial"/>
          <w:bCs/>
          <w:sz w:val="22"/>
          <w:szCs w:val="22"/>
        </w:rPr>
      </w:pPr>
      <w:r w:rsidRPr="00860B81">
        <w:rPr>
          <w:noProof/>
          <w:lang w:val="es-MX" w:eastAsia="es-MX"/>
        </w:rPr>
        <w:drawing>
          <wp:inline distT="0" distB="0" distL="0" distR="0" wp14:anchorId="30BE4D81" wp14:editId="6137A859">
            <wp:extent cx="3765809" cy="294132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79264" cy="2951829"/>
                    </a:xfrm>
                    <a:prstGeom prst="rect">
                      <a:avLst/>
                    </a:prstGeom>
                    <a:noFill/>
                    <a:ln>
                      <a:noFill/>
                    </a:ln>
                  </pic:spPr>
                </pic:pic>
              </a:graphicData>
            </a:graphic>
          </wp:inline>
        </w:drawing>
      </w:r>
    </w:p>
    <w:p w14:paraId="7FE82433"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Los costos asociados a los enlaces locales se pueden categorizar en tres grupos:</w:t>
      </w:r>
    </w:p>
    <w:p w14:paraId="07C1C46C" w14:textId="77777777" w:rsidR="000F58F5" w:rsidRPr="00B433A7" w:rsidRDefault="000F58F5" w:rsidP="000F58F5">
      <w:pPr>
        <w:numPr>
          <w:ilvl w:val="0"/>
          <w:numId w:val="2"/>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Costeo del transporte de tráfico entre centrales dentro de una misma localidad (costos de transporte)</w:t>
      </w:r>
    </w:p>
    <w:p w14:paraId="2F991B82" w14:textId="77777777" w:rsidR="000F58F5" w:rsidRPr="00B433A7" w:rsidRDefault="000F58F5" w:rsidP="000F58F5">
      <w:pPr>
        <w:numPr>
          <w:ilvl w:val="0"/>
          <w:numId w:val="2"/>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 xml:space="preserve">Costeo del equipamiento de red necesario para ofrecer el servicio de enlaces dedicados: Módems, </w:t>
      </w:r>
      <w:proofErr w:type="spellStart"/>
      <w:r w:rsidRPr="00B433A7">
        <w:rPr>
          <w:rFonts w:ascii="Arial" w:eastAsia="Calibri" w:hAnsi="Arial" w:cs="Arial"/>
          <w:bCs/>
          <w:sz w:val="22"/>
          <w:szCs w:val="22"/>
        </w:rPr>
        <w:t>multiplexadores</w:t>
      </w:r>
      <w:proofErr w:type="spellEnd"/>
      <w:r w:rsidRPr="00B433A7">
        <w:rPr>
          <w:rFonts w:ascii="Arial" w:eastAsia="Calibri" w:hAnsi="Arial" w:cs="Arial"/>
          <w:bCs/>
          <w:sz w:val="22"/>
          <w:szCs w:val="22"/>
        </w:rPr>
        <w:t xml:space="preserve">, </w:t>
      </w:r>
      <w:proofErr w:type="spellStart"/>
      <w:r w:rsidRPr="00B433A7">
        <w:rPr>
          <w:rFonts w:ascii="Arial" w:eastAsia="Calibri" w:hAnsi="Arial" w:cs="Arial"/>
          <w:bCs/>
          <w:sz w:val="22"/>
          <w:szCs w:val="22"/>
        </w:rPr>
        <w:t>switches</w:t>
      </w:r>
      <w:proofErr w:type="spellEnd"/>
      <w:r w:rsidRPr="00B433A7">
        <w:rPr>
          <w:rFonts w:ascii="Arial" w:eastAsia="Calibri" w:hAnsi="Arial" w:cs="Arial"/>
          <w:bCs/>
          <w:sz w:val="22"/>
          <w:szCs w:val="22"/>
        </w:rPr>
        <w:t>, etc.</w:t>
      </w:r>
    </w:p>
    <w:p w14:paraId="1FC10D84" w14:textId="77777777" w:rsidR="000F58F5" w:rsidRPr="00B433A7" w:rsidRDefault="000F58F5" w:rsidP="000F58F5">
      <w:pPr>
        <w:numPr>
          <w:ilvl w:val="0"/>
          <w:numId w:val="2"/>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lastRenderedPageBreak/>
        <w:t>Costeo de la ruta física entre emplazamientos; cobre o fibra P2P, (se considera el costo del par de hilos de fibra y los elementos de red tanto en las instalaciones del cliente como en la central en la cual se ubican los equipos de transporte) según la capacidad del enlace.</w:t>
      </w:r>
    </w:p>
    <w:p w14:paraId="4C3038C6" w14:textId="77777777" w:rsidR="000F58F5" w:rsidRPr="00B433A7" w:rsidRDefault="000F58F5" w:rsidP="000F58F5">
      <w:pPr>
        <w:numPr>
          <w:ilvl w:val="1"/>
          <w:numId w:val="2"/>
        </w:numPr>
        <w:spacing w:after="120" w:line="276" w:lineRule="auto"/>
        <w:jc w:val="both"/>
        <w:rPr>
          <w:rFonts w:ascii="Arial" w:eastAsia="Calibri" w:hAnsi="Arial" w:cs="Arial"/>
          <w:bCs/>
          <w:sz w:val="22"/>
          <w:szCs w:val="22"/>
          <w:lang w:val="es-ES"/>
        </w:rPr>
      </w:pPr>
      <w:r w:rsidRPr="00B433A7">
        <w:rPr>
          <w:rFonts w:ascii="Arial" w:eastAsia="Calibri" w:hAnsi="Arial" w:cs="Arial"/>
          <w:bCs/>
          <w:sz w:val="22"/>
          <w:szCs w:val="22"/>
          <w:lang w:val="es-ES"/>
        </w:rPr>
        <w:t xml:space="preserve">Telmex no tiene capacidad en sus anillos STM-4 para transportar enlaces de </w:t>
      </w:r>
      <w:r w:rsidRPr="00B433A7">
        <w:rPr>
          <w:rFonts w:ascii="Arial" w:eastAsia="Calibri" w:hAnsi="Arial" w:cs="Arial"/>
          <w:bCs/>
          <w:sz w:val="22"/>
          <w:szCs w:val="22"/>
        </w:rPr>
        <w:t xml:space="preserve">capacidad igual o superior a 1Gbps. Para ello, requiere rutas más largas para conectar dichos enlaces a centrales con capacidad suficiente para enrutar dicho tráfico, lo que incrementa las distancias y por ende los costos. </w:t>
      </w:r>
    </w:p>
    <w:p w14:paraId="70FEEA21" w14:textId="77777777" w:rsidR="000F58F5" w:rsidRPr="00B433A7" w:rsidRDefault="000F58F5" w:rsidP="000F58F5">
      <w:pPr>
        <w:spacing w:after="120" w:line="276" w:lineRule="auto"/>
        <w:ind w:left="360"/>
        <w:jc w:val="both"/>
        <w:rPr>
          <w:rFonts w:ascii="Arial" w:eastAsia="Calibri" w:hAnsi="Arial" w:cs="Arial"/>
          <w:bCs/>
          <w:sz w:val="22"/>
          <w:szCs w:val="22"/>
        </w:rPr>
      </w:pPr>
      <w:r w:rsidRPr="00B433A7">
        <w:rPr>
          <w:rFonts w:ascii="Arial" w:eastAsia="Calibri" w:hAnsi="Arial" w:cs="Arial"/>
          <w:bCs/>
          <w:sz w:val="22"/>
          <w:szCs w:val="22"/>
        </w:rPr>
        <w:t>Los enlaces dedicados locales pueden pasar por más de una central (extremos del enlace), siempre que se sitúen dentro de una misma localidad.</w:t>
      </w:r>
    </w:p>
    <w:p w14:paraId="7E68EAE5" w14:textId="77777777" w:rsidR="000F58F5" w:rsidRPr="00B433A7" w:rsidRDefault="000F58F5" w:rsidP="000F58F5">
      <w:pPr>
        <w:spacing w:after="120" w:line="276" w:lineRule="auto"/>
        <w:ind w:left="360"/>
        <w:jc w:val="both"/>
        <w:rPr>
          <w:rFonts w:ascii="Arial" w:eastAsia="Calibri" w:hAnsi="Arial" w:cs="Arial"/>
          <w:bCs/>
          <w:sz w:val="22"/>
          <w:szCs w:val="22"/>
        </w:rPr>
      </w:pPr>
    </w:p>
    <w:p w14:paraId="1A085D96" w14:textId="57AF91FA" w:rsidR="000F58F5" w:rsidRPr="00B433A7" w:rsidRDefault="001D5C1E" w:rsidP="001D5C1E">
      <w:pPr>
        <w:spacing w:after="120" w:line="320" w:lineRule="atLeast"/>
        <w:ind w:left="360"/>
        <w:jc w:val="both"/>
        <w:rPr>
          <w:rFonts w:ascii="Arial" w:eastAsia="Calibri" w:hAnsi="Arial" w:cs="Arial"/>
          <w:bCs/>
          <w:sz w:val="22"/>
          <w:szCs w:val="22"/>
        </w:rPr>
      </w:pPr>
      <w:r w:rsidRPr="001D5C1E">
        <w:rPr>
          <w:noProof/>
          <w:lang w:val="es-MX" w:eastAsia="es-MX"/>
        </w:rPr>
        <w:drawing>
          <wp:inline distT="0" distB="0" distL="0" distR="0" wp14:anchorId="07C931B7" wp14:editId="4F67FA6C">
            <wp:extent cx="5612130" cy="1502410"/>
            <wp:effectExtent l="0" t="0" r="762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2130" cy="1502410"/>
                    </a:xfrm>
                    <a:prstGeom prst="rect">
                      <a:avLst/>
                    </a:prstGeom>
                    <a:noFill/>
                    <a:ln>
                      <a:noFill/>
                    </a:ln>
                  </pic:spPr>
                </pic:pic>
              </a:graphicData>
            </a:graphic>
          </wp:inline>
        </w:drawing>
      </w:r>
    </w:p>
    <w:p w14:paraId="32B5B92D" w14:textId="0044D3B6" w:rsidR="000F58F5"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Los costos de transporte de tráfico entre centrales se extraen del modelo de interconexión fijo, así como de los elementos de red necesarios para ofrecer el servicio de enlaces dedicados con base en las reglas de ingeniería definidas a partir de información provista por Telmex. Dichos costos se reparten entre los diferentes enlaces con base en un gradiente de precios que permite recuperar todos los costos.</w:t>
      </w:r>
    </w:p>
    <w:p w14:paraId="5CE36894" w14:textId="552D6429" w:rsidR="00C53636" w:rsidRPr="00B433A7" w:rsidRDefault="00C53636" w:rsidP="000F58F5">
      <w:pPr>
        <w:spacing w:after="120" w:line="276" w:lineRule="auto"/>
        <w:jc w:val="both"/>
        <w:rPr>
          <w:rFonts w:ascii="Arial" w:eastAsia="Calibri" w:hAnsi="Arial" w:cs="Arial"/>
          <w:bCs/>
          <w:sz w:val="22"/>
          <w:szCs w:val="22"/>
        </w:rPr>
      </w:pPr>
      <w:r>
        <w:rPr>
          <w:rFonts w:ascii="Arial" w:eastAsia="Calibri" w:hAnsi="Arial" w:cs="Arial"/>
          <w:bCs/>
          <w:sz w:val="22"/>
          <w:szCs w:val="22"/>
        </w:rPr>
        <w:br/>
        <w:t>Para calcular los costos del equipamiento se han identificado los elementos de red necesarios entre el cliente y la central del AEP. Para cada uno de los elementos se han definido unas reglas de ingeniería que incluye el equipo en el sitio del cliente, el cableado y el equipo de agregación en central como muestra la siguiente figura:</w:t>
      </w:r>
    </w:p>
    <w:p w14:paraId="118D3A37" w14:textId="09B50FEF" w:rsidR="000F58F5" w:rsidRPr="00B433A7" w:rsidRDefault="00C53636" w:rsidP="00C53636">
      <w:pPr>
        <w:spacing w:line="320" w:lineRule="atLeast"/>
        <w:jc w:val="center"/>
        <w:rPr>
          <w:rFonts w:ascii="Arial" w:hAnsi="Arial" w:cs="Arial"/>
          <w:bCs/>
        </w:rPr>
      </w:pPr>
      <w:r w:rsidRPr="00C53636">
        <w:rPr>
          <w:noProof/>
          <w:lang w:val="es-MX" w:eastAsia="es-MX"/>
        </w:rPr>
        <w:lastRenderedPageBreak/>
        <w:drawing>
          <wp:inline distT="0" distB="0" distL="0" distR="0" wp14:anchorId="736FD4B8" wp14:editId="5CD369EF">
            <wp:extent cx="5612130" cy="3280410"/>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2130" cy="3280410"/>
                    </a:xfrm>
                    <a:prstGeom prst="rect">
                      <a:avLst/>
                    </a:prstGeom>
                    <a:noFill/>
                    <a:ln>
                      <a:noFill/>
                    </a:ln>
                  </pic:spPr>
                </pic:pic>
              </a:graphicData>
            </a:graphic>
          </wp:inline>
        </w:drawing>
      </w:r>
    </w:p>
    <w:p w14:paraId="5E823931" w14:textId="77777777" w:rsidR="000F58F5" w:rsidRPr="00B433A7" w:rsidRDefault="000F58F5" w:rsidP="000F58F5">
      <w:pPr>
        <w:spacing w:after="120" w:line="276" w:lineRule="auto"/>
        <w:jc w:val="both"/>
        <w:rPr>
          <w:rFonts w:ascii="Arial" w:eastAsia="Calibri" w:hAnsi="Arial" w:cs="Arial"/>
          <w:bCs/>
          <w:sz w:val="16"/>
          <w:szCs w:val="16"/>
        </w:rPr>
      </w:pPr>
      <w:bookmarkStart w:id="0" w:name="_GoBack"/>
      <w:bookmarkEnd w:id="0"/>
    </w:p>
    <w:p w14:paraId="44D8FF84"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
          <w:bCs/>
          <w:sz w:val="22"/>
          <w:szCs w:val="22"/>
        </w:rPr>
        <w:t>Costos de instalación de los enlaces dedicados locales</w:t>
      </w:r>
      <w:r w:rsidRPr="00B433A7">
        <w:rPr>
          <w:rFonts w:ascii="Arial" w:eastAsia="Calibri" w:hAnsi="Arial" w:cs="Arial"/>
          <w:bCs/>
          <w:sz w:val="22"/>
          <w:szCs w:val="22"/>
        </w:rPr>
        <w:t xml:space="preserve">. El costo de instalación de los enlaces locales se compone del costo de la mano de obra asociados a los procesos de validación y activación de la orden, instalación y pruebas, etc. efectuados en la central como en el sitio del cliente. Además, los elementos que se instalan en los sitios del cliente tienen un costo de instalación asociado, que representa entre el 7% y el 30% del costo unitario del elemento. </w:t>
      </w:r>
    </w:p>
    <w:p w14:paraId="53CF4850" w14:textId="77777777" w:rsidR="000F58F5" w:rsidRPr="00B433A7" w:rsidRDefault="000F58F5" w:rsidP="000F58F5">
      <w:pPr>
        <w:spacing w:after="120" w:line="276" w:lineRule="auto"/>
        <w:jc w:val="both"/>
        <w:rPr>
          <w:rFonts w:ascii="Arial" w:eastAsia="Calibri" w:hAnsi="Arial" w:cs="Arial"/>
          <w:bCs/>
          <w:sz w:val="22"/>
          <w:szCs w:val="22"/>
          <w:lang w:val="es-ES"/>
        </w:rPr>
      </w:pPr>
      <w:r w:rsidRPr="00B433A7">
        <w:rPr>
          <w:rFonts w:ascii="Arial" w:eastAsia="Calibri" w:hAnsi="Arial" w:cs="Arial"/>
          <w:bCs/>
          <w:sz w:val="22"/>
          <w:szCs w:val="22"/>
          <w:lang w:val="es-ES"/>
        </w:rPr>
        <w:t>A partir de dichos costos unitarios de instalación se calculan los costos totales de instalación que se distribuyen entre los diferentes enlaces a través de un gradiente de precios.</w:t>
      </w:r>
    </w:p>
    <w:p w14:paraId="52160B57"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
          <w:bCs/>
          <w:sz w:val="22"/>
          <w:szCs w:val="22"/>
        </w:rPr>
        <w:t xml:space="preserve">Descripción del modelo. </w:t>
      </w:r>
      <w:r w:rsidRPr="00B433A7">
        <w:rPr>
          <w:rFonts w:ascii="Arial" w:eastAsia="Calibri" w:hAnsi="Arial" w:cs="Arial"/>
          <w:bCs/>
          <w:sz w:val="22"/>
          <w:szCs w:val="22"/>
        </w:rPr>
        <w:t>El modelo se estructura alrededor de los módulos de enlaces locales, y entre localidades/internacionales.</w:t>
      </w:r>
    </w:p>
    <w:p w14:paraId="32BDE01F"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Diferencias en el precio por Mbps en México (Gradientes en precio).</w:t>
      </w:r>
    </w:p>
    <w:p w14:paraId="394BE519"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Esquema para el cálculo del gradiente equivalente de capacidad:</w:t>
      </w:r>
    </w:p>
    <w:p w14:paraId="2FA0AFC6" w14:textId="77777777" w:rsidR="000F58F5" w:rsidRPr="00B433A7" w:rsidRDefault="000F58F5" w:rsidP="000F58F5">
      <w:pPr>
        <w:numPr>
          <w:ilvl w:val="0"/>
          <w:numId w:val="2"/>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Se toma como referencia un gradiente que reflejara las economías de escala con base en la experiencia internacional.</w:t>
      </w:r>
    </w:p>
    <w:p w14:paraId="4284018B" w14:textId="6A1A0B7E" w:rsidR="000F58F5" w:rsidRPr="00B433A7" w:rsidRDefault="000F58F5" w:rsidP="000F58F5">
      <w:pPr>
        <w:numPr>
          <w:ilvl w:val="0"/>
          <w:numId w:val="2"/>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 xml:space="preserve">Se toma como referencia el precio de un enlace entre localidades de </w:t>
      </w:r>
      <w:r w:rsidR="00DC6088">
        <w:rPr>
          <w:rFonts w:ascii="Arial" w:eastAsia="Calibri" w:hAnsi="Arial" w:cs="Arial"/>
          <w:bCs/>
          <w:sz w:val="22"/>
          <w:szCs w:val="22"/>
        </w:rPr>
        <w:t>34</w:t>
      </w:r>
      <w:r w:rsidRPr="00B433A7">
        <w:rPr>
          <w:rFonts w:ascii="Arial" w:eastAsia="Calibri" w:hAnsi="Arial" w:cs="Arial"/>
          <w:bCs/>
          <w:sz w:val="22"/>
          <w:szCs w:val="22"/>
        </w:rPr>
        <w:t>Mbps de capacidad (E</w:t>
      </w:r>
      <w:r w:rsidR="00DC6088">
        <w:rPr>
          <w:rFonts w:ascii="Arial" w:eastAsia="Calibri" w:hAnsi="Arial" w:cs="Arial"/>
          <w:bCs/>
          <w:sz w:val="22"/>
          <w:szCs w:val="22"/>
        </w:rPr>
        <w:t>3</w:t>
      </w:r>
      <w:r w:rsidRPr="00B433A7">
        <w:rPr>
          <w:rFonts w:ascii="Arial" w:eastAsia="Calibri" w:hAnsi="Arial" w:cs="Arial"/>
          <w:bCs/>
          <w:sz w:val="22"/>
          <w:szCs w:val="22"/>
        </w:rPr>
        <w:t xml:space="preserve">) para enlaces TDM y el </w:t>
      </w:r>
      <w:r w:rsidR="005E3BB6">
        <w:rPr>
          <w:rFonts w:ascii="Arial" w:eastAsia="Calibri" w:hAnsi="Arial" w:cs="Arial"/>
          <w:bCs/>
          <w:sz w:val="22"/>
          <w:szCs w:val="22"/>
        </w:rPr>
        <w:t>de</w:t>
      </w:r>
      <w:r w:rsidR="00DC6088">
        <w:rPr>
          <w:rFonts w:ascii="Arial" w:eastAsia="Calibri" w:hAnsi="Arial" w:cs="Arial"/>
          <w:bCs/>
          <w:sz w:val="22"/>
          <w:szCs w:val="22"/>
        </w:rPr>
        <w:t xml:space="preserve"> </w:t>
      </w:r>
      <w:r w:rsidRPr="00B433A7">
        <w:rPr>
          <w:rFonts w:ascii="Arial" w:eastAsia="Calibri" w:hAnsi="Arial" w:cs="Arial"/>
          <w:bCs/>
          <w:sz w:val="22"/>
          <w:szCs w:val="22"/>
        </w:rPr>
        <w:t>1</w:t>
      </w:r>
      <w:r w:rsidR="005E3BB6">
        <w:rPr>
          <w:rFonts w:ascii="Arial" w:eastAsia="Calibri" w:hAnsi="Arial" w:cs="Arial"/>
          <w:bCs/>
          <w:sz w:val="22"/>
          <w:szCs w:val="22"/>
        </w:rPr>
        <w:t>00M</w:t>
      </w:r>
      <w:r w:rsidRPr="00B433A7">
        <w:rPr>
          <w:rFonts w:ascii="Arial" w:eastAsia="Calibri" w:hAnsi="Arial" w:cs="Arial"/>
          <w:bCs/>
          <w:sz w:val="22"/>
          <w:szCs w:val="22"/>
        </w:rPr>
        <w:t>bps para enlaces Ethernet, se calcula el precio equivalente de los enlaces de todas las velocidades suponiendo que tuviese una capacidad E</w:t>
      </w:r>
      <w:r w:rsidR="00DC6088">
        <w:rPr>
          <w:rFonts w:ascii="Arial" w:eastAsia="Calibri" w:hAnsi="Arial" w:cs="Arial"/>
          <w:bCs/>
          <w:sz w:val="22"/>
          <w:szCs w:val="22"/>
        </w:rPr>
        <w:t>3</w:t>
      </w:r>
      <w:r w:rsidRPr="00B433A7">
        <w:rPr>
          <w:rFonts w:ascii="Arial" w:eastAsia="Calibri" w:hAnsi="Arial" w:cs="Arial"/>
          <w:bCs/>
          <w:sz w:val="22"/>
          <w:szCs w:val="22"/>
        </w:rPr>
        <w:t xml:space="preserve"> para los enlaces TDM y </w:t>
      </w:r>
      <w:r w:rsidR="005E3BB6">
        <w:rPr>
          <w:rFonts w:ascii="Arial" w:eastAsia="Calibri" w:hAnsi="Arial" w:cs="Arial"/>
          <w:bCs/>
          <w:sz w:val="22"/>
          <w:szCs w:val="22"/>
        </w:rPr>
        <w:t>100Mbps</w:t>
      </w:r>
      <w:r w:rsidRPr="00B433A7">
        <w:rPr>
          <w:rFonts w:ascii="Arial" w:eastAsia="Calibri" w:hAnsi="Arial" w:cs="Arial"/>
          <w:bCs/>
          <w:sz w:val="22"/>
          <w:szCs w:val="22"/>
        </w:rPr>
        <w:t xml:space="preserve"> en el caso de los enlaces Ethernet.</w:t>
      </w:r>
    </w:p>
    <w:p w14:paraId="5D3BF754" w14:textId="7A8F459C" w:rsidR="000F58F5" w:rsidRPr="00B433A7" w:rsidRDefault="000F58F5" w:rsidP="000F58F5">
      <w:pPr>
        <w:numPr>
          <w:ilvl w:val="0"/>
          <w:numId w:val="2"/>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Por último, para comparar los distintos precios equivalentes, se vuelve a tomar como referencia el precio de un enlace E</w:t>
      </w:r>
      <w:r w:rsidR="00DC6088">
        <w:rPr>
          <w:rFonts w:ascii="Arial" w:eastAsia="Calibri" w:hAnsi="Arial" w:cs="Arial"/>
          <w:bCs/>
          <w:sz w:val="22"/>
          <w:szCs w:val="22"/>
        </w:rPr>
        <w:t>3</w:t>
      </w:r>
      <w:r w:rsidRPr="00B433A7">
        <w:rPr>
          <w:rFonts w:ascii="Arial" w:eastAsia="Calibri" w:hAnsi="Arial" w:cs="Arial"/>
          <w:bCs/>
          <w:sz w:val="22"/>
          <w:szCs w:val="22"/>
        </w:rPr>
        <w:t xml:space="preserve"> / 1</w:t>
      </w:r>
      <w:r w:rsidR="005E3BB6">
        <w:rPr>
          <w:rFonts w:ascii="Arial" w:eastAsia="Calibri" w:hAnsi="Arial" w:cs="Arial"/>
          <w:bCs/>
          <w:sz w:val="22"/>
          <w:szCs w:val="22"/>
        </w:rPr>
        <w:t>00M</w:t>
      </w:r>
      <w:r w:rsidRPr="00B433A7">
        <w:rPr>
          <w:rFonts w:ascii="Arial" w:eastAsia="Calibri" w:hAnsi="Arial" w:cs="Arial"/>
          <w:bCs/>
          <w:sz w:val="22"/>
          <w:szCs w:val="22"/>
        </w:rPr>
        <w:t>bps y se calcula una matriz gradiente.</w:t>
      </w:r>
    </w:p>
    <w:p w14:paraId="608C3671" w14:textId="5ABCDCFB"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lastRenderedPageBreak/>
        <w:t>Lo anterior denota que el precio del Mbps no varía significativamente en los enlaces de velocidades inferiores a E</w:t>
      </w:r>
      <w:r w:rsidR="00DC6088">
        <w:rPr>
          <w:rFonts w:ascii="Arial" w:eastAsia="Calibri" w:hAnsi="Arial" w:cs="Arial"/>
          <w:bCs/>
          <w:sz w:val="22"/>
          <w:szCs w:val="22"/>
        </w:rPr>
        <w:t>3</w:t>
      </w:r>
      <w:r w:rsidRPr="00B433A7">
        <w:rPr>
          <w:rFonts w:ascii="Arial" w:eastAsia="Calibri" w:hAnsi="Arial" w:cs="Arial"/>
          <w:bCs/>
          <w:sz w:val="22"/>
          <w:szCs w:val="22"/>
        </w:rPr>
        <w:t>, contrariamente a los enlaces de velocidades superiores, sin embargo, en Ethernet sí aparecen economías de escala para todas las velocidades.</w:t>
      </w:r>
    </w:p>
    <w:p w14:paraId="7E118096"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Debido a las economías de escala, el precio por km también debe seguir una progresión en línea con las distancias totales.</w:t>
      </w:r>
    </w:p>
    <w:p w14:paraId="007EFE25" w14:textId="77777777" w:rsidR="000F58F5" w:rsidRPr="00B433A7" w:rsidRDefault="000F58F5" w:rsidP="000F58F5">
      <w:pPr>
        <w:spacing w:after="120" w:line="276" w:lineRule="auto"/>
        <w:jc w:val="both"/>
        <w:rPr>
          <w:rFonts w:ascii="Arial" w:eastAsia="Calibri" w:hAnsi="Arial" w:cs="Arial"/>
          <w:bCs/>
          <w:sz w:val="22"/>
          <w:szCs w:val="22"/>
        </w:rPr>
      </w:pPr>
      <w:r w:rsidRPr="00B433A7">
        <w:rPr>
          <w:rFonts w:ascii="Arial" w:eastAsia="Calibri" w:hAnsi="Arial" w:cs="Arial"/>
          <w:bCs/>
          <w:sz w:val="22"/>
          <w:szCs w:val="22"/>
        </w:rPr>
        <w:t>Esquema para el cálculo del gradiente equivalente de distancia.</w:t>
      </w:r>
    </w:p>
    <w:p w14:paraId="22E88A77" w14:textId="77777777" w:rsidR="000F58F5" w:rsidRPr="00B433A7" w:rsidRDefault="000F58F5" w:rsidP="000F58F5">
      <w:pPr>
        <w:numPr>
          <w:ilvl w:val="0"/>
          <w:numId w:val="2"/>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Se toma como referencia un gradiente que reflejará las economías de escala con base en la experiencia internacional.</w:t>
      </w:r>
    </w:p>
    <w:p w14:paraId="4E14B379" w14:textId="77777777" w:rsidR="000F58F5" w:rsidRPr="00B433A7" w:rsidRDefault="000F58F5" w:rsidP="000F58F5">
      <w:pPr>
        <w:numPr>
          <w:ilvl w:val="0"/>
          <w:numId w:val="2"/>
        </w:numPr>
        <w:spacing w:after="120" w:line="276" w:lineRule="auto"/>
        <w:jc w:val="both"/>
        <w:rPr>
          <w:rFonts w:ascii="Arial" w:eastAsia="Calibri" w:hAnsi="Arial" w:cs="Arial"/>
          <w:bCs/>
          <w:sz w:val="22"/>
          <w:szCs w:val="22"/>
        </w:rPr>
      </w:pPr>
      <w:r w:rsidRPr="00B433A7">
        <w:rPr>
          <w:rFonts w:ascii="Arial" w:eastAsia="Calibri" w:hAnsi="Arial" w:cs="Arial"/>
          <w:bCs/>
          <w:sz w:val="22"/>
          <w:szCs w:val="22"/>
        </w:rPr>
        <w:t>Se toma como referencia el precio de un enlace entre localidades de 40.5km (Da), se calcula el precio equivalente por km para los enlaces de todas las velocidades suponiendo que tuviesen una distancia de 40.5km.</w:t>
      </w:r>
    </w:p>
    <w:p w14:paraId="0B360FCD" w14:textId="77777777" w:rsidR="000F58F5" w:rsidRPr="00B433A7" w:rsidRDefault="000F58F5" w:rsidP="000F58F5">
      <w:pPr>
        <w:numPr>
          <w:ilvl w:val="0"/>
          <w:numId w:val="2"/>
        </w:numPr>
        <w:spacing w:line="276" w:lineRule="auto"/>
        <w:jc w:val="both"/>
        <w:rPr>
          <w:rFonts w:ascii="Arial" w:eastAsia="Calibri" w:hAnsi="Arial" w:cs="Arial"/>
          <w:bCs/>
          <w:sz w:val="22"/>
          <w:szCs w:val="22"/>
        </w:rPr>
      </w:pPr>
      <w:r w:rsidRPr="00B433A7">
        <w:rPr>
          <w:rFonts w:ascii="Arial" w:eastAsia="Calibri" w:hAnsi="Arial" w:cs="Arial"/>
          <w:bCs/>
          <w:sz w:val="22"/>
          <w:szCs w:val="22"/>
        </w:rPr>
        <w:t>Por último, para comparar los distintos precios equivalentes, se vuelve a tomar como referencia el precio de los enlaces de 40.5km y se calcula una matriz gradiente.</w:t>
      </w:r>
    </w:p>
    <w:p w14:paraId="3408D762" w14:textId="77777777" w:rsidR="000F58F5" w:rsidRPr="00B433A7" w:rsidRDefault="000F58F5" w:rsidP="000F58F5">
      <w:pPr>
        <w:spacing w:line="276" w:lineRule="auto"/>
        <w:ind w:left="720"/>
        <w:jc w:val="both"/>
        <w:rPr>
          <w:rFonts w:ascii="Arial" w:eastAsia="Calibri" w:hAnsi="Arial" w:cs="Arial"/>
          <w:bCs/>
          <w:sz w:val="16"/>
          <w:szCs w:val="22"/>
        </w:rPr>
      </w:pPr>
    </w:p>
    <w:p w14:paraId="523B8F03" w14:textId="77777777" w:rsidR="000F58F5" w:rsidRPr="00B433A7" w:rsidRDefault="000F58F5" w:rsidP="000F58F5">
      <w:pPr>
        <w:spacing w:line="276" w:lineRule="auto"/>
        <w:jc w:val="both"/>
        <w:rPr>
          <w:rFonts w:ascii="Arial" w:eastAsia="Calibri" w:hAnsi="Arial" w:cs="Arial"/>
          <w:bCs/>
          <w:sz w:val="16"/>
          <w:szCs w:val="22"/>
        </w:rPr>
      </w:pPr>
      <w:r w:rsidRPr="00B433A7">
        <w:rPr>
          <w:rFonts w:ascii="Arial" w:eastAsia="Calibri" w:hAnsi="Arial" w:cs="Arial"/>
          <w:bCs/>
          <w:sz w:val="22"/>
          <w:szCs w:val="22"/>
        </w:rPr>
        <w:t>Lo anterior muestra que el precio por km en México en Ethernet se mantiene constante, sin reflejar las diferencias de precios de transporte entre niveles de red.</w:t>
      </w:r>
      <w:r w:rsidRPr="00B433A7">
        <w:rPr>
          <w:rFonts w:ascii="Arial" w:eastAsia="Calibri" w:hAnsi="Arial" w:cs="Arial"/>
          <w:bCs/>
          <w:sz w:val="22"/>
          <w:szCs w:val="22"/>
        </w:rPr>
        <w:cr/>
      </w:r>
    </w:p>
    <w:p w14:paraId="51EA39B6" w14:textId="77777777" w:rsidR="000F58F5" w:rsidRDefault="000F58F5" w:rsidP="000F58F5">
      <w:pPr>
        <w:spacing w:line="276" w:lineRule="auto"/>
        <w:jc w:val="both"/>
        <w:rPr>
          <w:rFonts w:ascii="Arial" w:eastAsia="Times New Roman" w:hAnsi="Arial" w:cs="Arial"/>
          <w:sz w:val="22"/>
          <w:szCs w:val="22"/>
          <w:lang w:val="es-ES" w:eastAsia="es-ES"/>
        </w:rPr>
      </w:pPr>
      <w:r w:rsidRPr="00B433A7">
        <w:rPr>
          <w:rFonts w:ascii="Arial" w:eastAsia="Times New Roman" w:hAnsi="Arial" w:cs="Arial"/>
          <w:sz w:val="22"/>
          <w:szCs w:val="22"/>
          <w:lang w:eastAsia="es-ES"/>
        </w:rPr>
        <w:t xml:space="preserve">El modelo debe incluir un retorno razonable sobre los activos que, de conformidad con el Lineamiento Noveno de la Metodología de Costos, éste será determinado a través del costo de capital promedio ponderado (CCPP). </w:t>
      </w:r>
      <w:r w:rsidRPr="00B433A7">
        <w:rPr>
          <w:rFonts w:ascii="Arial" w:eastAsia="Times New Roman" w:hAnsi="Arial" w:cs="Arial"/>
          <w:sz w:val="22"/>
          <w:szCs w:val="22"/>
          <w:lang w:val="es-ES" w:eastAsia="es-ES"/>
        </w:rPr>
        <w:t>El Costo de Capital Promedio Ponderado es el calculado en los modelos de costos de servicios de conmutados de interconexión.</w:t>
      </w:r>
    </w:p>
    <w:p w14:paraId="21B4C9DE" w14:textId="77777777" w:rsidR="00357071" w:rsidRDefault="00357071"/>
    <w:sectPr w:rsidR="0035707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4C280" w14:textId="77777777" w:rsidR="00D60159" w:rsidRDefault="00D60159" w:rsidP="000F58F5">
      <w:r>
        <w:separator/>
      </w:r>
    </w:p>
  </w:endnote>
  <w:endnote w:type="continuationSeparator" w:id="0">
    <w:p w14:paraId="25F4A11F" w14:textId="77777777" w:rsidR="00D60159" w:rsidRDefault="00D60159" w:rsidP="000F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208FD" w14:textId="77777777" w:rsidR="00D60159" w:rsidRDefault="00D60159" w:rsidP="000F58F5">
      <w:r>
        <w:separator/>
      </w:r>
    </w:p>
  </w:footnote>
  <w:footnote w:type="continuationSeparator" w:id="0">
    <w:p w14:paraId="54CB2BA4" w14:textId="77777777" w:rsidR="00D60159" w:rsidRDefault="00D60159" w:rsidP="000F58F5">
      <w:r>
        <w:continuationSeparator/>
      </w:r>
    </w:p>
  </w:footnote>
  <w:footnote w:id="1">
    <w:p w14:paraId="56BF4B7C" w14:textId="77777777" w:rsidR="000F58F5" w:rsidRPr="00E84C0B" w:rsidRDefault="000F58F5" w:rsidP="000F58F5">
      <w:pPr>
        <w:pStyle w:val="Textocomentario"/>
        <w:rPr>
          <w:rFonts w:ascii="ITC Avant Garde" w:hAnsi="ITC Avant Garde"/>
          <w:sz w:val="18"/>
        </w:rPr>
      </w:pPr>
      <w:r w:rsidRPr="00E84C0B">
        <w:rPr>
          <w:rStyle w:val="Refdenotaalpie"/>
          <w:rFonts w:ascii="ITC Avant Garde" w:hAnsi="ITC Avant Garde"/>
          <w:sz w:val="18"/>
        </w:rPr>
        <w:footnoteRef/>
      </w:r>
      <w:r w:rsidRPr="00E84C0B">
        <w:rPr>
          <w:rFonts w:ascii="ITC Avant Garde" w:hAnsi="ITC Avant Garde"/>
          <w:sz w:val="18"/>
        </w:rPr>
        <w:t xml:space="preserve"> En donde: </w:t>
      </w:r>
      <w:proofErr w:type="spellStart"/>
      <w:r w:rsidRPr="00E84C0B">
        <w:rPr>
          <w:rFonts w:ascii="ITC Avant Garde" w:hAnsi="ITC Avant Garde"/>
          <w:sz w:val="18"/>
        </w:rPr>
        <w:t>LR</w:t>
      </w:r>
      <w:r>
        <w:rPr>
          <w:rFonts w:ascii="ITC Avant Garde" w:hAnsi="ITC Avant Garde"/>
          <w:sz w:val="18"/>
        </w:rPr>
        <w:t>AIC</w:t>
      </w:r>
      <w:proofErr w:type="spellEnd"/>
      <w:r>
        <w:rPr>
          <w:rFonts w:ascii="ITC Avant Garde" w:hAnsi="ITC Avant Garde"/>
          <w:sz w:val="18"/>
        </w:rPr>
        <w:t xml:space="preserve"> es “</w:t>
      </w:r>
      <w:proofErr w:type="spellStart"/>
      <w:r>
        <w:rPr>
          <w:rFonts w:ascii="ITC Avant Garde" w:hAnsi="ITC Avant Garde"/>
          <w:sz w:val="18"/>
        </w:rPr>
        <w:t>long</w:t>
      </w:r>
      <w:proofErr w:type="spellEnd"/>
      <w:r>
        <w:rPr>
          <w:rFonts w:ascii="ITC Avant Garde" w:hAnsi="ITC Avant Garde"/>
          <w:sz w:val="18"/>
        </w:rPr>
        <w:t xml:space="preserve"> run </w:t>
      </w:r>
      <w:proofErr w:type="spellStart"/>
      <w:r>
        <w:rPr>
          <w:rFonts w:ascii="ITC Avant Garde" w:hAnsi="ITC Avant Garde"/>
          <w:sz w:val="18"/>
        </w:rPr>
        <w:t>aveage</w:t>
      </w:r>
      <w:proofErr w:type="spellEnd"/>
      <w:r>
        <w:rPr>
          <w:rFonts w:ascii="ITC Avant Garde" w:hAnsi="ITC Avant Garde"/>
          <w:sz w:val="18"/>
        </w:rPr>
        <w:t xml:space="preserve"> increme</w:t>
      </w:r>
      <w:r w:rsidRPr="00E84C0B">
        <w:rPr>
          <w:rFonts w:ascii="ITC Avant Garde" w:hAnsi="ITC Avant Garde"/>
          <w:sz w:val="18"/>
        </w:rPr>
        <w:t>n</w:t>
      </w:r>
      <w:r>
        <w:rPr>
          <w:rFonts w:ascii="ITC Avant Garde" w:hAnsi="ITC Avant Garde"/>
          <w:sz w:val="18"/>
        </w:rPr>
        <w:t>t</w:t>
      </w:r>
      <w:r w:rsidRPr="00E84C0B">
        <w:rPr>
          <w:rFonts w:ascii="ITC Avant Garde" w:hAnsi="ITC Avant Garde"/>
          <w:sz w:val="18"/>
        </w:rPr>
        <w:t xml:space="preserve">al </w:t>
      </w:r>
      <w:proofErr w:type="spellStart"/>
      <w:r w:rsidRPr="00E84C0B">
        <w:rPr>
          <w:rFonts w:ascii="ITC Avant Garde" w:hAnsi="ITC Avant Garde"/>
          <w:sz w:val="18"/>
        </w:rPr>
        <w:t>cost</w:t>
      </w:r>
      <w:proofErr w:type="spellEnd"/>
      <w:r w:rsidRPr="00E84C0B">
        <w:rPr>
          <w:rFonts w:ascii="ITC Avant Garde" w:hAnsi="ITC Avant Garde"/>
          <w:sz w:val="18"/>
        </w:rPr>
        <w:t>” o costos incrementales promedio de largo plazo</w:t>
      </w:r>
      <w:r>
        <w:rPr>
          <w:rFonts w:ascii="ITC Avant Garde" w:hAnsi="ITC Avant Garde"/>
          <w:sz w:val="18"/>
        </w:rPr>
        <w:t>.</w:t>
      </w:r>
    </w:p>
    <w:p w14:paraId="03BFACFE" w14:textId="77777777" w:rsidR="000F58F5" w:rsidRDefault="000F58F5" w:rsidP="000F58F5">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B6F29"/>
    <w:multiLevelType w:val="hybridMultilevel"/>
    <w:tmpl w:val="A5AC64B8"/>
    <w:lvl w:ilvl="0" w:tplc="048CBF5C">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F16A1C"/>
    <w:multiLevelType w:val="hybridMultilevel"/>
    <w:tmpl w:val="D22A2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2F1404"/>
    <w:multiLevelType w:val="hybridMultilevel"/>
    <w:tmpl w:val="29A401BA"/>
    <w:lvl w:ilvl="0" w:tplc="215E78C0">
      <w:numFmt w:val="bullet"/>
      <w:lvlText w:val="–"/>
      <w:lvlJc w:val="left"/>
      <w:pPr>
        <w:ind w:left="720" w:hanging="360"/>
      </w:pPr>
      <w:rPr>
        <w:rFonts w:ascii="ITC Avant Garde" w:eastAsia="Calibri" w:hAnsi="ITC Avant Garde"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F5"/>
    <w:rsid w:val="00030980"/>
    <w:rsid w:val="00052F12"/>
    <w:rsid w:val="000F58F5"/>
    <w:rsid w:val="001D5C1E"/>
    <w:rsid w:val="00357071"/>
    <w:rsid w:val="00400933"/>
    <w:rsid w:val="0059655E"/>
    <w:rsid w:val="005E3BB6"/>
    <w:rsid w:val="005F0540"/>
    <w:rsid w:val="00667997"/>
    <w:rsid w:val="00860B81"/>
    <w:rsid w:val="00C53636"/>
    <w:rsid w:val="00CA3534"/>
    <w:rsid w:val="00D60159"/>
    <w:rsid w:val="00DB5760"/>
    <w:rsid w:val="00DC6088"/>
    <w:rsid w:val="00F70373"/>
    <w:rsid w:val="00FB50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36AC"/>
  <w15:chartTrackingRefBased/>
  <w15:docId w15:val="{A898C1F5-6F6E-433F-B989-9BFA7176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8F5"/>
    <w:pPr>
      <w:spacing w:after="0" w:line="240" w:lineRule="auto"/>
    </w:pPr>
    <w:rPr>
      <w:rFonts w:ascii="Times New Roman" w:hAnsi="Times New Roman" w:cs="Times New Roman"/>
      <w:sz w:val="24"/>
      <w:szCs w:val="24"/>
      <w:lang w:val="es-ES_tradnl" w:eastAsia="es-ES_tradnl"/>
    </w:rPr>
  </w:style>
  <w:style w:type="paragraph" w:styleId="Ttulo3">
    <w:name w:val="heading 3"/>
    <w:basedOn w:val="Normal"/>
    <w:link w:val="Ttulo3Car"/>
    <w:uiPriority w:val="1"/>
    <w:qFormat/>
    <w:rsid w:val="005F0540"/>
    <w:pPr>
      <w:widowControl w:val="0"/>
      <w:autoSpaceDE w:val="0"/>
      <w:autoSpaceDN w:val="0"/>
      <w:spacing w:before="100"/>
      <w:ind w:left="3580" w:right="1129"/>
      <w:outlineLvl w:val="2"/>
    </w:pPr>
    <w:rPr>
      <w:rFonts w:ascii="Franklin Gothic Medium" w:eastAsia="Franklin Gothic Medium" w:hAnsi="Franklin Gothic Medium" w:cs="Franklin Gothic Medium"/>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0F58F5"/>
    <w:pPr>
      <w:spacing w:after="200"/>
    </w:pPr>
    <w:rPr>
      <w:rFonts w:ascii="Calibri" w:eastAsia="Times New Roman" w:hAnsi="Calibri"/>
      <w:sz w:val="20"/>
      <w:szCs w:val="20"/>
      <w:lang w:val="es-MX" w:eastAsia="es-MX"/>
    </w:rPr>
  </w:style>
  <w:style w:type="character" w:customStyle="1" w:styleId="TextocomentarioCar">
    <w:name w:val="Texto comentario Car"/>
    <w:basedOn w:val="Fuentedeprrafopredeter"/>
    <w:link w:val="Textocomentario"/>
    <w:uiPriority w:val="99"/>
    <w:rsid w:val="000F58F5"/>
    <w:rPr>
      <w:rFonts w:ascii="Calibri" w:eastAsia="Times New Roman" w:hAnsi="Calibri" w:cs="Times New Roman"/>
      <w:sz w:val="20"/>
      <w:szCs w:val="20"/>
      <w:lang w:eastAsia="es-MX"/>
    </w:rPr>
  </w:style>
  <w:style w:type="character" w:styleId="Refdenotaalpie">
    <w:name w:val="footnote reference"/>
    <w:aliases w:val="Ref,de nota al pie,(NECG) Footnote Reference,o,fr,Style 3,Appel note de bas de p,Style 12,Style 124,Ref. de nota al pie 2,Style 6,Footnote Reference Superscript,Footnotes refss,Texto de nota al pie,Appel note de bas de page,BVI fnr,f"/>
    <w:uiPriority w:val="99"/>
    <w:unhideWhenUsed/>
    <w:qFormat/>
    <w:rsid w:val="000F58F5"/>
    <w:rPr>
      <w:vertAlign w:val="superscript"/>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unhideWhenUsed/>
    <w:qFormat/>
    <w:rsid w:val="000F58F5"/>
    <w:rPr>
      <w:rFonts w:ascii="Calibri" w:eastAsia="Calibri" w:hAnsi="Calibri"/>
      <w:sz w:val="20"/>
      <w:szCs w:val="20"/>
      <w:lang w:val="es-MX" w:eastAsia="en-U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0F58F5"/>
    <w:rPr>
      <w:rFonts w:ascii="Calibri" w:eastAsia="Calibri" w:hAnsi="Calibri" w:cs="Times New Roman"/>
      <w:sz w:val="20"/>
      <w:szCs w:val="20"/>
    </w:rPr>
  </w:style>
  <w:style w:type="paragraph" w:customStyle="1" w:styleId="Captionsmall">
    <w:name w:val="Caption: small"/>
    <w:basedOn w:val="Normal"/>
    <w:link w:val="CaptionsmallChar"/>
    <w:rsid w:val="00CA3534"/>
    <w:pPr>
      <w:keepNext/>
      <w:spacing w:beforeAutospacing="1" w:after="120" w:line="280" w:lineRule="atLeast"/>
      <w:ind w:left="113" w:right="113"/>
    </w:pPr>
    <w:rPr>
      <w:rFonts w:ascii="Arial" w:hAnsi="Arial" w:cs="Arial"/>
      <w:i/>
      <w:sz w:val="18"/>
    </w:rPr>
  </w:style>
  <w:style w:type="character" w:customStyle="1" w:styleId="CaptionsmallChar">
    <w:name w:val="Caption: small Char"/>
    <w:basedOn w:val="Fuentedeprrafopredeter"/>
    <w:link w:val="Captionsmall"/>
    <w:rsid w:val="00CA3534"/>
    <w:rPr>
      <w:rFonts w:ascii="Arial" w:hAnsi="Arial" w:cs="Arial"/>
      <w:i/>
      <w:sz w:val="18"/>
      <w:szCs w:val="24"/>
      <w:lang w:val="es-ES_tradnl" w:eastAsia="es-ES_tradnl"/>
    </w:rPr>
  </w:style>
  <w:style w:type="paragraph" w:customStyle="1" w:styleId="Border">
    <w:name w:val="Border"/>
    <w:basedOn w:val="Normal"/>
    <w:link w:val="BorderChar"/>
    <w:rsid w:val="00CA3534"/>
    <w:pPr>
      <w:spacing w:after="360" w:line="320" w:lineRule="atLeast"/>
      <w:jc w:val="center"/>
    </w:pPr>
  </w:style>
  <w:style w:type="character" w:customStyle="1" w:styleId="BorderChar">
    <w:name w:val="Border Char"/>
    <w:basedOn w:val="Fuentedeprrafopredeter"/>
    <w:link w:val="Border"/>
    <w:rsid w:val="00CA3534"/>
    <w:rPr>
      <w:rFonts w:ascii="Times New Roman" w:hAnsi="Times New Roman" w:cs="Times New Roman"/>
      <w:sz w:val="24"/>
      <w:szCs w:val="24"/>
      <w:lang w:val="es-ES_tradnl" w:eastAsia="es-ES_tradnl"/>
    </w:rPr>
  </w:style>
  <w:style w:type="paragraph" w:customStyle="1" w:styleId="Bordersmall">
    <w:name w:val="Border: small"/>
    <w:basedOn w:val="Normal"/>
    <w:link w:val="BordersmallChar"/>
    <w:rsid w:val="00CA3534"/>
    <w:pPr>
      <w:spacing w:line="320" w:lineRule="atLeast"/>
      <w:jc w:val="center"/>
    </w:pPr>
  </w:style>
  <w:style w:type="character" w:customStyle="1" w:styleId="BordersmallChar">
    <w:name w:val="Border: small Char"/>
    <w:basedOn w:val="Fuentedeprrafopredeter"/>
    <w:link w:val="Bordersmall"/>
    <w:rsid w:val="00CA3534"/>
    <w:rPr>
      <w:rFonts w:ascii="Times New Roman" w:hAnsi="Times New Roman" w:cs="Times New Roman"/>
      <w:sz w:val="24"/>
      <w:szCs w:val="24"/>
      <w:lang w:val="es-ES_tradnl" w:eastAsia="es-ES_tradnl"/>
    </w:rPr>
  </w:style>
  <w:style w:type="paragraph" w:customStyle="1" w:styleId="Tableheading">
    <w:name w:val="Table: heading"/>
    <w:basedOn w:val="Normal"/>
    <w:link w:val="TableheadingChar"/>
    <w:rsid w:val="00CA3534"/>
    <w:pPr>
      <w:spacing w:after="120" w:line="276" w:lineRule="auto"/>
      <w:jc w:val="center"/>
    </w:pPr>
    <w:rPr>
      <w:b/>
      <w:color w:val="FFFFFF"/>
    </w:rPr>
  </w:style>
  <w:style w:type="character" w:customStyle="1" w:styleId="TableheadingChar">
    <w:name w:val="Table: heading Char"/>
    <w:basedOn w:val="Fuentedeprrafopredeter"/>
    <w:link w:val="Tableheading"/>
    <w:rsid w:val="00CA3534"/>
    <w:rPr>
      <w:rFonts w:ascii="Times New Roman" w:hAnsi="Times New Roman" w:cs="Times New Roman"/>
      <w:b/>
      <w:color w:val="FFFFFF"/>
      <w:sz w:val="24"/>
      <w:szCs w:val="24"/>
      <w:lang w:val="es-ES_tradnl" w:eastAsia="es-ES_tradnl"/>
    </w:rPr>
  </w:style>
  <w:style w:type="paragraph" w:customStyle="1" w:styleId="TableCaption">
    <w:name w:val="Table Caption"/>
    <w:basedOn w:val="Normal"/>
    <w:link w:val="TableCaptionChar"/>
    <w:rsid w:val="00CA3534"/>
    <w:pPr>
      <w:keepNext/>
      <w:spacing w:after="160" w:line="280" w:lineRule="atLeast"/>
    </w:pPr>
    <w:rPr>
      <w:rFonts w:ascii="Arial" w:hAnsi="Arial" w:cs="Arial"/>
      <w:i/>
      <w:sz w:val="18"/>
    </w:rPr>
  </w:style>
  <w:style w:type="character" w:customStyle="1" w:styleId="TableCaptionChar">
    <w:name w:val="Table Caption Char"/>
    <w:basedOn w:val="Fuentedeprrafopredeter"/>
    <w:link w:val="TableCaption"/>
    <w:rsid w:val="00CA3534"/>
    <w:rPr>
      <w:rFonts w:ascii="Arial" w:hAnsi="Arial" w:cs="Arial"/>
      <w:i/>
      <w:sz w:val="18"/>
      <w:szCs w:val="24"/>
      <w:lang w:val="es-ES_tradnl" w:eastAsia="es-ES_tradnl"/>
    </w:rPr>
  </w:style>
  <w:style w:type="paragraph" w:styleId="Descripcin">
    <w:name w:val="caption"/>
    <w:basedOn w:val="Normal"/>
    <w:next w:val="Normal"/>
    <w:uiPriority w:val="35"/>
    <w:unhideWhenUsed/>
    <w:qFormat/>
    <w:rsid w:val="00CA3534"/>
    <w:pPr>
      <w:spacing w:after="200"/>
    </w:pPr>
    <w:rPr>
      <w:i/>
      <w:iCs/>
      <w:color w:val="44546A" w:themeColor="text2"/>
      <w:sz w:val="18"/>
      <w:szCs w:val="18"/>
    </w:rPr>
  </w:style>
  <w:style w:type="character" w:customStyle="1" w:styleId="Ttulo3Car">
    <w:name w:val="Título 3 Car"/>
    <w:basedOn w:val="Fuentedeprrafopredeter"/>
    <w:link w:val="Ttulo3"/>
    <w:uiPriority w:val="1"/>
    <w:rsid w:val="005F0540"/>
    <w:rPr>
      <w:rFonts w:ascii="Franklin Gothic Medium" w:eastAsia="Franklin Gothic Medium" w:hAnsi="Franklin Gothic Medium" w:cs="Franklin Gothic Medium"/>
      <w:sz w:val="24"/>
      <w:szCs w:val="24"/>
      <w:lang w:val="en-US"/>
    </w:rPr>
  </w:style>
  <w:style w:type="paragraph" w:styleId="Textoindependiente">
    <w:name w:val="Body Text"/>
    <w:basedOn w:val="Normal"/>
    <w:link w:val="TextoindependienteCar"/>
    <w:uiPriority w:val="1"/>
    <w:qFormat/>
    <w:rsid w:val="005F0540"/>
    <w:pPr>
      <w:widowControl w:val="0"/>
      <w:autoSpaceDE w:val="0"/>
      <w:autoSpaceDN w:val="0"/>
    </w:pPr>
    <w:rPr>
      <w:rFonts w:eastAsia="Times New Roman"/>
      <w:sz w:val="22"/>
      <w:szCs w:val="22"/>
      <w:lang w:val="en-US" w:eastAsia="en-US"/>
    </w:rPr>
  </w:style>
  <w:style w:type="character" w:customStyle="1" w:styleId="TextoindependienteCar">
    <w:name w:val="Texto independiente Car"/>
    <w:basedOn w:val="Fuentedeprrafopredeter"/>
    <w:link w:val="Textoindependiente"/>
    <w:uiPriority w:val="1"/>
    <w:rsid w:val="005F054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customXml" Target="../customXml/item3.xml"/><Relationship Id="rId21" Type="http://schemas.openxmlformats.org/officeDocument/2006/relationships/image" Target="media/image12.wmf"/><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6.wmf"/><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wmf"/><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F27A934ED19E4C9FF78EC5C44C0ECF" ma:contentTypeVersion="6" ma:contentTypeDescription="Create a new document." ma:contentTypeScope="" ma:versionID="dec74ffb8271cf2e35978c12c7a59ba0">
  <xsd:schema xmlns:xsd="http://www.w3.org/2001/XMLSchema" xmlns:xs="http://www.w3.org/2001/XMLSchema" xmlns:p="http://schemas.microsoft.com/office/2006/metadata/properties" xmlns:ns2="8067c3fc-33af-40c6-b499-a17556711f8d" xmlns:ns3="e3dd2996-96bd-420b-83df-fc1ca4fedaf7" targetNamespace="http://schemas.microsoft.com/office/2006/metadata/properties" ma:root="true" ma:fieldsID="5cb86c7a937d59cef2185cfe9177c7a9" ns2:_="" ns3:_="">
    <xsd:import namespace="8067c3fc-33af-40c6-b499-a17556711f8d"/>
    <xsd:import namespace="e3dd2996-96bd-420b-83df-fc1ca4feda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c3fc-33af-40c6-b499-a17556711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dd2996-96bd-420b-83df-fc1ca4fed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8C8BC-BC85-4DCA-8C76-42F015C2F2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1C7037-CD76-4B5F-B1DE-2CD98F21D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c3fc-33af-40c6-b499-a17556711f8d"/>
    <ds:schemaRef ds:uri="e3dd2996-96bd-420b-83df-fc1ca4fed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2407B-FD24-403D-91C3-45D1E3513C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2096</Words>
  <Characters>11531</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IFT</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Williams Hernandez</dc:creator>
  <cp:keywords/>
  <dc:description/>
  <cp:lastModifiedBy>Pablo Vanegas</cp:lastModifiedBy>
  <cp:revision>2</cp:revision>
  <dcterms:created xsi:type="dcterms:W3CDTF">2020-08-11T23:13:00Z</dcterms:created>
  <dcterms:modified xsi:type="dcterms:W3CDTF">2020-08-11T23:13:00Z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0x01010091F27A934ED19E4C9FF78EC5C44C0ECF</vt:lpwstr>
  </property>
</Properties>
</file>