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FA6" w:rsidRPr="0059421B" w:rsidRDefault="00412FA6" w:rsidP="005C1C06">
      <w:pPr>
        <w:pStyle w:val="Ttulo1"/>
        <w:rPr>
          <w:rFonts w:ascii="Arial" w:hAnsi="Arial" w:cs="Arial"/>
        </w:rPr>
      </w:pPr>
      <w:bookmarkStart w:id="0" w:name="_GoBack"/>
      <w:bookmarkEnd w:id="0"/>
      <w:r w:rsidRPr="0059421B">
        <w:rPr>
          <w:rFonts w:ascii="Arial" w:hAnsi="Arial" w:cs="Arial"/>
        </w:rPr>
        <w:t xml:space="preserve">ANEXO </w:t>
      </w:r>
      <w:r w:rsidR="00DE3AD2" w:rsidRPr="0059421B">
        <w:rPr>
          <w:rFonts w:ascii="Arial" w:hAnsi="Arial" w:cs="Arial"/>
        </w:rPr>
        <w:t>4</w:t>
      </w:r>
    </w:p>
    <w:p w:rsidR="00412FA6" w:rsidRPr="0059421B" w:rsidRDefault="00412FA6" w:rsidP="005C1C06">
      <w:pPr>
        <w:jc w:val="center"/>
        <w:rPr>
          <w:rFonts w:ascii="Arial" w:hAnsi="Arial" w:cs="Arial"/>
          <w:b/>
          <w:sz w:val="72"/>
          <w:szCs w:val="72"/>
        </w:rPr>
      </w:pPr>
    </w:p>
    <w:p w:rsidR="00412FA6" w:rsidRPr="0059421B" w:rsidRDefault="00412FA6" w:rsidP="00267359">
      <w:pPr>
        <w:jc w:val="center"/>
        <w:rPr>
          <w:rFonts w:ascii="Arial" w:hAnsi="Arial" w:cs="Arial"/>
          <w:b/>
          <w:smallCaps/>
          <w:sz w:val="52"/>
          <w:szCs w:val="72"/>
        </w:rPr>
      </w:pPr>
      <w:r w:rsidRPr="0059421B">
        <w:rPr>
          <w:rFonts w:ascii="Arial" w:hAnsi="Arial" w:cs="Arial"/>
          <w:b/>
          <w:smallCaps/>
          <w:sz w:val="52"/>
          <w:szCs w:val="72"/>
        </w:rPr>
        <w:t>Parámetros e Indicadores De Los Niveles De Calidad</w:t>
      </w:r>
    </w:p>
    <w:p w:rsidR="00B660A0" w:rsidRPr="0059421B" w:rsidRDefault="00412FA6" w:rsidP="00724119">
      <w:pPr>
        <w:spacing w:before="0" w:after="200" w:line="276" w:lineRule="auto"/>
        <w:jc w:val="center"/>
        <w:rPr>
          <w:rFonts w:ascii="Arial" w:hAnsi="Arial" w:cs="Arial"/>
          <w:b/>
          <w:smallCaps/>
          <w:sz w:val="52"/>
          <w:szCs w:val="72"/>
        </w:rPr>
      </w:pPr>
      <w:r w:rsidRPr="0059421B">
        <w:rPr>
          <w:rFonts w:ascii="Arial" w:hAnsi="Arial" w:cs="Arial"/>
          <w:b/>
          <w:smallCaps/>
          <w:sz w:val="52"/>
          <w:szCs w:val="72"/>
        </w:rPr>
        <w:t>y Penas Convencionales</w:t>
      </w:r>
    </w:p>
    <w:p w:rsidR="00412FA6" w:rsidRPr="0059421B" w:rsidRDefault="00B660A0" w:rsidP="00724119">
      <w:pPr>
        <w:spacing w:before="0" w:after="200" w:line="276" w:lineRule="auto"/>
        <w:jc w:val="center"/>
        <w:rPr>
          <w:rFonts w:ascii="Arial" w:hAnsi="Arial" w:cs="Arial"/>
          <w:b/>
          <w:sz w:val="22"/>
          <w:szCs w:val="22"/>
        </w:rPr>
      </w:pPr>
      <w:r w:rsidRPr="0059421B">
        <w:rPr>
          <w:rFonts w:ascii="Arial" w:hAnsi="Arial" w:cs="Arial"/>
          <w:b/>
          <w:sz w:val="28"/>
          <w:szCs w:val="22"/>
        </w:rPr>
        <w:t>(Servicio de Acceso y Uso Compartido de Torres y Servicio de Acceso y Uso Compartido de Sitios, Predios y Espacios Físicos)</w:t>
      </w:r>
      <w:r w:rsidR="00412FA6" w:rsidRPr="0059421B">
        <w:rPr>
          <w:rFonts w:ascii="Arial" w:hAnsi="Arial" w:cs="Arial"/>
        </w:rPr>
        <w:br w:type="page"/>
      </w:r>
      <w:r w:rsidR="00412FA6" w:rsidRPr="0059421B">
        <w:rPr>
          <w:rFonts w:ascii="Arial" w:hAnsi="Arial" w:cs="Arial"/>
          <w:b/>
          <w:sz w:val="22"/>
          <w:szCs w:val="22"/>
        </w:rPr>
        <w:lastRenderedPageBreak/>
        <w:t xml:space="preserve">ANEXO </w:t>
      </w:r>
      <w:r w:rsidR="003E5B38" w:rsidRPr="0059421B">
        <w:rPr>
          <w:rFonts w:ascii="Arial" w:hAnsi="Arial" w:cs="Arial"/>
          <w:b/>
          <w:sz w:val="22"/>
          <w:szCs w:val="22"/>
        </w:rPr>
        <w:t>4</w:t>
      </w:r>
    </w:p>
    <w:p w:rsidR="00412FA6" w:rsidRPr="0059421B" w:rsidRDefault="00412FA6" w:rsidP="00724119">
      <w:pPr>
        <w:spacing w:before="0" w:after="200" w:line="276" w:lineRule="auto"/>
        <w:jc w:val="center"/>
        <w:rPr>
          <w:rFonts w:ascii="Arial" w:hAnsi="Arial" w:cs="Arial"/>
          <w:b/>
          <w:sz w:val="22"/>
          <w:szCs w:val="22"/>
        </w:rPr>
      </w:pPr>
      <w:r w:rsidRPr="0059421B">
        <w:rPr>
          <w:rFonts w:ascii="Arial" w:hAnsi="Arial" w:cs="Arial"/>
          <w:b/>
          <w:sz w:val="22"/>
          <w:szCs w:val="22"/>
        </w:rPr>
        <w:t>Parámetros e Indicadores de los Niveles de Calidad y Penas Convencionales</w:t>
      </w:r>
    </w:p>
    <w:p w:rsidR="00412FA6" w:rsidRPr="0059421B" w:rsidRDefault="00412FA6" w:rsidP="00724119">
      <w:pPr>
        <w:pStyle w:val="Ttulo2"/>
        <w:spacing w:after="200" w:line="276" w:lineRule="auto"/>
        <w:rPr>
          <w:rFonts w:ascii="Arial" w:hAnsi="Arial" w:cs="Arial"/>
          <w:sz w:val="22"/>
          <w:szCs w:val="22"/>
        </w:rPr>
      </w:pPr>
      <w:r w:rsidRPr="0059421B">
        <w:rPr>
          <w:rFonts w:ascii="Arial" w:hAnsi="Arial" w:cs="Arial"/>
          <w:sz w:val="22"/>
          <w:szCs w:val="22"/>
        </w:rPr>
        <w:t>Introducción</w:t>
      </w:r>
    </w:p>
    <w:p w:rsidR="00147D42" w:rsidRPr="0059421B" w:rsidRDefault="00147D42" w:rsidP="00724119">
      <w:pPr>
        <w:spacing w:after="20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rsidR="00412FA6" w:rsidRPr="0059421B" w:rsidRDefault="00412FA6" w:rsidP="00724119">
      <w:pPr>
        <w:pStyle w:val="Ttulo2"/>
        <w:spacing w:after="20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rsidR="00E50DFE" w:rsidRDefault="00147D42" w:rsidP="00724119">
      <w:pPr>
        <w:spacing w:after="20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para los CS, AS y el Instituto cinco (5) días hábiles después de la conclusión de cada trimestre</w:t>
      </w:r>
      <w:r w:rsidR="00E50DFE" w:rsidRPr="0059421B">
        <w:rPr>
          <w:rFonts w:ascii="Arial" w:hAnsi="Arial" w:cs="Arial"/>
          <w:sz w:val="22"/>
          <w:szCs w:val="22"/>
          <w:lang w:val="es-MX" w:eastAsia="es-MX"/>
        </w:rPr>
        <w:t xml:space="preserve">. </w:t>
      </w:r>
    </w:p>
    <w:p w:rsidR="00B22A50" w:rsidRPr="0059421B" w:rsidRDefault="00B22A50" w:rsidP="00724119">
      <w:pPr>
        <w:spacing w:after="200" w:line="276" w:lineRule="auto"/>
        <w:rPr>
          <w:rFonts w:ascii="Arial" w:hAnsi="Arial" w:cs="Arial"/>
          <w:sz w:val="22"/>
          <w:szCs w:val="22"/>
          <w:lang w:val="es-MX" w:eastAsia="es-MX"/>
        </w:rPr>
      </w:pPr>
      <w:r w:rsidRPr="00B22A50">
        <w:rPr>
          <w:rFonts w:ascii="Arial" w:hAnsi="Arial" w:cs="Arial"/>
          <w:sz w:val="22"/>
          <w:szCs w:val="22"/>
          <w:lang w:val="es-MX" w:eastAsia="es-MX"/>
        </w:rPr>
        <w:t>El horario de atención es 24 horas, sin embargo, para realizar las mediciones de estos indicadores, se considerarán las solicitudes ingresadas en un horario hábil de lunes a viernes de 9:00 a 17:00 horas. Aquellos que se reciban después de estos horarios, se contabilizarán para el día hábil siguiente.</w:t>
      </w:r>
    </w:p>
    <w:p w:rsidR="00147D42" w:rsidRPr="0059421B" w:rsidRDefault="00147D42" w:rsidP="00724119">
      <w:pPr>
        <w:spacing w:after="20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rsidR="002C287A" w:rsidRDefault="002C287A" w:rsidP="00724119">
      <w:pPr>
        <w:pStyle w:val="Ttulo3"/>
        <w:spacing w:after="200" w:line="276" w:lineRule="auto"/>
        <w:rPr>
          <w:rStyle w:val="Ttulodellibro"/>
          <w:rFonts w:ascii="Arial" w:hAnsi="Arial" w:cs="Arial"/>
          <w:sz w:val="22"/>
          <w:szCs w:val="22"/>
          <w:u w:val="none"/>
        </w:rPr>
      </w:pPr>
    </w:p>
    <w:p w:rsidR="00B955F7" w:rsidRPr="0059421B" w:rsidRDefault="00412FA6" w:rsidP="00724119">
      <w:pPr>
        <w:pStyle w:val="Ttulo3"/>
        <w:spacing w:after="20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85"/>
        <w:gridCol w:w="1591"/>
      </w:tblGrid>
      <w:tr w:rsidR="00B955F7" w:rsidRPr="0059421B" w:rsidTr="003E5B38">
        <w:trPr>
          <w:trHeight w:val="225"/>
          <w:jc w:val="center"/>
        </w:trPr>
        <w:tc>
          <w:tcPr>
            <w:tcW w:w="2396" w:type="pct"/>
            <w:shd w:val="clear" w:color="auto" w:fill="548DD4"/>
            <w:vAlign w:val="center"/>
          </w:tcPr>
          <w:p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rsidTr="003E5B38">
        <w:trPr>
          <w:trHeight w:val="225"/>
          <w:jc w:val="center"/>
        </w:trPr>
        <w:tc>
          <w:tcPr>
            <w:tcW w:w="2396" w:type="pct"/>
            <w:vAlign w:val="center"/>
          </w:tcPr>
          <w:p w:rsidR="00B662E7" w:rsidRPr="0059421B" w:rsidRDefault="003E5B38" w:rsidP="00B955F7">
            <w:pPr>
              <w:suppressAutoHyphens/>
              <w:spacing w:before="0" w:after="120" w:line="240"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p>
        </w:tc>
        <w:tc>
          <w:tcPr>
            <w:tcW w:w="1635" w:type="pct"/>
            <w:vAlign w:val="center"/>
          </w:tcPr>
          <w:p w:rsidR="00B662E7" w:rsidRPr="0059421B" w:rsidRDefault="00B662E7"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rsidR="00B662E7" w:rsidRPr="0059421B" w:rsidRDefault="003E5B38"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rsidTr="003E5B38">
        <w:trPr>
          <w:trHeight w:val="225"/>
          <w:jc w:val="center"/>
        </w:trPr>
        <w:tc>
          <w:tcPr>
            <w:tcW w:w="2396" w:type="pct"/>
            <w:vAlign w:val="center"/>
          </w:tcPr>
          <w:p w:rsidR="00B955F7" w:rsidRPr="0059421B" w:rsidRDefault="00B662E7" w:rsidP="00312143">
            <w:pPr>
              <w:suppressAutoHyphens/>
              <w:spacing w:before="0" w:after="120" w:line="240"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 xml:space="preserve">al CS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C15150" w:rsidRPr="0059421B">
              <w:rPr>
                <w:rFonts w:ascii="Arial" w:hAnsi="Arial" w:cs="Arial"/>
                <w:sz w:val="20"/>
                <w:szCs w:val="20"/>
                <w:lang w:val="es-MX" w:eastAsia="es-MX"/>
              </w:rPr>
              <w:t>las Divisiones Mayoristas</w:t>
            </w:r>
            <w:r w:rsidRPr="0059421B">
              <w:rPr>
                <w:rFonts w:ascii="Arial" w:hAnsi="Arial" w:cs="Arial"/>
                <w:sz w:val="20"/>
                <w:szCs w:val="20"/>
                <w:lang w:val="es-MX" w:eastAsia="es-MX"/>
              </w:rPr>
              <w:t>.</w:t>
            </w:r>
          </w:p>
        </w:tc>
        <w:tc>
          <w:tcPr>
            <w:tcW w:w="1635" w:type="pct"/>
            <w:vAlign w:val="center"/>
          </w:tcPr>
          <w:p w:rsidR="00B955F7" w:rsidRPr="0059421B" w:rsidRDefault="002C287A" w:rsidP="00B955F7">
            <w:pPr>
              <w:suppressAutoHyphens/>
              <w:spacing w:before="0" w:after="120" w:line="240" w:lineRule="auto"/>
              <w:contextualSpacing/>
              <w:jc w:val="center"/>
              <w:rPr>
                <w:rFonts w:ascii="Arial" w:hAnsi="Arial" w:cs="Arial"/>
                <w:sz w:val="20"/>
                <w:szCs w:val="20"/>
                <w:lang w:val="es-MX" w:eastAsia="es-MX"/>
              </w:rPr>
            </w:pPr>
            <w:r>
              <w:rPr>
                <w:rFonts w:ascii="Arial" w:hAnsi="Arial" w:cs="Arial"/>
                <w:sz w:val="20"/>
                <w:szCs w:val="20"/>
                <w:lang w:val="es-MX" w:eastAsia="es-MX"/>
              </w:rPr>
              <w:t>3</w:t>
            </w:r>
            <w:r w:rsidR="00B955F7" w:rsidRPr="0059421B">
              <w:rPr>
                <w:rFonts w:ascii="Arial" w:hAnsi="Arial" w:cs="Arial"/>
                <w:sz w:val="20"/>
                <w:szCs w:val="20"/>
                <w:lang w:val="es-MX" w:eastAsia="es-MX"/>
              </w:rPr>
              <w:t xml:space="preserve"> DH</w:t>
            </w:r>
          </w:p>
        </w:tc>
        <w:tc>
          <w:tcPr>
            <w:tcW w:w="969" w:type="pct"/>
            <w:vAlign w:val="center"/>
          </w:tcPr>
          <w:p w:rsidR="00B955F7" w:rsidRPr="0059421B" w:rsidRDefault="00B955F7"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rsidR="000F7C9D" w:rsidRDefault="000F7C9D" w:rsidP="00684B5C">
      <w:pPr>
        <w:pStyle w:val="Ttulo3"/>
        <w:spacing w:after="240"/>
        <w:rPr>
          <w:rFonts w:ascii="Arial" w:hAnsi="Arial" w:cs="Arial"/>
          <w:sz w:val="22"/>
          <w:szCs w:val="22"/>
          <w:u w:val="none"/>
        </w:rPr>
      </w:pPr>
    </w:p>
    <w:p w:rsidR="002C287A" w:rsidRDefault="002C287A" w:rsidP="002C287A"/>
    <w:p w:rsidR="002C287A" w:rsidRDefault="002C287A" w:rsidP="002C287A"/>
    <w:p w:rsidR="002C287A" w:rsidRPr="002C287A" w:rsidRDefault="002C287A" w:rsidP="002C287A"/>
    <w:p w:rsidR="006814AD" w:rsidRPr="0059421B" w:rsidRDefault="00684B5C" w:rsidP="00684B5C">
      <w:pPr>
        <w:pStyle w:val="Ttulo3"/>
        <w:spacing w:after="240"/>
        <w:rPr>
          <w:rFonts w:ascii="Arial" w:hAnsi="Arial" w:cs="Arial"/>
          <w:sz w:val="22"/>
          <w:szCs w:val="22"/>
          <w:u w:val="none"/>
        </w:rPr>
      </w:pPr>
      <w:r w:rsidRPr="0059421B">
        <w:rPr>
          <w:rFonts w:ascii="Arial" w:hAnsi="Arial" w:cs="Arial"/>
          <w:sz w:val="22"/>
          <w:szCs w:val="22"/>
          <w:u w:val="none"/>
        </w:rPr>
        <w:lastRenderedPageBreak/>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rsidR="00567A04" w:rsidRPr="0059421B" w:rsidRDefault="00567A04" w:rsidP="00567A04">
      <w:pPr>
        <w:jc w:val="left"/>
        <w:rPr>
          <w:rFonts w:ascii="Arial" w:hAnsi="Arial" w:cs="Arial"/>
          <w:b/>
          <w:sz w:val="22"/>
          <w:u w:val="single"/>
        </w:rPr>
      </w:pPr>
      <w:r w:rsidRPr="0059421B">
        <w:rPr>
          <w:rFonts w:ascii="Arial" w:hAnsi="Arial" w:cs="Arial"/>
          <w:b/>
          <w:sz w:val="22"/>
          <w:u w:val="single"/>
        </w:rPr>
        <w:t>Contratación</w:t>
      </w:r>
    </w:p>
    <w:p w:rsidR="00970516" w:rsidRPr="0059421B" w:rsidRDefault="00970516" w:rsidP="00567A04">
      <w:pPr>
        <w:jc w:val="left"/>
        <w:rPr>
          <w:rFonts w:ascii="Arial" w:hAnsi="Arial" w:cs="Arial"/>
          <w:sz w:val="2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567A04">
        <w:trPr>
          <w:trHeight w:val="467"/>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rsidTr="00B1344C">
        <w:trPr>
          <w:trHeight w:val="467"/>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rsidTr="00B1344C">
        <w:trPr>
          <w:trHeight w:val="467"/>
          <w:jc w:val="center"/>
        </w:trPr>
        <w:tc>
          <w:tcPr>
            <w:tcW w:w="2364" w:type="pct"/>
            <w:vAlign w:val="center"/>
          </w:tcPr>
          <w:p w:rsidR="00567A04" w:rsidRPr="0059421B" w:rsidRDefault="00567A04"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rsidTr="00B1344C">
        <w:trPr>
          <w:trHeight w:val="467"/>
          <w:jc w:val="center"/>
        </w:trPr>
        <w:tc>
          <w:tcPr>
            <w:tcW w:w="2364" w:type="pct"/>
            <w:vAlign w:val="center"/>
          </w:tcPr>
          <w:p w:rsidR="008B255E" w:rsidRPr="0059421B" w:rsidRDefault="002F7002" w:rsidP="00BB0901">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rsidR="008B255E" w:rsidRPr="0059421B" w:rsidRDefault="00C8428A"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8B255E" w:rsidRPr="0059421B">
              <w:rPr>
                <w:rFonts w:ascii="Arial" w:hAnsi="Arial" w:cs="Arial"/>
                <w:sz w:val="20"/>
                <w:szCs w:val="20"/>
                <w:lang w:val="es-ES"/>
              </w:rPr>
              <w:t xml:space="preserve"> DH</w:t>
            </w:r>
          </w:p>
        </w:tc>
        <w:tc>
          <w:tcPr>
            <w:tcW w:w="1091" w:type="pct"/>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rsidTr="00B1344C">
        <w:trPr>
          <w:trHeight w:val="467"/>
          <w:jc w:val="center"/>
        </w:trPr>
        <w:tc>
          <w:tcPr>
            <w:tcW w:w="2364" w:type="pct"/>
            <w:vAlign w:val="center"/>
          </w:tcPr>
          <w:p w:rsidR="00EA5FC3" w:rsidRPr="0059421B" w:rsidRDefault="0077702B" w:rsidP="0077702B">
            <w:pPr>
              <w:suppressAutoHyphens/>
              <w:spacing w:before="0" w:after="120" w:line="240" w:lineRule="auto"/>
              <w:contextualSpacing/>
              <w:rPr>
                <w:rFonts w:ascii="Arial" w:hAnsi="Arial" w:cs="Arial"/>
                <w:sz w:val="20"/>
                <w:szCs w:val="20"/>
                <w:lang w:val="es-ES"/>
              </w:rPr>
            </w:pPr>
            <w:r w:rsidRPr="0059421B">
              <w:rPr>
                <w:rFonts w:ascii="Arial" w:hAnsi="Arial" w:cs="Arial"/>
                <w:sz w:val="20"/>
                <w:szCs w:val="20"/>
                <w:lang w:val="es-ES"/>
              </w:rPr>
              <w:t>En caso de que la solicitud hayan sido rechazados, la EM enviará la prevención, de tal forma que el CS o AS pueda subsanar y reenviar la solicitud</w:t>
            </w:r>
          </w:p>
        </w:tc>
        <w:tc>
          <w:tcPr>
            <w:tcW w:w="1545" w:type="pct"/>
            <w:vAlign w:val="center"/>
          </w:tcPr>
          <w:p w:rsidR="00EA5FC3" w:rsidRPr="0059421B" w:rsidRDefault="00EA5FC3" w:rsidP="005727D1">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tc>
        <w:tc>
          <w:tcPr>
            <w:tcW w:w="1091" w:type="pct"/>
            <w:vAlign w:val="center"/>
          </w:tcPr>
          <w:p w:rsidR="00EA5FC3" w:rsidRPr="0059421B" w:rsidRDefault="00EA5FC3" w:rsidP="005727D1">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567A04">
        <w:trPr>
          <w:trHeight w:val="467"/>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rsidTr="00B1344C">
        <w:trPr>
          <w:jc w:val="center"/>
        </w:trPr>
        <w:tc>
          <w:tcPr>
            <w:tcW w:w="2364" w:type="pct"/>
            <w:shd w:val="clear" w:color="auto" w:fill="auto"/>
            <w:vAlign w:val="center"/>
          </w:tcPr>
          <w:p w:rsidR="008B255E" w:rsidRPr="0059421B" w:rsidRDefault="008B255E" w:rsidP="008B255E">
            <w:pPr>
              <w:suppressAutoHyphens/>
              <w:spacing w:before="0" w:after="120" w:line="240"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p>
          <w:p w:rsidR="008B255E" w:rsidRPr="0059421B" w:rsidRDefault="008B255E" w:rsidP="008B255E">
            <w:pPr>
              <w:suppressAutoHyphens/>
              <w:spacing w:before="0" w:after="120" w:line="240" w:lineRule="auto"/>
              <w:contextualSpacing/>
              <w:jc w:val="center"/>
              <w:rPr>
                <w:rFonts w:ascii="Arial" w:hAnsi="Arial" w:cs="Arial"/>
                <w:b/>
                <w:sz w:val="20"/>
                <w:szCs w:val="20"/>
                <w:lang w:val="es-ES"/>
              </w:rPr>
            </w:pPr>
            <w:r w:rsidRPr="0059421B">
              <w:rPr>
                <w:rFonts w:ascii="Arial" w:hAnsi="Arial" w:cs="Arial"/>
                <w:sz w:val="20"/>
                <w:szCs w:val="20"/>
                <w:lang w:val="es-ES"/>
              </w:rPr>
              <w:t>(A partir del ingreso de la solicitud del CS)</w:t>
            </w:r>
          </w:p>
        </w:tc>
        <w:tc>
          <w:tcPr>
            <w:tcW w:w="1091" w:type="pct"/>
            <w:shd w:val="clear" w:color="auto" w:fill="auto"/>
            <w:vAlign w:val="center"/>
          </w:tcPr>
          <w:p w:rsidR="008B255E" w:rsidRPr="0059421B" w:rsidRDefault="008B255E" w:rsidP="008B255E">
            <w:pPr>
              <w:suppressAutoHyphens/>
              <w:spacing w:before="0" w:after="120" w:line="240"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rsidTr="00B1344C">
        <w:trPr>
          <w:jc w:val="center"/>
        </w:trPr>
        <w:tc>
          <w:tcPr>
            <w:tcW w:w="2364" w:type="pct"/>
            <w:vAlign w:val="center"/>
          </w:tcPr>
          <w:p w:rsidR="008B255E" w:rsidRPr="0059421B" w:rsidRDefault="002F7002" w:rsidP="008B255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447D04" w:rsidRPr="0059421B">
              <w:rPr>
                <w:rFonts w:ascii="Arial" w:hAnsi="Arial" w:cs="Arial"/>
                <w:sz w:val="20"/>
                <w:szCs w:val="20"/>
                <w:lang w:val="es-ES"/>
              </w:rPr>
              <w:t xml:space="preserve">tres (3) propuestas de fecha para </w:t>
            </w:r>
            <w:r w:rsidR="008B255E" w:rsidRPr="0059421B">
              <w:rPr>
                <w:rFonts w:ascii="Arial" w:hAnsi="Arial" w:cs="Arial"/>
                <w:sz w:val="20"/>
                <w:szCs w:val="20"/>
                <w:lang w:val="es-ES"/>
              </w:rPr>
              <w:t>la  programación de Visitas Técnica.</w:t>
            </w:r>
          </w:p>
        </w:tc>
        <w:tc>
          <w:tcPr>
            <w:tcW w:w="1545" w:type="pct"/>
            <w:vAlign w:val="center"/>
          </w:tcPr>
          <w:p w:rsidR="008B255E" w:rsidRPr="0059421B" w:rsidRDefault="00C8428A"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8B255E" w:rsidRPr="0059421B">
              <w:rPr>
                <w:rFonts w:ascii="Arial" w:hAnsi="Arial" w:cs="Arial"/>
                <w:sz w:val="20"/>
                <w:szCs w:val="20"/>
                <w:lang w:val="es-ES"/>
              </w:rPr>
              <w:t xml:space="preserve"> DH</w:t>
            </w:r>
          </w:p>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1" w:type="pct"/>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rsidTr="00B1344C">
        <w:trPr>
          <w:jc w:val="center"/>
        </w:trPr>
        <w:tc>
          <w:tcPr>
            <w:tcW w:w="2364" w:type="pct"/>
            <w:vAlign w:val="center"/>
          </w:tcPr>
          <w:p w:rsidR="00447D04" w:rsidRPr="0059421B" w:rsidRDefault="00447D04"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rsidR="00447D04" w:rsidRPr="0059421B" w:rsidRDefault="00447D04"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 DH (Plazo máximo)</w:t>
            </w:r>
          </w:p>
          <w:p w:rsidR="00447D04" w:rsidRPr="0059421B" w:rsidRDefault="00447D04" w:rsidP="00CA1436">
            <w:pPr>
              <w:suppressAutoHyphens/>
              <w:spacing w:before="0" w:after="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de la recepción de dichas propuestas por </w:t>
            </w:r>
            <w:r w:rsidR="00B1344C" w:rsidRPr="0059421B">
              <w:rPr>
                <w:rFonts w:ascii="Arial" w:hAnsi="Arial" w:cs="Arial"/>
                <w:sz w:val="20"/>
                <w:szCs w:val="20"/>
                <w:lang w:val="es-ES"/>
              </w:rPr>
              <w:t>las Divisiones</w:t>
            </w:r>
            <w:r w:rsidRPr="0059421B">
              <w:rPr>
                <w:rFonts w:ascii="Arial" w:hAnsi="Arial" w:cs="Arial"/>
                <w:sz w:val="20"/>
                <w:szCs w:val="20"/>
                <w:lang w:val="es-ES"/>
              </w:rPr>
              <w:t xml:space="preserve"> Mayoristas)</w:t>
            </w:r>
          </w:p>
        </w:tc>
        <w:tc>
          <w:tcPr>
            <w:tcW w:w="1091" w:type="pct"/>
            <w:vAlign w:val="center"/>
          </w:tcPr>
          <w:p w:rsidR="00447D04" w:rsidRPr="0059421B" w:rsidRDefault="00447D04"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rsidTr="00B1344C">
        <w:trPr>
          <w:jc w:val="center"/>
        </w:trPr>
        <w:tc>
          <w:tcPr>
            <w:tcW w:w="2364" w:type="pct"/>
            <w:vAlign w:val="center"/>
          </w:tcPr>
          <w:p w:rsidR="008B255E" w:rsidRPr="0059421B" w:rsidRDefault="008B255E" w:rsidP="008B255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rsidR="008B255E" w:rsidRPr="0059421B" w:rsidRDefault="00495731"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2F7002" w:rsidRPr="0059421B">
              <w:rPr>
                <w:rFonts w:ascii="Arial" w:hAnsi="Arial" w:cs="Arial"/>
                <w:sz w:val="20"/>
                <w:szCs w:val="20"/>
                <w:lang w:val="es-ES"/>
              </w:rPr>
              <w:t>la</w:t>
            </w:r>
            <w:r w:rsidR="00447D04"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447D04" w:rsidRPr="0059421B">
              <w:rPr>
                <w:rFonts w:ascii="Arial" w:hAnsi="Arial" w:cs="Arial"/>
                <w:sz w:val="20"/>
                <w:szCs w:val="20"/>
                <w:lang w:val="es-ES"/>
              </w:rPr>
              <w:t>ones</w:t>
            </w:r>
            <w:r w:rsidR="002F7002"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Pr="0059421B">
              <w:rPr>
                <w:rFonts w:ascii="Arial" w:hAnsi="Arial" w:cs="Arial"/>
                <w:sz w:val="20"/>
                <w:szCs w:val="20"/>
                <w:lang w:val="es-ES"/>
              </w:rPr>
              <w:t>)</w:t>
            </w:r>
          </w:p>
        </w:tc>
        <w:tc>
          <w:tcPr>
            <w:tcW w:w="1091" w:type="pct"/>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rsidTr="00B1344C">
        <w:trPr>
          <w:jc w:val="center"/>
        </w:trPr>
        <w:tc>
          <w:tcPr>
            <w:tcW w:w="2364" w:type="pct"/>
            <w:vAlign w:val="center"/>
          </w:tcPr>
          <w:p w:rsidR="00567A04" w:rsidRPr="0059421B" w:rsidRDefault="002F7002"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rsidR="00567A04" w:rsidRPr="0059421B" w:rsidRDefault="00F55DB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realización de la Visita Técnica)</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567A04">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rsidTr="00B1344C">
        <w:trPr>
          <w:jc w:val="center"/>
        </w:trPr>
        <w:tc>
          <w:tcPr>
            <w:tcW w:w="2364" w:type="pct"/>
            <w:vAlign w:val="center"/>
          </w:tcPr>
          <w:p w:rsidR="00567A04" w:rsidRPr="0059421B" w:rsidRDefault="00567A04" w:rsidP="00673FB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rsidR="00567A04" w:rsidRPr="0059421B" w:rsidRDefault="00F55DB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rsidR="00567A04" w:rsidRPr="0059421B" w:rsidRDefault="00567A04" w:rsidP="00F94302">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567A04">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rsidTr="00B1344C">
        <w:trPr>
          <w:jc w:val="center"/>
        </w:trPr>
        <w:tc>
          <w:tcPr>
            <w:tcW w:w="2364" w:type="pct"/>
            <w:vAlign w:val="center"/>
          </w:tcPr>
          <w:p w:rsidR="006D75BE" w:rsidRPr="0059421B" w:rsidRDefault="002F7002" w:rsidP="006D75B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673FBC" w:rsidRPr="0059421B">
              <w:rPr>
                <w:rFonts w:ascii="Arial" w:hAnsi="Arial" w:cs="Arial"/>
                <w:sz w:val="20"/>
                <w:szCs w:val="20"/>
                <w:lang w:val="es-ES"/>
              </w:rPr>
              <w:t>s</w:t>
            </w:r>
            <w:r w:rsidRPr="0059421B">
              <w:rPr>
                <w:rFonts w:ascii="Arial" w:hAnsi="Arial" w:cs="Arial"/>
                <w:sz w:val="20"/>
                <w:szCs w:val="20"/>
                <w:lang w:val="es-ES"/>
              </w:rPr>
              <w:t xml:space="preserve"> Divisi</w:t>
            </w:r>
            <w:r w:rsidR="00673FBC" w:rsidRPr="0059421B">
              <w:rPr>
                <w:rFonts w:ascii="Arial" w:hAnsi="Arial" w:cs="Arial"/>
                <w:sz w:val="20"/>
                <w:szCs w:val="20"/>
                <w:lang w:val="es-ES"/>
              </w:rPr>
              <w:t>o</w:t>
            </w:r>
            <w:r w:rsidRPr="0059421B">
              <w:rPr>
                <w:rFonts w:ascii="Arial" w:hAnsi="Arial" w:cs="Arial"/>
                <w:sz w:val="20"/>
                <w:szCs w:val="20"/>
                <w:lang w:val="es-ES"/>
              </w:rPr>
              <w:t>n</w:t>
            </w:r>
            <w:r w:rsidR="00673FBC" w:rsidRPr="0059421B">
              <w:rPr>
                <w:rFonts w:ascii="Arial" w:hAnsi="Arial" w:cs="Arial"/>
                <w:sz w:val="20"/>
                <w:szCs w:val="20"/>
                <w:lang w:val="es-ES"/>
              </w:rPr>
              <w:t>es</w:t>
            </w:r>
            <w:r w:rsidRPr="0059421B">
              <w:rPr>
                <w:rFonts w:ascii="Arial" w:hAnsi="Arial" w:cs="Arial"/>
                <w:sz w:val="20"/>
                <w:szCs w:val="20"/>
                <w:lang w:val="es-ES"/>
              </w:rPr>
              <w:t xml:space="preserve"> Mayorista</w:t>
            </w:r>
            <w:r w:rsidR="00673FBC" w:rsidRPr="0059421B">
              <w:rPr>
                <w:rFonts w:ascii="Arial" w:hAnsi="Arial" w:cs="Arial"/>
                <w:sz w:val="20"/>
                <w:szCs w:val="20"/>
                <w:lang w:val="es-ES"/>
              </w:rPr>
              <w:t>s</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 el resultado del Análisis de Factibilidad.</w:t>
            </w:r>
          </w:p>
        </w:tc>
        <w:tc>
          <w:tcPr>
            <w:tcW w:w="1545" w:type="pct"/>
            <w:vAlign w:val="center"/>
          </w:tcPr>
          <w:p w:rsidR="006D75BE" w:rsidRPr="0059421B" w:rsidRDefault="002C287A" w:rsidP="006D75BE">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10</w:t>
            </w:r>
            <w:r w:rsidR="006D75BE" w:rsidRPr="0059421B">
              <w:rPr>
                <w:rFonts w:ascii="Arial" w:hAnsi="Arial" w:cs="Arial"/>
                <w:sz w:val="20"/>
                <w:szCs w:val="20"/>
                <w:lang w:val="es-ES"/>
              </w:rPr>
              <w:t>DH</w:t>
            </w:r>
          </w:p>
          <w:p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5DH</w:t>
            </w:r>
          </w:p>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1A02F3" w:rsidRDefault="001A02F3">
      <w:pPr>
        <w:rPr>
          <w:rFonts w:ascii="Arial" w:hAnsi="Arial" w:cs="Arial"/>
        </w:rPr>
      </w:pPr>
    </w:p>
    <w:p w:rsidR="001A02F3" w:rsidRDefault="001A02F3" w:rsidP="00D9517F"/>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567A04">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rsidTr="00B1344C">
        <w:trPr>
          <w:jc w:val="center"/>
        </w:trPr>
        <w:tc>
          <w:tcPr>
            <w:tcW w:w="2364" w:type="pct"/>
            <w:vAlign w:val="center"/>
          </w:tcPr>
          <w:p w:rsidR="006D75BE" w:rsidRPr="0059421B" w:rsidRDefault="006D75BE" w:rsidP="006D75B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inicia la Instalación de Infraestructura.</w:t>
            </w:r>
          </w:p>
        </w:tc>
        <w:tc>
          <w:tcPr>
            <w:tcW w:w="1545" w:type="pct"/>
            <w:vAlign w:val="center"/>
          </w:tcPr>
          <w:p w:rsidR="006D75BE" w:rsidRPr="0059421B" w:rsidRDefault="00F12690"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863BD5" w:rsidRPr="0059421B">
              <w:rPr>
                <w:rFonts w:ascii="Arial" w:hAnsi="Arial" w:cs="Arial"/>
                <w:sz w:val="20"/>
                <w:szCs w:val="20"/>
                <w:lang w:val="es-ES"/>
              </w:rPr>
              <w:t xml:space="preserve">tres (3)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9C5BA6" w:rsidRPr="0059421B" w:rsidRDefault="00863BD5" w:rsidP="00863BD5">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w:t>
            </w:r>
            <w:r w:rsidR="009C5BA6" w:rsidRPr="0059421B">
              <w:rPr>
                <w:rFonts w:ascii="Arial" w:hAnsi="Arial" w:cs="Arial"/>
                <w:sz w:val="20"/>
                <w:szCs w:val="20"/>
                <w:lang w:val="es-ES"/>
              </w:rPr>
              <w:t>s Mayoristas aceptan</w:t>
            </w:r>
            <w:r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tc>
        <w:tc>
          <w:tcPr>
            <w:tcW w:w="1091"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3F44B6" w:rsidRPr="0059421B" w:rsidTr="00567A04">
        <w:trPr>
          <w:jc w:val="center"/>
        </w:trPr>
        <w:tc>
          <w:tcPr>
            <w:tcW w:w="5000" w:type="pct"/>
            <w:gridSpan w:val="3"/>
            <w:shd w:val="clear" w:color="auto" w:fill="5B9BD5"/>
            <w:vAlign w:val="center"/>
          </w:tcPr>
          <w:p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3F44B6" w:rsidRPr="0059421B" w:rsidTr="000F7C9D">
        <w:trPr>
          <w:jc w:val="center"/>
        </w:trPr>
        <w:tc>
          <w:tcPr>
            <w:tcW w:w="2364" w:type="pct"/>
            <w:tcBorders>
              <w:bottom w:val="single" w:sz="4" w:space="0" w:color="auto"/>
            </w:tcBorders>
            <w:shd w:val="clear" w:color="auto" w:fill="5B9BD5"/>
            <w:vAlign w:val="center"/>
          </w:tcPr>
          <w:p w:rsidR="003F44B6" w:rsidRPr="0059421B" w:rsidRDefault="003F44B6" w:rsidP="003F44B6">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rsidR="00D07110" w:rsidRPr="0059421B" w:rsidRDefault="00D07110"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rsidTr="000F7C9D">
        <w:trPr>
          <w:jc w:val="center"/>
        </w:trPr>
        <w:tc>
          <w:tcPr>
            <w:tcW w:w="2364" w:type="pct"/>
            <w:tcBorders>
              <w:top w:val="single" w:sz="4" w:space="0" w:color="auto"/>
            </w:tcBorders>
            <w:shd w:val="clear" w:color="auto" w:fill="auto"/>
            <w:vAlign w:val="center"/>
          </w:tcPr>
          <w:p w:rsidR="00D07110" w:rsidRPr="0059421B" w:rsidRDefault="00D07110" w:rsidP="00CA1436">
            <w:pPr>
              <w:suppressAutoHyphens/>
              <w:spacing w:before="0" w:after="120" w:line="240" w:lineRule="auto"/>
              <w:contextualSpacing/>
              <w:jc w:val="left"/>
              <w:rPr>
                <w:rFonts w:ascii="Arial" w:hAnsi="Arial" w:cs="Arial"/>
                <w:b/>
                <w:sz w:val="20"/>
                <w:szCs w:val="20"/>
                <w:lang w:val="es-ES"/>
              </w:rPr>
            </w:pPr>
            <w:r w:rsidRPr="0059421B">
              <w:rPr>
                <w:rFonts w:ascii="Arial" w:hAnsi="Arial" w:cs="Arial"/>
                <w:sz w:val="20"/>
                <w:szCs w:val="20"/>
                <w:lang w:val="es-ES"/>
              </w:rPr>
              <w:t xml:space="preserve">Las Divisiones Mayoristas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rsidR="00D07110" w:rsidRPr="0059421B" w:rsidDel="00324AB3"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rsidR="00D07110" w:rsidRPr="0059421B" w:rsidDel="00324AB3"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rsidR="00D75094" w:rsidRDefault="00D75094" w:rsidP="00567A04">
      <w:pPr>
        <w:rPr>
          <w:rFonts w:ascii="Arial" w:hAnsi="Arial" w:cs="Arial"/>
          <w:sz w:val="20"/>
          <w:szCs w:val="20"/>
        </w:rPr>
      </w:pPr>
    </w:p>
    <w:p w:rsidR="00D75094" w:rsidRPr="0059421B" w:rsidRDefault="00D75094" w:rsidP="00D75094">
      <w:pPr>
        <w:rPr>
          <w:rFonts w:ascii="Arial" w:hAnsi="Arial" w:cs="Arial"/>
          <w:b/>
          <w:sz w:val="20"/>
          <w:szCs w:val="20"/>
          <w:u w:val="single"/>
        </w:rPr>
      </w:pPr>
      <w:r w:rsidRPr="0059421B">
        <w:rPr>
          <w:rFonts w:ascii="Arial" w:hAnsi="Arial" w:cs="Arial"/>
          <w:b/>
          <w:sz w:val="20"/>
          <w:szCs w:val="20"/>
          <w:u w:val="single"/>
        </w:rPr>
        <w:t>Modificación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rsidTr="000A690E">
        <w:trPr>
          <w:trHeight w:val="467"/>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rsidTr="000A690E">
        <w:trPr>
          <w:trHeight w:val="467"/>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trHeight w:val="467"/>
          <w:jc w:val="center"/>
        </w:trPr>
        <w:tc>
          <w:tcPr>
            <w:tcW w:w="2402" w:type="pct"/>
            <w:tcBorders>
              <w:bottom w:val="single" w:sz="4" w:space="0" w:color="auto"/>
            </w:tcBorders>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solicitud de modificación del Proyecto de Instalación</w:t>
            </w:r>
          </w:p>
        </w:tc>
        <w:tc>
          <w:tcPr>
            <w:tcW w:w="1582" w:type="pct"/>
            <w:tcBorders>
              <w:bottom w:val="single" w:sz="4" w:space="0" w:color="auto"/>
            </w:tcBorders>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 de modificación)</w:t>
            </w:r>
          </w:p>
        </w:tc>
        <w:tc>
          <w:tcPr>
            <w:tcW w:w="1016" w:type="pct"/>
            <w:tcBorders>
              <w:left w:val="single" w:sz="4" w:space="0" w:color="auto"/>
            </w:tcBorders>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rsidTr="000A690E">
        <w:trPr>
          <w:trHeight w:val="467"/>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2: Actualización de Anteproyecto y Programa de Trabajo</w:t>
            </w:r>
          </w:p>
        </w:tc>
      </w:tr>
      <w:tr w:rsidR="00D75094" w:rsidRPr="0059421B" w:rsidTr="000A690E">
        <w:trPr>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jc w:val="center"/>
        </w:trPr>
        <w:tc>
          <w:tcPr>
            <w:tcW w:w="2402" w:type="pct"/>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los cambios para modificar el Anteproyecto.</w:t>
            </w:r>
          </w:p>
        </w:tc>
        <w:tc>
          <w:tcPr>
            <w:tcW w:w="1582"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apruebe los cambios para modificar el Anteproyecto)</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rsidTr="000A690E">
        <w:trPr>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rsidTr="000A690E">
        <w:trPr>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jc w:val="center"/>
        </w:trPr>
        <w:tc>
          <w:tcPr>
            <w:tcW w:w="2402" w:type="pct"/>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notificarán el resultado del Análisis de Factibilidad.</w:t>
            </w:r>
          </w:p>
        </w:tc>
        <w:tc>
          <w:tcPr>
            <w:tcW w:w="1582"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 o AS entregue el Anteproyecto)</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rsidTr="000A690E">
        <w:trPr>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rsidTr="000A690E">
        <w:trPr>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jc w:val="center"/>
        </w:trPr>
        <w:tc>
          <w:tcPr>
            <w:tcW w:w="2402" w:type="pct"/>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D75094" w:rsidRPr="00D75094" w:rsidRDefault="00D75094" w:rsidP="00567A04">
      <w:pPr>
        <w:rPr>
          <w:rFonts w:ascii="Arial" w:hAnsi="Arial" w:cs="Arial"/>
          <w:sz w:val="20"/>
          <w:szCs w:val="20"/>
        </w:rPr>
      </w:pPr>
    </w:p>
    <w:p w:rsidR="00567A04" w:rsidRPr="0059421B" w:rsidRDefault="00567A04" w:rsidP="00567A04">
      <w:pPr>
        <w:rPr>
          <w:rFonts w:ascii="Arial" w:hAnsi="Arial" w:cs="Arial"/>
          <w:b/>
          <w:sz w:val="20"/>
          <w:szCs w:val="20"/>
          <w:u w:val="single"/>
        </w:rPr>
      </w:pPr>
      <w:r w:rsidRPr="0059421B">
        <w:rPr>
          <w:rFonts w:ascii="Arial" w:hAnsi="Arial" w:cs="Arial"/>
          <w:b/>
          <w:sz w:val="20"/>
          <w:szCs w:val="20"/>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9434E8">
        <w:trPr>
          <w:trHeight w:val="467"/>
          <w:jc w:val="center"/>
        </w:trPr>
        <w:tc>
          <w:tcPr>
            <w:tcW w:w="5000" w:type="pct"/>
            <w:gridSpan w:val="3"/>
            <w:shd w:val="clear" w:color="auto" w:fill="5B9BD5"/>
            <w:vAlign w:val="center"/>
          </w:tcPr>
          <w:p w:rsidR="00567A04" w:rsidRPr="0059421B" w:rsidRDefault="00567A04"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B1344C">
        <w:trPr>
          <w:trHeight w:val="467"/>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rsidTr="00B1344C">
        <w:trPr>
          <w:trHeight w:val="467"/>
          <w:jc w:val="center"/>
        </w:trPr>
        <w:tc>
          <w:tcPr>
            <w:tcW w:w="2364" w:type="pct"/>
            <w:tcBorders>
              <w:bottom w:val="single" w:sz="4" w:space="0" w:color="auto"/>
            </w:tcBorders>
            <w:vAlign w:val="center"/>
          </w:tcPr>
          <w:p w:rsidR="00567A04" w:rsidRPr="0059421B" w:rsidRDefault="00567A04"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B1344C">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rsidR="009D5796" w:rsidRPr="0059421B" w:rsidRDefault="00D05877"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91" w:type="pct"/>
            <w:tcBorders>
              <w:left w:val="single" w:sz="4" w:space="0" w:color="auto"/>
            </w:tcBorders>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rsidTr="009434E8">
        <w:trPr>
          <w:trHeight w:val="467"/>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rsidTr="0059421B">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rsidTr="0059421B">
        <w:trPr>
          <w:jc w:val="center"/>
        </w:trPr>
        <w:tc>
          <w:tcPr>
            <w:tcW w:w="2364"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10 DH </w:t>
            </w:r>
          </w:p>
          <w:p w:rsidR="009D5796" w:rsidRPr="0059421B" w:rsidRDefault="003936B8"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w:t>
            </w:r>
            <w:r w:rsidR="002F7002" w:rsidRPr="0059421B">
              <w:rPr>
                <w:rFonts w:ascii="Arial" w:hAnsi="Arial" w:cs="Arial"/>
                <w:sz w:val="20"/>
                <w:szCs w:val="20"/>
                <w:lang w:val="es-ES"/>
              </w:rPr>
              <w:t>la</w:t>
            </w:r>
            <w:r w:rsidR="00D825E2"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002F7002" w:rsidRPr="0059421B">
              <w:rPr>
                <w:rFonts w:ascii="Arial" w:hAnsi="Arial" w:cs="Arial"/>
                <w:sz w:val="20"/>
                <w:szCs w:val="20"/>
                <w:lang w:val="es-ES"/>
              </w:rPr>
              <w:t>n</w:t>
            </w:r>
            <w:r w:rsidR="00D825E2" w:rsidRPr="0059421B">
              <w:rPr>
                <w:rFonts w:ascii="Arial" w:hAnsi="Arial" w:cs="Arial"/>
                <w:sz w:val="20"/>
                <w:szCs w:val="20"/>
                <w:lang w:val="es-ES"/>
              </w:rPr>
              <w:t>es</w:t>
            </w:r>
            <w:r w:rsidR="002F7002"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59421B">
        <w:trPr>
          <w:jc w:val="center"/>
        </w:trPr>
        <w:tc>
          <w:tcPr>
            <w:tcW w:w="2364" w:type="pct"/>
            <w:vAlign w:val="center"/>
          </w:tcPr>
          <w:p w:rsidR="009D5796" w:rsidRPr="0059421B" w:rsidRDefault="002F7002" w:rsidP="003936B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valida el Programa de Trabajo.</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3A4771" w:rsidRPr="0059421B" w:rsidRDefault="003A4771">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rsidTr="009434E8">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rsidTr="003A4771">
        <w:trPr>
          <w:jc w:val="center"/>
        </w:trPr>
        <w:tc>
          <w:tcPr>
            <w:tcW w:w="2365"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rsidTr="003A4771">
        <w:trPr>
          <w:jc w:val="center"/>
        </w:trPr>
        <w:tc>
          <w:tcPr>
            <w:tcW w:w="2365"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D825E2" w:rsidRPr="0059421B" w:rsidRDefault="00D825E2">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rsidTr="009434E8">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rsidTr="003A4771">
        <w:trPr>
          <w:jc w:val="center"/>
        </w:trPr>
        <w:tc>
          <w:tcPr>
            <w:tcW w:w="2365"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rsidTr="003A4771">
        <w:trPr>
          <w:jc w:val="center"/>
        </w:trPr>
        <w:tc>
          <w:tcPr>
            <w:tcW w:w="2365" w:type="pct"/>
            <w:vAlign w:val="center"/>
          </w:tcPr>
          <w:p w:rsidR="009D5796" w:rsidRPr="0059421B" w:rsidRDefault="002F7002"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ones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rsidTr="003A4771">
        <w:trPr>
          <w:jc w:val="center"/>
        </w:trPr>
        <w:tc>
          <w:tcPr>
            <w:tcW w:w="2365" w:type="pct"/>
            <w:vAlign w:val="center"/>
          </w:tcPr>
          <w:p w:rsidR="009D5796" w:rsidRPr="0059421B" w:rsidRDefault="002F7002"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5 DH </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rsidTr="003A4771">
        <w:trPr>
          <w:jc w:val="center"/>
        </w:trPr>
        <w:tc>
          <w:tcPr>
            <w:tcW w:w="2365" w:type="pct"/>
            <w:vAlign w:val="center"/>
          </w:tcPr>
          <w:p w:rsidR="009D5796" w:rsidRPr="0059421B" w:rsidRDefault="002F7002" w:rsidP="0031214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firma del Formato de Acuerdo de Compartición de Infraestructura)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6814AD" w:rsidRPr="0059421B" w:rsidRDefault="006814AD" w:rsidP="002A4AE0">
      <w:pPr>
        <w:adjustRightInd w:val="0"/>
        <w:spacing w:before="0" w:after="200" w:line="276" w:lineRule="auto"/>
        <w:ind w:right="760"/>
        <w:rPr>
          <w:rFonts w:ascii="Arial" w:hAnsi="Arial" w:cs="Arial"/>
          <w:bCs/>
          <w:color w:val="000000"/>
          <w:sz w:val="20"/>
          <w:szCs w:val="20"/>
        </w:rPr>
      </w:pPr>
    </w:p>
    <w:p w:rsidR="006814AD" w:rsidRPr="0059421B" w:rsidRDefault="006814AD" w:rsidP="00C37009">
      <w:pPr>
        <w:pStyle w:val="Ttulo3"/>
        <w:rPr>
          <w:rFonts w:ascii="Arial" w:hAnsi="Arial" w:cs="Arial"/>
          <w:sz w:val="20"/>
          <w:szCs w:val="20"/>
          <w:u w:val="none"/>
        </w:rPr>
      </w:pPr>
      <w:r w:rsidRPr="0059421B">
        <w:rPr>
          <w:rFonts w:ascii="Arial" w:hAnsi="Arial" w:cs="Arial"/>
          <w:sz w:val="20"/>
          <w:szCs w:val="20"/>
          <w:u w:val="none"/>
        </w:rPr>
        <w:t>2.</w:t>
      </w:r>
      <w:r w:rsidR="00A77409" w:rsidRPr="0059421B">
        <w:rPr>
          <w:rFonts w:ascii="Arial" w:hAnsi="Arial" w:cs="Arial"/>
          <w:sz w:val="20"/>
          <w:szCs w:val="20"/>
          <w:u w:val="none"/>
        </w:rPr>
        <w:t>3</w:t>
      </w:r>
      <w:r w:rsidRPr="0059421B">
        <w:rPr>
          <w:rFonts w:ascii="Arial" w:hAnsi="Arial" w:cs="Arial"/>
          <w:sz w:val="20"/>
          <w:szCs w:val="20"/>
          <w:u w:val="none"/>
        </w:rPr>
        <w:t xml:space="preserve"> </w:t>
      </w:r>
      <w:r w:rsidRPr="0059421B">
        <w:rPr>
          <w:rFonts w:ascii="Arial" w:hAnsi="Arial" w:cs="Arial"/>
          <w:sz w:val="20"/>
          <w:szCs w:val="20"/>
          <w:u w:val="none"/>
        </w:rPr>
        <w:tab/>
        <w:t>Servicio de Uso de Sitios, Predios y Espacios Físicos</w:t>
      </w:r>
    </w:p>
    <w:p w:rsidR="004A595B" w:rsidRPr="0059421B" w:rsidRDefault="004A595B" w:rsidP="004A595B">
      <w:pPr>
        <w:jc w:val="left"/>
        <w:rPr>
          <w:rFonts w:ascii="Arial" w:hAnsi="Arial" w:cs="Arial"/>
          <w:sz w:val="20"/>
          <w:szCs w:val="20"/>
        </w:rPr>
      </w:pPr>
      <w:r w:rsidRPr="0059421B">
        <w:rPr>
          <w:rFonts w:ascii="Arial" w:hAnsi="Arial" w:cs="Arial"/>
          <w:b/>
          <w:sz w:val="20"/>
          <w:szCs w:val="20"/>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4A595B" w:rsidRPr="0059421B" w:rsidTr="004A595B">
        <w:trPr>
          <w:trHeight w:val="467"/>
          <w:jc w:val="center"/>
        </w:trPr>
        <w:tc>
          <w:tcPr>
            <w:tcW w:w="5000" w:type="pct"/>
            <w:gridSpan w:val="3"/>
            <w:shd w:val="clear" w:color="auto" w:fill="5B9BD5"/>
            <w:vAlign w:val="center"/>
          </w:tcPr>
          <w:p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3A4771">
        <w:trPr>
          <w:trHeight w:val="467"/>
          <w:jc w:val="center"/>
        </w:trPr>
        <w:tc>
          <w:tcPr>
            <w:tcW w:w="2365"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rsidTr="003A4771">
        <w:trPr>
          <w:trHeight w:val="467"/>
          <w:jc w:val="center"/>
        </w:trPr>
        <w:tc>
          <w:tcPr>
            <w:tcW w:w="2365"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solicitud de contratación.</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3A4771">
        <w:trPr>
          <w:trHeight w:val="467"/>
          <w:jc w:val="center"/>
        </w:trPr>
        <w:tc>
          <w:tcPr>
            <w:tcW w:w="2365" w:type="pct"/>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3A4771" w:rsidRPr="0059421B" w:rsidRDefault="003A4771">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rsidTr="004A595B">
        <w:trPr>
          <w:trHeight w:val="467"/>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2: Programación y realización de Visita Técnica</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rsidTr="000F7C9D">
        <w:trPr>
          <w:jc w:val="center"/>
        </w:trPr>
        <w:tc>
          <w:tcPr>
            <w:tcW w:w="2364"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del ingreso de la solicitud del CS)</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rsidTr="000F7C9D">
        <w:trPr>
          <w:jc w:val="center"/>
        </w:trPr>
        <w:tc>
          <w:tcPr>
            <w:tcW w:w="2364" w:type="pct"/>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rsidTr="000F7C9D">
        <w:trPr>
          <w:jc w:val="center"/>
        </w:trPr>
        <w:tc>
          <w:tcPr>
            <w:tcW w:w="2364"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solicita modificación de la propuesta de programación de Visita Técnica. </w:t>
            </w:r>
          </w:p>
        </w:tc>
        <w:tc>
          <w:tcPr>
            <w:tcW w:w="1545" w:type="pct"/>
            <w:vAlign w:val="center"/>
          </w:tcPr>
          <w:p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rsidR="009D5796" w:rsidRPr="0059421B" w:rsidRDefault="009D5796" w:rsidP="003936B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C15150" w:rsidRPr="0059421B">
              <w:rPr>
                <w:rFonts w:ascii="Arial" w:hAnsi="Arial" w:cs="Arial"/>
                <w:sz w:val="20"/>
                <w:szCs w:val="20"/>
                <w:lang w:val="es-ES"/>
              </w:rPr>
              <w:t>Las Divisiones Mayoristas</w:t>
            </w:r>
            <w:r w:rsidRPr="0059421B">
              <w:rPr>
                <w:rFonts w:ascii="Arial" w:hAnsi="Arial" w:cs="Arial"/>
                <w:sz w:val="20"/>
                <w:szCs w:val="20"/>
                <w:lang w:val="es-ES"/>
              </w:rPr>
              <w:t>)</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0F7C9D">
        <w:trPr>
          <w:jc w:val="center"/>
        </w:trPr>
        <w:tc>
          <w:tcPr>
            <w:tcW w:w="2364" w:type="pct"/>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digitaliza</w:t>
            </w:r>
            <w:r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rsidR="009D5796" w:rsidRPr="0059421B" w:rsidRDefault="002D7EFF"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w:t>
            </w:r>
            <w:r w:rsidR="009D5796" w:rsidRPr="0059421B">
              <w:rPr>
                <w:rFonts w:ascii="Arial" w:hAnsi="Arial" w:cs="Arial"/>
                <w:sz w:val="20"/>
                <w:szCs w:val="20"/>
                <w:lang w:val="es-ES"/>
              </w:rPr>
              <w:t xml:space="preserve"> DH</w:t>
            </w:r>
            <w:r w:rsidR="009D5796" w:rsidRPr="0059421B">
              <w:rPr>
                <w:rStyle w:val="Refdenotaalpie"/>
                <w:rFonts w:ascii="Arial" w:hAnsi="Arial" w:cs="Arial"/>
                <w:sz w:val="20"/>
                <w:szCs w:val="20"/>
                <w:lang w:val="es-ES"/>
              </w:rPr>
              <w:footnoteReference w:id="4"/>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 la realización de la Visita Técnica)</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rsidTr="004A595B">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0F7C9D">
        <w:trPr>
          <w:jc w:val="center"/>
        </w:trPr>
        <w:tc>
          <w:tcPr>
            <w:tcW w:w="2364" w:type="pct"/>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el Anteproyecto.</w:t>
            </w:r>
          </w:p>
        </w:tc>
        <w:tc>
          <w:tcPr>
            <w:tcW w:w="1545"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entrega del resultado de la Visita Técnica)</w:t>
            </w:r>
          </w:p>
        </w:tc>
        <w:tc>
          <w:tcPr>
            <w:tcW w:w="1091"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rsidTr="004A595B">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0F7C9D">
        <w:trPr>
          <w:jc w:val="center"/>
        </w:trPr>
        <w:tc>
          <w:tcPr>
            <w:tcW w:w="2364" w:type="pct"/>
            <w:vAlign w:val="center"/>
          </w:tcPr>
          <w:p w:rsidR="004A595B" w:rsidRPr="0059421B" w:rsidRDefault="00C15150"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Las Divisiones Mayoristas</w:t>
            </w:r>
            <w:r w:rsidR="002839FC" w:rsidRPr="0059421B">
              <w:rPr>
                <w:rFonts w:ascii="Arial" w:hAnsi="Arial" w:cs="Arial"/>
                <w:sz w:val="20"/>
                <w:szCs w:val="20"/>
                <w:lang w:val="es-ES"/>
              </w:rPr>
              <w:t xml:space="preserve"> notifica</w:t>
            </w:r>
            <w:r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Pr="0059421B">
              <w:rPr>
                <w:rFonts w:ascii="Arial" w:hAnsi="Arial" w:cs="Arial"/>
                <w:sz w:val="20"/>
                <w:szCs w:val="20"/>
                <w:lang w:val="es-ES"/>
              </w:rPr>
              <w:t xml:space="preserve">o AS </w:t>
            </w:r>
            <w:r w:rsidR="002839FC" w:rsidRPr="0059421B">
              <w:rPr>
                <w:rFonts w:ascii="Arial" w:hAnsi="Arial" w:cs="Arial"/>
                <w:sz w:val="20"/>
                <w:szCs w:val="20"/>
                <w:lang w:val="es-ES"/>
              </w:rPr>
              <w:t>el resultado del Análisis de Factibilidad.</w:t>
            </w:r>
          </w:p>
        </w:tc>
        <w:tc>
          <w:tcPr>
            <w:tcW w:w="1545"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4A595B" w:rsidRPr="0059421B" w:rsidRDefault="002839FC"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w:t>
            </w:r>
            <w:r w:rsidR="004A595B" w:rsidRPr="0059421B">
              <w:rPr>
                <w:rFonts w:ascii="Arial" w:hAnsi="Arial" w:cs="Arial"/>
                <w:sz w:val="20"/>
                <w:szCs w:val="20"/>
                <w:lang w:val="es-ES"/>
              </w:rPr>
              <w:t xml:space="preserve"> partir de que el CS entregue el Anteproyecto)</w:t>
            </w:r>
          </w:p>
        </w:tc>
        <w:tc>
          <w:tcPr>
            <w:tcW w:w="1091"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rsidTr="004A595B">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rsidTr="000F7C9D">
        <w:trPr>
          <w:jc w:val="center"/>
        </w:trPr>
        <w:tc>
          <w:tcPr>
            <w:tcW w:w="2364" w:type="pct"/>
            <w:vAlign w:val="center"/>
          </w:tcPr>
          <w:p w:rsidR="002839FC" w:rsidRPr="0059421B" w:rsidRDefault="002839FC"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inicia la Instalación de Infraestructura.</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rsidTr="000F7C9D">
        <w:trPr>
          <w:jc w:val="center"/>
        </w:trPr>
        <w:tc>
          <w:tcPr>
            <w:tcW w:w="2364" w:type="pct"/>
            <w:vAlign w:val="center"/>
          </w:tcPr>
          <w:p w:rsidR="002839FC" w:rsidRPr="0059421B" w:rsidRDefault="002839FC"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envía las fechas de inicio y conclusión de los trabajos de Instalación de Infraestructura.</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rsidTr="000F7C9D">
        <w:trPr>
          <w:jc w:val="center"/>
        </w:trPr>
        <w:tc>
          <w:tcPr>
            <w:tcW w:w="2364" w:type="pct"/>
            <w:vAlign w:val="center"/>
          </w:tcPr>
          <w:p w:rsidR="002839FC" w:rsidRPr="0059421B" w:rsidRDefault="00C15150"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acordará</w:t>
            </w:r>
            <w:r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fechas para la Instalación de Infraestructura)</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rsidTr="000F7C9D">
        <w:trPr>
          <w:jc w:val="center"/>
        </w:trPr>
        <w:tc>
          <w:tcPr>
            <w:tcW w:w="2364" w:type="pct"/>
            <w:vAlign w:val="center"/>
          </w:tcPr>
          <w:p w:rsidR="002839FC" w:rsidRPr="0059421B" w:rsidRDefault="00C15150" w:rsidP="002D7EFF">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acepta</w:t>
            </w:r>
            <w:r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p w:rsidR="002839FC" w:rsidRPr="0059421B" w:rsidRDefault="00DA34B3"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w:t>
            </w:r>
            <w:r w:rsidR="002839FC" w:rsidRPr="0059421B">
              <w:rPr>
                <w:rFonts w:ascii="Arial" w:hAnsi="Arial" w:cs="Arial"/>
                <w:sz w:val="20"/>
                <w:szCs w:val="20"/>
                <w:lang w:val="es-ES"/>
              </w:rPr>
              <w:t xml:space="preserve"> partir de la recepción de la propuesta de inicio de los trabajos de Instalación de Infraestructura)</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BC4093" w:rsidRPr="0059421B" w:rsidRDefault="00BC4093" w:rsidP="004A595B">
      <w:pPr>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BC4093" w:rsidRPr="0059421B" w:rsidTr="00535492">
        <w:trPr>
          <w:jc w:val="center"/>
        </w:trPr>
        <w:tc>
          <w:tcPr>
            <w:tcW w:w="5000" w:type="pct"/>
            <w:gridSpan w:val="3"/>
            <w:shd w:val="clear" w:color="auto" w:fill="5B9BD5"/>
            <w:vAlign w:val="center"/>
          </w:tcPr>
          <w:p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rsidTr="000F7C9D">
        <w:trPr>
          <w:jc w:val="center"/>
        </w:trPr>
        <w:tc>
          <w:tcPr>
            <w:tcW w:w="2364" w:type="pct"/>
            <w:tcBorders>
              <w:bottom w:val="single" w:sz="4" w:space="0" w:color="auto"/>
            </w:tcBorders>
            <w:shd w:val="clear" w:color="auto" w:fill="5B9BD5"/>
            <w:vAlign w:val="center"/>
          </w:tcPr>
          <w:p w:rsidR="00BC4093" w:rsidRPr="0059421B" w:rsidRDefault="00BC4093" w:rsidP="00535492">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rsidR="00C15150" w:rsidRPr="0059421B" w:rsidRDefault="00C15150" w:rsidP="00CA1436">
            <w:pPr>
              <w:suppressAutoHyphens/>
              <w:spacing w:before="0" w:after="120" w:line="240" w:lineRule="auto"/>
              <w:contextualSpacing/>
              <w:jc w:val="left"/>
              <w:rPr>
                <w:rFonts w:ascii="Arial" w:hAnsi="Arial" w:cs="Arial"/>
                <w:color w:val="000000" w:themeColor="text1"/>
                <w:sz w:val="20"/>
                <w:szCs w:val="20"/>
                <w:lang w:val="es-ES"/>
              </w:rPr>
            </w:pPr>
            <w:r w:rsidRPr="0059421B">
              <w:rPr>
                <w:rFonts w:ascii="Arial" w:hAnsi="Arial" w:cs="Arial"/>
                <w:color w:val="000000" w:themeColor="text1"/>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5 DH</w:t>
            </w:r>
          </w:p>
          <w:p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rsidR="0059421B" w:rsidRDefault="0059421B" w:rsidP="004A595B">
      <w:pPr>
        <w:rPr>
          <w:rFonts w:ascii="Arial" w:hAnsi="Arial" w:cs="Arial"/>
          <w:b/>
          <w:sz w:val="20"/>
          <w:szCs w:val="20"/>
          <w:u w:val="single"/>
        </w:rPr>
      </w:pPr>
    </w:p>
    <w:p w:rsidR="004A595B" w:rsidRPr="0059421B" w:rsidRDefault="004A595B" w:rsidP="004A595B">
      <w:pPr>
        <w:rPr>
          <w:rFonts w:ascii="Arial" w:hAnsi="Arial" w:cs="Arial"/>
          <w:b/>
          <w:sz w:val="20"/>
          <w:szCs w:val="20"/>
          <w:u w:val="single"/>
        </w:rPr>
      </w:pPr>
      <w:r w:rsidRPr="0059421B">
        <w:rPr>
          <w:rFonts w:ascii="Arial" w:hAnsi="Arial" w:cs="Arial"/>
          <w:b/>
          <w:sz w:val="20"/>
          <w:szCs w:val="20"/>
          <w:u w:val="single"/>
        </w:rPr>
        <w:t>Modificación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9434E8">
        <w:trPr>
          <w:trHeight w:val="467"/>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trHeight w:val="467"/>
          <w:jc w:val="center"/>
        </w:trPr>
        <w:tc>
          <w:tcPr>
            <w:tcW w:w="2402" w:type="pct"/>
            <w:tcBorders>
              <w:bottom w:val="single" w:sz="4" w:space="0" w:color="auto"/>
            </w:tcBorders>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4A595B" w:rsidRPr="0059421B" w:rsidRDefault="00C15150"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4A595B" w:rsidRPr="0059421B">
              <w:rPr>
                <w:rFonts w:ascii="Arial" w:hAnsi="Arial" w:cs="Arial"/>
                <w:sz w:val="20"/>
                <w:szCs w:val="20"/>
                <w:lang w:val="es-ES"/>
              </w:rPr>
              <w:t xml:space="preserve"> valida</w:t>
            </w:r>
            <w:r w:rsidRPr="0059421B">
              <w:rPr>
                <w:rFonts w:ascii="Arial" w:hAnsi="Arial" w:cs="Arial"/>
                <w:sz w:val="20"/>
                <w:szCs w:val="20"/>
                <w:lang w:val="es-ES"/>
              </w:rPr>
              <w:t>n</w:t>
            </w:r>
            <w:r w:rsidR="004A595B" w:rsidRPr="0059421B">
              <w:rPr>
                <w:rFonts w:ascii="Arial" w:hAnsi="Arial" w:cs="Arial"/>
                <w:sz w:val="20"/>
                <w:szCs w:val="20"/>
                <w:lang w:val="es-ES"/>
              </w:rPr>
              <w:t xml:space="preserve"> </w:t>
            </w:r>
            <w:r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rsidR="004A595B" w:rsidRPr="0059421B" w:rsidRDefault="002D7EFF"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4A595B" w:rsidRPr="0059421B">
              <w:rPr>
                <w:rFonts w:ascii="Arial" w:hAnsi="Arial" w:cs="Arial"/>
                <w:sz w:val="20"/>
                <w:szCs w:val="20"/>
                <w:lang w:val="es-ES"/>
              </w:rPr>
              <w:t xml:space="preserve"> DH</w:t>
            </w:r>
          </w:p>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lastRenderedPageBreak/>
              <w:t>(a partir 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lastRenderedPageBreak/>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jc w:val="center"/>
        </w:trPr>
        <w:tc>
          <w:tcPr>
            <w:tcW w:w="2402" w:type="pct"/>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los cambios para modificar el Anteproyecto.</w:t>
            </w:r>
          </w:p>
        </w:tc>
        <w:tc>
          <w:tcPr>
            <w:tcW w:w="1582"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rsidR="004A595B" w:rsidRPr="0059421B" w:rsidRDefault="004A595B" w:rsidP="00C15150">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jc w:val="center"/>
        </w:trPr>
        <w:tc>
          <w:tcPr>
            <w:tcW w:w="2402" w:type="pct"/>
            <w:vAlign w:val="center"/>
          </w:tcPr>
          <w:p w:rsidR="004A595B" w:rsidRPr="0059421B" w:rsidRDefault="00C15150"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notificará</w:t>
            </w:r>
            <w:r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jc w:val="center"/>
        </w:trPr>
        <w:tc>
          <w:tcPr>
            <w:tcW w:w="2402" w:type="pct"/>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rsidR="004A595B" w:rsidRPr="0059421B" w:rsidRDefault="004A595B" w:rsidP="002A4AE0">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4A595B" w:rsidRPr="0059421B" w:rsidRDefault="004A595B" w:rsidP="004A595B">
      <w:pPr>
        <w:rPr>
          <w:rFonts w:ascii="Arial" w:hAnsi="Arial" w:cs="Arial"/>
          <w:b/>
          <w:sz w:val="20"/>
          <w:szCs w:val="20"/>
          <w:u w:val="single"/>
        </w:rPr>
      </w:pPr>
      <w:r w:rsidRPr="0059421B">
        <w:rPr>
          <w:rFonts w:ascii="Arial" w:hAnsi="Arial" w:cs="Arial"/>
          <w:b/>
          <w:sz w:val="20"/>
          <w:szCs w:val="20"/>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9434E8">
        <w:trPr>
          <w:trHeight w:val="467"/>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trHeight w:val="467"/>
          <w:jc w:val="center"/>
        </w:trPr>
        <w:tc>
          <w:tcPr>
            <w:tcW w:w="2402" w:type="pct"/>
            <w:tcBorders>
              <w:bottom w:val="single" w:sz="4" w:space="0" w:color="auto"/>
            </w:tcBorders>
            <w:vAlign w:val="center"/>
          </w:tcPr>
          <w:p w:rsidR="004A595B" w:rsidRPr="0059421B" w:rsidRDefault="004A595B"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solicitud de baja</w:t>
            </w:r>
          </w:p>
        </w:tc>
        <w:tc>
          <w:tcPr>
            <w:tcW w:w="1582" w:type="pct"/>
            <w:tcBorders>
              <w:bottom w:val="single" w:sz="4" w:space="0" w:color="auto"/>
            </w:tcBorders>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w:t>
            </w:r>
            <w:r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rsidR="000925F3" w:rsidRPr="0059421B" w:rsidRDefault="002D7EFF"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0925F3" w:rsidRPr="0059421B">
              <w:rPr>
                <w:rFonts w:ascii="Arial" w:hAnsi="Arial" w:cs="Arial"/>
                <w:sz w:val="20"/>
                <w:szCs w:val="20"/>
                <w:lang w:val="es-ES"/>
              </w:rPr>
              <w:t xml:space="preserve"> DH</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16" w:type="pct"/>
            <w:tcBorders>
              <w:left w:val="single" w:sz="4" w:space="0" w:color="auto"/>
            </w:tcBorders>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0925F3" w:rsidRPr="0059421B" w:rsidTr="009434E8">
        <w:trPr>
          <w:jc w:val="center"/>
        </w:trPr>
        <w:tc>
          <w:tcPr>
            <w:tcW w:w="2402" w:type="pct"/>
            <w:vAlign w:val="center"/>
          </w:tcPr>
          <w:p w:rsidR="000925F3" w:rsidRPr="0059421B" w:rsidRDefault="000925F3"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El CS elabora el Programa de Trabajo</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10 DH </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w:t>
            </w:r>
            <w:r w:rsidR="00C15150" w:rsidRPr="0059421B">
              <w:rPr>
                <w:rFonts w:ascii="Arial" w:hAnsi="Arial" w:cs="Arial"/>
                <w:sz w:val="20"/>
                <w:szCs w:val="20"/>
                <w:lang w:val="es-ES"/>
              </w:rPr>
              <w:t>Las Divisiones Mayoristas</w:t>
            </w:r>
            <w:r w:rsidRPr="0059421B">
              <w:rPr>
                <w:rFonts w:ascii="Arial" w:hAnsi="Arial" w:cs="Arial"/>
                <w:sz w:val="20"/>
                <w:szCs w:val="20"/>
                <w:lang w:val="es-ES"/>
              </w:rPr>
              <w:t xml:space="preserve"> aprob</w:t>
            </w:r>
            <w:r w:rsidR="00C15150" w:rsidRPr="0059421B">
              <w:rPr>
                <w:rFonts w:ascii="Arial" w:hAnsi="Arial" w:cs="Arial"/>
                <w:sz w:val="20"/>
                <w:szCs w:val="20"/>
                <w:lang w:val="es-ES"/>
              </w:rPr>
              <w:t>aron</w:t>
            </w:r>
            <w:r w:rsidRPr="0059421B">
              <w:rPr>
                <w:rFonts w:ascii="Arial" w:hAnsi="Arial" w:cs="Arial"/>
                <w:sz w:val="20"/>
                <w:szCs w:val="20"/>
                <w:lang w:val="es-ES"/>
              </w:rPr>
              <w:t xml:space="preserve"> la baja de los servicios)</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rsidTr="009434E8">
        <w:trPr>
          <w:jc w:val="center"/>
        </w:trPr>
        <w:tc>
          <w:tcPr>
            <w:tcW w:w="2402" w:type="pct"/>
            <w:vAlign w:val="center"/>
          </w:tcPr>
          <w:p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valida</w:t>
            </w:r>
            <w:r w:rsidRPr="0059421B">
              <w:rPr>
                <w:rFonts w:ascii="Arial" w:hAnsi="Arial" w:cs="Arial"/>
                <w:sz w:val="20"/>
                <w:szCs w:val="20"/>
                <w:lang w:val="es-ES"/>
              </w:rPr>
              <w:t>n</w:t>
            </w:r>
            <w:r w:rsidR="000925F3" w:rsidRPr="0059421B">
              <w:rPr>
                <w:rFonts w:ascii="Arial" w:hAnsi="Arial" w:cs="Arial"/>
                <w:sz w:val="20"/>
                <w:szCs w:val="20"/>
                <w:lang w:val="es-ES"/>
              </w:rPr>
              <w:t xml:space="preserve"> el Programa de Trabajo.</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 entregó el Programa de Trabajo)</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rsidTr="009434E8">
        <w:trPr>
          <w:jc w:val="center"/>
        </w:trPr>
        <w:tc>
          <w:tcPr>
            <w:tcW w:w="2402" w:type="pct"/>
            <w:vAlign w:val="center"/>
          </w:tcPr>
          <w:p w:rsidR="000925F3" w:rsidRPr="0059421B" w:rsidRDefault="000925F3"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realiza el retiro de su infraestructura.</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1A02F3" w:rsidRPr="0059421B" w:rsidRDefault="001A02F3">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rsidTr="009434E8">
        <w:trPr>
          <w:jc w:val="center"/>
        </w:trPr>
        <w:tc>
          <w:tcPr>
            <w:tcW w:w="2402" w:type="pct"/>
            <w:vAlign w:val="center"/>
          </w:tcPr>
          <w:p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realizará</w:t>
            </w:r>
            <w:r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rsidTr="009434E8">
        <w:trPr>
          <w:jc w:val="center"/>
        </w:trPr>
        <w:tc>
          <w:tcPr>
            <w:tcW w:w="2402" w:type="pct"/>
            <w:vAlign w:val="center"/>
          </w:tcPr>
          <w:p w:rsidR="000925F3" w:rsidRPr="0059421B" w:rsidRDefault="00C15150" w:rsidP="003936B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propone</w:t>
            </w:r>
            <w:r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5 DH </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 notifique que ha concluido los trabajos de Desinstalación de Infraestructura)</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AB7CEA" w:rsidRPr="0059421B" w:rsidRDefault="00AB7CEA" w:rsidP="00AB7CEA">
      <w:pPr>
        <w:rPr>
          <w:rFonts w:ascii="Arial" w:hAnsi="Arial" w:cs="Arial"/>
          <w:sz w:val="20"/>
          <w:szCs w:val="20"/>
        </w:rPr>
      </w:pPr>
    </w:p>
    <w:p w:rsidR="006814AD" w:rsidRPr="0059421B" w:rsidRDefault="006814AD" w:rsidP="0028485B">
      <w:pPr>
        <w:pStyle w:val="Ttulo2"/>
        <w:rPr>
          <w:rFonts w:ascii="Arial" w:hAnsi="Arial" w:cs="Arial"/>
          <w:sz w:val="22"/>
          <w:szCs w:val="22"/>
        </w:rPr>
      </w:pPr>
      <w:r w:rsidRPr="0059421B">
        <w:rPr>
          <w:rFonts w:ascii="Arial" w:hAnsi="Arial" w:cs="Arial"/>
          <w:sz w:val="22"/>
          <w:szCs w:val="22"/>
        </w:rPr>
        <w:t>Penas Convencionales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no alcance el indicador de calidad correspondiente a cualquier parámetro de algún Servicio objeto de la Oferta de Referencia, los CS tendrán el derecho a requerir y obtener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el pago de la compensación que corresponda conforme a lo siguiente:</w:t>
      </w:r>
    </w:p>
    <w:p w:rsidR="006814AD" w:rsidRPr="0059421B" w:rsidRDefault="007357A4"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 xml:space="preserve">.1 </w:t>
      </w:r>
      <w:r w:rsidR="006814AD" w:rsidRPr="0059421B">
        <w:rPr>
          <w:rFonts w:ascii="Arial" w:hAnsi="Arial" w:cs="Arial"/>
          <w:sz w:val="22"/>
          <w:szCs w:val="22"/>
          <w:u w:val="none"/>
        </w:rPr>
        <w:tab/>
        <w:t>Bloques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Servicios han sido definidos los parámetros e indicadores de calidad. Dichos parámetros serán validados por bloques de 100 (cien) eventos consecutivos, considerando el orden en el que fueron presentadas sus respectivas solicitudes, comenzando por la primera </w:t>
      </w:r>
      <w:r w:rsidRPr="0059421B">
        <w:rPr>
          <w:rFonts w:ascii="Arial" w:hAnsi="Arial" w:cs="Arial"/>
          <w:bCs/>
          <w:color w:val="000000"/>
          <w:sz w:val="22"/>
          <w:szCs w:val="22"/>
        </w:rPr>
        <w:lastRenderedPageBreak/>
        <w:t>solicitud presentada, en el entendido de que alcanzados tales 100 (cien) eventos consecutivos respecto del mismo parámetro, iniciará la contabilización de un nuevo bloque.</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100 (cien), la medición de calidad se realizará con el número de eventos efectivamente alcanzados.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rsidR="006814AD" w:rsidRPr="0059421B" w:rsidRDefault="007357A4"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alcanza el 90% del cumplimiento de los plazos establecidos, entonces el 10 % restante podrá alcanzarse en un extra de tiempo no mayor al 50% del plazo original sin que esto genere una pena; por lo tanto, sólo generarán pena los eventos que superen el 150% del plazo original.</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el cumplimiento, en los casos en que un cálculo arroje números decimales se tomará como válido el número entero inmediato superior.</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respecto de los plazos comprometidos para la realización de un Servicio en específico bajo los términos de la Oferta de Referencia.</w:t>
      </w:r>
    </w:p>
    <w:p w:rsidR="006814AD" w:rsidRPr="0059421B" w:rsidRDefault="006814AD" w:rsidP="0028485B">
      <w:pPr>
        <w:adjustRightInd w:val="0"/>
        <w:spacing w:before="0" w:after="20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1843"/>
        <w:gridCol w:w="1843"/>
        <w:gridCol w:w="992"/>
      </w:tblGrid>
      <w:tr w:rsidR="006814AD" w:rsidRPr="0059421B" w:rsidTr="00760651">
        <w:trPr>
          <w:trHeight w:val="471"/>
          <w:jc w:val="center"/>
        </w:trPr>
        <w:tc>
          <w:tcPr>
            <w:tcW w:w="1271" w:type="dxa"/>
            <w:shd w:val="clear" w:color="auto" w:fill="548DD4"/>
            <w:vAlign w:val="center"/>
          </w:tcPr>
          <w:p w:rsidR="006814AD" w:rsidRPr="0059421B" w:rsidRDefault="006814AD" w:rsidP="006814AD">
            <w:pPr>
              <w:suppressAutoHyphens/>
              <w:spacing w:before="0" w:after="0" w:line="240" w:lineRule="auto"/>
              <w:contextualSpacing/>
              <w:jc w:val="left"/>
              <w:rPr>
                <w:rFonts w:ascii="Arial" w:hAnsi="Arial" w:cs="Arial"/>
                <w:b/>
                <w:color w:val="FFFFFF"/>
                <w:sz w:val="22"/>
                <w:szCs w:val="22"/>
                <w:lang w:val="es-MX"/>
              </w:rPr>
            </w:pPr>
            <w:r w:rsidRPr="0059421B">
              <w:rPr>
                <w:rFonts w:ascii="Arial" w:hAnsi="Arial" w:cs="Arial"/>
                <w:b/>
                <w:color w:val="FFFFFF"/>
                <w:sz w:val="22"/>
                <w:szCs w:val="22"/>
                <w:lang w:val="es-MX"/>
              </w:rPr>
              <w:t>Actividad:</w:t>
            </w:r>
          </w:p>
        </w:tc>
        <w:tc>
          <w:tcPr>
            <w:tcW w:w="1843" w:type="dxa"/>
            <w:vAlign w:val="center"/>
          </w:tcPr>
          <w:p w:rsidR="006814AD" w:rsidRPr="0059421B" w:rsidRDefault="006814AD" w:rsidP="006814AD">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MX"/>
              </w:rPr>
              <w:t>Entrega de Análisis de Factibilidad</w:t>
            </w:r>
          </w:p>
        </w:tc>
        <w:tc>
          <w:tcPr>
            <w:tcW w:w="1843" w:type="dxa"/>
            <w:shd w:val="clear" w:color="auto" w:fill="548DD4"/>
            <w:vAlign w:val="center"/>
          </w:tcPr>
          <w:p w:rsidR="006814AD" w:rsidRPr="0059421B" w:rsidRDefault="006814AD" w:rsidP="006814AD">
            <w:pPr>
              <w:suppressAutoHyphens/>
              <w:spacing w:before="0" w:after="0" w:line="240" w:lineRule="auto"/>
              <w:contextualSpacing/>
              <w:jc w:val="left"/>
              <w:rPr>
                <w:rFonts w:ascii="Arial" w:hAnsi="Arial" w:cs="Arial"/>
                <w:b/>
                <w:color w:val="FFFFFF"/>
                <w:sz w:val="22"/>
                <w:szCs w:val="22"/>
                <w:lang w:val="es-MX"/>
              </w:rPr>
            </w:pPr>
            <w:r w:rsidRPr="0059421B">
              <w:rPr>
                <w:rFonts w:ascii="Arial" w:hAnsi="Arial" w:cs="Arial"/>
                <w:b/>
                <w:color w:val="FFFFFF"/>
                <w:sz w:val="22"/>
                <w:szCs w:val="22"/>
                <w:lang w:val="es-MX"/>
              </w:rPr>
              <w:t>Indicador:</w:t>
            </w:r>
          </w:p>
        </w:tc>
        <w:tc>
          <w:tcPr>
            <w:tcW w:w="992" w:type="dxa"/>
            <w:vAlign w:val="center"/>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90%</w:t>
            </w:r>
          </w:p>
        </w:tc>
      </w:tr>
      <w:tr w:rsidR="006814AD" w:rsidRPr="0059421B" w:rsidTr="00760651">
        <w:trPr>
          <w:jc w:val="center"/>
        </w:trPr>
        <w:tc>
          <w:tcPr>
            <w:tcW w:w="1271"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992"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r>
      <w:tr w:rsidR="006814AD" w:rsidRPr="0059421B" w:rsidTr="00760651">
        <w:trPr>
          <w:jc w:val="center"/>
        </w:trPr>
        <w:tc>
          <w:tcPr>
            <w:tcW w:w="1271"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Bloque:</w:t>
            </w:r>
          </w:p>
        </w:tc>
        <w:tc>
          <w:tcPr>
            <w:tcW w:w="1843"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992"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r>
      <w:tr w:rsidR="006814AD" w:rsidRPr="0059421B" w:rsidTr="00760651">
        <w:trPr>
          <w:jc w:val="center"/>
        </w:trPr>
        <w:tc>
          <w:tcPr>
            <w:tcW w:w="1271" w:type="dxa"/>
            <w:shd w:val="clear" w:color="auto" w:fill="548DD4"/>
          </w:tcPr>
          <w:p w:rsidR="006814AD" w:rsidRPr="0059421B" w:rsidRDefault="006814AD" w:rsidP="006814AD">
            <w:pPr>
              <w:suppressAutoHyphens/>
              <w:spacing w:before="0" w:after="0" w:line="240" w:lineRule="auto"/>
              <w:contextualSpacing/>
              <w:rPr>
                <w:rFonts w:ascii="Arial" w:hAnsi="Arial" w:cs="Arial"/>
                <w:b/>
                <w:color w:val="FFFFFF"/>
                <w:sz w:val="22"/>
                <w:szCs w:val="22"/>
                <w:lang w:val="es-MX"/>
              </w:rPr>
            </w:pPr>
            <w:r w:rsidRPr="0059421B">
              <w:rPr>
                <w:rFonts w:ascii="Arial" w:hAnsi="Arial" w:cs="Arial"/>
                <w:b/>
                <w:color w:val="FFFFFF"/>
                <w:sz w:val="22"/>
                <w:szCs w:val="22"/>
                <w:lang w:val="es-MX"/>
              </w:rPr>
              <w:t>Mes</w:t>
            </w:r>
          </w:p>
        </w:tc>
        <w:tc>
          <w:tcPr>
            <w:tcW w:w="1843" w:type="dxa"/>
            <w:shd w:val="clear" w:color="auto" w:fill="548DD4"/>
          </w:tcPr>
          <w:p w:rsidR="006814AD" w:rsidRPr="0059421B" w:rsidRDefault="006814AD" w:rsidP="006814AD">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A tiempo:</w:t>
            </w:r>
          </w:p>
        </w:tc>
        <w:tc>
          <w:tcPr>
            <w:tcW w:w="1843" w:type="dxa"/>
            <w:shd w:val="clear" w:color="auto" w:fill="548DD4"/>
          </w:tcPr>
          <w:p w:rsidR="006814AD" w:rsidRPr="0059421B" w:rsidRDefault="006814AD" w:rsidP="006814AD">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Tardío</w:t>
            </w:r>
          </w:p>
        </w:tc>
        <w:tc>
          <w:tcPr>
            <w:tcW w:w="992" w:type="dxa"/>
            <w:shd w:val="clear" w:color="auto" w:fill="548DD4"/>
          </w:tcPr>
          <w:p w:rsidR="006814AD" w:rsidRPr="0059421B" w:rsidRDefault="006814AD" w:rsidP="006814AD">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Total</w:t>
            </w:r>
          </w:p>
        </w:tc>
      </w:tr>
      <w:tr w:rsidR="006814AD" w:rsidRPr="0059421B" w:rsidTr="00760651">
        <w:trPr>
          <w:jc w:val="center"/>
        </w:trPr>
        <w:tc>
          <w:tcPr>
            <w:tcW w:w="1271"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Enero</w:t>
            </w:r>
          </w:p>
        </w:tc>
        <w:tc>
          <w:tcPr>
            <w:tcW w:w="1843"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22</w:t>
            </w:r>
          </w:p>
        </w:tc>
        <w:tc>
          <w:tcPr>
            <w:tcW w:w="1843"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8</w:t>
            </w:r>
          </w:p>
        </w:tc>
        <w:tc>
          <w:tcPr>
            <w:tcW w:w="992"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30</w:t>
            </w:r>
          </w:p>
        </w:tc>
      </w:tr>
      <w:tr w:rsidR="006814AD" w:rsidRPr="0059421B"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lastRenderedPageBreak/>
              <w:t>Febrero</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18</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w:t>
            </w:r>
          </w:p>
        </w:tc>
        <w:tc>
          <w:tcPr>
            <w:tcW w:w="992"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20</w:t>
            </w:r>
          </w:p>
        </w:tc>
      </w:tr>
      <w:tr w:rsidR="006814AD" w:rsidRPr="0059421B"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Marzo</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15</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c>
          <w:tcPr>
            <w:tcW w:w="992"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20</w:t>
            </w:r>
          </w:p>
        </w:tc>
      </w:tr>
      <w:tr w:rsidR="006814AD" w:rsidRPr="0059421B" w:rsidTr="00760651">
        <w:trPr>
          <w:jc w:val="center"/>
        </w:trPr>
        <w:tc>
          <w:tcPr>
            <w:tcW w:w="1271"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Abril</w:t>
            </w:r>
          </w:p>
        </w:tc>
        <w:tc>
          <w:tcPr>
            <w:tcW w:w="1843"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15</w:t>
            </w:r>
          </w:p>
        </w:tc>
        <w:tc>
          <w:tcPr>
            <w:tcW w:w="1843"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15</w:t>
            </w:r>
          </w:p>
        </w:tc>
        <w:tc>
          <w:tcPr>
            <w:tcW w:w="992"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30</w:t>
            </w:r>
          </w:p>
        </w:tc>
      </w:tr>
      <w:tr w:rsidR="006814AD" w:rsidRPr="0059421B" w:rsidTr="00760651">
        <w:trPr>
          <w:jc w:val="center"/>
        </w:trPr>
        <w:tc>
          <w:tcPr>
            <w:tcW w:w="1271" w:type="dxa"/>
            <w:tcBorders>
              <w:left w:val="nil"/>
              <w:bottom w:val="nil"/>
              <w:right w:val="nil"/>
            </w:tcBorders>
          </w:tcPr>
          <w:p w:rsidR="006814AD" w:rsidRPr="0059421B" w:rsidRDefault="006814AD" w:rsidP="006814AD">
            <w:pPr>
              <w:suppressAutoHyphens/>
              <w:spacing w:before="0" w:after="0" w:line="240" w:lineRule="auto"/>
              <w:contextualSpacing/>
              <w:jc w:val="right"/>
              <w:rPr>
                <w:rFonts w:ascii="Arial" w:hAnsi="Arial" w:cs="Arial"/>
                <w:b/>
                <w:sz w:val="22"/>
                <w:szCs w:val="22"/>
                <w:lang w:val="es-MX"/>
              </w:rPr>
            </w:pPr>
            <w:r w:rsidRPr="0059421B">
              <w:rPr>
                <w:rFonts w:ascii="Arial" w:hAnsi="Arial" w:cs="Arial"/>
                <w:b/>
                <w:sz w:val="22"/>
                <w:szCs w:val="22"/>
                <w:lang w:val="es-MX"/>
              </w:rPr>
              <w:t>Total</w:t>
            </w:r>
          </w:p>
        </w:tc>
        <w:tc>
          <w:tcPr>
            <w:tcW w:w="1843" w:type="dxa"/>
            <w:tcBorders>
              <w:left w:val="nil"/>
              <w:bottom w:val="nil"/>
              <w:right w:val="nil"/>
            </w:tcBorders>
            <w:shd w:val="clear" w:color="auto" w:fill="FFFF00"/>
          </w:tcPr>
          <w:p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59421B">
              <w:rPr>
                <w:rFonts w:ascii="Arial" w:hAnsi="Arial" w:cs="Arial"/>
                <w:b/>
                <w:sz w:val="22"/>
                <w:szCs w:val="22"/>
                <w:lang w:val="es-MX"/>
              </w:rPr>
              <w:t>70</w:t>
            </w:r>
          </w:p>
        </w:tc>
        <w:tc>
          <w:tcPr>
            <w:tcW w:w="1843" w:type="dxa"/>
            <w:tcBorders>
              <w:left w:val="nil"/>
              <w:bottom w:val="nil"/>
              <w:right w:val="nil"/>
            </w:tcBorders>
            <w:shd w:val="clear" w:color="auto" w:fill="FFFF00"/>
          </w:tcPr>
          <w:p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59421B">
              <w:rPr>
                <w:rFonts w:ascii="Arial" w:hAnsi="Arial" w:cs="Arial"/>
                <w:b/>
                <w:sz w:val="22"/>
                <w:szCs w:val="22"/>
                <w:lang w:val="es-MX"/>
              </w:rPr>
              <w:t>30</w:t>
            </w:r>
          </w:p>
        </w:tc>
        <w:tc>
          <w:tcPr>
            <w:tcW w:w="992" w:type="dxa"/>
            <w:tcBorders>
              <w:left w:val="nil"/>
              <w:bottom w:val="nil"/>
              <w:right w:val="nil"/>
            </w:tcBorders>
            <w:shd w:val="clear" w:color="auto" w:fill="FFFF00"/>
          </w:tcPr>
          <w:p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59421B">
              <w:rPr>
                <w:rFonts w:ascii="Arial" w:hAnsi="Arial" w:cs="Arial"/>
                <w:b/>
                <w:sz w:val="22"/>
                <w:szCs w:val="22"/>
                <w:lang w:val="es-MX"/>
              </w:rPr>
              <w:t>100</w:t>
            </w:r>
          </w:p>
        </w:tc>
      </w:tr>
    </w:tbl>
    <w:p w:rsidR="002B16AB" w:rsidRPr="0059421B" w:rsidRDefault="002B16AB" w:rsidP="002B16AB">
      <w:pPr>
        <w:adjustRightInd w:val="0"/>
        <w:spacing w:before="0" w:after="200" w:line="276" w:lineRule="auto"/>
        <w:ind w:right="760"/>
        <w:rPr>
          <w:rFonts w:ascii="Arial" w:hAnsi="Arial" w:cs="Arial"/>
          <w:bCs/>
          <w:sz w:val="22"/>
          <w:szCs w:val="22"/>
        </w:rPr>
      </w:pP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(setenta por ciento), por lo tanto, la compensación se calcularía respecto del 30% (treinta por ciento) restante. </w:t>
      </w:r>
    </w:p>
    <w:p w:rsidR="002B16AB" w:rsidRPr="0059421B" w:rsidRDefault="007357A4" w:rsidP="002B16AB">
      <w:pPr>
        <w:pStyle w:val="Ttulo3"/>
        <w:rPr>
          <w:rFonts w:ascii="Arial" w:hAnsi="Arial" w:cs="Arial"/>
          <w:sz w:val="22"/>
          <w:szCs w:val="22"/>
          <w:u w:val="none"/>
        </w:rPr>
      </w:pPr>
      <w:r w:rsidRPr="0059421B">
        <w:rPr>
          <w:rFonts w:ascii="Arial" w:hAnsi="Arial" w:cs="Arial"/>
          <w:sz w:val="22"/>
          <w:szCs w:val="22"/>
          <w:u w:val="none"/>
        </w:rPr>
        <w:t>3</w:t>
      </w:r>
      <w:r w:rsidR="0028485B" w:rsidRPr="0059421B">
        <w:rPr>
          <w:rFonts w:ascii="Arial" w:hAnsi="Arial" w:cs="Arial"/>
          <w:sz w:val="22"/>
          <w:szCs w:val="22"/>
          <w:u w:val="none"/>
        </w:rPr>
        <w:t xml:space="preserve">.3 </w:t>
      </w:r>
      <w:r w:rsidR="006814AD" w:rsidRPr="0059421B">
        <w:rPr>
          <w:rFonts w:ascii="Arial" w:hAnsi="Arial" w:cs="Arial"/>
          <w:sz w:val="22"/>
          <w:szCs w:val="22"/>
          <w:u w:val="none"/>
        </w:rPr>
        <w:t>Valor de las Penas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las Partes entenderán que el servicio fue denegado por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salvo que se acuerde lo contrario.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rsidR="006814AD" w:rsidRPr="0059421B" w:rsidRDefault="003D3157" w:rsidP="000F3DBC">
      <w:pPr>
        <w:adjustRightInd w:val="0"/>
        <w:spacing w:before="0" w:after="200" w:line="276" w:lineRule="auto"/>
        <w:rPr>
          <w:rFonts w:ascii="Arial" w:hAnsi="Arial" w:cs="Arial"/>
          <w:bCs/>
          <w:color w:val="000000"/>
          <w:sz w:val="22"/>
          <w:szCs w:val="22"/>
        </w:rPr>
      </w:pPr>
      <m:oMathPara>
        <m:oMath>
          <m:r>
            <w:rPr>
              <w:rFonts w:ascii="Cambria Math" w:hAnsi="Cambria Math" w:cs="Arial"/>
              <w:color w:val="000000"/>
              <w:sz w:val="22"/>
              <w:szCs w:val="22"/>
            </w:rPr>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rsidR="006814AD" w:rsidRPr="0059421B" w:rsidRDefault="006814AD" w:rsidP="000F3DBC">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Donde:</w:t>
      </w:r>
    </w:p>
    <w:p w:rsidR="006814AD" w:rsidRPr="0059421B" w:rsidRDefault="009548A4" w:rsidP="000F3DBC">
      <w:pPr>
        <w:adjustRightInd w:val="0"/>
        <w:spacing w:before="0" w:after="20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y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rsidR="006814AD" w:rsidRPr="0059421B" w:rsidRDefault="006814AD" w:rsidP="000F3DBC">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rsidR="00362C1E" w:rsidRPr="0059421B" w:rsidRDefault="00362C1E" w:rsidP="000F3DBC">
      <w:pPr>
        <w:adjustRightInd w:val="0"/>
        <w:spacing w:before="0" w:after="20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rsidTr="00760651">
        <w:trPr>
          <w:trHeight w:val="453"/>
          <w:jc w:val="center"/>
        </w:trPr>
        <w:tc>
          <w:tcPr>
            <w:tcW w:w="2593" w:type="dxa"/>
            <w:shd w:val="clear" w:color="auto" w:fill="548DD4"/>
            <w:vAlign w:val="center"/>
          </w:tcPr>
          <w:p w:rsidR="000F3DBC" w:rsidRPr="0059421B" w:rsidRDefault="000F3DBC" w:rsidP="000F3DBC">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t>Plazos de indicadores</w:t>
            </w:r>
          </w:p>
        </w:tc>
        <w:tc>
          <w:tcPr>
            <w:tcW w:w="2296" w:type="dxa"/>
            <w:shd w:val="clear" w:color="auto" w:fill="548DD4"/>
            <w:vAlign w:val="center"/>
          </w:tcPr>
          <w:p w:rsidR="000F3DBC" w:rsidRPr="0059421B" w:rsidRDefault="003D3157" w:rsidP="000F3DBC">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extent cx="1003300" cy="2476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rsidR="000F3DBC" w:rsidRPr="0059421B" w:rsidRDefault="003D3157" w:rsidP="00BF2BAA">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4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5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8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10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3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4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3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7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4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8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6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lastRenderedPageBreak/>
              <w:t>Plazo no definido</w:t>
            </w:r>
          </w:p>
        </w:tc>
        <w:tc>
          <w:tcPr>
            <w:tcW w:w="2296"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rsidR="000F3DBC" w:rsidRPr="0059421B" w:rsidRDefault="000F3DBC" w:rsidP="000F3DBC">
            <w:pPr>
              <w:suppressAutoHyphens/>
              <w:spacing w:before="0" w:after="120" w:line="240"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rsidR="0059421B" w:rsidRDefault="0059421B" w:rsidP="002B16AB">
      <w:pPr>
        <w:adjustRightInd w:val="0"/>
        <w:spacing w:before="0" w:after="200" w:line="276" w:lineRule="auto"/>
        <w:rPr>
          <w:rFonts w:ascii="Arial" w:hAnsi="Arial" w:cs="Arial"/>
          <w:bCs/>
          <w:color w:val="000000"/>
        </w:rPr>
      </w:pP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Ejemplo: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rsidR="006814AD"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hábiles 16, 17, 18 y 19 generan una pena por día del 2.5 % del valor del servicio; </w:t>
      </w:r>
    </w:p>
    <w:p w:rsidR="002B16AB" w:rsidRPr="0059421B" w:rsidRDefault="002B16AB" w:rsidP="002B16AB">
      <w:pPr>
        <w:suppressAutoHyphens/>
        <w:adjustRightInd w:val="0"/>
        <w:spacing w:before="0" w:after="200" w:line="276" w:lineRule="auto"/>
        <w:ind w:left="723"/>
        <w:contextualSpacing/>
        <w:rPr>
          <w:rFonts w:ascii="Arial" w:hAnsi="Arial" w:cs="Arial"/>
          <w:bCs/>
          <w:color w:val="000000"/>
          <w:sz w:val="22"/>
          <w:szCs w:val="22"/>
        </w:rPr>
      </w:pPr>
    </w:p>
    <w:p w:rsidR="002B16AB"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rsidR="002B16AB" w:rsidRPr="0059421B" w:rsidRDefault="002B16AB" w:rsidP="002B16AB">
      <w:pPr>
        <w:suppressAutoHyphens/>
        <w:adjustRightInd w:val="0"/>
        <w:spacing w:before="0" w:after="200" w:line="276" w:lineRule="auto"/>
        <w:contextualSpacing/>
        <w:rPr>
          <w:rFonts w:ascii="Arial" w:hAnsi="Arial" w:cs="Arial"/>
          <w:bCs/>
          <w:color w:val="000000"/>
          <w:sz w:val="22"/>
          <w:szCs w:val="22"/>
        </w:rPr>
      </w:pPr>
    </w:p>
    <w:p w:rsidR="002B16AB"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rsidR="002B16AB" w:rsidRPr="0059421B" w:rsidRDefault="002B16AB" w:rsidP="002B16AB">
      <w:pPr>
        <w:suppressAutoHyphens/>
        <w:adjustRightInd w:val="0"/>
        <w:spacing w:before="0" w:after="200" w:line="276" w:lineRule="auto"/>
        <w:contextualSpacing/>
        <w:rPr>
          <w:rFonts w:ascii="Arial" w:hAnsi="Arial" w:cs="Arial"/>
          <w:bCs/>
          <w:color w:val="000000"/>
          <w:sz w:val="22"/>
          <w:szCs w:val="22"/>
        </w:rPr>
      </w:pPr>
    </w:p>
    <w:p w:rsidR="006814AD"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rsidR="005841AB" w:rsidRPr="0059421B" w:rsidRDefault="005841AB" w:rsidP="002B16AB">
      <w:pPr>
        <w:adjustRightInd w:val="0"/>
        <w:spacing w:before="0" w:after="200" w:line="276" w:lineRule="auto"/>
        <w:rPr>
          <w:rFonts w:ascii="Arial" w:hAnsi="Arial" w:cs="Arial"/>
          <w:bCs/>
          <w:color w:val="000000"/>
          <w:sz w:val="22"/>
          <w:szCs w:val="22"/>
        </w:rPr>
      </w:pPr>
    </w:p>
    <w:p w:rsidR="006814AD" w:rsidRPr="0059421B" w:rsidRDefault="006814AD" w:rsidP="002B16AB">
      <w:pPr>
        <w:adjustRightInd w:val="0"/>
        <w:spacing w:before="0" w:after="200" w:line="276" w:lineRule="auto"/>
        <w:rPr>
          <w:rFonts w:ascii="Arial" w:hAnsi="Arial" w:cs="Arial"/>
          <w:bCs/>
          <w:color w:val="000000"/>
          <w:sz w:val="22"/>
          <w:szCs w:val="22"/>
        </w:rPr>
      </w:pP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 la actividad de apoyo asociada: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rsidTr="002B16AB">
        <w:tc>
          <w:tcPr>
            <w:tcW w:w="4023" w:type="dxa"/>
            <w:shd w:val="clear" w:color="auto" w:fill="548DD4"/>
          </w:tcPr>
          <w:p w:rsidR="006814AD" w:rsidRPr="0059421B" w:rsidRDefault="006814AD" w:rsidP="006814AD">
            <w:pPr>
              <w:suppressAutoHyphens/>
              <w:spacing w:before="0" w:after="12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4765" w:type="dxa"/>
            <w:shd w:val="clear" w:color="auto" w:fill="548DD4"/>
          </w:tcPr>
          <w:p w:rsidR="006814AD" w:rsidRPr="0059421B" w:rsidRDefault="006814AD" w:rsidP="006814AD">
            <w:pPr>
              <w:suppressAutoHyphens/>
              <w:spacing w:before="0" w:after="12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rsidTr="002B16AB">
        <w:tc>
          <w:tcPr>
            <w:tcW w:w="4023" w:type="dxa"/>
          </w:tcPr>
          <w:p w:rsidR="006814AD" w:rsidRPr="0059421B" w:rsidRDefault="006814AD" w:rsidP="006814AD">
            <w:pPr>
              <w:suppressAutoHyphens/>
              <w:spacing w:before="0" w:after="120" w:line="240"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rsidR="006814AD" w:rsidRPr="0059421B" w:rsidRDefault="006814AD" w:rsidP="006814AD">
            <w:pPr>
              <w:suppressAutoHyphens/>
              <w:spacing w:before="0" w:after="120" w:line="240"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rsidTr="002B16AB">
        <w:tc>
          <w:tcPr>
            <w:tcW w:w="4023" w:type="dxa"/>
          </w:tcPr>
          <w:p w:rsidR="006814AD" w:rsidRPr="0059421B" w:rsidRDefault="006814AD" w:rsidP="006814AD">
            <w:pPr>
              <w:suppressAutoHyphens/>
              <w:spacing w:before="0" w:after="120" w:line="240"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rsidR="006814AD" w:rsidRPr="0059421B" w:rsidRDefault="006814AD" w:rsidP="006814AD">
            <w:pPr>
              <w:suppressAutoHyphens/>
              <w:spacing w:before="0" w:after="120" w:line="240"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rsidR="006814AD" w:rsidRPr="0059421B" w:rsidRDefault="006814AD" w:rsidP="006814AD">
      <w:pPr>
        <w:adjustRightInd w:val="0"/>
        <w:spacing w:before="0" w:after="200" w:line="276" w:lineRule="auto"/>
        <w:ind w:left="851" w:right="760"/>
        <w:rPr>
          <w:rFonts w:ascii="Arial" w:hAnsi="Arial" w:cs="Arial"/>
          <w:bCs/>
          <w:color w:val="000000"/>
          <w:sz w:val="22"/>
          <w:szCs w:val="22"/>
        </w:rPr>
      </w:pPr>
    </w:p>
    <w:p w:rsidR="00BF2BAA" w:rsidRPr="0059421B" w:rsidRDefault="006814AD" w:rsidP="00D65A2E">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ha incumplido con la correcta prestación de los servicios, salvo que se acuerde lo contrario.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rsidTr="00D65A2E">
        <w:tc>
          <w:tcPr>
            <w:tcW w:w="4848" w:type="dxa"/>
            <w:shd w:val="clear" w:color="auto" w:fill="548DD4"/>
          </w:tcPr>
          <w:p w:rsidR="006814AD" w:rsidRPr="0059421B" w:rsidRDefault="006814AD" w:rsidP="005841AB">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rsidR="006814AD" w:rsidRPr="0059421B" w:rsidRDefault="006814AD" w:rsidP="005841AB">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MX"/>
              </w:rPr>
              <w:t xml:space="preserve">Acceso por Emergencia </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ES"/>
              </w:rPr>
            </w:pPr>
            <w:r w:rsidRPr="0059421B">
              <w:rPr>
                <w:rFonts w:ascii="Arial" w:hAnsi="Arial" w:cs="Arial"/>
                <w:sz w:val="22"/>
                <w:szCs w:val="22"/>
                <w:lang w:val="es-ES"/>
              </w:rPr>
              <w:t xml:space="preserve">Reparación de fallas atribuidas a </w:t>
            </w:r>
            <w:r w:rsidR="002F7002" w:rsidRPr="0059421B">
              <w:rPr>
                <w:rFonts w:ascii="Arial" w:hAnsi="Arial" w:cs="Arial"/>
                <w:sz w:val="22"/>
                <w:szCs w:val="22"/>
                <w:lang w:val="es-ES"/>
              </w:rPr>
              <w:t>la División Mayorista</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rsidR="00061344" w:rsidRPr="0059421B" w:rsidRDefault="00061344" w:rsidP="0028485B">
      <w:pPr>
        <w:pStyle w:val="Ttulo3"/>
        <w:rPr>
          <w:rFonts w:ascii="Arial" w:hAnsi="Arial" w:cs="Arial"/>
          <w:sz w:val="22"/>
          <w:szCs w:val="22"/>
          <w:u w:val="none"/>
        </w:rPr>
      </w:pPr>
    </w:p>
    <w:p w:rsidR="006814AD" w:rsidRPr="0059421B" w:rsidRDefault="00A77409"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rPr>
        <w:lastRenderedPageBreak/>
        <w:t>El análisis de indicadores para el cálculo de penalizaciones se realizará de la siguiente forma:</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Octubre: análisis de periodo Julio – Septiembre del año en curso</w:t>
      </w:r>
    </w:p>
    <w:p w:rsidR="00D65A2E" w:rsidRPr="0059421B" w:rsidRDefault="00D65A2E" w:rsidP="00D65A2E">
      <w:pPr>
        <w:suppressAutoHyphens/>
        <w:adjustRightInd w:val="0"/>
        <w:spacing w:before="0" w:after="200" w:line="276" w:lineRule="auto"/>
        <w:ind w:left="870"/>
        <w:contextualSpacing/>
        <w:rPr>
          <w:rFonts w:ascii="Arial" w:hAnsi="Arial" w:cs="Arial"/>
          <w:sz w:val="22"/>
          <w:szCs w:val="22"/>
          <w:lang w:val="es-ES" w:eastAsia="en-US"/>
        </w:rPr>
      </w:pP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elaborará un reporte de cumplimiento de cada uno de los servicios y actividades de acuerdo a lo señalado en este documento dentro de los primeros 10 días hábiles al trimestre que concluyó. </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se hace acreedor y por las que elaborará una Nota de Crédito que se enviará al CS.</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El CS contará con un plazo de 10 días hábiles para verificar y aceptar las penalizaciones correspondientes, en cuyo caso la Nota de Crédito se aceptará y utilizará en el pago de la siguiente facturación del servicio. En caso contrario, enviará a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una nota aclaratoria con el debido sustento (notificaciones de entrega de los servicios) y con base en ello se realizará el cálculo de las penas correspondientes. </w:t>
      </w:r>
    </w:p>
    <w:p w:rsidR="006814AD" w:rsidRPr="0059421B" w:rsidRDefault="006814AD" w:rsidP="00D65A2E">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haya recibido la aclaración por parte del CS, contará con 10 días hábiles para verificar y validar la información. En caso de aceptación del nuevo cálculo de las penas,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elaborará una nueva Nota de Crédito en un plazo máximo de 3 días hábiles que el CS podrá utilizar en su siguiente facturación. En caso contrario,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deberá presentar la información que sustente el cálculo de las penas al IFT, quien tendrá la potestad de resolver dicho desacuerdo.</w:t>
      </w:r>
    </w:p>
    <w:p w:rsidR="006814AD" w:rsidRPr="0059421B" w:rsidRDefault="006814AD" w:rsidP="00D65A2E">
      <w:pPr>
        <w:rPr>
          <w:rFonts w:ascii="Arial" w:hAnsi="Arial" w:cs="Arial"/>
          <w:sz w:val="22"/>
          <w:szCs w:val="22"/>
        </w:rPr>
      </w:pPr>
    </w:p>
    <w:sectPr w:rsidR="006814AD" w:rsidRPr="0059421B" w:rsidSect="00362C1E">
      <w:headerReference w:type="default" r:id="rId13"/>
      <w:footerReference w:type="even" r:id="rId14"/>
      <w:footerReference w:type="default" r:id="rId15"/>
      <w:headerReference w:type="first" r:id="rId16"/>
      <w:pgSz w:w="12242" w:h="15842" w:code="1"/>
      <w:pgMar w:top="1985" w:right="1418" w:bottom="1418" w:left="1418" w:header="851"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8A4" w:rsidRDefault="009548A4" w:rsidP="005C1C06">
      <w:r>
        <w:separator/>
      </w:r>
    </w:p>
    <w:p w:rsidR="009548A4" w:rsidRDefault="009548A4" w:rsidP="005C1C06"/>
  </w:endnote>
  <w:endnote w:type="continuationSeparator" w:id="0">
    <w:p w:rsidR="009548A4" w:rsidRDefault="009548A4" w:rsidP="005C1C06">
      <w:r>
        <w:continuationSeparator/>
      </w:r>
    </w:p>
    <w:p w:rsidR="009548A4" w:rsidRDefault="009548A4" w:rsidP="005C1C06"/>
  </w:endnote>
  <w:endnote w:type="continuationNotice" w:id="1">
    <w:p w:rsidR="009548A4" w:rsidRDefault="009548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F3" w:rsidRPr="00AB270C" w:rsidRDefault="001A02F3" w:rsidP="00AB270C">
    <w:pPr>
      <w:pStyle w:val="Encabezado"/>
      <w:spacing w:before="0" w:after="0" w:line="240" w:lineRule="auto"/>
      <w:jc w:val="left"/>
      <w:rPr>
        <w:b/>
        <w:color w:val="548DD4"/>
        <w:szCs w:val="22"/>
        <w:lang w:val="es-ES"/>
      </w:rPr>
    </w:pPr>
    <w:r w:rsidRPr="00AB270C">
      <w:rPr>
        <w:b/>
        <w:color w:val="548DD4"/>
        <w:szCs w:val="22"/>
        <w:lang w:val="es-ES"/>
      </w:rPr>
      <w:t>ANEXO 3</w:t>
    </w:r>
  </w:p>
  <w:p w:rsidR="001A02F3" w:rsidRDefault="001A02F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F3" w:rsidRPr="0059421B" w:rsidRDefault="001A02F3" w:rsidP="00C23940">
    <w:pPr>
      <w:pStyle w:val="Piedepgina"/>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412280">
      <w:rPr>
        <w:rFonts w:cs="Arial"/>
        <w:noProof/>
        <w:sz w:val="18"/>
        <w:szCs w:val="22"/>
      </w:rPr>
      <w:t>15</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412280">
      <w:rPr>
        <w:rFonts w:cs="Arial"/>
        <w:noProof/>
        <w:sz w:val="18"/>
        <w:szCs w:val="22"/>
      </w:rPr>
      <w:t>15</w:t>
    </w:r>
    <w:r w:rsidRPr="0059421B">
      <w:rPr>
        <w:rFonts w:cs="Arial"/>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8A4" w:rsidRDefault="009548A4" w:rsidP="005C1C06">
      <w:r>
        <w:separator/>
      </w:r>
    </w:p>
    <w:p w:rsidR="009548A4" w:rsidRDefault="009548A4" w:rsidP="005C1C06"/>
  </w:footnote>
  <w:footnote w:type="continuationSeparator" w:id="0">
    <w:p w:rsidR="009548A4" w:rsidRDefault="009548A4" w:rsidP="005C1C06">
      <w:r>
        <w:continuationSeparator/>
      </w:r>
    </w:p>
    <w:p w:rsidR="009548A4" w:rsidRDefault="009548A4" w:rsidP="005C1C06"/>
  </w:footnote>
  <w:footnote w:type="continuationNotice" w:id="1">
    <w:p w:rsidR="009548A4" w:rsidRDefault="009548A4">
      <w:pPr>
        <w:spacing w:before="0" w:after="0" w:line="240" w:lineRule="auto"/>
      </w:pPr>
    </w:p>
  </w:footnote>
  <w:footnote w:id="2">
    <w:p w:rsidR="001A02F3" w:rsidRPr="00BC7574"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Se entiende que dentro de este mismo plazo la División Mayorista deberá actualizar la información correspondiente en el SEG y registrará el resultado de la Visita Técnica.</w:t>
      </w:r>
    </w:p>
  </w:footnote>
  <w:footnote w:id="3">
    <w:p w:rsidR="001A02F3" w:rsidRPr="00BC7574"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Se considera que, en caso de ser necesario, el CS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w:t>
      </w:r>
      <w:r w:rsidR="00682827">
        <w:rPr>
          <w:sz w:val="14"/>
          <w:lang w:val="es-MX"/>
        </w:rPr>
        <w:t xml:space="preserve"> del plazo adicional</w:t>
      </w:r>
      <w:r w:rsidRPr="0059421B">
        <w:rPr>
          <w:sz w:val="14"/>
          <w:lang w:val="es-MX"/>
        </w:rPr>
        <w:t xml:space="preserve"> registrada en el SEG</w:t>
      </w:r>
      <w:r w:rsidR="002135BA">
        <w:rPr>
          <w:sz w:val="14"/>
          <w:lang w:val="es-MX"/>
        </w:rPr>
        <w:t>, es decir, el plazo máximo para estos casos será de 40 DH para entregar el anteproyecto</w:t>
      </w:r>
      <w:r w:rsidRPr="0059421B">
        <w:rPr>
          <w:sz w:val="14"/>
          <w:lang w:val="es-MX"/>
        </w:rPr>
        <w:t>.</w:t>
      </w:r>
    </w:p>
  </w:footnote>
  <w:footnote w:id="4">
    <w:p w:rsidR="001A02F3" w:rsidRPr="00A2573C"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Dentro de este mismo plazo la División Mayorista deberá actualizar la información correspondiente en el SEG y registrará el resultado de la Visita Técnica.</w:t>
      </w:r>
    </w:p>
  </w:footnote>
  <w:footnote w:id="5">
    <w:p w:rsidR="001A02F3" w:rsidRPr="00BC7574"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 xml:space="preserve">Se considera que, en caso de ser necesario, el CS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w:t>
      </w:r>
      <w:r w:rsidR="002135BA" w:rsidRPr="002135BA">
        <w:rPr>
          <w:sz w:val="14"/>
          <w:lang w:val="es-MX"/>
        </w:rPr>
        <w:t xml:space="preserve">del plazo adicional </w:t>
      </w:r>
      <w:r w:rsidRPr="0059421B">
        <w:rPr>
          <w:sz w:val="14"/>
          <w:lang w:val="es-MX"/>
        </w:rPr>
        <w:t>registrada en el SEG</w:t>
      </w:r>
      <w:r w:rsidR="002135BA" w:rsidRPr="002135BA">
        <w:rPr>
          <w:sz w:val="14"/>
          <w:lang w:val="es-MX"/>
        </w:rPr>
        <w:t>, es decir, el plazo máximo para estos casos será de 40 DH para entregar el anteproyecto.</w:t>
      </w:r>
      <w:r w:rsidRPr="0059421B">
        <w:rPr>
          <w:sz w:val="14"/>
          <w:lang w:val="es-MX"/>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F3" w:rsidRDefault="001A02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 xml:space="preserve">Anexo 4 Parámetros e Indicadores de los Niveles de Calidad y </w:t>
    </w:r>
  </w:p>
  <w:p w:rsidR="001A02F3" w:rsidRPr="00362C1E" w:rsidRDefault="001A02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Penas Convencionales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F3" w:rsidRPr="00751458" w:rsidRDefault="001A02F3" w:rsidP="005C1C06">
    <w:pPr>
      <w:pStyle w:val="Encabezado"/>
    </w:pPr>
  </w:p>
  <w:p w:rsidR="001A02F3" w:rsidRDefault="001A02F3" w:rsidP="005C1C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24A99"/>
    <w:rsid w:val="000269BF"/>
    <w:rsid w:val="000378AA"/>
    <w:rsid w:val="0004478A"/>
    <w:rsid w:val="00046AB5"/>
    <w:rsid w:val="00052AB2"/>
    <w:rsid w:val="00057632"/>
    <w:rsid w:val="00060DEB"/>
    <w:rsid w:val="00061344"/>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A4BAD"/>
    <w:rsid w:val="000A690E"/>
    <w:rsid w:val="000A7598"/>
    <w:rsid w:val="000B5183"/>
    <w:rsid w:val="000B588C"/>
    <w:rsid w:val="000C03B4"/>
    <w:rsid w:val="000C565B"/>
    <w:rsid w:val="000C677B"/>
    <w:rsid w:val="000C783C"/>
    <w:rsid w:val="000D0BFC"/>
    <w:rsid w:val="000D3F63"/>
    <w:rsid w:val="000D7034"/>
    <w:rsid w:val="000E1F01"/>
    <w:rsid w:val="000F3DBC"/>
    <w:rsid w:val="000F7C9D"/>
    <w:rsid w:val="0010278E"/>
    <w:rsid w:val="00106CD8"/>
    <w:rsid w:val="00107993"/>
    <w:rsid w:val="00110286"/>
    <w:rsid w:val="00110DEF"/>
    <w:rsid w:val="00110EA9"/>
    <w:rsid w:val="00113FC9"/>
    <w:rsid w:val="00115E54"/>
    <w:rsid w:val="001203E9"/>
    <w:rsid w:val="00125B59"/>
    <w:rsid w:val="00130154"/>
    <w:rsid w:val="001302E2"/>
    <w:rsid w:val="001309DD"/>
    <w:rsid w:val="0013488C"/>
    <w:rsid w:val="0013527A"/>
    <w:rsid w:val="0014573D"/>
    <w:rsid w:val="00146D5C"/>
    <w:rsid w:val="00147D42"/>
    <w:rsid w:val="00151588"/>
    <w:rsid w:val="001518BC"/>
    <w:rsid w:val="001539AF"/>
    <w:rsid w:val="001566B4"/>
    <w:rsid w:val="00181C77"/>
    <w:rsid w:val="00190B87"/>
    <w:rsid w:val="00191F43"/>
    <w:rsid w:val="001923CF"/>
    <w:rsid w:val="00194574"/>
    <w:rsid w:val="00197BE3"/>
    <w:rsid w:val="001A02F3"/>
    <w:rsid w:val="001A4867"/>
    <w:rsid w:val="001B3F1B"/>
    <w:rsid w:val="001B6D0B"/>
    <w:rsid w:val="001D732E"/>
    <w:rsid w:val="001E2258"/>
    <w:rsid w:val="001E5A8A"/>
    <w:rsid w:val="001E7AEE"/>
    <w:rsid w:val="001E7C19"/>
    <w:rsid w:val="001F440A"/>
    <w:rsid w:val="001F5062"/>
    <w:rsid w:val="001F5951"/>
    <w:rsid w:val="001F7C97"/>
    <w:rsid w:val="00203A05"/>
    <w:rsid w:val="00205813"/>
    <w:rsid w:val="00205C37"/>
    <w:rsid w:val="0020603D"/>
    <w:rsid w:val="00206425"/>
    <w:rsid w:val="00212DBE"/>
    <w:rsid w:val="002135BA"/>
    <w:rsid w:val="0021471D"/>
    <w:rsid w:val="0021629D"/>
    <w:rsid w:val="002165CD"/>
    <w:rsid w:val="00217CBD"/>
    <w:rsid w:val="00220AFC"/>
    <w:rsid w:val="002257DC"/>
    <w:rsid w:val="00234BD2"/>
    <w:rsid w:val="00244A3E"/>
    <w:rsid w:val="002512CA"/>
    <w:rsid w:val="00255BA1"/>
    <w:rsid w:val="0026070F"/>
    <w:rsid w:val="00260852"/>
    <w:rsid w:val="00260E1B"/>
    <w:rsid w:val="00267359"/>
    <w:rsid w:val="002675CE"/>
    <w:rsid w:val="00270041"/>
    <w:rsid w:val="00273869"/>
    <w:rsid w:val="002742A7"/>
    <w:rsid w:val="00280008"/>
    <w:rsid w:val="0028086D"/>
    <w:rsid w:val="0028148B"/>
    <w:rsid w:val="002839FC"/>
    <w:rsid w:val="0028485B"/>
    <w:rsid w:val="002849C5"/>
    <w:rsid w:val="002856A5"/>
    <w:rsid w:val="00294399"/>
    <w:rsid w:val="002A080F"/>
    <w:rsid w:val="002A4480"/>
    <w:rsid w:val="002A4AE0"/>
    <w:rsid w:val="002A54A7"/>
    <w:rsid w:val="002B16AB"/>
    <w:rsid w:val="002B1E7A"/>
    <w:rsid w:val="002C275F"/>
    <w:rsid w:val="002C287A"/>
    <w:rsid w:val="002C3A47"/>
    <w:rsid w:val="002C536E"/>
    <w:rsid w:val="002C75CD"/>
    <w:rsid w:val="002D73B2"/>
    <w:rsid w:val="002D7BA7"/>
    <w:rsid w:val="002D7EFF"/>
    <w:rsid w:val="002E1B57"/>
    <w:rsid w:val="002E7144"/>
    <w:rsid w:val="002F7002"/>
    <w:rsid w:val="002F78E3"/>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5630"/>
    <w:rsid w:val="00382BDF"/>
    <w:rsid w:val="003936B8"/>
    <w:rsid w:val="003A35A9"/>
    <w:rsid w:val="003A4771"/>
    <w:rsid w:val="003A7E52"/>
    <w:rsid w:val="003B406F"/>
    <w:rsid w:val="003B6ACE"/>
    <w:rsid w:val="003B7AB1"/>
    <w:rsid w:val="003C0ED6"/>
    <w:rsid w:val="003D3157"/>
    <w:rsid w:val="003D7035"/>
    <w:rsid w:val="003E5B38"/>
    <w:rsid w:val="003E7661"/>
    <w:rsid w:val="003F44B6"/>
    <w:rsid w:val="003F6474"/>
    <w:rsid w:val="004054A1"/>
    <w:rsid w:val="00407003"/>
    <w:rsid w:val="004078A6"/>
    <w:rsid w:val="00410E4B"/>
    <w:rsid w:val="00412280"/>
    <w:rsid w:val="00412FA6"/>
    <w:rsid w:val="00414197"/>
    <w:rsid w:val="00415ABC"/>
    <w:rsid w:val="00423A22"/>
    <w:rsid w:val="00430B0B"/>
    <w:rsid w:val="00432B87"/>
    <w:rsid w:val="00434324"/>
    <w:rsid w:val="00435C6F"/>
    <w:rsid w:val="00437441"/>
    <w:rsid w:val="00447D04"/>
    <w:rsid w:val="0045206E"/>
    <w:rsid w:val="004752AC"/>
    <w:rsid w:val="00476C77"/>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1B33"/>
    <w:rsid w:val="004D218F"/>
    <w:rsid w:val="004D2807"/>
    <w:rsid w:val="004D79E0"/>
    <w:rsid w:val="004E4120"/>
    <w:rsid w:val="0050045F"/>
    <w:rsid w:val="00500656"/>
    <w:rsid w:val="005008E0"/>
    <w:rsid w:val="00503CDB"/>
    <w:rsid w:val="005075DC"/>
    <w:rsid w:val="00515D0E"/>
    <w:rsid w:val="00524B1D"/>
    <w:rsid w:val="00525155"/>
    <w:rsid w:val="00527834"/>
    <w:rsid w:val="005304C8"/>
    <w:rsid w:val="0053196B"/>
    <w:rsid w:val="0053275D"/>
    <w:rsid w:val="00535492"/>
    <w:rsid w:val="00541210"/>
    <w:rsid w:val="005445B3"/>
    <w:rsid w:val="005446A9"/>
    <w:rsid w:val="0054763F"/>
    <w:rsid w:val="00554FD8"/>
    <w:rsid w:val="00562CD8"/>
    <w:rsid w:val="00567A04"/>
    <w:rsid w:val="005727D1"/>
    <w:rsid w:val="005772B8"/>
    <w:rsid w:val="0058003C"/>
    <w:rsid w:val="0058006A"/>
    <w:rsid w:val="005803DE"/>
    <w:rsid w:val="005841AB"/>
    <w:rsid w:val="00584AB0"/>
    <w:rsid w:val="00592305"/>
    <w:rsid w:val="0059421B"/>
    <w:rsid w:val="0059760A"/>
    <w:rsid w:val="005A05E3"/>
    <w:rsid w:val="005A2803"/>
    <w:rsid w:val="005A29F8"/>
    <w:rsid w:val="005A6538"/>
    <w:rsid w:val="005A6DC5"/>
    <w:rsid w:val="005B0DEC"/>
    <w:rsid w:val="005B2F21"/>
    <w:rsid w:val="005B4E41"/>
    <w:rsid w:val="005B5011"/>
    <w:rsid w:val="005B6834"/>
    <w:rsid w:val="005B6E36"/>
    <w:rsid w:val="005C1BB4"/>
    <w:rsid w:val="005C1C06"/>
    <w:rsid w:val="005D394C"/>
    <w:rsid w:val="005E4800"/>
    <w:rsid w:val="005F3D69"/>
    <w:rsid w:val="005F491E"/>
    <w:rsid w:val="005F5021"/>
    <w:rsid w:val="006042C1"/>
    <w:rsid w:val="00607D84"/>
    <w:rsid w:val="00616442"/>
    <w:rsid w:val="0062371D"/>
    <w:rsid w:val="00626931"/>
    <w:rsid w:val="00633977"/>
    <w:rsid w:val="0063609B"/>
    <w:rsid w:val="00641387"/>
    <w:rsid w:val="00642F33"/>
    <w:rsid w:val="006437EE"/>
    <w:rsid w:val="006458FB"/>
    <w:rsid w:val="00650658"/>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500B"/>
    <w:rsid w:val="006A6730"/>
    <w:rsid w:val="006B0C19"/>
    <w:rsid w:val="006B1142"/>
    <w:rsid w:val="006B48C0"/>
    <w:rsid w:val="006C5A8C"/>
    <w:rsid w:val="006C61AE"/>
    <w:rsid w:val="006C6C2F"/>
    <w:rsid w:val="006D02AB"/>
    <w:rsid w:val="006D75BE"/>
    <w:rsid w:val="006E0B03"/>
    <w:rsid w:val="007028DD"/>
    <w:rsid w:val="00702A48"/>
    <w:rsid w:val="007144C2"/>
    <w:rsid w:val="00720E9A"/>
    <w:rsid w:val="00724119"/>
    <w:rsid w:val="0072538C"/>
    <w:rsid w:val="007357A4"/>
    <w:rsid w:val="00737DCB"/>
    <w:rsid w:val="0074269F"/>
    <w:rsid w:val="00747AEF"/>
    <w:rsid w:val="00751458"/>
    <w:rsid w:val="00756398"/>
    <w:rsid w:val="00756DC1"/>
    <w:rsid w:val="00756EEF"/>
    <w:rsid w:val="00760086"/>
    <w:rsid w:val="00760651"/>
    <w:rsid w:val="00765E57"/>
    <w:rsid w:val="00765EF3"/>
    <w:rsid w:val="00766A0E"/>
    <w:rsid w:val="00770BF1"/>
    <w:rsid w:val="00773E78"/>
    <w:rsid w:val="0077702B"/>
    <w:rsid w:val="00777A85"/>
    <w:rsid w:val="00782D15"/>
    <w:rsid w:val="007903A9"/>
    <w:rsid w:val="00790B70"/>
    <w:rsid w:val="007940C0"/>
    <w:rsid w:val="00794F59"/>
    <w:rsid w:val="007A1E09"/>
    <w:rsid w:val="007B1696"/>
    <w:rsid w:val="007B3AB7"/>
    <w:rsid w:val="007B4B4D"/>
    <w:rsid w:val="007B7A80"/>
    <w:rsid w:val="007C00E6"/>
    <w:rsid w:val="007C1AB7"/>
    <w:rsid w:val="007C2B79"/>
    <w:rsid w:val="007D5372"/>
    <w:rsid w:val="007D7331"/>
    <w:rsid w:val="007E49B2"/>
    <w:rsid w:val="007F23B7"/>
    <w:rsid w:val="00800B5C"/>
    <w:rsid w:val="00806CE0"/>
    <w:rsid w:val="008235B3"/>
    <w:rsid w:val="008250B0"/>
    <w:rsid w:val="00825BCD"/>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6F7A"/>
    <w:rsid w:val="008772A6"/>
    <w:rsid w:val="00883967"/>
    <w:rsid w:val="008853ED"/>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3159"/>
    <w:rsid w:val="008E42C1"/>
    <w:rsid w:val="008E4600"/>
    <w:rsid w:val="008E64F1"/>
    <w:rsid w:val="008F0DB3"/>
    <w:rsid w:val="008F3589"/>
    <w:rsid w:val="00901896"/>
    <w:rsid w:val="00901DB9"/>
    <w:rsid w:val="00910886"/>
    <w:rsid w:val="00910E8C"/>
    <w:rsid w:val="00913A10"/>
    <w:rsid w:val="0091404F"/>
    <w:rsid w:val="00914FC3"/>
    <w:rsid w:val="00922AE0"/>
    <w:rsid w:val="00922F80"/>
    <w:rsid w:val="00923A69"/>
    <w:rsid w:val="00923FA5"/>
    <w:rsid w:val="0092536D"/>
    <w:rsid w:val="009434E8"/>
    <w:rsid w:val="00946448"/>
    <w:rsid w:val="009548A4"/>
    <w:rsid w:val="009551CC"/>
    <w:rsid w:val="009641A4"/>
    <w:rsid w:val="009648DA"/>
    <w:rsid w:val="00967DD0"/>
    <w:rsid w:val="00970516"/>
    <w:rsid w:val="00970D9B"/>
    <w:rsid w:val="00974239"/>
    <w:rsid w:val="00982A9C"/>
    <w:rsid w:val="009A39D4"/>
    <w:rsid w:val="009A7612"/>
    <w:rsid w:val="009B00D0"/>
    <w:rsid w:val="009B1FDC"/>
    <w:rsid w:val="009B25CC"/>
    <w:rsid w:val="009B2FE0"/>
    <w:rsid w:val="009B4A14"/>
    <w:rsid w:val="009B7819"/>
    <w:rsid w:val="009C14C7"/>
    <w:rsid w:val="009C1ACB"/>
    <w:rsid w:val="009C4473"/>
    <w:rsid w:val="009C5BA6"/>
    <w:rsid w:val="009D3AB0"/>
    <w:rsid w:val="009D5796"/>
    <w:rsid w:val="009F2449"/>
    <w:rsid w:val="009F3D36"/>
    <w:rsid w:val="009F756F"/>
    <w:rsid w:val="00A06B2B"/>
    <w:rsid w:val="00A07695"/>
    <w:rsid w:val="00A10E46"/>
    <w:rsid w:val="00A15E78"/>
    <w:rsid w:val="00A22F96"/>
    <w:rsid w:val="00A231A7"/>
    <w:rsid w:val="00A23425"/>
    <w:rsid w:val="00A24688"/>
    <w:rsid w:val="00A2573C"/>
    <w:rsid w:val="00A31D28"/>
    <w:rsid w:val="00A3304F"/>
    <w:rsid w:val="00A35D95"/>
    <w:rsid w:val="00A40620"/>
    <w:rsid w:val="00A453ED"/>
    <w:rsid w:val="00A52D8F"/>
    <w:rsid w:val="00A60701"/>
    <w:rsid w:val="00A72C73"/>
    <w:rsid w:val="00A7420E"/>
    <w:rsid w:val="00A77409"/>
    <w:rsid w:val="00A77AC4"/>
    <w:rsid w:val="00A857A8"/>
    <w:rsid w:val="00A92915"/>
    <w:rsid w:val="00A93984"/>
    <w:rsid w:val="00AA0D65"/>
    <w:rsid w:val="00AA3BBC"/>
    <w:rsid w:val="00AB23B8"/>
    <w:rsid w:val="00AB270C"/>
    <w:rsid w:val="00AB7B71"/>
    <w:rsid w:val="00AB7CEA"/>
    <w:rsid w:val="00AC438F"/>
    <w:rsid w:val="00AC7752"/>
    <w:rsid w:val="00AD7783"/>
    <w:rsid w:val="00AF0727"/>
    <w:rsid w:val="00AF12A9"/>
    <w:rsid w:val="00AF2532"/>
    <w:rsid w:val="00AF3674"/>
    <w:rsid w:val="00B010A7"/>
    <w:rsid w:val="00B11F64"/>
    <w:rsid w:val="00B1344C"/>
    <w:rsid w:val="00B145BA"/>
    <w:rsid w:val="00B1598A"/>
    <w:rsid w:val="00B22A50"/>
    <w:rsid w:val="00B24EB2"/>
    <w:rsid w:val="00B31660"/>
    <w:rsid w:val="00B31C44"/>
    <w:rsid w:val="00B412A9"/>
    <w:rsid w:val="00B46489"/>
    <w:rsid w:val="00B51F24"/>
    <w:rsid w:val="00B64A41"/>
    <w:rsid w:val="00B660A0"/>
    <w:rsid w:val="00B662E7"/>
    <w:rsid w:val="00B70414"/>
    <w:rsid w:val="00B7272C"/>
    <w:rsid w:val="00B80555"/>
    <w:rsid w:val="00B838B1"/>
    <w:rsid w:val="00B9410E"/>
    <w:rsid w:val="00B955F7"/>
    <w:rsid w:val="00BA09AF"/>
    <w:rsid w:val="00BB02AA"/>
    <w:rsid w:val="00BB0901"/>
    <w:rsid w:val="00BB5E95"/>
    <w:rsid w:val="00BC132A"/>
    <w:rsid w:val="00BC37E0"/>
    <w:rsid w:val="00BC4093"/>
    <w:rsid w:val="00BD0FD5"/>
    <w:rsid w:val="00BD1469"/>
    <w:rsid w:val="00BD6094"/>
    <w:rsid w:val="00BE122B"/>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940"/>
    <w:rsid w:val="00C23941"/>
    <w:rsid w:val="00C250E2"/>
    <w:rsid w:val="00C36127"/>
    <w:rsid w:val="00C37009"/>
    <w:rsid w:val="00C43FD0"/>
    <w:rsid w:val="00C45881"/>
    <w:rsid w:val="00C45ACB"/>
    <w:rsid w:val="00C46B15"/>
    <w:rsid w:val="00C46ED3"/>
    <w:rsid w:val="00C546BE"/>
    <w:rsid w:val="00C65A93"/>
    <w:rsid w:val="00C701E7"/>
    <w:rsid w:val="00C73116"/>
    <w:rsid w:val="00C741DE"/>
    <w:rsid w:val="00C74ACF"/>
    <w:rsid w:val="00C8428A"/>
    <w:rsid w:val="00C91E7F"/>
    <w:rsid w:val="00C97458"/>
    <w:rsid w:val="00CA075A"/>
    <w:rsid w:val="00CA0FB7"/>
    <w:rsid w:val="00CA1436"/>
    <w:rsid w:val="00CA2B78"/>
    <w:rsid w:val="00CA785D"/>
    <w:rsid w:val="00CB187A"/>
    <w:rsid w:val="00CB1CBD"/>
    <w:rsid w:val="00CB6438"/>
    <w:rsid w:val="00CC428D"/>
    <w:rsid w:val="00CC6AF6"/>
    <w:rsid w:val="00CC6CF0"/>
    <w:rsid w:val="00CD46C9"/>
    <w:rsid w:val="00CD6140"/>
    <w:rsid w:val="00CD68CD"/>
    <w:rsid w:val="00CD6A6C"/>
    <w:rsid w:val="00CF0907"/>
    <w:rsid w:val="00CF1C92"/>
    <w:rsid w:val="00CF3E72"/>
    <w:rsid w:val="00D00C42"/>
    <w:rsid w:val="00D046BF"/>
    <w:rsid w:val="00D05877"/>
    <w:rsid w:val="00D07110"/>
    <w:rsid w:val="00D100B1"/>
    <w:rsid w:val="00D14AD5"/>
    <w:rsid w:val="00D1557B"/>
    <w:rsid w:val="00D23AD9"/>
    <w:rsid w:val="00D25317"/>
    <w:rsid w:val="00D267EA"/>
    <w:rsid w:val="00D4560A"/>
    <w:rsid w:val="00D4628F"/>
    <w:rsid w:val="00D65A2E"/>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10F2F"/>
    <w:rsid w:val="00E25810"/>
    <w:rsid w:val="00E32997"/>
    <w:rsid w:val="00E32F84"/>
    <w:rsid w:val="00E33293"/>
    <w:rsid w:val="00E348EC"/>
    <w:rsid w:val="00E406B7"/>
    <w:rsid w:val="00E426EF"/>
    <w:rsid w:val="00E45836"/>
    <w:rsid w:val="00E46AD6"/>
    <w:rsid w:val="00E50DFE"/>
    <w:rsid w:val="00E6130F"/>
    <w:rsid w:val="00E74743"/>
    <w:rsid w:val="00E75EDF"/>
    <w:rsid w:val="00E81120"/>
    <w:rsid w:val="00E84088"/>
    <w:rsid w:val="00E84F29"/>
    <w:rsid w:val="00E850B9"/>
    <w:rsid w:val="00E858AF"/>
    <w:rsid w:val="00E9455A"/>
    <w:rsid w:val="00EA064A"/>
    <w:rsid w:val="00EA1796"/>
    <w:rsid w:val="00EA450A"/>
    <w:rsid w:val="00EA5FC3"/>
    <w:rsid w:val="00EA6B55"/>
    <w:rsid w:val="00EA6F54"/>
    <w:rsid w:val="00EB35B4"/>
    <w:rsid w:val="00EC3780"/>
    <w:rsid w:val="00EC56A4"/>
    <w:rsid w:val="00EC59B8"/>
    <w:rsid w:val="00ED0704"/>
    <w:rsid w:val="00EE234D"/>
    <w:rsid w:val="00EF3743"/>
    <w:rsid w:val="00EF38FB"/>
    <w:rsid w:val="00EF70DB"/>
    <w:rsid w:val="00F04CD4"/>
    <w:rsid w:val="00F07C19"/>
    <w:rsid w:val="00F12690"/>
    <w:rsid w:val="00F203A1"/>
    <w:rsid w:val="00F205CB"/>
    <w:rsid w:val="00F21372"/>
    <w:rsid w:val="00F24D8A"/>
    <w:rsid w:val="00F310A9"/>
    <w:rsid w:val="00F317C8"/>
    <w:rsid w:val="00F36889"/>
    <w:rsid w:val="00F37E12"/>
    <w:rsid w:val="00F505F0"/>
    <w:rsid w:val="00F54EDD"/>
    <w:rsid w:val="00F55DB4"/>
    <w:rsid w:val="00F575CE"/>
    <w:rsid w:val="00F57F8B"/>
    <w:rsid w:val="00F604D1"/>
    <w:rsid w:val="00F65456"/>
    <w:rsid w:val="00F65AFC"/>
    <w:rsid w:val="00F66DE5"/>
    <w:rsid w:val="00F7071B"/>
    <w:rsid w:val="00F72F11"/>
    <w:rsid w:val="00F75E70"/>
    <w:rsid w:val="00F81156"/>
    <w:rsid w:val="00F84C1E"/>
    <w:rsid w:val="00F854BF"/>
    <w:rsid w:val="00F929C8"/>
    <w:rsid w:val="00F94302"/>
    <w:rsid w:val="00F94883"/>
    <w:rsid w:val="00F94921"/>
    <w:rsid w:val="00F97AA4"/>
    <w:rsid w:val="00F97CD3"/>
    <w:rsid w:val="00FA1CBC"/>
    <w:rsid w:val="00FA5825"/>
    <w:rsid w:val="00FA7655"/>
    <w:rsid w:val="00FC2816"/>
    <w:rsid w:val="00FC41D1"/>
    <w:rsid w:val="00FD3859"/>
    <w:rsid w:val="00FD4E96"/>
    <w:rsid w:val="00FD5761"/>
    <w:rsid w:val="00FE01D3"/>
    <w:rsid w:val="00FE6445"/>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E2D92F9-9DFB-4E15-9332-82981F76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2.xml><?xml version="1.0" encoding="utf-8"?>
<ds:datastoreItem xmlns:ds="http://schemas.openxmlformats.org/officeDocument/2006/customXml" ds:itemID="{2152D068-D4E6-4340-A66E-FD29199F74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1743C2-CFAB-47D9-945C-DB72497BB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C8A8E2-8804-4CB3-AB31-701B832B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3230</Words>
  <Characters>17767</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Lemus Nieto Samanta Paola</dc:creator>
  <cp:keywords/>
  <dc:description/>
  <cp:lastModifiedBy>José Arturo Hiadi Cárdenas Figueroa</cp:lastModifiedBy>
  <cp:revision>4</cp:revision>
  <cp:lastPrinted>2015-10-30T05:03:00Z</cp:lastPrinted>
  <dcterms:created xsi:type="dcterms:W3CDTF">2020-07-17T00:27:00Z</dcterms:created>
  <dcterms:modified xsi:type="dcterms:W3CDTF">2020-08-14T15:41:00Z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