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F77" w:rsidRPr="00330641" w:rsidRDefault="009E1F77" w:rsidP="000F58E0">
      <w:pPr>
        <w:spacing w:after="0" w:line="276" w:lineRule="auto"/>
        <w:ind w:left="0" w:right="0" w:firstLine="0"/>
        <w:rPr>
          <w:rFonts w:ascii="ITC Avant Garde" w:hAnsi="ITC Avant Garde"/>
          <w:b/>
          <w:color w:val="auto"/>
          <w:sz w:val="24"/>
          <w:szCs w:val="24"/>
        </w:rPr>
      </w:pPr>
      <w:r w:rsidRPr="00330641">
        <w:rPr>
          <w:rFonts w:ascii="ITC Avant Garde" w:hAnsi="ITC Avant Garde"/>
          <w:b/>
          <w:color w:val="auto"/>
          <w:sz w:val="24"/>
          <w:szCs w:val="24"/>
        </w:rPr>
        <w:t>RESPUESTAS GENERALES QUE BRINDA EL INSTITUTO FEDERAL DE TELECOMUNICACIONES A LAS MANIFESTACIONES, OPINIONES, COMENTARIOS Y PROPUESTAS CONCRETAS, PRESENTADAS DURANTE LA CONSULTA PÚBLICA DE LA</w:t>
      </w:r>
      <w:r w:rsidR="004C7664" w:rsidRPr="00330641">
        <w:rPr>
          <w:rFonts w:ascii="ITC Avant Garde" w:hAnsi="ITC Avant Garde"/>
          <w:b/>
          <w:color w:val="auto"/>
          <w:sz w:val="24"/>
          <w:szCs w:val="24"/>
        </w:rPr>
        <w:t>S</w:t>
      </w:r>
      <w:r w:rsidRPr="00330641">
        <w:rPr>
          <w:rFonts w:ascii="ITC Avant Garde" w:hAnsi="ITC Avant Garde"/>
          <w:color w:val="auto"/>
          <w:sz w:val="24"/>
          <w:szCs w:val="24"/>
        </w:rPr>
        <w:t xml:space="preserve"> </w:t>
      </w:r>
      <w:r w:rsidRPr="00330641">
        <w:rPr>
          <w:rFonts w:ascii="ITC Avant Garde" w:hAnsi="ITC Avant Garde"/>
          <w:i/>
          <w:color w:val="auto"/>
          <w:sz w:val="24"/>
          <w:szCs w:val="24"/>
        </w:rPr>
        <w:t>“</w:t>
      </w:r>
      <w:r w:rsidRPr="00330641">
        <w:rPr>
          <w:rFonts w:ascii="ITC Avant Garde" w:hAnsi="ITC Avant Garde"/>
          <w:b/>
          <w:i/>
          <w:color w:val="auto"/>
          <w:sz w:val="24"/>
          <w:szCs w:val="24"/>
        </w:rPr>
        <w:t xml:space="preserve">PROPUESTAS DE OFERTAS DE REFERENCIA DE </w:t>
      </w:r>
      <w:r w:rsidR="00EB0944" w:rsidRPr="00330641">
        <w:rPr>
          <w:rFonts w:ascii="ITC Avant Garde" w:hAnsi="ITC Avant Garde"/>
          <w:b/>
          <w:i/>
          <w:color w:val="auto"/>
          <w:sz w:val="24"/>
          <w:szCs w:val="24"/>
        </w:rPr>
        <w:t xml:space="preserve">COMPARTICIÓN DE INFRAESTRUCTURA Y </w:t>
      </w:r>
      <w:r w:rsidRPr="00330641">
        <w:rPr>
          <w:rFonts w:ascii="ITC Avant Garde" w:hAnsi="ITC Avant Garde"/>
          <w:b/>
          <w:i/>
          <w:color w:val="auto"/>
          <w:sz w:val="24"/>
          <w:szCs w:val="24"/>
        </w:rPr>
        <w:t>ENLACES DEDICADOS PRESENTADAS POR</w:t>
      </w:r>
      <w:r w:rsidR="00EB0944" w:rsidRPr="00330641">
        <w:rPr>
          <w:rFonts w:ascii="ITC Avant Garde" w:hAnsi="ITC Avant Garde"/>
          <w:b/>
          <w:i/>
          <w:color w:val="auto"/>
          <w:sz w:val="24"/>
          <w:szCs w:val="24"/>
        </w:rPr>
        <w:t xml:space="preserve"> TELÉFONOS DE MÉXICO, TELÉFONOS DEL NOROESTE, RED NACIONAL ÚLTIMA MILLA Y RED ÚLTIMA MILLA DEL NOROESTE</w:t>
      </w:r>
      <w:r w:rsidRPr="00330641">
        <w:rPr>
          <w:rFonts w:ascii="ITC Avant Garde" w:hAnsi="ITC Avant Garde"/>
          <w:b/>
          <w:i/>
          <w:color w:val="auto"/>
          <w:sz w:val="24"/>
          <w:szCs w:val="24"/>
        </w:rPr>
        <w:t>”</w:t>
      </w:r>
      <w:r w:rsidRPr="00330641">
        <w:rPr>
          <w:rFonts w:ascii="ITC Avant Garde" w:hAnsi="ITC Avant Garde"/>
          <w:b/>
          <w:color w:val="auto"/>
          <w:sz w:val="24"/>
          <w:szCs w:val="24"/>
        </w:rPr>
        <w:t>.</w:t>
      </w:r>
    </w:p>
    <w:p w:rsidR="00BE6636" w:rsidRPr="00330641" w:rsidRDefault="00BE6636" w:rsidP="000F58E0">
      <w:pPr>
        <w:spacing w:after="0" w:line="276" w:lineRule="auto"/>
        <w:ind w:left="0" w:right="0" w:firstLine="0"/>
        <w:rPr>
          <w:rFonts w:ascii="ITC Avant Garde" w:hAnsi="ITC Avant Garde"/>
          <w:color w:val="auto"/>
        </w:rPr>
      </w:pPr>
    </w:p>
    <w:p w:rsidR="00D223E9" w:rsidRPr="00330641" w:rsidRDefault="00D223E9" w:rsidP="000F58E0">
      <w:pPr>
        <w:spacing w:after="0" w:line="276" w:lineRule="auto"/>
        <w:ind w:left="-6" w:hanging="11"/>
        <w:rPr>
          <w:rFonts w:ascii="ITC Avant Garde" w:hAnsi="ITC Avant Garde" w:cs="ITC Avant Garde"/>
        </w:rPr>
      </w:pPr>
      <w:r w:rsidRPr="00330641">
        <w:rPr>
          <w:rFonts w:ascii="ITC Avant Garde" w:hAnsi="ITC Avant Garde" w:cs="ITC Avant Garde"/>
          <w:b/>
        </w:rPr>
        <w:t xml:space="preserve">Fecha de Elaboración del Informe de Consideraciones sobre los comentarios, opiniones y aportaciones recibidos en relación a la presente Consulta Pública: </w:t>
      </w:r>
      <w:r w:rsidR="00F045BD" w:rsidRPr="00330641">
        <w:rPr>
          <w:rFonts w:ascii="ITC Avant Garde" w:hAnsi="ITC Avant Garde" w:cs="ITC Avant Garde"/>
        </w:rPr>
        <w:t>15</w:t>
      </w:r>
      <w:r w:rsidRPr="00330641">
        <w:rPr>
          <w:rFonts w:ascii="ITC Avant Garde" w:hAnsi="ITC Avant Garde" w:cs="ITC Avant Garde"/>
        </w:rPr>
        <w:t xml:space="preserve"> de </w:t>
      </w:r>
      <w:r w:rsidR="00F045BD" w:rsidRPr="00330641">
        <w:rPr>
          <w:rFonts w:ascii="ITC Avant Garde" w:hAnsi="ITC Avant Garde" w:cs="ITC Avant Garde"/>
        </w:rPr>
        <w:t xml:space="preserve">enero </w:t>
      </w:r>
      <w:r w:rsidR="00330641">
        <w:rPr>
          <w:rFonts w:ascii="ITC Avant Garde" w:hAnsi="ITC Avant Garde" w:cs="ITC Avant Garde"/>
        </w:rPr>
        <w:t>de 2021</w:t>
      </w:r>
      <w:r w:rsidRPr="00330641">
        <w:rPr>
          <w:rFonts w:ascii="ITC Avant Garde" w:hAnsi="ITC Avant Garde" w:cs="ITC Avant Garde"/>
        </w:rPr>
        <w:t>.</w:t>
      </w:r>
    </w:p>
    <w:p w:rsidR="00D223E9" w:rsidRPr="00330641" w:rsidRDefault="00D223E9" w:rsidP="000F58E0">
      <w:pPr>
        <w:spacing w:after="0" w:line="276" w:lineRule="auto"/>
        <w:ind w:left="-6" w:hanging="11"/>
        <w:rPr>
          <w:rFonts w:ascii="ITC Avant Garde" w:hAnsi="ITC Avant Garde" w:cs="ITC Avant Garde"/>
          <w:b/>
        </w:rPr>
      </w:pPr>
    </w:p>
    <w:p w:rsidR="00D223E9" w:rsidRPr="00330641" w:rsidRDefault="00D223E9" w:rsidP="000F58E0">
      <w:pPr>
        <w:spacing w:after="0" w:line="276" w:lineRule="auto"/>
        <w:ind w:left="-6" w:hanging="11"/>
        <w:rPr>
          <w:rFonts w:ascii="ITC Avant Garde" w:hAnsi="ITC Avant Garde" w:cs="ITC Avant Garde"/>
          <w:b/>
        </w:rPr>
      </w:pPr>
      <w:r w:rsidRPr="00330641">
        <w:rPr>
          <w:rFonts w:ascii="ITC Avant Garde" w:hAnsi="ITC Avant Garde" w:cs="ITC Avant Garde"/>
          <w:b/>
        </w:rPr>
        <w:t>Descripción de la Consulta Pública:</w:t>
      </w:r>
    </w:p>
    <w:p w:rsidR="00567F4F" w:rsidRPr="0014506C" w:rsidRDefault="00D223E9" w:rsidP="000F58E0">
      <w:pPr>
        <w:spacing w:after="0" w:line="276" w:lineRule="auto"/>
        <w:ind w:left="-6" w:right="0" w:hanging="11"/>
        <w:rPr>
          <w:rFonts w:ascii="ITC Avant Garde" w:eastAsiaTheme="minorHAnsi" w:hAnsi="ITC Avant Garde" w:cs="ITC Avant Garde"/>
          <w:lang w:eastAsia="en-US"/>
        </w:rPr>
      </w:pPr>
      <w:r w:rsidRPr="0014506C">
        <w:rPr>
          <w:rFonts w:ascii="ITC Avant Garde" w:hAnsi="ITC Avant Garde"/>
        </w:rPr>
        <w:t xml:space="preserve">El Instituto Federal de Telecomunicaciones (en lo sucesivo, </w:t>
      </w:r>
      <w:r w:rsidR="002F0C55">
        <w:rPr>
          <w:rFonts w:ascii="ITC Avant Garde" w:hAnsi="ITC Avant Garde"/>
        </w:rPr>
        <w:t xml:space="preserve">el </w:t>
      </w:r>
      <w:r w:rsidRPr="0014506C">
        <w:rPr>
          <w:rFonts w:ascii="ITC Avant Garde" w:hAnsi="ITC Avant Garde"/>
        </w:rPr>
        <w:t xml:space="preserve">“Instituto”) </w:t>
      </w:r>
      <w:r w:rsidRPr="0014506C">
        <w:rPr>
          <w:rFonts w:ascii="ITC Avant Garde" w:eastAsiaTheme="minorHAnsi" w:hAnsi="ITC Avant Garde" w:cs="ITC Avant Garde"/>
          <w:lang w:eastAsia="en-US"/>
        </w:rPr>
        <w:t xml:space="preserve">recibió los comentarios, opiniones y aportaciones que se tuvieron con relación al contenido de las </w:t>
      </w:r>
      <w:r w:rsidR="009E1F77" w:rsidRPr="0014506C">
        <w:rPr>
          <w:rFonts w:ascii="ITC Avant Garde" w:eastAsiaTheme="minorHAnsi" w:hAnsi="ITC Avant Garde" w:cs="ITC Avant Garde"/>
          <w:b/>
          <w:i/>
          <w:lang w:eastAsia="en-US"/>
        </w:rPr>
        <w:t>“</w:t>
      </w:r>
      <w:r w:rsidR="00EB0944" w:rsidRPr="0014506C">
        <w:rPr>
          <w:rFonts w:ascii="ITC Avant Garde" w:hAnsi="ITC Avant Garde"/>
          <w:b/>
          <w:i/>
          <w:color w:val="auto"/>
        </w:rPr>
        <w:t>Propuestas de Ofertas de Referencia de Compartición de Infraestructura y Enlaces Dedicados presentadas por Teléfonos de México, Teléfonos del Noroeste, Red Nacional Última Milla y Red Última Milla del Noroeste</w:t>
      </w:r>
      <w:r w:rsidR="009E1F77" w:rsidRPr="0014506C">
        <w:rPr>
          <w:rFonts w:ascii="ITC Avant Garde" w:hAnsi="ITC Avant Garde"/>
          <w:b/>
          <w:i/>
          <w:color w:val="auto"/>
        </w:rPr>
        <w:t>”</w:t>
      </w:r>
      <w:r w:rsidR="009E1F77" w:rsidRPr="0014506C">
        <w:rPr>
          <w:rFonts w:ascii="ITC Avant Garde" w:hAnsi="ITC Avant Garde"/>
          <w:color w:val="auto"/>
        </w:rPr>
        <w:t xml:space="preserve">, </w:t>
      </w:r>
      <w:r w:rsidR="00850E38" w:rsidRPr="0014506C">
        <w:rPr>
          <w:rFonts w:ascii="ITC Avant Garde" w:hAnsi="ITC Avant Garde"/>
          <w:color w:val="auto"/>
        </w:rPr>
        <w:t>(en lo sucesivo</w:t>
      </w:r>
      <w:r w:rsidR="00E14DDD" w:rsidRPr="0014506C">
        <w:rPr>
          <w:rFonts w:ascii="ITC Avant Garde" w:hAnsi="ITC Avant Garde"/>
          <w:color w:val="auto"/>
        </w:rPr>
        <w:t xml:space="preserve">, </w:t>
      </w:r>
      <w:r w:rsidR="00232EC1">
        <w:rPr>
          <w:rFonts w:ascii="ITC Avant Garde" w:hAnsi="ITC Avant Garde"/>
          <w:color w:val="auto"/>
        </w:rPr>
        <w:t xml:space="preserve">la </w:t>
      </w:r>
      <w:r w:rsidR="00E14DDD" w:rsidRPr="0014506C">
        <w:rPr>
          <w:rFonts w:ascii="ITC Avant Garde" w:hAnsi="ITC Avant Garde"/>
          <w:color w:val="auto"/>
        </w:rPr>
        <w:t>“</w:t>
      </w:r>
      <w:r w:rsidR="00E0448E" w:rsidRPr="0014506C">
        <w:rPr>
          <w:rFonts w:ascii="ITC Avant Garde" w:eastAsiaTheme="minorHAnsi" w:hAnsi="ITC Avant Garde" w:cs="ITC Avant Garde"/>
          <w:lang w:eastAsia="en-US"/>
        </w:rPr>
        <w:t>Propuesta</w:t>
      </w:r>
      <w:r w:rsidR="00567F4F" w:rsidRPr="0014506C">
        <w:rPr>
          <w:rFonts w:ascii="ITC Avant Garde" w:eastAsiaTheme="minorHAnsi" w:hAnsi="ITC Avant Garde" w:cs="ITC Avant Garde"/>
          <w:lang w:eastAsia="en-US"/>
        </w:rPr>
        <w:t xml:space="preserve"> de Oferta</w:t>
      </w:r>
      <w:r w:rsidR="00E14DDD" w:rsidRPr="0014506C">
        <w:rPr>
          <w:rFonts w:ascii="ITC Avant Garde" w:hAnsi="ITC Avant Garde"/>
          <w:color w:val="auto"/>
        </w:rPr>
        <w:t xml:space="preserve">”) </w:t>
      </w:r>
      <w:r w:rsidR="00BE6636" w:rsidRPr="0014506C">
        <w:rPr>
          <w:rFonts w:ascii="ITC Avant Garde" w:hAnsi="ITC Avant Garde"/>
          <w:color w:val="auto"/>
        </w:rPr>
        <w:t xml:space="preserve">materia de la consulta pública de mérito, recibidas durante el periodo comprendido del </w:t>
      </w:r>
      <w:r w:rsidR="00F210D4" w:rsidRPr="0014506C">
        <w:rPr>
          <w:rFonts w:ascii="ITC Avant Garde" w:hAnsi="ITC Avant Garde"/>
          <w:color w:val="auto"/>
        </w:rPr>
        <w:t xml:space="preserve">20 </w:t>
      </w:r>
      <w:r w:rsidR="00BE6636" w:rsidRPr="0014506C">
        <w:rPr>
          <w:rFonts w:ascii="ITC Avant Garde" w:hAnsi="ITC Avant Garde"/>
          <w:color w:val="auto"/>
        </w:rPr>
        <w:t xml:space="preserve">de agosto al </w:t>
      </w:r>
      <w:r w:rsidR="00F210D4" w:rsidRPr="0014506C">
        <w:rPr>
          <w:rFonts w:ascii="ITC Avant Garde" w:hAnsi="ITC Avant Garde"/>
          <w:color w:val="auto"/>
        </w:rPr>
        <w:t xml:space="preserve">18 </w:t>
      </w:r>
      <w:r w:rsidR="00BE6636" w:rsidRPr="0014506C">
        <w:rPr>
          <w:rFonts w:ascii="ITC Avant Garde" w:hAnsi="ITC Avant Garde"/>
          <w:color w:val="auto"/>
        </w:rPr>
        <w:t>de septiembre 20</w:t>
      </w:r>
      <w:r w:rsidR="00A951DD" w:rsidRPr="0014506C">
        <w:rPr>
          <w:rFonts w:ascii="ITC Avant Garde" w:hAnsi="ITC Avant Garde"/>
          <w:color w:val="auto"/>
        </w:rPr>
        <w:t>20</w:t>
      </w:r>
      <w:r w:rsidR="00BE6636" w:rsidRPr="0014506C">
        <w:rPr>
          <w:rFonts w:ascii="ITC Avant Garde" w:hAnsi="ITC Avant Garde"/>
          <w:color w:val="auto"/>
        </w:rPr>
        <w:t xml:space="preserve"> </w:t>
      </w:r>
      <w:r w:rsidR="00567F4F" w:rsidRPr="0014506C">
        <w:rPr>
          <w:rFonts w:ascii="ITC Avant Garde" w:eastAsiaTheme="minorHAnsi" w:hAnsi="ITC Avant Garde" w:cs="ITC Avant Garde"/>
          <w:lang w:eastAsia="en-US"/>
        </w:rPr>
        <w:t>a través de la dirección de correo electrónico </w:t>
      </w:r>
      <w:hyperlink r:id="rId11" w:history="1">
        <w:r w:rsidR="00567F4F" w:rsidRPr="0014506C">
          <w:rPr>
            <w:rFonts w:ascii="ITC Avant Garde" w:eastAsiaTheme="minorHAnsi" w:hAnsi="ITC Avant Garde" w:cs="ITC Avant Garde"/>
            <w:lang w:eastAsia="en-US"/>
          </w:rPr>
          <w:t>ofertas.referencia@ift.org.mx</w:t>
        </w:r>
      </w:hyperlink>
      <w:r w:rsidR="00567F4F" w:rsidRPr="0014506C">
        <w:rPr>
          <w:rFonts w:ascii="ITC Avant Garde" w:eastAsiaTheme="minorHAnsi" w:hAnsi="ITC Avant Garde" w:cs="ITC Avant Garde"/>
          <w:lang w:eastAsia="en-US"/>
        </w:rPr>
        <w:t xml:space="preserve"> o bien, mediante escrito presentado en la Oficialía de Partes Común del Instituto ubicada en Insurgentes Sur 1143, colonia Nochebuena, </w:t>
      </w:r>
      <w:r w:rsidR="009E1F77" w:rsidRPr="0014506C">
        <w:rPr>
          <w:rFonts w:ascii="ITC Avant Garde" w:eastAsiaTheme="minorHAnsi" w:hAnsi="ITC Avant Garde" w:cs="ITC Avant Garde"/>
          <w:lang w:eastAsia="en-US"/>
        </w:rPr>
        <w:t xml:space="preserve">Demarcación Territorial </w:t>
      </w:r>
      <w:r w:rsidR="00567F4F" w:rsidRPr="0014506C">
        <w:rPr>
          <w:rFonts w:ascii="ITC Avant Garde" w:eastAsiaTheme="minorHAnsi" w:hAnsi="ITC Avant Garde" w:cs="ITC Avant Garde"/>
          <w:lang w:eastAsia="en-US"/>
        </w:rPr>
        <w:t>Benito Juárez, C.P. 03720, Ciudad de México.</w:t>
      </w:r>
    </w:p>
    <w:p w:rsidR="00BE6636" w:rsidRPr="00330641" w:rsidRDefault="00BE6636" w:rsidP="000F58E0">
      <w:pPr>
        <w:spacing w:after="0" w:line="276" w:lineRule="auto"/>
        <w:ind w:left="0" w:right="0"/>
        <w:rPr>
          <w:rFonts w:ascii="ITC Avant Garde" w:hAnsi="ITC Avant Garde"/>
          <w:color w:val="auto"/>
        </w:rPr>
      </w:pPr>
      <w:r w:rsidRPr="00330641">
        <w:rPr>
          <w:rFonts w:ascii="ITC Avant Garde" w:hAnsi="ITC Avant Garde"/>
          <w:color w:val="auto"/>
        </w:rPr>
        <w:t xml:space="preserve"> </w:t>
      </w:r>
    </w:p>
    <w:p w:rsidR="00E0448E" w:rsidRPr="00330641" w:rsidRDefault="00E0448E" w:rsidP="000F58E0">
      <w:pPr>
        <w:spacing w:line="276" w:lineRule="auto"/>
        <w:ind w:left="-5"/>
        <w:rPr>
          <w:rFonts w:ascii="ITC Avant Garde" w:hAnsi="ITC Avant Garde" w:cs="ITC Avant Garde"/>
          <w:b/>
        </w:rPr>
      </w:pPr>
      <w:r w:rsidRPr="00330641">
        <w:rPr>
          <w:rFonts w:ascii="ITC Avant Garde" w:hAnsi="ITC Avant Garde" w:cs="ITC Avant Garde"/>
          <w:b/>
        </w:rPr>
        <w:t>Objetivo de la Consulta Pública:</w:t>
      </w:r>
    </w:p>
    <w:p w:rsidR="00E0448E" w:rsidRPr="00330641" w:rsidRDefault="00E0448E" w:rsidP="000F58E0">
      <w:pPr>
        <w:spacing w:line="276" w:lineRule="auto"/>
        <w:ind w:left="-5" w:right="0"/>
        <w:rPr>
          <w:rFonts w:ascii="ITC Avant Garde" w:hAnsi="ITC Avant Garde"/>
        </w:rPr>
      </w:pPr>
      <w:r w:rsidRPr="00330641">
        <w:rPr>
          <w:rFonts w:ascii="ITC Avant Garde" w:hAnsi="ITC Avant Garde"/>
        </w:rPr>
        <w:t xml:space="preserve">El Instituto convencido de la importancia y relevancia de transparentar su proceso de elaboración de nuevas regulaciones, a través de la consulta pública recibió los comentarios, opiniones y aportaciones de cualquier interesado a propósito de la Propuesta de Oferta, las cuales se proponen con base en lo establecido en los artículos 1, 2, 7, 15, </w:t>
      </w:r>
      <w:r w:rsidR="00330641" w:rsidRPr="00330641">
        <w:rPr>
          <w:rFonts w:ascii="ITC Avant Garde" w:hAnsi="ITC Avant Garde"/>
        </w:rPr>
        <w:t>fracciones</w:t>
      </w:r>
      <w:r w:rsidRPr="00330641">
        <w:rPr>
          <w:rFonts w:ascii="ITC Avant Garde" w:hAnsi="ITC Avant Garde"/>
        </w:rPr>
        <w:t xml:space="preserve"> XL y LXIII, 51</w:t>
      </w:r>
      <w:r w:rsidR="009E3370" w:rsidRPr="00330641">
        <w:rPr>
          <w:rFonts w:ascii="ITC Avant Garde" w:hAnsi="ITC Avant Garde"/>
        </w:rPr>
        <w:t>, 268</w:t>
      </w:r>
      <w:r w:rsidRPr="00330641">
        <w:rPr>
          <w:rFonts w:ascii="ITC Avant Garde" w:hAnsi="ITC Avant Garde"/>
        </w:rPr>
        <w:t xml:space="preserve"> y 269 fracción III de la Ley Federal de Telecomunicaciones y Radiodifusión (en lo sucesivo, la “LFTR”), y 1, 4, fracción I, 6, fracción XXXVIII y 2</w:t>
      </w:r>
      <w:r w:rsidR="009E3370" w:rsidRPr="00330641">
        <w:rPr>
          <w:rFonts w:ascii="ITC Avant Garde" w:hAnsi="ITC Avant Garde"/>
        </w:rPr>
        <w:t>5</w:t>
      </w:r>
      <w:r w:rsidRPr="00330641">
        <w:rPr>
          <w:rFonts w:ascii="ITC Avant Garde" w:hAnsi="ITC Avant Garde"/>
        </w:rPr>
        <w:t xml:space="preserve">, fracción </w:t>
      </w:r>
      <w:r w:rsidR="009E3370" w:rsidRPr="00330641">
        <w:rPr>
          <w:rFonts w:ascii="ITC Avant Garde" w:hAnsi="ITC Avant Garde"/>
        </w:rPr>
        <w:t>X</w:t>
      </w:r>
      <w:r w:rsidRPr="00330641">
        <w:rPr>
          <w:rFonts w:ascii="ITC Avant Garde" w:hAnsi="ITC Avant Garde"/>
        </w:rPr>
        <w:t>I del Estatuto Orgánico del Instituto Federal de Telecomunicaciones, y la “</w:t>
      </w:r>
      <w:r w:rsidRPr="00330641">
        <w:rPr>
          <w:rFonts w:ascii="ITC Avant Garde" w:hAnsi="ITC Avant Garde"/>
          <w:i/>
        </w:rPr>
        <w:t xml:space="preserve">Resolución mediante la cual el Pleno del Instituto Federal de Telecomunicaciones determina al grupo de interés económico del que forman parte América Móvil, S.A.B. de C.V., Teléfonos de México, S.A.B. de C.V., Teléfonos del Noroeste, S.A. de C.V., </w:t>
      </w:r>
      <w:proofErr w:type="spellStart"/>
      <w:r w:rsidRPr="00330641">
        <w:rPr>
          <w:rFonts w:ascii="ITC Avant Garde" w:hAnsi="ITC Avant Garde"/>
          <w:i/>
        </w:rPr>
        <w:t>Radiomóvil</w:t>
      </w:r>
      <w:proofErr w:type="spellEnd"/>
      <w:r w:rsidRPr="00330641">
        <w:rPr>
          <w:rFonts w:ascii="ITC Avant Garde" w:hAnsi="ITC Avant Garde"/>
          <w:i/>
        </w:rPr>
        <w:t xml:space="preserve"> </w:t>
      </w:r>
      <w:proofErr w:type="spellStart"/>
      <w:r w:rsidRPr="00330641">
        <w:rPr>
          <w:rFonts w:ascii="ITC Avant Garde" w:hAnsi="ITC Avant Garde"/>
          <w:i/>
        </w:rPr>
        <w:t>Dipsa</w:t>
      </w:r>
      <w:proofErr w:type="spellEnd"/>
      <w:r w:rsidRPr="00330641">
        <w:rPr>
          <w:rFonts w:ascii="ITC Avant Garde" w:hAnsi="ITC Avant Garde"/>
          <w:i/>
        </w:rPr>
        <w:t>, S.A.B. de C. V., Grupo Carso, S.A.B. de C.V., y Grupo Financiero Inbursa, S.A.B. de C.V., como Agente Económico Preponderante en el sector de telecomunicaciones y le impone las medidas necesarias para evitar que se afecte la competencia y la libre concurrencia</w:t>
      </w:r>
      <w:r w:rsidRPr="00330641">
        <w:rPr>
          <w:rFonts w:ascii="ITC Avant Garde" w:hAnsi="ITC Avant Garde"/>
        </w:rPr>
        <w:t>”, aprobada mediante Acuerdo P/IFT/EXT/060314/76, y la “</w:t>
      </w:r>
      <w:r w:rsidRPr="00330641">
        <w:rPr>
          <w:rFonts w:ascii="ITC Avant Garde" w:hAnsi="ITC Avant Garde"/>
          <w:i/>
        </w:rPr>
        <w:t xml:space="preserve">Resolución mediante la </w:t>
      </w:r>
      <w:r w:rsidRPr="00330641">
        <w:rPr>
          <w:rFonts w:ascii="ITC Avant Garde" w:hAnsi="ITC Avant Garde"/>
          <w:i/>
        </w:rPr>
        <w:lastRenderedPageBreak/>
        <w:t xml:space="preserve">cual el Pleno del Instituto Federal de Telecomunicaciones suprime, modifica y adiciona las medidas impuestas al Agente Económico Preponderante en el sector de </w:t>
      </w:r>
      <w:r w:rsidRPr="0014506C">
        <w:rPr>
          <w:rFonts w:ascii="ITC Avant Garde" w:hAnsi="ITC Avant Garde"/>
          <w:i/>
        </w:rPr>
        <w:t>telecomunicaciones mediante resolución de fecha 6 de marzo de 2014</w:t>
      </w:r>
      <w:r w:rsidR="0014506C" w:rsidRPr="0014506C">
        <w:rPr>
          <w:rFonts w:ascii="ITC Avant Garde" w:hAnsi="ITC Avant Garde"/>
          <w:i/>
        </w:rPr>
        <w:t>”</w:t>
      </w:r>
      <w:r w:rsidRPr="0014506C">
        <w:rPr>
          <w:rFonts w:ascii="ITC Avant Garde" w:hAnsi="ITC Avant Garde"/>
          <w:i/>
        </w:rPr>
        <w:t xml:space="preserve"> aprobada mediante Acuerdo P/IFT/EXT/270217/119</w:t>
      </w:r>
      <w:r w:rsidR="0014506C" w:rsidRPr="0014506C">
        <w:rPr>
          <w:rFonts w:ascii="ITC Avant Garde" w:hAnsi="ITC Avant Garde"/>
          <w:i/>
        </w:rPr>
        <w:t>”</w:t>
      </w:r>
      <w:r w:rsidRPr="00330641">
        <w:rPr>
          <w:rFonts w:ascii="ITC Avant Garde" w:hAnsi="ITC Avant Garde"/>
        </w:rPr>
        <w:t xml:space="preserve"> (en lo sucesivo, las “Medidas Fijas”).</w:t>
      </w:r>
    </w:p>
    <w:p w:rsidR="00E0448E" w:rsidRPr="00330641" w:rsidRDefault="00E0448E" w:rsidP="000F58E0">
      <w:pPr>
        <w:spacing w:line="276" w:lineRule="auto"/>
        <w:ind w:left="-5" w:right="0"/>
        <w:rPr>
          <w:rFonts w:ascii="ITC Avant Garde" w:hAnsi="ITC Avant Garde"/>
        </w:rPr>
      </w:pPr>
    </w:p>
    <w:p w:rsidR="00E0448E" w:rsidRPr="00330641" w:rsidRDefault="00E0448E" w:rsidP="000F58E0">
      <w:pPr>
        <w:spacing w:after="0" w:line="276" w:lineRule="auto"/>
        <w:ind w:left="0" w:right="0"/>
        <w:rPr>
          <w:rFonts w:ascii="ITC Avant Garde" w:hAnsi="ITC Avant Garde"/>
        </w:rPr>
      </w:pPr>
      <w:r w:rsidRPr="00330641">
        <w:rPr>
          <w:rFonts w:ascii="ITC Avant Garde" w:hAnsi="ITC Avant Garde"/>
        </w:rPr>
        <w:t xml:space="preserve">Los objetivos principales de la consulta pública consistieron en: i) contar con mayores elementos para determinar las condiciones bajo las cuales se deberán aprobar las Propuestas de Ofertas; ii) favorecer la transparencia y participación ciudadana con el fin de recibir los comentarios y opiniones de regulados, cámaras </w:t>
      </w:r>
      <w:r w:rsidR="00232EC1">
        <w:rPr>
          <w:rFonts w:ascii="ITC Avant Garde" w:hAnsi="ITC Avant Garde"/>
        </w:rPr>
        <w:t>de la industria</w:t>
      </w:r>
      <w:r w:rsidRPr="00330641">
        <w:rPr>
          <w:rFonts w:ascii="ITC Avant Garde" w:hAnsi="ITC Avant Garde"/>
        </w:rPr>
        <w:t>, usuarios y audiencias sobre las Propuestas de Ofertas; y iii) establecer las bases para aprobar o modificar las mismas.</w:t>
      </w:r>
    </w:p>
    <w:p w:rsidR="00E0448E" w:rsidRPr="00330641" w:rsidRDefault="00E0448E" w:rsidP="000F58E0">
      <w:pPr>
        <w:spacing w:after="0" w:line="276" w:lineRule="auto"/>
        <w:ind w:left="0" w:right="0"/>
        <w:rPr>
          <w:rFonts w:ascii="ITC Avant Garde" w:hAnsi="ITC Avant Garde"/>
        </w:rPr>
      </w:pPr>
    </w:p>
    <w:p w:rsidR="00E0448E" w:rsidRPr="00330641" w:rsidRDefault="00E0448E" w:rsidP="000F58E0">
      <w:pPr>
        <w:spacing w:line="276" w:lineRule="auto"/>
        <w:ind w:left="-5"/>
        <w:rPr>
          <w:rFonts w:ascii="ITC Avant Garde" w:hAnsi="ITC Avant Garde" w:cs="ITC Avant Garde"/>
          <w:b/>
        </w:rPr>
      </w:pPr>
      <w:r w:rsidRPr="00330641">
        <w:rPr>
          <w:rFonts w:ascii="ITC Avant Garde" w:hAnsi="ITC Avant Garde" w:cs="ITC Avant Garde"/>
          <w:b/>
        </w:rPr>
        <w:t xml:space="preserve">Unidad Administrativa que promueve el proyecto: </w:t>
      </w:r>
      <w:r w:rsidRPr="00330641">
        <w:rPr>
          <w:rFonts w:ascii="ITC Avant Garde" w:hAnsi="ITC Avant Garde" w:cs="ITC Avant Garde"/>
        </w:rPr>
        <w:t>Unidad de Política Regulatoria.</w:t>
      </w:r>
    </w:p>
    <w:p w:rsidR="00E0448E" w:rsidRPr="00330641" w:rsidRDefault="00E0448E" w:rsidP="000F58E0">
      <w:pPr>
        <w:spacing w:after="0" w:line="276" w:lineRule="auto"/>
        <w:ind w:left="0" w:right="0"/>
        <w:rPr>
          <w:rFonts w:ascii="ITC Avant Garde" w:hAnsi="ITC Avant Garde"/>
          <w:color w:val="auto"/>
        </w:rPr>
      </w:pPr>
    </w:p>
    <w:p w:rsidR="00E0448E" w:rsidRPr="00330641" w:rsidRDefault="00E0448E" w:rsidP="000F58E0">
      <w:pPr>
        <w:spacing w:after="0" w:line="276" w:lineRule="auto"/>
        <w:ind w:left="-6" w:hanging="11"/>
        <w:rPr>
          <w:rFonts w:ascii="ITC Avant Garde" w:hAnsi="ITC Avant Garde" w:cs="ITC Avant Garde"/>
          <w:b/>
        </w:rPr>
      </w:pPr>
      <w:r w:rsidRPr="00330641">
        <w:rPr>
          <w:rFonts w:ascii="ITC Avant Garde" w:hAnsi="ITC Avant Garde" w:cs="ITC Avant Garde"/>
          <w:b/>
        </w:rPr>
        <w:t>Participantes de la Consulta Pública:</w:t>
      </w:r>
    </w:p>
    <w:p w:rsidR="00BE6636" w:rsidRPr="00330641" w:rsidRDefault="00BE6636" w:rsidP="000F58E0">
      <w:pPr>
        <w:spacing w:after="0" w:line="276" w:lineRule="auto"/>
        <w:ind w:left="0" w:right="0"/>
        <w:rPr>
          <w:rFonts w:ascii="ITC Avant Garde" w:hAnsi="ITC Avant Garde"/>
          <w:color w:val="auto"/>
        </w:rPr>
      </w:pPr>
      <w:r w:rsidRPr="00330641">
        <w:rPr>
          <w:rFonts w:ascii="ITC Avant Garde" w:hAnsi="ITC Avant Garde"/>
          <w:color w:val="auto"/>
        </w:rPr>
        <w:t xml:space="preserve">Durante el periodo de la consulta pública de mérito, se recibieron </w:t>
      </w:r>
      <w:r w:rsidR="00BE05F3" w:rsidRPr="00330641">
        <w:rPr>
          <w:rFonts w:ascii="ITC Avant Garde" w:hAnsi="ITC Avant Garde"/>
          <w:color w:val="auto"/>
        </w:rPr>
        <w:t>5</w:t>
      </w:r>
      <w:r w:rsidR="000558F2" w:rsidRPr="00330641">
        <w:rPr>
          <w:rFonts w:ascii="ITC Avant Garde" w:hAnsi="ITC Avant Garde"/>
          <w:color w:val="auto"/>
        </w:rPr>
        <w:t xml:space="preserve"> </w:t>
      </w:r>
      <w:r w:rsidRPr="00330641">
        <w:rPr>
          <w:rFonts w:ascii="ITC Avant Garde" w:hAnsi="ITC Avant Garde"/>
          <w:color w:val="auto"/>
        </w:rPr>
        <w:t>participaciones, por parte de las siguientes personas morales:</w:t>
      </w:r>
    </w:p>
    <w:p w:rsidR="00BE6636" w:rsidRPr="00330641" w:rsidRDefault="00BE6636" w:rsidP="000F58E0">
      <w:pPr>
        <w:spacing w:after="0" w:line="276" w:lineRule="auto"/>
        <w:ind w:left="0" w:right="0"/>
        <w:rPr>
          <w:rFonts w:ascii="ITC Avant Garde" w:hAnsi="ITC Avant Garde"/>
          <w:color w:val="auto"/>
        </w:rPr>
      </w:pPr>
    </w:p>
    <w:p w:rsidR="00BE6636" w:rsidRPr="00330641" w:rsidRDefault="00C41D47" w:rsidP="000F58E0">
      <w:pPr>
        <w:pStyle w:val="Prrafodelista"/>
        <w:numPr>
          <w:ilvl w:val="0"/>
          <w:numId w:val="1"/>
        </w:numPr>
        <w:spacing w:after="0" w:line="276" w:lineRule="auto"/>
        <w:ind w:left="567" w:right="0" w:hanging="567"/>
        <w:contextualSpacing w:val="0"/>
        <w:rPr>
          <w:rFonts w:ascii="ITC Avant Garde" w:hAnsi="ITC Avant Garde"/>
          <w:color w:val="auto"/>
        </w:rPr>
      </w:pPr>
      <w:r w:rsidRPr="00330641">
        <w:rPr>
          <w:rFonts w:ascii="ITC Avant Garde" w:eastAsiaTheme="minorHAnsi" w:hAnsi="ITC Avant Garde" w:cs="ITC Avant Garde"/>
          <w:color w:val="auto"/>
          <w:lang w:eastAsia="en-US"/>
        </w:rPr>
        <w:t>A</w:t>
      </w:r>
      <w:r w:rsidR="00152DAF" w:rsidRPr="00330641">
        <w:rPr>
          <w:rFonts w:ascii="ITC Avant Garde" w:eastAsiaTheme="minorHAnsi" w:hAnsi="ITC Avant Garde" w:cs="ITC Avant Garde"/>
          <w:color w:val="auto"/>
          <w:lang w:eastAsia="en-US"/>
        </w:rPr>
        <w:t>xtel</w:t>
      </w:r>
      <w:r w:rsidRPr="00330641">
        <w:rPr>
          <w:rFonts w:ascii="ITC Avant Garde" w:eastAsiaTheme="minorHAnsi" w:hAnsi="ITC Avant Garde" w:cs="ITC Avant Garde"/>
          <w:color w:val="auto"/>
          <w:lang w:eastAsia="en-US"/>
        </w:rPr>
        <w:t xml:space="preserve">, S.A.B. </w:t>
      </w:r>
      <w:r w:rsidR="00152DAF" w:rsidRPr="00330641">
        <w:rPr>
          <w:rFonts w:ascii="ITC Avant Garde" w:eastAsiaTheme="minorHAnsi" w:hAnsi="ITC Avant Garde" w:cs="ITC Avant Garde"/>
          <w:color w:val="auto"/>
          <w:lang w:eastAsia="en-US"/>
        </w:rPr>
        <w:t>de</w:t>
      </w:r>
      <w:r w:rsidRPr="00330641">
        <w:rPr>
          <w:rFonts w:ascii="ITC Avant Garde" w:eastAsiaTheme="minorHAnsi" w:hAnsi="ITC Avant Garde" w:cs="ITC Avant Garde"/>
          <w:color w:val="auto"/>
          <w:lang w:eastAsia="en-US"/>
        </w:rPr>
        <w:t xml:space="preserve"> C.V.</w:t>
      </w:r>
      <w:r w:rsidR="00D11672" w:rsidRPr="00330641">
        <w:rPr>
          <w:rFonts w:ascii="ITC Avant Garde" w:eastAsiaTheme="minorHAnsi" w:hAnsi="ITC Avant Garde" w:cs="ITC Avant Garde"/>
          <w:color w:val="auto"/>
          <w:lang w:eastAsia="en-US"/>
        </w:rPr>
        <w:t xml:space="preserve"> </w:t>
      </w:r>
      <w:r w:rsidR="00D11672" w:rsidRPr="00330641">
        <w:rPr>
          <w:rFonts w:ascii="ITC Avant Garde" w:hAnsi="ITC Avant Garde"/>
          <w:color w:val="auto"/>
        </w:rPr>
        <w:t>(en lo sucesivo, “</w:t>
      </w:r>
      <w:r w:rsidR="00D11672" w:rsidRPr="00330641">
        <w:rPr>
          <w:rFonts w:ascii="ITC Avant Garde" w:eastAsiaTheme="minorHAnsi" w:hAnsi="ITC Avant Garde" w:cs="ITC Avant Garde"/>
          <w:color w:val="auto"/>
          <w:lang w:eastAsia="en-US"/>
        </w:rPr>
        <w:t>Axtel</w:t>
      </w:r>
      <w:r w:rsidR="00D11672" w:rsidRPr="00330641">
        <w:rPr>
          <w:rFonts w:ascii="ITC Avant Garde" w:hAnsi="ITC Avant Garde"/>
          <w:color w:val="auto"/>
        </w:rPr>
        <w:t>”)</w:t>
      </w:r>
      <w:r w:rsidR="00BE6636" w:rsidRPr="00330641">
        <w:rPr>
          <w:rFonts w:ascii="ITC Avant Garde" w:eastAsiaTheme="minorHAnsi" w:hAnsi="ITC Avant Garde" w:cs="ITC Avant Garde"/>
          <w:color w:val="auto"/>
          <w:lang w:eastAsia="en-US"/>
        </w:rPr>
        <w:t>;</w:t>
      </w:r>
    </w:p>
    <w:p w:rsidR="00DE1618" w:rsidRPr="00330641" w:rsidRDefault="00FF4A0C" w:rsidP="000F58E0">
      <w:pPr>
        <w:pStyle w:val="Prrafodelista"/>
        <w:numPr>
          <w:ilvl w:val="0"/>
          <w:numId w:val="1"/>
        </w:numPr>
        <w:spacing w:after="0" w:line="276" w:lineRule="auto"/>
        <w:ind w:left="567" w:right="0" w:hanging="567"/>
        <w:contextualSpacing w:val="0"/>
        <w:rPr>
          <w:rFonts w:ascii="ITC Avant Garde" w:hAnsi="ITC Avant Garde"/>
          <w:color w:val="auto"/>
        </w:rPr>
      </w:pPr>
      <w:r w:rsidRPr="00330641">
        <w:rPr>
          <w:rFonts w:ascii="ITC Avant Garde" w:hAnsi="ITC Avant Garde"/>
          <w:color w:val="auto"/>
        </w:rPr>
        <w:t>Cámara Nacional de la Industria Electrónica</w:t>
      </w:r>
      <w:r w:rsidR="00851B99" w:rsidRPr="00330641">
        <w:rPr>
          <w:rFonts w:ascii="ITC Avant Garde" w:hAnsi="ITC Avant Garde"/>
          <w:color w:val="auto"/>
        </w:rPr>
        <w:t>,</w:t>
      </w:r>
      <w:r w:rsidRPr="00330641">
        <w:rPr>
          <w:rFonts w:ascii="ITC Avant Garde" w:hAnsi="ITC Avant Garde"/>
          <w:color w:val="auto"/>
        </w:rPr>
        <w:t xml:space="preserve"> de Telecomunicaciones y Tecnologías de la Información</w:t>
      </w:r>
      <w:r w:rsidR="00D11672" w:rsidRPr="00330641">
        <w:rPr>
          <w:rFonts w:ascii="ITC Avant Garde" w:hAnsi="ITC Avant Garde"/>
          <w:color w:val="auto"/>
        </w:rPr>
        <w:t xml:space="preserve"> (en lo sucesivo, “CANIETI”)</w:t>
      </w:r>
      <w:r w:rsidR="00E6097E" w:rsidRPr="00330641">
        <w:rPr>
          <w:rFonts w:ascii="ITC Avant Garde" w:hAnsi="ITC Avant Garde"/>
          <w:color w:val="auto"/>
        </w:rPr>
        <w:t>;</w:t>
      </w:r>
    </w:p>
    <w:p w:rsidR="00DE1618" w:rsidRPr="00330641" w:rsidRDefault="00DE1618" w:rsidP="000F58E0">
      <w:pPr>
        <w:pStyle w:val="Prrafodelista"/>
        <w:numPr>
          <w:ilvl w:val="0"/>
          <w:numId w:val="1"/>
        </w:numPr>
        <w:spacing w:after="0" w:line="276" w:lineRule="auto"/>
        <w:ind w:left="567" w:right="0" w:hanging="567"/>
        <w:contextualSpacing w:val="0"/>
        <w:rPr>
          <w:rFonts w:ascii="ITC Avant Garde" w:hAnsi="ITC Avant Garde"/>
          <w:color w:val="auto"/>
        </w:rPr>
      </w:pPr>
      <w:r w:rsidRPr="00330641">
        <w:rPr>
          <w:rFonts w:ascii="ITC Avant Garde" w:hAnsi="ITC Avant Garde"/>
          <w:color w:val="auto"/>
        </w:rPr>
        <w:t xml:space="preserve">AT&amp;T Comunicaciones Digitales, S. de R.L. de C.V., Grupo AT&amp;T </w:t>
      </w:r>
      <w:proofErr w:type="spellStart"/>
      <w:r w:rsidRPr="00330641">
        <w:rPr>
          <w:rFonts w:ascii="ITC Avant Garde" w:hAnsi="ITC Avant Garde"/>
          <w:color w:val="auto"/>
        </w:rPr>
        <w:t>Celullar</w:t>
      </w:r>
      <w:proofErr w:type="spellEnd"/>
      <w:r w:rsidRPr="00330641">
        <w:rPr>
          <w:rFonts w:ascii="ITC Avant Garde" w:hAnsi="ITC Avant Garde"/>
          <w:color w:val="auto"/>
        </w:rPr>
        <w:t>, S. de R.L. de C.V., AT&amp;T Norte, S. de R.L. de C.V., AT&amp;T Comercialización Móvil, S. de R.L. de C.V.</w:t>
      </w:r>
      <w:r w:rsidR="0079593A" w:rsidRPr="00330641">
        <w:rPr>
          <w:rFonts w:ascii="ITC Avant Garde" w:hAnsi="ITC Avant Garde"/>
          <w:color w:val="auto"/>
        </w:rPr>
        <w:t>,</w:t>
      </w:r>
      <w:r w:rsidRPr="00330641">
        <w:rPr>
          <w:rFonts w:ascii="ITC Avant Garde" w:hAnsi="ITC Avant Garde"/>
          <w:color w:val="auto"/>
        </w:rPr>
        <w:t xml:space="preserve"> y AT&amp;T Desarrollo en Comunicaciones de México, S. de R.L. de C.V.</w:t>
      </w:r>
      <w:r w:rsidR="00D11672" w:rsidRPr="00330641">
        <w:rPr>
          <w:rFonts w:ascii="ITC Avant Garde" w:hAnsi="ITC Avant Garde"/>
          <w:color w:val="auto"/>
        </w:rPr>
        <w:t xml:space="preserve"> (en lo sucesivo, “Grupo AT&amp;T”)</w:t>
      </w:r>
      <w:r w:rsidR="00E6097E" w:rsidRPr="00330641">
        <w:rPr>
          <w:rFonts w:ascii="ITC Avant Garde" w:hAnsi="ITC Avant Garde"/>
          <w:color w:val="auto"/>
        </w:rPr>
        <w:t>;</w:t>
      </w:r>
    </w:p>
    <w:p w:rsidR="00BE6636" w:rsidRPr="00330641" w:rsidRDefault="00736936" w:rsidP="000F58E0">
      <w:pPr>
        <w:pStyle w:val="Prrafodelista"/>
        <w:numPr>
          <w:ilvl w:val="0"/>
          <w:numId w:val="1"/>
        </w:numPr>
        <w:spacing w:after="0" w:line="276" w:lineRule="auto"/>
        <w:ind w:left="567" w:right="0" w:hanging="567"/>
        <w:contextualSpacing w:val="0"/>
        <w:rPr>
          <w:rFonts w:ascii="ITC Avant Garde" w:hAnsi="ITC Avant Garde"/>
          <w:color w:val="auto"/>
        </w:rPr>
      </w:pPr>
      <w:r w:rsidRPr="00330641">
        <w:rPr>
          <w:rFonts w:ascii="ITC Avant Garde" w:hAnsi="ITC Avant Garde"/>
          <w:color w:val="auto"/>
        </w:rPr>
        <w:t>Pegaso PCS, S.A. de C.V.</w:t>
      </w:r>
      <w:r w:rsidR="00D11672" w:rsidRPr="00330641">
        <w:rPr>
          <w:rFonts w:ascii="ITC Avant Garde" w:hAnsi="ITC Avant Garde"/>
          <w:color w:val="auto"/>
        </w:rPr>
        <w:t xml:space="preserve"> (en lo sucesivo, “Pegaso”)</w:t>
      </w:r>
      <w:r w:rsidR="00E6097E" w:rsidRPr="00330641">
        <w:rPr>
          <w:rFonts w:ascii="ITC Avant Garde" w:hAnsi="ITC Avant Garde"/>
          <w:color w:val="auto"/>
        </w:rPr>
        <w:t>;</w:t>
      </w:r>
    </w:p>
    <w:p w:rsidR="00835577" w:rsidRPr="00330641" w:rsidRDefault="000558F2" w:rsidP="000F58E0">
      <w:pPr>
        <w:pStyle w:val="Prrafodelista"/>
        <w:numPr>
          <w:ilvl w:val="0"/>
          <w:numId w:val="1"/>
        </w:numPr>
        <w:tabs>
          <w:tab w:val="left" w:pos="1134"/>
        </w:tabs>
        <w:spacing w:after="0" w:line="276" w:lineRule="auto"/>
        <w:ind w:left="567" w:right="0" w:hanging="567"/>
        <w:contextualSpacing w:val="0"/>
        <w:rPr>
          <w:rFonts w:ascii="ITC Avant Garde" w:hAnsi="ITC Avant Garde"/>
          <w:color w:val="auto"/>
        </w:rPr>
      </w:pPr>
      <w:proofErr w:type="spellStart"/>
      <w:r w:rsidRPr="00330641">
        <w:rPr>
          <w:rFonts w:ascii="ITC Avant Garde" w:hAnsi="ITC Avant Garde"/>
          <w:color w:val="auto"/>
        </w:rPr>
        <w:t>Operbes</w:t>
      </w:r>
      <w:proofErr w:type="spellEnd"/>
      <w:r w:rsidRPr="00330641">
        <w:rPr>
          <w:rFonts w:ascii="ITC Avant Garde" w:hAnsi="ITC Avant Garde"/>
          <w:color w:val="auto"/>
        </w:rPr>
        <w:t xml:space="preserve">, S.A. de C.V., Cablevisión, S.A. de C.V., </w:t>
      </w:r>
      <w:proofErr w:type="spellStart"/>
      <w:r w:rsidRPr="00330641">
        <w:rPr>
          <w:rFonts w:ascii="ITC Avant Garde" w:hAnsi="ITC Avant Garde"/>
          <w:color w:val="auto"/>
        </w:rPr>
        <w:t>Cablemás</w:t>
      </w:r>
      <w:proofErr w:type="spellEnd"/>
      <w:r w:rsidRPr="00330641">
        <w:rPr>
          <w:rFonts w:ascii="ITC Avant Garde" w:hAnsi="ITC Avant Garde"/>
          <w:color w:val="auto"/>
        </w:rPr>
        <w:t xml:space="preserve"> Telecomunicaciones, S.A. de C.V., Cablevisión Red, S.A. de C.V., Tele Azteca, S.A. de C.V., Televisión Internacional, S.A. de C.V., México Red de Telecomunicaciones, S. de R.L. de C.V. y TV Cable de Oriente, S.A. de C.V.</w:t>
      </w:r>
      <w:r w:rsidR="00D11672" w:rsidRPr="00330641">
        <w:rPr>
          <w:rFonts w:ascii="ITC Avant Garde" w:hAnsi="ITC Avant Garde"/>
          <w:color w:val="auto"/>
        </w:rPr>
        <w:t xml:space="preserve"> (en lo sucesivo, “Grupo Televisa”)</w:t>
      </w:r>
      <w:r w:rsidR="00E6097E" w:rsidRPr="00330641">
        <w:rPr>
          <w:rFonts w:ascii="ITC Avant Garde" w:hAnsi="ITC Avant Garde"/>
          <w:color w:val="auto"/>
        </w:rPr>
        <w:t>.</w:t>
      </w:r>
    </w:p>
    <w:p w:rsidR="00BE6636" w:rsidRPr="00330641" w:rsidRDefault="00BE6636" w:rsidP="000F58E0">
      <w:pPr>
        <w:autoSpaceDE w:val="0"/>
        <w:autoSpaceDN w:val="0"/>
        <w:adjustRightInd w:val="0"/>
        <w:spacing w:after="0" w:line="276" w:lineRule="auto"/>
        <w:ind w:left="0" w:right="0" w:firstLine="0"/>
        <w:rPr>
          <w:rFonts w:ascii="ITC Avant Garde" w:eastAsiaTheme="minorHAnsi" w:hAnsi="ITC Avant Garde" w:cs="ITC Avant Garde"/>
          <w:color w:val="auto"/>
          <w:lang w:eastAsia="en-US"/>
        </w:rPr>
      </w:pPr>
    </w:p>
    <w:p w:rsidR="00950D71" w:rsidRPr="00330641" w:rsidRDefault="00950D71" w:rsidP="000F58E0">
      <w:pPr>
        <w:spacing w:after="0" w:line="276" w:lineRule="auto"/>
        <w:ind w:left="-6" w:hanging="11"/>
        <w:rPr>
          <w:rFonts w:ascii="ITC Avant Garde" w:hAnsi="ITC Avant Garde" w:cs="ITC Avant Garde"/>
          <w:b/>
        </w:rPr>
      </w:pPr>
      <w:r w:rsidRPr="00330641">
        <w:rPr>
          <w:rFonts w:ascii="ITC Avant Garde" w:hAnsi="ITC Avant Garde" w:cs="ITC Avant Garde"/>
          <w:b/>
        </w:rPr>
        <w:t>Respuestas y posicionamientos por parte del Instituto:</w:t>
      </w:r>
    </w:p>
    <w:p w:rsidR="00950D71" w:rsidRPr="00330641" w:rsidRDefault="00950D71" w:rsidP="00EC3F16">
      <w:pPr>
        <w:autoSpaceDE w:val="0"/>
        <w:autoSpaceDN w:val="0"/>
        <w:spacing w:after="0" w:line="276" w:lineRule="auto"/>
        <w:rPr>
          <w:rFonts w:ascii="ITC Avant Garde" w:eastAsia="Times New Roman" w:hAnsi="ITC Avant Garde" w:cs="Arial"/>
          <w:sz w:val="26"/>
          <w:szCs w:val="26"/>
        </w:rPr>
      </w:pPr>
      <w:r w:rsidRPr="00330641">
        <w:rPr>
          <w:rFonts w:ascii="ITC Avant Garde" w:hAnsi="ITC Avant Garde"/>
        </w:rPr>
        <w:t xml:space="preserve">Se señala que el orden en el que son abordados cada uno de los temas y numerales genéricos mencionados, obedece primordialmente al orden en que cada uno de éstos aparecen en la Propuesta de </w:t>
      </w:r>
      <w:r w:rsidR="009E1F77" w:rsidRPr="00330641">
        <w:rPr>
          <w:rFonts w:ascii="ITC Avant Garde" w:hAnsi="ITC Avant Garde"/>
          <w:i/>
        </w:rPr>
        <w:t>“</w:t>
      </w:r>
      <w:r w:rsidR="00EB0944" w:rsidRPr="00330641">
        <w:rPr>
          <w:rFonts w:ascii="ITC Avant Garde" w:hAnsi="ITC Avant Garde"/>
          <w:b/>
          <w:i/>
          <w:color w:val="auto"/>
        </w:rPr>
        <w:t>Oferta de Referencia para la prestación del Servicio Mayorista de Arrendamiento de Enlaces Dedicados Entre Localidades, y de Larga Distancia Internacional para concesionarios de redes públicas de telecomunicaciones y autorizados de telecomunicaciones</w:t>
      </w:r>
      <w:r w:rsidR="008D5F6D" w:rsidRPr="00330641">
        <w:rPr>
          <w:rFonts w:ascii="ITC Avant Garde" w:hAnsi="ITC Avant Garde"/>
          <w:b/>
          <w:i/>
          <w:color w:val="auto"/>
        </w:rPr>
        <w:t>”</w:t>
      </w:r>
      <w:r w:rsidRPr="00330641">
        <w:rPr>
          <w:rFonts w:ascii="ITC Avant Garde" w:hAnsi="ITC Avant Garde"/>
          <w:b/>
          <w:i/>
        </w:rPr>
        <w:t xml:space="preserve"> </w:t>
      </w:r>
      <w:r w:rsidRPr="00330641">
        <w:rPr>
          <w:rFonts w:ascii="ITC Avant Garde" w:hAnsi="ITC Avant Garde"/>
        </w:rPr>
        <w:t>(en lo sucesivo, la “ORE</w:t>
      </w:r>
      <w:r w:rsidR="00EB0944" w:rsidRPr="00330641">
        <w:rPr>
          <w:rFonts w:ascii="ITC Avant Garde" w:hAnsi="ITC Avant Garde"/>
        </w:rPr>
        <w:t xml:space="preserve"> DM</w:t>
      </w:r>
      <w:r w:rsidRPr="00330641">
        <w:rPr>
          <w:rFonts w:ascii="ITC Avant Garde" w:hAnsi="ITC Avant Garde"/>
        </w:rPr>
        <w:t xml:space="preserve"> 202</w:t>
      </w:r>
      <w:r w:rsidR="00A951DD" w:rsidRPr="00330641">
        <w:rPr>
          <w:rFonts w:ascii="ITC Avant Garde" w:hAnsi="ITC Avant Garde"/>
        </w:rPr>
        <w:t>1</w:t>
      </w:r>
      <w:r w:rsidRPr="00330641">
        <w:rPr>
          <w:rFonts w:ascii="ITC Avant Garde" w:hAnsi="ITC Avant Garde"/>
        </w:rPr>
        <w:t>”) presentada</w:t>
      </w:r>
      <w:r w:rsidR="0071293C">
        <w:rPr>
          <w:rFonts w:ascii="ITC Avant Garde" w:hAnsi="ITC Avant Garde"/>
        </w:rPr>
        <w:t>s</w:t>
      </w:r>
      <w:r w:rsidRPr="00330641">
        <w:rPr>
          <w:rFonts w:ascii="ITC Avant Garde" w:hAnsi="ITC Avant Garde"/>
        </w:rPr>
        <w:t xml:space="preserve"> por Teléfonos de México, S.A.B. de C.V. y </w:t>
      </w:r>
      <w:r w:rsidRPr="00330641">
        <w:rPr>
          <w:rFonts w:ascii="ITC Avant Garde" w:hAnsi="ITC Avant Garde"/>
        </w:rPr>
        <w:lastRenderedPageBreak/>
        <w:t>Teléfonos del Noroeste, S.A. de C.V. (en lo sucesivo conjuntamente, “Telmex”) integrante</w:t>
      </w:r>
      <w:r w:rsidR="00AB1A80" w:rsidRPr="00330641">
        <w:rPr>
          <w:rFonts w:ascii="ITC Avant Garde" w:hAnsi="ITC Avant Garde"/>
        </w:rPr>
        <w:t>s</w:t>
      </w:r>
      <w:r w:rsidRPr="00330641">
        <w:rPr>
          <w:rFonts w:ascii="ITC Avant Garde" w:hAnsi="ITC Avant Garde"/>
        </w:rPr>
        <w:t xml:space="preserve"> del </w:t>
      </w:r>
      <w:r w:rsidR="009E1F77" w:rsidRPr="00330641">
        <w:rPr>
          <w:rFonts w:ascii="ITC Avant Garde" w:hAnsi="ITC Avant Garde"/>
        </w:rPr>
        <w:t>Agente Económico Preponderan</w:t>
      </w:r>
      <w:r w:rsidR="00232EC1">
        <w:rPr>
          <w:rFonts w:ascii="ITC Avant Garde" w:hAnsi="ITC Avant Garde"/>
        </w:rPr>
        <w:t>te (en lo sucesivo AEP), en el s</w:t>
      </w:r>
      <w:r w:rsidR="009E1F77" w:rsidRPr="00330641">
        <w:rPr>
          <w:rFonts w:ascii="ITC Avant Garde" w:hAnsi="ITC Avant Garde"/>
        </w:rPr>
        <w:t>ector de las Telecomunicaciones.</w:t>
      </w:r>
    </w:p>
    <w:p w:rsidR="00BE6636" w:rsidRPr="00330641" w:rsidRDefault="00BE6636" w:rsidP="000F58E0">
      <w:pPr>
        <w:autoSpaceDE w:val="0"/>
        <w:autoSpaceDN w:val="0"/>
        <w:adjustRightInd w:val="0"/>
        <w:spacing w:after="0" w:line="276" w:lineRule="auto"/>
        <w:ind w:left="0" w:right="0"/>
        <w:rPr>
          <w:rFonts w:ascii="ITC Avant Garde" w:hAnsi="ITC Avant Garde"/>
          <w:color w:val="auto"/>
        </w:rPr>
      </w:pPr>
    </w:p>
    <w:p w:rsidR="00BE6636" w:rsidRPr="00330641" w:rsidRDefault="00BE6636" w:rsidP="000F58E0">
      <w:pPr>
        <w:autoSpaceDE w:val="0"/>
        <w:autoSpaceDN w:val="0"/>
        <w:adjustRightInd w:val="0"/>
        <w:spacing w:after="0" w:line="276" w:lineRule="auto"/>
        <w:ind w:left="0" w:right="0" w:firstLine="0"/>
        <w:rPr>
          <w:rFonts w:ascii="ITC Avant Garde" w:hAnsi="ITC Avant Garde"/>
          <w:color w:val="auto"/>
        </w:rPr>
      </w:pPr>
      <w:r w:rsidRPr="00330641">
        <w:rPr>
          <w:rFonts w:ascii="ITC Avant Garde" w:hAnsi="ITC Avant Garde"/>
          <w:color w:val="auto"/>
        </w:rPr>
        <w:t>Por lo anterior, el Instituto emite las siguientes respuestas y consideraciones para las participaciones recibidas:</w:t>
      </w:r>
    </w:p>
    <w:p w:rsidR="00BE6636" w:rsidRPr="00330641" w:rsidRDefault="00BE6636" w:rsidP="000F58E0">
      <w:pPr>
        <w:spacing w:after="0" w:line="276" w:lineRule="auto"/>
        <w:ind w:left="0" w:right="0" w:firstLine="0"/>
        <w:rPr>
          <w:rFonts w:ascii="ITC Avant Garde" w:hAnsi="ITC Avant Garde"/>
          <w:b/>
          <w:color w:val="auto"/>
          <w:u w:val="single"/>
        </w:rPr>
      </w:pPr>
    </w:p>
    <w:p w:rsidR="009E1F77" w:rsidRPr="00330641" w:rsidRDefault="009E1F77" w:rsidP="000F58E0">
      <w:pPr>
        <w:pStyle w:val="IFTnormal"/>
        <w:spacing w:after="0"/>
        <w:ind w:left="0"/>
        <w:rPr>
          <w:rFonts w:eastAsiaTheme="majorEastAsia"/>
          <w:u w:val="single"/>
        </w:rPr>
      </w:pPr>
      <w:r w:rsidRPr="00330641">
        <w:rPr>
          <w:rFonts w:eastAsiaTheme="majorEastAsia"/>
          <w:b/>
          <w:u w:val="single"/>
        </w:rPr>
        <w:t>1. Oferta.</w:t>
      </w:r>
    </w:p>
    <w:p w:rsidR="009C4ECF" w:rsidRPr="00330641" w:rsidRDefault="004B6367" w:rsidP="000F58E0">
      <w:pPr>
        <w:autoSpaceDE w:val="0"/>
        <w:autoSpaceDN w:val="0"/>
        <w:adjustRightInd w:val="0"/>
        <w:spacing w:after="0" w:line="276" w:lineRule="auto"/>
        <w:ind w:left="0" w:right="0" w:firstLine="0"/>
        <w:rPr>
          <w:rFonts w:ascii="ITC Avant Garde" w:hAnsi="ITC Avant Garde"/>
          <w:b/>
          <w:color w:val="auto"/>
        </w:rPr>
      </w:pPr>
      <w:r>
        <w:rPr>
          <w:rFonts w:ascii="ITC Avant Garde" w:hAnsi="ITC Avant Garde"/>
          <w:b/>
          <w:color w:val="auto"/>
        </w:rPr>
        <w:t>GRUPO AT&amp;T:</w:t>
      </w:r>
    </w:p>
    <w:p w:rsidR="009345C9" w:rsidRPr="00330641" w:rsidRDefault="0012211F" w:rsidP="000F58E0">
      <w:pPr>
        <w:spacing w:after="0" w:line="276" w:lineRule="auto"/>
        <w:ind w:left="0" w:right="0" w:firstLine="0"/>
        <w:rPr>
          <w:rFonts w:ascii="ITC Avant Garde" w:eastAsia="Times New Roman" w:hAnsi="ITC Avant Garde" w:cs="Calibri"/>
          <w:color w:val="auto"/>
        </w:rPr>
      </w:pPr>
      <w:r>
        <w:rPr>
          <w:rFonts w:ascii="ITC Avant Garde" w:hAnsi="ITC Avant Garde"/>
          <w:color w:val="auto"/>
        </w:rPr>
        <w:t>Manifestó</w:t>
      </w:r>
      <w:r w:rsidR="006A4B0F" w:rsidRPr="00330641">
        <w:rPr>
          <w:rFonts w:ascii="ITC Avant Garde" w:hAnsi="ITC Avant Garde"/>
          <w:color w:val="auto"/>
        </w:rPr>
        <w:t xml:space="preserve"> que, n</w:t>
      </w:r>
      <w:r w:rsidR="0010119A" w:rsidRPr="00330641">
        <w:rPr>
          <w:rFonts w:ascii="ITC Avant Garde" w:hAnsi="ITC Avant Garde"/>
          <w:color w:val="auto"/>
        </w:rPr>
        <w:t>o existe una definición de localidad</w:t>
      </w:r>
      <w:r w:rsidR="005F669E" w:rsidRPr="00330641">
        <w:rPr>
          <w:rFonts w:ascii="ITC Avant Garde" w:hAnsi="ITC Avant Garde"/>
          <w:color w:val="auto"/>
        </w:rPr>
        <w:t>.</w:t>
      </w:r>
      <w:r w:rsidR="005F669E">
        <w:rPr>
          <w:rFonts w:ascii="ITC Avant Garde" w:hAnsi="ITC Avant Garde"/>
          <w:color w:val="auto"/>
        </w:rPr>
        <w:t xml:space="preserve"> </w:t>
      </w:r>
      <w:r>
        <w:rPr>
          <w:rFonts w:ascii="ITC Avant Garde" w:hAnsi="ITC Avant Garde"/>
          <w:color w:val="auto"/>
        </w:rPr>
        <w:t>Asimismo,</w:t>
      </w:r>
      <w:r w:rsidR="005F669E" w:rsidRPr="00330641">
        <w:rPr>
          <w:rFonts w:ascii="ITC Avant Garde" w:eastAsia="Times New Roman" w:hAnsi="ITC Avant Garde" w:cs="Calibri"/>
          <w:color w:val="auto"/>
        </w:rPr>
        <w:t xml:space="preserve"> </w:t>
      </w:r>
      <w:r>
        <w:rPr>
          <w:rFonts w:ascii="ITC Avant Garde" w:eastAsia="Times New Roman" w:hAnsi="ITC Avant Garde" w:cs="Calibri"/>
          <w:color w:val="auto"/>
        </w:rPr>
        <w:t>señaló</w:t>
      </w:r>
      <w:r w:rsidR="00C94EFB" w:rsidRPr="00330641">
        <w:rPr>
          <w:rFonts w:ascii="ITC Avant Garde" w:eastAsia="Times New Roman" w:hAnsi="ITC Avant Garde" w:cs="Calibri"/>
          <w:color w:val="auto"/>
        </w:rPr>
        <w:t xml:space="preserve"> </w:t>
      </w:r>
      <w:r w:rsidR="009345C9" w:rsidRPr="00330641">
        <w:rPr>
          <w:rFonts w:ascii="ITC Avant Garde" w:eastAsia="Times New Roman" w:hAnsi="ITC Avant Garde" w:cs="Calibri"/>
          <w:color w:val="auto"/>
        </w:rPr>
        <w:t>que es importante definir el concepto de localidad</w:t>
      </w:r>
      <w:r w:rsidR="004D1CB6" w:rsidRPr="00330641">
        <w:rPr>
          <w:rFonts w:ascii="ITC Avant Garde" w:eastAsia="Times New Roman" w:hAnsi="ITC Avant Garde" w:cs="Calibri"/>
          <w:color w:val="auto"/>
        </w:rPr>
        <w:t>,</w:t>
      </w:r>
      <w:r w:rsidR="009345C9" w:rsidRPr="00330641">
        <w:rPr>
          <w:rFonts w:ascii="ITC Avant Garde" w:eastAsia="Times New Roman" w:hAnsi="ITC Avant Garde" w:cs="Calibri"/>
          <w:color w:val="auto"/>
        </w:rPr>
        <w:t xml:space="preserve"> puesto que puede dar lugar a confusión y ambigüedades con lo definido en el INEGI</w:t>
      </w:r>
      <w:r w:rsidR="00F36A0D" w:rsidRPr="00330641">
        <w:rPr>
          <w:rFonts w:ascii="ITC Avant Garde" w:eastAsia="Times New Roman" w:hAnsi="ITC Avant Garde" w:cs="Calibri"/>
          <w:color w:val="auto"/>
        </w:rPr>
        <w:t xml:space="preserve">, </w:t>
      </w:r>
      <w:r w:rsidR="00607573">
        <w:rPr>
          <w:rFonts w:ascii="ITC Avant Garde" w:hAnsi="ITC Avant Garde"/>
          <w:color w:val="auto"/>
        </w:rPr>
        <w:t>sugirió</w:t>
      </w:r>
      <w:r w:rsidR="00F36A0D" w:rsidRPr="00330641">
        <w:rPr>
          <w:rFonts w:ascii="ITC Avant Garde" w:hAnsi="ITC Avant Garde"/>
          <w:color w:val="auto"/>
        </w:rPr>
        <w:t xml:space="preserve"> agregar la definición de localidad en los siguientes términos:</w:t>
      </w:r>
    </w:p>
    <w:p w:rsidR="009345C9" w:rsidRPr="00330641" w:rsidRDefault="009345C9" w:rsidP="000F58E0">
      <w:pPr>
        <w:spacing w:after="0" w:line="276" w:lineRule="auto"/>
        <w:ind w:left="0" w:right="0" w:firstLine="0"/>
        <w:rPr>
          <w:rFonts w:ascii="ITC Avant Garde" w:eastAsia="Times New Roman" w:hAnsi="ITC Avant Garde" w:cs="Calibri"/>
          <w:color w:val="auto"/>
        </w:rPr>
      </w:pPr>
    </w:p>
    <w:p w:rsidR="009345C9" w:rsidRPr="00330641" w:rsidRDefault="009345C9" w:rsidP="000F58E0">
      <w:pPr>
        <w:spacing w:after="0" w:line="276" w:lineRule="auto"/>
        <w:ind w:left="567" w:right="474" w:firstLine="0"/>
        <w:rPr>
          <w:rFonts w:ascii="ITC Avant Garde" w:eastAsia="Times New Roman" w:hAnsi="ITC Avant Garde" w:cs="Calibri"/>
          <w:color w:val="auto"/>
          <w:sz w:val="18"/>
          <w:szCs w:val="18"/>
        </w:rPr>
      </w:pPr>
      <w:r w:rsidRPr="00330641">
        <w:rPr>
          <w:rFonts w:ascii="ITC Avant Garde" w:eastAsia="Times New Roman" w:hAnsi="ITC Avant Garde" w:cs="Calibri"/>
          <w:bCs/>
          <w:i/>
          <w:iCs/>
          <w:color w:val="auto"/>
          <w:sz w:val="18"/>
          <w:szCs w:val="18"/>
        </w:rPr>
        <w:t xml:space="preserve">"1.4 Localidad: una ciudad, población o área metropolitana. Por ejemplo: las áreas metropolitanas de Ciudad de México, </w:t>
      </w:r>
      <w:r w:rsidR="0041750F" w:rsidRPr="00330641">
        <w:rPr>
          <w:rFonts w:ascii="ITC Avant Garde" w:eastAsia="Times New Roman" w:hAnsi="ITC Avant Garde" w:cs="Calibri"/>
          <w:bCs/>
          <w:i/>
          <w:iCs/>
          <w:color w:val="auto"/>
          <w:sz w:val="18"/>
          <w:szCs w:val="18"/>
        </w:rPr>
        <w:t>Guadalajara</w:t>
      </w:r>
      <w:r w:rsidRPr="00330641">
        <w:rPr>
          <w:rFonts w:ascii="ITC Avant Garde" w:eastAsia="Times New Roman" w:hAnsi="ITC Avant Garde" w:cs="Calibri"/>
          <w:bCs/>
          <w:i/>
          <w:iCs/>
          <w:color w:val="auto"/>
          <w:sz w:val="18"/>
          <w:szCs w:val="18"/>
        </w:rPr>
        <w:t xml:space="preserve"> y Monterrey."</w:t>
      </w:r>
    </w:p>
    <w:p w:rsidR="00F36A0D" w:rsidRPr="00330641" w:rsidRDefault="00F36A0D" w:rsidP="000F58E0">
      <w:pPr>
        <w:autoSpaceDE w:val="0"/>
        <w:autoSpaceDN w:val="0"/>
        <w:adjustRightInd w:val="0"/>
        <w:spacing w:after="0" w:line="276" w:lineRule="auto"/>
        <w:ind w:left="0" w:right="0" w:firstLine="0"/>
        <w:rPr>
          <w:rFonts w:ascii="ITC Avant Garde" w:hAnsi="ITC Avant Garde"/>
          <w:color w:val="auto"/>
        </w:rPr>
      </w:pPr>
    </w:p>
    <w:p w:rsidR="00EA0FA3" w:rsidRPr="00330641" w:rsidRDefault="00EA0FA3" w:rsidP="000F58E0">
      <w:pPr>
        <w:spacing w:after="0" w:line="276" w:lineRule="auto"/>
        <w:ind w:left="0" w:right="0" w:firstLine="0"/>
        <w:rPr>
          <w:rFonts w:ascii="ITC Avant Garde" w:hAnsi="ITC Avant Garde" w:cs="Times New Roman"/>
          <w:b/>
          <w:color w:val="auto"/>
        </w:rPr>
      </w:pPr>
      <w:r w:rsidRPr="00330641">
        <w:rPr>
          <w:rFonts w:ascii="ITC Avant Garde" w:hAnsi="ITC Avant Garde" w:cs="Times New Roman"/>
          <w:b/>
          <w:color w:val="auto"/>
        </w:rPr>
        <w:t>Consideraciones del Instituto</w:t>
      </w:r>
      <w:r w:rsidR="008D5F6D" w:rsidRPr="00330641">
        <w:rPr>
          <w:rFonts w:ascii="ITC Avant Garde" w:hAnsi="ITC Avant Garde" w:cs="Times New Roman"/>
          <w:b/>
          <w:color w:val="auto"/>
        </w:rPr>
        <w:t>:</w:t>
      </w:r>
    </w:p>
    <w:p w:rsidR="00EA0FA3" w:rsidRPr="00330641" w:rsidRDefault="00EA0FA3" w:rsidP="000F58E0">
      <w:pPr>
        <w:autoSpaceDE w:val="0"/>
        <w:autoSpaceDN w:val="0"/>
        <w:adjustRightInd w:val="0"/>
        <w:spacing w:after="0" w:line="276" w:lineRule="auto"/>
        <w:ind w:left="0" w:right="0" w:firstLine="0"/>
        <w:rPr>
          <w:rFonts w:ascii="ITC Avant Garde" w:hAnsi="ITC Avant Garde"/>
          <w:color w:val="auto"/>
        </w:rPr>
      </w:pPr>
      <w:r w:rsidRPr="00330641">
        <w:rPr>
          <w:rFonts w:ascii="ITC Avant Garde" w:hAnsi="ITC Avant Garde"/>
          <w:color w:val="auto"/>
        </w:rPr>
        <w:t>Con relación a la definición de “Localidad”,</w:t>
      </w:r>
      <w:r w:rsidR="00CF3333" w:rsidRPr="00330641">
        <w:rPr>
          <w:rFonts w:ascii="ITC Avant Garde" w:hAnsi="ITC Avant Garde"/>
          <w:color w:val="auto"/>
        </w:rPr>
        <w:t xml:space="preserve"> </w:t>
      </w:r>
      <w:r w:rsidRPr="00330641">
        <w:rPr>
          <w:rFonts w:ascii="ITC Avant Garde" w:hAnsi="ITC Avant Garde"/>
          <w:color w:val="auto"/>
        </w:rPr>
        <w:t>ésta</w:t>
      </w:r>
      <w:r w:rsidR="00CF3333" w:rsidRPr="00330641">
        <w:rPr>
          <w:rFonts w:ascii="ITC Avant Garde" w:hAnsi="ITC Avant Garde"/>
          <w:color w:val="auto"/>
        </w:rPr>
        <w:t xml:space="preserve"> se encuentra dentro de la cláusula primera “Definiciones”</w:t>
      </w:r>
      <w:r w:rsidRPr="00330641">
        <w:rPr>
          <w:rFonts w:ascii="ITC Avant Garde" w:hAnsi="ITC Avant Garde"/>
          <w:color w:val="auto"/>
        </w:rPr>
        <w:t xml:space="preserve"> </w:t>
      </w:r>
      <w:r w:rsidR="00CF3333" w:rsidRPr="00330641">
        <w:rPr>
          <w:rFonts w:ascii="ITC Avant Garde" w:hAnsi="ITC Avant Garde"/>
          <w:color w:val="auto"/>
        </w:rPr>
        <w:t>en los siguientes términos:</w:t>
      </w:r>
      <w:r w:rsidRPr="00330641">
        <w:rPr>
          <w:rFonts w:ascii="ITC Avant Garde" w:hAnsi="ITC Avant Garde"/>
          <w:color w:val="auto"/>
        </w:rPr>
        <w:t xml:space="preserve"> </w:t>
      </w:r>
    </w:p>
    <w:p w:rsidR="00EA0FA3" w:rsidRPr="00330641" w:rsidRDefault="00EA0FA3" w:rsidP="000F58E0">
      <w:pPr>
        <w:pStyle w:val="Prrafodelista"/>
        <w:spacing w:after="0" w:line="276" w:lineRule="auto"/>
        <w:ind w:left="0" w:right="0" w:firstLine="0"/>
        <w:contextualSpacing w:val="0"/>
        <w:rPr>
          <w:rFonts w:ascii="ITC Avant Garde" w:hAnsi="ITC Avant Garde"/>
          <w:color w:val="auto"/>
        </w:rPr>
      </w:pPr>
    </w:p>
    <w:p w:rsidR="0010119A" w:rsidRPr="00330641" w:rsidRDefault="00EA0FA3" w:rsidP="000F58E0">
      <w:pPr>
        <w:spacing w:after="0" w:line="276" w:lineRule="auto"/>
        <w:ind w:left="567" w:right="333" w:firstLine="0"/>
        <w:rPr>
          <w:rFonts w:ascii="ITC Avant Garde" w:eastAsia="Calibri" w:hAnsi="ITC Avant Garde" w:cs="Arial"/>
          <w:i/>
          <w:color w:val="auto"/>
          <w:sz w:val="18"/>
          <w:lang w:eastAsia="en-US"/>
        </w:rPr>
      </w:pPr>
      <w:r w:rsidRPr="00330641">
        <w:rPr>
          <w:rFonts w:ascii="ITC Avant Garde" w:eastAsia="Calibri" w:hAnsi="ITC Avant Garde" w:cs="Arial"/>
          <w:i/>
          <w:color w:val="auto"/>
          <w:sz w:val="18"/>
          <w:lang w:eastAsia="en-US"/>
        </w:rPr>
        <w:t xml:space="preserve">“Localidad: Poblaciones que se ubican y son atendidas por la misma o distintas redes urbanas, en el entendido </w:t>
      </w:r>
      <w:r w:rsidR="00F2721F" w:rsidRPr="00330641">
        <w:rPr>
          <w:rFonts w:ascii="ITC Avant Garde" w:eastAsia="Calibri" w:hAnsi="ITC Avant Garde" w:cs="Arial"/>
          <w:i/>
          <w:color w:val="auto"/>
          <w:sz w:val="18"/>
          <w:lang w:eastAsia="en-US"/>
        </w:rPr>
        <w:t>de que en las localidades que intervengan diferentes redes urbanas se contratarán Enlaces Dedicados Entre Localidades</w:t>
      </w:r>
      <w:r w:rsidR="00F2721F" w:rsidRPr="00330641" w:rsidDel="00F2721F">
        <w:rPr>
          <w:rFonts w:ascii="ITC Avant Garde" w:eastAsia="Calibri" w:hAnsi="ITC Avant Garde" w:cs="Arial"/>
          <w:i/>
          <w:color w:val="auto"/>
          <w:sz w:val="18"/>
          <w:lang w:eastAsia="en-US"/>
        </w:rPr>
        <w:t xml:space="preserve"> </w:t>
      </w:r>
      <w:r w:rsidRPr="00330641">
        <w:rPr>
          <w:rFonts w:ascii="ITC Avant Garde" w:eastAsia="Calibri" w:hAnsi="ITC Avant Garde" w:cs="Arial"/>
          <w:i/>
          <w:color w:val="auto"/>
          <w:sz w:val="18"/>
          <w:lang w:eastAsia="en-US"/>
        </w:rPr>
        <w:t>(anteriormente Enlaces Dedicados de Larga Distancia)”.</w:t>
      </w:r>
    </w:p>
    <w:p w:rsidR="00F05D8C" w:rsidRPr="00330641" w:rsidRDefault="00F05D8C" w:rsidP="000F58E0">
      <w:pPr>
        <w:spacing w:after="0" w:line="276" w:lineRule="auto"/>
        <w:ind w:left="0" w:right="0" w:firstLine="0"/>
        <w:rPr>
          <w:rFonts w:ascii="ITC Avant Garde" w:eastAsia="Calibri" w:hAnsi="ITC Avant Garde" w:cs="Arial"/>
          <w:i/>
          <w:color w:val="auto"/>
          <w:lang w:eastAsia="en-US"/>
        </w:rPr>
      </w:pPr>
    </w:p>
    <w:p w:rsidR="00CF3333" w:rsidRPr="00330641" w:rsidRDefault="00CF3333" w:rsidP="000F58E0">
      <w:pPr>
        <w:autoSpaceDE w:val="0"/>
        <w:autoSpaceDN w:val="0"/>
        <w:adjustRightInd w:val="0"/>
        <w:spacing w:after="0" w:line="276" w:lineRule="auto"/>
        <w:ind w:left="0" w:right="0" w:firstLine="0"/>
        <w:rPr>
          <w:rFonts w:ascii="ITC Avant Garde" w:hAnsi="ITC Avant Garde"/>
          <w:color w:val="auto"/>
        </w:rPr>
      </w:pPr>
      <w:r w:rsidRPr="00330641">
        <w:rPr>
          <w:rFonts w:ascii="ITC Avant Garde" w:hAnsi="ITC Avant Garde"/>
          <w:color w:val="auto"/>
        </w:rPr>
        <w:t xml:space="preserve">Asimismo, y para efectos de claridad, </w:t>
      </w:r>
      <w:r w:rsidR="00B8199B" w:rsidRPr="00330641">
        <w:rPr>
          <w:rFonts w:ascii="ITC Avant Garde" w:hAnsi="ITC Avant Garde"/>
          <w:color w:val="auto"/>
        </w:rPr>
        <w:t xml:space="preserve">se estableció que </w:t>
      </w:r>
      <w:r w:rsidRPr="00330641">
        <w:rPr>
          <w:rFonts w:ascii="ITC Avant Garde" w:hAnsi="ITC Avant Garde"/>
          <w:color w:val="auto"/>
        </w:rPr>
        <w:t>Telmex debe anexar en el Sistema Electrónico de Gestión (en lo sucesivo</w:t>
      </w:r>
      <w:r w:rsidR="005D33F8" w:rsidRPr="00330641">
        <w:rPr>
          <w:rFonts w:ascii="ITC Avant Garde" w:hAnsi="ITC Avant Garde"/>
          <w:color w:val="auto"/>
        </w:rPr>
        <w:t>,</w:t>
      </w:r>
      <w:r w:rsidRPr="00330641">
        <w:rPr>
          <w:rFonts w:ascii="ITC Avant Garde" w:hAnsi="ITC Avant Garde"/>
          <w:color w:val="auto"/>
        </w:rPr>
        <w:t xml:space="preserve"> “SEG”) un listado de las redes urbanas con las claves INEGI de las localidades que las conforman, como una sección “Consulta de información de Enlaces Dedicados”</w:t>
      </w:r>
      <w:r w:rsidR="00232EC1">
        <w:rPr>
          <w:rFonts w:ascii="ITC Avant Garde" w:hAnsi="ITC Avant Garde"/>
          <w:color w:val="auto"/>
        </w:rPr>
        <w:t>.</w:t>
      </w:r>
    </w:p>
    <w:p w:rsidR="00F210D4" w:rsidRPr="00330641" w:rsidRDefault="00F210D4" w:rsidP="000F58E0">
      <w:pPr>
        <w:autoSpaceDE w:val="0"/>
        <w:autoSpaceDN w:val="0"/>
        <w:adjustRightInd w:val="0"/>
        <w:spacing w:after="0" w:line="276" w:lineRule="auto"/>
        <w:ind w:left="0" w:right="0" w:firstLine="0"/>
        <w:rPr>
          <w:rFonts w:ascii="ITC Avant Garde" w:hAnsi="ITC Avant Garde"/>
          <w:color w:val="auto"/>
        </w:rPr>
      </w:pPr>
    </w:p>
    <w:p w:rsidR="00DA60CB" w:rsidRPr="00330641" w:rsidRDefault="00DA60CB" w:rsidP="000F58E0">
      <w:pPr>
        <w:pStyle w:val="IFT1"/>
        <w:spacing w:after="0"/>
        <w:rPr>
          <w:rFonts w:eastAsiaTheme="majorEastAsia"/>
          <w:u w:val="single"/>
          <w:lang w:val="es-ES_tradnl"/>
        </w:rPr>
      </w:pPr>
      <w:r w:rsidRPr="00330641">
        <w:rPr>
          <w:rFonts w:eastAsiaTheme="majorEastAsia"/>
          <w:b/>
          <w:u w:val="single"/>
          <w:lang w:val="es-ES_tradnl"/>
        </w:rPr>
        <w:t>2.1</w:t>
      </w:r>
      <w:r w:rsidR="00EF7253" w:rsidRPr="00330641">
        <w:rPr>
          <w:rFonts w:eastAsiaTheme="majorEastAsia"/>
          <w:b/>
          <w:u w:val="single"/>
          <w:lang w:val="es-ES_tradnl"/>
        </w:rPr>
        <w:t xml:space="preserve"> </w:t>
      </w:r>
      <w:r w:rsidRPr="00330641">
        <w:rPr>
          <w:rFonts w:eastAsiaTheme="majorEastAsia"/>
          <w:b/>
          <w:u w:val="single"/>
          <w:lang w:val="es-ES_tradnl"/>
        </w:rPr>
        <w:t>Servicios mayoristas de Arrendamiento de Enlaces Dedicados</w:t>
      </w:r>
      <w:r w:rsidR="00E6097E" w:rsidRPr="00330641">
        <w:rPr>
          <w:rFonts w:eastAsiaTheme="majorEastAsia"/>
          <w:b/>
          <w:u w:val="single"/>
          <w:lang w:val="es-ES_tradnl"/>
        </w:rPr>
        <w:t>.</w:t>
      </w:r>
    </w:p>
    <w:p w:rsidR="00275FD7" w:rsidRPr="00330641" w:rsidRDefault="00BC245D" w:rsidP="000F58E0">
      <w:pPr>
        <w:spacing w:after="0" w:line="276" w:lineRule="auto"/>
        <w:ind w:left="0" w:right="0"/>
        <w:rPr>
          <w:rFonts w:ascii="ITC Avant Garde" w:eastAsiaTheme="majorEastAsia" w:hAnsi="ITC Avant Garde" w:cstheme="majorBidi"/>
          <w:b/>
          <w:color w:val="auto"/>
          <w:lang w:val="es-ES_tradnl"/>
        </w:rPr>
      </w:pPr>
      <w:r w:rsidRPr="00330641">
        <w:rPr>
          <w:rFonts w:ascii="ITC Avant Garde" w:eastAsiaTheme="majorEastAsia" w:hAnsi="ITC Avant Garde" w:cstheme="majorBidi"/>
          <w:b/>
          <w:color w:val="auto"/>
          <w:lang w:val="es-ES_tradnl"/>
        </w:rPr>
        <w:t xml:space="preserve">GRUPO </w:t>
      </w:r>
      <w:r w:rsidR="00DE1618" w:rsidRPr="00330641">
        <w:rPr>
          <w:rFonts w:ascii="ITC Avant Garde" w:eastAsiaTheme="majorEastAsia" w:hAnsi="ITC Avant Garde" w:cstheme="majorBidi"/>
          <w:b/>
          <w:color w:val="auto"/>
          <w:lang w:val="es-ES_tradnl"/>
        </w:rPr>
        <w:t>AT</w:t>
      </w:r>
      <w:r w:rsidR="00401211" w:rsidRPr="00330641">
        <w:rPr>
          <w:rFonts w:ascii="ITC Avant Garde" w:eastAsiaTheme="majorEastAsia" w:hAnsi="ITC Avant Garde" w:cstheme="majorBidi"/>
          <w:b/>
          <w:color w:val="auto"/>
          <w:lang w:val="es-ES_tradnl"/>
        </w:rPr>
        <w:t>&amp;</w:t>
      </w:r>
      <w:r w:rsidR="00DE1618" w:rsidRPr="00330641">
        <w:rPr>
          <w:rFonts w:ascii="ITC Avant Garde" w:eastAsiaTheme="majorEastAsia" w:hAnsi="ITC Avant Garde" w:cstheme="majorBidi"/>
          <w:b/>
          <w:color w:val="auto"/>
          <w:lang w:val="es-ES_tradnl"/>
        </w:rPr>
        <w:t>T</w:t>
      </w:r>
      <w:r w:rsidR="00B55741" w:rsidRPr="00330641">
        <w:rPr>
          <w:rFonts w:ascii="ITC Avant Garde" w:eastAsiaTheme="majorEastAsia" w:hAnsi="ITC Avant Garde" w:cstheme="majorBidi"/>
          <w:b/>
          <w:color w:val="auto"/>
          <w:lang w:val="es-ES_tradnl"/>
        </w:rPr>
        <w:t>:</w:t>
      </w:r>
      <w:r w:rsidR="0083647F" w:rsidRPr="00330641">
        <w:rPr>
          <w:rFonts w:ascii="ITC Avant Garde" w:eastAsiaTheme="majorEastAsia" w:hAnsi="ITC Avant Garde" w:cstheme="majorBidi"/>
          <w:b/>
          <w:color w:val="auto"/>
          <w:lang w:val="es-ES_tradnl"/>
        </w:rPr>
        <w:t xml:space="preserve"> </w:t>
      </w:r>
    </w:p>
    <w:p w:rsidR="005A5AA4" w:rsidRPr="00330641" w:rsidRDefault="0012211F" w:rsidP="005A5AA4">
      <w:pPr>
        <w:spacing w:after="0" w:line="276" w:lineRule="auto"/>
        <w:ind w:left="0" w:right="0"/>
        <w:rPr>
          <w:rFonts w:ascii="ITC Avant Garde" w:eastAsiaTheme="majorEastAsia" w:hAnsi="ITC Avant Garde" w:cstheme="majorBidi"/>
          <w:color w:val="auto"/>
          <w:lang w:val="es-ES_tradnl"/>
        </w:rPr>
      </w:pPr>
      <w:r>
        <w:rPr>
          <w:rFonts w:ascii="ITC Avant Garde" w:eastAsiaTheme="majorEastAsia" w:hAnsi="ITC Avant Garde" w:cstheme="majorBidi"/>
          <w:color w:val="auto"/>
          <w:lang w:val="es-ES_tradnl"/>
        </w:rPr>
        <w:t>Señaló</w:t>
      </w:r>
      <w:r w:rsidR="00BA3A51" w:rsidRPr="00330641">
        <w:rPr>
          <w:rFonts w:ascii="ITC Avant Garde" w:eastAsiaTheme="majorEastAsia" w:hAnsi="ITC Avant Garde" w:cstheme="majorBidi"/>
          <w:color w:val="auto"/>
          <w:lang w:val="es-ES_tradnl"/>
        </w:rPr>
        <w:t xml:space="preserve"> que</w:t>
      </w:r>
      <w:r w:rsidR="0021575A" w:rsidRPr="00330641">
        <w:rPr>
          <w:rFonts w:ascii="ITC Avant Garde" w:eastAsiaTheme="majorEastAsia" w:hAnsi="ITC Avant Garde" w:cstheme="majorBidi"/>
          <w:color w:val="auto"/>
          <w:lang w:val="es-ES_tradnl"/>
        </w:rPr>
        <w:t>,</w:t>
      </w:r>
      <w:r w:rsidR="008B150B" w:rsidRPr="00330641">
        <w:rPr>
          <w:rFonts w:ascii="ITC Avant Garde" w:eastAsiaTheme="majorEastAsia" w:hAnsi="ITC Avant Garde" w:cstheme="majorBidi"/>
          <w:color w:val="auto"/>
          <w:lang w:val="es-ES_tradnl"/>
        </w:rPr>
        <w:t xml:space="preserve"> el concepto de área de cobertura </w:t>
      </w:r>
      <w:r w:rsidR="003B6046" w:rsidRPr="00330641">
        <w:rPr>
          <w:rFonts w:ascii="ITC Avant Garde" w:eastAsiaTheme="majorEastAsia" w:hAnsi="ITC Avant Garde" w:cstheme="majorBidi"/>
          <w:color w:val="auto"/>
          <w:lang w:val="es-ES_tradnl"/>
        </w:rPr>
        <w:t>mencionado en el numeral 2.1 “</w:t>
      </w:r>
      <w:r w:rsidR="003B6046" w:rsidRPr="00330641">
        <w:rPr>
          <w:rFonts w:ascii="ITC Avant Garde" w:eastAsiaTheme="majorEastAsia" w:hAnsi="ITC Avant Garde" w:cstheme="majorBidi"/>
          <w:i/>
          <w:color w:val="auto"/>
          <w:lang w:val="es-ES_tradnl"/>
        </w:rPr>
        <w:t xml:space="preserve">Servicios mayoristas de Arrendamiento de Enlaces Dedicados” </w:t>
      </w:r>
      <w:r w:rsidR="008B150B" w:rsidRPr="00330641">
        <w:rPr>
          <w:rFonts w:ascii="ITC Avant Garde" w:eastAsiaTheme="majorEastAsia" w:hAnsi="ITC Avant Garde" w:cstheme="majorBidi"/>
          <w:color w:val="auto"/>
          <w:lang w:val="es-ES_tradnl"/>
        </w:rPr>
        <w:t xml:space="preserve">no está definido para redes fijas y puede dar lugar a confusión y </w:t>
      </w:r>
      <w:r w:rsidR="00743249" w:rsidRPr="00330641">
        <w:rPr>
          <w:rFonts w:ascii="ITC Avant Garde" w:eastAsiaTheme="majorEastAsia" w:hAnsi="ITC Avant Garde" w:cstheme="majorBidi"/>
          <w:color w:val="auto"/>
          <w:lang w:val="es-ES_tradnl"/>
        </w:rPr>
        <w:t xml:space="preserve">ambigüedades. </w:t>
      </w:r>
      <w:r w:rsidR="00607573">
        <w:rPr>
          <w:rFonts w:ascii="ITC Avant Garde" w:eastAsiaTheme="majorEastAsia" w:hAnsi="ITC Avant Garde" w:cstheme="majorBidi"/>
          <w:color w:val="auto"/>
          <w:lang w:val="es-ES_tradnl"/>
        </w:rPr>
        <w:t>Asimismo, argumentó</w:t>
      </w:r>
      <w:r w:rsidR="005A5AA4" w:rsidRPr="00330641">
        <w:rPr>
          <w:rFonts w:ascii="ITC Avant Garde" w:eastAsiaTheme="majorEastAsia" w:hAnsi="ITC Avant Garde" w:cstheme="majorBidi"/>
          <w:color w:val="auto"/>
          <w:lang w:val="es-ES_tradnl"/>
        </w:rPr>
        <w:t xml:space="preserve"> que </w:t>
      </w:r>
      <w:r w:rsidR="00A951DD" w:rsidRPr="00330641">
        <w:rPr>
          <w:rFonts w:ascii="ITC Avant Garde" w:eastAsiaTheme="majorEastAsia" w:hAnsi="ITC Avant Garde" w:cstheme="majorBidi"/>
          <w:color w:val="auto"/>
          <w:lang w:val="es-ES_tradnl"/>
        </w:rPr>
        <w:t>Telmex</w:t>
      </w:r>
      <w:r w:rsidR="005A5AA4" w:rsidRPr="00330641">
        <w:rPr>
          <w:rFonts w:ascii="ITC Avant Garde" w:eastAsiaTheme="majorEastAsia" w:hAnsi="ITC Avant Garde" w:cstheme="majorBidi"/>
          <w:color w:val="auto"/>
          <w:lang w:val="es-ES_tradnl"/>
        </w:rPr>
        <w:t xml:space="preserve"> eliminó las velocidades de 100 </w:t>
      </w:r>
      <w:proofErr w:type="spellStart"/>
      <w:r w:rsidR="005A5AA4" w:rsidRPr="00330641">
        <w:rPr>
          <w:rFonts w:ascii="ITC Avant Garde" w:eastAsiaTheme="majorEastAsia" w:hAnsi="ITC Avant Garde" w:cstheme="majorBidi"/>
          <w:color w:val="auto"/>
          <w:lang w:val="es-ES_tradnl"/>
        </w:rPr>
        <w:t>Gbps</w:t>
      </w:r>
      <w:proofErr w:type="spellEnd"/>
      <w:r w:rsidR="005A5AA4" w:rsidRPr="00330641">
        <w:rPr>
          <w:rFonts w:ascii="ITC Avant Garde" w:eastAsiaTheme="majorEastAsia" w:hAnsi="ITC Avant Garde" w:cstheme="majorBidi"/>
          <w:color w:val="auto"/>
          <w:lang w:val="es-ES_tradnl"/>
        </w:rPr>
        <w:t xml:space="preserve"> de la oferta vigente, menciona que dichas capacidades ya se han convertido en un estándar de la industria y que se requieren para concentrar enlaces en puntos de conmutación por lo que sería conveniente contar con </w:t>
      </w:r>
      <w:proofErr w:type="spellStart"/>
      <w:r w:rsidR="005A5AA4" w:rsidRPr="00330641">
        <w:rPr>
          <w:rFonts w:ascii="ITC Avant Garde" w:eastAsiaTheme="majorEastAsia" w:hAnsi="ITC Avant Garde" w:cstheme="majorBidi"/>
          <w:color w:val="auto"/>
          <w:lang w:val="es-ES_tradnl"/>
        </w:rPr>
        <w:t>Hub</w:t>
      </w:r>
      <w:proofErr w:type="spellEnd"/>
      <w:r w:rsidR="005A5AA4" w:rsidRPr="00330641">
        <w:rPr>
          <w:rFonts w:ascii="ITC Avant Garde" w:eastAsiaTheme="majorEastAsia" w:hAnsi="ITC Avant Garde" w:cstheme="majorBidi"/>
          <w:color w:val="auto"/>
          <w:lang w:val="es-ES_tradnl"/>
        </w:rPr>
        <w:t xml:space="preserve"> Ethernet de 100 </w:t>
      </w:r>
      <w:proofErr w:type="spellStart"/>
      <w:r w:rsidR="005A5AA4" w:rsidRPr="00330641">
        <w:rPr>
          <w:rFonts w:ascii="ITC Avant Garde" w:eastAsiaTheme="majorEastAsia" w:hAnsi="ITC Avant Garde" w:cstheme="majorBidi"/>
          <w:color w:val="auto"/>
          <w:lang w:val="es-ES_tradnl"/>
        </w:rPr>
        <w:t>Gbps</w:t>
      </w:r>
      <w:proofErr w:type="spellEnd"/>
      <w:r w:rsidR="005A5AA4" w:rsidRPr="00330641">
        <w:rPr>
          <w:rFonts w:ascii="ITC Avant Garde" w:eastAsiaTheme="majorEastAsia" w:hAnsi="ITC Avant Garde" w:cstheme="majorBidi"/>
          <w:color w:val="auto"/>
          <w:lang w:val="es-ES_tradnl"/>
        </w:rPr>
        <w:t xml:space="preserve">, lo cual también aplica para la tabla de velocidades. </w:t>
      </w:r>
    </w:p>
    <w:p w:rsidR="00232EC1" w:rsidRDefault="00232EC1" w:rsidP="00436BF0">
      <w:pPr>
        <w:spacing w:after="0" w:line="276" w:lineRule="auto"/>
        <w:ind w:left="0" w:right="0" w:firstLine="0"/>
        <w:rPr>
          <w:rFonts w:ascii="ITC Avant Garde" w:hAnsi="ITC Avant Garde" w:cs="Times New Roman"/>
          <w:b/>
          <w:color w:val="auto"/>
        </w:rPr>
      </w:pPr>
    </w:p>
    <w:p w:rsidR="006371EA" w:rsidRPr="00330641" w:rsidRDefault="00A53D9A" w:rsidP="00436BF0">
      <w:pPr>
        <w:spacing w:after="0" w:line="276" w:lineRule="auto"/>
        <w:ind w:left="0" w:right="0" w:firstLine="0"/>
        <w:rPr>
          <w:rFonts w:ascii="ITC Avant Garde" w:hAnsi="ITC Avant Garde" w:cs="Times New Roman"/>
          <w:b/>
          <w:color w:val="auto"/>
        </w:rPr>
      </w:pPr>
      <w:r w:rsidRPr="00330641">
        <w:rPr>
          <w:rFonts w:ascii="ITC Avant Garde" w:hAnsi="ITC Avant Garde" w:cs="Times New Roman"/>
          <w:b/>
          <w:color w:val="auto"/>
        </w:rPr>
        <w:lastRenderedPageBreak/>
        <w:t>GRUPO TELEVISA:</w:t>
      </w:r>
    </w:p>
    <w:p w:rsidR="00436BF0" w:rsidRPr="00330641" w:rsidRDefault="0012211F" w:rsidP="00436BF0">
      <w:pPr>
        <w:spacing w:after="0" w:line="276" w:lineRule="auto"/>
        <w:ind w:left="0" w:right="0" w:firstLine="0"/>
        <w:rPr>
          <w:rFonts w:ascii="ITC Avant Garde" w:hAnsi="ITC Avant Garde" w:cs="Times New Roman"/>
          <w:color w:val="auto"/>
        </w:rPr>
      </w:pPr>
      <w:r>
        <w:rPr>
          <w:rFonts w:ascii="ITC Avant Garde" w:hAnsi="ITC Avant Garde" w:cs="Times New Roman"/>
          <w:color w:val="auto"/>
        </w:rPr>
        <w:t>Manifestó</w:t>
      </w:r>
      <w:r w:rsidR="00436BF0" w:rsidRPr="00330641">
        <w:rPr>
          <w:rFonts w:ascii="ITC Avant Garde" w:hAnsi="ITC Avant Garde" w:cs="Times New Roman"/>
          <w:color w:val="auto"/>
        </w:rPr>
        <w:t xml:space="preserve"> que el AEP, en cuanto a las capacidades ofrecidas para los servicios Ethernet ha eliminado las capacidades mayores a 10 </w:t>
      </w:r>
      <w:proofErr w:type="spellStart"/>
      <w:r w:rsidR="00436BF0" w:rsidRPr="00330641">
        <w:rPr>
          <w:rFonts w:ascii="ITC Avant Garde" w:hAnsi="ITC Avant Garde" w:cs="Times New Roman"/>
          <w:color w:val="auto"/>
        </w:rPr>
        <w:t>Gbps</w:t>
      </w:r>
      <w:proofErr w:type="spellEnd"/>
      <w:r w:rsidR="00436BF0" w:rsidRPr="00330641">
        <w:rPr>
          <w:rFonts w:ascii="ITC Avant Garde" w:hAnsi="ITC Avant Garde" w:cs="Times New Roman"/>
          <w:color w:val="auto"/>
        </w:rPr>
        <w:t xml:space="preserve">, incumpliendo </w:t>
      </w:r>
      <w:r w:rsidR="001B0ACB">
        <w:rPr>
          <w:rFonts w:ascii="ITC Avant Garde" w:hAnsi="ITC Avant Garde" w:cs="Times New Roman"/>
          <w:color w:val="auto"/>
        </w:rPr>
        <w:t>l</w:t>
      </w:r>
      <w:r w:rsidR="00436BF0" w:rsidRPr="00330641">
        <w:rPr>
          <w:rFonts w:ascii="ITC Avant Garde" w:hAnsi="ITC Avant Garde" w:cs="Times New Roman"/>
          <w:color w:val="auto"/>
        </w:rPr>
        <w:t xml:space="preserve">a medida decimoquinta, misma que establece la obligación de proveer enlaces Ethernet en sus diferentes capacidades. Asimismo, en su propuesta el AEP pretende cambiar los plazos de entrega de servicios y cotizaciones, lo que incumple con la medida cuadragésima primera, ya que presenta condiciones menores que la </w:t>
      </w:r>
      <w:r w:rsidR="00BE05F3" w:rsidRPr="00330641">
        <w:rPr>
          <w:rFonts w:ascii="ITC Avant Garde" w:hAnsi="ITC Avant Garde" w:cs="Times New Roman"/>
          <w:color w:val="auto"/>
        </w:rPr>
        <w:t>“</w:t>
      </w:r>
      <w:r w:rsidR="00BE05F3" w:rsidRPr="00330641">
        <w:rPr>
          <w:rFonts w:ascii="ITC Avant Garde" w:hAnsi="ITC Avant Garde" w:cs="Times New Roman"/>
          <w:i/>
          <w:color w:val="auto"/>
        </w:rPr>
        <w:t>Oferta de Referencia para la Prestación de Servicio Mayorista de Arrendamiento de Enlaces Dedicados Entre Localidades y de Larga Distancia Internacional para Concesionarios de Redes Públicas de Telecomunicaciones y Autorizados de Telecomunicaciones”,</w:t>
      </w:r>
      <w:r w:rsidR="00BE05F3" w:rsidRPr="00330641">
        <w:rPr>
          <w:rFonts w:ascii="ITC Avant Garde" w:hAnsi="ITC Avant Garde" w:cs="Times New Roman"/>
          <w:color w:val="auto"/>
        </w:rPr>
        <w:t xml:space="preserve"> aplicable para 2020 </w:t>
      </w:r>
      <w:r w:rsidR="00BE05F3" w:rsidRPr="00330641">
        <w:rPr>
          <w:rFonts w:ascii="ITC Avant Garde" w:hAnsi="ITC Avant Garde"/>
          <w:color w:val="auto"/>
        </w:rPr>
        <w:t>(en lo sucesivo, “ORE DM 2020”)</w:t>
      </w:r>
      <w:r w:rsidR="00436BF0" w:rsidRPr="00330641">
        <w:rPr>
          <w:rFonts w:ascii="ITC Avant Garde" w:hAnsi="ITC Avant Garde" w:cs="Times New Roman"/>
          <w:color w:val="auto"/>
        </w:rPr>
        <w:t>.</w:t>
      </w:r>
    </w:p>
    <w:p w:rsidR="00436BF0" w:rsidRPr="00330641" w:rsidRDefault="00436BF0" w:rsidP="00436BF0">
      <w:pPr>
        <w:spacing w:after="0" w:line="276" w:lineRule="auto"/>
        <w:ind w:left="0" w:right="0" w:firstLine="0"/>
        <w:rPr>
          <w:rFonts w:ascii="ITC Avant Garde" w:hAnsi="ITC Avant Garde" w:cs="Times New Roman"/>
          <w:color w:val="auto"/>
        </w:rPr>
      </w:pPr>
    </w:p>
    <w:p w:rsidR="00436BF0" w:rsidRPr="00330641" w:rsidRDefault="00436BF0" w:rsidP="00436BF0">
      <w:pPr>
        <w:spacing w:after="0" w:line="276" w:lineRule="auto"/>
        <w:ind w:left="0" w:right="0" w:firstLine="0"/>
        <w:rPr>
          <w:rFonts w:ascii="ITC Avant Garde" w:hAnsi="ITC Avant Garde" w:cs="Times New Roman"/>
          <w:color w:val="auto"/>
        </w:rPr>
      </w:pPr>
      <w:r w:rsidRPr="00330641">
        <w:rPr>
          <w:rFonts w:ascii="ITC Avant Garde" w:hAnsi="ITC Avant Garde" w:cs="Times New Roman"/>
          <w:color w:val="auto"/>
        </w:rPr>
        <w:t>Por lo anterior</w:t>
      </w:r>
      <w:r w:rsidR="00500732" w:rsidRPr="00330641">
        <w:rPr>
          <w:rFonts w:ascii="ITC Avant Garde" w:hAnsi="ITC Avant Garde" w:cs="Times New Roman"/>
          <w:color w:val="auto"/>
        </w:rPr>
        <w:t>,</w:t>
      </w:r>
      <w:r w:rsidRPr="00330641">
        <w:rPr>
          <w:rFonts w:ascii="ITC Avant Garde" w:hAnsi="ITC Avant Garde" w:cs="Times New Roman"/>
          <w:color w:val="auto"/>
        </w:rPr>
        <w:t xml:space="preserve"> Grupo </w:t>
      </w:r>
      <w:r w:rsidR="00500732" w:rsidRPr="00330641">
        <w:rPr>
          <w:rFonts w:ascii="ITC Avant Garde" w:hAnsi="ITC Avant Garde" w:cs="Times New Roman"/>
          <w:color w:val="auto"/>
        </w:rPr>
        <w:t>T</w:t>
      </w:r>
      <w:r w:rsidRPr="00330641">
        <w:rPr>
          <w:rFonts w:ascii="ITC Avant Garde" w:hAnsi="ITC Avant Garde" w:cs="Times New Roman"/>
          <w:color w:val="auto"/>
        </w:rPr>
        <w:t>elevisa propone</w:t>
      </w:r>
      <w:r w:rsidR="00500732" w:rsidRPr="00330641">
        <w:rPr>
          <w:rFonts w:ascii="ITC Avant Garde" w:hAnsi="ITC Avant Garde" w:cs="Times New Roman"/>
          <w:color w:val="auto"/>
        </w:rPr>
        <w:t xml:space="preserve"> </w:t>
      </w:r>
      <w:r w:rsidRPr="00330641">
        <w:rPr>
          <w:rFonts w:ascii="ITC Avant Garde" w:hAnsi="ITC Avant Garde" w:cs="Times New Roman"/>
          <w:color w:val="auto"/>
        </w:rPr>
        <w:t xml:space="preserve">modificar la Oferta en los apartados necesarios para evitar que el AEP incumpla con las medidas de preponderancia ya establecidas y en dado caso contemplar lo establecido en la </w:t>
      </w:r>
      <w:r w:rsidR="00500732" w:rsidRPr="00330641">
        <w:rPr>
          <w:rFonts w:ascii="ITC Avant Garde" w:hAnsi="ITC Avant Garde" w:cs="Times New Roman"/>
          <w:color w:val="auto"/>
        </w:rPr>
        <w:t>ORE DM</w:t>
      </w:r>
      <w:r w:rsidR="00BE05F3" w:rsidRPr="00330641">
        <w:rPr>
          <w:rFonts w:ascii="ITC Avant Garde" w:hAnsi="ITC Avant Garde" w:cs="Times New Roman"/>
          <w:color w:val="auto"/>
        </w:rPr>
        <w:t xml:space="preserve"> 2020</w:t>
      </w:r>
      <w:r w:rsidR="00500732" w:rsidRPr="00330641">
        <w:rPr>
          <w:rFonts w:ascii="ITC Avant Garde" w:hAnsi="ITC Avant Garde" w:cs="Times New Roman"/>
          <w:color w:val="auto"/>
        </w:rPr>
        <w:t xml:space="preserve"> </w:t>
      </w:r>
      <w:r w:rsidRPr="00330641">
        <w:rPr>
          <w:rFonts w:ascii="ITC Avant Garde" w:hAnsi="ITC Avant Garde" w:cs="Times New Roman"/>
          <w:color w:val="auto"/>
        </w:rPr>
        <w:t>respecto a las capacidades y plazos</w:t>
      </w:r>
      <w:r w:rsidR="004C7889">
        <w:rPr>
          <w:rFonts w:ascii="ITC Avant Garde" w:hAnsi="ITC Avant Garde" w:cs="Times New Roman"/>
          <w:color w:val="auto"/>
        </w:rPr>
        <w:t>.</w:t>
      </w:r>
    </w:p>
    <w:p w:rsidR="00436BF0" w:rsidRPr="00330641" w:rsidRDefault="00436BF0" w:rsidP="000F58E0">
      <w:pPr>
        <w:autoSpaceDE w:val="0"/>
        <w:autoSpaceDN w:val="0"/>
        <w:adjustRightInd w:val="0"/>
        <w:spacing w:after="0" w:line="276" w:lineRule="auto"/>
        <w:ind w:left="0" w:right="0" w:firstLine="0"/>
        <w:rPr>
          <w:rFonts w:ascii="ITC Avant Garde" w:hAnsi="ITC Avant Garde" w:cs="Times New Roman"/>
          <w:color w:val="auto"/>
        </w:rPr>
      </w:pPr>
    </w:p>
    <w:p w:rsidR="00874EE9" w:rsidRPr="00330641" w:rsidRDefault="00874EE9" w:rsidP="000F58E0">
      <w:pPr>
        <w:autoSpaceDE w:val="0"/>
        <w:autoSpaceDN w:val="0"/>
        <w:adjustRightInd w:val="0"/>
        <w:spacing w:after="0" w:line="276" w:lineRule="auto"/>
        <w:ind w:left="0" w:right="0" w:firstLine="0"/>
        <w:rPr>
          <w:rFonts w:ascii="ITC Avant Garde" w:hAnsi="ITC Avant Garde"/>
          <w:b/>
          <w:color w:val="auto"/>
        </w:rPr>
      </w:pPr>
      <w:r w:rsidRPr="00330641">
        <w:rPr>
          <w:rFonts w:ascii="ITC Avant Garde" w:hAnsi="ITC Avant Garde"/>
          <w:b/>
          <w:color w:val="auto"/>
        </w:rPr>
        <w:t>Consideraciones del Instituto</w:t>
      </w:r>
      <w:r w:rsidR="00B55741" w:rsidRPr="00330641">
        <w:rPr>
          <w:rFonts w:ascii="ITC Avant Garde" w:hAnsi="ITC Avant Garde"/>
          <w:b/>
          <w:color w:val="auto"/>
        </w:rPr>
        <w:t>:</w:t>
      </w:r>
    </w:p>
    <w:p w:rsidR="003B6046" w:rsidRPr="00330641" w:rsidRDefault="006371EA" w:rsidP="000F58E0">
      <w:pPr>
        <w:autoSpaceDE w:val="0"/>
        <w:autoSpaceDN w:val="0"/>
        <w:adjustRightInd w:val="0"/>
        <w:spacing w:after="0" w:line="276" w:lineRule="auto"/>
        <w:ind w:left="0" w:right="0" w:firstLine="0"/>
        <w:rPr>
          <w:rFonts w:ascii="ITC Avant Garde" w:hAnsi="ITC Avant Garde"/>
          <w:color w:val="auto"/>
        </w:rPr>
      </w:pPr>
      <w:r w:rsidRPr="00330641">
        <w:rPr>
          <w:rFonts w:ascii="ITC Avant Garde" w:hAnsi="ITC Avant Garde"/>
          <w:color w:val="auto"/>
        </w:rPr>
        <w:t>A</w:t>
      </w:r>
      <w:r w:rsidR="003B6046" w:rsidRPr="00330641">
        <w:rPr>
          <w:rFonts w:ascii="ITC Avant Garde" w:hAnsi="ITC Avant Garde"/>
          <w:color w:val="auto"/>
        </w:rPr>
        <w:t xml:space="preserve"> efecto de dar cumplimiento a la Medida Décimo Quinta </w:t>
      </w:r>
      <w:r w:rsidR="00232EC1">
        <w:rPr>
          <w:rFonts w:ascii="ITC Avant Garde" w:hAnsi="ITC Avant Garde"/>
          <w:color w:val="auto"/>
        </w:rPr>
        <w:t>de las Medidas Fijas, se incluyeron</w:t>
      </w:r>
      <w:r w:rsidR="003B6046" w:rsidRPr="00330641">
        <w:rPr>
          <w:rFonts w:ascii="ITC Avant Garde" w:hAnsi="ITC Avant Garde"/>
          <w:color w:val="auto"/>
        </w:rPr>
        <w:t xml:space="preserve"> la</w:t>
      </w:r>
      <w:r w:rsidR="0093334E" w:rsidRPr="00330641">
        <w:rPr>
          <w:rFonts w:ascii="ITC Avant Garde" w:hAnsi="ITC Avant Garde"/>
          <w:color w:val="auto"/>
        </w:rPr>
        <w:t>s</w:t>
      </w:r>
      <w:r w:rsidR="003B6046" w:rsidRPr="00330641">
        <w:rPr>
          <w:rFonts w:ascii="ITC Avant Garde" w:hAnsi="ITC Avant Garde"/>
          <w:color w:val="auto"/>
        </w:rPr>
        <w:t xml:space="preserve"> </w:t>
      </w:r>
      <w:r w:rsidR="0093334E" w:rsidRPr="00330641">
        <w:rPr>
          <w:rFonts w:ascii="ITC Avant Garde" w:hAnsi="ITC Avant Garde"/>
          <w:color w:val="auto"/>
        </w:rPr>
        <w:t xml:space="preserve">capacidades mayores a 10 </w:t>
      </w:r>
      <w:proofErr w:type="spellStart"/>
      <w:r w:rsidR="0093334E" w:rsidRPr="00330641">
        <w:rPr>
          <w:rFonts w:ascii="ITC Avant Garde" w:hAnsi="ITC Avant Garde"/>
          <w:color w:val="auto"/>
        </w:rPr>
        <w:t>Gbps</w:t>
      </w:r>
      <w:proofErr w:type="spellEnd"/>
      <w:r w:rsidR="0093334E" w:rsidRPr="00330641">
        <w:rPr>
          <w:rFonts w:ascii="ITC Avant Garde" w:hAnsi="ITC Avant Garde"/>
          <w:color w:val="auto"/>
        </w:rPr>
        <w:t xml:space="preserve">, así como la capacidad </w:t>
      </w:r>
      <w:r w:rsidR="003B6046" w:rsidRPr="00330641">
        <w:rPr>
          <w:rFonts w:ascii="ITC Avant Garde" w:hAnsi="ITC Avant Garde"/>
          <w:color w:val="auto"/>
        </w:rPr>
        <w:t xml:space="preserve">de 100 </w:t>
      </w:r>
      <w:proofErr w:type="spellStart"/>
      <w:r w:rsidR="003B6046" w:rsidRPr="00330641">
        <w:rPr>
          <w:rFonts w:ascii="ITC Avant Garde" w:hAnsi="ITC Avant Garde"/>
          <w:color w:val="auto"/>
        </w:rPr>
        <w:t>Gbps</w:t>
      </w:r>
      <w:proofErr w:type="spellEnd"/>
      <w:r w:rsidR="003B6046" w:rsidRPr="00330641">
        <w:rPr>
          <w:rFonts w:ascii="ITC Avant Garde" w:hAnsi="ITC Avant Garde"/>
          <w:color w:val="auto"/>
        </w:rPr>
        <w:t xml:space="preserve"> en los numerales 2.1, 2.3 y 2.4.1.1</w:t>
      </w:r>
      <w:r w:rsidR="00B55741" w:rsidRPr="00330641">
        <w:rPr>
          <w:rFonts w:ascii="ITC Avant Garde" w:hAnsi="ITC Avant Garde"/>
          <w:color w:val="auto"/>
        </w:rPr>
        <w:t>,</w:t>
      </w:r>
      <w:r w:rsidR="003B6046" w:rsidRPr="00330641">
        <w:rPr>
          <w:rFonts w:ascii="ITC Avant Garde" w:hAnsi="ITC Avant Garde"/>
          <w:color w:val="auto"/>
        </w:rPr>
        <w:t xml:space="preserve"> con el objetivo de que los Concesionarios Solicitantes (</w:t>
      </w:r>
      <w:r w:rsidR="00BE05F3" w:rsidRPr="00330641">
        <w:rPr>
          <w:rFonts w:ascii="ITC Avant Garde" w:hAnsi="ITC Avant Garde"/>
          <w:color w:val="auto"/>
        </w:rPr>
        <w:t>en lo sucesivo, “</w:t>
      </w:r>
      <w:r w:rsidR="003B6046" w:rsidRPr="00330641">
        <w:rPr>
          <w:rFonts w:ascii="ITC Avant Garde" w:hAnsi="ITC Avant Garde"/>
          <w:color w:val="auto"/>
        </w:rPr>
        <w:t>CS</w:t>
      </w:r>
      <w:r w:rsidR="00BE05F3" w:rsidRPr="00330641">
        <w:rPr>
          <w:rFonts w:ascii="ITC Avant Garde" w:hAnsi="ITC Avant Garde"/>
          <w:color w:val="auto"/>
        </w:rPr>
        <w:t>”</w:t>
      </w:r>
      <w:r w:rsidR="003B6046" w:rsidRPr="00330641">
        <w:rPr>
          <w:rFonts w:ascii="ITC Avant Garde" w:hAnsi="ITC Avant Garde"/>
          <w:color w:val="auto"/>
        </w:rPr>
        <w:t xml:space="preserve">) o Autorizados Solicitantes </w:t>
      </w:r>
      <w:r w:rsidR="00BE05F3" w:rsidRPr="00330641">
        <w:rPr>
          <w:rFonts w:ascii="ITC Avant Garde" w:hAnsi="ITC Avant Garde"/>
          <w:color w:val="auto"/>
        </w:rPr>
        <w:t>(en lo sucesivo, “</w:t>
      </w:r>
      <w:r w:rsidR="003B6046" w:rsidRPr="00330641">
        <w:rPr>
          <w:rFonts w:ascii="ITC Avant Garde" w:hAnsi="ITC Avant Garde"/>
          <w:color w:val="auto"/>
        </w:rPr>
        <w:t>AS</w:t>
      </w:r>
      <w:r w:rsidR="00BE05F3" w:rsidRPr="00330641">
        <w:rPr>
          <w:rFonts w:ascii="ITC Avant Garde" w:hAnsi="ITC Avant Garde"/>
          <w:color w:val="auto"/>
        </w:rPr>
        <w:t>”</w:t>
      </w:r>
      <w:r w:rsidR="003B6046" w:rsidRPr="00330641">
        <w:rPr>
          <w:rFonts w:ascii="ITC Avant Garde" w:hAnsi="ITC Avant Garde"/>
          <w:color w:val="auto"/>
        </w:rPr>
        <w:t xml:space="preserve">) </w:t>
      </w:r>
      <w:r w:rsidR="00232EC1">
        <w:rPr>
          <w:rFonts w:ascii="ITC Avant Garde" w:hAnsi="ITC Avant Garde"/>
          <w:color w:val="auto"/>
        </w:rPr>
        <w:t>tengan acceso a dichas capacidades.</w:t>
      </w:r>
    </w:p>
    <w:p w:rsidR="004B6644" w:rsidRPr="00330641" w:rsidRDefault="004B6644" w:rsidP="000F58E0">
      <w:pPr>
        <w:autoSpaceDE w:val="0"/>
        <w:autoSpaceDN w:val="0"/>
        <w:adjustRightInd w:val="0"/>
        <w:spacing w:after="0" w:line="276" w:lineRule="auto"/>
        <w:ind w:left="0" w:right="0" w:firstLine="0"/>
        <w:rPr>
          <w:rFonts w:ascii="ITC Avant Garde" w:hAnsi="ITC Avant Garde"/>
          <w:color w:val="auto"/>
        </w:rPr>
      </w:pPr>
    </w:p>
    <w:p w:rsidR="003B6046" w:rsidRPr="00330641" w:rsidRDefault="003B6046" w:rsidP="000F58E0">
      <w:pPr>
        <w:autoSpaceDE w:val="0"/>
        <w:autoSpaceDN w:val="0"/>
        <w:spacing w:after="0" w:line="276" w:lineRule="auto"/>
        <w:ind w:left="567" w:right="616"/>
        <w:rPr>
          <w:rFonts w:ascii="ITC Avant Garde" w:hAnsi="ITC Avant Garde"/>
          <w:i/>
          <w:sz w:val="18"/>
          <w:szCs w:val="18"/>
        </w:rPr>
      </w:pPr>
      <w:r w:rsidRPr="00330641">
        <w:rPr>
          <w:rFonts w:ascii="ITC Avant Garde" w:hAnsi="ITC Avant Garde" w:cs="Arial"/>
          <w:b/>
          <w:bCs/>
          <w:i/>
          <w:sz w:val="18"/>
          <w:szCs w:val="18"/>
        </w:rPr>
        <w:t>“2.1 Servicios mayoristas de Arrendamiento de Enlaces Dedicados.</w:t>
      </w:r>
    </w:p>
    <w:p w:rsidR="003B6046" w:rsidRPr="00330641" w:rsidRDefault="003B6046" w:rsidP="000F58E0">
      <w:pPr>
        <w:autoSpaceDE w:val="0"/>
        <w:autoSpaceDN w:val="0"/>
        <w:spacing w:after="0" w:line="276" w:lineRule="auto"/>
        <w:ind w:left="567" w:right="616"/>
        <w:rPr>
          <w:rFonts w:ascii="ITC Avant Garde" w:hAnsi="ITC Avant Garde"/>
          <w:i/>
          <w:sz w:val="18"/>
          <w:szCs w:val="18"/>
        </w:rPr>
      </w:pPr>
      <w:r w:rsidRPr="00330641">
        <w:rPr>
          <w:rFonts w:ascii="ITC Avant Garde" w:hAnsi="ITC Avant Garde" w:cs="Arial"/>
          <w:i/>
          <w:sz w:val="18"/>
          <w:szCs w:val="18"/>
        </w:rPr>
        <w:t> </w:t>
      </w:r>
    </w:p>
    <w:p w:rsidR="003B6046" w:rsidRPr="00330641" w:rsidRDefault="003B6046" w:rsidP="000F58E0">
      <w:pPr>
        <w:pStyle w:val="IFTnormal"/>
        <w:spacing w:after="0"/>
        <w:ind w:left="567" w:right="616"/>
        <w:rPr>
          <w:rFonts w:cs="Arial"/>
          <w:i/>
          <w:color w:val="000000"/>
          <w:sz w:val="18"/>
          <w:szCs w:val="18"/>
        </w:rPr>
      </w:pPr>
      <w:r w:rsidRPr="00330641">
        <w:rPr>
          <w:rFonts w:cs="Arial"/>
          <w:i/>
          <w:sz w:val="18"/>
          <w:szCs w:val="18"/>
        </w:rPr>
        <w:t>Servicio de provisión de enlaces dedicados que</w:t>
      </w:r>
      <w:r w:rsidR="00F2721F" w:rsidRPr="00330641">
        <w:rPr>
          <w:rFonts w:cs="Arial"/>
          <w:i/>
          <w:sz w:val="18"/>
          <w:szCs w:val="18"/>
        </w:rPr>
        <w:t xml:space="preserve"> la</w:t>
      </w:r>
      <w:r w:rsidRPr="00330641">
        <w:rPr>
          <w:rFonts w:cs="Arial"/>
          <w:i/>
          <w:sz w:val="18"/>
          <w:szCs w:val="18"/>
        </w:rPr>
        <w:t xml:space="preserve"> </w:t>
      </w:r>
      <w:r w:rsidR="00F2721F" w:rsidRPr="00330641">
        <w:rPr>
          <w:rFonts w:cs="Arial"/>
          <w:i/>
          <w:sz w:val="18"/>
          <w:szCs w:val="18"/>
        </w:rPr>
        <w:t>División Mayorista de Telmex/</w:t>
      </w:r>
      <w:proofErr w:type="spellStart"/>
      <w:r w:rsidR="00F2721F" w:rsidRPr="00330641">
        <w:rPr>
          <w:rFonts w:cs="Arial"/>
          <w:i/>
          <w:sz w:val="18"/>
          <w:szCs w:val="18"/>
        </w:rPr>
        <w:t>Telnor</w:t>
      </w:r>
      <w:proofErr w:type="spellEnd"/>
      <w:r w:rsidR="00F2721F" w:rsidRPr="00330641" w:rsidDel="00F2721F">
        <w:rPr>
          <w:rFonts w:cs="Arial"/>
          <w:i/>
          <w:sz w:val="18"/>
          <w:szCs w:val="18"/>
        </w:rPr>
        <w:t xml:space="preserve"> </w:t>
      </w:r>
      <w:r w:rsidRPr="00330641">
        <w:rPr>
          <w:rFonts w:cs="Arial"/>
          <w:i/>
          <w:sz w:val="18"/>
          <w:szCs w:val="18"/>
        </w:rPr>
        <w:t xml:space="preserve">ofrece a los </w:t>
      </w:r>
      <w:r w:rsidR="00F2721F" w:rsidRPr="00330641">
        <w:rPr>
          <w:rFonts w:cs="Arial"/>
          <w:i/>
          <w:sz w:val="18"/>
          <w:szCs w:val="18"/>
        </w:rPr>
        <w:t>Concesionarios Solicitantes y Autorizados Solicitantes:</w:t>
      </w:r>
      <w:r w:rsidRPr="00330641">
        <w:rPr>
          <w:rFonts w:cs="Arial"/>
          <w:i/>
          <w:sz w:val="18"/>
          <w:szCs w:val="18"/>
        </w:rPr>
        <w:t xml:space="preserve"> Enlaces entre Localidades (con puntas en diferentes localidades) y Enlaces de Larga Distancia Internacional (una de las puntas se ubica dentro del área de cobertura concesionada a </w:t>
      </w:r>
      <w:r w:rsidR="00F2721F" w:rsidRPr="00330641">
        <w:rPr>
          <w:rFonts w:cs="Arial"/>
          <w:i/>
          <w:sz w:val="18"/>
          <w:szCs w:val="18"/>
        </w:rPr>
        <w:t>la División Mayorista de Telmex/</w:t>
      </w:r>
      <w:proofErr w:type="spellStart"/>
      <w:r w:rsidR="00F2721F" w:rsidRPr="00330641">
        <w:rPr>
          <w:rFonts w:cs="Arial"/>
          <w:i/>
          <w:sz w:val="18"/>
          <w:szCs w:val="18"/>
        </w:rPr>
        <w:t>Telnor</w:t>
      </w:r>
      <w:proofErr w:type="spellEnd"/>
      <w:r w:rsidRPr="00330641">
        <w:rPr>
          <w:rFonts w:cs="Arial"/>
          <w:i/>
          <w:sz w:val="18"/>
          <w:szCs w:val="18"/>
        </w:rPr>
        <w:t xml:space="preserve">), todos los anteriores con </w:t>
      </w:r>
      <w:r w:rsidRPr="00330641">
        <w:rPr>
          <w:rFonts w:cs="Arial"/>
          <w:i/>
          <w:color w:val="000000" w:themeColor="text1"/>
          <w:sz w:val="18"/>
          <w:szCs w:val="18"/>
        </w:rPr>
        <w:t xml:space="preserve">capacidades de </w:t>
      </w:r>
      <w:bookmarkStart w:id="0" w:name="_Hlk520205323"/>
      <w:r w:rsidRPr="00330641">
        <w:rPr>
          <w:rFonts w:cs="Arial"/>
          <w:i/>
          <w:sz w:val="18"/>
          <w:szCs w:val="18"/>
        </w:rPr>
        <w:t xml:space="preserve">nX64 Kbps (donde n=1, 2, 3, 4, 6, 8, 10, 12 y 16); E1 (2 Mbps), E2 (8 Mbps), E3 (34 Mbps), E4 (139 Mbps), STM1 (155 Mbps), STM4 (622 Mbps), STM16 (2.5 </w:t>
      </w:r>
      <w:proofErr w:type="spellStart"/>
      <w:r w:rsidRPr="00330641">
        <w:rPr>
          <w:rFonts w:cs="Arial"/>
          <w:i/>
          <w:sz w:val="18"/>
          <w:szCs w:val="18"/>
        </w:rPr>
        <w:t>Gbps</w:t>
      </w:r>
      <w:proofErr w:type="spellEnd"/>
      <w:r w:rsidRPr="00330641">
        <w:rPr>
          <w:rFonts w:cs="Arial"/>
          <w:i/>
          <w:sz w:val="18"/>
          <w:szCs w:val="18"/>
        </w:rPr>
        <w:t xml:space="preserve">), STM64 (10 </w:t>
      </w:r>
      <w:proofErr w:type="spellStart"/>
      <w:r w:rsidRPr="00330641">
        <w:rPr>
          <w:rFonts w:cs="Arial"/>
          <w:i/>
          <w:sz w:val="18"/>
          <w:szCs w:val="18"/>
        </w:rPr>
        <w:t>Gbps</w:t>
      </w:r>
      <w:proofErr w:type="spellEnd"/>
      <w:r w:rsidRPr="00330641">
        <w:rPr>
          <w:rFonts w:cs="Arial"/>
          <w:i/>
          <w:sz w:val="18"/>
          <w:szCs w:val="18"/>
        </w:rPr>
        <w:t xml:space="preserve">), STM256 (40 </w:t>
      </w:r>
      <w:proofErr w:type="spellStart"/>
      <w:r w:rsidRPr="00330641">
        <w:rPr>
          <w:rFonts w:cs="Arial"/>
          <w:i/>
          <w:sz w:val="18"/>
          <w:szCs w:val="18"/>
        </w:rPr>
        <w:t>Gbps</w:t>
      </w:r>
      <w:proofErr w:type="spellEnd"/>
      <w:r w:rsidRPr="00330641">
        <w:rPr>
          <w:rFonts w:cs="Arial"/>
          <w:i/>
          <w:sz w:val="18"/>
          <w:szCs w:val="18"/>
        </w:rPr>
        <w:t xml:space="preserve">) y Ethernet (1 Mbps a 100 </w:t>
      </w:r>
      <w:proofErr w:type="spellStart"/>
      <w:r w:rsidRPr="00330641">
        <w:rPr>
          <w:rFonts w:cs="Arial"/>
          <w:i/>
          <w:sz w:val="18"/>
          <w:szCs w:val="18"/>
        </w:rPr>
        <w:t>Gbps</w:t>
      </w:r>
      <w:proofErr w:type="spellEnd"/>
      <w:r w:rsidRPr="00330641">
        <w:rPr>
          <w:rFonts w:cs="Arial"/>
          <w:i/>
          <w:sz w:val="18"/>
          <w:szCs w:val="18"/>
        </w:rPr>
        <w:t>)</w:t>
      </w:r>
      <w:bookmarkEnd w:id="0"/>
      <w:r w:rsidRPr="00330641">
        <w:rPr>
          <w:rFonts w:cs="Arial"/>
          <w:i/>
          <w:sz w:val="18"/>
          <w:szCs w:val="18"/>
        </w:rPr>
        <w:t xml:space="preserve"> de conformidad con lo establecido en la tabla del numeral 2.3.</w:t>
      </w:r>
    </w:p>
    <w:p w:rsidR="003B6046" w:rsidRPr="00330641" w:rsidRDefault="003B6046" w:rsidP="000F58E0">
      <w:pPr>
        <w:pStyle w:val="IFTnormal"/>
        <w:spacing w:after="0"/>
        <w:ind w:left="567" w:right="616"/>
        <w:rPr>
          <w:rFonts w:cs="Arial"/>
          <w:i/>
          <w:color w:val="000000"/>
          <w:sz w:val="18"/>
          <w:szCs w:val="18"/>
        </w:rPr>
      </w:pPr>
    </w:p>
    <w:p w:rsidR="003B6046" w:rsidRPr="00330641" w:rsidRDefault="003B6046" w:rsidP="000F58E0">
      <w:pPr>
        <w:autoSpaceDE w:val="0"/>
        <w:autoSpaceDN w:val="0"/>
        <w:spacing w:after="0" w:line="276" w:lineRule="auto"/>
        <w:ind w:left="567" w:right="616"/>
        <w:rPr>
          <w:rFonts w:ascii="ITC Avant Garde" w:hAnsi="ITC Avant Garde"/>
          <w:i/>
          <w:sz w:val="18"/>
          <w:szCs w:val="18"/>
        </w:rPr>
      </w:pPr>
      <w:r w:rsidRPr="00330641">
        <w:rPr>
          <w:rFonts w:ascii="ITC Avant Garde" w:hAnsi="ITC Avant Garde" w:cs="Arial"/>
          <w:b/>
          <w:bCs/>
          <w:i/>
          <w:sz w:val="18"/>
          <w:szCs w:val="18"/>
        </w:rPr>
        <w:t>2.3 Capacidad de los Servicios.</w:t>
      </w:r>
    </w:p>
    <w:p w:rsidR="003B6046" w:rsidRPr="00330641" w:rsidRDefault="003B6046" w:rsidP="000F58E0">
      <w:pPr>
        <w:autoSpaceDE w:val="0"/>
        <w:autoSpaceDN w:val="0"/>
        <w:spacing w:after="0" w:line="276" w:lineRule="auto"/>
        <w:ind w:left="567" w:right="616"/>
        <w:rPr>
          <w:rFonts w:ascii="ITC Avant Garde" w:hAnsi="ITC Avant Garde"/>
          <w:i/>
          <w:sz w:val="18"/>
          <w:szCs w:val="18"/>
        </w:rPr>
      </w:pPr>
      <w:r w:rsidRPr="00330641">
        <w:rPr>
          <w:rFonts w:ascii="ITC Avant Garde" w:hAnsi="ITC Avant Garde" w:cs="Arial"/>
          <w:i/>
          <w:sz w:val="18"/>
          <w:szCs w:val="18"/>
        </w:rPr>
        <w:t> </w:t>
      </w:r>
    </w:p>
    <w:p w:rsidR="003B6046" w:rsidRPr="00330641" w:rsidRDefault="003B6046" w:rsidP="000F58E0">
      <w:pPr>
        <w:autoSpaceDE w:val="0"/>
        <w:autoSpaceDN w:val="0"/>
        <w:spacing w:after="0" w:line="276" w:lineRule="auto"/>
        <w:ind w:left="567" w:right="616"/>
        <w:rPr>
          <w:rFonts w:ascii="ITC Avant Garde" w:hAnsi="ITC Avant Garde" w:cs="Arial"/>
          <w:i/>
          <w:sz w:val="18"/>
          <w:szCs w:val="18"/>
        </w:rPr>
      </w:pPr>
      <w:r w:rsidRPr="00330641">
        <w:rPr>
          <w:rFonts w:ascii="ITC Avant Garde" w:hAnsi="ITC Avant Garde" w:cs="Arial"/>
          <w:i/>
          <w:sz w:val="18"/>
          <w:szCs w:val="18"/>
        </w:rPr>
        <w:t>Los servicios mayoristas de Arrendamiento de Enlaces Dedicados entre Localidades y/o de Larga Distancia Internacional serán ofrecidos en las siguientes velocidades de transmisión:</w:t>
      </w:r>
    </w:p>
    <w:p w:rsidR="00E8774C" w:rsidRPr="00330641" w:rsidRDefault="00E8774C" w:rsidP="000F58E0">
      <w:pPr>
        <w:autoSpaceDE w:val="0"/>
        <w:autoSpaceDN w:val="0"/>
        <w:spacing w:after="0" w:line="276" w:lineRule="auto"/>
        <w:ind w:left="567" w:right="616"/>
        <w:rPr>
          <w:rFonts w:ascii="ITC Avant Garde" w:hAnsi="ITC Avant Garde" w:cs="Arial"/>
          <w:i/>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46"/>
        <w:gridCol w:w="3888"/>
      </w:tblGrid>
      <w:tr w:rsidR="003B6046" w:rsidRPr="00330641" w:rsidTr="001A0546">
        <w:trPr>
          <w:trHeight w:val="335"/>
          <w:jc w:val="center"/>
        </w:trPr>
        <w:tc>
          <w:tcPr>
            <w:tcW w:w="3746" w:type="dxa"/>
            <w:vAlign w:val="center"/>
          </w:tcPr>
          <w:p w:rsidR="003B6046" w:rsidRPr="00330641" w:rsidRDefault="003B6046" w:rsidP="000F58E0">
            <w:pPr>
              <w:autoSpaceDE w:val="0"/>
              <w:autoSpaceDN w:val="0"/>
              <w:adjustRightInd w:val="0"/>
              <w:spacing w:after="0" w:line="276" w:lineRule="auto"/>
              <w:ind w:left="567" w:right="616"/>
              <w:jc w:val="center"/>
              <w:rPr>
                <w:rFonts w:ascii="ITC Avant Garde" w:hAnsi="ITC Avant Garde" w:cs="Arial"/>
                <w:i/>
                <w:sz w:val="18"/>
                <w:szCs w:val="18"/>
                <w:lang w:val="en-US"/>
              </w:rPr>
            </w:pPr>
            <w:r w:rsidRPr="00330641">
              <w:rPr>
                <w:rFonts w:ascii="ITC Avant Garde" w:hAnsi="ITC Avant Garde" w:cs="Arial"/>
                <w:b/>
                <w:bCs/>
                <w:i/>
                <w:sz w:val="18"/>
                <w:szCs w:val="18"/>
              </w:rPr>
              <w:t>Denominación</w:t>
            </w:r>
          </w:p>
        </w:tc>
        <w:tc>
          <w:tcPr>
            <w:tcW w:w="3888" w:type="dxa"/>
            <w:vAlign w:val="center"/>
          </w:tcPr>
          <w:p w:rsidR="003B6046" w:rsidRPr="00330641" w:rsidRDefault="003B6046" w:rsidP="000F58E0">
            <w:pPr>
              <w:autoSpaceDE w:val="0"/>
              <w:autoSpaceDN w:val="0"/>
              <w:adjustRightInd w:val="0"/>
              <w:spacing w:after="0" w:line="276" w:lineRule="auto"/>
              <w:ind w:left="567" w:right="616"/>
              <w:jc w:val="center"/>
              <w:rPr>
                <w:rFonts w:ascii="ITC Avant Garde" w:hAnsi="ITC Avant Garde" w:cs="Arial"/>
                <w:i/>
                <w:sz w:val="18"/>
                <w:szCs w:val="18"/>
                <w:lang w:val="en-US"/>
              </w:rPr>
            </w:pPr>
            <w:r w:rsidRPr="00330641">
              <w:rPr>
                <w:rFonts w:ascii="ITC Avant Garde" w:hAnsi="ITC Avant Garde" w:cs="Arial"/>
                <w:b/>
                <w:bCs/>
                <w:i/>
                <w:sz w:val="18"/>
                <w:szCs w:val="18"/>
              </w:rPr>
              <w:t>Capacidad</w:t>
            </w:r>
          </w:p>
        </w:tc>
      </w:tr>
      <w:tr w:rsidR="003B6046" w:rsidRPr="00330641" w:rsidTr="001A0546">
        <w:trPr>
          <w:trHeight w:val="1007"/>
          <w:jc w:val="center"/>
        </w:trPr>
        <w:tc>
          <w:tcPr>
            <w:tcW w:w="3746" w:type="dxa"/>
            <w:vAlign w:val="center"/>
          </w:tcPr>
          <w:p w:rsidR="003B6046" w:rsidRPr="00330641" w:rsidRDefault="003B6046" w:rsidP="000F58E0">
            <w:pPr>
              <w:autoSpaceDE w:val="0"/>
              <w:autoSpaceDN w:val="0"/>
              <w:spacing w:after="0" w:line="276" w:lineRule="auto"/>
              <w:ind w:left="567" w:right="616"/>
              <w:jc w:val="center"/>
              <w:rPr>
                <w:rFonts w:ascii="ITC Avant Garde" w:hAnsi="ITC Avant Garde" w:cs="Arial"/>
                <w:i/>
                <w:sz w:val="18"/>
                <w:szCs w:val="18"/>
              </w:rPr>
            </w:pPr>
            <w:proofErr w:type="spellStart"/>
            <w:r w:rsidRPr="00330641">
              <w:rPr>
                <w:rFonts w:ascii="ITC Avant Garde" w:hAnsi="ITC Avant Garde" w:cs="Arial"/>
                <w:i/>
                <w:sz w:val="18"/>
                <w:szCs w:val="18"/>
              </w:rPr>
              <w:lastRenderedPageBreak/>
              <w:t>Nx</w:t>
            </w:r>
            <w:proofErr w:type="spellEnd"/>
            <w:r w:rsidRPr="00330641">
              <w:rPr>
                <w:rFonts w:ascii="ITC Avant Garde" w:hAnsi="ITC Avant Garde" w:cs="Arial"/>
                <w:i/>
                <w:sz w:val="18"/>
                <w:szCs w:val="18"/>
              </w:rPr>
              <w:t xml:space="preserve"> 64 kbps</w:t>
            </w:r>
          </w:p>
          <w:p w:rsidR="003B6046" w:rsidRPr="00330641" w:rsidRDefault="003B6046" w:rsidP="000F58E0">
            <w:pPr>
              <w:autoSpaceDE w:val="0"/>
              <w:autoSpaceDN w:val="0"/>
              <w:adjustRightInd w:val="0"/>
              <w:spacing w:after="0" w:line="276" w:lineRule="auto"/>
              <w:ind w:left="567" w:right="616"/>
              <w:jc w:val="center"/>
              <w:rPr>
                <w:rFonts w:ascii="ITC Avant Garde" w:hAnsi="ITC Avant Garde" w:cs="Arial"/>
                <w:i/>
                <w:sz w:val="18"/>
                <w:szCs w:val="18"/>
                <w:lang w:val="en-US"/>
              </w:rPr>
            </w:pPr>
            <w:r w:rsidRPr="00330641">
              <w:rPr>
                <w:rFonts w:ascii="ITC Avant Garde" w:hAnsi="ITC Avant Garde" w:cs="Arial"/>
                <w:i/>
                <w:sz w:val="18"/>
                <w:szCs w:val="18"/>
              </w:rPr>
              <w:t>(N=1, 2, 3, 4, 6, 8, 10, 12 y 16)</w:t>
            </w:r>
          </w:p>
        </w:tc>
        <w:tc>
          <w:tcPr>
            <w:tcW w:w="3888" w:type="dxa"/>
            <w:vAlign w:val="center"/>
          </w:tcPr>
          <w:p w:rsidR="003B6046" w:rsidRPr="00330641" w:rsidRDefault="003B6046" w:rsidP="000F58E0">
            <w:pPr>
              <w:autoSpaceDE w:val="0"/>
              <w:autoSpaceDN w:val="0"/>
              <w:adjustRightInd w:val="0"/>
              <w:spacing w:after="0" w:line="276" w:lineRule="auto"/>
              <w:ind w:left="567" w:right="616"/>
              <w:jc w:val="center"/>
              <w:rPr>
                <w:rFonts w:ascii="ITC Avant Garde" w:hAnsi="ITC Avant Garde" w:cs="Arial"/>
                <w:i/>
                <w:sz w:val="18"/>
                <w:szCs w:val="18"/>
                <w:lang w:val="en-US"/>
              </w:rPr>
            </w:pPr>
            <w:r w:rsidRPr="00330641">
              <w:rPr>
                <w:rFonts w:ascii="ITC Avant Garde" w:hAnsi="ITC Avant Garde" w:cs="Arial"/>
                <w:i/>
                <w:sz w:val="18"/>
                <w:szCs w:val="18"/>
              </w:rPr>
              <w:t>64Kbps a 1024 Kbps</w:t>
            </w:r>
          </w:p>
        </w:tc>
      </w:tr>
      <w:tr w:rsidR="003B6046" w:rsidRPr="00330641" w:rsidTr="001A0546">
        <w:trPr>
          <w:trHeight w:val="335"/>
          <w:jc w:val="center"/>
        </w:trPr>
        <w:tc>
          <w:tcPr>
            <w:tcW w:w="3746" w:type="dxa"/>
            <w:vAlign w:val="center"/>
          </w:tcPr>
          <w:p w:rsidR="003B6046" w:rsidRPr="00330641" w:rsidRDefault="003B6046" w:rsidP="000F58E0">
            <w:pPr>
              <w:autoSpaceDE w:val="0"/>
              <w:autoSpaceDN w:val="0"/>
              <w:adjustRightInd w:val="0"/>
              <w:spacing w:after="0" w:line="276" w:lineRule="auto"/>
              <w:ind w:left="567" w:right="616"/>
              <w:jc w:val="center"/>
              <w:rPr>
                <w:rFonts w:ascii="ITC Avant Garde" w:hAnsi="ITC Avant Garde" w:cs="Arial"/>
                <w:i/>
                <w:sz w:val="18"/>
                <w:szCs w:val="18"/>
                <w:lang w:val="en-US"/>
              </w:rPr>
            </w:pPr>
            <w:r w:rsidRPr="00330641">
              <w:rPr>
                <w:rFonts w:ascii="ITC Avant Garde" w:hAnsi="ITC Avant Garde" w:cs="Arial"/>
                <w:i/>
                <w:sz w:val="18"/>
                <w:szCs w:val="18"/>
              </w:rPr>
              <w:t>E1</w:t>
            </w:r>
          </w:p>
        </w:tc>
        <w:tc>
          <w:tcPr>
            <w:tcW w:w="3888" w:type="dxa"/>
            <w:vAlign w:val="center"/>
          </w:tcPr>
          <w:p w:rsidR="003B6046" w:rsidRPr="00330641" w:rsidRDefault="003B6046" w:rsidP="000F58E0">
            <w:pPr>
              <w:autoSpaceDE w:val="0"/>
              <w:autoSpaceDN w:val="0"/>
              <w:adjustRightInd w:val="0"/>
              <w:spacing w:after="0" w:line="276" w:lineRule="auto"/>
              <w:ind w:left="567" w:right="616"/>
              <w:jc w:val="center"/>
              <w:rPr>
                <w:rFonts w:ascii="ITC Avant Garde" w:hAnsi="ITC Avant Garde" w:cs="Arial"/>
                <w:i/>
                <w:sz w:val="18"/>
                <w:szCs w:val="18"/>
                <w:lang w:val="en-US"/>
              </w:rPr>
            </w:pPr>
            <w:r w:rsidRPr="00330641">
              <w:rPr>
                <w:rFonts w:ascii="ITC Avant Garde" w:hAnsi="ITC Avant Garde" w:cs="Arial"/>
                <w:i/>
                <w:sz w:val="18"/>
                <w:szCs w:val="18"/>
              </w:rPr>
              <w:t>2.048 Mbps</w:t>
            </w:r>
          </w:p>
        </w:tc>
      </w:tr>
      <w:tr w:rsidR="003B6046" w:rsidRPr="00330641" w:rsidTr="001A0546">
        <w:trPr>
          <w:trHeight w:val="335"/>
          <w:jc w:val="center"/>
        </w:trPr>
        <w:tc>
          <w:tcPr>
            <w:tcW w:w="3746" w:type="dxa"/>
            <w:vAlign w:val="center"/>
          </w:tcPr>
          <w:p w:rsidR="003B6046" w:rsidRPr="00330641" w:rsidRDefault="003B6046" w:rsidP="000F58E0">
            <w:pPr>
              <w:autoSpaceDE w:val="0"/>
              <w:autoSpaceDN w:val="0"/>
              <w:adjustRightInd w:val="0"/>
              <w:spacing w:after="0" w:line="276" w:lineRule="auto"/>
              <w:ind w:left="567" w:right="616"/>
              <w:jc w:val="center"/>
              <w:rPr>
                <w:rFonts w:ascii="ITC Avant Garde" w:hAnsi="ITC Avant Garde" w:cs="Arial"/>
                <w:i/>
                <w:sz w:val="18"/>
                <w:szCs w:val="18"/>
              </w:rPr>
            </w:pPr>
            <w:r w:rsidRPr="00330641">
              <w:rPr>
                <w:rFonts w:ascii="ITC Avant Garde" w:hAnsi="ITC Avant Garde" w:cs="Arial"/>
                <w:i/>
                <w:sz w:val="18"/>
                <w:szCs w:val="18"/>
              </w:rPr>
              <w:t>E2</w:t>
            </w:r>
          </w:p>
        </w:tc>
        <w:tc>
          <w:tcPr>
            <w:tcW w:w="3888" w:type="dxa"/>
            <w:vAlign w:val="center"/>
          </w:tcPr>
          <w:p w:rsidR="003B6046" w:rsidRPr="00330641" w:rsidRDefault="003B6046" w:rsidP="000F58E0">
            <w:pPr>
              <w:autoSpaceDE w:val="0"/>
              <w:autoSpaceDN w:val="0"/>
              <w:adjustRightInd w:val="0"/>
              <w:spacing w:after="0" w:line="276" w:lineRule="auto"/>
              <w:ind w:left="567" w:right="616"/>
              <w:jc w:val="center"/>
              <w:rPr>
                <w:rFonts w:ascii="ITC Avant Garde" w:hAnsi="ITC Avant Garde" w:cs="Arial"/>
                <w:i/>
                <w:sz w:val="18"/>
                <w:szCs w:val="18"/>
              </w:rPr>
            </w:pPr>
            <w:r w:rsidRPr="00330641">
              <w:rPr>
                <w:rFonts w:ascii="ITC Avant Garde" w:hAnsi="ITC Avant Garde" w:cs="Arial"/>
                <w:i/>
                <w:sz w:val="18"/>
                <w:szCs w:val="18"/>
              </w:rPr>
              <w:t>8.448 Mbps</w:t>
            </w:r>
          </w:p>
        </w:tc>
      </w:tr>
      <w:tr w:rsidR="003B6046" w:rsidRPr="00330641" w:rsidTr="001A0546">
        <w:trPr>
          <w:trHeight w:val="319"/>
          <w:jc w:val="center"/>
        </w:trPr>
        <w:tc>
          <w:tcPr>
            <w:tcW w:w="3746" w:type="dxa"/>
            <w:vAlign w:val="center"/>
          </w:tcPr>
          <w:p w:rsidR="003B6046" w:rsidRPr="00330641" w:rsidRDefault="003B6046" w:rsidP="000F58E0">
            <w:pPr>
              <w:autoSpaceDE w:val="0"/>
              <w:autoSpaceDN w:val="0"/>
              <w:adjustRightInd w:val="0"/>
              <w:spacing w:after="0" w:line="276" w:lineRule="auto"/>
              <w:ind w:left="567" w:right="616"/>
              <w:jc w:val="center"/>
              <w:rPr>
                <w:rFonts w:ascii="ITC Avant Garde" w:hAnsi="ITC Avant Garde" w:cs="Arial"/>
                <w:i/>
                <w:sz w:val="18"/>
                <w:szCs w:val="18"/>
                <w:lang w:val="en-US"/>
              </w:rPr>
            </w:pPr>
            <w:r w:rsidRPr="00330641">
              <w:rPr>
                <w:rFonts w:ascii="ITC Avant Garde" w:hAnsi="ITC Avant Garde" w:cs="Arial"/>
                <w:i/>
                <w:sz w:val="18"/>
                <w:szCs w:val="18"/>
              </w:rPr>
              <w:t>E3</w:t>
            </w:r>
          </w:p>
        </w:tc>
        <w:tc>
          <w:tcPr>
            <w:tcW w:w="3888" w:type="dxa"/>
            <w:vAlign w:val="center"/>
          </w:tcPr>
          <w:p w:rsidR="003B6046" w:rsidRPr="00330641" w:rsidRDefault="003B6046" w:rsidP="000F58E0">
            <w:pPr>
              <w:autoSpaceDE w:val="0"/>
              <w:autoSpaceDN w:val="0"/>
              <w:adjustRightInd w:val="0"/>
              <w:spacing w:after="0" w:line="276" w:lineRule="auto"/>
              <w:ind w:left="567" w:right="616"/>
              <w:jc w:val="center"/>
              <w:rPr>
                <w:rFonts w:ascii="ITC Avant Garde" w:hAnsi="ITC Avant Garde" w:cs="Arial"/>
                <w:i/>
                <w:sz w:val="18"/>
                <w:szCs w:val="18"/>
                <w:lang w:val="en-US"/>
              </w:rPr>
            </w:pPr>
            <w:r w:rsidRPr="00330641">
              <w:rPr>
                <w:rFonts w:ascii="ITC Avant Garde" w:hAnsi="ITC Avant Garde" w:cs="Arial"/>
                <w:i/>
                <w:sz w:val="18"/>
                <w:szCs w:val="18"/>
              </w:rPr>
              <w:t>34.368 Mbps</w:t>
            </w:r>
          </w:p>
        </w:tc>
      </w:tr>
      <w:tr w:rsidR="003B6046" w:rsidRPr="00330641" w:rsidTr="001A0546">
        <w:trPr>
          <w:trHeight w:val="335"/>
          <w:jc w:val="center"/>
        </w:trPr>
        <w:tc>
          <w:tcPr>
            <w:tcW w:w="3746" w:type="dxa"/>
            <w:vAlign w:val="center"/>
          </w:tcPr>
          <w:p w:rsidR="003B6046" w:rsidRPr="00330641" w:rsidRDefault="003B6046" w:rsidP="000F58E0">
            <w:pPr>
              <w:autoSpaceDE w:val="0"/>
              <w:autoSpaceDN w:val="0"/>
              <w:adjustRightInd w:val="0"/>
              <w:spacing w:after="0" w:line="276" w:lineRule="auto"/>
              <w:ind w:left="567" w:right="616"/>
              <w:jc w:val="center"/>
              <w:rPr>
                <w:rFonts w:ascii="ITC Avant Garde" w:hAnsi="ITC Avant Garde" w:cs="Arial"/>
                <w:i/>
                <w:sz w:val="18"/>
                <w:szCs w:val="18"/>
                <w:lang w:val="en-US"/>
              </w:rPr>
            </w:pPr>
            <w:r w:rsidRPr="00330641">
              <w:rPr>
                <w:rFonts w:ascii="ITC Avant Garde" w:hAnsi="ITC Avant Garde" w:cs="Arial"/>
                <w:i/>
                <w:sz w:val="18"/>
                <w:szCs w:val="18"/>
              </w:rPr>
              <w:t>E4</w:t>
            </w:r>
          </w:p>
        </w:tc>
        <w:tc>
          <w:tcPr>
            <w:tcW w:w="3888" w:type="dxa"/>
            <w:vAlign w:val="center"/>
          </w:tcPr>
          <w:p w:rsidR="003B6046" w:rsidRPr="00330641" w:rsidRDefault="003B6046" w:rsidP="000F58E0">
            <w:pPr>
              <w:autoSpaceDE w:val="0"/>
              <w:autoSpaceDN w:val="0"/>
              <w:adjustRightInd w:val="0"/>
              <w:spacing w:after="0" w:line="276" w:lineRule="auto"/>
              <w:ind w:left="567" w:right="616"/>
              <w:jc w:val="center"/>
              <w:rPr>
                <w:rFonts w:ascii="ITC Avant Garde" w:hAnsi="ITC Avant Garde" w:cs="Arial"/>
                <w:i/>
                <w:sz w:val="18"/>
                <w:szCs w:val="18"/>
                <w:lang w:val="en-US"/>
              </w:rPr>
            </w:pPr>
            <w:r w:rsidRPr="00330641">
              <w:rPr>
                <w:rFonts w:ascii="ITC Avant Garde" w:hAnsi="ITC Avant Garde" w:cs="Arial"/>
                <w:i/>
                <w:sz w:val="18"/>
                <w:szCs w:val="18"/>
                <w:lang w:val="en-US"/>
              </w:rPr>
              <w:t>139.264 Mbps</w:t>
            </w:r>
          </w:p>
        </w:tc>
      </w:tr>
      <w:tr w:rsidR="003B6046" w:rsidRPr="00330641" w:rsidTr="001A0546">
        <w:trPr>
          <w:trHeight w:val="335"/>
          <w:jc w:val="center"/>
        </w:trPr>
        <w:tc>
          <w:tcPr>
            <w:tcW w:w="3746" w:type="dxa"/>
            <w:vAlign w:val="center"/>
          </w:tcPr>
          <w:p w:rsidR="003B6046" w:rsidRPr="00330641" w:rsidRDefault="003B6046" w:rsidP="000F58E0">
            <w:pPr>
              <w:autoSpaceDE w:val="0"/>
              <w:autoSpaceDN w:val="0"/>
              <w:adjustRightInd w:val="0"/>
              <w:spacing w:after="0" w:line="276" w:lineRule="auto"/>
              <w:ind w:left="567" w:right="616"/>
              <w:jc w:val="center"/>
              <w:rPr>
                <w:rFonts w:ascii="ITC Avant Garde" w:hAnsi="ITC Avant Garde" w:cs="Arial"/>
                <w:i/>
                <w:sz w:val="18"/>
                <w:szCs w:val="18"/>
              </w:rPr>
            </w:pPr>
            <w:r w:rsidRPr="00330641">
              <w:rPr>
                <w:rFonts w:ascii="ITC Avant Garde" w:hAnsi="ITC Avant Garde" w:cs="Arial"/>
                <w:i/>
                <w:sz w:val="18"/>
                <w:szCs w:val="18"/>
                <w:lang w:val="en-US"/>
              </w:rPr>
              <w:t>STM-1</w:t>
            </w:r>
          </w:p>
        </w:tc>
        <w:tc>
          <w:tcPr>
            <w:tcW w:w="3888" w:type="dxa"/>
            <w:vAlign w:val="center"/>
          </w:tcPr>
          <w:p w:rsidR="003B6046" w:rsidRPr="00330641" w:rsidRDefault="003B6046" w:rsidP="000F58E0">
            <w:pPr>
              <w:autoSpaceDE w:val="0"/>
              <w:autoSpaceDN w:val="0"/>
              <w:adjustRightInd w:val="0"/>
              <w:spacing w:after="0" w:line="276" w:lineRule="auto"/>
              <w:ind w:left="567" w:right="616"/>
              <w:jc w:val="center"/>
              <w:rPr>
                <w:rFonts w:ascii="ITC Avant Garde" w:hAnsi="ITC Avant Garde" w:cs="Arial"/>
                <w:i/>
                <w:sz w:val="18"/>
                <w:szCs w:val="18"/>
              </w:rPr>
            </w:pPr>
            <w:r w:rsidRPr="00330641">
              <w:rPr>
                <w:rFonts w:ascii="ITC Avant Garde" w:hAnsi="ITC Avant Garde" w:cs="Arial"/>
                <w:i/>
                <w:sz w:val="18"/>
                <w:szCs w:val="18"/>
                <w:lang w:val="en-US"/>
              </w:rPr>
              <w:t>155.52 Mbps</w:t>
            </w:r>
          </w:p>
        </w:tc>
      </w:tr>
      <w:tr w:rsidR="003B6046" w:rsidRPr="00330641" w:rsidTr="001A0546">
        <w:trPr>
          <w:trHeight w:val="335"/>
          <w:jc w:val="center"/>
        </w:trPr>
        <w:tc>
          <w:tcPr>
            <w:tcW w:w="3746" w:type="dxa"/>
            <w:vAlign w:val="center"/>
          </w:tcPr>
          <w:p w:rsidR="003B6046" w:rsidRPr="00330641" w:rsidRDefault="003B6046" w:rsidP="000F58E0">
            <w:pPr>
              <w:autoSpaceDE w:val="0"/>
              <w:autoSpaceDN w:val="0"/>
              <w:adjustRightInd w:val="0"/>
              <w:spacing w:after="0" w:line="276" w:lineRule="auto"/>
              <w:ind w:left="567" w:right="616"/>
              <w:jc w:val="center"/>
              <w:rPr>
                <w:rFonts w:ascii="ITC Avant Garde" w:hAnsi="ITC Avant Garde" w:cs="Arial"/>
                <w:i/>
                <w:sz w:val="18"/>
                <w:szCs w:val="18"/>
                <w:lang w:val="en-US"/>
              </w:rPr>
            </w:pPr>
            <w:r w:rsidRPr="00330641">
              <w:rPr>
                <w:rFonts w:ascii="ITC Avant Garde" w:hAnsi="ITC Avant Garde" w:cs="Arial"/>
                <w:i/>
                <w:sz w:val="18"/>
                <w:szCs w:val="18"/>
                <w:lang w:val="en-US"/>
              </w:rPr>
              <w:t>STM-4</w:t>
            </w:r>
          </w:p>
        </w:tc>
        <w:tc>
          <w:tcPr>
            <w:tcW w:w="3888" w:type="dxa"/>
            <w:vAlign w:val="center"/>
          </w:tcPr>
          <w:p w:rsidR="003B6046" w:rsidRPr="00330641" w:rsidRDefault="003B6046" w:rsidP="000F58E0">
            <w:pPr>
              <w:autoSpaceDE w:val="0"/>
              <w:autoSpaceDN w:val="0"/>
              <w:adjustRightInd w:val="0"/>
              <w:spacing w:after="0" w:line="276" w:lineRule="auto"/>
              <w:ind w:left="567" w:right="616"/>
              <w:jc w:val="center"/>
              <w:rPr>
                <w:rFonts w:ascii="ITC Avant Garde" w:hAnsi="ITC Avant Garde" w:cs="Arial"/>
                <w:i/>
                <w:sz w:val="18"/>
                <w:szCs w:val="18"/>
                <w:lang w:val="en-US"/>
              </w:rPr>
            </w:pPr>
            <w:r w:rsidRPr="00330641">
              <w:rPr>
                <w:rFonts w:ascii="ITC Avant Garde" w:hAnsi="ITC Avant Garde" w:cs="Arial"/>
                <w:i/>
                <w:sz w:val="18"/>
                <w:szCs w:val="18"/>
                <w:lang w:val="en-US"/>
              </w:rPr>
              <w:t>622.08 Mbps</w:t>
            </w:r>
          </w:p>
        </w:tc>
      </w:tr>
      <w:tr w:rsidR="003B6046" w:rsidRPr="00330641" w:rsidTr="001A0546">
        <w:trPr>
          <w:trHeight w:val="335"/>
          <w:jc w:val="center"/>
        </w:trPr>
        <w:tc>
          <w:tcPr>
            <w:tcW w:w="3746" w:type="dxa"/>
            <w:vAlign w:val="center"/>
          </w:tcPr>
          <w:p w:rsidR="003B6046" w:rsidRPr="00330641" w:rsidRDefault="003B6046" w:rsidP="000F58E0">
            <w:pPr>
              <w:autoSpaceDE w:val="0"/>
              <w:autoSpaceDN w:val="0"/>
              <w:adjustRightInd w:val="0"/>
              <w:spacing w:after="0" w:line="276" w:lineRule="auto"/>
              <w:ind w:left="567" w:right="616"/>
              <w:jc w:val="center"/>
              <w:rPr>
                <w:rFonts w:ascii="ITC Avant Garde" w:hAnsi="ITC Avant Garde" w:cs="Arial"/>
                <w:i/>
                <w:sz w:val="18"/>
                <w:szCs w:val="18"/>
                <w:lang w:val="en-US"/>
              </w:rPr>
            </w:pPr>
            <w:r w:rsidRPr="00330641">
              <w:rPr>
                <w:rFonts w:ascii="ITC Avant Garde" w:hAnsi="ITC Avant Garde" w:cs="Arial"/>
                <w:i/>
                <w:sz w:val="18"/>
                <w:szCs w:val="18"/>
                <w:lang w:val="en-US"/>
              </w:rPr>
              <w:t>STM-16</w:t>
            </w:r>
          </w:p>
        </w:tc>
        <w:tc>
          <w:tcPr>
            <w:tcW w:w="3888" w:type="dxa"/>
            <w:vAlign w:val="center"/>
          </w:tcPr>
          <w:p w:rsidR="003B6046" w:rsidRPr="00330641" w:rsidRDefault="003B6046" w:rsidP="000F58E0">
            <w:pPr>
              <w:autoSpaceDE w:val="0"/>
              <w:autoSpaceDN w:val="0"/>
              <w:adjustRightInd w:val="0"/>
              <w:spacing w:after="0" w:line="276" w:lineRule="auto"/>
              <w:ind w:left="567" w:right="616"/>
              <w:jc w:val="center"/>
              <w:rPr>
                <w:rFonts w:ascii="ITC Avant Garde" w:hAnsi="ITC Avant Garde" w:cs="Arial"/>
                <w:i/>
                <w:sz w:val="18"/>
                <w:szCs w:val="18"/>
                <w:lang w:val="en-US"/>
              </w:rPr>
            </w:pPr>
            <w:r w:rsidRPr="00330641">
              <w:rPr>
                <w:rFonts w:ascii="ITC Avant Garde" w:hAnsi="ITC Avant Garde" w:cs="Arial"/>
                <w:i/>
                <w:sz w:val="18"/>
                <w:szCs w:val="18"/>
                <w:lang w:val="en-US"/>
              </w:rPr>
              <w:t>2,488.32 Mbps</w:t>
            </w:r>
          </w:p>
        </w:tc>
      </w:tr>
      <w:tr w:rsidR="003B6046" w:rsidRPr="00330641" w:rsidTr="001A0546">
        <w:trPr>
          <w:trHeight w:val="335"/>
          <w:jc w:val="center"/>
        </w:trPr>
        <w:tc>
          <w:tcPr>
            <w:tcW w:w="3746" w:type="dxa"/>
            <w:vAlign w:val="center"/>
          </w:tcPr>
          <w:p w:rsidR="003B6046" w:rsidRPr="00330641" w:rsidRDefault="003B6046" w:rsidP="000F58E0">
            <w:pPr>
              <w:autoSpaceDE w:val="0"/>
              <w:autoSpaceDN w:val="0"/>
              <w:adjustRightInd w:val="0"/>
              <w:spacing w:after="0" w:line="276" w:lineRule="auto"/>
              <w:ind w:left="567" w:right="616"/>
              <w:jc w:val="center"/>
              <w:rPr>
                <w:rFonts w:ascii="ITC Avant Garde" w:hAnsi="ITC Avant Garde" w:cs="Arial"/>
                <w:i/>
                <w:sz w:val="18"/>
                <w:szCs w:val="18"/>
                <w:lang w:val="en-US"/>
              </w:rPr>
            </w:pPr>
            <w:r w:rsidRPr="00330641">
              <w:rPr>
                <w:rFonts w:ascii="ITC Avant Garde" w:hAnsi="ITC Avant Garde" w:cs="Arial"/>
                <w:i/>
                <w:sz w:val="18"/>
                <w:szCs w:val="18"/>
                <w:lang w:val="en-US"/>
              </w:rPr>
              <w:t>STM-64</w:t>
            </w:r>
          </w:p>
        </w:tc>
        <w:tc>
          <w:tcPr>
            <w:tcW w:w="3888" w:type="dxa"/>
            <w:vAlign w:val="center"/>
          </w:tcPr>
          <w:p w:rsidR="003B6046" w:rsidRPr="00330641" w:rsidRDefault="003B6046" w:rsidP="000F58E0">
            <w:pPr>
              <w:autoSpaceDE w:val="0"/>
              <w:autoSpaceDN w:val="0"/>
              <w:adjustRightInd w:val="0"/>
              <w:spacing w:after="0" w:line="276" w:lineRule="auto"/>
              <w:ind w:left="567" w:right="616"/>
              <w:jc w:val="center"/>
              <w:rPr>
                <w:rFonts w:ascii="ITC Avant Garde" w:hAnsi="ITC Avant Garde" w:cs="Arial"/>
                <w:i/>
                <w:sz w:val="18"/>
                <w:szCs w:val="18"/>
                <w:lang w:val="en-US"/>
              </w:rPr>
            </w:pPr>
            <w:r w:rsidRPr="00330641">
              <w:rPr>
                <w:rFonts w:ascii="ITC Avant Garde" w:hAnsi="ITC Avant Garde" w:cs="Arial"/>
                <w:i/>
                <w:sz w:val="18"/>
                <w:szCs w:val="18"/>
                <w:lang w:val="en-US"/>
              </w:rPr>
              <w:t>9,953.28 Mbps</w:t>
            </w:r>
          </w:p>
        </w:tc>
      </w:tr>
      <w:tr w:rsidR="003B6046" w:rsidRPr="00330641" w:rsidTr="001A0546">
        <w:trPr>
          <w:trHeight w:val="319"/>
          <w:jc w:val="center"/>
        </w:trPr>
        <w:tc>
          <w:tcPr>
            <w:tcW w:w="3746" w:type="dxa"/>
            <w:vAlign w:val="center"/>
          </w:tcPr>
          <w:p w:rsidR="003B6046" w:rsidRPr="00330641" w:rsidRDefault="003B6046" w:rsidP="000F58E0">
            <w:pPr>
              <w:autoSpaceDE w:val="0"/>
              <w:autoSpaceDN w:val="0"/>
              <w:adjustRightInd w:val="0"/>
              <w:spacing w:after="0" w:line="276" w:lineRule="auto"/>
              <w:ind w:left="567" w:right="616"/>
              <w:jc w:val="center"/>
              <w:rPr>
                <w:rFonts w:ascii="ITC Avant Garde" w:hAnsi="ITC Avant Garde" w:cs="Arial"/>
                <w:i/>
                <w:sz w:val="18"/>
                <w:szCs w:val="18"/>
                <w:lang w:val="en-US"/>
              </w:rPr>
            </w:pPr>
            <w:r w:rsidRPr="00330641">
              <w:rPr>
                <w:rFonts w:ascii="ITC Avant Garde" w:hAnsi="ITC Avant Garde" w:cs="Arial"/>
                <w:i/>
                <w:sz w:val="18"/>
                <w:szCs w:val="18"/>
                <w:lang w:val="en-US"/>
              </w:rPr>
              <w:t>STM-256</w:t>
            </w:r>
          </w:p>
        </w:tc>
        <w:tc>
          <w:tcPr>
            <w:tcW w:w="3888" w:type="dxa"/>
            <w:vAlign w:val="center"/>
          </w:tcPr>
          <w:p w:rsidR="003B6046" w:rsidRPr="00330641" w:rsidRDefault="003B6046" w:rsidP="000F58E0">
            <w:pPr>
              <w:autoSpaceDE w:val="0"/>
              <w:autoSpaceDN w:val="0"/>
              <w:adjustRightInd w:val="0"/>
              <w:spacing w:after="0" w:line="276" w:lineRule="auto"/>
              <w:ind w:left="567" w:right="616"/>
              <w:jc w:val="center"/>
              <w:rPr>
                <w:rFonts w:ascii="ITC Avant Garde" w:hAnsi="ITC Avant Garde" w:cs="Arial"/>
                <w:i/>
                <w:sz w:val="18"/>
                <w:szCs w:val="18"/>
                <w:lang w:val="en-US"/>
              </w:rPr>
            </w:pPr>
            <w:r w:rsidRPr="00330641">
              <w:rPr>
                <w:rFonts w:ascii="ITC Avant Garde" w:hAnsi="ITC Avant Garde" w:cs="Arial"/>
                <w:i/>
                <w:sz w:val="18"/>
                <w:szCs w:val="18"/>
                <w:lang w:val="en-US"/>
              </w:rPr>
              <w:t>39,813.12 Mbps</w:t>
            </w:r>
          </w:p>
        </w:tc>
      </w:tr>
      <w:tr w:rsidR="003B6046" w:rsidRPr="00330641" w:rsidTr="001A0546">
        <w:trPr>
          <w:trHeight w:val="335"/>
          <w:jc w:val="center"/>
        </w:trPr>
        <w:tc>
          <w:tcPr>
            <w:tcW w:w="3746" w:type="dxa"/>
            <w:vAlign w:val="center"/>
          </w:tcPr>
          <w:p w:rsidR="003B6046" w:rsidRPr="00330641" w:rsidRDefault="003B6046" w:rsidP="000F58E0">
            <w:pPr>
              <w:autoSpaceDE w:val="0"/>
              <w:autoSpaceDN w:val="0"/>
              <w:adjustRightInd w:val="0"/>
              <w:spacing w:after="0" w:line="276" w:lineRule="auto"/>
              <w:ind w:left="567" w:right="616"/>
              <w:jc w:val="center"/>
              <w:rPr>
                <w:rFonts w:ascii="ITC Avant Garde" w:hAnsi="ITC Avant Garde" w:cs="Arial"/>
                <w:i/>
                <w:sz w:val="18"/>
                <w:szCs w:val="18"/>
                <w:lang w:val="en-US"/>
              </w:rPr>
            </w:pPr>
            <w:r w:rsidRPr="00330641">
              <w:rPr>
                <w:rFonts w:ascii="ITC Avant Garde" w:hAnsi="ITC Avant Garde" w:cs="Arial"/>
                <w:i/>
                <w:sz w:val="18"/>
                <w:szCs w:val="18"/>
                <w:lang w:val="en-US"/>
              </w:rPr>
              <w:t>Ethernet</w:t>
            </w:r>
          </w:p>
        </w:tc>
        <w:tc>
          <w:tcPr>
            <w:tcW w:w="3888" w:type="dxa"/>
            <w:vAlign w:val="center"/>
          </w:tcPr>
          <w:p w:rsidR="003B6046" w:rsidRPr="00330641" w:rsidRDefault="003B6046" w:rsidP="000F58E0">
            <w:pPr>
              <w:autoSpaceDE w:val="0"/>
              <w:autoSpaceDN w:val="0"/>
              <w:adjustRightInd w:val="0"/>
              <w:spacing w:after="0" w:line="276" w:lineRule="auto"/>
              <w:ind w:left="567" w:right="616"/>
              <w:jc w:val="center"/>
              <w:rPr>
                <w:rFonts w:ascii="ITC Avant Garde" w:hAnsi="ITC Avant Garde" w:cs="Arial"/>
                <w:i/>
                <w:sz w:val="18"/>
                <w:szCs w:val="18"/>
                <w:lang w:val="en-US"/>
              </w:rPr>
            </w:pPr>
            <w:r w:rsidRPr="00330641">
              <w:rPr>
                <w:rFonts w:ascii="ITC Avant Garde" w:hAnsi="ITC Avant Garde" w:cs="Arial"/>
                <w:i/>
                <w:sz w:val="18"/>
                <w:szCs w:val="18"/>
                <w:lang w:val="en-US"/>
              </w:rPr>
              <w:t xml:space="preserve">1 Mbps a 100 </w:t>
            </w:r>
            <w:proofErr w:type="spellStart"/>
            <w:r w:rsidRPr="00330641">
              <w:rPr>
                <w:rFonts w:ascii="ITC Avant Garde" w:hAnsi="ITC Avant Garde" w:cs="Arial"/>
                <w:i/>
                <w:sz w:val="18"/>
                <w:szCs w:val="18"/>
                <w:lang w:val="en-US"/>
              </w:rPr>
              <w:t>Gbps</w:t>
            </w:r>
            <w:proofErr w:type="spellEnd"/>
            <w:r w:rsidRPr="00330641">
              <w:rPr>
                <w:rFonts w:ascii="ITC Avant Garde" w:hAnsi="ITC Avant Garde" w:cs="Arial"/>
                <w:i/>
                <w:sz w:val="18"/>
                <w:szCs w:val="18"/>
                <w:lang w:val="en-US"/>
              </w:rPr>
              <w:t xml:space="preserve"> </w:t>
            </w:r>
          </w:p>
        </w:tc>
      </w:tr>
    </w:tbl>
    <w:p w:rsidR="003B6046" w:rsidRPr="00330641" w:rsidRDefault="003B6046" w:rsidP="000F58E0">
      <w:pPr>
        <w:autoSpaceDE w:val="0"/>
        <w:autoSpaceDN w:val="0"/>
        <w:adjustRightInd w:val="0"/>
        <w:spacing w:after="0" w:line="276" w:lineRule="auto"/>
        <w:ind w:left="567" w:right="616"/>
        <w:rPr>
          <w:rFonts w:ascii="ITC Avant Garde" w:hAnsi="ITC Avant Garde" w:cs="Arial"/>
          <w:i/>
          <w:sz w:val="18"/>
          <w:szCs w:val="18"/>
        </w:rPr>
      </w:pPr>
      <w:r w:rsidRPr="00330641">
        <w:rPr>
          <w:rFonts w:ascii="ITC Avant Garde" w:hAnsi="ITC Avant Garde" w:cs="Arial"/>
          <w:i/>
          <w:sz w:val="18"/>
          <w:szCs w:val="18"/>
        </w:rPr>
        <w:t>NOTA: El enlace E2 se entrega en 4xE1 (capacidad equivalente del E2), el enlace E4 se entrega como STM-1 para la capacidad equivalente de E4 y el enlace STM-256 se entrega en su capacidad equivalente de 4xSTM-64.</w:t>
      </w:r>
    </w:p>
    <w:p w:rsidR="003B6046" w:rsidRPr="00330641" w:rsidRDefault="003B6046" w:rsidP="000F58E0">
      <w:pPr>
        <w:pStyle w:val="IFTnormal"/>
        <w:spacing w:after="0"/>
        <w:ind w:left="567" w:right="616"/>
        <w:rPr>
          <w:rFonts w:cs="Arial"/>
          <w:i/>
          <w:color w:val="000000"/>
          <w:sz w:val="18"/>
          <w:szCs w:val="18"/>
        </w:rPr>
      </w:pPr>
    </w:p>
    <w:p w:rsidR="003B6046" w:rsidRPr="00330641" w:rsidRDefault="003B6046" w:rsidP="000F58E0">
      <w:pPr>
        <w:pStyle w:val="IFTnormal"/>
        <w:spacing w:after="0"/>
        <w:ind w:left="567" w:right="616"/>
        <w:rPr>
          <w:rFonts w:cs="Arial"/>
          <w:i/>
          <w:color w:val="000000"/>
          <w:sz w:val="18"/>
          <w:szCs w:val="18"/>
        </w:rPr>
      </w:pPr>
      <w:r w:rsidRPr="00330641">
        <w:rPr>
          <w:rFonts w:cs="Arial"/>
          <w:i/>
          <w:sz w:val="18"/>
          <w:szCs w:val="18"/>
        </w:rPr>
        <w:t>[…]</w:t>
      </w:r>
    </w:p>
    <w:p w:rsidR="003B6046" w:rsidRPr="00330641" w:rsidRDefault="003B6046" w:rsidP="000F58E0">
      <w:pPr>
        <w:pStyle w:val="IFTnormal"/>
        <w:spacing w:after="0"/>
        <w:ind w:left="567" w:right="616"/>
        <w:rPr>
          <w:rFonts w:cs="Arial"/>
          <w:i/>
          <w:color w:val="000000"/>
          <w:sz w:val="18"/>
          <w:szCs w:val="18"/>
        </w:rPr>
      </w:pPr>
    </w:p>
    <w:p w:rsidR="003B6046" w:rsidRPr="00330641" w:rsidRDefault="003B6046" w:rsidP="000F58E0">
      <w:pPr>
        <w:autoSpaceDE w:val="0"/>
        <w:autoSpaceDN w:val="0"/>
        <w:spacing w:after="0" w:line="276" w:lineRule="auto"/>
        <w:ind w:left="567" w:right="616"/>
        <w:rPr>
          <w:rFonts w:ascii="ITC Avant Garde" w:hAnsi="ITC Avant Garde" w:cs="Arial"/>
          <w:i/>
          <w:sz w:val="18"/>
          <w:szCs w:val="18"/>
        </w:rPr>
      </w:pPr>
      <w:r w:rsidRPr="00330641">
        <w:rPr>
          <w:rFonts w:ascii="ITC Avant Garde" w:hAnsi="ITC Avant Garde" w:cs="Arial"/>
          <w:i/>
          <w:sz w:val="18"/>
          <w:szCs w:val="18"/>
        </w:rPr>
        <w:t>2.4.1.1 Los plazos de entrega indicados en la tabla del presente numeral, no podrán excederse en:</w:t>
      </w:r>
    </w:p>
    <w:p w:rsidR="003B6046" w:rsidRPr="00330641" w:rsidRDefault="003B6046" w:rsidP="000F58E0">
      <w:pPr>
        <w:autoSpaceDE w:val="0"/>
        <w:autoSpaceDN w:val="0"/>
        <w:spacing w:after="0" w:line="276" w:lineRule="auto"/>
        <w:ind w:left="567" w:right="616"/>
        <w:rPr>
          <w:rFonts w:ascii="ITC Avant Garde" w:hAnsi="ITC Avant Garde"/>
          <w:i/>
          <w:color w:val="000000" w:themeColor="text1"/>
          <w:sz w:val="18"/>
          <w:szCs w:val="18"/>
        </w:rPr>
      </w:pPr>
    </w:p>
    <w:p w:rsidR="008B2139" w:rsidRDefault="003B6046" w:rsidP="006B06E7">
      <w:pPr>
        <w:pStyle w:val="Prrafodelista"/>
        <w:numPr>
          <w:ilvl w:val="0"/>
          <w:numId w:val="15"/>
        </w:numPr>
        <w:autoSpaceDE w:val="0"/>
        <w:autoSpaceDN w:val="0"/>
        <w:spacing w:after="0" w:line="276" w:lineRule="auto"/>
        <w:ind w:right="616"/>
        <w:rPr>
          <w:rFonts w:ascii="ITC Avant Garde" w:hAnsi="ITC Avant Garde" w:cs="Arial"/>
          <w:i/>
          <w:sz w:val="18"/>
          <w:szCs w:val="18"/>
        </w:rPr>
      </w:pPr>
      <w:r w:rsidRPr="00330641">
        <w:rPr>
          <w:rFonts w:ascii="ITC Avant Garde" w:hAnsi="ITC Avant Garde" w:cs="Arial"/>
          <w:i/>
          <w:sz w:val="18"/>
          <w:szCs w:val="18"/>
        </w:rPr>
        <w:t>El 85% (ochenta y cinco por ciento) de las solicitudes que se realicen dentro de pronóstico y el restante en el doble del plazo señalado hasta llegar al 100% (cien por ciento).</w:t>
      </w:r>
    </w:p>
    <w:p w:rsidR="008B2139" w:rsidRDefault="008B2139" w:rsidP="008B2139">
      <w:pPr>
        <w:pStyle w:val="Prrafodelista"/>
        <w:autoSpaceDE w:val="0"/>
        <w:autoSpaceDN w:val="0"/>
        <w:spacing w:after="0" w:line="276" w:lineRule="auto"/>
        <w:ind w:left="567" w:right="616" w:firstLine="0"/>
        <w:rPr>
          <w:rFonts w:ascii="ITC Avant Garde" w:hAnsi="ITC Avant Garde" w:cs="Arial"/>
          <w:i/>
          <w:sz w:val="18"/>
          <w:szCs w:val="18"/>
        </w:rPr>
      </w:pPr>
    </w:p>
    <w:p w:rsidR="003B6046" w:rsidRPr="008B2139" w:rsidRDefault="003B6046" w:rsidP="006B06E7">
      <w:pPr>
        <w:pStyle w:val="Prrafodelista"/>
        <w:numPr>
          <w:ilvl w:val="0"/>
          <w:numId w:val="15"/>
        </w:numPr>
        <w:autoSpaceDE w:val="0"/>
        <w:autoSpaceDN w:val="0"/>
        <w:spacing w:after="0" w:line="276" w:lineRule="auto"/>
        <w:ind w:right="616"/>
        <w:rPr>
          <w:rFonts w:ascii="ITC Avant Garde" w:hAnsi="ITC Avant Garde" w:cs="Arial"/>
          <w:i/>
          <w:sz w:val="18"/>
          <w:szCs w:val="18"/>
        </w:rPr>
      </w:pPr>
      <w:r w:rsidRPr="008B2139">
        <w:rPr>
          <w:rFonts w:ascii="ITC Avant Garde" w:hAnsi="ITC Avant Garde" w:cs="Arial"/>
          <w:i/>
          <w:sz w:val="18"/>
          <w:szCs w:val="18"/>
        </w:rPr>
        <w:t xml:space="preserve">El 50% (cincuenta por ciento) de las solicitudes que se realicen fuera de pronóstico y el doble del plazo señalado para el remanente de solicitudes hasta llegar al 100% (cien por ciento). </w:t>
      </w:r>
    </w:p>
    <w:p w:rsidR="003B6046" w:rsidRPr="00330641" w:rsidRDefault="003B6046" w:rsidP="000F58E0">
      <w:pPr>
        <w:autoSpaceDE w:val="0"/>
        <w:autoSpaceDN w:val="0"/>
        <w:spacing w:after="0" w:line="276" w:lineRule="auto"/>
        <w:ind w:left="0" w:right="616" w:firstLine="0"/>
        <w:rPr>
          <w:rFonts w:ascii="ITC Avant Garde" w:hAnsi="ITC Avant Garde" w:cs="Arial"/>
          <w:i/>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8"/>
        <w:gridCol w:w="2180"/>
        <w:gridCol w:w="2356"/>
      </w:tblGrid>
      <w:tr w:rsidR="00B55741" w:rsidRPr="00330641" w:rsidTr="00EC3F16">
        <w:trPr>
          <w:jc w:val="center"/>
        </w:trPr>
        <w:tc>
          <w:tcPr>
            <w:tcW w:w="1838" w:type="dxa"/>
            <w:vMerge w:val="restart"/>
            <w:vAlign w:val="center"/>
          </w:tcPr>
          <w:p w:rsidR="00B55741" w:rsidRPr="00330641" w:rsidRDefault="00B55741" w:rsidP="000F58E0">
            <w:pPr>
              <w:autoSpaceDE w:val="0"/>
              <w:autoSpaceDN w:val="0"/>
              <w:adjustRightInd w:val="0"/>
              <w:spacing w:after="0" w:line="276" w:lineRule="auto"/>
              <w:jc w:val="center"/>
              <w:rPr>
                <w:rFonts w:ascii="ITC Avant Garde" w:hAnsi="ITC Avant Garde" w:cs="Arial"/>
                <w:i/>
                <w:sz w:val="18"/>
                <w:szCs w:val="18"/>
                <w:lang w:val="en-US"/>
              </w:rPr>
            </w:pPr>
            <w:r w:rsidRPr="00330641">
              <w:rPr>
                <w:rFonts w:ascii="ITC Avant Garde" w:hAnsi="ITC Avant Garde" w:cs="Arial"/>
                <w:b/>
                <w:bCs/>
                <w:i/>
                <w:sz w:val="18"/>
                <w:szCs w:val="18"/>
              </w:rPr>
              <w:t>Denominación</w:t>
            </w:r>
          </w:p>
        </w:tc>
        <w:tc>
          <w:tcPr>
            <w:tcW w:w="2180" w:type="dxa"/>
            <w:vMerge w:val="restart"/>
            <w:vAlign w:val="center"/>
          </w:tcPr>
          <w:p w:rsidR="00B55741" w:rsidRPr="00330641" w:rsidRDefault="00B55741" w:rsidP="000F58E0">
            <w:pPr>
              <w:autoSpaceDE w:val="0"/>
              <w:autoSpaceDN w:val="0"/>
              <w:adjustRightInd w:val="0"/>
              <w:spacing w:after="0" w:line="276" w:lineRule="auto"/>
              <w:jc w:val="center"/>
              <w:rPr>
                <w:rFonts w:ascii="ITC Avant Garde" w:hAnsi="ITC Avant Garde"/>
                <w:i/>
                <w:sz w:val="18"/>
                <w:szCs w:val="18"/>
                <w:lang w:val="en-US"/>
              </w:rPr>
            </w:pPr>
            <w:r w:rsidRPr="00330641">
              <w:rPr>
                <w:rFonts w:ascii="ITC Avant Garde" w:hAnsi="ITC Avant Garde"/>
                <w:b/>
                <w:i/>
                <w:sz w:val="18"/>
                <w:szCs w:val="18"/>
              </w:rPr>
              <w:t>Capacidad</w:t>
            </w:r>
          </w:p>
        </w:tc>
        <w:tc>
          <w:tcPr>
            <w:tcW w:w="2356" w:type="dxa"/>
            <w:vAlign w:val="center"/>
          </w:tcPr>
          <w:p w:rsidR="00B55741" w:rsidRPr="00330641" w:rsidRDefault="00B55741" w:rsidP="000F58E0">
            <w:pPr>
              <w:autoSpaceDE w:val="0"/>
              <w:autoSpaceDN w:val="0"/>
              <w:adjustRightInd w:val="0"/>
              <w:spacing w:after="0" w:line="276" w:lineRule="auto"/>
              <w:jc w:val="center"/>
              <w:rPr>
                <w:rFonts w:ascii="ITC Avant Garde" w:hAnsi="ITC Avant Garde"/>
                <w:b/>
                <w:i/>
                <w:sz w:val="18"/>
                <w:szCs w:val="18"/>
              </w:rPr>
            </w:pPr>
            <w:r w:rsidRPr="00330641">
              <w:rPr>
                <w:rFonts w:ascii="ITC Avant Garde" w:hAnsi="ITC Avant Garde"/>
                <w:b/>
                <w:i/>
                <w:sz w:val="18"/>
                <w:szCs w:val="18"/>
              </w:rPr>
              <w:t xml:space="preserve">Plazos </w:t>
            </w:r>
            <w:r w:rsidRPr="00330641">
              <w:rPr>
                <w:rFonts w:ascii="ITC Avant Garde" w:hAnsi="ITC Avant Garde" w:cs="Arial"/>
                <w:b/>
                <w:bCs/>
                <w:i/>
                <w:sz w:val="18"/>
                <w:szCs w:val="18"/>
              </w:rPr>
              <w:t>máximos</w:t>
            </w:r>
          </w:p>
        </w:tc>
      </w:tr>
      <w:tr w:rsidR="00F2721F" w:rsidRPr="00330641" w:rsidTr="00EC3F16">
        <w:trPr>
          <w:jc w:val="center"/>
        </w:trPr>
        <w:tc>
          <w:tcPr>
            <w:tcW w:w="1838" w:type="dxa"/>
            <w:vMerge/>
            <w:vAlign w:val="center"/>
          </w:tcPr>
          <w:p w:rsidR="00F2721F" w:rsidRPr="00330641" w:rsidRDefault="00F2721F" w:rsidP="000F58E0">
            <w:pPr>
              <w:autoSpaceDE w:val="0"/>
              <w:autoSpaceDN w:val="0"/>
              <w:adjustRightInd w:val="0"/>
              <w:spacing w:after="0" w:line="276" w:lineRule="auto"/>
              <w:jc w:val="center"/>
              <w:rPr>
                <w:rFonts w:ascii="ITC Avant Garde" w:hAnsi="ITC Avant Garde"/>
                <w:b/>
                <w:i/>
                <w:sz w:val="18"/>
                <w:szCs w:val="18"/>
              </w:rPr>
            </w:pPr>
          </w:p>
        </w:tc>
        <w:tc>
          <w:tcPr>
            <w:tcW w:w="2180" w:type="dxa"/>
            <w:vMerge/>
            <w:vAlign w:val="center"/>
          </w:tcPr>
          <w:p w:rsidR="00F2721F" w:rsidRPr="00330641" w:rsidRDefault="00F2721F" w:rsidP="000F58E0">
            <w:pPr>
              <w:autoSpaceDE w:val="0"/>
              <w:autoSpaceDN w:val="0"/>
              <w:adjustRightInd w:val="0"/>
              <w:spacing w:after="0" w:line="276" w:lineRule="auto"/>
              <w:jc w:val="center"/>
              <w:rPr>
                <w:rFonts w:ascii="ITC Avant Garde" w:hAnsi="ITC Avant Garde" w:cs="Arial"/>
                <w:b/>
                <w:bCs/>
                <w:i/>
                <w:sz w:val="18"/>
                <w:szCs w:val="18"/>
              </w:rPr>
            </w:pPr>
          </w:p>
        </w:tc>
        <w:tc>
          <w:tcPr>
            <w:tcW w:w="2356" w:type="dxa"/>
            <w:vAlign w:val="center"/>
          </w:tcPr>
          <w:p w:rsidR="00F2721F" w:rsidRPr="00330641" w:rsidRDefault="00F2721F" w:rsidP="000F58E0">
            <w:pPr>
              <w:autoSpaceDE w:val="0"/>
              <w:autoSpaceDN w:val="0"/>
              <w:adjustRightInd w:val="0"/>
              <w:spacing w:after="0" w:line="276" w:lineRule="auto"/>
              <w:jc w:val="center"/>
              <w:rPr>
                <w:rFonts w:ascii="ITC Avant Garde" w:hAnsi="ITC Avant Garde"/>
                <w:b/>
                <w:i/>
                <w:sz w:val="18"/>
                <w:szCs w:val="18"/>
              </w:rPr>
            </w:pPr>
            <w:r w:rsidRPr="00330641">
              <w:rPr>
                <w:rFonts w:ascii="ITC Avant Garde" w:hAnsi="ITC Avant Garde"/>
                <w:b/>
                <w:i/>
                <w:sz w:val="18"/>
                <w:szCs w:val="18"/>
              </w:rPr>
              <w:t xml:space="preserve">Entre Localidades/ Larga </w:t>
            </w:r>
            <w:r w:rsidRPr="00330641">
              <w:rPr>
                <w:rFonts w:ascii="ITC Avant Garde" w:hAnsi="ITC Avant Garde" w:cs="Arial"/>
                <w:b/>
                <w:bCs/>
                <w:i/>
                <w:sz w:val="18"/>
                <w:szCs w:val="18"/>
              </w:rPr>
              <w:t>distancia</w:t>
            </w:r>
          </w:p>
        </w:tc>
      </w:tr>
      <w:tr w:rsidR="00F2721F" w:rsidRPr="00330641" w:rsidTr="00EC3F16">
        <w:trPr>
          <w:jc w:val="center"/>
        </w:trPr>
        <w:tc>
          <w:tcPr>
            <w:tcW w:w="1838" w:type="dxa"/>
            <w:vAlign w:val="center"/>
          </w:tcPr>
          <w:p w:rsidR="00F2721F" w:rsidRPr="00330641" w:rsidRDefault="00F2721F" w:rsidP="000F58E0">
            <w:pPr>
              <w:autoSpaceDE w:val="0"/>
              <w:autoSpaceDN w:val="0"/>
              <w:adjustRightInd w:val="0"/>
              <w:spacing w:after="0" w:line="276" w:lineRule="auto"/>
              <w:jc w:val="center"/>
              <w:rPr>
                <w:rFonts w:ascii="ITC Avant Garde" w:hAnsi="ITC Avant Garde" w:cs="Arial"/>
                <w:i/>
                <w:sz w:val="18"/>
                <w:szCs w:val="18"/>
              </w:rPr>
            </w:pPr>
            <w:proofErr w:type="spellStart"/>
            <w:r w:rsidRPr="00330641">
              <w:rPr>
                <w:rFonts w:ascii="ITC Avant Garde" w:hAnsi="ITC Avant Garde" w:cs="Arial"/>
                <w:i/>
                <w:sz w:val="18"/>
                <w:szCs w:val="18"/>
              </w:rPr>
              <w:t>Nx</w:t>
            </w:r>
            <w:proofErr w:type="spellEnd"/>
            <w:r w:rsidRPr="00330641">
              <w:rPr>
                <w:rFonts w:ascii="ITC Avant Garde" w:hAnsi="ITC Avant Garde" w:cs="Arial"/>
                <w:i/>
                <w:sz w:val="18"/>
                <w:szCs w:val="18"/>
              </w:rPr>
              <w:t xml:space="preserve"> 64 kbps</w:t>
            </w:r>
          </w:p>
          <w:p w:rsidR="00F2721F" w:rsidRPr="00330641" w:rsidRDefault="00F2721F" w:rsidP="000F58E0">
            <w:pPr>
              <w:autoSpaceDE w:val="0"/>
              <w:autoSpaceDN w:val="0"/>
              <w:adjustRightInd w:val="0"/>
              <w:spacing w:after="0" w:line="276" w:lineRule="auto"/>
              <w:jc w:val="center"/>
              <w:rPr>
                <w:rFonts w:ascii="ITC Avant Garde" w:hAnsi="ITC Avant Garde"/>
                <w:i/>
                <w:sz w:val="18"/>
                <w:szCs w:val="18"/>
                <w:lang w:val="en-US"/>
              </w:rPr>
            </w:pPr>
            <w:r w:rsidRPr="00330641">
              <w:rPr>
                <w:rFonts w:ascii="ITC Avant Garde" w:hAnsi="ITC Avant Garde" w:cs="Arial"/>
                <w:i/>
                <w:sz w:val="18"/>
                <w:szCs w:val="18"/>
              </w:rPr>
              <w:t>(N=1…16)</w:t>
            </w:r>
          </w:p>
        </w:tc>
        <w:tc>
          <w:tcPr>
            <w:tcW w:w="2180" w:type="dxa"/>
            <w:vAlign w:val="center"/>
          </w:tcPr>
          <w:p w:rsidR="00F2721F" w:rsidRPr="00330641" w:rsidRDefault="00F2721F" w:rsidP="000F58E0">
            <w:pPr>
              <w:autoSpaceDE w:val="0"/>
              <w:autoSpaceDN w:val="0"/>
              <w:adjustRightInd w:val="0"/>
              <w:spacing w:after="0" w:line="276" w:lineRule="auto"/>
              <w:jc w:val="center"/>
              <w:rPr>
                <w:rFonts w:ascii="ITC Avant Garde" w:hAnsi="ITC Avant Garde" w:cs="Arial"/>
                <w:i/>
                <w:sz w:val="18"/>
                <w:szCs w:val="18"/>
                <w:lang w:val="en-US"/>
              </w:rPr>
            </w:pPr>
            <w:r w:rsidRPr="00330641">
              <w:rPr>
                <w:rFonts w:ascii="ITC Avant Garde" w:hAnsi="ITC Avant Garde" w:cs="Arial"/>
                <w:i/>
                <w:sz w:val="18"/>
                <w:szCs w:val="18"/>
              </w:rPr>
              <w:t>64Kbps a 1024 Kbps</w:t>
            </w:r>
          </w:p>
        </w:tc>
        <w:tc>
          <w:tcPr>
            <w:tcW w:w="2356" w:type="dxa"/>
            <w:tcBorders>
              <w:top w:val="single" w:sz="6" w:space="0" w:color="000000"/>
              <w:left w:val="single" w:sz="6" w:space="0" w:color="000000"/>
              <w:bottom w:val="single" w:sz="6" w:space="0" w:color="000000"/>
              <w:right w:val="single" w:sz="6" w:space="0" w:color="000000"/>
            </w:tcBorders>
            <w:vAlign w:val="center"/>
          </w:tcPr>
          <w:p w:rsidR="00F2721F" w:rsidRPr="00330641" w:rsidRDefault="00F2721F" w:rsidP="000F58E0">
            <w:pPr>
              <w:autoSpaceDE w:val="0"/>
              <w:autoSpaceDN w:val="0"/>
              <w:adjustRightInd w:val="0"/>
              <w:spacing w:after="0" w:line="276" w:lineRule="auto"/>
              <w:jc w:val="center"/>
              <w:rPr>
                <w:rFonts w:ascii="ITC Avant Garde" w:hAnsi="ITC Avant Garde"/>
                <w:i/>
                <w:sz w:val="18"/>
                <w:szCs w:val="18"/>
              </w:rPr>
            </w:pPr>
            <w:r w:rsidRPr="00330641">
              <w:rPr>
                <w:rFonts w:ascii="ITC Avant Garde" w:hAnsi="ITC Avant Garde" w:cs="Arial"/>
                <w:bCs/>
                <w:i/>
                <w:sz w:val="18"/>
                <w:szCs w:val="18"/>
                <w:lang w:eastAsia="es-ES"/>
              </w:rPr>
              <w:t>18</w:t>
            </w:r>
            <w:r w:rsidRPr="00330641">
              <w:rPr>
                <w:rFonts w:ascii="ITC Avant Garde" w:hAnsi="ITC Avant Garde"/>
                <w:i/>
                <w:sz w:val="18"/>
                <w:szCs w:val="18"/>
              </w:rPr>
              <w:t xml:space="preserve"> días hábiles</w:t>
            </w:r>
          </w:p>
        </w:tc>
      </w:tr>
      <w:tr w:rsidR="00F2721F" w:rsidRPr="00330641" w:rsidTr="00EC3F16">
        <w:trPr>
          <w:jc w:val="center"/>
        </w:trPr>
        <w:tc>
          <w:tcPr>
            <w:tcW w:w="1838" w:type="dxa"/>
            <w:vAlign w:val="center"/>
          </w:tcPr>
          <w:p w:rsidR="00F2721F" w:rsidRPr="00330641" w:rsidRDefault="00F2721F" w:rsidP="000F58E0">
            <w:pPr>
              <w:autoSpaceDE w:val="0"/>
              <w:autoSpaceDN w:val="0"/>
              <w:adjustRightInd w:val="0"/>
              <w:spacing w:after="0" w:line="276" w:lineRule="auto"/>
              <w:jc w:val="center"/>
              <w:rPr>
                <w:rFonts w:ascii="ITC Avant Garde" w:hAnsi="ITC Avant Garde" w:cs="Arial"/>
                <w:i/>
                <w:sz w:val="18"/>
                <w:szCs w:val="18"/>
                <w:lang w:val="en-US"/>
              </w:rPr>
            </w:pPr>
            <w:r w:rsidRPr="00330641">
              <w:rPr>
                <w:rFonts w:ascii="ITC Avant Garde" w:hAnsi="ITC Avant Garde" w:cs="Arial"/>
                <w:i/>
                <w:sz w:val="18"/>
                <w:szCs w:val="18"/>
              </w:rPr>
              <w:t>E1</w:t>
            </w:r>
          </w:p>
        </w:tc>
        <w:tc>
          <w:tcPr>
            <w:tcW w:w="2180" w:type="dxa"/>
            <w:vAlign w:val="center"/>
          </w:tcPr>
          <w:p w:rsidR="00F2721F" w:rsidRPr="00330641" w:rsidRDefault="00F2721F" w:rsidP="000F58E0">
            <w:pPr>
              <w:autoSpaceDE w:val="0"/>
              <w:autoSpaceDN w:val="0"/>
              <w:adjustRightInd w:val="0"/>
              <w:spacing w:after="0" w:line="276" w:lineRule="auto"/>
              <w:jc w:val="center"/>
              <w:rPr>
                <w:rFonts w:ascii="ITC Avant Garde" w:hAnsi="ITC Avant Garde"/>
                <w:i/>
                <w:sz w:val="18"/>
                <w:szCs w:val="18"/>
                <w:lang w:val="en-US"/>
              </w:rPr>
            </w:pPr>
            <w:r w:rsidRPr="00330641">
              <w:rPr>
                <w:rFonts w:ascii="ITC Avant Garde" w:hAnsi="ITC Avant Garde"/>
                <w:i/>
                <w:sz w:val="18"/>
                <w:szCs w:val="18"/>
              </w:rPr>
              <w:t>2</w:t>
            </w:r>
            <w:r w:rsidRPr="00330641">
              <w:rPr>
                <w:rFonts w:ascii="ITC Avant Garde" w:hAnsi="ITC Avant Garde" w:cs="Arial"/>
                <w:i/>
                <w:sz w:val="18"/>
                <w:szCs w:val="18"/>
              </w:rPr>
              <w:t>.048</w:t>
            </w:r>
            <w:r w:rsidRPr="00330641">
              <w:rPr>
                <w:rFonts w:ascii="ITC Avant Garde" w:hAnsi="ITC Avant Garde"/>
                <w:i/>
                <w:sz w:val="18"/>
                <w:szCs w:val="18"/>
              </w:rPr>
              <w:t xml:space="preserve"> Mbps</w:t>
            </w:r>
          </w:p>
        </w:tc>
        <w:tc>
          <w:tcPr>
            <w:tcW w:w="2356" w:type="dxa"/>
            <w:tcBorders>
              <w:top w:val="single" w:sz="6" w:space="0" w:color="000000"/>
              <w:left w:val="single" w:sz="6" w:space="0" w:color="000000"/>
              <w:bottom w:val="single" w:sz="6" w:space="0" w:color="000000"/>
              <w:right w:val="single" w:sz="6" w:space="0" w:color="000000"/>
            </w:tcBorders>
            <w:vAlign w:val="center"/>
          </w:tcPr>
          <w:p w:rsidR="00F2721F" w:rsidRPr="00330641" w:rsidRDefault="00F2721F" w:rsidP="000F58E0">
            <w:pPr>
              <w:autoSpaceDE w:val="0"/>
              <w:autoSpaceDN w:val="0"/>
              <w:adjustRightInd w:val="0"/>
              <w:spacing w:after="0" w:line="276" w:lineRule="auto"/>
              <w:jc w:val="center"/>
              <w:rPr>
                <w:rFonts w:ascii="ITC Avant Garde" w:hAnsi="ITC Avant Garde"/>
                <w:i/>
                <w:sz w:val="18"/>
                <w:szCs w:val="18"/>
              </w:rPr>
            </w:pPr>
            <w:r w:rsidRPr="00330641">
              <w:rPr>
                <w:rFonts w:ascii="ITC Avant Garde" w:hAnsi="ITC Avant Garde" w:cs="Arial"/>
                <w:bCs/>
                <w:i/>
                <w:sz w:val="18"/>
                <w:szCs w:val="18"/>
                <w:lang w:eastAsia="es-ES"/>
              </w:rPr>
              <w:t>18</w:t>
            </w:r>
            <w:r w:rsidRPr="00330641">
              <w:rPr>
                <w:rFonts w:ascii="ITC Avant Garde" w:hAnsi="ITC Avant Garde"/>
                <w:i/>
                <w:sz w:val="18"/>
                <w:szCs w:val="18"/>
              </w:rPr>
              <w:t xml:space="preserve"> días hábiles</w:t>
            </w:r>
          </w:p>
        </w:tc>
      </w:tr>
      <w:tr w:rsidR="00F2721F" w:rsidRPr="00330641" w:rsidTr="00EC3F16">
        <w:trPr>
          <w:jc w:val="center"/>
        </w:trPr>
        <w:tc>
          <w:tcPr>
            <w:tcW w:w="1838" w:type="dxa"/>
            <w:vAlign w:val="center"/>
          </w:tcPr>
          <w:p w:rsidR="00F2721F" w:rsidRPr="00330641" w:rsidRDefault="00F2721F" w:rsidP="000F58E0">
            <w:pPr>
              <w:autoSpaceDE w:val="0"/>
              <w:autoSpaceDN w:val="0"/>
              <w:adjustRightInd w:val="0"/>
              <w:spacing w:after="0" w:line="276" w:lineRule="auto"/>
              <w:jc w:val="center"/>
              <w:rPr>
                <w:rFonts w:ascii="ITC Avant Garde" w:hAnsi="ITC Avant Garde" w:cs="Arial"/>
                <w:i/>
                <w:sz w:val="18"/>
                <w:szCs w:val="18"/>
                <w:lang w:val="en-US"/>
              </w:rPr>
            </w:pPr>
            <w:r w:rsidRPr="00330641">
              <w:rPr>
                <w:rFonts w:ascii="ITC Avant Garde" w:hAnsi="ITC Avant Garde" w:cs="Arial"/>
                <w:i/>
                <w:sz w:val="18"/>
                <w:szCs w:val="18"/>
              </w:rPr>
              <w:t>E2</w:t>
            </w:r>
          </w:p>
        </w:tc>
        <w:tc>
          <w:tcPr>
            <w:tcW w:w="2180" w:type="dxa"/>
            <w:vAlign w:val="center"/>
          </w:tcPr>
          <w:p w:rsidR="00F2721F" w:rsidRPr="00330641" w:rsidRDefault="00F2721F" w:rsidP="000F58E0">
            <w:pPr>
              <w:autoSpaceDE w:val="0"/>
              <w:autoSpaceDN w:val="0"/>
              <w:adjustRightInd w:val="0"/>
              <w:spacing w:after="0" w:line="276" w:lineRule="auto"/>
              <w:jc w:val="center"/>
              <w:rPr>
                <w:rFonts w:ascii="ITC Avant Garde" w:hAnsi="ITC Avant Garde"/>
                <w:i/>
                <w:sz w:val="18"/>
                <w:szCs w:val="18"/>
                <w:lang w:val="en-US"/>
              </w:rPr>
            </w:pPr>
            <w:r w:rsidRPr="00330641">
              <w:rPr>
                <w:rFonts w:ascii="ITC Avant Garde" w:hAnsi="ITC Avant Garde" w:cs="Arial"/>
                <w:i/>
                <w:sz w:val="18"/>
                <w:szCs w:val="18"/>
              </w:rPr>
              <w:t>8.448</w:t>
            </w:r>
            <w:r w:rsidRPr="00330641">
              <w:rPr>
                <w:rFonts w:ascii="ITC Avant Garde" w:hAnsi="ITC Avant Garde"/>
                <w:i/>
                <w:sz w:val="18"/>
                <w:szCs w:val="18"/>
              </w:rPr>
              <w:t xml:space="preserve"> Mbps</w:t>
            </w:r>
          </w:p>
        </w:tc>
        <w:tc>
          <w:tcPr>
            <w:tcW w:w="2356" w:type="dxa"/>
            <w:tcBorders>
              <w:top w:val="single" w:sz="6" w:space="0" w:color="000000"/>
              <w:left w:val="single" w:sz="6" w:space="0" w:color="000000"/>
              <w:bottom w:val="single" w:sz="6" w:space="0" w:color="000000"/>
              <w:right w:val="single" w:sz="6" w:space="0" w:color="000000"/>
            </w:tcBorders>
            <w:vAlign w:val="center"/>
          </w:tcPr>
          <w:p w:rsidR="00F2721F" w:rsidRPr="00330641" w:rsidRDefault="00F2721F" w:rsidP="000F58E0">
            <w:pPr>
              <w:autoSpaceDE w:val="0"/>
              <w:autoSpaceDN w:val="0"/>
              <w:adjustRightInd w:val="0"/>
              <w:spacing w:after="0" w:line="276" w:lineRule="auto"/>
              <w:jc w:val="center"/>
              <w:rPr>
                <w:rFonts w:ascii="ITC Avant Garde" w:hAnsi="ITC Avant Garde"/>
                <w:i/>
                <w:sz w:val="18"/>
                <w:szCs w:val="18"/>
              </w:rPr>
            </w:pPr>
            <w:r w:rsidRPr="00330641">
              <w:rPr>
                <w:rFonts w:ascii="ITC Avant Garde" w:hAnsi="ITC Avant Garde" w:cs="Arial"/>
                <w:bCs/>
                <w:i/>
                <w:sz w:val="18"/>
                <w:szCs w:val="18"/>
                <w:lang w:eastAsia="es-ES"/>
              </w:rPr>
              <w:t>18</w:t>
            </w:r>
            <w:r w:rsidRPr="00330641">
              <w:rPr>
                <w:rFonts w:ascii="ITC Avant Garde" w:hAnsi="ITC Avant Garde"/>
                <w:i/>
                <w:sz w:val="18"/>
                <w:szCs w:val="18"/>
              </w:rPr>
              <w:t xml:space="preserve"> días hábiles</w:t>
            </w:r>
          </w:p>
        </w:tc>
      </w:tr>
      <w:tr w:rsidR="00F2721F" w:rsidRPr="00330641" w:rsidTr="00EC3F16">
        <w:trPr>
          <w:jc w:val="center"/>
        </w:trPr>
        <w:tc>
          <w:tcPr>
            <w:tcW w:w="1838" w:type="dxa"/>
            <w:vAlign w:val="center"/>
          </w:tcPr>
          <w:p w:rsidR="00F2721F" w:rsidRPr="00330641" w:rsidRDefault="00F2721F" w:rsidP="000F58E0">
            <w:pPr>
              <w:autoSpaceDE w:val="0"/>
              <w:autoSpaceDN w:val="0"/>
              <w:adjustRightInd w:val="0"/>
              <w:spacing w:after="0" w:line="276" w:lineRule="auto"/>
              <w:jc w:val="center"/>
              <w:rPr>
                <w:rFonts w:ascii="ITC Avant Garde" w:hAnsi="ITC Avant Garde" w:cs="Arial"/>
                <w:i/>
                <w:sz w:val="18"/>
                <w:szCs w:val="18"/>
                <w:lang w:val="en-US"/>
              </w:rPr>
            </w:pPr>
            <w:r w:rsidRPr="00330641">
              <w:rPr>
                <w:rFonts w:ascii="ITC Avant Garde" w:hAnsi="ITC Avant Garde" w:cs="Arial"/>
                <w:i/>
                <w:sz w:val="18"/>
                <w:szCs w:val="18"/>
              </w:rPr>
              <w:t>E3</w:t>
            </w:r>
          </w:p>
        </w:tc>
        <w:tc>
          <w:tcPr>
            <w:tcW w:w="2180" w:type="dxa"/>
            <w:vAlign w:val="center"/>
          </w:tcPr>
          <w:p w:rsidR="00F2721F" w:rsidRPr="00330641" w:rsidRDefault="00F2721F" w:rsidP="000F58E0">
            <w:pPr>
              <w:autoSpaceDE w:val="0"/>
              <w:autoSpaceDN w:val="0"/>
              <w:adjustRightInd w:val="0"/>
              <w:spacing w:after="0" w:line="276" w:lineRule="auto"/>
              <w:jc w:val="center"/>
              <w:rPr>
                <w:rFonts w:ascii="ITC Avant Garde" w:hAnsi="ITC Avant Garde"/>
                <w:i/>
                <w:sz w:val="18"/>
                <w:szCs w:val="18"/>
                <w:lang w:val="en-US"/>
              </w:rPr>
            </w:pPr>
            <w:r w:rsidRPr="00330641">
              <w:rPr>
                <w:rFonts w:ascii="ITC Avant Garde" w:hAnsi="ITC Avant Garde" w:cs="Arial"/>
                <w:i/>
                <w:sz w:val="18"/>
                <w:szCs w:val="18"/>
              </w:rPr>
              <w:t>34.368</w:t>
            </w:r>
            <w:r w:rsidRPr="00330641">
              <w:rPr>
                <w:rFonts w:ascii="ITC Avant Garde" w:hAnsi="ITC Avant Garde"/>
                <w:i/>
                <w:sz w:val="18"/>
                <w:szCs w:val="18"/>
              </w:rPr>
              <w:t xml:space="preserve"> Mbps</w:t>
            </w:r>
          </w:p>
        </w:tc>
        <w:tc>
          <w:tcPr>
            <w:tcW w:w="2356" w:type="dxa"/>
            <w:tcBorders>
              <w:top w:val="single" w:sz="6" w:space="0" w:color="000000"/>
              <w:left w:val="single" w:sz="6" w:space="0" w:color="000000"/>
              <w:bottom w:val="single" w:sz="6" w:space="0" w:color="000000"/>
              <w:right w:val="single" w:sz="6" w:space="0" w:color="000000"/>
            </w:tcBorders>
            <w:vAlign w:val="center"/>
          </w:tcPr>
          <w:p w:rsidR="00F2721F" w:rsidRPr="00330641" w:rsidRDefault="00F2721F" w:rsidP="000F58E0">
            <w:pPr>
              <w:autoSpaceDE w:val="0"/>
              <w:autoSpaceDN w:val="0"/>
              <w:adjustRightInd w:val="0"/>
              <w:spacing w:after="0" w:line="276" w:lineRule="auto"/>
              <w:jc w:val="center"/>
              <w:rPr>
                <w:rFonts w:ascii="ITC Avant Garde" w:hAnsi="ITC Avant Garde"/>
                <w:i/>
                <w:sz w:val="18"/>
                <w:szCs w:val="18"/>
              </w:rPr>
            </w:pPr>
            <w:r w:rsidRPr="00330641">
              <w:rPr>
                <w:rFonts w:ascii="ITC Avant Garde" w:hAnsi="ITC Avant Garde"/>
                <w:i/>
                <w:sz w:val="18"/>
                <w:szCs w:val="18"/>
              </w:rPr>
              <w:t>35 días hábiles</w:t>
            </w:r>
          </w:p>
        </w:tc>
      </w:tr>
      <w:tr w:rsidR="00F2721F" w:rsidRPr="00330641" w:rsidTr="00EC3F16">
        <w:trPr>
          <w:jc w:val="center"/>
        </w:trPr>
        <w:tc>
          <w:tcPr>
            <w:tcW w:w="1838" w:type="dxa"/>
            <w:vAlign w:val="center"/>
          </w:tcPr>
          <w:p w:rsidR="00F2721F" w:rsidRPr="00330641" w:rsidRDefault="00F2721F" w:rsidP="000F58E0">
            <w:pPr>
              <w:autoSpaceDE w:val="0"/>
              <w:autoSpaceDN w:val="0"/>
              <w:adjustRightInd w:val="0"/>
              <w:spacing w:after="0" w:line="276" w:lineRule="auto"/>
              <w:jc w:val="center"/>
              <w:rPr>
                <w:rFonts w:ascii="ITC Avant Garde" w:hAnsi="ITC Avant Garde" w:cs="Arial"/>
                <w:i/>
                <w:sz w:val="18"/>
                <w:szCs w:val="18"/>
                <w:lang w:val="en-US"/>
              </w:rPr>
            </w:pPr>
            <w:r w:rsidRPr="00330641">
              <w:rPr>
                <w:rFonts w:ascii="ITC Avant Garde" w:hAnsi="ITC Avant Garde" w:cs="Arial"/>
                <w:i/>
                <w:sz w:val="18"/>
                <w:szCs w:val="18"/>
              </w:rPr>
              <w:t>E4</w:t>
            </w:r>
          </w:p>
        </w:tc>
        <w:tc>
          <w:tcPr>
            <w:tcW w:w="2180" w:type="dxa"/>
            <w:vAlign w:val="center"/>
          </w:tcPr>
          <w:p w:rsidR="00F2721F" w:rsidRPr="00330641" w:rsidRDefault="00F2721F" w:rsidP="000F58E0">
            <w:pPr>
              <w:autoSpaceDE w:val="0"/>
              <w:autoSpaceDN w:val="0"/>
              <w:adjustRightInd w:val="0"/>
              <w:spacing w:after="0" w:line="276" w:lineRule="auto"/>
              <w:jc w:val="center"/>
              <w:rPr>
                <w:rFonts w:ascii="ITC Avant Garde" w:hAnsi="ITC Avant Garde"/>
                <w:i/>
                <w:sz w:val="18"/>
                <w:szCs w:val="18"/>
                <w:lang w:val="en-US"/>
              </w:rPr>
            </w:pPr>
            <w:r w:rsidRPr="00330641">
              <w:rPr>
                <w:rFonts w:ascii="ITC Avant Garde" w:hAnsi="ITC Avant Garde" w:cs="Arial"/>
                <w:i/>
                <w:sz w:val="18"/>
                <w:szCs w:val="18"/>
                <w:lang w:val="en-US"/>
              </w:rPr>
              <w:t>139.264</w:t>
            </w:r>
            <w:r w:rsidRPr="00330641">
              <w:rPr>
                <w:rFonts w:ascii="ITC Avant Garde" w:hAnsi="ITC Avant Garde"/>
                <w:i/>
                <w:sz w:val="18"/>
                <w:szCs w:val="18"/>
                <w:lang w:val="en-US"/>
              </w:rPr>
              <w:t xml:space="preserve"> Mbps</w:t>
            </w:r>
          </w:p>
        </w:tc>
        <w:tc>
          <w:tcPr>
            <w:tcW w:w="2356" w:type="dxa"/>
            <w:tcBorders>
              <w:top w:val="single" w:sz="6" w:space="0" w:color="000000"/>
              <w:left w:val="single" w:sz="6" w:space="0" w:color="000000"/>
              <w:bottom w:val="single" w:sz="6" w:space="0" w:color="000000"/>
              <w:right w:val="single" w:sz="6" w:space="0" w:color="000000"/>
            </w:tcBorders>
            <w:vAlign w:val="center"/>
          </w:tcPr>
          <w:p w:rsidR="00F2721F" w:rsidRPr="00330641" w:rsidRDefault="00F2721F" w:rsidP="000F58E0">
            <w:pPr>
              <w:autoSpaceDE w:val="0"/>
              <w:autoSpaceDN w:val="0"/>
              <w:adjustRightInd w:val="0"/>
              <w:spacing w:after="0" w:line="276" w:lineRule="auto"/>
              <w:jc w:val="center"/>
              <w:rPr>
                <w:rFonts w:ascii="ITC Avant Garde" w:hAnsi="ITC Avant Garde" w:cs="Arial"/>
                <w:i/>
                <w:sz w:val="18"/>
                <w:szCs w:val="18"/>
              </w:rPr>
            </w:pPr>
            <w:r w:rsidRPr="00330641">
              <w:rPr>
                <w:rFonts w:ascii="ITC Avant Garde" w:hAnsi="ITC Avant Garde" w:cs="Arial"/>
                <w:bCs/>
                <w:i/>
                <w:sz w:val="18"/>
                <w:szCs w:val="18"/>
                <w:lang w:eastAsia="es-ES"/>
              </w:rPr>
              <w:t>35 días hábiles</w:t>
            </w:r>
          </w:p>
        </w:tc>
      </w:tr>
      <w:tr w:rsidR="00F2721F" w:rsidRPr="00330641" w:rsidTr="00EC3F16">
        <w:trPr>
          <w:jc w:val="center"/>
        </w:trPr>
        <w:tc>
          <w:tcPr>
            <w:tcW w:w="1838" w:type="dxa"/>
            <w:vAlign w:val="center"/>
          </w:tcPr>
          <w:p w:rsidR="00F2721F" w:rsidRPr="00330641" w:rsidRDefault="00F2721F" w:rsidP="000F58E0">
            <w:pPr>
              <w:autoSpaceDE w:val="0"/>
              <w:autoSpaceDN w:val="0"/>
              <w:adjustRightInd w:val="0"/>
              <w:spacing w:after="0" w:line="276" w:lineRule="auto"/>
              <w:jc w:val="center"/>
              <w:rPr>
                <w:rFonts w:ascii="ITC Avant Garde" w:hAnsi="ITC Avant Garde" w:cs="Arial"/>
                <w:i/>
                <w:sz w:val="18"/>
                <w:szCs w:val="18"/>
                <w:lang w:val="en-US"/>
              </w:rPr>
            </w:pPr>
            <w:r w:rsidRPr="00330641">
              <w:rPr>
                <w:rFonts w:ascii="ITC Avant Garde" w:hAnsi="ITC Avant Garde" w:cs="Arial"/>
                <w:i/>
                <w:sz w:val="18"/>
                <w:szCs w:val="18"/>
                <w:lang w:val="en-US"/>
              </w:rPr>
              <w:t>STM-1</w:t>
            </w:r>
          </w:p>
        </w:tc>
        <w:tc>
          <w:tcPr>
            <w:tcW w:w="2180" w:type="dxa"/>
            <w:vAlign w:val="center"/>
          </w:tcPr>
          <w:p w:rsidR="00F2721F" w:rsidRPr="00330641" w:rsidRDefault="00F2721F" w:rsidP="000F58E0">
            <w:pPr>
              <w:autoSpaceDE w:val="0"/>
              <w:autoSpaceDN w:val="0"/>
              <w:adjustRightInd w:val="0"/>
              <w:spacing w:after="0" w:line="276" w:lineRule="auto"/>
              <w:jc w:val="center"/>
              <w:rPr>
                <w:rFonts w:ascii="ITC Avant Garde" w:hAnsi="ITC Avant Garde"/>
                <w:i/>
                <w:sz w:val="18"/>
                <w:szCs w:val="18"/>
                <w:lang w:val="en-US"/>
              </w:rPr>
            </w:pPr>
            <w:r w:rsidRPr="00330641">
              <w:rPr>
                <w:rFonts w:ascii="ITC Avant Garde" w:hAnsi="ITC Avant Garde" w:cs="Arial"/>
                <w:i/>
                <w:sz w:val="18"/>
                <w:szCs w:val="18"/>
                <w:lang w:val="en-US"/>
              </w:rPr>
              <w:t>155.52</w:t>
            </w:r>
            <w:r w:rsidRPr="00330641">
              <w:rPr>
                <w:rFonts w:ascii="ITC Avant Garde" w:hAnsi="ITC Avant Garde"/>
                <w:i/>
                <w:sz w:val="18"/>
                <w:szCs w:val="18"/>
                <w:lang w:val="en-US"/>
              </w:rPr>
              <w:t xml:space="preserve"> Mbps</w:t>
            </w:r>
          </w:p>
        </w:tc>
        <w:tc>
          <w:tcPr>
            <w:tcW w:w="2356" w:type="dxa"/>
            <w:tcBorders>
              <w:top w:val="single" w:sz="6" w:space="0" w:color="000000"/>
              <w:left w:val="single" w:sz="6" w:space="0" w:color="000000"/>
              <w:bottom w:val="single" w:sz="6" w:space="0" w:color="000000"/>
              <w:right w:val="single" w:sz="6" w:space="0" w:color="000000"/>
            </w:tcBorders>
            <w:vAlign w:val="center"/>
          </w:tcPr>
          <w:p w:rsidR="00F2721F" w:rsidRPr="00330641" w:rsidRDefault="00F2721F" w:rsidP="000F58E0">
            <w:pPr>
              <w:autoSpaceDE w:val="0"/>
              <w:autoSpaceDN w:val="0"/>
              <w:adjustRightInd w:val="0"/>
              <w:spacing w:after="0" w:line="276" w:lineRule="auto"/>
              <w:jc w:val="center"/>
              <w:rPr>
                <w:rFonts w:ascii="ITC Avant Garde" w:hAnsi="ITC Avant Garde" w:cs="Arial"/>
                <w:i/>
                <w:sz w:val="18"/>
                <w:szCs w:val="18"/>
              </w:rPr>
            </w:pPr>
            <w:r w:rsidRPr="00330641">
              <w:rPr>
                <w:rFonts w:ascii="ITC Avant Garde" w:hAnsi="ITC Avant Garde" w:cs="Arial"/>
                <w:bCs/>
                <w:i/>
                <w:sz w:val="18"/>
                <w:szCs w:val="18"/>
                <w:lang w:eastAsia="es-ES"/>
              </w:rPr>
              <w:t>35 días hábiles</w:t>
            </w:r>
          </w:p>
        </w:tc>
      </w:tr>
      <w:tr w:rsidR="00F2721F" w:rsidRPr="00330641" w:rsidTr="00EC3F16">
        <w:trPr>
          <w:jc w:val="center"/>
        </w:trPr>
        <w:tc>
          <w:tcPr>
            <w:tcW w:w="1838" w:type="dxa"/>
            <w:vAlign w:val="center"/>
          </w:tcPr>
          <w:p w:rsidR="00F2721F" w:rsidRPr="00330641" w:rsidRDefault="00F2721F" w:rsidP="000F58E0">
            <w:pPr>
              <w:autoSpaceDE w:val="0"/>
              <w:autoSpaceDN w:val="0"/>
              <w:adjustRightInd w:val="0"/>
              <w:spacing w:after="0" w:line="276" w:lineRule="auto"/>
              <w:jc w:val="center"/>
              <w:rPr>
                <w:rFonts w:ascii="ITC Avant Garde" w:hAnsi="ITC Avant Garde" w:cs="Arial"/>
                <w:i/>
                <w:sz w:val="18"/>
                <w:szCs w:val="18"/>
                <w:lang w:val="en-US"/>
              </w:rPr>
            </w:pPr>
            <w:r w:rsidRPr="00330641">
              <w:rPr>
                <w:rFonts w:ascii="ITC Avant Garde" w:hAnsi="ITC Avant Garde" w:cs="Arial"/>
                <w:i/>
                <w:sz w:val="18"/>
                <w:szCs w:val="18"/>
                <w:lang w:val="en-US"/>
              </w:rPr>
              <w:t>STM-4</w:t>
            </w:r>
          </w:p>
        </w:tc>
        <w:tc>
          <w:tcPr>
            <w:tcW w:w="2180" w:type="dxa"/>
            <w:vAlign w:val="center"/>
          </w:tcPr>
          <w:p w:rsidR="00F2721F" w:rsidRPr="00330641" w:rsidRDefault="00F2721F" w:rsidP="000F58E0">
            <w:pPr>
              <w:autoSpaceDE w:val="0"/>
              <w:autoSpaceDN w:val="0"/>
              <w:adjustRightInd w:val="0"/>
              <w:spacing w:after="0" w:line="276" w:lineRule="auto"/>
              <w:jc w:val="center"/>
              <w:rPr>
                <w:rFonts w:ascii="ITC Avant Garde" w:hAnsi="ITC Avant Garde"/>
                <w:i/>
                <w:sz w:val="18"/>
                <w:szCs w:val="18"/>
                <w:lang w:val="en-US"/>
              </w:rPr>
            </w:pPr>
            <w:r w:rsidRPr="00330641">
              <w:rPr>
                <w:rFonts w:ascii="ITC Avant Garde" w:hAnsi="ITC Avant Garde" w:cs="Arial"/>
                <w:i/>
                <w:sz w:val="18"/>
                <w:szCs w:val="18"/>
                <w:lang w:val="en-US"/>
              </w:rPr>
              <w:t>622.08</w:t>
            </w:r>
            <w:r w:rsidRPr="00330641">
              <w:rPr>
                <w:rFonts w:ascii="ITC Avant Garde" w:hAnsi="ITC Avant Garde"/>
                <w:i/>
                <w:sz w:val="18"/>
                <w:szCs w:val="18"/>
                <w:lang w:val="en-US"/>
              </w:rPr>
              <w:t xml:space="preserve"> Mbps</w:t>
            </w:r>
          </w:p>
        </w:tc>
        <w:tc>
          <w:tcPr>
            <w:tcW w:w="2356" w:type="dxa"/>
            <w:tcBorders>
              <w:top w:val="single" w:sz="6" w:space="0" w:color="000000"/>
              <w:left w:val="single" w:sz="6" w:space="0" w:color="000000"/>
              <w:bottom w:val="single" w:sz="6" w:space="0" w:color="000000"/>
              <w:right w:val="single" w:sz="6" w:space="0" w:color="000000"/>
            </w:tcBorders>
            <w:vAlign w:val="center"/>
          </w:tcPr>
          <w:p w:rsidR="00F2721F" w:rsidRPr="00330641" w:rsidRDefault="00F2721F" w:rsidP="000F58E0">
            <w:pPr>
              <w:autoSpaceDE w:val="0"/>
              <w:autoSpaceDN w:val="0"/>
              <w:adjustRightInd w:val="0"/>
              <w:spacing w:after="0" w:line="276" w:lineRule="auto"/>
              <w:jc w:val="center"/>
              <w:rPr>
                <w:rFonts w:ascii="ITC Avant Garde" w:hAnsi="ITC Avant Garde" w:cs="Arial"/>
                <w:i/>
                <w:sz w:val="18"/>
                <w:szCs w:val="18"/>
              </w:rPr>
            </w:pPr>
            <w:r w:rsidRPr="00330641">
              <w:rPr>
                <w:rFonts w:ascii="ITC Avant Garde" w:hAnsi="ITC Avant Garde" w:cs="Arial"/>
                <w:bCs/>
                <w:i/>
                <w:sz w:val="18"/>
                <w:szCs w:val="18"/>
                <w:lang w:eastAsia="es-ES"/>
              </w:rPr>
              <w:t>60 días hábiles</w:t>
            </w:r>
          </w:p>
        </w:tc>
      </w:tr>
      <w:tr w:rsidR="00F2721F" w:rsidRPr="00330641" w:rsidTr="00EC3F16">
        <w:trPr>
          <w:jc w:val="center"/>
        </w:trPr>
        <w:tc>
          <w:tcPr>
            <w:tcW w:w="1838" w:type="dxa"/>
            <w:vAlign w:val="center"/>
          </w:tcPr>
          <w:p w:rsidR="00F2721F" w:rsidRPr="00330641" w:rsidRDefault="00F2721F" w:rsidP="000F58E0">
            <w:pPr>
              <w:autoSpaceDE w:val="0"/>
              <w:autoSpaceDN w:val="0"/>
              <w:adjustRightInd w:val="0"/>
              <w:spacing w:after="0" w:line="276" w:lineRule="auto"/>
              <w:jc w:val="center"/>
              <w:rPr>
                <w:rFonts w:ascii="ITC Avant Garde" w:hAnsi="ITC Avant Garde" w:cs="Arial"/>
                <w:i/>
                <w:sz w:val="18"/>
                <w:szCs w:val="18"/>
                <w:lang w:val="en-US"/>
              </w:rPr>
            </w:pPr>
            <w:r w:rsidRPr="00330641">
              <w:rPr>
                <w:rFonts w:ascii="ITC Avant Garde" w:hAnsi="ITC Avant Garde" w:cs="Arial"/>
                <w:i/>
                <w:sz w:val="18"/>
                <w:szCs w:val="18"/>
                <w:lang w:val="en-US"/>
              </w:rPr>
              <w:t>STM-16</w:t>
            </w:r>
          </w:p>
        </w:tc>
        <w:tc>
          <w:tcPr>
            <w:tcW w:w="2180" w:type="dxa"/>
            <w:vAlign w:val="center"/>
          </w:tcPr>
          <w:p w:rsidR="00F2721F" w:rsidRPr="00330641" w:rsidRDefault="00F2721F" w:rsidP="000F58E0">
            <w:pPr>
              <w:autoSpaceDE w:val="0"/>
              <w:autoSpaceDN w:val="0"/>
              <w:adjustRightInd w:val="0"/>
              <w:spacing w:after="0" w:line="276" w:lineRule="auto"/>
              <w:jc w:val="center"/>
              <w:rPr>
                <w:rFonts w:ascii="ITC Avant Garde" w:hAnsi="ITC Avant Garde"/>
                <w:i/>
                <w:sz w:val="18"/>
                <w:szCs w:val="18"/>
                <w:lang w:val="en-US"/>
              </w:rPr>
            </w:pPr>
            <w:r w:rsidRPr="00330641">
              <w:rPr>
                <w:rFonts w:ascii="ITC Avant Garde" w:hAnsi="ITC Avant Garde" w:cs="Arial"/>
                <w:i/>
                <w:sz w:val="18"/>
                <w:szCs w:val="18"/>
                <w:lang w:val="en-US"/>
              </w:rPr>
              <w:t>2,488.32</w:t>
            </w:r>
            <w:r w:rsidRPr="00330641">
              <w:rPr>
                <w:rFonts w:ascii="ITC Avant Garde" w:hAnsi="ITC Avant Garde"/>
                <w:i/>
                <w:sz w:val="18"/>
                <w:szCs w:val="18"/>
                <w:lang w:val="en-US"/>
              </w:rPr>
              <w:t xml:space="preserve"> Mbps</w:t>
            </w:r>
          </w:p>
        </w:tc>
        <w:tc>
          <w:tcPr>
            <w:tcW w:w="2356" w:type="dxa"/>
            <w:tcBorders>
              <w:top w:val="single" w:sz="6" w:space="0" w:color="000000"/>
              <w:left w:val="single" w:sz="6" w:space="0" w:color="000000"/>
              <w:bottom w:val="single" w:sz="6" w:space="0" w:color="000000"/>
              <w:right w:val="single" w:sz="6" w:space="0" w:color="000000"/>
            </w:tcBorders>
            <w:vAlign w:val="center"/>
          </w:tcPr>
          <w:p w:rsidR="00F2721F" w:rsidRPr="00330641" w:rsidRDefault="00F2721F" w:rsidP="000F58E0">
            <w:pPr>
              <w:autoSpaceDE w:val="0"/>
              <w:autoSpaceDN w:val="0"/>
              <w:adjustRightInd w:val="0"/>
              <w:spacing w:after="0" w:line="276" w:lineRule="auto"/>
              <w:jc w:val="center"/>
              <w:rPr>
                <w:rFonts w:ascii="ITC Avant Garde" w:hAnsi="ITC Avant Garde" w:cs="Arial"/>
                <w:i/>
                <w:sz w:val="18"/>
                <w:szCs w:val="18"/>
              </w:rPr>
            </w:pPr>
            <w:r w:rsidRPr="00330641">
              <w:rPr>
                <w:rFonts w:ascii="ITC Avant Garde" w:hAnsi="ITC Avant Garde" w:cs="Arial"/>
                <w:bCs/>
                <w:i/>
                <w:sz w:val="18"/>
                <w:szCs w:val="18"/>
                <w:lang w:eastAsia="es-ES"/>
              </w:rPr>
              <w:t>60 días hábiles</w:t>
            </w:r>
          </w:p>
        </w:tc>
      </w:tr>
      <w:tr w:rsidR="00F2721F" w:rsidRPr="00330641" w:rsidTr="00EC3F16">
        <w:trPr>
          <w:jc w:val="center"/>
        </w:trPr>
        <w:tc>
          <w:tcPr>
            <w:tcW w:w="1838" w:type="dxa"/>
            <w:vAlign w:val="center"/>
          </w:tcPr>
          <w:p w:rsidR="00F2721F" w:rsidRPr="00330641" w:rsidRDefault="00F2721F" w:rsidP="000F58E0">
            <w:pPr>
              <w:autoSpaceDE w:val="0"/>
              <w:autoSpaceDN w:val="0"/>
              <w:adjustRightInd w:val="0"/>
              <w:spacing w:after="0" w:line="276" w:lineRule="auto"/>
              <w:jc w:val="center"/>
              <w:rPr>
                <w:rFonts w:ascii="ITC Avant Garde" w:hAnsi="ITC Avant Garde" w:cs="Arial"/>
                <w:i/>
                <w:sz w:val="18"/>
                <w:szCs w:val="18"/>
                <w:lang w:val="en-US"/>
              </w:rPr>
            </w:pPr>
            <w:r w:rsidRPr="00330641">
              <w:rPr>
                <w:rFonts w:ascii="ITC Avant Garde" w:hAnsi="ITC Avant Garde" w:cs="Arial"/>
                <w:i/>
                <w:sz w:val="18"/>
                <w:szCs w:val="18"/>
                <w:lang w:val="en-US"/>
              </w:rPr>
              <w:t>STM-64</w:t>
            </w:r>
          </w:p>
        </w:tc>
        <w:tc>
          <w:tcPr>
            <w:tcW w:w="2180" w:type="dxa"/>
            <w:vAlign w:val="center"/>
          </w:tcPr>
          <w:p w:rsidR="00F2721F" w:rsidRPr="00330641" w:rsidRDefault="00F2721F" w:rsidP="000F58E0">
            <w:pPr>
              <w:autoSpaceDE w:val="0"/>
              <w:autoSpaceDN w:val="0"/>
              <w:adjustRightInd w:val="0"/>
              <w:spacing w:after="0" w:line="276" w:lineRule="auto"/>
              <w:jc w:val="center"/>
              <w:rPr>
                <w:rFonts w:ascii="ITC Avant Garde" w:hAnsi="ITC Avant Garde"/>
                <w:i/>
                <w:sz w:val="18"/>
                <w:szCs w:val="18"/>
                <w:lang w:val="en-US"/>
              </w:rPr>
            </w:pPr>
            <w:r w:rsidRPr="00330641">
              <w:rPr>
                <w:rFonts w:ascii="ITC Avant Garde" w:hAnsi="ITC Avant Garde" w:cs="Arial"/>
                <w:i/>
                <w:sz w:val="18"/>
                <w:szCs w:val="18"/>
                <w:lang w:val="en-US"/>
              </w:rPr>
              <w:t>9,953.28</w:t>
            </w:r>
            <w:r w:rsidRPr="00330641">
              <w:rPr>
                <w:rFonts w:ascii="ITC Avant Garde" w:hAnsi="ITC Avant Garde"/>
                <w:i/>
                <w:sz w:val="18"/>
                <w:szCs w:val="18"/>
                <w:lang w:val="en-US"/>
              </w:rPr>
              <w:t xml:space="preserve"> Mbps</w:t>
            </w:r>
          </w:p>
        </w:tc>
        <w:tc>
          <w:tcPr>
            <w:tcW w:w="2356" w:type="dxa"/>
            <w:tcBorders>
              <w:top w:val="single" w:sz="6" w:space="0" w:color="000000"/>
              <w:left w:val="single" w:sz="6" w:space="0" w:color="000000"/>
              <w:bottom w:val="single" w:sz="6" w:space="0" w:color="000000"/>
              <w:right w:val="single" w:sz="6" w:space="0" w:color="000000"/>
            </w:tcBorders>
            <w:vAlign w:val="center"/>
          </w:tcPr>
          <w:p w:rsidR="00F2721F" w:rsidRPr="00330641" w:rsidRDefault="00F2721F" w:rsidP="000F58E0">
            <w:pPr>
              <w:autoSpaceDE w:val="0"/>
              <w:autoSpaceDN w:val="0"/>
              <w:adjustRightInd w:val="0"/>
              <w:spacing w:after="0" w:line="276" w:lineRule="auto"/>
              <w:jc w:val="center"/>
              <w:rPr>
                <w:rFonts w:ascii="ITC Avant Garde" w:hAnsi="ITC Avant Garde" w:cs="Arial"/>
                <w:i/>
                <w:sz w:val="18"/>
                <w:szCs w:val="18"/>
              </w:rPr>
            </w:pPr>
            <w:r w:rsidRPr="00330641">
              <w:rPr>
                <w:rFonts w:ascii="ITC Avant Garde" w:hAnsi="ITC Avant Garde" w:cs="Arial"/>
                <w:bCs/>
                <w:i/>
                <w:sz w:val="18"/>
                <w:szCs w:val="18"/>
                <w:lang w:eastAsia="es-ES"/>
              </w:rPr>
              <w:t>60 días hábiles</w:t>
            </w:r>
          </w:p>
        </w:tc>
      </w:tr>
      <w:tr w:rsidR="00F2721F" w:rsidRPr="00330641" w:rsidTr="00EC3F16">
        <w:trPr>
          <w:jc w:val="center"/>
        </w:trPr>
        <w:tc>
          <w:tcPr>
            <w:tcW w:w="1838" w:type="dxa"/>
            <w:vAlign w:val="center"/>
          </w:tcPr>
          <w:p w:rsidR="00F2721F" w:rsidRPr="00330641" w:rsidRDefault="00F2721F" w:rsidP="000F58E0">
            <w:pPr>
              <w:autoSpaceDE w:val="0"/>
              <w:autoSpaceDN w:val="0"/>
              <w:adjustRightInd w:val="0"/>
              <w:spacing w:after="0" w:line="276" w:lineRule="auto"/>
              <w:jc w:val="center"/>
              <w:rPr>
                <w:rFonts w:ascii="ITC Avant Garde" w:hAnsi="ITC Avant Garde" w:cs="Arial"/>
                <w:i/>
                <w:sz w:val="18"/>
                <w:szCs w:val="18"/>
                <w:lang w:val="en-US"/>
              </w:rPr>
            </w:pPr>
            <w:r w:rsidRPr="00330641">
              <w:rPr>
                <w:rFonts w:ascii="ITC Avant Garde" w:hAnsi="ITC Avant Garde" w:cs="Arial"/>
                <w:i/>
                <w:sz w:val="18"/>
                <w:szCs w:val="18"/>
                <w:lang w:val="en-US"/>
              </w:rPr>
              <w:t>STM-256</w:t>
            </w:r>
          </w:p>
        </w:tc>
        <w:tc>
          <w:tcPr>
            <w:tcW w:w="2180" w:type="dxa"/>
            <w:vAlign w:val="center"/>
          </w:tcPr>
          <w:p w:rsidR="00F2721F" w:rsidRPr="00330641" w:rsidRDefault="00F2721F" w:rsidP="000F58E0">
            <w:pPr>
              <w:autoSpaceDE w:val="0"/>
              <w:autoSpaceDN w:val="0"/>
              <w:adjustRightInd w:val="0"/>
              <w:spacing w:after="0" w:line="276" w:lineRule="auto"/>
              <w:jc w:val="center"/>
              <w:rPr>
                <w:rFonts w:ascii="ITC Avant Garde" w:hAnsi="ITC Avant Garde"/>
                <w:i/>
                <w:sz w:val="18"/>
                <w:szCs w:val="18"/>
                <w:lang w:val="en-US"/>
              </w:rPr>
            </w:pPr>
            <w:r w:rsidRPr="00330641">
              <w:rPr>
                <w:rFonts w:ascii="ITC Avant Garde" w:hAnsi="ITC Avant Garde" w:cs="Arial"/>
                <w:i/>
                <w:sz w:val="18"/>
                <w:szCs w:val="18"/>
                <w:lang w:val="en-US"/>
              </w:rPr>
              <w:t>39,813.12</w:t>
            </w:r>
            <w:r w:rsidRPr="00330641">
              <w:rPr>
                <w:rFonts w:ascii="ITC Avant Garde" w:hAnsi="ITC Avant Garde"/>
                <w:i/>
                <w:sz w:val="18"/>
                <w:szCs w:val="18"/>
                <w:lang w:val="en-US"/>
              </w:rPr>
              <w:t xml:space="preserve"> Mbps</w:t>
            </w:r>
          </w:p>
        </w:tc>
        <w:tc>
          <w:tcPr>
            <w:tcW w:w="2356" w:type="dxa"/>
            <w:tcBorders>
              <w:top w:val="single" w:sz="6" w:space="0" w:color="000000"/>
              <w:left w:val="single" w:sz="6" w:space="0" w:color="000000"/>
              <w:bottom w:val="single" w:sz="6" w:space="0" w:color="000000"/>
              <w:right w:val="single" w:sz="6" w:space="0" w:color="000000"/>
            </w:tcBorders>
            <w:vAlign w:val="center"/>
          </w:tcPr>
          <w:p w:rsidR="00F2721F" w:rsidRPr="00330641" w:rsidRDefault="00F2721F" w:rsidP="000F58E0">
            <w:pPr>
              <w:autoSpaceDE w:val="0"/>
              <w:autoSpaceDN w:val="0"/>
              <w:adjustRightInd w:val="0"/>
              <w:spacing w:after="0" w:line="276" w:lineRule="auto"/>
              <w:jc w:val="center"/>
              <w:rPr>
                <w:rFonts w:ascii="ITC Avant Garde" w:hAnsi="ITC Avant Garde" w:cs="Arial"/>
                <w:i/>
                <w:sz w:val="18"/>
                <w:szCs w:val="18"/>
              </w:rPr>
            </w:pPr>
            <w:r w:rsidRPr="00330641">
              <w:rPr>
                <w:rFonts w:ascii="ITC Avant Garde" w:hAnsi="ITC Avant Garde" w:cs="Arial"/>
                <w:bCs/>
                <w:i/>
                <w:sz w:val="18"/>
                <w:szCs w:val="18"/>
                <w:lang w:eastAsia="es-ES"/>
              </w:rPr>
              <w:t>60 días hábiles</w:t>
            </w:r>
          </w:p>
        </w:tc>
      </w:tr>
      <w:tr w:rsidR="00F2721F" w:rsidRPr="00330641" w:rsidTr="00EC3F16">
        <w:trPr>
          <w:jc w:val="center"/>
        </w:trPr>
        <w:tc>
          <w:tcPr>
            <w:tcW w:w="1838" w:type="dxa"/>
            <w:vAlign w:val="center"/>
          </w:tcPr>
          <w:p w:rsidR="00F2721F" w:rsidRPr="00330641" w:rsidRDefault="00F2721F" w:rsidP="000F58E0">
            <w:pPr>
              <w:autoSpaceDE w:val="0"/>
              <w:autoSpaceDN w:val="0"/>
              <w:adjustRightInd w:val="0"/>
              <w:spacing w:after="0" w:line="276" w:lineRule="auto"/>
              <w:jc w:val="center"/>
              <w:rPr>
                <w:rFonts w:ascii="ITC Avant Garde" w:hAnsi="ITC Avant Garde" w:cs="Arial"/>
                <w:i/>
                <w:sz w:val="18"/>
                <w:szCs w:val="18"/>
                <w:lang w:val="en-US"/>
              </w:rPr>
            </w:pPr>
            <w:r w:rsidRPr="00330641">
              <w:rPr>
                <w:rFonts w:ascii="ITC Avant Garde" w:hAnsi="ITC Avant Garde" w:cs="Arial"/>
                <w:i/>
                <w:sz w:val="18"/>
                <w:szCs w:val="18"/>
                <w:lang w:val="en-US"/>
              </w:rPr>
              <w:t>Ethernet</w:t>
            </w:r>
          </w:p>
        </w:tc>
        <w:tc>
          <w:tcPr>
            <w:tcW w:w="2180" w:type="dxa"/>
            <w:vAlign w:val="center"/>
          </w:tcPr>
          <w:p w:rsidR="00F2721F" w:rsidRPr="00330641" w:rsidRDefault="00F2721F" w:rsidP="000F58E0">
            <w:pPr>
              <w:autoSpaceDE w:val="0"/>
              <w:autoSpaceDN w:val="0"/>
              <w:adjustRightInd w:val="0"/>
              <w:spacing w:after="0" w:line="276" w:lineRule="auto"/>
              <w:jc w:val="center"/>
              <w:rPr>
                <w:rFonts w:ascii="ITC Avant Garde" w:hAnsi="ITC Avant Garde"/>
                <w:i/>
                <w:sz w:val="18"/>
                <w:szCs w:val="18"/>
                <w:lang w:val="en-US"/>
              </w:rPr>
            </w:pPr>
            <w:r w:rsidRPr="00330641">
              <w:rPr>
                <w:rFonts w:ascii="ITC Avant Garde" w:hAnsi="ITC Avant Garde" w:cs="Arial"/>
                <w:i/>
                <w:sz w:val="18"/>
                <w:szCs w:val="18"/>
                <w:lang w:val="en-US"/>
              </w:rPr>
              <w:t xml:space="preserve">1 Mbps </w:t>
            </w:r>
          </w:p>
        </w:tc>
        <w:tc>
          <w:tcPr>
            <w:tcW w:w="2356" w:type="dxa"/>
            <w:tcBorders>
              <w:top w:val="single" w:sz="6" w:space="0" w:color="000000"/>
              <w:left w:val="single" w:sz="6" w:space="0" w:color="000000"/>
              <w:bottom w:val="single" w:sz="6" w:space="0" w:color="000000"/>
              <w:right w:val="single" w:sz="6" w:space="0" w:color="000000"/>
            </w:tcBorders>
            <w:vAlign w:val="center"/>
          </w:tcPr>
          <w:p w:rsidR="00F2721F" w:rsidRPr="00330641" w:rsidRDefault="00F2721F" w:rsidP="000F58E0">
            <w:pPr>
              <w:autoSpaceDE w:val="0"/>
              <w:autoSpaceDN w:val="0"/>
              <w:adjustRightInd w:val="0"/>
              <w:spacing w:after="0" w:line="276" w:lineRule="auto"/>
              <w:jc w:val="center"/>
              <w:rPr>
                <w:rFonts w:ascii="ITC Avant Garde" w:hAnsi="ITC Avant Garde" w:cs="Arial"/>
                <w:i/>
                <w:sz w:val="18"/>
                <w:szCs w:val="18"/>
              </w:rPr>
            </w:pPr>
            <w:r w:rsidRPr="00330641">
              <w:rPr>
                <w:rFonts w:ascii="ITC Avant Garde" w:hAnsi="ITC Avant Garde" w:cs="Arial"/>
                <w:bCs/>
                <w:i/>
                <w:sz w:val="18"/>
                <w:szCs w:val="18"/>
                <w:lang w:eastAsia="es-ES"/>
              </w:rPr>
              <w:t>35 días hábiles</w:t>
            </w:r>
          </w:p>
        </w:tc>
      </w:tr>
      <w:tr w:rsidR="00F2721F" w:rsidRPr="00330641" w:rsidTr="00EC3F16">
        <w:trPr>
          <w:jc w:val="center"/>
        </w:trPr>
        <w:tc>
          <w:tcPr>
            <w:tcW w:w="1838" w:type="dxa"/>
            <w:vAlign w:val="center"/>
          </w:tcPr>
          <w:p w:rsidR="00F2721F" w:rsidRPr="00330641" w:rsidRDefault="00F2721F" w:rsidP="000F58E0">
            <w:pPr>
              <w:autoSpaceDE w:val="0"/>
              <w:autoSpaceDN w:val="0"/>
              <w:adjustRightInd w:val="0"/>
              <w:spacing w:after="0" w:line="276" w:lineRule="auto"/>
              <w:jc w:val="center"/>
              <w:rPr>
                <w:rFonts w:ascii="ITC Avant Garde" w:hAnsi="ITC Avant Garde" w:cs="Arial"/>
                <w:i/>
                <w:sz w:val="18"/>
                <w:szCs w:val="18"/>
                <w:lang w:val="en-US"/>
              </w:rPr>
            </w:pPr>
            <w:r w:rsidRPr="00330641">
              <w:rPr>
                <w:rFonts w:ascii="ITC Avant Garde" w:hAnsi="ITC Avant Garde" w:cs="Arial"/>
                <w:i/>
                <w:sz w:val="18"/>
                <w:szCs w:val="18"/>
                <w:lang w:val="en-US"/>
              </w:rPr>
              <w:lastRenderedPageBreak/>
              <w:t>Ethernet</w:t>
            </w:r>
          </w:p>
        </w:tc>
        <w:tc>
          <w:tcPr>
            <w:tcW w:w="2180" w:type="dxa"/>
            <w:vAlign w:val="center"/>
          </w:tcPr>
          <w:p w:rsidR="00F2721F" w:rsidRPr="00330641" w:rsidRDefault="00F2721F" w:rsidP="000F58E0">
            <w:pPr>
              <w:autoSpaceDE w:val="0"/>
              <w:autoSpaceDN w:val="0"/>
              <w:adjustRightInd w:val="0"/>
              <w:spacing w:after="0" w:line="276" w:lineRule="auto"/>
              <w:jc w:val="center"/>
              <w:rPr>
                <w:rFonts w:ascii="ITC Avant Garde" w:hAnsi="ITC Avant Garde" w:cs="Arial"/>
                <w:i/>
                <w:sz w:val="18"/>
                <w:szCs w:val="18"/>
                <w:lang w:val="en-US"/>
              </w:rPr>
            </w:pPr>
            <w:r w:rsidRPr="00330641">
              <w:rPr>
                <w:rFonts w:ascii="ITC Avant Garde" w:hAnsi="ITC Avant Garde" w:cs="Arial"/>
                <w:i/>
                <w:sz w:val="18"/>
                <w:szCs w:val="18"/>
                <w:lang w:val="en-US"/>
              </w:rPr>
              <w:t xml:space="preserve">2 Mbps </w:t>
            </w:r>
          </w:p>
        </w:tc>
        <w:tc>
          <w:tcPr>
            <w:tcW w:w="2356" w:type="dxa"/>
            <w:tcBorders>
              <w:top w:val="single" w:sz="6" w:space="0" w:color="000000"/>
              <w:left w:val="single" w:sz="6" w:space="0" w:color="000000"/>
              <w:bottom w:val="single" w:sz="6" w:space="0" w:color="000000"/>
              <w:right w:val="single" w:sz="6" w:space="0" w:color="000000"/>
            </w:tcBorders>
            <w:vAlign w:val="center"/>
          </w:tcPr>
          <w:p w:rsidR="00F2721F" w:rsidRPr="00330641" w:rsidRDefault="00F2721F" w:rsidP="000F58E0">
            <w:pPr>
              <w:autoSpaceDE w:val="0"/>
              <w:autoSpaceDN w:val="0"/>
              <w:adjustRightInd w:val="0"/>
              <w:spacing w:after="0" w:line="276" w:lineRule="auto"/>
              <w:jc w:val="center"/>
              <w:rPr>
                <w:rFonts w:ascii="ITC Avant Garde" w:hAnsi="ITC Avant Garde" w:cs="Arial"/>
                <w:bCs/>
                <w:i/>
                <w:sz w:val="18"/>
                <w:szCs w:val="18"/>
                <w:lang w:eastAsia="es-ES"/>
              </w:rPr>
            </w:pPr>
            <w:r w:rsidRPr="00330641">
              <w:rPr>
                <w:rFonts w:ascii="ITC Avant Garde" w:hAnsi="ITC Avant Garde" w:cs="Arial"/>
                <w:bCs/>
                <w:i/>
                <w:sz w:val="18"/>
                <w:szCs w:val="18"/>
                <w:lang w:eastAsia="es-ES"/>
              </w:rPr>
              <w:t>35 días hábiles</w:t>
            </w:r>
          </w:p>
        </w:tc>
      </w:tr>
      <w:tr w:rsidR="00F2721F" w:rsidRPr="00330641" w:rsidTr="00EC3F16">
        <w:trPr>
          <w:jc w:val="center"/>
        </w:trPr>
        <w:tc>
          <w:tcPr>
            <w:tcW w:w="1838" w:type="dxa"/>
            <w:vAlign w:val="center"/>
          </w:tcPr>
          <w:p w:rsidR="00F2721F" w:rsidRPr="00330641" w:rsidRDefault="00F2721F" w:rsidP="000F58E0">
            <w:pPr>
              <w:autoSpaceDE w:val="0"/>
              <w:autoSpaceDN w:val="0"/>
              <w:adjustRightInd w:val="0"/>
              <w:spacing w:after="0" w:line="276" w:lineRule="auto"/>
              <w:jc w:val="center"/>
              <w:rPr>
                <w:rFonts w:ascii="ITC Avant Garde" w:hAnsi="ITC Avant Garde" w:cs="Arial"/>
                <w:i/>
                <w:sz w:val="18"/>
                <w:szCs w:val="18"/>
                <w:lang w:val="en-US"/>
              </w:rPr>
            </w:pPr>
            <w:r w:rsidRPr="00330641">
              <w:rPr>
                <w:rFonts w:ascii="ITC Avant Garde" w:hAnsi="ITC Avant Garde" w:cs="Arial"/>
                <w:i/>
                <w:sz w:val="18"/>
                <w:szCs w:val="18"/>
                <w:lang w:val="en-US"/>
              </w:rPr>
              <w:t>Ethernet</w:t>
            </w:r>
          </w:p>
        </w:tc>
        <w:tc>
          <w:tcPr>
            <w:tcW w:w="2180" w:type="dxa"/>
            <w:vAlign w:val="center"/>
          </w:tcPr>
          <w:p w:rsidR="00F2721F" w:rsidRPr="00330641" w:rsidRDefault="00F2721F" w:rsidP="000F58E0">
            <w:pPr>
              <w:autoSpaceDE w:val="0"/>
              <w:autoSpaceDN w:val="0"/>
              <w:adjustRightInd w:val="0"/>
              <w:spacing w:after="0" w:line="276" w:lineRule="auto"/>
              <w:jc w:val="center"/>
              <w:rPr>
                <w:rFonts w:ascii="ITC Avant Garde" w:hAnsi="ITC Avant Garde" w:cs="Arial"/>
                <w:i/>
                <w:sz w:val="18"/>
                <w:szCs w:val="18"/>
                <w:lang w:val="en-US"/>
              </w:rPr>
            </w:pPr>
            <w:r w:rsidRPr="00330641">
              <w:rPr>
                <w:rFonts w:ascii="ITC Avant Garde" w:hAnsi="ITC Avant Garde" w:cs="Arial"/>
                <w:i/>
                <w:sz w:val="18"/>
                <w:szCs w:val="18"/>
                <w:lang w:val="en-US"/>
              </w:rPr>
              <w:t xml:space="preserve">4 Mbps </w:t>
            </w:r>
          </w:p>
        </w:tc>
        <w:tc>
          <w:tcPr>
            <w:tcW w:w="2356" w:type="dxa"/>
            <w:tcBorders>
              <w:top w:val="single" w:sz="6" w:space="0" w:color="000000"/>
              <w:left w:val="single" w:sz="6" w:space="0" w:color="000000"/>
              <w:bottom w:val="single" w:sz="6" w:space="0" w:color="000000"/>
              <w:right w:val="single" w:sz="6" w:space="0" w:color="000000"/>
            </w:tcBorders>
            <w:vAlign w:val="center"/>
          </w:tcPr>
          <w:p w:rsidR="00F2721F" w:rsidRPr="00330641" w:rsidRDefault="00F2721F" w:rsidP="000F58E0">
            <w:pPr>
              <w:autoSpaceDE w:val="0"/>
              <w:autoSpaceDN w:val="0"/>
              <w:adjustRightInd w:val="0"/>
              <w:spacing w:after="0" w:line="276" w:lineRule="auto"/>
              <w:jc w:val="center"/>
              <w:rPr>
                <w:rFonts w:ascii="ITC Avant Garde" w:hAnsi="ITC Avant Garde" w:cs="Arial"/>
                <w:bCs/>
                <w:i/>
                <w:sz w:val="18"/>
                <w:szCs w:val="18"/>
                <w:lang w:eastAsia="es-ES"/>
              </w:rPr>
            </w:pPr>
            <w:r w:rsidRPr="00330641">
              <w:rPr>
                <w:rFonts w:ascii="ITC Avant Garde" w:hAnsi="ITC Avant Garde" w:cs="Arial"/>
                <w:bCs/>
                <w:i/>
                <w:sz w:val="18"/>
                <w:szCs w:val="18"/>
                <w:lang w:eastAsia="es-ES"/>
              </w:rPr>
              <w:t>35 días hábiles</w:t>
            </w:r>
          </w:p>
        </w:tc>
      </w:tr>
      <w:tr w:rsidR="00F2721F" w:rsidRPr="00330641" w:rsidTr="00EC3F16">
        <w:trPr>
          <w:jc w:val="center"/>
        </w:trPr>
        <w:tc>
          <w:tcPr>
            <w:tcW w:w="1838" w:type="dxa"/>
            <w:vAlign w:val="center"/>
          </w:tcPr>
          <w:p w:rsidR="00F2721F" w:rsidRPr="00330641" w:rsidRDefault="00F2721F" w:rsidP="000F58E0">
            <w:pPr>
              <w:autoSpaceDE w:val="0"/>
              <w:autoSpaceDN w:val="0"/>
              <w:adjustRightInd w:val="0"/>
              <w:spacing w:after="0" w:line="276" w:lineRule="auto"/>
              <w:jc w:val="center"/>
              <w:rPr>
                <w:rFonts w:ascii="ITC Avant Garde" w:hAnsi="ITC Avant Garde" w:cs="Arial"/>
                <w:i/>
                <w:sz w:val="18"/>
                <w:szCs w:val="18"/>
                <w:lang w:val="en-US"/>
              </w:rPr>
            </w:pPr>
            <w:r w:rsidRPr="00330641">
              <w:rPr>
                <w:rFonts w:ascii="ITC Avant Garde" w:hAnsi="ITC Avant Garde" w:cs="Arial"/>
                <w:i/>
                <w:sz w:val="18"/>
                <w:szCs w:val="18"/>
                <w:lang w:val="en-US"/>
              </w:rPr>
              <w:t>Ethernet</w:t>
            </w:r>
          </w:p>
        </w:tc>
        <w:tc>
          <w:tcPr>
            <w:tcW w:w="2180" w:type="dxa"/>
            <w:vAlign w:val="center"/>
          </w:tcPr>
          <w:p w:rsidR="00F2721F" w:rsidRPr="00330641" w:rsidRDefault="00F2721F" w:rsidP="000F58E0">
            <w:pPr>
              <w:autoSpaceDE w:val="0"/>
              <w:autoSpaceDN w:val="0"/>
              <w:adjustRightInd w:val="0"/>
              <w:spacing w:after="0" w:line="276" w:lineRule="auto"/>
              <w:jc w:val="center"/>
              <w:rPr>
                <w:rFonts w:ascii="ITC Avant Garde" w:hAnsi="ITC Avant Garde" w:cs="Arial"/>
                <w:i/>
                <w:sz w:val="18"/>
                <w:szCs w:val="18"/>
                <w:lang w:val="en-US"/>
              </w:rPr>
            </w:pPr>
            <w:r w:rsidRPr="00330641">
              <w:rPr>
                <w:rFonts w:ascii="ITC Avant Garde" w:hAnsi="ITC Avant Garde" w:cs="Arial"/>
                <w:i/>
                <w:sz w:val="18"/>
                <w:szCs w:val="18"/>
                <w:lang w:val="en-US"/>
              </w:rPr>
              <w:t xml:space="preserve">6 Mbps </w:t>
            </w:r>
          </w:p>
        </w:tc>
        <w:tc>
          <w:tcPr>
            <w:tcW w:w="2356" w:type="dxa"/>
            <w:tcBorders>
              <w:top w:val="single" w:sz="6" w:space="0" w:color="000000"/>
              <w:left w:val="single" w:sz="6" w:space="0" w:color="000000"/>
              <w:bottom w:val="single" w:sz="6" w:space="0" w:color="000000"/>
              <w:right w:val="single" w:sz="6" w:space="0" w:color="000000"/>
            </w:tcBorders>
            <w:vAlign w:val="center"/>
          </w:tcPr>
          <w:p w:rsidR="00F2721F" w:rsidRPr="00330641" w:rsidRDefault="00F2721F" w:rsidP="000F58E0">
            <w:pPr>
              <w:autoSpaceDE w:val="0"/>
              <w:autoSpaceDN w:val="0"/>
              <w:adjustRightInd w:val="0"/>
              <w:spacing w:after="0" w:line="276" w:lineRule="auto"/>
              <w:jc w:val="center"/>
              <w:rPr>
                <w:rFonts w:ascii="ITC Avant Garde" w:hAnsi="ITC Avant Garde" w:cs="Arial"/>
                <w:bCs/>
                <w:i/>
                <w:sz w:val="18"/>
                <w:szCs w:val="18"/>
                <w:lang w:eastAsia="es-ES"/>
              </w:rPr>
            </w:pPr>
            <w:r w:rsidRPr="00330641">
              <w:rPr>
                <w:rFonts w:ascii="ITC Avant Garde" w:hAnsi="ITC Avant Garde" w:cs="Arial"/>
                <w:bCs/>
                <w:i/>
                <w:sz w:val="18"/>
                <w:szCs w:val="18"/>
                <w:lang w:eastAsia="es-ES"/>
              </w:rPr>
              <w:t>35 días hábiles</w:t>
            </w:r>
          </w:p>
        </w:tc>
      </w:tr>
      <w:tr w:rsidR="00F2721F" w:rsidRPr="00330641" w:rsidTr="00EC3F16">
        <w:trPr>
          <w:jc w:val="center"/>
        </w:trPr>
        <w:tc>
          <w:tcPr>
            <w:tcW w:w="1838" w:type="dxa"/>
            <w:vAlign w:val="center"/>
          </w:tcPr>
          <w:p w:rsidR="00F2721F" w:rsidRPr="00330641" w:rsidRDefault="00F2721F" w:rsidP="000F58E0">
            <w:pPr>
              <w:autoSpaceDE w:val="0"/>
              <w:autoSpaceDN w:val="0"/>
              <w:adjustRightInd w:val="0"/>
              <w:spacing w:after="0" w:line="276" w:lineRule="auto"/>
              <w:jc w:val="center"/>
              <w:rPr>
                <w:rFonts w:ascii="ITC Avant Garde" w:hAnsi="ITC Avant Garde" w:cs="Arial"/>
                <w:i/>
                <w:sz w:val="18"/>
                <w:szCs w:val="18"/>
                <w:lang w:val="en-US"/>
              </w:rPr>
            </w:pPr>
            <w:r w:rsidRPr="00330641">
              <w:rPr>
                <w:rFonts w:ascii="ITC Avant Garde" w:hAnsi="ITC Avant Garde" w:cs="Arial"/>
                <w:i/>
                <w:sz w:val="18"/>
                <w:szCs w:val="18"/>
                <w:lang w:val="en-US"/>
              </w:rPr>
              <w:t>Ethernet</w:t>
            </w:r>
          </w:p>
        </w:tc>
        <w:tc>
          <w:tcPr>
            <w:tcW w:w="2180" w:type="dxa"/>
            <w:vAlign w:val="center"/>
          </w:tcPr>
          <w:p w:rsidR="00F2721F" w:rsidRPr="00330641" w:rsidRDefault="00F2721F" w:rsidP="000F58E0">
            <w:pPr>
              <w:autoSpaceDE w:val="0"/>
              <w:autoSpaceDN w:val="0"/>
              <w:adjustRightInd w:val="0"/>
              <w:spacing w:after="0" w:line="276" w:lineRule="auto"/>
              <w:jc w:val="center"/>
              <w:rPr>
                <w:rFonts w:ascii="ITC Avant Garde" w:hAnsi="ITC Avant Garde" w:cs="Arial"/>
                <w:i/>
                <w:sz w:val="18"/>
                <w:szCs w:val="18"/>
                <w:lang w:val="en-US"/>
              </w:rPr>
            </w:pPr>
            <w:r w:rsidRPr="00330641">
              <w:rPr>
                <w:rFonts w:ascii="ITC Avant Garde" w:hAnsi="ITC Avant Garde" w:cs="Arial"/>
                <w:i/>
                <w:sz w:val="18"/>
                <w:szCs w:val="18"/>
                <w:lang w:val="en-US"/>
              </w:rPr>
              <w:t xml:space="preserve">8 Mbps a 100 </w:t>
            </w:r>
            <w:proofErr w:type="spellStart"/>
            <w:r w:rsidRPr="00330641">
              <w:rPr>
                <w:rFonts w:ascii="ITC Avant Garde" w:hAnsi="ITC Avant Garde" w:cs="Arial"/>
                <w:i/>
                <w:sz w:val="18"/>
                <w:szCs w:val="18"/>
                <w:lang w:val="en-US"/>
              </w:rPr>
              <w:t>Gbps</w:t>
            </w:r>
            <w:proofErr w:type="spellEnd"/>
          </w:p>
        </w:tc>
        <w:tc>
          <w:tcPr>
            <w:tcW w:w="2356" w:type="dxa"/>
            <w:tcBorders>
              <w:top w:val="single" w:sz="6" w:space="0" w:color="000000"/>
              <w:left w:val="single" w:sz="6" w:space="0" w:color="000000"/>
              <w:bottom w:val="single" w:sz="6" w:space="0" w:color="000000"/>
              <w:right w:val="single" w:sz="6" w:space="0" w:color="000000"/>
            </w:tcBorders>
            <w:vAlign w:val="center"/>
          </w:tcPr>
          <w:p w:rsidR="00F2721F" w:rsidRPr="00330641" w:rsidRDefault="00F2721F" w:rsidP="000F58E0">
            <w:pPr>
              <w:autoSpaceDE w:val="0"/>
              <w:autoSpaceDN w:val="0"/>
              <w:adjustRightInd w:val="0"/>
              <w:spacing w:after="0" w:line="276" w:lineRule="auto"/>
              <w:jc w:val="center"/>
              <w:rPr>
                <w:rFonts w:ascii="ITC Avant Garde" w:hAnsi="ITC Avant Garde" w:cs="Arial"/>
                <w:bCs/>
                <w:i/>
                <w:sz w:val="18"/>
                <w:szCs w:val="18"/>
                <w:lang w:eastAsia="es-ES"/>
              </w:rPr>
            </w:pPr>
            <w:r w:rsidRPr="00330641">
              <w:rPr>
                <w:rFonts w:ascii="ITC Avant Garde" w:hAnsi="ITC Avant Garde" w:cs="Arial"/>
                <w:bCs/>
                <w:i/>
                <w:sz w:val="18"/>
                <w:szCs w:val="18"/>
                <w:lang w:eastAsia="es-ES"/>
              </w:rPr>
              <w:t>60 días hábiles</w:t>
            </w:r>
          </w:p>
        </w:tc>
      </w:tr>
    </w:tbl>
    <w:p w:rsidR="003B6046" w:rsidRPr="00330641" w:rsidRDefault="003B6046" w:rsidP="000F58E0">
      <w:pPr>
        <w:autoSpaceDE w:val="0"/>
        <w:autoSpaceDN w:val="0"/>
        <w:spacing w:after="0" w:line="276" w:lineRule="auto"/>
        <w:ind w:left="567" w:right="616" w:hanging="283"/>
        <w:rPr>
          <w:rFonts w:ascii="ITC Avant Garde" w:hAnsi="ITC Avant Garde"/>
          <w:i/>
          <w:sz w:val="18"/>
          <w:szCs w:val="18"/>
        </w:rPr>
      </w:pPr>
    </w:p>
    <w:p w:rsidR="003B6046" w:rsidRPr="007F61BE" w:rsidRDefault="00B55741" w:rsidP="000F58E0">
      <w:pPr>
        <w:autoSpaceDE w:val="0"/>
        <w:autoSpaceDN w:val="0"/>
        <w:spacing w:after="0" w:line="276" w:lineRule="auto"/>
        <w:ind w:left="7798" w:firstLine="0"/>
        <w:rPr>
          <w:rFonts w:ascii="ITC Avant Garde" w:hAnsi="ITC Avant Garde"/>
          <w:color w:val="000000" w:themeColor="text1"/>
          <w:sz w:val="18"/>
        </w:rPr>
      </w:pPr>
      <w:r w:rsidRPr="007F61BE">
        <w:rPr>
          <w:rFonts w:ascii="ITC Avant Garde" w:hAnsi="ITC Avant Garde" w:cs="Arial"/>
          <w:bCs/>
          <w:i/>
          <w:color w:val="000000" w:themeColor="text1"/>
          <w:sz w:val="18"/>
        </w:rPr>
        <w:t>[..]”</w:t>
      </w:r>
      <w:r w:rsidR="003B6046" w:rsidRPr="007F61BE">
        <w:rPr>
          <w:rFonts w:ascii="ITC Avant Garde" w:hAnsi="ITC Avant Garde" w:cs="Arial"/>
          <w:b/>
          <w:bCs/>
          <w:color w:val="000000" w:themeColor="text1"/>
          <w:sz w:val="18"/>
        </w:rPr>
        <w:t> </w:t>
      </w:r>
    </w:p>
    <w:p w:rsidR="00A951DD" w:rsidRPr="00330641" w:rsidRDefault="00A951DD" w:rsidP="000F58E0">
      <w:pPr>
        <w:pStyle w:val="IFTnormal"/>
        <w:spacing w:after="0"/>
        <w:ind w:left="0"/>
      </w:pPr>
    </w:p>
    <w:p w:rsidR="003B6046" w:rsidRPr="00330641" w:rsidRDefault="003B6046" w:rsidP="000F58E0">
      <w:pPr>
        <w:pStyle w:val="IFTnormal"/>
        <w:spacing w:after="0"/>
        <w:ind w:left="0"/>
      </w:pPr>
      <w:r w:rsidRPr="00330641">
        <w:t xml:space="preserve">Por lo que respecta </w:t>
      </w:r>
      <w:r w:rsidR="00232EC1">
        <w:t>a la definición de</w:t>
      </w:r>
      <w:r w:rsidRPr="00330641">
        <w:t xml:space="preserve"> </w:t>
      </w:r>
      <w:r w:rsidR="00AF00FF" w:rsidRPr="00330641">
        <w:t xml:space="preserve">área de </w:t>
      </w:r>
      <w:r w:rsidR="00232EC1">
        <w:t>cobertura</w:t>
      </w:r>
      <w:r w:rsidRPr="00330641">
        <w:t xml:space="preserve"> se señala que </w:t>
      </w:r>
      <w:r w:rsidR="00232EC1">
        <w:t>corresponde a la establecida</w:t>
      </w:r>
      <w:r w:rsidRPr="00330641">
        <w:t xml:space="preserve"> en el título de concesión de Telmex, </w:t>
      </w:r>
      <w:r w:rsidR="00232EC1">
        <w:t xml:space="preserve">en el cual se establece </w:t>
      </w:r>
      <w:r w:rsidRPr="00330641">
        <w:t xml:space="preserve">la obligación </w:t>
      </w:r>
      <w:r w:rsidR="00232EC1">
        <w:t xml:space="preserve">de </w:t>
      </w:r>
      <w:r w:rsidRPr="00330641">
        <w:t xml:space="preserve">dicho concesionario de tener cobertura en todo el territorio nacional a excepción del área concesionada a Teléfonos del </w:t>
      </w:r>
      <w:r w:rsidR="00232EC1">
        <w:t>Noroeste S.A. de C.V</w:t>
      </w:r>
      <w:r w:rsidRPr="00330641">
        <w:t>.</w:t>
      </w:r>
    </w:p>
    <w:p w:rsidR="00B55741" w:rsidRPr="00330641" w:rsidRDefault="00B55741" w:rsidP="000F58E0">
      <w:pPr>
        <w:pStyle w:val="IFTnormal"/>
        <w:spacing w:after="0"/>
        <w:ind w:left="0"/>
      </w:pPr>
    </w:p>
    <w:p w:rsidR="007D2EF2" w:rsidRPr="00330641" w:rsidRDefault="000B1076" w:rsidP="000F58E0">
      <w:pPr>
        <w:pStyle w:val="IFTnormal"/>
        <w:spacing w:after="0"/>
        <w:ind w:left="0"/>
        <w:rPr>
          <w:rFonts w:eastAsiaTheme="majorEastAsia"/>
          <w:u w:val="single"/>
        </w:rPr>
      </w:pPr>
      <w:r w:rsidRPr="00330641">
        <w:rPr>
          <w:b/>
          <w:u w:val="single"/>
        </w:rPr>
        <w:t xml:space="preserve">2.2 </w:t>
      </w:r>
      <w:r w:rsidR="00DA60CB" w:rsidRPr="00330641">
        <w:rPr>
          <w:b/>
          <w:u w:val="single"/>
        </w:rPr>
        <w:t>Pronóstico de Servicios</w:t>
      </w:r>
      <w:r w:rsidR="003700FE" w:rsidRPr="00330641">
        <w:rPr>
          <w:b/>
          <w:u w:val="single"/>
        </w:rPr>
        <w:t>.</w:t>
      </w:r>
    </w:p>
    <w:p w:rsidR="00E8774C" w:rsidRPr="00330641" w:rsidRDefault="00377693" w:rsidP="00E8774C">
      <w:pPr>
        <w:autoSpaceDE w:val="0"/>
        <w:autoSpaceDN w:val="0"/>
        <w:adjustRightInd w:val="0"/>
        <w:spacing w:after="0" w:line="276" w:lineRule="auto"/>
        <w:ind w:left="0" w:right="0" w:firstLine="0"/>
        <w:rPr>
          <w:rFonts w:ascii="ITC Avant Garde" w:hAnsi="ITC Avant Garde"/>
          <w:b/>
          <w:color w:val="auto"/>
        </w:rPr>
      </w:pPr>
      <w:r w:rsidRPr="00330641">
        <w:rPr>
          <w:rFonts w:ascii="ITC Avant Garde" w:hAnsi="ITC Avant Garde"/>
          <w:b/>
          <w:color w:val="auto"/>
        </w:rPr>
        <w:t>AXTEL</w:t>
      </w:r>
      <w:r w:rsidR="00744B29" w:rsidRPr="00330641">
        <w:rPr>
          <w:rFonts w:ascii="ITC Avant Garde" w:hAnsi="ITC Avant Garde"/>
          <w:b/>
          <w:color w:val="auto"/>
        </w:rPr>
        <w:t>:</w:t>
      </w:r>
    </w:p>
    <w:p w:rsidR="00AE5F61" w:rsidRPr="00330641" w:rsidRDefault="00CD7852" w:rsidP="00EC3F16">
      <w:pPr>
        <w:autoSpaceDE w:val="0"/>
        <w:autoSpaceDN w:val="0"/>
        <w:adjustRightInd w:val="0"/>
        <w:spacing w:after="0" w:line="276" w:lineRule="auto"/>
        <w:ind w:right="0"/>
        <w:rPr>
          <w:rFonts w:ascii="ITC Avant Garde" w:hAnsi="ITC Avant Garde"/>
          <w:color w:val="auto"/>
        </w:rPr>
      </w:pPr>
      <w:r w:rsidRPr="00330641">
        <w:rPr>
          <w:rFonts w:ascii="ITC Avant Garde" w:hAnsi="ITC Avant Garde"/>
          <w:color w:val="auto"/>
        </w:rPr>
        <w:t>C</w:t>
      </w:r>
      <w:r w:rsidR="003D31D8">
        <w:rPr>
          <w:rFonts w:ascii="ITC Avant Garde" w:hAnsi="ITC Avant Garde"/>
          <w:color w:val="auto"/>
        </w:rPr>
        <w:t>onsideró</w:t>
      </w:r>
      <w:r w:rsidR="00BC4CF1" w:rsidRPr="00330641">
        <w:rPr>
          <w:rFonts w:ascii="ITC Avant Garde" w:hAnsi="ITC Avant Garde"/>
          <w:color w:val="auto"/>
        </w:rPr>
        <w:t xml:space="preserve"> que los servicios contratados no deben estar sujetos o condicionados a un pronóstico</w:t>
      </w:r>
      <w:r w:rsidR="006371EA" w:rsidRPr="00330641">
        <w:rPr>
          <w:rFonts w:ascii="ITC Avant Garde" w:hAnsi="ITC Avant Garde"/>
          <w:color w:val="auto"/>
        </w:rPr>
        <w:t>,</w:t>
      </w:r>
      <w:r w:rsidR="00BC4CF1" w:rsidRPr="00330641">
        <w:rPr>
          <w:rFonts w:ascii="ITC Avant Garde" w:hAnsi="ITC Avant Garde"/>
          <w:color w:val="auto"/>
        </w:rPr>
        <w:t xml:space="preserve"> </w:t>
      </w:r>
      <w:r w:rsidR="006371EA" w:rsidRPr="00330641">
        <w:rPr>
          <w:rFonts w:ascii="ITC Avant Garde" w:hAnsi="ITC Avant Garde"/>
          <w:color w:val="auto"/>
        </w:rPr>
        <w:t xml:space="preserve">señalando que no </w:t>
      </w:r>
      <w:r w:rsidR="00F347C1" w:rsidRPr="00330641">
        <w:rPr>
          <w:rFonts w:ascii="ITC Avant Garde" w:hAnsi="ITC Avant Garde"/>
          <w:color w:val="auto"/>
        </w:rPr>
        <w:t>es práctico para servicios en desarrollo Ethernet</w:t>
      </w:r>
      <w:r w:rsidR="006371EA" w:rsidRPr="00330641">
        <w:rPr>
          <w:rFonts w:ascii="ITC Avant Garde" w:hAnsi="ITC Avant Garde"/>
          <w:color w:val="auto"/>
        </w:rPr>
        <w:t>, menciona que</w:t>
      </w:r>
      <w:r w:rsidR="00EE17E4">
        <w:rPr>
          <w:rFonts w:ascii="ITC Avant Garde" w:hAnsi="ITC Avant Garde"/>
          <w:color w:val="auto"/>
        </w:rPr>
        <w:t>,</w:t>
      </w:r>
      <w:r w:rsidR="00F347C1" w:rsidRPr="00330641">
        <w:rPr>
          <w:rFonts w:ascii="ITC Avant Garde" w:hAnsi="ITC Avant Garde"/>
          <w:color w:val="auto"/>
        </w:rPr>
        <w:t xml:space="preserve"> </w:t>
      </w:r>
      <w:r w:rsidR="006371EA" w:rsidRPr="00330641">
        <w:rPr>
          <w:rFonts w:ascii="ITC Avant Garde" w:hAnsi="ITC Avant Garde"/>
          <w:color w:val="auto"/>
        </w:rPr>
        <w:t>s</w:t>
      </w:r>
      <w:r w:rsidR="00F347C1" w:rsidRPr="00330641">
        <w:rPr>
          <w:rFonts w:ascii="ITC Avant Garde" w:hAnsi="ITC Avant Garde"/>
          <w:color w:val="auto"/>
        </w:rPr>
        <w:t>i bien la tecnología Ethernet no es nueva en la Oferta de Enlaces, es un producto que aún no ha madurado</w:t>
      </w:r>
      <w:r w:rsidR="00AE5F61" w:rsidRPr="00330641">
        <w:rPr>
          <w:rFonts w:ascii="ITC Avant Garde" w:hAnsi="ITC Avant Garde"/>
          <w:color w:val="auto"/>
        </w:rPr>
        <w:t>.</w:t>
      </w:r>
    </w:p>
    <w:p w:rsidR="00AE5F61" w:rsidRPr="004C7889" w:rsidRDefault="00AE5F61" w:rsidP="004C7889">
      <w:pPr>
        <w:autoSpaceDE w:val="0"/>
        <w:autoSpaceDN w:val="0"/>
        <w:adjustRightInd w:val="0"/>
        <w:spacing w:after="0" w:line="276" w:lineRule="auto"/>
        <w:ind w:left="0" w:right="0" w:firstLine="0"/>
        <w:rPr>
          <w:rFonts w:ascii="ITC Avant Garde" w:hAnsi="ITC Avant Garde"/>
          <w:color w:val="auto"/>
        </w:rPr>
      </w:pPr>
    </w:p>
    <w:p w:rsidR="00351C4D" w:rsidRPr="00330641" w:rsidRDefault="00AE5F61" w:rsidP="00EC3F16">
      <w:pPr>
        <w:autoSpaceDE w:val="0"/>
        <w:autoSpaceDN w:val="0"/>
        <w:adjustRightInd w:val="0"/>
        <w:spacing w:after="0" w:line="276" w:lineRule="auto"/>
        <w:ind w:right="0"/>
        <w:rPr>
          <w:rFonts w:ascii="ITC Avant Garde" w:hAnsi="ITC Avant Garde"/>
          <w:color w:val="auto"/>
        </w:rPr>
      </w:pPr>
      <w:r w:rsidRPr="00330641">
        <w:rPr>
          <w:rFonts w:ascii="ITC Avant Garde" w:hAnsi="ITC Avant Garde"/>
          <w:color w:val="auto"/>
        </w:rPr>
        <w:t xml:space="preserve">En adición, </w:t>
      </w:r>
      <w:r w:rsidR="003D31D8">
        <w:rPr>
          <w:rFonts w:ascii="ITC Avant Garde" w:hAnsi="ITC Avant Garde"/>
          <w:color w:val="auto"/>
        </w:rPr>
        <w:t>solicitó</w:t>
      </w:r>
      <w:r w:rsidRPr="00330641">
        <w:rPr>
          <w:rFonts w:ascii="ITC Avant Garde" w:hAnsi="ITC Avant Garde"/>
          <w:color w:val="auto"/>
        </w:rPr>
        <w:t xml:space="preserve"> que el AEP haga disponible para todos los concesionarios el pronós</w:t>
      </w:r>
      <w:r w:rsidR="00EB2040">
        <w:rPr>
          <w:rFonts w:ascii="ITC Avant Garde" w:hAnsi="ITC Avant Garde"/>
          <w:color w:val="auto"/>
        </w:rPr>
        <w:t>tico agregado a nivel industria</w:t>
      </w:r>
      <w:r w:rsidRPr="00330641">
        <w:rPr>
          <w:rFonts w:ascii="ITC Avant Garde" w:hAnsi="ITC Avant Garde"/>
          <w:color w:val="auto"/>
        </w:rPr>
        <w:t xml:space="preserve"> por localidad, con el fi</w:t>
      </w:r>
      <w:r w:rsidR="004C7889">
        <w:rPr>
          <w:rFonts w:ascii="ITC Avant Garde" w:hAnsi="ITC Avant Garde"/>
          <w:color w:val="auto"/>
        </w:rPr>
        <w:t>n de realizar mejores cálculos.</w:t>
      </w:r>
    </w:p>
    <w:p w:rsidR="00CD7852" w:rsidRPr="00330641" w:rsidRDefault="00CD7852" w:rsidP="00EC3F16">
      <w:pPr>
        <w:autoSpaceDE w:val="0"/>
        <w:autoSpaceDN w:val="0"/>
        <w:adjustRightInd w:val="0"/>
        <w:spacing w:after="0" w:line="276" w:lineRule="auto"/>
        <w:ind w:right="0"/>
        <w:rPr>
          <w:rFonts w:ascii="ITC Avant Garde" w:hAnsi="ITC Avant Garde"/>
          <w:color w:val="auto"/>
        </w:rPr>
      </w:pPr>
    </w:p>
    <w:p w:rsidR="00351C4D" w:rsidRPr="00330641" w:rsidRDefault="00AE5F61" w:rsidP="00EC3F16">
      <w:pPr>
        <w:autoSpaceDE w:val="0"/>
        <w:autoSpaceDN w:val="0"/>
        <w:adjustRightInd w:val="0"/>
        <w:spacing w:after="0" w:line="276" w:lineRule="auto"/>
        <w:ind w:right="0"/>
        <w:rPr>
          <w:rFonts w:ascii="ITC Avant Garde" w:hAnsi="ITC Avant Garde"/>
          <w:color w:val="auto"/>
        </w:rPr>
      </w:pPr>
      <w:r w:rsidRPr="00330641">
        <w:rPr>
          <w:rFonts w:ascii="ITC Avant Garde" w:hAnsi="ITC Avant Garde"/>
          <w:color w:val="auto"/>
        </w:rPr>
        <w:t>Por otro lado, a</w:t>
      </w:r>
      <w:r w:rsidR="003D31D8">
        <w:rPr>
          <w:rFonts w:ascii="ITC Avant Garde" w:hAnsi="ITC Avant Garde"/>
          <w:color w:val="auto"/>
        </w:rPr>
        <w:t>rgumentó</w:t>
      </w:r>
      <w:r w:rsidR="00351C4D" w:rsidRPr="00330641">
        <w:rPr>
          <w:rFonts w:ascii="ITC Avant Garde" w:hAnsi="ITC Avant Garde"/>
          <w:color w:val="auto"/>
        </w:rPr>
        <w:t xml:space="preserve"> </w:t>
      </w:r>
      <w:r w:rsidRPr="00330641">
        <w:rPr>
          <w:rFonts w:ascii="ITC Avant Garde" w:hAnsi="ITC Avant Garde"/>
          <w:color w:val="auto"/>
        </w:rPr>
        <w:t>que,</w:t>
      </w:r>
      <w:r w:rsidR="00351C4D" w:rsidRPr="00330641">
        <w:rPr>
          <w:rFonts w:ascii="ITC Avant Garde" w:hAnsi="ITC Avant Garde"/>
          <w:color w:val="auto"/>
        </w:rPr>
        <w:t xml:space="preserve"> en la medida Decimoquinta de las medidas fijas, no se establecen ratificaciones bimestrales, ni mucho menos que puedan existir una modificación en los plazos de provisión en caso de que no exista pronóstico de servicio.</w:t>
      </w:r>
    </w:p>
    <w:p w:rsidR="00351C4D" w:rsidRPr="00330641" w:rsidRDefault="00351C4D" w:rsidP="00EC3F16">
      <w:pPr>
        <w:autoSpaceDE w:val="0"/>
        <w:autoSpaceDN w:val="0"/>
        <w:adjustRightInd w:val="0"/>
        <w:spacing w:after="0" w:line="276" w:lineRule="auto"/>
        <w:ind w:right="0"/>
        <w:rPr>
          <w:rFonts w:ascii="ITC Avant Garde" w:hAnsi="ITC Avant Garde"/>
          <w:color w:val="auto"/>
        </w:rPr>
      </w:pPr>
    </w:p>
    <w:p w:rsidR="00CD7852" w:rsidRPr="00330641" w:rsidRDefault="00CD7852">
      <w:pPr>
        <w:autoSpaceDE w:val="0"/>
        <w:autoSpaceDN w:val="0"/>
        <w:adjustRightInd w:val="0"/>
        <w:spacing w:after="0" w:line="276" w:lineRule="auto"/>
        <w:ind w:right="0"/>
        <w:rPr>
          <w:rFonts w:ascii="ITC Avant Garde" w:hAnsi="ITC Avant Garde"/>
          <w:color w:val="auto"/>
        </w:rPr>
      </w:pPr>
      <w:r w:rsidRPr="00330641">
        <w:rPr>
          <w:rFonts w:ascii="ITC Avant Garde" w:hAnsi="ITC Avant Garde"/>
          <w:color w:val="auto"/>
        </w:rPr>
        <w:t>Axtel s</w:t>
      </w:r>
      <w:r w:rsidR="003D31D8">
        <w:rPr>
          <w:rFonts w:ascii="ITC Avant Garde" w:hAnsi="ITC Avant Garde"/>
          <w:color w:val="auto"/>
        </w:rPr>
        <w:t>olicitó</w:t>
      </w:r>
      <w:r w:rsidR="00377693" w:rsidRPr="00330641">
        <w:rPr>
          <w:rFonts w:ascii="ITC Avant Garde" w:hAnsi="ITC Avant Garde"/>
          <w:color w:val="auto"/>
        </w:rPr>
        <w:t xml:space="preserve"> al </w:t>
      </w:r>
      <w:r w:rsidRPr="00330641">
        <w:rPr>
          <w:rFonts w:ascii="ITC Avant Garde" w:hAnsi="ITC Avant Garde"/>
          <w:color w:val="auto"/>
        </w:rPr>
        <w:t xml:space="preserve">Instituto </w:t>
      </w:r>
      <w:r w:rsidR="00377693" w:rsidRPr="00330641">
        <w:rPr>
          <w:rFonts w:ascii="ITC Avant Garde" w:hAnsi="ITC Avant Garde"/>
          <w:color w:val="auto"/>
        </w:rPr>
        <w:t>garantizar que el AEP elimine</w:t>
      </w:r>
      <w:r w:rsidR="00896A23" w:rsidRPr="00330641">
        <w:rPr>
          <w:rFonts w:ascii="ITC Avant Garde" w:hAnsi="ITC Avant Garde"/>
          <w:color w:val="auto"/>
        </w:rPr>
        <w:t xml:space="preserve">, </w:t>
      </w:r>
      <w:r w:rsidR="009060A3" w:rsidRPr="00330641">
        <w:rPr>
          <w:rFonts w:ascii="ITC Avant Garde" w:hAnsi="ITC Avant Garde"/>
          <w:color w:val="auto"/>
        </w:rPr>
        <w:t>en primer lugar</w:t>
      </w:r>
      <w:r w:rsidR="00896A23" w:rsidRPr="00330641">
        <w:rPr>
          <w:rFonts w:ascii="ITC Avant Garde" w:hAnsi="ITC Avant Garde"/>
          <w:color w:val="auto"/>
        </w:rPr>
        <w:t xml:space="preserve">, que en caso de contratar un porcentaje menor al 50% de lo pronosticado, se haga </w:t>
      </w:r>
      <w:r w:rsidR="000D339B" w:rsidRPr="00330641">
        <w:rPr>
          <w:rFonts w:ascii="ITC Avant Garde" w:hAnsi="ITC Avant Garde"/>
          <w:color w:val="auto"/>
        </w:rPr>
        <w:t xml:space="preserve">del </w:t>
      </w:r>
      <w:r w:rsidR="00896A23" w:rsidRPr="00330641">
        <w:rPr>
          <w:rFonts w:ascii="ITC Avant Garde" w:hAnsi="ITC Avant Garde"/>
          <w:color w:val="auto"/>
        </w:rPr>
        <w:t xml:space="preserve">conocimiento del Instituto y </w:t>
      </w:r>
      <w:r w:rsidR="000D339B" w:rsidRPr="00330641">
        <w:rPr>
          <w:rFonts w:ascii="ITC Avant Garde" w:hAnsi="ITC Avant Garde"/>
          <w:color w:val="auto"/>
        </w:rPr>
        <w:t xml:space="preserve">se modifique </w:t>
      </w:r>
      <w:r w:rsidR="00896A23" w:rsidRPr="00330641">
        <w:rPr>
          <w:rFonts w:ascii="ITC Avant Garde" w:hAnsi="ITC Avant Garde"/>
          <w:color w:val="auto"/>
        </w:rPr>
        <w:t xml:space="preserve">el próximo </w:t>
      </w:r>
      <w:r w:rsidR="009060A3" w:rsidRPr="00330641">
        <w:rPr>
          <w:rFonts w:ascii="ITC Avant Garde" w:hAnsi="ITC Avant Garde"/>
          <w:color w:val="auto"/>
        </w:rPr>
        <w:t>pronóstico. En segundo lugar,</w:t>
      </w:r>
      <w:r w:rsidR="00F463BD">
        <w:rPr>
          <w:rFonts w:ascii="ITC Avant Garde" w:hAnsi="ITC Avant Garde"/>
          <w:color w:val="auto"/>
        </w:rPr>
        <w:t xml:space="preserve"> </w:t>
      </w:r>
      <w:r w:rsidR="009060A3" w:rsidRPr="00330641">
        <w:rPr>
          <w:rFonts w:ascii="ITC Avant Garde" w:hAnsi="ITC Avant Garde"/>
          <w:color w:val="auto"/>
        </w:rPr>
        <w:t>que se elimine l</w:t>
      </w:r>
      <w:r w:rsidR="00896A23" w:rsidRPr="00330641">
        <w:rPr>
          <w:rFonts w:ascii="ITC Avant Garde" w:hAnsi="ITC Avant Garde"/>
          <w:color w:val="auto"/>
        </w:rPr>
        <w:t xml:space="preserve">a </w:t>
      </w:r>
      <w:r w:rsidR="000D339B" w:rsidRPr="00330641">
        <w:rPr>
          <w:rFonts w:ascii="ITC Avant Garde" w:hAnsi="ITC Avant Garde"/>
          <w:color w:val="auto"/>
        </w:rPr>
        <w:t xml:space="preserve">presentación </w:t>
      </w:r>
      <w:r w:rsidR="00896A23" w:rsidRPr="00330641">
        <w:rPr>
          <w:rFonts w:ascii="ITC Avant Garde" w:hAnsi="ITC Avant Garde"/>
          <w:color w:val="auto"/>
        </w:rPr>
        <w:t>bimestral de las proyecciones ya que manifiesta que no</w:t>
      </w:r>
      <w:r w:rsidR="000D339B" w:rsidRPr="00330641">
        <w:rPr>
          <w:rFonts w:ascii="ITC Avant Garde" w:hAnsi="ITC Avant Garde"/>
          <w:color w:val="auto"/>
        </w:rPr>
        <w:t xml:space="preserve"> adiciona un valor agregado en la prestación del servicio al usuario final</w:t>
      </w:r>
      <w:r w:rsidR="00896A23" w:rsidRPr="00330641">
        <w:rPr>
          <w:rFonts w:ascii="ITC Avant Garde" w:hAnsi="ITC Avant Garde"/>
          <w:color w:val="auto"/>
        </w:rPr>
        <w:t>. As</w:t>
      </w:r>
      <w:r w:rsidR="00AE5F61" w:rsidRPr="00330641">
        <w:rPr>
          <w:rFonts w:ascii="ITC Avant Garde" w:hAnsi="ITC Avant Garde"/>
          <w:color w:val="auto"/>
        </w:rPr>
        <w:t xml:space="preserve">í </w:t>
      </w:r>
      <w:r w:rsidR="00607573">
        <w:rPr>
          <w:rFonts w:ascii="ITC Avant Garde" w:hAnsi="ITC Avant Garde"/>
          <w:color w:val="auto"/>
        </w:rPr>
        <w:t>mismo, sugirió</w:t>
      </w:r>
      <w:r w:rsidR="00896A23" w:rsidRPr="00330641">
        <w:rPr>
          <w:rFonts w:ascii="ITC Avant Garde" w:hAnsi="ITC Avant Garde"/>
          <w:color w:val="auto"/>
        </w:rPr>
        <w:t xml:space="preserve"> </w:t>
      </w:r>
      <w:r w:rsidR="009060A3" w:rsidRPr="00330641">
        <w:rPr>
          <w:rFonts w:ascii="ITC Avant Garde" w:hAnsi="ITC Avant Garde"/>
          <w:color w:val="auto"/>
        </w:rPr>
        <w:t>que se elimine</w:t>
      </w:r>
      <w:r w:rsidR="00896A23" w:rsidRPr="00330641">
        <w:rPr>
          <w:rFonts w:ascii="ITC Avant Garde" w:hAnsi="ITC Avant Garde"/>
          <w:color w:val="auto"/>
        </w:rPr>
        <w:t xml:space="preserve"> la condición que en caso de no presentar los pronósticos </w:t>
      </w:r>
      <w:r w:rsidR="00416DDB" w:rsidRPr="00330641">
        <w:rPr>
          <w:rFonts w:ascii="ITC Avant Garde" w:hAnsi="ITC Avant Garde"/>
          <w:color w:val="auto"/>
        </w:rPr>
        <w:t xml:space="preserve">se deberán acordar los tiempos entre las partes y finalmente considera </w:t>
      </w:r>
      <w:r w:rsidR="009060A3" w:rsidRPr="00330641">
        <w:rPr>
          <w:rFonts w:ascii="ITC Avant Garde" w:hAnsi="ITC Avant Garde"/>
          <w:color w:val="auto"/>
        </w:rPr>
        <w:t>que se elimine</w:t>
      </w:r>
      <w:r w:rsidR="00416DDB" w:rsidRPr="00330641">
        <w:rPr>
          <w:rFonts w:ascii="ITC Avant Garde" w:hAnsi="ITC Avant Garde"/>
          <w:color w:val="auto"/>
        </w:rPr>
        <w:t xml:space="preserve"> del formato de pron</w:t>
      </w:r>
      <w:r w:rsidR="000D339B" w:rsidRPr="00330641">
        <w:rPr>
          <w:rFonts w:ascii="ITC Avant Garde" w:hAnsi="ITC Avant Garde"/>
          <w:color w:val="auto"/>
        </w:rPr>
        <w:t>ó</w:t>
      </w:r>
      <w:r w:rsidR="00416DDB" w:rsidRPr="00330641">
        <w:rPr>
          <w:rFonts w:ascii="ITC Avant Garde" w:hAnsi="ITC Avant Garde"/>
          <w:color w:val="auto"/>
        </w:rPr>
        <w:t xml:space="preserve">stico el incluir la localidad </w:t>
      </w:r>
      <w:r w:rsidR="00EB2040">
        <w:rPr>
          <w:rFonts w:ascii="ITC Avant Garde" w:hAnsi="ITC Avant Garde"/>
          <w:color w:val="auto"/>
        </w:rPr>
        <w:t>y el mes de contratación y</w:t>
      </w:r>
      <w:r w:rsidR="00416DDB" w:rsidRPr="00330641">
        <w:rPr>
          <w:rFonts w:ascii="ITC Avant Garde" w:hAnsi="ITC Avant Garde"/>
          <w:color w:val="auto"/>
        </w:rPr>
        <w:t xml:space="preserve"> únicamente considerar la cantidad probable de contratación, el ancho de banda y la tecnología</w:t>
      </w:r>
      <w:r w:rsidR="009060A3" w:rsidRPr="00330641">
        <w:rPr>
          <w:rFonts w:ascii="ITC Avant Garde" w:hAnsi="ITC Avant Garde"/>
          <w:color w:val="auto"/>
        </w:rPr>
        <w:t>.</w:t>
      </w:r>
    </w:p>
    <w:p w:rsidR="00EB2040" w:rsidRDefault="00EB2040" w:rsidP="000F58E0">
      <w:pPr>
        <w:autoSpaceDE w:val="0"/>
        <w:autoSpaceDN w:val="0"/>
        <w:adjustRightInd w:val="0"/>
        <w:spacing w:after="0" w:line="276" w:lineRule="auto"/>
        <w:ind w:left="0" w:right="0" w:firstLine="0"/>
        <w:rPr>
          <w:rFonts w:ascii="ITC Avant Garde" w:hAnsi="ITC Avant Garde"/>
          <w:b/>
          <w:color w:val="auto"/>
        </w:rPr>
      </w:pPr>
    </w:p>
    <w:p w:rsidR="002B604C" w:rsidRPr="00330641" w:rsidRDefault="00CD7852" w:rsidP="000F58E0">
      <w:pPr>
        <w:autoSpaceDE w:val="0"/>
        <w:autoSpaceDN w:val="0"/>
        <w:adjustRightInd w:val="0"/>
        <w:spacing w:after="0" w:line="276" w:lineRule="auto"/>
        <w:ind w:left="0" w:right="0" w:firstLine="0"/>
        <w:rPr>
          <w:rFonts w:ascii="ITC Avant Garde" w:hAnsi="ITC Avant Garde"/>
          <w:b/>
          <w:color w:val="auto"/>
        </w:rPr>
      </w:pPr>
      <w:r w:rsidRPr="00330641">
        <w:rPr>
          <w:rFonts w:ascii="ITC Avant Garde" w:hAnsi="ITC Avant Garde"/>
          <w:b/>
          <w:color w:val="auto"/>
        </w:rPr>
        <w:t>GRUPO AT&amp;T</w:t>
      </w:r>
      <w:r w:rsidR="00A90392" w:rsidRPr="00330641">
        <w:rPr>
          <w:rFonts w:ascii="ITC Avant Garde" w:hAnsi="ITC Avant Garde"/>
          <w:b/>
          <w:color w:val="auto"/>
        </w:rPr>
        <w:t>:</w:t>
      </w:r>
      <w:r w:rsidR="0083647F" w:rsidRPr="00330641">
        <w:rPr>
          <w:rFonts w:ascii="ITC Avant Garde" w:hAnsi="ITC Avant Garde"/>
          <w:b/>
          <w:color w:val="auto"/>
        </w:rPr>
        <w:t xml:space="preserve"> </w:t>
      </w:r>
    </w:p>
    <w:p w:rsidR="00DE1618" w:rsidRPr="00330641" w:rsidRDefault="003D31D8" w:rsidP="000F58E0">
      <w:pPr>
        <w:autoSpaceDE w:val="0"/>
        <w:autoSpaceDN w:val="0"/>
        <w:adjustRightInd w:val="0"/>
        <w:spacing w:after="0" w:line="276" w:lineRule="auto"/>
        <w:ind w:left="0" w:right="0" w:firstLine="0"/>
        <w:rPr>
          <w:rFonts w:ascii="ITC Avant Garde" w:hAnsi="ITC Avant Garde"/>
          <w:color w:val="auto"/>
        </w:rPr>
      </w:pPr>
      <w:r>
        <w:rPr>
          <w:rFonts w:ascii="ITC Avant Garde" w:hAnsi="ITC Avant Garde"/>
        </w:rPr>
        <w:lastRenderedPageBreak/>
        <w:t>Sugirió</w:t>
      </w:r>
      <w:r w:rsidR="00AB46B0" w:rsidRPr="00330641">
        <w:rPr>
          <w:rFonts w:ascii="ITC Avant Garde" w:hAnsi="ITC Avant Garde"/>
        </w:rPr>
        <w:t xml:space="preserve"> eliminar</w:t>
      </w:r>
      <w:r w:rsidR="002230D9" w:rsidRPr="00330641">
        <w:rPr>
          <w:rFonts w:ascii="ITC Avant Garde" w:hAnsi="ITC Avant Garde"/>
        </w:rPr>
        <w:t xml:space="preserve"> o remplazar</w:t>
      </w:r>
      <w:r w:rsidR="00AB46B0" w:rsidRPr="00330641">
        <w:rPr>
          <w:rFonts w:ascii="ITC Avant Garde" w:hAnsi="ITC Avant Garde"/>
        </w:rPr>
        <w:t xml:space="preserve"> la tabla de ratificación por el CS sobre bases bimestrales</w:t>
      </w:r>
      <w:r w:rsidR="002230D9" w:rsidRPr="00330641">
        <w:rPr>
          <w:rFonts w:ascii="ITC Avant Garde" w:hAnsi="ITC Avant Garde"/>
        </w:rPr>
        <w:t xml:space="preserve"> por el siguiente calendario:</w:t>
      </w:r>
    </w:p>
    <w:p w:rsidR="00DE1618" w:rsidRPr="00330641" w:rsidRDefault="00DE1618" w:rsidP="000F58E0">
      <w:pPr>
        <w:autoSpaceDE w:val="0"/>
        <w:autoSpaceDN w:val="0"/>
        <w:adjustRightInd w:val="0"/>
        <w:spacing w:after="0" w:line="276" w:lineRule="auto"/>
        <w:ind w:left="0" w:right="0" w:firstLine="0"/>
        <w:rPr>
          <w:rFonts w:ascii="ITC Avant Garde" w:hAnsi="ITC Avant Garde"/>
          <w:color w:val="auto"/>
        </w:rPr>
      </w:pPr>
    </w:p>
    <w:tbl>
      <w:tblPr>
        <w:tblStyle w:val="Tablaconcuadrcula"/>
        <w:tblW w:w="0" w:type="auto"/>
        <w:tblInd w:w="279" w:type="dxa"/>
        <w:tblLook w:val="04A0" w:firstRow="1" w:lastRow="0" w:firstColumn="1" w:lastColumn="0" w:noHBand="0" w:noVBand="1"/>
      </w:tblPr>
      <w:tblGrid>
        <w:gridCol w:w="1842"/>
        <w:gridCol w:w="4030"/>
      </w:tblGrid>
      <w:tr w:rsidR="002230D9" w:rsidRPr="00330641" w:rsidTr="00EB2040">
        <w:tc>
          <w:tcPr>
            <w:tcW w:w="1842" w:type="dxa"/>
          </w:tcPr>
          <w:p w:rsidR="002230D9" w:rsidRPr="00330641" w:rsidRDefault="002230D9" w:rsidP="000F58E0">
            <w:pPr>
              <w:autoSpaceDE w:val="0"/>
              <w:autoSpaceDN w:val="0"/>
              <w:adjustRightInd w:val="0"/>
              <w:spacing w:after="0" w:line="276" w:lineRule="auto"/>
              <w:ind w:left="0" w:right="0" w:firstLine="0"/>
              <w:rPr>
                <w:rFonts w:ascii="ITC Avant Garde" w:hAnsi="ITC Avant Garde"/>
                <w:i/>
                <w:color w:val="auto"/>
                <w:sz w:val="18"/>
              </w:rPr>
            </w:pPr>
            <w:r w:rsidRPr="00330641">
              <w:rPr>
                <w:rFonts w:ascii="ITC Avant Garde" w:hAnsi="ITC Avant Garde"/>
                <w:i/>
                <w:color w:val="auto"/>
                <w:sz w:val="18"/>
              </w:rPr>
              <w:t xml:space="preserve">Fecha límite </w:t>
            </w:r>
          </w:p>
        </w:tc>
        <w:tc>
          <w:tcPr>
            <w:tcW w:w="4030" w:type="dxa"/>
          </w:tcPr>
          <w:p w:rsidR="002230D9" w:rsidRPr="00330641" w:rsidRDefault="002230D9" w:rsidP="000F58E0">
            <w:pPr>
              <w:autoSpaceDE w:val="0"/>
              <w:autoSpaceDN w:val="0"/>
              <w:adjustRightInd w:val="0"/>
              <w:spacing w:after="0" w:line="276" w:lineRule="auto"/>
              <w:ind w:left="0" w:right="0" w:firstLine="0"/>
              <w:jc w:val="center"/>
              <w:rPr>
                <w:rFonts w:ascii="ITC Avant Garde" w:hAnsi="ITC Avant Garde"/>
                <w:i/>
                <w:color w:val="auto"/>
                <w:sz w:val="18"/>
              </w:rPr>
            </w:pPr>
            <w:r w:rsidRPr="00330641">
              <w:rPr>
                <w:rFonts w:ascii="ITC Avant Garde" w:hAnsi="ITC Avant Garde"/>
                <w:i/>
                <w:color w:val="auto"/>
                <w:sz w:val="18"/>
              </w:rPr>
              <w:t>Pronóstico</w:t>
            </w:r>
          </w:p>
        </w:tc>
      </w:tr>
      <w:tr w:rsidR="002230D9" w:rsidRPr="00330641" w:rsidTr="00EB2040">
        <w:tc>
          <w:tcPr>
            <w:tcW w:w="1842" w:type="dxa"/>
            <w:vAlign w:val="center"/>
          </w:tcPr>
          <w:p w:rsidR="002230D9" w:rsidRPr="00330641" w:rsidRDefault="002230D9" w:rsidP="000F58E0">
            <w:pPr>
              <w:autoSpaceDE w:val="0"/>
              <w:autoSpaceDN w:val="0"/>
              <w:adjustRightInd w:val="0"/>
              <w:spacing w:after="0" w:line="276" w:lineRule="auto"/>
              <w:ind w:left="0" w:right="0" w:firstLine="0"/>
              <w:rPr>
                <w:rFonts w:ascii="ITC Avant Garde" w:hAnsi="ITC Avant Garde"/>
                <w:i/>
                <w:color w:val="auto"/>
                <w:sz w:val="18"/>
              </w:rPr>
            </w:pPr>
            <w:r w:rsidRPr="00330641">
              <w:rPr>
                <w:rFonts w:ascii="ITC Avant Garde" w:hAnsi="ITC Avant Garde" w:cs="Arial"/>
                <w:i/>
                <w:color w:val="000000" w:themeColor="text1"/>
                <w:sz w:val="18"/>
              </w:rPr>
              <w:t>30 de noviembre</w:t>
            </w:r>
          </w:p>
        </w:tc>
        <w:tc>
          <w:tcPr>
            <w:tcW w:w="4030" w:type="dxa"/>
            <w:vAlign w:val="center"/>
          </w:tcPr>
          <w:p w:rsidR="002230D9" w:rsidRPr="00330641" w:rsidRDefault="002230D9" w:rsidP="000F58E0">
            <w:pPr>
              <w:autoSpaceDE w:val="0"/>
              <w:autoSpaceDN w:val="0"/>
              <w:adjustRightInd w:val="0"/>
              <w:spacing w:after="0" w:line="276" w:lineRule="auto"/>
              <w:ind w:left="0" w:right="0" w:firstLine="0"/>
              <w:rPr>
                <w:rFonts w:ascii="ITC Avant Garde" w:hAnsi="ITC Avant Garde"/>
                <w:i/>
                <w:color w:val="auto"/>
                <w:sz w:val="18"/>
              </w:rPr>
            </w:pPr>
            <w:r w:rsidRPr="00330641">
              <w:rPr>
                <w:rFonts w:ascii="ITC Avant Garde" w:hAnsi="ITC Avant Garde" w:cs="Arial"/>
                <w:i/>
                <w:color w:val="000000" w:themeColor="text1"/>
                <w:sz w:val="18"/>
              </w:rPr>
              <w:t>Enero-febrero del año inmediato posterior.</w:t>
            </w:r>
          </w:p>
        </w:tc>
      </w:tr>
      <w:tr w:rsidR="002230D9" w:rsidRPr="00330641" w:rsidTr="00EB2040">
        <w:tc>
          <w:tcPr>
            <w:tcW w:w="1842" w:type="dxa"/>
            <w:vAlign w:val="center"/>
          </w:tcPr>
          <w:p w:rsidR="002230D9" w:rsidRPr="00330641" w:rsidRDefault="002230D9" w:rsidP="000F58E0">
            <w:pPr>
              <w:autoSpaceDE w:val="0"/>
              <w:autoSpaceDN w:val="0"/>
              <w:adjustRightInd w:val="0"/>
              <w:spacing w:after="0" w:line="276" w:lineRule="auto"/>
              <w:ind w:left="0" w:right="0" w:firstLine="0"/>
              <w:rPr>
                <w:rFonts w:ascii="ITC Avant Garde" w:hAnsi="ITC Avant Garde"/>
                <w:i/>
                <w:color w:val="auto"/>
                <w:sz w:val="18"/>
              </w:rPr>
            </w:pPr>
            <w:r w:rsidRPr="00330641">
              <w:rPr>
                <w:rFonts w:ascii="ITC Avant Garde" w:hAnsi="ITC Avant Garde" w:cs="Arial"/>
                <w:i/>
                <w:color w:val="000000" w:themeColor="text1"/>
                <w:sz w:val="18"/>
              </w:rPr>
              <w:t>31 de enero</w:t>
            </w:r>
          </w:p>
        </w:tc>
        <w:tc>
          <w:tcPr>
            <w:tcW w:w="4030" w:type="dxa"/>
            <w:vAlign w:val="center"/>
          </w:tcPr>
          <w:p w:rsidR="002230D9" w:rsidRPr="00330641" w:rsidRDefault="002230D9" w:rsidP="000F58E0">
            <w:pPr>
              <w:autoSpaceDE w:val="0"/>
              <w:autoSpaceDN w:val="0"/>
              <w:adjustRightInd w:val="0"/>
              <w:spacing w:after="0" w:line="276" w:lineRule="auto"/>
              <w:ind w:left="0" w:right="0" w:firstLine="0"/>
              <w:rPr>
                <w:rFonts w:ascii="ITC Avant Garde" w:hAnsi="ITC Avant Garde"/>
                <w:i/>
                <w:color w:val="auto"/>
                <w:sz w:val="18"/>
              </w:rPr>
            </w:pPr>
            <w:r w:rsidRPr="00330641">
              <w:rPr>
                <w:rFonts w:ascii="ITC Avant Garde" w:hAnsi="ITC Avant Garde" w:cs="Arial"/>
                <w:i/>
                <w:color w:val="000000" w:themeColor="text1"/>
                <w:sz w:val="18"/>
              </w:rPr>
              <w:t>Marzo-abril del año inmediato posterior.</w:t>
            </w:r>
          </w:p>
        </w:tc>
      </w:tr>
      <w:tr w:rsidR="002230D9" w:rsidRPr="00330641" w:rsidTr="00EB2040">
        <w:tc>
          <w:tcPr>
            <w:tcW w:w="1842" w:type="dxa"/>
            <w:vAlign w:val="center"/>
          </w:tcPr>
          <w:p w:rsidR="002230D9" w:rsidRPr="00330641" w:rsidRDefault="002230D9" w:rsidP="000F58E0">
            <w:pPr>
              <w:autoSpaceDE w:val="0"/>
              <w:autoSpaceDN w:val="0"/>
              <w:adjustRightInd w:val="0"/>
              <w:spacing w:after="0" w:line="276" w:lineRule="auto"/>
              <w:ind w:left="0" w:right="0" w:firstLine="0"/>
              <w:rPr>
                <w:rFonts w:ascii="ITC Avant Garde" w:hAnsi="ITC Avant Garde"/>
                <w:i/>
                <w:color w:val="auto"/>
                <w:sz w:val="18"/>
              </w:rPr>
            </w:pPr>
            <w:r w:rsidRPr="00330641">
              <w:rPr>
                <w:rFonts w:ascii="ITC Avant Garde" w:hAnsi="ITC Avant Garde" w:cs="Arial"/>
                <w:i/>
                <w:color w:val="000000" w:themeColor="text1"/>
                <w:sz w:val="18"/>
              </w:rPr>
              <w:t>31 de marzo</w:t>
            </w:r>
          </w:p>
        </w:tc>
        <w:tc>
          <w:tcPr>
            <w:tcW w:w="4030" w:type="dxa"/>
            <w:vAlign w:val="center"/>
          </w:tcPr>
          <w:p w:rsidR="002230D9" w:rsidRPr="00330641" w:rsidRDefault="002230D9" w:rsidP="000F58E0">
            <w:pPr>
              <w:autoSpaceDE w:val="0"/>
              <w:autoSpaceDN w:val="0"/>
              <w:adjustRightInd w:val="0"/>
              <w:spacing w:after="0" w:line="276" w:lineRule="auto"/>
              <w:ind w:left="0" w:right="0" w:firstLine="0"/>
              <w:rPr>
                <w:rFonts w:ascii="ITC Avant Garde" w:hAnsi="ITC Avant Garde"/>
                <w:i/>
                <w:color w:val="auto"/>
                <w:sz w:val="18"/>
              </w:rPr>
            </w:pPr>
            <w:r w:rsidRPr="00330641">
              <w:rPr>
                <w:rFonts w:ascii="ITC Avant Garde" w:hAnsi="ITC Avant Garde" w:cs="Arial"/>
                <w:i/>
                <w:color w:val="000000" w:themeColor="text1"/>
                <w:sz w:val="18"/>
              </w:rPr>
              <w:t>Mayo-junio del mismo año.</w:t>
            </w:r>
          </w:p>
        </w:tc>
      </w:tr>
      <w:tr w:rsidR="002230D9" w:rsidRPr="00330641" w:rsidTr="00EB2040">
        <w:tc>
          <w:tcPr>
            <w:tcW w:w="1842" w:type="dxa"/>
            <w:vAlign w:val="center"/>
          </w:tcPr>
          <w:p w:rsidR="002230D9" w:rsidRPr="00330641" w:rsidRDefault="002230D9" w:rsidP="000F58E0">
            <w:pPr>
              <w:autoSpaceDE w:val="0"/>
              <w:autoSpaceDN w:val="0"/>
              <w:adjustRightInd w:val="0"/>
              <w:spacing w:after="0" w:line="276" w:lineRule="auto"/>
              <w:ind w:left="0" w:right="0" w:firstLine="0"/>
              <w:rPr>
                <w:rFonts w:ascii="ITC Avant Garde" w:hAnsi="ITC Avant Garde"/>
                <w:i/>
                <w:color w:val="auto"/>
                <w:sz w:val="18"/>
              </w:rPr>
            </w:pPr>
            <w:r w:rsidRPr="00330641">
              <w:rPr>
                <w:rFonts w:ascii="ITC Avant Garde" w:hAnsi="ITC Avant Garde" w:cs="Arial"/>
                <w:i/>
                <w:color w:val="000000" w:themeColor="text1"/>
                <w:sz w:val="18"/>
              </w:rPr>
              <w:t>31 de mayo</w:t>
            </w:r>
          </w:p>
        </w:tc>
        <w:tc>
          <w:tcPr>
            <w:tcW w:w="4030" w:type="dxa"/>
            <w:vAlign w:val="center"/>
          </w:tcPr>
          <w:p w:rsidR="002230D9" w:rsidRPr="00330641" w:rsidRDefault="002230D9" w:rsidP="000F58E0">
            <w:pPr>
              <w:autoSpaceDE w:val="0"/>
              <w:autoSpaceDN w:val="0"/>
              <w:adjustRightInd w:val="0"/>
              <w:spacing w:after="0" w:line="276" w:lineRule="auto"/>
              <w:ind w:left="0" w:right="0" w:firstLine="0"/>
              <w:rPr>
                <w:rFonts w:ascii="ITC Avant Garde" w:hAnsi="ITC Avant Garde"/>
                <w:i/>
                <w:color w:val="auto"/>
                <w:sz w:val="18"/>
              </w:rPr>
            </w:pPr>
            <w:r w:rsidRPr="00330641">
              <w:rPr>
                <w:rFonts w:ascii="ITC Avant Garde" w:hAnsi="ITC Avant Garde" w:cs="Arial"/>
                <w:i/>
                <w:color w:val="000000" w:themeColor="text1"/>
                <w:sz w:val="18"/>
              </w:rPr>
              <w:t>Julio-agosto del mismo año.</w:t>
            </w:r>
          </w:p>
        </w:tc>
      </w:tr>
      <w:tr w:rsidR="002230D9" w:rsidRPr="00330641" w:rsidTr="00EB2040">
        <w:tc>
          <w:tcPr>
            <w:tcW w:w="1842" w:type="dxa"/>
            <w:vAlign w:val="center"/>
          </w:tcPr>
          <w:p w:rsidR="002230D9" w:rsidRPr="00330641" w:rsidRDefault="002230D9" w:rsidP="000F58E0">
            <w:pPr>
              <w:autoSpaceDE w:val="0"/>
              <w:autoSpaceDN w:val="0"/>
              <w:adjustRightInd w:val="0"/>
              <w:spacing w:after="0" w:line="276" w:lineRule="auto"/>
              <w:ind w:left="0" w:right="0" w:firstLine="0"/>
              <w:rPr>
                <w:rFonts w:ascii="ITC Avant Garde" w:hAnsi="ITC Avant Garde"/>
                <w:i/>
                <w:color w:val="auto"/>
                <w:sz w:val="18"/>
              </w:rPr>
            </w:pPr>
            <w:r w:rsidRPr="00330641">
              <w:rPr>
                <w:rFonts w:ascii="ITC Avant Garde" w:hAnsi="ITC Avant Garde" w:cs="Arial"/>
                <w:i/>
                <w:color w:val="000000" w:themeColor="text1"/>
                <w:sz w:val="18"/>
              </w:rPr>
              <w:t>31 de julio</w:t>
            </w:r>
          </w:p>
        </w:tc>
        <w:tc>
          <w:tcPr>
            <w:tcW w:w="4030" w:type="dxa"/>
            <w:vAlign w:val="center"/>
          </w:tcPr>
          <w:p w:rsidR="002230D9" w:rsidRPr="00330641" w:rsidRDefault="002230D9" w:rsidP="000F58E0">
            <w:pPr>
              <w:autoSpaceDE w:val="0"/>
              <w:autoSpaceDN w:val="0"/>
              <w:adjustRightInd w:val="0"/>
              <w:spacing w:after="0" w:line="276" w:lineRule="auto"/>
              <w:ind w:left="0" w:right="0" w:firstLine="0"/>
              <w:rPr>
                <w:rFonts w:ascii="ITC Avant Garde" w:hAnsi="ITC Avant Garde"/>
                <w:i/>
                <w:color w:val="auto"/>
                <w:sz w:val="18"/>
              </w:rPr>
            </w:pPr>
            <w:r w:rsidRPr="00330641">
              <w:rPr>
                <w:rFonts w:ascii="ITC Avant Garde" w:hAnsi="ITC Avant Garde" w:cs="Arial"/>
                <w:i/>
                <w:color w:val="000000" w:themeColor="text1"/>
                <w:sz w:val="18"/>
              </w:rPr>
              <w:t>Septiembre-octubre del mismo año.</w:t>
            </w:r>
          </w:p>
        </w:tc>
      </w:tr>
      <w:tr w:rsidR="002230D9" w:rsidRPr="00330641" w:rsidTr="00EB2040">
        <w:tc>
          <w:tcPr>
            <w:tcW w:w="1842" w:type="dxa"/>
            <w:vAlign w:val="center"/>
          </w:tcPr>
          <w:p w:rsidR="002230D9" w:rsidRPr="00330641" w:rsidRDefault="002230D9" w:rsidP="000F58E0">
            <w:pPr>
              <w:autoSpaceDE w:val="0"/>
              <w:autoSpaceDN w:val="0"/>
              <w:adjustRightInd w:val="0"/>
              <w:spacing w:after="0" w:line="276" w:lineRule="auto"/>
              <w:ind w:left="0" w:right="0" w:firstLine="0"/>
              <w:rPr>
                <w:rFonts w:ascii="ITC Avant Garde" w:hAnsi="ITC Avant Garde" w:cs="Arial"/>
                <w:i/>
                <w:color w:val="000000" w:themeColor="text1"/>
                <w:sz w:val="18"/>
              </w:rPr>
            </w:pPr>
            <w:r w:rsidRPr="00330641">
              <w:rPr>
                <w:rFonts w:ascii="ITC Avant Garde" w:hAnsi="ITC Avant Garde" w:cs="Arial"/>
                <w:i/>
                <w:color w:val="000000" w:themeColor="text1"/>
                <w:sz w:val="18"/>
              </w:rPr>
              <w:t>30 de septiembre</w:t>
            </w:r>
          </w:p>
        </w:tc>
        <w:tc>
          <w:tcPr>
            <w:tcW w:w="4030" w:type="dxa"/>
            <w:vAlign w:val="center"/>
          </w:tcPr>
          <w:p w:rsidR="002230D9" w:rsidRPr="00330641" w:rsidRDefault="002230D9" w:rsidP="000F58E0">
            <w:pPr>
              <w:autoSpaceDE w:val="0"/>
              <w:autoSpaceDN w:val="0"/>
              <w:adjustRightInd w:val="0"/>
              <w:spacing w:after="0" w:line="276" w:lineRule="auto"/>
              <w:ind w:left="0" w:right="0" w:firstLine="0"/>
              <w:rPr>
                <w:rFonts w:ascii="ITC Avant Garde" w:hAnsi="ITC Avant Garde" w:cs="Arial"/>
                <w:i/>
                <w:color w:val="000000" w:themeColor="text1"/>
                <w:sz w:val="18"/>
              </w:rPr>
            </w:pPr>
            <w:r w:rsidRPr="00330641">
              <w:rPr>
                <w:rFonts w:ascii="ITC Avant Garde" w:hAnsi="ITC Avant Garde" w:cs="Arial"/>
                <w:i/>
                <w:color w:val="000000" w:themeColor="text1"/>
                <w:sz w:val="18"/>
              </w:rPr>
              <w:t>Noviembre-diciembre del mismo año</w:t>
            </w:r>
          </w:p>
        </w:tc>
      </w:tr>
    </w:tbl>
    <w:p w:rsidR="00DE1618" w:rsidRPr="00330641" w:rsidRDefault="00DE1618" w:rsidP="000F58E0">
      <w:pPr>
        <w:autoSpaceDE w:val="0"/>
        <w:autoSpaceDN w:val="0"/>
        <w:adjustRightInd w:val="0"/>
        <w:spacing w:after="0" w:line="276" w:lineRule="auto"/>
        <w:ind w:left="0" w:right="0" w:firstLine="0"/>
        <w:rPr>
          <w:rFonts w:ascii="ITC Avant Garde" w:hAnsi="ITC Avant Garde"/>
          <w:color w:val="auto"/>
        </w:rPr>
      </w:pPr>
    </w:p>
    <w:p w:rsidR="002230D9" w:rsidRPr="00330641" w:rsidRDefault="0012211F" w:rsidP="000F58E0">
      <w:pPr>
        <w:autoSpaceDE w:val="0"/>
        <w:autoSpaceDN w:val="0"/>
        <w:adjustRightInd w:val="0"/>
        <w:spacing w:after="0" w:line="276" w:lineRule="auto"/>
        <w:ind w:left="0" w:right="0" w:firstLine="0"/>
        <w:rPr>
          <w:rFonts w:ascii="ITC Avant Garde" w:hAnsi="ITC Avant Garde"/>
          <w:color w:val="auto"/>
        </w:rPr>
      </w:pPr>
      <w:r>
        <w:rPr>
          <w:rFonts w:ascii="ITC Avant Garde" w:hAnsi="ITC Avant Garde"/>
          <w:color w:val="auto"/>
        </w:rPr>
        <w:t>Manifestó</w:t>
      </w:r>
      <w:r w:rsidR="00B72AD6" w:rsidRPr="00330641">
        <w:rPr>
          <w:rFonts w:ascii="ITC Avant Garde" w:hAnsi="ITC Avant Garde"/>
          <w:color w:val="auto"/>
        </w:rPr>
        <w:t xml:space="preserve"> que, d</w:t>
      </w:r>
      <w:r w:rsidR="002230D9" w:rsidRPr="00330641">
        <w:rPr>
          <w:rFonts w:ascii="ITC Avant Garde" w:hAnsi="ITC Avant Garde"/>
          <w:color w:val="auto"/>
        </w:rPr>
        <w:t>ado que ya existe un pronóstico semestral, no tiene sentido que 3 meses después se deba entregar otro pronóstico cuando no se tiene información detallada de lo que ocurrirá en 5 meses después</w:t>
      </w:r>
      <w:r w:rsidR="00B72AD6" w:rsidRPr="00330641">
        <w:rPr>
          <w:rFonts w:ascii="ITC Avant Garde" w:hAnsi="ITC Avant Garde"/>
          <w:color w:val="auto"/>
        </w:rPr>
        <w:t>.</w:t>
      </w:r>
      <w:r w:rsidR="00F920B9">
        <w:rPr>
          <w:rFonts w:ascii="ITC Avant Garde" w:hAnsi="ITC Avant Garde"/>
          <w:color w:val="auto"/>
        </w:rPr>
        <w:t xml:space="preserve"> Puntualizó</w:t>
      </w:r>
      <w:r w:rsidR="00CD3452" w:rsidRPr="00330641">
        <w:rPr>
          <w:rFonts w:ascii="ITC Avant Garde" w:hAnsi="ITC Avant Garde"/>
          <w:color w:val="auto"/>
        </w:rPr>
        <w:t xml:space="preserve"> que se debe eliminar el segundo</w:t>
      </w:r>
      <w:r w:rsidR="00300A37" w:rsidRPr="00330641">
        <w:rPr>
          <w:rFonts w:ascii="ITC Avant Garde" w:hAnsi="ITC Avant Garde"/>
          <w:color w:val="auto"/>
        </w:rPr>
        <w:t xml:space="preserve"> pronóstico</w:t>
      </w:r>
      <w:r w:rsidR="00CD3452" w:rsidRPr="00330641">
        <w:rPr>
          <w:rFonts w:ascii="ITC Avant Garde" w:hAnsi="ITC Avant Garde"/>
          <w:color w:val="auto"/>
        </w:rPr>
        <w:t xml:space="preserve"> de ratificación o acotar el plazo, dado que Telmex ya no instala infraestructura de última milla. Adiciona que ningún operador cuenta con pronósticos de los requerimientos de sus clien</w:t>
      </w:r>
      <w:r w:rsidR="001B0ACB">
        <w:rPr>
          <w:rFonts w:ascii="ITC Avant Garde" w:hAnsi="ITC Avant Garde"/>
          <w:color w:val="auto"/>
        </w:rPr>
        <w:t xml:space="preserve">tes con un año de anticipación, </w:t>
      </w:r>
      <w:r w:rsidR="003D31D8">
        <w:rPr>
          <w:rFonts w:ascii="ITC Avant Garde" w:hAnsi="ITC Avant Garde"/>
          <w:color w:val="auto"/>
        </w:rPr>
        <w:t>s</w:t>
      </w:r>
      <w:r>
        <w:rPr>
          <w:rFonts w:ascii="ITC Avant Garde" w:hAnsi="ITC Avant Garde"/>
          <w:color w:val="auto"/>
        </w:rPr>
        <w:t>eñaló</w:t>
      </w:r>
      <w:r w:rsidR="00CD3452" w:rsidRPr="00330641">
        <w:rPr>
          <w:rFonts w:ascii="ITC Avant Garde" w:hAnsi="ITC Avant Garde"/>
          <w:color w:val="auto"/>
        </w:rPr>
        <w:t xml:space="preserve"> que el último párrafo del presente numeral, carece de cualquier lógica comercial y de competencia, por lo que debe eliminarse</w:t>
      </w:r>
      <w:r w:rsidR="00300A37" w:rsidRPr="00330641">
        <w:rPr>
          <w:rFonts w:ascii="ITC Avant Garde" w:hAnsi="ITC Avant Garde"/>
          <w:color w:val="auto"/>
        </w:rPr>
        <w:t>.</w:t>
      </w:r>
      <w:r w:rsidR="002230D9" w:rsidRPr="00330641">
        <w:rPr>
          <w:rFonts w:ascii="ITC Avant Garde" w:hAnsi="ITC Avant Garde"/>
          <w:color w:val="auto"/>
        </w:rPr>
        <w:t xml:space="preserve"> </w:t>
      </w:r>
    </w:p>
    <w:p w:rsidR="002230D9" w:rsidRPr="00330641" w:rsidRDefault="002230D9" w:rsidP="000F58E0">
      <w:pPr>
        <w:autoSpaceDE w:val="0"/>
        <w:autoSpaceDN w:val="0"/>
        <w:adjustRightInd w:val="0"/>
        <w:spacing w:after="0" w:line="276" w:lineRule="auto"/>
        <w:ind w:left="0" w:right="0" w:firstLine="0"/>
        <w:rPr>
          <w:rFonts w:ascii="ITC Avant Garde" w:hAnsi="ITC Avant Garde"/>
          <w:color w:val="auto"/>
        </w:rPr>
      </w:pPr>
    </w:p>
    <w:p w:rsidR="00AE7807" w:rsidRPr="00330641" w:rsidRDefault="00AE7807" w:rsidP="000F58E0">
      <w:pPr>
        <w:pStyle w:val="Textocomentario"/>
        <w:spacing w:after="0" w:line="276" w:lineRule="auto"/>
        <w:jc w:val="both"/>
        <w:rPr>
          <w:rFonts w:ascii="ITC Avant Garde" w:eastAsia="Avant Garde" w:hAnsi="ITC Avant Garde" w:cs="Avant Garde"/>
          <w:sz w:val="22"/>
          <w:szCs w:val="22"/>
          <w:lang w:eastAsia="es-MX"/>
        </w:rPr>
      </w:pPr>
      <w:r w:rsidRPr="00330641">
        <w:rPr>
          <w:rFonts w:ascii="ITC Avant Garde" w:eastAsia="Avant Garde" w:hAnsi="ITC Avant Garde" w:cs="Avant Garde"/>
          <w:sz w:val="22"/>
          <w:szCs w:val="22"/>
          <w:lang w:eastAsia="es-MX"/>
        </w:rPr>
        <w:t>Por otro lado,</w:t>
      </w:r>
      <w:r w:rsidR="00E90584" w:rsidRPr="00330641">
        <w:rPr>
          <w:rFonts w:ascii="ITC Avant Garde" w:eastAsia="Avant Garde" w:hAnsi="ITC Avant Garde" w:cs="Avant Garde"/>
          <w:sz w:val="22"/>
          <w:szCs w:val="22"/>
          <w:lang w:eastAsia="es-MX"/>
        </w:rPr>
        <w:t xml:space="preserve"> </w:t>
      </w:r>
      <w:r w:rsidR="003D31D8">
        <w:rPr>
          <w:rFonts w:ascii="ITC Avant Garde" w:eastAsia="Avant Garde" w:hAnsi="ITC Avant Garde" w:cs="Avant Garde"/>
          <w:sz w:val="22"/>
          <w:szCs w:val="22"/>
          <w:lang w:eastAsia="es-MX"/>
        </w:rPr>
        <w:t>sugirió</w:t>
      </w:r>
      <w:r w:rsidR="00E90584" w:rsidRPr="00330641">
        <w:rPr>
          <w:rFonts w:ascii="ITC Avant Garde" w:eastAsia="Avant Garde" w:hAnsi="ITC Avant Garde" w:cs="Avant Garde"/>
          <w:sz w:val="22"/>
          <w:szCs w:val="22"/>
          <w:lang w:eastAsia="es-MX"/>
        </w:rPr>
        <w:t xml:space="preserve"> eliminar </w:t>
      </w:r>
      <w:r w:rsidR="00300A37" w:rsidRPr="00330641">
        <w:rPr>
          <w:rFonts w:ascii="ITC Avant Garde" w:eastAsia="Avant Garde" w:hAnsi="ITC Avant Garde" w:cs="Avant Garde"/>
          <w:sz w:val="22"/>
          <w:szCs w:val="22"/>
          <w:lang w:eastAsia="es-MX"/>
        </w:rPr>
        <w:t xml:space="preserve">los </w:t>
      </w:r>
      <w:r w:rsidR="00E90584" w:rsidRPr="00330641">
        <w:rPr>
          <w:rFonts w:ascii="ITC Avant Garde" w:eastAsia="Avant Garde" w:hAnsi="ITC Avant Garde" w:cs="Avant Garde"/>
          <w:sz w:val="22"/>
          <w:szCs w:val="22"/>
          <w:lang w:eastAsia="es-MX"/>
        </w:rPr>
        <w:t>párrafo</w:t>
      </w:r>
      <w:r w:rsidR="00300A37" w:rsidRPr="00330641">
        <w:rPr>
          <w:rFonts w:ascii="ITC Avant Garde" w:eastAsia="Avant Garde" w:hAnsi="ITC Avant Garde" w:cs="Avant Garde"/>
          <w:sz w:val="22"/>
          <w:szCs w:val="22"/>
          <w:lang w:eastAsia="es-MX"/>
        </w:rPr>
        <w:t xml:space="preserve">s relacionados que en caso de que los servicios sean menores al 50% de los </w:t>
      </w:r>
      <w:r w:rsidR="004F25ED" w:rsidRPr="00330641">
        <w:rPr>
          <w:rFonts w:ascii="ITC Avant Garde" w:eastAsia="Avant Garde" w:hAnsi="ITC Avant Garde" w:cs="Avant Garde"/>
          <w:sz w:val="22"/>
          <w:szCs w:val="22"/>
          <w:lang w:eastAsia="es-MX"/>
        </w:rPr>
        <w:t xml:space="preserve">pronosticado, y por otro lado, los plazos de entrega podrán ser acordados entre las partes, para el caso del primer caso, Grupo AT&amp;T </w:t>
      </w:r>
      <w:r w:rsidR="003D31D8">
        <w:rPr>
          <w:rFonts w:ascii="ITC Avant Garde" w:eastAsia="Avant Garde" w:hAnsi="ITC Avant Garde" w:cs="Avant Garde"/>
          <w:sz w:val="22"/>
          <w:szCs w:val="22"/>
          <w:lang w:eastAsia="es-MX"/>
        </w:rPr>
        <w:t>s</w:t>
      </w:r>
      <w:r w:rsidR="0012211F">
        <w:rPr>
          <w:rFonts w:ascii="ITC Avant Garde" w:eastAsia="Avant Garde" w:hAnsi="ITC Avant Garde" w:cs="Avant Garde"/>
          <w:sz w:val="22"/>
          <w:szCs w:val="22"/>
          <w:lang w:eastAsia="es-MX"/>
        </w:rPr>
        <w:t>eñaló</w:t>
      </w:r>
      <w:r w:rsidR="004F25ED" w:rsidRPr="00330641">
        <w:rPr>
          <w:rFonts w:ascii="ITC Avant Garde" w:eastAsia="Avant Garde" w:hAnsi="ITC Avant Garde" w:cs="Avant Garde"/>
          <w:sz w:val="22"/>
          <w:szCs w:val="22"/>
          <w:lang w:eastAsia="es-MX"/>
        </w:rPr>
        <w:t xml:space="preserve"> que se imponen condiciones que no son consistentes con los servicios que Telmex presta a sus usuarios y</w:t>
      </w:r>
      <w:r w:rsidRPr="00330641">
        <w:rPr>
          <w:rFonts w:ascii="ITC Avant Garde" w:eastAsia="Avant Garde" w:hAnsi="ITC Avant Garde" w:cs="Avant Garde"/>
          <w:sz w:val="22"/>
          <w:szCs w:val="22"/>
          <w:lang w:eastAsia="es-MX"/>
        </w:rPr>
        <w:t xml:space="preserve"> con respecto</w:t>
      </w:r>
      <w:r w:rsidR="004F25ED" w:rsidRPr="00330641">
        <w:rPr>
          <w:rFonts w:ascii="ITC Avant Garde" w:eastAsia="Avant Garde" w:hAnsi="ITC Avant Garde" w:cs="Avant Garde"/>
          <w:sz w:val="22"/>
          <w:szCs w:val="22"/>
          <w:lang w:eastAsia="es-MX"/>
        </w:rPr>
        <w:t xml:space="preserve"> al segundo párrafo</w:t>
      </w:r>
      <w:r w:rsidRPr="00330641">
        <w:rPr>
          <w:rFonts w:ascii="ITC Avant Garde" w:eastAsia="Avant Garde" w:hAnsi="ITC Avant Garde" w:cs="Avant Garde"/>
          <w:sz w:val="22"/>
          <w:szCs w:val="22"/>
          <w:lang w:eastAsia="es-MX"/>
        </w:rPr>
        <w:t>,</w:t>
      </w:r>
      <w:r w:rsidR="00607573">
        <w:rPr>
          <w:rFonts w:ascii="ITC Avant Garde" w:eastAsia="Avant Garde" w:hAnsi="ITC Avant Garde" w:cs="Avant Garde"/>
          <w:sz w:val="22"/>
          <w:szCs w:val="22"/>
          <w:lang w:eastAsia="es-MX"/>
        </w:rPr>
        <w:t xml:space="preserve"> argumentó</w:t>
      </w:r>
      <w:r w:rsidR="004F25ED" w:rsidRPr="00330641">
        <w:rPr>
          <w:rFonts w:ascii="ITC Avant Garde" w:eastAsia="Avant Garde" w:hAnsi="ITC Avant Garde" w:cs="Avant Garde"/>
          <w:sz w:val="22"/>
          <w:szCs w:val="22"/>
          <w:lang w:eastAsia="es-MX"/>
        </w:rPr>
        <w:t xml:space="preserve"> que,</w:t>
      </w:r>
      <w:r w:rsidR="00E90584" w:rsidRPr="00330641">
        <w:rPr>
          <w:rFonts w:ascii="ITC Avant Garde" w:eastAsia="Avant Garde" w:hAnsi="ITC Avant Garde" w:cs="Avant Garde"/>
          <w:sz w:val="22"/>
          <w:szCs w:val="22"/>
          <w:lang w:eastAsia="es-MX"/>
        </w:rPr>
        <w:t xml:space="preserve"> por un lado los plazos de entrega siempre podrán ser acotados por las partes sin necesidad de indicarlo y, por otra parte, se presta confusión porque parece invalidar los plazos máximos de entrega para enlaces sin </w:t>
      </w:r>
      <w:r w:rsidR="00025E66" w:rsidRPr="00330641">
        <w:rPr>
          <w:rFonts w:ascii="ITC Avant Garde" w:eastAsia="Avant Garde" w:hAnsi="ITC Avant Garde" w:cs="Avant Garde"/>
          <w:sz w:val="22"/>
          <w:szCs w:val="22"/>
          <w:lang w:eastAsia="es-MX"/>
        </w:rPr>
        <w:t>pronóstico</w:t>
      </w:r>
      <w:r w:rsidRPr="00330641">
        <w:rPr>
          <w:rFonts w:ascii="ITC Avant Garde" w:eastAsia="Avant Garde" w:hAnsi="ITC Avant Garde" w:cs="Avant Garde"/>
          <w:sz w:val="22"/>
          <w:szCs w:val="22"/>
          <w:lang w:eastAsia="es-MX"/>
        </w:rPr>
        <w:t>.</w:t>
      </w:r>
      <w:r w:rsidR="003D31D8">
        <w:rPr>
          <w:rFonts w:ascii="ITC Avant Garde" w:eastAsia="Avant Garde" w:hAnsi="ITC Avant Garde" w:cs="Avant Garde"/>
          <w:sz w:val="22"/>
          <w:szCs w:val="22"/>
          <w:lang w:eastAsia="es-MX"/>
        </w:rPr>
        <w:t xml:space="preserve"> </w:t>
      </w:r>
    </w:p>
    <w:p w:rsidR="00EE344E" w:rsidRPr="00330641" w:rsidRDefault="00EE344E" w:rsidP="000F58E0">
      <w:pPr>
        <w:pStyle w:val="Textocomentario"/>
        <w:spacing w:after="0" w:line="276" w:lineRule="auto"/>
        <w:jc w:val="both"/>
        <w:rPr>
          <w:rFonts w:ascii="ITC Avant Garde" w:eastAsia="Avant Garde" w:hAnsi="ITC Avant Garde" w:cs="Avant Garde"/>
          <w:sz w:val="22"/>
          <w:szCs w:val="22"/>
          <w:lang w:eastAsia="es-MX"/>
        </w:rPr>
      </w:pPr>
    </w:p>
    <w:p w:rsidR="00FE04B3" w:rsidRPr="00330641" w:rsidRDefault="00FE04B3" w:rsidP="000F58E0">
      <w:pPr>
        <w:autoSpaceDE w:val="0"/>
        <w:autoSpaceDN w:val="0"/>
        <w:adjustRightInd w:val="0"/>
        <w:spacing w:after="0" w:line="276" w:lineRule="auto"/>
        <w:ind w:left="0" w:right="0" w:firstLine="0"/>
        <w:rPr>
          <w:rFonts w:ascii="ITC Avant Garde" w:hAnsi="ITC Avant Garde"/>
          <w:b/>
          <w:color w:val="auto"/>
        </w:rPr>
      </w:pPr>
      <w:r w:rsidRPr="00330641">
        <w:rPr>
          <w:rFonts w:ascii="ITC Avant Garde" w:hAnsi="ITC Avant Garde"/>
          <w:b/>
          <w:color w:val="auto"/>
        </w:rPr>
        <w:t>Consideraciones del Instituto</w:t>
      </w:r>
      <w:r w:rsidR="00A8132B" w:rsidRPr="00330641">
        <w:rPr>
          <w:rFonts w:ascii="ITC Avant Garde" w:hAnsi="ITC Avant Garde"/>
          <w:b/>
          <w:color w:val="auto"/>
        </w:rPr>
        <w:t>:</w:t>
      </w:r>
    </w:p>
    <w:p w:rsidR="008931EC" w:rsidRPr="00330641" w:rsidRDefault="008931EC" w:rsidP="000F58E0">
      <w:pPr>
        <w:autoSpaceDE w:val="0"/>
        <w:autoSpaceDN w:val="0"/>
        <w:adjustRightInd w:val="0"/>
        <w:spacing w:line="276" w:lineRule="auto"/>
        <w:rPr>
          <w:rFonts w:ascii="ITC Avant Garde" w:hAnsi="ITC Avant Garde"/>
        </w:rPr>
      </w:pPr>
      <w:r w:rsidRPr="00330641">
        <w:rPr>
          <w:rFonts w:ascii="ITC Avant Garde" w:hAnsi="ITC Avant Garde"/>
          <w:color w:val="auto"/>
        </w:rPr>
        <w:t>Los pronósticos son necesarios para la planeació</w:t>
      </w:r>
      <w:r w:rsidR="001B0ACB">
        <w:rPr>
          <w:rFonts w:ascii="ITC Avant Garde" w:hAnsi="ITC Avant Garde"/>
          <w:color w:val="auto"/>
        </w:rPr>
        <w:t xml:space="preserve">n del crecimiento de las redes y </w:t>
      </w:r>
      <w:r w:rsidRPr="00330641">
        <w:rPr>
          <w:rFonts w:ascii="ITC Avant Garde" w:hAnsi="ITC Avant Garde"/>
          <w:color w:val="auto"/>
        </w:rPr>
        <w:t>son acordes a las me</w:t>
      </w:r>
      <w:r w:rsidR="00814734">
        <w:rPr>
          <w:rFonts w:ascii="ITC Avant Garde" w:hAnsi="ITC Avant Garde"/>
          <w:color w:val="auto"/>
        </w:rPr>
        <w:t>jores prácticas internacionales</w:t>
      </w:r>
      <w:r w:rsidRPr="00330641">
        <w:rPr>
          <w:rFonts w:ascii="ITC Avant Garde" w:hAnsi="ITC Avant Garde"/>
          <w:color w:val="auto"/>
        </w:rPr>
        <w:t xml:space="preserve"> </w:t>
      </w:r>
      <w:r w:rsidR="001B0ACB">
        <w:rPr>
          <w:rFonts w:ascii="ITC Avant Garde" w:hAnsi="ITC Avant Garde"/>
          <w:color w:val="auto"/>
        </w:rPr>
        <w:t xml:space="preserve">pues permiten evitar retrasos en la entrega de los servicios </w:t>
      </w:r>
      <w:r w:rsidRPr="00330641">
        <w:rPr>
          <w:rFonts w:ascii="ITC Avant Garde" w:hAnsi="ITC Avant Garde"/>
          <w:color w:val="auto"/>
        </w:rPr>
        <w:t>y</w:t>
      </w:r>
      <w:r w:rsidR="001B0ACB">
        <w:rPr>
          <w:rFonts w:ascii="ITC Avant Garde" w:hAnsi="ITC Avant Garde"/>
          <w:color w:val="auto"/>
        </w:rPr>
        <w:t>/o</w:t>
      </w:r>
      <w:r w:rsidRPr="00330641">
        <w:rPr>
          <w:rFonts w:ascii="ITC Avant Garde" w:hAnsi="ITC Avant Garde"/>
          <w:color w:val="auto"/>
        </w:rPr>
        <w:t xml:space="preserve"> congestionamiento de las redes. Por ello, </w:t>
      </w:r>
      <w:r w:rsidR="001B0ACB">
        <w:rPr>
          <w:rFonts w:ascii="ITC Avant Garde" w:hAnsi="ITC Avant Garde"/>
          <w:color w:val="auto"/>
        </w:rPr>
        <w:t>se considera necesaria la entrega de pronósticos</w:t>
      </w:r>
      <w:r w:rsidRPr="00330641">
        <w:rPr>
          <w:rFonts w:ascii="ITC Avant Garde" w:hAnsi="ITC Avant Garde"/>
          <w:color w:val="auto"/>
        </w:rPr>
        <w:t xml:space="preserve">. </w:t>
      </w:r>
    </w:p>
    <w:p w:rsidR="008931EC" w:rsidRPr="00330641" w:rsidRDefault="008931EC" w:rsidP="000F58E0">
      <w:pPr>
        <w:autoSpaceDE w:val="0"/>
        <w:autoSpaceDN w:val="0"/>
        <w:adjustRightInd w:val="0"/>
        <w:spacing w:line="276" w:lineRule="auto"/>
        <w:rPr>
          <w:rFonts w:ascii="ITC Avant Garde" w:hAnsi="ITC Avant Garde"/>
        </w:rPr>
      </w:pPr>
    </w:p>
    <w:p w:rsidR="008931EC" w:rsidRPr="00330641" w:rsidRDefault="001B0ACB" w:rsidP="000F58E0">
      <w:pPr>
        <w:autoSpaceDE w:val="0"/>
        <w:autoSpaceDN w:val="0"/>
        <w:adjustRightInd w:val="0"/>
        <w:spacing w:line="276" w:lineRule="auto"/>
        <w:rPr>
          <w:rFonts w:ascii="ITC Avant Garde" w:hAnsi="ITC Avant Garde"/>
        </w:rPr>
      </w:pPr>
      <w:r>
        <w:rPr>
          <w:rFonts w:ascii="ITC Avant Garde" w:hAnsi="ITC Avant Garde"/>
        </w:rPr>
        <w:t>Por lo anterior, p</w:t>
      </w:r>
      <w:r w:rsidR="008931EC" w:rsidRPr="00330641">
        <w:rPr>
          <w:rFonts w:ascii="ITC Avant Garde" w:hAnsi="ITC Avant Garde"/>
        </w:rPr>
        <w:t>or lo que respecta a lo señalado por Axtel</w:t>
      </w:r>
      <w:r w:rsidR="00F40B90" w:rsidRPr="00330641">
        <w:rPr>
          <w:rFonts w:ascii="ITC Avant Garde" w:hAnsi="ITC Avant Garde"/>
        </w:rPr>
        <w:t xml:space="preserve"> y</w:t>
      </w:r>
      <w:r w:rsidR="00B25511" w:rsidRPr="00330641">
        <w:rPr>
          <w:rFonts w:ascii="ITC Avant Garde" w:hAnsi="ITC Avant Garde"/>
        </w:rPr>
        <w:t xml:space="preserve"> Grupo AT&amp;T</w:t>
      </w:r>
      <w:r w:rsidR="008931EC" w:rsidRPr="00330641">
        <w:rPr>
          <w:rFonts w:ascii="ITC Avant Garde" w:hAnsi="ITC Avant Garde"/>
        </w:rPr>
        <w:t xml:space="preserve"> en </w:t>
      </w:r>
      <w:r>
        <w:rPr>
          <w:rFonts w:ascii="ITC Avant Garde" w:hAnsi="ITC Avant Garde"/>
        </w:rPr>
        <w:t xml:space="preserve">el </w:t>
      </w:r>
      <w:r w:rsidR="008931EC" w:rsidRPr="00330641">
        <w:rPr>
          <w:rFonts w:ascii="ITC Avant Garde" w:hAnsi="ITC Avant Garde"/>
        </w:rPr>
        <w:t xml:space="preserve">sentido de eliminar </w:t>
      </w:r>
      <w:r w:rsidR="008931EC" w:rsidRPr="00330641">
        <w:rPr>
          <w:rFonts w:ascii="ITC Avant Garde" w:hAnsi="ITC Avant Garde"/>
          <w:color w:val="auto"/>
        </w:rPr>
        <w:t xml:space="preserve">que en caso de contratar un porcentaje menor al 50% de lo pronosticado, se haga conocimiento del Instituto y </w:t>
      </w:r>
      <w:r>
        <w:rPr>
          <w:rFonts w:ascii="ITC Avant Garde" w:hAnsi="ITC Avant Garde"/>
          <w:color w:val="auto"/>
        </w:rPr>
        <w:t xml:space="preserve">con base en ello </w:t>
      </w:r>
      <w:r w:rsidR="008931EC" w:rsidRPr="00330641">
        <w:rPr>
          <w:rFonts w:ascii="ITC Avant Garde" w:hAnsi="ITC Avant Garde"/>
          <w:color w:val="auto"/>
        </w:rPr>
        <w:t>modificar el próximo pronóstico</w:t>
      </w:r>
      <w:r>
        <w:rPr>
          <w:rFonts w:ascii="ITC Avant Garde" w:hAnsi="ITC Avant Garde"/>
        </w:rPr>
        <w:t xml:space="preserve"> y que </w:t>
      </w:r>
      <w:r w:rsidR="008931EC" w:rsidRPr="00330641">
        <w:rPr>
          <w:rFonts w:ascii="ITC Avant Garde" w:hAnsi="ITC Avant Garde"/>
          <w:color w:val="auto"/>
        </w:rPr>
        <w:t xml:space="preserve">se elimine la condición </w:t>
      </w:r>
      <w:r w:rsidR="008931EC" w:rsidRPr="00330641">
        <w:rPr>
          <w:rFonts w:ascii="ITC Avant Garde" w:hAnsi="ITC Avant Garde"/>
        </w:rPr>
        <w:t xml:space="preserve">de </w:t>
      </w:r>
      <w:r w:rsidR="008931EC" w:rsidRPr="00330641">
        <w:rPr>
          <w:rFonts w:ascii="ITC Avant Garde" w:hAnsi="ITC Avant Garde"/>
          <w:color w:val="auto"/>
        </w:rPr>
        <w:t xml:space="preserve">que en caso de no presentar los pronósticos se deberán acordar los tiempos entre las partes y </w:t>
      </w:r>
      <w:r w:rsidR="008931EC" w:rsidRPr="00330641">
        <w:rPr>
          <w:rFonts w:ascii="ITC Avant Garde" w:hAnsi="ITC Avant Garde"/>
        </w:rPr>
        <w:t>eliminar de</w:t>
      </w:r>
      <w:r w:rsidR="008931EC" w:rsidRPr="00330641">
        <w:rPr>
          <w:rFonts w:ascii="ITC Avant Garde" w:hAnsi="ITC Avant Garde"/>
          <w:color w:val="auto"/>
        </w:rPr>
        <w:t>l</w:t>
      </w:r>
      <w:r>
        <w:rPr>
          <w:rFonts w:ascii="ITC Avant Garde" w:hAnsi="ITC Avant Garde"/>
          <w:color w:val="auto"/>
        </w:rPr>
        <w:t xml:space="preserve"> formato de pronó</w:t>
      </w:r>
      <w:r w:rsidR="008931EC" w:rsidRPr="00330641">
        <w:rPr>
          <w:rFonts w:ascii="ITC Avant Garde" w:hAnsi="ITC Avant Garde"/>
          <w:color w:val="auto"/>
        </w:rPr>
        <w:t>stico el incluir tanto la localidad como el mes de contratación,</w:t>
      </w:r>
      <w:r>
        <w:rPr>
          <w:rFonts w:ascii="ITC Avant Garde" w:hAnsi="ITC Avant Garde"/>
        </w:rPr>
        <w:t xml:space="preserve"> se </w:t>
      </w:r>
      <w:r>
        <w:rPr>
          <w:rFonts w:ascii="ITC Avant Garde" w:hAnsi="ITC Avant Garde"/>
        </w:rPr>
        <w:lastRenderedPageBreak/>
        <w:t>señala que dichas condiciones establecen el procedimiento para la consideración de la entrega de pronósticos por lo que es necesaria su conservación</w:t>
      </w:r>
      <w:r w:rsidR="00330641">
        <w:rPr>
          <w:rFonts w:ascii="ITC Avant Garde" w:hAnsi="ITC Avant Garde"/>
        </w:rPr>
        <w:t>.</w:t>
      </w:r>
      <w:r w:rsidR="008931EC" w:rsidRPr="00330641">
        <w:rPr>
          <w:rFonts w:ascii="ITC Avant Garde" w:hAnsi="ITC Avant Garde"/>
        </w:rPr>
        <w:t xml:space="preserve"> </w:t>
      </w:r>
    </w:p>
    <w:p w:rsidR="008931EC" w:rsidRPr="00330641" w:rsidRDefault="008931EC" w:rsidP="000F58E0">
      <w:pPr>
        <w:autoSpaceDE w:val="0"/>
        <w:autoSpaceDN w:val="0"/>
        <w:adjustRightInd w:val="0"/>
        <w:spacing w:line="276" w:lineRule="auto"/>
        <w:rPr>
          <w:rFonts w:ascii="ITC Avant Garde" w:hAnsi="ITC Avant Garde"/>
        </w:rPr>
      </w:pPr>
    </w:p>
    <w:p w:rsidR="008931EC" w:rsidRPr="00330641" w:rsidRDefault="008931EC" w:rsidP="000F58E0">
      <w:pPr>
        <w:autoSpaceDE w:val="0"/>
        <w:autoSpaceDN w:val="0"/>
        <w:adjustRightInd w:val="0"/>
        <w:spacing w:after="0" w:line="276" w:lineRule="auto"/>
        <w:ind w:left="0" w:right="0" w:firstLine="0"/>
        <w:rPr>
          <w:rFonts w:ascii="ITC Avant Garde" w:hAnsi="ITC Avant Garde"/>
          <w:color w:val="auto"/>
        </w:rPr>
      </w:pPr>
      <w:r w:rsidRPr="00330641">
        <w:rPr>
          <w:rFonts w:ascii="ITC Avant Garde" w:hAnsi="ITC Avant Garde"/>
        </w:rPr>
        <w:t xml:space="preserve">Por otro lado, con relación a la solicitud de eliminar o modificar las ratificaciones de los pronósticos sobre bases bimestrales, </w:t>
      </w:r>
      <w:r w:rsidR="008B4362">
        <w:rPr>
          <w:rFonts w:ascii="ITC Avant Garde" w:hAnsi="ITC Avant Garde"/>
        </w:rPr>
        <w:t>se considera que dicha información es necesaria para la</w:t>
      </w:r>
      <w:r w:rsidRPr="00330641">
        <w:rPr>
          <w:rFonts w:ascii="ITC Avant Garde" w:hAnsi="ITC Avant Garde"/>
          <w:color w:val="auto"/>
        </w:rPr>
        <w:t xml:space="preserve"> debida planeación del crecimiento de las redes</w:t>
      </w:r>
      <w:r w:rsidRPr="00330641">
        <w:rPr>
          <w:rFonts w:ascii="ITC Avant Garde" w:hAnsi="ITC Avant Garde"/>
        </w:rPr>
        <w:t>. Por último, cabe señalar que,</w:t>
      </w:r>
      <w:r w:rsidRPr="00330641">
        <w:rPr>
          <w:rFonts w:ascii="ITC Avant Garde" w:hAnsi="ITC Avant Garde"/>
          <w:color w:val="auto"/>
        </w:rPr>
        <w:t xml:space="preserve"> a efecto de que los plazos para solicitudes fuera de pronóstico no resulten excesivos, en la ORE</w:t>
      </w:r>
      <w:r w:rsidR="00CB21C3" w:rsidRPr="00330641">
        <w:rPr>
          <w:rFonts w:ascii="ITC Avant Garde" w:hAnsi="ITC Avant Garde"/>
          <w:color w:val="auto"/>
        </w:rPr>
        <w:t xml:space="preserve"> DM</w:t>
      </w:r>
      <w:r w:rsidRPr="00330641">
        <w:rPr>
          <w:rFonts w:ascii="ITC Avant Garde" w:hAnsi="ITC Avant Garde"/>
          <w:color w:val="auto"/>
        </w:rPr>
        <w:t xml:space="preserve"> 202</w:t>
      </w:r>
      <w:r w:rsidR="00CB21C3" w:rsidRPr="00330641">
        <w:rPr>
          <w:rFonts w:ascii="ITC Avant Garde" w:hAnsi="ITC Avant Garde"/>
          <w:color w:val="auto"/>
        </w:rPr>
        <w:t>1</w:t>
      </w:r>
      <w:r w:rsidRPr="00330641">
        <w:rPr>
          <w:rFonts w:ascii="ITC Avant Garde" w:hAnsi="ITC Avant Garde"/>
          <w:color w:val="auto"/>
        </w:rPr>
        <w:t xml:space="preserve"> se establecieron los plazos máximos para dichos casos, donde éstos son equivalentes a los plazos más cortos que el AEP ha suscrito cuando no existen pronósticos. </w:t>
      </w:r>
      <w:r w:rsidR="000F58E0" w:rsidRPr="00330641">
        <w:rPr>
          <w:rFonts w:ascii="ITC Avant Garde" w:hAnsi="ITC Avant Garde"/>
          <w:color w:val="auto"/>
        </w:rPr>
        <w:t xml:space="preserve">Asimismo, </w:t>
      </w:r>
      <w:r w:rsidRPr="00330641">
        <w:rPr>
          <w:rFonts w:ascii="ITC Avant Garde" w:hAnsi="ITC Avant Garde"/>
          <w:color w:val="auto"/>
        </w:rPr>
        <w:t xml:space="preserve">la </w:t>
      </w:r>
      <w:r w:rsidR="000F58E0" w:rsidRPr="00330641">
        <w:rPr>
          <w:rFonts w:ascii="ITC Avant Garde" w:hAnsi="ITC Avant Garde"/>
          <w:color w:val="auto"/>
        </w:rPr>
        <w:t>presentación de</w:t>
      </w:r>
      <w:r w:rsidRPr="00330641">
        <w:rPr>
          <w:rFonts w:ascii="ITC Avant Garde" w:hAnsi="ITC Avant Garde"/>
          <w:color w:val="auto"/>
        </w:rPr>
        <w:t xml:space="preserve"> pronósticos </w:t>
      </w:r>
      <w:r w:rsidR="008B4362">
        <w:rPr>
          <w:rFonts w:ascii="ITC Avant Garde" w:hAnsi="ITC Avant Garde"/>
          <w:color w:val="auto"/>
        </w:rPr>
        <w:t>es acorde</w:t>
      </w:r>
      <w:r w:rsidR="00A90392" w:rsidRPr="00330641">
        <w:rPr>
          <w:rFonts w:ascii="ITC Avant Garde" w:hAnsi="ITC Avant Garde"/>
          <w:color w:val="auto"/>
        </w:rPr>
        <w:t xml:space="preserve"> a lo</w:t>
      </w:r>
      <w:r w:rsidRPr="00330641">
        <w:rPr>
          <w:rFonts w:ascii="ITC Avant Garde" w:hAnsi="ITC Avant Garde"/>
          <w:color w:val="auto"/>
        </w:rPr>
        <w:t xml:space="preserve"> establecido en la Medida Decimoquinta de las Medidas Fijas, en el entendido de que </w:t>
      </w:r>
      <w:r w:rsidR="008B4362">
        <w:rPr>
          <w:rFonts w:ascii="ITC Avant Garde" w:hAnsi="ITC Avant Garde"/>
          <w:color w:val="auto"/>
        </w:rPr>
        <w:t>la</w:t>
      </w:r>
      <w:r w:rsidRPr="00330641">
        <w:rPr>
          <w:rFonts w:ascii="ITC Avant Garde" w:hAnsi="ITC Avant Garde"/>
          <w:color w:val="auto"/>
        </w:rPr>
        <w:t xml:space="preserve"> proyección de demanda de servicios no </w:t>
      </w:r>
      <w:r w:rsidR="008B4362">
        <w:rPr>
          <w:rFonts w:ascii="ITC Avant Garde" w:hAnsi="ITC Avant Garde"/>
          <w:color w:val="auto"/>
        </w:rPr>
        <w:t>impide</w:t>
      </w:r>
      <w:r w:rsidRPr="00330641">
        <w:rPr>
          <w:rFonts w:ascii="ITC Avant Garde" w:hAnsi="ITC Avant Garde"/>
          <w:color w:val="auto"/>
        </w:rPr>
        <w:t xml:space="preserve"> que los CS y AS puedan requerir servicios en adición a los comprendidos en las mencionadas proyecciones, ni se entenderá como un compromiso de compra por parte del CS o AS.</w:t>
      </w:r>
    </w:p>
    <w:p w:rsidR="008F008A" w:rsidRPr="00330641" w:rsidRDefault="008F008A" w:rsidP="000F58E0">
      <w:pPr>
        <w:autoSpaceDE w:val="0"/>
        <w:autoSpaceDN w:val="0"/>
        <w:adjustRightInd w:val="0"/>
        <w:spacing w:after="0" w:line="276" w:lineRule="auto"/>
        <w:ind w:left="0" w:right="0" w:firstLine="0"/>
        <w:rPr>
          <w:rFonts w:ascii="ITC Avant Garde" w:hAnsi="ITC Avant Garde"/>
        </w:rPr>
      </w:pPr>
    </w:p>
    <w:p w:rsidR="00DA60CB" w:rsidRPr="00330641" w:rsidRDefault="005D0EB9" w:rsidP="000F58E0">
      <w:pPr>
        <w:spacing w:after="0" w:line="276" w:lineRule="auto"/>
        <w:ind w:left="0" w:right="0"/>
        <w:rPr>
          <w:rFonts w:ascii="ITC Avant Garde" w:eastAsia="Times New Roman" w:hAnsi="ITC Avant Garde"/>
          <w:u w:val="single"/>
        </w:rPr>
      </w:pPr>
      <w:r w:rsidRPr="00330641">
        <w:rPr>
          <w:rFonts w:ascii="ITC Avant Garde" w:eastAsia="Times New Roman" w:hAnsi="ITC Avant Garde"/>
          <w:b/>
          <w:u w:val="single"/>
        </w:rPr>
        <w:t xml:space="preserve">2.3 </w:t>
      </w:r>
      <w:r w:rsidR="00DA60CB" w:rsidRPr="00330641">
        <w:rPr>
          <w:rFonts w:ascii="ITC Avant Garde" w:eastAsia="Times New Roman" w:hAnsi="ITC Avant Garde"/>
          <w:b/>
          <w:u w:val="single"/>
        </w:rPr>
        <w:t>Capacidad de Servicios</w:t>
      </w:r>
      <w:r w:rsidR="00376A5D" w:rsidRPr="00330641">
        <w:rPr>
          <w:rFonts w:ascii="ITC Avant Garde" w:eastAsia="Times New Roman" w:hAnsi="ITC Avant Garde"/>
          <w:b/>
          <w:u w:val="single"/>
        </w:rPr>
        <w:t>.</w:t>
      </w:r>
    </w:p>
    <w:p w:rsidR="00377693" w:rsidRPr="00330641" w:rsidRDefault="00377693" w:rsidP="000F58E0">
      <w:pPr>
        <w:autoSpaceDE w:val="0"/>
        <w:autoSpaceDN w:val="0"/>
        <w:adjustRightInd w:val="0"/>
        <w:spacing w:after="0" w:line="276" w:lineRule="auto"/>
        <w:ind w:left="0" w:right="0" w:firstLine="0"/>
        <w:rPr>
          <w:rFonts w:ascii="ITC Avant Garde" w:hAnsi="ITC Avant Garde"/>
          <w:b/>
          <w:color w:val="auto"/>
        </w:rPr>
      </w:pPr>
      <w:r w:rsidRPr="00330641">
        <w:rPr>
          <w:rFonts w:ascii="ITC Avant Garde" w:hAnsi="ITC Avant Garde"/>
          <w:b/>
          <w:color w:val="auto"/>
        </w:rPr>
        <w:t>AXTEL</w:t>
      </w:r>
      <w:r w:rsidR="00A90392" w:rsidRPr="00330641">
        <w:rPr>
          <w:rFonts w:ascii="ITC Avant Garde" w:hAnsi="ITC Avant Garde"/>
          <w:b/>
          <w:color w:val="auto"/>
        </w:rPr>
        <w:t>:</w:t>
      </w:r>
    </w:p>
    <w:p w:rsidR="003D5B1F" w:rsidRPr="00330641" w:rsidRDefault="000D339B" w:rsidP="000D339B">
      <w:pPr>
        <w:autoSpaceDE w:val="0"/>
        <w:autoSpaceDN w:val="0"/>
        <w:adjustRightInd w:val="0"/>
        <w:spacing w:after="0" w:line="276" w:lineRule="auto"/>
        <w:ind w:left="0" w:right="0" w:firstLine="0"/>
        <w:rPr>
          <w:rFonts w:ascii="ITC Avant Garde" w:hAnsi="ITC Avant Garde"/>
          <w:color w:val="auto"/>
        </w:rPr>
      </w:pPr>
      <w:r w:rsidRPr="00330641">
        <w:rPr>
          <w:rFonts w:ascii="ITC Avant Garde" w:hAnsi="ITC Avant Garde"/>
          <w:color w:val="auto"/>
        </w:rPr>
        <w:t xml:space="preserve">Axtel </w:t>
      </w:r>
      <w:r w:rsidR="00BF0250">
        <w:rPr>
          <w:rFonts w:ascii="ITC Avant Garde" w:hAnsi="ITC Avant Garde"/>
          <w:color w:val="auto"/>
        </w:rPr>
        <w:t>propuso</w:t>
      </w:r>
      <w:r w:rsidRPr="00330641">
        <w:rPr>
          <w:rFonts w:ascii="ITC Avant Garde" w:hAnsi="ITC Avant Garde"/>
          <w:color w:val="auto"/>
        </w:rPr>
        <w:t xml:space="preserve"> incluir los servicios de enlaces con un ancho de banda que permita cubrir las necesidades de los clientes que </w:t>
      </w:r>
      <w:r w:rsidR="00814734">
        <w:rPr>
          <w:rFonts w:ascii="ITC Avant Garde" w:hAnsi="ITC Avant Garde"/>
          <w:color w:val="auto"/>
        </w:rPr>
        <w:t>usan</w:t>
      </w:r>
      <w:r w:rsidRPr="00330641">
        <w:rPr>
          <w:rFonts w:ascii="ITC Avant Garde" w:hAnsi="ITC Avant Garde"/>
          <w:color w:val="auto"/>
        </w:rPr>
        <w:t xml:space="preserve"> Nx64 hasta 512 kbps, así como considerar los precios de los anchos de banda de TDM</w:t>
      </w:r>
      <w:r w:rsidR="00BF0250">
        <w:rPr>
          <w:rFonts w:ascii="ITC Avant Garde" w:hAnsi="ITC Avant Garde"/>
          <w:color w:val="auto"/>
        </w:rPr>
        <w:t>, argumentando</w:t>
      </w:r>
      <w:r w:rsidR="003D5B1F" w:rsidRPr="00330641">
        <w:rPr>
          <w:rFonts w:ascii="ITC Avant Garde" w:hAnsi="ITC Avant Garde"/>
          <w:color w:val="auto"/>
        </w:rPr>
        <w:t xml:space="preserve"> que se podrían estar sustituyendo</w:t>
      </w:r>
      <w:r w:rsidR="00BF0250">
        <w:rPr>
          <w:rFonts w:ascii="ITC Avant Garde" w:hAnsi="ITC Avant Garde"/>
          <w:color w:val="auto"/>
        </w:rPr>
        <w:t xml:space="preserve"> y </w:t>
      </w:r>
      <w:r w:rsidR="00BF0250" w:rsidRPr="00516E95">
        <w:rPr>
          <w:rFonts w:ascii="ITC Avant Garde" w:hAnsi="ITC Avant Garde" w:cs="Arial"/>
          <w:color w:val="auto"/>
        </w:rPr>
        <w:t>que la tecnología ETH es más económica que la TDM.</w:t>
      </w:r>
    </w:p>
    <w:p w:rsidR="003D5B1F" w:rsidRPr="00330641" w:rsidRDefault="003D5B1F" w:rsidP="000D339B">
      <w:pPr>
        <w:autoSpaceDE w:val="0"/>
        <w:autoSpaceDN w:val="0"/>
        <w:adjustRightInd w:val="0"/>
        <w:spacing w:after="0" w:line="276" w:lineRule="auto"/>
        <w:ind w:left="0" w:right="0" w:firstLine="0"/>
        <w:rPr>
          <w:rFonts w:ascii="ITC Avant Garde" w:hAnsi="ITC Avant Garde"/>
          <w:color w:val="auto"/>
        </w:rPr>
      </w:pPr>
    </w:p>
    <w:p w:rsidR="000D339B" w:rsidRPr="00330641" w:rsidRDefault="003D5B1F" w:rsidP="000D339B">
      <w:pPr>
        <w:autoSpaceDE w:val="0"/>
        <w:autoSpaceDN w:val="0"/>
        <w:adjustRightInd w:val="0"/>
        <w:spacing w:after="0" w:line="276" w:lineRule="auto"/>
        <w:ind w:left="0" w:right="0" w:firstLine="0"/>
        <w:rPr>
          <w:rFonts w:ascii="ITC Avant Garde" w:hAnsi="ITC Avant Garde"/>
          <w:color w:val="auto"/>
        </w:rPr>
      </w:pPr>
      <w:r w:rsidRPr="00330641">
        <w:rPr>
          <w:rFonts w:ascii="ITC Avant Garde" w:hAnsi="ITC Avant Garde"/>
          <w:color w:val="auto"/>
        </w:rPr>
        <w:t>Aunado a lo anterior</w:t>
      </w:r>
      <w:r w:rsidR="000D339B" w:rsidRPr="00330641">
        <w:rPr>
          <w:rFonts w:ascii="ITC Avant Garde" w:hAnsi="ITC Avant Garde"/>
          <w:color w:val="auto"/>
        </w:rPr>
        <w:t>, propone una velocidad menor a 1 Mbps para cubrir las bajas velocidades de</w:t>
      </w:r>
      <w:r w:rsidRPr="00330641">
        <w:rPr>
          <w:rFonts w:ascii="ITC Avant Garde" w:hAnsi="ITC Avant Garde"/>
          <w:color w:val="auto"/>
        </w:rPr>
        <w:t xml:space="preserve"> </w:t>
      </w:r>
      <w:r w:rsidR="000D339B" w:rsidRPr="00330641">
        <w:rPr>
          <w:rFonts w:ascii="ITC Avant Garde" w:hAnsi="ITC Avant Garde"/>
          <w:color w:val="auto"/>
        </w:rPr>
        <w:t xml:space="preserve">64 kbps a 512 kbps en TDM sea igual a 500 kbps y 768 kbps y 1024 kbps en TDM </w:t>
      </w:r>
      <w:r w:rsidR="0063568C" w:rsidRPr="00330641">
        <w:rPr>
          <w:rFonts w:ascii="ITC Avant Garde" w:hAnsi="ITC Avant Garde"/>
          <w:color w:val="auto"/>
        </w:rPr>
        <w:t xml:space="preserve">que </w:t>
      </w:r>
      <w:r w:rsidR="000D339B" w:rsidRPr="00330641">
        <w:rPr>
          <w:rFonts w:ascii="ITC Avant Garde" w:hAnsi="ITC Avant Garde"/>
          <w:color w:val="auto"/>
        </w:rPr>
        <w:t>sea igual a 1 Mbps con el precio equiparable al promedio de los enlaces contratados en ese rango de velocidades.</w:t>
      </w:r>
    </w:p>
    <w:p w:rsidR="008450D1" w:rsidRPr="00330641" w:rsidRDefault="008450D1" w:rsidP="000D339B">
      <w:pPr>
        <w:autoSpaceDE w:val="0"/>
        <w:autoSpaceDN w:val="0"/>
        <w:adjustRightInd w:val="0"/>
        <w:spacing w:after="0" w:line="276" w:lineRule="auto"/>
        <w:ind w:left="0" w:right="0" w:firstLine="0"/>
        <w:rPr>
          <w:rFonts w:ascii="ITC Avant Garde" w:hAnsi="ITC Avant Garde"/>
          <w:b/>
          <w:color w:val="auto"/>
        </w:rPr>
      </w:pPr>
    </w:p>
    <w:p w:rsidR="00E14FB2" w:rsidRPr="00330641" w:rsidRDefault="00CD7852" w:rsidP="000F58E0">
      <w:pPr>
        <w:spacing w:after="0" w:line="276" w:lineRule="auto"/>
        <w:ind w:left="0" w:right="0" w:firstLine="0"/>
        <w:rPr>
          <w:rFonts w:ascii="ITC Avant Garde" w:eastAsia="Times New Roman" w:hAnsi="ITC Avant Garde" w:cs="Times New Roman"/>
          <w:color w:val="auto"/>
        </w:rPr>
      </w:pPr>
      <w:r w:rsidRPr="00330641">
        <w:rPr>
          <w:rFonts w:ascii="ITC Avant Garde" w:hAnsi="ITC Avant Garde"/>
          <w:b/>
          <w:color w:val="auto"/>
        </w:rPr>
        <w:t>GRUPO AT&amp;T</w:t>
      </w:r>
      <w:r w:rsidR="00326630" w:rsidRPr="00330641">
        <w:rPr>
          <w:rFonts w:ascii="ITC Avant Garde" w:hAnsi="ITC Avant Garde"/>
          <w:b/>
          <w:color w:val="auto"/>
        </w:rPr>
        <w:t>:</w:t>
      </w:r>
      <w:r w:rsidR="005E187B" w:rsidRPr="00330641">
        <w:rPr>
          <w:rFonts w:ascii="ITC Avant Garde" w:hAnsi="ITC Avant Garde"/>
          <w:b/>
          <w:color w:val="auto"/>
        </w:rPr>
        <w:t xml:space="preserve"> </w:t>
      </w:r>
    </w:p>
    <w:p w:rsidR="00326630" w:rsidRPr="00330641" w:rsidRDefault="00F144FB" w:rsidP="000F58E0">
      <w:pPr>
        <w:spacing w:after="0" w:line="276" w:lineRule="auto"/>
        <w:ind w:left="0" w:right="0" w:firstLine="0"/>
        <w:rPr>
          <w:rFonts w:ascii="ITC Avant Garde" w:eastAsia="Times New Roman" w:hAnsi="ITC Avant Garde" w:cs="Times New Roman"/>
          <w:color w:val="auto"/>
        </w:rPr>
      </w:pPr>
      <w:r w:rsidRPr="00330641">
        <w:rPr>
          <w:rFonts w:ascii="ITC Avant Garde" w:hAnsi="ITC Avant Garde"/>
          <w:color w:val="auto"/>
        </w:rPr>
        <w:t>S</w:t>
      </w:r>
      <w:r w:rsidR="003D31D8">
        <w:rPr>
          <w:rFonts w:ascii="ITC Avant Garde" w:hAnsi="ITC Avant Garde"/>
          <w:color w:val="auto"/>
        </w:rPr>
        <w:t>ugirió</w:t>
      </w:r>
      <w:r w:rsidRPr="00330641">
        <w:rPr>
          <w:rFonts w:ascii="ITC Avant Garde" w:hAnsi="ITC Avant Garde"/>
          <w:color w:val="auto"/>
        </w:rPr>
        <w:t xml:space="preserve"> que los servicios de Ethernet ofertados deben ser de cualquier capacidad de entre 1 Mbps a 100 </w:t>
      </w:r>
      <w:proofErr w:type="spellStart"/>
      <w:r w:rsidRPr="00330641">
        <w:rPr>
          <w:rFonts w:ascii="ITC Avant Garde" w:hAnsi="ITC Avant Garde"/>
          <w:color w:val="auto"/>
        </w:rPr>
        <w:t>Gbps</w:t>
      </w:r>
      <w:proofErr w:type="spellEnd"/>
      <w:r w:rsidRPr="00330641">
        <w:rPr>
          <w:rFonts w:ascii="ITC Avant Garde" w:hAnsi="ITC Avant Garde"/>
          <w:color w:val="auto"/>
        </w:rPr>
        <w:t xml:space="preserve">. </w:t>
      </w:r>
      <w:r w:rsidR="005F669E" w:rsidRPr="00330641">
        <w:rPr>
          <w:rFonts w:ascii="ITC Avant Garde" w:hAnsi="ITC Avant Garde"/>
          <w:color w:val="auto"/>
        </w:rPr>
        <w:t>Asimismo,</w:t>
      </w:r>
      <w:r w:rsidR="00B72AD6" w:rsidRPr="00330641">
        <w:rPr>
          <w:rFonts w:ascii="ITC Avant Garde" w:hAnsi="ITC Avant Garde"/>
          <w:color w:val="auto"/>
        </w:rPr>
        <w:t xml:space="preserve"> </w:t>
      </w:r>
      <w:r w:rsidR="003D31D8">
        <w:rPr>
          <w:rFonts w:ascii="ITC Avant Garde" w:hAnsi="ITC Avant Garde"/>
          <w:color w:val="auto"/>
        </w:rPr>
        <w:t>solicitó</w:t>
      </w:r>
      <w:r w:rsidRPr="00330641">
        <w:rPr>
          <w:rFonts w:ascii="ITC Avant Garde" w:hAnsi="ITC Avant Garde"/>
          <w:color w:val="auto"/>
        </w:rPr>
        <w:t xml:space="preserve">, </w:t>
      </w:r>
      <w:r w:rsidR="00893FFD" w:rsidRPr="00330641">
        <w:rPr>
          <w:rFonts w:ascii="ITC Avant Garde" w:hAnsi="ITC Avant Garde"/>
          <w:color w:val="auto"/>
        </w:rPr>
        <w:t xml:space="preserve">mantener la velocidad 100 </w:t>
      </w:r>
      <w:proofErr w:type="spellStart"/>
      <w:r w:rsidR="00893FFD" w:rsidRPr="00330641">
        <w:rPr>
          <w:rFonts w:ascii="ITC Avant Garde" w:hAnsi="ITC Avant Garde"/>
          <w:color w:val="auto"/>
        </w:rPr>
        <w:t>Gbps</w:t>
      </w:r>
      <w:proofErr w:type="spellEnd"/>
      <w:r w:rsidR="00893FFD" w:rsidRPr="00330641">
        <w:rPr>
          <w:rFonts w:ascii="ITC Avant Garde" w:hAnsi="ITC Avant Garde"/>
          <w:color w:val="auto"/>
        </w:rPr>
        <w:t xml:space="preserve"> </w:t>
      </w:r>
      <w:r w:rsidRPr="00330641">
        <w:rPr>
          <w:rFonts w:ascii="ITC Avant Garde" w:hAnsi="ITC Avant Garde"/>
          <w:color w:val="auto"/>
        </w:rPr>
        <w:t>ya que</w:t>
      </w:r>
      <w:r w:rsidR="00893FFD" w:rsidRPr="00330641">
        <w:rPr>
          <w:rFonts w:ascii="ITC Avant Garde" w:hAnsi="ITC Avant Garde"/>
          <w:color w:val="auto"/>
        </w:rPr>
        <w:t xml:space="preserve"> se ha convertido en un estándar de la industria y se requiere para concentrar enlaces en puntos de conmutación, así como el </w:t>
      </w:r>
      <w:proofErr w:type="spellStart"/>
      <w:r w:rsidR="00893FFD" w:rsidRPr="00330641">
        <w:rPr>
          <w:rFonts w:ascii="ITC Avant Garde" w:hAnsi="ITC Avant Garde"/>
          <w:color w:val="auto"/>
        </w:rPr>
        <w:t>Hub</w:t>
      </w:r>
      <w:proofErr w:type="spellEnd"/>
      <w:r w:rsidR="00893FFD" w:rsidRPr="00330641">
        <w:rPr>
          <w:rFonts w:ascii="ITC Avant Garde" w:hAnsi="ITC Avant Garde"/>
          <w:color w:val="auto"/>
        </w:rPr>
        <w:t xml:space="preserve"> de 100 </w:t>
      </w:r>
      <w:proofErr w:type="spellStart"/>
      <w:r w:rsidR="00893FFD" w:rsidRPr="00330641">
        <w:rPr>
          <w:rFonts w:ascii="ITC Avant Garde" w:hAnsi="ITC Avant Garde"/>
          <w:color w:val="auto"/>
        </w:rPr>
        <w:t>Gbps</w:t>
      </w:r>
      <w:proofErr w:type="spellEnd"/>
      <w:r w:rsidR="00893FFD" w:rsidRPr="00330641">
        <w:rPr>
          <w:rFonts w:ascii="ITC Avant Garde" w:hAnsi="ITC Avant Garde"/>
          <w:color w:val="auto"/>
        </w:rPr>
        <w:t xml:space="preserve"> correspondiente.</w:t>
      </w:r>
    </w:p>
    <w:p w:rsidR="00326630" w:rsidRPr="00330641" w:rsidRDefault="00326630" w:rsidP="000F58E0">
      <w:pPr>
        <w:spacing w:after="0" w:line="276" w:lineRule="auto"/>
        <w:ind w:left="0" w:right="0" w:firstLine="0"/>
        <w:rPr>
          <w:rFonts w:ascii="ITC Avant Garde" w:eastAsia="Times New Roman" w:hAnsi="ITC Avant Garde" w:cs="Times New Roman"/>
          <w:color w:val="auto"/>
        </w:rPr>
      </w:pPr>
    </w:p>
    <w:p w:rsidR="007926DE" w:rsidRPr="00330641" w:rsidRDefault="007926DE" w:rsidP="000F58E0">
      <w:pPr>
        <w:spacing w:after="0" w:line="276" w:lineRule="auto"/>
        <w:ind w:left="0" w:right="0" w:firstLine="0"/>
        <w:rPr>
          <w:rFonts w:ascii="ITC Avant Garde" w:eastAsia="Times New Roman" w:hAnsi="ITC Avant Garde" w:cs="Times New Roman"/>
          <w:b/>
          <w:color w:val="auto"/>
        </w:rPr>
      </w:pPr>
      <w:r w:rsidRPr="00330641">
        <w:rPr>
          <w:rFonts w:ascii="ITC Avant Garde" w:eastAsia="Times New Roman" w:hAnsi="ITC Avant Garde" w:cs="Times New Roman"/>
          <w:b/>
          <w:color w:val="auto"/>
        </w:rPr>
        <w:t>Consideraciones del Instituto</w:t>
      </w:r>
      <w:r w:rsidR="00326630" w:rsidRPr="00330641">
        <w:rPr>
          <w:rFonts w:ascii="ITC Avant Garde" w:eastAsia="Times New Roman" w:hAnsi="ITC Avant Garde" w:cs="Times New Roman"/>
          <w:b/>
          <w:color w:val="auto"/>
        </w:rPr>
        <w:t>:</w:t>
      </w:r>
    </w:p>
    <w:p w:rsidR="00326630" w:rsidRPr="00330641" w:rsidRDefault="006B6D00" w:rsidP="000F58E0">
      <w:pPr>
        <w:spacing w:after="0" w:line="276" w:lineRule="auto"/>
        <w:ind w:left="0" w:right="0" w:firstLine="0"/>
        <w:rPr>
          <w:rFonts w:ascii="ITC Avant Garde" w:eastAsia="Times New Roman" w:hAnsi="ITC Avant Garde" w:cs="Times New Roman"/>
          <w:color w:val="auto"/>
        </w:rPr>
      </w:pPr>
      <w:r w:rsidRPr="00330641">
        <w:rPr>
          <w:rFonts w:ascii="ITC Avant Garde" w:eastAsia="Times New Roman" w:hAnsi="ITC Avant Garde" w:cs="Times New Roman"/>
          <w:color w:val="auto"/>
        </w:rPr>
        <w:t xml:space="preserve">Al respecto, </w:t>
      </w:r>
      <w:r w:rsidR="00967377" w:rsidRPr="00330641">
        <w:rPr>
          <w:rFonts w:ascii="ITC Avant Garde" w:eastAsia="Times New Roman" w:hAnsi="ITC Avant Garde" w:cs="Times New Roman"/>
          <w:color w:val="auto"/>
        </w:rPr>
        <w:t>l</w:t>
      </w:r>
      <w:r w:rsidR="007926DE" w:rsidRPr="00330641">
        <w:rPr>
          <w:rFonts w:ascii="ITC Avant Garde" w:eastAsia="Times New Roman" w:hAnsi="ITC Avant Garde" w:cs="Times New Roman"/>
          <w:color w:val="auto"/>
        </w:rPr>
        <w:t xml:space="preserve">a Medida Decimoquinta de las Medidas Fijas establece la obligación del AEP </w:t>
      </w:r>
      <w:r w:rsidR="00814734">
        <w:rPr>
          <w:rFonts w:ascii="ITC Avant Garde" w:eastAsia="Times New Roman" w:hAnsi="ITC Avant Garde" w:cs="Times New Roman"/>
          <w:color w:val="auto"/>
        </w:rPr>
        <w:t>de</w:t>
      </w:r>
      <w:r w:rsidR="007926DE" w:rsidRPr="00330641">
        <w:rPr>
          <w:rFonts w:ascii="ITC Avant Garde" w:eastAsia="Times New Roman" w:hAnsi="ITC Avant Garde" w:cs="Times New Roman"/>
          <w:color w:val="auto"/>
        </w:rPr>
        <w:t xml:space="preserve"> </w:t>
      </w:r>
      <w:r w:rsidR="00814734">
        <w:rPr>
          <w:rFonts w:ascii="ITC Avant Garde" w:eastAsia="Times New Roman" w:hAnsi="ITC Avant Garde" w:cs="Times New Roman"/>
          <w:color w:val="auto"/>
        </w:rPr>
        <w:t>proporcionar</w:t>
      </w:r>
      <w:r w:rsidR="007926DE" w:rsidRPr="00330641">
        <w:rPr>
          <w:rFonts w:ascii="ITC Avant Garde" w:eastAsia="Times New Roman" w:hAnsi="ITC Avant Garde" w:cs="Times New Roman"/>
          <w:color w:val="auto"/>
        </w:rPr>
        <w:t xml:space="preserve"> el Servicio Mayorista de Enlaces</w:t>
      </w:r>
      <w:r w:rsidR="00967377" w:rsidRPr="00330641">
        <w:rPr>
          <w:rFonts w:ascii="ITC Avant Garde" w:eastAsia="Times New Roman" w:hAnsi="ITC Avant Garde" w:cs="Times New Roman"/>
          <w:color w:val="auto"/>
        </w:rPr>
        <w:t xml:space="preserve"> Dedicados con velocidades Nx64</w:t>
      </w:r>
      <w:r w:rsidR="007926DE" w:rsidRPr="00330641">
        <w:rPr>
          <w:rFonts w:ascii="ITC Avant Garde" w:eastAsia="Times New Roman" w:hAnsi="ITC Avant Garde" w:cs="Times New Roman"/>
          <w:color w:val="auto"/>
        </w:rPr>
        <w:t>, E1 y sus múltiplos, STM1 y sus múltiplos, así como Ethernet en sus distintas capacidades y cualqui</w:t>
      </w:r>
      <w:r w:rsidR="00814734">
        <w:rPr>
          <w:rFonts w:ascii="ITC Avant Garde" w:eastAsia="Times New Roman" w:hAnsi="ITC Avant Garde" w:cs="Times New Roman"/>
          <w:color w:val="auto"/>
        </w:rPr>
        <w:t xml:space="preserve">er otro que defina el Instituto, por lo que se modificó la </w:t>
      </w:r>
      <w:r w:rsidR="00326630" w:rsidRPr="00330641">
        <w:rPr>
          <w:rFonts w:ascii="ITC Avant Garde" w:eastAsia="Times New Roman" w:hAnsi="ITC Avant Garde" w:cs="Times New Roman"/>
          <w:color w:val="auto"/>
        </w:rPr>
        <w:t>ORE</w:t>
      </w:r>
      <w:r w:rsidR="00BC7D2B" w:rsidRPr="00330641">
        <w:rPr>
          <w:rFonts w:ascii="ITC Avant Garde" w:eastAsia="Times New Roman" w:hAnsi="ITC Avant Garde" w:cs="Times New Roman"/>
          <w:color w:val="auto"/>
        </w:rPr>
        <w:t xml:space="preserve"> DM</w:t>
      </w:r>
      <w:r w:rsidR="00326630" w:rsidRPr="00330641">
        <w:rPr>
          <w:rFonts w:ascii="ITC Avant Garde" w:eastAsia="Times New Roman" w:hAnsi="ITC Avant Garde" w:cs="Times New Roman"/>
          <w:color w:val="auto"/>
        </w:rPr>
        <w:t xml:space="preserve"> 202</w:t>
      </w:r>
      <w:r w:rsidR="00BC7D2B" w:rsidRPr="00330641">
        <w:rPr>
          <w:rFonts w:ascii="ITC Avant Garde" w:eastAsia="Times New Roman" w:hAnsi="ITC Avant Garde" w:cs="Times New Roman"/>
          <w:color w:val="auto"/>
        </w:rPr>
        <w:t>1</w:t>
      </w:r>
      <w:r w:rsidR="00326630" w:rsidRPr="00330641">
        <w:rPr>
          <w:rFonts w:ascii="ITC Avant Garde" w:eastAsia="Times New Roman" w:hAnsi="ITC Avant Garde" w:cs="Times New Roman"/>
          <w:color w:val="auto"/>
        </w:rPr>
        <w:t xml:space="preserve">, </w:t>
      </w:r>
      <w:r w:rsidR="00814734">
        <w:rPr>
          <w:rFonts w:ascii="ITC Avant Garde" w:eastAsia="Times New Roman" w:hAnsi="ITC Avant Garde" w:cs="Times New Roman"/>
          <w:color w:val="auto"/>
        </w:rPr>
        <w:t>en el siguiente sentido</w:t>
      </w:r>
      <w:r w:rsidR="00326630" w:rsidRPr="00330641">
        <w:rPr>
          <w:rFonts w:ascii="ITC Avant Garde" w:eastAsia="Times New Roman" w:hAnsi="ITC Avant Garde" w:cs="Times New Roman"/>
          <w:color w:val="auto"/>
        </w:rPr>
        <w:t>:</w:t>
      </w:r>
    </w:p>
    <w:p w:rsidR="00326630" w:rsidRPr="00330641" w:rsidRDefault="00326630" w:rsidP="000F58E0">
      <w:pPr>
        <w:spacing w:after="0" w:line="276" w:lineRule="auto"/>
        <w:ind w:left="0" w:right="0" w:firstLine="0"/>
        <w:rPr>
          <w:rFonts w:ascii="ITC Avant Garde" w:eastAsia="Times New Roman" w:hAnsi="ITC Avant Garde" w:cs="Times New Roman"/>
          <w:color w:val="auto"/>
        </w:rPr>
      </w:pPr>
    </w:p>
    <w:p w:rsidR="00EE0E44" w:rsidRPr="00330641" w:rsidRDefault="00EE0E44" w:rsidP="000F58E0">
      <w:pPr>
        <w:autoSpaceDE w:val="0"/>
        <w:autoSpaceDN w:val="0"/>
        <w:spacing w:after="0" w:line="276" w:lineRule="auto"/>
        <w:ind w:left="567" w:right="616"/>
        <w:rPr>
          <w:rFonts w:ascii="ITC Avant Garde" w:hAnsi="ITC Avant Garde"/>
          <w:i/>
          <w:sz w:val="18"/>
          <w:szCs w:val="18"/>
        </w:rPr>
      </w:pPr>
      <w:r w:rsidRPr="00330641">
        <w:rPr>
          <w:rFonts w:ascii="ITC Avant Garde" w:hAnsi="ITC Avant Garde" w:cs="Arial"/>
          <w:b/>
          <w:bCs/>
          <w:i/>
          <w:sz w:val="18"/>
          <w:szCs w:val="18"/>
        </w:rPr>
        <w:lastRenderedPageBreak/>
        <w:t>“2.3 Capacidad de los Servicios.</w:t>
      </w:r>
    </w:p>
    <w:p w:rsidR="00EE0E44" w:rsidRPr="00330641" w:rsidRDefault="00EE0E44" w:rsidP="000F58E0">
      <w:pPr>
        <w:autoSpaceDE w:val="0"/>
        <w:autoSpaceDN w:val="0"/>
        <w:spacing w:after="0" w:line="276" w:lineRule="auto"/>
        <w:ind w:left="567" w:right="616"/>
        <w:rPr>
          <w:rFonts w:ascii="ITC Avant Garde" w:hAnsi="ITC Avant Garde"/>
          <w:i/>
          <w:sz w:val="18"/>
          <w:szCs w:val="18"/>
        </w:rPr>
      </w:pPr>
      <w:r w:rsidRPr="00330641">
        <w:rPr>
          <w:rFonts w:ascii="ITC Avant Garde" w:hAnsi="ITC Avant Garde" w:cs="Arial"/>
          <w:i/>
          <w:sz w:val="18"/>
          <w:szCs w:val="18"/>
        </w:rPr>
        <w:t> </w:t>
      </w:r>
    </w:p>
    <w:p w:rsidR="00EE0E44" w:rsidRPr="00330641" w:rsidRDefault="00EE0E44" w:rsidP="000F58E0">
      <w:pPr>
        <w:autoSpaceDE w:val="0"/>
        <w:autoSpaceDN w:val="0"/>
        <w:spacing w:after="0" w:line="276" w:lineRule="auto"/>
        <w:ind w:left="567" w:right="616"/>
        <w:rPr>
          <w:rFonts w:ascii="ITC Avant Garde" w:hAnsi="ITC Avant Garde" w:cs="Arial"/>
          <w:i/>
          <w:sz w:val="18"/>
          <w:szCs w:val="18"/>
        </w:rPr>
      </w:pPr>
      <w:r w:rsidRPr="00330641">
        <w:rPr>
          <w:rFonts w:ascii="ITC Avant Garde" w:hAnsi="ITC Avant Garde" w:cs="Arial"/>
          <w:i/>
          <w:sz w:val="18"/>
          <w:szCs w:val="18"/>
        </w:rPr>
        <w:t>Los servicios mayoristas de Arrendamiento de Enlaces Dedicados entre Localidades y/o de Larga Distancia Internacional serán ofrecidos en las siguientes velocidades de transmisión:</w:t>
      </w:r>
    </w:p>
    <w:p w:rsidR="00837D8A" w:rsidRPr="00330641" w:rsidRDefault="00837D8A" w:rsidP="000F58E0">
      <w:pPr>
        <w:autoSpaceDE w:val="0"/>
        <w:autoSpaceDN w:val="0"/>
        <w:spacing w:after="0" w:line="276" w:lineRule="auto"/>
        <w:ind w:left="567" w:right="616"/>
        <w:rPr>
          <w:rFonts w:ascii="ITC Avant Garde" w:hAnsi="ITC Avant Garde"/>
          <w:i/>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25"/>
        <w:gridCol w:w="3888"/>
      </w:tblGrid>
      <w:tr w:rsidR="00EE0E44" w:rsidRPr="00330641" w:rsidTr="00EC3F16">
        <w:trPr>
          <w:trHeight w:val="335"/>
          <w:jc w:val="center"/>
        </w:trPr>
        <w:tc>
          <w:tcPr>
            <w:tcW w:w="3325" w:type="dxa"/>
            <w:vAlign w:val="center"/>
          </w:tcPr>
          <w:p w:rsidR="00EE0E44" w:rsidRPr="00330641" w:rsidRDefault="00EE0E44" w:rsidP="000F58E0">
            <w:pPr>
              <w:autoSpaceDE w:val="0"/>
              <w:autoSpaceDN w:val="0"/>
              <w:adjustRightInd w:val="0"/>
              <w:spacing w:after="0" w:line="276" w:lineRule="auto"/>
              <w:ind w:left="567" w:right="616"/>
              <w:jc w:val="center"/>
              <w:rPr>
                <w:rFonts w:ascii="ITC Avant Garde" w:hAnsi="ITC Avant Garde" w:cs="Arial"/>
                <w:i/>
                <w:sz w:val="18"/>
                <w:szCs w:val="18"/>
                <w:lang w:val="en-US"/>
              </w:rPr>
            </w:pPr>
            <w:r w:rsidRPr="00330641">
              <w:rPr>
                <w:rFonts w:ascii="ITC Avant Garde" w:hAnsi="ITC Avant Garde" w:cs="Arial"/>
                <w:b/>
                <w:bCs/>
                <w:i/>
                <w:sz w:val="18"/>
                <w:szCs w:val="18"/>
              </w:rPr>
              <w:t>Denominación</w:t>
            </w:r>
          </w:p>
        </w:tc>
        <w:tc>
          <w:tcPr>
            <w:tcW w:w="3888" w:type="dxa"/>
            <w:vAlign w:val="center"/>
          </w:tcPr>
          <w:p w:rsidR="00EE0E44" w:rsidRPr="00330641" w:rsidRDefault="00EE0E44" w:rsidP="000F58E0">
            <w:pPr>
              <w:autoSpaceDE w:val="0"/>
              <w:autoSpaceDN w:val="0"/>
              <w:adjustRightInd w:val="0"/>
              <w:spacing w:after="0" w:line="276" w:lineRule="auto"/>
              <w:ind w:left="567" w:right="616"/>
              <w:jc w:val="center"/>
              <w:rPr>
                <w:rFonts w:ascii="ITC Avant Garde" w:hAnsi="ITC Avant Garde" w:cs="Arial"/>
                <w:i/>
                <w:sz w:val="18"/>
                <w:szCs w:val="18"/>
                <w:lang w:val="en-US"/>
              </w:rPr>
            </w:pPr>
            <w:r w:rsidRPr="00330641">
              <w:rPr>
                <w:rFonts w:ascii="ITC Avant Garde" w:hAnsi="ITC Avant Garde" w:cs="Arial"/>
                <w:b/>
                <w:bCs/>
                <w:i/>
                <w:sz w:val="18"/>
                <w:szCs w:val="18"/>
              </w:rPr>
              <w:t>Capacidad</w:t>
            </w:r>
          </w:p>
        </w:tc>
      </w:tr>
      <w:tr w:rsidR="00EE0E44" w:rsidRPr="00330641" w:rsidTr="00EC3F16">
        <w:trPr>
          <w:trHeight w:val="1007"/>
          <w:jc w:val="center"/>
        </w:trPr>
        <w:tc>
          <w:tcPr>
            <w:tcW w:w="3325" w:type="dxa"/>
            <w:vAlign w:val="center"/>
          </w:tcPr>
          <w:p w:rsidR="00EE0E44" w:rsidRPr="00330641" w:rsidRDefault="00EE0E44" w:rsidP="000F58E0">
            <w:pPr>
              <w:autoSpaceDE w:val="0"/>
              <w:autoSpaceDN w:val="0"/>
              <w:spacing w:after="0" w:line="276" w:lineRule="auto"/>
              <w:ind w:left="567" w:right="616"/>
              <w:jc w:val="center"/>
              <w:rPr>
                <w:rFonts w:ascii="ITC Avant Garde" w:hAnsi="ITC Avant Garde" w:cs="Arial"/>
                <w:i/>
                <w:sz w:val="18"/>
                <w:szCs w:val="18"/>
              </w:rPr>
            </w:pPr>
            <w:proofErr w:type="spellStart"/>
            <w:r w:rsidRPr="00330641">
              <w:rPr>
                <w:rFonts w:ascii="ITC Avant Garde" w:hAnsi="ITC Avant Garde" w:cs="Arial"/>
                <w:i/>
                <w:sz w:val="18"/>
                <w:szCs w:val="18"/>
              </w:rPr>
              <w:t>Nx</w:t>
            </w:r>
            <w:proofErr w:type="spellEnd"/>
            <w:r w:rsidRPr="00330641">
              <w:rPr>
                <w:rFonts w:ascii="ITC Avant Garde" w:hAnsi="ITC Avant Garde" w:cs="Arial"/>
                <w:i/>
                <w:sz w:val="18"/>
                <w:szCs w:val="18"/>
              </w:rPr>
              <w:t xml:space="preserve"> 64 kbps</w:t>
            </w:r>
          </w:p>
          <w:p w:rsidR="00EE0E44" w:rsidRPr="00330641" w:rsidRDefault="00EE0E44" w:rsidP="000F58E0">
            <w:pPr>
              <w:autoSpaceDE w:val="0"/>
              <w:autoSpaceDN w:val="0"/>
              <w:adjustRightInd w:val="0"/>
              <w:spacing w:after="0" w:line="276" w:lineRule="auto"/>
              <w:ind w:left="567" w:right="616"/>
              <w:jc w:val="center"/>
              <w:rPr>
                <w:rFonts w:ascii="ITC Avant Garde" w:hAnsi="ITC Avant Garde" w:cs="Arial"/>
                <w:i/>
                <w:sz w:val="18"/>
                <w:szCs w:val="18"/>
                <w:lang w:val="en-US"/>
              </w:rPr>
            </w:pPr>
            <w:r w:rsidRPr="00330641">
              <w:rPr>
                <w:rFonts w:ascii="ITC Avant Garde" w:hAnsi="ITC Avant Garde" w:cs="Arial"/>
                <w:i/>
                <w:sz w:val="18"/>
                <w:szCs w:val="18"/>
              </w:rPr>
              <w:t>(N=1, 2, 3, 4, 6, 8, 10, 12 y 16)</w:t>
            </w:r>
          </w:p>
        </w:tc>
        <w:tc>
          <w:tcPr>
            <w:tcW w:w="3888" w:type="dxa"/>
            <w:vAlign w:val="center"/>
          </w:tcPr>
          <w:p w:rsidR="00EE0E44" w:rsidRPr="00330641" w:rsidRDefault="00EE0E44" w:rsidP="000F58E0">
            <w:pPr>
              <w:autoSpaceDE w:val="0"/>
              <w:autoSpaceDN w:val="0"/>
              <w:adjustRightInd w:val="0"/>
              <w:spacing w:after="0" w:line="276" w:lineRule="auto"/>
              <w:ind w:left="567" w:right="616"/>
              <w:jc w:val="center"/>
              <w:rPr>
                <w:rFonts w:ascii="ITC Avant Garde" w:hAnsi="ITC Avant Garde" w:cs="Arial"/>
                <w:i/>
                <w:sz w:val="18"/>
                <w:szCs w:val="18"/>
                <w:lang w:val="en-US"/>
              </w:rPr>
            </w:pPr>
            <w:r w:rsidRPr="00330641">
              <w:rPr>
                <w:rFonts w:ascii="ITC Avant Garde" w:hAnsi="ITC Avant Garde" w:cs="Arial"/>
                <w:i/>
                <w:sz w:val="18"/>
                <w:szCs w:val="18"/>
              </w:rPr>
              <w:t>64Kbps a 1024 Kbps</w:t>
            </w:r>
          </w:p>
        </w:tc>
      </w:tr>
      <w:tr w:rsidR="00EE0E44" w:rsidRPr="00330641" w:rsidTr="00EC3F16">
        <w:trPr>
          <w:trHeight w:val="335"/>
          <w:jc w:val="center"/>
        </w:trPr>
        <w:tc>
          <w:tcPr>
            <w:tcW w:w="3325" w:type="dxa"/>
            <w:vAlign w:val="center"/>
          </w:tcPr>
          <w:p w:rsidR="00EE0E44" w:rsidRPr="00330641" w:rsidRDefault="00EE0E44" w:rsidP="000F58E0">
            <w:pPr>
              <w:autoSpaceDE w:val="0"/>
              <w:autoSpaceDN w:val="0"/>
              <w:adjustRightInd w:val="0"/>
              <w:spacing w:after="0" w:line="276" w:lineRule="auto"/>
              <w:ind w:left="567" w:right="616"/>
              <w:jc w:val="center"/>
              <w:rPr>
                <w:rFonts w:ascii="ITC Avant Garde" w:hAnsi="ITC Avant Garde" w:cs="Arial"/>
                <w:i/>
                <w:sz w:val="18"/>
                <w:szCs w:val="18"/>
                <w:lang w:val="en-US"/>
              </w:rPr>
            </w:pPr>
            <w:r w:rsidRPr="00330641">
              <w:rPr>
                <w:rFonts w:ascii="ITC Avant Garde" w:hAnsi="ITC Avant Garde" w:cs="Arial"/>
                <w:i/>
                <w:sz w:val="18"/>
                <w:szCs w:val="18"/>
              </w:rPr>
              <w:t>E1</w:t>
            </w:r>
          </w:p>
        </w:tc>
        <w:tc>
          <w:tcPr>
            <w:tcW w:w="3888" w:type="dxa"/>
            <w:vAlign w:val="center"/>
          </w:tcPr>
          <w:p w:rsidR="00EE0E44" w:rsidRPr="00330641" w:rsidRDefault="00EE0E44" w:rsidP="000F58E0">
            <w:pPr>
              <w:autoSpaceDE w:val="0"/>
              <w:autoSpaceDN w:val="0"/>
              <w:adjustRightInd w:val="0"/>
              <w:spacing w:after="0" w:line="276" w:lineRule="auto"/>
              <w:ind w:left="567" w:right="616"/>
              <w:jc w:val="center"/>
              <w:rPr>
                <w:rFonts w:ascii="ITC Avant Garde" w:hAnsi="ITC Avant Garde" w:cs="Arial"/>
                <w:i/>
                <w:sz w:val="18"/>
                <w:szCs w:val="18"/>
                <w:lang w:val="en-US"/>
              </w:rPr>
            </w:pPr>
            <w:r w:rsidRPr="00330641">
              <w:rPr>
                <w:rFonts w:ascii="ITC Avant Garde" w:hAnsi="ITC Avant Garde" w:cs="Arial"/>
                <w:i/>
                <w:sz w:val="18"/>
                <w:szCs w:val="18"/>
              </w:rPr>
              <w:t>2.048 Mbps</w:t>
            </w:r>
          </w:p>
        </w:tc>
      </w:tr>
      <w:tr w:rsidR="00EE0E44" w:rsidRPr="00330641" w:rsidTr="00EC3F16">
        <w:trPr>
          <w:trHeight w:val="335"/>
          <w:jc w:val="center"/>
        </w:trPr>
        <w:tc>
          <w:tcPr>
            <w:tcW w:w="3325" w:type="dxa"/>
            <w:vAlign w:val="center"/>
          </w:tcPr>
          <w:p w:rsidR="00EE0E44" w:rsidRPr="00330641" w:rsidRDefault="00EE0E44" w:rsidP="000F58E0">
            <w:pPr>
              <w:autoSpaceDE w:val="0"/>
              <w:autoSpaceDN w:val="0"/>
              <w:adjustRightInd w:val="0"/>
              <w:spacing w:after="0" w:line="276" w:lineRule="auto"/>
              <w:ind w:left="567" w:right="616"/>
              <w:jc w:val="center"/>
              <w:rPr>
                <w:rFonts w:ascii="ITC Avant Garde" w:hAnsi="ITC Avant Garde" w:cs="Arial"/>
                <w:i/>
                <w:sz w:val="18"/>
                <w:szCs w:val="18"/>
              </w:rPr>
            </w:pPr>
            <w:r w:rsidRPr="00330641">
              <w:rPr>
                <w:rFonts w:ascii="ITC Avant Garde" w:hAnsi="ITC Avant Garde" w:cs="Arial"/>
                <w:i/>
                <w:sz w:val="18"/>
                <w:szCs w:val="18"/>
              </w:rPr>
              <w:t>E2</w:t>
            </w:r>
          </w:p>
        </w:tc>
        <w:tc>
          <w:tcPr>
            <w:tcW w:w="3888" w:type="dxa"/>
            <w:vAlign w:val="center"/>
          </w:tcPr>
          <w:p w:rsidR="00EE0E44" w:rsidRPr="00330641" w:rsidRDefault="00EE0E44" w:rsidP="000F58E0">
            <w:pPr>
              <w:autoSpaceDE w:val="0"/>
              <w:autoSpaceDN w:val="0"/>
              <w:adjustRightInd w:val="0"/>
              <w:spacing w:after="0" w:line="276" w:lineRule="auto"/>
              <w:ind w:left="567" w:right="616"/>
              <w:jc w:val="center"/>
              <w:rPr>
                <w:rFonts w:ascii="ITC Avant Garde" w:hAnsi="ITC Avant Garde" w:cs="Arial"/>
                <w:i/>
                <w:sz w:val="18"/>
                <w:szCs w:val="18"/>
              </w:rPr>
            </w:pPr>
            <w:r w:rsidRPr="00330641">
              <w:rPr>
                <w:rFonts w:ascii="ITC Avant Garde" w:hAnsi="ITC Avant Garde" w:cs="Arial"/>
                <w:i/>
                <w:sz w:val="18"/>
                <w:szCs w:val="18"/>
              </w:rPr>
              <w:t>8.448 Mbps</w:t>
            </w:r>
          </w:p>
        </w:tc>
      </w:tr>
      <w:tr w:rsidR="00EE0E44" w:rsidRPr="00330641" w:rsidTr="00EC3F16">
        <w:trPr>
          <w:trHeight w:val="319"/>
          <w:jc w:val="center"/>
        </w:trPr>
        <w:tc>
          <w:tcPr>
            <w:tcW w:w="3325" w:type="dxa"/>
            <w:vAlign w:val="center"/>
          </w:tcPr>
          <w:p w:rsidR="00EE0E44" w:rsidRPr="00330641" w:rsidRDefault="00EE0E44" w:rsidP="000F58E0">
            <w:pPr>
              <w:autoSpaceDE w:val="0"/>
              <w:autoSpaceDN w:val="0"/>
              <w:adjustRightInd w:val="0"/>
              <w:spacing w:after="0" w:line="276" w:lineRule="auto"/>
              <w:ind w:left="567" w:right="616"/>
              <w:jc w:val="center"/>
              <w:rPr>
                <w:rFonts w:ascii="ITC Avant Garde" w:hAnsi="ITC Avant Garde" w:cs="Arial"/>
                <w:i/>
                <w:sz w:val="18"/>
                <w:szCs w:val="18"/>
                <w:lang w:val="en-US"/>
              </w:rPr>
            </w:pPr>
            <w:r w:rsidRPr="00330641">
              <w:rPr>
                <w:rFonts w:ascii="ITC Avant Garde" w:hAnsi="ITC Avant Garde" w:cs="Arial"/>
                <w:i/>
                <w:sz w:val="18"/>
                <w:szCs w:val="18"/>
              </w:rPr>
              <w:t>E3</w:t>
            </w:r>
          </w:p>
        </w:tc>
        <w:tc>
          <w:tcPr>
            <w:tcW w:w="3888" w:type="dxa"/>
            <w:vAlign w:val="center"/>
          </w:tcPr>
          <w:p w:rsidR="00EE0E44" w:rsidRPr="00330641" w:rsidRDefault="00EE0E44" w:rsidP="000F58E0">
            <w:pPr>
              <w:autoSpaceDE w:val="0"/>
              <w:autoSpaceDN w:val="0"/>
              <w:adjustRightInd w:val="0"/>
              <w:spacing w:after="0" w:line="276" w:lineRule="auto"/>
              <w:ind w:left="567" w:right="616"/>
              <w:jc w:val="center"/>
              <w:rPr>
                <w:rFonts w:ascii="ITC Avant Garde" w:hAnsi="ITC Avant Garde" w:cs="Arial"/>
                <w:i/>
                <w:sz w:val="18"/>
                <w:szCs w:val="18"/>
                <w:lang w:val="en-US"/>
              </w:rPr>
            </w:pPr>
            <w:r w:rsidRPr="00330641">
              <w:rPr>
                <w:rFonts w:ascii="ITC Avant Garde" w:hAnsi="ITC Avant Garde" w:cs="Arial"/>
                <w:i/>
                <w:sz w:val="18"/>
                <w:szCs w:val="18"/>
              </w:rPr>
              <w:t>34.368 Mbps</w:t>
            </w:r>
          </w:p>
        </w:tc>
      </w:tr>
      <w:tr w:rsidR="00EE0E44" w:rsidRPr="00330641" w:rsidTr="00EC3F16">
        <w:trPr>
          <w:trHeight w:val="335"/>
          <w:jc w:val="center"/>
        </w:trPr>
        <w:tc>
          <w:tcPr>
            <w:tcW w:w="3325" w:type="dxa"/>
            <w:vAlign w:val="center"/>
          </w:tcPr>
          <w:p w:rsidR="00EE0E44" w:rsidRPr="00330641" w:rsidRDefault="00EE0E44" w:rsidP="000F58E0">
            <w:pPr>
              <w:autoSpaceDE w:val="0"/>
              <w:autoSpaceDN w:val="0"/>
              <w:adjustRightInd w:val="0"/>
              <w:spacing w:after="0" w:line="276" w:lineRule="auto"/>
              <w:ind w:left="567" w:right="616"/>
              <w:jc w:val="center"/>
              <w:rPr>
                <w:rFonts w:ascii="ITC Avant Garde" w:hAnsi="ITC Avant Garde" w:cs="Arial"/>
                <w:i/>
                <w:sz w:val="18"/>
                <w:szCs w:val="18"/>
                <w:lang w:val="en-US"/>
              </w:rPr>
            </w:pPr>
            <w:r w:rsidRPr="00330641">
              <w:rPr>
                <w:rFonts w:ascii="ITC Avant Garde" w:hAnsi="ITC Avant Garde" w:cs="Arial"/>
                <w:i/>
                <w:sz w:val="18"/>
                <w:szCs w:val="18"/>
              </w:rPr>
              <w:t>E4</w:t>
            </w:r>
          </w:p>
        </w:tc>
        <w:tc>
          <w:tcPr>
            <w:tcW w:w="3888" w:type="dxa"/>
            <w:vAlign w:val="center"/>
          </w:tcPr>
          <w:p w:rsidR="00EE0E44" w:rsidRPr="00330641" w:rsidRDefault="00EE0E44" w:rsidP="000F58E0">
            <w:pPr>
              <w:autoSpaceDE w:val="0"/>
              <w:autoSpaceDN w:val="0"/>
              <w:adjustRightInd w:val="0"/>
              <w:spacing w:after="0" w:line="276" w:lineRule="auto"/>
              <w:ind w:left="567" w:right="616"/>
              <w:jc w:val="center"/>
              <w:rPr>
                <w:rFonts w:ascii="ITC Avant Garde" w:hAnsi="ITC Avant Garde" w:cs="Arial"/>
                <w:i/>
                <w:sz w:val="18"/>
                <w:szCs w:val="18"/>
                <w:lang w:val="en-US"/>
              </w:rPr>
            </w:pPr>
            <w:r w:rsidRPr="00330641">
              <w:rPr>
                <w:rFonts w:ascii="ITC Avant Garde" w:hAnsi="ITC Avant Garde" w:cs="Arial"/>
                <w:i/>
                <w:sz w:val="18"/>
                <w:szCs w:val="18"/>
                <w:lang w:val="en-US"/>
              </w:rPr>
              <w:t>139.264 Mbps</w:t>
            </w:r>
          </w:p>
        </w:tc>
      </w:tr>
      <w:tr w:rsidR="00EE0E44" w:rsidRPr="00330641" w:rsidTr="00EC3F16">
        <w:trPr>
          <w:trHeight w:val="335"/>
          <w:jc w:val="center"/>
        </w:trPr>
        <w:tc>
          <w:tcPr>
            <w:tcW w:w="3325" w:type="dxa"/>
            <w:vAlign w:val="center"/>
          </w:tcPr>
          <w:p w:rsidR="00EE0E44" w:rsidRPr="00330641" w:rsidRDefault="00EE0E44" w:rsidP="000F58E0">
            <w:pPr>
              <w:autoSpaceDE w:val="0"/>
              <w:autoSpaceDN w:val="0"/>
              <w:adjustRightInd w:val="0"/>
              <w:spacing w:after="0" w:line="276" w:lineRule="auto"/>
              <w:ind w:left="567" w:right="616"/>
              <w:jc w:val="center"/>
              <w:rPr>
                <w:rFonts w:ascii="ITC Avant Garde" w:hAnsi="ITC Avant Garde" w:cs="Arial"/>
                <w:i/>
                <w:sz w:val="18"/>
                <w:szCs w:val="18"/>
              </w:rPr>
            </w:pPr>
            <w:r w:rsidRPr="00330641">
              <w:rPr>
                <w:rFonts w:ascii="ITC Avant Garde" w:hAnsi="ITC Avant Garde" w:cs="Arial"/>
                <w:i/>
                <w:sz w:val="18"/>
                <w:szCs w:val="18"/>
                <w:lang w:val="en-US"/>
              </w:rPr>
              <w:t>STM-1</w:t>
            </w:r>
          </w:p>
        </w:tc>
        <w:tc>
          <w:tcPr>
            <w:tcW w:w="3888" w:type="dxa"/>
            <w:vAlign w:val="center"/>
          </w:tcPr>
          <w:p w:rsidR="00EE0E44" w:rsidRPr="00330641" w:rsidRDefault="00EE0E44" w:rsidP="000F58E0">
            <w:pPr>
              <w:autoSpaceDE w:val="0"/>
              <w:autoSpaceDN w:val="0"/>
              <w:adjustRightInd w:val="0"/>
              <w:spacing w:after="0" w:line="276" w:lineRule="auto"/>
              <w:ind w:left="567" w:right="616"/>
              <w:jc w:val="center"/>
              <w:rPr>
                <w:rFonts w:ascii="ITC Avant Garde" w:hAnsi="ITC Avant Garde" w:cs="Arial"/>
                <w:i/>
                <w:sz w:val="18"/>
                <w:szCs w:val="18"/>
              </w:rPr>
            </w:pPr>
            <w:r w:rsidRPr="00330641">
              <w:rPr>
                <w:rFonts w:ascii="ITC Avant Garde" w:hAnsi="ITC Avant Garde" w:cs="Arial"/>
                <w:i/>
                <w:sz w:val="18"/>
                <w:szCs w:val="18"/>
                <w:lang w:val="en-US"/>
              </w:rPr>
              <w:t>155.52 Mbps</w:t>
            </w:r>
          </w:p>
        </w:tc>
      </w:tr>
      <w:tr w:rsidR="00EE0E44" w:rsidRPr="00330641" w:rsidTr="00EC3F16">
        <w:trPr>
          <w:trHeight w:val="335"/>
          <w:jc w:val="center"/>
        </w:trPr>
        <w:tc>
          <w:tcPr>
            <w:tcW w:w="3325" w:type="dxa"/>
            <w:vAlign w:val="center"/>
          </w:tcPr>
          <w:p w:rsidR="00EE0E44" w:rsidRPr="00330641" w:rsidRDefault="00EE0E44" w:rsidP="000F58E0">
            <w:pPr>
              <w:autoSpaceDE w:val="0"/>
              <w:autoSpaceDN w:val="0"/>
              <w:adjustRightInd w:val="0"/>
              <w:spacing w:after="0" w:line="276" w:lineRule="auto"/>
              <w:ind w:left="567" w:right="616"/>
              <w:jc w:val="center"/>
              <w:rPr>
                <w:rFonts w:ascii="ITC Avant Garde" w:hAnsi="ITC Avant Garde" w:cs="Arial"/>
                <w:i/>
                <w:sz w:val="18"/>
                <w:szCs w:val="18"/>
                <w:lang w:val="en-US"/>
              </w:rPr>
            </w:pPr>
            <w:r w:rsidRPr="00330641">
              <w:rPr>
                <w:rFonts w:ascii="ITC Avant Garde" w:hAnsi="ITC Avant Garde" w:cs="Arial"/>
                <w:i/>
                <w:sz w:val="18"/>
                <w:szCs w:val="18"/>
                <w:lang w:val="en-US"/>
              </w:rPr>
              <w:t>STM-4</w:t>
            </w:r>
          </w:p>
        </w:tc>
        <w:tc>
          <w:tcPr>
            <w:tcW w:w="3888" w:type="dxa"/>
            <w:vAlign w:val="center"/>
          </w:tcPr>
          <w:p w:rsidR="00EE0E44" w:rsidRPr="00330641" w:rsidRDefault="00EE0E44" w:rsidP="000F58E0">
            <w:pPr>
              <w:autoSpaceDE w:val="0"/>
              <w:autoSpaceDN w:val="0"/>
              <w:adjustRightInd w:val="0"/>
              <w:spacing w:after="0" w:line="276" w:lineRule="auto"/>
              <w:ind w:left="567" w:right="616"/>
              <w:jc w:val="center"/>
              <w:rPr>
                <w:rFonts w:ascii="ITC Avant Garde" w:hAnsi="ITC Avant Garde" w:cs="Arial"/>
                <w:i/>
                <w:sz w:val="18"/>
                <w:szCs w:val="18"/>
                <w:lang w:val="en-US"/>
              </w:rPr>
            </w:pPr>
            <w:r w:rsidRPr="00330641">
              <w:rPr>
                <w:rFonts w:ascii="ITC Avant Garde" w:hAnsi="ITC Avant Garde" w:cs="Arial"/>
                <w:i/>
                <w:sz w:val="18"/>
                <w:szCs w:val="18"/>
                <w:lang w:val="en-US"/>
              </w:rPr>
              <w:t>622.08 Mbps</w:t>
            </w:r>
          </w:p>
        </w:tc>
      </w:tr>
      <w:tr w:rsidR="00EE0E44" w:rsidRPr="00330641" w:rsidTr="00EC3F16">
        <w:trPr>
          <w:trHeight w:val="335"/>
          <w:jc w:val="center"/>
        </w:trPr>
        <w:tc>
          <w:tcPr>
            <w:tcW w:w="3325" w:type="dxa"/>
            <w:vAlign w:val="center"/>
          </w:tcPr>
          <w:p w:rsidR="00EE0E44" w:rsidRPr="00330641" w:rsidRDefault="00EE0E44" w:rsidP="000F58E0">
            <w:pPr>
              <w:autoSpaceDE w:val="0"/>
              <w:autoSpaceDN w:val="0"/>
              <w:adjustRightInd w:val="0"/>
              <w:spacing w:after="0" w:line="276" w:lineRule="auto"/>
              <w:ind w:left="567" w:right="616"/>
              <w:jc w:val="center"/>
              <w:rPr>
                <w:rFonts w:ascii="ITC Avant Garde" w:hAnsi="ITC Avant Garde" w:cs="Arial"/>
                <w:i/>
                <w:sz w:val="18"/>
                <w:szCs w:val="18"/>
                <w:lang w:val="en-US"/>
              </w:rPr>
            </w:pPr>
            <w:r w:rsidRPr="00330641">
              <w:rPr>
                <w:rFonts w:ascii="ITC Avant Garde" w:hAnsi="ITC Avant Garde" w:cs="Arial"/>
                <w:i/>
                <w:sz w:val="18"/>
                <w:szCs w:val="18"/>
                <w:lang w:val="en-US"/>
              </w:rPr>
              <w:t>STM-16</w:t>
            </w:r>
          </w:p>
        </w:tc>
        <w:tc>
          <w:tcPr>
            <w:tcW w:w="3888" w:type="dxa"/>
            <w:vAlign w:val="center"/>
          </w:tcPr>
          <w:p w:rsidR="00EE0E44" w:rsidRPr="00330641" w:rsidRDefault="00EE0E44" w:rsidP="000F58E0">
            <w:pPr>
              <w:autoSpaceDE w:val="0"/>
              <w:autoSpaceDN w:val="0"/>
              <w:adjustRightInd w:val="0"/>
              <w:spacing w:after="0" w:line="276" w:lineRule="auto"/>
              <w:ind w:left="567" w:right="616"/>
              <w:jc w:val="center"/>
              <w:rPr>
                <w:rFonts w:ascii="ITC Avant Garde" w:hAnsi="ITC Avant Garde" w:cs="Arial"/>
                <w:i/>
                <w:sz w:val="18"/>
                <w:szCs w:val="18"/>
                <w:lang w:val="en-US"/>
              </w:rPr>
            </w:pPr>
            <w:r w:rsidRPr="00330641">
              <w:rPr>
                <w:rFonts w:ascii="ITC Avant Garde" w:hAnsi="ITC Avant Garde" w:cs="Arial"/>
                <w:i/>
                <w:sz w:val="18"/>
                <w:szCs w:val="18"/>
                <w:lang w:val="en-US"/>
              </w:rPr>
              <w:t>2,488.32 Mbps</w:t>
            </w:r>
          </w:p>
        </w:tc>
      </w:tr>
      <w:tr w:rsidR="00EE0E44" w:rsidRPr="00330641" w:rsidTr="00EC3F16">
        <w:trPr>
          <w:trHeight w:val="335"/>
          <w:jc w:val="center"/>
        </w:trPr>
        <w:tc>
          <w:tcPr>
            <w:tcW w:w="3325" w:type="dxa"/>
            <w:vAlign w:val="center"/>
          </w:tcPr>
          <w:p w:rsidR="00EE0E44" w:rsidRPr="00330641" w:rsidRDefault="00EE0E44" w:rsidP="000F58E0">
            <w:pPr>
              <w:autoSpaceDE w:val="0"/>
              <w:autoSpaceDN w:val="0"/>
              <w:adjustRightInd w:val="0"/>
              <w:spacing w:after="0" w:line="276" w:lineRule="auto"/>
              <w:ind w:left="567" w:right="616"/>
              <w:jc w:val="center"/>
              <w:rPr>
                <w:rFonts w:ascii="ITC Avant Garde" w:hAnsi="ITC Avant Garde" w:cs="Arial"/>
                <w:i/>
                <w:sz w:val="18"/>
                <w:szCs w:val="18"/>
                <w:lang w:val="en-US"/>
              </w:rPr>
            </w:pPr>
            <w:r w:rsidRPr="00330641">
              <w:rPr>
                <w:rFonts w:ascii="ITC Avant Garde" w:hAnsi="ITC Avant Garde" w:cs="Arial"/>
                <w:i/>
                <w:sz w:val="18"/>
                <w:szCs w:val="18"/>
                <w:lang w:val="en-US"/>
              </w:rPr>
              <w:t>STM-64</w:t>
            </w:r>
          </w:p>
        </w:tc>
        <w:tc>
          <w:tcPr>
            <w:tcW w:w="3888" w:type="dxa"/>
            <w:vAlign w:val="center"/>
          </w:tcPr>
          <w:p w:rsidR="00EE0E44" w:rsidRPr="00330641" w:rsidRDefault="00EE0E44" w:rsidP="000F58E0">
            <w:pPr>
              <w:autoSpaceDE w:val="0"/>
              <w:autoSpaceDN w:val="0"/>
              <w:adjustRightInd w:val="0"/>
              <w:spacing w:after="0" w:line="276" w:lineRule="auto"/>
              <w:ind w:left="567" w:right="616"/>
              <w:jc w:val="center"/>
              <w:rPr>
                <w:rFonts w:ascii="ITC Avant Garde" w:hAnsi="ITC Avant Garde" w:cs="Arial"/>
                <w:i/>
                <w:sz w:val="18"/>
                <w:szCs w:val="18"/>
                <w:lang w:val="en-US"/>
              </w:rPr>
            </w:pPr>
            <w:r w:rsidRPr="00330641">
              <w:rPr>
                <w:rFonts w:ascii="ITC Avant Garde" w:hAnsi="ITC Avant Garde" w:cs="Arial"/>
                <w:i/>
                <w:sz w:val="18"/>
                <w:szCs w:val="18"/>
                <w:lang w:val="en-US"/>
              </w:rPr>
              <w:t>9,953.28 Mbps</w:t>
            </w:r>
          </w:p>
        </w:tc>
      </w:tr>
      <w:tr w:rsidR="00EE0E44" w:rsidRPr="00330641" w:rsidTr="00EC3F16">
        <w:trPr>
          <w:trHeight w:val="319"/>
          <w:jc w:val="center"/>
        </w:trPr>
        <w:tc>
          <w:tcPr>
            <w:tcW w:w="3325" w:type="dxa"/>
            <w:vAlign w:val="center"/>
          </w:tcPr>
          <w:p w:rsidR="00EE0E44" w:rsidRPr="00330641" w:rsidRDefault="00EE0E44" w:rsidP="000F58E0">
            <w:pPr>
              <w:autoSpaceDE w:val="0"/>
              <w:autoSpaceDN w:val="0"/>
              <w:adjustRightInd w:val="0"/>
              <w:spacing w:after="0" w:line="276" w:lineRule="auto"/>
              <w:ind w:left="567" w:right="616"/>
              <w:jc w:val="center"/>
              <w:rPr>
                <w:rFonts w:ascii="ITC Avant Garde" w:hAnsi="ITC Avant Garde" w:cs="Arial"/>
                <w:i/>
                <w:sz w:val="18"/>
                <w:szCs w:val="18"/>
                <w:lang w:val="en-US"/>
              </w:rPr>
            </w:pPr>
            <w:r w:rsidRPr="00330641">
              <w:rPr>
                <w:rFonts w:ascii="ITC Avant Garde" w:hAnsi="ITC Avant Garde" w:cs="Arial"/>
                <w:i/>
                <w:sz w:val="18"/>
                <w:szCs w:val="18"/>
                <w:lang w:val="en-US"/>
              </w:rPr>
              <w:t>STM-256</w:t>
            </w:r>
          </w:p>
        </w:tc>
        <w:tc>
          <w:tcPr>
            <w:tcW w:w="3888" w:type="dxa"/>
            <w:vAlign w:val="center"/>
          </w:tcPr>
          <w:p w:rsidR="00EE0E44" w:rsidRPr="00330641" w:rsidRDefault="00EE0E44" w:rsidP="000F58E0">
            <w:pPr>
              <w:autoSpaceDE w:val="0"/>
              <w:autoSpaceDN w:val="0"/>
              <w:adjustRightInd w:val="0"/>
              <w:spacing w:after="0" w:line="276" w:lineRule="auto"/>
              <w:ind w:left="567" w:right="616"/>
              <w:jc w:val="center"/>
              <w:rPr>
                <w:rFonts w:ascii="ITC Avant Garde" w:hAnsi="ITC Avant Garde" w:cs="Arial"/>
                <w:i/>
                <w:sz w:val="18"/>
                <w:szCs w:val="18"/>
                <w:lang w:val="en-US"/>
              </w:rPr>
            </w:pPr>
            <w:r w:rsidRPr="00330641">
              <w:rPr>
                <w:rFonts w:ascii="ITC Avant Garde" w:hAnsi="ITC Avant Garde" w:cs="Arial"/>
                <w:i/>
                <w:sz w:val="18"/>
                <w:szCs w:val="18"/>
                <w:lang w:val="en-US"/>
              </w:rPr>
              <w:t>39,813.12 Mbps</w:t>
            </w:r>
          </w:p>
        </w:tc>
      </w:tr>
      <w:tr w:rsidR="00EE0E44" w:rsidRPr="00330641" w:rsidTr="00EC3F16">
        <w:trPr>
          <w:trHeight w:val="335"/>
          <w:jc w:val="center"/>
        </w:trPr>
        <w:tc>
          <w:tcPr>
            <w:tcW w:w="3325" w:type="dxa"/>
            <w:vAlign w:val="center"/>
          </w:tcPr>
          <w:p w:rsidR="00EE0E44" w:rsidRPr="00330641" w:rsidRDefault="00EE0E44" w:rsidP="000F58E0">
            <w:pPr>
              <w:autoSpaceDE w:val="0"/>
              <w:autoSpaceDN w:val="0"/>
              <w:adjustRightInd w:val="0"/>
              <w:spacing w:after="0" w:line="276" w:lineRule="auto"/>
              <w:ind w:left="567" w:right="616"/>
              <w:jc w:val="center"/>
              <w:rPr>
                <w:rFonts w:ascii="ITC Avant Garde" w:hAnsi="ITC Avant Garde" w:cs="Arial"/>
                <w:i/>
                <w:sz w:val="18"/>
                <w:szCs w:val="18"/>
                <w:lang w:val="en-US"/>
              </w:rPr>
            </w:pPr>
            <w:r w:rsidRPr="00330641">
              <w:rPr>
                <w:rFonts w:ascii="ITC Avant Garde" w:hAnsi="ITC Avant Garde" w:cs="Arial"/>
                <w:i/>
                <w:sz w:val="18"/>
                <w:szCs w:val="18"/>
                <w:lang w:val="en-US"/>
              </w:rPr>
              <w:t>Ethernet</w:t>
            </w:r>
          </w:p>
        </w:tc>
        <w:tc>
          <w:tcPr>
            <w:tcW w:w="3888" w:type="dxa"/>
            <w:vAlign w:val="center"/>
          </w:tcPr>
          <w:p w:rsidR="00EE0E44" w:rsidRPr="00330641" w:rsidRDefault="00330641" w:rsidP="000F58E0">
            <w:pPr>
              <w:autoSpaceDE w:val="0"/>
              <w:autoSpaceDN w:val="0"/>
              <w:adjustRightInd w:val="0"/>
              <w:spacing w:after="0" w:line="276" w:lineRule="auto"/>
              <w:ind w:left="567" w:right="616"/>
              <w:jc w:val="center"/>
              <w:rPr>
                <w:rFonts w:ascii="ITC Avant Garde" w:hAnsi="ITC Avant Garde" w:cs="Arial"/>
                <w:i/>
                <w:sz w:val="18"/>
                <w:szCs w:val="18"/>
                <w:lang w:val="en-US"/>
              </w:rPr>
            </w:pPr>
            <w:r>
              <w:rPr>
                <w:rFonts w:ascii="ITC Avant Garde" w:hAnsi="ITC Avant Garde" w:cs="Arial"/>
                <w:i/>
                <w:sz w:val="18"/>
                <w:szCs w:val="18"/>
                <w:lang w:val="en-US"/>
              </w:rPr>
              <w:t xml:space="preserve">1 </w:t>
            </w:r>
            <w:r w:rsidR="00EE0E44" w:rsidRPr="00330641">
              <w:rPr>
                <w:rFonts w:ascii="ITC Avant Garde" w:hAnsi="ITC Avant Garde" w:cs="Arial"/>
                <w:i/>
                <w:sz w:val="18"/>
                <w:szCs w:val="18"/>
                <w:lang w:val="en-US"/>
              </w:rPr>
              <w:t xml:space="preserve">Mbps a 100 </w:t>
            </w:r>
            <w:proofErr w:type="spellStart"/>
            <w:r w:rsidR="00EE0E44" w:rsidRPr="00330641">
              <w:rPr>
                <w:rFonts w:ascii="ITC Avant Garde" w:hAnsi="ITC Avant Garde" w:cs="Arial"/>
                <w:i/>
                <w:sz w:val="18"/>
                <w:szCs w:val="18"/>
                <w:lang w:val="en-US"/>
              </w:rPr>
              <w:t>Gbps</w:t>
            </w:r>
            <w:proofErr w:type="spellEnd"/>
            <w:r w:rsidR="00EE0E44" w:rsidRPr="00330641">
              <w:rPr>
                <w:rFonts w:ascii="ITC Avant Garde" w:hAnsi="ITC Avant Garde" w:cs="Arial"/>
                <w:i/>
                <w:sz w:val="18"/>
                <w:szCs w:val="18"/>
                <w:lang w:val="en-US"/>
              </w:rPr>
              <w:t xml:space="preserve"> </w:t>
            </w:r>
          </w:p>
        </w:tc>
      </w:tr>
    </w:tbl>
    <w:p w:rsidR="00837D8A" w:rsidRPr="00330641" w:rsidRDefault="00837D8A" w:rsidP="000F58E0">
      <w:pPr>
        <w:autoSpaceDE w:val="0"/>
        <w:autoSpaceDN w:val="0"/>
        <w:adjustRightInd w:val="0"/>
        <w:spacing w:after="0" w:line="276" w:lineRule="auto"/>
        <w:ind w:left="567" w:right="616"/>
        <w:rPr>
          <w:rFonts w:ascii="ITC Avant Garde" w:hAnsi="ITC Avant Garde" w:cs="Arial"/>
          <w:i/>
          <w:sz w:val="18"/>
          <w:szCs w:val="18"/>
        </w:rPr>
      </w:pPr>
    </w:p>
    <w:p w:rsidR="00EE0E44" w:rsidRPr="00330641" w:rsidRDefault="00EE0E44" w:rsidP="00837D8A">
      <w:pPr>
        <w:autoSpaceDE w:val="0"/>
        <w:autoSpaceDN w:val="0"/>
        <w:adjustRightInd w:val="0"/>
        <w:spacing w:after="0" w:line="276" w:lineRule="auto"/>
        <w:ind w:left="993" w:right="900"/>
        <w:rPr>
          <w:rFonts w:ascii="ITC Avant Garde" w:hAnsi="ITC Avant Garde" w:cs="Arial"/>
          <w:i/>
          <w:sz w:val="18"/>
          <w:szCs w:val="18"/>
        </w:rPr>
      </w:pPr>
      <w:r w:rsidRPr="00330641">
        <w:rPr>
          <w:rFonts w:ascii="ITC Avant Garde" w:hAnsi="ITC Avant Garde" w:cs="Arial"/>
          <w:i/>
          <w:sz w:val="18"/>
          <w:szCs w:val="18"/>
        </w:rPr>
        <w:t xml:space="preserve">NOTA: El enlace E2 se entrega en 4xE1 (capacidad equivalente del E2), el enlace E4 se entrega como STM-1 para la capacidad equivalente de E4 y el enlace STM-256 se entrega en su capacidad equivalente de 4xSTM-64. </w:t>
      </w:r>
    </w:p>
    <w:p w:rsidR="00EE0E44" w:rsidRPr="00330641" w:rsidRDefault="00EE0E44" w:rsidP="000F58E0">
      <w:pPr>
        <w:autoSpaceDE w:val="0"/>
        <w:autoSpaceDN w:val="0"/>
        <w:adjustRightInd w:val="0"/>
        <w:spacing w:after="0" w:line="276" w:lineRule="auto"/>
        <w:ind w:left="567" w:right="616"/>
        <w:jc w:val="right"/>
        <w:rPr>
          <w:rFonts w:ascii="ITC Avant Garde" w:hAnsi="ITC Avant Garde" w:cs="Arial"/>
          <w:i/>
          <w:sz w:val="18"/>
          <w:szCs w:val="18"/>
        </w:rPr>
      </w:pPr>
      <w:r w:rsidRPr="00330641">
        <w:rPr>
          <w:rFonts w:ascii="ITC Avant Garde" w:hAnsi="ITC Avant Garde" w:cs="Arial"/>
          <w:i/>
          <w:sz w:val="18"/>
          <w:szCs w:val="18"/>
        </w:rPr>
        <w:t>[…]”</w:t>
      </w:r>
    </w:p>
    <w:p w:rsidR="00EE0E44" w:rsidRPr="00330641" w:rsidRDefault="00EE0E44" w:rsidP="000F58E0">
      <w:pPr>
        <w:autoSpaceDE w:val="0"/>
        <w:autoSpaceDN w:val="0"/>
        <w:adjustRightInd w:val="0"/>
        <w:spacing w:after="0" w:line="276" w:lineRule="auto"/>
        <w:ind w:left="1134" w:right="1183"/>
        <w:rPr>
          <w:rFonts w:ascii="ITC Avant Garde" w:hAnsi="ITC Avant Garde" w:cs="Arial"/>
          <w:i/>
        </w:rPr>
      </w:pPr>
    </w:p>
    <w:p w:rsidR="00DA60CB" w:rsidRPr="00330641" w:rsidRDefault="00BA7B20" w:rsidP="000F58E0">
      <w:pPr>
        <w:spacing w:after="0" w:line="276" w:lineRule="auto"/>
        <w:ind w:left="0" w:right="0"/>
        <w:rPr>
          <w:rFonts w:ascii="ITC Avant Garde" w:hAnsi="ITC Avant Garde"/>
          <w:bCs/>
          <w:u w:val="single"/>
        </w:rPr>
      </w:pPr>
      <w:r w:rsidRPr="00330641">
        <w:rPr>
          <w:rFonts w:ascii="ITC Avant Garde" w:hAnsi="ITC Avant Garde"/>
          <w:b/>
          <w:color w:val="auto"/>
          <w:u w:val="single"/>
        </w:rPr>
        <w:t xml:space="preserve">2.4 </w:t>
      </w:r>
      <w:r w:rsidR="00DA60CB" w:rsidRPr="00330641">
        <w:rPr>
          <w:rFonts w:ascii="ITC Avant Garde" w:hAnsi="ITC Avant Garde"/>
          <w:b/>
          <w:color w:val="auto"/>
          <w:u w:val="single"/>
        </w:rPr>
        <w:t>Plazos de Entrega de los Servicios</w:t>
      </w:r>
      <w:r w:rsidR="00025AA8" w:rsidRPr="00330641">
        <w:rPr>
          <w:rFonts w:ascii="ITC Avant Garde" w:hAnsi="ITC Avant Garde"/>
          <w:b/>
          <w:color w:val="auto"/>
          <w:u w:val="single"/>
        </w:rPr>
        <w:t>.</w:t>
      </w:r>
    </w:p>
    <w:p w:rsidR="00B3181B" w:rsidRPr="00330641" w:rsidRDefault="00F64AC2" w:rsidP="000F58E0">
      <w:pPr>
        <w:spacing w:after="0" w:line="276" w:lineRule="auto"/>
        <w:ind w:left="0" w:right="0"/>
        <w:rPr>
          <w:rFonts w:ascii="ITC Avant Garde" w:hAnsi="ITC Avant Garde"/>
          <w:b/>
          <w:color w:val="auto"/>
        </w:rPr>
      </w:pPr>
      <w:r w:rsidRPr="00330641">
        <w:rPr>
          <w:rFonts w:ascii="ITC Avant Garde" w:hAnsi="ITC Avant Garde"/>
          <w:b/>
          <w:color w:val="auto"/>
        </w:rPr>
        <w:t xml:space="preserve">2.4.1 </w:t>
      </w:r>
      <w:r w:rsidR="00BF0250">
        <w:rPr>
          <w:rFonts w:ascii="ITC Avant Garde" w:hAnsi="ITC Avant Garde"/>
          <w:b/>
          <w:color w:val="auto"/>
        </w:rPr>
        <w:t>P</w:t>
      </w:r>
      <w:r w:rsidR="00BF0250" w:rsidRPr="00330641">
        <w:rPr>
          <w:rFonts w:ascii="ITC Avant Garde" w:hAnsi="ITC Avant Garde"/>
          <w:b/>
          <w:color w:val="auto"/>
        </w:rPr>
        <w:t>l</w:t>
      </w:r>
      <w:r w:rsidR="00BF0250">
        <w:rPr>
          <w:rFonts w:ascii="ITC Avant Garde" w:hAnsi="ITC Avant Garde"/>
          <w:b/>
          <w:color w:val="auto"/>
        </w:rPr>
        <w:t xml:space="preserve">azos de </w:t>
      </w:r>
      <w:r w:rsidR="00371339">
        <w:rPr>
          <w:rFonts w:ascii="ITC Avant Garde" w:hAnsi="ITC Avant Garde"/>
          <w:b/>
          <w:color w:val="auto"/>
        </w:rPr>
        <w:t>e</w:t>
      </w:r>
      <w:r w:rsidR="00BF0250" w:rsidRPr="00330641">
        <w:rPr>
          <w:rFonts w:ascii="ITC Avant Garde" w:hAnsi="ITC Avant Garde"/>
          <w:b/>
          <w:color w:val="auto"/>
        </w:rPr>
        <w:t>ntrega</w:t>
      </w:r>
    </w:p>
    <w:p w:rsidR="00EE0E44" w:rsidRPr="00330641" w:rsidRDefault="00793782" w:rsidP="000F58E0">
      <w:pPr>
        <w:spacing w:after="0" w:line="276" w:lineRule="auto"/>
        <w:ind w:left="0" w:right="0" w:firstLine="0"/>
        <w:rPr>
          <w:rFonts w:ascii="ITC Avant Garde" w:hAnsi="ITC Avant Garde"/>
          <w:b/>
          <w:color w:val="auto"/>
        </w:rPr>
      </w:pPr>
      <w:r w:rsidRPr="00330641">
        <w:rPr>
          <w:rFonts w:ascii="ITC Avant Garde" w:hAnsi="ITC Avant Garde"/>
          <w:b/>
          <w:color w:val="auto"/>
        </w:rPr>
        <w:t xml:space="preserve">2.4.1.1 </w:t>
      </w:r>
    </w:p>
    <w:p w:rsidR="00032BD2" w:rsidRPr="00330641" w:rsidRDefault="00032BD2" w:rsidP="000F58E0">
      <w:pPr>
        <w:autoSpaceDE w:val="0"/>
        <w:autoSpaceDN w:val="0"/>
        <w:adjustRightInd w:val="0"/>
        <w:spacing w:after="0" w:line="276" w:lineRule="auto"/>
        <w:ind w:left="0" w:right="0" w:firstLine="0"/>
        <w:rPr>
          <w:rFonts w:ascii="ITC Avant Garde" w:hAnsi="ITC Avant Garde"/>
          <w:b/>
          <w:color w:val="auto"/>
        </w:rPr>
      </w:pPr>
      <w:r w:rsidRPr="00330641">
        <w:rPr>
          <w:rFonts w:ascii="ITC Avant Garde" w:hAnsi="ITC Avant Garde"/>
          <w:b/>
          <w:color w:val="auto"/>
        </w:rPr>
        <w:t>AXTEL</w:t>
      </w:r>
      <w:r w:rsidR="00A72576" w:rsidRPr="00330641">
        <w:rPr>
          <w:rFonts w:ascii="ITC Avant Garde" w:hAnsi="ITC Avant Garde"/>
          <w:b/>
          <w:color w:val="auto"/>
        </w:rPr>
        <w:t>:</w:t>
      </w:r>
    </w:p>
    <w:p w:rsidR="0063568C" w:rsidRPr="00330641" w:rsidRDefault="003D31D8" w:rsidP="0063568C">
      <w:pPr>
        <w:autoSpaceDE w:val="0"/>
        <w:autoSpaceDN w:val="0"/>
        <w:adjustRightInd w:val="0"/>
        <w:spacing w:after="0" w:line="276" w:lineRule="auto"/>
        <w:ind w:left="0" w:right="0" w:firstLine="0"/>
        <w:rPr>
          <w:rFonts w:ascii="ITC Avant Garde" w:hAnsi="ITC Avant Garde"/>
          <w:color w:val="auto"/>
        </w:rPr>
      </w:pPr>
      <w:r>
        <w:rPr>
          <w:rFonts w:ascii="ITC Avant Garde" w:hAnsi="ITC Avant Garde"/>
          <w:color w:val="auto"/>
        </w:rPr>
        <w:t>Solicitó</w:t>
      </w:r>
      <w:r w:rsidR="0063568C" w:rsidRPr="00330641">
        <w:rPr>
          <w:rFonts w:ascii="ITC Avant Garde" w:hAnsi="ITC Avant Garde"/>
          <w:color w:val="auto"/>
        </w:rPr>
        <w:t xml:space="preserve"> al Instituto obligar al AEP a mejorar </w:t>
      </w:r>
      <w:r w:rsidR="000152A1" w:rsidRPr="00330641">
        <w:rPr>
          <w:rFonts w:ascii="ITC Avant Garde" w:hAnsi="ITC Avant Garde"/>
          <w:color w:val="auto"/>
        </w:rPr>
        <w:t>los tiempos</w:t>
      </w:r>
      <w:r w:rsidR="0063568C" w:rsidRPr="00330641">
        <w:rPr>
          <w:rFonts w:ascii="ITC Avant Garde" w:hAnsi="ITC Avant Garde"/>
          <w:color w:val="auto"/>
        </w:rPr>
        <w:t xml:space="preserve"> de provisión de los servicios, ya que los plazos de entrega propuestos</w:t>
      </w:r>
      <w:r w:rsidR="003D5B1F" w:rsidRPr="00330641">
        <w:rPr>
          <w:rFonts w:ascii="ITC Avant Garde" w:hAnsi="ITC Avant Garde"/>
          <w:color w:val="auto"/>
        </w:rPr>
        <w:t xml:space="preserve"> por Telmex </w:t>
      </w:r>
      <w:r w:rsidR="0063568C" w:rsidRPr="00330641">
        <w:rPr>
          <w:rFonts w:ascii="ITC Avant Garde" w:hAnsi="ITC Avant Garde"/>
          <w:color w:val="auto"/>
        </w:rPr>
        <w:t xml:space="preserve">son excesivos, </w:t>
      </w:r>
      <w:r w:rsidR="00603C74" w:rsidRPr="00330641">
        <w:rPr>
          <w:rFonts w:ascii="ITC Avant Garde" w:hAnsi="ITC Avant Garde"/>
          <w:color w:val="auto"/>
        </w:rPr>
        <w:t xml:space="preserve">señalando que </w:t>
      </w:r>
      <w:r w:rsidR="0063568C" w:rsidRPr="00330641">
        <w:rPr>
          <w:rFonts w:ascii="ITC Avant Garde" w:hAnsi="ITC Avant Garde"/>
          <w:color w:val="auto"/>
        </w:rPr>
        <w:t xml:space="preserve">se debe garantizar la inclusión de plazos para la entrega de los servicios respetando como máximo los plazos definidos en la </w:t>
      </w:r>
      <w:r w:rsidR="00837D8A" w:rsidRPr="00330641">
        <w:rPr>
          <w:rFonts w:ascii="ITC Avant Garde" w:hAnsi="ITC Avant Garde"/>
          <w:color w:val="auto"/>
        </w:rPr>
        <w:t xml:space="preserve">ORE DM </w:t>
      </w:r>
      <w:r w:rsidR="00603C74" w:rsidRPr="00330641">
        <w:rPr>
          <w:rFonts w:ascii="ITC Avant Garde" w:hAnsi="ITC Avant Garde"/>
          <w:color w:val="auto"/>
        </w:rPr>
        <w:t>2020</w:t>
      </w:r>
      <w:r w:rsidR="0063568C" w:rsidRPr="00330641">
        <w:rPr>
          <w:rFonts w:ascii="ITC Avant Garde" w:hAnsi="ITC Avant Garde"/>
          <w:color w:val="auto"/>
        </w:rPr>
        <w:t>.</w:t>
      </w:r>
    </w:p>
    <w:p w:rsidR="0063568C" w:rsidRPr="00330641" w:rsidRDefault="0063568C" w:rsidP="0063568C">
      <w:pPr>
        <w:autoSpaceDE w:val="0"/>
        <w:autoSpaceDN w:val="0"/>
        <w:adjustRightInd w:val="0"/>
        <w:spacing w:after="0" w:line="276" w:lineRule="auto"/>
        <w:ind w:left="0" w:right="0" w:firstLine="0"/>
        <w:rPr>
          <w:rFonts w:ascii="ITC Avant Garde" w:hAnsi="ITC Avant Garde"/>
          <w:color w:val="auto"/>
        </w:rPr>
      </w:pPr>
    </w:p>
    <w:p w:rsidR="0063568C" w:rsidRPr="00330641" w:rsidRDefault="0012211F" w:rsidP="0063568C">
      <w:pPr>
        <w:spacing w:after="0" w:line="276" w:lineRule="auto"/>
        <w:ind w:left="0" w:right="0" w:firstLine="0"/>
        <w:contextualSpacing/>
        <w:rPr>
          <w:rFonts w:ascii="ITC Avant Garde" w:hAnsi="ITC Avant Garde"/>
          <w:color w:val="auto"/>
        </w:rPr>
      </w:pPr>
      <w:r>
        <w:rPr>
          <w:rFonts w:ascii="ITC Avant Garde" w:hAnsi="ITC Avant Garde"/>
          <w:color w:val="auto"/>
        </w:rPr>
        <w:t>Señaló</w:t>
      </w:r>
      <w:r w:rsidR="0063568C" w:rsidRPr="00330641">
        <w:rPr>
          <w:rFonts w:ascii="ITC Avant Garde" w:hAnsi="ITC Avant Garde"/>
          <w:color w:val="auto"/>
        </w:rPr>
        <w:t xml:space="preserve"> que los plazos de provisión deben estar en función de la infraestructura ya instalada y equipada en la central por lo que no hay justificación en los plazos propuestos de 62 días hábiles para la D</w:t>
      </w:r>
      <w:r w:rsidR="00837D8A" w:rsidRPr="00330641">
        <w:rPr>
          <w:rFonts w:ascii="ITC Avant Garde" w:hAnsi="ITC Avant Garde"/>
          <w:color w:val="auto"/>
        </w:rPr>
        <w:t xml:space="preserve">ivisión </w:t>
      </w:r>
      <w:r w:rsidR="0063568C" w:rsidRPr="00330641">
        <w:rPr>
          <w:rFonts w:ascii="ITC Avant Garde" w:hAnsi="ITC Avant Garde"/>
          <w:color w:val="auto"/>
        </w:rPr>
        <w:t>M</w:t>
      </w:r>
      <w:r w:rsidR="00837D8A" w:rsidRPr="00330641">
        <w:rPr>
          <w:rFonts w:ascii="ITC Avant Garde" w:hAnsi="ITC Avant Garde"/>
          <w:color w:val="auto"/>
        </w:rPr>
        <w:t>ayorista (en lo sucesivo, la “DM”)</w:t>
      </w:r>
      <w:r w:rsidR="0063568C" w:rsidRPr="00330641">
        <w:rPr>
          <w:rFonts w:ascii="ITC Avant Garde" w:hAnsi="ITC Avant Garde"/>
          <w:color w:val="auto"/>
        </w:rPr>
        <w:t xml:space="preserve">. </w:t>
      </w:r>
    </w:p>
    <w:p w:rsidR="0063568C" w:rsidRPr="00330641" w:rsidRDefault="0063568C" w:rsidP="0063568C">
      <w:pPr>
        <w:spacing w:after="0" w:line="276" w:lineRule="auto"/>
        <w:ind w:left="0" w:right="0" w:firstLine="0"/>
        <w:rPr>
          <w:rFonts w:ascii="ITC Avant Garde" w:eastAsia="Times New Roman" w:hAnsi="ITC Avant Garde" w:cs="Times New Roman"/>
          <w:b/>
          <w:color w:val="auto"/>
        </w:rPr>
      </w:pPr>
    </w:p>
    <w:p w:rsidR="0063568C" w:rsidRPr="00330641" w:rsidRDefault="00651C81" w:rsidP="0063568C">
      <w:pPr>
        <w:spacing w:after="0" w:line="276" w:lineRule="auto"/>
        <w:ind w:left="0" w:right="0" w:firstLine="0"/>
        <w:rPr>
          <w:rFonts w:ascii="ITC Avant Garde" w:eastAsia="Times New Roman" w:hAnsi="ITC Avant Garde" w:cs="Times New Roman"/>
          <w:i/>
          <w:color w:val="auto"/>
        </w:rPr>
      </w:pPr>
      <w:r>
        <w:rPr>
          <w:rFonts w:ascii="ITC Avant Garde" w:eastAsia="Times New Roman" w:hAnsi="ITC Avant Garde" w:cs="Times New Roman"/>
          <w:color w:val="auto"/>
        </w:rPr>
        <w:t>Asimismo, s</w:t>
      </w:r>
      <w:r w:rsidR="003D31D8">
        <w:rPr>
          <w:rFonts w:ascii="ITC Avant Garde" w:eastAsia="Times New Roman" w:hAnsi="ITC Avant Garde" w:cs="Times New Roman"/>
          <w:color w:val="auto"/>
        </w:rPr>
        <w:t>olicitó</w:t>
      </w:r>
      <w:r w:rsidR="0063568C" w:rsidRPr="00330641">
        <w:rPr>
          <w:rFonts w:ascii="ITC Avant Garde" w:eastAsia="Times New Roman" w:hAnsi="ITC Avant Garde" w:cs="Times New Roman"/>
          <w:color w:val="auto"/>
        </w:rPr>
        <w:t xml:space="preserve"> al Instituto que transparente y publique el procedimiento, así como los elementos valorados que está empleando el Instituto para asegurar que el AEP está cumpliendo la obligación de igualar la calidad de servicio de los </w:t>
      </w:r>
      <w:r w:rsidR="0063568C" w:rsidRPr="00330641">
        <w:rPr>
          <w:rFonts w:ascii="ITC Avant Garde" w:eastAsia="Times New Roman" w:hAnsi="ITC Avant Garde" w:cs="Times New Roman"/>
          <w:color w:val="auto"/>
        </w:rPr>
        <w:lastRenderedPageBreak/>
        <w:t>clientes mayoristas respecto a la de los clientes propios como se define en la Medida Sexagésima Sexta.</w:t>
      </w:r>
    </w:p>
    <w:p w:rsidR="00025AA8" w:rsidRPr="00330641" w:rsidRDefault="00025AA8" w:rsidP="000F58E0">
      <w:pPr>
        <w:spacing w:after="0" w:line="276" w:lineRule="auto"/>
        <w:ind w:left="0" w:right="0" w:firstLine="0"/>
        <w:rPr>
          <w:rFonts w:ascii="ITC Avant Garde" w:eastAsia="Times New Roman" w:hAnsi="ITC Avant Garde" w:cs="Times New Roman"/>
          <w:b/>
          <w:color w:val="auto"/>
        </w:rPr>
      </w:pPr>
    </w:p>
    <w:p w:rsidR="00032BD2" w:rsidRPr="00330641" w:rsidRDefault="00CD7852" w:rsidP="000F58E0">
      <w:pPr>
        <w:spacing w:after="0" w:line="276" w:lineRule="auto"/>
        <w:ind w:left="0" w:right="0" w:firstLine="0"/>
        <w:rPr>
          <w:rFonts w:ascii="ITC Avant Garde" w:eastAsia="Times New Roman" w:hAnsi="ITC Avant Garde" w:cs="Times New Roman"/>
          <w:b/>
          <w:color w:val="auto"/>
        </w:rPr>
      </w:pPr>
      <w:r w:rsidRPr="00330641">
        <w:rPr>
          <w:rFonts w:ascii="ITC Avant Garde" w:eastAsia="Times New Roman" w:hAnsi="ITC Avant Garde" w:cs="Times New Roman"/>
          <w:b/>
          <w:color w:val="auto"/>
        </w:rPr>
        <w:t>GRUPO AT&amp;T</w:t>
      </w:r>
      <w:r w:rsidR="00A72576" w:rsidRPr="00330641">
        <w:rPr>
          <w:rFonts w:ascii="ITC Avant Garde" w:eastAsia="Times New Roman" w:hAnsi="ITC Avant Garde" w:cs="Times New Roman"/>
          <w:b/>
          <w:color w:val="auto"/>
        </w:rPr>
        <w:t>:</w:t>
      </w:r>
      <w:r w:rsidR="004714D1" w:rsidRPr="00330641">
        <w:rPr>
          <w:rFonts w:ascii="ITC Avant Garde" w:eastAsia="Times New Roman" w:hAnsi="ITC Avant Garde" w:cs="Times New Roman"/>
          <w:b/>
          <w:color w:val="auto"/>
        </w:rPr>
        <w:t xml:space="preserve"> </w:t>
      </w:r>
    </w:p>
    <w:p w:rsidR="00893FFD" w:rsidRPr="00330641" w:rsidRDefault="00BC6184" w:rsidP="000F58E0">
      <w:pPr>
        <w:spacing w:after="0" w:line="276" w:lineRule="auto"/>
        <w:ind w:left="0" w:right="0" w:firstLine="0"/>
        <w:rPr>
          <w:rFonts w:ascii="ITC Avant Garde" w:eastAsia="Times New Roman" w:hAnsi="ITC Avant Garde" w:cs="Times New Roman"/>
          <w:color w:val="auto"/>
        </w:rPr>
      </w:pPr>
      <w:r w:rsidRPr="00330641">
        <w:rPr>
          <w:rFonts w:ascii="ITC Avant Garde" w:eastAsia="Times New Roman" w:hAnsi="ITC Avant Garde" w:cs="Times New Roman"/>
          <w:color w:val="auto"/>
        </w:rPr>
        <w:t>S</w:t>
      </w:r>
      <w:r w:rsidR="003D31D8">
        <w:rPr>
          <w:rFonts w:ascii="ITC Avant Garde" w:eastAsia="Times New Roman" w:hAnsi="ITC Avant Garde" w:cs="Times New Roman"/>
          <w:color w:val="auto"/>
        </w:rPr>
        <w:t>ugirió</w:t>
      </w:r>
      <w:r w:rsidR="00893FFD" w:rsidRPr="00330641">
        <w:rPr>
          <w:rFonts w:ascii="ITC Avant Garde" w:eastAsia="Times New Roman" w:hAnsi="ITC Avant Garde" w:cs="Times New Roman"/>
          <w:color w:val="auto"/>
        </w:rPr>
        <w:t xml:space="preserve"> que l</w:t>
      </w:r>
      <w:r w:rsidRPr="00330641">
        <w:rPr>
          <w:rFonts w:ascii="ITC Avant Garde" w:eastAsia="Times New Roman" w:hAnsi="ITC Avant Garde" w:cs="Times New Roman"/>
          <w:color w:val="auto"/>
        </w:rPr>
        <w:t xml:space="preserve">os plazos de entrega se midan </w:t>
      </w:r>
      <w:r w:rsidR="00893FFD" w:rsidRPr="00330641">
        <w:rPr>
          <w:rFonts w:ascii="ITC Avant Garde" w:eastAsia="Times New Roman" w:hAnsi="ITC Avant Garde" w:cs="Times New Roman"/>
          <w:color w:val="auto"/>
        </w:rPr>
        <w:t>por trimestre calendario (enero a marzo; abril a junio; julio a septiembre y octubre a diciembre),</w:t>
      </w:r>
      <w:r w:rsidR="00C173C5">
        <w:rPr>
          <w:rFonts w:ascii="ITC Avant Garde" w:eastAsia="Times New Roman" w:hAnsi="ITC Avant Garde" w:cs="Times New Roman"/>
          <w:color w:val="auto"/>
        </w:rPr>
        <w:t xml:space="preserve"> los cuales</w:t>
      </w:r>
      <w:r w:rsidR="00893FFD" w:rsidRPr="00330641">
        <w:rPr>
          <w:rFonts w:ascii="ITC Avant Garde" w:eastAsia="Times New Roman" w:hAnsi="ITC Avant Garde" w:cs="Times New Roman"/>
          <w:color w:val="auto"/>
        </w:rPr>
        <w:t xml:space="preserve"> no podrán excederse en:</w:t>
      </w:r>
    </w:p>
    <w:p w:rsidR="00893FFD" w:rsidRPr="00330641" w:rsidRDefault="00893FFD" w:rsidP="000F58E0">
      <w:pPr>
        <w:spacing w:after="0" w:line="276" w:lineRule="auto"/>
        <w:ind w:left="0" w:right="0" w:firstLine="0"/>
        <w:rPr>
          <w:rFonts w:ascii="ITC Avant Garde" w:eastAsia="Times New Roman" w:hAnsi="ITC Avant Garde" w:cs="Times New Roman"/>
          <w:color w:val="auto"/>
        </w:rPr>
      </w:pPr>
    </w:p>
    <w:p w:rsidR="00893FFD" w:rsidRPr="00330641" w:rsidRDefault="00893FFD" w:rsidP="006B06E7">
      <w:pPr>
        <w:pStyle w:val="Prrafodelista"/>
        <w:numPr>
          <w:ilvl w:val="0"/>
          <w:numId w:val="3"/>
        </w:numPr>
        <w:spacing w:after="0" w:line="276" w:lineRule="auto"/>
        <w:ind w:left="567" w:right="0" w:hanging="567"/>
        <w:rPr>
          <w:rFonts w:ascii="ITC Avant Garde" w:eastAsia="Times New Roman" w:hAnsi="ITC Avant Garde" w:cs="Times New Roman"/>
          <w:color w:val="auto"/>
        </w:rPr>
      </w:pPr>
      <w:r w:rsidRPr="00330641">
        <w:rPr>
          <w:rFonts w:ascii="ITC Avant Garde" w:eastAsia="Times New Roman" w:hAnsi="ITC Avant Garde" w:cs="Times New Roman"/>
          <w:color w:val="auto"/>
        </w:rPr>
        <w:t>El 85% (ochenta y cinco por ciento) de las solicitudes que se realicen dentro de pronóstico y el restante en el doble del plazo señalado hasta llegar al 100% (cien por ciento).</w:t>
      </w:r>
    </w:p>
    <w:p w:rsidR="006035CD" w:rsidRPr="00330641" w:rsidRDefault="006035CD" w:rsidP="000F58E0">
      <w:pPr>
        <w:pStyle w:val="Prrafodelista"/>
        <w:spacing w:after="0" w:line="276" w:lineRule="auto"/>
        <w:ind w:left="567" w:right="0" w:hanging="567"/>
        <w:rPr>
          <w:rFonts w:ascii="ITC Avant Garde" w:eastAsia="Times New Roman" w:hAnsi="ITC Avant Garde" w:cs="Times New Roman"/>
          <w:color w:val="auto"/>
        </w:rPr>
      </w:pPr>
    </w:p>
    <w:p w:rsidR="009926A9" w:rsidRPr="00330641" w:rsidRDefault="006035CD" w:rsidP="006B06E7">
      <w:pPr>
        <w:pStyle w:val="Prrafodelista"/>
        <w:numPr>
          <w:ilvl w:val="0"/>
          <w:numId w:val="3"/>
        </w:numPr>
        <w:spacing w:after="0" w:line="276" w:lineRule="auto"/>
        <w:ind w:left="567" w:right="0" w:hanging="567"/>
        <w:rPr>
          <w:rFonts w:ascii="ITC Avant Garde" w:eastAsia="Times New Roman" w:hAnsi="ITC Avant Garde" w:cs="Times New Roman"/>
          <w:color w:val="auto"/>
        </w:rPr>
      </w:pPr>
      <w:r w:rsidRPr="00330641">
        <w:rPr>
          <w:rFonts w:ascii="ITC Avant Garde" w:eastAsia="Times New Roman" w:hAnsi="ITC Avant Garde" w:cs="Times New Roman"/>
          <w:color w:val="auto"/>
        </w:rPr>
        <w:t>El 20% (veinte por ciento) de las solicitudes que se realicen fuera de pronóstico y el doble del plazo señalado para el remanente de solicitudes hasta llegar al 100% (cien por ciento).</w:t>
      </w:r>
    </w:p>
    <w:p w:rsidR="009926A9" w:rsidRPr="00330641" w:rsidRDefault="009926A9" w:rsidP="000F58E0">
      <w:pPr>
        <w:pStyle w:val="Prrafodelista"/>
        <w:spacing w:line="276" w:lineRule="auto"/>
        <w:rPr>
          <w:rFonts w:ascii="ITC Avant Garde" w:eastAsia="Times New Roman" w:hAnsi="ITC Avant Garde" w:cs="Times New Roman"/>
          <w:color w:val="auto"/>
        </w:rPr>
      </w:pPr>
    </w:p>
    <w:p w:rsidR="009926A9" w:rsidRPr="00330641" w:rsidRDefault="0012211F" w:rsidP="000F58E0">
      <w:pPr>
        <w:spacing w:after="0" w:line="276" w:lineRule="auto"/>
        <w:ind w:right="0"/>
        <w:rPr>
          <w:rFonts w:ascii="ITC Avant Garde" w:eastAsia="Times New Roman" w:hAnsi="ITC Avant Garde" w:cs="Times New Roman"/>
          <w:color w:val="auto"/>
        </w:rPr>
      </w:pPr>
      <w:r>
        <w:rPr>
          <w:rFonts w:ascii="ITC Avant Garde" w:eastAsia="Times New Roman" w:hAnsi="ITC Avant Garde" w:cs="Times New Roman"/>
          <w:color w:val="auto"/>
        </w:rPr>
        <w:t>Señaló</w:t>
      </w:r>
      <w:r w:rsidR="009926A9" w:rsidRPr="00330641">
        <w:rPr>
          <w:rFonts w:ascii="ITC Avant Garde" w:eastAsia="Times New Roman" w:hAnsi="ITC Avant Garde" w:cs="Times New Roman"/>
          <w:color w:val="auto"/>
        </w:rPr>
        <w:t xml:space="preserve"> que es importante definir el periodo de medición para el cumplimiento de los porcentajes, de lo contrario este parámetro resulta inoperante. </w:t>
      </w:r>
      <w:r w:rsidR="00602350">
        <w:rPr>
          <w:rFonts w:ascii="ITC Avant Garde" w:eastAsia="Times New Roman" w:hAnsi="ITC Avant Garde" w:cs="Times New Roman"/>
          <w:color w:val="auto"/>
        </w:rPr>
        <w:t>Argumentó</w:t>
      </w:r>
      <w:r w:rsidR="009926A9" w:rsidRPr="00330641">
        <w:rPr>
          <w:rFonts w:ascii="ITC Avant Garde" w:eastAsia="Times New Roman" w:hAnsi="ITC Avant Garde" w:cs="Times New Roman"/>
          <w:color w:val="auto"/>
        </w:rPr>
        <w:t xml:space="preserve"> que asumiendo que se solicita</w:t>
      </w:r>
      <w:r w:rsidR="00814734">
        <w:rPr>
          <w:rFonts w:ascii="ITC Avant Garde" w:eastAsia="Times New Roman" w:hAnsi="ITC Avant Garde" w:cs="Times New Roman"/>
          <w:color w:val="auto"/>
        </w:rPr>
        <w:t>n</w:t>
      </w:r>
      <w:r w:rsidR="009926A9" w:rsidRPr="00330641">
        <w:rPr>
          <w:rFonts w:ascii="ITC Avant Garde" w:eastAsia="Times New Roman" w:hAnsi="ITC Avant Garde" w:cs="Times New Roman"/>
          <w:color w:val="auto"/>
        </w:rPr>
        <w:t xml:space="preserve"> enlaces sin pronóstico, es razonable que Telmex</w:t>
      </w:r>
      <w:r w:rsidR="004714D1" w:rsidRPr="00330641">
        <w:rPr>
          <w:rFonts w:ascii="ITC Avant Garde" w:eastAsia="Times New Roman" w:hAnsi="ITC Avant Garde" w:cs="Times New Roman"/>
          <w:color w:val="auto"/>
        </w:rPr>
        <w:t xml:space="preserve"> </w:t>
      </w:r>
      <w:r w:rsidR="009926A9" w:rsidRPr="00330641">
        <w:rPr>
          <w:rFonts w:ascii="ITC Avant Garde" w:eastAsia="Times New Roman" w:hAnsi="ITC Avant Garde" w:cs="Times New Roman"/>
          <w:color w:val="auto"/>
        </w:rPr>
        <w:t xml:space="preserve">requiera un plazo mayor para entregarlos y para ellos se otorga un plazo del doble del señalado para el 80% de los enlaces. </w:t>
      </w:r>
    </w:p>
    <w:p w:rsidR="00651D35" w:rsidRPr="00330641" w:rsidRDefault="00651D35" w:rsidP="000F58E0">
      <w:pPr>
        <w:autoSpaceDE w:val="0"/>
        <w:autoSpaceDN w:val="0"/>
        <w:adjustRightInd w:val="0"/>
        <w:spacing w:after="0" w:line="276" w:lineRule="auto"/>
        <w:ind w:left="0" w:right="0" w:firstLine="0"/>
        <w:rPr>
          <w:rFonts w:ascii="ITC Avant Garde" w:hAnsi="ITC Avant Garde"/>
          <w:b/>
          <w:color w:val="auto"/>
        </w:rPr>
      </w:pPr>
    </w:p>
    <w:p w:rsidR="006035CD" w:rsidRPr="00330641" w:rsidRDefault="008773D9" w:rsidP="000F58E0">
      <w:pPr>
        <w:spacing w:after="0" w:line="276" w:lineRule="auto"/>
        <w:ind w:left="0" w:right="0" w:firstLine="0"/>
        <w:rPr>
          <w:rFonts w:ascii="ITC Avant Garde" w:eastAsia="Times New Roman" w:hAnsi="ITC Avant Garde" w:cs="Times New Roman"/>
          <w:color w:val="auto"/>
        </w:rPr>
      </w:pPr>
      <w:r w:rsidRPr="00330641">
        <w:rPr>
          <w:rFonts w:ascii="ITC Avant Garde" w:eastAsia="Times New Roman" w:hAnsi="ITC Avant Garde" w:cs="Times New Roman"/>
          <w:color w:val="auto"/>
        </w:rPr>
        <w:t xml:space="preserve">Grupo AT&amp;T </w:t>
      </w:r>
      <w:r w:rsidR="008D5642">
        <w:rPr>
          <w:rFonts w:ascii="ITC Avant Garde" w:eastAsia="Times New Roman" w:hAnsi="ITC Avant Garde" w:cs="Times New Roman"/>
          <w:color w:val="auto"/>
        </w:rPr>
        <w:t>m</w:t>
      </w:r>
      <w:r w:rsidR="0012211F">
        <w:rPr>
          <w:rFonts w:ascii="ITC Avant Garde" w:eastAsia="Times New Roman" w:hAnsi="ITC Avant Garde" w:cs="Times New Roman"/>
          <w:color w:val="auto"/>
        </w:rPr>
        <w:t>anifestó</w:t>
      </w:r>
      <w:r w:rsidRPr="00330641">
        <w:rPr>
          <w:rFonts w:ascii="ITC Avant Garde" w:eastAsia="Times New Roman" w:hAnsi="ITC Avant Garde" w:cs="Times New Roman"/>
          <w:color w:val="auto"/>
        </w:rPr>
        <w:t xml:space="preserve"> que los plazos con pronóstico resultan excesivos tomando en cuenta la cantidad de motivos por lo que Telmex pueden detener el reloj y que no tiene que cumplirlo en el 100% de los casos</w:t>
      </w:r>
      <w:r w:rsidR="00FB6175" w:rsidRPr="00330641">
        <w:rPr>
          <w:rFonts w:ascii="ITC Avant Garde" w:eastAsia="Times New Roman" w:hAnsi="ITC Avant Garde" w:cs="Times New Roman"/>
          <w:color w:val="auto"/>
        </w:rPr>
        <w:t xml:space="preserve">, por lo que </w:t>
      </w:r>
      <w:r w:rsidR="00607573">
        <w:rPr>
          <w:rFonts w:ascii="ITC Avant Garde" w:eastAsia="Times New Roman" w:hAnsi="ITC Avant Garde" w:cs="Times New Roman"/>
          <w:color w:val="auto"/>
        </w:rPr>
        <w:t>sugirió</w:t>
      </w:r>
      <w:r w:rsidR="00FB6175" w:rsidRPr="00330641">
        <w:rPr>
          <w:rFonts w:ascii="ITC Avant Garde" w:eastAsia="Times New Roman" w:hAnsi="ITC Avant Garde" w:cs="Times New Roman"/>
          <w:color w:val="auto"/>
        </w:rPr>
        <w:t xml:space="preserve"> lo siguiente:</w:t>
      </w:r>
      <w:r w:rsidRPr="00330641">
        <w:rPr>
          <w:rFonts w:ascii="ITC Avant Garde" w:eastAsia="Times New Roman" w:hAnsi="ITC Avant Garde" w:cs="Times New Roman"/>
          <w:color w:val="auto"/>
        </w:rPr>
        <w:t xml:space="preserve"> </w:t>
      </w:r>
    </w:p>
    <w:p w:rsidR="006035CD" w:rsidRPr="00330641" w:rsidRDefault="006035CD" w:rsidP="000F58E0">
      <w:pPr>
        <w:spacing w:after="0" w:line="276" w:lineRule="auto"/>
        <w:ind w:left="0" w:right="0" w:firstLine="0"/>
        <w:rPr>
          <w:rFonts w:ascii="ITC Avant Garde" w:eastAsia="Times New Roman" w:hAnsi="ITC Avant Garde" w:cs="Times New Roman"/>
          <w:color w:val="auto"/>
        </w:rPr>
      </w:pPr>
    </w:p>
    <w:tbl>
      <w:tblPr>
        <w:tblStyle w:val="Tablaconcuadrcula"/>
        <w:tblW w:w="0" w:type="auto"/>
        <w:tblInd w:w="562" w:type="dxa"/>
        <w:tblLook w:val="04A0" w:firstRow="1" w:lastRow="0" w:firstColumn="1" w:lastColumn="0" w:noHBand="0" w:noVBand="1"/>
      </w:tblPr>
      <w:tblGrid>
        <w:gridCol w:w="1513"/>
        <w:gridCol w:w="2240"/>
        <w:gridCol w:w="3902"/>
      </w:tblGrid>
      <w:tr w:rsidR="00503097" w:rsidRPr="00330641" w:rsidTr="00EC3F16">
        <w:tc>
          <w:tcPr>
            <w:tcW w:w="1513" w:type="dxa"/>
            <w:vMerge w:val="restart"/>
          </w:tcPr>
          <w:p w:rsidR="00503097" w:rsidRPr="00330641" w:rsidRDefault="00503097" w:rsidP="000F58E0">
            <w:pPr>
              <w:spacing w:after="0" w:line="276" w:lineRule="auto"/>
              <w:ind w:left="0" w:right="0" w:firstLine="0"/>
              <w:jc w:val="center"/>
              <w:rPr>
                <w:rFonts w:ascii="ITC Avant Garde" w:eastAsia="Times New Roman" w:hAnsi="ITC Avant Garde" w:cs="Times New Roman"/>
                <w:color w:val="auto"/>
                <w:sz w:val="18"/>
              </w:rPr>
            </w:pPr>
          </w:p>
          <w:p w:rsidR="00503097" w:rsidRPr="00330641" w:rsidRDefault="00503097" w:rsidP="000F58E0">
            <w:pPr>
              <w:spacing w:after="0" w:line="276" w:lineRule="auto"/>
              <w:ind w:left="0" w:right="0" w:firstLine="0"/>
              <w:jc w:val="center"/>
              <w:rPr>
                <w:rFonts w:ascii="ITC Avant Garde" w:eastAsia="Times New Roman" w:hAnsi="ITC Avant Garde" w:cs="Times New Roman"/>
                <w:color w:val="auto"/>
                <w:sz w:val="18"/>
              </w:rPr>
            </w:pPr>
            <w:r w:rsidRPr="00330641">
              <w:rPr>
                <w:rFonts w:ascii="ITC Avant Garde" w:eastAsia="Times New Roman" w:hAnsi="ITC Avant Garde" w:cs="Times New Roman"/>
                <w:color w:val="auto"/>
                <w:sz w:val="18"/>
              </w:rPr>
              <w:t>Denominación</w:t>
            </w:r>
          </w:p>
        </w:tc>
        <w:tc>
          <w:tcPr>
            <w:tcW w:w="2240" w:type="dxa"/>
            <w:vMerge w:val="restart"/>
          </w:tcPr>
          <w:p w:rsidR="00503097" w:rsidRPr="00330641" w:rsidRDefault="00503097" w:rsidP="000F58E0">
            <w:pPr>
              <w:spacing w:after="0" w:line="276" w:lineRule="auto"/>
              <w:ind w:left="0" w:right="0" w:firstLine="0"/>
              <w:jc w:val="center"/>
              <w:rPr>
                <w:rFonts w:ascii="ITC Avant Garde" w:eastAsia="Times New Roman" w:hAnsi="ITC Avant Garde" w:cs="Times New Roman"/>
                <w:color w:val="auto"/>
                <w:sz w:val="18"/>
              </w:rPr>
            </w:pPr>
          </w:p>
          <w:p w:rsidR="00503097" w:rsidRPr="00330641" w:rsidRDefault="00503097" w:rsidP="000F58E0">
            <w:pPr>
              <w:spacing w:after="0" w:line="276" w:lineRule="auto"/>
              <w:ind w:left="0" w:right="0" w:firstLine="0"/>
              <w:jc w:val="center"/>
              <w:rPr>
                <w:rFonts w:ascii="ITC Avant Garde" w:eastAsia="Times New Roman" w:hAnsi="ITC Avant Garde" w:cs="Times New Roman"/>
                <w:color w:val="auto"/>
                <w:sz w:val="18"/>
              </w:rPr>
            </w:pPr>
            <w:r w:rsidRPr="00330641">
              <w:rPr>
                <w:rFonts w:ascii="ITC Avant Garde" w:eastAsia="Times New Roman" w:hAnsi="ITC Avant Garde" w:cs="Times New Roman"/>
                <w:color w:val="auto"/>
                <w:sz w:val="18"/>
              </w:rPr>
              <w:t>Capacidad</w:t>
            </w:r>
          </w:p>
        </w:tc>
        <w:tc>
          <w:tcPr>
            <w:tcW w:w="3902" w:type="dxa"/>
          </w:tcPr>
          <w:p w:rsidR="00503097" w:rsidRPr="00330641" w:rsidRDefault="00503097" w:rsidP="000F58E0">
            <w:pPr>
              <w:spacing w:after="0" w:line="276" w:lineRule="auto"/>
              <w:ind w:left="0" w:right="0" w:firstLine="0"/>
              <w:jc w:val="center"/>
              <w:rPr>
                <w:rFonts w:ascii="ITC Avant Garde" w:eastAsia="Times New Roman" w:hAnsi="ITC Avant Garde" w:cs="Times New Roman"/>
                <w:color w:val="auto"/>
                <w:sz w:val="18"/>
              </w:rPr>
            </w:pPr>
            <w:r w:rsidRPr="00330641">
              <w:rPr>
                <w:rFonts w:ascii="ITC Avant Garde" w:eastAsia="Times New Roman" w:hAnsi="ITC Avant Garde" w:cs="Times New Roman"/>
                <w:color w:val="auto"/>
                <w:sz w:val="18"/>
              </w:rPr>
              <w:t>Plazos máximos</w:t>
            </w:r>
          </w:p>
        </w:tc>
      </w:tr>
      <w:tr w:rsidR="004714D1" w:rsidRPr="00330641" w:rsidTr="00EC3F16">
        <w:tc>
          <w:tcPr>
            <w:tcW w:w="1513" w:type="dxa"/>
            <w:vMerge/>
          </w:tcPr>
          <w:p w:rsidR="004714D1" w:rsidRPr="00330641" w:rsidRDefault="004714D1" w:rsidP="000F58E0">
            <w:pPr>
              <w:spacing w:after="0" w:line="276" w:lineRule="auto"/>
              <w:ind w:left="0" w:right="0" w:firstLine="0"/>
              <w:rPr>
                <w:rFonts w:ascii="ITC Avant Garde" w:eastAsia="Times New Roman" w:hAnsi="ITC Avant Garde" w:cs="Times New Roman"/>
                <w:color w:val="auto"/>
                <w:sz w:val="18"/>
              </w:rPr>
            </w:pPr>
          </w:p>
        </w:tc>
        <w:tc>
          <w:tcPr>
            <w:tcW w:w="2240" w:type="dxa"/>
            <w:vMerge/>
          </w:tcPr>
          <w:p w:rsidR="004714D1" w:rsidRPr="00330641" w:rsidRDefault="004714D1" w:rsidP="000F58E0">
            <w:pPr>
              <w:spacing w:after="0" w:line="276" w:lineRule="auto"/>
              <w:ind w:left="0" w:right="0" w:firstLine="0"/>
              <w:rPr>
                <w:rFonts w:ascii="ITC Avant Garde" w:eastAsia="Times New Roman" w:hAnsi="ITC Avant Garde" w:cs="Times New Roman"/>
                <w:color w:val="auto"/>
                <w:sz w:val="18"/>
              </w:rPr>
            </w:pPr>
          </w:p>
        </w:tc>
        <w:tc>
          <w:tcPr>
            <w:tcW w:w="3902" w:type="dxa"/>
          </w:tcPr>
          <w:p w:rsidR="004714D1" w:rsidRPr="00330641" w:rsidRDefault="004714D1" w:rsidP="000F58E0">
            <w:pPr>
              <w:spacing w:after="0" w:line="276" w:lineRule="auto"/>
              <w:ind w:left="0" w:right="0" w:firstLine="0"/>
              <w:jc w:val="center"/>
              <w:rPr>
                <w:rFonts w:ascii="ITC Avant Garde" w:eastAsia="Times New Roman" w:hAnsi="ITC Avant Garde" w:cs="Times New Roman"/>
                <w:color w:val="auto"/>
                <w:sz w:val="18"/>
              </w:rPr>
            </w:pPr>
            <w:r w:rsidRPr="00330641">
              <w:rPr>
                <w:rFonts w:ascii="ITC Avant Garde" w:eastAsia="Times New Roman" w:hAnsi="ITC Avant Garde" w:cs="Times New Roman"/>
                <w:color w:val="auto"/>
                <w:sz w:val="18"/>
              </w:rPr>
              <w:t>Entre Localidades/ Larga distancia</w:t>
            </w:r>
          </w:p>
        </w:tc>
      </w:tr>
      <w:tr w:rsidR="004714D1" w:rsidRPr="00330641" w:rsidTr="00EC3F16">
        <w:tc>
          <w:tcPr>
            <w:tcW w:w="1513" w:type="dxa"/>
          </w:tcPr>
          <w:p w:rsidR="004714D1" w:rsidRPr="00330641" w:rsidRDefault="004714D1" w:rsidP="000F58E0">
            <w:pPr>
              <w:spacing w:after="0" w:line="276" w:lineRule="auto"/>
              <w:ind w:left="0" w:right="0" w:firstLine="0"/>
              <w:rPr>
                <w:rFonts w:ascii="ITC Avant Garde" w:eastAsia="Times New Roman" w:hAnsi="ITC Avant Garde" w:cs="Times New Roman"/>
                <w:color w:val="auto"/>
                <w:sz w:val="18"/>
              </w:rPr>
            </w:pPr>
            <w:r w:rsidRPr="00330641">
              <w:rPr>
                <w:rFonts w:ascii="ITC Avant Garde" w:eastAsia="Times New Roman" w:hAnsi="ITC Avant Garde" w:cs="Times New Roman"/>
                <w:color w:val="auto"/>
                <w:sz w:val="18"/>
              </w:rPr>
              <w:t>Ethernet</w:t>
            </w:r>
          </w:p>
        </w:tc>
        <w:tc>
          <w:tcPr>
            <w:tcW w:w="2240" w:type="dxa"/>
          </w:tcPr>
          <w:p w:rsidR="004714D1" w:rsidRPr="00330641" w:rsidRDefault="004714D1" w:rsidP="000F58E0">
            <w:pPr>
              <w:spacing w:after="0" w:line="276" w:lineRule="auto"/>
              <w:ind w:left="0" w:right="0" w:firstLine="0"/>
              <w:rPr>
                <w:rFonts w:ascii="ITC Avant Garde" w:eastAsia="Times New Roman" w:hAnsi="ITC Avant Garde" w:cs="Times New Roman"/>
                <w:color w:val="auto"/>
                <w:sz w:val="18"/>
              </w:rPr>
            </w:pPr>
            <w:r w:rsidRPr="00330641">
              <w:rPr>
                <w:rFonts w:ascii="ITC Avant Garde" w:eastAsia="Times New Roman" w:hAnsi="ITC Avant Garde" w:cs="Times New Roman"/>
                <w:color w:val="auto"/>
                <w:sz w:val="18"/>
              </w:rPr>
              <w:t>2 a 6 Mbps</w:t>
            </w:r>
          </w:p>
        </w:tc>
        <w:tc>
          <w:tcPr>
            <w:tcW w:w="3902" w:type="dxa"/>
          </w:tcPr>
          <w:p w:rsidR="004714D1" w:rsidRPr="00330641" w:rsidRDefault="004714D1" w:rsidP="000F58E0">
            <w:pPr>
              <w:spacing w:after="0" w:line="276" w:lineRule="auto"/>
              <w:ind w:left="0" w:right="0" w:firstLine="0"/>
              <w:rPr>
                <w:rFonts w:ascii="ITC Avant Garde" w:eastAsia="Times New Roman" w:hAnsi="ITC Avant Garde" w:cs="Times New Roman"/>
                <w:color w:val="auto"/>
                <w:sz w:val="18"/>
              </w:rPr>
            </w:pPr>
            <w:r w:rsidRPr="00330641">
              <w:rPr>
                <w:rFonts w:ascii="ITC Avant Garde" w:eastAsia="Times New Roman" w:hAnsi="ITC Avant Garde" w:cs="Times New Roman"/>
                <w:color w:val="auto"/>
                <w:sz w:val="18"/>
              </w:rPr>
              <w:t>35 días hábiles</w:t>
            </w:r>
          </w:p>
        </w:tc>
      </w:tr>
      <w:tr w:rsidR="004714D1" w:rsidRPr="00330641" w:rsidTr="00EC3F16">
        <w:tc>
          <w:tcPr>
            <w:tcW w:w="1513" w:type="dxa"/>
          </w:tcPr>
          <w:p w:rsidR="004714D1" w:rsidRPr="00330641" w:rsidRDefault="004714D1" w:rsidP="000F58E0">
            <w:pPr>
              <w:spacing w:after="0" w:line="276" w:lineRule="auto"/>
              <w:ind w:left="0" w:right="0" w:firstLine="0"/>
              <w:rPr>
                <w:rFonts w:ascii="ITC Avant Garde" w:eastAsia="Times New Roman" w:hAnsi="ITC Avant Garde" w:cs="Times New Roman"/>
                <w:color w:val="auto"/>
                <w:sz w:val="18"/>
              </w:rPr>
            </w:pPr>
            <w:r w:rsidRPr="00330641">
              <w:rPr>
                <w:rFonts w:ascii="ITC Avant Garde" w:eastAsia="Times New Roman" w:hAnsi="ITC Avant Garde" w:cs="Times New Roman"/>
                <w:color w:val="auto"/>
                <w:sz w:val="18"/>
              </w:rPr>
              <w:t>Ethernet</w:t>
            </w:r>
          </w:p>
        </w:tc>
        <w:tc>
          <w:tcPr>
            <w:tcW w:w="2240" w:type="dxa"/>
          </w:tcPr>
          <w:p w:rsidR="004714D1" w:rsidRPr="00330641" w:rsidRDefault="004714D1" w:rsidP="000F58E0">
            <w:pPr>
              <w:spacing w:after="0" w:line="276" w:lineRule="auto"/>
              <w:ind w:left="0" w:right="0" w:firstLine="0"/>
              <w:rPr>
                <w:rFonts w:ascii="ITC Avant Garde" w:eastAsia="Times New Roman" w:hAnsi="ITC Avant Garde" w:cs="Times New Roman"/>
                <w:color w:val="auto"/>
                <w:sz w:val="18"/>
              </w:rPr>
            </w:pPr>
            <w:r w:rsidRPr="00330641">
              <w:rPr>
                <w:rFonts w:ascii="ITC Avant Garde" w:eastAsia="Times New Roman" w:hAnsi="ITC Avant Garde" w:cs="Times New Roman"/>
                <w:color w:val="auto"/>
                <w:sz w:val="18"/>
              </w:rPr>
              <w:t xml:space="preserve">8 Mbps a </w:t>
            </w:r>
            <w:r w:rsidRPr="00330641">
              <w:rPr>
                <w:rFonts w:ascii="ITC Avant Garde" w:eastAsia="Times New Roman" w:hAnsi="ITC Avant Garde" w:cs="Times New Roman"/>
                <w:b/>
                <w:color w:val="auto"/>
                <w:sz w:val="18"/>
                <w:u w:val="single"/>
              </w:rPr>
              <w:t>100</w:t>
            </w:r>
            <w:r w:rsidRPr="00330641">
              <w:rPr>
                <w:rFonts w:ascii="ITC Avant Garde" w:eastAsia="Times New Roman" w:hAnsi="ITC Avant Garde" w:cs="Times New Roman"/>
                <w:color w:val="auto"/>
                <w:sz w:val="18"/>
              </w:rPr>
              <w:t xml:space="preserve"> </w:t>
            </w:r>
            <w:proofErr w:type="spellStart"/>
            <w:r w:rsidRPr="00330641">
              <w:rPr>
                <w:rFonts w:ascii="ITC Avant Garde" w:eastAsia="Times New Roman" w:hAnsi="ITC Avant Garde" w:cs="Times New Roman"/>
                <w:color w:val="auto"/>
                <w:sz w:val="18"/>
              </w:rPr>
              <w:t>Gbps</w:t>
            </w:r>
            <w:proofErr w:type="spellEnd"/>
          </w:p>
        </w:tc>
        <w:tc>
          <w:tcPr>
            <w:tcW w:w="3902" w:type="dxa"/>
          </w:tcPr>
          <w:p w:rsidR="004714D1" w:rsidRPr="00330641" w:rsidRDefault="004714D1" w:rsidP="000F58E0">
            <w:pPr>
              <w:spacing w:after="0" w:line="276" w:lineRule="auto"/>
              <w:ind w:left="0" w:right="0" w:firstLine="0"/>
              <w:rPr>
                <w:rFonts w:ascii="ITC Avant Garde" w:eastAsia="Times New Roman" w:hAnsi="ITC Avant Garde" w:cs="Times New Roman"/>
                <w:color w:val="auto"/>
                <w:sz w:val="18"/>
              </w:rPr>
            </w:pPr>
            <w:r w:rsidRPr="00330641">
              <w:rPr>
                <w:rFonts w:ascii="ITC Avant Garde" w:eastAsia="Times New Roman" w:hAnsi="ITC Avant Garde" w:cs="Times New Roman"/>
                <w:b/>
                <w:color w:val="auto"/>
                <w:sz w:val="18"/>
                <w:u w:val="single"/>
              </w:rPr>
              <w:t>45</w:t>
            </w:r>
            <w:r w:rsidRPr="00330641">
              <w:rPr>
                <w:rFonts w:ascii="ITC Avant Garde" w:eastAsia="Times New Roman" w:hAnsi="ITC Avant Garde" w:cs="Times New Roman"/>
                <w:color w:val="auto"/>
                <w:sz w:val="18"/>
              </w:rPr>
              <w:t xml:space="preserve"> días hábiles</w:t>
            </w:r>
          </w:p>
        </w:tc>
      </w:tr>
    </w:tbl>
    <w:p w:rsidR="00893FFD" w:rsidRPr="00330641" w:rsidRDefault="00893FFD" w:rsidP="000F58E0">
      <w:pPr>
        <w:spacing w:after="0" w:line="276" w:lineRule="auto"/>
        <w:ind w:left="0" w:right="0" w:firstLine="0"/>
        <w:rPr>
          <w:rFonts w:ascii="ITC Avant Garde" w:eastAsia="Times New Roman" w:hAnsi="ITC Avant Garde" w:cs="Times New Roman"/>
          <w:color w:val="auto"/>
        </w:rPr>
      </w:pPr>
    </w:p>
    <w:p w:rsidR="00A6730A" w:rsidRPr="00330641" w:rsidRDefault="00C173C5" w:rsidP="000F58E0">
      <w:pPr>
        <w:spacing w:after="0" w:line="276" w:lineRule="auto"/>
        <w:ind w:left="0" w:right="0" w:firstLine="0"/>
        <w:rPr>
          <w:rFonts w:ascii="ITC Avant Garde" w:eastAsia="Times New Roman" w:hAnsi="ITC Avant Garde" w:cs="Times New Roman"/>
          <w:color w:val="auto"/>
        </w:rPr>
      </w:pPr>
      <w:r>
        <w:rPr>
          <w:rFonts w:ascii="ITC Avant Garde" w:hAnsi="ITC Avant Garde"/>
          <w:color w:val="auto"/>
        </w:rPr>
        <w:t>Asimismo</w:t>
      </w:r>
      <w:r w:rsidR="000C06D5" w:rsidRPr="00330641">
        <w:rPr>
          <w:rFonts w:ascii="ITC Avant Garde" w:hAnsi="ITC Avant Garde"/>
          <w:color w:val="auto"/>
        </w:rPr>
        <w:t xml:space="preserve">, </w:t>
      </w:r>
      <w:r w:rsidR="00061632" w:rsidRPr="00330641">
        <w:rPr>
          <w:rFonts w:ascii="ITC Avant Garde" w:eastAsia="Times New Roman" w:hAnsi="ITC Avant Garde" w:cs="Times New Roman"/>
          <w:color w:val="auto"/>
        </w:rPr>
        <w:t>Grupo AT&amp;T</w:t>
      </w:r>
      <w:r>
        <w:rPr>
          <w:rFonts w:ascii="ITC Avant Garde" w:eastAsia="Times New Roman" w:hAnsi="ITC Avant Garde" w:cs="Times New Roman"/>
          <w:color w:val="auto"/>
        </w:rPr>
        <w:t xml:space="preserve"> </w:t>
      </w:r>
      <w:r w:rsidR="009A5F87" w:rsidRPr="00330641">
        <w:rPr>
          <w:rFonts w:ascii="ITC Avant Garde" w:eastAsia="Times New Roman" w:hAnsi="ITC Avant Garde" w:cs="Times New Roman"/>
          <w:color w:val="auto"/>
        </w:rPr>
        <w:t xml:space="preserve">propone </w:t>
      </w:r>
      <w:r>
        <w:rPr>
          <w:rFonts w:ascii="ITC Avant Garde" w:eastAsia="Times New Roman" w:hAnsi="ITC Avant Garde" w:cs="Times New Roman"/>
          <w:color w:val="auto"/>
        </w:rPr>
        <w:t>en el</w:t>
      </w:r>
      <w:r w:rsidR="00B943CD" w:rsidRPr="00330641">
        <w:rPr>
          <w:rFonts w:ascii="ITC Avant Garde" w:eastAsia="Times New Roman" w:hAnsi="ITC Avant Garde" w:cs="Times New Roman"/>
          <w:color w:val="auto"/>
        </w:rPr>
        <w:t xml:space="preserve"> </w:t>
      </w:r>
      <w:r w:rsidR="00AA21A6" w:rsidRPr="00330641">
        <w:rPr>
          <w:rFonts w:ascii="ITC Avant Garde" w:eastAsia="Times New Roman" w:hAnsi="ITC Avant Garde" w:cs="Times New Roman"/>
          <w:color w:val="auto"/>
        </w:rPr>
        <w:t>penúltimo párrafo d</w:t>
      </w:r>
      <w:r w:rsidR="00B943CD" w:rsidRPr="00330641">
        <w:rPr>
          <w:rFonts w:ascii="ITC Avant Garde" w:eastAsia="Times New Roman" w:hAnsi="ITC Avant Garde" w:cs="Times New Roman"/>
          <w:color w:val="auto"/>
        </w:rPr>
        <w:t>el mencionado numeral</w:t>
      </w:r>
      <w:r w:rsidR="007C07BF" w:rsidRPr="00330641">
        <w:rPr>
          <w:rFonts w:ascii="ITC Avant Garde" w:eastAsia="Times New Roman" w:hAnsi="ITC Avant Garde" w:cs="Times New Roman"/>
          <w:color w:val="auto"/>
        </w:rPr>
        <w:t xml:space="preserve"> 2.4.1.1</w:t>
      </w:r>
      <w:r w:rsidR="00AE2D65" w:rsidRPr="00330641">
        <w:rPr>
          <w:rFonts w:ascii="ITC Avant Garde" w:eastAsia="Times New Roman" w:hAnsi="ITC Avant Garde" w:cs="Times New Roman"/>
          <w:color w:val="auto"/>
        </w:rPr>
        <w:t>.</w:t>
      </w:r>
      <w:r w:rsidR="007C07BF" w:rsidRPr="00330641">
        <w:rPr>
          <w:rFonts w:ascii="ITC Avant Garde" w:eastAsia="Times New Roman" w:hAnsi="ITC Avant Garde" w:cs="Times New Roman"/>
          <w:color w:val="auto"/>
        </w:rPr>
        <w:t xml:space="preserve"> </w:t>
      </w:r>
      <w:r w:rsidR="00B943CD" w:rsidRPr="00330641">
        <w:rPr>
          <w:rFonts w:ascii="ITC Avant Garde" w:eastAsia="Times New Roman" w:hAnsi="ITC Avant Garde" w:cs="Times New Roman"/>
          <w:color w:val="auto"/>
        </w:rPr>
        <w:t>l</w:t>
      </w:r>
      <w:r w:rsidR="007C07BF" w:rsidRPr="00330641">
        <w:rPr>
          <w:rFonts w:ascii="ITC Avant Garde" w:eastAsia="Times New Roman" w:hAnsi="ITC Avant Garde" w:cs="Times New Roman"/>
          <w:color w:val="auto"/>
        </w:rPr>
        <w:t>a siguiente redacción:</w:t>
      </w:r>
    </w:p>
    <w:p w:rsidR="00503097" w:rsidRPr="00330641" w:rsidRDefault="00503097" w:rsidP="000F58E0">
      <w:pPr>
        <w:spacing w:after="0" w:line="276" w:lineRule="auto"/>
        <w:ind w:left="0" w:right="0" w:firstLine="0"/>
        <w:rPr>
          <w:rFonts w:ascii="ITC Avant Garde" w:eastAsia="Times New Roman" w:hAnsi="ITC Avant Garde" w:cs="Times New Roman"/>
          <w:color w:val="auto"/>
        </w:rPr>
      </w:pPr>
    </w:p>
    <w:p w:rsidR="00A6730A" w:rsidRPr="00330641" w:rsidRDefault="00503097" w:rsidP="000F58E0">
      <w:pPr>
        <w:spacing w:after="0" w:line="276" w:lineRule="auto"/>
        <w:ind w:left="567" w:right="616" w:firstLine="0"/>
        <w:rPr>
          <w:rFonts w:ascii="ITC Avant Garde" w:eastAsia="Times New Roman" w:hAnsi="ITC Avant Garde" w:cs="Times New Roman"/>
          <w:i/>
          <w:color w:val="auto"/>
          <w:sz w:val="18"/>
          <w:szCs w:val="18"/>
        </w:rPr>
      </w:pPr>
      <w:r w:rsidRPr="00330641">
        <w:rPr>
          <w:rFonts w:ascii="ITC Avant Garde" w:eastAsia="Times New Roman" w:hAnsi="ITC Avant Garde" w:cs="Times New Roman"/>
          <w:color w:val="auto"/>
          <w:sz w:val="18"/>
          <w:szCs w:val="18"/>
        </w:rPr>
        <w:t>“</w:t>
      </w:r>
      <w:r w:rsidR="00A6730A" w:rsidRPr="00330641">
        <w:rPr>
          <w:rFonts w:ascii="ITC Avant Garde" w:eastAsia="Times New Roman" w:hAnsi="ITC Avant Garde" w:cs="Times New Roman"/>
          <w:i/>
          <w:color w:val="auto"/>
          <w:sz w:val="18"/>
          <w:szCs w:val="18"/>
        </w:rPr>
        <w:t>En el caso de que Telmex ofrezca comercialmente a sus Usuarios finales Enlaces Digitales o Enlaces Ethernet con velocidades de transmisión mayores, estas deberán incluirse inmediatamente en esta oferta con las mismas condiciones de los enlaces ofrecidos, excepto el precio</w:t>
      </w:r>
      <w:r w:rsidRPr="00330641">
        <w:rPr>
          <w:rFonts w:ascii="ITC Avant Garde" w:eastAsia="Times New Roman" w:hAnsi="ITC Avant Garde" w:cs="Times New Roman"/>
          <w:i/>
          <w:color w:val="auto"/>
          <w:sz w:val="18"/>
          <w:szCs w:val="18"/>
        </w:rPr>
        <w:t>”</w:t>
      </w:r>
      <w:r w:rsidR="00A6730A" w:rsidRPr="00330641">
        <w:rPr>
          <w:rFonts w:ascii="ITC Avant Garde" w:eastAsia="Times New Roman" w:hAnsi="ITC Avant Garde" w:cs="Times New Roman"/>
          <w:i/>
          <w:color w:val="auto"/>
          <w:sz w:val="18"/>
          <w:szCs w:val="18"/>
        </w:rPr>
        <w:t>.</w:t>
      </w:r>
    </w:p>
    <w:p w:rsidR="00061632" w:rsidRPr="00330641" w:rsidRDefault="00061632" w:rsidP="000F58E0">
      <w:pPr>
        <w:spacing w:after="0" w:line="276" w:lineRule="auto"/>
        <w:ind w:left="567" w:right="758" w:firstLine="0"/>
        <w:rPr>
          <w:rFonts w:ascii="ITC Avant Garde" w:eastAsia="Times New Roman" w:hAnsi="ITC Avant Garde" w:cs="Times New Roman"/>
          <w:i/>
          <w:color w:val="auto"/>
          <w:sz w:val="18"/>
          <w:szCs w:val="18"/>
        </w:rPr>
      </w:pPr>
    </w:p>
    <w:p w:rsidR="00B943CD" w:rsidRPr="00330641" w:rsidRDefault="00DF1E3B" w:rsidP="000F58E0">
      <w:pPr>
        <w:autoSpaceDE w:val="0"/>
        <w:autoSpaceDN w:val="0"/>
        <w:adjustRightInd w:val="0"/>
        <w:spacing w:after="0" w:line="276" w:lineRule="auto"/>
        <w:ind w:left="0" w:right="0" w:firstLine="0"/>
        <w:rPr>
          <w:rFonts w:ascii="ITC Avant Garde" w:hAnsi="ITC Avant Garde"/>
          <w:color w:val="auto"/>
        </w:rPr>
      </w:pPr>
      <w:r w:rsidRPr="00330641">
        <w:rPr>
          <w:rFonts w:ascii="ITC Avant Garde" w:hAnsi="ITC Avant Garde"/>
          <w:b/>
          <w:color w:val="auto"/>
        </w:rPr>
        <w:t>Consideraciones del Instituto</w:t>
      </w:r>
      <w:r w:rsidR="00EE344E" w:rsidRPr="00330641">
        <w:rPr>
          <w:rFonts w:ascii="ITC Avant Garde" w:hAnsi="ITC Avant Garde"/>
          <w:b/>
          <w:color w:val="auto"/>
        </w:rPr>
        <w:t>:</w:t>
      </w:r>
    </w:p>
    <w:p w:rsidR="00B943CD" w:rsidRPr="00330641" w:rsidRDefault="00B943CD" w:rsidP="000F58E0">
      <w:pPr>
        <w:spacing w:after="0" w:line="276" w:lineRule="auto"/>
        <w:ind w:left="0" w:right="0"/>
        <w:rPr>
          <w:rFonts w:ascii="ITC Avant Garde" w:hAnsi="ITC Avant Garde"/>
          <w:color w:val="auto"/>
        </w:rPr>
      </w:pPr>
      <w:r w:rsidRPr="00330641">
        <w:rPr>
          <w:rFonts w:ascii="ITC Avant Garde" w:hAnsi="ITC Avant Garde"/>
          <w:color w:val="auto"/>
        </w:rPr>
        <w:t>Al respecto, conforme lo establecido Medida Decimosexta de las Medidas Fijas</w:t>
      </w:r>
      <w:r w:rsidR="00C173C5">
        <w:rPr>
          <w:rFonts w:ascii="ITC Avant Garde" w:hAnsi="ITC Avant Garde"/>
          <w:color w:val="auto"/>
        </w:rPr>
        <w:t xml:space="preserve"> se modificaron los plazos de entrega</w:t>
      </w:r>
      <w:r w:rsidR="00C56BF6" w:rsidRPr="00330641">
        <w:rPr>
          <w:rFonts w:ascii="ITC Avant Garde" w:hAnsi="ITC Avant Garde"/>
          <w:color w:val="auto"/>
        </w:rPr>
        <w:t>,</w:t>
      </w:r>
      <w:r w:rsidRPr="00330641">
        <w:rPr>
          <w:rFonts w:ascii="ITC Avant Garde" w:hAnsi="ITC Avant Garde"/>
          <w:color w:val="auto"/>
        </w:rPr>
        <w:t xml:space="preserve"> en los siguientes términos:</w:t>
      </w:r>
    </w:p>
    <w:p w:rsidR="00B943CD" w:rsidRPr="00330641" w:rsidRDefault="00B943CD" w:rsidP="000F58E0">
      <w:pPr>
        <w:spacing w:after="0" w:line="276" w:lineRule="auto"/>
        <w:ind w:left="0" w:right="0"/>
        <w:rPr>
          <w:rFonts w:ascii="ITC Avant Garde" w:hAnsi="ITC Avant Garde"/>
          <w:color w:val="auto"/>
        </w:rPr>
      </w:pPr>
    </w:p>
    <w:p w:rsidR="00B943CD" w:rsidRPr="00330641" w:rsidRDefault="00B943CD" w:rsidP="000F58E0">
      <w:pPr>
        <w:autoSpaceDE w:val="0"/>
        <w:autoSpaceDN w:val="0"/>
        <w:spacing w:after="0" w:line="276" w:lineRule="auto"/>
        <w:ind w:left="567" w:right="616"/>
        <w:rPr>
          <w:rFonts w:ascii="ITC Avant Garde" w:hAnsi="ITC Avant Garde"/>
          <w:i/>
          <w:sz w:val="18"/>
          <w:szCs w:val="18"/>
        </w:rPr>
      </w:pPr>
      <w:r w:rsidRPr="00330641">
        <w:rPr>
          <w:rFonts w:ascii="ITC Avant Garde" w:hAnsi="ITC Avant Garde" w:cs="Arial"/>
          <w:b/>
          <w:bCs/>
          <w:i/>
          <w:sz w:val="18"/>
          <w:szCs w:val="18"/>
        </w:rPr>
        <w:lastRenderedPageBreak/>
        <w:t>2.4.1 Plazos de entrega</w:t>
      </w:r>
    </w:p>
    <w:p w:rsidR="00B943CD" w:rsidRPr="00330641" w:rsidRDefault="00B943CD" w:rsidP="000F58E0">
      <w:pPr>
        <w:autoSpaceDE w:val="0"/>
        <w:autoSpaceDN w:val="0"/>
        <w:spacing w:after="0" w:line="276" w:lineRule="auto"/>
        <w:ind w:left="567" w:right="616"/>
        <w:rPr>
          <w:rFonts w:ascii="ITC Avant Garde" w:hAnsi="ITC Avant Garde"/>
          <w:i/>
          <w:sz w:val="18"/>
          <w:szCs w:val="18"/>
        </w:rPr>
      </w:pPr>
      <w:r w:rsidRPr="00330641">
        <w:rPr>
          <w:rFonts w:ascii="ITC Avant Garde" w:hAnsi="ITC Avant Garde" w:cs="Arial"/>
          <w:i/>
          <w:sz w:val="18"/>
          <w:szCs w:val="18"/>
        </w:rPr>
        <w:t> </w:t>
      </w:r>
    </w:p>
    <w:p w:rsidR="00B943CD" w:rsidRPr="00330641" w:rsidRDefault="00B943CD" w:rsidP="000F58E0">
      <w:pPr>
        <w:autoSpaceDE w:val="0"/>
        <w:autoSpaceDN w:val="0"/>
        <w:spacing w:after="0" w:line="276" w:lineRule="auto"/>
        <w:ind w:left="567" w:right="616"/>
        <w:rPr>
          <w:rFonts w:ascii="ITC Avant Garde" w:hAnsi="ITC Avant Garde" w:cs="Arial"/>
          <w:i/>
          <w:sz w:val="18"/>
          <w:szCs w:val="18"/>
        </w:rPr>
      </w:pPr>
      <w:r w:rsidRPr="00330641">
        <w:rPr>
          <w:rFonts w:ascii="ITC Avant Garde" w:hAnsi="ITC Avant Garde" w:cs="Arial"/>
          <w:i/>
          <w:sz w:val="18"/>
          <w:szCs w:val="18"/>
        </w:rPr>
        <w:t>2.4.1.1 Los plazos de entrega indicados en la tabla del presente numeral, no podrán excederse en:</w:t>
      </w:r>
    </w:p>
    <w:p w:rsidR="00B943CD" w:rsidRPr="00330641" w:rsidRDefault="00B943CD" w:rsidP="000F58E0">
      <w:pPr>
        <w:autoSpaceDE w:val="0"/>
        <w:autoSpaceDN w:val="0"/>
        <w:spacing w:after="0" w:line="276" w:lineRule="auto"/>
        <w:ind w:left="567" w:right="616"/>
        <w:rPr>
          <w:rFonts w:ascii="ITC Avant Garde" w:hAnsi="ITC Avant Garde"/>
          <w:i/>
          <w:color w:val="000000" w:themeColor="text1"/>
          <w:sz w:val="18"/>
          <w:szCs w:val="18"/>
        </w:rPr>
      </w:pPr>
    </w:p>
    <w:p w:rsidR="00B943CD" w:rsidRPr="00330641" w:rsidRDefault="00B943CD" w:rsidP="000F58E0">
      <w:pPr>
        <w:autoSpaceDE w:val="0"/>
        <w:autoSpaceDN w:val="0"/>
        <w:spacing w:after="0" w:line="276" w:lineRule="auto"/>
        <w:ind w:left="851" w:right="616" w:hanging="142"/>
        <w:rPr>
          <w:rFonts w:ascii="ITC Avant Garde" w:hAnsi="ITC Avant Garde"/>
          <w:i/>
          <w:sz w:val="18"/>
          <w:szCs w:val="18"/>
        </w:rPr>
      </w:pPr>
      <w:r w:rsidRPr="00330641">
        <w:rPr>
          <w:rFonts w:ascii="ITC Avant Garde" w:hAnsi="ITC Avant Garde" w:cs="Arial"/>
          <w:i/>
          <w:sz w:val="18"/>
          <w:szCs w:val="18"/>
        </w:rPr>
        <w:t>1)</w:t>
      </w:r>
      <w:r w:rsidRPr="00330641">
        <w:rPr>
          <w:rFonts w:ascii="ITC Avant Garde" w:hAnsi="ITC Avant Garde"/>
          <w:i/>
          <w:sz w:val="18"/>
          <w:szCs w:val="18"/>
        </w:rPr>
        <w:t> </w:t>
      </w:r>
      <w:r w:rsidRPr="00330641">
        <w:rPr>
          <w:rFonts w:ascii="ITC Avant Garde" w:hAnsi="ITC Avant Garde" w:cs="Arial"/>
          <w:i/>
          <w:sz w:val="18"/>
          <w:szCs w:val="18"/>
        </w:rPr>
        <w:t>El 85% (ochenta y cinco por ciento) de las solicitudes que se realicen dentro de pronóstico y el restante en el doble del plazo señalado hasta llegar al 100% (cien por ciento).</w:t>
      </w:r>
    </w:p>
    <w:p w:rsidR="00B943CD" w:rsidRPr="00330641" w:rsidRDefault="00B943CD" w:rsidP="000F58E0">
      <w:pPr>
        <w:autoSpaceDE w:val="0"/>
        <w:autoSpaceDN w:val="0"/>
        <w:spacing w:after="0" w:line="276" w:lineRule="auto"/>
        <w:ind w:left="851" w:right="616" w:hanging="142"/>
        <w:rPr>
          <w:rFonts w:ascii="ITC Avant Garde" w:hAnsi="ITC Avant Garde" w:cs="Arial"/>
          <w:i/>
          <w:sz w:val="18"/>
          <w:szCs w:val="18"/>
        </w:rPr>
      </w:pPr>
      <w:r w:rsidRPr="00330641">
        <w:rPr>
          <w:rFonts w:ascii="ITC Avant Garde" w:hAnsi="ITC Avant Garde" w:cs="Arial"/>
          <w:i/>
          <w:sz w:val="18"/>
          <w:szCs w:val="18"/>
        </w:rPr>
        <w:t xml:space="preserve"> 2) El 50% (cincuenta por ciento) de las solicitudes que se realicen fuera de pronóstico y el doble del plazo señalado para el remanente de solicitudes hasta llegar al 100% (cien por ciento). </w:t>
      </w:r>
    </w:p>
    <w:p w:rsidR="004662DE" w:rsidRPr="00330641" w:rsidRDefault="004662DE" w:rsidP="000F58E0">
      <w:pPr>
        <w:autoSpaceDE w:val="0"/>
        <w:autoSpaceDN w:val="0"/>
        <w:spacing w:after="0" w:line="276" w:lineRule="auto"/>
        <w:ind w:left="851" w:right="616" w:hanging="142"/>
        <w:rPr>
          <w:rFonts w:ascii="ITC Avant Garde" w:hAnsi="ITC Avant Garde" w:cs="Arial"/>
          <w:i/>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16"/>
        <w:gridCol w:w="2502"/>
        <w:gridCol w:w="1789"/>
      </w:tblGrid>
      <w:tr w:rsidR="00B943CD" w:rsidRPr="00330641" w:rsidTr="00EC3F16">
        <w:trPr>
          <w:jc w:val="center"/>
        </w:trPr>
        <w:tc>
          <w:tcPr>
            <w:tcW w:w="1516" w:type="dxa"/>
            <w:vMerge w:val="restart"/>
            <w:vAlign w:val="center"/>
          </w:tcPr>
          <w:p w:rsidR="00B943CD" w:rsidRPr="00330641" w:rsidRDefault="00B943CD" w:rsidP="000F58E0">
            <w:pPr>
              <w:autoSpaceDE w:val="0"/>
              <w:autoSpaceDN w:val="0"/>
              <w:adjustRightInd w:val="0"/>
              <w:spacing w:after="0" w:line="276" w:lineRule="auto"/>
              <w:jc w:val="center"/>
              <w:rPr>
                <w:rFonts w:ascii="ITC Avant Garde" w:hAnsi="ITC Avant Garde" w:cs="Arial"/>
                <w:i/>
                <w:sz w:val="18"/>
                <w:szCs w:val="18"/>
                <w:lang w:val="en-US"/>
              </w:rPr>
            </w:pPr>
            <w:r w:rsidRPr="00330641">
              <w:rPr>
                <w:rFonts w:ascii="ITC Avant Garde" w:hAnsi="ITC Avant Garde" w:cs="Arial"/>
                <w:b/>
                <w:bCs/>
                <w:i/>
                <w:sz w:val="18"/>
                <w:szCs w:val="18"/>
              </w:rPr>
              <w:t>Denominación</w:t>
            </w:r>
          </w:p>
        </w:tc>
        <w:tc>
          <w:tcPr>
            <w:tcW w:w="2502" w:type="dxa"/>
            <w:vMerge w:val="restart"/>
            <w:vAlign w:val="center"/>
          </w:tcPr>
          <w:p w:rsidR="00B943CD" w:rsidRPr="00330641" w:rsidRDefault="00B943CD" w:rsidP="000F58E0">
            <w:pPr>
              <w:autoSpaceDE w:val="0"/>
              <w:autoSpaceDN w:val="0"/>
              <w:adjustRightInd w:val="0"/>
              <w:spacing w:after="0" w:line="276" w:lineRule="auto"/>
              <w:jc w:val="center"/>
              <w:rPr>
                <w:rFonts w:ascii="ITC Avant Garde" w:hAnsi="ITC Avant Garde"/>
                <w:i/>
                <w:sz w:val="18"/>
                <w:szCs w:val="18"/>
                <w:lang w:val="en-US"/>
              </w:rPr>
            </w:pPr>
            <w:r w:rsidRPr="00330641">
              <w:rPr>
                <w:rFonts w:ascii="ITC Avant Garde" w:hAnsi="ITC Avant Garde"/>
                <w:b/>
                <w:i/>
                <w:sz w:val="18"/>
                <w:szCs w:val="18"/>
              </w:rPr>
              <w:t>Capacidad</w:t>
            </w:r>
          </w:p>
        </w:tc>
        <w:tc>
          <w:tcPr>
            <w:tcW w:w="1789" w:type="dxa"/>
            <w:vAlign w:val="center"/>
          </w:tcPr>
          <w:p w:rsidR="00B943CD" w:rsidRPr="00330641" w:rsidRDefault="00B943CD" w:rsidP="000F58E0">
            <w:pPr>
              <w:autoSpaceDE w:val="0"/>
              <w:autoSpaceDN w:val="0"/>
              <w:adjustRightInd w:val="0"/>
              <w:spacing w:after="0" w:line="276" w:lineRule="auto"/>
              <w:jc w:val="center"/>
              <w:rPr>
                <w:rFonts w:ascii="ITC Avant Garde" w:hAnsi="ITC Avant Garde"/>
                <w:b/>
                <w:i/>
                <w:sz w:val="18"/>
                <w:szCs w:val="18"/>
              </w:rPr>
            </w:pPr>
            <w:r w:rsidRPr="00330641">
              <w:rPr>
                <w:rFonts w:ascii="ITC Avant Garde" w:hAnsi="ITC Avant Garde"/>
                <w:b/>
                <w:i/>
                <w:sz w:val="18"/>
                <w:szCs w:val="18"/>
              </w:rPr>
              <w:t xml:space="preserve">Plazos </w:t>
            </w:r>
            <w:r w:rsidRPr="00330641">
              <w:rPr>
                <w:rFonts w:ascii="ITC Avant Garde" w:hAnsi="ITC Avant Garde" w:cs="Arial"/>
                <w:b/>
                <w:bCs/>
                <w:i/>
                <w:sz w:val="18"/>
                <w:szCs w:val="18"/>
              </w:rPr>
              <w:t>máximos</w:t>
            </w:r>
          </w:p>
        </w:tc>
      </w:tr>
      <w:tr w:rsidR="004662DE" w:rsidRPr="00330641" w:rsidTr="00EC3F16">
        <w:trPr>
          <w:jc w:val="center"/>
        </w:trPr>
        <w:tc>
          <w:tcPr>
            <w:tcW w:w="1516" w:type="dxa"/>
            <w:vMerge/>
            <w:vAlign w:val="center"/>
          </w:tcPr>
          <w:p w:rsidR="004662DE" w:rsidRPr="00330641" w:rsidRDefault="004662DE" w:rsidP="000F58E0">
            <w:pPr>
              <w:autoSpaceDE w:val="0"/>
              <w:autoSpaceDN w:val="0"/>
              <w:adjustRightInd w:val="0"/>
              <w:spacing w:after="0" w:line="276" w:lineRule="auto"/>
              <w:jc w:val="center"/>
              <w:rPr>
                <w:rFonts w:ascii="ITC Avant Garde" w:hAnsi="ITC Avant Garde"/>
                <w:b/>
                <w:i/>
                <w:sz w:val="18"/>
                <w:szCs w:val="18"/>
              </w:rPr>
            </w:pPr>
          </w:p>
        </w:tc>
        <w:tc>
          <w:tcPr>
            <w:tcW w:w="2502" w:type="dxa"/>
            <w:vMerge/>
            <w:vAlign w:val="center"/>
          </w:tcPr>
          <w:p w:rsidR="004662DE" w:rsidRPr="00330641" w:rsidRDefault="004662DE" w:rsidP="000F58E0">
            <w:pPr>
              <w:autoSpaceDE w:val="0"/>
              <w:autoSpaceDN w:val="0"/>
              <w:adjustRightInd w:val="0"/>
              <w:spacing w:after="0" w:line="276" w:lineRule="auto"/>
              <w:jc w:val="center"/>
              <w:rPr>
                <w:rFonts w:ascii="ITC Avant Garde" w:hAnsi="ITC Avant Garde" w:cs="Arial"/>
                <w:b/>
                <w:bCs/>
                <w:i/>
                <w:sz w:val="18"/>
                <w:szCs w:val="18"/>
              </w:rPr>
            </w:pPr>
          </w:p>
        </w:tc>
        <w:tc>
          <w:tcPr>
            <w:tcW w:w="1789" w:type="dxa"/>
            <w:vAlign w:val="center"/>
          </w:tcPr>
          <w:p w:rsidR="004662DE" w:rsidRPr="00330641" w:rsidRDefault="004662DE" w:rsidP="000F58E0">
            <w:pPr>
              <w:autoSpaceDE w:val="0"/>
              <w:autoSpaceDN w:val="0"/>
              <w:adjustRightInd w:val="0"/>
              <w:spacing w:after="0" w:line="276" w:lineRule="auto"/>
              <w:jc w:val="center"/>
              <w:rPr>
                <w:rFonts w:ascii="ITC Avant Garde" w:hAnsi="ITC Avant Garde"/>
                <w:b/>
                <w:i/>
                <w:sz w:val="18"/>
                <w:szCs w:val="18"/>
              </w:rPr>
            </w:pPr>
            <w:r w:rsidRPr="00330641">
              <w:rPr>
                <w:rFonts w:ascii="ITC Avant Garde" w:hAnsi="ITC Avant Garde"/>
                <w:b/>
                <w:i/>
                <w:sz w:val="18"/>
                <w:szCs w:val="18"/>
              </w:rPr>
              <w:t xml:space="preserve">Entre Localidades/ Larga </w:t>
            </w:r>
            <w:r w:rsidRPr="00330641">
              <w:rPr>
                <w:rFonts w:ascii="ITC Avant Garde" w:hAnsi="ITC Avant Garde" w:cs="Arial"/>
                <w:b/>
                <w:bCs/>
                <w:i/>
                <w:sz w:val="18"/>
                <w:szCs w:val="18"/>
              </w:rPr>
              <w:t>distancia</w:t>
            </w:r>
          </w:p>
        </w:tc>
      </w:tr>
      <w:tr w:rsidR="004662DE" w:rsidRPr="00330641" w:rsidTr="00EC3F16">
        <w:trPr>
          <w:jc w:val="center"/>
        </w:trPr>
        <w:tc>
          <w:tcPr>
            <w:tcW w:w="1516" w:type="dxa"/>
            <w:vAlign w:val="center"/>
          </w:tcPr>
          <w:p w:rsidR="004662DE" w:rsidRPr="00330641" w:rsidRDefault="004662DE" w:rsidP="000F58E0">
            <w:pPr>
              <w:autoSpaceDE w:val="0"/>
              <w:autoSpaceDN w:val="0"/>
              <w:adjustRightInd w:val="0"/>
              <w:spacing w:after="0" w:line="276" w:lineRule="auto"/>
              <w:jc w:val="center"/>
              <w:rPr>
                <w:rFonts w:ascii="ITC Avant Garde" w:hAnsi="ITC Avant Garde" w:cs="Arial"/>
                <w:i/>
                <w:sz w:val="18"/>
                <w:szCs w:val="18"/>
              </w:rPr>
            </w:pPr>
            <w:proofErr w:type="spellStart"/>
            <w:r w:rsidRPr="00330641">
              <w:rPr>
                <w:rFonts w:ascii="ITC Avant Garde" w:hAnsi="ITC Avant Garde" w:cs="Arial"/>
                <w:i/>
                <w:sz w:val="18"/>
                <w:szCs w:val="18"/>
              </w:rPr>
              <w:t>Nx</w:t>
            </w:r>
            <w:proofErr w:type="spellEnd"/>
            <w:r w:rsidRPr="00330641">
              <w:rPr>
                <w:rFonts w:ascii="ITC Avant Garde" w:hAnsi="ITC Avant Garde" w:cs="Arial"/>
                <w:i/>
                <w:sz w:val="18"/>
                <w:szCs w:val="18"/>
              </w:rPr>
              <w:t xml:space="preserve"> 64 kbps</w:t>
            </w:r>
          </w:p>
          <w:p w:rsidR="004662DE" w:rsidRPr="00330641" w:rsidRDefault="004662DE" w:rsidP="000F58E0">
            <w:pPr>
              <w:autoSpaceDE w:val="0"/>
              <w:autoSpaceDN w:val="0"/>
              <w:adjustRightInd w:val="0"/>
              <w:spacing w:after="0" w:line="276" w:lineRule="auto"/>
              <w:jc w:val="center"/>
              <w:rPr>
                <w:rFonts w:ascii="ITC Avant Garde" w:hAnsi="ITC Avant Garde"/>
                <w:i/>
                <w:sz w:val="18"/>
                <w:szCs w:val="18"/>
                <w:lang w:val="en-US"/>
              </w:rPr>
            </w:pPr>
            <w:r w:rsidRPr="00330641">
              <w:rPr>
                <w:rFonts w:ascii="ITC Avant Garde" w:hAnsi="ITC Avant Garde" w:cs="Arial"/>
                <w:i/>
                <w:sz w:val="18"/>
                <w:szCs w:val="18"/>
              </w:rPr>
              <w:t>(N=1…16)</w:t>
            </w:r>
          </w:p>
        </w:tc>
        <w:tc>
          <w:tcPr>
            <w:tcW w:w="2502" w:type="dxa"/>
            <w:vAlign w:val="center"/>
          </w:tcPr>
          <w:p w:rsidR="004662DE" w:rsidRPr="00330641" w:rsidRDefault="004662DE" w:rsidP="000F58E0">
            <w:pPr>
              <w:autoSpaceDE w:val="0"/>
              <w:autoSpaceDN w:val="0"/>
              <w:adjustRightInd w:val="0"/>
              <w:spacing w:after="0" w:line="276" w:lineRule="auto"/>
              <w:jc w:val="center"/>
              <w:rPr>
                <w:rFonts w:ascii="ITC Avant Garde" w:hAnsi="ITC Avant Garde" w:cs="Arial"/>
                <w:i/>
                <w:sz w:val="18"/>
                <w:szCs w:val="18"/>
                <w:lang w:val="en-US"/>
              </w:rPr>
            </w:pPr>
            <w:r w:rsidRPr="00330641">
              <w:rPr>
                <w:rFonts w:ascii="ITC Avant Garde" w:hAnsi="ITC Avant Garde" w:cs="Arial"/>
                <w:i/>
                <w:sz w:val="18"/>
                <w:szCs w:val="18"/>
              </w:rPr>
              <w:t>64Kbps a 1024 Kbps</w:t>
            </w:r>
          </w:p>
        </w:tc>
        <w:tc>
          <w:tcPr>
            <w:tcW w:w="1789" w:type="dxa"/>
            <w:tcBorders>
              <w:top w:val="single" w:sz="6" w:space="0" w:color="000000"/>
              <w:left w:val="single" w:sz="6" w:space="0" w:color="000000"/>
              <w:bottom w:val="single" w:sz="6" w:space="0" w:color="000000"/>
              <w:right w:val="single" w:sz="6" w:space="0" w:color="000000"/>
            </w:tcBorders>
            <w:vAlign w:val="center"/>
          </w:tcPr>
          <w:p w:rsidR="004662DE" w:rsidRPr="00330641" w:rsidRDefault="004662DE" w:rsidP="000F58E0">
            <w:pPr>
              <w:autoSpaceDE w:val="0"/>
              <w:autoSpaceDN w:val="0"/>
              <w:adjustRightInd w:val="0"/>
              <w:spacing w:after="0" w:line="276" w:lineRule="auto"/>
              <w:jc w:val="center"/>
              <w:rPr>
                <w:rFonts w:ascii="ITC Avant Garde" w:hAnsi="ITC Avant Garde"/>
                <w:i/>
                <w:sz w:val="18"/>
                <w:szCs w:val="18"/>
              </w:rPr>
            </w:pPr>
            <w:r w:rsidRPr="00330641">
              <w:rPr>
                <w:rFonts w:ascii="ITC Avant Garde" w:hAnsi="ITC Avant Garde" w:cs="Arial"/>
                <w:bCs/>
                <w:i/>
                <w:sz w:val="18"/>
                <w:szCs w:val="18"/>
                <w:lang w:eastAsia="es-ES"/>
              </w:rPr>
              <w:t>18</w:t>
            </w:r>
            <w:r w:rsidRPr="00330641">
              <w:rPr>
                <w:rFonts w:ascii="ITC Avant Garde" w:hAnsi="ITC Avant Garde"/>
                <w:i/>
                <w:sz w:val="18"/>
                <w:szCs w:val="18"/>
              </w:rPr>
              <w:t xml:space="preserve"> días hábiles</w:t>
            </w:r>
          </w:p>
        </w:tc>
      </w:tr>
      <w:tr w:rsidR="004662DE" w:rsidRPr="00330641" w:rsidTr="00EC3F16">
        <w:trPr>
          <w:jc w:val="center"/>
        </w:trPr>
        <w:tc>
          <w:tcPr>
            <w:tcW w:w="1516" w:type="dxa"/>
            <w:vAlign w:val="center"/>
          </w:tcPr>
          <w:p w:rsidR="004662DE" w:rsidRPr="00330641" w:rsidRDefault="004662DE" w:rsidP="000F58E0">
            <w:pPr>
              <w:autoSpaceDE w:val="0"/>
              <w:autoSpaceDN w:val="0"/>
              <w:adjustRightInd w:val="0"/>
              <w:spacing w:after="0" w:line="276" w:lineRule="auto"/>
              <w:jc w:val="center"/>
              <w:rPr>
                <w:rFonts w:ascii="ITC Avant Garde" w:hAnsi="ITC Avant Garde" w:cs="Arial"/>
                <w:i/>
                <w:sz w:val="18"/>
                <w:szCs w:val="18"/>
                <w:lang w:val="en-US"/>
              </w:rPr>
            </w:pPr>
            <w:r w:rsidRPr="00330641">
              <w:rPr>
                <w:rFonts w:ascii="ITC Avant Garde" w:hAnsi="ITC Avant Garde" w:cs="Arial"/>
                <w:i/>
                <w:sz w:val="18"/>
                <w:szCs w:val="18"/>
              </w:rPr>
              <w:t>E1</w:t>
            </w:r>
          </w:p>
        </w:tc>
        <w:tc>
          <w:tcPr>
            <w:tcW w:w="2502" w:type="dxa"/>
            <w:vAlign w:val="center"/>
          </w:tcPr>
          <w:p w:rsidR="004662DE" w:rsidRPr="00330641" w:rsidRDefault="004662DE" w:rsidP="000F58E0">
            <w:pPr>
              <w:autoSpaceDE w:val="0"/>
              <w:autoSpaceDN w:val="0"/>
              <w:adjustRightInd w:val="0"/>
              <w:spacing w:after="0" w:line="276" w:lineRule="auto"/>
              <w:jc w:val="center"/>
              <w:rPr>
                <w:rFonts w:ascii="ITC Avant Garde" w:hAnsi="ITC Avant Garde"/>
                <w:i/>
                <w:sz w:val="18"/>
                <w:szCs w:val="18"/>
                <w:lang w:val="en-US"/>
              </w:rPr>
            </w:pPr>
            <w:r w:rsidRPr="00330641">
              <w:rPr>
                <w:rFonts w:ascii="ITC Avant Garde" w:hAnsi="ITC Avant Garde"/>
                <w:i/>
                <w:sz w:val="18"/>
                <w:szCs w:val="18"/>
              </w:rPr>
              <w:t>2</w:t>
            </w:r>
            <w:r w:rsidRPr="00330641">
              <w:rPr>
                <w:rFonts w:ascii="ITC Avant Garde" w:hAnsi="ITC Avant Garde" w:cs="Arial"/>
                <w:i/>
                <w:sz w:val="18"/>
                <w:szCs w:val="18"/>
              </w:rPr>
              <w:t>.048</w:t>
            </w:r>
            <w:r w:rsidRPr="00330641">
              <w:rPr>
                <w:rFonts w:ascii="ITC Avant Garde" w:hAnsi="ITC Avant Garde"/>
                <w:i/>
                <w:sz w:val="18"/>
                <w:szCs w:val="18"/>
              </w:rPr>
              <w:t xml:space="preserve"> Mbps</w:t>
            </w:r>
          </w:p>
        </w:tc>
        <w:tc>
          <w:tcPr>
            <w:tcW w:w="1789" w:type="dxa"/>
            <w:tcBorders>
              <w:top w:val="single" w:sz="6" w:space="0" w:color="000000"/>
              <w:left w:val="single" w:sz="6" w:space="0" w:color="000000"/>
              <w:bottom w:val="single" w:sz="6" w:space="0" w:color="000000"/>
              <w:right w:val="single" w:sz="6" w:space="0" w:color="000000"/>
            </w:tcBorders>
            <w:vAlign w:val="center"/>
          </w:tcPr>
          <w:p w:rsidR="004662DE" w:rsidRPr="00330641" w:rsidRDefault="004662DE" w:rsidP="000F58E0">
            <w:pPr>
              <w:autoSpaceDE w:val="0"/>
              <w:autoSpaceDN w:val="0"/>
              <w:adjustRightInd w:val="0"/>
              <w:spacing w:after="0" w:line="276" w:lineRule="auto"/>
              <w:jc w:val="center"/>
              <w:rPr>
                <w:rFonts w:ascii="ITC Avant Garde" w:hAnsi="ITC Avant Garde"/>
                <w:i/>
                <w:sz w:val="18"/>
                <w:szCs w:val="18"/>
              </w:rPr>
            </w:pPr>
            <w:r w:rsidRPr="00330641">
              <w:rPr>
                <w:rFonts w:ascii="ITC Avant Garde" w:hAnsi="ITC Avant Garde" w:cs="Arial"/>
                <w:bCs/>
                <w:i/>
                <w:sz w:val="18"/>
                <w:szCs w:val="18"/>
                <w:lang w:eastAsia="es-ES"/>
              </w:rPr>
              <w:t>18</w:t>
            </w:r>
            <w:r w:rsidRPr="00330641">
              <w:rPr>
                <w:rFonts w:ascii="ITC Avant Garde" w:hAnsi="ITC Avant Garde"/>
                <w:i/>
                <w:sz w:val="18"/>
                <w:szCs w:val="18"/>
              </w:rPr>
              <w:t xml:space="preserve"> días hábiles</w:t>
            </w:r>
          </w:p>
        </w:tc>
      </w:tr>
      <w:tr w:rsidR="004662DE" w:rsidRPr="00330641" w:rsidTr="00EC3F16">
        <w:trPr>
          <w:jc w:val="center"/>
        </w:trPr>
        <w:tc>
          <w:tcPr>
            <w:tcW w:w="1516" w:type="dxa"/>
            <w:vAlign w:val="center"/>
          </w:tcPr>
          <w:p w:rsidR="004662DE" w:rsidRPr="00330641" w:rsidRDefault="004662DE" w:rsidP="000F58E0">
            <w:pPr>
              <w:autoSpaceDE w:val="0"/>
              <w:autoSpaceDN w:val="0"/>
              <w:adjustRightInd w:val="0"/>
              <w:spacing w:after="0" w:line="276" w:lineRule="auto"/>
              <w:jc w:val="center"/>
              <w:rPr>
                <w:rFonts w:ascii="ITC Avant Garde" w:hAnsi="ITC Avant Garde" w:cs="Arial"/>
                <w:i/>
                <w:sz w:val="18"/>
                <w:szCs w:val="18"/>
                <w:lang w:val="en-US"/>
              </w:rPr>
            </w:pPr>
            <w:r w:rsidRPr="00330641">
              <w:rPr>
                <w:rFonts w:ascii="ITC Avant Garde" w:hAnsi="ITC Avant Garde" w:cs="Arial"/>
                <w:i/>
                <w:sz w:val="18"/>
                <w:szCs w:val="18"/>
              </w:rPr>
              <w:t>E2</w:t>
            </w:r>
          </w:p>
        </w:tc>
        <w:tc>
          <w:tcPr>
            <w:tcW w:w="2502" w:type="dxa"/>
            <w:vAlign w:val="center"/>
          </w:tcPr>
          <w:p w:rsidR="004662DE" w:rsidRPr="00330641" w:rsidRDefault="004662DE" w:rsidP="000F58E0">
            <w:pPr>
              <w:autoSpaceDE w:val="0"/>
              <w:autoSpaceDN w:val="0"/>
              <w:adjustRightInd w:val="0"/>
              <w:spacing w:after="0" w:line="276" w:lineRule="auto"/>
              <w:jc w:val="center"/>
              <w:rPr>
                <w:rFonts w:ascii="ITC Avant Garde" w:hAnsi="ITC Avant Garde"/>
                <w:i/>
                <w:sz w:val="18"/>
                <w:szCs w:val="18"/>
                <w:lang w:val="en-US"/>
              </w:rPr>
            </w:pPr>
            <w:r w:rsidRPr="00330641">
              <w:rPr>
                <w:rFonts w:ascii="ITC Avant Garde" w:hAnsi="ITC Avant Garde" w:cs="Arial"/>
                <w:i/>
                <w:sz w:val="18"/>
                <w:szCs w:val="18"/>
              </w:rPr>
              <w:t>8.448</w:t>
            </w:r>
            <w:r w:rsidRPr="00330641">
              <w:rPr>
                <w:rFonts w:ascii="ITC Avant Garde" w:hAnsi="ITC Avant Garde"/>
                <w:i/>
                <w:sz w:val="18"/>
                <w:szCs w:val="18"/>
              </w:rPr>
              <w:t xml:space="preserve"> Mbps</w:t>
            </w:r>
          </w:p>
        </w:tc>
        <w:tc>
          <w:tcPr>
            <w:tcW w:w="1789" w:type="dxa"/>
            <w:tcBorders>
              <w:top w:val="single" w:sz="6" w:space="0" w:color="000000"/>
              <w:left w:val="single" w:sz="6" w:space="0" w:color="000000"/>
              <w:bottom w:val="single" w:sz="6" w:space="0" w:color="000000"/>
              <w:right w:val="single" w:sz="6" w:space="0" w:color="000000"/>
            </w:tcBorders>
            <w:vAlign w:val="center"/>
          </w:tcPr>
          <w:p w:rsidR="004662DE" w:rsidRPr="00330641" w:rsidRDefault="004662DE" w:rsidP="000F58E0">
            <w:pPr>
              <w:autoSpaceDE w:val="0"/>
              <w:autoSpaceDN w:val="0"/>
              <w:adjustRightInd w:val="0"/>
              <w:spacing w:after="0" w:line="276" w:lineRule="auto"/>
              <w:jc w:val="center"/>
              <w:rPr>
                <w:rFonts w:ascii="ITC Avant Garde" w:hAnsi="ITC Avant Garde"/>
                <w:i/>
                <w:sz w:val="18"/>
                <w:szCs w:val="18"/>
              </w:rPr>
            </w:pPr>
            <w:r w:rsidRPr="00330641">
              <w:rPr>
                <w:rFonts w:ascii="ITC Avant Garde" w:hAnsi="ITC Avant Garde" w:cs="Arial"/>
                <w:bCs/>
                <w:i/>
                <w:sz w:val="18"/>
                <w:szCs w:val="18"/>
                <w:lang w:eastAsia="es-ES"/>
              </w:rPr>
              <w:t>18</w:t>
            </w:r>
            <w:r w:rsidRPr="00330641">
              <w:rPr>
                <w:rFonts w:ascii="ITC Avant Garde" w:hAnsi="ITC Avant Garde"/>
                <w:i/>
                <w:sz w:val="18"/>
                <w:szCs w:val="18"/>
              </w:rPr>
              <w:t xml:space="preserve"> días hábiles</w:t>
            </w:r>
          </w:p>
        </w:tc>
      </w:tr>
      <w:tr w:rsidR="004662DE" w:rsidRPr="00330641" w:rsidTr="00EC3F16">
        <w:trPr>
          <w:jc w:val="center"/>
        </w:trPr>
        <w:tc>
          <w:tcPr>
            <w:tcW w:w="1516" w:type="dxa"/>
            <w:vAlign w:val="center"/>
          </w:tcPr>
          <w:p w:rsidR="004662DE" w:rsidRPr="00330641" w:rsidRDefault="004662DE" w:rsidP="000F58E0">
            <w:pPr>
              <w:autoSpaceDE w:val="0"/>
              <w:autoSpaceDN w:val="0"/>
              <w:adjustRightInd w:val="0"/>
              <w:spacing w:after="0" w:line="276" w:lineRule="auto"/>
              <w:jc w:val="center"/>
              <w:rPr>
                <w:rFonts w:ascii="ITC Avant Garde" w:hAnsi="ITC Avant Garde" w:cs="Arial"/>
                <w:i/>
                <w:sz w:val="18"/>
                <w:szCs w:val="18"/>
                <w:lang w:val="en-US"/>
              </w:rPr>
            </w:pPr>
            <w:r w:rsidRPr="00330641">
              <w:rPr>
                <w:rFonts w:ascii="ITC Avant Garde" w:hAnsi="ITC Avant Garde" w:cs="Arial"/>
                <w:i/>
                <w:sz w:val="18"/>
                <w:szCs w:val="18"/>
              </w:rPr>
              <w:t>E3</w:t>
            </w:r>
          </w:p>
        </w:tc>
        <w:tc>
          <w:tcPr>
            <w:tcW w:w="2502" w:type="dxa"/>
            <w:vAlign w:val="center"/>
          </w:tcPr>
          <w:p w:rsidR="004662DE" w:rsidRPr="00330641" w:rsidRDefault="004662DE" w:rsidP="000F58E0">
            <w:pPr>
              <w:autoSpaceDE w:val="0"/>
              <w:autoSpaceDN w:val="0"/>
              <w:adjustRightInd w:val="0"/>
              <w:spacing w:after="0" w:line="276" w:lineRule="auto"/>
              <w:jc w:val="center"/>
              <w:rPr>
                <w:rFonts w:ascii="ITC Avant Garde" w:hAnsi="ITC Avant Garde"/>
                <w:i/>
                <w:sz w:val="18"/>
                <w:szCs w:val="18"/>
                <w:lang w:val="en-US"/>
              </w:rPr>
            </w:pPr>
            <w:r w:rsidRPr="00330641">
              <w:rPr>
                <w:rFonts w:ascii="ITC Avant Garde" w:hAnsi="ITC Avant Garde" w:cs="Arial"/>
                <w:i/>
                <w:sz w:val="18"/>
                <w:szCs w:val="18"/>
              </w:rPr>
              <w:t>34.368</w:t>
            </w:r>
            <w:r w:rsidRPr="00330641">
              <w:rPr>
                <w:rFonts w:ascii="ITC Avant Garde" w:hAnsi="ITC Avant Garde"/>
                <w:i/>
                <w:sz w:val="18"/>
                <w:szCs w:val="18"/>
              </w:rPr>
              <w:t xml:space="preserve"> Mbps</w:t>
            </w:r>
          </w:p>
        </w:tc>
        <w:tc>
          <w:tcPr>
            <w:tcW w:w="1789" w:type="dxa"/>
            <w:tcBorders>
              <w:top w:val="single" w:sz="6" w:space="0" w:color="000000"/>
              <w:left w:val="single" w:sz="6" w:space="0" w:color="000000"/>
              <w:bottom w:val="single" w:sz="6" w:space="0" w:color="000000"/>
              <w:right w:val="single" w:sz="6" w:space="0" w:color="000000"/>
            </w:tcBorders>
            <w:vAlign w:val="center"/>
          </w:tcPr>
          <w:p w:rsidR="004662DE" w:rsidRPr="00330641" w:rsidRDefault="004662DE" w:rsidP="000F58E0">
            <w:pPr>
              <w:autoSpaceDE w:val="0"/>
              <w:autoSpaceDN w:val="0"/>
              <w:adjustRightInd w:val="0"/>
              <w:spacing w:after="0" w:line="276" w:lineRule="auto"/>
              <w:jc w:val="center"/>
              <w:rPr>
                <w:rFonts w:ascii="ITC Avant Garde" w:hAnsi="ITC Avant Garde"/>
                <w:i/>
                <w:sz w:val="18"/>
                <w:szCs w:val="18"/>
              </w:rPr>
            </w:pPr>
            <w:r w:rsidRPr="00330641">
              <w:rPr>
                <w:rFonts w:ascii="ITC Avant Garde" w:hAnsi="ITC Avant Garde"/>
                <w:i/>
                <w:sz w:val="18"/>
                <w:szCs w:val="18"/>
              </w:rPr>
              <w:t>35 días hábiles</w:t>
            </w:r>
          </w:p>
        </w:tc>
      </w:tr>
      <w:tr w:rsidR="004662DE" w:rsidRPr="00330641" w:rsidTr="00EC3F16">
        <w:trPr>
          <w:jc w:val="center"/>
        </w:trPr>
        <w:tc>
          <w:tcPr>
            <w:tcW w:w="1516" w:type="dxa"/>
            <w:vAlign w:val="center"/>
          </w:tcPr>
          <w:p w:rsidR="004662DE" w:rsidRPr="00330641" w:rsidRDefault="004662DE" w:rsidP="000F58E0">
            <w:pPr>
              <w:autoSpaceDE w:val="0"/>
              <w:autoSpaceDN w:val="0"/>
              <w:adjustRightInd w:val="0"/>
              <w:spacing w:after="0" w:line="276" w:lineRule="auto"/>
              <w:jc w:val="center"/>
              <w:rPr>
                <w:rFonts w:ascii="ITC Avant Garde" w:hAnsi="ITC Avant Garde" w:cs="Arial"/>
                <w:i/>
                <w:sz w:val="18"/>
                <w:szCs w:val="18"/>
                <w:lang w:val="en-US"/>
              </w:rPr>
            </w:pPr>
            <w:r w:rsidRPr="00330641">
              <w:rPr>
                <w:rFonts w:ascii="ITC Avant Garde" w:hAnsi="ITC Avant Garde" w:cs="Arial"/>
                <w:i/>
                <w:sz w:val="18"/>
                <w:szCs w:val="18"/>
              </w:rPr>
              <w:t>E4</w:t>
            </w:r>
          </w:p>
        </w:tc>
        <w:tc>
          <w:tcPr>
            <w:tcW w:w="2502" w:type="dxa"/>
            <w:vAlign w:val="center"/>
          </w:tcPr>
          <w:p w:rsidR="004662DE" w:rsidRPr="00330641" w:rsidRDefault="004662DE" w:rsidP="000F58E0">
            <w:pPr>
              <w:autoSpaceDE w:val="0"/>
              <w:autoSpaceDN w:val="0"/>
              <w:adjustRightInd w:val="0"/>
              <w:spacing w:after="0" w:line="276" w:lineRule="auto"/>
              <w:jc w:val="center"/>
              <w:rPr>
                <w:rFonts w:ascii="ITC Avant Garde" w:hAnsi="ITC Avant Garde"/>
                <w:i/>
                <w:sz w:val="18"/>
                <w:szCs w:val="18"/>
                <w:lang w:val="en-US"/>
              </w:rPr>
            </w:pPr>
            <w:r w:rsidRPr="00330641">
              <w:rPr>
                <w:rFonts w:ascii="ITC Avant Garde" w:hAnsi="ITC Avant Garde" w:cs="Arial"/>
                <w:i/>
                <w:sz w:val="18"/>
                <w:szCs w:val="18"/>
                <w:lang w:val="en-US"/>
              </w:rPr>
              <w:t>139.264</w:t>
            </w:r>
            <w:r w:rsidRPr="00330641">
              <w:rPr>
                <w:rFonts w:ascii="ITC Avant Garde" w:hAnsi="ITC Avant Garde"/>
                <w:i/>
                <w:sz w:val="18"/>
                <w:szCs w:val="18"/>
                <w:lang w:val="en-US"/>
              </w:rPr>
              <w:t xml:space="preserve"> Mbps</w:t>
            </w:r>
          </w:p>
        </w:tc>
        <w:tc>
          <w:tcPr>
            <w:tcW w:w="1789" w:type="dxa"/>
            <w:tcBorders>
              <w:top w:val="single" w:sz="6" w:space="0" w:color="000000"/>
              <w:left w:val="single" w:sz="6" w:space="0" w:color="000000"/>
              <w:bottom w:val="single" w:sz="6" w:space="0" w:color="000000"/>
              <w:right w:val="single" w:sz="6" w:space="0" w:color="000000"/>
            </w:tcBorders>
            <w:vAlign w:val="center"/>
          </w:tcPr>
          <w:p w:rsidR="004662DE" w:rsidRPr="00330641" w:rsidRDefault="004662DE" w:rsidP="000F58E0">
            <w:pPr>
              <w:autoSpaceDE w:val="0"/>
              <w:autoSpaceDN w:val="0"/>
              <w:adjustRightInd w:val="0"/>
              <w:spacing w:after="0" w:line="276" w:lineRule="auto"/>
              <w:jc w:val="center"/>
              <w:rPr>
                <w:rFonts w:ascii="ITC Avant Garde" w:hAnsi="ITC Avant Garde" w:cs="Arial"/>
                <w:i/>
                <w:sz w:val="18"/>
                <w:szCs w:val="18"/>
              </w:rPr>
            </w:pPr>
            <w:r w:rsidRPr="00330641">
              <w:rPr>
                <w:rFonts w:ascii="ITC Avant Garde" w:hAnsi="ITC Avant Garde" w:cs="Arial"/>
                <w:bCs/>
                <w:i/>
                <w:sz w:val="18"/>
                <w:szCs w:val="18"/>
                <w:lang w:eastAsia="es-ES"/>
              </w:rPr>
              <w:t>35 días hábiles</w:t>
            </w:r>
          </w:p>
        </w:tc>
      </w:tr>
      <w:tr w:rsidR="004662DE" w:rsidRPr="00330641" w:rsidTr="00EC3F16">
        <w:trPr>
          <w:jc w:val="center"/>
        </w:trPr>
        <w:tc>
          <w:tcPr>
            <w:tcW w:w="1516" w:type="dxa"/>
            <w:vAlign w:val="center"/>
          </w:tcPr>
          <w:p w:rsidR="004662DE" w:rsidRPr="00330641" w:rsidRDefault="004662DE" w:rsidP="000F58E0">
            <w:pPr>
              <w:autoSpaceDE w:val="0"/>
              <w:autoSpaceDN w:val="0"/>
              <w:adjustRightInd w:val="0"/>
              <w:spacing w:after="0" w:line="276" w:lineRule="auto"/>
              <w:jc w:val="center"/>
              <w:rPr>
                <w:rFonts w:ascii="ITC Avant Garde" w:hAnsi="ITC Avant Garde" w:cs="Arial"/>
                <w:i/>
                <w:sz w:val="18"/>
                <w:szCs w:val="18"/>
                <w:lang w:val="en-US"/>
              </w:rPr>
            </w:pPr>
            <w:r w:rsidRPr="00330641">
              <w:rPr>
                <w:rFonts w:ascii="ITC Avant Garde" w:hAnsi="ITC Avant Garde" w:cs="Arial"/>
                <w:i/>
                <w:sz w:val="18"/>
                <w:szCs w:val="18"/>
                <w:lang w:val="en-US"/>
              </w:rPr>
              <w:t>STM-1</w:t>
            </w:r>
          </w:p>
        </w:tc>
        <w:tc>
          <w:tcPr>
            <w:tcW w:w="2502" w:type="dxa"/>
            <w:vAlign w:val="center"/>
          </w:tcPr>
          <w:p w:rsidR="004662DE" w:rsidRPr="00330641" w:rsidRDefault="004662DE" w:rsidP="000F58E0">
            <w:pPr>
              <w:autoSpaceDE w:val="0"/>
              <w:autoSpaceDN w:val="0"/>
              <w:adjustRightInd w:val="0"/>
              <w:spacing w:after="0" w:line="276" w:lineRule="auto"/>
              <w:jc w:val="center"/>
              <w:rPr>
                <w:rFonts w:ascii="ITC Avant Garde" w:hAnsi="ITC Avant Garde"/>
                <w:i/>
                <w:sz w:val="18"/>
                <w:szCs w:val="18"/>
                <w:lang w:val="en-US"/>
              </w:rPr>
            </w:pPr>
            <w:r w:rsidRPr="00330641">
              <w:rPr>
                <w:rFonts w:ascii="ITC Avant Garde" w:hAnsi="ITC Avant Garde" w:cs="Arial"/>
                <w:i/>
                <w:sz w:val="18"/>
                <w:szCs w:val="18"/>
                <w:lang w:val="en-US"/>
              </w:rPr>
              <w:t>155.52</w:t>
            </w:r>
            <w:r w:rsidRPr="00330641">
              <w:rPr>
                <w:rFonts w:ascii="ITC Avant Garde" w:hAnsi="ITC Avant Garde"/>
                <w:i/>
                <w:sz w:val="18"/>
                <w:szCs w:val="18"/>
                <w:lang w:val="en-US"/>
              </w:rPr>
              <w:t xml:space="preserve"> Mbps</w:t>
            </w:r>
          </w:p>
        </w:tc>
        <w:tc>
          <w:tcPr>
            <w:tcW w:w="1789" w:type="dxa"/>
            <w:tcBorders>
              <w:top w:val="single" w:sz="6" w:space="0" w:color="000000"/>
              <w:left w:val="single" w:sz="6" w:space="0" w:color="000000"/>
              <w:bottom w:val="single" w:sz="6" w:space="0" w:color="000000"/>
              <w:right w:val="single" w:sz="6" w:space="0" w:color="000000"/>
            </w:tcBorders>
            <w:vAlign w:val="center"/>
          </w:tcPr>
          <w:p w:rsidR="004662DE" w:rsidRPr="00330641" w:rsidRDefault="004662DE" w:rsidP="000F58E0">
            <w:pPr>
              <w:autoSpaceDE w:val="0"/>
              <w:autoSpaceDN w:val="0"/>
              <w:adjustRightInd w:val="0"/>
              <w:spacing w:after="0" w:line="276" w:lineRule="auto"/>
              <w:jc w:val="center"/>
              <w:rPr>
                <w:rFonts w:ascii="ITC Avant Garde" w:hAnsi="ITC Avant Garde" w:cs="Arial"/>
                <w:i/>
                <w:sz w:val="18"/>
                <w:szCs w:val="18"/>
              </w:rPr>
            </w:pPr>
            <w:r w:rsidRPr="00330641">
              <w:rPr>
                <w:rFonts w:ascii="ITC Avant Garde" w:hAnsi="ITC Avant Garde" w:cs="Arial"/>
                <w:bCs/>
                <w:i/>
                <w:sz w:val="18"/>
                <w:szCs w:val="18"/>
                <w:lang w:eastAsia="es-ES"/>
              </w:rPr>
              <w:t>35 días hábiles</w:t>
            </w:r>
          </w:p>
        </w:tc>
      </w:tr>
      <w:tr w:rsidR="004662DE" w:rsidRPr="00330641" w:rsidTr="00EC3F16">
        <w:trPr>
          <w:jc w:val="center"/>
        </w:trPr>
        <w:tc>
          <w:tcPr>
            <w:tcW w:w="1516" w:type="dxa"/>
            <w:vAlign w:val="center"/>
          </w:tcPr>
          <w:p w:rsidR="004662DE" w:rsidRPr="00330641" w:rsidRDefault="004662DE" w:rsidP="000F58E0">
            <w:pPr>
              <w:autoSpaceDE w:val="0"/>
              <w:autoSpaceDN w:val="0"/>
              <w:adjustRightInd w:val="0"/>
              <w:spacing w:after="0" w:line="276" w:lineRule="auto"/>
              <w:jc w:val="center"/>
              <w:rPr>
                <w:rFonts w:ascii="ITC Avant Garde" w:hAnsi="ITC Avant Garde" w:cs="Arial"/>
                <w:i/>
                <w:sz w:val="18"/>
                <w:szCs w:val="18"/>
                <w:lang w:val="en-US"/>
              </w:rPr>
            </w:pPr>
            <w:r w:rsidRPr="00330641">
              <w:rPr>
                <w:rFonts w:ascii="ITC Avant Garde" w:hAnsi="ITC Avant Garde" w:cs="Arial"/>
                <w:i/>
                <w:sz w:val="18"/>
                <w:szCs w:val="18"/>
                <w:lang w:val="en-US"/>
              </w:rPr>
              <w:t>STM-4</w:t>
            </w:r>
          </w:p>
        </w:tc>
        <w:tc>
          <w:tcPr>
            <w:tcW w:w="2502" w:type="dxa"/>
            <w:vAlign w:val="center"/>
          </w:tcPr>
          <w:p w:rsidR="004662DE" w:rsidRPr="00330641" w:rsidRDefault="004662DE" w:rsidP="000F58E0">
            <w:pPr>
              <w:autoSpaceDE w:val="0"/>
              <w:autoSpaceDN w:val="0"/>
              <w:adjustRightInd w:val="0"/>
              <w:spacing w:after="0" w:line="276" w:lineRule="auto"/>
              <w:jc w:val="center"/>
              <w:rPr>
                <w:rFonts w:ascii="ITC Avant Garde" w:hAnsi="ITC Avant Garde"/>
                <w:i/>
                <w:sz w:val="18"/>
                <w:szCs w:val="18"/>
                <w:lang w:val="en-US"/>
              </w:rPr>
            </w:pPr>
            <w:r w:rsidRPr="00330641">
              <w:rPr>
                <w:rFonts w:ascii="ITC Avant Garde" w:hAnsi="ITC Avant Garde" w:cs="Arial"/>
                <w:i/>
                <w:sz w:val="18"/>
                <w:szCs w:val="18"/>
                <w:lang w:val="en-US"/>
              </w:rPr>
              <w:t>622.08</w:t>
            </w:r>
            <w:r w:rsidRPr="00330641">
              <w:rPr>
                <w:rFonts w:ascii="ITC Avant Garde" w:hAnsi="ITC Avant Garde"/>
                <w:i/>
                <w:sz w:val="18"/>
                <w:szCs w:val="18"/>
                <w:lang w:val="en-US"/>
              </w:rPr>
              <w:t xml:space="preserve"> Mbps</w:t>
            </w:r>
          </w:p>
        </w:tc>
        <w:tc>
          <w:tcPr>
            <w:tcW w:w="1789" w:type="dxa"/>
            <w:tcBorders>
              <w:top w:val="single" w:sz="6" w:space="0" w:color="000000"/>
              <w:left w:val="single" w:sz="6" w:space="0" w:color="000000"/>
              <w:bottom w:val="single" w:sz="6" w:space="0" w:color="000000"/>
              <w:right w:val="single" w:sz="6" w:space="0" w:color="000000"/>
            </w:tcBorders>
            <w:vAlign w:val="center"/>
          </w:tcPr>
          <w:p w:rsidR="004662DE" w:rsidRPr="00330641" w:rsidRDefault="004662DE" w:rsidP="000F58E0">
            <w:pPr>
              <w:autoSpaceDE w:val="0"/>
              <w:autoSpaceDN w:val="0"/>
              <w:adjustRightInd w:val="0"/>
              <w:spacing w:after="0" w:line="276" w:lineRule="auto"/>
              <w:jc w:val="center"/>
              <w:rPr>
                <w:rFonts w:ascii="ITC Avant Garde" w:hAnsi="ITC Avant Garde" w:cs="Arial"/>
                <w:i/>
                <w:sz w:val="18"/>
                <w:szCs w:val="18"/>
              </w:rPr>
            </w:pPr>
            <w:r w:rsidRPr="00330641">
              <w:rPr>
                <w:rFonts w:ascii="ITC Avant Garde" w:hAnsi="ITC Avant Garde" w:cs="Arial"/>
                <w:bCs/>
                <w:i/>
                <w:sz w:val="18"/>
                <w:szCs w:val="18"/>
                <w:lang w:eastAsia="es-ES"/>
              </w:rPr>
              <w:t>60 días hábiles</w:t>
            </w:r>
          </w:p>
        </w:tc>
      </w:tr>
      <w:tr w:rsidR="004662DE" w:rsidRPr="00330641" w:rsidTr="00EC3F16">
        <w:trPr>
          <w:jc w:val="center"/>
        </w:trPr>
        <w:tc>
          <w:tcPr>
            <w:tcW w:w="1516" w:type="dxa"/>
            <w:vAlign w:val="center"/>
          </w:tcPr>
          <w:p w:rsidR="004662DE" w:rsidRPr="00330641" w:rsidRDefault="004662DE" w:rsidP="000F58E0">
            <w:pPr>
              <w:autoSpaceDE w:val="0"/>
              <w:autoSpaceDN w:val="0"/>
              <w:adjustRightInd w:val="0"/>
              <w:spacing w:after="0" w:line="276" w:lineRule="auto"/>
              <w:jc w:val="center"/>
              <w:rPr>
                <w:rFonts w:ascii="ITC Avant Garde" w:hAnsi="ITC Avant Garde" w:cs="Arial"/>
                <w:i/>
                <w:sz w:val="18"/>
                <w:szCs w:val="18"/>
                <w:lang w:val="en-US"/>
              </w:rPr>
            </w:pPr>
            <w:r w:rsidRPr="00330641">
              <w:rPr>
                <w:rFonts w:ascii="ITC Avant Garde" w:hAnsi="ITC Avant Garde" w:cs="Arial"/>
                <w:i/>
                <w:sz w:val="18"/>
                <w:szCs w:val="18"/>
                <w:lang w:val="en-US"/>
              </w:rPr>
              <w:t>STM-16</w:t>
            </w:r>
          </w:p>
        </w:tc>
        <w:tc>
          <w:tcPr>
            <w:tcW w:w="2502" w:type="dxa"/>
            <w:vAlign w:val="center"/>
          </w:tcPr>
          <w:p w:rsidR="004662DE" w:rsidRPr="00330641" w:rsidRDefault="004662DE" w:rsidP="000F58E0">
            <w:pPr>
              <w:autoSpaceDE w:val="0"/>
              <w:autoSpaceDN w:val="0"/>
              <w:adjustRightInd w:val="0"/>
              <w:spacing w:after="0" w:line="276" w:lineRule="auto"/>
              <w:jc w:val="center"/>
              <w:rPr>
                <w:rFonts w:ascii="ITC Avant Garde" w:hAnsi="ITC Avant Garde"/>
                <w:i/>
                <w:sz w:val="18"/>
                <w:szCs w:val="18"/>
                <w:lang w:val="en-US"/>
              </w:rPr>
            </w:pPr>
            <w:r w:rsidRPr="00330641">
              <w:rPr>
                <w:rFonts w:ascii="ITC Avant Garde" w:hAnsi="ITC Avant Garde" w:cs="Arial"/>
                <w:i/>
                <w:sz w:val="18"/>
                <w:szCs w:val="18"/>
                <w:lang w:val="en-US"/>
              </w:rPr>
              <w:t>2,488.32</w:t>
            </w:r>
            <w:r w:rsidRPr="00330641">
              <w:rPr>
                <w:rFonts w:ascii="ITC Avant Garde" w:hAnsi="ITC Avant Garde"/>
                <w:i/>
                <w:sz w:val="18"/>
                <w:szCs w:val="18"/>
                <w:lang w:val="en-US"/>
              </w:rPr>
              <w:t xml:space="preserve"> Mbps</w:t>
            </w:r>
          </w:p>
        </w:tc>
        <w:tc>
          <w:tcPr>
            <w:tcW w:w="1789" w:type="dxa"/>
            <w:tcBorders>
              <w:top w:val="single" w:sz="6" w:space="0" w:color="000000"/>
              <w:left w:val="single" w:sz="6" w:space="0" w:color="000000"/>
              <w:bottom w:val="single" w:sz="6" w:space="0" w:color="000000"/>
              <w:right w:val="single" w:sz="6" w:space="0" w:color="000000"/>
            </w:tcBorders>
            <w:vAlign w:val="center"/>
          </w:tcPr>
          <w:p w:rsidR="004662DE" w:rsidRPr="00330641" w:rsidRDefault="004662DE" w:rsidP="000F58E0">
            <w:pPr>
              <w:autoSpaceDE w:val="0"/>
              <w:autoSpaceDN w:val="0"/>
              <w:adjustRightInd w:val="0"/>
              <w:spacing w:after="0" w:line="276" w:lineRule="auto"/>
              <w:jc w:val="center"/>
              <w:rPr>
                <w:rFonts w:ascii="ITC Avant Garde" w:hAnsi="ITC Avant Garde" w:cs="Arial"/>
                <w:i/>
                <w:sz w:val="18"/>
                <w:szCs w:val="18"/>
              </w:rPr>
            </w:pPr>
            <w:r w:rsidRPr="00330641">
              <w:rPr>
                <w:rFonts w:ascii="ITC Avant Garde" w:hAnsi="ITC Avant Garde" w:cs="Arial"/>
                <w:bCs/>
                <w:i/>
                <w:sz w:val="18"/>
                <w:szCs w:val="18"/>
                <w:lang w:eastAsia="es-ES"/>
              </w:rPr>
              <w:t>60 días hábiles</w:t>
            </w:r>
          </w:p>
        </w:tc>
      </w:tr>
      <w:tr w:rsidR="004662DE" w:rsidRPr="00330641" w:rsidTr="00EC3F16">
        <w:trPr>
          <w:jc w:val="center"/>
        </w:trPr>
        <w:tc>
          <w:tcPr>
            <w:tcW w:w="1516" w:type="dxa"/>
            <w:vAlign w:val="center"/>
          </w:tcPr>
          <w:p w:rsidR="004662DE" w:rsidRPr="00330641" w:rsidRDefault="004662DE" w:rsidP="000F58E0">
            <w:pPr>
              <w:autoSpaceDE w:val="0"/>
              <w:autoSpaceDN w:val="0"/>
              <w:adjustRightInd w:val="0"/>
              <w:spacing w:after="0" w:line="276" w:lineRule="auto"/>
              <w:jc w:val="center"/>
              <w:rPr>
                <w:rFonts w:ascii="ITC Avant Garde" w:hAnsi="ITC Avant Garde" w:cs="Arial"/>
                <w:i/>
                <w:sz w:val="18"/>
                <w:szCs w:val="18"/>
                <w:lang w:val="en-US"/>
              </w:rPr>
            </w:pPr>
            <w:r w:rsidRPr="00330641">
              <w:rPr>
                <w:rFonts w:ascii="ITC Avant Garde" w:hAnsi="ITC Avant Garde" w:cs="Arial"/>
                <w:i/>
                <w:sz w:val="18"/>
                <w:szCs w:val="18"/>
                <w:lang w:val="en-US"/>
              </w:rPr>
              <w:t>STM-64</w:t>
            </w:r>
          </w:p>
        </w:tc>
        <w:tc>
          <w:tcPr>
            <w:tcW w:w="2502" w:type="dxa"/>
            <w:vAlign w:val="center"/>
          </w:tcPr>
          <w:p w:rsidR="004662DE" w:rsidRPr="00330641" w:rsidRDefault="004662DE" w:rsidP="000F58E0">
            <w:pPr>
              <w:autoSpaceDE w:val="0"/>
              <w:autoSpaceDN w:val="0"/>
              <w:adjustRightInd w:val="0"/>
              <w:spacing w:after="0" w:line="276" w:lineRule="auto"/>
              <w:jc w:val="center"/>
              <w:rPr>
                <w:rFonts w:ascii="ITC Avant Garde" w:hAnsi="ITC Avant Garde"/>
                <w:i/>
                <w:sz w:val="18"/>
                <w:szCs w:val="18"/>
                <w:lang w:val="en-US"/>
              </w:rPr>
            </w:pPr>
            <w:r w:rsidRPr="00330641">
              <w:rPr>
                <w:rFonts w:ascii="ITC Avant Garde" w:hAnsi="ITC Avant Garde" w:cs="Arial"/>
                <w:i/>
                <w:sz w:val="18"/>
                <w:szCs w:val="18"/>
                <w:lang w:val="en-US"/>
              </w:rPr>
              <w:t>9,953.28</w:t>
            </w:r>
            <w:r w:rsidRPr="00330641">
              <w:rPr>
                <w:rFonts w:ascii="ITC Avant Garde" w:hAnsi="ITC Avant Garde"/>
                <w:i/>
                <w:sz w:val="18"/>
                <w:szCs w:val="18"/>
                <w:lang w:val="en-US"/>
              </w:rPr>
              <w:t xml:space="preserve"> Mbps</w:t>
            </w:r>
          </w:p>
        </w:tc>
        <w:tc>
          <w:tcPr>
            <w:tcW w:w="1789" w:type="dxa"/>
            <w:tcBorders>
              <w:top w:val="single" w:sz="6" w:space="0" w:color="000000"/>
              <w:left w:val="single" w:sz="6" w:space="0" w:color="000000"/>
              <w:bottom w:val="single" w:sz="6" w:space="0" w:color="000000"/>
              <w:right w:val="single" w:sz="6" w:space="0" w:color="000000"/>
            </w:tcBorders>
            <w:vAlign w:val="center"/>
          </w:tcPr>
          <w:p w:rsidR="004662DE" w:rsidRPr="00330641" w:rsidRDefault="004662DE" w:rsidP="000F58E0">
            <w:pPr>
              <w:autoSpaceDE w:val="0"/>
              <w:autoSpaceDN w:val="0"/>
              <w:adjustRightInd w:val="0"/>
              <w:spacing w:after="0" w:line="276" w:lineRule="auto"/>
              <w:jc w:val="center"/>
              <w:rPr>
                <w:rFonts w:ascii="ITC Avant Garde" w:hAnsi="ITC Avant Garde" w:cs="Arial"/>
                <w:i/>
                <w:sz w:val="18"/>
                <w:szCs w:val="18"/>
              </w:rPr>
            </w:pPr>
            <w:r w:rsidRPr="00330641">
              <w:rPr>
                <w:rFonts w:ascii="ITC Avant Garde" w:hAnsi="ITC Avant Garde" w:cs="Arial"/>
                <w:bCs/>
                <w:i/>
                <w:sz w:val="18"/>
                <w:szCs w:val="18"/>
                <w:lang w:eastAsia="es-ES"/>
              </w:rPr>
              <w:t>60 días hábiles</w:t>
            </w:r>
          </w:p>
        </w:tc>
      </w:tr>
      <w:tr w:rsidR="004662DE" w:rsidRPr="00330641" w:rsidTr="00EC3F16">
        <w:trPr>
          <w:jc w:val="center"/>
        </w:trPr>
        <w:tc>
          <w:tcPr>
            <w:tcW w:w="1516" w:type="dxa"/>
            <w:vAlign w:val="center"/>
          </w:tcPr>
          <w:p w:rsidR="004662DE" w:rsidRPr="00330641" w:rsidRDefault="004662DE" w:rsidP="000F58E0">
            <w:pPr>
              <w:autoSpaceDE w:val="0"/>
              <w:autoSpaceDN w:val="0"/>
              <w:adjustRightInd w:val="0"/>
              <w:spacing w:after="0" w:line="276" w:lineRule="auto"/>
              <w:jc w:val="center"/>
              <w:rPr>
                <w:rFonts w:ascii="ITC Avant Garde" w:hAnsi="ITC Avant Garde" w:cs="Arial"/>
                <w:i/>
                <w:sz w:val="18"/>
                <w:szCs w:val="18"/>
                <w:lang w:val="en-US"/>
              </w:rPr>
            </w:pPr>
            <w:r w:rsidRPr="00330641">
              <w:rPr>
                <w:rFonts w:ascii="ITC Avant Garde" w:hAnsi="ITC Avant Garde" w:cs="Arial"/>
                <w:i/>
                <w:sz w:val="18"/>
                <w:szCs w:val="18"/>
                <w:lang w:val="en-US"/>
              </w:rPr>
              <w:t>STM-256</w:t>
            </w:r>
          </w:p>
        </w:tc>
        <w:tc>
          <w:tcPr>
            <w:tcW w:w="2502" w:type="dxa"/>
            <w:vAlign w:val="center"/>
          </w:tcPr>
          <w:p w:rsidR="004662DE" w:rsidRPr="00330641" w:rsidRDefault="004662DE" w:rsidP="000F58E0">
            <w:pPr>
              <w:autoSpaceDE w:val="0"/>
              <w:autoSpaceDN w:val="0"/>
              <w:adjustRightInd w:val="0"/>
              <w:spacing w:after="0" w:line="276" w:lineRule="auto"/>
              <w:jc w:val="center"/>
              <w:rPr>
                <w:rFonts w:ascii="ITC Avant Garde" w:hAnsi="ITC Avant Garde"/>
                <w:i/>
                <w:sz w:val="18"/>
                <w:szCs w:val="18"/>
                <w:lang w:val="en-US"/>
              </w:rPr>
            </w:pPr>
            <w:r w:rsidRPr="00330641">
              <w:rPr>
                <w:rFonts w:ascii="ITC Avant Garde" w:hAnsi="ITC Avant Garde" w:cs="Arial"/>
                <w:i/>
                <w:sz w:val="18"/>
                <w:szCs w:val="18"/>
                <w:lang w:val="en-US"/>
              </w:rPr>
              <w:t>39,813.12</w:t>
            </w:r>
            <w:r w:rsidRPr="00330641">
              <w:rPr>
                <w:rFonts w:ascii="ITC Avant Garde" w:hAnsi="ITC Avant Garde"/>
                <w:i/>
                <w:sz w:val="18"/>
                <w:szCs w:val="18"/>
                <w:lang w:val="en-US"/>
              </w:rPr>
              <w:t xml:space="preserve"> Mbps</w:t>
            </w:r>
          </w:p>
        </w:tc>
        <w:tc>
          <w:tcPr>
            <w:tcW w:w="1789" w:type="dxa"/>
            <w:tcBorders>
              <w:top w:val="single" w:sz="6" w:space="0" w:color="000000"/>
              <w:left w:val="single" w:sz="6" w:space="0" w:color="000000"/>
              <w:bottom w:val="single" w:sz="6" w:space="0" w:color="000000"/>
              <w:right w:val="single" w:sz="6" w:space="0" w:color="000000"/>
            </w:tcBorders>
            <w:vAlign w:val="center"/>
          </w:tcPr>
          <w:p w:rsidR="004662DE" w:rsidRPr="00330641" w:rsidRDefault="004662DE" w:rsidP="000F58E0">
            <w:pPr>
              <w:autoSpaceDE w:val="0"/>
              <w:autoSpaceDN w:val="0"/>
              <w:adjustRightInd w:val="0"/>
              <w:spacing w:after="0" w:line="276" w:lineRule="auto"/>
              <w:jc w:val="center"/>
              <w:rPr>
                <w:rFonts w:ascii="ITC Avant Garde" w:hAnsi="ITC Avant Garde" w:cs="Arial"/>
                <w:i/>
                <w:sz w:val="18"/>
                <w:szCs w:val="18"/>
              </w:rPr>
            </w:pPr>
            <w:r w:rsidRPr="00330641">
              <w:rPr>
                <w:rFonts w:ascii="ITC Avant Garde" w:hAnsi="ITC Avant Garde" w:cs="Arial"/>
                <w:bCs/>
                <w:i/>
                <w:sz w:val="18"/>
                <w:szCs w:val="18"/>
                <w:lang w:eastAsia="es-ES"/>
              </w:rPr>
              <w:t>60 días hábiles</w:t>
            </w:r>
          </w:p>
        </w:tc>
      </w:tr>
      <w:tr w:rsidR="004662DE" w:rsidRPr="00330641" w:rsidTr="00EC3F16">
        <w:trPr>
          <w:jc w:val="center"/>
        </w:trPr>
        <w:tc>
          <w:tcPr>
            <w:tcW w:w="1516" w:type="dxa"/>
            <w:vAlign w:val="center"/>
          </w:tcPr>
          <w:p w:rsidR="004662DE" w:rsidRPr="00330641" w:rsidRDefault="004662DE" w:rsidP="000F58E0">
            <w:pPr>
              <w:autoSpaceDE w:val="0"/>
              <w:autoSpaceDN w:val="0"/>
              <w:adjustRightInd w:val="0"/>
              <w:spacing w:after="0" w:line="276" w:lineRule="auto"/>
              <w:jc w:val="center"/>
              <w:rPr>
                <w:rFonts w:ascii="ITC Avant Garde" w:hAnsi="ITC Avant Garde" w:cs="Arial"/>
                <w:i/>
                <w:sz w:val="18"/>
                <w:szCs w:val="18"/>
                <w:lang w:val="en-US"/>
              </w:rPr>
            </w:pPr>
            <w:r w:rsidRPr="00330641">
              <w:rPr>
                <w:rFonts w:ascii="ITC Avant Garde" w:hAnsi="ITC Avant Garde" w:cs="Arial"/>
                <w:i/>
                <w:sz w:val="18"/>
                <w:szCs w:val="18"/>
                <w:lang w:val="en-US"/>
              </w:rPr>
              <w:t>Ethernet</w:t>
            </w:r>
          </w:p>
        </w:tc>
        <w:tc>
          <w:tcPr>
            <w:tcW w:w="2502" w:type="dxa"/>
            <w:vAlign w:val="center"/>
          </w:tcPr>
          <w:p w:rsidR="004662DE" w:rsidRPr="00330641" w:rsidRDefault="004662DE">
            <w:pPr>
              <w:autoSpaceDE w:val="0"/>
              <w:autoSpaceDN w:val="0"/>
              <w:adjustRightInd w:val="0"/>
              <w:spacing w:after="0" w:line="276" w:lineRule="auto"/>
              <w:jc w:val="center"/>
              <w:rPr>
                <w:rFonts w:ascii="ITC Avant Garde" w:hAnsi="ITC Avant Garde"/>
                <w:i/>
                <w:sz w:val="18"/>
                <w:szCs w:val="18"/>
                <w:lang w:val="en-US"/>
              </w:rPr>
            </w:pPr>
            <w:r w:rsidRPr="00330641">
              <w:rPr>
                <w:rFonts w:ascii="ITC Avant Garde" w:hAnsi="ITC Avant Garde" w:cs="Arial"/>
                <w:i/>
                <w:sz w:val="18"/>
                <w:szCs w:val="18"/>
                <w:lang w:val="en-US"/>
              </w:rPr>
              <w:t xml:space="preserve">1 Mbps </w:t>
            </w:r>
          </w:p>
        </w:tc>
        <w:tc>
          <w:tcPr>
            <w:tcW w:w="1789" w:type="dxa"/>
            <w:tcBorders>
              <w:top w:val="single" w:sz="6" w:space="0" w:color="000000"/>
              <w:left w:val="single" w:sz="6" w:space="0" w:color="000000"/>
              <w:bottom w:val="single" w:sz="6" w:space="0" w:color="000000"/>
              <w:right w:val="single" w:sz="6" w:space="0" w:color="000000"/>
            </w:tcBorders>
            <w:vAlign w:val="center"/>
          </w:tcPr>
          <w:p w:rsidR="004662DE" w:rsidRPr="00330641" w:rsidRDefault="004662DE" w:rsidP="000F58E0">
            <w:pPr>
              <w:autoSpaceDE w:val="0"/>
              <w:autoSpaceDN w:val="0"/>
              <w:adjustRightInd w:val="0"/>
              <w:spacing w:after="0" w:line="276" w:lineRule="auto"/>
              <w:jc w:val="center"/>
              <w:rPr>
                <w:rFonts w:ascii="ITC Avant Garde" w:hAnsi="ITC Avant Garde" w:cs="Arial"/>
                <w:i/>
                <w:sz w:val="18"/>
                <w:szCs w:val="18"/>
              </w:rPr>
            </w:pPr>
            <w:r w:rsidRPr="00330641">
              <w:rPr>
                <w:rFonts w:ascii="ITC Avant Garde" w:hAnsi="ITC Avant Garde" w:cs="Arial"/>
                <w:bCs/>
                <w:i/>
                <w:sz w:val="18"/>
                <w:szCs w:val="18"/>
                <w:lang w:eastAsia="es-ES"/>
              </w:rPr>
              <w:t>35 días hábiles</w:t>
            </w:r>
          </w:p>
        </w:tc>
      </w:tr>
      <w:tr w:rsidR="004662DE" w:rsidRPr="00330641" w:rsidTr="00EC3F16">
        <w:trPr>
          <w:jc w:val="center"/>
        </w:trPr>
        <w:tc>
          <w:tcPr>
            <w:tcW w:w="1516" w:type="dxa"/>
            <w:vAlign w:val="center"/>
          </w:tcPr>
          <w:p w:rsidR="004662DE" w:rsidRPr="00330641" w:rsidRDefault="004662DE" w:rsidP="000F58E0">
            <w:pPr>
              <w:autoSpaceDE w:val="0"/>
              <w:autoSpaceDN w:val="0"/>
              <w:adjustRightInd w:val="0"/>
              <w:spacing w:after="0" w:line="276" w:lineRule="auto"/>
              <w:jc w:val="center"/>
              <w:rPr>
                <w:rFonts w:ascii="ITC Avant Garde" w:hAnsi="ITC Avant Garde" w:cs="Arial"/>
                <w:i/>
                <w:sz w:val="18"/>
                <w:szCs w:val="18"/>
                <w:lang w:val="en-US"/>
              </w:rPr>
            </w:pPr>
            <w:r w:rsidRPr="00330641">
              <w:rPr>
                <w:rFonts w:ascii="ITC Avant Garde" w:hAnsi="ITC Avant Garde" w:cs="Arial"/>
                <w:i/>
                <w:sz w:val="18"/>
                <w:szCs w:val="18"/>
                <w:lang w:val="en-US"/>
              </w:rPr>
              <w:t>Ethernet</w:t>
            </w:r>
          </w:p>
        </w:tc>
        <w:tc>
          <w:tcPr>
            <w:tcW w:w="2502" w:type="dxa"/>
            <w:vAlign w:val="center"/>
          </w:tcPr>
          <w:p w:rsidR="004662DE" w:rsidRPr="00330641" w:rsidRDefault="004662DE" w:rsidP="000F58E0">
            <w:pPr>
              <w:autoSpaceDE w:val="0"/>
              <w:autoSpaceDN w:val="0"/>
              <w:adjustRightInd w:val="0"/>
              <w:spacing w:after="0" w:line="276" w:lineRule="auto"/>
              <w:jc w:val="center"/>
              <w:rPr>
                <w:rFonts w:ascii="ITC Avant Garde" w:hAnsi="ITC Avant Garde" w:cs="Arial"/>
                <w:i/>
                <w:sz w:val="18"/>
                <w:szCs w:val="18"/>
                <w:lang w:val="en-US"/>
              </w:rPr>
            </w:pPr>
            <w:r w:rsidRPr="00330641">
              <w:rPr>
                <w:rFonts w:ascii="ITC Avant Garde" w:hAnsi="ITC Avant Garde" w:cs="Arial"/>
                <w:i/>
                <w:sz w:val="18"/>
                <w:szCs w:val="18"/>
                <w:lang w:val="en-US"/>
              </w:rPr>
              <w:t xml:space="preserve">2 Mbps </w:t>
            </w:r>
          </w:p>
        </w:tc>
        <w:tc>
          <w:tcPr>
            <w:tcW w:w="1789" w:type="dxa"/>
            <w:tcBorders>
              <w:top w:val="single" w:sz="6" w:space="0" w:color="000000"/>
              <w:left w:val="single" w:sz="6" w:space="0" w:color="000000"/>
              <w:bottom w:val="single" w:sz="6" w:space="0" w:color="000000"/>
              <w:right w:val="single" w:sz="6" w:space="0" w:color="000000"/>
            </w:tcBorders>
            <w:vAlign w:val="center"/>
          </w:tcPr>
          <w:p w:rsidR="004662DE" w:rsidRPr="00330641" w:rsidDel="00D7548B" w:rsidRDefault="004662DE" w:rsidP="000F58E0">
            <w:pPr>
              <w:autoSpaceDE w:val="0"/>
              <w:autoSpaceDN w:val="0"/>
              <w:adjustRightInd w:val="0"/>
              <w:spacing w:after="0" w:line="276" w:lineRule="auto"/>
              <w:jc w:val="center"/>
              <w:rPr>
                <w:rFonts w:ascii="ITC Avant Garde" w:hAnsi="ITC Avant Garde" w:cs="Arial"/>
                <w:bCs/>
                <w:i/>
                <w:sz w:val="18"/>
                <w:szCs w:val="18"/>
                <w:lang w:eastAsia="es-ES"/>
              </w:rPr>
            </w:pPr>
            <w:r w:rsidRPr="00330641">
              <w:rPr>
                <w:rFonts w:ascii="ITC Avant Garde" w:hAnsi="ITC Avant Garde" w:cs="Arial"/>
                <w:bCs/>
                <w:i/>
                <w:sz w:val="18"/>
                <w:szCs w:val="18"/>
                <w:lang w:eastAsia="es-ES"/>
              </w:rPr>
              <w:t>35 días hábiles</w:t>
            </w:r>
          </w:p>
        </w:tc>
      </w:tr>
      <w:tr w:rsidR="004662DE" w:rsidRPr="00330641" w:rsidTr="00EC3F16">
        <w:trPr>
          <w:jc w:val="center"/>
        </w:trPr>
        <w:tc>
          <w:tcPr>
            <w:tcW w:w="1516" w:type="dxa"/>
            <w:vAlign w:val="center"/>
          </w:tcPr>
          <w:p w:rsidR="004662DE" w:rsidRPr="00330641" w:rsidRDefault="004662DE" w:rsidP="000F58E0">
            <w:pPr>
              <w:autoSpaceDE w:val="0"/>
              <w:autoSpaceDN w:val="0"/>
              <w:adjustRightInd w:val="0"/>
              <w:spacing w:after="0" w:line="276" w:lineRule="auto"/>
              <w:jc w:val="center"/>
              <w:rPr>
                <w:rFonts w:ascii="ITC Avant Garde" w:hAnsi="ITC Avant Garde" w:cs="Arial"/>
                <w:i/>
                <w:sz w:val="18"/>
                <w:szCs w:val="18"/>
                <w:lang w:val="en-US"/>
              </w:rPr>
            </w:pPr>
            <w:r w:rsidRPr="00330641">
              <w:rPr>
                <w:rFonts w:ascii="ITC Avant Garde" w:hAnsi="ITC Avant Garde" w:cs="Arial"/>
                <w:i/>
                <w:sz w:val="18"/>
                <w:szCs w:val="18"/>
                <w:lang w:val="en-US"/>
              </w:rPr>
              <w:t>Ethernet</w:t>
            </w:r>
          </w:p>
        </w:tc>
        <w:tc>
          <w:tcPr>
            <w:tcW w:w="2502" w:type="dxa"/>
            <w:vAlign w:val="center"/>
          </w:tcPr>
          <w:p w:rsidR="004662DE" w:rsidRPr="00330641" w:rsidRDefault="004662DE" w:rsidP="000F58E0">
            <w:pPr>
              <w:autoSpaceDE w:val="0"/>
              <w:autoSpaceDN w:val="0"/>
              <w:adjustRightInd w:val="0"/>
              <w:spacing w:after="0" w:line="276" w:lineRule="auto"/>
              <w:jc w:val="center"/>
              <w:rPr>
                <w:rFonts w:ascii="ITC Avant Garde" w:hAnsi="ITC Avant Garde" w:cs="Arial"/>
                <w:i/>
                <w:sz w:val="18"/>
                <w:szCs w:val="18"/>
                <w:lang w:val="en-US"/>
              </w:rPr>
            </w:pPr>
            <w:r w:rsidRPr="00330641">
              <w:rPr>
                <w:rFonts w:ascii="ITC Avant Garde" w:hAnsi="ITC Avant Garde" w:cs="Arial"/>
                <w:i/>
                <w:sz w:val="18"/>
                <w:szCs w:val="18"/>
                <w:lang w:val="en-US"/>
              </w:rPr>
              <w:t xml:space="preserve">4 Mbps </w:t>
            </w:r>
          </w:p>
        </w:tc>
        <w:tc>
          <w:tcPr>
            <w:tcW w:w="1789" w:type="dxa"/>
            <w:tcBorders>
              <w:top w:val="single" w:sz="6" w:space="0" w:color="000000"/>
              <w:left w:val="single" w:sz="6" w:space="0" w:color="000000"/>
              <w:bottom w:val="single" w:sz="6" w:space="0" w:color="000000"/>
              <w:right w:val="single" w:sz="6" w:space="0" w:color="000000"/>
            </w:tcBorders>
            <w:vAlign w:val="center"/>
          </w:tcPr>
          <w:p w:rsidR="004662DE" w:rsidRPr="00330641" w:rsidDel="00D7548B" w:rsidRDefault="004662DE" w:rsidP="000F58E0">
            <w:pPr>
              <w:autoSpaceDE w:val="0"/>
              <w:autoSpaceDN w:val="0"/>
              <w:adjustRightInd w:val="0"/>
              <w:spacing w:after="0" w:line="276" w:lineRule="auto"/>
              <w:jc w:val="center"/>
              <w:rPr>
                <w:rFonts w:ascii="ITC Avant Garde" w:hAnsi="ITC Avant Garde" w:cs="Arial"/>
                <w:bCs/>
                <w:i/>
                <w:sz w:val="18"/>
                <w:szCs w:val="18"/>
                <w:lang w:eastAsia="es-ES"/>
              </w:rPr>
            </w:pPr>
            <w:r w:rsidRPr="00330641">
              <w:rPr>
                <w:rFonts w:ascii="ITC Avant Garde" w:hAnsi="ITC Avant Garde" w:cs="Arial"/>
                <w:bCs/>
                <w:i/>
                <w:sz w:val="18"/>
                <w:szCs w:val="18"/>
                <w:lang w:eastAsia="es-ES"/>
              </w:rPr>
              <w:t>35 días hábiles</w:t>
            </w:r>
          </w:p>
        </w:tc>
      </w:tr>
      <w:tr w:rsidR="004662DE" w:rsidRPr="00330641" w:rsidTr="00EC3F16">
        <w:trPr>
          <w:jc w:val="center"/>
        </w:trPr>
        <w:tc>
          <w:tcPr>
            <w:tcW w:w="1516" w:type="dxa"/>
            <w:vAlign w:val="center"/>
          </w:tcPr>
          <w:p w:rsidR="004662DE" w:rsidRPr="00330641" w:rsidRDefault="004662DE" w:rsidP="000F58E0">
            <w:pPr>
              <w:autoSpaceDE w:val="0"/>
              <w:autoSpaceDN w:val="0"/>
              <w:adjustRightInd w:val="0"/>
              <w:spacing w:after="0" w:line="276" w:lineRule="auto"/>
              <w:jc w:val="center"/>
              <w:rPr>
                <w:rFonts w:ascii="ITC Avant Garde" w:hAnsi="ITC Avant Garde" w:cs="Arial"/>
                <w:i/>
                <w:sz w:val="18"/>
                <w:szCs w:val="18"/>
                <w:lang w:val="en-US"/>
              </w:rPr>
            </w:pPr>
            <w:r w:rsidRPr="00330641">
              <w:rPr>
                <w:rFonts w:ascii="ITC Avant Garde" w:hAnsi="ITC Avant Garde" w:cs="Arial"/>
                <w:i/>
                <w:sz w:val="18"/>
                <w:szCs w:val="18"/>
                <w:lang w:val="en-US"/>
              </w:rPr>
              <w:t>Ethernet</w:t>
            </w:r>
          </w:p>
        </w:tc>
        <w:tc>
          <w:tcPr>
            <w:tcW w:w="2502" w:type="dxa"/>
            <w:vAlign w:val="center"/>
          </w:tcPr>
          <w:p w:rsidR="004662DE" w:rsidRPr="00330641" w:rsidRDefault="004662DE" w:rsidP="000F58E0">
            <w:pPr>
              <w:autoSpaceDE w:val="0"/>
              <w:autoSpaceDN w:val="0"/>
              <w:adjustRightInd w:val="0"/>
              <w:spacing w:after="0" w:line="276" w:lineRule="auto"/>
              <w:jc w:val="center"/>
              <w:rPr>
                <w:rFonts w:ascii="ITC Avant Garde" w:hAnsi="ITC Avant Garde" w:cs="Arial"/>
                <w:i/>
                <w:sz w:val="18"/>
                <w:szCs w:val="18"/>
                <w:lang w:val="en-US"/>
              </w:rPr>
            </w:pPr>
            <w:r w:rsidRPr="00330641">
              <w:rPr>
                <w:rFonts w:ascii="ITC Avant Garde" w:hAnsi="ITC Avant Garde" w:cs="Arial"/>
                <w:i/>
                <w:sz w:val="18"/>
                <w:szCs w:val="18"/>
                <w:lang w:val="en-US"/>
              </w:rPr>
              <w:t xml:space="preserve">6 Mbps </w:t>
            </w:r>
          </w:p>
        </w:tc>
        <w:tc>
          <w:tcPr>
            <w:tcW w:w="1789" w:type="dxa"/>
            <w:tcBorders>
              <w:top w:val="single" w:sz="6" w:space="0" w:color="000000"/>
              <w:left w:val="single" w:sz="6" w:space="0" w:color="000000"/>
              <w:bottom w:val="single" w:sz="6" w:space="0" w:color="000000"/>
              <w:right w:val="single" w:sz="6" w:space="0" w:color="000000"/>
            </w:tcBorders>
            <w:vAlign w:val="center"/>
          </w:tcPr>
          <w:p w:rsidR="004662DE" w:rsidRPr="00330641" w:rsidDel="00D7548B" w:rsidRDefault="004662DE" w:rsidP="000F58E0">
            <w:pPr>
              <w:autoSpaceDE w:val="0"/>
              <w:autoSpaceDN w:val="0"/>
              <w:adjustRightInd w:val="0"/>
              <w:spacing w:after="0" w:line="276" w:lineRule="auto"/>
              <w:jc w:val="center"/>
              <w:rPr>
                <w:rFonts w:ascii="ITC Avant Garde" w:hAnsi="ITC Avant Garde" w:cs="Arial"/>
                <w:bCs/>
                <w:i/>
                <w:sz w:val="18"/>
                <w:szCs w:val="18"/>
                <w:lang w:eastAsia="es-ES"/>
              </w:rPr>
            </w:pPr>
            <w:r w:rsidRPr="00330641">
              <w:rPr>
                <w:rFonts w:ascii="ITC Avant Garde" w:hAnsi="ITC Avant Garde" w:cs="Arial"/>
                <w:bCs/>
                <w:i/>
                <w:sz w:val="18"/>
                <w:szCs w:val="18"/>
                <w:lang w:eastAsia="es-ES"/>
              </w:rPr>
              <w:t>35 días hábiles</w:t>
            </w:r>
          </w:p>
        </w:tc>
      </w:tr>
      <w:tr w:rsidR="004662DE" w:rsidRPr="00330641" w:rsidTr="00EC3F16">
        <w:trPr>
          <w:jc w:val="center"/>
        </w:trPr>
        <w:tc>
          <w:tcPr>
            <w:tcW w:w="1516" w:type="dxa"/>
            <w:vAlign w:val="center"/>
          </w:tcPr>
          <w:p w:rsidR="004662DE" w:rsidRPr="00330641" w:rsidRDefault="004662DE" w:rsidP="000F58E0">
            <w:pPr>
              <w:autoSpaceDE w:val="0"/>
              <w:autoSpaceDN w:val="0"/>
              <w:adjustRightInd w:val="0"/>
              <w:spacing w:after="0" w:line="276" w:lineRule="auto"/>
              <w:jc w:val="center"/>
              <w:rPr>
                <w:rFonts w:ascii="ITC Avant Garde" w:hAnsi="ITC Avant Garde" w:cs="Arial"/>
                <w:i/>
                <w:sz w:val="18"/>
                <w:szCs w:val="18"/>
                <w:lang w:val="en-US"/>
              </w:rPr>
            </w:pPr>
            <w:r w:rsidRPr="00330641">
              <w:rPr>
                <w:rFonts w:ascii="ITC Avant Garde" w:hAnsi="ITC Avant Garde" w:cs="Arial"/>
                <w:i/>
                <w:sz w:val="18"/>
                <w:szCs w:val="18"/>
                <w:lang w:val="en-US"/>
              </w:rPr>
              <w:t>Ethernet</w:t>
            </w:r>
          </w:p>
        </w:tc>
        <w:tc>
          <w:tcPr>
            <w:tcW w:w="2502" w:type="dxa"/>
            <w:vAlign w:val="center"/>
          </w:tcPr>
          <w:p w:rsidR="004662DE" w:rsidRPr="00330641" w:rsidRDefault="004662DE" w:rsidP="000F58E0">
            <w:pPr>
              <w:autoSpaceDE w:val="0"/>
              <w:autoSpaceDN w:val="0"/>
              <w:adjustRightInd w:val="0"/>
              <w:spacing w:after="0" w:line="276" w:lineRule="auto"/>
              <w:jc w:val="center"/>
              <w:rPr>
                <w:rFonts w:ascii="ITC Avant Garde" w:hAnsi="ITC Avant Garde" w:cs="Arial"/>
                <w:i/>
                <w:sz w:val="18"/>
                <w:szCs w:val="18"/>
                <w:lang w:val="en-US"/>
              </w:rPr>
            </w:pPr>
            <w:r w:rsidRPr="00330641">
              <w:rPr>
                <w:rFonts w:ascii="ITC Avant Garde" w:hAnsi="ITC Avant Garde" w:cs="Arial"/>
                <w:i/>
                <w:sz w:val="18"/>
                <w:szCs w:val="18"/>
                <w:lang w:val="en-US"/>
              </w:rPr>
              <w:t xml:space="preserve">8 Mbps a 100 </w:t>
            </w:r>
            <w:proofErr w:type="spellStart"/>
            <w:r w:rsidRPr="00330641">
              <w:rPr>
                <w:rFonts w:ascii="ITC Avant Garde" w:hAnsi="ITC Avant Garde" w:cs="Arial"/>
                <w:i/>
                <w:sz w:val="18"/>
                <w:szCs w:val="18"/>
                <w:lang w:val="en-US"/>
              </w:rPr>
              <w:t>Gbps</w:t>
            </w:r>
            <w:proofErr w:type="spellEnd"/>
          </w:p>
        </w:tc>
        <w:tc>
          <w:tcPr>
            <w:tcW w:w="1789" w:type="dxa"/>
            <w:tcBorders>
              <w:top w:val="single" w:sz="6" w:space="0" w:color="000000"/>
              <w:left w:val="single" w:sz="6" w:space="0" w:color="000000"/>
              <w:bottom w:val="single" w:sz="6" w:space="0" w:color="000000"/>
              <w:right w:val="single" w:sz="6" w:space="0" w:color="000000"/>
            </w:tcBorders>
            <w:vAlign w:val="center"/>
          </w:tcPr>
          <w:p w:rsidR="004662DE" w:rsidRPr="00330641" w:rsidDel="00D7548B" w:rsidRDefault="004662DE" w:rsidP="000F58E0">
            <w:pPr>
              <w:autoSpaceDE w:val="0"/>
              <w:autoSpaceDN w:val="0"/>
              <w:adjustRightInd w:val="0"/>
              <w:spacing w:after="0" w:line="276" w:lineRule="auto"/>
              <w:jc w:val="center"/>
              <w:rPr>
                <w:rFonts w:ascii="ITC Avant Garde" w:hAnsi="ITC Avant Garde" w:cs="Arial"/>
                <w:bCs/>
                <w:i/>
                <w:sz w:val="18"/>
                <w:szCs w:val="18"/>
                <w:lang w:eastAsia="es-ES"/>
              </w:rPr>
            </w:pPr>
            <w:r w:rsidRPr="00330641">
              <w:rPr>
                <w:rFonts w:ascii="ITC Avant Garde" w:hAnsi="ITC Avant Garde" w:cs="Arial"/>
                <w:bCs/>
                <w:i/>
                <w:sz w:val="18"/>
                <w:szCs w:val="18"/>
                <w:lang w:eastAsia="es-ES"/>
              </w:rPr>
              <w:t>60 días hábiles</w:t>
            </w:r>
          </w:p>
        </w:tc>
      </w:tr>
    </w:tbl>
    <w:p w:rsidR="00B943CD" w:rsidRPr="00330641" w:rsidRDefault="00B943CD" w:rsidP="000F58E0">
      <w:pPr>
        <w:autoSpaceDE w:val="0"/>
        <w:autoSpaceDN w:val="0"/>
        <w:spacing w:after="0" w:line="276" w:lineRule="auto"/>
        <w:ind w:left="567" w:right="616"/>
        <w:rPr>
          <w:rFonts w:ascii="ITC Avant Garde" w:hAnsi="ITC Avant Garde"/>
          <w:i/>
          <w:color w:val="000000" w:themeColor="text1"/>
          <w:sz w:val="18"/>
          <w:szCs w:val="18"/>
        </w:rPr>
      </w:pPr>
      <w:r w:rsidRPr="00330641">
        <w:rPr>
          <w:rFonts w:ascii="ITC Avant Garde" w:hAnsi="ITC Avant Garde" w:cs="Arial"/>
          <w:b/>
          <w:bCs/>
          <w:i/>
          <w:color w:val="000000" w:themeColor="text1"/>
          <w:sz w:val="18"/>
          <w:szCs w:val="18"/>
        </w:rPr>
        <w:t> </w:t>
      </w:r>
    </w:p>
    <w:p w:rsidR="00B943CD" w:rsidRPr="00330641" w:rsidRDefault="00B943CD" w:rsidP="004662DE">
      <w:pPr>
        <w:autoSpaceDE w:val="0"/>
        <w:autoSpaceDN w:val="0"/>
        <w:adjustRightInd w:val="0"/>
        <w:spacing w:after="0" w:line="276" w:lineRule="auto"/>
        <w:ind w:left="1560" w:right="1608"/>
        <w:rPr>
          <w:rFonts w:ascii="ITC Avant Garde" w:hAnsi="ITC Avant Garde" w:cs="Arial"/>
          <w:i/>
          <w:sz w:val="18"/>
          <w:szCs w:val="18"/>
        </w:rPr>
      </w:pPr>
      <w:r w:rsidRPr="00330641">
        <w:rPr>
          <w:rFonts w:ascii="ITC Avant Garde" w:hAnsi="ITC Avant Garde" w:cs="Arial"/>
          <w:i/>
          <w:sz w:val="18"/>
          <w:szCs w:val="18"/>
        </w:rPr>
        <w:t>NOTA: El enlace E2 se entrega en 4xE1 (capacidad equivalente del E2), el enlace E4 se entrega como STM-1 para la capacidad equivalente de E4 y el enlace STM-256 se entrega en su capacidad equivalente de 4xSTM-64.</w:t>
      </w:r>
    </w:p>
    <w:p w:rsidR="00B943CD" w:rsidRPr="00330641" w:rsidRDefault="00B943CD" w:rsidP="000F58E0">
      <w:pPr>
        <w:autoSpaceDE w:val="0"/>
        <w:autoSpaceDN w:val="0"/>
        <w:adjustRightInd w:val="0"/>
        <w:spacing w:after="0" w:line="276" w:lineRule="auto"/>
        <w:ind w:left="567" w:right="616"/>
        <w:rPr>
          <w:rFonts w:ascii="ITC Avant Garde" w:hAnsi="ITC Avant Garde"/>
          <w:i/>
          <w:sz w:val="18"/>
          <w:szCs w:val="18"/>
        </w:rPr>
      </w:pPr>
    </w:p>
    <w:p w:rsidR="00B943CD" w:rsidRPr="00330641" w:rsidRDefault="00B943CD" w:rsidP="000F58E0">
      <w:pPr>
        <w:autoSpaceDE w:val="0"/>
        <w:autoSpaceDN w:val="0"/>
        <w:spacing w:after="0" w:line="276" w:lineRule="auto"/>
        <w:ind w:left="567" w:right="616"/>
        <w:rPr>
          <w:rFonts w:ascii="ITC Avant Garde" w:hAnsi="ITC Avant Garde"/>
          <w:i/>
          <w:sz w:val="18"/>
          <w:szCs w:val="18"/>
        </w:rPr>
      </w:pPr>
      <w:r w:rsidRPr="00330641">
        <w:rPr>
          <w:rFonts w:ascii="ITC Avant Garde" w:hAnsi="ITC Avant Garde" w:cs="Arial"/>
          <w:i/>
          <w:sz w:val="18"/>
          <w:szCs w:val="18"/>
        </w:rPr>
        <w:t>En el caso de que</w:t>
      </w:r>
      <w:r w:rsidR="004662DE" w:rsidRPr="00330641">
        <w:rPr>
          <w:rFonts w:ascii="ITC Avant Garde" w:hAnsi="ITC Avant Garde" w:cs="Arial"/>
          <w:i/>
          <w:sz w:val="18"/>
          <w:szCs w:val="18"/>
        </w:rPr>
        <w:t xml:space="preserve"> la División Mayorista de Telmex/</w:t>
      </w:r>
      <w:proofErr w:type="spellStart"/>
      <w:r w:rsidR="004662DE" w:rsidRPr="00330641">
        <w:rPr>
          <w:rFonts w:ascii="ITC Avant Garde" w:hAnsi="ITC Avant Garde" w:cs="Arial"/>
          <w:i/>
          <w:sz w:val="18"/>
          <w:szCs w:val="18"/>
        </w:rPr>
        <w:t>Telnor</w:t>
      </w:r>
      <w:proofErr w:type="spellEnd"/>
      <w:r w:rsidRPr="00330641">
        <w:rPr>
          <w:rFonts w:ascii="ITC Avant Garde" w:hAnsi="ITC Avant Garde" w:cs="Arial"/>
          <w:i/>
          <w:sz w:val="18"/>
          <w:szCs w:val="18"/>
        </w:rPr>
        <w:t xml:space="preserve"> ofrezca comercialmente a sus Usuarios finales Enlaces Digitales o Enlaces Ethernet con velocidades de transmisión mayores, estas deberán cumplir con el criterio de </w:t>
      </w:r>
      <w:proofErr w:type="spellStart"/>
      <w:r w:rsidRPr="00330641">
        <w:rPr>
          <w:rFonts w:ascii="ITC Avant Garde" w:hAnsi="ITC Avant Garde" w:cs="Arial"/>
          <w:i/>
          <w:sz w:val="18"/>
          <w:szCs w:val="18"/>
        </w:rPr>
        <w:t>Replicabilidad</w:t>
      </w:r>
      <w:proofErr w:type="spellEnd"/>
      <w:r w:rsidRPr="00330641">
        <w:rPr>
          <w:rFonts w:ascii="ITC Avant Garde" w:hAnsi="ITC Avant Garde" w:cs="Arial"/>
          <w:i/>
          <w:sz w:val="18"/>
          <w:szCs w:val="18"/>
        </w:rPr>
        <w:t xml:space="preserve"> Técnica.</w:t>
      </w:r>
    </w:p>
    <w:p w:rsidR="00B943CD" w:rsidRPr="00330641" w:rsidRDefault="00B943CD" w:rsidP="000F58E0">
      <w:pPr>
        <w:autoSpaceDE w:val="0"/>
        <w:autoSpaceDN w:val="0"/>
        <w:spacing w:after="0" w:line="276" w:lineRule="auto"/>
        <w:ind w:left="567" w:right="616"/>
        <w:rPr>
          <w:rFonts w:ascii="ITC Avant Garde" w:hAnsi="ITC Avant Garde"/>
          <w:i/>
          <w:sz w:val="18"/>
          <w:szCs w:val="18"/>
        </w:rPr>
      </w:pPr>
      <w:r w:rsidRPr="00330641">
        <w:rPr>
          <w:rFonts w:ascii="ITC Avant Garde" w:hAnsi="ITC Avant Garde" w:cs="Arial"/>
          <w:i/>
          <w:sz w:val="18"/>
          <w:szCs w:val="18"/>
        </w:rPr>
        <w:t> </w:t>
      </w:r>
    </w:p>
    <w:p w:rsidR="00B943CD" w:rsidRPr="00330641" w:rsidRDefault="00B943CD" w:rsidP="000F58E0">
      <w:pPr>
        <w:autoSpaceDE w:val="0"/>
        <w:autoSpaceDN w:val="0"/>
        <w:spacing w:after="0" w:line="276" w:lineRule="auto"/>
        <w:ind w:left="567" w:right="616"/>
        <w:rPr>
          <w:rFonts w:ascii="ITC Avant Garde" w:hAnsi="ITC Avant Garde"/>
          <w:i/>
          <w:sz w:val="18"/>
          <w:szCs w:val="18"/>
        </w:rPr>
      </w:pPr>
      <w:r w:rsidRPr="00330641">
        <w:rPr>
          <w:rFonts w:ascii="ITC Avant Garde" w:hAnsi="ITC Avant Garde" w:cs="Arial"/>
          <w:i/>
          <w:sz w:val="18"/>
          <w:szCs w:val="18"/>
        </w:rPr>
        <w:t>Lo anterior sin perjuicio de lo establecido en las medidas DECIMOSEXTA y TRIGESIMA QUINTA de las Medidas Fijas en materia de equivalencia de insumos.</w:t>
      </w:r>
    </w:p>
    <w:p w:rsidR="00B943CD" w:rsidRPr="00330641" w:rsidRDefault="00B943CD" w:rsidP="000F58E0">
      <w:pPr>
        <w:spacing w:after="0" w:line="276" w:lineRule="auto"/>
        <w:ind w:left="0" w:right="0"/>
        <w:rPr>
          <w:rFonts w:ascii="ITC Avant Garde" w:hAnsi="ITC Avant Garde"/>
          <w:color w:val="auto"/>
        </w:rPr>
      </w:pPr>
    </w:p>
    <w:p w:rsidR="00C56BF6" w:rsidRDefault="00C56BF6" w:rsidP="000F58E0">
      <w:pPr>
        <w:autoSpaceDE w:val="0"/>
        <w:autoSpaceDN w:val="0"/>
        <w:adjustRightInd w:val="0"/>
        <w:spacing w:after="0" w:line="276" w:lineRule="auto"/>
        <w:ind w:left="0" w:right="0" w:firstLine="0"/>
        <w:rPr>
          <w:rFonts w:ascii="ITC Avant Garde" w:eastAsia="Times New Roman" w:hAnsi="ITC Avant Garde" w:cs="Times New Roman"/>
          <w:color w:val="auto"/>
        </w:rPr>
      </w:pPr>
      <w:r w:rsidRPr="00330641">
        <w:rPr>
          <w:rFonts w:ascii="ITC Avant Garde" w:hAnsi="ITC Avant Garde"/>
          <w:color w:val="auto"/>
        </w:rPr>
        <w:t>Ahora bien</w:t>
      </w:r>
      <w:r w:rsidR="00AE2D65" w:rsidRPr="00330641">
        <w:rPr>
          <w:rFonts w:ascii="ITC Avant Garde" w:hAnsi="ITC Avant Garde"/>
          <w:color w:val="auto"/>
        </w:rPr>
        <w:t>,</w:t>
      </w:r>
      <w:r w:rsidRPr="00330641">
        <w:rPr>
          <w:rFonts w:ascii="ITC Avant Garde" w:hAnsi="ITC Avant Garde"/>
          <w:color w:val="auto"/>
        </w:rPr>
        <w:t xml:space="preserve"> con respecto a lo señalado por</w:t>
      </w:r>
      <w:r w:rsidR="00717446" w:rsidRPr="00330641">
        <w:rPr>
          <w:rFonts w:ascii="ITC Avant Garde" w:hAnsi="ITC Avant Garde"/>
          <w:color w:val="auto"/>
        </w:rPr>
        <w:t xml:space="preserve"> </w:t>
      </w:r>
      <w:r w:rsidR="00AE2D65" w:rsidRPr="00330641">
        <w:rPr>
          <w:rFonts w:ascii="ITC Avant Garde" w:hAnsi="ITC Avant Garde"/>
          <w:color w:val="auto"/>
        </w:rPr>
        <w:t xml:space="preserve">Grupo </w:t>
      </w:r>
      <w:r w:rsidR="00717446" w:rsidRPr="00330641">
        <w:rPr>
          <w:rFonts w:ascii="ITC Avant Garde" w:hAnsi="ITC Avant Garde"/>
          <w:color w:val="auto"/>
        </w:rPr>
        <w:t xml:space="preserve">AT&amp;T en el sentido de </w:t>
      </w:r>
      <w:r w:rsidR="00717446" w:rsidRPr="00330641">
        <w:rPr>
          <w:rFonts w:ascii="ITC Avant Garde" w:eastAsia="Times New Roman" w:hAnsi="ITC Avant Garde" w:cs="Times New Roman"/>
          <w:color w:val="auto"/>
        </w:rPr>
        <w:t xml:space="preserve">definir el periodo de medición para el </w:t>
      </w:r>
      <w:r w:rsidR="00C173C5">
        <w:rPr>
          <w:rFonts w:ascii="ITC Avant Garde" w:eastAsia="Times New Roman" w:hAnsi="ITC Avant Garde" w:cs="Times New Roman"/>
          <w:color w:val="auto"/>
        </w:rPr>
        <w:t xml:space="preserve">cumplimiento de los porcentajes, así como respecto a la publicación de </w:t>
      </w:r>
      <w:r w:rsidRPr="00330641">
        <w:rPr>
          <w:rFonts w:ascii="ITC Avant Garde" w:eastAsia="Times New Roman" w:hAnsi="ITC Avant Garde" w:cs="Times New Roman"/>
          <w:color w:val="auto"/>
        </w:rPr>
        <w:t>los elementos valorados que e</w:t>
      </w:r>
      <w:r w:rsidR="00C173C5">
        <w:rPr>
          <w:rFonts w:ascii="ITC Avant Garde" w:eastAsia="Times New Roman" w:hAnsi="ITC Avant Garde" w:cs="Times New Roman"/>
          <w:color w:val="auto"/>
        </w:rPr>
        <w:t>mplea</w:t>
      </w:r>
      <w:r w:rsidRPr="00330641">
        <w:rPr>
          <w:rFonts w:ascii="ITC Avant Garde" w:eastAsia="Times New Roman" w:hAnsi="ITC Avant Garde" w:cs="Times New Roman"/>
          <w:color w:val="auto"/>
        </w:rPr>
        <w:t xml:space="preserve"> el Instituto para asegurar </w:t>
      </w:r>
      <w:r w:rsidRPr="00330641">
        <w:rPr>
          <w:rFonts w:ascii="ITC Avant Garde" w:eastAsia="Times New Roman" w:hAnsi="ITC Avant Garde" w:cs="Times New Roman"/>
          <w:color w:val="auto"/>
        </w:rPr>
        <w:lastRenderedPageBreak/>
        <w:t xml:space="preserve">que el AEP </w:t>
      </w:r>
      <w:r w:rsidR="00C173C5">
        <w:rPr>
          <w:rFonts w:ascii="ITC Avant Garde" w:eastAsia="Times New Roman" w:hAnsi="ITC Avant Garde" w:cs="Times New Roman"/>
          <w:color w:val="auto"/>
        </w:rPr>
        <w:t xml:space="preserve">cumple con </w:t>
      </w:r>
      <w:r w:rsidRPr="00330641">
        <w:rPr>
          <w:rFonts w:ascii="ITC Avant Garde" w:eastAsia="Times New Roman" w:hAnsi="ITC Avant Garde" w:cs="Times New Roman"/>
          <w:color w:val="auto"/>
        </w:rPr>
        <w:t>la obligación de igualar la calidad de servicio de los clientes mayoristas respecto a la de los clientes propios</w:t>
      </w:r>
      <w:r w:rsidR="00C173C5">
        <w:rPr>
          <w:rFonts w:ascii="ITC Avant Garde" w:eastAsia="Times New Roman" w:hAnsi="ITC Avant Garde" w:cs="Times New Roman"/>
          <w:color w:val="auto"/>
        </w:rPr>
        <w:t xml:space="preserve"> </w:t>
      </w:r>
      <w:r w:rsidR="00C173C5">
        <w:rPr>
          <w:rFonts w:ascii="ITC Avant Garde" w:hAnsi="ITC Avant Garde"/>
          <w:color w:val="auto"/>
        </w:rPr>
        <w:t xml:space="preserve">señalada por Axtel, </w:t>
      </w:r>
      <w:r w:rsidR="00C173C5">
        <w:rPr>
          <w:rFonts w:ascii="ITC Avant Garde" w:eastAsia="Times New Roman" w:hAnsi="ITC Avant Garde" w:cs="Times New Roman"/>
          <w:color w:val="auto"/>
        </w:rPr>
        <w:t>se señala que los criterios para determinar el cumplimiento de los plazos de entrega y los elementos que se valoran para verificar el cumplimiento de obligaciones por parte del AEP excede el alcance de la oferta de referencia.</w:t>
      </w:r>
    </w:p>
    <w:p w:rsidR="00C173C5" w:rsidRPr="00C173C5" w:rsidRDefault="00C173C5" w:rsidP="000F58E0">
      <w:pPr>
        <w:autoSpaceDE w:val="0"/>
        <w:autoSpaceDN w:val="0"/>
        <w:adjustRightInd w:val="0"/>
        <w:spacing w:after="0" w:line="276" w:lineRule="auto"/>
        <w:ind w:left="0" w:right="0" w:firstLine="0"/>
        <w:rPr>
          <w:rFonts w:ascii="ITC Avant Garde" w:eastAsia="Times New Roman" w:hAnsi="ITC Avant Garde" w:cs="Times New Roman"/>
          <w:color w:val="auto"/>
        </w:rPr>
      </w:pPr>
    </w:p>
    <w:p w:rsidR="000B3447" w:rsidRPr="00330641" w:rsidRDefault="004907CB" w:rsidP="000F58E0">
      <w:pPr>
        <w:spacing w:after="0" w:line="276" w:lineRule="auto"/>
        <w:ind w:left="0" w:right="0"/>
        <w:rPr>
          <w:rFonts w:ascii="ITC Avant Garde" w:eastAsia="Times New Roman" w:hAnsi="ITC Avant Garde" w:cs="Times New Roman"/>
          <w:i/>
          <w:color w:val="auto"/>
          <w:sz w:val="18"/>
          <w:szCs w:val="18"/>
        </w:rPr>
      </w:pPr>
      <w:r w:rsidRPr="00330641">
        <w:rPr>
          <w:rFonts w:ascii="ITC Avant Garde" w:hAnsi="ITC Avant Garde"/>
          <w:color w:val="auto"/>
        </w:rPr>
        <w:t xml:space="preserve">Por último, </w:t>
      </w:r>
      <w:r w:rsidR="00C173C5">
        <w:rPr>
          <w:rFonts w:ascii="ITC Avant Garde" w:hAnsi="ITC Avant Garde"/>
          <w:color w:val="auto"/>
        </w:rPr>
        <w:t xml:space="preserve">respecto </w:t>
      </w:r>
      <w:r w:rsidR="000474E8">
        <w:rPr>
          <w:rFonts w:ascii="ITC Avant Garde" w:hAnsi="ITC Avant Garde"/>
          <w:color w:val="auto"/>
        </w:rPr>
        <w:t xml:space="preserve">a </w:t>
      </w:r>
      <w:r w:rsidRPr="00330641">
        <w:rPr>
          <w:rFonts w:ascii="ITC Avant Garde" w:hAnsi="ITC Avant Garde"/>
          <w:color w:val="auto"/>
        </w:rPr>
        <w:t xml:space="preserve">establecer que </w:t>
      </w:r>
      <w:r w:rsidRPr="00330641">
        <w:rPr>
          <w:rFonts w:ascii="ITC Avant Garde" w:eastAsia="Times New Roman" w:hAnsi="ITC Avant Garde" w:cs="Times New Roman"/>
          <w:color w:val="auto"/>
        </w:rPr>
        <w:t xml:space="preserve">en el caso de que Telmex ofrezca comercialmente a sus </w:t>
      </w:r>
      <w:r w:rsidR="000B3447" w:rsidRPr="00330641">
        <w:rPr>
          <w:rFonts w:ascii="ITC Avant Garde" w:eastAsia="Times New Roman" w:hAnsi="ITC Avant Garde" w:cs="Times New Roman"/>
          <w:color w:val="auto"/>
        </w:rPr>
        <w:t xml:space="preserve">usuarios </w:t>
      </w:r>
      <w:r w:rsidRPr="00330641">
        <w:rPr>
          <w:rFonts w:ascii="ITC Avant Garde" w:eastAsia="Times New Roman" w:hAnsi="ITC Avant Garde" w:cs="Times New Roman"/>
          <w:color w:val="auto"/>
        </w:rPr>
        <w:t xml:space="preserve">finales </w:t>
      </w:r>
      <w:r w:rsidR="000B3447" w:rsidRPr="00330641">
        <w:rPr>
          <w:rFonts w:ascii="ITC Avant Garde" w:eastAsia="Times New Roman" w:hAnsi="ITC Avant Garde" w:cs="Times New Roman"/>
          <w:color w:val="auto"/>
        </w:rPr>
        <w:t xml:space="preserve">enlaces digitales </w:t>
      </w:r>
      <w:r w:rsidRPr="00330641">
        <w:rPr>
          <w:rFonts w:ascii="ITC Avant Garde" w:eastAsia="Times New Roman" w:hAnsi="ITC Avant Garde" w:cs="Times New Roman"/>
          <w:color w:val="auto"/>
        </w:rPr>
        <w:t xml:space="preserve">o </w:t>
      </w:r>
      <w:r w:rsidR="000B3447" w:rsidRPr="00330641">
        <w:rPr>
          <w:rFonts w:ascii="ITC Avant Garde" w:eastAsia="Times New Roman" w:hAnsi="ITC Avant Garde" w:cs="Times New Roman"/>
          <w:color w:val="auto"/>
        </w:rPr>
        <w:t xml:space="preserve">enlaces </w:t>
      </w:r>
      <w:r w:rsidRPr="00330641">
        <w:rPr>
          <w:rFonts w:ascii="ITC Avant Garde" w:eastAsia="Times New Roman" w:hAnsi="ITC Avant Garde" w:cs="Times New Roman"/>
          <w:color w:val="auto"/>
        </w:rPr>
        <w:t>Ethernet con velocidades de transmisión mayores,</w:t>
      </w:r>
      <w:r w:rsidR="001153A1">
        <w:rPr>
          <w:rFonts w:ascii="ITC Avant Garde" w:eastAsia="Times New Roman" w:hAnsi="ITC Avant Garde" w:cs="Times New Roman"/>
          <w:color w:val="auto"/>
        </w:rPr>
        <w:t xml:space="preserve"> y que</w:t>
      </w:r>
      <w:r w:rsidRPr="00330641">
        <w:rPr>
          <w:rFonts w:ascii="ITC Avant Garde" w:eastAsia="Times New Roman" w:hAnsi="ITC Avant Garde" w:cs="Times New Roman"/>
          <w:color w:val="auto"/>
        </w:rPr>
        <w:t xml:space="preserve"> </w:t>
      </w:r>
      <w:r w:rsidR="00C40A2B" w:rsidRPr="00330641">
        <w:rPr>
          <w:rFonts w:ascii="ITC Avant Garde" w:eastAsia="Times New Roman" w:hAnsi="ITC Avant Garde" w:cs="Times New Roman"/>
          <w:color w:val="auto"/>
        </w:rPr>
        <w:t>é</w:t>
      </w:r>
      <w:r w:rsidRPr="00330641">
        <w:rPr>
          <w:rFonts w:ascii="ITC Avant Garde" w:eastAsia="Times New Roman" w:hAnsi="ITC Avant Garde" w:cs="Times New Roman"/>
          <w:color w:val="auto"/>
        </w:rPr>
        <w:t xml:space="preserve">stas </w:t>
      </w:r>
      <w:r w:rsidR="001153A1">
        <w:rPr>
          <w:rFonts w:ascii="ITC Avant Garde" w:eastAsia="Times New Roman" w:hAnsi="ITC Avant Garde" w:cs="Times New Roman"/>
          <w:color w:val="auto"/>
        </w:rPr>
        <w:t xml:space="preserve">se incluyan </w:t>
      </w:r>
      <w:r w:rsidRPr="00330641">
        <w:rPr>
          <w:rFonts w:ascii="ITC Avant Garde" w:eastAsia="Times New Roman" w:hAnsi="ITC Avant Garde" w:cs="Times New Roman"/>
          <w:color w:val="auto"/>
        </w:rPr>
        <w:t xml:space="preserve">inmediatamente en </w:t>
      </w:r>
      <w:r w:rsidR="000B3447" w:rsidRPr="00330641">
        <w:rPr>
          <w:rFonts w:ascii="ITC Avant Garde" w:eastAsia="Times New Roman" w:hAnsi="ITC Avant Garde" w:cs="Times New Roman"/>
          <w:color w:val="auto"/>
        </w:rPr>
        <w:t xml:space="preserve">la ORE </w:t>
      </w:r>
      <w:r w:rsidR="00032067" w:rsidRPr="00330641">
        <w:rPr>
          <w:rFonts w:ascii="ITC Avant Garde" w:eastAsia="Times New Roman" w:hAnsi="ITC Avant Garde" w:cs="Times New Roman"/>
          <w:color w:val="auto"/>
        </w:rPr>
        <w:t xml:space="preserve">DM </w:t>
      </w:r>
      <w:r w:rsidR="000B3447" w:rsidRPr="00330641">
        <w:rPr>
          <w:rFonts w:ascii="ITC Avant Garde" w:eastAsia="Times New Roman" w:hAnsi="ITC Avant Garde" w:cs="Times New Roman"/>
          <w:color w:val="auto"/>
        </w:rPr>
        <w:t>202</w:t>
      </w:r>
      <w:r w:rsidR="00032067" w:rsidRPr="00330641">
        <w:rPr>
          <w:rFonts w:ascii="ITC Avant Garde" w:eastAsia="Times New Roman" w:hAnsi="ITC Avant Garde" w:cs="Times New Roman"/>
          <w:color w:val="auto"/>
        </w:rPr>
        <w:t>1</w:t>
      </w:r>
      <w:r w:rsidR="001153A1">
        <w:rPr>
          <w:rFonts w:ascii="ITC Avant Garde" w:eastAsia="Times New Roman" w:hAnsi="ITC Avant Garde" w:cs="Times New Roman"/>
          <w:color w:val="auto"/>
        </w:rPr>
        <w:t xml:space="preserve"> se señala que el procedimiento aplicable a este caso particular es el establecido </w:t>
      </w:r>
      <w:r w:rsidRPr="00330641">
        <w:rPr>
          <w:rFonts w:ascii="ITC Avant Garde" w:eastAsia="Times New Roman" w:hAnsi="ITC Avant Garde" w:cs="Times New Roman"/>
          <w:color w:val="auto"/>
        </w:rPr>
        <w:t xml:space="preserve">en la medida Cuadragésima Primera </w:t>
      </w:r>
      <w:r w:rsidR="000B3447" w:rsidRPr="00330641">
        <w:rPr>
          <w:rFonts w:ascii="ITC Avant Garde" w:eastAsia="Times New Roman" w:hAnsi="ITC Avant Garde" w:cs="Times New Roman"/>
          <w:color w:val="auto"/>
        </w:rPr>
        <w:t>de las Medidas Fijas en donde el Instituto tendrá un plazo no mayor de 30 día</w:t>
      </w:r>
      <w:r w:rsidR="00603C74" w:rsidRPr="00330641">
        <w:rPr>
          <w:rFonts w:ascii="ITC Avant Garde" w:eastAsia="Times New Roman" w:hAnsi="ITC Avant Garde" w:cs="Times New Roman"/>
          <w:color w:val="auto"/>
        </w:rPr>
        <w:t>s</w:t>
      </w:r>
      <w:r w:rsidR="000B3447" w:rsidRPr="00330641">
        <w:rPr>
          <w:rFonts w:ascii="ITC Avant Garde" w:eastAsia="Times New Roman" w:hAnsi="ITC Avant Garde" w:cs="Times New Roman"/>
          <w:color w:val="auto"/>
        </w:rPr>
        <w:t xml:space="preserve"> naturales para modificar la </w:t>
      </w:r>
      <w:r w:rsidR="00814734">
        <w:rPr>
          <w:rFonts w:ascii="ITC Avant Garde" w:eastAsia="Times New Roman" w:hAnsi="ITC Avant Garde" w:cs="Times New Roman"/>
          <w:color w:val="auto"/>
        </w:rPr>
        <w:t>oferta y que puedan ser incluida</w:t>
      </w:r>
      <w:r w:rsidR="000B3447" w:rsidRPr="00330641">
        <w:rPr>
          <w:rFonts w:ascii="ITC Avant Garde" w:eastAsia="Times New Roman" w:hAnsi="ITC Avant Garde" w:cs="Times New Roman"/>
          <w:color w:val="auto"/>
        </w:rPr>
        <w:t>s la</w:t>
      </w:r>
      <w:r w:rsidR="00814734">
        <w:rPr>
          <w:rFonts w:ascii="ITC Avant Garde" w:eastAsia="Times New Roman" w:hAnsi="ITC Avant Garde" w:cs="Times New Roman"/>
          <w:color w:val="auto"/>
        </w:rPr>
        <w:t>s</w:t>
      </w:r>
      <w:r w:rsidR="000B3447" w:rsidRPr="00330641">
        <w:rPr>
          <w:rFonts w:ascii="ITC Avant Garde" w:eastAsia="Times New Roman" w:hAnsi="ITC Avant Garde" w:cs="Times New Roman"/>
          <w:color w:val="auto"/>
        </w:rPr>
        <w:t xml:space="preserve"> nuevas velocidades, a efecto de cumplir con el cr</w:t>
      </w:r>
      <w:r w:rsidR="001153A1">
        <w:rPr>
          <w:rFonts w:ascii="ITC Avant Garde" w:eastAsia="Times New Roman" w:hAnsi="ITC Avant Garde" w:cs="Times New Roman"/>
          <w:color w:val="auto"/>
        </w:rPr>
        <w:t xml:space="preserve">iterio de </w:t>
      </w:r>
      <w:proofErr w:type="spellStart"/>
      <w:r w:rsidR="001153A1">
        <w:rPr>
          <w:rFonts w:ascii="ITC Avant Garde" w:eastAsia="Times New Roman" w:hAnsi="ITC Avant Garde" w:cs="Times New Roman"/>
          <w:color w:val="auto"/>
        </w:rPr>
        <w:t>replicabilidad</w:t>
      </w:r>
      <w:proofErr w:type="spellEnd"/>
      <w:r w:rsidR="001153A1">
        <w:rPr>
          <w:rFonts w:ascii="ITC Avant Garde" w:eastAsia="Times New Roman" w:hAnsi="ITC Avant Garde" w:cs="Times New Roman"/>
          <w:color w:val="auto"/>
        </w:rPr>
        <w:t xml:space="preserve"> técnica por lo que dicho procedimiento ya se encuentra establecido</w:t>
      </w:r>
      <w:r w:rsidR="00325DEC">
        <w:rPr>
          <w:rFonts w:ascii="ITC Avant Garde" w:eastAsia="Times New Roman" w:hAnsi="ITC Avant Garde" w:cs="Times New Roman"/>
          <w:color w:val="auto"/>
        </w:rPr>
        <w:t xml:space="preserve"> y excede el alcance</w:t>
      </w:r>
      <w:r w:rsidR="00814734">
        <w:rPr>
          <w:rFonts w:ascii="ITC Avant Garde" w:eastAsia="Times New Roman" w:hAnsi="ITC Avant Garde" w:cs="Times New Roman"/>
          <w:color w:val="auto"/>
        </w:rPr>
        <w:t xml:space="preserve"> de</w:t>
      </w:r>
      <w:r w:rsidR="00325DEC">
        <w:rPr>
          <w:rFonts w:ascii="ITC Avant Garde" w:eastAsia="Times New Roman" w:hAnsi="ITC Avant Garde" w:cs="Times New Roman"/>
          <w:color w:val="auto"/>
        </w:rPr>
        <w:t xml:space="preserve"> la Oferta de Referencia</w:t>
      </w:r>
      <w:r w:rsidR="001153A1">
        <w:rPr>
          <w:rFonts w:ascii="ITC Avant Garde" w:eastAsia="Times New Roman" w:hAnsi="ITC Avant Garde" w:cs="Times New Roman"/>
          <w:color w:val="auto"/>
        </w:rPr>
        <w:t>.</w:t>
      </w:r>
    </w:p>
    <w:p w:rsidR="00395CB7" w:rsidRPr="00330641" w:rsidRDefault="00395CB7" w:rsidP="000F58E0">
      <w:pPr>
        <w:spacing w:after="0" w:line="276" w:lineRule="auto"/>
        <w:ind w:left="0" w:right="0"/>
        <w:rPr>
          <w:rFonts w:ascii="ITC Avant Garde" w:eastAsia="Times New Roman" w:hAnsi="ITC Avant Garde" w:cs="Times New Roman"/>
          <w:i/>
          <w:color w:val="auto"/>
          <w:sz w:val="18"/>
          <w:szCs w:val="18"/>
        </w:rPr>
      </w:pPr>
    </w:p>
    <w:p w:rsidR="00032BD2" w:rsidRPr="00330641" w:rsidRDefault="00032BD2" w:rsidP="000F58E0">
      <w:pPr>
        <w:spacing w:after="0" w:line="276" w:lineRule="auto"/>
        <w:ind w:left="0" w:right="0" w:firstLine="0"/>
        <w:rPr>
          <w:rFonts w:ascii="ITC Avant Garde" w:eastAsia="Times New Roman" w:hAnsi="ITC Avant Garde"/>
          <w:bCs/>
          <w:u w:val="single"/>
        </w:rPr>
      </w:pPr>
      <w:r w:rsidRPr="00330641">
        <w:rPr>
          <w:rFonts w:ascii="ITC Avant Garde" w:eastAsia="Times New Roman" w:hAnsi="ITC Avant Garde" w:cs="Times New Roman"/>
          <w:b/>
          <w:color w:val="auto"/>
          <w:u w:val="single"/>
        </w:rPr>
        <w:t>2.4.1.2</w:t>
      </w:r>
      <w:r w:rsidR="00385EBD" w:rsidRPr="00330641">
        <w:rPr>
          <w:rFonts w:ascii="ITC Avant Garde" w:eastAsia="Times New Roman" w:hAnsi="ITC Avant Garde" w:cs="Times New Roman"/>
          <w:b/>
          <w:color w:val="auto"/>
          <w:u w:val="single"/>
        </w:rPr>
        <w:t>.</w:t>
      </w:r>
      <w:r w:rsidR="00FE2077" w:rsidRPr="00330641">
        <w:rPr>
          <w:rFonts w:ascii="ITC Avant Garde" w:eastAsia="Times New Roman" w:hAnsi="ITC Avant Garde" w:cs="Times New Roman"/>
          <w:b/>
          <w:color w:val="auto"/>
          <w:u w:val="single"/>
        </w:rPr>
        <w:t xml:space="preserve"> </w:t>
      </w:r>
    </w:p>
    <w:p w:rsidR="00FC4272" w:rsidRPr="00330641" w:rsidRDefault="00FC4272" w:rsidP="000F58E0">
      <w:pPr>
        <w:spacing w:after="0" w:line="276" w:lineRule="auto"/>
        <w:ind w:left="0" w:right="0" w:firstLine="0"/>
        <w:rPr>
          <w:rFonts w:ascii="ITC Avant Garde" w:eastAsia="Times New Roman" w:hAnsi="ITC Avant Garde" w:cs="Times New Roman"/>
          <w:bCs/>
        </w:rPr>
      </w:pPr>
      <w:r w:rsidRPr="00330641">
        <w:rPr>
          <w:rFonts w:ascii="ITC Avant Garde" w:eastAsia="Times New Roman" w:hAnsi="ITC Avant Garde" w:cs="Times New Roman"/>
          <w:b/>
          <w:color w:val="auto"/>
        </w:rPr>
        <w:t>AXTEL</w:t>
      </w:r>
      <w:r w:rsidR="00523D18" w:rsidRPr="00330641">
        <w:rPr>
          <w:rFonts w:ascii="ITC Avant Garde" w:eastAsia="Times New Roman" w:hAnsi="ITC Avant Garde" w:cs="Times New Roman"/>
          <w:b/>
          <w:color w:val="auto"/>
        </w:rPr>
        <w:t>:</w:t>
      </w:r>
    </w:p>
    <w:p w:rsidR="00032BD2" w:rsidRPr="00330641" w:rsidRDefault="0012211F" w:rsidP="000F58E0">
      <w:pPr>
        <w:spacing w:after="0" w:line="276" w:lineRule="auto"/>
        <w:ind w:left="0" w:right="0"/>
        <w:rPr>
          <w:rFonts w:ascii="ITC Avant Garde" w:hAnsi="ITC Avant Garde"/>
          <w:lang w:val="es-ES_tradnl"/>
        </w:rPr>
      </w:pPr>
      <w:r>
        <w:rPr>
          <w:rFonts w:ascii="ITC Avant Garde" w:hAnsi="ITC Avant Garde"/>
          <w:lang w:val="es-ES_tradnl"/>
        </w:rPr>
        <w:t>Señaló</w:t>
      </w:r>
      <w:r w:rsidR="009A5F87" w:rsidRPr="00330641">
        <w:rPr>
          <w:rFonts w:ascii="ITC Avant Garde" w:hAnsi="ITC Avant Garde"/>
          <w:lang w:val="es-ES_tradnl"/>
        </w:rPr>
        <w:t xml:space="preserve"> que e</w:t>
      </w:r>
      <w:r w:rsidR="00032BD2" w:rsidRPr="00330641">
        <w:rPr>
          <w:rFonts w:ascii="ITC Avant Garde" w:hAnsi="ITC Avant Garde"/>
          <w:lang w:val="es-ES_tradnl"/>
        </w:rPr>
        <w:t>l AEP ha indicado que los plazos donde se haya contratado previamente</w:t>
      </w:r>
      <w:r w:rsidR="00061632" w:rsidRPr="00330641">
        <w:rPr>
          <w:rFonts w:ascii="ITC Avant Garde" w:hAnsi="ITC Avant Garde"/>
          <w:lang w:val="es-ES_tradnl"/>
        </w:rPr>
        <w:t xml:space="preserve"> el Servicio </w:t>
      </w:r>
      <w:r w:rsidR="00FC340F">
        <w:rPr>
          <w:rFonts w:ascii="ITC Avant Garde" w:hAnsi="ITC Avant Garde"/>
          <w:lang w:val="es-ES_tradnl"/>
        </w:rPr>
        <w:t>tendrá</w:t>
      </w:r>
      <w:r w:rsidR="00032BD2" w:rsidRPr="00330641">
        <w:rPr>
          <w:rFonts w:ascii="ITC Avant Garde" w:hAnsi="ITC Avant Garde"/>
          <w:lang w:val="es-ES_tradnl"/>
        </w:rPr>
        <w:t xml:space="preserve"> plazos de entrega acorde a las siguientes condiciones</w:t>
      </w:r>
      <w:r w:rsidR="00FC4272" w:rsidRPr="00330641">
        <w:rPr>
          <w:rFonts w:ascii="ITC Avant Garde" w:hAnsi="ITC Avant Garde"/>
          <w:lang w:val="es-ES_tradnl"/>
        </w:rPr>
        <w:t>,</w:t>
      </w:r>
      <w:r w:rsidR="00061632" w:rsidRPr="00330641">
        <w:rPr>
          <w:rFonts w:ascii="ITC Avant Garde" w:hAnsi="ITC Avant Garde"/>
          <w:lang w:val="es-ES_tradnl"/>
        </w:rPr>
        <w:t xml:space="preserve"> el </w:t>
      </w:r>
      <w:r w:rsidR="00395CB7" w:rsidRPr="00330641">
        <w:rPr>
          <w:rFonts w:ascii="ITC Avant Garde" w:hAnsi="ITC Avant Garde"/>
          <w:lang w:val="es-ES_tradnl"/>
        </w:rPr>
        <w:t>6</w:t>
      </w:r>
      <w:r w:rsidR="00061632" w:rsidRPr="00330641">
        <w:rPr>
          <w:rFonts w:ascii="ITC Avant Garde" w:hAnsi="ITC Avant Garde"/>
          <w:lang w:val="es-ES_tradnl"/>
        </w:rPr>
        <w:t>0% del plazo</w:t>
      </w:r>
      <w:r w:rsidR="00395CB7" w:rsidRPr="00330641">
        <w:rPr>
          <w:rFonts w:ascii="ITC Avant Garde" w:hAnsi="ITC Avant Garde"/>
          <w:lang w:val="es-ES_tradnl"/>
        </w:rPr>
        <w:t xml:space="preserve"> original</w:t>
      </w:r>
      <w:r w:rsidR="00061632" w:rsidRPr="00330641">
        <w:rPr>
          <w:rFonts w:ascii="ITC Avant Garde" w:hAnsi="ITC Avant Garde"/>
          <w:lang w:val="es-ES_tradnl"/>
        </w:rPr>
        <w:t xml:space="preserve"> de entrega cuando no se requiera la modificación del medio o del equipo de transmisión, el </w:t>
      </w:r>
      <w:r w:rsidR="00395CB7" w:rsidRPr="00330641">
        <w:rPr>
          <w:rFonts w:ascii="ITC Avant Garde" w:hAnsi="ITC Avant Garde"/>
          <w:lang w:val="es-ES_tradnl"/>
        </w:rPr>
        <w:t>8</w:t>
      </w:r>
      <w:r w:rsidR="00061632" w:rsidRPr="00330641">
        <w:rPr>
          <w:rFonts w:ascii="ITC Avant Garde" w:hAnsi="ITC Avant Garde"/>
          <w:lang w:val="es-ES_tradnl"/>
        </w:rPr>
        <w:t xml:space="preserve">5% del plazo original </w:t>
      </w:r>
      <w:r w:rsidR="003D1221" w:rsidRPr="00330641">
        <w:rPr>
          <w:rFonts w:ascii="ITC Avant Garde" w:hAnsi="ITC Avant Garde"/>
          <w:lang w:val="es-ES_tradnl"/>
        </w:rPr>
        <w:t>de entrega cuando se requiera la modificación del medio o del equipo de trans</w:t>
      </w:r>
      <w:r w:rsidR="00395CB7" w:rsidRPr="00330641">
        <w:rPr>
          <w:rFonts w:ascii="ITC Avant Garde" w:hAnsi="ITC Avant Garde"/>
          <w:lang w:val="es-ES_tradnl"/>
        </w:rPr>
        <w:t>m</w:t>
      </w:r>
      <w:r w:rsidR="003D1221" w:rsidRPr="00330641">
        <w:rPr>
          <w:rFonts w:ascii="ITC Avant Garde" w:hAnsi="ITC Avant Garde"/>
          <w:lang w:val="es-ES_tradnl"/>
        </w:rPr>
        <w:t>i</w:t>
      </w:r>
      <w:r w:rsidR="00395CB7" w:rsidRPr="00330641">
        <w:rPr>
          <w:rFonts w:ascii="ITC Avant Garde" w:hAnsi="ITC Avant Garde"/>
          <w:lang w:val="es-ES_tradnl"/>
        </w:rPr>
        <w:t>s</w:t>
      </w:r>
      <w:r w:rsidR="003D1221" w:rsidRPr="00330641">
        <w:rPr>
          <w:rFonts w:ascii="ITC Avant Garde" w:hAnsi="ITC Avant Garde"/>
          <w:lang w:val="es-ES_tradnl"/>
        </w:rPr>
        <w:t>ión y por último el 100% cuando se requiera la ampliación de los medios y de los equipos de transmisión</w:t>
      </w:r>
      <w:r w:rsidR="00395CB7" w:rsidRPr="00330641">
        <w:rPr>
          <w:rFonts w:ascii="ITC Avant Garde" w:hAnsi="ITC Avant Garde"/>
          <w:lang w:val="es-ES_tradnl"/>
        </w:rPr>
        <w:t>.</w:t>
      </w:r>
    </w:p>
    <w:p w:rsidR="00FC4272" w:rsidRPr="004F1E05" w:rsidRDefault="00FC4272" w:rsidP="000F58E0">
      <w:pPr>
        <w:spacing w:after="0" w:line="276" w:lineRule="auto"/>
        <w:ind w:left="0" w:right="0" w:firstLine="0"/>
        <w:rPr>
          <w:rFonts w:ascii="ITC Avant Garde" w:hAnsi="ITC Avant Garde"/>
          <w:lang w:val="es-ES_tradnl"/>
        </w:rPr>
      </w:pPr>
    </w:p>
    <w:p w:rsidR="00032BD2" w:rsidRPr="00330641" w:rsidRDefault="000D2A52" w:rsidP="000F58E0">
      <w:pPr>
        <w:spacing w:after="0" w:line="276" w:lineRule="auto"/>
        <w:ind w:left="0" w:right="0" w:firstLine="0"/>
        <w:rPr>
          <w:rFonts w:ascii="ITC Avant Garde" w:hAnsi="ITC Avant Garde"/>
          <w:lang w:val="es-ES_tradnl"/>
        </w:rPr>
      </w:pPr>
      <w:r w:rsidRPr="00330641">
        <w:rPr>
          <w:rFonts w:ascii="ITC Avant Garde" w:hAnsi="ITC Avant Garde"/>
          <w:lang w:val="es-ES_tradnl"/>
        </w:rPr>
        <w:t xml:space="preserve">Propone al </w:t>
      </w:r>
      <w:r w:rsidR="009A5F87" w:rsidRPr="00330641">
        <w:rPr>
          <w:rFonts w:ascii="ITC Avant Garde" w:hAnsi="ITC Avant Garde"/>
          <w:lang w:val="es-ES_tradnl"/>
        </w:rPr>
        <w:t>Instituto</w:t>
      </w:r>
      <w:r w:rsidR="00FC4272" w:rsidRPr="00330641">
        <w:rPr>
          <w:rFonts w:ascii="ITC Avant Garde" w:hAnsi="ITC Avant Garde"/>
          <w:lang w:val="es-ES_tradnl"/>
        </w:rPr>
        <w:t xml:space="preserve"> </w:t>
      </w:r>
      <w:r w:rsidRPr="00330641">
        <w:rPr>
          <w:rFonts w:ascii="ITC Avant Garde" w:hAnsi="ITC Avant Garde"/>
          <w:lang w:val="es-ES_tradnl"/>
        </w:rPr>
        <w:t xml:space="preserve">modificar la redacción </w:t>
      </w:r>
      <w:r w:rsidR="008777B0">
        <w:rPr>
          <w:rFonts w:ascii="ITC Avant Garde" w:hAnsi="ITC Avant Garde"/>
          <w:lang w:val="es-ES_tradnl"/>
        </w:rPr>
        <w:t>correspondiente al primer plazo</w:t>
      </w:r>
      <w:r w:rsidRPr="00330641">
        <w:rPr>
          <w:rFonts w:ascii="ITC Avant Garde" w:hAnsi="ITC Avant Garde"/>
          <w:lang w:val="es-ES_tradnl"/>
        </w:rPr>
        <w:t xml:space="preserve"> de tal forma que </w:t>
      </w:r>
      <w:r w:rsidR="008777B0">
        <w:rPr>
          <w:rFonts w:ascii="ITC Avant Garde" w:hAnsi="ITC Avant Garde"/>
          <w:lang w:val="es-ES_tradnl"/>
        </w:rPr>
        <w:t>tanto</w:t>
      </w:r>
      <w:r w:rsidRPr="00330641">
        <w:rPr>
          <w:rFonts w:ascii="ITC Avant Garde" w:hAnsi="ITC Avant Garde"/>
          <w:lang w:val="es-ES_tradnl"/>
        </w:rPr>
        <w:t xml:space="preserve"> el medio y el equipo de transmisión</w:t>
      </w:r>
      <w:r w:rsidR="008777B0">
        <w:rPr>
          <w:rFonts w:ascii="ITC Avant Garde" w:hAnsi="ITC Avant Garde"/>
          <w:lang w:val="es-ES_tradnl"/>
        </w:rPr>
        <w:t xml:space="preserve"> deban modificarse</w:t>
      </w:r>
      <w:r w:rsidRPr="00330641">
        <w:rPr>
          <w:rFonts w:ascii="ITC Avant Garde" w:hAnsi="ITC Avant Garde"/>
          <w:lang w:val="es-ES_tradnl"/>
        </w:rPr>
        <w:t>:</w:t>
      </w:r>
    </w:p>
    <w:p w:rsidR="00032BD2" w:rsidRPr="00330641" w:rsidRDefault="00032BD2" w:rsidP="000F58E0">
      <w:pPr>
        <w:spacing w:after="0" w:line="276" w:lineRule="auto"/>
        <w:ind w:left="0" w:right="0" w:firstLine="0"/>
        <w:rPr>
          <w:rFonts w:ascii="ITC Avant Garde" w:eastAsia="Times New Roman" w:hAnsi="ITC Avant Garde" w:cs="Times New Roman"/>
          <w:color w:val="auto"/>
        </w:rPr>
      </w:pPr>
    </w:p>
    <w:p w:rsidR="000D2A52" w:rsidRPr="00330641" w:rsidRDefault="000D2A52" w:rsidP="000F58E0">
      <w:pPr>
        <w:spacing w:after="0" w:line="276" w:lineRule="auto"/>
        <w:ind w:left="567" w:right="333" w:firstLine="0"/>
        <w:rPr>
          <w:rFonts w:ascii="ITC Avant Garde" w:eastAsia="Times New Roman" w:hAnsi="ITC Avant Garde" w:cs="Times New Roman"/>
          <w:i/>
          <w:color w:val="auto"/>
          <w:sz w:val="18"/>
          <w:szCs w:val="18"/>
        </w:rPr>
      </w:pPr>
      <w:r w:rsidRPr="00330641">
        <w:rPr>
          <w:rFonts w:ascii="ITC Avant Garde" w:eastAsia="Times New Roman" w:hAnsi="ITC Avant Garde" w:cs="Times New Roman"/>
          <w:i/>
          <w:color w:val="auto"/>
          <w:sz w:val="18"/>
          <w:szCs w:val="18"/>
        </w:rPr>
        <w:t>“• El 50% (cincuenta por ciento) del plazo original de entrega (tabla del numeral 2.4.1.1) cuando no se requiera la modificación del medio y del equipo de transmisión.”</w:t>
      </w:r>
    </w:p>
    <w:p w:rsidR="000D2A52" w:rsidRPr="00330641" w:rsidRDefault="000D2A52" w:rsidP="000F58E0">
      <w:pPr>
        <w:spacing w:after="0" w:line="276" w:lineRule="auto"/>
        <w:ind w:left="0" w:right="0" w:firstLine="0"/>
        <w:rPr>
          <w:rFonts w:ascii="ITC Avant Garde" w:eastAsia="Times New Roman" w:hAnsi="ITC Avant Garde" w:cs="Times New Roman"/>
          <w:color w:val="auto"/>
        </w:rPr>
      </w:pPr>
    </w:p>
    <w:p w:rsidR="000D2A52" w:rsidRPr="00330641" w:rsidRDefault="000D2A52" w:rsidP="000F58E0">
      <w:pPr>
        <w:spacing w:after="0" w:line="276" w:lineRule="auto"/>
        <w:ind w:left="0" w:right="0" w:firstLine="0"/>
        <w:rPr>
          <w:rFonts w:ascii="ITC Avant Garde" w:eastAsia="Times New Roman" w:hAnsi="ITC Avant Garde" w:cs="Times New Roman"/>
          <w:color w:val="auto"/>
        </w:rPr>
      </w:pPr>
      <w:r w:rsidRPr="00330641">
        <w:rPr>
          <w:rFonts w:ascii="ITC Avant Garde" w:eastAsia="Times New Roman" w:hAnsi="ITC Avant Garde" w:cs="Times New Roman"/>
          <w:color w:val="auto"/>
        </w:rPr>
        <w:t xml:space="preserve">De igual forma </w:t>
      </w:r>
      <w:r w:rsidR="008D5642">
        <w:rPr>
          <w:rFonts w:ascii="ITC Avant Garde" w:eastAsia="Times New Roman" w:hAnsi="ITC Avant Garde" w:cs="Times New Roman"/>
          <w:color w:val="auto"/>
        </w:rPr>
        <w:t>solicitó</w:t>
      </w:r>
      <w:r w:rsidRPr="00330641">
        <w:rPr>
          <w:rFonts w:ascii="ITC Avant Garde" w:eastAsia="Times New Roman" w:hAnsi="ITC Avant Garde" w:cs="Times New Roman"/>
          <w:color w:val="auto"/>
        </w:rPr>
        <w:t xml:space="preserve"> al </w:t>
      </w:r>
      <w:r w:rsidR="00FC4272" w:rsidRPr="00330641">
        <w:rPr>
          <w:rFonts w:ascii="ITC Avant Garde" w:eastAsia="Times New Roman" w:hAnsi="ITC Avant Garde" w:cs="Times New Roman"/>
          <w:color w:val="auto"/>
        </w:rPr>
        <w:t>Instituto</w:t>
      </w:r>
      <w:r w:rsidR="00C81FC1" w:rsidRPr="00330641">
        <w:rPr>
          <w:rFonts w:ascii="ITC Avant Garde" w:eastAsia="Times New Roman" w:hAnsi="ITC Avant Garde" w:cs="Times New Roman"/>
          <w:color w:val="auto"/>
        </w:rPr>
        <w:t xml:space="preserve"> </w:t>
      </w:r>
      <w:r w:rsidR="00475F4E" w:rsidRPr="00330641">
        <w:rPr>
          <w:rFonts w:ascii="ITC Avant Garde" w:eastAsia="Times New Roman" w:hAnsi="ITC Avant Garde" w:cs="Times New Roman"/>
          <w:color w:val="auto"/>
        </w:rPr>
        <w:t>que</w:t>
      </w:r>
      <w:r w:rsidR="00C81FC1" w:rsidRPr="00330641">
        <w:rPr>
          <w:rFonts w:ascii="ITC Avant Garde" w:eastAsia="Times New Roman" w:hAnsi="ITC Avant Garde" w:cs="Times New Roman"/>
          <w:color w:val="auto"/>
        </w:rPr>
        <w:t xml:space="preserve"> el AEP informe al CS el detalle de las limitantes o los elementos faltantes que justifique</w:t>
      </w:r>
      <w:r w:rsidR="00475F4E" w:rsidRPr="00330641">
        <w:rPr>
          <w:rFonts w:ascii="ITC Avant Garde" w:eastAsia="Times New Roman" w:hAnsi="ITC Avant Garde" w:cs="Times New Roman"/>
          <w:color w:val="auto"/>
        </w:rPr>
        <w:t>n</w:t>
      </w:r>
      <w:r w:rsidR="00C81FC1" w:rsidRPr="00330641">
        <w:rPr>
          <w:rFonts w:ascii="ITC Avant Garde" w:eastAsia="Times New Roman" w:hAnsi="ITC Avant Garde" w:cs="Times New Roman"/>
          <w:color w:val="auto"/>
        </w:rPr>
        <w:t xml:space="preserve"> </w:t>
      </w:r>
      <w:r w:rsidR="00032067" w:rsidRPr="00330641">
        <w:rPr>
          <w:rFonts w:ascii="ITC Avant Garde" w:eastAsia="Times New Roman" w:hAnsi="ITC Avant Garde" w:cs="Times New Roman"/>
          <w:color w:val="auto"/>
        </w:rPr>
        <w:t xml:space="preserve">el </w:t>
      </w:r>
      <w:r w:rsidR="00C81FC1" w:rsidRPr="00330641">
        <w:rPr>
          <w:rFonts w:ascii="ITC Avant Garde" w:eastAsia="Times New Roman" w:hAnsi="ITC Avant Garde" w:cs="Times New Roman"/>
          <w:color w:val="auto"/>
        </w:rPr>
        <w:t>100% del plazo en la entrega</w:t>
      </w:r>
      <w:r w:rsidR="008777B0">
        <w:rPr>
          <w:rFonts w:ascii="ITC Avant Garde" w:eastAsia="Times New Roman" w:hAnsi="ITC Avant Garde" w:cs="Times New Roman"/>
          <w:color w:val="auto"/>
        </w:rPr>
        <w:t>, así como</w:t>
      </w:r>
      <w:r w:rsidRPr="00330641">
        <w:rPr>
          <w:rFonts w:ascii="ITC Avant Garde" w:eastAsia="Times New Roman" w:hAnsi="ITC Avant Garde" w:cs="Times New Roman"/>
          <w:color w:val="auto"/>
        </w:rPr>
        <w:t xml:space="preserve"> prever un mecanismo por el cual el CS pueda, en caso de discrepancias, solicitar </w:t>
      </w:r>
      <w:r w:rsidR="00475F4E" w:rsidRPr="00330641">
        <w:rPr>
          <w:rFonts w:ascii="ITC Avant Garde" w:eastAsia="Times New Roman" w:hAnsi="ITC Avant Garde" w:cs="Times New Roman"/>
          <w:color w:val="auto"/>
        </w:rPr>
        <w:t>la intervención</w:t>
      </w:r>
      <w:r w:rsidRPr="00330641">
        <w:rPr>
          <w:rFonts w:ascii="ITC Avant Garde" w:eastAsia="Times New Roman" w:hAnsi="ITC Avant Garde" w:cs="Times New Roman"/>
          <w:color w:val="auto"/>
        </w:rPr>
        <w:t xml:space="preserve"> del </w:t>
      </w:r>
      <w:r w:rsidR="00FC4272" w:rsidRPr="00330641">
        <w:rPr>
          <w:rFonts w:ascii="ITC Avant Garde" w:eastAsia="Times New Roman" w:hAnsi="ITC Avant Garde" w:cs="Times New Roman"/>
          <w:color w:val="auto"/>
        </w:rPr>
        <w:t xml:space="preserve">Instituto </w:t>
      </w:r>
      <w:r w:rsidRPr="00330641">
        <w:rPr>
          <w:rFonts w:ascii="ITC Avant Garde" w:eastAsia="Times New Roman" w:hAnsi="ITC Avant Garde" w:cs="Times New Roman"/>
          <w:color w:val="auto"/>
        </w:rPr>
        <w:t>para evaluación del caso</w:t>
      </w:r>
      <w:r w:rsidR="00475F4E" w:rsidRPr="00330641">
        <w:rPr>
          <w:rFonts w:ascii="ITC Avant Garde" w:eastAsia="Times New Roman" w:hAnsi="ITC Avant Garde" w:cs="Times New Roman"/>
          <w:color w:val="auto"/>
        </w:rPr>
        <w:t>.</w:t>
      </w:r>
    </w:p>
    <w:p w:rsidR="000D2A52" w:rsidRPr="00330641" w:rsidRDefault="000D2A52" w:rsidP="000F58E0">
      <w:pPr>
        <w:spacing w:after="0" w:line="276" w:lineRule="auto"/>
        <w:ind w:left="0" w:right="0" w:firstLine="0"/>
        <w:rPr>
          <w:rFonts w:ascii="ITC Avant Garde" w:eastAsia="Times New Roman" w:hAnsi="ITC Avant Garde" w:cs="Times New Roman"/>
          <w:color w:val="auto"/>
        </w:rPr>
      </w:pPr>
    </w:p>
    <w:p w:rsidR="008562D3" w:rsidRPr="00330641" w:rsidRDefault="008562D3" w:rsidP="000F58E0">
      <w:pPr>
        <w:autoSpaceDE w:val="0"/>
        <w:autoSpaceDN w:val="0"/>
        <w:adjustRightInd w:val="0"/>
        <w:spacing w:after="0" w:line="276" w:lineRule="auto"/>
        <w:ind w:left="0" w:right="0" w:firstLine="0"/>
        <w:rPr>
          <w:rFonts w:ascii="ITC Avant Garde" w:eastAsia="Times New Roman" w:hAnsi="ITC Avant Garde" w:cs="Times New Roman"/>
          <w:color w:val="auto"/>
        </w:rPr>
      </w:pPr>
      <w:r w:rsidRPr="00330641">
        <w:rPr>
          <w:rFonts w:ascii="ITC Avant Garde" w:hAnsi="ITC Avant Garde"/>
          <w:b/>
          <w:color w:val="auto"/>
        </w:rPr>
        <w:t>Consideraciones del Instituto</w:t>
      </w:r>
      <w:r w:rsidR="00523D18" w:rsidRPr="00330641">
        <w:rPr>
          <w:rFonts w:ascii="ITC Avant Garde" w:hAnsi="ITC Avant Garde"/>
          <w:b/>
          <w:color w:val="auto"/>
        </w:rPr>
        <w:t>:</w:t>
      </w:r>
    </w:p>
    <w:p w:rsidR="00C81FC1" w:rsidRDefault="00C81FC1" w:rsidP="004F1E05">
      <w:pPr>
        <w:spacing w:after="0" w:line="276" w:lineRule="auto"/>
        <w:ind w:left="0" w:right="0" w:firstLine="0"/>
        <w:rPr>
          <w:rFonts w:ascii="ITC Avant Garde" w:eastAsia="Times New Roman" w:hAnsi="ITC Avant Garde" w:cs="Times New Roman"/>
          <w:color w:val="auto"/>
        </w:rPr>
      </w:pPr>
      <w:r w:rsidRPr="00330641">
        <w:rPr>
          <w:rFonts w:ascii="ITC Avant Garde" w:eastAsia="Times New Roman" w:hAnsi="ITC Avant Garde" w:cs="Times New Roman"/>
          <w:color w:val="auto"/>
        </w:rPr>
        <w:t>Al respecto,</w:t>
      </w:r>
      <w:r w:rsidRPr="00330641">
        <w:rPr>
          <w:rFonts w:ascii="ITC Avant Garde" w:hAnsi="ITC Avant Garde"/>
        </w:rPr>
        <w:t xml:space="preserve"> </w:t>
      </w:r>
      <w:r w:rsidR="004F1E05">
        <w:rPr>
          <w:rFonts w:ascii="ITC Avant Garde" w:hAnsi="ITC Avant Garde"/>
        </w:rPr>
        <w:t xml:space="preserve">los plazos planteados en dicho </w:t>
      </w:r>
      <w:r w:rsidRPr="00330641">
        <w:rPr>
          <w:rFonts w:ascii="ITC Avant Garde" w:eastAsia="Times New Roman" w:hAnsi="ITC Avant Garde" w:cs="Times New Roman"/>
          <w:color w:val="auto"/>
        </w:rPr>
        <w:t xml:space="preserve">numeral </w:t>
      </w:r>
      <w:r w:rsidR="004F1E05">
        <w:rPr>
          <w:rFonts w:ascii="ITC Avant Garde" w:eastAsia="Times New Roman" w:hAnsi="ITC Avant Garde" w:cs="Times New Roman"/>
          <w:color w:val="auto"/>
        </w:rPr>
        <w:t>son acordes</w:t>
      </w:r>
      <w:r w:rsidRPr="00330641">
        <w:rPr>
          <w:rFonts w:ascii="ITC Avant Garde" w:eastAsia="Times New Roman" w:hAnsi="ITC Avant Garde" w:cs="Times New Roman"/>
          <w:color w:val="auto"/>
        </w:rPr>
        <w:t xml:space="preserve"> </w:t>
      </w:r>
      <w:r w:rsidR="004F1E05">
        <w:rPr>
          <w:rFonts w:ascii="ITC Avant Garde" w:eastAsia="Times New Roman" w:hAnsi="ITC Avant Garde" w:cs="Times New Roman"/>
          <w:color w:val="auto"/>
        </w:rPr>
        <w:t xml:space="preserve">a </w:t>
      </w:r>
      <w:r w:rsidR="008562D3" w:rsidRPr="00330641">
        <w:rPr>
          <w:rFonts w:ascii="ITC Avant Garde" w:eastAsia="Times New Roman" w:hAnsi="ITC Avant Garde" w:cs="Times New Roman"/>
          <w:color w:val="auto"/>
        </w:rPr>
        <w:t xml:space="preserve">lo establecido </w:t>
      </w:r>
      <w:r w:rsidR="00734CCD" w:rsidRPr="00330641">
        <w:rPr>
          <w:rFonts w:ascii="ITC Avant Garde" w:eastAsia="Times New Roman" w:hAnsi="ITC Avant Garde" w:cs="Times New Roman"/>
          <w:color w:val="auto"/>
        </w:rPr>
        <w:t>en</w:t>
      </w:r>
      <w:r w:rsidR="008562D3" w:rsidRPr="00330641">
        <w:rPr>
          <w:rFonts w:ascii="ITC Avant Garde" w:eastAsia="Times New Roman" w:hAnsi="ITC Avant Garde" w:cs="Times New Roman"/>
          <w:color w:val="auto"/>
        </w:rPr>
        <w:t xml:space="preserve"> la Medida Decimosexta de </w:t>
      </w:r>
      <w:r w:rsidR="00F57E53" w:rsidRPr="00330641">
        <w:rPr>
          <w:rFonts w:ascii="ITC Avant Garde" w:eastAsia="Times New Roman" w:hAnsi="ITC Avant Garde" w:cs="Times New Roman"/>
          <w:color w:val="auto"/>
        </w:rPr>
        <w:t>las Medidas Fijas</w:t>
      </w:r>
      <w:r w:rsidR="004F1E05">
        <w:rPr>
          <w:rFonts w:ascii="ITC Avant Garde" w:eastAsia="Times New Roman" w:hAnsi="ITC Avant Garde" w:cs="Times New Roman"/>
          <w:color w:val="auto"/>
        </w:rPr>
        <w:t>.</w:t>
      </w:r>
    </w:p>
    <w:p w:rsidR="004F1E05" w:rsidRPr="00330641" w:rsidRDefault="004F1E05" w:rsidP="004F1E05">
      <w:pPr>
        <w:spacing w:after="0" w:line="276" w:lineRule="auto"/>
        <w:ind w:left="0" w:right="0" w:firstLine="0"/>
        <w:rPr>
          <w:rFonts w:ascii="ITC Avant Garde" w:eastAsia="Times New Roman" w:hAnsi="ITC Avant Garde" w:cs="Times New Roman"/>
          <w:i/>
          <w:color w:val="auto"/>
          <w:sz w:val="18"/>
          <w:szCs w:val="18"/>
        </w:rPr>
      </w:pPr>
    </w:p>
    <w:p w:rsidR="004F1E05" w:rsidRDefault="004F1E05" w:rsidP="000F58E0">
      <w:pPr>
        <w:spacing w:after="0" w:line="276" w:lineRule="auto"/>
        <w:ind w:left="0" w:right="0" w:firstLine="0"/>
        <w:rPr>
          <w:rFonts w:ascii="ITC Avant Garde" w:eastAsia="Times New Roman" w:hAnsi="ITC Avant Garde" w:cs="Times New Roman"/>
          <w:color w:val="auto"/>
        </w:rPr>
      </w:pPr>
      <w:r>
        <w:rPr>
          <w:rFonts w:ascii="ITC Avant Garde" w:eastAsia="Times New Roman" w:hAnsi="ITC Avant Garde" w:cs="Times New Roman"/>
          <w:color w:val="auto"/>
        </w:rPr>
        <w:lastRenderedPageBreak/>
        <w:t>R</w:t>
      </w:r>
      <w:r w:rsidR="00565459" w:rsidRPr="00330641">
        <w:rPr>
          <w:rFonts w:ascii="ITC Avant Garde" w:eastAsia="Times New Roman" w:hAnsi="ITC Avant Garde" w:cs="Times New Roman"/>
          <w:color w:val="auto"/>
        </w:rPr>
        <w:t>especto a la implementación de un formato mediante el cual el AEP informe al CS</w:t>
      </w:r>
      <w:r w:rsidR="00D563AA" w:rsidRPr="00330641">
        <w:rPr>
          <w:rFonts w:ascii="ITC Avant Garde" w:eastAsia="Times New Roman" w:hAnsi="ITC Avant Garde" w:cs="Times New Roman"/>
          <w:color w:val="auto"/>
        </w:rPr>
        <w:t xml:space="preserve"> o AS</w:t>
      </w:r>
      <w:r w:rsidR="00565459" w:rsidRPr="00330641">
        <w:rPr>
          <w:rFonts w:ascii="ITC Avant Garde" w:eastAsia="Times New Roman" w:hAnsi="ITC Avant Garde" w:cs="Times New Roman"/>
          <w:color w:val="auto"/>
        </w:rPr>
        <w:t xml:space="preserve"> el detalle de las limitantes o los elementos faltantes que justifique que se va a tardar el 100% del plazo en la entrega para los casos en que exista un servicio en operación la medida</w:t>
      </w:r>
      <w:r w:rsidR="00D563AA" w:rsidRPr="00330641">
        <w:rPr>
          <w:rFonts w:ascii="ITC Avant Garde" w:eastAsia="Times New Roman" w:hAnsi="ITC Avant Garde" w:cs="Times New Roman"/>
          <w:color w:val="auto"/>
        </w:rPr>
        <w:t xml:space="preserve"> </w:t>
      </w:r>
      <w:r>
        <w:rPr>
          <w:rFonts w:ascii="ITC Avant Garde" w:eastAsia="Times New Roman" w:hAnsi="ITC Avant Garde" w:cs="Times New Roman"/>
          <w:color w:val="auto"/>
        </w:rPr>
        <w:t>establece</w:t>
      </w:r>
      <w:r w:rsidR="00565459" w:rsidRPr="00330641">
        <w:rPr>
          <w:rFonts w:ascii="ITC Avant Garde" w:eastAsia="Times New Roman" w:hAnsi="ITC Avant Garde" w:cs="Times New Roman"/>
          <w:color w:val="auto"/>
        </w:rPr>
        <w:t xml:space="preserve"> que los elementos corresponden a los medios y equipos de transmisión.</w:t>
      </w:r>
    </w:p>
    <w:p w:rsidR="008562D3" w:rsidRPr="00330641" w:rsidRDefault="008562D3" w:rsidP="000F58E0">
      <w:pPr>
        <w:spacing w:after="0" w:line="276" w:lineRule="auto"/>
        <w:ind w:left="0" w:right="0" w:firstLine="0"/>
        <w:rPr>
          <w:rFonts w:ascii="ITC Avant Garde" w:eastAsia="Times New Roman" w:hAnsi="ITC Avant Garde" w:cs="Times New Roman"/>
          <w:color w:val="auto"/>
        </w:rPr>
      </w:pPr>
    </w:p>
    <w:p w:rsidR="00F55368" w:rsidRPr="00330641" w:rsidRDefault="00F55368" w:rsidP="000F58E0">
      <w:pPr>
        <w:spacing w:after="0" w:line="276" w:lineRule="auto"/>
        <w:ind w:left="0" w:right="0" w:firstLine="0"/>
        <w:rPr>
          <w:rFonts w:ascii="ITC Avant Garde" w:hAnsi="ITC Avant Garde"/>
          <w:b/>
          <w:color w:val="auto"/>
          <w:u w:val="single"/>
        </w:rPr>
      </w:pPr>
      <w:r w:rsidRPr="00330641">
        <w:rPr>
          <w:rFonts w:ascii="ITC Avant Garde" w:hAnsi="ITC Avant Garde"/>
          <w:b/>
          <w:color w:val="auto"/>
          <w:u w:val="single"/>
        </w:rPr>
        <w:t>2.4.3.</w:t>
      </w:r>
      <w:r w:rsidR="00EE6B83" w:rsidRPr="00330641">
        <w:rPr>
          <w:rFonts w:ascii="ITC Avant Garde" w:hAnsi="ITC Avant Garde"/>
          <w:b/>
          <w:color w:val="auto"/>
          <w:u w:val="single"/>
        </w:rPr>
        <w:t xml:space="preserve"> Medición del cumplimiento de los </w:t>
      </w:r>
      <w:r w:rsidR="00371339">
        <w:rPr>
          <w:rFonts w:ascii="ITC Avant Garde" w:hAnsi="ITC Avant Garde"/>
          <w:b/>
          <w:color w:val="auto"/>
          <w:u w:val="single"/>
        </w:rPr>
        <w:t>p</w:t>
      </w:r>
      <w:r w:rsidR="00214E77" w:rsidRPr="00330641">
        <w:rPr>
          <w:rFonts w:ascii="ITC Avant Garde" w:hAnsi="ITC Avant Garde"/>
          <w:b/>
          <w:color w:val="auto"/>
          <w:u w:val="single"/>
        </w:rPr>
        <w:t>lazos de entrega</w:t>
      </w:r>
      <w:r w:rsidR="00376A5D" w:rsidRPr="00330641">
        <w:rPr>
          <w:rFonts w:ascii="ITC Avant Garde" w:hAnsi="ITC Avant Garde"/>
          <w:b/>
          <w:color w:val="auto"/>
          <w:u w:val="single"/>
        </w:rPr>
        <w:t>.</w:t>
      </w:r>
    </w:p>
    <w:p w:rsidR="00D43C11" w:rsidRPr="00330641" w:rsidRDefault="00CD7852" w:rsidP="000F58E0">
      <w:pPr>
        <w:spacing w:after="0" w:line="276" w:lineRule="auto"/>
        <w:ind w:left="0" w:right="0" w:firstLine="0"/>
        <w:rPr>
          <w:rFonts w:ascii="ITC Avant Garde" w:hAnsi="ITC Avant Garde"/>
          <w:b/>
          <w:color w:val="auto"/>
        </w:rPr>
      </w:pPr>
      <w:r w:rsidRPr="00330641">
        <w:rPr>
          <w:rFonts w:ascii="ITC Avant Garde" w:hAnsi="ITC Avant Garde"/>
          <w:b/>
          <w:color w:val="auto"/>
        </w:rPr>
        <w:t>GRUPO AT&amp;T</w:t>
      </w:r>
      <w:r w:rsidR="00E1499B" w:rsidRPr="00330641">
        <w:rPr>
          <w:rFonts w:ascii="ITC Avant Garde" w:hAnsi="ITC Avant Garde"/>
          <w:b/>
          <w:color w:val="auto"/>
        </w:rPr>
        <w:t>:</w:t>
      </w:r>
    </w:p>
    <w:p w:rsidR="00D066BC" w:rsidRPr="00330641" w:rsidRDefault="00FE5A7A">
      <w:pPr>
        <w:spacing w:after="0" w:line="276" w:lineRule="auto"/>
        <w:ind w:left="0" w:right="0" w:firstLine="0"/>
        <w:rPr>
          <w:rFonts w:ascii="ITC Avant Garde" w:hAnsi="ITC Avant Garde"/>
          <w:color w:val="auto"/>
        </w:rPr>
      </w:pPr>
      <w:r w:rsidRPr="00330641">
        <w:rPr>
          <w:rFonts w:ascii="ITC Avant Garde" w:hAnsi="ITC Avant Garde"/>
          <w:color w:val="auto"/>
        </w:rPr>
        <w:t>En lo referente al inciso b</w:t>
      </w:r>
      <w:r w:rsidR="00963EE8" w:rsidRPr="00330641">
        <w:rPr>
          <w:rFonts w:ascii="ITC Avant Garde" w:hAnsi="ITC Avant Garde"/>
          <w:color w:val="auto"/>
        </w:rPr>
        <w:t>)</w:t>
      </w:r>
      <w:r w:rsidRPr="00330641">
        <w:rPr>
          <w:rFonts w:ascii="ITC Avant Garde" w:hAnsi="ITC Avant Garde"/>
          <w:color w:val="auto"/>
        </w:rPr>
        <w:t xml:space="preserve"> del apartado 2.4.3.1. </w:t>
      </w:r>
      <w:r w:rsidR="00AF4619">
        <w:rPr>
          <w:rFonts w:ascii="ITC Avant Garde" w:hAnsi="ITC Avant Garde"/>
          <w:color w:val="auto"/>
        </w:rPr>
        <w:t>sugirió</w:t>
      </w:r>
      <w:r w:rsidR="004C67F4" w:rsidRPr="00330641">
        <w:rPr>
          <w:rFonts w:ascii="ITC Avant Garde" w:hAnsi="ITC Avant Garde"/>
          <w:color w:val="auto"/>
        </w:rPr>
        <w:t xml:space="preserve"> incluir en la redacción “</w:t>
      </w:r>
      <w:r w:rsidR="004C67F4" w:rsidRPr="00330641">
        <w:rPr>
          <w:rFonts w:ascii="ITC Avant Garde" w:hAnsi="ITC Avant Garde"/>
          <w:i/>
          <w:color w:val="auto"/>
        </w:rPr>
        <w:t>Siempre y cuando Telmex hubiera entregado la documentación necesaria para la gestión de permisos”</w:t>
      </w:r>
      <w:r w:rsidR="004D4E80" w:rsidRPr="00330641">
        <w:rPr>
          <w:rFonts w:ascii="ITC Avant Garde" w:hAnsi="ITC Avant Garde"/>
          <w:color w:val="auto"/>
        </w:rPr>
        <w:t>,</w:t>
      </w:r>
      <w:r w:rsidR="00E1499B" w:rsidRPr="00330641">
        <w:rPr>
          <w:rFonts w:ascii="ITC Avant Garde" w:hAnsi="ITC Avant Garde"/>
          <w:color w:val="auto"/>
        </w:rPr>
        <w:t xml:space="preserve"> </w:t>
      </w:r>
      <w:r w:rsidR="004D4E80" w:rsidRPr="00330641">
        <w:rPr>
          <w:rFonts w:ascii="ITC Avant Garde" w:hAnsi="ITC Avant Garde"/>
          <w:color w:val="auto"/>
        </w:rPr>
        <w:t>debido a que no e</w:t>
      </w:r>
      <w:r w:rsidR="004F1E05">
        <w:rPr>
          <w:rFonts w:ascii="ITC Avant Garde" w:hAnsi="ITC Avant Garde"/>
          <w:color w:val="auto"/>
        </w:rPr>
        <w:t>s posible tramitar los permisos</w:t>
      </w:r>
      <w:r w:rsidR="004D4E80" w:rsidRPr="00330641">
        <w:rPr>
          <w:rFonts w:ascii="ITC Avant Garde" w:hAnsi="ITC Avant Garde"/>
          <w:color w:val="auto"/>
        </w:rPr>
        <w:t xml:space="preserve"> si Telmex no entrega el detalle de los trabajos que va a realizar y los documentos requeridos que identifiquen a los técnicos que los realizar</w:t>
      </w:r>
      <w:r w:rsidR="004C67F4" w:rsidRPr="00330641">
        <w:rPr>
          <w:rFonts w:ascii="ITC Avant Garde" w:hAnsi="ITC Avant Garde"/>
          <w:color w:val="auto"/>
        </w:rPr>
        <w:t>á</w:t>
      </w:r>
      <w:r w:rsidR="004D4E80" w:rsidRPr="00330641">
        <w:rPr>
          <w:rFonts w:ascii="ITC Avant Garde" w:hAnsi="ITC Avant Garde"/>
          <w:color w:val="auto"/>
        </w:rPr>
        <w:t>n</w:t>
      </w:r>
      <w:r w:rsidR="004C67F4" w:rsidRPr="00330641">
        <w:rPr>
          <w:rFonts w:ascii="ITC Avant Garde" w:hAnsi="ITC Avant Garde"/>
          <w:color w:val="auto"/>
        </w:rPr>
        <w:t>.</w:t>
      </w:r>
    </w:p>
    <w:p w:rsidR="00B84FB4" w:rsidRPr="00330641" w:rsidRDefault="00B84FB4" w:rsidP="000F58E0">
      <w:pPr>
        <w:spacing w:after="0" w:line="276" w:lineRule="auto"/>
        <w:ind w:left="0" w:right="0" w:firstLine="0"/>
        <w:rPr>
          <w:rFonts w:ascii="ITC Avant Garde" w:hAnsi="ITC Avant Garde"/>
          <w:color w:val="auto"/>
        </w:rPr>
      </w:pPr>
    </w:p>
    <w:p w:rsidR="00B84FB4" w:rsidRPr="00330641" w:rsidRDefault="004C67F4" w:rsidP="00EC3F16">
      <w:pPr>
        <w:spacing w:after="0" w:line="276" w:lineRule="auto"/>
        <w:ind w:left="0" w:right="0" w:firstLine="0"/>
        <w:rPr>
          <w:rFonts w:ascii="ITC Avant Garde" w:eastAsia="Times New Roman" w:hAnsi="ITC Avant Garde" w:cs="Times New Roman"/>
          <w:i/>
          <w:color w:val="auto"/>
          <w:sz w:val="18"/>
          <w:szCs w:val="18"/>
        </w:rPr>
      </w:pPr>
      <w:r w:rsidRPr="00330641">
        <w:rPr>
          <w:rFonts w:ascii="ITC Avant Garde" w:hAnsi="ITC Avant Garde"/>
          <w:color w:val="auto"/>
        </w:rPr>
        <w:t>Por lo que se refiere</w:t>
      </w:r>
      <w:r w:rsidR="00FE5A7A" w:rsidRPr="00330641">
        <w:rPr>
          <w:rFonts w:ascii="ITC Avant Garde" w:hAnsi="ITC Avant Garde"/>
          <w:color w:val="auto"/>
        </w:rPr>
        <w:t xml:space="preserve"> al inciso c</w:t>
      </w:r>
      <w:r w:rsidRPr="00330641">
        <w:rPr>
          <w:rFonts w:ascii="ITC Avant Garde" w:hAnsi="ITC Avant Garde"/>
          <w:color w:val="auto"/>
        </w:rPr>
        <w:t>)</w:t>
      </w:r>
      <w:r w:rsidR="00FE5A7A" w:rsidRPr="00330641">
        <w:rPr>
          <w:rFonts w:ascii="ITC Avant Garde" w:hAnsi="ITC Avant Garde"/>
          <w:color w:val="auto"/>
        </w:rPr>
        <w:t xml:space="preserve"> del</w:t>
      </w:r>
      <w:r w:rsidRPr="00330641">
        <w:rPr>
          <w:rFonts w:ascii="ITC Avant Garde" w:hAnsi="ITC Avant Garde"/>
          <w:color w:val="auto"/>
        </w:rPr>
        <w:t xml:space="preserve"> mismo</w:t>
      </w:r>
      <w:r w:rsidR="00FE5A7A" w:rsidRPr="00330641">
        <w:rPr>
          <w:rFonts w:ascii="ITC Avant Garde" w:hAnsi="ITC Avant Garde"/>
          <w:color w:val="auto"/>
        </w:rPr>
        <w:t xml:space="preserve"> apartado </w:t>
      </w:r>
      <w:r w:rsidR="00AF4619">
        <w:rPr>
          <w:rFonts w:ascii="ITC Avant Garde" w:hAnsi="ITC Avant Garde"/>
          <w:color w:val="auto"/>
        </w:rPr>
        <w:t>m</w:t>
      </w:r>
      <w:r w:rsidR="0012211F">
        <w:rPr>
          <w:rFonts w:ascii="ITC Avant Garde" w:hAnsi="ITC Avant Garde"/>
          <w:color w:val="auto"/>
        </w:rPr>
        <w:t>anifestó</w:t>
      </w:r>
      <w:r w:rsidR="00B84FB4" w:rsidRPr="00330641">
        <w:rPr>
          <w:rFonts w:ascii="ITC Avant Garde" w:hAnsi="ITC Avant Garde"/>
          <w:color w:val="auto"/>
        </w:rPr>
        <w:t xml:space="preserve"> que, a l</w:t>
      </w:r>
      <w:r w:rsidRPr="00330641">
        <w:rPr>
          <w:rFonts w:ascii="ITC Avant Garde" w:hAnsi="ITC Avant Garde"/>
          <w:color w:val="auto"/>
        </w:rPr>
        <w:t>a</w:t>
      </w:r>
      <w:r w:rsidR="00B84FB4" w:rsidRPr="00330641">
        <w:rPr>
          <w:rFonts w:ascii="ITC Avant Garde" w:hAnsi="ITC Avant Garde"/>
          <w:color w:val="auto"/>
        </w:rPr>
        <w:t>s</w:t>
      </w:r>
      <w:r w:rsidRPr="00330641">
        <w:rPr>
          <w:rFonts w:ascii="ITC Avant Garde" w:hAnsi="ITC Avant Garde"/>
          <w:color w:val="auto"/>
        </w:rPr>
        <w:t xml:space="preserve"> causas</w:t>
      </w:r>
      <w:r w:rsidR="00B84FB4" w:rsidRPr="00330641">
        <w:rPr>
          <w:rFonts w:ascii="ITC Avant Garde" w:hAnsi="ITC Avant Garde"/>
          <w:color w:val="auto"/>
        </w:rPr>
        <w:t xml:space="preserve"> imputables a terceros,</w:t>
      </w:r>
      <w:r w:rsidRPr="00330641">
        <w:rPr>
          <w:rFonts w:ascii="ITC Avant Garde" w:hAnsi="ITC Avant Garde"/>
          <w:color w:val="auto"/>
        </w:rPr>
        <w:t xml:space="preserve"> se debe incluir</w:t>
      </w:r>
      <w:r w:rsidR="00DE4C90" w:rsidRPr="00330641">
        <w:rPr>
          <w:rFonts w:ascii="ITC Avant Garde" w:hAnsi="ITC Avant Garde"/>
          <w:color w:val="auto"/>
        </w:rPr>
        <w:t xml:space="preserve"> que Telmex compruebe la causa del retraso, de lo cont</w:t>
      </w:r>
      <w:r w:rsidR="00330641">
        <w:rPr>
          <w:rFonts w:ascii="ITC Avant Garde" w:hAnsi="ITC Avant Garde"/>
          <w:color w:val="auto"/>
        </w:rPr>
        <w:t>rario no es posible comprobarlo.</w:t>
      </w:r>
    </w:p>
    <w:p w:rsidR="00B84FB4" w:rsidRPr="00330641" w:rsidRDefault="00B84FB4" w:rsidP="00B84FB4">
      <w:pPr>
        <w:spacing w:after="0" w:line="276" w:lineRule="auto"/>
        <w:ind w:left="0" w:right="0" w:firstLine="0"/>
        <w:rPr>
          <w:rFonts w:ascii="ITC Avant Garde" w:hAnsi="ITC Avant Garde"/>
          <w:b/>
          <w:color w:val="auto"/>
        </w:rPr>
      </w:pPr>
    </w:p>
    <w:p w:rsidR="00290A5B" w:rsidRPr="00330641" w:rsidRDefault="00F64AC2" w:rsidP="000F58E0">
      <w:pPr>
        <w:tabs>
          <w:tab w:val="left" w:pos="3015"/>
        </w:tabs>
        <w:spacing w:after="0" w:line="276" w:lineRule="auto"/>
        <w:ind w:left="0" w:right="0" w:firstLine="0"/>
        <w:rPr>
          <w:rFonts w:ascii="ITC Avant Garde" w:hAnsi="ITC Avant Garde"/>
          <w:b/>
          <w:color w:val="auto"/>
        </w:rPr>
      </w:pPr>
      <w:r w:rsidRPr="00330641">
        <w:rPr>
          <w:rFonts w:ascii="ITC Avant Garde" w:hAnsi="ITC Avant Garde"/>
          <w:b/>
          <w:color w:val="auto"/>
        </w:rPr>
        <w:t>AXTEL</w:t>
      </w:r>
      <w:r w:rsidR="00E1499B" w:rsidRPr="00330641">
        <w:rPr>
          <w:rFonts w:ascii="ITC Avant Garde" w:hAnsi="ITC Avant Garde"/>
          <w:b/>
          <w:color w:val="auto"/>
        </w:rPr>
        <w:t>:</w:t>
      </w:r>
    </w:p>
    <w:p w:rsidR="00F64AC2" w:rsidRPr="00330641" w:rsidRDefault="00AF4619" w:rsidP="000F58E0">
      <w:pPr>
        <w:tabs>
          <w:tab w:val="left" w:pos="3015"/>
        </w:tabs>
        <w:spacing w:after="0" w:line="276" w:lineRule="auto"/>
        <w:ind w:left="0" w:right="0" w:firstLine="0"/>
        <w:rPr>
          <w:rFonts w:ascii="ITC Avant Garde" w:hAnsi="ITC Avant Garde"/>
          <w:color w:val="auto"/>
        </w:rPr>
      </w:pPr>
      <w:r>
        <w:rPr>
          <w:rFonts w:ascii="ITC Avant Garde" w:hAnsi="ITC Avant Garde"/>
          <w:color w:val="auto"/>
        </w:rPr>
        <w:t>Solicitó</w:t>
      </w:r>
      <w:r w:rsidR="00475F4E" w:rsidRPr="00330641">
        <w:rPr>
          <w:rFonts w:ascii="ITC Avant Garde" w:hAnsi="ITC Avant Garde"/>
          <w:color w:val="auto"/>
        </w:rPr>
        <w:t xml:space="preserve"> al Instituto requerir </w:t>
      </w:r>
      <w:r w:rsidR="00F64AC2" w:rsidRPr="00330641">
        <w:rPr>
          <w:rFonts w:ascii="ITC Avant Garde" w:hAnsi="ITC Avant Garde"/>
          <w:color w:val="auto"/>
        </w:rPr>
        <w:t>al AEP para que, al momento en que informe al CS el requerimiento de acceso a los sitios incluya el nombre del personal que acudirá, así como la documentación básica requerida como son el INE/IFE, el documento emitido por el Sistema Único de Autodeterminación (SUA) y credencial de la empresa)</w:t>
      </w:r>
      <w:r w:rsidR="001D4F17" w:rsidRPr="00330641">
        <w:rPr>
          <w:rFonts w:ascii="ITC Avant Garde" w:hAnsi="ITC Avant Garde"/>
          <w:color w:val="auto"/>
        </w:rPr>
        <w:t>,</w:t>
      </w:r>
      <w:r w:rsidR="001D4F17" w:rsidRPr="00330641">
        <w:rPr>
          <w:rFonts w:ascii="ITC Avant Garde" w:hAnsi="ITC Avant Garde"/>
        </w:rPr>
        <w:t xml:space="preserve"> </w:t>
      </w:r>
      <w:r w:rsidR="001D4F17" w:rsidRPr="00330641">
        <w:rPr>
          <w:rFonts w:ascii="ITC Avant Garde" w:hAnsi="ITC Avant Garde"/>
          <w:color w:val="auto"/>
        </w:rPr>
        <w:t>en un tiempo máximo de 2 días hábiles</w:t>
      </w:r>
      <w:r w:rsidR="00475F4E" w:rsidRPr="00330641">
        <w:rPr>
          <w:rFonts w:ascii="ITC Avant Garde" w:hAnsi="ITC Avant Garde"/>
          <w:color w:val="auto"/>
        </w:rPr>
        <w:t xml:space="preserve">, los cuales deberán ser cargados al SEG </w:t>
      </w:r>
      <w:r w:rsidR="001D4F17" w:rsidRPr="00330641">
        <w:rPr>
          <w:rFonts w:ascii="ITC Avant Garde" w:hAnsi="ITC Avant Garde"/>
          <w:color w:val="auto"/>
        </w:rPr>
        <w:t>y en tanto se reali</w:t>
      </w:r>
      <w:r w:rsidR="00BB1291" w:rsidRPr="00330641">
        <w:rPr>
          <w:rFonts w:ascii="ITC Avant Garde" w:hAnsi="ITC Avant Garde"/>
          <w:color w:val="auto"/>
        </w:rPr>
        <w:t>cen</w:t>
      </w:r>
      <w:r w:rsidR="001D4F17" w:rsidRPr="00330641">
        <w:rPr>
          <w:rFonts w:ascii="ITC Avant Garde" w:hAnsi="ITC Avant Garde"/>
          <w:color w:val="auto"/>
        </w:rPr>
        <w:t xml:space="preserve"> las modificaciones al sistema dicha información deberá enviarse </w:t>
      </w:r>
      <w:r w:rsidR="00BB1291" w:rsidRPr="00330641">
        <w:rPr>
          <w:rFonts w:ascii="ITC Avant Garde" w:hAnsi="ITC Avant Garde"/>
          <w:color w:val="auto"/>
        </w:rPr>
        <w:t xml:space="preserve">vía </w:t>
      </w:r>
      <w:r w:rsidR="001D4F17" w:rsidRPr="00330641">
        <w:rPr>
          <w:rFonts w:ascii="ITC Avant Garde" w:hAnsi="ITC Avant Garde"/>
          <w:color w:val="auto"/>
        </w:rPr>
        <w:t>correo electrónico.</w:t>
      </w:r>
    </w:p>
    <w:p w:rsidR="00475F4E" w:rsidRPr="00330641" w:rsidRDefault="00475F4E" w:rsidP="000F58E0">
      <w:pPr>
        <w:tabs>
          <w:tab w:val="left" w:pos="3015"/>
        </w:tabs>
        <w:spacing w:after="0" w:line="276" w:lineRule="auto"/>
        <w:ind w:left="0" w:right="0" w:firstLine="0"/>
        <w:rPr>
          <w:rFonts w:ascii="ITC Avant Garde" w:hAnsi="ITC Avant Garde"/>
          <w:color w:val="auto"/>
        </w:rPr>
      </w:pPr>
    </w:p>
    <w:p w:rsidR="00E55135" w:rsidRPr="00330641" w:rsidRDefault="00AF4C02" w:rsidP="000F58E0">
      <w:pPr>
        <w:tabs>
          <w:tab w:val="left" w:pos="3015"/>
        </w:tabs>
        <w:spacing w:after="0" w:line="276" w:lineRule="auto"/>
        <w:ind w:left="0" w:right="0" w:firstLine="0"/>
        <w:rPr>
          <w:rFonts w:ascii="ITC Avant Garde" w:hAnsi="ITC Avant Garde"/>
          <w:b/>
          <w:color w:val="auto"/>
        </w:rPr>
      </w:pPr>
      <w:r w:rsidRPr="00330641">
        <w:rPr>
          <w:rFonts w:ascii="ITC Avant Garde" w:hAnsi="ITC Avant Garde" w:cs="Times New Roman"/>
          <w:b/>
          <w:color w:val="auto"/>
        </w:rPr>
        <w:t>Consideraciones del Instituto</w:t>
      </w:r>
      <w:r w:rsidR="005D2415" w:rsidRPr="00330641">
        <w:rPr>
          <w:rFonts w:ascii="ITC Avant Garde" w:hAnsi="ITC Avant Garde" w:cs="Times New Roman"/>
          <w:b/>
          <w:color w:val="auto"/>
        </w:rPr>
        <w:t>:</w:t>
      </w:r>
    </w:p>
    <w:p w:rsidR="00FB2524" w:rsidRPr="00E97FF5" w:rsidRDefault="00E55135" w:rsidP="00FB2524">
      <w:pPr>
        <w:tabs>
          <w:tab w:val="left" w:pos="3015"/>
        </w:tabs>
        <w:spacing w:after="0" w:line="276" w:lineRule="auto"/>
        <w:ind w:left="0" w:right="0" w:firstLine="0"/>
      </w:pPr>
      <w:r w:rsidRPr="00E97FF5">
        <w:rPr>
          <w:rFonts w:ascii="ITC Avant Garde" w:hAnsi="ITC Avant Garde"/>
          <w:color w:val="auto"/>
        </w:rPr>
        <w:t>Al respecto, la ORE</w:t>
      </w:r>
      <w:r w:rsidR="00607A90" w:rsidRPr="00E97FF5">
        <w:rPr>
          <w:rFonts w:ascii="ITC Avant Garde" w:hAnsi="ITC Avant Garde"/>
          <w:color w:val="auto"/>
        </w:rPr>
        <w:t xml:space="preserve"> DM </w:t>
      </w:r>
      <w:r w:rsidRPr="00E97FF5">
        <w:rPr>
          <w:rFonts w:ascii="ITC Avant Garde" w:hAnsi="ITC Avant Garde"/>
          <w:color w:val="auto"/>
        </w:rPr>
        <w:t>202</w:t>
      </w:r>
      <w:r w:rsidR="00607A90" w:rsidRPr="00E97FF5">
        <w:rPr>
          <w:rFonts w:ascii="ITC Avant Garde" w:hAnsi="ITC Avant Garde"/>
          <w:color w:val="auto"/>
        </w:rPr>
        <w:t>1</w:t>
      </w:r>
      <w:r w:rsidRPr="00E97FF5">
        <w:rPr>
          <w:rFonts w:ascii="ITC Avant Garde" w:hAnsi="ITC Avant Garde"/>
          <w:color w:val="auto"/>
        </w:rPr>
        <w:t xml:space="preserve"> contempla en su Anexo F </w:t>
      </w:r>
      <w:r w:rsidR="007E6A42" w:rsidRPr="00E97FF5">
        <w:rPr>
          <w:rFonts w:ascii="ITC Avant Garde" w:hAnsi="ITC Avant Garde"/>
          <w:color w:val="auto"/>
        </w:rPr>
        <w:t>“</w:t>
      </w:r>
      <w:r w:rsidR="00BC724C" w:rsidRPr="00E97FF5">
        <w:rPr>
          <w:rFonts w:ascii="ITC Avant Garde" w:hAnsi="ITC Avant Garde"/>
          <w:i/>
          <w:color w:val="auto"/>
        </w:rPr>
        <w:t>P</w:t>
      </w:r>
      <w:r w:rsidR="007E6A42" w:rsidRPr="00E97FF5">
        <w:rPr>
          <w:rFonts w:ascii="ITC Avant Garde" w:hAnsi="ITC Avant Garde"/>
          <w:i/>
          <w:color w:val="auto"/>
        </w:rPr>
        <w:t>rocedimiento de acceso a sitios</w:t>
      </w:r>
      <w:r w:rsidR="007E6A42" w:rsidRPr="00E97FF5">
        <w:rPr>
          <w:rFonts w:ascii="ITC Avant Garde" w:hAnsi="ITC Avant Garde"/>
          <w:color w:val="auto"/>
        </w:rPr>
        <w:t>”</w:t>
      </w:r>
      <w:r w:rsidR="00BC724C" w:rsidRPr="00E97FF5">
        <w:rPr>
          <w:rFonts w:ascii="ITC Avant Garde" w:hAnsi="ITC Avant Garde"/>
          <w:color w:val="auto"/>
        </w:rPr>
        <w:t xml:space="preserve"> numeral 1 “</w:t>
      </w:r>
      <w:r w:rsidR="00BC724C" w:rsidRPr="00E97FF5">
        <w:rPr>
          <w:rFonts w:ascii="ITC Avant Garde" w:hAnsi="ITC Avant Garde" w:cs="Arial"/>
          <w:b/>
          <w:bCs/>
          <w:i/>
        </w:rPr>
        <w:t>CONDICIONES GENERALES</w:t>
      </w:r>
      <w:r w:rsidR="00BC724C" w:rsidRPr="00E97FF5">
        <w:rPr>
          <w:rFonts w:ascii="ITC Avant Garde" w:hAnsi="ITC Avant Garde" w:cs="Arial"/>
          <w:b/>
          <w:bCs/>
        </w:rPr>
        <w:t>”</w:t>
      </w:r>
      <w:r w:rsidR="007E6A42" w:rsidRPr="00E97FF5">
        <w:rPr>
          <w:rFonts w:ascii="ITC Avant Garde" w:hAnsi="ITC Avant Garde"/>
          <w:color w:val="auto"/>
        </w:rPr>
        <w:t xml:space="preserve"> </w:t>
      </w:r>
      <w:r w:rsidRPr="00E97FF5">
        <w:rPr>
          <w:rFonts w:ascii="ITC Avant Garde" w:hAnsi="ITC Avant Garde"/>
          <w:color w:val="auto"/>
        </w:rPr>
        <w:t xml:space="preserve">el procedimiento de acceso a sitios, mismo que incluye </w:t>
      </w:r>
      <w:r w:rsidR="005F669E" w:rsidRPr="00E97FF5">
        <w:rPr>
          <w:rFonts w:ascii="ITC Avant Garde" w:hAnsi="ITC Avant Garde"/>
          <w:color w:val="auto"/>
        </w:rPr>
        <w:t>una serie</w:t>
      </w:r>
      <w:r w:rsidRPr="00E97FF5">
        <w:rPr>
          <w:rFonts w:ascii="ITC Avant Garde" w:hAnsi="ITC Avant Garde"/>
          <w:color w:val="auto"/>
        </w:rPr>
        <w:t xml:space="preserve"> de requisitos</w:t>
      </w:r>
      <w:r w:rsidR="00BC724C" w:rsidRPr="00E97FF5">
        <w:rPr>
          <w:rFonts w:ascii="ITC Avant Garde" w:hAnsi="ITC Avant Garde"/>
          <w:color w:val="auto"/>
        </w:rPr>
        <w:t xml:space="preserve"> mínimos</w:t>
      </w:r>
      <w:r w:rsidR="005B1F2F" w:rsidRPr="00E97FF5">
        <w:rPr>
          <w:rFonts w:ascii="ITC Avant Garde" w:hAnsi="ITC Avant Garde"/>
          <w:color w:val="auto"/>
        </w:rPr>
        <w:t xml:space="preserve"> que conforme a la práctica común de la industria</w:t>
      </w:r>
      <w:r w:rsidR="00FC340F">
        <w:rPr>
          <w:rFonts w:ascii="ITC Avant Garde" w:hAnsi="ITC Avant Garde"/>
          <w:color w:val="auto"/>
        </w:rPr>
        <w:t xml:space="preserve"> son necesarios </w:t>
      </w:r>
      <w:r w:rsidR="005B1F2F" w:rsidRPr="00E97FF5">
        <w:rPr>
          <w:rFonts w:ascii="ITC Avant Garde" w:hAnsi="ITC Avant Garde"/>
          <w:color w:val="auto"/>
        </w:rPr>
        <w:t xml:space="preserve">y </w:t>
      </w:r>
      <w:r w:rsidRPr="00E97FF5">
        <w:rPr>
          <w:rFonts w:ascii="ITC Avant Garde" w:hAnsi="ITC Avant Garde"/>
          <w:color w:val="auto"/>
        </w:rPr>
        <w:t>con los que debe cumplir el AEP para acceder a los sitios</w:t>
      </w:r>
      <w:r w:rsidR="007E6A42" w:rsidRPr="00E97FF5">
        <w:rPr>
          <w:rFonts w:ascii="ITC Avant Garde" w:hAnsi="ITC Avant Garde"/>
          <w:color w:val="auto"/>
        </w:rPr>
        <w:t xml:space="preserve">, </w:t>
      </w:r>
      <w:r w:rsidR="004F1E05" w:rsidRPr="00E97FF5">
        <w:rPr>
          <w:rFonts w:ascii="ITC Avant Garde" w:hAnsi="ITC Avant Garde"/>
          <w:color w:val="auto"/>
        </w:rPr>
        <w:t>en el</w:t>
      </w:r>
      <w:r w:rsidR="00FC340F">
        <w:rPr>
          <w:rFonts w:ascii="ITC Avant Garde" w:hAnsi="ITC Avant Garde"/>
          <w:color w:val="auto"/>
        </w:rPr>
        <w:t xml:space="preserve"> que </w:t>
      </w:r>
      <w:r w:rsidR="004F1E05" w:rsidRPr="00E97FF5">
        <w:rPr>
          <w:rFonts w:ascii="ITC Avant Garde" w:hAnsi="ITC Avant Garde"/>
          <w:color w:val="auto"/>
        </w:rPr>
        <w:t>ya se con</w:t>
      </w:r>
      <w:r w:rsidR="00FC340F">
        <w:rPr>
          <w:rFonts w:ascii="ITC Avant Garde" w:hAnsi="ITC Avant Garde"/>
          <w:color w:val="auto"/>
        </w:rPr>
        <w:t xml:space="preserve">sidera la obligación del personal de mostrar </w:t>
      </w:r>
      <w:r w:rsidR="004F1E05" w:rsidRPr="00E97FF5">
        <w:rPr>
          <w:rFonts w:ascii="ITC Avant Garde" w:hAnsi="ITC Avant Garde"/>
          <w:color w:val="auto"/>
        </w:rPr>
        <w:t xml:space="preserve">la identificación que lo </w:t>
      </w:r>
      <w:r w:rsidR="00FC340F">
        <w:rPr>
          <w:rFonts w:ascii="ITC Avant Garde" w:hAnsi="ITC Avant Garde"/>
          <w:color w:val="auto"/>
        </w:rPr>
        <w:t>acredite como trabajador de la c</w:t>
      </w:r>
      <w:r w:rsidR="004F1E05" w:rsidRPr="00E97FF5">
        <w:rPr>
          <w:rFonts w:ascii="ITC Avant Garde" w:hAnsi="ITC Avant Garde"/>
          <w:color w:val="auto"/>
        </w:rPr>
        <w:t xml:space="preserve">ompañía a la que pertenece, mediante credencial actualizada, así como una identificación oficial vigente. Además, </w:t>
      </w:r>
      <w:r w:rsidR="00BC724C" w:rsidRPr="00E97FF5">
        <w:rPr>
          <w:rFonts w:ascii="ITC Avant Garde" w:hAnsi="ITC Avant Garde"/>
          <w:color w:val="auto"/>
        </w:rPr>
        <w:t xml:space="preserve">los </w:t>
      </w:r>
      <w:r w:rsidR="00AC61EF" w:rsidRPr="00E97FF5">
        <w:rPr>
          <w:rFonts w:ascii="ITC Avant Garde" w:hAnsi="ITC Avant Garde"/>
          <w:color w:val="auto"/>
        </w:rPr>
        <w:t xml:space="preserve">CS o AS podrán establecer algún </w:t>
      </w:r>
      <w:r w:rsidR="00BC724C" w:rsidRPr="00E97FF5">
        <w:rPr>
          <w:rFonts w:ascii="ITC Avant Garde" w:hAnsi="ITC Avant Garde"/>
          <w:color w:val="auto"/>
        </w:rPr>
        <w:t xml:space="preserve">requisito adicional </w:t>
      </w:r>
      <w:r w:rsidR="00267945" w:rsidRPr="00E97FF5">
        <w:rPr>
          <w:rFonts w:ascii="ITC Avant Garde" w:hAnsi="ITC Avant Garde"/>
          <w:color w:val="auto"/>
        </w:rPr>
        <w:t>q</w:t>
      </w:r>
      <w:r w:rsidR="00666AD1" w:rsidRPr="00E97FF5">
        <w:rPr>
          <w:rFonts w:ascii="ITC Avant Garde" w:hAnsi="ITC Avant Garde"/>
          <w:color w:val="auto"/>
        </w:rPr>
        <w:t>ue sea</w:t>
      </w:r>
      <w:r w:rsidR="00AC61EF" w:rsidRPr="00E97FF5">
        <w:rPr>
          <w:rFonts w:ascii="ITC Avant Garde" w:hAnsi="ITC Avant Garde"/>
          <w:color w:val="auto"/>
        </w:rPr>
        <w:t xml:space="preserve"> indispensable.</w:t>
      </w:r>
    </w:p>
    <w:p w:rsidR="00666AD1" w:rsidRPr="00330641" w:rsidRDefault="00666AD1" w:rsidP="000F58E0">
      <w:pPr>
        <w:pStyle w:val="IFTnormal"/>
        <w:spacing w:after="0"/>
        <w:ind w:left="0"/>
      </w:pPr>
    </w:p>
    <w:p w:rsidR="005D2415" w:rsidRDefault="00E97FF5" w:rsidP="00E97FF5">
      <w:pPr>
        <w:pStyle w:val="IFTnormal"/>
        <w:spacing w:after="0"/>
        <w:ind w:left="0"/>
      </w:pPr>
      <w:r>
        <w:t xml:space="preserve">Por último, </w:t>
      </w:r>
      <w:r w:rsidR="00666AD1" w:rsidRPr="00330641">
        <w:t>respecto a lo señalado por</w:t>
      </w:r>
      <w:r w:rsidR="005D33F8" w:rsidRPr="00330641">
        <w:t xml:space="preserve"> Grupo</w:t>
      </w:r>
      <w:r w:rsidR="00666AD1" w:rsidRPr="00330641">
        <w:t xml:space="preserve"> AT&amp;T, </w:t>
      </w:r>
      <w:r w:rsidR="005D2415" w:rsidRPr="00330641">
        <w:t>cabe señalar que el numeral 2.4.3.1 de la ORE</w:t>
      </w:r>
      <w:r w:rsidR="00A567D2" w:rsidRPr="00330641">
        <w:t xml:space="preserve"> DM</w:t>
      </w:r>
      <w:r w:rsidR="005D2415" w:rsidRPr="00330641">
        <w:t xml:space="preserve"> 2020 establece </w:t>
      </w:r>
      <w:r>
        <w:t>q</w:t>
      </w:r>
      <w:r w:rsidRPr="00E97FF5">
        <w:t>ue</w:t>
      </w:r>
      <w:r w:rsidR="00E93D59">
        <w:t xml:space="preserve"> </w:t>
      </w:r>
      <w:r w:rsidR="00E93D59" w:rsidRPr="00E97FF5">
        <w:t>no se computarán los días de retraso atribuibles a</w:t>
      </w:r>
      <w:r w:rsidR="00E93D59">
        <w:t xml:space="preserve"> diversas causas</w:t>
      </w:r>
      <w:r w:rsidRPr="00E97FF5">
        <w:t xml:space="preserve"> p</w:t>
      </w:r>
      <w:r w:rsidR="005D2415" w:rsidRPr="00E97FF5">
        <w:t xml:space="preserve">ara la medición del cumplimento de los plazos de </w:t>
      </w:r>
      <w:r w:rsidR="005D2415" w:rsidRPr="00E97FF5">
        <w:lastRenderedPageBreak/>
        <w:t xml:space="preserve">entrega, </w:t>
      </w:r>
      <w:r w:rsidR="00E93D59">
        <w:t xml:space="preserve">una vez que </w:t>
      </w:r>
      <w:r w:rsidR="00FC340F">
        <w:t>Telmex</w:t>
      </w:r>
      <w:r w:rsidR="00A567D2" w:rsidRPr="00E97FF5" w:rsidDel="00A567D2">
        <w:t xml:space="preserve"> </w:t>
      </w:r>
      <w:r w:rsidR="00E93D59">
        <w:t>haya demostrado</w:t>
      </w:r>
      <w:r w:rsidR="005D2415" w:rsidRPr="00E97FF5">
        <w:t xml:space="preserve"> fehacientem</w:t>
      </w:r>
      <w:r w:rsidR="00E93D59">
        <w:t>ente el hecho del que se trate.</w:t>
      </w:r>
    </w:p>
    <w:p w:rsidR="005D2415" w:rsidRPr="00330641" w:rsidRDefault="005D2415" w:rsidP="000F58E0">
      <w:pPr>
        <w:pStyle w:val="IFTnormal"/>
        <w:spacing w:after="0"/>
        <w:ind w:left="0"/>
      </w:pPr>
    </w:p>
    <w:p w:rsidR="00CA442E" w:rsidRDefault="00CA442E" w:rsidP="000F58E0">
      <w:pPr>
        <w:pStyle w:val="IFTnormal"/>
        <w:spacing w:after="0"/>
        <w:ind w:left="0"/>
        <w:rPr>
          <w:rFonts w:cs="Arial"/>
          <w:color w:val="000000"/>
          <w:lang w:val="es-ES_tradnl"/>
        </w:rPr>
      </w:pPr>
      <w:r w:rsidRPr="00330641">
        <w:t xml:space="preserve">De lo </w:t>
      </w:r>
      <w:r w:rsidR="00F068B5">
        <w:t>cual</w:t>
      </w:r>
      <w:r w:rsidR="00D53DFB" w:rsidRPr="00330641">
        <w:rPr>
          <w:rFonts w:cs="Arial"/>
          <w:color w:val="000000"/>
        </w:rPr>
        <w:t>,</w:t>
      </w:r>
      <w:r w:rsidRPr="00330641">
        <w:rPr>
          <w:rFonts w:cs="Arial"/>
          <w:color w:val="000000"/>
        </w:rPr>
        <w:t xml:space="preserve"> </w:t>
      </w:r>
      <w:r w:rsidR="006D3F22">
        <w:rPr>
          <w:rFonts w:cs="Arial"/>
          <w:color w:val="000000"/>
        </w:rPr>
        <w:t xml:space="preserve">la Oferta ya considera que </w:t>
      </w:r>
      <w:r w:rsidR="00E93D59">
        <w:rPr>
          <w:rFonts w:cs="Arial"/>
          <w:color w:val="000000"/>
        </w:rPr>
        <w:t>se</w:t>
      </w:r>
      <w:r w:rsidR="00F068B5">
        <w:rPr>
          <w:rFonts w:cs="Arial"/>
          <w:color w:val="000000"/>
        </w:rPr>
        <w:t xml:space="preserve"> debe</w:t>
      </w:r>
      <w:r w:rsidR="005D2415" w:rsidRPr="00330641">
        <w:rPr>
          <w:rFonts w:cs="Arial"/>
          <w:color w:val="000000"/>
        </w:rPr>
        <w:t xml:space="preserve"> demostrar fehacientemente el hecho</w:t>
      </w:r>
      <w:r w:rsidR="00F068B5">
        <w:rPr>
          <w:rFonts w:cs="Arial"/>
          <w:color w:val="000000"/>
        </w:rPr>
        <w:t xml:space="preserve"> por el que se retrasará la entrega de servicios</w:t>
      </w:r>
      <w:r w:rsidR="003B79A8">
        <w:rPr>
          <w:rFonts w:cs="Arial"/>
          <w:color w:val="000000"/>
        </w:rPr>
        <w:t xml:space="preserve">. </w:t>
      </w:r>
    </w:p>
    <w:p w:rsidR="003B79A8" w:rsidRPr="00330641" w:rsidRDefault="003B79A8" w:rsidP="000F58E0">
      <w:pPr>
        <w:pStyle w:val="IFTnormal"/>
        <w:spacing w:after="0"/>
        <w:ind w:left="0"/>
        <w:rPr>
          <w:rFonts w:cs="Arial"/>
          <w:color w:val="000000"/>
          <w:lang w:val="es-ES_tradnl"/>
        </w:rPr>
      </w:pPr>
    </w:p>
    <w:p w:rsidR="0033160A" w:rsidRPr="00330641" w:rsidRDefault="0033160A" w:rsidP="000F58E0">
      <w:pPr>
        <w:pStyle w:val="IFTnormal"/>
        <w:spacing w:after="0"/>
        <w:ind w:left="0"/>
        <w:rPr>
          <w:rFonts w:eastAsiaTheme="majorEastAsia"/>
          <w:u w:val="single"/>
        </w:rPr>
      </w:pPr>
      <w:r w:rsidRPr="00330641">
        <w:rPr>
          <w:rFonts w:eastAsiaTheme="majorEastAsia"/>
          <w:b/>
          <w:u w:val="single"/>
        </w:rPr>
        <w:t>2.4.3.3</w:t>
      </w:r>
      <w:r w:rsidR="00376A5D" w:rsidRPr="00330641">
        <w:rPr>
          <w:rFonts w:eastAsiaTheme="majorEastAsia"/>
          <w:b/>
          <w:u w:val="single"/>
        </w:rPr>
        <w:t>.</w:t>
      </w:r>
    </w:p>
    <w:p w:rsidR="0033160A" w:rsidRPr="00330641" w:rsidRDefault="0033160A" w:rsidP="000F58E0">
      <w:pPr>
        <w:tabs>
          <w:tab w:val="left" w:pos="3015"/>
        </w:tabs>
        <w:spacing w:after="0" w:line="276" w:lineRule="auto"/>
        <w:ind w:left="0" w:right="0" w:firstLine="0"/>
        <w:rPr>
          <w:rFonts w:ascii="ITC Avant Garde" w:hAnsi="ITC Avant Garde"/>
          <w:b/>
          <w:color w:val="auto"/>
        </w:rPr>
      </w:pPr>
      <w:r w:rsidRPr="00330641">
        <w:rPr>
          <w:rFonts w:ascii="ITC Avant Garde" w:hAnsi="ITC Avant Garde"/>
          <w:b/>
          <w:color w:val="auto"/>
        </w:rPr>
        <w:t>AXTEL</w:t>
      </w:r>
      <w:r w:rsidR="006E3E3B" w:rsidRPr="00330641">
        <w:rPr>
          <w:rFonts w:ascii="ITC Avant Garde" w:hAnsi="ITC Avant Garde"/>
          <w:b/>
          <w:color w:val="auto"/>
        </w:rPr>
        <w:t>:</w:t>
      </w:r>
    </w:p>
    <w:p w:rsidR="0033160A" w:rsidRPr="00330641" w:rsidRDefault="00AF4619" w:rsidP="000F58E0">
      <w:pPr>
        <w:tabs>
          <w:tab w:val="left" w:pos="3015"/>
        </w:tabs>
        <w:spacing w:after="0" w:line="276" w:lineRule="auto"/>
        <w:ind w:left="0" w:right="0" w:firstLine="0"/>
        <w:rPr>
          <w:rFonts w:ascii="ITC Avant Garde" w:hAnsi="ITC Avant Garde"/>
          <w:color w:val="auto"/>
        </w:rPr>
      </w:pPr>
      <w:r>
        <w:rPr>
          <w:rFonts w:ascii="ITC Avant Garde" w:hAnsi="ITC Avant Garde"/>
          <w:color w:val="auto"/>
        </w:rPr>
        <w:t>Solicitó</w:t>
      </w:r>
      <w:r w:rsidR="0033160A" w:rsidRPr="00330641">
        <w:rPr>
          <w:rFonts w:ascii="ITC Avant Garde" w:hAnsi="ITC Avant Garde"/>
          <w:color w:val="auto"/>
        </w:rPr>
        <w:t xml:space="preserve"> al </w:t>
      </w:r>
      <w:r w:rsidR="007D3F39" w:rsidRPr="00330641">
        <w:rPr>
          <w:rFonts w:ascii="ITC Avant Garde" w:hAnsi="ITC Avant Garde"/>
          <w:color w:val="auto"/>
        </w:rPr>
        <w:t xml:space="preserve">Instituto </w:t>
      </w:r>
      <w:r w:rsidR="0033160A" w:rsidRPr="00330641">
        <w:rPr>
          <w:rFonts w:ascii="ITC Avant Garde" w:hAnsi="ITC Avant Garde"/>
          <w:color w:val="auto"/>
        </w:rPr>
        <w:t xml:space="preserve">asegurar que el AEP no establezca como obligatorio la notificación del CS al AEP en cuanto a </w:t>
      </w:r>
      <w:r w:rsidR="00A5409C">
        <w:rPr>
          <w:rFonts w:ascii="ITC Avant Garde" w:hAnsi="ITC Avant Garde"/>
          <w:color w:val="auto"/>
        </w:rPr>
        <w:t xml:space="preserve">tener </w:t>
      </w:r>
      <w:r w:rsidR="0033160A" w:rsidRPr="00330641">
        <w:rPr>
          <w:rFonts w:ascii="ITC Avant Garde" w:hAnsi="ITC Avant Garde"/>
          <w:color w:val="auto"/>
        </w:rPr>
        <w:t>listos los insumos y/o adecuaciones</w:t>
      </w:r>
      <w:r w:rsidR="006E3E3B" w:rsidRPr="00330641">
        <w:rPr>
          <w:rFonts w:ascii="ITC Avant Garde" w:hAnsi="ITC Avant Garde"/>
          <w:color w:val="auto"/>
        </w:rPr>
        <w:t xml:space="preserve"> a los que alude el numeral 2.4.3.3</w:t>
      </w:r>
      <w:r w:rsidR="0033160A" w:rsidRPr="00330641">
        <w:rPr>
          <w:rFonts w:ascii="ITC Avant Garde" w:hAnsi="ITC Avant Garde"/>
          <w:color w:val="auto"/>
        </w:rPr>
        <w:t>,</w:t>
      </w:r>
      <w:r w:rsidR="00376A5D" w:rsidRPr="00330641">
        <w:rPr>
          <w:rFonts w:ascii="ITC Avant Garde" w:hAnsi="ITC Avant Garde"/>
          <w:color w:val="auto"/>
        </w:rPr>
        <w:t xml:space="preserve"> </w:t>
      </w:r>
      <w:r>
        <w:rPr>
          <w:rFonts w:ascii="ITC Avant Garde" w:hAnsi="ITC Avant Garde"/>
          <w:color w:val="auto"/>
        </w:rPr>
        <w:t>mencionó</w:t>
      </w:r>
      <w:r w:rsidR="00376A5D" w:rsidRPr="00330641">
        <w:rPr>
          <w:rFonts w:ascii="ITC Avant Garde" w:hAnsi="ITC Avant Garde"/>
          <w:color w:val="auto"/>
        </w:rPr>
        <w:t xml:space="preserve"> que</w:t>
      </w:r>
      <w:r w:rsidR="0033160A" w:rsidRPr="00330641">
        <w:rPr>
          <w:rFonts w:ascii="ITC Avant Garde" w:hAnsi="ITC Avant Garde"/>
          <w:color w:val="auto"/>
        </w:rPr>
        <w:t xml:space="preserve"> en la mayoría de los casos no se requieren y esta notificación estaría generando un paro de reloj innecesario. Sólo se debe de considerar en caso de que el AEP, al intentar la entrega del servicio, no se encuentren disponibles estos insumos o adecuaciones.</w:t>
      </w:r>
    </w:p>
    <w:p w:rsidR="0033160A" w:rsidRPr="00330641" w:rsidRDefault="0033160A" w:rsidP="000F58E0">
      <w:pPr>
        <w:tabs>
          <w:tab w:val="left" w:pos="3015"/>
        </w:tabs>
        <w:spacing w:after="0" w:line="276" w:lineRule="auto"/>
        <w:ind w:left="0" w:right="0" w:firstLine="0"/>
        <w:rPr>
          <w:rFonts w:ascii="ITC Avant Garde" w:hAnsi="ITC Avant Garde"/>
          <w:color w:val="auto"/>
        </w:rPr>
      </w:pPr>
    </w:p>
    <w:p w:rsidR="00647BC5" w:rsidRPr="00330641" w:rsidRDefault="00647BC5" w:rsidP="000F58E0">
      <w:pPr>
        <w:tabs>
          <w:tab w:val="left" w:pos="3015"/>
        </w:tabs>
        <w:spacing w:after="0" w:line="276" w:lineRule="auto"/>
        <w:ind w:left="0" w:right="0" w:firstLine="0"/>
        <w:rPr>
          <w:rFonts w:ascii="ITC Avant Garde" w:hAnsi="ITC Avant Garde"/>
          <w:b/>
          <w:color w:val="auto"/>
        </w:rPr>
      </w:pPr>
      <w:r w:rsidRPr="00330641">
        <w:rPr>
          <w:rFonts w:ascii="ITC Avant Garde" w:hAnsi="ITC Avant Garde"/>
          <w:b/>
          <w:color w:val="auto"/>
        </w:rPr>
        <w:t>Consideraciones del Instituto</w:t>
      </w:r>
      <w:r w:rsidR="006E3E3B" w:rsidRPr="00330641">
        <w:rPr>
          <w:rFonts w:ascii="ITC Avant Garde" w:hAnsi="ITC Avant Garde"/>
          <w:b/>
          <w:color w:val="auto"/>
        </w:rPr>
        <w:t>:</w:t>
      </w:r>
    </w:p>
    <w:p w:rsidR="006E3E3B" w:rsidRDefault="0037308F" w:rsidP="000F58E0">
      <w:pPr>
        <w:tabs>
          <w:tab w:val="left" w:pos="3015"/>
        </w:tabs>
        <w:spacing w:after="0" w:line="276" w:lineRule="auto"/>
        <w:ind w:left="0" w:right="0" w:firstLine="0"/>
        <w:rPr>
          <w:rFonts w:ascii="ITC Avant Garde" w:hAnsi="ITC Avant Garde"/>
          <w:color w:val="auto"/>
        </w:rPr>
      </w:pPr>
      <w:r>
        <w:rPr>
          <w:rFonts w:ascii="ITC Avant Garde" w:hAnsi="ITC Avant Garde"/>
          <w:color w:val="auto"/>
        </w:rPr>
        <w:t xml:space="preserve">En caso de no ser necesarios los insumos que se señalan en el Anexo E no </w:t>
      </w:r>
      <w:r w:rsidR="00CC447A">
        <w:rPr>
          <w:rFonts w:ascii="ITC Avant Garde" w:hAnsi="ITC Avant Garde"/>
          <w:color w:val="auto"/>
        </w:rPr>
        <w:t>supondrá un paro de reloj.</w:t>
      </w:r>
    </w:p>
    <w:p w:rsidR="0037308F" w:rsidRPr="00330641" w:rsidRDefault="0037308F" w:rsidP="000F58E0">
      <w:pPr>
        <w:tabs>
          <w:tab w:val="left" w:pos="3015"/>
        </w:tabs>
        <w:spacing w:after="0" w:line="276" w:lineRule="auto"/>
        <w:ind w:left="0" w:right="0" w:firstLine="0"/>
        <w:rPr>
          <w:rFonts w:ascii="ITC Avant Garde" w:hAnsi="ITC Avant Garde"/>
          <w:color w:val="auto"/>
        </w:rPr>
      </w:pPr>
    </w:p>
    <w:p w:rsidR="00291CC9" w:rsidRPr="00330641" w:rsidRDefault="00291CC9" w:rsidP="000F58E0">
      <w:pPr>
        <w:pStyle w:val="IFTnormal"/>
        <w:spacing w:after="0"/>
        <w:ind w:left="0"/>
        <w:rPr>
          <w:rFonts w:eastAsiaTheme="majorEastAsia"/>
          <w:u w:val="single"/>
        </w:rPr>
      </w:pPr>
      <w:r w:rsidRPr="00330641">
        <w:rPr>
          <w:rFonts w:eastAsiaTheme="majorEastAsia"/>
          <w:b/>
          <w:u w:val="single"/>
        </w:rPr>
        <w:t>2.4.3.4</w:t>
      </w:r>
      <w:r w:rsidR="00376A5D" w:rsidRPr="00330641">
        <w:rPr>
          <w:rFonts w:eastAsiaTheme="majorEastAsia"/>
          <w:b/>
          <w:u w:val="single"/>
        </w:rPr>
        <w:t>.</w:t>
      </w:r>
    </w:p>
    <w:p w:rsidR="002D4096" w:rsidRPr="00330641" w:rsidRDefault="00CD7852" w:rsidP="000F58E0">
      <w:pPr>
        <w:pStyle w:val="IFTnormal"/>
        <w:spacing w:after="0"/>
        <w:ind w:left="0"/>
        <w:rPr>
          <w:rFonts w:eastAsiaTheme="majorEastAsia"/>
          <w:b/>
        </w:rPr>
      </w:pPr>
      <w:r w:rsidRPr="00330641">
        <w:rPr>
          <w:rFonts w:eastAsiaTheme="majorEastAsia"/>
          <w:b/>
        </w:rPr>
        <w:t>GRUPO AT&amp;T</w:t>
      </w:r>
      <w:r w:rsidR="00267CF7" w:rsidRPr="00330641">
        <w:rPr>
          <w:rFonts w:eastAsiaTheme="majorEastAsia"/>
          <w:b/>
        </w:rPr>
        <w:t>:</w:t>
      </w:r>
      <w:r w:rsidR="00BC7F43" w:rsidRPr="00330641">
        <w:rPr>
          <w:rFonts w:eastAsiaTheme="majorEastAsia"/>
          <w:b/>
        </w:rPr>
        <w:t xml:space="preserve"> </w:t>
      </w:r>
    </w:p>
    <w:p w:rsidR="00291C0D" w:rsidRPr="00330641" w:rsidRDefault="001C1FB7" w:rsidP="000F58E0">
      <w:pPr>
        <w:pStyle w:val="IFTnormal"/>
        <w:spacing w:after="0"/>
        <w:ind w:left="0"/>
      </w:pPr>
      <w:r w:rsidRPr="00330641">
        <w:rPr>
          <w:rFonts w:eastAsia="Avant Garde" w:cs="Avant Garde"/>
          <w:lang w:val="es-MX"/>
        </w:rPr>
        <w:t>S</w:t>
      </w:r>
      <w:r w:rsidR="00AF4619">
        <w:rPr>
          <w:rFonts w:eastAsia="Avant Garde" w:cs="Avant Garde"/>
          <w:lang w:val="es-MX"/>
        </w:rPr>
        <w:t>ugirió</w:t>
      </w:r>
      <w:r w:rsidR="006D31B2" w:rsidRPr="00330641">
        <w:rPr>
          <w:rFonts w:eastAsia="Avant Garde" w:cs="Avant Garde"/>
          <w:lang w:val="es-MX"/>
        </w:rPr>
        <w:t xml:space="preserve"> </w:t>
      </w:r>
      <w:r w:rsidR="007D3F39" w:rsidRPr="00330641">
        <w:rPr>
          <w:rFonts w:eastAsia="Avant Garde" w:cs="Avant Garde"/>
          <w:lang w:val="es-MX"/>
        </w:rPr>
        <w:t>actualizar el tiempo requerido para coordinar las pruebas en sitios remotos</w:t>
      </w:r>
      <w:r w:rsidR="00B329CF" w:rsidRPr="00330641">
        <w:rPr>
          <w:rFonts w:eastAsia="Avant Garde" w:cs="Avant Garde"/>
          <w:lang w:val="es-MX"/>
        </w:rPr>
        <w:t xml:space="preserve"> en un plazo de 5 (cinco) días hábiles y no en plazo de 2 (dos) días hábiles como lo sugiere la </w:t>
      </w:r>
      <w:r w:rsidR="00082F8A" w:rsidRPr="00330641">
        <w:rPr>
          <w:rFonts w:eastAsia="Avant Garde" w:cs="Avant Garde"/>
          <w:lang w:val="es-MX"/>
        </w:rPr>
        <w:t>oferta propuesta</w:t>
      </w:r>
      <w:r w:rsidRPr="00330641">
        <w:rPr>
          <w:rFonts w:eastAsia="Avant Garde" w:cs="Avant Garde"/>
          <w:lang w:val="es-MX"/>
        </w:rPr>
        <w:t>.</w:t>
      </w:r>
    </w:p>
    <w:p w:rsidR="001C1FB7" w:rsidRPr="00330641" w:rsidRDefault="001C1FB7" w:rsidP="000F58E0">
      <w:pPr>
        <w:pStyle w:val="IFTnormal"/>
        <w:spacing w:after="0"/>
        <w:ind w:left="0"/>
      </w:pPr>
    </w:p>
    <w:p w:rsidR="0031628D" w:rsidRPr="00330641" w:rsidRDefault="0031628D" w:rsidP="000F58E0">
      <w:pPr>
        <w:spacing w:after="0" w:line="276" w:lineRule="auto"/>
        <w:ind w:left="0" w:right="0" w:firstLine="0"/>
        <w:rPr>
          <w:rFonts w:ascii="ITC Avant Garde" w:hAnsi="ITC Avant Garde" w:cs="Times New Roman"/>
          <w:b/>
          <w:color w:val="auto"/>
        </w:rPr>
      </w:pPr>
      <w:r w:rsidRPr="00330641">
        <w:rPr>
          <w:rFonts w:ascii="ITC Avant Garde" w:hAnsi="ITC Avant Garde" w:cs="Times New Roman"/>
          <w:b/>
          <w:color w:val="auto"/>
        </w:rPr>
        <w:t>Consideraciones del Instituto</w:t>
      </w:r>
      <w:r w:rsidR="00267CF7" w:rsidRPr="00330641">
        <w:rPr>
          <w:rFonts w:ascii="ITC Avant Garde" w:hAnsi="ITC Avant Garde" w:cs="Times New Roman"/>
          <w:b/>
          <w:color w:val="auto"/>
        </w:rPr>
        <w:t>:</w:t>
      </w:r>
    </w:p>
    <w:p w:rsidR="00F114A0" w:rsidRPr="00330641" w:rsidRDefault="00A5409C" w:rsidP="000F58E0">
      <w:pPr>
        <w:autoSpaceDE w:val="0"/>
        <w:autoSpaceDN w:val="0"/>
        <w:adjustRightInd w:val="0"/>
        <w:spacing w:line="276" w:lineRule="auto"/>
        <w:rPr>
          <w:rFonts w:ascii="ITC Avant Garde" w:hAnsi="ITC Avant Garde"/>
        </w:rPr>
      </w:pPr>
      <w:r>
        <w:rPr>
          <w:rFonts w:ascii="ITC Avant Garde" w:hAnsi="ITC Avant Garde"/>
        </w:rPr>
        <w:t>E</w:t>
      </w:r>
      <w:r w:rsidR="003A666C" w:rsidRPr="00330641">
        <w:rPr>
          <w:rFonts w:ascii="ITC Avant Garde" w:hAnsi="ITC Avant Garde"/>
        </w:rPr>
        <w:t xml:space="preserve">l plazo establecido en la ORE </w:t>
      </w:r>
      <w:r w:rsidR="00C6593D" w:rsidRPr="00330641">
        <w:rPr>
          <w:rFonts w:ascii="ITC Avant Garde" w:hAnsi="ITC Avant Garde"/>
        </w:rPr>
        <w:t xml:space="preserve">DM 2020 </w:t>
      </w:r>
      <w:r w:rsidR="00BF709C">
        <w:rPr>
          <w:rFonts w:ascii="ITC Avant Garde" w:hAnsi="ITC Avant Garde"/>
        </w:rPr>
        <w:t xml:space="preserve">es </w:t>
      </w:r>
      <w:r w:rsidR="003A666C" w:rsidRPr="00330641">
        <w:rPr>
          <w:rFonts w:ascii="ITC Avant Garde" w:hAnsi="ITC Avant Garde"/>
        </w:rPr>
        <w:t xml:space="preserve">de 2 (dos) </w:t>
      </w:r>
      <w:r w:rsidR="00566E21" w:rsidRPr="00330641">
        <w:rPr>
          <w:rFonts w:ascii="ITC Avant Garde" w:hAnsi="ITC Avant Garde"/>
        </w:rPr>
        <w:t>días hábiles</w:t>
      </w:r>
      <w:r w:rsidR="00267CF7" w:rsidRPr="00330641">
        <w:rPr>
          <w:rFonts w:ascii="ITC Avant Garde" w:hAnsi="ITC Avant Garde"/>
        </w:rPr>
        <w:t xml:space="preserve"> a efecto de no retrasar la entrega del enlace</w:t>
      </w:r>
      <w:r>
        <w:rPr>
          <w:rFonts w:ascii="ITC Avant Garde" w:hAnsi="ITC Avant Garde"/>
        </w:rPr>
        <w:t xml:space="preserve">, </w:t>
      </w:r>
      <w:r w:rsidR="00BF709C">
        <w:rPr>
          <w:rFonts w:ascii="ITC Avant Garde" w:hAnsi="ITC Avant Garde"/>
        </w:rPr>
        <w:t xml:space="preserve">y no se identifican </w:t>
      </w:r>
      <w:r>
        <w:rPr>
          <w:rFonts w:ascii="ITC Avant Garde" w:hAnsi="ITC Avant Garde"/>
        </w:rPr>
        <w:t xml:space="preserve">elementos que </w:t>
      </w:r>
      <w:r w:rsidR="00BF709C">
        <w:rPr>
          <w:rFonts w:ascii="ITC Avant Garde" w:hAnsi="ITC Avant Garde"/>
        </w:rPr>
        <w:t>justifiquen</w:t>
      </w:r>
      <w:r>
        <w:rPr>
          <w:rFonts w:ascii="ITC Avant Garde" w:hAnsi="ITC Avant Garde"/>
        </w:rPr>
        <w:t xml:space="preserve"> la necesidad de ampliar dicho plazo.</w:t>
      </w:r>
    </w:p>
    <w:p w:rsidR="008B574B" w:rsidRPr="00330641" w:rsidRDefault="008B574B" w:rsidP="000F58E0">
      <w:pPr>
        <w:pStyle w:val="IFTnormal"/>
        <w:spacing w:after="0"/>
        <w:ind w:left="0"/>
      </w:pPr>
    </w:p>
    <w:p w:rsidR="00DA60CB" w:rsidRPr="00330641" w:rsidRDefault="00DA60CB" w:rsidP="000F58E0">
      <w:pPr>
        <w:pStyle w:val="IFTnormal"/>
        <w:spacing w:after="0"/>
        <w:ind w:left="0"/>
        <w:rPr>
          <w:rFonts w:eastAsiaTheme="majorEastAsia"/>
          <w:b/>
          <w:u w:val="single"/>
        </w:rPr>
      </w:pPr>
      <w:r w:rsidRPr="00330641">
        <w:rPr>
          <w:rFonts w:eastAsiaTheme="majorEastAsia"/>
          <w:b/>
          <w:u w:val="single"/>
        </w:rPr>
        <w:t>2.4.3.5</w:t>
      </w:r>
      <w:r w:rsidR="00376A5D" w:rsidRPr="00330641">
        <w:rPr>
          <w:rFonts w:eastAsiaTheme="majorEastAsia"/>
          <w:b/>
          <w:u w:val="single"/>
        </w:rPr>
        <w:t>.</w:t>
      </w:r>
    </w:p>
    <w:p w:rsidR="00F54B4A" w:rsidRPr="00330641" w:rsidRDefault="00F54B4A" w:rsidP="000F58E0">
      <w:pPr>
        <w:spacing w:after="0" w:line="276" w:lineRule="auto"/>
        <w:ind w:left="0" w:right="0" w:firstLine="0"/>
        <w:rPr>
          <w:rFonts w:ascii="ITC Avant Garde" w:hAnsi="ITC Avant Garde"/>
          <w:color w:val="auto"/>
        </w:rPr>
      </w:pPr>
      <w:r w:rsidRPr="00330641">
        <w:rPr>
          <w:rFonts w:ascii="ITC Avant Garde" w:hAnsi="ITC Avant Garde"/>
          <w:color w:val="auto"/>
        </w:rPr>
        <w:t xml:space="preserve">Grupo AT&amp;T </w:t>
      </w:r>
      <w:r w:rsidR="00AF4619">
        <w:rPr>
          <w:rFonts w:ascii="ITC Avant Garde" w:hAnsi="ITC Avant Garde"/>
          <w:color w:val="auto"/>
        </w:rPr>
        <w:t>s</w:t>
      </w:r>
      <w:r w:rsidR="0012211F">
        <w:rPr>
          <w:rFonts w:ascii="ITC Avant Garde" w:hAnsi="ITC Avant Garde"/>
          <w:color w:val="auto"/>
        </w:rPr>
        <w:t>eñaló</w:t>
      </w:r>
      <w:r w:rsidRPr="00330641">
        <w:rPr>
          <w:rFonts w:ascii="ITC Avant Garde" w:hAnsi="ITC Avant Garde"/>
          <w:color w:val="auto"/>
        </w:rPr>
        <w:t xml:space="preserve"> que con respecto a </w:t>
      </w:r>
      <w:r w:rsidR="00562B79">
        <w:rPr>
          <w:rFonts w:ascii="ITC Avant Garde" w:hAnsi="ITC Avant Garde"/>
          <w:color w:val="auto"/>
        </w:rPr>
        <w:t xml:space="preserve">que </w:t>
      </w:r>
      <w:r w:rsidRPr="00330641">
        <w:rPr>
          <w:rFonts w:ascii="ITC Avant Garde" w:hAnsi="ITC Avant Garde"/>
          <w:color w:val="auto"/>
        </w:rPr>
        <w:t>los Enlaces que excedan un 20% o más de los pronosticados, que serán instalados en un plazo definido por mutuo acuerdo bajo esquema fecha compromiso (</w:t>
      </w:r>
      <w:proofErr w:type="spellStart"/>
      <w:r w:rsidRPr="00330641">
        <w:rPr>
          <w:rFonts w:ascii="ITC Avant Garde" w:hAnsi="ITC Avant Garde"/>
          <w:color w:val="auto"/>
        </w:rPr>
        <w:t>Due</w:t>
      </w:r>
      <w:proofErr w:type="spellEnd"/>
      <w:r w:rsidRPr="00330641">
        <w:rPr>
          <w:rFonts w:ascii="ITC Avant Garde" w:hAnsi="ITC Avant Garde"/>
          <w:color w:val="auto"/>
        </w:rPr>
        <w:t xml:space="preserve"> Date), resulta extremadamente difícil entregar el pronóstico preciso de las necesidades de enlaces con un año de anticipación y aceptando la dificultad que esto genera a Telmex</w:t>
      </w:r>
      <w:r w:rsidR="005D33F8" w:rsidRPr="00330641">
        <w:rPr>
          <w:rFonts w:ascii="ITC Avant Garde" w:hAnsi="ITC Avant Garde"/>
          <w:color w:val="auto"/>
        </w:rPr>
        <w:t>.</w:t>
      </w:r>
      <w:r w:rsidR="00602350">
        <w:rPr>
          <w:rFonts w:ascii="ITC Avant Garde" w:hAnsi="ITC Avant Garde"/>
          <w:color w:val="auto"/>
        </w:rPr>
        <w:t xml:space="preserve"> Asimismo,</w:t>
      </w:r>
      <w:r w:rsidRPr="00330641">
        <w:rPr>
          <w:rFonts w:ascii="ITC Avant Garde" w:hAnsi="ITC Avant Garde"/>
          <w:color w:val="auto"/>
        </w:rPr>
        <w:t xml:space="preserve"> </w:t>
      </w:r>
      <w:r w:rsidR="00602350">
        <w:rPr>
          <w:rFonts w:ascii="ITC Avant Garde" w:hAnsi="ITC Avant Garde"/>
          <w:color w:val="auto"/>
        </w:rPr>
        <w:t>solicitó</w:t>
      </w:r>
      <w:r w:rsidRPr="00330641">
        <w:rPr>
          <w:rFonts w:ascii="ITC Avant Garde" w:hAnsi="ITC Avant Garde"/>
          <w:color w:val="auto"/>
        </w:rPr>
        <w:t xml:space="preserve"> establecer que tratándose de Enlaces Ethernet no podrá exceder de 90 días </w:t>
      </w:r>
      <w:r w:rsidR="00E662C7" w:rsidRPr="00330641">
        <w:rPr>
          <w:rFonts w:ascii="ITC Avant Garde" w:hAnsi="ITC Avant Garde"/>
          <w:color w:val="auto"/>
        </w:rPr>
        <w:t>hábiles.</w:t>
      </w:r>
    </w:p>
    <w:p w:rsidR="00291C0D" w:rsidRPr="00330641" w:rsidRDefault="00291C0D" w:rsidP="000F58E0">
      <w:pPr>
        <w:spacing w:after="0" w:line="276" w:lineRule="auto"/>
        <w:ind w:left="0" w:right="0" w:firstLine="0"/>
        <w:rPr>
          <w:rFonts w:ascii="ITC Avant Garde" w:hAnsi="ITC Avant Garde"/>
          <w:color w:val="auto"/>
        </w:rPr>
      </w:pPr>
    </w:p>
    <w:p w:rsidR="00D05148" w:rsidRPr="00330641" w:rsidRDefault="0033160A" w:rsidP="000F58E0">
      <w:pPr>
        <w:spacing w:after="0" w:line="276" w:lineRule="auto"/>
        <w:ind w:left="0" w:right="0" w:firstLine="0"/>
        <w:rPr>
          <w:rFonts w:ascii="ITC Avant Garde" w:hAnsi="ITC Avant Garde"/>
          <w:b/>
          <w:color w:val="auto"/>
        </w:rPr>
      </w:pPr>
      <w:r w:rsidRPr="00330641">
        <w:rPr>
          <w:rFonts w:ascii="ITC Avant Garde" w:hAnsi="ITC Avant Garde"/>
          <w:b/>
          <w:color w:val="auto"/>
        </w:rPr>
        <w:t>AXTEL</w:t>
      </w:r>
      <w:r w:rsidR="00F114A0" w:rsidRPr="00330641">
        <w:rPr>
          <w:rFonts w:ascii="ITC Avant Garde" w:hAnsi="ITC Avant Garde"/>
          <w:b/>
          <w:color w:val="auto"/>
        </w:rPr>
        <w:t>:</w:t>
      </w:r>
    </w:p>
    <w:p w:rsidR="0033160A" w:rsidRPr="00330641" w:rsidRDefault="00291C0D" w:rsidP="000F58E0">
      <w:pPr>
        <w:spacing w:after="0" w:line="276" w:lineRule="auto"/>
        <w:ind w:left="0" w:right="0" w:firstLine="0"/>
        <w:rPr>
          <w:rFonts w:ascii="ITC Avant Garde" w:hAnsi="ITC Avant Garde"/>
          <w:color w:val="auto"/>
        </w:rPr>
      </w:pPr>
      <w:r w:rsidRPr="00330641">
        <w:rPr>
          <w:rFonts w:ascii="ITC Avant Garde" w:hAnsi="ITC Avant Garde"/>
          <w:color w:val="auto"/>
        </w:rPr>
        <w:lastRenderedPageBreak/>
        <w:t>S</w:t>
      </w:r>
      <w:r w:rsidR="00AF4619">
        <w:rPr>
          <w:rFonts w:ascii="ITC Avant Garde" w:hAnsi="ITC Avant Garde"/>
          <w:color w:val="auto"/>
        </w:rPr>
        <w:t>olicitó</w:t>
      </w:r>
      <w:r w:rsidR="0033160A" w:rsidRPr="00330641">
        <w:rPr>
          <w:rFonts w:ascii="ITC Avant Garde" w:hAnsi="ITC Avant Garde"/>
          <w:color w:val="auto"/>
        </w:rPr>
        <w:t xml:space="preserve"> al </w:t>
      </w:r>
      <w:r w:rsidRPr="00330641">
        <w:rPr>
          <w:rFonts w:ascii="ITC Avant Garde" w:hAnsi="ITC Avant Garde"/>
          <w:color w:val="auto"/>
        </w:rPr>
        <w:t xml:space="preserve">Instituto </w:t>
      </w:r>
      <w:r w:rsidR="0033160A" w:rsidRPr="00330641">
        <w:rPr>
          <w:rFonts w:ascii="ITC Avant Garde" w:hAnsi="ITC Avant Garde"/>
          <w:color w:val="auto"/>
        </w:rPr>
        <w:t xml:space="preserve">eliminar este numeral ya que no se encuentra considerado dentro del Anexo 2 de las Medidas </w:t>
      </w:r>
      <w:r w:rsidR="00566E21" w:rsidRPr="00330641">
        <w:rPr>
          <w:rFonts w:ascii="ITC Avant Garde" w:hAnsi="ITC Avant Garde"/>
          <w:color w:val="auto"/>
        </w:rPr>
        <w:t xml:space="preserve">Fijas </w:t>
      </w:r>
      <w:r w:rsidR="0033160A" w:rsidRPr="00330641">
        <w:rPr>
          <w:rFonts w:ascii="ITC Avant Garde" w:hAnsi="ITC Avant Garde"/>
          <w:color w:val="auto"/>
        </w:rPr>
        <w:t>y por el contrario se define</w:t>
      </w:r>
      <w:r w:rsidR="0033160A" w:rsidRPr="00330641">
        <w:rPr>
          <w:rFonts w:ascii="ITC Avant Garde" w:hAnsi="ITC Avant Garde"/>
        </w:rPr>
        <w:t xml:space="preserve"> </w:t>
      </w:r>
      <w:r w:rsidR="0033160A" w:rsidRPr="00330641">
        <w:rPr>
          <w:rFonts w:ascii="ITC Avant Garde" w:hAnsi="ITC Avant Garde"/>
          <w:color w:val="auto"/>
        </w:rPr>
        <w:t xml:space="preserve">un escenario de dilación en la entrega del servicio en contra de los plazos establecidos en la medida </w:t>
      </w:r>
      <w:r w:rsidR="005D33F8" w:rsidRPr="00330641">
        <w:rPr>
          <w:rFonts w:ascii="ITC Avant Garde" w:hAnsi="ITC Avant Garde"/>
          <w:color w:val="auto"/>
        </w:rPr>
        <w:t>D</w:t>
      </w:r>
      <w:r w:rsidR="0033160A" w:rsidRPr="00330641">
        <w:rPr>
          <w:rFonts w:ascii="ITC Avant Garde" w:hAnsi="ITC Avant Garde"/>
          <w:color w:val="auto"/>
        </w:rPr>
        <w:t>ecimosexta.</w:t>
      </w:r>
    </w:p>
    <w:p w:rsidR="0033160A" w:rsidRPr="00330641" w:rsidRDefault="0033160A" w:rsidP="000F58E0">
      <w:pPr>
        <w:spacing w:after="0" w:line="276" w:lineRule="auto"/>
        <w:ind w:left="0" w:right="0" w:firstLine="0"/>
        <w:rPr>
          <w:rFonts w:ascii="ITC Avant Garde" w:hAnsi="ITC Avant Garde"/>
          <w:color w:val="auto"/>
        </w:rPr>
      </w:pPr>
    </w:p>
    <w:p w:rsidR="00D05148" w:rsidRPr="00330641" w:rsidRDefault="005F669E" w:rsidP="000F58E0">
      <w:pPr>
        <w:spacing w:after="0" w:line="276" w:lineRule="auto"/>
        <w:ind w:left="0" w:right="0" w:firstLine="0"/>
        <w:rPr>
          <w:rFonts w:ascii="ITC Avant Garde" w:hAnsi="ITC Avant Garde"/>
          <w:color w:val="auto"/>
        </w:rPr>
      </w:pPr>
      <w:r w:rsidRPr="00330641">
        <w:rPr>
          <w:rFonts w:ascii="ITC Avant Garde" w:hAnsi="ITC Avant Garde"/>
          <w:color w:val="auto"/>
        </w:rPr>
        <w:t>Asimismo,</w:t>
      </w:r>
      <w:r w:rsidR="001C1FB7" w:rsidRPr="00330641">
        <w:rPr>
          <w:rFonts w:ascii="ITC Avant Garde" w:hAnsi="ITC Avant Garde"/>
          <w:color w:val="auto"/>
        </w:rPr>
        <w:t xml:space="preserve"> </w:t>
      </w:r>
      <w:r w:rsidR="00AF4619">
        <w:rPr>
          <w:rFonts w:ascii="ITC Avant Garde" w:hAnsi="ITC Avant Garde"/>
          <w:color w:val="auto"/>
        </w:rPr>
        <w:t>s</w:t>
      </w:r>
      <w:r w:rsidR="0012211F">
        <w:rPr>
          <w:rFonts w:ascii="ITC Avant Garde" w:hAnsi="ITC Avant Garde"/>
          <w:color w:val="auto"/>
        </w:rPr>
        <w:t>eñaló</w:t>
      </w:r>
      <w:r w:rsidR="001C1FB7" w:rsidRPr="00330641">
        <w:rPr>
          <w:rFonts w:ascii="ITC Avant Garde" w:hAnsi="ITC Avant Garde"/>
          <w:color w:val="auto"/>
        </w:rPr>
        <w:t xml:space="preserve"> que, l</w:t>
      </w:r>
      <w:r w:rsidR="0033160A" w:rsidRPr="00330641">
        <w:rPr>
          <w:rFonts w:ascii="ITC Avant Garde" w:hAnsi="ITC Avant Garde"/>
          <w:color w:val="auto"/>
        </w:rPr>
        <w:t>os pronósticos presentados al AEP nunca han sido utilizados para hacer una planeación del crecimiento de su infraestructura</w:t>
      </w:r>
      <w:r w:rsidR="00BB1291" w:rsidRPr="00330641">
        <w:rPr>
          <w:rFonts w:ascii="ITC Avant Garde" w:hAnsi="ITC Avant Garde"/>
          <w:color w:val="auto"/>
        </w:rPr>
        <w:t xml:space="preserve"> que evite los numerosos casos de proyectos especiales </w:t>
      </w:r>
      <w:r w:rsidR="0033160A" w:rsidRPr="00330641">
        <w:rPr>
          <w:rFonts w:ascii="ITC Avant Garde" w:hAnsi="ITC Avant Garde"/>
          <w:color w:val="auto"/>
        </w:rPr>
        <w:t>sino por el contrario, han sido el pretexto para indicar que la fecha de entrega debe ser acordada por no ser un servicio pronosticado.</w:t>
      </w:r>
    </w:p>
    <w:p w:rsidR="00E525B0" w:rsidRPr="00330641" w:rsidRDefault="00E525B0" w:rsidP="000F58E0">
      <w:pPr>
        <w:spacing w:after="0" w:line="276" w:lineRule="auto"/>
        <w:ind w:left="0" w:right="0" w:firstLine="0"/>
        <w:rPr>
          <w:rFonts w:ascii="ITC Avant Garde" w:hAnsi="ITC Avant Garde"/>
          <w:color w:val="auto"/>
        </w:rPr>
      </w:pPr>
    </w:p>
    <w:p w:rsidR="00E525B0" w:rsidRPr="00330641" w:rsidRDefault="00E525B0" w:rsidP="000F58E0">
      <w:pPr>
        <w:spacing w:after="0" w:line="276" w:lineRule="auto"/>
        <w:ind w:left="0" w:right="0" w:firstLine="0"/>
        <w:rPr>
          <w:rFonts w:ascii="ITC Avant Garde" w:hAnsi="ITC Avant Garde" w:cs="Times New Roman"/>
          <w:b/>
          <w:color w:val="auto"/>
        </w:rPr>
      </w:pPr>
      <w:r w:rsidRPr="00330641">
        <w:rPr>
          <w:rFonts w:ascii="ITC Avant Garde" w:hAnsi="ITC Avant Garde" w:cs="Times New Roman"/>
          <w:b/>
          <w:color w:val="auto"/>
        </w:rPr>
        <w:t>Consideraciones del Instituto</w:t>
      </w:r>
      <w:r w:rsidR="00F114A0" w:rsidRPr="00330641">
        <w:rPr>
          <w:rFonts w:ascii="ITC Avant Garde" w:hAnsi="ITC Avant Garde" w:cs="Times New Roman"/>
          <w:b/>
          <w:color w:val="auto"/>
        </w:rPr>
        <w:t>:</w:t>
      </w:r>
    </w:p>
    <w:p w:rsidR="001D1D26" w:rsidRDefault="00AC7E42" w:rsidP="000F58E0">
      <w:pPr>
        <w:spacing w:after="0" w:line="276" w:lineRule="auto"/>
        <w:ind w:left="0" w:right="0" w:firstLine="0"/>
        <w:rPr>
          <w:rFonts w:ascii="ITC Avant Garde" w:hAnsi="ITC Avant Garde"/>
          <w:color w:val="auto"/>
        </w:rPr>
      </w:pPr>
      <w:r w:rsidRPr="00330641">
        <w:rPr>
          <w:rFonts w:ascii="ITC Avant Garde" w:hAnsi="ITC Avant Garde"/>
          <w:color w:val="auto"/>
        </w:rPr>
        <w:t>L</w:t>
      </w:r>
      <w:r w:rsidR="00E525B0" w:rsidRPr="00330641">
        <w:rPr>
          <w:rFonts w:ascii="ITC Avant Garde" w:hAnsi="ITC Avant Garde"/>
          <w:color w:val="auto"/>
        </w:rPr>
        <w:t>a fecha compromiso (</w:t>
      </w:r>
      <w:proofErr w:type="spellStart"/>
      <w:r w:rsidR="00E525B0" w:rsidRPr="00330641">
        <w:rPr>
          <w:rFonts w:ascii="ITC Avant Garde" w:hAnsi="ITC Avant Garde"/>
          <w:color w:val="auto"/>
        </w:rPr>
        <w:t>Due</w:t>
      </w:r>
      <w:proofErr w:type="spellEnd"/>
      <w:r w:rsidR="00E525B0" w:rsidRPr="00330641">
        <w:rPr>
          <w:rFonts w:ascii="ITC Avant Garde" w:hAnsi="ITC Avant Garde"/>
          <w:color w:val="auto"/>
        </w:rPr>
        <w:t xml:space="preserve"> Date) es un concepto que se incluye en la ORE</w:t>
      </w:r>
      <w:r w:rsidR="00C6593D" w:rsidRPr="00330641">
        <w:rPr>
          <w:rFonts w:ascii="ITC Avant Garde" w:hAnsi="ITC Avant Garde"/>
          <w:color w:val="auto"/>
        </w:rPr>
        <w:t xml:space="preserve"> DM</w:t>
      </w:r>
      <w:r w:rsidR="00E525B0" w:rsidRPr="00330641">
        <w:rPr>
          <w:rFonts w:ascii="ITC Avant Garde" w:hAnsi="ITC Avant Garde"/>
          <w:color w:val="auto"/>
        </w:rPr>
        <w:t xml:space="preserve"> 202</w:t>
      </w:r>
      <w:r w:rsidR="00C6593D" w:rsidRPr="00330641">
        <w:rPr>
          <w:rFonts w:ascii="ITC Avant Garde" w:hAnsi="ITC Avant Garde"/>
          <w:color w:val="auto"/>
        </w:rPr>
        <w:t>1</w:t>
      </w:r>
      <w:r w:rsidR="00E525B0" w:rsidRPr="00330641">
        <w:rPr>
          <w:rFonts w:ascii="ITC Avant Garde" w:hAnsi="ITC Avant Garde"/>
          <w:color w:val="auto"/>
        </w:rPr>
        <w:t xml:space="preserve"> como una opción </w:t>
      </w:r>
      <w:r w:rsidR="00A5409C">
        <w:rPr>
          <w:rFonts w:ascii="ITC Avant Garde" w:hAnsi="ITC Avant Garde"/>
          <w:color w:val="auto"/>
        </w:rPr>
        <w:t>en caso de no contar con</w:t>
      </w:r>
      <w:r w:rsidR="00E525B0" w:rsidRPr="00330641">
        <w:rPr>
          <w:rFonts w:ascii="ITC Avant Garde" w:hAnsi="ITC Avant Garde"/>
          <w:color w:val="auto"/>
        </w:rPr>
        <w:t xml:space="preserve"> pronóstic</w:t>
      </w:r>
      <w:r w:rsidR="00A5409C">
        <w:rPr>
          <w:rFonts w:ascii="ITC Avant Garde" w:hAnsi="ITC Avant Garde"/>
          <w:color w:val="auto"/>
        </w:rPr>
        <w:t>os</w:t>
      </w:r>
      <w:r w:rsidR="00E525B0" w:rsidRPr="00330641">
        <w:rPr>
          <w:rFonts w:ascii="ITC Avant Garde" w:hAnsi="ITC Avant Garde"/>
          <w:color w:val="auto"/>
        </w:rPr>
        <w:t xml:space="preserve"> o en el caso de que los servicios </w:t>
      </w:r>
      <w:r w:rsidR="00A5409C">
        <w:rPr>
          <w:rFonts w:ascii="ITC Avant Garde" w:hAnsi="ITC Avant Garde"/>
          <w:color w:val="auto"/>
        </w:rPr>
        <w:t xml:space="preserve">totales </w:t>
      </w:r>
      <w:r w:rsidR="00E525B0" w:rsidRPr="00330641">
        <w:rPr>
          <w:rFonts w:ascii="ITC Avant Garde" w:hAnsi="ITC Avant Garde"/>
          <w:color w:val="auto"/>
        </w:rPr>
        <w:t>solicitados excedan un 20% o más de los pronosticados</w:t>
      </w:r>
      <w:r w:rsidR="00D53DFB" w:rsidRPr="00330641">
        <w:rPr>
          <w:rFonts w:ascii="ITC Avant Garde" w:hAnsi="ITC Avant Garde"/>
          <w:color w:val="auto"/>
        </w:rPr>
        <w:t xml:space="preserve">, </w:t>
      </w:r>
      <w:r w:rsidR="00A5409C">
        <w:rPr>
          <w:rFonts w:ascii="ITC Avant Garde" w:hAnsi="ITC Avant Garde"/>
          <w:color w:val="auto"/>
        </w:rPr>
        <w:t>dado que la capacidad de las redes es limitada por lo</w:t>
      </w:r>
      <w:r w:rsidR="001D1D26">
        <w:rPr>
          <w:rFonts w:ascii="ITC Avant Garde" w:hAnsi="ITC Avant Garde"/>
          <w:color w:val="auto"/>
        </w:rPr>
        <w:t xml:space="preserve"> que,</w:t>
      </w:r>
      <w:r w:rsidR="00D53DFB" w:rsidRPr="00330641">
        <w:rPr>
          <w:rFonts w:ascii="ITC Avant Garde" w:hAnsi="ITC Avant Garde"/>
          <w:color w:val="auto"/>
        </w:rPr>
        <w:t xml:space="preserve"> dicha situación no tiene el fin de “dilación” </w:t>
      </w:r>
      <w:r w:rsidR="001D1D26">
        <w:rPr>
          <w:rFonts w:ascii="ITC Avant Garde" w:hAnsi="ITC Avant Garde"/>
          <w:color w:val="auto"/>
        </w:rPr>
        <w:t xml:space="preserve">sino simplemente el reconocimiento de que, sin pronósticos es posible que no se cuente con la capacidad suficiente en las redes para atender las solicitudes de servicios. </w:t>
      </w:r>
    </w:p>
    <w:p w:rsidR="001D1D26" w:rsidRDefault="001D1D26" w:rsidP="000F58E0">
      <w:pPr>
        <w:spacing w:after="0" w:line="276" w:lineRule="auto"/>
        <w:ind w:left="0" w:right="0" w:firstLine="0"/>
        <w:rPr>
          <w:rFonts w:ascii="ITC Avant Garde" w:hAnsi="ITC Avant Garde"/>
          <w:color w:val="auto"/>
        </w:rPr>
      </w:pPr>
    </w:p>
    <w:p w:rsidR="00E525B0" w:rsidRPr="00330641" w:rsidRDefault="003314AC" w:rsidP="000F58E0">
      <w:pPr>
        <w:spacing w:after="0" w:line="276" w:lineRule="auto"/>
        <w:ind w:left="0" w:right="0" w:firstLine="0"/>
        <w:rPr>
          <w:rFonts w:ascii="ITC Avant Garde" w:hAnsi="ITC Avant Garde"/>
          <w:color w:val="auto"/>
        </w:rPr>
      </w:pPr>
      <w:r w:rsidRPr="00330641">
        <w:rPr>
          <w:rFonts w:ascii="ITC Avant Garde" w:hAnsi="ITC Avant Garde"/>
          <w:color w:val="auto"/>
        </w:rPr>
        <w:t>Con respecto a lo señalado por</w:t>
      </w:r>
      <w:r w:rsidR="009605FC" w:rsidRPr="00330641">
        <w:rPr>
          <w:rFonts w:ascii="ITC Avant Garde" w:hAnsi="ITC Avant Garde"/>
          <w:color w:val="auto"/>
        </w:rPr>
        <w:t xml:space="preserve"> Grupo</w:t>
      </w:r>
      <w:r w:rsidRPr="00330641">
        <w:rPr>
          <w:rFonts w:ascii="ITC Avant Garde" w:hAnsi="ITC Avant Garde"/>
          <w:color w:val="auto"/>
        </w:rPr>
        <w:t xml:space="preserve"> AT&amp;T, </w:t>
      </w:r>
      <w:r w:rsidR="00AD20E2">
        <w:rPr>
          <w:rFonts w:ascii="ITC Avant Garde" w:hAnsi="ITC Avant Garde"/>
          <w:color w:val="auto"/>
        </w:rPr>
        <w:t>e</w:t>
      </w:r>
      <w:r w:rsidR="00C6593D" w:rsidRPr="00330641">
        <w:rPr>
          <w:rFonts w:ascii="ITC Avant Garde" w:hAnsi="ITC Avant Garde"/>
          <w:color w:val="auto"/>
        </w:rPr>
        <w:t xml:space="preserve">l </w:t>
      </w:r>
      <w:r w:rsidRPr="00330641">
        <w:rPr>
          <w:rFonts w:ascii="ITC Avant Garde" w:hAnsi="ITC Avant Garde"/>
          <w:color w:val="auto"/>
        </w:rPr>
        <w:t xml:space="preserve">plazo de 60 días es el establecido para aquellos casos en los que el CS o AS entrega </w:t>
      </w:r>
      <w:r w:rsidR="00A00CFB" w:rsidRPr="00330641">
        <w:rPr>
          <w:rFonts w:ascii="ITC Avant Garde" w:hAnsi="ITC Avant Garde"/>
          <w:color w:val="auto"/>
        </w:rPr>
        <w:t>los pronósticos</w:t>
      </w:r>
      <w:r w:rsidRPr="00330641">
        <w:rPr>
          <w:rFonts w:ascii="ITC Avant Garde" w:hAnsi="ITC Avant Garde"/>
          <w:color w:val="auto"/>
        </w:rPr>
        <w:t xml:space="preserve"> para la provisión de los servicios.</w:t>
      </w:r>
      <w:r w:rsidR="00D53DFB" w:rsidRPr="00330641">
        <w:rPr>
          <w:rFonts w:ascii="ITC Avant Garde" w:hAnsi="ITC Avant Garde"/>
          <w:color w:val="auto"/>
        </w:rPr>
        <w:t xml:space="preserve">  </w:t>
      </w:r>
    </w:p>
    <w:p w:rsidR="00A00CFB" w:rsidRPr="00330641" w:rsidRDefault="00A00CFB" w:rsidP="000F58E0">
      <w:pPr>
        <w:spacing w:after="0" w:line="276" w:lineRule="auto"/>
        <w:ind w:left="0" w:right="0" w:firstLine="0"/>
        <w:rPr>
          <w:rFonts w:ascii="ITC Avant Garde" w:hAnsi="ITC Avant Garde"/>
          <w:color w:val="auto"/>
        </w:rPr>
      </w:pPr>
    </w:p>
    <w:p w:rsidR="003F02A9" w:rsidRPr="00330641" w:rsidRDefault="00F64AC2" w:rsidP="000F58E0">
      <w:pPr>
        <w:pStyle w:val="IFTnormal"/>
        <w:spacing w:after="0"/>
        <w:ind w:left="0"/>
        <w:rPr>
          <w:rFonts w:eastAsiaTheme="majorEastAsia"/>
        </w:rPr>
      </w:pPr>
      <w:r w:rsidRPr="00330641">
        <w:rPr>
          <w:rFonts w:eastAsiaTheme="majorEastAsia"/>
          <w:b/>
        </w:rPr>
        <w:t xml:space="preserve">2.5 </w:t>
      </w:r>
      <w:r w:rsidR="00AF4619">
        <w:rPr>
          <w:rFonts w:eastAsiaTheme="majorEastAsia"/>
          <w:b/>
        </w:rPr>
        <w:t>Proceso de validación de las solicitudes de s</w:t>
      </w:r>
      <w:r w:rsidR="00AF4619" w:rsidRPr="00330641">
        <w:rPr>
          <w:rFonts w:eastAsiaTheme="majorEastAsia"/>
          <w:b/>
        </w:rPr>
        <w:t>ervicios.</w:t>
      </w:r>
    </w:p>
    <w:p w:rsidR="001C1FB7" w:rsidRPr="00330641" w:rsidRDefault="00363FC1" w:rsidP="000F58E0">
      <w:pPr>
        <w:pStyle w:val="IFTnormal"/>
        <w:spacing w:after="0"/>
        <w:ind w:left="0"/>
        <w:rPr>
          <w:rFonts w:eastAsiaTheme="majorEastAsia"/>
          <w:u w:val="single"/>
        </w:rPr>
      </w:pPr>
      <w:r w:rsidRPr="00330641">
        <w:rPr>
          <w:rFonts w:eastAsiaTheme="majorEastAsia"/>
          <w:b/>
          <w:u w:val="single"/>
        </w:rPr>
        <w:t>2.5.3</w:t>
      </w:r>
      <w:r w:rsidR="00790398" w:rsidRPr="00330641">
        <w:rPr>
          <w:rFonts w:eastAsiaTheme="majorEastAsia"/>
          <w:b/>
          <w:u w:val="single"/>
        </w:rPr>
        <w:t xml:space="preserve"> </w:t>
      </w:r>
    </w:p>
    <w:p w:rsidR="00291C0D" w:rsidRPr="00330641" w:rsidRDefault="00572502" w:rsidP="000F58E0">
      <w:pPr>
        <w:pStyle w:val="IFTnormal"/>
        <w:spacing w:after="0"/>
        <w:ind w:left="0"/>
        <w:rPr>
          <w:b/>
        </w:rPr>
      </w:pPr>
      <w:r w:rsidRPr="00330641">
        <w:rPr>
          <w:b/>
        </w:rPr>
        <w:t>AXTEL</w:t>
      </w:r>
      <w:r w:rsidR="00A00CFB" w:rsidRPr="00330641">
        <w:rPr>
          <w:b/>
        </w:rPr>
        <w:t>:</w:t>
      </w:r>
    </w:p>
    <w:p w:rsidR="0033160A" w:rsidRPr="00330641" w:rsidRDefault="00291C0D" w:rsidP="000F58E0">
      <w:pPr>
        <w:spacing w:after="0" w:line="276" w:lineRule="auto"/>
        <w:ind w:left="0" w:right="0" w:firstLine="0"/>
        <w:rPr>
          <w:rFonts w:ascii="ITC Avant Garde" w:hAnsi="ITC Avant Garde" w:cs="Times New Roman"/>
          <w:color w:val="auto"/>
        </w:rPr>
      </w:pPr>
      <w:r w:rsidRPr="00330641">
        <w:rPr>
          <w:rFonts w:ascii="ITC Avant Garde" w:hAnsi="ITC Avant Garde" w:cs="Times New Roman"/>
          <w:color w:val="auto"/>
        </w:rPr>
        <w:t>C</w:t>
      </w:r>
      <w:r w:rsidR="00371339">
        <w:rPr>
          <w:rFonts w:ascii="ITC Avant Garde" w:hAnsi="ITC Avant Garde" w:cs="Times New Roman"/>
          <w:color w:val="auto"/>
        </w:rPr>
        <w:t>onsideró</w:t>
      </w:r>
      <w:r w:rsidR="0033160A" w:rsidRPr="00330641">
        <w:rPr>
          <w:rFonts w:ascii="ITC Avant Garde" w:hAnsi="ITC Avant Garde" w:cs="Times New Roman"/>
          <w:color w:val="auto"/>
        </w:rPr>
        <w:t xml:space="preserve"> que el diagrama con las indicaciones de la trayectoria de los cableados desde la acometida hasta el punto de ubicación del equipo (“Red Interna”), no se justifica, ni debe ser condicionante para que el AEP inicie con la construcción de un servicio</w:t>
      </w:r>
      <w:r w:rsidR="003E2C61" w:rsidRPr="00330641">
        <w:rPr>
          <w:rFonts w:ascii="ITC Avant Garde" w:hAnsi="ITC Avant Garde" w:cs="Times New Roman"/>
          <w:color w:val="auto"/>
        </w:rPr>
        <w:t>, señalando que</w:t>
      </w:r>
      <w:r w:rsidR="0033160A" w:rsidRPr="00330641">
        <w:rPr>
          <w:rFonts w:ascii="ITC Avant Garde" w:hAnsi="ITC Avant Garde" w:cs="Times New Roman"/>
          <w:color w:val="auto"/>
        </w:rPr>
        <w:t xml:space="preserve">: </w:t>
      </w:r>
    </w:p>
    <w:p w:rsidR="0033160A" w:rsidRPr="00330641" w:rsidRDefault="0033160A" w:rsidP="000F58E0">
      <w:pPr>
        <w:spacing w:after="0" w:line="276" w:lineRule="auto"/>
        <w:ind w:left="0" w:right="0" w:firstLine="0"/>
        <w:rPr>
          <w:rFonts w:ascii="ITC Avant Garde" w:hAnsi="ITC Avant Garde" w:cs="Times New Roman"/>
          <w:color w:val="auto"/>
        </w:rPr>
      </w:pPr>
    </w:p>
    <w:p w:rsidR="0033160A" w:rsidRPr="009E37D9" w:rsidRDefault="0033160A" w:rsidP="009E37D9">
      <w:pPr>
        <w:pStyle w:val="Prrafodelista"/>
        <w:numPr>
          <w:ilvl w:val="0"/>
          <w:numId w:val="18"/>
        </w:numPr>
        <w:spacing w:after="0" w:line="276" w:lineRule="auto"/>
        <w:ind w:right="0"/>
        <w:rPr>
          <w:rFonts w:ascii="ITC Avant Garde" w:hAnsi="ITC Avant Garde" w:cs="Times New Roman"/>
          <w:color w:val="auto"/>
        </w:rPr>
      </w:pPr>
      <w:r w:rsidRPr="009E37D9">
        <w:rPr>
          <w:rFonts w:ascii="ITC Avant Garde" w:hAnsi="ITC Avant Garde" w:cs="Times New Roman"/>
          <w:color w:val="auto"/>
        </w:rPr>
        <w:t xml:space="preserve">La construcción de la Red Interna es responsabilidad del CS o en su defecto de su cliente final. </w:t>
      </w:r>
      <w:r w:rsidR="00371339" w:rsidRPr="009E37D9">
        <w:rPr>
          <w:rFonts w:ascii="ITC Avant Garde" w:hAnsi="ITC Avant Garde" w:cs="Times New Roman"/>
          <w:color w:val="auto"/>
        </w:rPr>
        <w:t>Señalo que e</w:t>
      </w:r>
      <w:r w:rsidRPr="009E37D9">
        <w:rPr>
          <w:rFonts w:ascii="ITC Avant Garde" w:hAnsi="ITC Avant Garde" w:cs="Times New Roman"/>
          <w:color w:val="auto"/>
        </w:rPr>
        <w:t>l AEP nunca participa en la instalación de dicha red interna.</w:t>
      </w:r>
    </w:p>
    <w:p w:rsidR="002010F7" w:rsidRPr="00330641" w:rsidRDefault="002010F7" w:rsidP="000F58E0">
      <w:pPr>
        <w:spacing w:after="0" w:line="276" w:lineRule="auto"/>
        <w:ind w:left="567" w:right="0" w:hanging="567"/>
        <w:rPr>
          <w:rFonts w:ascii="ITC Avant Garde" w:hAnsi="ITC Avant Garde" w:cs="Times New Roman"/>
          <w:color w:val="auto"/>
        </w:rPr>
      </w:pPr>
    </w:p>
    <w:p w:rsidR="0033160A" w:rsidRPr="009E37D9" w:rsidRDefault="0033160A" w:rsidP="009E37D9">
      <w:pPr>
        <w:pStyle w:val="Prrafodelista"/>
        <w:numPr>
          <w:ilvl w:val="0"/>
          <w:numId w:val="18"/>
        </w:numPr>
        <w:spacing w:after="0" w:line="276" w:lineRule="auto"/>
        <w:ind w:right="0"/>
        <w:rPr>
          <w:rFonts w:ascii="ITC Avant Garde" w:hAnsi="ITC Avant Garde" w:cs="Times New Roman"/>
          <w:color w:val="auto"/>
        </w:rPr>
      </w:pPr>
      <w:r w:rsidRPr="009E37D9">
        <w:rPr>
          <w:rFonts w:ascii="ITC Avant Garde" w:hAnsi="ITC Avant Garde" w:cs="Times New Roman"/>
          <w:color w:val="auto"/>
        </w:rPr>
        <w:t>Cuando el AEP identifica que la Red Interna no cuenta con las adecuaciones mínimas requeridas, realiza un paro de reloj. Y no es sino hasta que se encuentra habilitado el sitio cuando reactiva la construcción.</w:t>
      </w:r>
    </w:p>
    <w:p w:rsidR="0033160A" w:rsidRPr="00330641" w:rsidRDefault="0033160A" w:rsidP="000F58E0">
      <w:pPr>
        <w:spacing w:after="0" w:line="276" w:lineRule="auto"/>
        <w:ind w:left="0" w:right="0" w:firstLine="0"/>
        <w:rPr>
          <w:rFonts w:ascii="ITC Avant Garde" w:hAnsi="ITC Avant Garde" w:cs="Times New Roman"/>
          <w:color w:val="auto"/>
        </w:rPr>
      </w:pPr>
    </w:p>
    <w:p w:rsidR="0033160A" w:rsidRPr="00330641" w:rsidRDefault="00371339" w:rsidP="000F58E0">
      <w:pPr>
        <w:spacing w:after="0" w:line="276" w:lineRule="auto"/>
        <w:ind w:left="0" w:right="0" w:firstLine="0"/>
        <w:rPr>
          <w:rFonts w:ascii="ITC Avant Garde" w:hAnsi="ITC Avant Garde" w:cs="Times New Roman"/>
          <w:color w:val="auto"/>
        </w:rPr>
      </w:pPr>
      <w:r>
        <w:rPr>
          <w:rFonts w:ascii="ITC Avant Garde" w:hAnsi="ITC Avant Garde" w:cs="Times New Roman"/>
          <w:color w:val="auto"/>
        </w:rPr>
        <w:lastRenderedPageBreak/>
        <w:t xml:space="preserve">Por tanto, </w:t>
      </w:r>
      <w:r w:rsidR="0033160A" w:rsidRPr="00330641">
        <w:rPr>
          <w:rFonts w:ascii="ITC Avant Garde" w:hAnsi="ITC Avant Garde" w:cs="Times New Roman"/>
          <w:color w:val="auto"/>
        </w:rPr>
        <w:t xml:space="preserve">Axtel </w:t>
      </w:r>
      <w:r>
        <w:rPr>
          <w:rFonts w:ascii="ITC Avant Garde" w:hAnsi="ITC Avant Garde" w:cs="Times New Roman"/>
          <w:color w:val="auto"/>
        </w:rPr>
        <w:t>solicitó</w:t>
      </w:r>
      <w:r w:rsidR="0033160A" w:rsidRPr="00330641">
        <w:rPr>
          <w:rFonts w:ascii="ITC Avant Garde" w:hAnsi="ITC Avant Garde" w:cs="Times New Roman"/>
          <w:color w:val="auto"/>
        </w:rPr>
        <w:t xml:space="preserve"> al </w:t>
      </w:r>
      <w:r w:rsidR="002010F7" w:rsidRPr="00330641">
        <w:rPr>
          <w:rFonts w:ascii="ITC Avant Garde" w:hAnsi="ITC Avant Garde" w:cs="Times New Roman"/>
          <w:color w:val="auto"/>
        </w:rPr>
        <w:t xml:space="preserve">Instituto </w:t>
      </w:r>
      <w:r w:rsidR="0033160A" w:rsidRPr="00330641">
        <w:rPr>
          <w:rFonts w:ascii="ITC Avant Garde" w:hAnsi="ITC Avant Garde" w:cs="Times New Roman"/>
          <w:color w:val="auto"/>
        </w:rPr>
        <w:t>obligar al AEP que este evento no sea considerado como una cau</w:t>
      </w:r>
      <w:r w:rsidR="00CC447A">
        <w:rPr>
          <w:rFonts w:ascii="ITC Avant Garde" w:hAnsi="ITC Avant Garde" w:cs="Times New Roman"/>
          <w:color w:val="auto"/>
        </w:rPr>
        <w:t>sa vá</w:t>
      </w:r>
      <w:r w:rsidR="0033160A" w:rsidRPr="00330641">
        <w:rPr>
          <w:rFonts w:ascii="ITC Avant Garde" w:hAnsi="ITC Avant Garde" w:cs="Times New Roman"/>
          <w:color w:val="auto"/>
        </w:rPr>
        <w:t>lida de parada de reloj.</w:t>
      </w:r>
    </w:p>
    <w:p w:rsidR="0033160A" w:rsidRPr="00330641" w:rsidRDefault="0033160A" w:rsidP="000F58E0">
      <w:pPr>
        <w:spacing w:after="0" w:line="276" w:lineRule="auto"/>
        <w:ind w:left="0" w:right="0" w:firstLine="0"/>
        <w:rPr>
          <w:rFonts w:ascii="ITC Avant Garde" w:hAnsi="ITC Avant Garde" w:cs="Times New Roman"/>
          <w:color w:val="auto"/>
        </w:rPr>
      </w:pPr>
    </w:p>
    <w:p w:rsidR="00B95C7E" w:rsidRPr="00330641" w:rsidRDefault="00B95C7E" w:rsidP="000F58E0">
      <w:pPr>
        <w:spacing w:after="0" w:line="276" w:lineRule="auto"/>
        <w:ind w:left="0" w:right="0" w:firstLine="0"/>
        <w:rPr>
          <w:rFonts w:ascii="ITC Avant Garde" w:hAnsi="ITC Avant Garde" w:cs="Times New Roman"/>
          <w:b/>
          <w:color w:val="auto"/>
        </w:rPr>
      </w:pPr>
      <w:r w:rsidRPr="00330641">
        <w:rPr>
          <w:rFonts w:ascii="ITC Avant Garde" w:hAnsi="ITC Avant Garde" w:cs="Times New Roman"/>
          <w:b/>
          <w:color w:val="auto"/>
        </w:rPr>
        <w:t>Consideraciones del Instituto</w:t>
      </w:r>
      <w:r w:rsidR="00C42595" w:rsidRPr="00330641">
        <w:rPr>
          <w:rFonts w:ascii="ITC Avant Garde" w:hAnsi="ITC Avant Garde" w:cs="Times New Roman"/>
          <w:b/>
          <w:color w:val="auto"/>
        </w:rPr>
        <w:t>:</w:t>
      </w:r>
    </w:p>
    <w:p w:rsidR="00B95C7E" w:rsidRPr="00330641" w:rsidRDefault="00B95C7E" w:rsidP="000F58E0">
      <w:pPr>
        <w:spacing w:after="0" w:line="276" w:lineRule="auto"/>
        <w:ind w:left="0" w:right="0" w:firstLine="0"/>
        <w:rPr>
          <w:rFonts w:ascii="ITC Avant Garde" w:hAnsi="ITC Avant Garde" w:cs="Times New Roman"/>
          <w:color w:val="auto"/>
        </w:rPr>
      </w:pPr>
      <w:r w:rsidRPr="00CC447A">
        <w:rPr>
          <w:rFonts w:ascii="ITC Avant Garde" w:hAnsi="ITC Avant Garde" w:cs="Times New Roman"/>
          <w:color w:val="auto"/>
        </w:rPr>
        <w:t xml:space="preserve">Se considera que el contar con los diagramas </w:t>
      </w:r>
      <w:r w:rsidR="00514F6E" w:rsidRPr="00CC447A">
        <w:rPr>
          <w:rFonts w:ascii="ITC Avant Garde" w:hAnsi="ITC Avant Garde" w:cs="Times New Roman"/>
          <w:color w:val="auto"/>
        </w:rPr>
        <w:t xml:space="preserve">que contengan </w:t>
      </w:r>
      <w:r w:rsidRPr="00CC447A">
        <w:rPr>
          <w:rFonts w:ascii="ITC Avant Garde" w:hAnsi="ITC Avant Garde" w:cs="Times New Roman"/>
          <w:color w:val="auto"/>
        </w:rPr>
        <w:t xml:space="preserve">las indicaciones de las trayectorias de los cableados desde las acometidas del predio hasta el punto de ubicación del equipo es </w:t>
      </w:r>
      <w:r w:rsidR="00CC447A" w:rsidRPr="00CC447A">
        <w:rPr>
          <w:rFonts w:ascii="ITC Avant Garde" w:hAnsi="ITC Avant Garde" w:cs="Times New Roman"/>
          <w:color w:val="auto"/>
        </w:rPr>
        <w:t>necesaria para la adecuada instalación</w:t>
      </w:r>
      <w:r w:rsidRPr="00CC447A">
        <w:rPr>
          <w:rFonts w:ascii="ITC Avant Garde" w:hAnsi="ITC Avant Garde" w:cs="Times New Roman"/>
          <w:color w:val="auto"/>
        </w:rPr>
        <w:t xml:space="preserve">. De igual forma, en la ORE </w:t>
      </w:r>
      <w:r w:rsidR="00C646BD" w:rsidRPr="00CC447A">
        <w:rPr>
          <w:rFonts w:ascii="ITC Avant Garde" w:hAnsi="ITC Avant Garde" w:cs="Times New Roman"/>
          <w:color w:val="auto"/>
        </w:rPr>
        <w:t xml:space="preserve">DM </w:t>
      </w:r>
      <w:r w:rsidRPr="00CC447A">
        <w:rPr>
          <w:rFonts w:ascii="ITC Avant Garde" w:hAnsi="ITC Avant Garde" w:cs="Times New Roman"/>
          <w:color w:val="auto"/>
        </w:rPr>
        <w:t>20</w:t>
      </w:r>
      <w:r w:rsidR="00FD6434" w:rsidRPr="00CC447A">
        <w:rPr>
          <w:rFonts w:ascii="ITC Avant Garde" w:hAnsi="ITC Avant Garde" w:cs="Times New Roman"/>
          <w:color w:val="auto"/>
        </w:rPr>
        <w:t>2</w:t>
      </w:r>
      <w:r w:rsidR="00C646BD" w:rsidRPr="00CC447A">
        <w:rPr>
          <w:rFonts w:ascii="ITC Avant Garde" w:hAnsi="ITC Avant Garde" w:cs="Times New Roman"/>
          <w:color w:val="auto"/>
        </w:rPr>
        <w:t>1</w:t>
      </w:r>
      <w:r w:rsidRPr="00CC447A">
        <w:rPr>
          <w:rFonts w:ascii="ITC Avant Garde" w:hAnsi="ITC Avant Garde" w:cs="Times New Roman"/>
          <w:color w:val="auto"/>
        </w:rPr>
        <w:t xml:space="preserve"> se estableció que en el caso de ser necesario el </w:t>
      </w:r>
      <w:proofErr w:type="spellStart"/>
      <w:r w:rsidR="007E22A9" w:rsidRPr="00CC447A">
        <w:rPr>
          <w:rFonts w:ascii="ITC Avant Garde" w:hAnsi="ITC Avant Garde" w:cs="Times New Roman"/>
          <w:color w:val="auto"/>
        </w:rPr>
        <w:t>S</w:t>
      </w:r>
      <w:r w:rsidRPr="00CC447A">
        <w:rPr>
          <w:rFonts w:ascii="ITC Avant Garde" w:hAnsi="ITC Avant Garde" w:cs="Times New Roman"/>
          <w:color w:val="auto"/>
        </w:rPr>
        <w:t>ite</w:t>
      </w:r>
      <w:proofErr w:type="spellEnd"/>
      <w:r w:rsidRPr="00CC447A">
        <w:rPr>
          <w:rFonts w:ascii="ITC Avant Garde" w:hAnsi="ITC Avant Garde" w:cs="Times New Roman"/>
          <w:color w:val="auto"/>
        </w:rPr>
        <w:t xml:space="preserve"> </w:t>
      </w:r>
      <w:proofErr w:type="spellStart"/>
      <w:r w:rsidR="007E22A9" w:rsidRPr="00CC447A">
        <w:rPr>
          <w:rFonts w:ascii="ITC Avant Garde" w:hAnsi="ITC Avant Garde" w:cs="Times New Roman"/>
          <w:color w:val="auto"/>
        </w:rPr>
        <w:t>S</w:t>
      </w:r>
      <w:r w:rsidRPr="00CC447A">
        <w:rPr>
          <w:rFonts w:ascii="ITC Avant Garde" w:hAnsi="ITC Avant Garde" w:cs="Times New Roman"/>
          <w:color w:val="auto"/>
        </w:rPr>
        <w:t>urvey</w:t>
      </w:r>
      <w:proofErr w:type="spellEnd"/>
      <w:r w:rsidRPr="00CC447A">
        <w:rPr>
          <w:rFonts w:ascii="ITC Avant Garde" w:hAnsi="ITC Avant Garde" w:cs="Times New Roman"/>
          <w:color w:val="auto"/>
        </w:rPr>
        <w:t xml:space="preserve"> Telmex realizará, en un plazo no mayor a 1 </w:t>
      </w:r>
      <w:r w:rsidR="00371339" w:rsidRPr="00CC447A">
        <w:rPr>
          <w:rFonts w:ascii="ITC Avant Garde" w:hAnsi="ITC Avant Garde" w:cs="Times New Roman"/>
          <w:color w:val="auto"/>
        </w:rPr>
        <w:t>(un)</w:t>
      </w:r>
      <w:r w:rsidRPr="00CC447A">
        <w:rPr>
          <w:rFonts w:ascii="ITC Avant Garde" w:hAnsi="ITC Avant Garde" w:cs="Times New Roman"/>
          <w:color w:val="auto"/>
        </w:rPr>
        <w:t xml:space="preserve"> día hábil, la cotización correspondiente que dependerá de la situación de cada caso, posterior a lo cual, el CS tendrá 1 </w:t>
      </w:r>
      <w:r w:rsidR="00371339" w:rsidRPr="00CC447A">
        <w:rPr>
          <w:rFonts w:ascii="ITC Avant Garde" w:hAnsi="ITC Avant Garde" w:cs="Times New Roman"/>
          <w:color w:val="auto"/>
        </w:rPr>
        <w:t>(un)</w:t>
      </w:r>
      <w:r w:rsidRPr="00CC447A">
        <w:rPr>
          <w:rFonts w:ascii="ITC Avant Garde" w:hAnsi="ITC Avant Garde" w:cs="Times New Roman"/>
          <w:color w:val="auto"/>
        </w:rPr>
        <w:t xml:space="preserve"> día hábil para aceptar o rechazar dicha cotización.</w:t>
      </w:r>
      <w:r w:rsidR="003E2C61" w:rsidRPr="00330641">
        <w:rPr>
          <w:rFonts w:ascii="ITC Avant Garde" w:hAnsi="ITC Avant Garde" w:cs="Times New Roman"/>
          <w:color w:val="auto"/>
        </w:rPr>
        <w:t xml:space="preserve"> </w:t>
      </w:r>
    </w:p>
    <w:p w:rsidR="00B95C7E" w:rsidRPr="00330641" w:rsidRDefault="00B95C7E" w:rsidP="000F58E0">
      <w:pPr>
        <w:spacing w:after="0" w:line="276" w:lineRule="auto"/>
        <w:ind w:left="0" w:right="0" w:firstLine="0"/>
        <w:rPr>
          <w:rFonts w:ascii="ITC Avant Garde" w:hAnsi="ITC Avant Garde" w:cs="Times New Roman"/>
          <w:color w:val="auto"/>
        </w:rPr>
      </w:pPr>
    </w:p>
    <w:p w:rsidR="00DA60CB" w:rsidRPr="00330641" w:rsidRDefault="00DA60CB" w:rsidP="000F58E0">
      <w:pPr>
        <w:pStyle w:val="IFTnormal"/>
        <w:spacing w:after="0"/>
        <w:ind w:left="0"/>
        <w:rPr>
          <w:rFonts w:eastAsiaTheme="majorEastAsia"/>
          <w:u w:val="single"/>
        </w:rPr>
      </w:pPr>
      <w:r w:rsidRPr="00330641">
        <w:rPr>
          <w:rFonts w:eastAsiaTheme="majorEastAsia"/>
          <w:b/>
          <w:u w:val="single"/>
        </w:rPr>
        <w:t>2.5.5</w:t>
      </w:r>
      <w:r w:rsidR="003E2C61" w:rsidRPr="00330641">
        <w:rPr>
          <w:rFonts w:eastAsiaTheme="majorEastAsia"/>
          <w:b/>
          <w:u w:val="single"/>
        </w:rPr>
        <w:t>.</w:t>
      </w:r>
    </w:p>
    <w:p w:rsidR="00476767" w:rsidRPr="00330641" w:rsidRDefault="00CD7852" w:rsidP="000F58E0">
      <w:pPr>
        <w:spacing w:after="0" w:line="276" w:lineRule="auto"/>
        <w:ind w:left="0" w:right="0" w:firstLine="0"/>
        <w:rPr>
          <w:rFonts w:ascii="ITC Avant Garde" w:hAnsi="ITC Avant Garde"/>
          <w:b/>
          <w:color w:val="auto"/>
        </w:rPr>
      </w:pPr>
      <w:r w:rsidRPr="00330641">
        <w:rPr>
          <w:rFonts w:ascii="ITC Avant Garde" w:hAnsi="ITC Avant Garde"/>
          <w:b/>
          <w:color w:val="auto"/>
        </w:rPr>
        <w:t>GRUPO AT&amp;T</w:t>
      </w:r>
      <w:r w:rsidR="00C42595" w:rsidRPr="00330641">
        <w:rPr>
          <w:rFonts w:ascii="ITC Avant Garde" w:hAnsi="ITC Avant Garde"/>
          <w:b/>
          <w:color w:val="auto"/>
        </w:rPr>
        <w:t>:</w:t>
      </w:r>
      <w:r w:rsidR="00163E7B" w:rsidRPr="00330641">
        <w:rPr>
          <w:rFonts w:ascii="ITC Avant Garde" w:hAnsi="ITC Avant Garde"/>
          <w:b/>
          <w:color w:val="auto"/>
        </w:rPr>
        <w:t xml:space="preserve"> </w:t>
      </w:r>
    </w:p>
    <w:p w:rsidR="00FD460F" w:rsidRPr="00330641" w:rsidRDefault="0012211F" w:rsidP="000F58E0">
      <w:pPr>
        <w:spacing w:after="0" w:line="276" w:lineRule="auto"/>
        <w:ind w:left="0" w:right="0" w:firstLine="0"/>
        <w:rPr>
          <w:rFonts w:ascii="ITC Avant Garde" w:hAnsi="ITC Avant Garde"/>
          <w:color w:val="auto"/>
        </w:rPr>
      </w:pPr>
      <w:r>
        <w:rPr>
          <w:rFonts w:ascii="ITC Avant Garde" w:hAnsi="ITC Avant Garde"/>
          <w:color w:val="auto"/>
        </w:rPr>
        <w:t>Señaló</w:t>
      </w:r>
      <w:r w:rsidR="00FD460F" w:rsidRPr="00330641">
        <w:rPr>
          <w:rFonts w:ascii="ITC Avant Garde" w:hAnsi="ITC Avant Garde"/>
          <w:color w:val="auto"/>
        </w:rPr>
        <w:t xml:space="preserve"> que se ajust</w:t>
      </w:r>
      <w:r w:rsidR="00163E7B" w:rsidRPr="00330641">
        <w:rPr>
          <w:rFonts w:ascii="ITC Avant Garde" w:hAnsi="ITC Avant Garde"/>
          <w:color w:val="auto"/>
        </w:rPr>
        <w:t>e</w:t>
      </w:r>
      <w:r w:rsidR="00FD460F" w:rsidRPr="00330641">
        <w:rPr>
          <w:rFonts w:ascii="ITC Avant Garde" w:hAnsi="ITC Avant Garde"/>
          <w:color w:val="auto"/>
        </w:rPr>
        <w:t xml:space="preserve"> el plazo para hacerlo consistente con el resto del documento de un plazo máximo de 30 (treinta) a 7 (siete) días hábiles la notificación de la fecha de entrega vinculante de los enlaces al CS,</w:t>
      </w:r>
      <w:r w:rsidR="005F629A" w:rsidRPr="00330641">
        <w:rPr>
          <w:rFonts w:ascii="ITC Avant Garde" w:hAnsi="ITC Avant Garde"/>
          <w:color w:val="auto"/>
        </w:rPr>
        <w:t xml:space="preserve"> a partir de la entrega del número de referencia cuando la entrega del servicio sea en un punto en el que previamente ya </w:t>
      </w:r>
      <w:r w:rsidR="00D670CD">
        <w:rPr>
          <w:rFonts w:ascii="ITC Avant Garde" w:hAnsi="ITC Avant Garde"/>
          <w:color w:val="auto"/>
        </w:rPr>
        <w:t>se tenga contratado el servicio</w:t>
      </w:r>
      <w:r w:rsidR="005F629A" w:rsidRPr="00330641">
        <w:rPr>
          <w:rFonts w:ascii="ITC Avant Garde" w:hAnsi="ITC Avant Garde"/>
          <w:color w:val="auto"/>
        </w:rPr>
        <w:t xml:space="preserve"> y de 5 días hábiles a partir de la entrega del número de referencia cuando </w:t>
      </w:r>
      <w:r w:rsidR="00C50D3A" w:rsidRPr="00330641">
        <w:rPr>
          <w:rFonts w:ascii="ITC Avant Garde" w:hAnsi="ITC Avant Garde"/>
          <w:color w:val="auto"/>
        </w:rPr>
        <w:t>se requiera la provisión d</w:t>
      </w:r>
      <w:r w:rsidR="00330641">
        <w:rPr>
          <w:rFonts w:ascii="ITC Avant Garde" w:hAnsi="ITC Avant Garde"/>
          <w:color w:val="auto"/>
        </w:rPr>
        <w:t xml:space="preserve">e servicio de manera anticipada, </w:t>
      </w:r>
      <w:r w:rsidR="00163E7B" w:rsidRPr="00330641">
        <w:rPr>
          <w:rFonts w:ascii="ITC Avant Garde" w:hAnsi="ITC Avant Garde"/>
          <w:color w:val="auto"/>
        </w:rPr>
        <w:t xml:space="preserve">este tiempo es razonable para analizar el servicio y dar una estimación de fecha de entrega. </w:t>
      </w:r>
    </w:p>
    <w:p w:rsidR="00476767" w:rsidRPr="00330641" w:rsidRDefault="00476767" w:rsidP="000F58E0">
      <w:pPr>
        <w:spacing w:after="0" w:line="276" w:lineRule="auto"/>
        <w:ind w:left="0" w:right="0" w:firstLine="0"/>
        <w:rPr>
          <w:rFonts w:ascii="ITC Avant Garde" w:hAnsi="ITC Avant Garde"/>
          <w:color w:val="auto"/>
        </w:rPr>
      </w:pPr>
    </w:p>
    <w:p w:rsidR="00FE5F73" w:rsidRPr="00330641" w:rsidRDefault="00FE5F73" w:rsidP="000F58E0">
      <w:pPr>
        <w:spacing w:after="0" w:line="276" w:lineRule="auto"/>
        <w:ind w:left="0" w:right="0" w:firstLine="0"/>
        <w:rPr>
          <w:rFonts w:ascii="ITC Avant Garde" w:hAnsi="ITC Avant Garde" w:cs="Times New Roman"/>
          <w:b/>
          <w:color w:val="auto"/>
        </w:rPr>
      </w:pPr>
      <w:r w:rsidRPr="00330641">
        <w:rPr>
          <w:rFonts w:ascii="ITC Avant Garde" w:hAnsi="ITC Avant Garde" w:cs="Times New Roman"/>
          <w:b/>
          <w:color w:val="auto"/>
        </w:rPr>
        <w:t>Consideraciones del Instituto</w:t>
      </w:r>
      <w:r w:rsidR="00C42595" w:rsidRPr="00330641">
        <w:rPr>
          <w:rFonts w:ascii="ITC Avant Garde" w:hAnsi="ITC Avant Garde" w:cs="Times New Roman"/>
          <w:b/>
          <w:color w:val="auto"/>
        </w:rPr>
        <w:t>:</w:t>
      </w:r>
    </w:p>
    <w:p w:rsidR="004C06B0" w:rsidRPr="00330641" w:rsidRDefault="00CA1435" w:rsidP="000F58E0">
      <w:pPr>
        <w:spacing w:after="0" w:line="276" w:lineRule="auto"/>
        <w:ind w:left="0" w:right="0" w:firstLine="0"/>
        <w:rPr>
          <w:rFonts w:ascii="ITC Avant Garde" w:hAnsi="ITC Avant Garde"/>
          <w:color w:val="auto"/>
        </w:rPr>
      </w:pPr>
      <w:r w:rsidRPr="00330641">
        <w:rPr>
          <w:rFonts w:ascii="ITC Avant Garde" w:hAnsi="ITC Avant Garde"/>
          <w:color w:val="auto"/>
        </w:rPr>
        <w:t>El plazo establecido para la notificación de la fecha de entrega vinculante considera los plazos necesarios para llevar a cabo el procedimiento que permita deter</w:t>
      </w:r>
      <w:r w:rsidR="00C94B70">
        <w:rPr>
          <w:rFonts w:ascii="ITC Avant Garde" w:hAnsi="ITC Avant Garde"/>
          <w:color w:val="auto"/>
        </w:rPr>
        <w:t xml:space="preserve">minar la fecha correspondiente. </w:t>
      </w:r>
      <w:r w:rsidRPr="00330641">
        <w:rPr>
          <w:rFonts w:ascii="ITC Avant Garde" w:hAnsi="ITC Avant Garde"/>
          <w:color w:val="auto"/>
        </w:rPr>
        <w:t xml:space="preserve">Por ello, resulta congruente que </w:t>
      </w:r>
      <w:r w:rsidR="00427780" w:rsidRPr="00330641">
        <w:rPr>
          <w:rFonts w:ascii="ITC Avant Garde" w:hAnsi="ITC Avant Garde"/>
          <w:color w:val="auto"/>
        </w:rPr>
        <w:t>las notificaciones de la fecha de entrega vinculante de los enlaces al CS estén</w:t>
      </w:r>
      <w:r w:rsidRPr="00330641">
        <w:rPr>
          <w:rFonts w:ascii="ITC Avant Garde" w:hAnsi="ITC Avant Garde"/>
          <w:color w:val="auto"/>
        </w:rPr>
        <w:t xml:space="preserve"> </w:t>
      </w:r>
      <w:r w:rsidR="00427780" w:rsidRPr="00330641">
        <w:rPr>
          <w:rFonts w:ascii="ITC Avant Garde" w:hAnsi="ITC Avant Garde"/>
          <w:color w:val="auto"/>
        </w:rPr>
        <w:t>sujetas</w:t>
      </w:r>
      <w:r w:rsidR="004C06B0" w:rsidRPr="00330641">
        <w:rPr>
          <w:rFonts w:ascii="ITC Avant Garde" w:hAnsi="ITC Avant Garde"/>
          <w:color w:val="auto"/>
        </w:rPr>
        <w:t xml:space="preserve">, </w:t>
      </w:r>
      <w:r w:rsidR="006A76D1" w:rsidRPr="00330641">
        <w:rPr>
          <w:rFonts w:ascii="ITC Avant Garde" w:hAnsi="ITC Avant Garde"/>
          <w:color w:val="auto"/>
        </w:rPr>
        <w:t>conforme</w:t>
      </w:r>
      <w:r w:rsidR="004C0AE2" w:rsidRPr="00330641">
        <w:rPr>
          <w:rFonts w:ascii="ITC Avant Garde" w:hAnsi="ITC Avant Garde"/>
          <w:color w:val="auto"/>
        </w:rPr>
        <w:t xml:space="preserve"> a lo</w:t>
      </w:r>
      <w:r w:rsidR="004C06B0" w:rsidRPr="00330641">
        <w:rPr>
          <w:rFonts w:ascii="ITC Avant Garde" w:hAnsi="ITC Avant Garde"/>
          <w:color w:val="auto"/>
        </w:rPr>
        <w:t xml:space="preserve"> establecido en la </w:t>
      </w:r>
      <w:r w:rsidR="003E2C61" w:rsidRPr="00330641">
        <w:rPr>
          <w:rFonts w:ascii="ITC Avant Garde" w:hAnsi="ITC Avant Garde"/>
          <w:color w:val="auto"/>
        </w:rPr>
        <w:t>M</w:t>
      </w:r>
      <w:r w:rsidR="004C06B0" w:rsidRPr="00330641">
        <w:rPr>
          <w:rFonts w:ascii="ITC Avant Garde" w:hAnsi="ITC Avant Garde"/>
          <w:color w:val="auto"/>
        </w:rPr>
        <w:t>edida D</w:t>
      </w:r>
      <w:r w:rsidR="00EA567A" w:rsidRPr="00330641">
        <w:rPr>
          <w:rFonts w:ascii="ITC Avant Garde" w:hAnsi="ITC Avant Garde"/>
          <w:color w:val="auto"/>
        </w:rPr>
        <w:t>e</w:t>
      </w:r>
      <w:r w:rsidR="004C06B0" w:rsidRPr="00330641">
        <w:rPr>
          <w:rFonts w:ascii="ITC Avant Garde" w:hAnsi="ITC Avant Garde"/>
          <w:color w:val="auto"/>
        </w:rPr>
        <w:t>cimoséptima de las Medidas Fijas</w:t>
      </w:r>
      <w:r w:rsidR="006A76D1" w:rsidRPr="00330641">
        <w:rPr>
          <w:rFonts w:ascii="ITC Avant Garde" w:hAnsi="ITC Avant Garde"/>
          <w:color w:val="auto"/>
        </w:rPr>
        <w:t>, misma que establece lo siguiente</w:t>
      </w:r>
      <w:r w:rsidR="00BE2096" w:rsidRPr="00330641">
        <w:rPr>
          <w:rFonts w:ascii="ITC Avant Garde" w:hAnsi="ITC Avant Garde"/>
          <w:color w:val="auto"/>
        </w:rPr>
        <w:t>:</w:t>
      </w:r>
      <w:r w:rsidR="004C06B0" w:rsidRPr="00330641">
        <w:rPr>
          <w:rFonts w:ascii="ITC Avant Garde" w:hAnsi="ITC Avant Garde"/>
          <w:color w:val="auto"/>
        </w:rPr>
        <w:t xml:space="preserve"> </w:t>
      </w:r>
    </w:p>
    <w:p w:rsidR="00BE2096" w:rsidRPr="00330641" w:rsidRDefault="00BE2096" w:rsidP="000F58E0">
      <w:pPr>
        <w:spacing w:after="0" w:line="276" w:lineRule="auto"/>
        <w:ind w:left="0" w:right="0" w:firstLine="0"/>
        <w:rPr>
          <w:rFonts w:ascii="ITC Avant Garde" w:hAnsi="ITC Avant Garde"/>
          <w:color w:val="auto"/>
        </w:rPr>
      </w:pPr>
    </w:p>
    <w:p w:rsidR="00EC515A" w:rsidRPr="00330641" w:rsidRDefault="00BE2096" w:rsidP="000F58E0">
      <w:pPr>
        <w:spacing w:after="0" w:line="276" w:lineRule="auto"/>
        <w:ind w:left="567" w:right="616" w:firstLine="0"/>
        <w:rPr>
          <w:rFonts w:ascii="ITC Avant Garde" w:hAnsi="ITC Avant Garde"/>
          <w:b/>
          <w:i/>
          <w:sz w:val="18"/>
        </w:rPr>
      </w:pPr>
      <w:r w:rsidRPr="00330641">
        <w:rPr>
          <w:rFonts w:ascii="ITC Avant Garde" w:hAnsi="ITC Avant Garde"/>
          <w:color w:val="auto"/>
          <w:sz w:val="18"/>
          <w:szCs w:val="18"/>
        </w:rPr>
        <w:t>“</w:t>
      </w:r>
      <w:r w:rsidR="006A76D1" w:rsidRPr="00330641">
        <w:rPr>
          <w:rFonts w:ascii="ITC Avant Garde" w:hAnsi="ITC Avant Garde"/>
          <w:b/>
          <w:i/>
          <w:sz w:val="18"/>
        </w:rPr>
        <w:t>DECIMOSÉPTIMA.-</w:t>
      </w:r>
      <w:r w:rsidR="006A76D1" w:rsidRPr="00330641">
        <w:rPr>
          <w:rFonts w:ascii="ITC Avant Garde" w:hAnsi="ITC Avant Garde"/>
          <w:i/>
          <w:sz w:val="18"/>
        </w:rPr>
        <w:t xml:space="preserve"> El Agente Económico Preponderante deberá notificar la fecha de entrega vinculante de los enlaces al Concesionario Solicitante o Autorizado Solicitante en un plazo máximo de </w:t>
      </w:r>
      <w:r w:rsidR="006A76D1" w:rsidRPr="00330641">
        <w:rPr>
          <w:rFonts w:ascii="ITC Avant Garde" w:hAnsi="ITC Avant Garde"/>
          <w:b/>
          <w:i/>
          <w:sz w:val="18"/>
        </w:rPr>
        <w:t>siete días hábiles</w:t>
      </w:r>
      <w:r w:rsidR="006A76D1" w:rsidRPr="00330641">
        <w:rPr>
          <w:rFonts w:ascii="ITC Avant Garde" w:hAnsi="ITC Avant Garde"/>
          <w:i/>
          <w:sz w:val="18"/>
        </w:rPr>
        <w:t>, a partir de la fecha de entrega de la solicitud para enlaces de velocidades 8.448 Mbps e inferiores, de diez días hábiles para velocidades de 34.368 Mbps a 155.52 Mbps, y de treinta días hábiles para velocidades de 622.08 Mbps y superiores, así como Enlaces Ethernet;</w:t>
      </w:r>
      <w:r w:rsidR="00EC515A" w:rsidRPr="00330641">
        <w:rPr>
          <w:rFonts w:ascii="ITC Avant Garde" w:hAnsi="ITC Avant Garde"/>
          <w:i/>
          <w:sz w:val="18"/>
        </w:rPr>
        <w:t xml:space="preserve"> tratándose de la entrega del servicio en un punto en el que previamente ya se tenga contratado el servicio, o en caso de que se requiera la provisión del servicio de manera anticipada, o de Enlaces de Interconexión, deberán notificar la fecha de entrega en un plazo máximo de </w:t>
      </w:r>
      <w:r w:rsidR="00EC515A" w:rsidRPr="00330641">
        <w:rPr>
          <w:rFonts w:ascii="ITC Avant Garde" w:hAnsi="ITC Avant Garde"/>
          <w:b/>
          <w:i/>
          <w:sz w:val="18"/>
        </w:rPr>
        <w:t>cinco días hábiles.</w:t>
      </w:r>
    </w:p>
    <w:p w:rsidR="00EC515A" w:rsidRPr="00330641" w:rsidRDefault="00EC515A" w:rsidP="000F58E0">
      <w:pPr>
        <w:spacing w:after="0" w:line="276" w:lineRule="auto"/>
        <w:ind w:left="567" w:right="616" w:firstLine="0"/>
        <w:rPr>
          <w:rFonts w:ascii="ITC Avant Garde" w:hAnsi="ITC Avant Garde"/>
          <w:i/>
          <w:sz w:val="18"/>
        </w:rPr>
      </w:pPr>
    </w:p>
    <w:p w:rsidR="00BE2096" w:rsidRPr="00330641" w:rsidRDefault="00EC515A" w:rsidP="000F58E0">
      <w:pPr>
        <w:spacing w:after="0" w:line="276" w:lineRule="auto"/>
        <w:ind w:left="567" w:right="616" w:firstLine="0"/>
        <w:rPr>
          <w:rFonts w:ascii="ITC Avant Garde" w:hAnsi="ITC Avant Garde"/>
          <w:color w:val="auto"/>
          <w:sz w:val="18"/>
          <w:szCs w:val="18"/>
        </w:rPr>
      </w:pPr>
      <w:r w:rsidRPr="00330641">
        <w:rPr>
          <w:rFonts w:ascii="ITC Avant Garde" w:hAnsi="ITC Avant Garde"/>
          <w:i/>
          <w:sz w:val="18"/>
        </w:rPr>
        <w:t xml:space="preserve">La fecha de entrega vinculante de los enlaces deberá ser programada dentro de los plazos establecidos en la Oferta de Referencia. </w:t>
      </w:r>
    </w:p>
    <w:p w:rsidR="00BE2096" w:rsidRPr="00330641" w:rsidRDefault="00BE2096" w:rsidP="00371339">
      <w:pPr>
        <w:spacing w:after="0" w:line="276" w:lineRule="auto"/>
        <w:ind w:right="616" w:firstLine="557"/>
        <w:rPr>
          <w:rFonts w:ascii="ITC Avant Garde" w:hAnsi="ITC Avant Garde" w:cs="Arial"/>
          <w:sz w:val="18"/>
          <w:szCs w:val="18"/>
        </w:rPr>
      </w:pPr>
      <w:r w:rsidRPr="00330641">
        <w:rPr>
          <w:rFonts w:ascii="ITC Avant Garde" w:hAnsi="ITC Avant Garde" w:cs="Arial"/>
          <w:sz w:val="18"/>
          <w:szCs w:val="18"/>
        </w:rPr>
        <w:lastRenderedPageBreak/>
        <w:t>(…)”</w:t>
      </w:r>
    </w:p>
    <w:p w:rsidR="00371339" w:rsidRPr="00330641" w:rsidRDefault="00371339" w:rsidP="00371339">
      <w:pPr>
        <w:autoSpaceDE w:val="0"/>
        <w:autoSpaceDN w:val="0"/>
        <w:spacing w:after="0" w:line="276" w:lineRule="auto"/>
        <w:ind w:left="567" w:right="616"/>
        <w:jc w:val="right"/>
        <w:rPr>
          <w:rFonts w:ascii="ITC Avant Garde" w:hAnsi="ITC Avant Garde" w:cs="Arial"/>
          <w:i/>
          <w:sz w:val="18"/>
          <w:szCs w:val="18"/>
        </w:rPr>
      </w:pPr>
      <w:r>
        <w:rPr>
          <w:rFonts w:ascii="ITC Avant Garde" w:hAnsi="ITC Avant Garde" w:cs="Arial"/>
          <w:i/>
          <w:sz w:val="18"/>
          <w:szCs w:val="18"/>
        </w:rPr>
        <w:t>(énfasis añadido)</w:t>
      </w:r>
    </w:p>
    <w:p w:rsidR="00BE2096" w:rsidRPr="00330641" w:rsidRDefault="00BE2096" w:rsidP="000F58E0">
      <w:pPr>
        <w:spacing w:after="0" w:line="276" w:lineRule="auto"/>
        <w:ind w:left="7647" w:right="616" w:firstLine="141"/>
        <w:rPr>
          <w:rFonts w:ascii="ITC Avant Garde" w:hAnsi="ITC Avant Garde"/>
          <w:color w:val="auto"/>
          <w:sz w:val="18"/>
          <w:szCs w:val="18"/>
        </w:rPr>
      </w:pPr>
    </w:p>
    <w:p w:rsidR="00752C96" w:rsidRPr="00330641" w:rsidRDefault="00752C96" w:rsidP="000F58E0">
      <w:pPr>
        <w:spacing w:after="0" w:line="276" w:lineRule="auto"/>
        <w:ind w:left="0" w:right="0" w:firstLine="0"/>
        <w:rPr>
          <w:rFonts w:ascii="ITC Avant Garde" w:eastAsia="Times New Roman" w:hAnsi="ITC Avant Garde" w:cs="Times New Roman"/>
          <w:iCs/>
          <w:color w:val="auto"/>
          <w:lang w:val="es-ES"/>
        </w:rPr>
      </w:pPr>
      <w:r w:rsidRPr="00330641">
        <w:rPr>
          <w:rFonts w:ascii="ITC Avant Garde" w:eastAsia="Times New Roman" w:hAnsi="ITC Avant Garde" w:cs="Times New Roman"/>
          <w:iCs/>
          <w:color w:val="auto"/>
          <w:lang w:val="es-ES"/>
        </w:rPr>
        <w:t>Por lo anterior se modificó el numeral 2.5.5 en los siguientes términos:</w:t>
      </w:r>
    </w:p>
    <w:p w:rsidR="00752C96" w:rsidRPr="00330641" w:rsidRDefault="00752C96" w:rsidP="000F58E0">
      <w:pPr>
        <w:spacing w:after="0" w:line="276" w:lineRule="auto"/>
        <w:ind w:left="0" w:right="0" w:firstLine="0"/>
        <w:rPr>
          <w:rFonts w:ascii="ITC Avant Garde" w:eastAsia="Times New Roman" w:hAnsi="ITC Avant Garde" w:cs="Times New Roman"/>
          <w:iCs/>
          <w:color w:val="auto"/>
          <w:lang w:val="es-ES"/>
        </w:rPr>
      </w:pPr>
    </w:p>
    <w:p w:rsidR="00752C96" w:rsidRPr="00330641" w:rsidRDefault="00752C96" w:rsidP="000F58E0">
      <w:pPr>
        <w:autoSpaceDE w:val="0"/>
        <w:autoSpaceDN w:val="0"/>
        <w:spacing w:after="0" w:line="276" w:lineRule="auto"/>
        <w:ind w:left="567" w:right="616"/>
        <w:rPr>
          <w:rFonts w:ascii="ITC Avant Garde" w:hAnsi="ITC Avant Garde" w:cs="Arial"/>
          <w:i/>
          <w:sz w:val="18"/>
          <w:szCs w:val="18"/>
        </w:rPr>
      </w:pPr>
      <w:r w:rsidRPr="00330641">
        <w:rPr>
          <w:rFonts w:ascii="ITC Avant Garde" w:hAnsi="ITC Avant Garde" w:cs="Arial"/>
          <w:i/>
          <w:sz w:val="18"/>
          <w:szCs w:val="18"/>
        </w:rPr>
        <w:t>“[…]</w:t>
      </w:r>
    </w:p>
    <w:p w:rsidR="00752C96" w:rsidRPr="00330641" w:rsidRDefault="00752C96" w:rsidP="000F58E0">
      <w:pPr>
        <w:autoSpaceDE w:val="0"/>
        <w:autoSpaceDN w:val="0"/>
        <w:spacing w:after="0" w:line="276" w:lineRule="auto"/>
        <w:ind w:left="567" w:right="616"/>
        <w:rPr>
          <w:rFonts w:ascii="ITC Avant Garde" w:hAnsi="ITC Avant Garde" w:cs="Arial"/>
          <w:i/>
          <w:sz w:val="18"/>
          <w:szCs w:val="18"/>
        </w:rPr>
      </w:pPr>
      <w:r w:rsidRPr="00330641">
        <w:rPr>
          <w:rFonts w:ascii="ITC Avant Garde" w:hAnsi="ITC Avant Garde" w:cs="Arial"/>
          <w:i/>
          <w:sz w:val="18"/>
          <w:szCs w:val="18"/>
        </w:rPr>
        <w:t xml:space="preserve">2.5.5 </w:t>
      </w:r>
      <w:r w:rsidR="00560588" w:rsidRPr="00330641">
        <w:rPr>
          <w:rFonts w:ascii="ITC Avant Garde" w:hAnsi="ITC Avant Garde" w:cs="Arial"/>
          <w:i/>
          <w:sz w:val="18"/>
          <w:szCs w:val="18"/>
        </w:rPr>
        <w:t>La División Mayorista de Telmex/</w:t>
      </w:r>
      <w:proofErr w:type="spellStart"/>
      <w:r w:rsidR="00560588" w:rsidRPr="00330641">
        <w:rPr>
          <w:rFonts w:ascii="ITC Avant Garde" w:hAnsi="ITC Avant Garde" w:cs="Arial"/>
          <w:i/>
          <w:sz w:val="18"/>
          <w:szCs w:val="18"/>
        </w:rPr>
        <w:t>Telnor</w:t>
      </w:r>
      <w:proofErr w:type="spellEnd"/>
      <w:r w:rsidR="00560588" w:rsidRPr="00330641">
        <w:rPr>
          <w:rFonts w:ascii="ITC Avant Garde" w:hAnsi="ITC Avant Garde" w:cs="Arial"/>
          <w:i/>
          <w:sz w:val="18"/>
          <w:szCs w:val="18"/>
        </w:rPr>
        <w:t xml:space="preserve"> </w:t>
      </w:r>
      <w:r w:rsidRPr="00330641">
        <w:rPr>
          <w:rFonts w:ascii="ITC Avant Garde" w:hAnsi="ITC Avant Garde" w:cs="Arial"/>
          <w:i/>
          <w:sz w:val="18"/>
          <w:szCs w:val="18"/>
        </w:rPr>
        <w:t xml:space="preserve">notificará la fecha de entrega vinculante de los Enlaces al Concesionario Solicitante o Autorizado Solicitante en un plazo máximo de </w:t>
      </w:r>
      <w:r w:rsidRPr="00330641">
        <w:rPr>
          <w:rFonts w:ascii="ITC Avant Garde" w:hAnsi="ITC Avant Garde" w:cs="Arial"/>
          <w:b/>
          <w:i/>
          <w:sz w:val="18"/>
          <w:szCs w:val="18"/>
        </w:rPr>
        <w:t>7 (siete</w:t>
      </w:r>
      <w:r w:rsidRPr="00330641">
        <w:rPr>
          <w:rFonts w:ascii="ITC Avant Garde" w:hAnsi="ITC Avant Garde" w:cs="Arial"/>
          <w:b/>
          <w:i/>
          <w:color w:val="000000" w:themeColor="text1"/>
          <w:sz w:val="18"/>
          <w:szCs w:val="18"/>
        </w:rPr>
        <w:t>)</w:t>
      </w:r>
      <w:r w:rsidRPr="00330641">
        <w:rPr>
          <w:rFonts w:ascii="ITC Avant Garde" w:hAnsi="ITC Avant Garde" w:cs="Arial"/>
          <w:i/>
          <w:color w:val="000000" w:themeColor="text1"/>
          <w:sz w:val="18"/>
          <w:szCs w:val="18"/>
        </w:rPr>
        <w:t xml:space="preserve"> días hábiles a partir de la entrega del número de referencia para enlaces de velocidades </w:t>
      </w:r>
      <w:r w:rsidRPr="00330641">
        <w:rPr>
          <w:rFonts w:ascii="ITC Avant Garde" w:hAnsi="ITC Avant Garde" w:cs="Arial"/>
          <w:i/>
          <w:sz w:val="18"/>
          <w:szCs w:val="18"/>
        </w:rPr>
        <w:t>8.448</w:t>
      </w:r>
      <w:r w:rsidRPr="00330641">
        <w:rPr>
          <w:rFonts w:ascii="ITC Avant Garde" w:hAnsi="ITC Avant Garde" w:cs="Arial"/>
          <w:i/>
          <w:color w:val="000000" w:themeColor="text1"/>
          <w:sz w:val="18"/>
          <w:szCs w:val="18"/>
        </w:rPr>
        <w:t xml:space="preserve"> Mbps e inferiores, </w:t>
      </w:r>
      <w:r w:rsidRPr="00330641">
        <w:rPr>
          <w:rFonts w:ascii="ITC Avant Garde" w:hAnsi="ITC Avant Garde" w:cs="Arial"/>
          <w:i/>
          <w:sz w:val="18"/>
          <w:szCs w:val="18"/>
        </w:rPr>
        <w:t xml:space="preserve">de 10 (diez) días hábiles a partir de la entrega del número de referencia para velocidades de 34.368 Mbps a 155.52 Mbps </w:t>
      </w:r>
      <w:r w:rsidRPr="00330641">
        <w:rPr>
          <w:rFonts w:ascii="ITC Avant Garde" w:hAnsi="ITC Avant Garde" w:cs="Arial"/>
          <w:i/>
          <w:color w:val="000000" w:themeColor="text1"/>
          <w:sz w:val="18"/>
          <w:szCs w:val="18"/>
        </w:rPr>
        <w:t xml:space="preserve">y de </w:t>
      </w:r>
      <w:r w:rsidRPr="00330641">
        <w:rPr>
          <w:rFonts w:ascii="ITC Avant Garde" w:hAnsi="ITC Avant Garde" w:cs="Arial"/>
          <w:i/>
          <w:sz w:val="18"/>
          <w:szCs w:val="18"/>
        </w:rPr>
        <w:t>30 (treinta) días hábiles a partir de la entrega del número de referencia para velocidades de 622.08</w:t>
      </w:r>
      <w:r w:rsidRPr="00330641">
        <w:rPr>
          <w:rFonts w:ascii="ITC Avant Garde" w:hAnsi="ITC Avant Garde" w:cs="Arial"/>
          <w:i/>
          <w:color w:val="000000" w:themeColor="text1"/>
          <w:sz w:val="18"/>
          <w:szCs w:val="18"/>
        </w:rPr>
        <w:t xml:space="preserve"> </w:t>
      </w:r>
      <w:r w:rsidRPr="00330641">
        <w:rPr>
          <w:rFonts w:ascii="ITC Avant Garde" w:hAnsi="ITC Avant Garde" w:cs="Arial"/>
          <w:i/>
          <w:sz w:val="18"/>
          <w:szCs w:val="18"/>
        </w:rPr>
        <w:t>Mbps y superiores</w:t>
      </w:r>
      <w:r w:rsidRPr="00330641">
        <w:rPr>
          <w:rFonts w:ascii="ITC Avant Garde" w:hAnsi="ITC Avant Garde"/>
          <w:i/>
          <w:sz w:val="18"/>
          <w:szCs w:val="18"/>
        </w:rPr>
        <w:t xml:space="preserve">, </w:t>
      </w:r>
      <w:r w:rsidRPr="00330641">
        <w:rPr>
          <w:rFonts w:ascii="ITC Avant Garde" w:hAnsi="ITC Avant Garde" w:cs="Arial"/>
          <w:i/>
          <w:sz w:val="18"/>
          <w:szCs w:val="18"/>
        </w:rPr>
        <w:t>así como Enlaces Ethernet</w:t>
      </w:r>
      <w:r w:rsidRPr="00330641">
        <w:rPr>
          <w:rFonts w:ascii="ITC Avant Garde" w:hAnsi="ITC Avant Garde" w:cs="Arial"/>
          <w:i/>
          <w:color w:val="000000" w:themeColor="text1"/>
          <w:sz w:val="18"/>
          <w:szCs w:val="18"/>
        </w:rPr>
        <w:t>,</w:t>
      </w:r>
      <w:r w:rsidRPr="00330641">
        <w:rPr>
          <w:rFonts w:ascii="ITC Avant Garde" w:hAnsi="ITC Avant Garde" w:cs="Arial"/>
          <w:i/>
          <w:sz w:val="18"/>
          <w:szCs w:val="18"/>
        </w:rPr>
        <w:t xml:space="preserve"> tratándose de la entrega del servicio en un punto en el que previamente ya se tenga contratado el servicio o en caso de que se requiera la provisión del servicio de manera anticipada, deberá notificar la fecha de entrega vinculante en un plazo máximo de </w:t>
      </w:r>
      <w:r w:rsidRPr="00330641">
        <w:rPr>
          <w:rFonts w:ascii="ITC Avant Garde" w:hAnsi="ITC Avant Garde" w:cs="Arial"/>
          <w:b/>
          <w:i/>
          <w:sz w:val="18"/>
          <w:szCs w:val="18"/>
        </w:rPr>
        <w:t>5 (cinco)</w:t>
      </w:r>
      <w:r w:rsidRPr="00330641">
        <w:rPr>
          <w:rFonts w:ascii="ITC Avant Garde" w:hAnsi="ITC Avant Garde" w:cs="Arial"/>
          <w:i/>
          <w:sz w:val="18"/>
          <w:szCs w:val="18"/>
        </w:rPr>
        <w:t xml:space="preserve"> días hábiles, contados a partir de la entrega del número de referencia.”</w:t>
      </w:r>
    </w:p>
    <w:p w:rsidR="00371339" w:rsidRPr="00330641" w:rsidRDefault="00371339" w:rsidP="00371339">
      <w:pPr>
        <w:autoSpaceDE w:val="0"/>
        <w:autoSpaceDN w:val="0"/>
        <w:spacing w:after="0" w:line="276" w:lineRule="auto"/>
        <w:ind w:left="567" w:right="616"/>
        <w:jc w:val="right"/>
        <w:rPr>
          <w:rFonts w:ascii="ITC Avant Garde" w:hAnsi="ITC Avant Garde" w:cs="Arial"/>
          <w:i/>
          <w:sz w:val="18"/>
          <w:szCs w:val="18"/>
        </w:rPr>
      </w:pPr>
      <w:r>
        <w:rPr>
          <w:rFonts w:ascii="ITC Avant Garde" w:hAnsi="ITC Avant Garde" w:cs="Arial"/>
          <w:i/>
          <w:sz w:val="18"/>
          <w:szCs w:val="18"/>
        </w:rPr>
        <w:t>(énfasis añadido)</w:t>
      </w:r>
    </w:p>
    <w:p w:rsidR="00752C96" w:rsidRDefault="00752C96" w:rsidP="000F58E0">
      <w:pPr>
        <w:pStyle w:val="IFTnormal"/>
        <w:spacing w:after="0"/>
        <w:ind w:left="0"/>
        <w:rPr>
          <w:rFonts w:eastAsiaTheme="majorEastAsia"/>
          <w:b/>
          <w:u w:val="single"/>
        </w:rPr>
      </w:pPr>
    </w:p>
    <w:p w:rsidR="00DA60CB" w:rsidRPr="00330641" w:rsidRDefault="00DA60CB" w:rsidP="000F58E0">
      <w:pPr>
        <w:pStyle w:val="IFTnormal"/>
        <w:spacing w:after="0"/>
        <w:ind w:left="0"/>
        <w:rPr>
          <w:rFonts w:eastAsiaTheme="majorEastAsia"/>
          <w:u w:val="single"/>
        </w:rPr>
      </w:pPr>
      <w:r w:rsidRPr="00330641">
        <w:rPr>
          <w:rFonts w:eastAsiaTheme="majorEastAsia"/>
          <w:b/>
          <w:u w:val="single"/>
        </w:rPr>
        <w:t>2.5.6</w:t>
      </w:r>
      <w:r w:rsidR="006244D3" w:rsidRPr="00330641">
        <w:rPr>
          <w:rFonts w:eastAsiaTheme="majorEastAsia"/>
          <w:b/>
          <w:u w:val="single"/>
        </w:rPr>
        <w:t xml:space="preserve"> Proyectos Especiales</w:t>
      </w:r>
      <w:r w:rsidR="003261B7" w:rsidRPr="00330641">
        <w:rPr>
          <w:rFonts w:eastAsiaTheme="majorEastAsia"/>
          <w:b/>
          <w:u w:val="single"/>
        </w:rPr>
        <w:t>.</w:t>
      </w:r>
    </w:p>
    <w:p w:rsidR="00430DE8" w:rsidRPr="00330641" w:rsidRDefault="00430DE8" w:rsidP="000F58E0">
      <w:pPr>
        <w:spacing w:after="0" w:line="276" w:lineRule="auto"/>
        <w:ind w:left="0" w:right="0" w:firstLine="0"/>
        <w:rPr>
          <w:rFonts w:ascii="ITC Avant Garde" w:hAnsi="ITC Avant Garde"/>
          <w:b/>
          <w:color w:val="auto"/>
        </w:rPr>
      </w:pPr>
      <w:r w:rsidRPr="00330641">
        <w:rPr>
          <w:rFonts w:ascii="ITC Avant Garde" w:hAnsi="ITC Avant Garde"/>
          <w:b/>
          <w:color w:val="auto"/>
        </w:rPr>
        <w:t>AXTEL</w:t>
      </w:r>
      <w:r w:rsidR="00FA01A1" w:rsidRPr="00330641">
        <w:rPr>
          <w:rFonts w:ascii="ITC Avant Garde" w:hAnsi="ITC Avant Garde"/>
          <w:b/>
          <w:color w:val="auto"/>
        </w:rPr>
        <w:t>:</w:t>
      </w:r>
    </w:p>
    <w:p w:rsidR="003D07DA" w:rsidRPr="00330641" w:rsidRDefault="0003296F" w:rsidP="000F58E0">
      <w:pPr>
        <w:spacing w:after="0" w:line="276" w:lineRule="auto"/>
        <w:ind w:left="0" w:right="0" w:firstLine="0"/>
        <w:rPr>
          <w:rFonts w:ascii="ITC Avant Garde" w:hAnsi="ITC Avant Garde"/>
          <w:color w:val="auto"/>
        </w:rPr>
      </w:pPr>
      <w:r>
        <w:rPr>
          <w:rFonts w:ascii="ITC Avant Garde" w:hAnsi="ITC Avant Garde"/>
          <w:color w:val="auto"/>
        </w:rPr>
        <w:t>Argumentó</w:t>
      </w:r>
      <w:r w:rsidR="003D07DA" w:rsidRPr="00330641">
        <w:rPr>
          <w:rFonts w:ascii="ITC Avant Garde" w:hAnsi="ITC Avant Garde"/>
          <w:color w:val="auto"/>
        </w:rPr>
        <w:t xml:space="preserve"> que el AEP continúa cubierto para su discrecionalidad el cobro de elementos al mencionar </w:t>
      </w:r>
      <w:r w:rsidR="003D07DA" w:rsidRPr="00330641">
        <w:rPr>
          <w:rFonts w:ascii="ITC Avant Garde" w:hAnsi="ITC Avant Garde"/>
          <w:i/>
          <w:color w:val="auto"/>
        </w:rPr>
        <w:t>“de manera enunciativa más no limitativa</w:t>
      </w:r>
      <w:r w:rsidR="003D07DA" w:rsidRPr="00330641">
        <w:rPr>
          <w:rFonts w:ascii="ITC Avant Garde" w:hAnsi="ITC Avant Garde"/>
          <w:color w:val="auto"/>
        </w:rPr>
        <w:t>”.</w:t>
      </w:r>
    </w:p>
    <w:p w:rsidR="003D07DA" w:rsidRPr="00330641" w:rsidRDefault="003D07DA" w:rsidP="000F58E0">
      <w:pPr>
        <w:spacing w:after="0" w:line="276" w:lineRule="auto"/>
        <w:ind w:left="0" w:right="0" w:firstLine="0"/>
        <w:rPr>
          <w:rFonts w:ascii="ITC Avant Garde" w:hAnsi="ITC Avant Garde"/>
          <w:color w:val="auto"/>
        </w:rPr>
      </w:pPr>
    </w:p>
    <w:p w:rsidR="008450D1" w:rsidRDefault="003D07DA" w:rsidP="00531238">
      <w:pPr>
        <w:spacing w:after="0" w:line="276" w:lineRule="auto"/>
        <w:ind w:left="0" w:right="0" w:firstLine="0"/>
        <w:rPr>
          <w:rFonts w:ascii="ITC Avant Garde" w:hAnsi="ITC Avant Garde" w:cs="Arial"/>
          <w:color w:val="auto"/>
        </w:rPr>
      </w:pPr>
      <w:r w:rsidRPr="00330641">
        <w:rPr>
          <w:rFonts w:ascii="ITC Avant Garde" w:hAnsi="ITC Avant Garde"/>
          <w:color w:val="auto"/>
        </w:rPr>
        <w:t>Asimismo, s</w:t>
      </w:r>
      <w:r w:rsidR="0003296F">
        <w:rPr>
          <w:rFonts w:ascii="ITC Avant Garde" w:hAnsi="ITC Avant Garde"/>
          <w:color w:val="auto"/>
        </w:rPr>
        <w:t>olicitó</w:t>
      </w:r>
      <w:r w:rsidR="00531238" w:rsidRPr="00330641">
        <w:rPr>
          <w:rFonts w:ascii="ITC Avant Garde" w:hAnsi="ITC Avant Garde"/>
          <w:color w:val="auto"/>
        </w:rPr>
        <w:t xml:space="preserve"> al Instituto no conceder a la </w:t>
      </w:r>
      <w:r w:rsidR="00252CB2" w:rsidRPr="00330641">
        <w:rPr>
          <w:rFonts w:ascii="ITC Avant Garde" w:hAnsi="ITC Avant Garde"/>
          <w:color w:val="auto"/>
        </w:rPr>
        <w:t>DM</w:t>
      </w:r>
      <w:r w:rsidR="00252CB2" w:rsidRPr="00330641" w:rsidDel="00252CB2">
        <w:rPr>
          <w:rFonts w:ascii="ITC Avant Garde" w:hAnsi="ITC Avant Garde"/>
          <w:color w:val="auto"/>
        </w:rPr>
        <w:t xml:space="preserve"> </w:t>
      </w:r>
      <w:r w:rsidR="00531238" w:rsidRPr="00330641">
        <w:rPr>
          <w:rFonts w:ascii="ITC Avant Garde" w:hAnsi="ITC Avant Garde"/>
          <w:color w:val="auto"/>
        </w:rPr>
        <w:t>reincorporar en sus respectivas ofertas conceptos tales como cobro de proyectos especiales asociados a las redes de transporte</w:t>
      </w:r>
      <w:r w:rsidR="00602350">
        <w:rPr>
          <w:rFonts w:ascii="ITC Avant Garde" w:hAnsi="ITC Avant Garde"/>
          <w:color w:val="auto"/>
        </w:rPr>
        <w:t xml:space="preserve"> o de la red de larga distancia.</w:t>
      </w:r>
      <w:r w:rsidR="00531238" w:rsidRPr="00330641">
        <w:rPr>
          <w:rFonts w:ascii="ITC Avant Garde" w:hAnsi="ITC Avant Garde"/>
          <w:color w:val="auto"/>
        </w:rPr>
        <w:t xml:space="preserve"> </w:t>
      </w:r>
      <w:r w:rsidR="00602350">
        <w:rPr>
          <w:rFonts w:ascii="ITC Avant Garde" w:hAnsi="ITC Avant Garde"/>
          <w:color w:val="auto"/>
        </w:rPr>
        <w:t>Solicitó que</w:t>
      </w:r>
      <w:r w:rsidR="00531238" w:rsidRPr="00330641">
        <w:rPr>
          <w:rFonts w:ascii="ITC Avant Garde" w:hAnsi="ITC Avant Garde"/>
          <w:color w:val="auto"/>
        </w:rPr>
        <w:t xml:space="preserve"> no se considere como proyectos especiales por conceptos de adecuaciones dado que estas están asociadas a la instalación de equipos de central, dichos conceptos o elementos ya están considerados dentro de las tarifas resultantes del modelo de costos.</w:t>
      </w:r>
      <w:r w:rsidR="00A27C2B">
        <w:rPr>
          <w:rFonts w:ascii="ITC Avant Garde" w:hAnsi="ITC Avant Garde" w:cs="Arial"/>
          <w:color w:val="auto"/>
        </w:rPr>
        <w:t xml:space="preserve"> </w:t>
      </w:r>
      <w:r w:rsidR="00A27C2B" w:rsidRPr="003D2702">
        <w:rPr>
          <w:rFonts w:ascii="ITC Avant Garde" w:hAnsi="ITC Avant Garde" w:cs="Arial"/>
          <w:color w:val="auto"/>
        </w:rPr>
        <w:t>tales como ruta física, escalerillas y canaletas.</w:t>
      </w:r>
    </w:p>
    <w:p w:rsidR="00A27C2B" w:rsidRPr="00330641" w:rsidRDefault="00A27C2B" w:rsidP="00531238">
      <w:pPr>
        <w:spacing w:after="0" w:line="276" w:lineRule="auto"/>
        <w:ind w:left="0" w:right="0" w:firstLine="0"/>
        <w:rPr>
          <w:rFonts w:ascii="ITC Avant Garde" w:hAnsi="ITC Avant Garde"/>
          <w:color w:val="auto"/>
        </w:rPr>
      </w:pPr>
    </w:p>
    <w:p w:rsidR="00531238" w:rsidRPr="00330641" w:rsidRDefault="00531238" w:rsidP="00531238">
      <w:pPr>
        <w:spacing w:after="0" w:line="276" w:lineRule="auto"/>
        <w:ind w:left="0" w:right="0" w:firstLine="0"/>
        <w:rPr>
          <w:rFonts w:ascii="ITC Avant Garde" w:hAnsi="ITC Avant Garde"/>
          <w:color w:val="auto"/>
        </w:rPr>
      </w:pPr>
      <w:r w:rsidRPr="00330641">
        <w:rPr>
          <w:rFonts w:ascii="ITC Avant Garde" w:hAnsi="ITC Avant Garde"/>
          <w:color w:val="auto"/>
        </w:rPr>
        <w:t>Por otro lado,</w:t>
      </w:r>
      <w:r w:rsidR="006224DB">
        <w:rPr>
          <w:rFonts w:ascii="ITC Avant Garde" w:hAnsi="ITC Avant Garde"/>
          <w:color w:val="auto"/>
        </w:rPr>
        <w:t xml:space="preserve"> señal</w:t>
      </w:r>
      <w:r w:rsidR="00A27C2B">
        <w:rPr>
          <w:rFonts w:ascii="ITC Avant Garde" w:hAnsi="ITC Avant Garde"/>
          <w:color w:val="auto"/>
        </w:rPr>
        <w:t>ó</w:t>
      </w:r>
      <w:r w:rsidR="006224DB">
        <w:rPr>
          <w:rFonts w:ascii="ITC Avant Garde" w:hAnsi="ITC Avant Garde"/>
          <w:color w:val="auto"/>
        </w:rPr>
        <w:t xml:space="preserve"> que</w:t>
      </w:r>
      <w:r w:rsidRPr="00330641">
        <w:rPr>
          <w:rFonts w:ascii="ITC Avant Garde" w:hAnsi="ITC Avant Garde"/>
          <w:color w:val="auto"/>
        </w:rPr>
        <w:t xml:space="preserve"> deben ser acotadas para eliminar posibles actuaciones discrecionales por parte del AEP, el evaluar la procedencia de cobrar proyectos especiales asociados a la red de acceso, el </w:t>
      </w:r>
      <w:r w:rsidR="00E25A4B" w:rsidRPr="00330641">
        <w:rPr>
          <w:rFonts w:ascii="ITC Avant Garde" w:hAnsi="ITC Avant Garde"/>
          <w:color w:val="auto"/>
        </w:rPr>
        <w:t>I</w:t>
      </w:r>
      <w:r w:rsidRPr="00330641">
        <w:rPr>
          <w:rFonts w:ascii="ITC Avant Garde" w:hAnsi="ITC Avant Garde"/>
          <w:color w:val="auto"/>
        </w:rPr>
        <w:t>nstituto debe determinar con base en un modelo de costos un cobro estandarizado por kilómetro y restringido a zonas donde el AEP no tenga cobertura, asimismo en aquellos casos en los que, por falta de infraestructura en la última milla, se justifique un proyecto especial, este deberá considerar la proporcionalidad del servicio contratado, sobre la ocupación de la infraestructura instalada y la duración promedio de la contratación de servicios comparada con la vida útil de la infraestructura instalada.</w:t>
      </w:r>
    </w:p>
    <w:p w:rsidR="00FD2159" w:rsidRPr="00330641" w:rsidRDefault="00FD2159" w:rsidP="00531238">
      <w:pPr>
        <w:spacing w:after="0" w:line="276" w:lineRule="auto"/>
        <w:ind w:left="0" w:right="0" w:firstLine="0"/>
        <w:rPr>
          <w:rFonts w:ascii="ITC Avant Garde" w:hAnsi="ITC Avant Garde"/>
          <w:color w:val="auto"/>
        </w:rPr>
      </w:pPr>
    </w:p>
    <w:p w:rsidR="00FD2159" w:rsidRPr="00330641" w:rsidRDefault="00FD2159" w:rsidP="00531238">
      <w:pPr>
        <w:spacing w:after="0" w:line="276" w:lineRule="auto"/>
        <w:ind w:left="0" w:right="0" w:firstLine="0"/>
        <w:rPr>
          <w:rFonts w:ascii="ITC Avant Garde" w:hAnsi="ITC Avant Garde"/>
          <w:b/>
          <w:color w:val="auto"/>
        </w:rPr>
      </w:pPr>
      <w:r w:rsidRPr="00330641">
        <w:rPr>
          <w:rFonts w:ascii="ITC Avant Garde" w:hAnsi="ITC Avant Garde"/>
          <w:b/>
          <w:color w:val="auto"/>
        </w:rPr>
        <w:t>CANIETI:</w:t>
      </w:r>
    </w:p>
    <w:p w:rsidR="00A7128D" w:rsidRPr="00330641" w:rsidRDefault="0012211F" w:rsidP="0071752E">
      <w:pPr>
        <w:pStyle w:val="IFT1"/>
        <w:tabs>
          <w:tab w:val="left" w:pos="426"/>
        </w:tabs>
        <w:spacing w:after="0"/>
      </w:pPr>
      <w:r>
        <w:lastRenderedPageBreak/>
        <w:t>Señaló</w:t>
      </w:r>
      <w:r w:rsidR="00A7128D" w:rsidRPr="00330641">
        <w:t xml:space="preserve"> que la ORE DM 202</w:t>
      </w:r>
      <w:r w:rsidR="00E25A4B" w:rsidRPr="00330641">
        <w:t>1</w:t>
      </w:r>
      <w:r w:rsidR="00A7128D" w:rsidRPr="00330641">
        <w:t xml:space="preserve"> cuente con reglas precisas sobre los casos donde exhaustivamente se aplican los proyectos especiales, las cuales deben evitar la aplicación de criterios discrecionales por parte del AEP.</w:t>
      </w:r>
    </w:p>
    <w:p w:rsidR="00A7128D" w:rsidRPr="00330641" w:rsidRDefault="00A7128D" w:rsidP="00963EE8">
      <w:pPr>
        <w:pStyle w:val="IFT1"/>
        <w:tabs>
          <w:tab w:val="left" w:pos="426"/>
        </w:tabs>
        <w:spacing w:after="0"/>
      </w:pPr>
    </w:p>
    <w:p w:rsidR="001C64BE" w:rsidRPr="00330641" w:rsidRDefault="0012211F">
      <w:pPr>
        <w:pStyle w:val="IFT1"/>
        <w:tabs>
          <w:tab w:val="left" w:pos="426"/>
        </w:tabs>
        <w:spacing w:after="0"/>
      </w:pPr>
      <w:r>
        <w:t>Manifestó</w:t>
      </w:r>
      <w:r w:rsidR="00FD2159" w:rsidRPr="00330641">
        <w:t xml:space="preserve"> que</w:t>
      </w:r>
      <w:r w:rsidR="00A7128D" w:rsidRPr="00330641">
        <w:t xml:space="preserve"> el Instituto</w:t>
      </w:r>
      <w:r w:rsidR="00FD2159" w:rsidRPr="00330641">
        <w:t xml:space="preserve"> no debería de permitir a la DM</w:t>
      </w:r>
      <w:r w:rsidR="00A7128D" w:rsidRPr="00330641">
        <w:t xml:space="preserve"> y la EM</w:t>
      </w:r>
      <w:r w:rsidR="00FD2159" w:rsidRPr="00330641">
        <w:t xml:space="preserve"> reincorporar en sus ofertas conceptos relacionados con cobros de Proyectos Especiales asociados a redes de transporte o de larga distancia,</w:t>
      </w:r>
      <w:r w:rsidR="0071752E" w:rsidRPr="00330641">
        <w:t xml:space="preserve"> los cuales el Instituto ya había considerado no procedentes en virtud de que los costos de dichos conceptos estaban considerados dentro de las tarifas resultantes del modelo de costos.</w:t>
      </w:r>
      <w:r w:rsidR="00FD2159" w:rsidRPr="00330641">
        <w:t xml:space="preserve"> dado que sería indebido cobrar Proyectos Especiales adicionales a los gastos de instalación y renta mensual, </w:t>
      </w:r>
      <w:r w:rsidR="00BA264B" w:rsidRPr="00330641">
        <w:t>cuando</w:t>
      </w:r>
      <w:r w:rsidR="00FD2159" w:rsidRPr="00330641">
        <w:t xml:space="preserve"> Telmex recuper</w:t>
      </w:r>
      <w:r w:rsidR="00BA264B" w:rsidRPr="00330641">
        <w:t>a</w:t>
      </w:r>
      <w:r w:rsidR="00FD2159" w:rsidRPr="00330641">
        <w:t xml:space="preserve"> los costos incurr</w:t>
      </w:r>
      <w:r w:rsidR="00BA264B" w:rsidRPr="00330641">
        <w:t>idos para la prestación de los servicios. Asimismo</w:t>
      </w:r>
      <w:r w:rsidR="00330641">
        <w:t>,</w:t>
      </w:r>
      <w:r w:rsidR="00602350">
        <w:t xml:space="preserve"> solicitó</w:t>
      </w:r>
      <w:r w:rsidR="00BA264B" w:rsidRPr="00330641">
        <w:t xml:space="preserve"> tampoco conceder el concepto asociado a proyectos especiales por adecuaciones en central de Telmex, puesto que los elementos considerados dentro del concepto ya están incluidos en las tarifas </w:t>
      </w:r>
      <w:r w:rsidR="00FD2159" w:rsidRPr="00330641">
        <w:t>resultantes del modelo de costos.</w:t>
      </w:r>
      <w:r w:rsidR="001C64BE" w:rsidRPr="00330641">
        <w:t xml:space="preserve"> En este sentido, </w:t>
      </w:r>
      <w:r w:rsidR="0003296F">
        <w:t>argumentó</w:t>
      </w:r>
      <w:r w:rsidR="001C64BE" w:rsidRPr="00330641">
        <w:t xml:space="preserve"> que es necesario precisar que el modelo de costos utilizado por el Instituto para la determinación de las tarifas del servicio de enlaces dedicados, no solo considera los costos relacionados de la red de acc</w:t>
      </w:r>
      <w:r w:rsidR="008C12A9" w:rsidRPr="00330641">
        <w:t>eso o cableado para un servicio, además de las adecuaciones en la central o punto de entrega del servicio de enlace</w:t>
      </w:r>
      <w:r w:rsidR="0003296F">
        <w:t>.</w:t>
      </w:r>
    </w:p>
    <w:p w:rsidR="001C64BE" w:rsidRPr="00330641" w:rsidRDefault="001C64BE">
      <w:pPr>
        <w:pStyle w:val="IFT1"/>
        <w:tabs>
          <w:tab w:val="left" w:pos="426"/>
        </w:tabs>
        <w:spacing w:after="0"/>
      </w:pPr>
    </w:p>
    <w:p w:rsidR="00FD2159" w:rsidRPr="00330641" w:rsidRDefault="0012211F">
      <w:pPr>
        <w:pStyle w:val="IFT1"/>
        <w:tabs>
          <w:tab w:val="left" w:pos="426"/>
        </w:tabs>
        <w:spacing w:after="0"/>
      </w:pPr>
      <w:r>
        <w:t>Señaló</w:t>
      </w:r>
      <w:r w:rsidR="008C12A9" w:rsidRPr="00330641">
        <w:t xml:space="preserve"> que, para proveer un servicio, debe considerarse un incremento natural de capacidad en la red de transporte y adecuaciones en sitio para atender la demanda del servicio de enlaces dedicados,</w:t>
      </w:r>
      <w:r w:rsidR="00FD2159" w:rsidRPr="00330641">
        <w:t xml:space="preserve"> debido a que Telmex debe de tener en cuenta el crecimiento natural de la red para atender la demanda de enlaces dedicados tanto para el CS, como a sus filiales y subsidiarias. </w:t>
      </w:r>
    </w:p>
    <w:p w:rsidR="00FD2159" w:rsidRPr="00330641" w:rsidRDefault="00FD2159">
      <w:pPr>
        <w:pStyle w:val="IFT1"/>
        <w:tabs>
          <w:tab w:val="left" w:pos="426"/>
        </w:tabs>
        <w:spacing w:after="0"/>
      </w:pPr>
    </w:p>
    <w:p w:rsidR="00FD2159" w:rsidRPr="00330641" w:rsidRDefault="00FD2159">
      <w:pPr>
        <w:spacing w:after="0" w:line="276" w:lineRule="auto"/>
        <w:ind w:left="0" w:right="0" w:firstLine="0"/>
        <w:rPr>
          <w:rFonts w:ascii="ITC Avant Garde" w:eastAsia="Times New Roman" w:hAnsi="ITC Avant Garde" w:cs="Times New Roman"/>
          <w:iCs/>
          <w:color w:val="auto"/>
          <w:lang w:eastAsia="en-US"/>
        </w:rPr>
      </w:pPr>
      <w:r w:rsidRPr="00330641">
        <w:rPr>
          <w:rFonts w:ascii="ITC Avant Garde" w:eastAsia="Times New Roman" w:hAnsi="ITC Avant Garde" w:cs="Times New Roman"/>
          <w:iCs/>
          <w:color w:val="auto"/>
          <w:lang w:eastAsia="en-US"/>
        </w:rPr>
        <w:t>Asimismo, en relación a Proyecto Especial</w:t>
      </w:r>
      <w:r w:rsidR="008C12A9" w:rsidRPr="00330641">
        <w:rPr>
          <w:rFonts w:ascii="ITC Avant Garde" w:eastAsia="Times New Roman" w:hAnsi="ITC Avant Garde" w:cs="Times New Roman"/>
          <w:iCs/>
          <w:color w:val="auto"/>
          <w:lang w:eastAsia="en-US"/>
        </w:rPr>
        <w:t xml:space="preserve"> de última milla</w:t>
      </w:r>
      <w:r w:rsidR="00602350">
        <w:rPr>
          <w:rFonts w:ascii="ITC Avant Garde" w:eastAsia="Times New Roman" w:hAnsi="ITC Avant Garde" w:cs="Times New Roman"/>
          <w:iCs/>
          <w:color w:val="auto"/>
          <w:lang w:eastAsia="en-US"/>
        </w:rPr>
        <w:t>, solicitó</w:t>
      </w:r>
      <w:r w:rsidRPr="00330641">
        <w:rPr>
          <w:rFonts w:ascii="ITC Avant Garde" w:eastAsia="Times New Roman" w:hAnsi="ITC Avant Garde" w:cs="Times New Roman"/>
          <w:iCs/>
          <w:color w:val="auto"/>
          <w:lang w:eastAsia="en-US"/>
        </w:rPr>
        <w:t xml:space="preserve"> que el </w:t>
      </w:r>
      <w:r w:rsidR="008C12A9" w:rsidRPr="00330641">
        <w:rPr>
          <w:rFonts w:ascii="ITC Avant Garde" w:eastAsia="Times New Roman" w:hAnsi="ITC Avant Garde" w:cs="Times New Roman"/>
          <w:iCs/>
          <w:color w:val="auto"/>
          <w:lang w:eastAsia="en-US"/>
        </w:rPr>
        <w:t>Instituto</w:t>
      </w:r>
      <w:r w:rsidRPr="00330641">
        <w:rPr>
          <w:rFonts w:ascii="ITC Avant Garde" w:eastAsia="Times New Roman" w:hAnsi="ITC Avant Garde" w:cs="Times New Roman"/>
          <w:iCs/>
          <w:color w:val="auto"/>
          <w:lang w:eastAsia="en-US"/>
        </w:rPr>
        <w:t xml:space="preserve"> establezca un cobro por kilómetro estandarizado a nivel nacional, acotado a zonas donde no tiene cobertura Telmex y siempre y cuando la solicitud esté fuera de pronóstico.</w:t>
      </w:r>
    </w:p>
    <w:p w:rsidR="00BB1291" w:rsidRPr="00330641" w:rsidRDefault="00BB1291" w:rsidP="00531238">
      <w:pPr>
        <w:spacing w:after="0" w:line="276" w:lineRule="auto"/>
        <w:ind w:left="0" w:right="0" w:firstLine="0"/>
        <w:rPr>
          <w:rFonts w:ascii="ITC Avant Garde" w:hAnsi="ITC Avant Garde"/>
          <w:color w:val="auto"/>
        </w:rPr>
      </w:pPr>
    </w:p>
    <w:p w:rsidR="00476767" w:rsidRPr="00330641" w:rsidRDefault="00CD7852" w:rsidP="000F58E0">
      <w:pPr>
        <w:spacing w:after="0" w:line="276" w:lineRule="auto"/>
        <w:ind w:left="0" w:right="0" w:firstLine="0"/>
        <w:rPr>
          <w:rFonts w:ascii="ITC Avant Garde" w:hAnsi="ITC Avant Garde"/>
          <w:b/>
          <w:color w:val="auto"/>
        </w:rPr>
      </w:pPr>
      <w:r w:rsidRPr="00330641">
        <w:rPr>
          <w:rFonts w:ascii="ITC Avant Garde" w:hAnsi="ITC Avant Garde"/>
          <w:b/>
          <w:color w:val="auto"/>
        </w:rPr>
        <w:t>GRUPO AT&amp;T</w:t>
      </w:r>
      <w:r w:rsidR="00FA01A1" w:rsidRPr="00330641">
        <w:rPr>
          <w:rFonts w:ascii="ITC Avant Garde" w:hAnsi="ITC Avant Garde"/>
          <w:b/>
          <w:color w:val="auto"/>
        </w:rPr>
        <w:t>:</w:t>
      </w:r>
    </w:p>
    <w:p w:rsidR="00EC1A4B" w:rsidRDefault="0012211F" w:rsidP="000F58E0">
      <w:pPr>
        <w:spacing w:after="0" w:line="276" w:lineRule="auto"/>
        <w:ind w:left="0" w:right="0" w:firstLine="0"/>
        <w:rPr>
          <w:rFonts w:ascii="ITC Avant Garde" w:hAnsi="ITC Avant Garde"/>
          <w:color w:val="auto"/>
        </w:rPr>
      </w:pPr>
      <w:r>
        <w:rPr>
          <w:rFonts w:ascii="ITC Avant Garde" w:hAnsi="ITC Avant Garde"/>
          <w:color w:val="auto"/>
        </w:rPr>
        <w:t>Señaló</w:t>
      </w:r>
      <w:r w:rsidR="002B2999" w:rsidRPr="00330641">
        <w:rPr>
          <w:rFonts w:ascii="ITC Avant Garde" w:hAnsi="ITC Avant Garde"/>
          <w:color w:val="auto"/>
        </w:rPr>
        <w:t xml:space="preserve"> que en la actualidad existe una absoluta discrecionalidad en el cobro de Proyectos Especiales y el CS se encuentra indefenso ante la ambigüedad de lo </w:t>
      </w:r>
      <w:r w:rsidR="00A27C2B" w:rsidRPr="003D2702">
        <w:rPr>
          <w:rFonts w:ascii="ITC Avant Garde" w:hAnsi="ITC Avant Garde" w:cs="Arial"/>
          <w:color w:val="auto"/>
        </w:rPr>
        <w:t>que se considera como proyecto especial</w:t>
      </w:r>
      <w:r w:rsidR="00A27C2B">
        <w:rPr>
          <w:rFonts w:ascii="ITC Avant Garde" w:hAnsi="ITC Avant Garde" w:cs="Arial"/>
          <w:color w:val="auto"/>
        </w:rPr>
        <w:t>. Señala que la</w:t>
      </w:r>
      <w:r w:rsidR="002B2999" w:rsidRPr="00330641">
        <w:rPr>
          <w:rFonts w:ascii="ITC Avant Garde" w:hAnsi="ITC Avant Garde"/>
          <w:color w:val="auto"/>
        </w:rPr>
        <w:t xml:space="preserve"> falta de capacidad en la red interna de Telmex no justifica un pr</w:t>
      </w:r>
      <w:r w:rsidR="00CA1830" w:rsidRPr="00330641">
        <w:rPr>
          <w:rFonts w:ascii="ITC Avant Garde" w:hAnsi="ITC Avant Garde"/>
          <w:color w:val="auto"/>
        </w:rPr>
        <w:t>o</w:t>
      </w:r>
      <w:r w:rsidR="002B2999" w:rsidRPr="00330641">
        <w:rPr>
          <w:rFonts w:ascii="ITC Avant Garde" w:hAnsi="ITC Avant Garde"/>
          <w:color w:val="auto"/>
        </w:rPr>
        <w:t>yecto esp</w:t>
      </w:r>
      <w:r w:rsidR="00CA1830" w:rsidRPr="00330641">
        <w:rPr>
          <w:rFonts w:ascii="ITC Avant Garde" w:hAnsi="ITC Avant Garde"/>
          <w:color w:val="auto"/>
        </w:rPr>
        <w:t>e</w:t>
      </w:r>
      <w:r w:rsidR="002B2999" w:rsidRPr="00330641">
        <w:rPr>
          <w:rFonts w:ascii="ITC Avant Garde" w:hAnsi="ITC Avant Garde"/>
          <w:color w:val="auto"/>
        </w:rPr>
        <w:t xml:space="preserve">cial </w:t>
      </w:r>
      <w:r w:rsidR="00CA1830" w:rsidRPr="00330641">
        <w:rPr>
          <w:rFonts w:ascii="ITC Avant Garde" w:hAnsi="ITC Avant Garde"/>
          <w:color w:val="auto"/>
        </w:rPr>
        <w:t>puesto que ya está incluida en el precio del enlace</w:t>
      </w:r>
      <w:r w:rsidR="00C33E2B" w:rsidRPr="00330641">
        <w:rPr>
          <w:rFonts w:ascii="ITC Avant Garde" w:hAnsi="ITC Avant Garde"/>
          <w:color w:val="auto"/>
        </w:rPr>
        <w:t>.</w:t>
      </w:r>
    </w:p>
    <w:p w:rsidR="00A27C2B" w:rsidRPr="00330641" w:rsidRDefault="00A27C2B" w:rsidP="000F58E0">
      <w:pPr>
        <w:spacing w:after="0" w:line="276" w:lineRule="auto"/>
        <w:ind w:left="0" w:right="0" w:firstLine="0"/>
        <w:rPr>
          <w:rFonts w:ascii="ITC Avant Garde" w:hAnsi="ITC Avant Garde"/>
          <w:color w:val="auto"/>
        </w:rPr>
      </w:pPr>
    </w:p>
    <w:p w:rsidR="006E44C1" w:rsidRDefault="00EC1A4B" w:rsidP="006E44C1">
      <w:pPr>
        <w:spacing w:after="0" w:line="276" w:lineRule="auto"/>
        <w:ind w:left="0" w:right="0" w:firstLine="0"/>
        <w:rPr>
          <w:rFonts w:ascii="ITC Avant Garde" w:hAnsi="ITC Avant Garde" w:cs="Arial"/>
          <w:color w:val="auto"/>
        </w:rPr>
      </w:pPr>
      <w:r w:rsidRPr="00330641">
        <w:rPr>
          <w:rFonts w:ascii="ITC Avant Garde" w:hAnsi="ITC Avant Garde"/>
          <w:color w:val="auto"/>
        </w:rPr>
        <w:t xml:space="preserve">Por lo que </w:t>
      </w:r>
      <w:r w:rsidR="0003296F">
        <w:rPr>
          <w:rFonts w:ascii="ITC Avant Garde" w:hAnsi="ITC Avant Garde"/>
          <w:color w:val="auto"/>
        </w:rPr>
        <w:t>m</w:t>
      </w:r>
      <w:r w:rsidR="0012211F">
        <w:rPr>
          <w:rFonts w:ascii="ITC Avant Garde" w:hAnsi="ITC Avant Garde"/>
          <w:color w:val="auto"/>
        </w:rPr>
        <w:t>anifestó</w:t>
      </w:r>
      <w:r w:rsidRPr="00330641">
        <w:rPr>
          <w:rFonts w:ascii="ITC Avant Garde" w:hAnsi="ITC Avant Garde"/>
          <w:color w:val="auto"/>
        </w:rPr>
        <w:t xml:space="preserve"> que, si Telmex se encuentra ofreciendo el servicio de enlac</w:t>
      </w:r>
      <w:r w:rsidR="006B4A67" w:rsidRPr="00330641">
        <w:rPr>
          <w:rFonts w:ascii="ITC Avant Garde" w:hAnsi="ITC Avant Garde"/>
          <w:color w:val="auto"/>
        </w:rPr>
        <w:t>e</w:t>
      </w:r>
      <w:r w:rsidRPr="00330641">
        <w:rPr>
          <w:rFonts w:ascii="ITC Avant Garde" w:hAnsi="ITC Avant Garde"/>
          <w:color w:val="auto"/>
        </w:rPr>
        <w:t xml:space="preserve"> </w:t>
      </w:r>
      <w:r w:rsidR="00DA3A07" w:rsidRPr="00330641">
        <w:rPr>
          <w:rFonts w:ascii="ITC Avant Garde" w:hAnsi="ITC Avant Garde"/>
          <w:color w:val="auto"/>
        </w:rPr>
        <w:t xml:space="preserve">en </w:t>
      </w:r>
      <w:r w:rsidRPr="00330641">
        <w:rPr>
          <w:rFonts w:ascii="ITC Avant Garde" w:hAnsi="ITC Avant Garde"/>
          <w:color w:val="auto"/>
        </w:rPr>
        <w:t xml:space="preserve">una localidad para algún usuario o Concesionario, la única causa de cobrar un proyecto especial es para extender su red externa hasta el domicilio solicitado si se </w:t>
      </w:r>
      <w:r w:rsidRPr="00330641">
        <w:rPr>
          <w:rFonts w:ascii="ITC Avant Garde" w:hAnsi="ITC Avant Garde"/>
          <w:color w:val="auto"/>
        </w:rPr>
        <w:lastRenderedPageBreak/>
        <w:t>encuentra a más de 1 km de donde está ofreciendo el servicio. Por otro lado, si el servicio solicitado se encuentra a menos de 1 km de un servicio existente, no se podrá cotizar proyectos especiales</w:t>
      </w:r>
      <w:r w:rsidR="00EA567A" w:rsidRPr="00330641">
        <w:rPr>
          <w:rFonts w:ascii="ITC Avant Garde" w:hAnsi="ITC Avant Garde"/>
          <w:color w:val="auto"/>
        </w:rPr>
        <w:t>.</w:t>
      </w:r>
      <w:r w:rsidR="006E44C1">
        <w:rPr>
          <w:rFonts w:ascii="ITC Avant Garde" w:hAnsi="ITC Avant Garde"/>
          <w:color w:val="auto"/>
        </w:rPr>
        <w:t xml:space="preserve"> </w:t>
      </w:r>
      <w:r w:rsidR="00607573">
        <w:rPr>
          <w:rFonts w:ascii="ITC Avant Garde" w:hAnsi="ITC Avant Garde" w:cs="Arial"/>
          <w:color w:val="auto"/>
        </w:rPr>
        <w:t>Por tanto, sugirió</w:t>
      </w:r>
      <w:r w:rsidR="006E44C1" w:rsidRPr="003D2702">
        <w:rPr>
          <w:rFonts w:ascii="ITC Avant Garde" w:hAnsi="ITC Avant Garde" w:cs="Arial"/>
          <w:color w:val="auto"/>
        </w:rPr>
        <w:t xml:space="preserve"> la siguiente redacción:</w:t>
      </w:r>
    </w:p>
    <w:p w:rsidR="006E44C1" w:rsidRPr="003D2702" w:rsidRDefault="006E44C1" w:rsidP="006E44C1">
      <w:pPr>
        <w:spacing w:after="0" w:line="276" w:lineRule="auto"/>
        <w:ind w:left="0" w:right="0" w:firstLine="0"/>
        <w:rPr>
          <w:rFonts w:ascii="ITC Avant Garde" w:hAnsi="ITC Avant Garde" w:cs="Arial"/>
          <w:color w:val="auto"/>
        </w:rPr>
      </w:pPr>
    </w:p>
    <w:p w:rsidR="006E44C1" w:rsidRDefault="006E44C1" w:rsidP="006E44C1">
      <w:pPr>
        <w:spacing w:after="0" w:line="276" w:lineRule="auto"/>
        <w:ind w:left="567" w:right="0" w:firstLine="0"/>
        <w:rPr>
          <w:rFonts w:ascii="ITC Avant Garde" w:hAnsi="ITC Avant Garde" w:cs="Arial"/>
          <w:i/>
          <w:sz w:val="18"/>
          <w:szCs w:val="18"/>
        </w:rPr>
      </w:pPr>
      <w:r w:rsidRPr="0088169D">
        <w:rPr>
          <w:rFonts w:ascii="ITC Avant Garde" w:hAnsi="ITC Avant Garde" w:cs="Arial"/>
          <w:i/>
          <w:sz w:val="18"/>
          <w:szCs w:val="18"/>
        </w:rPr>
        <w:t>(…)</w:t>
      </w:r>
    </w:p>
    <w:p w:rsidR="006E44C1" w:rsidRDefault="006E44C1" w:rsidP="0088169D">
      <w:pPr>
        <w:spacing w:after="0" w:line="276" w:lineRule="auto"/>
        <w:ind w:left="567" w:right="0" w:firstLine="0"/>
        <w:rPr>
          <w:rFonts w:ascii="ITC Avant Garde" w:hAnsi="ITC Avant Garde" w:cs="Arial"/>
          <w:i/>
          <w:sz w:val="18"/>
          <w:szCs w:val="18"/>
        </w:rPr>
      </w:pPr>
      <w:r w:rsidRPr="0088169D">
        <w:rPr>
          <w:rFonts w:ascii="ITC Avant Garde" w:hAnsi="ITC Avant Garde" w:cs="Arial"/>
          <w:i/>
          <w:sz w:val="18"/>
          <w:szCs w:val="18"/>
        </w:rPr>
        <w:t xml:space="preserve">Cuando no se cuente </w:t>
      </w:r>
      <w:r w:rsidRPr="0088169D">
        <w:rPr>
          <w:rFonts w:ascii="ITC Avant Garde" w:hAnsi="ITC Avant Garde" w:cs="Arial"/>
          <w:b/>
          <w:i/>
          <w:sz w:val="18"/>
          <w:szCs w:val="18"/>
        </w:rPr>
        <w:t>en absoluto</w:t>
      </w:r>
      <w:r w:rsidRPr="0088169D">
        <w:rPr>
          <w:rFonts w:ascii="ITC Avant Garde" w:hAnsi="ITC Avant Garde" w:cs="Arial"/>
          <w:i/>
          <w:sz w:val="18"/>
          <w:szCs w:val="18"/>
        </w:rPr>
        <w:t xml:space="preserve"> con infraestructura en alguna localidad o no exista </w:t>
      </w:r>
      <w:r w:rsidRPr="0088169D">
        <w:rPr>
          <w:rFonts w:ascii="ITC Avant Garde" w:hAnsi="ITC Avant Garde" w:cs="Arial"/>
          <w:b/>
          <w:i/>
          <w:sz w:val="18"/>
          <w:szCs w:val="18"/>
        </w:rPr>
        <w:t>en absoluto</w:t>
      </w:r>
      <w:r w:rsidRPr="0088169D">
        <w:rPr>
          <w:rFonts w:ascii="ITC Avant Garde" w:hAnsi="ITC Avant Garde" w:cs="Arial"/>
          <w:i/>
          <w:sz w:val="18"/>
          <w:szCs w:val="18"/>
        </w:rPr>
        <w:t xml:space="preserve"> infraestructura de red externa cercana al domicilio solicitado para proporcionar algún servicio solicitado (distancia menor a 2.5 km para red de cobre y 1 km para fibra óptica), ni tampoco se tenga planificado realizar inversiones en dicha zona. En este supuesto, Telmex justificará los costos asociados a la parte proporcional de la obra, construcción o implementación de la nueva infraestructura necesaria para la prestación del servicio solicitado por el Concesionario o Autorizado Solicitante.</w:t>
      </w:r>
    </w:p>
    <w:p w:rsidR="006E44C1" w:rsidRPr="0088169D" w:rsidRDefault="006E44C1" w:rsidP="000F58E0">
      <w:pPr>
        <w:spacing w:after="0" w:line="276" w:lineRule="auto"/>
        <w:ind w:left="0" w:right="0" w:firstLine="0"/>
        <w:rPr>
          <w:rFonts w:ascii="ITC Avant Garde" w:hAnsi="ITC Avant Garde" w:cs="Arial"/>
          <w:i/>
          <w:sz w:val="18"/>
          <w:szCs w:val="18"/>
        </w:rPr>
      </w:pPr>
    </w:p>
    <w:p w:rsidR="00271B58" w:rsidRPr="00330641" w:rsidRDefault="00271B58" w:rsidP="000F58E0">
      <w:pPr>
        <w:spacing w:after="0" w:line="276" w:lineRule="auto"/>
        <w:ind w:left="0" w:right="0" w:firstLine="0"/>
        <w:rPr>
          <w:rFonts w:ascii="ITC Avant Garde" w:hAnsi="ITC Avant Garde" w:cs="Times New Roman"/>
          <w:b/>
          <w:color w:val="auto"/>
        </w:rPr>
      </w:pPr>
      <w:r w:rsidRPr="00330641">
        <w:rPr>
          <w:rFonts w:ascii="ITC Avant Garde" w:hAnsi="ITC Avant Garde" w:cs="Times New Roman"/>
          <w:b/>
          <w:color w:val="auto"/>
        </w:rPr>
        <w:t>PEGASO</w:t>
      </w:r>
      <w:r w:rsidR="00E1499B" w:rsidRPr="00330641">
        <w:rPr>
          <w:rFonts w:ascii="ITC Avant Garde" w:hAnsi="ITC Avant Garde" w:cs="Times New Roman"/>
          <w:b/>
          <w:color w:val="auto"/>
        </w:rPr>
        <w:t>:</w:t>
      </w:r>
    </w:p>
    <w:p w:rsidR="00502D13" w:rsidRPr="00330641" w:rsidRDefault="006E44C1" w:rsidP="000F58E0">
      <w:pPr>
        <w:spacing w:after="0" w:line="276" w:lineRule="auto"/>
        <w:ind w:left="0" w:right="0" w:firstLine="0"/>
        <w:rPr>
          <w:rFonts w:ascii="ITC Avant Garde" w:hAnsi="ITC Avant Garde" w:cs="Times New Roman"/>
          <w:color w:val="auto"/>
        </w:rPr>
      </w:pPr>
      <w:r>
        <w:rPr>
          <w:rFonts w:ascii="ITC Avant Garde" w:hAnsi="ITC Avant Garde" w:cs="Times New Roman"/>
          <w:color w:val="auto"/>
        </w:rPr>
        <w:t xml:space="preserve">Solicitó </w:t>
      </w:r>
      <w:r w:rsidR="00271B58" w:rsidRPr="00330641">
        <w:rPr>
          <w:rFonts w:ascii="ITC Avant Garde" w:hAnsi="ITC Avant Garde" w:cs="Times New Roman"/>
          <w:color w:val="auto"/>
        </w:rPr>
        <w:t xml:space="preserve">que el cargo de proyecto especial es sin duda el principal problema actual de la ORE y el componente que en promedio más encarece el servicio. </w:t>
      </w:r>
      <w:r w:rsidR="0012211F">
        <w:rPr>
          <w:rFonts w:ascii="ITC Avant Garde" w:hAnsi="ITC Avant Garde" w:cs="Times New Roman"/>
          <w:color w:val="auto"/>
        </w:rPr>
        <w:t>Manifestó</w:t>
      </w:r>
      <w:r w:rsidR="00271B58" w:rsidRPr="00330641">
        <w:rPr>
          <w:rFonts w:ascii="ITC Avant Garde" w:hAnsi="ITC Avant Garde" w:cs="Times New Roman"/>
          <w:color w:val="auto"/>
        </w:rPr>
        <w:t xml:space="preserve"> que</w:t>
      </w:r>
      <w:r w:rsidR="0013725E" w:rsidRPr="00330641">
        <w:rPr>
          <w:rFonts w:ascii="ITC Avant Garde" w:hAnsi="ITC Avant Garde" w:cs="Times New Roman"/>
          <w:color w:val="auto"/>
        </w:rPr>
        <w:t>,</w:t>
      </w:r>
      <w:r w:rsidR="00271B58" w:rsidRPr="00330641">
        <w:rPr>
          <w:rFonts w:ascii="ITC Avant Garde" w:hAnsi="ITC Avant Garde" w:cs="Times New Roman"/>
          <w:color w:val="auto"/>
        </w:rPr>
        <w:t xml:space="preserve"> en primer lugar, los CS no tienen manera de saber de antemano si por un determinado enlace dedicado le será aplicado el concepto de proyecto especial ya que el SEG no ofrece dicha información ni existen mapas donde se pueda conocer, si determinada zona aplicará el cargo de proyecto especial, </w:t>
      </w:r>
      <w:r w:rsidR="00AC2B0D" w:rsidRPr="00330641">
        <w:rPr>
          <w:rFonts w:ascii="ITC Avant Garde" w:hAnsi="ITC Avant Garde" w:cs="Times New Roman"/>
          <w:color w:val="auto"/>
        </w:rPr>
        <w:t>por lo que debe ser obligación del AEP que las cotizaciones de proyectos especiales incluyan el desglose detallado de los costos, en unidades y precio unitario por cada concepto,</w:t>
      </w:r>
      <w:r w:rsidR="00171B2F" w:rsidRPr="00330641">
        <w:rPr>
          <w:rFonts w:ascii="ITC Avant Garde" w:hAnsi="ITC Avant Garde" w:cs="Times New Roman"/>
          <w:color w:val="auto"/>
        </w:rPr>
        <w:t xml:space="preserve"> </w:t>
      </w:r>
      <w:r w:rsidR="00271B58" w:rsidRPr="00330641">
        <w:rPr>
          <w:rFonts w:ascii="ITC Avant Garde" w:hAnsi="ITC Avant Garde" w:cs="Times New Roman"/>
          <w:color w:val="auto"/>
        </w:rPr>
        <w:t>en segundo lugar, hace mención Pegaso que</w:t>
      </w:r>
      <w:r w:rsidR="0013725E" w:rsidRPr="00330641">
        <w:rPr>
          <w:rFonts w:ascii="ITC Avant Garde" w:hAnsi="ITC Avant Garde" w:cs="Times New Roman"/>
          <w:color w:val="auto"/>
        </w:rPr>
        <w:t xml:space="preserve"> no se está teniendo en cuenta que al menos en las zonas de alta demanda e incluso aunque no exista la infraestructura cercana necesaria y se requiriese del proyecto especial, la infraestructura formaría parte de los activos de AEP</w:t>
      </w:r>
      <w:r w:rsidR="00502D13" w:rsidRPr="00330641">
        <w:rPr>
          <w:rFonts w:ascii="ITC Avant Garde" w:hAnsi="ITC Avant Garde" w:cs="Times New Roman"/>
          <w:color w:val="auto"/>
        </w:rPr>
        <w:t>.</w:t>
      </w:r>
    </w:p>
    <w:p w:rsidR="00502D13" w:rsidRPr="00330641" w:rsidRDefault="00502D13" w:rsidP="000F58E0">
      <w:pPr>
        <w:spacing w:after="0" w:line="276" w:lineRule="auto"/>
        <w:ind w:left="0" w:right="0" w:firstLine="0"/>
        <w:rPr>
          <w:rFonts w:ascii="ITC Avant Garde" w:hAnsi="ITC Avant Garde" w:cs="Times New Roman"/>
          <w:color w:val="auto"/>
        </w:rPr>
      </w:pPr>
    </w:p>
    <w:p w:rsidR="00502D13" w:rsidRPr="00330641" w:rsidRDefault="00502D13" w:rsidP="000F58E0">
      <w:pPr>
        <w:spacing w:after="0" w:line="276" w:lineRule="auto"/>
        <w:ind w:left="0" w:right="0" w:firstLine="0"/>
        <w:rPr>
          <w:rFonts w:ascii="ITC Avant Garde" w:hAnsi="ITC Avant Garde" w:cs="Times New Roman"/>
          <w:color w:val="auto"/>
        </w:rPr>
      </w:pPr>
      <w:r w:rsidRPr="00330641">
        <w:rPr>
          <w:rFonts w:ascii="ITC Avant Garde" w:hAnsi="ITC Avant Garde" w:cs="Times New Roman"/>
          <w:color w:val="auto"/>
        </w:rPr>
        <w:t xml:space="preserve">En tercero y último lugar, Pegaso </w:t>
      </w:r>
      <w:r w:rsidR="0003296F">
        <w:rPr>
          <w:rFonts w:ascii="ITC Avant Garde" w:hAnsi="ITC Avant Garde" w:cs="Times New Roman"/>
          <w:color w:val="auto"/>
        </w:rPr>
        <w:t>mencionó</w:t>
      </w:r>
      <w:r w:rsidRPr="00330641">
        <w:rPr>
          <w:rFonts w:ascii="ITC Avant Garde" w:hAnsi="ITC Avant Garde" w:cs="Times New Roman"/>
          <w:color w:val="auto"/>
        </w:rPr>
        <w:t xml:space="preserve"> que el modelo de costos de Enlaces Dedicados del Instituto incorpora todos los componentes de costos. Dicho modelo </w:t>
      </w:r>
      <w:r w:rsidR="0003296F">
        <w:rPr>
          <w:rFonts w:ascii="ITC Avant Garde" w:hAnsi="ITC Avant Garde" w:cs="Times New Roman"/>
          <w:color w:val="auto"/>
        </w:rPr>
        <w:t>puntualizó</w:t>
      </w:r>
      <w:r w:rsidRPr="00330641">
        <w:rPr>
          <w:rFonts w:ascii="ITC Avant Garde" w:hAnsi="ITC Avant Garde" w:cs="Times New Roman"/>
          <w:color w:val="auto"/>
        </w:rPr>
        <w:t xml:space="preserve"> Pegaso</w:t>
      </w:r>
      <w:r w:rsidR="00E20AF3" w:rsidRPr="00330641">
        <w:rPr>
          <w:rFonts w:ascii="ITC Avant Garde" w:hAnsi="ITC Avant Garde" w:cs="Times New Roman"/>
          <w:color w:val="auto"/>
        </w:rPr>
        <w:t>,</w:t>
      </w:r>
      <w:r w:rsidRPr="00330641">
        <w:rPr>
          <w:rFonts w:ascii="ITC Avant Garde" w:hAnsi="ITC Avant Garde" w:cs="Times New Roman"/>
          <w:color w:val="auto"/>
        </w:rPr>
        <w:t xml:space="preserve"> diseña una red desde cero considerando la demanda prospectiva, por lo que la tarifa que calcula de instalación y renta mensual ya considera y recupera todos los conceptos de costos.</w:t>
      </w:r>
    </w:p>
    <w:p w:rsidR="00502D13" w:rsidRPr="00330641" w:rsidRDefault="00502D13" w:rsidP="000F58E0">
      <w:pPr>
        <w:spacing w:after="0" w:line="276" w:lineRule="auto"/>
        <w:ind w:left="0" w:right="0" w:firstLine="0"/>
        <w:rPr>
          <w:rFonts w:ascii="ITC Avant Garde" w:hAnsi="ITC Avant Garde" w:cs="Times New Roman"/>
          <w:color w:val="auto"/>
        </w:rPr>
      </w:pPr>
    </w:p>
    <w:p w:rsidR="00271B58" w:rsidRPr="00330641" w:rsidRDefault="00502D13" w:rsidP="000F58E0">
      <w:pPr>
        <w:spacing w:after="0" w:line="276" w:lineRule="auto"/>
        <w:ind w:left="0" w:right="0" w:firstLine="0"/>
        <w:rPr>
          <w:rFonts w:ascii="ITC Avant Garde" w:hAnsi="ITC Avant Garde" w:cs="Times New Roman"/>
          <w:color w:val="auto"/>
        </w:rPr>
      </w:pPr>
      <w:r w:rsidRPr="00330641">
        <w:rPr>
          <w:rFonts w:ascii="ITC Avant Garde" w:hAnsi="ITC Avant Garde" w:cs="Times New Roman"/>
          <w:color w:val="auto"/>
        </w:rPr>
        <w:t xml:space="preserve">Por lo que Pegaso </w:t>
      </w:r>
      <w:r w:rsidR="0003296F">
        <w:rPr>
          <w:rFonts w:ascii="ITC Avant Garde" w:hAnsi="ITC Avant Garde" w:cs="Times New Roman"/>
          <w:color w:val="auto"/>
        </w:rPr>
        <w:t>solicitó</w:t>
      </w:r>
      <w:r w:rsidRPr="00330641">
        <w:rPr>
          <w:rFonts w:ascii="ITC Avant Garde" w:hAnsi="ITC Avant Garde" w:cs="Times New Roman"/>
          <w:color w:val="auto"/>
        </w:rPr>
        <w:t xml:space="preserve"> al Instituto determinar claramente las zonas o demarcaciones donde no esté justificado a priori la existencia de proyectos espe</w:t>
      </w:r>
      <w:r w:rsidR="006828B8" w:rsidRPr="00330641">
        <w:rPr>
          <w:rFonts w:ascii="ITC Avant Garde" w:hAnsi="ITC Avant Garde" w:cs="Times New Roman"/>
          <w:color w:val="auto"/>
        </w:rPr>
        <w:t xml:space="preserve">ciales. Asimismo, </w:t>
      </w:r>
      <w:r w:rsidR="0003296F">
        <w:rPr>
          <w:rFonts w:ascii="ITC Avant Garde" w:hAnsi="ITC Avant Garde" w:cs="Times New Roman"/>
          <w:color w:val="auto"/>
        </w:rPr>
        <w:t>s</w:t>
      </w:r>
      <w:r w:rsidR="0012211F">
        <w:rPr>
          <w:rFonts w:ascii="ITC Avant Garde" w:hAnsi="ITC Avant Garde" w:cs="Times New Roman"/>
          <w:color w:val="auto"/>
        </w:rPr>
        <w:t>eñaló</w:t>
      </w:r>
      <w:r w:rsidR="006828B8" w:rsidRPr="00330641">
        <w:rPr>
          <w:rFonts w:ascii="ITC Avant Garde" w:hAnsi="ITC Avant Garde" w:cs="Times New Roman"/>
          <w:color w:val="auto"/>
        </w:rPr>
        <w:t xml:space="preserve"> que también las zonas, contiguas a las primeras, donde si podrá estar justificado siempre y cuando en el segundo caso no existan infraestructuras próximas del AEP</w:t>
      </w:r>
      <w:r w:rsidR="00EA567A" w:rsidRPr="00330641">
        <w:rPr>
          <w:rFonts w:ascii="ITC Avant Garde" w:hAnsi="ITC Avant Garde" w:cs="Times New Roman"/>
          <w:color w:val="auto"/>
        </w:rPr>
        <w:t>.</w:t>
      </w:r>
    </w:p>
    <w:p w:rsidR="0013725E" w:rsidRPr="00330641" w:rsidRDefault="0013725E" w:rsidP="000F58E0">
      <w:pPr>
        <w:spacing w:after="0" w:line="276" w:lineRule="auto"/>
        <w:ind w:left="0" w:right="0" w:firstLine="0"/>
        <w:rPr>
          <w:rFonts w:ascii="ITC Avant Garde" w:hAnsi="ITC Avant Garde" w:cs="Times New Roman"/>
          <w:color w:val="auto"/>
        </w:rPr>
      </w:pPr>
    </w:p>
    <w:p w:rsidR="00176F0C" w:rsidRPr="00330641" w:rsidRDefault="00786B8A" w:rsidP="000F58E0">
      <w:pPr>
        <w:spacing w:after="0" w:line="276" w:lineRule="auto"/>
        <w:ind w:left="0" w:right="0"/>
        <w:rPr>
          <w:rFonts w:ascii="ITC Avant Garde" w:hAnsi="ITC Avant Garde"/>
          <w:color w:val="auto"/>
        </w:rPr>
      </w:pPr>
      <w:r w:rsidRPr="00330641">
        <w:rPr>
          <w:rFonts w:ascii="ITC Avant Garde" w:hAnsi="ITC Avant Garde"/>
          <w:color w:val="auto"/>
        </w:rPr>
        <w:t xml:space="preserve">Por otro lado, Pegaso </w:t>
      </w:r>
      <w:r w:rsidR="0003296F">
        <w:rPr>
          <w:rFonts w:ascii="ITC Avant Garde" w:hAnsi="ITC Avant Garde"/>
          <w:color w:val="auto"/>
        </w:rPr>
        <w:t>s</w:t>
      </w:r>
      <w:r w:rsidR="0012211F">
        <w:rPr>
          <w:rFonts w:ascii="ITC Avant Garde" w:hAnsi="ITC Avant Garde"/>
          <w:color w:val="auto"/>
        </w:rPr>
        <w:t>eñaló</w:t>
      </w:r>
      <w:r w:rsidRPr="00330641">
        <w:rPr>
          <w:rFonts w:ascii="ITC Avant Garde" w:hAnsi="ITC Avant Garde"/>
          <w:color w:val="auto"/>
        </w:rPr>
        <w:t xml:space="preserve"> que la información disponible para los CS que se puede consultar a través del SEG es muy limitada, por lo que no permite a un CS antes de contratar un enlace, si se requerirá o no de proyectos especiales para conectar las puntas y/o la existencia de infraestructura. </w:t>
      </w:r>
    </w:p>
    <w:p w:rsidR="00176F0C" w:rsidRPr="00330641" w:rsidRDefault="00176F0C" w:rsidP="000F58E0">
      <w:pPr>
        <w:spacing w:after="0" w:line="276" w:lineRule="auto"/>
        <w:ind w:left="0" w:right="0"/>
        <w:rPr>
          <w:rFonts w:ascii="ITC Avant Garde" w:hAnsi="ITC Avant Garde"/>
          <w:color w:val="auto"/>
        </w:rPr>
      </w:pPr>
    </w:p>
    <w:p w:rsidR="00786B8A" w:rsidRDefault="00176F0C" w:rsidP="000F58E0">
      <w:pPr>
        <w:spacing w:after="0" w:line="276" w:lineRule="auto"/>
        <w:ind w:left="0" w:right="0"/>
        <w:rPr>
          <w:rFonts w:ascii="ITC Avant Garde" w:hAnsi="ITC Avant Garde" w:cs="Arial"/>
          <w:color w:val="auto"/>
        </w:rPr>
      </w:pPr>
      <w:r w:rsidRPr="00330641">
        <w:rPr>
          <w:rFonts w:ascii="ITC Avant Garde" w:hAnsi="ITC Avant Garde"/>
          <w:color w:val="auto"/>
        </w:rPr>
        <w:t>Es así que, donde exista un proyecto especial, el Instituto debe incorporar en la oferta de re</w:t>
      </w:r>
      <w:r w:rsidR="00330641">
        <w:rPr>
          <w:rFonts w:ascii="ITC Avant Garde" w:hAnsi="ITC Avant Garde"/>
          <w:color w:val="auto"/>
        </w:rPr>
        <w:t xml:space="preserve">ferencia la obligación del AEP </w:t>
      </w:r>
      <w:r w:rsidRPr="00330641">
        <w:rPr>
          <w:rFonts w:ascii="ITC Avant Garde" w:hAnsi="ITC Avant Garde"/>
          <w:color w:val="auto"/>
        </w:rPr>
        <w:t>para que las cotizaciones de proyectos especiales incluyan el desglose detallado de los costos, en unidades y precio unitario por cada concepto</w:t>
      </w:r>
      <w:r w:rsidR="00AC152D">
        <w:rPr>
          <w:rFonts w:ascii="ITC Avant Garde" w:hAnsi="ITC Avant Garde"/>
          <w:color w:val="auto"/>
        </w:rPr>
        <w:t>.</w:t>
      </w:r>
      <w:r w:rsidRPr="00330641">
        <w:rPr>
          <w:rFonts w:ascii="ITC Avant Garde" w:hAnsi="ITC Avant Garde"/>
          <w:color w:val="auto"/>
        </w:rPr>
        <w:t xml:space="preserve"> </w:t>
      </w:r>
      <w:r w:rsidR="00AC152D" w:rsidRPr="004728AB">
        <w:rPr>
          <w:rFonts w:ascii="ITC Avant Garde" w:hAnsi="ITC Avant Garde" w:cs="Arial"/>
          <w:color w:val="auto"/>
        </w:rPr>
        <w:t>Aunque de manera general esto está incluido en la nueva oferta de referencia, no se ha cumplido hasta la fecha. Debe indicarse que los precios unitarios tendrán que venir de otra oferta de referencia que ya esté incorporando un concepto análogo (por ejemplo, los costos de elementos de infraestructura como costo por metro de obra en zanja, costo por metro de inst</w:t>
      </w:r>
      <w:r w:rsidR="00AC152D" w:rsidRPr="00935EA1">
        <w:rPr>
          <w:rFonts w:ascii="ITC Avant Garde" w:hAnsi="ITC Avant Garde" w:cs="Arial"/>
          <w:color w:val="auto"/>
        </w:rPr>
        <w:t>alación de tendido aéreo, etc</w:t>
      </w:r>
      <w:r w:rsidR="009E37D9">
        <w:rPr>
          <w:rFonts w:ascii="ITC Avant Garde" w:hAnsi="ITC Avant Garde" w:cs="Arial"/>
          <w:color w:val="auto"/>
        </w:rPr>
        <w:t>.</w:t>
      </w:r>
      <w:r w:rsidR="00AC152D">
        <w:rPr>
          <w:rFonts w:ascii="ITC Avant Garde" w:hAnsi="ITC Avant Garde" w:cs="Arial"/>
          <w:color w:val="auto"/>
        </w:rPr>
        <w:t>).</w:t>
      </w:r>
    </w:p>
    <w:p w:rsidR="00AC152D" w:rsidRDefault="00AC152D" w:rsidP="000F58E0">
      <w:pPr>
        <w:spacing w:after="0" w:line="276" w:lineRule="auto"/>
        <w:ind w:left="0" w:right="0"/>
        <w:rPr>
          <w:rFonts w:ascii="ITC Avant Garde" w:hAnsi="ITC Avant Garde" w:cs="Arial"/>
          <w:color w:val="auto"/>
        </w:rPr>
      </w:pPr>
    </w:p>
    <w:p w:rsidR="00AC152D" w:rsidRPr="004728AB" w:rsidRDefault="00F920B9" w:rsidP="00AC152D">
      <w:pPr>
        <w:spacing w:after="0" w:line="276" w:lineRule="auto"/>
        <w:ind w:left="0" w:right="0"/>
        <w:rPr>
          <w:rFonts w:ascii="ITC Avant Garde" w:hAnsi="ITC Avant Garde" w:cs="Arial"/>
          <w:color w:val="auto"/>
        </w:rPr>
      </w:pPr>
      <w:r>
        <w:rPr>
          <w:rFonts w:ascii="ITC Avant Garde" w:hAnsi="ITC Avant Garde" w:cs="Arial"/>
          <w:color w:val="auto"/>
        </w:rPr>
        <w:t>Asimismo, manifestó</w:t>
      </w:r>
      <w:r w:rsidR="00AC152D" w:rsidRPr="004728AB">
        <w:rPr>
          <w:rFonts w:ascii="ITC Avant Garde" w:hAnsi="ITC Avant Garde" w:cs="Arial"/>
          <w:color w:val="auto"/>
        </w:rPr>
        <w:t xml:space="preserve"> que el Instituto podrá intervenir a petición de las partes para determinar la razonabilidad de los conceptos y costos incluidos en el proyecto especial. El Instituto deberá vigilar que </w:t>
      </w:r>
      <w:r w:rsidR="00AC152D">
        <w:rPr>
          <w:rFonts w:ascii="ITC Avant Garde" w:hAnsi="ITC Avant Garde" w:cs="Arial"/>
          <w:color w:val="auto"/>
        </w:rPr>
        <w:t>la DM</w:t>
      </w:r>
      <w:r w:rsidR="00AC152D" w:rsidRPr="004728AB">
        <w:rPr>
          <w:rFonts w:ascii="ITC Avant Garde" w:hAnsi="ITC Avant Garde" w:cs="Arial"/>
          <w:color w:val="auto"/>
        </w:rPr>
        <w:t xml:space="preserve"> notifique la procedencia de proyectos especiales a las unidades correspondientes, y que ocurra en las mismas circunstancias que dan lugar para la aplicación de un proyecto especial al resto de los CS. </w:t>
      </w:r>
    </w:p>
    <w:p w:rsidR="00AC152D" w:rsidRPr="00330641" w:rsidRDefault="00AC152D" w:rsidP="000F58E0">
      <w:pPr>
        <w:spacing w:after="0" w:line="276" w:lineRule="auto"/>
        <w:ind w:left="0" w:right="0"/>
        <w:rPr>
          <w:rFonts w:ascii="ITC Avant Garde" w:hAnsi="ITC Avant Garde"/>
          <w:color w:val="auto"/>
        </w:rPr>
      </w:pPr>
    </w:p>
    <w:p w:rsidR="00AC152D" w:rsidRPr="004728AB" w:rsidRDefault="00AC152D" w:rsidP="00AC152D">
      <w:pPr>
        <w:spacing w:after="0" w:line="276" w:lineRule="auto"/>
        <w:ind w:left="0" w:right="0"/>
        <w:rPr>
          <w:rFonts w:ascii="ITC Avant Garde" w:hAnsi="ITC Avant Garde" w:cs="Arial"/>
          <w:color w:val="auto"/>
        </w:rPr>
      </w:pPr>
      <w:r w:rsidRPr="004728AB">
        <w:rPr>
          <w:rFonts w:ascii="ITC Avant Garde" w:hAnsi="ITC Avant Garde" w:cs="Arial"/>
          <w:color w:val="auto"/>
        </w:rPr>
        <w:t>En l</w:t>
      </w:r>
      <w:r w:rsidR="00F920B9">
        <w:rPr>
          <w:rFonts w:ascii="ITC Avant Garde" w:hAnsi="ITC Avant Garde" w:cs="Arial"/>
          <w:color w:val="auto"/>
        </w:rPr>
        <w:t>ínea con lo anterior, manifestó</w:t>
      </w:r>
      <w:r w:rsidRPr="004728AB">
        <w:rPr>
          <w:rFonts w:ascii="ITC Avant Garde" w:hAnsi="ITC Avant Garde" w:cs="Arial"/>
          <w:color w:val="auto"/>
        </w:rPr>
        <w:t xml:space="preserve"> que será necesario que los precios se establezcan sobre la misma base que los precios que se aplican a los demás CS. Asimismo, se requerirá confirmar que los precios minoristas que </w:t>
      </w:r>
      <w:r>
        <w:rPr>
          <w:rFonts w:ascii="ITC Avant Garde" w:hAnsi="ITC Avant Garde" w:cs="Arial"/>
          <w:color w:val="auto"/>
        </w:rPr>
        <w:t>el AEP</w:t>
      </w:r>
      <w:r w:rsidRPr="004728AB">
        <w:rPr>
          <w:rFonts w:ascii="ITC Avant Garde" w:hAnsi="ITC Avant Garde" w:cs="Arial"/>
          <w:color w:val="auto"/>
        </w:rPr>
        <w:t xml:space="preserve"> ofrece a sus usuarios finales recuperan todos los costos de provisión del enlace, lo que incluye el costo del proyecto especial.</w:t>
      </w:r>
    </w:p>
    <w:p w:rsidR="00AC152D" w:rsidRPr="004728AB" w:rsidRDefault="00AC152D" w:rsidP="00AC152D">
      <w:pPr>
        <w:spacing w:after="0" w:line="276" w:lineRule="auto"/>
        <w:ind w:left="0" w:right="0"/>
        <w:rPr>
          <w:rFonts w:ascii="ITC Avant Garde" w:hAnsi="ITC Avant Garde" w:cs="Arial"/>
          <w:color w:val="auto"/>
        </w:rPr>
      </w:pPr>
    </w:p>
    <w:p w:rsidR="00AC152D" w:rsidRDefault="00AC152D" w:rsidP="00AC152D">
      <w:pPr>
        <w:spacing w:after="0" w:line="276" w:lineRule="auto"/>
        <w:ind w:left="0" w:right="0"/>
        <w:rPr>
          <w:rFonts w:ascii="ITC Avant Garde" w:hAnsi="ITC Avant Garde" w:cs="Arial"/>
          <w:color w:val="auto"/>
        </w:rPr>
      </w:pPr>
      <w:r w:rsidRPr="004728AB">
        <w:rPr>
          <w:rFonts w:ascii="ITC Avant Garde" w:hAnsi="ITC Avant Garde" w:cs="Arial"/>
          <w:color w:val="auto"/>
        </w:rPr>
        <w:t xml:space="preserve">Señaló que el Instituto podrá vigilar </w:t>
      </w:r>
      <w:r>
        <w:rPr>
          <w:rFonts w:ascii="ITC Avant Garde" w:hAnsi="ITC Avant Garde" w:cs="Arial"/>
          <w:color w:val="auto"/>
        </w:rPr>
        <w:t>en</w:t>
      </w:r>
      <w:r w:rsidRPr="004728AB">
        <w:rPr>
          <w:rFonts w:ascii="ITC Avant Garde" w:hAnsi="ITC Avant Garde" w:cs="Arial"/>
          <w:color w:val="auto"/>
        </w:rPr>
        <w:t xml:space="preserve"> estos contratos con los clientes si se repercuten los proyectos especiales o si no los hay, comprobar que no existan peticiones de otros CS en zonas cercanas donde sí hayan sido solicitados por </w:t>
      </w:r>
      <w:r w:rsidR="00EF1517">
        <w:rPr>
          <w:rFonts w:ascii="ITC Avant Garde" w:hAnsi="ITC Avant Garde" w:cs="Arial"/>
          <w:color w:val="auto"/>
        </w:rPr>
        <w:t>la DM</w:t>
      </w:r>
      <w:r w:rsidRPr="004728AB">
        <w:rPr>
          <w:rFonts w:ascii="ITC Avant Garde" w:hAnsi="ITC Avant Garde" w:cs="Arial"/>
          <w:color w:val="auto"/>
        </w:rPr>
        <w:t xml:space="preserve"> (en lo que sería un claro trato discriminatorio). </w:t>
      </w:r>
    </w:p>
    <w:p w:rsidR="00EF1517" w:rsidRDefault="00EF1517" w:rsidP="00AC152D">
      <w:pPr>
        <w:spacing w:after="0" w:line="276" w:lineRule="auto"/>
        <w:ind w:left="0" w:right="0"/>
        <w:rPr>
          <w:rFonts w:ascii="ITC Avant Garde" w:hAnsi="ITC Avant Garde" w:cs="Arial"/>
          <w:color w:val="auto"/>
        </w:rPr>
      </w:pPr>
    </w:p>
    <w:p w:rsidR="00EF1517" w:rsidRDefault="00EF1517" w:rsidP="00EF1517">
      <w:pPr>
        <w:spacing w:after="0" w:line="276" w:lineRule="auto"/>
        <w:ind w:left="0" w:right="0"/>
        <w:rPr>
          <w:rFonts w:ascii="ITC Avant Garde" w:hAnsi="ITC Avant Garde" w:cs="Arial"/>
          <w:color w:val="auto"/>
        </w:rPr>
      </w:pPr>
      <w:r w:rsidRPr="004728AB">
        <w:rPr>
          <w:rFonts w:ascii="ITC Avant Garde" w:hAnsi="ITC Avant Garde" w:cs="Arial"/>
          <w:color w:val="auto"/>
        </w:rPr>
        <w:t>Manifestó</w:t>
      </w:r>
      <w:r w:rsidRPr="00AF7193">
        <w:rPr>
          <w:rFonts w:ascii="ITC Avant Garde" w:hAnsi="ITC Avant Garde" w:cs="Arial"/>
          <w:color w:val="auto"/>
        </w:rPr>
        <w:t xml:space="preserve"> que el Instituto debe de utilizar su régimen sancionador para que</w:t>
      </w:r>
      <w:r w:rsidRPr="004728AB">
        <w:rPr>
          <w:rFonts w:ascii="ITC Avant Garde" w:hAnsi="ITC Avant Garde" w:cs="Arial"/>
          <w:color w:val="auto"/>
        </w:rPr>
        <w:t xml:space="preserve"> </w:t>
      </w:r>
      <w:r>
        <w:rPr>
          <w:rFonts w:ascii="ITC Avant Garde" w:hAnsi="ITC Avant Garde" w:cs="Arial"/>
          <w:color w:val="auto"/>
        </w:rPr>
        <w:t>el AEP</w:t>
      </w:r>
      <w:r w:rsidRPr="00AF7193">
        <w:rPr>
          <w:rFonts w:ascii="ITC Avant Garde" w:hAnsi="ITC Avant Garde" w:cs="Arial"/>
          <w:color w:val="auto"/>
        </w:rPr>
        <w:t xml:space="preserve"> utilice el SEG</w:t>
      </w:r>
      <w:r w:rsidRPr="004728AB">
        <w:rPr>
          <w:rFonts w:ascii="ITC Avant Garde" w:hAnsi="ITC Avant Garde" w:cs="Arial"/>
          <w:color w:val="auto"/>
        </w:rPr>
        <w:t>/SIPO</w:t>
      </w:r>
      <w:r w:rsidRPr="00AF7193">
        <w:rPr>
          <w:rFonts w:ascii="ITC Avant Garde" w:hAnsi="ITC Avant Garde" w:cs="Arial"/>
          <w:color w:val="auto"/>
        </w:rPr>
        <w:t xml:space="preserve"> con los </w:t>
      </w:r>
      <w:r w:rsidRPr="004728AB">
        <w:rPr>
          <w:rFonts w:ascii="ITC Avant Garde" w:hAnsi="ITC Avant Garde" w:cs="Arial"/>
          <w:color w:val="auto"/>
        </w:rPr>
        <w:t xml:space="preserve">mismos </w:t>
      </w:r>
      <w:r w:rsidRPr="00AF7193">
        <w:rPr>
          <w:rFonts w:ascii="ITC Avant Garde" w:hAnsi="ITC Avant Garde" w:cs="Arial"/>
          <w:color w:val="auto"/>
        </w:rPr>
        <w:t>procedimientos, interfaces e información disponible que ofrece al resto de los CS</w:t>
      </w:r>
      <w:r w:rsidRPr="004728AB">
        <w:rPr>
          <w:rFonts w:ascii="ITC Avant Garde" w:hAnsi="ITC Avant Garde" w:cs="Arial"/>
          <w:color w:val="auto"/>
        </w:rPr>
        <w:t xml:space="preserve"> para sus propias peticiones de enlaces dedicados.</w:t>
      </w:r>
    </w:p>
    <w:p w:rsidR="00EF1517" w:rsidRDefault="00EF1517" w:rsidP="00EF1517">
      <w:pPr>
        <w:spacing w:after="0" w:line="276" w:lineRule="auto"/>
        <w:ind w:left="0" w:right="0"/>
        <w:rPr>
          <w:rFonts w:ascii="ITC Avant Garde" w:hAnsi="ITC Avant Garde" w:cs="Arial"/>
          <w:color w:val="auto"/>
        </w:rPr>
      </w:pPr>
    </w:p>
    <w:p w:rsidR="00EF1517" w:rsidRPr="004728AB" w:rsidRDefault="00602350" w:rsidP="00EF1517">
      <w:pPr>
        <w:spacing w:after="0" w:line="276" w:lineRule="auto"/>
        <w:ind w:left="0" w:right="0" w:firstLine="0"/>
        <w:rPr>
          <w:rFonts w:ascii="ITC Avant Garde" w:hAnsi="ITC Avant Garde" w:cs="Arial"/>
        </w:rPr>
      </w:pPr>
      <w:r>
        <w:rPr>
          <w:rFonts w:ascii="ITC Avant Garde" w:hAnsi="ITC Avant Garde" w:cs="Arial"/>
        </w:rPr>
        <w:t>En adición, señaló</w:t>
      </w:r>
      <w:r w:rsidR="00EF1517" w:rsidRPr="004728AB">
        <w:rPr>
          <w:rFonts w:ascii="ITC Avant Garde" w:hAnsi="ITC Avant Garde" w:cs="Arial"/>
        </w:rPr>
        <w:t xml:space="preserve"> que los indicadores actuales no resultan relevantes, la información se omite en numerosas ocasiones y, principalmente, no permiten identificar el mejor tratamiento que se consigue en el nivel minorista con sus clientes, a diferencia de cómo se audita en otros países, por lo cual el Instituto debe dotarse de mecanismos para auditarlos de manera ágil, vigilarlos y sancionar rápidamente para desincentivar el incumplimiento de las obligaciones por parte de</w:t>
      </w:r>
      <w:r w:rsidR="00EF1517">
        <w:rPr>
          <w:rFonts w:ascii="ITC Avant Garde" w:hAnsi="ITC Avant Garde" w:cs="Arial"/>
        </w:rPr>
        <w:t>l</w:t>
      </w:r>
      <w:r w:rsidR="00EF1517" w:rsidRPr="004728AB">
        <w:rPr>
          <w:rFonts w:ascii="ITC Avant Garde" w:hAnsi="ITC Avant Garde" w:cs="Arial"/>
        </w:rPr>
        <w:t xml:space="preserve"> </w:t>
      </w:r>
      <w:r w:rsidR="00EF1517">
        <w:rPr>
          <w:rFonts w:ascii="ITC Avant Garde" w:hAnsi="ITC Avant Garde" w:cs="Arial"/>
        </w:rPr>
        <w:t>AEP</w:t>
      </w:r>
      <w:r w:rsidR="00EF1517" w:rsidRPr="004728AB">
        <w:rPr>
          <w:rFonts w:ascii="ITC Avant Garde" w:hAnsi="ITC Avant Garde" w:cs="Arial"/>
        </w:rPr>
        <w:t>.</w:t>
      </w:r>
    </w:p>
    <w:p w:rsidR="00786B8A" w:rsidRPr="00330641" w:rsidRDefault="00786B8A" w:rsidP="000F58E0">
      <w:pPr>
        <w:spacing w:after="0" w:line="276" w:lineRule="auto"/>
        <w:ind w:left="0" w:right="0"/>
        <w:rPr>
          <w:rFonts w:ascii="ITC Avant Garde" w:hAnsi="ITC Avant Garde"/>
          <w:color w:val="auto"/>
        </w:rPr>
      </w:pPr>
    </w:p>
    <w:p w:rsidR="00FE4795" w:rsidRPr="00330641" w:rsidRDefault="0012211F" w:rsidP="000F58E0">
      <w:pPr>
        <w:spacing w:after="0" w:line="276" w:lineRule="auto"/>
        <w:ind w:left="0" w:right="0" w:firstLine="0"/>
        <w:rPr>
          <w:rFonts w:ascii="ITC Avant Garde" w:eastAsia="Times New Roman" w:hAnsi="ITC Avant Garde" w:cs="Times New Roman"/>
          <w:color w:val="auto"/>
        </w:rPr>
      </w:pPr>
      <w:r>
        <w:rPr>
          <w:rFonts w:ascii="ITC Avant Garde" w:eastAsia="Times New Roman" w:hAnsi="ITC Avant Garde" w:cs="Times New Roman"/>
          <w:color w:val="auto"/>
        </w:rPr>
        <w:lastRenderedPageBreak/>
        <w:t>Manifestó</w:t>
      </w:r>
      <w:r w:rsidR="00FE4795" w:rsidRPr="00330641">
        <w:rPr>
          <w:rFonts w:ascii="ITC Avant Garde" w:eastAsia="Times New Roman" w:hAnsi="ITC Avant Garde" w:cs="Times New Roman"/>
          <w:color w:val="auto"/>
        </w:rPr>
        <w:t xml:space="preserve"> que la ORE desde un punto de vista de </w:t>
      </w:r>
      <w:proofErr w:type="spellStart"/>
      <w:r w:rsidR="00FE4795" w:rsidRPr="00330641">
        <w:rPr>
          <w:rFonts w:ascii="ITC Avant Garde" w:eastAsia="Times New Roman" w:hAnsi="ITC Avant Garde" w:cs="Times New Roman"/>
          <w:color w:val="auto"/>
        </w:rPr>
        <w:t>replicabilidad</w:t>
      </w:r>
      <w:proofErr w:type="spellEnd"/>
      <w:r w:rsidR="00FE4795" w:rsidRPr="00330641">
        <w:rPr>
          <w:rFonts w:ascii="ITC Avant Garde" w:eastAsia="Times New Roman" w:hAnsi="ITC Avant Garde" w:cs="Times New Roman"/>
          <w:color w:val="auto"/>
        </w:rPr>
        <w:t xml:space="preserve"> técnica puede ser mejorada añadiendo, a las opciones de enlaces por tecnología TDM y Ethernet por capacidad actualmente disponibles, la opción de enlaces directos sobre WDM, de tal manera que se asigna una </w:t>
      </w:r>
      <w:proofErr w:type="spellStart"/>
      <w:r w:rsidR="00FE4795" w:rsidRPr="00330641">
        <w:rPr>
          <w:rFonts w:ascii="ITC Avant Garde" w:eastAsia="Times New Roman" w:hAnsi="ITC Avant Garde" w:cs="Times New Roman"/>
          <w:color w:val="auto"/>
        </w:rPr>
        <w:t>lamda</w:t>
      </w:r>
      <w:proofErr w:type="spellEnd"/>
      <w:r w:rsidR="00FE4795" w:rsidRPr="00330641">
        <w:rPr>
          <w:rFonts w:ascii="ITC Avant Garde" w:eastAsia="Times New Roman" w:hAnsi="ITC Avant Garde" w:cs="Times New Roman"/>
          <w:color w:val="auto"/>
        </w:rPr>
        <w:t xml:space="preserve"> al CS que lo requiera entre dos puntos directos de la red de fibra del AEP. </w:t>
      </w:r>
      <w:r>
        <w:rPr>
          <w:rFonts w:ascii="ITC Avant Garde" w:eastAsia="Times New Roman" w:hAnsi="ITC Avant Garde" w:cs="Times New Roman"/>
          <w:color w:val="auto"/>
        </w:rPr>
        <w:t>Señaló</w:t>
      </w:r>
      <w:r w:rsidR="00FE4795" w:rsidRPr="00330641">
        <w:rPr>
          <w:rFonts w:ascii="ITC Avant Garde" w:eastAsia="Times New Roman" w:hAnsi="ITC Avant Garde" w:cs="Times New Roman"/>
          <w:color w:val="auto"/>
        </w:rPr>
        <w:t xml:space="preserve"> que los equipos ópticos en los extremos seguirán siendo propiedad del AEP, pero se insertará y hará entrega de la </w:t>
      </w:r>
      <w:proofErr w:type="spellStart"/>
      <w:r w:rsidR="00FE4795" w:rsidRPr="00330641">
        <w:rPr>
          <w:rFonts w:ascii="ITC Avant Garde" w:eastAsia="Times New Roman" w:hAnsi="ITC Avant Garde" w:cs="Times New Roman"/>
          <w:color w:val="auto"/>
        </w:rPr>
        <w:t>lamda</w:t>
      </w:r>
      <w:proofErr w:type="spellEnd"/>
      <w:r w:rsidR="00FE4795" w:rsidRPr="00330641">
        <w:rPr>
          <w:rFonts w:ascii="ITC Avant Garde" w:eastAsia="Times New Roman" w:hAnsi="ITC Avant Garde" w:cs="Times New Roman"/>
          <w:color w:val="auto"/>
        </w:rPr>
        <w:t xml:space="preserve"> al CS mediante multiplexores</w:t>
      </w:r>
      <w:r w:rsidR="00507EA5" w:rsidRPr="00330641">
        <w:rPr>
          <w:rFonts w:ascii="ITC Avant Garde" w:eastAsia="Times New Roman" w:hAnsi="ITC Avant Garde" w:cs="Times New Roman"/>
          <w:color w:val="auto"/>
        </w:rPr>
        <w:t>/</w:t>
      </w:r>
      <w:proofErr w:type="spellStart"/>
      <w:r w:rsidR="00507EA5" w:rsidRPr="00330641">
        <w:rPr>
          <w:rFonts w:ascii="ITC Avant Garde" w:eastAsia="Times New Roman" w:hAnsi="ITC Avant Garde" w:cs="Times New Roman"/>
          <w:color w:val="auto"/>
        </w:rPr>
        <w:t>demultiplexores</w:t>
      </w:r>
      <w:proofErr w:type="spellEnd"/>
      <w:r w:rsidR="00FE4795" w:rsidRPr="00330641">
        <w:rPr>
          <w:rFonts w:ascii="ITC Avant Garde" w:eastAsia="Times New Roman" w:hAnsi="ITC Avant Garde" w:cs="Times New Roman"/>
          <w:color w:val="auto"/>
        </w:rPr>
        <w:t xml:space="preserve"> ópticos.</w:t>
      </w:r>
    </w:p>
    <w:p w:rsidR="00956D55" w:rsidRPr="00330641" w:rsidRDefault="00956D55" w:rsidP="000F58E0">
      <w:pPr>
        <w:spacing w:after="0" w:line="276" w:lineRule="auto"/>
        <w:ind w:left="0" w:right="0" w:firstLine="0"/>
        <w:rPr>
          <w:rFonts w:ascii="ITC Avant Garde" w:eastAsia="Times New Roman" w:hAnsi="ITC Avant Garde" w:cs="Times New Roman"/>
          <w:color w:val="auto"/>
        </w:rPr>
      </w:pPr>
    </w:p>
    <w:p w:rsidR="00FE4795" w:rsidRPr="00330641" w:rsidRDefault="00956D55" w:rsidP="000F58E0">
      <w:pPr>
        <w:spacing w:after="0" w:line="276" w:lineRule="auto"/>
        <w:ind w:left="0" w:right="0" w:firstLine="0"/>
        <w:rPr>
          <w:rFonts w:ascii="ITC Avant Garde" w:eastAsia="Times New Roman" w:hAnsi="ITC Avant Garde" w:cs="Times New Roman"/>
          <w:color w:val="auto"/>
        </w:rPr>
      </w:pPr>
      <w:r w:rsidRPr="00330641">
        <w:rPr>
          <w:rFonts w:ascii="ITC Avant Garde" w:eastAsia="Times New Roman" w:hAnsi="ITC Avant Garde" w:cs="Times New Roman"/>
          <w:color w:val="auto"/>
        </w:rPr>
        <w:t xml:space="preserve">Aunado a lo anterior, Pegaso </w:t>
      </w:r>
      <w:r w:rsidR="0003296F">
        <w:rPr>
          <w:rFonts w:ascii="ITC Avant Garde" w:eastAsia="Times New Roman" w:hAnsi="ITC Avant Garde" w:cs="Times New Roman"/>
          <w:color w:val="auto"/>
        </w:rPr>
        <w:t>s</w:t>
      </w:r>
      <w:r w:rsidR="0012211F">
        <w:rPr>
          <w:rFonts w:ascii="ITC Avant Garde" w:eastAsia="Times New Roman" w:hAnsi="ITC Avant Garde" w:cs="Times New Roman"/>
          <w:color w:val="auto"/>
        </w:rPr>
        <w:t>eñaló</w:t>
      </w:r>
      <w:r w:rsidR="0003296F">
        <w:rPr>
          <w:rFonts w:ascii="ITC Avant Garde" w:eastAsia="Times New Roman" w:hAnsi="ITC Avant Garde" w:cs="Times New Roman"/>
          <w:color w:val="auto"/>
        </w:rPr>
        <w:t xml:space="preserve"> que</w:t>
      </w:r>
      <w:r w:rsidRPr="00330641">
        <w:rPr>
          <w:rFonts w:ascii="ITC Avant Garde" w:eastAsia="Times New Roman" w:hAnsi="ITC Avant Garde" w:cs="Times New Roman"/>
          <w:color w:val="auto"/>
        </w:rPr>
        <w:t xml:space="preserve"> estaría justificado incluir la obligación de fibra obscura (y los enlaces dedicados sobre WDM) como obligación directa, ya que dichos servicios mayoristas tendrían que ser una obligación directa, no subordinada y dado su alcance ofrecer conectividad entre puntas de manera directa, podría ubicarse dentro del servicio de la ORE DM. </w:t>
      </w:r>
      <w:r w:rsidR="001958AA">
        <w:rPr>
          <w:rFonts w:ascii="ITC Avant Garde" w:eastAsia="Times New Roman" w:hAnsi="ITC Avant Garde" w:cs="Times New Roman"/>
          <w:color w:val="auto"/>
        </w:rPr>
        <w:t>Continúa</w:t>
      </w:r>
      <w:r w:rsidRPr="00330641">
        <w:rPr>
          <w:rFonts w:ascii="ITC Avant Garde" w:eastAsia="Times New Roman" w:hAnsi="ITC Avant Garde" w:cs="Times New Roman"/>
          <w:color w:val="auto"/>
        </w:rPr>
        <w:t xml:space="preserve"> señalando, que la </w:t>
      </w:r>
      <w:r w:rsidR="009E37D9">
        <w:rPr>
          <w:rFonts w:ascii="ITC Avant Garde" w:eastAsia="Times New Roman" w:hAnsi="ITC Avant Garde" w:cs="Times New Roman"/>
          <w:color w:val="auto"/>
        </w:rPr>
        <w:t>ORE DM 2021</w:t>
      </w:r>
      <w:r w:rsidRPr="00330641">
        <w:rPr>
          <w:rFonts w:ascii="ITC Avant Garde" w:eastAsia="Times New Roman" w:hAnsi="ITC Avant Garde" w:cs="Times New Roman"/>
          <w:color w:val="auto"/>
        </w:rPr>
        <w:t xml:space="preserve"> consecuencia de la separación funcional son una excelente oportunidad para incorporar la obligación de fibra obscura como servicio directo y no subordinado.</w:t>
      </w:r>
    </w:p>
    <w:p w:rsidR="00956D55" w:rsidRPr="00330641" w:rsidRDefault="00956D55" w:rsidP="000F58E0">
      <w:pPr>
        <w:spacing w:after="0" w:line="276" w:lineRule="auto"/>
        <w:ind w:left="0" w:right="0" w:firstLine="0"/>
        <w:rPr>
          <w:rFonts w:ascii="ITC Avant Garde" w:eastAsia="Times New Roman" w:hAnsi="ITC Avant Garde" w:cs="Times New Roman"/>
          <w:color w:val="auto"/>
        </w:rPr>
      </w:pPr>
    </w:p>
    <w:p w:rsidR="00FE4795" w:rsidRPr="00330641" w:rsidRDefault="00FE4795" w:rsidP="000F58E0">
      <w:pPr>
        <w:spacing w:after="0" w:line="276" w:lineRule="auto"/>
        <w:ind w:left="0" w:right="0" w:firstLine="0"/>
        <w:rPr>
          <w:rFonts w:ascii="ITC Avant Garde" w:eastAsia="Times New Roman" w:hAnsi="ITC Avant Garde" w:cs="Times New Roman"/>
          <w:color w:val="auto"/>
        </w:rPr>
      </w:pPr>
      <w:r w:rsidRPr="00330641">
        <w:rPr>
          <w:rFonts w:ascii="ITC Avant Garde" w:eastAsia="Times New Roman" w:hAnsi="ITC Avant Garde" w:cs="Times New Roman"/>
          <w:color w:val="auto"/>
        </w:rPr>
        <w:t xml:space="preserve">Por lo que Pegaso </w:t>
      </w:r>
      <w:r w:rsidR="001958AA">
        <w:rPr>
          <w:rFonts w:ascii="ITC Avant Garde" w:eastAsia="Times New Roman" w:hAnsi="ITC Avant Garde" w:cs="Times New Roman"/>
          <w:color w:val="auto"/>
        </w:rPr>
        <w:t>solicitó</w:t>
      </w:r>
      <w:r w:rsidRPr="00330641">
        <w:rPr>
          <w:rFonts w:ascii="ITC Avant Garde" w:eastAsia="Times New Roman" w:hAnsi="ITC Avant Garde" w:cs="Times New Roman"/>
          <w:color w:val="auto"/>
        </w:rPr>
        <w:t xml:space="preserve"> al Instituto que se incorpore a la ORE</w:t>
      </w:r>
      <w:r w:rsidR="00022C6F" w:rsidRPr="00330641">
        <w:rPr>
          <w:rFonts w:ascii="ITC Avant Garde" w:eastAsia="Times New Roman" w:hAnsi="ITC Avant Garde" w:cs="Times New Roman"/>
          <w:color w:val="auto"/>
        </w:rPr>
        <w:t xml:space="preserve"> DM</w:t>
      </w:r>
      <w:r w:rsidR="00176F0C" w:rsidRPr="00330641">
        <w:rPr>
          <w:rFonts w:ascii="ITC Avant Garde" w:eastAsia="Times New Roman" w:hAnsi="ITC Avant Garde" w:cs="Times New Roman"/>
          <w:color w:val="auto"/>
        </w:rPr>
        <w:t xml:space="preserve"> </w:t>
      </w:r>
      <w:r w:rsidR="009E37D9">
        <w:rPr>
          <w:rFonts w:ascii="ITC Avant Garde" w:eastAsia="Times New Roman" w:hAnsi="ITC Avant Garde" w:cs="Times New Roman"/>
          <w:color w:val="auto"/>
        </w:rPr>
        <w:t xml:space="preserve">2021 </w:t>
      </w:r>
      <w:r w:rsidR="00176F0C" w:rsidRPr="00330641">
        <w:rPr>
          <w:rFonts w:ascii="ITC Avant Garde" w:eastAsia="Times New Roman" w:hAnsi="ITC Avant Garde" w:cs="Times New Roman"/>
          <w:color w:val="auto"/>
        </w:rPr>
        <w:t xml:space="preserve">el servicio de </w:t>
      </w:r>
      <w:r w:rsidR="00022C6F" w:rsidRPr="00330641">
        <w:rPr>
          <w:rFonts w:ascii="ITC Avant Garde" w:eastAsia="Times New Roman" w:hAnsi="ITC Avant Garde" w:cs="Times New Roman"/>
          <w:color w:val="auto"/>
        </w:rPr>
        <w:t xml:space="preserve">acceso a la </w:t>
      </w:r>
      <w:r w:rsidR="00176F0C" w:rsidRPr="00330641">
        <w:rPr>
          <w:rFonts w:ascii="ITC Avant Garde" w:eastAsia="Times New Roman" w:hAnsi="ITC Avant Garde" w:cs="Times New Roman"/>
          <w:color w:val="auto"/>
        </w:rPr>
        <w:t>fibra oscura</w:t>
      </w:r>
      <w:r w:rsidR="00022C6F" w:rsidRPr="00330641">
        <w:rPr>
          <w:rFonts w:ascii="ITC Avant Garde" w:eastAsia="Times New Roman" w:hAnsi="ITC Avant Garde" w:cs="Times New Roman"/>
          <w:color w:val="auto"/>
        </w:rPr>
        <w:t xml:space="preserve"> con puntas entre localidades y nacionales de fibra,</w:t>
      </w:r>
      <w:r w:rsidR="00176F0C" w:rsidRPr="00330641">
        <w:rPr>
          <w:rFonts w:ascii="ITC Avant Garde" w:eastAsia="Times New Roman" w:hAnsi="ITC Avant Garde" w:cs="Times New Roman"/>
          <w:color w:val="auto"/>
        </w:rPr>
        <w:t xml:space="preserve"> como obligación directa</w:t>
      </w:r>
      <w:r w:rsidR="00022C6F" w:rsidRPr="00330641">
        <w:rPr>
          <w:rFonts w:ascii="ITC Avant Garde" w:eastAsia="Times New Roman" w:hAnsi="ITC Avant Garde" w:cs="Times New Roman"/>
          <w:color w:val="auto"/>
        </w:rPr>
        <w:t xml:space="preserve"> en lugar de la oferta de referencia de compartición de infraestructura. Asimismo,</w:t>
      </w:r>
      <w:r w:rsidR="00176F0C" w:rsidRPr="00330641">
        <w:rPr>
          <w:rFonts w:ascii="ITC Avant Garde" w:eastAsia="Times New Roman" w:hAnsi="ITC Avant Garde" w:cs="Times New Roman"/>
          <w:color w:val="auto"/>
        </w:rPr>
        <w:t xml:space="preserve"> </w:t>
      </w:r>
      <w:r w:rsidRPr="00330641">
        <w:rPr>
          <w:rFonts w:ascii="ITC Avant Garde" w:eastAsia="Times New Roman" w:hAnsi="ITC Avant Garde" w:cs="Times New Roman"/>
          <w:color w:val="auto"/>
        </w:rPr>
        <w:t xml:space="preserve">los enlaces WDM, de tal manera que los CS puedan utilizar una o varias </w:t>
      </w:r>
      <w:proofErr w:type="spellStart"/>
      <w:r w:rsidRPr="00330641">
        <w:rPr>
          <w:rFonts w:ascii="ITC Avant Garde" w:eastAsia="Times New Roman" w:hAnsi="ITC Avant Garde" w:cs="Times New Roman"/>
          <w:color w:val="auto"/>
        </w:rPr>
        <w:t>lamdas</w:t>
      </w:r>
      <w:proofErr w:type="spellEnd"/>
      <w:r w:rsidRPr="00330641">
        <w:rPr>
          <w:rFonts w:ascii="ITC Avant Garde" w:eastAsia="Times New Roman" w:hAnsi="ITC Avant Garde" w:cs="Times New Roman"/>
          <w:color w:val="auto"/>
        </w:rPr>
        <w:t xml:space="preserve"> entre un par de extremos directos de la red de fibra del AEP.</w:t>
      </w:r>
    </w:p>
    <w:p w:rsidR="00956D55" w:rsidRPr="00330641" w:rsidRDefault="00956D55" w:rsidP="000F58E0">
      <w:pPr>
        <w:spacing w:after="0" w:line="276" w:lineRule="auto"/>
        <w:ind w:left="0" w:right="0" w:firstLine="0"/>
        <w:rPr>
          <w:rFonts w:ascii="ITC Avant Garde" w:eastAsia="Times New Roman" w:hAnsi="ITC Avant Garde" w:cs="Times New Roman"/>
          <w:color w:val="auto"/>
        </w:rPr>
      </w:pPr>
    </w:p>
    <w:p w:rsidR="00171B2F" w:rsidRPr="00330641" w:rsidRDefault="003F7EF4" w:rsidP="000F58E0">
      <w:pPr>
        <w:spacing w:after="0" w:line="276" w:lineRule="auto"/>
        <w:ind w:left="0" w:right="0"/>
        <w:rPr>
          <w:rFonts w:ascii="ITC Avant Garde" w:hAnsi="ITC Avant Garde"/>
          <w:color w:val="auto"/>
        </w:rPr>
      </w:pPr>
      <w:r w:rsidRPr="00330641">
        <w:rPr>
          <w:rFonts w:ascii="ITC Avant Garde" w:hAnsi="ITC Avant Garde"/>
          <w:color w:val="auto"/>
        </w:rPr>
        <w:t>Finalmente,</w:t>
      </w:r>
      <w:r w:rsidR="00171B2F" w:rsidRPr="00330641">
        <w:rPr>
          <w:rFonts w:ascii="ITC Avant Garde" w:hAnsi="ITC Avant Garde"/>
          <w:color w:val="auto"/>
        </w:rPr>
        <w:t xml:space="preserve"> Pegaso </w:t>
      </w:r>
      <w:r w:rsidR="001958AA">
        <w:rPr>
          <w:rFonts w:ascii="ITC Avant Garde" w:hAnsi="ITC Avant Garde"/>
          <w:color w:val="auto"/>
        </w:rPr>
        <w:t>solicitó</w:t>
      </w:r>
      <w:r w:rsidR="00171B2F" w:rsidRPr="00330641">
        <w:rPr>
          <w:rFonts w:ascii="ITC Avant Garde" w:hAnsi="ITC Avant Garde"/>
          <w:color w:val="auto"/>
        </w:rPr>
        <w:t xml:space="preserve"> que la </w:t>
      </w:r>
      <w:r w:rsidR="00022C6F" w:rsidRPr="00330641">
        <w:rPr>
          <w:rFonts w:ascii="ITC Avant Garde" w:hAnsi="ITC Avant Garde"/>
          <w:color w:val="auto"/>
        </w:rPr>
        <w:t>DM</w:t>
      </w:r>
      <w:r w:rsidR="00171B2F" w:rsidRPr="00330641">
        <w:rPr>
          <w:rFonts w:ascii="ITC Avant Garde" w:hAnsi="ITC Avant Garde"/>
          <w:color w:val="auto"/>
        </w:rPr>
        <w:t xml:space="preserve"> ofrezca la alternativa de ser la ventanilla única para el servicio extremo a extremo cuando el CS requiera tanto </w:t>
      </w:r>
      <w:r w:rsidR="003F18DE">
        <w:rPr>
          <w:rFonts w:ascii="ITC Avant Garde" w:hAnsi="ITC Avant Garde"/>
          <w:color w:val="auto"/>
        </w:rPr>
        <w:t>Enlaces D</w:t>
      </w:r>
      <w:r w:rsidR="00171B2F" w:rsidRPr="00330641">
        <w:rPr>
          <w:rFonts w:ascii="ITC Avant Garde" w:hAnsi="ITC Avant Garde"/>
          <w:color w:val="auto"/>
        </w:rPr>
        <w:t>edicados entre localidades o internacional y el tramo local para un mismo proyecto</w:t>
      </w:r>
      <w:r w:rsidR="001958AA">
        <w:rPr>
          <w:rFonts w:ascii="ITC Avant Garde" w:hAnsi="ITC Avant Garde"/>
          <w:color w:val="auto"/>
        </w:rPr>
        <w:t>.</w:t>
      </w:r>
    </w:p>
    <w:p w:rsidR="00171B2F" w:rsidRPr="00330641" w:rsidRDefault="00171B2F" w:rsidP="000F58E0">
      <w:pPr>
        <w:spacing w:after="0" w:line="276" w:lineRule="auto"/>
        <w:ind w:left="0" w:right="0"/>
        <w:rPr>
          <w:rFonts w:ascii="ITC Avant Garde" w:hAnsi="ITC Avant Garde"/>
          <w:color w:val="auto"/>
        </w:rPr>
      </w:pPr>
    </w:p>
    <w:p w:rsidR="005E73BF" w:rsidRPr="00330641" w:rsidRDefault="005E73BF" w:rsidP="000F58E0">
      <w:pPr>
        <w:spacing w:after="0" w:line="276" w:lineRule="auto"/>
        <w:ind w:left="0" w:right="0" w:firstLine="0"/>
        <w:rPr>
          <w:rFonts w:ascii="ITC Avant Garde" w:hAnsi="ITC Avant Garde" w:cs="Times New Roman"/>
          <w:b/>
          <w:color w:val="auto"/>
        </w:rPr>
      </w:pPr>
      <w:r w:rsidRPr="00330641">
        <w:rPr>
          <w:rFonts w:ascii="ITC Avant Garde" w:hAnsi="ITC Avant Garde" w:cs="Times New Roman"/>
          <w:b/>
          <w:color w:val="auto"/>
        </w:rPr>
        <w:t>GRUPO TELEVISA</w:t>
      </w:r>
      <w:r w:rsidR="00C42595" w:rsidRPr="00330641">
        <w:rPr>
          <w:rFonts w:ascii="ITC Avant Garde" w:hAnsi="ITC Avant Garde" w:cs="Times New Roman"/>
          <w:b/>
          <w:color w:val="auto"/>
        </w:rPr>
        <w:t>:</w:t>
      </w:r>
    </w:p>
    <w:p w:rsidR="008D10F3" w:rsidRPr="00330641" w:rsidRDefault="001958AA" w:rsidP="00A53D9A">
      <w:pPr>
        <w:spacing w:after="0" w:line="276" w:lineRule="auto"/>
        <w:ind w:left="0" w:right="0" w:firstLine="0"/>
        <w:rPr>
          <w:rFonts w:ascii="ITC Avant Garde" w:hAnsi="ITC Avant Garde" w:cs="Times New Roman"/>
          <w:color w:val="auto"/>
        </w:rPr>
      </w:pPr>
      <w:r>
        <w:rPr>
          <w:rFonts w:ascii="ITC Avant Garde" w:hAnsi="ITC Avant Garde" w:cs="Times New Roman"/>
          <w:color w:val="auto"/>
        </w:rPr>
        <w:t>Puntualizó</w:t>
      </w:r>
      <w:r w:rsidR="00CC6B3B" w:rsidRPr="00330641">
        <w:rPr>
          <w:rFonts w:ascii="ITC Avant Garde" w:hAnsi="ITC Avant Garde" w:cs="Times New Roman"/>
          <w:color w:val="auto"/>
        </w:rPr>
        <w:t xml:space="preserve"> que reiteradamente ha manifestado al Instituto sus inconformidades a la inclusión de elementos cómo, adecuaciones, ampliaciones de red y elementos electrónicos dentro de los posibles justificantes en la determinación de un proyecto especial ya estos elementos denominados de “Planta Interna”, es uno de los mayores obstáculos para la operatividad efectiva de la ORE DM. </w:t>
      </w:r>
      <w:r w:rsidR="0012211F">
        <w:rPr>
          <w:rFonts w:ascii="ITC Avant Garde" w:hAnsi="ITC Avant Garde" w:cs="Times New Roman"/>
          <w:color w:val="auto"/>
        </w:rPr>
        <w:t>Señaló</w:t>
      </w:r>
      <w:r w:rsidR="00CC6B3B" w:rsidRPr="00330641">
        <w:rPr>
          <w:rFonts w:ascii="ITC Avant Garde" w:hAnsi="ITC Avant Garde" w:cs="Times New Roman"/>
          <w:color w:val="auto"/>
        </w:rPr>
        <w:t xml:space="preserve"> que los elementos de planta interna no deben ser justificante de que el AEP determine de manera unilateral la necesidad de un proyecto especial, ya que los costos corresponden principalmente al CAPEX del AEP, es decir, a gastos que se </w:t>
      </w:r>
      <w:r w:rsidR="008D10F3" w:rsidRPr="00330641">
        <w:rPr>
          <w:rFonts w:ascii="ITC Avant Garde" w:hAnsi="ITC Avant Garde" w:cs="Times New Roman"/>
          <w:color w:val="auto"/>
        </w:rPr>
        <w:t>realizan bajo los rubros de mantenimiento preventivo de la red o al crecimiento orgánico de la operación.</w:t>
      </w:r>
    </w:p>
    <w:p w:rsidR="008D10F3" w:rsidRPr="00330641" w:rsidRDefault="008D10F3">
      <w:pPr>
        <w:spacing w:after="0" w:line="276" w:lineRule="auto"/>
        <w:ind w:left="0" w:right="0" w:firstLine="0"/>
        <w:rPr>
          <w:rFonts w:ascii="ITC Avant Garde" w:hAnsi="ITC Avant Garde" w:cs="Times New Roman"/>
          <w:color w:val="auto"/>
        </w:rPr>
      </w:pPr>
    </w:p>
    <w:p w:rsidR="008D10F3" w:rsidRPr="00330641" w:rsidRDefault="008D10F3">
      <w:pPr>
        <w:spacing w:after="0" w:line="276" w:lineRule="auto"/>
        <w:ind w:left="0" w:right="0" w:firstLine="0"/>
        <w:rPr>
          <w:rFonts w:ascii="ITC Avant Garde" w:hAnsi="ITC Avant Garde" w:cs="Times New Roman"/>
          <w:color w:val="auto"/>
        </w:rPr>
      </w:pPr>
      <w:r w:rsidRPr="00330641">
        <w:rPr>
          <w:rFonts w:ascii="ITC Avant Garde" w:hAnsi="ITC Avant Garde" w:cs="Times New Roman"/>
          <w:color w:val="auto"/>
        </w:rPr>
        <w:lastRenderedPageBreak/>
        <w:t xml:space="preserve">Lo anterior, </w:t>
      </w:r>
      <w:r w:rsidR="001958AA">
        <w:rPr>
          <w:rFonts w:ascii="ITC Avant Garde" w:hAnsi="ITC Avant Garde" w:cs="Times New Roman"/>
          <w:color w:val="auto"/>
        </w:rPr>
        <w:t>s</w:t>
      </w:r>
      <w:r w:rsidR="0012211F">
        <w:rPr>
          <w:rFonts w:ascii="ITC Avant Garde" w:hAnsi="ITC Avant Garde" w:cs="Times New Roman"/>
          <w:color w:val="auto"/>
        </w:rPr>
        <w:t>eñaló</w:t>
      </w:r>
      <w:r w:rsidRPr="00330641">
        <w:rPr>
          <w:rFonts w:ascii="ITC Avant Garde" w:hAnsi="ITC Avant Garde" w:cs="Times New Roman"/>
          <w:color w:val="auto"/>
        </w:rPr>
        <w:t xml:space="preserve"> Grupo Televisa que los conceptos mencionados como planta interna no han sido considerados en ninguna de las versiones de la ORE, sin embargo, se han utilizado como justificantes de cobro por parte del AEP. Es así que, </w:t>
      </w:r>
      <w:r w:rsidR="001958AA">
        <w:rPr>
          <w:rFonts w:ascii="ITC Avant Garde" w:hAnsi="ITC Avant Garde" w:cs="Times New Roman"/>
          <w:color w:val="auto"/>
        </w:rPr>
        <w:t>argumento</w:t>
      </w:r>
      <w:r w:rsidRPr="00330641">
        <w:rPr>
          <w:rFonts w:ascii="ITC Avant Garde" w:hAnsi="ITC Avant Garde" w:cs="Times New Roman"/>
          <w:color w:val="auto"/>
        </w:rPr>
        <w:t xml:space="preserve"> que al no estar estipulados</w:t>
      </w:r>
      <w:r w:rsidR="00A52C33" w:rsidRPr="00330641">
        <w:rPr>
          <w:rFonts w:ascii="ITC Avant Garde" w:hAnsi="ITC Avant Garde" w:cs="Times New Roman"/>
          <w:color w:val="auto"/>
        </w:rPr>
        <w:t xml:space="preserve"> dichos conceptos</w:t>
      </w:r>
      <w:r w:rsidRPr="00330641">
        <w:rPr>
          <w:rFonts w:ascii="ITC Avant Garde" w:hAnsi="ITC Avant Garde" w:cs="Times New Roman"/>
          <w:color w:val="auto"/>
        </w:rPr>
        <w:t xml:space="preserve"> en la ORE DM </w:t>
      </w:r>
      <w:r w:rsidR="00A52C33" w:rsidRPr="00330641">
        <w:rPr>
          <w:rFonts w:ascii="ITC Avant Garde" w:hAnsi="ITC Avant Garde" w:cs="Times New Roman"/>
          <w:color w:val="auto"/>
        </w:rPr>
        <w:t>vigente, los cobros no son legales ni tienen procedencia, lo cual, sugiere que el AEP, al incluir específicamente las consideraciones de “Planta Interna” en la ORE DM bajo consulta está buscando legalizar sus cobros de manera ex post.</w:t>
      </w:r>
      <w:r w:rsidRPr="00330641">
        <w:rPr>
          <w:rFonts w:ascii="ITC Avant Garde" w:hAnsi="ITC Avant Garde" w:cs="Times New Roman"/>
          <w:color w:val="auto"/>
        </w:rPr>
        <w:t xml:space="preserve"> </w:t>
      </w:r>
    </w:p>
    <w:p w:rsidR="008D10F3" w:rsidRPr="00330641" w:rsidRDefault="008D10F3">
      <w:pPr>
        <w:spacing w:after="0" w:line="276" w:lineRule="auto"/>
        <w:ind w:left="0" w:right="0" w:firstLine="0"/>
        <w:rPr>
          <w:rFonts w:ascii="ITC Avant Garde" w:hAnsi="ITC Avant Garde" w:cs="Times New Roman"/>
          <w:color w:val="auto"/>
        </w:rPr>
      </w:pPr>
    </w:p>
    <w:p w:rsidR="009D0316" w:rsidRPr="00330641" w:rsidRDefault="00A52C33" w:rsidP="00EC3F16">
      <w:pPr>
        <w:spacing w:after="0" w:line="276" w:lineRule="auto"/>
        <w:ind w:left="0" w:right="0" w:firstLine="0"/>
        <w:rPr>
          <w:rFonts w:ascii="ITC Avant Garde" w:hAnsi="ITC Avant Garde" w:cs="Times New Roman"/>
          <w:color w:val="auto"/>
        </w:rPr>
      </w:pPr>
      <w:r w:rsidRPr="00330641">
        <w:rPr>
          <w:rFonts w:ascii="ITC Avant Garde" w:hAnsi="ITC Avant Garde" w:cs="Times New Roman"/>
          <w:color w:val="auto"/>
        </w:rPr>
        <w:t>Dado lo anterior, Grupo Televisa s</w:t>
      </w:r>
      <w:r w:rsidR="001958AA">
        <w:rPr>
          <w:rFonts w:ascii="ITC Avant Garde" w:hAnsi="ITC Avant Garde" w:cs="Times New Roman"/>
          <w:color w:val="auto"/>
        </w:rPr>
        <w:t>olicitó</w:t>
      </w:r>
      <w:r w:rsidR="00436BF0" w:rsidRPr="00330641">
        <w:rPr>
          <w:rFonts w:ascii="ITC Avant Garde" w:hAnsi="ITC Avant Garde" w:cs="Times New Roman"/>
          <w:color w:val="auto"/>
        </w:rPr>
        <w:t xml:space="preserve"> que se</w:t>
      </w:r>
      <w:r w:rsidRPr="00330641">
        <w:rPr>
          <w:rFonts w:ascii="ITC Avant Garde" w:hAnsi="ITC Avant Garde" w:cs="Times New Roman"/>
          <w:color w:val="auto"/>
        </w:rPr>
        <w:t xml:space="preserve"> limite los proyectos especiales a necesidades de planta externa ya que se debe establecer esta condición claramente en la </w:t>
      </w:r>
      <w:r w:rsidR="009D0316" w:rsidRPr="00330641">
        <w:rPr>
          <w:rFonts w:ascii="ITC Avant Garde" w:hAnsi="ITC Avant Garde" w:cs="Times New Roman"/>
          <w:color w:val="auto"/>
        </w:rPr>
        <w:t>ORE DM, de lo contrario el AEP está facultado para cobrar al CS costos relativos a mantenimiento preventivo. Adicionalmente solic</w:t>
      </w:r>
      <w:r w:rsidR="001958AA">
        <w:rPr>
          <w:rFonts w:ascii="ITC Avant Garde" w:hAnsi="ITC Avant Garde" w:cs="Times New Roman"/>
          <w:color w:val="auto"/>
        </w:rPr>
        <w:t>itó</w:t>
      </w:r>
      <w:r w:rsidR="009D0316" w:rsidRPr="00330641">
        <w:rPr>
          <w:rFonts w:ascii="ITC Avant Garde" w:hAnsi="ITC Avant Garde" w:cs="Times New Roman"/>
          <w:color w:val="auto"/>
        </w:rPr>
        <w:t xml:space="preserve"> modificar la presente sección de tal manera que se excluyan justificaciones basadas en los elementos de planta interna para las clasificaciones de proyectos especiales.</w:t>
      </w:r>
    </w:p>
    <w:p w:rsidR="00E84353" w:rsidRPr="00330641" w:rsidRDefault="00E84353" w:rsidP="00EC3F16">
      <w:pPr>
        <w:spacing w:after="0" w:line="276" w:lineRule="auto"/>
        <w:ind w:left="0" w:right="0" w:firstLine="0"/>
        <w:rPr>
          <w:rFonts w:ascii="ITC Avant Garde" w:hAnsi="ITC Avant Garde" w:cs="Times New Roman"/>
          <w:color w:val="auto"/>
        </w:rPr>
      </w:pPr>
    </w:p>
    <w:p w:rsidR="0064660A" w:rsidRPr="00330641" w:rsidRDefault="009D0316" w:rsidP="00EC3F16">
      <w:pPr>
        <w:spacing w:line="276" w:lineRule="auto"/>
        <w:ind w:left="0" w:firstLine="0"/>
        <w:rPr>
          <w:rFonts w:ascii="ITC Avant Garde" w:hAnsi="ITC Avant Garde" w:cs="Times New Roman"/>
          <w:color w:val="auto"/>
        </w:rPr>
      </w:pPr>
      <w:r w:rsidRPr="00330641">
        <w:rPr>
          <w:rFonts w:ascii="ITC Avant Garde" w:hAnsi="ITC Avant Garde" w:cs="Times New Roman"/>
          <w:color w:val="auto"/>
        </w:rPr>
        <w:t xml:space="preserve">Por otro lado, </w:t>
      </w:r>
      <w:r w:rsidR="001958AA">
        <w:rPr>
          <w:rFonts w:ascii="ITC Avant Garde" w:hAnsi="ITC Avant Garde" w:cs="Times New Roman"/>
          <w:color w:val="auto"/>
        </w:rPr>
        <w:t>s</w:t>
      </w:r>
      <w:r w:rsidR="0012211F">
        <w:rPr>
          <w:rFonts w:ascii="ITC Avant Garde" w:hAnsi="ITC Avant Garde" w:cs="Times New Roman"/>
          <w:color w:val="auto"/>
        </w:rPr>
        <w:t>eñaló</w:t>
      </w:r>
      <w:r w:rsidRPr="00330641">
        <w:rPr>
          <w:rFonts w:ascii="ITC Avant Garde" w:hAnsi="ITC Avant Garde" w:cs="Times New Roman"/>
          <w:color w:val="auto"/>
        </w:rPr>
        <w:t xml:space="preserve"> que es imprescindible que el SEG</w:t>
      </w:r>
      <w:r w:rsidR="0041794C">
        <w:rPr>
          <w:rFonts w:ascii="ITC Avant Garde" w:hAnsi="ITC Avant Garde" w:cs="Times New Roman"/>
          <w:color w:val="auto"/>
        </w:rPr>
        <w:t>/SIPO</w:t>
      </w:r>
      <w:r w:rsidRPr="00330641">
        <w:rPr>
          <w:rFonts w:ascii="ITC Avant Garde" w:hAnsi="ITC Avant Garde" w:cs="Times New Roman"/>
          <w:color w:val="auto"/>
        </w:rPr>
        <w:t>, como herramienta principal para el intercambio de información entre el AEP y el CS, garantice un flujo de información constante y actualizada.</w:t>
      </w:r>
      <w:r w:rsidR="0064660A" w:rsidRPr="00330641">
        <w:rPr>
          <w:rFonts w:ascii="ITC Avant Garde" w:hAnsi="ITC Avant Garde" w:cs="Times New Roman"/>
          <w:color w:val="auto"/>
        </w:rPr>
        <w:t xml:space="preserve"> Al respecto, </w:t>
      </w:r>
      <w:r w:rsidR="001958AA">
        <w:rPr>
          <w:rFonts w:ascii="ITC Avant Garde" w:hAnsi="ITC Avant Garde" w:cs="Times New Roman"/>
          <w:color w:val="auto"/>
        </w:rPr>
        <w:t>solicito g</w:t>
      </w:r>
      <w:r w:rsidR="0064660A" w:rsidRPr="00330641">
        <w:rPr>
          <w:rFonts w:ascii="ITC Avant Garde" w:hAnsi="ITC Avant Garde" w:cs="Times New Roman"/>
          <w:color w:val="auto"/>
        </w:rPr>
        <w:t>arantizar que las bases de datos consignadas en el SEG reflejen fehacientemente la infraestructura desplegada del AEP y sean actualizadas recurrentemente para que de esta manera los CS no den trámite a una solicitud de servicios mayoristas sobre la ORE DM con información desactualizada</w:t>
      </w:r>
      <w:r w:rsidR="00C67A33" w:rsidRPr="00330641">
        <w:rPr>
          <w:rFonts w:ascii="ITC Avant Garde" w:hAnsi="ITC Avant Garde" w:cs="Times New Roman"/>
          <w:color w:val="auto"/>
        </w:rPr>
        <w:t>.</w:t>
      </w:r>
    </w:p>
    <w:p w:rsidR="00C67A33" w:rsidRPr="00330641" w:rsidRDefault="00C67A33" w:rsidP="00EC3F16">
      <w:pPr>
        <w:spacing w:line="276" w:lineRule="auto"/>
        <w:ind w:left="0" w:firstLine="0"/>
        <w:rPr>
          <w:rFonts w:ascii="ITC Avant Garde" w:hAnsi="ITC Avant Garde" w:cs="Times New Roman"/>
          <w:color w:val="auto"/>
        </w:rPr>
      </w:pPr>
    </w:p>
    <w:p w:rsidR="001F3E20" w:rsidRPr="00330641" w:rsidRDefault="001F3E20" w:rsidP="000F58E0">
      <w:pPr>
        <w:spacing w:after="0" w:line="276" w:lineRule="auto"/>
        <w:ind w:left="0" w:right="0" w:firstLine="0"/>
        <w:rPr>
          <w:rFonts w:ascii="ITC Avant Garde" w:hAnsi="ITC Avant Garde" w:cs="Times New Roman"/>
          <w:b/>
          <w:color w:val="auto"/>
        </w:rPr>
      </w:pPr>
      <w:r w:rsidRPr="00330641">
        <w:rPr>
          <w:rFonts w:ascii="ITC Avant Garde" w:hAnsi="ITC Avant Garde" w:cs="Times New Roman"/>
          <w:b/>
          <w:color w:val="auto"/>
        </w:rPr>
        <w:t>Consideraciones del Instituto</w:t>
      </w:r>
      <w:r w:rsidR="00E20AF3" w:rsidRPr="00330641">
        <w:rPr>
          <w:rFonts w:ascii="ITC Avant Garde" w:hAnsi="ITC Avant Garde" w:cs="Times New Roman"/>
          <w:b/>
          <w:color w:val="auto"/>
        </w:rPr>
        <w:t>:</w:t>
      </w:r>
    </w:p>
    <w:p w:rsidR="001F3E20" w:rsidRPr="00330641" w:rsidRDefault="001F3E20" w:rsidP="000F58E0">
      <w:pPr>
        <w:spacing w:after="0" w:line="276" w:lineRule="auto"/>
        <w:ind w:left="0" w:right="0" w:firstLine="0"/>
        <w:rPr>
          <w:rFonts w:ascii="ITC Avant Garde" w:hAnsi="ITC Avant Garde"/>
          <w:color w:val="auto"/>
        </w:rPr>
      </w:pPr>
      <w:r w:rsidRPr="00330641">
        <w:rPr>
          <w:rFonts w:ascii="ITC Avant Garde" w:hAnsi="ITC Avant Garde"/>
          <w:color w:val="auto"/>
        </w:rPr>
        <w:t xml:space="preserve">La demanda de Servicios Mayoristas de Enlaces Dedicados, en áreas donde Telmex no cuenta con infraestructura, requiere de reglas precisas </w:t>
      </w:r>
      <w:r w:rsidR="00013543" w:rsidRPr="00330641">
        <w:rPr>
          <w:rFonts w:ascii="ITC Avant Garde" w:hAnsi="ITC Avant Garde"/>
          <w:color w:val="auto"/>
        </w:rPr>
        <w:t>para determinar</w:t>
      </w:r>
      <w:r w:rsidRPr="00330641">
        <w:rPr>
          <w:rFonts w:ascii="ITC Avant Garde" w:hAnsi="ITC Avant Garde"/>
          <w:color w:val="auto"/>
        </w:rPr>
        <w:t xml:space="preserve"> los casos donde se aplican los Proyectos Especiales, así como claridad respecto de los procesos para</w:t>
      </w:r>
      <w:r w:rsidR="00013543" w:rsidRPr="00330641">
        <w:rPr>
          <w:rFonts w:ascii="ITC Avant Garde" w:hAnsi="ITC Avant Garde"/>
          <w:color w:val="auto"/>
        </w:rPr>
        <w:t xml:space="preserve"> la entrega de cotizaciones de Proyectos E</w:t>
      </w:r>
      <w:r w:rsidRPr="00330641">
        <w:rPr>
          <w:rFonts w:ascii="ITC Avant Garde" w:hAnsi="ITC Avant Garde"/>
          <w:color w:val="auto"/>
        </w:rPr>
        <w:t>speciales y los procedimiento</w:t>
      </w:r>
      <w:r w:rsidR="00013543" w:rsidRPr="00330641">
        <w:rPr>
          <w:rFonts w:ascii="ITC Avant Garde" w:hAnsi="ITC Avant Garde"/>
          <w:color w:val="auto"/>
        </w:rPr>
        <w:t>s</w:t>
      </w:r>
      <w:r w:rsidRPr="00330641">
        <w:rPr>
          <w:rFonts w:ascii="ITC Avant Garde" w:hAnsi="ITC Avant Garde"/>
          <w:color w:val="auto"/>
        </w:rPr>
        <w:t xml:space="preserve"> de aclaración de cotizaciones los cuales no deben recaer en la aplicación de criterios discrecionales o situaciones que afecten la competencia.</w:t>
      </w:r>
    </w:p>
    <w:p w:rsidR="001F3E20" w:rsidRPr="00330641" w:rsidRDefault="001F3E20" w:rsidP="000F58E0">
      <w:pPr>
        <w:spacing w:after="0" w:line="276" w:lineRule="auto"/>
        <w:ind w:left="0" w:right="0" w:firstLine="0"/>
        <w:rPr>
          <w:rFonts w:ascii="ITC Avant Garde" w:hAnsi="ITC Avant Garde"/>
          <w:color w:val="auto"/>
        </w:rPr>
      </w:pPr>
    </w:p>
    <w:p w:rsidR="001F3E20" w:rsidRPr="00330641" w:rsidRDefault="001F3E20" w:rsidP="000F58E0">
      <w:pPr>
        <w:spacing w:after="0" w:line="276" w:lineRule="auto"/>
        <w:ind w:left="0" w:right="0" w:firstLine="0"/>
        <w:rPr>
          <w:rFonts w:ascii="ITC Avant Garde" w:hAnsi="ITC Avant Garde"/>
          <w:color w:val="auto"/>
        </w:rPr>
      </w:pPr>
      <w:r w:rsidRPr="00330641">
        <w:rPr>
          <w:rFonts w:ascii="ITC Avant Garde" w:eastAsiaTheme="minorHAnsi" w:hAnsi="ITC Avant Garde" w:cstheme="minorBidi"/>
          <w:color w:val="auto"/>
          <w:lang w:eastAsia="en-US"/>
        </w:rPr>
        <w:t xml:space="preserve">En este sentido, </w:t>
      </w:r>
      <w:r w:rsidR="00A64E96" w:rsidRPr="00330641">
        <w:rPr>
          <w:rFonts w:ascii="ITC Avant Garde" w:eastAsiaTheme="minorHAnsi" w:hAnsi="ITC Avant Garde" w:cstheme="minorBidi"/>
          <w:color w:val="auto"/>
          <w:lang w:eastAsia="en-US"/>
        </w:rPr>
        <w:t>se eliminó</w:t>
      </w:r>
      <w:r w:rsidRPr="00330641">
        <w:rPr>
          <w:rFonts w:ascii="ITC Avant Garde" w:eastAsiaTheme="minorHAnsi" w:hAnsi="ITC Avant Garde" w:cstheme="minorBidi"/>
          <w:color w:val="auto"/>
          <w:lang w:eastAsia="en-US"/>
        </w:rPr>
        <w:t xml:space="preserve"> del proyecto de oferta de referencia el enunciado </w:t>
      </w:r>
      <w:r w:rsidR="00D25BE7" w:rsidRPr="00330641">
        <w:rPr>
          <w:rFonts w:ascii="ITC Avant Garde" w:hAnsi="ITC Avant Garde"/>
          <w:color w:val="auto"/>
        </w:rPr>
        <w:t>“</w:t>
      </w:r>
      <w:r w:rsidR="00D25BE7" w:rsidRPr="00330641">
        <w:rPr>
          <w:rFonts w:ascii="ITC Avant Garde" w:hAnsi="ITC Avant Garde"/>
          <w:i/>
          <w:color w:val="auto"/>
        </w:rPr>
        <w:t>bajo las condiciones existentes de infraestructura</w:t>
      </w:r>
      <w:r w:rsidR="00D25BE7" w:rsidRPr="00330641">
        <w:rPr>
          <w:rFonts w:ascii="ITC Avant Garde" w:hAnsi="ITC Avant Garde"/>
          <w:color w:val="auto"/>
        </w:rPr>
        <w:t>” con el objetivo de evitar decisiones discrecionales respecto de los casos que puedan ser calificados como proyecto especial por parte de Telmex.</w:t>
      </w:r>
    </w:p>
    <w:p w:rsidR="001467EB" w:rsidRPr="00330641" w:rsidRDefault="001467EB" w:rsidP="001467EB">
      <w:pPr>
        <w:spacing w:after="0" w:line="276" w:lineRule="auto"/>
        <w:ind w:left="0" w:right="0" w:firstLine="0"/>
        <w:rPr>
          <w:rFonts w:ascii="ITC Avant Garde" w:hAnsi="ITC Avant Garde"/>
          <w:color w:val="auto"/>
        </w:rPr>
      </w:pPr>
    </w:p>
    <w:p w:rsidR="001467EB" w:rsidRPr="00330641" w:rsidRDefault="00C94B70" w:rsidP="001467EB">
      <w:pPr>
        <w:spacing w:after="0" w:line="276" w:lineRule="auto"/>
        <w:ind w:left="0" w:right="0" w:firstLine="0"/>
        <w:rPr>
          <w:rFonts w:ascii="ITC Avant Garde" w:hAnsi="ITC Avant Garde"/>
          <w:color w:val="auto"/>
        </w:rPr>
      </w:pPr>
      <w:r>
        <w:rPr>
          <w:rFonts w:ascii="ITC Avant Garde" w:hAnsi="ITC Avant Garde"/>
          <w:color w:val="auto"/>
        </w:rPr>
        <w:t>De i</w:t>
      </w:r>
      <w:r w:rsidR="001467EB" w:rsidRPr="00330641">
        <w:rPr>
          <w:rFonts w:ascii="ITC Avant Garde" w:hAnsi="ITC Avant Garde"/>
          <w:color w:val="auto"/>
        </w:rPr>
        <w:t>gual manera, se delimitó la información requerida para los enlaces que pueden calificarse como Proyecto Especial, eliminando los casos relacionados con la red de transporte</w:t>
      </w:r>
      <w:r w:rsidR="000D7C18" w:rsidRPr="00330641">
        <w:rPr>
          <w:rFonts w:ascii="ITC Avant Garde" w:hAnsi="ITC Avant Garde"/>
          <w:color w:val="auto"/>
        </w:rPr>
        <w:t xml:space="preserve"> y planta interna</w:t>
      </w:r>
      <w:r w:rsidR="001467EB" w:rsidRPr="00330641">
        <w:rPr>
          <w:rFonts w:ascii="ITC Avant Garde" w:hAnsi="ITC Avant Garde"/>
          <w:color w:val="auto"/>
        </w:rPr>
        <w:t xml:space="preserve">, por considerarse que los elementos correspondientes a dicha porción de la red se contienen dentro del modelo de costos del Instituto y señalando que no se podrán considerar Proyectos Especiales </w:t>
      </w:r>
      <w:r w:rsidR="001467EB" w:rsidRPr="00330641">
        <w:rPr>
          <w:rFonts w:ascii="ITC Avant Garde" w:hAnsi="ITC Avant Garde"/>
          <w:color w:val="auto"/>
        </w:rPr>
        <w:lastRenderedPageBreak/>
        <w:t xml:space="preserve">aquellos casos donde se requieran elementos de red cuyo costo ya se encuentre incorporado en las tarifas determinadas por el Instituto para el servicio mayorista de enlaces dedicados. </w:t>
      </w:r>
    </w:p>
    <w:p w:rsidR="001467EB" w:rsidRPr="00330641" w:rsidRDefault="001467EB" w:rsidP="000F58E0">
      <w:pPr>
        <w:spacing w:after="0" w:line="276" w:lineRule="auto"/>
        <w:ind w:left="0" w:right="0" w:firstLine="0"/>
        <w:rPr>
          <w:rFonts w:ascii="ITC Avant Garde" w:hAnsi="ITC Avant Garde"/>
          <w:color w:val="auto"/>
        </w:rPr>
      </w:pPr>
    </w:p>
    <w:p w:rsidR="00E45784" w:rsidRPr="00330641" w:rsidRDefault="00E45784" w:rsidP="000F58E0">
      <w:pPr>
        <w:spacing w:after="0" w:line="276" w:lineRule="auto"/>
        <w:ind w:left="0" w:right="0" w:firstLine="0"/>
        <w:rPr>
          <w:rFonts w:ascii="ITC Avant Garde" w:hAnsi="ITC Avant Garde"/>
          <w:i/>
          <w:color w:val="auto"/>
        </w:rPr>
      </w:pPr>
      <w:r w:rsidRPr="00330641">
        <w:rPr>
          <w:rFonts w:ascii="ITC Avant Garde" w:hAnsi="ITC Avant Garde"/>
          <w:color w:val="auto"/>
        </w:rPr>
        <w:t>Asimismo</w:t>
      </w:r>
      <w:r w:rsidR="00FA01A1" w:rsidRPr="00330641">
        <w:rPr>
          <w:rFonts w:ascii="ITC Avant Garde" w:hAnsi="ITC Avant Garde"/>
          <w:color w:val="auto"/>
        </w:rPr>
        <w:t xml:space="preserve"> y con relación a lo señala</w:t>
      </w:r>
      <w:r w:rsidR="00D96394" w:rsidRPr="00330641">
        <w:rPr>
          <w:rFonts w:ascii="ITC Avant Garde" w:hAnsi="ITC Avant Garde"/>
          <w:color w:val="auto"/>
        </w:rPr>
        <w:t>do</w:t>
      </w:r>
      <w:r w:rsidR="00FA01A1" w:rsidRPr="00330641">
        <w:rPr>
          <w:rFonts w:ascii="ITC Avant Garde" w:hAnsi="ITC Avant Garde"/>
          <w:color w:val="auto"/>
        </w:rPr>
        <w:t xml:space="preserve"> por Axtel</w:t>
      </w:r>
      <w:r w:rsidR="00077151" w:rsidRPr="00330641">
        <w:rPr>
          <w:rFonts w:ascii="ITC Avant Garde" w:hAnsi="ITC Avant Garde"/>
          <w:color w:val="auto"/>
        </w:rPr>
        <w:t xml:space="preserve">, </w:t>
      </w:r>
      <w:r w:rsidR="007803B2" w:rsidRPr="00330641">
        <w:rPr>
          <w:rFonts w:ascii="ITC Avant Garde" w:hAnsi="ITC Avant Garde"/>
          <w:color w:val="auto"/>
        </w:rPr>
        <w:t>CANIETI</w:t>
      </w:r>
      <w:r w:rsidR="00CA1364">
        <w:rPr>
          <w:rFonts w:ascii="ITC Avant Garde" w:hAnsi="ITC Avant Garde"/>
          <w:color w:val="auto"/>
        </w:rPr>
        <w:t>,</w:t>
      </w:r>
      <w:r w:rsidR="00077151" w:rsidRPr="00330641">
        <w:rPr>
          <w:rFonts w:ascii="ITC Avant Garde" w:hAnsi="ITC Avant Garde"/>
          <w:color w:val="auto"/>
        </w:rPr>
        <w:t xml:space="preserve"> Grupo Televisa</w:t>
      </w:r>
      <w:r w:rsidR="00CA1364">
        <w:rPr>
          <w:rFonts w:ascii="ITC Avant Garde" w:hAnsi="ITC Avant Garde"/>
          <w:color w:val="auto"/>
        </w:rPr>
        <w:t xml:space="preserve"> y Pegaso</w:t>
      </w:r>
      <w:r w:rsidR="007803B2" w:rsidRPr="00330641">
        <w:rPr>
          <w:rFonts w:ascii="ITC Avant Garde" w:hAnsi="ITC Avant Garde"/>
          <w:color w:val="auto"/>
        </w:rPr>
        <w:t xml:space="preserve"> </w:t>
      </w:r>
      <w:r w:rsidR="00FA01A1" w:rsidRPr="00330641">
        <w:rPr>
          <w:rFonts w:ascii="ITC Avant Garde" w:hAnsi="ITC Avant Garde"/>
          <w:color w:val="auto"/>
        </w:rPr>
        <w:t>quien</w:t>
      </w:r>
      <w:r w:rsidR="007803B2" w:rsidRPr="00330641">
        <w:rPr>
          <w:rFonts w:ascii="ITC Avant Garde" w:hAnsi="ITC Avant Garde"/>
          <w:color w:val="auto"/>
        </w:rPr>
        <w:t>es</w:t>
      </w:r>
      <w:r w:rsidR="00FA01A1" w:rsidRPr="00330641">
        <w:rPr>
          <w:rFonts w:ascii="ITC Avant Garde" w:hAnsi="ITC Avant Garde"/>
          <w:color w:val="auto"/>
        </w:rPr>
        <w:t xml:space="preserve"> de manera general solicita</w:t>
      </w:r>
      <w:r w:rsidR="007803B2" w:rsidRPr="00330641">
        <w:rPr>
          <w:rFonts w:ascii="ITC Avant Garde" w:hAnsi="ITC Avant Garde"/>
          <w:color w:val="auto"/>
        </w:rPr>
        <w:t>n</w:t>
      </w:r>
      <w:r w:rsidR="00FA01A1" w:rsidRPr="00330641">
        <w:rPr>
          <w:rFonts w:ascii="ITC Avant Garde" w:hAnsi="ITC Avant Garde"/>
          <w:color w:val="auto"/>
        </w:rPr>
        <w:t xml:space="preserve"> que se definan los conceptos de costos que el AEP puede incluir en la cotización y cobro de Proyectos </w:t>
      </w:r>
      <w:r w:rsidR="00E20AF3" w:rsidRPr="00330641">
        <w:rPr>
          <w:rFonts w:ascii="ITC Avant Garde" w:hAnsi="ITC Avant Garde"/>
          <w:color w:val="auto"/>
        </w:rPr>
        <w:t>Especiales</w:t>
      </w:r>
      <w:r w:rsidR="00E52D68" w:rsidRPr="00330641">
        <w:rPr>
          <w:rFonts w:ascii="ITC Avant Garde" w:hAnsi="ITC Avant Garde"/>
          <w:color w:val="auto"/>
        </w:rPr>
        <w:t>, en la ORE</w:t>
      </w:r>
      <w:r w:rsidR="007C6C46" w:rsidRPr="00330641">
        <w:rPr>
          <w:rFonts w:ascii="ITC Avant Garde" w:hAnsi="ITC Avant Garde"/>
          <w:color w:val="auto"/>
        </w:rPr>
        <w:t xml:space="preserve"> DM</w:t>
      </w:r>
      <w:r w:rsidR="00E52D68" w:rsidRPr="00330641">
        <w:rPr>
          <w:rFonts w:ascii="ITC Avant Garde" w:hAnsi="ITC Avant Garde"/>
          <w:color w:val="auto"/>
        </w:rPr>
        <w:t xml:space="preserve"> 2021</w:t>
      </w:r>
      <w:r w:rsidRPr="00330641">
        <w:rPr>
          <w:rFonts w:ascii="ITC Avant Garde" w:hAnsi="ITC Avant Garde"/>
          <w:color w:val="auto"/>
        </w:rPr>
        <w:t xml:space="preserve"> se establecieron los </w:t>
      </w:r>
      <w:r w:rsidR="00B2674A" w:rsidRPr="00330641">
        <w:rPr>
          <w:rFonts w:ascii="ITC Avant Garde" w:hAnsi="ITC Avant Garde"/>
          <w:color w:val="auto"/>
        </w:rPr>
        <w:t>requisitos</w:t>
      </w:r>
      <w:r w:rsidRPr="00330641">
        <w:rPr>
          <w:rFonts w:ascii="ITC Avant Garde" w:hAnsi="ITC Avant Garde"/>
          <w:color w:val="auto"/>
        </w:rPr>
        <w:t xml:space="preserve"> que deberán reunir las cotizaciones de los </w:t>
      </w:r>
      <w:r w:rsidR="00B2674A" w:rsidRPr="00330641">
        <w:rPr>
          <w:rFonts w:ascii="ITC Avant Garde" w:hAnsi="ITC Avant Garde"/>
          <w:color w:val="auto"/>
        </w:rPr>
        <w:t xml:space="preserve">Proyectos Especiales </w:t>
      </w:r>
      <w:r w:rsidRPr="00330641">
        <w:rPr>
          <w:rFonts w:ascii="ITC Avant Garde" w:hAnsi="ITC Avant Garde"/>
          <w:color w:val="auto"/>
        </w:rPr>
        <w:t>considerando como elementos de red que pueden integrar dicha cotización; Planta externa, Red de acceso y Adecuaciones, estableciendo la siguiente nota: “</w:t>
      </w:r>
      <w:r w:rsidRPr="00330641">
        <w:rPr>
          <w:rFonts w:ascii="ITC Avant Garde" w:hAnsi="ITC Avant Garde"/>
          <w:i/>
          <w:color w:val="auto"/>
        </w:rPr>
        <w:t>En cada cotización se precisarán los elementos que estén presentes en los rubros anteriores, como pueden ser: permisos, obra civil, gabinetes, postes, escalerillas, bastidores, fibra óptica o cable de cobre, equipo óptico, distribuidores de fibra o coaxial, mano de obra, etc.”</w:t>
      </w:r>
    </w:p>
    <w:p w:rsidR="007C6D52" w:rsidRPr="00330641" w:rsidRDefault="007C6D52" w:rsidP="000F58E0">
      <w:pPr>
        <w:spacing w:after="0" w:line="276" w:lineRule="auto"/>
        <w:ind w:left="0" w:right="0" w:firstLine="0"/>
        <w:rPr>
          <w:rFonts w:ascii="ITC Avant Garde" w:hAnsi="ITC Avant Garde"/>
          <w:i/>
          <w:color w:val="auto"/>
        </w:rPr>
      </w:pPr>
    </w:p>
    <w:p w:rsidR="001F3E20" w:rsidRDefault="00D670CD" w:rsidP="000F58E0">
      <w:pPr>
        <w:spacing w:after="0" w:line="276" w:lineRule="auto"/>
        <w:ind w:left="0" w:right="0" w:firstLine="0"/>
        <w:rPr>
          <w:rFonts w:ascii="ITC Avant Garde" w:hAnsi="ITC Avant Garde" w:cs="Times New Roman"/>
          <w:color w:val="auto"/>
        </w:rPr>
      </w:pPr>
      <w:r>
        <w:rPr>
          <w:rFonts w:ascii="ITC Avant Garde" w:hAnsi="ITC Avant Garde" w:cs="Times New Roman"/>
          <w:color w:val="auto"/>
        </w:rPr>
        <w:t xml:space="preserve">Respecto al desglose detallado de los costos, en unidades y precio por cada concepto, la Oferta señala que en cada cotización </w:t>
      </w:r>
      <w:r w:rsidRPr="00D670CD">
        <w:rPr>
          <w:rFonts w:ascii="ITC Avant Garde" w:hAnsi="ITC Avant Garde" w:cs="Times New Roman"/>
          <w:color w:val="auto"/>
        </w:rPr>
        <w:t>se precisarán de manera obligatoria los elementos (cantidad y precios unitarios) que estén presentes en los rubros anteriores, como pueden ser: permisos, obra civil, gabinetes, postes, escalerillas, bastidores, fibra óptica o cable de cobre, equipo óptico, distribuidores de fibra o coaxial, mano de obra, etc.</w:t>
      </w:r>
    </w:p>
    <w:p w:rsidR="00D670CD" w:rsidRPr="00330641" w:rsidRDefault="00D670CD" w:rsidP="000F58E0">
      <w:pPr>
        <w:spacing w:after="0" w:line="276" w:lineRule="auto"/>
        <w:ind w:left="0" w:right="0" w:firstLine="0"/>
        <w:rPr>
          <w:rFonts w:ascii="ITC Avant Garde" w:hAnsi="ITC Avant Garde"/>
          <w:color w:val="auto"/>
        </w:rPr>
      </w:pPr>
    </w:p>
    <w:p w:rsidR="00C93A96" w:rsidRPr="00330641" w:rsidRDefault="00D670CD" w:rsidP="000F58E0">
      <w:pPr>
        <w:spacing w:after="0" w:line="276" w:lineRule="auto"/>
        <w:ind w:left="0" w:right="0" w:firstLine="0"/>
        <w:rPr>
          <w:rFonts w:ascii="ITC Avant Garde" w:hAnsi="ITC Avant Garde"/>
          <w:color w:val="auto"/>
        </w:rPr>
      </w:pPr>
      <w:r>
        <w:rPr>
          <w:rFonts w:ascii="ITC Avant Garde" w:hAnsi="ITC Avant Garde"/>
          <w:color w:val="auto"/>
        </w:rPr>
        <w:t>Respecto</w:t>
      </w:r>
      <w:r w:rsidR="00E20AF3" w:rsidRPr="00330641">
        <w:rPr>
          <w:rFonts w:ascii="ITC Avant Garde" w:hAnsi="ITC Avant Garde"/>
          <w:color w:val="auto"/>
        </w:rPr>
        <w:t xml:space="preserve"> a lo </w:t>
      </w:r>
      <w:r w:rsidR="001958AA">
        <w:rPr>
          <w:rFonts w:ascii="ITC Avant Garde" w:hAnsi="ITC Avant Garde"/>
          <w:color w:val="auto"/>
        </w:rPr>
        <w:t>manifestado</w:t>
      </w:r>
      <w:r w:rsidR="00E20AF3" w:rsidRPr="00330641">
        <w:rPr>
          <w:rFonts w:ascii="ITC Avant Garde" w:hAnsi="ITC Avant Garde"/>
          <w:color w:val="auto"/>
        </w:rPr>
        <w:t xml:space="preserve"> por </w:t>
      </w:r>
      <w:r w:rsidR="00D96394" w:rsidRPr="00330641">
        <w:rPr>
          <w:rFonts w:ascii="ITC Avant Garde" w:hAnsi="ITC Avant Garde"/>
          <w:color w:val="auto"/>
        </w:rPr>
        <w:t>Grupo</w:t>
      </w:r>
      <w:r w:rsidR="00E20AF3" w:rsidRPr="00330641">
        <w:rPr>
          <w:rFonts w:ascii="ITC Avant Garde" w:hAnsi="ITC Avant Garde"/>
          <w:color w:val="auto"/>
        </w:rPr>
        <w:t xml:space="preserve"> AT&amp;T en la ORE </w:t>
      </w:r>
      <w:r w:rsidR="00D7752A" w:rsidRPr="00330641">
        <w:rPr>
          <w:rFonts w:ascii="ITC Avant Garde" w:hAnsi="ITC Avant Garde"/>
          <w:color w:val="auto"/>
        </w:rPr>
        <w:t xml:space="preserve">DM </w:t>
      </w:r>
      <w:r w:rsidR="00E20AF3" w:rsidRPr="00330641">
        <w:rPr>
          <w:rFonts w:ascii="ITC Avant Garde" w:hAnsi="ITC Avant Garde"/>
          <w:color w:val="auto"/>
        </w:rPr>
        <w:t>202</w:t>
      </w:r>
      <w:r w:rsidR="00D7752A" w:rsidRPr="00330641">
        <w:rPr>
          <w:rFonts w:ascii="ITC Avant Garde" w:hAnsi="ITC Avant Garde"/>
          <w:color w:val="auto"/>
        </w:rPr>
        <w:t>1</w:t>
      </w:r>
      <w:r w:rsidR="00E20AF3" w:rsidRPr="00330641">
        <w:rPr>
          <w:rFonts w:ascii="ITC Avant Garde" w:hAnsi="ITC Avant Garde"/>
          <w:color w:val="auto"/>
        </w:rPr>
        <w:t xml:space="preserve"> se estableció como una de las condiciones que el AEP podrá cobrar Proyecto Especial únicamente </w:t>
      </w:r>
      <w:r w:rsidR="009137EB" w:rsidRPr="00330641">
        <w:rPr>
          <w:rFonts w:ascii="ITC Avant Garde" w:hAnsi="ITC Avant Garde"/>
          <w:color w:val="auto"/>
        </w:rPr>
        <w:t xml:space="preserve">para enlaces dedicados de </w:t>
      </w:r>
      <w:r w:rsidR="006E44C1">
        <w:rPr>
          <w:rFonts w:ascii="ITC Avant Garde" w:hAnsi="ITC Avant Garde"/>
          <w:color w:val="auto"/>
        </w:rPr>
        <w:t>Fibra Óptica</w:t>
      </w:r>
      <w:r w:rsidR="009137EB" w:rsidRPr="00330641">
        <w:rPr>
          <w:rFonts w:ascii="ITC Avant Garde" w:hAnsi="ITC Avant Garde"/>
          <w:color w:val="auto"/>
        </w:rPr>
        <w:t>, donde la distancia máxima para conexión al pozo de empalme del anillo de fibra más cercano en la última milla es de 1 km.</w:t>
      </w:r>
    </w:p>
    <w:p w:rsidR="00FC402C" w:rsidRPr="00330641" w:rsidRDefault="00FC402C" w:rsidP="000F58E0">
      <w:pPr>
        <w:spacing w:after="0" w:line="276" w:lineRule="auto"/>
        <w:ind w:left="0" w:right="0" w:firstLine="0"/>
        <w:rPr>
          <w:rFonts w:ascii="ITC Avant Garde" w:hAnsi="ITC Avant Garde"/>
          <w:color w:val="auto"/>
        </w:rPr>
      </w:pPr>
    </w:p>
    <w:p w:rsidR="00FC402C" w:rsidRPr="00330641" w:rsidRDefault="000D7C18" w:rsidP="00FC402C">
      <w:pPr>
        <w:tabs>
          <w:tab w:val="left" w:pos="284"/>
        </w:tabs>
        <w:spacing w:line="276" w:lineRule="auto"/>
        <w:ind w:left="0" w:firstLine="0"/>
        <w:rPr>
          <w:rFonts w:ascii="ITC Avant Garde" w:hAnsi="ITC Avant Garde" w:cs="Arial"/>
        </w:rPr>
      </w:pPr>
      <w:r w:rsidRPr="00330641">
        <w:rPr>
          <w:rFonts w:ascii="ITC Avant Garde" w:hAnsi="ITC Avant Garde" w:cs="Arial"/>
        </w:rPr>
        <w:t xml:space="preserve">Ahora bien, con respecto a lo </w:t>
      </w:r>
      <w:r w:rsidR="001958AA">
        <w:rPr>
          <w:rFonts w:ascii="ITC Avant Garde" w:hAnsi="ITC Avant Garde" w:cs="Arial"/>
        </w:rPr>
        <w:t>argumentado</w:t>
      </w:r>
      <w:r w:rsidRPr="00330641">
        <w:rPr>
          <w:rFonts w:ascii="ITC Avant Garde" w:hAnsi="ITC Avant Garde" w:cs="Arial"/>
        </w:rPr>
        <w:t xml:space="preserve"> por Grupo Televisa en el sentido de que </w:t>
      </w:r>
      <w:r w:rsidRPr="00330641">
        <w:rPr>
          <w:rFonts w:ascii="ITC Avant Garde" w:hAnsi="ITC Avant Garde" w:cs="Times New Roman"/>
          <w:color w:val="auto"/>
        </w:rPr>
        <w:t xml:space="preserve">es imprescindible que el SEG, como herramienta principal para el intercambio de información entre el AEP y el CS, garantice un flujo de información constante y actualizada, </w:t>
      </w:r>
      <w:r w:rsidRPr="00330641">
        <w:rPr>
          <w:rFonts w:ascii="ITC Avant Garde" w:hAnsi="ITC Avant Garde" w:cs="Arial"/>
        </w:rPr>
        <w:t>s</w:t>
      </w:r>
      <w:r w:rsidR="00FC402C" w:rsidRPr="00330641">
        <w:rPr>
          <w:rFonts w:ascii="ITC Avant Garde" w:hAnsi="ITC Avant Garde" w:cs="Arial"/>
        </w:rPr>
        <w:t>e señala que en la ORE DM 2021 se precisa que conforme a la medida Cuadragésima Segunda de las Medidas Fijas, el SEG es el mecanismo de comunicación entre el AEP y los CS por lo que la contratación, reportes y seguimiento de fallas e incidencias, consultas y, todo aquello necesario para la correcta operación de los Servicios Mayoristas de Enlaces Dedicados, se debe realizar a través de dicho sistema.</w:t>
      </w:r>
    </w:p>
    <w:p w:rsidR="00E20AF3" w:rsidRPr="00330641" w:rsidRDefault="00E20AF3" w:rsidP="000F58E0">
      <w:pPr>
        <w:spacing w:after="0" w:line="276" w:lineRule="auto"/>
        <w:ind w:left="0" w:right="0" w:firstLine="0"/>
        <w:rPr>
          <w:rFonts w:ascii="ITC Avant Garde" w:hAnsi="ITC Avant Garde"/>
          <w:color w:val="auto"/>
        </w:rPr>
      </w:pPr>
    </w:p>
    <w:p w:rsidR="00C93A96" w:rsidRPr="00330641" w:rsidRDefault="00C93A96" w:rsidP="000F58E0">
      <w:pPr>
        <w:spacing w:after="0" w:line="276" w:lineRule="auto"/>
        <w:ind w:left="0" w:right="0" w:firstLine="0"/>
        <w:rPr>
          <w:rFonts w:ascii="ITC Avant Garde" w:hAnsi="ITC Avant Garde"/>
          <w:color w:val="auto"/>
        </w:rPr>
      </w:pPr>
      <w:r w:rsidRPr="00330641">
        <w:rPr>
          <w:rFonts w:ascii="ITC Avant Garde" w:hAnsi="ITC Avant Garde"/>
          <w:color w:val="auto"/>
        </w:rPr>
        <w:t>Por otro lado, respecto de</w:t>
      </w:r>
      <w:r w:rsidR="00C243EB" w:rsidRPr="00330641">
        <w:rPr>
          <w:rFonts w:ascii="ITC Avant Garde" w:hAnsi="ITC Avant Garde"/>
          <w:color w:val="auto"/>
        </w:rPr>
        <w:t xml:space="preserve"> </w:t>
      </w:r>
      <w:r w:rsidRPr="00330641">
        <w:rPr>
          <w:rFonts w:ascii="ITC Avant Garde" w:hAnsi="ITC Avant Garde"/>
          <w:color w:val="auto"/>
        </w:rPr>
        <w:t xml:space="preserve">poner a disposición por medio del SEG, </w:t>
      </w:r>
      <w:r w:rsidR="00FA01A1" w:rsidRPr="00330641">
        <w:rPr>
          <w:rFonts w:ascii="ITC Avant Garde" w:hAnsi="ITC Avant Garde"/>
          <w:color w:val="auto"/>
        </w:rPr>
        <w:t>todas las</w:t>
      </w:r>
      <w:r w:rsidR="00BB4AD0" w:rsidRPr="00330641">
        <w:rPr>
          <w:rFonts w:ascii="ITC Avant Garde" w:hAnsi="ITC Avant Garde"/>
          <w:color w:val="auto"/>
        </w:rPr>
        <w:t xml:space="preserve"> bases de datos</w:t>
      </w:r>
      <w:r w:rsidR="00FA01A1" w:rsidRPr="00330641">
        <w:rPr>
          <w:rFonts w:ascii="ITC Avant Garde" w:hAnsi="ITC Avant Garde"/>
          <w:color w:val="auto"/>
        </w:rPr>
        <w:t xml:space="preserve"> </w:t>
      </w:r>
      <w:r w:rsidRPr="00330641">
        <w:rPr>
          <w:rFonts w:ascii="ITC Avant Garde" w:hAnsi="ITC Avant Garde"/>
          <w:color w:val="auto"/>
        </w:rPr>
        <w:t>la información relativa la capacidad de infraestructura pasiva disponible</w:t>
      </w:r>
      <w:r w:rsidR="00BF7F0D" w:rsidRPr="00330641">
        <w:rPr>
          <w:rFonts w:ascii="ITC Avant Garde" w:hAnsi="ITC Avant Garde"/>
          <w:color w:val="auto"/>
        </w:rPr>
        <w:t xml:space="preserve">, así como, incorporar a la ORE DM 2021 el servicio de acceso a la fibra oscura con </w:t>
      </w:r>
      <w:r w:rsidR="00BF7F0D" w:rsidRPr="00330641">
        <w:rPr>
          <w:rFonts w:ascii="ITC Avant Garde" w:hAnsi="ITC Avant Garde"/>
          <w:color w:val="auto"/>
        </w:rPr>
        <w:lastRenderedPageBreak/>
        <w:t>puntas entre loc</w:t>
      </w:r>
      <w:r w:rsidR="00D670CD">
        <w:rPr>
          <w:rFonts w:ascii="ITC Avant Garde" w:hAnsi="ITC Avant Garde"/>
          <w:color w:val="auto"/>
        </w:rPr>
        <w:t>alidades y nacionales de fibra, se señala que dicha obligación excede el alcance</w:t>
      </w:r>
      <w:r w:rsidR="00B2674A" w:rsidRPr="00330641">
        <w:rPr>
          <w:rFonts w:ascii="ITC Avant Garde" w:hAnsi="ITC Avant Garde"/>
          <w:color w:val="auto"/>
        </w:rPr>
        <w:t xml:space="preserve"> de la ORE</w:t>
      </w:r>
      <w:r w:rsidR="00D7752A" w:rsidRPr="00330641">
        <w:rPr>
          <w:rFonts w:ascii="ITC Avant Garde" w:hAnsi="ITC Avant Garde"/>
          <w:color w:val="auto"/>
        </w:rPr>
        <w:t xml:space="preserve"> DM</w:t>
      </w:r>
      <w:r w:rsidR="00B2674A" w:rsidRPr="00330641">
        <w:rPr>
          <w:rFonts w:ascii="ITC Avant Garde" w:hAnsi="ITC Avant Garde"/>
          <w:color w:val="auto"/>
        </w:rPr>
        <w:t xml:space="preserve"> 202</w:t>
      </w:r>
      <w:r w:rsidR="00D7752A" w:rsidRPr="00330641">
        <w:rPr>
          <w:rFonts w:ascii="ITC Avant Garde" w:hAnsi="ITC Avant Garde"/>
          <w:color w:val="auto"/>
        </w:rPr>
        <w:t>1</w:t>
      </w:r>
      <w:r w:rsidR="00B2674A" w:rsidRPr="00330641">
        <w:rPr>
          <w:rFonts w:ascii="ITC Avant Garde" w:hAnsi="ITC Avant Garde"/>
          <w:color w:val="auto"/>
        </w:rPr>
        <w:t>.</w:t>
      </w:r>
      <w:r w:rsidR="009137EB" w:rsidRPr="00330641">
        <w:rPr>
          <w:rFonts w:ascii="ITC Avant Garde" w:hAnsi="ITC Avant Garde"/>
          <w:color w:val="auto"/>
        </w:rPr>
        <w:t xml:space="preserve"> </w:t>
      </w:r>
    </w:p>
    <w:p w:rsidR="009137EB" w:rsidRPr="00330641" w:rsidRDefault="009137EB" w:rsidP="000F58E0">
      <w:pPr>
        <w:spacing w:after="0" w:line="276" w:lineRule="auto"/>
        <w:ind w:left="0" w:right="0" w:firstLine="0"/>
        <w:rPr>
          <w:rFonts w:ascii="ITC Avant Garde" w:hAnsi="ITC Avant Garde"/>
          <w:color w:val="auto"/>
        </w:rPr>
      </w:pPr>
    </w:p>
    <w:p w:rsidR="00C243EB" w:rsidRDefault="00C94B70" w:rsidP="000F58E0">
      <w:pPr>
        <w:spacing w:after="0" w:line="276" w:lineRule="auto"/>
        <w:ind w:left="0" w:right="0" w:firstLine="0"/>
        <w:rPr>
          <w:rFonts w:ascii="ITC Avant Garde" w:hAnsi="ITC Avant Garde"/>
          <w:color w:val="auto"/>
        </w:rPr>
      </w:pPr>
      <w:r>
        <w:rPr>
          <w:rFonts w:ascii="ITC Avant Garde" w:hAnsi="ITC Avant Garde"/>
          <w:color w:val="auto"/>
        </w:rPr>
        <w:t xml:space="preserve">Por </w:t>
      </w:r>
      <w:proofErr w:type="gramStart"/>
      <w:r>
        <w:rPr>
          <w:rFonts w:ascii="ITC Avant Garde" w:hAnsi="ITC Avant Garde"/>
          <w:color w:val="auto"/>
        </w:rPr>
        <w:t>ú</w:t>
      </w:r>
      <w:r w:rsidR="009137EB" w:rsidRPr="00330641">
        <w:rPr>
          <w:rFonts w:ascii="ITC Avant Garde" w:hAnsi="ITC Avant Garde"/>
          <w:color w:val="auto"/>
        </w:rPr>
        <w:t>ltimo</w:t>
      </w:r>
      <w:proofErr w:type="gramEnd"/>
      <w:r w:rsidR="009137EB" w:rsidRPr="00330641">
        <w:rPr>
          <w:rFonts w:ascii="ITC Avant Garde" w:hAnsi="ITC Avant Garde"/>
          <w:color w:val="auto"/>
        </w:rPr>
        <w:t xml:space="preserve"> con respecto a lo señalado por Pegaso en relación con la opción de enlaces directos sobre WDM, de tal manera que se asigna una </w:t>
      </w:r>
      <w:proofErr w:type="spellStart"/>
      <w:r w:rsidR="009137EB" w:rsidRPr="00330641">
        <w:rPr>
          <w:rFonts w:ascii="ITC Avant Garde" w:hAnsi="ITC Avant Garde"/>
          <w:color w:val="auto"/>
        </w:rPr>
        <w:t>lamda</w:t>
      </w:r>
      <w:proofErr w:type="spellEnd"/>
      <w:r w:rsidR="009137EB" w:rsidRPr="00330641">
        <w:rPr>
          <w:rFonts w:ascii="ITC Avant Garde" w:hAnsi="ITC Avant Garde"/>
          <w:color w:val="auto"/>
        </w:rPr>
        <w:t xml:space="preserve"> al CS que lo requiera entre dos puntos directos de la red de fibra del AEP</w:t>
      </w:r>
      <w:r w:rsidR="00492CBE" w:rsidRPr="00330641">
        <w:rPr>
          <w:rFonts w:ascii="ITC Avant Garde" w:hAnsi="ITC Avant Garde"/>
          <w:color w:val="auto"/>
        </w:rPr>
        <w:t>,</w:t>
      </w:r>
      <w:r w:rsidR="009137EB" w:rsidRPr="00330641">
        <w:rPr>
          <w:rFonts w:ascii="ITC Avant Garde" w:hAnsi="ITC Avant Garde"/>
          <w:color w:val="auto"/>
        </w:rPr>
        <w:t xml:space="preserve"> cab</w:t>
      </w:r>
      <w:r w:rsidR="00DB711E" w:rsidRPr="00330641">
        <w:rPr>
          <w:rFonts w:ascii="ITC Avant Garde" w:hAnsi="ITC Avant Garde"/>
          <w:color w:val="auto"/>
        </w:rPr>
        <w:t xml:space="preserve">e señalar que dicho </w:t>
      </w:r>
      <w:r w:rsidR="00492CBE" w:rsidRPr="00330641">
        <w:rPr>
          <w:rFonts w:ascii="ITC Avant Garde" w:hAnsi="ITC Avant Garde"/>
          <w:color w:val="auto"/>
        </w:rPr>
        <w:t>caso no corresponde a</w:t>
      </w:r>
      <w:r w:rsidR="00012B60">
        <w:rPr>
          <w:rFonts w:ascii="ITC Avant Garde" w:hAnsi="ITC Avant Garde"/>
          <w:color w:val="auto"/>
        </w:rPr>
        <w:t>l alcance de la Oferta</w:t>
      </w:r>
      <w:r w:rsidR="00DB711E" w:rsidRPr="00330641">
        <w:rPr>
          <w:rFonts w:ascii="ITC Avant Garde" w:hAnsi="ITC Avant Garde"/>
          <w:color w:val="auto"/>
        </w:rPr>
        <w:t xml:space="preserve"> </w:t>
      </w:r>
      <w:r w:rsidR="00492CBE" w:rsidRPr="00330641">
        <w:rPr>
          <w:rFonts w:ascii="ITC Avant Garde" w:hAnsi="ITC Avant Garde"/>
          <w:color w:val="auto"/>
        </w:rPr>
        <w:t xml:space="preserve">ya que conforme a la definiciones establecidas </w:t>
      </w:r>
      <w:r w:rsidR="0001578A" w:rsidRPr="00330641">
        <w:rPr>
          <w:rFonts w:ascii="ITC Avant Garde" w:hAnsi="ITC Avant Garde"/>
          <w:color w:val="auto"/>
        </w:rPr>
        <w:t>las Medidas Fijas</w:t>
      </w:r>
      <w:r w:rsidR="00492CBE" w:rsidRPr="00330641">
        <w:rPr>
          <w:rFonts w:ascii="ITC Avant Garde" w:hAnsi="ITC Avant Garde"/>
          <w:color w:val="auto"/>
        </w:rPr>
        <w:t>, un enlace dedicado considera todo el medio de transmisión asignado al CS y AS ya sea</w:t>
      </w:r>
      <w:r w:rsidR="00C84981" w:rsidRPr="00330641">
        <w:rPr>
          <w:rFonts w:ascii="ITC Avant Garde" w:hAnsi="ITC Avant Garde"/>
          <w:color w:val="auto"/>
        </w:rPr>
        <w:t>,</w:t>
      </w:r>
      <w:r w:rsidR="00492CBE" w:rsidRPr="00330641">
        <w:rPr>
          <w:rFonts w:ascii="ITC Avant Garde" w:hAnsi="ITC Avant Garde"/>
          <w:color w:val="auto"/>
        </w:rPr>
        <w:t xml:space="preserve"> a través de un enlace d</w:t>
      </w:r>
      <w:r w:rsidR="00D670CD">
        <w:rPr>
          <w:rFonts w:ascii="ITC Avant Garde" w:hAnsi="ITC Avant Garde"/>
          <w:color w:val="auto"/>
        </w:rPr>
        <w:t>igital o un enlace ethernet.</w:t>
      </w:r>
    </w:p>
    <w:p w:rsidR="00D670CD" w:rsidRPr="00330641" w:rsidRDefault="00D670CD" w:rsidP="000F58E0">
      <w:pPr>
        <w:spacing w:after="0" w:line="276" w:lineRule="auto"/>
        <w:ind w:left="0" w:right="0" w:firstLine="0"/>
        <w:rPr>
          <w:rFonts w:ascii="ITC Avant Garde" w:hAnsi="ITC Avant Garde"/>
          <w:color w:val="auto"/>
        </w:rPr>
      </w:pPr>
    </w:p>
    <w:p w:rsidR="001F3E20" w:rsidRPr="00330641" w:rsidRDefault="00012B60" w:rsidP="000F58E0">
      <w:pPr>
        <w:spacing w:after="0" w:line="276" w:lineRule="auto"/>
        <w:ind w:left="0" w:right="0" w:firstLine="0"/>
        <w:rPr>
          <w:rFonts w:ascii="ITC Avant Garde" w:hAnsi="ITC Avant Garde"/>
          <w:color w:val="auto"/>
        </w:rPr>
      </w:pPr>
      <w:r>
        <w:rPr>
          <w:rFonts w:ascii="ITC Avant Garde" w:hAnsi="ITC Avant Garde"/>
          <w:color w:val="auto"/>
        </w:rPr>
        <w:t>Es así que</w:t>
      </w:r>
      <w:r w:rsidR="001F3E20" w:rsidRPr="00330641">
        <w:rPr>
          <w:rFonts w:ascii="ITC Avant Garde" w:hAnsi="ITC Avant Garde"/>
          <w:color w:val="auto"/>
        </w:rPr>
        <w:t>, se modificaron los numerales 2.5.6,</w:t>
      </w:r>
      <w:r w:rsidR="00113D61" w:rsidRPr="00330641">
        <w:rPr>
          <w:rFonts w:ascii="ITC Avant Garde" w:hAnsi="ITC Avant Garde"/>
          <w:color w:val="auto"/>
        </w:rPr>
        <w:t xml:space="preserve"> 2.5.6.1,</w:t>
      </w:r>
      <w:r w:rsidR="001F3E20" w:rsidRPr="00330641">
        <w:rPr>
          <w:rFonts w:ascii="ITC Avant Garde" w:hAnsi="ITC Avant Garde"/>
          <w:color w:val="auto"/>
        </w:rPr>
        <w:t xml:space="preserve"> 2.5.6.2 y 2.5.6.4,</w:t>
      </w:r>
      <w:r w:rsidR="00EE6775" w:rsidRPr="00330641">
        <w:rPr>
          <w:rFonts w:ascii="ITC Avant Garde" w:hAnsi="ITC Avant Garde"/>
          <w:color w:val="auto"/>
        </w:rPr>
        <w:t xml:space="preserve"> así como el Anexo C,</w:t>
      </w:r>
      <w:r w:rsidR="001F3E20" w:rsidRPr="00330641">
        <w:rPr>
          <w:rFonts w:ascii="ITC Avant Garde" w:hAnsi="ITC Avant Garde"/>
          <w:color w:val="auto"/>
        </w:rPr>
        <w:t xml:space="preserve"> con el fin de dar certeza a los </w:t>
      </w:r>
      <w:r w:rsidR="003E2C61" w:rsidRPr="00330641">
        <w:rPr>
          <w:rFonts w:ascii="ITC Avant Garde" w:hAnsi="ITC Avant Garde"/>
          <w:color w:val="auto"/>
        </w:rPr>
        <w:t>CS y AS</w:t>
      </w:r>
      <w:r w:rsidR="001F3E20" w:rsidRPr="00330641">
        <w:rPr>
          <w:rFonts w:ascii="ITC Avant Garde" w:hAnsi="ITC Avant Garde"/>
          <w:color w:val="auto"/>
        </w:rPr>
        <w:t xml:space="preserve"> con respecto de las razones p</w:t>
      </w:r>
      <w:r w:rsidR="00EE6775" w:rsidRPr="00330641">
        <w:rPr>
          <w:rFonts w:ascii="ITC Avant Garde" w:hAnsi="ITC Avant Garde"/>
          <w:color w:val="auto"/>
        </w:rPr>
        <w:t>ara</w:t>
      </w:r>
      <w:r w:rsidR="001F3E20" w:rsidRPr="00330641">
        <w:rPr>
          <w:rFonts w:ascii="ITC Avant Garde" w:hAnsi="ITC Avant Garde"/>
          <w:color w:val="auto"/>
        </w:rPr>
        <w:t xml:space="preserve"> considera</w:t>
      </w:r>
      <w:r w:rsidR="00EE6775" w:rsidRPr="00330641">
        <w:rPr>
          <w:rFonts w:ascii="ITC Avant Garde" w:hAnsi="ITC Avant Garde"/>
          <w:color w:val="auto"/>
        </w:rPr>
        <w:t>r</w:t>
      </w:r>
      <w:r w:rsidR="001F3E20" w:rsidRPr="00330641">
        <w:rPr>
          <w:rFonts w:ascii="ITC Avant Garde" w:hAnsi="ITC Avant Garde"/>
          <w:color w:val="auto"/>
        </w:rPr>
        <w:t xml:space="preserve"> un proyecto especial, con el fin de cumplir con lo establecido en la</w:t>
      </w:r>
      <w:r w:rsidR="00EE6775" w:rsidRPr="00330641">
        <w:rPr>
          <w:rFonts w:ascii="ITC Avant Garde" w:hAnsi="ITC Avant Garde"/>
          <w:color w:val="auto"/>
        </w:rPr>
        <w:t>s</w:t>
      </w:r>
      <w:r w:rsidR="001F3E20" w:rsidRPr="00330641">
        <w:rPr>
          <w:rFonts w:ascii="ITC Avant Garde" w:hAnsi="ITC Avant Garde"/>
          <w:color w:val="auto"/>
        </w:rPr>
        <w:t xml:space="preserve"> medida</w:t>
      </w:r>
      <w:r w:rsidR="00EE6775" w:rsidRPr="00330641">
        <w:rPr>
          <w:rFonts w:ascii="ITC Avant Garde" w:hAnsi="ITC Avant Garde"/>
          <w:color w:val="auto"/>
        </w:rPr>
        <w:t>s</w:t>
      </w:r>
      <w:r w:rsidR="001F3E20" w:rsidRPr="00330641">
        <w:rPr>
          <w:rFonts w:ascii="ITC Avant Garde" w:hAnsi="ITC Avant Garde"/>
          <w:color w:val="auto"/>
        </w:rPr>
        <w:t xml:space="preserve"> Decimoséptima </w:t>
      </w:r>
      <w:r w:rsidR="00EE6775" w:rsidRPr="00330641">
        <w:rPr>
          <w:rFonts w:ascii="ITC Avant Garde" w:hAnsi="ITC Avant Garde"/>
          <w:color w:val="auto"/>
        </w:rPr>
        <w:t>y</w:t>
      </w:r>
      <w:r w:rsidR="001F3E20" w:rsidRPr="00330641">
        <w:rPr>
          <w:rFonts w:ascii="ITC Avant Garde" w:hAnsi="ITC Avant Garde"/>
          <w:color w:val="auto"/>
        </w:rPr>
        <w:t xml:space="preserve"> Cuadragésima Primera de las Medidas Fijas, que establece la obligación para que el AEP establezca una oferta que contenga los servicios establecidos de manera específica y condiciones aplicables a los mismos, así como las características de los servicios incluidos y de los servicios auxiliares en caso de ser necesarios.</w:t>
      </w:r>
    </w:p>
    <w:p w:rsidR="00C56533" w:rsidRPr="00330641" w:rsidRDefault="00C56533" w:rsidP="000F58E0">
      <w:pPr>
        <w:spacing w:after="0" w:line="276" w:lineRule="auto"/>
        <w:ind w:left="0" w:right="0"/>
        <w:rPr>
          <w:rFonts w:ascii="ITC Avant Garde" w:hAnsi="ITC Avant Garde"/>
          <w:color w:val="auto"/>
        </w:rPr>
      </w:pPr>
    </w:p>
    <w:p w:rsidR="00C50D3A" w:rsidRPr="00330641" w:rsidRDefault="00C50D3A" w:rsidP="00C50D3A">
      <w:pPr>
        <w:pStyle w:val="IFTnormal"/>
        <w:spacing w:after="0"/>
        <w:ind w:left="0"/>
        <w:rPr>
          <w:rFonts w:eastAsiaTheme="majorEastAsia"/>
          <w:u w:val="single"/>
        </w:rPr>
      </w:pPr>
      <w:r w:rsidRPr="00C355CC">
        <w:rPr>
          <w:rFonts w:eastAsiaTheme="majorEastAsia"/>
          <w:b/>
          <w:u w:val="single"/>
        </w:rPr>
        <w:t xml:space="preserve">2.5.6.1 </w:t>
      </w:r>
      <w:r w:rsidR="00A7777E" w:rsidRPr="00C355CC">
        <w:rPr>
          <w:rFonts w:eastAsiaTheme="majorEastAsia"/>
          <w:b/>
          <w:u w:val="single"/>
        </w:rPr>
        <w:t xml:space="preserve">Requisitos que </w:t>
      </w:r>
      <w:r w:rsidR="00B65970" w:rsidRPr="00C355CC">
        <w:rPr>
          <w:rFonts w:eastAsiaTheme="majorEastAsia"/>
          <w:b/>
          <w:u w:val="single"/>
        </w:rPr>
        <w:t>deberán</w:t>
      </w:r>
      <w:r w:rsidR="00A7777E" w:rsidRPr="00C355CC">
        <w:rPr>
          <w:rFonts w:eastAsiaTheme="majorEastAsia"/>
          <w:b/>
          <w:u w:val="single"/>
        </w:rPr>
        <w:t xml:space="preserve"> reunir las cotizaciones de los proyectos especiales</w:t>
      </w:r>
      <w:r w:rsidRPr="00C355CC">
        <w:rPr>
          <w:rFonts w:eastAsiaTheme="majorEastAsia"/>
          <w:b/>
          <w:u w:val="single"/>
        </w:rPr>
        <w:t>.</w:t>
      </w:r>
    </w:p>
    <w:p w:rsidR="00A7777E" w:rsidRPr="00330641" w:rsidRDefault="00A7777E" w:rsidP="00A7777E">
      <w:pPr>
        <w:spacing w:after="0" w:line="276" w:lineRule="auto"/>
        <w:ind w:left="0" w:right="0"/>
        <w:rPr>
          <w:rFonts w:ascii="ITC Avant Garde" w:hAnsi="ITC Avant Garde"/>
          <w:b/>
          <w:color w:val="auto"/>
        </w:rPr>
      </w:pPr>
      <w:r w:rsidRPr="00330641">
        <w:rPr>
          <w:rFonts w:ascii="ITC Avant Garde" w:hAnsi="ITC Avant Garde"/>
          <w:b/>
          <w:color w:val="auto"/>
        </w:rPr>
        <w:t xml:space="preserve">GRUPO AT&amp;T: </w:t>
      </w:r>
    </w:p>
    <w:p w:rsidR="00A7777E" w:rsidRPr="00330641" w:rsidRDefault="003169DC" w:rsidP="000F58E0">
      <w:pPr>
        <w:spacing w:after="0" w:line="276" w:lineRule="auto"/>
        <w:ind w:left="0" w:right="0"/>
        <w:rPr>
          <w:rFonts w:ascii="ITC Avant Garde" w:hAnsi="ITC Avant Garde"/>
          <w:color w:val="auto"/>
        </w:rPr>
      </w:pPr>
      <w:r w:rsidRPr="00330641">
        <w:rPr>
          <w:rFonts w:ascii="ITC Avant Garde" w:hAnsi="ITC Avant Garde"/>
          <w:color w:val="auto"/>
        </w:rPr>
        <w:t>S</w:t>
      </w:r>
      <w:r w:rsidR="00B65970">
        <w:rPr>
          <w:rFonts w:ascii="ITC Avant Garde" w:hAnsi="ITC Avant Garde"/>
          <w:color w:val="auto"/>
        </w:rPr>
        <w:t>ugirió</w:t>
      </w:r>
      <w:r w:rsidR="00A7777E" w:rsidRPr="00330641">
        <w:rPr>
          <w:rFonts w:ascii="ITC Avant Garde" w:hAnsi="ITC Avant Garde"/>
          <w:color w:val="auto"/>
        </w:rPr>
        <w:t xml:space="preserve"> que en el cas</w:t>
      </w:r>
      <w:r w:rsidR="00BC74BF">
        <w:rPr>
          <w:rFonts w:ascii="ITC Avant Garde" w:hAnsi="ITC Avant Garde"/>
          <w:color w:val="auto"/>
        </w:rPr>
        <w:t xml:space="preserve">o de que Telmex preste </w:t>
      </w:r>
      <w:r w:rsidR="00A7777E" w:rsidRPr="00330641">
        <w:rPr>
          <w:rFonts w:ascii="ITC Avant Garde" w:hAnsi="ITC Avant Garde"/>
          <w:color w:val="auto"/>
        </w:rPr>
        <w:t>el servicio en la misma localidad no pued</w:t>
      </w:r>
      <w:r w:rsidR="004C4C30" w:rsidRPr="00330641">
        <w:rPr>
          <w:rFonts w:ascii="ITC Avant Garde" w:hAnsi="ITC Avant Garde"/>
          <w:color w:val="auto"/>
        </w:rPr>
        <w:t>a</w:t>
      </w:r>
      <w:r w:rsidR="00A7777E" w:rsidRPr="00330641">
        <w:rPr>
          <w:rFonts w:ascii="ITC Avant Garde" w:hAnsi="ITC Avant Garde"/>
          <w:color w:val="auto"/>
        </w:rPr>
        <w:t xml:space="preserve"> aplicar los </w:t>
      </w:r>
      <w:r w:rsidR="004C4C30" w:rsidRPr="00330641">
        <w:rPr>
          <w:rFonts w:ascii="ITC Avant Garde" w:hAnsi="ITC Avant Garde"/>
          <w:color w:val="auto"/>
        </w:rPr>
        <w:t xml:space="preserve">conceptos de planta externa, Transporte </w:t>
      </w:r>
      <w:proofErr w:type="spellStart"/>
      <w:r w:rsidR="004C4C30" w:rsidRPr="00330641">
        <w:rPr>
          <w:rFonts w:ascii="ITC Avant Garde" w:hAnsi="ITC Avant Garde"/>
          <w:color w:val="auto"/>
        </w:rPr>
        <w:t>Carrier</w:t>
      </w:r>
      <w:proofErr w:type="spellEnd"/>
      <w:r w:rsidR="004C4C30" w:rsidRPr="00330641">
        <w:rPr>
          <w:rFonts w:ascii="ITC Avant Garde" w:hAnsi="ITC Avant Garde"/>
          <w:color w:val="auto"/>
        </w:rPr>
        <w:t xml:space="preserve"> Ethernet, Transporte Alta Capacidad, Larga Distancia y Adecuaciones</w:t>
      </w:r>
      <w:r w:rsidR="00DA6163" w:rsidRPr="00330641">
        <w:rPr>
          <w:rFonts w:ascii="ITC Avant Garde" w:hAnsi="ITC Avant Garde"/>
          <w:color w:val="auto"/>
        </w:rPr>
        <w:t>,</w:t>
      </w:r>
      <w:r w:rsidR="00A7777E" w:rsidRPr="00330641">
        <w:rPr>
          <w:rFonts w:ascii="ITC Avant Garde" w:hAnsi="ITC Avant Garde"/>
          <w:color w:val="auto"/>
        </w:rPr>
        <w:t xml:space="preserve"> ya que todos los elementos diferentes a la adecuación de la red de acceso</w:t>
      </w:r>
      <w:r w:rsidRPr="00330641">
        <w:rPr>
          <w:rFonts w:ascii="ITC Avant Garde" w:hAnsi="ITC Avant Garde"/>
          <w:color w:val="auto"/>
        </w:rPr>
        <w:t xml:space="preserve"> (última milla)</w:t>
      </w:r>
      <w:r w:rsidR="00A7777E" w:rsidRPr="00330641">
        <w:rPr>
          <w:rFonts w:ascii="ITC Avant Garde" w:hAnsi="ITC Avant Garde"/>
          <w:color w:val="auto"/>
        </w:rPr>
        <w:t xml:space="preserve"> ya están incluidos en el precio del enlace</w:t>
      </w:r>
      <w:r w:rsidR="00DA6163" w:rsidRPr="00330641">
        <w:rPr>
          <w:rFonts w:ascii="ITC Avant Garde" w:hAnsi="ITC Avant Garde"/>
          <w:color w:val="auto"/>
        </w:rPr>
        <w:t xml:space="preserve"> y un Proyecto Especial aplica solo en el caso de que no exista otro servicio a menos de 1 km del servicio solicitado</w:t>
      </w:r>
      <w:r w:rsidR="00A7777E" w:rsidRPr="00330641">
        <w:rPr>
          <w:rFonts w:ascii="ITC Avant Garde" w:hAnsi="ITC Avant Garde"/>
          <w:color w:val="auto"/>
        </w:rPr>
        <w:t>.</w:t>
      </w:r>
    </w:p>
    <w:p w:rsidR="00C50D3A" w:rsidRPr="00330641" w:rsidRDefault="00C50D3A" w:rsidP="000F58E0">
      <w:pPr>
        <w:spacing w:after="0" w:line="276" w:lineRule="auto"/>
        <w:ind w:left="0" w:right="0"/>
        <w:rPr>
          <w:rFonts w:ascii="ITC Avant Garde" w:hAnsi="ITC Avant Garde"/>
          <w:color w:val="auto"/>
        </w:rPr>
      </w:pPr>
    </w:p>
    <w:p w:rsidR="00A7777E" w:rsidRPr="00330641" w:rsidRDefault="00A7777E" w:rsidP="00A7777E">
      <w:pPr>
        <w:spacing w:after="0" w:line="276" w:lineRule="auto"/>
        <w:ind w:left="0" w:right="0" w:firstLine="0"/>
        <w:rPr>
          <w:rFonts w:ascii="ITC Avant Garde" w:hAnsi="ITC Avant Garde"/>
          <w:b/>
          <w:color w:val="auto"/>
        </w:rPr>
      </w:pPr>
      <w:r w:rsidRPr="00330641">
        <w:rPr>
          <w:rFonts w:ascii="ITC Avant Garde" w:hAnsi="ITC Avant Garde"/>
          <w:b/>
          <w:color w:val="auto"/>
        </w:rPr>
        <w:t>Consideraciones del Instituto:</w:t>
      </w:r>
    </w:p>
    <w:p w:rsidR="006021B2" w:rsidRPr="00330641" w:rsidRDefault="006021B2" w:rsidP="006021B2">
      <w:pPr>
        <w:spacing w:after="0" w:line="276" w:lineRule="auto"/>
        <w:ind w:left="0" w:right="0" w:firstLine="0"/>
        <w:rPr>
          <w:rFonts w:ascii="ITC Avant Garde" w:hAnsi="ITC Avant Garde"/>
          <w:color w:val="auto"/>
        </w:rPr>
      </w:pPr>
      <w:r w:rsidRPr="00330641">
        <w:rPr>
          <w:rFonts w:ascii="ITC Avant Garde" w:hAnsi="ITC Avant Garde"/>
          <w:color w:val="auto"/>
        </w:rPr>
        <w:t>Al res</w:t>
      </w:r>
      <w:r w:rsidR="00171ECB" w:rsidRPr="00330641">
        <w:rPr>
          <w:rFonts w:ascii="ITC Avant Garde" w:hAnsi="ITC Avant Garde"/>
          <w:color w:val="auto"/>
        </w:rPr>
        <w:t>pec</w:t>
      </w:r>
      <w:r w:rsidRPr="00330641">
        <w:rPr>
          <w:rFonts w:ascii="ITC Avant Garde" w:hAnsi="ITC Avant Garde"/>
          <w:color w:val="auto"/>
        </w:rPr>
        <w:t>to, se modific</w:t>
      </w:r>
      <w:r w:rsidR="00171ECB" w:rsidRPr="00330641">
        <w:rPr>
          <w:rFonts w:ascii="ITC Avant Garde" w:hAnsi="ITC Avant Garde"/>
          <w:color w:val="auto"/>
        </w:rPr>
        <w:t>ó el numeral</w:t>
      </w:r>
      <w:r w:rsidRPr="00330641">
        <w:rPr>
          <w:rFonts w:ascii="ITC Avant Garde" w:hAnsi="ITC Avant Garde"/>
          <w:color w:val="auto"/>
        </w:rPr>
        <w:t xml:space="preserve"> 2.5.6.1 a efecto de establecer que las cotizaciones por proyectos especiales no podrán considerar aquellos conceptos de </w:t>
      </w:r>
      <w:r w:rsidR="00B65970">
        <w:rPr>
          <w:rFonts w:ascii="ITC Avant Garde" w:hAnsi="ITC Avant Garde"/>
          <w:color w:val="auto"/>
        </w:rPr>
        <w:t xml:space="preserve">Transporte </w:t>
      </w:r>
      <w:proofErr w:type="spellStart"/>
      <w:r w:rsidR="00B65970">
        <w:rPr>
          <w:rFonts w:ascii="ITC Avant Garde" w:hAnsi="ITC Avant Garde"/>
          <w:color w:val="auto"/>
        </w:rPr>
        <w:t>C</w:t>
      </w:r>
      <w:r w:rsidRPr="00330641">
        <w:rPr>
          <w:rFonts w:ascii="ITC Avant Garde" w:hAnsi="ITC Avant Garde"/>
          <w:color w:val="auto"/>
        </w:rPr>
        <w:t>arrier</w:t>
      </w:r>
      <w:proofErr w:type="spellEnd"/>
      <w:r w:rsidR="00B65970">
        <w:rPr>
          <w:rFonts w:ascii="ITC Avant Garde" w:hAnsi="ITC Avant Garde"/>
          <w:color w:val="auto"/>
        </w:rPr>
        <w:t>, E</w:t>
      </w:r>
      <w:r w:rsidRPr="00330641">
        <w:rPr>
          <w:rFonts w:ascii="ITC Avant Garde" w:hAnsi="ITC Avant Garde"/>
          <w:color w:val="auto"/>
        </w:rPr>
        <w:t>thernet</w:t>
      </w:r>
      <w:r w:rsidR="00171ECB" w:rsidRPr="00330641">
        <w:rPr>
          <w:rFonts w:ascii="ITC Avant Garde" w:hAnsi="ITC Avant Garde"/>
          <w:color w:val="auto"/>
        </w:rPr>
        <w:t>,</w:t>
      </w:r>
      <w:r w:rsidRPr="00330641">
        <w:rPr>
          <w:rFonts w:ascii="ITC Avant Garde" w:hAnsi="ITC Avant Garde"/>
          <w:color w:val="auto"/>
        </w:rPr>
        <w:t xml:space="preserve"> Transporte Alta Capacidad y Larga Distancia por considerarse que los elementos correspondientes a dicha porción de la red se contienen dentro del modelo de costos del Instituto y señalando que no se podrán considerar Proyectos Especiales aquellos casos donde se requieran elementos de red cuyo costo ya se encuentre incorporado en las tarifas determinadas por el Instituto para el servicio mayorista de enlaces dedicados. </w:t>
      </w:r>
    </w:p>
    <w:p w:rsidR="003F7EF4" w:rsidRPr="00330641" w:rsidRDefault="003F7EF4" w:rsidP="003F7EF4">
      <w:pPr>
        <w:spacing w:after="0" w:line="276" w:lineRule="auto"/>
        <w:ind w:left="0" w:right="0"/>
        <w:rPr>
          <w:rFonts w:ascii="ITC Avant Garde" w:hAnsi="ITC Avant Garde"/>
          <w:color w:val="auto"/>
        </w:rPr>
      </w:pPr>
    </w:p>
    <w:p w:rsidR="009B5ACD" w:rsidRPr="00330641" w:rsidRDefault="009B5ACD" w:rsidP="000F58E0">
      <w:pPr>
        <w:spacing w:after="0" w:line="276" w:lineRule="auto"/>
        <w:ind w:left="0" w:right="0" w:firstLine="0"/>
        <w:rPr>
          <w:rFonts w:ascii="ITC Avant Garde" w:hAnsi="ITC Avant Garde"/>
          <w:b/>
          <w:color w:val="auto"/>
          <w:u w:val="single"/>
        </w:rPr>
      </w:pPr>
      <w:r w:rsidRPr="00330641">
        <w:rPr>
          <w:rFonts w:ascii="ITC Avant Garde" w:hAnsi="ITC Avant Garde"/>
          <w:b/>
          <w:color w:val="auto"/>
          <w:u w:val="single"/>
        </w:rPr>
        <w:t>2.5.6.2</w:t>
      </w:r>
      <w:r w:rsidR="00E93C1E" w:rsidRPr="00330641">
        <w:rPr>
          <w:rFonts w:ascii="ITC Avant Garde" w:hAnsi="ITC Avant Garde"/>
          <w:b/>
          <w:color w:val="auto"/>
          <w:u w:val="single"/>
        </w:rPr>
        <w:t xml:space="preserve"> Plazo de entrega de cotizaciones de Proyectos Especiales.</w:t>
      </w:r>
    </w:p>
    <w:p w:rsidR="003126AE" w:rsidRPr="00330641" w:rsidRDefault="003126AE" w:rsidP="000F58E0">
      <w:pPr>
        <w:spacing w:after="0" w:line="276" w:lineRule="auto"/>
        <w:ind w:left="0" w:right="0" w:firstLine="0"/>
        <w:rPr>
          <w:rFonts w:ascii="ITC Avant Garde" w:hAnsi="ITC Avant Garde"/>
          <w:b/>
          <w:color w:val="auto"/>
        </w:rPr>
      </w:pPr>
      <w:r w:rsidRPr="00330641">
        <w:rPr>
          <w:rFonts w:ascii="ITC Avant Garde" w:hAnsi="ITC Avant Garde"/>
          <w:b/>
          <w:color w:val="auto"/>
        </w:rPr>
        <w:t>AXTEL</w:t>
      </w:r>
      <w:r w:rsidR="00113D61" w:rsidRPr="00330641">
        <w:rPr>
          <w:rFonts w:ascii="ITC Avant Garde" w:hAnsi="ITC Avant Garde"/>
          <w:b/>
          <w:color w:val="auto"/>
        </w:rPr>
        <w:t>:</w:t>
      </w:r>
    </w:p>
    <w:p w:rsidR="003126AE" w:rsidRPr="00330641" w:rsidRDefault="00B65970" w:rsidP="000F58E0">
      <w:pPr>
        <w:spacing w:after="0" w:line="276" w:lineRule="auto"/>
        <w:ind w:left="0" w:right="0"/>
        <w:rPr>
          <w:rFonts w:ascii="ITC Avant Garde" w:hAnsi="ITC Avant Garde"/>
          <w:color w:val="auto"/>
        </w:rPr>
      </w:pPr>
      <w:r>
        <w:rPr>
          <w:rFonts w:ascii="ITC Avant Garde" w:hAnsi="ITC Avant Garde"/>
          <w:color w:val="auto"/>
        </w:rPr>
        <w:lastRenderedPageBreak/>
        <w:t>Solicitó</w:t>
      </w:r>
      <w:r w:rsidR="00584CE9" w:rsidRPr="00330641">
        <w:rPr>
          <w:rFonts w:ascii="ITC Avant Garde" w:hAnsi="ITC Avant Garde"/>
          <w:color w:val="auto"/>
        </w:rPr>
        <w:t xml:space="preserve"> al </w:t>
      </w:r>
      <w:r w:rsidR="00ED0130" w:rsidRPr="00330641">
        <w:rPr>
          <w:rFonts w:ascii="ITC Avant Garde" w:hAnsi="ITC Avant Garde"/>
          <w:color w:val="auto"/>
        </w:rPr>
        <w:t xml:space="preserve">Instituto </w:t>
      </w:r>
      <w:r w:rsidR="003D07DA" w:rsidRPr="00330641">
        <w:rPr>
          <w:rFonts w:ascii="ITC Avant Garde" w:hAnsi="ITC Avant Garde"/>
          <w:color w:val="auto"/>
        </w:rPr>
        <w:t>rechazar la petición d</w:t>
      </w:r>
      <w:r w:rsidR="00584CE9" w:rsidRPr="00330641">
        <w:rPr>
          <w:rFonts w:ascii="ITC Avant Garde" w:hAnsi="ITC Avant Garde"/>
          <w:color w:val="auto"/>
        </w:rPr>
        <w:t xml:space="preserve">el AEP </w:t>
      </w:r>
      <w:r w:rsidR="003D07DA" w:rsidRPr="00330641">
        <w:rPr>
          <w:rFonts w:ascii="ITC Avant Garde" w:hAnsi="ITC Avant Garde"/>
          <w:color w:val="auto"/>
        </w:rPr>
        <w:t>d</w:t>
      </w:r>
      <w:r w:rsidR="00584CE9" w:rsidRPr="00330641">
        <w:rPr>
          <w:rFonts w:ascii="ITC Avant Garde" w:hAnsi="ITC Avant Garde"/>
          <w:color w:val="auto"/>
        </w:rPr>
        <w:t xml:space="preserve">el cobro de gastos administrativos en caso de no aceptar proyectos especiales. </w:t>
      </w:r>
      <w:r w:rsidR="00B33ABC" w:rsidRPr="00330641">
        <w:rPr>
          <w:rFonts w:ascii="ITC Avant Garde" w:hAnsi="ITC Avant Garde"/>
          <w:color w:val="auto"/>
        </w:rPr>
        <w:t xml:space="preserve">Axtel </w:t>
      </w:r>
      <w:r>
        <w:rPr>
          <w:rFonts w:ascii="ITC Avant Garde" w:hAnsi="ITC Avant Garde"/>
          <w:color w:val="auto"/>
        </w:rPr>
        <w:t>s</w:t>
      </w:r>
      <w:r w:rsidR="0012211F">
        <w:rPr>
          <w:rFonts w:ascii="ITC Avant Garde" w:hAnsi="ITC Avant Garde"/>
          <w:color w:val="auto"/>
        </w:rPr>
        <w:t>eñaló</w:t>
      </w:r>
      <w:r w:rsidR="00B33ABC" w:rsidRPr="00330641">
        <w:rPr>
          <w:rFonts w:ascii="ITC Avant Garde" w:hAnsi="ITC Avant Garde"/>
          <w:color w:val="auto"/>
        </w:rPr>
        <w:t xml:space="preserve"> que dicha condición es</w:t>
      </w:r>
      <w:r w:rsidR="00584CE9" w:rsidRPr="00330641">
        <w:rPr>
          <w:rFonts w:ascii="ITC Avant Garde" w:hAnsi="ITC Avant Garde"/>
          <w:color w:val="auto"/>
        </w:rPr>
        <w:t xml:space="preserve"> totalmente improcedente </w:t>
      </w:r>
      <w:r w:rsidR="00B33ABC" w:rsidRPr="00330641">
        <w:rPr>
          <w:rFonts w:ascii="ITC Avant Garde" w:hAnsi="ITC Avant Garde"/>
          <w:color w:val="auto"/>
        </w:rPr>
        <w:t>exponiendo lo siguiente</w:t>
      </w:r>
      <w:r w:rsidR="00584CE9" w:rsidRPr="00330641">
        <w:rPr>
          <w:rFonts w:ascii="ITC Avant Garde" w:hAnsi="ITC Avant Garde"/>
          <w:color w:val="auto"/>
        </w:rPr>
        <w:t>:</w:t>
      </w:r>
    </w:p>
    <w:p w:rsidR="00E81B19" w:rsidRPr="00330641" w:rsidRDefault="00E81B19" w:rsidP="000F58E0">
      <w:pPr>
        <w:spacing w:after="0" w:line="276" w:lineRule="auto"/>
        <w:ind w:left="0" w:right="0"/>
        <w:rPr>
          <w:rFonts w:ascii="ITC Avant Garde" w:hAnsi="ITC Avant Garde"/>
          <w:color w:val="auto"/>
        </w:rPr>
      </w:pPr>
    </w:p>
    <w:p w:rsidR="00E81B19" w:rsidRPr="009E37D9" w:rsidRDefault="003D07DA" w:rsidP="009E37D9">
      <w:pPr>
        <w:pStyle w:val="Prrafodelista"/>
        <w:numPr>
          <w:ilvl w:val="0"/>
          <w:numId w:val="19"/>
        </w:numPr>
        <w:spacing w:after="0" w:line="276" w:lineRule="auto"/>
        <w:ind w:right="0"/>
        <w:rPr>
          <w:rFonts w:ascii="ITC Avant Garde" w:hAnsi="ITC Avant Garde"/>
          <w:color w:val="auto"/>
        </w:rPr>
      </w:pPr>
      <w:r w:rsidRPr="009E37D9">
        <w:rPr>
          <w:rFonts w:ascii="ITC Avant Garde" w:hAnsi="ITC Avant Garde"/>
          <w:color w:val="auto"/>
        </w:rPr>
        <w:t>C</w:t>
      </w:r>
      <w:r w:rsidR="00E81B19" w:rsidRPr="009E37D9">
        <w:rPr>
          <w:rFonts w:ascii="ITC Avant Garde" w:hAnsi="ITC Avant Garde"/>
          <w:color w:val="auto"/>
        </w:rPr>
        <w:t>onsidera necesario para el CS conocer la cotización y/o valor de la inversión para tomar la decisión de solicitar el servicio.</w:t>
      </w:r>
    </w:p>
    <w:p w:rsidR="003D07DA" w:rsidRPr="00330641" w:rsidRDefault="003D07DA" w:rsidP="00EC3F16">
      <w:pPr>
        <w:pStyle w:val="Prrafodelista"/>
        <w:spacing w:after="0" w:line="276" w:lineRule="auto"/>
        <w:ind w:left="426" w:right="0" w:firstLine="0"/>
        <w:rPr>
          <w:rFonts w:ascii="ITC Avant Garde" w:hAnsi="ITC Avant Garde"/>
          <w:color w:val="auto"/>
        </w:rPr>
      </w:pPr>
    </w:p>
    <w:p w:rsidR="00AE0292" w:rsidRPr="009E37D9" w:rsidRDefault="003D07DA" w:rsidP="009E37D9">
      <w:pPr>
        <w:pStyle w:val="Prrafodelista"/>
        <w:numPr>
          <w:ilvl w:val="0"/>
          <w:numId w:val="19"/>
        </w:numPr>
        <w:spacing w:after="0" w:line="276" w:lineRule="auto"/>
        <w:ind w:right="0"/>
        <w:rPr>
          <w:rFonts w:ascii="ITC Avant Garde" w:hAnsi="ITC Avant Garde"/>
          <w:color w:val="auto"/>
        </w:rPr>
      </w:pPr>
      <w:r w:rsidRPr="009E37D9">
        <w:rPr>
          <w:rFonts w:ascii="ITC Avant Garde" w:hAnsi="ITC Avant Garde"/>
          <w:color w:val="auto"/>
        </w:rPr>
        <w:t>El resultado de pretender cobrar altos costos de proyectos especiales provocaría la cancelación del servicio por ocasionar una rentabilidad desproporcional dejando al CS fuera de competencia en el mercado.</w:t>
      </w:r>
    </w:p>
    <w:p w:rsidR="00AE0292" w:rsidRPr="00330641" w:rsidRDefault="00AE0292" w:rsidP="00EC3F16">
      <w:pPr>
        <w:pStyle w:val="Prrafodelista"/>
        <w:spacing w:after="0" w:line="276" w:lineRule="auto"/>
        <w:ind w:left="426" w:right="0" w:firstLine="0"/>
        <w:rPr>
          <w:rFonts w:ascii="ITC Avant Garde" w:hAnsi="ITC Avant Garde"/>
          <w:color w:val="auto"/>
        </w:rPr>
      </w:pPr>
    </w:p>
    <w:p w:rsidR="00AE0292" w:rsidRPr="009E37D9" w:rsidRDefault="00AE0292" w:rsidP="009E37D9">
      <w:pPr>
        <w:pStyle w:val="Prrafodelista"/>
        <w:numPr>
          <w:ilvl w:val="0"/>
          <w:numId w:val="19"/>
        </w:numPr>
        <w:spacing w:after="0" w:line="276" w:lineRule="auto"/>
        <w:ind w:right="0"/>
        <w:rPr>
          <w:rFonts w:ascii="ITC Avant Garde" w:hAnsi="ITC Avant Garde"/>
          <w:color w:val="auto"/>
        </w:rPr>
      </w:pPr>
      <w:r w:rsidRPr="009E37D9">
        <w:rPr>
          <w:rFonts w:ascii="ITC Avant Garde" w:hAnsi="ITC Avant Garde"/>
          <w:color w:val="auto"/>
        </w:rPr>
        <w:t>Como CS, también se incurre en gastos administrativos al considera como opción la contratación de un enlace al AEP.</w:t>
      </w:r>
    </w:p>
    <w:p w:rsidR="00E81B19" w:rsidRPr="00330641" w:rsidRDefault="00E81B19" w:rsidP="00EC3F16">
      <w:pPr>
        <w:pStyle w:val="Prrafodelista"/>
        <w:spacing w:after="0" w:line="276" w:lineRule="auto"/>
        <w:ind w:left="426" w:right="0" w:firstLine="0"/>
        <w:rPr>
          <w:rFonts w:ascii="ITC Avant Garde" w:hAnsi="ITC Avant Garde"/>
          <w:color w:val="auto"/>
        </w:rPr>
      </w:pPr>
    </w:p>
    <w:p w:rsidR="00E81B19" w:rsidRPr="009E37D9" w:rsidRDefault="007D24BC" w:rsidP="009E37D9">
      <w:pPr>
        <w:pStyle w:val="Prrafodelista"/>
        <w:numPr>
          <w:ilvl w:val="0"/>
          <w:numId w:val="19"/>
        </w:numPr>
        <w:spacing w:before="240" w:after="0" w:line="276" w:lineRule="auto"/>
        <w:ind w:right="0"/>
        <w:rPr>
          <w:rFonts w:ascii="ITC Avant Garde" w:hAnsi="ITC Avant Garde"/>
          <w:color w:val="auto"/>
        </w:rPr>
      </w:pPr>
      <w:r w:rsidRPr="009E37D9">
        <w:rPr>
          <w:rFonts w:ascii="ITC Avant Garde" w:hAnsi="ITC Avant Garde"/>
          <w:color w:val="auto"/>
        </w:rPr>
        <w:t>Es una medida disuasoria para que el CS no ofrezca sus servicios al cliente final, además de que podría conducir a la situación de cobros por cualquier solicitud en caso de concretarse la venta</w:t>
      </w:r>
      <w:r w:rsidR="00E81B19" w:rsidRPr="009E37D9">
        <w:rPr>
          <w:rFonts w:ascii="ITC Avant Garde" w:hAnsi="ITC Avant Garde"/>
          <w:color w:val="auto"/>
        </w:rPr>
        <w:t>.</w:t>
      </w:r>
    </w:p>
    <w:p w:rsidR="00476767" w:rsidRPr="00330641" w:rsidRDefault="00CD7852" w:rsidP="00B65970">
      <w:pPr>
        <w:spacing w:before="240" w:after="0" w:line="276" w:lineRule="auto"/>
        <w:ind w:left="0" w:right="0"/>
        <w:rPr>
          <w:rFonts w:ascii="ITC Avant Garde" w:hAnsi="ITC Avant Garde"/>
          <w:b/>
          <w:color w:val="auto"/>
        </w:rPr>
      </w:pPr>
      <w:r w:rsidRPr="00330641">
        <w:rPr>
          <w:rFonts w:ascii="ITC Avant Garde" w:hAnsi="ITC Avant Garde"/>
          <w:b/>
          <w:color w:val="auto"/>
        </w:rPr>
        <w:t>GRUPO AT&amp;T</w:t>
      </w:r>
      <w:r w:rsidR="00C42595" w:rsidRPr="00330641">
        <w:rPr>
          <w:rFonts w:ascii="ITC Avant Garde" w:hAnsi="ITC Avant Garde"/>
          <w:b/>
          <w:color w:val="auto"/>
        </w:rPr>
        <w:t>:</w:t>
      </w:r>
      <w:r w:rsidR="00A74997" w:rsidRPr="00330641">
        <w:rPr>
          <w:rFonts w:ascii="ITC Avant Garde" w:hAnsi="ITC Avant Garde"/>
          <w:b/>
          <w:color w:val="auto"/>
        </w:rPr>
        <w:t xml:space="preserve"> </w:t>
      </w:r>
    </w:p>
    <w:p w:rsidR="001F0E36" w:rsidRPr="00330641" w:rsidRDefault="00B65970" w:rsidP="000F58E0">
      <w:pPr>
        <w:spacing w:after="0" w:line="276" w:lineRule="auto"/>
        <w:ind w:left="0" w:right="0" w:firstLine="0"/>
        <w:rPr>
          <w:rFonts w:ascii="ITC Avant Garde" w:hAnsi="ITC Avant Garde"/>
          <w:color w:val="auto"/>
        </w:rPr>
      </w:pPr>
      <w:r>
        <w:rPr>
          <w:rFonts w:ascii="ITC Avant Garde" w:hAnsi="ITC Avant Garde"/>
          <w:color w:val="auto"/>
        </w:rPr>
        <w:t>Sugirió</w:t>
      </w:r>
      <w:r w:rsidR="00A50145" w:rsidRPr="00330641">
        <w:rPr>
          <w:rFonts w:ascii="ITC Avant Garde" w:hAnsi="ITC Avant Garde"/>
          <w:color w:val="auto"/>
        </w:rPr>
        <w:t xml:space="preserve"> eliminar la fecha a partir de la cual </w:t>
      </w:r>
      <w:r w:rsidR="00411028" w:rsidRPr="00330641">
        <w:rPr>
          <w:rFonts w:ascii="ITC Avant Garde" w:hAnsi="ITC Avant Garde"/>
          <w:color w:val="auto"/>
        </w:rPr>
        <w:t xml:space="preserve">iniciará </w:t>
      </w:r>
      <w:r w:rsidR="00C355CC">
        <w:rPr>
          <w:rFonts w:ascii="ITC Avant Garde" w:hAnsi="ITC Avant Garde"/>
          <w:color w:val="auto"/>
        </w:rPr>
        <w:t>el có</w:t>
      </w:r>
      <w:r w:rsidR="00A50145" w:rsidRPr="00330641">
        <w:rPr>
          <w:rFonts w:ascii="ITC Avant Garde" w:hAnsi="ITC Avant Garde"/>
          <w:color w:val="auto"/>
        </w:rPr>
        <w:t>mputo del plazo de entrega, ya que</w:t>
      </w:r>
      <w:r w:rsidR="00411028" w:rsidRPr="00330641">
        <w:rPr>
          <w:rFonts w:ascii="ITC Avant Garde" w:hAnsi="ITC Avant Garde"/>
          <w:color w:val="auto"/>
        </w:rPr>
        <w:t xml:space="preserve">, </w:t>
      </w:r>
      <w:r w:rsidR="00D3331D" w:rsidRPr="00330641">
        <w:rPr>
          <w:rFonts w:ascii="ITC Avant Garde" w:hAnsi="ITC Avant Garde"/>
          <w:color w:val="auto"/>
        </w:rPr>
        <w:t xml:space="preserve">Telmex es el responsable de proveer el servicio, por lo que se requiere que </w:t>
      </w:r>
      <w:r w:rsidR="00A74997" w:rsidRPr="00330641">
        <w:rPr>
          <w:rFonts w:ascii="ITC Avant Garde" w:hAnsi="ITC Avant Garde"/>
          <w:color w:val="auto"/>
        </w:rPr>
        <w:t xml:space="preserve">Telmex se coordine con </w:t>
      </w:r>
      <w:r w:rsidR="0010103D" w:rsidRPr="00330641">
        <w:rPr>
          <w:rFonts w:ascii="ITC Avant Garde" w:hAnsi="ITC Avant Garde"/>
          <w:color w:val="auto"/>
        </w:rPr>
        <w:t xml:space="preserve">Red Nacional </w:t>
      </w:r>
      <w:r w:rsidR="00A74997" w:rsidRPr="00330641">
        <w:rPr>
          <w:rFonts w:ascii="ITC Avant Garde" w:hAnsi="ITC Avant Garde"/>
          <w:color w:val="auto"/>
        </w:rPr>
        <w:t>para cumplir los plazos.</w:t>
      </w:r>
    </w:p>
    <w:p w:rsidR="001F0E36" w:rsidRPr="00330641" w:rsidRDefault="001F0E36" w:rsidP="000F58E0">
      <w:pPr>
        <w:tabs>
          <w:tab w:val="left" w:pos="2177"/>
        </w:tabs>
        <w:spacing w:after="0" w:line="276" w:lineRule="auto"/>
        <w:ind w:left="0" w:right="0"/>
        <w:rPr>
          <w:rFonts w:ascii="ITC Avant Garde" w:hAnsi="ITC Avant Garde"/>
          <w:b/>
          <w:color w:val="auto"/>
        </w:rPr>
      </w:pPr>
    </w:p>
    <w:p w:rsidR="001F0E36" w:rsidRPr="00330641" w:rsidRDefault="001F0E36" w:rsidP="000F58E0">
      <w:pPr>
        <w:tabs>
          <w:tab w:val="left" w:pos="2177"/>
        </w:tabs>
        <w:spacing w:after="0" w:line="276" w:lineRule="auto"/>
        <w:ind w:left="0" w:right="0"/>
        <w:rPr>
          <w:rFonts w:ascii="ITC Avant Garde" w:hAnsi="ITC Avant Garde"/>
          <w:color w:val="auto"/>
        </w:rPr>
      </w:pPr>
      <w:r w:rsidRPr="00330641">
        <w:rPr>
          <w:rFonts w:ascii="ITC Avant Garde" w:hAnsi="ITC Avant Garde"/>
          <w:color w:val="auto"/>
        </w:rPr>
        <w:t>De igual</w:t>
      </w:r>
      <w:r w:rsidR="00D3331D" w:rsidRPr="00330641">
        <w:rPr>
          <w:rFonts w:ascii="ITC Avant Garde" w:hAnsi="ITC Avant Garde"/>
          <w:color w:val="auto"/>
        </w:rPr>
        <w:t xml:space="preserve"> forma, Grupo</w:t>
      </w:r>
      <w:r w:rsidR="00893D01" w:rsidRPr="00330641">
        <w:rPr>
          <w:rFonts w:ascii="ITC Avant Garde" w:hAnsi="ITC Avant Garde"/>
          <w:color w:val="auto"/>
        </w:rPr>
        <w:t xml:space="preserve"> </w:t>
      </w:r>
      <w:r w:rsidR="00CD7852" w:rsidRPr="00330641">
        <w:rPr>
          <w:rFonts w:ascii="ITC Avant Garde" w:hAnsi="ITC Avant Garde"/>
          <w:color w:val="auto"/>
        </w:rPr>
        <w:t>AT&amp;T</w:t>
      </w:r>
      <w:r w:rsidRPr="00330641">
        <w:rPr>
          <w:rFonts w:ascii="ITC Avant Garde" w:hAnsi="ITC Avant Garde"/>
          <w:color w:val="auto"/>
        </w:rPr>
        <w:t xml:space="preserve"> </w:t>
      </w:r>
      <w:r w:rsidR="00B65970">
        <w:rPr>
          <w:rFonts w:ascii="ITC Avant Garde" w:hAnsi="ITC Avant Garde"/>
          <w:color w:val="auto"/>
        </w:rPr>
        <w:t>sugirió</w:t>
      </w:r>
      <w:r w:rsidR="006A1F02" w:rsidRPr="00330641">
        <w:rPr>
          <w:rFonts w:ascii="ITC Avant Garde" w:hAnsi="ITC Avant Garde"/>
          <w:color w:val="auto"/>
        </w:rPr>
        <w:t xml:space="preserve"> eliminar el párrafo correspondiente </w:t>
      </w:r>
      <w:r w:rsidR="00DC3B94" w:rsidRPr="00330641">
        <w:rPr>
          <w:rFonts w:ascii="ITC Avant Garde" w:hAnsi="ITC Avant Garde"/>
          <w:color w:val="auto"/>
        </w:rPr>
        <w:t xml:space="preserve">a los gastos de </w:t>
      </w:r>
      <w:r w:rsidRPr="00330641">
        <w:rPr>
          <w:rFonts w:ascii="ITC Avant Garde" w:hAnsi="ITC Avant Garde"/>
          <w:color w:val="auto"/>
        </w:rPr>
        <w:t>administrativos en los que Telmex hubiere incurrido con motivo de la elaboración y presentación de la oferta comercial</w:t>
      </w:r>
      <w:r w:rsidR="00DC3B94" w:rsidRPr="00330641">
        <w:rPr>
          <w:rFonts w:ascii="ITC Avant Garde" w:hAnsi="ITC Avant Garde"/>
          <w:color w:val="auto"/>
        </w:rPr>
        <w:t xml:space="preserve"> debido que no es una práctica habitual de la industria, ni corresponde, cobrar por la elaboración de una cotización.</w:t>
      </w:r>
      <w:r w:rsidR="00DC3B94" w:rsidRPr="00330641">
        <w:rPr>
          <w:rFonts w:ascii="ITC Avant Garde" w:hAnsi="ITC Avant Garde"/>
          <w:i/>
          <w:color w:val="auto"/>
        </w:rPr>
        <w:t xml:space="preserve"> </w:t>
      </w:r>
    </w:p>
    <w:p w:rsidR="001F0E36" w:rsidRPr="00330641" w:rsidRDefault="001F0E36" w:rsidP="000F58E0">
      <w:pPr>
        <w:tabs>
          <w:tab w:val="left" w:pos="2177"/>
        </w:tabs>
        <w:spacing w:after="0" w:line="276" w:lineRule="auto"/>
        <w:ind w:left="0" w:right="0"/>
        <w:rPr>
          <w:rFonts w:ascii="ITC Avant Garde" w:hAnsi="ITC Avant Garde"/>
          <w:b/>
          <w:color w:val="auto"/>
        </w:rPr>
      </w:pPr>
    </w:p>
    <w:p w:rsidR="00200119" w:rsidRPr="00330641" w:rsidRDefault="00200119" w:rsidP="000F58E0">
      <w:pPr>
        <w:spacing w:after="0" w:line="276" w:lineRule="auto"/>
        <w:ind w:left="0" w:right="0" w:firstLine="0"/>
        <w:rPr>
          <w:rFonts w:ascii="ITC Avant Garde" w:hAnsi="ITC Avant Garde"/>
          <w:color w:val="auto"/>
        </w:rPr>
      </w:pPr>
      <w:r w:rsidRPr="00330641">
        <w:rPr>
          <w:rFonts w:ascii="ITC Avant Garde" w:hAnsi="ITC Avant Garde" w:cs="Times New Roman"/>
          <w:b/>
          <w:color w:val="auto"/>
        </w:rPr>
        <w:t>Consideraciones del Instituto</w:t>
      </w:r>
      <w:r w:rsidR="00C42595" w:rsidRPr="00330641">
        <w:rPr>
          <w:rFonts w:ascii="ITC Avant Garde" w:hAnsi="ITC Avant Garde" w:cs="Times New Roman"/>
          <w:b/>
          <w:color w:val="auto"/>
        </w:rPr>
        <w:t>:</w:t>
      </w:r>
    </w:p>
    <w:p w:rsidR="0037150A" w:rsidRPr="00330641" w:rsidRDefault="00C355CC" w:rsidP="000F58E0">
      <w:pPr>
        <w:spacing w:after="0" w:line="276" w:lineRule="auto"/>
        <w:ind w:left="0" w:right="0"/>
        <w:rPr>
          <w:rFonts w:ascii="ITC Avant Garde" w:hAnsi="ITC Avant Garde"/>
          <w:color w:val="auto"/>
        </w:rPr>
      </w:pPr>
      <w:r>
        <w:rPr>
          <w:rFonts w:ascii="ITC Avant Garde" w:hAnsi="ITC Avant Garde"/>
          <w:color w:val="auto"/>
        </w:rPr>
        <w:t>Se eliminó</w:t>
      </w:r>
      <w:r w:rsidR="00200119" w:rsidRPr="00330641">
        <w:rPr>
          <w:rFonts w:ascii="ITC Avant Garde" w:hAnsi="ITC Avant Garde"/>
          <w:color w:val="auto"/>
        </w:rPr>
        <w:t xml:space="preserve"> </w:t>
      </w:r>
      <w:r>
        <w:rPr>
          <w:rFonts w:ascii="ITC Avant Garde" w:hAnsi="ITC Avant Garde"/>
          <w:color w:val="auto"/>
        </w:rPr>
        <w:t>el cobro por</w:t>
      </w:r>
      <w:r w:rsidR="00200119" w:rsidRPr="00330641">
        <w:rPr>
          <w:rFonts w:ascii="ITC Avant Garde" w:hAnsi="ITC Avant Garde"/>
          <w:color w:val="auto"/>
        </w:rPr>
        <w:t xml:space="preserve"> gastos administrativos por la cotización de un Proyecto Especial</w:t>
      </w:r>
      <w:r w:rsidR="00CD09FD" w:rsidRPr="00330641">
        <w:rPr>
          <w:rFonts w:ascii="ITC Avant Garde" w:hAnsi="ITC Avant Garde"/>
          <w:color w:val="auto"/>
        </w:rPr>
        <w:t xml:space="preserve"> ya que no es una práctica habitual de la industria</w:t>
      </w:r>
      <w:r w:rsidR="00CD09FD" w:rsidRPr="00330641" w:rsidDel="00CD09FD">
        <w:rPr>
          <w:rFonts w:ascii="ITC Avant Garde" w:hAnsi="ITC Avant Garde"/>
          <w:color w:val="auto"/>
        </w:rPr>
        <w:t xml:space="preserve"> </w:t>
      </w:r>
      <w:r w:rsidR="00CD09FD" w:rsidRPr="00330641">
        <w:rPr>
          <w:rFonts w:ascii="ITC Avant Garde" w:hAnsi="ITC Avant Garde"/>
          <w:color w:val="auto"/>
        </w:rPr>
        <w:t>además de</w:t>
      </w:r>
      <w:r w:rsidR="00330641">
        <w:rPr>
          <w:rFonts w:ascii="ITC Avant Garde" w:hAnsi="ITC Avant Garde"/>
          <w:color w:val="auto"/>
        </w:rPr>
        <w:t xml:space="preserve"> que </w:t>
      </w:r>
      <w:r w:rsidR="00CD09FD" w:rsidRPr="00330641" w:rsidDel="006021B2">
        <w:rPr>
          <w:rFonts w:ascii="ITC Avant Garde" w:hAnsi="ITC Avant Garde"/>
          <w:color w:val="auto"/>
        </w:rPr>
        <w:t>considerarse</w:t>
      </w:r>
      <w:r w:rsidR="00330641">
        <w:rPr>
          <w:rFonts w:ascii="ITC Avant Garde" w:hAnsi="ITC Avant Garde"/>
          <w:color w:val="auto"/>
        </w:rPr>
        <w:t xml:space="preserve"> </w:t>
      </w:r>
      <w:r w:rsidR="006021B2" w:rsidRPr="00330641">
        <w:rPr>
          <w:rFonts w:ascii="ITC Avant Garde" w:hAnsi="ITC Avant Garde"/>
          <w:color w:val="auto"/>
        </w:rPr>
        <w:t>dicha condición</w:t>
      </w:r>
      <w:r w:rsidR="00CD09FD" w:rsidRPr="00330641">
        <w:rPr>
          <w:rFonts w:ascii="ITC Avant Garde" w:hAnsi="ITC Avant Garde"/>
          <w:color w:val="auto"/>
        </w:rPr>
        <w:t xml:space="preserve"> </w:t>
      </w:r>
      <w:r w:rsidR="006021B2" w:rsidRPr="00330641">
        <w:rPr>
          <w:rFonts w:ascii="ITC Avant Garde" w:hAnsi="ITC Avant Garde"/>
          <w:color w:val="auto"/>
        </w:rPr>
        <w:t xml:space="preserve">podría constituirse como una barrera económica para el acceso de los CS o AS al </w:t>
      </w:r>
      <w:r w:rsidRPr="00330641">
        <w:rPr>
          <w:rFonts w:ascii="ITC Avant Garde" w:hAnsi="ITC Avant Garde"/>
          <w:color w:val="auto"/>
        </w:rPr>
        <w:t>servicio</w:t>
      </w:r>
      <w:r w:rsidRPr="00330641" w:rsidDel="006021B2">
        <w:rPr>
          <w:rFonts w:ascii="ITC Avant Garde" w:hAnsi="ITC Avant Garde"/>
          <w:color w:val="auto"/>
        </w:rPr>
        <w:t>.</w:t>
      </w:r>
      <w:r w:rsidR="00200119" w:rsidRPr="00330641">
        <w:rPr>
          <w:rFonts w:ascii="ITC Avant Garde" w:hAnsi="ITC Avant Garde"/>
          <w:color w:val="auto"/>
        </w:rPr>
        <w:t xml:space="preserve"> </w:t>
      </w:r>
    </w:p>
    <w:p w:rsidR="0037150A" w:rsidRPr="00330641" w:rsidRDefault="0037150A" w:rsidP="000F58E0">
      <w:pPr>
        <w:spacing w:after="0" w:line="276" w:lineRule="auto"/>
        <w:ind w:left="0" w:right="0"/>
        <w:rPr>
          <w:rFonts w:ascii="ITC Avant Garde" w:hAnsi="ITC Avant Garde"/>
          <w:color w:val="auto"/>
        </w:rPr>
      </w:pPr>
    </w:p>
    <w:p w:rsidR="00FB5CC7" w:rsidRPr="00330641" w:rsidRDefault="00342F59" w:rsidP="000F58E0">
      <w:pPr>
        <w:pStyle w:val="IFTnormal"/>
        <w:spacing w:after="0"/>
        <w:ind w:left="0"/>
        <w:rPr>
          <w:rFonts w:eastAsiaTheme="majorEastAsia"/>
          <w:u w:val="single"/>
        </w:rPr>
      </w:pPr>
      <w:r w:rsidRPr="00562B79">
        <w:t xml:space="preserve">Por último y con respecto a lo señalado por </w:t>
      </w:r>
      <w:r w:rsidR="009A54BE" w:rsidRPr="00562B79">
        <w:t>G</w:t>
      </w:r>
      <w:r w:rsidRPr="00562B79">
        <w:t>rupo AT&amp;T sugiriendo eliminar la fecha a partir de la cual iniciará el computo del plazo de entrega</w:t>
      </w:r>
      <w:r w:rsidR="00562B79" w:rsidRPr="00562B79">
        <w:t xml:space="preserve"> dicho comentario ha sido atendido en el numeral </w:t>
      </w:r>
      <w:r w:rsidR="00FB5CC7" w:rsidRPr="00562B79">
        <w:rPr>
          <w:rFonts w:eastAsiaTheme="majorEastAsia"/>
          <w:b/>
          <w:u w:val="single"/>
        </w:rPr>
        <w:t>2.4.3.3.</w:t>
      </w:r>
    </w:p>
    <w:p w:rsidR="00825E22" w:rsidRPr="00330641" w:rsidRDefault="00825E22" w:rsidP="000F58E0">
      <w:pPr>
        <w:spacing w:after="0" w:line="276" w:lineRule="auto"/>
        <w:ind w:left="0" w:right="0"/>
        <w:rPr>
          <w:rFonts w:ascii="ITC Avant Garde" w:hAnsi="ITC Avant Garde"/>
          <w:color w:val="auto"/>
        </w:rPr>
      </w:pPr>
    </w:p>
    <w:p w:rsidR="005A626A" w:rsidRPr="00330641" w:rsidRDefault="00440320" w:rsidP="005A626A">
      <w:pPr>
        <w:spacing w:after="0" w:line="276" w:lineRule="auto"/>
        <w:ind w:left="0" w:right="0"/>
        <w:rPr>
          <w:rFonts w:ascii="ITC Avant Garde" w:hAnsi="ITC Avant Garde"/>
          <w:b/>
          <w:color w:val="auto"/>
          <w:u w:val="single"/>
        </w:rPr>
      </w:pPr>
      <w:r w:rsidRPr="00330641">
        <w:rPr>
          <w:rFonts w:ascii="ITC Avant Garde" w:hAnsi="ITC Avant Garde"/>
          <w:b/>
          <w:color w:val="auto"/>
          <w:u w:val="single"/>
        </w:rPr>
        <w:t>2.5.6.3</w:t>
      </w:r>
      <w:r w:rsidR="005A626A" w:rsidRPr="00330641">
        <w:rPr>
          <w:rFonts w:ascii="ITC Avant Garde" w:hAnsi="ITC Avant Garde"/>
          <w:b/>
          <w:color w:val="auto"/>
          <w:u w:val="single"/>
        </w:rPr>
        <w:t>. Procedimiento de aclaración de cotizaciones:</w:t>
      </w:r>
    </w:p>
    <w:p w:rsidR="005A626A" w:rsidRPr="00330641" w:rsidRDefault="00AE0292" w:rsidP="000F58E0">
      <w:pPr>
        <w:spacing w:after="0" w:line="276" w:lineRule="auto"/>
        <w:ind w:left="0" w:right="0"/>
        <w:rPr>
          <w:rFonts w:ascii="ITC Avant Garde" w:hAnsi="ITC Avant Garde"/>
          <w:b/>
          <w:color w:val="auto"/>
        </w:rPr>
      </w:pPr>
      <w:r w:rsidRPr="00330641">
        <w:rPr>
          <w:rFonts w:ascii="ITC Avant Garde" w:hAnsi="ITC Avant Garde"/>
          <w:b/>
          <w:color w:val="auto"/>
        </w:rPr>
        <w:t>AXTEL:</w:t>
      </w:r>
    </w:p>
    <w:p w:rsidR="00440320" w:rsidRPr="00330641" w:rsidRDefault="0012211F" w:rsidP="00440320">
      <w:pPr>
        <w:spacing w:after="0" w:line="276" w:lineRule="auto"/>
        <w:ind w:left="0" w:right="0"/>
        <w:rPr>
          <w:rFonts w:ascii="ITC Avant Garde" w:hAnsi="ITC Avant Garde"/>
          <w:color w:val="auto"/>
        </w:rPr>
      </w:pPr>
      <w:r>
        <w:rPr>
          <w:rFonts w:ascii="ITC Avant Garde" w:hAnsi="ITC Avant Garde"/>
          <w:color w:val="auto"/>
        </w:rPr>
        <w:lastRenderedPageBreak/>
        <w:t>Manifestó</w:t>
      </w:r>
      <w:r w:rsidR="00440320" w:rsidRPr="00330641">
        <w:rPr>
          <w:rFonts w:ascii="ITC Avant Garde" w:hAnsi="ITC Avant Garde"/>
          <w:color w:val="auto"/>
        </w:rPr>
        <w:t xml:space="preserve"> que la </w:t>
      </w:r>
      <w:r w:rsidR="00AE0292" w:rsidRPr="00330641">
        <w:rPr>
          <w:rFonts w:ascii="ITC Avant Garde" w:hAnsi="ITC Avant Garde"/>
          <w:color w:val="auto"/>
        </w:rPr>
        <w:t xml:space="preserve">nueva Oferta </w:t>
      </w:r>
      <w:r w:rsidR="00440320" w:rsidRPr="00330641">
        <w:rPr>
          <w:rFonts w:ascii="ITC Avant Garde" w:hAnsi="ITC Avant Garde"/>
          <w:color w:val="auto"/>
        </w:rPr>
        <w:t>debe</w:t>
      </w:r>
      <w:r w:rsidR="00AE0292" w:rsidRPr="00330641">
        <w:rPr>
          <w:rFonts w:ascii="ITC Avant Garde" w:hAnsi="ITC Avant Garde"/>
          <w:color w:val="auto"/>
        </w:rPr>
        <w:t xml:space="preserve"> proponer</w:t>
      </w:r>
      <w:r w:rsidR="00DA5C13">
        <w:rPr>
          <w:rFonts w:ascii="ITC Avant Garde" w:hAnsi="ITC Avant Garde"/>
          <w:color w:val="auto"/>
        </w:rPr>
        <w:t xml:space="preserve"> mejora</w:t>
      </w:r>
      <w:r w:rsidR="00AE0292" w:rsidRPr="00330641">
        <w:rPr>
          <w:rFonts w:ascii="ITC Avant Garde" w:hAnsi="ITC Avant Garde"/>
          <w:color w:val="auto"/>
        </w:rPr>
        <w:t>s</w:t>
      </w:r>
      <w:r w:rsidR="00440320" w:rsidRPr="00330641">
        <w:rPr>
          <w:rFonts w:ascii="ITC Avant Garde" w:hAnsi="ITC Avant Garde"/>
          <w:color w:val="auto"/>
        </w:rPr>
        <w:t xml:space="preserve"> </w:t>
      </w:r>
      <w:r w:rsidR="00AE0292" w:rsidRPr="00330641">
        <w:rPr>
          <w:rFonts w:ascii="ITC Avant Garde" w:hAnsi="ITC Avant Garde"/>
          <w:color w:val="auto"/>
        </w:rPr>
        <w:t xml:space="preserve">a </w:t>
      </w:r>
      <w:r w:rsidR="00440320" w:rsidRPr="00330641">
        <w:rPr>
          <w:rFonts w:ascii="ITC Avant Garde" w:hAnsi="ITC Avant Garde"/>
          <w:color w:val="auto"/>
        </w:rPr>
        <w:t xml:space="preserve">la oferta vigente y no retroceder, esto en el sentido de que actualmente el plazo para responder una aclaración de cotización es de 3 días hábiles contados a partir de la fecha de solicitud por parte del CS y no de 4 días hábiles como lo propone el AEP. Asimismo, solicita al </w:t>
      </w:r>
      <w:r w:rsidR="00AE0292" w:rsidRPr="00330641">
        <w:rPr>
          <w:rFonts w:ascii="ITC Avant Garde" w:hAnsi="ITC Avant Garde"/>
          <w:color w:val="auto"/>
        </w:rPr>
        <w:t xml:space="preserve">Instituto </w:t>
      </w:r>
      <w:r w:rsidR="00440320" w:rsidRPr="00330641">
        <w:rPr>
          <w:rFonts w:ascii="ITC Avant Garde" w:hAnsi="ITC Avant Garde"/>
          <w:color w:val="auto"/>
        </w:rPr>
        <w:t>determinar los requisitos mínimos que deberá integrar el AEP en sus aclaraciones de cotizaciones debido a que carecen de información técnica</w:t>
      </w:r>
      <w:r w:rsidR="00AE0292" w:rsidRPr="00330641">
        <w:rPr>
          <w:rFonts w:ascii="ITC Avant Garde" w:hAnsi="ITC Avant Garde"/>
          <w:color w:val="auto"/>
        </w:rPr>
        <w:t xml:space="preserve"> y</w:t>
      </w:r>
      <w:r w:rsidR="00440320" w:rsidRPr="00330641">
        <w:rPr>
          <w:rFonts w:ascii="ITC Avant Garde" w:hAnsi="ITC Avant Garde"/>
          <w:color w:val="auto"/>
        </w:rPr>
        <w:t xml:space="preserve"> económica.</w:t>
      </w:r>
    </w:p>
    <w:p w:rsidR="00C13455" w:rsidRPr="00330641" w:rsidRDefault="00C13455" w:rsidP="00440320">
      <w:pPr>
        <w:spacing w:after="0" w:line="276" w:lineRule="auto"/>
        <w:ind w:left="0" w:right="0"/>
        <w:rPr>
          <w:rFonts w:ascii="ITC Avant Garde" w:hAnsi="ITC Avant Garde"/>
          <w:color w:val="auto"/>
        </w:rPr>
      </w:pPr>
    </w:p>
    <w:p w:rsidR="00C13455" w:rsidRPr="00330641" w:rsidRDefault="00C13455" w:rsidP="00440320">
      <w:pPr>
        <w:spacing w:after="0" w:line="276" w:lineRule="auto"/>
        <w:ind w:left="0" w:right="0"/>
        <w:rPr>
          <w:rFonts w:ascii="ITC Avant Garde" w:hAnsi="ITC Avant Garde"/>
          <w:b/>
          <w:color w:val="auto"/>
        </w:rPr>
      </w:pPr>
      <w:r w:rsidRPr="00330641">
        <w:rPr>
          <w:rFonts w:ascii="ITC Avant Garde" w:hAnsi="ITC Avant Garde"/>
          <w:b/>
          <w:color w:val="auto"/>
        </w:rPr>
        <w:t>GRUPO TELEVISA:</w:t>
      </w:r>
    </w:p>
    <w:p w:rsidR="00C13455" w:rsidRPr="00330641" w:rsidRDefault="00C13455" w:rsidP="00C13455">
      <w:pPr>
        <w:spacing w:line="276" w:lineRule="auto"/>
        <w:ind w:left="0" w:firstLine="0"/>
        <w:rPr>
          <w:rFonts w:ascii="ITC Avant Garde" w:hAnsi="ITC Avant Garde" w:cs="Times New Roman"/>
          <w:color w:val="auto"/>
        </w:rPr>
      </w:pPr>
      <w:r w:rsidRPr="00330641">
        <w:rPr>
          <w:rFonts w:ascii="ITC Avant Garde" w:hAnsi="ITC Avant Garde" w:cs="Times New Roman"/>
          <w:color w:val="auto"/>
        </w:rPr>
        <w:t xml:space="preserve">Al respecto, hace referencia al proceso de validación de las solicitudes de servicio y a los requisitos de las cotizaciones de proyectos especiales, en la cual se señala que en caso de que el AEP no pueda proporcionar el servicio bajo las condiciones de infraestructura, se solucionará mediante la creación de un proyecto especial, entonces el AEP deberá presentar la respectiva justificación y cotización, está última deberá contener información desagregada de los rubros y elementos que financiera el CS con el fin que el AEP se vea en capacidad de realizar el proyecto, sin embargo, Grupo Televisa </w:t>
      </w:r>
      <w:r w:rsidR="00DA5C13">
        <w:rPr>
          <w:rFonts w:ascii="ITC Avant Garde" w:hAnsi="ITC Avant Garde" w:cs="Times New Roman"/>
          <w:color w:val="auto"/>
        </w:rPr>
        <w:t>s</w:t>
      </w:r>
      <w:r w:rsidR="0012211F">
        <w:rPr>
          <w:rFonts w:ascii="ITC Avant Garde" w:hAnsi="ITC Avant Garde" w:cs="Times New Roman"/>
          <w:color w:val="auto"/>
        </w:rPr>
        <w:t>eñaló</w:t>
      </w:r>
      <w:r w:rsidRPr="00330641">
        <w:rPr>
          <w:rFonts w:ascii="ITC Avant Garde" w:hAnsi="ITC Avant Garde" w:cs="Times New Roman"/>
          <w:color w:val="auto"/>
        </w:rPr>
        <w:t xml:space="preserve"> que Telmex incumple con la obligación de proveer cotizaciones detalladas que incluyan costos unitarios y desagregados por rubro. </w:t>
      </w:r>
    </w:p>
    <w:p w:rsidR="00C13455" w:rsidRPr="00330641" w:rsidRDefault="00C13455" w:rsidP="00C13455">
      <w:pPr>
        <w:spacing w:line="276" w:lineRule="auto"/>
        <w:ind w:left="0" w:firstLine="0"/>
        <w:rPr>
          <w:rFonts w:ascii="ITC Avant Garde" w:hAnsi="ITC Avant Garde" w:cs="Times New Roman"/>
          <w:color w:val="auto"/>
        </w:rPr>
      </w:pPr>
    </w:p>
    <w:p w:rsidR="00C13455" w:rsidRPr="00330641" w:rsidRDefault="003A6B68" w:rsidP="00C13455">
      <w:pPr>
        <w:spacing w:line="276" w:lineRule="auto"/>
        <w:ind w:left="0" w:firstLine="0"/>
        <w:rPr>
          <w:rFonts w:ascii="ITC Avant Garde" w:hAnsi="ITC Avant Garde" w:cs="Times New Roman"/>
          <w:color w:val="auto"/>
        </w:rPr>
      </w:pPr>
      <w:r>
        <w:rPr>
          <w:rFonts w:ascii="ITC Avant Garde" w:hAnsi="ITC Avant Garde" w:cs="Times New Roman"/>
          <w:color w:val="auto"/>
        </w:rPr>
        <w:t>Además</w:t>
      </w:r>
      <w:r w:rsidR="00C13455" w:rsidRPr="00330641">
        <w:rPr>
          <w:rFonts w:ascii="ITC Avant Garde" w:hAnsi="ITC Avant Garde" w:cs="Times New Roman"/>
          <w:color w:val="auto"/>
        </w:rPr>
        <w:t xml:space="preserve">, resalta en primer lugar, que se le otorga al AEP 4 días hábiles para enviar la información a los CS, lo cual resulta exagerado e innecesario teniendo en cuanta que ya se elaboró la cotización y, en segundo lugar, </w:t>
      </w:r>
      <w:r w:rsidR="005C1833">
        <w:rPr>
          <w:rFonts w:ascii="ITC Avant Garde" w:hAnsi="ITC Avant Garde" w:cs="Times New Roman"/>
          <w:color w:val="auto"/>
        </w:rPr>
        <w:t>s</w:t>
      </w:r>
      <w:r w:rsidR="0012211F">
        <w:rPr>
          <w:rFonts w:ascii="ITC Avant Garde" w:hAnsi="ITC Avant Garde" w:cs="Times New Roman"/>
          <w:color w:val="auto"/>
        </w:rPr>
        <w:t>eñaló</w:t>
      </w:r>
      <w:r w:rsidR="00C13455" w:rsidRPr="00330641">
        <w:rPr>
          <w:rFonts w:ascii="ITC Avant Garde" w:hAnsi="ITC Avant Garde" w:cs="Times New Roman"/>
          <w:color w:val="auto"/>
        </w:rPr>
        <w:t xml:space="preserve"> que se obvia por completo lo establecido en la ORE y no provee información adicional a las cotizaciones.</w:t>
      </w:r>
    </w:p>
    <w:p w:rsidR="00C13455" w:rsidRPr="00330641" w:rsidRDefault="00C13455" w:rsidP="00C13455">
      <w:pPr>
        <w:spacing w:line="276" w:lineRule="auto"/>
        <w:ind w:left="0" w:firstLine="0"/>
        <w:rPr>
          <w:rFonts w:ascii="ITC Avant Garde" w:hAnsi="ITC Avant Garde" w:cs="Times New Roman"/>
          <w:color w:val="auto"/>
        </w:rPr>
      </w:pPr>
    </w:p>
    <w:p w:rsidR="00AE0292" w:rsidRPr="00330641" w:rsidRDefault="00AE0292" w:rsidP="00AE0292">
      <w:pPr>
        <w:spacing w:after="0" w:line="276" w:lineRule="auto"/>
        <w:ind w:left="0" w:right="0" w:firstLine="0"/>
        <w:rPr>
          <w:rFonts w:ascii="ITC Avant Garde" w:hAnsi="ITC Avant Garde" w:cs="Times New Roman"/>
          <w:b/>
          <w:color w:val="auto"/>
        </w:rPr>
      </w:pPr>
      <w:r w:rsidRPr="00330641">
        <w:rPr>
          <w:rFonts w:ascii="ITC Avant Garde" w:hAnsi="ITC Avant Garde" w:cs="Times New Roman"/>
          <w:b/>
          <w:color w:val="auto"/>
        </w:rPr>
        <w:t>Consideraciones del Instituto:</w:t>
      </w:r>
    </w:p>
    <w:p w:rsidR="004E2E7F" w:rsidRPr="00330641" w:rsidRDefault="004E2E7F" w:rsidP="00AE0292">
      <w:pPr>
        <w:spacing w:after="0" w:line="276" w:lineRule="auto"/>
        <w:ind w:left="0" w:right="0" w:firstLine="0"/>
        <w:rPr>
          <w:rFonts w:ascii="ITC Avant Garde" w:hAnsi="ITC Avant Garde"/>
          <w:color w:val="auto"/>
        </w:rPr>
      </w:pPr>
      <w:r w:rsidRPr="00330641">
        <w:rPr>
          <w:rFonts w:ascii="ITC Avant Garde" w:hAnsi="ITC Avant Garde"/>
          <w:color w:val="auto"/>
        </w:rPr>
        <w:t xml:space="preserve">Al respecto, se </w:t>
      </w:r>
      <w:r w:rsidR="00DA5C13">
        <w:rPr>
          <w:rFonts w:ascii="ITC Avant Garde" w:hAnsi="ITC Avant Garde"/>
          <w:color w:val="auto"/>
        </w:rPr>
        <w:t>modificó</w:t>
      </w:r>
      <w:r w:rsidRPr="00330641">
        <w:rPr>
          <w:rFonts w:ascii="ITC Avant Garde" w:hAnsi="ITC Avant Garde"/>
          <w:color w:val="auto"/>
        </w:rPr>
        <w:t xml:space="preserve"> el plazo a 3 (tres) días hábiles para enviar la información adicional o complementaria, en tanto el CS considere que no cuenta con la información suficiente para la contratación de un Proyecto Especial, conforme a lo establecido en la ORE DM 2020. </w:t>
      </w:r>
    </w:p>
    <w:p w:rsidR="005A734A" w:rsidRPr="00330641" w:rsidRDefault="005A734A" w:rsidP="00AE0292">
      <w:pPr>
        <w:spacing w:after="0" w:line="276" w:lineRule="auto"/>
        <w:ind w:left="0" w:right="0" w:firstLine="0"/>
        <w:rPr>
          <w:rFonts w:ascii="ITC Avant Garde" w:hAnsi="ITC Avant Garde"/>
          <w:color w:val="auto"/>
        </w:rPr>
      </w:pPr>
    </w:p>
    <w:p w:rsidR="007F4920" w:rsidRPr="00330641" w:rsidRDefault="005A734A" w:rsidP="007F4920">
      <w:pPr>
        <w:spacing w:line="276" w:lineRule="auto"/>
        <w:ind w:left="0" w:firstLine="0"/>
        <w:rPr>
          <w:rFonts w:ascii="ITC Avant Garde" w:hAnsi="ITC Avant Garde" w:cs="Times New Roman"/>
          <w:color w:val="auto"/>
        </w:rPr>
      </w:pPr>
      <w:r w:rsidRPr="00330641">
        <w:rPr>
          <w:rFonts w:ascii="ITC Avant Garde" w:hAnsi="ITC Avant Garde"/>
        </w:rPr>
        <w:t xml:space="preserve">Por otro lado, a lo manifestado por </w:t>
      </w:r>
      <w:r w:rsidR="007F4920" w:rsidRPr="00330641">
        <w:rPr>
          <w:rFonts w:ascii="ITC Avant Garde" w:hAnsi="ITC Avant Garde"/>
        </w:rPr>
        <w:t>Grupo Televisa</w:t>
      </w:r>
      <w:r w:rsidRPr="00330641">
        <w:rPr>
          <w:rFonts w:ascii="ITC Avant Garde" w:hAnsi="ITC Avant Garde"/>
        </w:rPr>
        <w:t xml:space="preserve">, en el sentido que el AEP </w:t>
      </w:r>
      <w:r w:rsidR="007F4920" w:rsidRPr="00330641">
        <w:rPr>
          <w:rFonts w:ascii="ITC Avant Garde" w:hAnsi="ITC Avant Garde" w:cs="Times New Roman"/>
          <w:color w:val="auto"/>
        </w:rPr>
        <w:t xml:space="preserve">incumple con la obligación de proveer cotizaciones detalladas que incluyan costos unitarios y desagregados por rubro, se señala que </w:t>
      </w:r>
      <w:r w:rsidR="007F4920" w:rsidRPr="00330641">
        <w:rPr>
          <w:rFonts w:ascii="ITC Avant Garde" w:eastAsia="Times New Roman" w:hAnsi="ITC Avant Garde" w:cs="Times New Roman"/>
          <w:color w:val="auto"/>
        </w:rPr>
        <w:t xml:space="preserve">el cumplimiento de los términos y condiciones establecidos para la prestación del servicio dedicado de enlaces dedicados </w:t>
      </w:r>
      <w:r w:rsidR="00DA5C13">
        <w:rPr>
          <w:rFonts w:ascii="ITC Avant Garde" w:eastAsia="Times New Roman" w:hAnsi="ITC Avant Garde" w:cs="Times New Roman"/>
          <w:color w:val="auto"/>
        </w:rPr>
        <w:t>se encuentra fuera del alcance de la oferta de referencia</w:t>
      </w:r>
      <w:r w:rsidR="007F4920" w:rsidRPr="00330641">
        <w:rPr>
          <w:rFonts w:ascii="ITC Avant Garde" w:eastAsia="Times New Roman" w:hAnsi="ITC Avant Garde" w:cs="Times New Roman"/>
          <w:color w:val="auto"/>
        </w:rPr>
        <w:t>.</w:t>
      </w:r>
      <w:r w:rsidR="007F4920" w:rsidRPr="00330641">
        <w:rPr>
          <w:rFonts w:ascii="ITC Avant Garde" w:hAnsi="ITC Avant Garde" w:cs="Times New Roman"/>
          <w:color w:val="auto"/>
        </w:rPr>
        <w:t xml:space="preserve"> </w:t>
      </w:r>
    </w:p>
    <w:p w:rsidR="009B2ECC" w:rsidRPr="00330641" w:rsidRDefault="009B2ECC" w:rsidP="009B2ECC">
      <w:pPr>
        <w:pStyle w:val="IFTnormal"/>
        <w:spacing w:after="0"/>
        <w:ind w:left="0"/>
        <w:rPr>
          <w:rFonts w:eastAsiaTheme="majorEastAsia"/>
        </w:rPr>
      </w:pPr>
    </w:p>
    <w:p w:rsidR="00E81B19" w:rsidRPr="00330641" w:rsidRDefault="00E81B19" w:rsidP="000F58E0">
      <w:pPr>
        <w:spacing w:after="0" w:line="276" w:lineRule="auto"/>
        <w:ind w:left="0" w:right="0"/>
        <w:rPr>
          <w:rFonts w:ascii="ITC Avant Garde" w:hAnsi="ITC Avant Garde"/>
          <w:b/>
          <w:color w:val="auto"/>
          <w:u w:val="single"/>
        </w:rPr>
      </w:pPr>
      <w:r w:rsidRPr="00330641">
        <w:rPr>
          <w:rFonts w:ascii="ITC Avant Garde" w:hAnsi="ITC Avant Garde"/>
          <w:b/>
          <w:color w:val="auto"/>
          <w:u w:val="single"/>
        </w:rPr>
        <w:t>2.5.6.4.</w:t>
      </w:r>
      <w:r w:rsidR="005C16EF" w:rsidRPr="00330641">
        <w:rPr>
          <w:rFonts w:ascii="ITC Avant Garde" w:hAnsi="ITC Avant Garde"/>
          <w:b/>
          <w:color w:val="auto"/>
          <w:u w:val="single"/>
        </w:rPr>
        <w:t xml:space="preserve"> No se considerarán Proyectos Especiales, los siguientes casos:</w:t>
      </w:r>
    </w:p>
    <w:p w:rsidR="00E81B19" w:rsidRPr="00330641" w:rsidRDefault="00E81B19" w:rsidP="000F58E0">
      <w:pPr>
        <w:spacing w:after="0" w:line="276" w:lineRule="auto"/>
        <w:ind w:left="0" w:right="0"/>
        <w:rPr>
          <w:rFonts w:ascii="ITC Avant Garde" w:hAnsi="ITC Avant Garde"/>
          <w:b/>
          <w:color w:val="auto"/>
        </w:rPr>
      </w:pPr>
      <w:r w:rsidRPr="00330641">
        <w:rPr>
          <w:rFonts w:ascii="ITC Avant Garde" w:hAnsi="ITC Avant Garde"/>
          <w:b/>
          <w:color w:val="auto"/>
        </w:rPr>
        <w:t>AXTEL</w:t>
      </w:r>
      <w:r w:rsidR="0037150A" w:rsidRPr="00330641">
        <w:rPr>
          <w:rFonts w:ascii="ITC Avant Garde" w:hAnsi="ITC Avant Garde"/>
          <w:b/>
          <w:color w:val="auto"/>
        </w:rPr>
        <w:t>:</w:t>
      </w:r>
    </w:p>
    <w:p w:rsidR="00E81B19" w:rsidRPr="00330641" w:rsidRDefault="005C1833" w:rsidP="00C13455">
      <w:pPr>
        <w:spacing w:after="0" w:line="276" w:lineRule="auto"/>
        <w:ind w:left="0" w:right="0" w:firstLine="0"/>
        <w:rPr>
          <w:rFonts w:ascii="ITC Avant Garde" w:hAnsi="ITC Avant Garde" w:cs="Times New Roman"/>
          <w:color w:val="auto"/>
        </w:rPr>
      </w:pPr>
      <w:r>
        <w:rPr>
          <w:rFonts w:ascii="ITC Avant Garde" w:hAnsi="ITC Avant Garde" w:cs="Times New Roman"/>
          <w:color w:val="auto"/>
        </w:rPr>
        <w:lastRenderedPageBreak/>
        <w:t>Puntualizó</w:t>
      </w:r>
      <w:r w:rsidR="00490AAD" w:rsidRPr="00330641">
        <w:rPr>
          <w:rFonts w:ascii="ITC Avant Garde" w:hAnsi="ITC Avant Garde" w:cs="Times New Roman"/>
          <w:color w:val="auto"/>
        </w:rPr>
        <w:t xml:space="preserve"> que l</w:t>
      </w:r>
      <w:r w:rsidR="00E81B19" w:rsidRPr="00330641">
        <w:rPr>
          <w:rFonts w:ascii="ITC Avant Garde" w:hAnsi="ITC Avant Garde" w:cs="Times New Roman"/>
          <w:color w:val="auto"/>
        </w:rPr>
        <w:t>a eliminación del inciso (ii)</w:t>
      </w:r>
      <w:r w:rsidR="00AE0292" w:rsidRPr="00330641">
        <w:rPr>
          <w:rFonts w:ascii="ITC Avant Garde" w:hAnsi="ITC Avant Garde" w:cs="Times New Roman"/>
          <w:color w:val="auto"/>
        </w:rPr>
        <w:t xml:space="preserve"> de la Oferta vigente relativo a los casos donde no se considera</w:t>
      </w:r>
      <w:r w:rsidR="00F43622">
        <w:rPr>
          <w:rFonts w:ascii="ITC Avant Garde" w:hAnsi="ITC Avant Garde" w:cs="Times New Roman"/>
          <w:color w:val="auto"/>
        </w:rPr>
        <w:t>rá</w:t>
      </w:r>
      <w:r w:rsidR="00AE0292" w:rsidRPr="00330641">
        <w:rPr>
          <w:rFonts w:ascii="ITC Avant Garde" w:hAnsi="ITC Avant Garde" w:cs="Times New Roman"/>
          <w:color w:val="auto"/>
        </w:rPr>
        <w:t xml:space="preserve"> Proyecto Especial,</w:t>
      </w:r>
      <w:r w:rsidR="00E81B19" w:rsidRPr="00330641">
        <w:rPr>
          <w:rFonts w:ascii="ITC Avant Garde" w:hAnsi="ITC Avant Garde" w:cs="Times New Roman"/>
          <w:color w:val="auto"/>
        </w:rPr>
        <w:t xml:space="preserve"> </w:t>
      </w:r>
      <w:r w:rsidR="00AE0292" w:rsidRPr="00330641">
        <w:rPr>
          <w:rFonts w:ascii="ITC Avant Garde" w:hAnsi="ITC Avant Garde" w:cs="Times New Roman"/>
          <w:color w:val="auto"/>
        </w:rPr>
        <w:t>p</w:t>
      </w:r>
      <w:r w:rsidR="00E81B19" w:rsidRPr="00330641">
        <w:rPr>
          <w:rFonts w:ascii="ITC Avant Garde" w:hAnsi="ITC Avant Garde" w:cs="Times New Roman"/>
          <w:color w:val="auto"/>
        </w:rPr>
        <w:t xml:space="preserve">or parte del AEP, es una maniobra para continuar cobrando proyectos especiales </w:t>
      </w:r>
      <w:r w:rsidR="00136088" w:rsidRPr="00330641">
        <w:rPr>
          <w:rFonts w:ascii="ITC Avant Garde" w:hAnsi="ITC Avant Garde" w:cs="Times New Roman"/>
          <w:color w:val="auto"/>
        </w:rPr>
        <w:t xml:space="preserve">con mayor </w:t>
      </w:r>
      <w:r w:rsidR="00E81B19" w:rsidRPr="00330641">
        <w:rPr>
          <w:rFonts w:ascii="ITC Avant Garde" w:hAnsi="ITC Avant Garde" w:cs="Times New Roman"/>
          <w:color w:val="auto"/>
        </w:rPr>
        <w:t xml:space="preserve">discrecionalidad y tener elementos adicionales de cobro sin que exista una justificación real. Axtel </w:t>
      </w:r>
      <w:r w:rsidR="00136088" w:rsidRPr="00330641">
        <w:rPr>
          <w:rFonts w:ascii="ITC Avant Garde" w:hAnsi="ITC Avant Garde" w:cs="Times New Roman"/>
          <w:color w:val="auto"/>
        </w:rPr>
        <w:t xml:space="preserve">solicita </w:t>
      </w:r>
      <w:r w:rsidR="00E81B19" w:rsidRPr="00330641">
        <w:rPr>
          <w:rFonts w:ascii="ITC Avant Garde" w:hAnsi="ITC Avant Garde" w:cs="Times New Roman"/>
          <w:color w:val="auto"/>
        </w:rPr>
        <w:t xml:space="preserve">al </w:t>
      </w:r>
      <w:r w:rsidR="00893D01" w:rsidRPr="00330641">
        <w:rPr>
          <w:rFonts w:ascii="ITC Avant Garde" w:hAnsi="ITC Avant Garde" w:cs="Times New Roman"/>
          <w:color w:val="auto"/>
        </w:rPr>
        <w:t xml:space="preserve">Instituto </w:t>
      </w:r>
      <w:r w:rsidR="00E81B19" w:rsidRPr="00330641">
        <w:rPr>
          <w:rFonts w:ascii="ITC Avant Garde" w:hAnsi="ITC Avant Garde" w:cs="Times New Roman"/>
          <w:color w:val="auto"/>
        </w:rPr>
        <w:t xml:space="preserve">que </w:t>
      </w:r>
      <w:r w:rsidR="00136088" w:rsidRPr="00330641">
        <w:rPr>
          <w:rFonts w:ascii="ITC Avant Garde" w:hAnsi="ITC Avant Garde" w:cs="Times New Roman"/>
          <w:color w:val="auto"/>
        </w:rPr>
        <w:t>sea reintegrado</w:t>
      </w:r>
      <w:r w:rsidR="00E81B19" w:rsidRPr="00330641">
        <w:rPr>
          <w:rFonts w:ascii="ITC Avant Garde" w:hAnsi="ITC Avant Garde" w:cs="Times New Roman"/>
          <w:color w:val="auto"/>
        </w:rPr>
        <w:t xml:space="preserve"> el inciso</w:t>
      </w:r>
      <w:r w:rsidR="00136088" w:rsidRPr="00330641">
        <w:rPr>
          <w:rFonts w:ascii="ITC Avant Garde" w:hAnsi="ITC Avant Garde" w:cs="Times New Roman"/>
          <w:color w:val="auto"/>
        </w:rPr>
        <w:t xml:space="preserve"> (ii)</w:t>
      </w:r>
      <w:r w:rsidR="00E81B19" w:rsidRPr="00330641">
        <w:rPr>
          <w:rFonts w:ascii="ITC Avant Garde" w:hAnsi="ITC Avant Garde" w:cs="Times New Roman"/>
          <w:color w:val="auto"/>
        </w:rPr>
        <w:t xml:space="preserve"> eliminado.</w:t>
      </w:r>
    </w:p>
    <w:p w:rsidR="00E81B19" w:rsidRPr="00330641" w:rsidRDefault="00E81B19" w:rsidP="000F58E0">
      <w:pPr>
        <w:spacing w:after="0" w:line="276" w:lineRule="auto"/>
        <w:ind w:left="0" w:right="0" w:firstLine="0"/>
        <w:rPr>
          <w:rFonts w:ascii="ITC Avant Garde" w:hAnsi="ITC Avant Garde"/>
          <w:color w:val="auto"/>
        </w:rPr>
      </w:pPr>
    </w:p>
    <w:p w:rsidR="001F0E36" w:rsidRPr="00330641" w:rsidRDefault="00CD7852" w:rsidP="000F58E0">
      <w:pPr>
        <w:spacing w:after="0" w:line="276" w:lineRule="auto"/>
        <w:ind w:left="0" w:right="0" w:firstLine="0"/>
        <w:rPr>
          <w:rFonts w:ascii="ITC Avant Garde" w:hAnsi="ITC Avant Garde"/>
          <w:b/>
          <w:color w:val="auto"/>
        </w:rPr>
      </w:pPr>
      <w:r w:rsidRPr="00330641">
        <w:rPr>
          <w:rFonts w:ascii="ITC Avant Garde" w:hAnsi="ITC Avant Garde"/>
          <w:b/>
          <w:color w:val="auto"/>
        </w:rPr>
        <w:t>GRUPO AT&amp;T</w:t>
      </w:r>
      <w:r w:rsidR="0023704C" w:rsidRPr="00330641">
        <w:rPr>
          <w:rFonts w:ascii="ITC Avant Garde" w:hAnsi="ITC Avant Garde"/>
          <w:b/>
          <w:color w:val="auto"/>
        </w:rPr>
        <w:t>:</w:t>
      </w:r>
    </w:p>
    <w:p w:rsidR="001F0E36" w:rsidRPr="00330641" w:rsidRDefault="005C1833" w:rsidP="000F58E0">
      <w:pPr>
        <w:spacing w:after="0" w:line="276" w:lineRule="auto"/>
        <w:ind w:left="0" w:right="0" w:firstLine="0"/>
        <w:rPr>
          <w:rFonts w:ascii="ITC Avant Garde" w:hAnsi="ITC Avant Garde"/>
          <w:color w:val="auto"/>
        </w:rPr>
      </w:pPr>
      <w:r>
        <w:rPr>
          <w:rFonts w:ascii="ITC Avant Garde" w:hAnsi="ITC Avant Garde"/>
          <w:color w:val="auto"/>
        </w:rPr>
        <w:t>Sugirió</w:t>
      </w:r>
      <w:r w:rsidR="001F0E36" w:rsidRPr="00330641">
        <w:rPr>
          <w:rFonts w:ascii="ITC Avant Garde" w:hAnsi="ITC Avant Garde"/>
          <w:color w:val="auto"/>
        </w:rPr>
        <w:t xml:space="preserve"> que se establezca la siguiente redacción</w:t>
      </w:r>
      <w:r w:rsidR="005C16EF" w:rsidRPr="00330641">
        <w:rPr>
          <w:rFonts w:ascii="ITC Avant Garde" w:hAnsi="ITC Avant Garde"/>
          <w:color w:val="auto"/>
        </w:rPr>
        <w:t xml:space="preserve">, en términos de que </w:t>
      </w:r>
      <w:r w:rsidR="001D6F6A" w:rsidRPr="00330641">
        <w:rPr>
          <w:rFonts w:ascii="ITC Avant Garde" w:hAnsi="ITC Avant Garde"/>
          <w:color w:val="auto"/>
        </w:rPr>
        <w:t>es un servicio en el que interviene Telmex y Red Nacional, por lo que se debe incluir ambos</w:t>
      </w:r>
      <w:r w:rsidR="005C16EF" w:rsidRPr="00330641">
        <w:rPr>
          <w:rFonts w:ascii="ITC Avant Garde" w:hAnsi="ITC Avant Garde"/>
          <w:color w:val="auto"/>
        </w:rPr>
        <w:t xml:space="preserve">. </w:t>
      </w:r>
      <w:r w:rsidR="0012211F">
        <w:rPr>
          <w:rFonts w:ascii="ITC Avant Garde" w:hAnsi="ITC Avant Garde"/>
          <w:color w:val="auto"/>
        </w:rPr>
        <w:t>Señaló</w:t>
      </w:r>
      <w:r w:rsidR="001D6F6A" w:rsidRPr="00330641">
        <w:rPr>
          <w:rFonts w:ascii="ITC Avant Garde" w:hAnsi="ITC Avant Garde"/>
          <w:color w:val="auto"/>
        </w:rPr>
        <w:t xml:space="preserve"> que en caso de que ya exista el </w:t>
      </w:r>
      <w:r w:rsidR="005C16EF" w:rsidRPr="00330641">
        <w:rPr>
          <w:rFonts w:ascii="ITC Avant Garde" w:hAnsi="ITC Avant Garde"/>
          <w:color w:val="auto"/>
        </w:rPr>
        <w:t>acceso local (última milla)</w:t>
      </w:r>
      <w:r w:rsidR="001D6F6A" w:rsidRPr="00330641">
        <w:rPr>
          <w:rFonts w:ascii="ITC Avant Garde" w:hAnsi="ITC Avant Garde"/>
          <w:color w:val="auto"/>
        </w:rPr>
        <w:t xml:space="preserve"> en ese domicilio </w:t>
      </w:r>
      <w:r w:rsidR="00F43622">
        <w:rPr>
          <w:rFonts w:ascii="ITC Avant Garde" w:hAnsi="ITC Avant Garde"/>
          <w:color w:val="auto"/>
        </w:rPr>
        <w:t>no se puede cobrar proyecto espe</w:t>
      </w:r>
      <w:r w:rsidR="001D6F6A" w:rsidRPr="00330641">
        <w:rPr>
          <w:rFonts w:ascii="ITC Avant Garde" w:hAnsi="ITC Avant Garde"/>
          <w:color w:val="auto"/>
        </w:rPr>
        <w:t>cial</w:t>
      </w:r>
      <w:r w:rsidR="001F0E36" w:rsidRPr="00330641">
        <w:rPr>
          <w:rFonts w:ascii="ITC Avant Garde" w:hAnsi="ITC Avant Garde"/>
          <w:color w:val="auto"/>
        </w:rPr>
        <w:t>:</w:t>
      </w:r>
    </w:p>
    <w:p w:rsidR="001F0E36" w:rsidRPr="00330641" w:rsidRDefault="001F0E36" w:rsidP="000F58E0">
      <w:pPr>
        <w:spacing w:after="0" w:line="276" w:lineRule="auto"/>
        <w:ind w:left="0" w:right="0" w:firstLine="0"/>
        <w:rPr>
          <w:rFonts w:ascii="ITC Avant Garde" w:hAnsi="ITC Avant Garde"/>
          <w:color w:val="auto"/>
        </w:rPr>
      </w:pPr>
    </w:p>
    <w:p w:rsidR="001F0E36" w:rsidRPr="005C1833" w:rsidRDefault="001F0E36" w:rsidP="005C1833">
      <w:pPr>
        <w:pStyle w:val="Prrafodelista"/>
        <w:numPr>
          <w:ilvl w:val="0"/>
          <w:numId w:val="17"/>
        </w:numPr>
        <w:spacing w:after="0" w:line="276" w:lineRule="auto"/>
        <w:ind w:right="900"/>
        <w:rPr>
          <w:rFonts w:ascii="ITC Avant Garde" w:hAnsi="ITC Avant Garde"/>
          <w:color w:val="auto"/>
          <w:sz w:val="18"/>
          <w:szCs w:val="18"/>
        </w:rPr>
      </w:pPr>
      <w:r w:rsidRPr="005C1833">
        <w:rPr>
          <w:rFonts w:ascii="ITC Avant Garde" w:hAnsi="ITC Avant Garde"/>
          <w:color w:val="auto"/>
          <w:sz w:val="18"/>
          <w:szCs w:val="18"/>
        </w:rPr>
        <w:t xml:space="preserve">Cuando Telmex </w:t>
      </w:r>
      <w:r w:rsidR="00A74997" w:rsidRPr="005C1833">
        <w:rPr>
          <w:rFonts w:ascii="ITC Avant Garde" w:hAnsi="ITC Avant Garde"/>
          <w:color w:val="auto"/>
          <w:sz w:val="18"/>
          <w:szCs w:val="18"/>
        </w:rPr>
        <w:t xml:space="preserve">o </w:t>
      </w:r>
      <w:r w:rsidR="007C25DA" w:rsidRPr="005C1833">
        <w:rPr>
          <w:rFonts w:ascii="ITC Avant Garde" w:hAnsi="ITC Avant Garde"/>
          <w:color w:val="auto"/>
          <w:sz w:val="18"/>
          <w:szCs w:val="18"/>
        </w:rPr>
        <w:t xml:space="preserve">Red Nacional </w:t>
      </w:r>
      <w:r w:rsidRPr="005C1833">
        <w:rPr>
          <w:rFonts w:ascii="ITC Avant Garde" w:hAnsi="ITC Avant Garde"/>
          <w:color w:val="auto"/>
          <w:sz w:val="18"/>
          <w:szCs w:val="18"/>
        </w:rPr>
        <w:t>preste o haya prestado serv</w:t>
      </w:r>
      <w:r w:rsidR="005C16EF" w:rsidRPr="005C1833">
        <w:rPr>
          <w:rFonts w:ascii="ITC Avant Garde" w:hAnsi="ITC Avant Garde"/>
          <w:color w:val="auto"/>
          <w:sz w:val="18"/>
          <w:szCs w:val="18"/>
        </w:rPr>
        <w:t>i</w:t>
      </w:r>
      <w:r w:rsidRPr="005C1833">
        <w:rPr>
          <w:rFonts w:ascii="ITC Avant Garde" w:hAnsi="ITC Avant Garde"/>
          <w:color w:val="auto"/>
          <w:sz w:val="18"/>
          <w:szCs w:val="18"/>
        </w:rPr>
        <w:t>c</w:t>
      </w:r>
      <w:r w:rsidR="005C16EF" w:rsidRPr="005C1833">
        <w:rPr>
          <w:rFonts w:ascii="ITC Avant Garde" w:hAnsi="ITC Avant Garde"/>
          <w:color w:val="auto"/>
          <w:sz w:val="18"/>
          <w:szCs w:val="18"/>
        </w:rPr>
        <w:t>i</w:t>
      </w:r>
      <w:r w:rsidRPr="005C1833">
        <w:rPr>
          <w:rFonts w:ascii="ITC Avant Garde" w:hAnsi="ITC Avant Garde"/>
          <w:color w:val="auto"/>
          <w:sz w:val="18"/>
          <w:szCs w:val="18"/>
        </w:rPr>
        <w:t>os al Concesionario o Autorizado Solicitante en un determinado domicilio, utilizando la misma tecnología requerida.</w:t>
      </w:r>
    </w:p>
    <w:p w:rsidR="00AE0292" w:rsidRPr="00330641" w:rsidRDefault="00AE0292" w:rsidP="00EC3F16">
      <w:pPr>
        <w:pStyle w:val="Prrafodelista"/>
        <w:rPr>
          <w:rFonts w:ascii="ITC Avant Garde" w:hAnsi="ITC Avant Garde"/>
          <w:color w:val="auto"/>
        </w:rPr>
      </w:pPr>
    </w:p>
    <w:p w:rsidR="00814594" w:rsidRPr="00330641" w:rsidRDefault="00814594" w:rsidP="000F58E0">
      <w:pPr>
        <w:spacing w:after="0" w:line="276" w:lineRule="auto"/>
        <w:ind w:left="0" w:right="0" w:firstLine="0"/>
        <w:rPr>
          <w:rFonts w:ascii="ITC Avant Garde" w:hAnsi="ITC Avant Garde" w:cs="Times New Roman"/>
          <w:b/>
          <w:color w:val="auto"/>
        </w:rPr>
      </w:pPr>
      <w:r w:rsidRPr="00330641">
        <w:rPr>
          <w:rFonts w:ascii="ITC Avant Garde" w:hAnsi="ITC Avant Garde" w:cs="Times New Roman"/>
          <w:b/>
          <w:color w:val="auto"/>
        </w:rPr>
        <w:t>Consideraciones del Instituto</w:t>
      </w:r>
      <w:r w:rsidR="0023704C" w:rsidRPr="00330641">
        <w:rPr>
          <w:rFonts w:ascii="ITC Avant Garde" w:hAnsi="ITC Avant Garde" w:cs="Times New Roman"/>
          <w:b/>
          <w:color w:val="auto"/>
        </w:rPr>
        <w:t>:</w:t>
      </w:r>
    </w:p>
    <w:p w:rsidR="00FB5CC7" w:rsidRPr="00330641" w:rsidRDefault="00F43622" w:rsidP="000F58E0">
      <w:pPr>
        <w:spacing w:after="0" w:line="276" w:lineRule="auto"/>
        <w:ind w:left="0" w:right="0" w:firstLine="0"/>
        <w:rPr>
          <w:rFonts w:ascii="ITC Avant Garde" w:hAnsi="ITC Avant Garde"/>
          <w:color w:val="auto"/>
        </w:rPr>
      </w:pPr>
      <w:r>
        <w:rPr>
          <w:rFonts w:ascii="ITC Avant Garde" w:hAnsi="ITC Avant Garde"/>
          <w:color w:val="auto"/>
        </w:rPr>
        <w:t xml:space="preserve">Al respecto, se </w:t>
      </w:r>
      <w:r w:rsidR="00814594" w:rsidRPr="00330641">
        <w:rPr>
          <w:rFonts w:ascii="ITC Avant Garde" w:hAnsi="ITC Avant Garde"/>
          <w:color w:val="auto"/>
        </w:rPr>
        <w:t>delimit</w:t>
      </w:r>
      <w:r w:rsidR="00FB5CC7" w:rsidRPr="00330641">
        <w:rPr>
          <w:rFonts w:ascii="ITC Avant Garde" w:hAnsi="ITC Avant Garde"/>
          <w:color w:val="auto"/>
        </w:rPr>
        <w:t>aron</w:t>
      </w:r>
      <w:r w:rsidR="00814594" w:rsidRPr="00330641">
        <w:rPr>
          <w:rFonts w:ascii="ITC Avant Garde" w:hAnsi="ITC Avant Garde"/>
          <w:color w:val="auto"/>
        </w:rPr>
        <w:t xml:space="preserve"> </w:t>
      </w:r>
      <w:r w:rsidR="00FC6F15" w:rsidRPr="00330641">
        <w:rPr>
          <w:rFonts w:ascii="ITC Avant Garde" w:hAnsi="ITC Avant Garde"/>
          <w:color w:val="auto"/>
        </w:rPr>
        <w:t xml:space="preserve">los criterios </w:t>
      </w:r>
      <w:r w:rsidR="00814594" w:rsidRPr="00330641">
        <w:rPr>
          <w:rFonts w:ascii="ITC Avant Garde" w:hAnsi="ITC Avant Garde"/>
          <w:color w:val="auto"/>
        </w:rPr>
        <w:t xml:space="preserve">para </w:t>
      </w:r>
      <w:r>
        <w:rPr>
          <w:rFonts w:ascii="ITC Avant Garde" w:hAnsi="ITC Avant Garde"/>
          <w:color w:val="auto"/>
        </w:rPr>
        <w:t>que una solicitud de servicios pueda</w:t>
      </w:r>
      <w:r w:rsidR="00814594" w:rsidRPr="00330641">
        <w:rPr>
          <w:rFonts w:ascii="ITC Avant Garde" w:hAnsi="ITC Avant Garde"/>
          <w:color w:val="auto"/>
        </w:rPr>
        <w:t xml:space="preserve"> calificarse como Proyecto Especial, eliminando los casos relacio</w:t>
      </w:r>
      <w:r w:rsidR="001C0CB8">
        <w:rPr>
          <w:rFonts w:ascii="ITC Avant Garde" w:hAnsi="ITC Avant Garde"/>
          <w:color w:val="auto"/>
        </w:rPr>
        <w:t>nados con la red de transporte</w:t>
      </w:r>
      <w:r>
        <w:rPr>
          <w:rFonts w:ascii="ITC Avant Garde" w:hAnsi="ITC Avant Garde"/>
          <w:color w:val="auto"/>
        </w:rPr>
        <w:t xml:space="preserve"> y </w:t>
      </w:r>
      <w:r w:rsidR="00AB276C" w:rsidRPr="00330641">
        <w:rPr>
          <w:rFonts w:ascii="ITC Avant Garde" w:hAnsi="ITC Avant Garde"/>
          <w:color w:val="auto"/>
        </w:rPr>
        <w:t xml:space="preserve">se </w:t>
      </w:r>
      <w:r>
        <w:rPr>
          <w:rFonts w:ascii="ITC Avant Garde" w:hAnsi="ITC Avant Garde"/>
          <w:color w:val="auto"/>
        </w:rPr>
        <w:t>adicionó</w:t>
      </w:r>
      <w:r w:rsidR="00814594" w:rsidRPr="00330641">
        <w:rPr>
          <w:rFonts w:ascii="ITC Avant Garde" w:hAnsi="ITC Avant Garde"/>
          <w:color w:val="auto"/>
        </w:rPr>
        <w:t xml:space="preserve"> </w:t>
      </w:r>
      <w:r w:rsidR="005E7E79" w:rsidRPr="00330641">
        <w:rPr>
          <w:rFonts w:ascii="ITC Avant Garde" w:hAnsi="ITC Avant Garde"/>
          <w:color w:val="auto"/>
        </w:rPr>
        <w:t>el</w:t>
      </w:r>
      <w:r w:rsidR="00814594" w:rsidRPr="00330641">
        <w:rPr>
          <w:rFonts w:ascii="ITC Avant Garde" w:hAnsi="ITC Avant Garde"/>
          <w:color w:val="auto"/>
        </w:rPr>
        <w:t xml:space="preserve"> inciso donde se puntualiza que en los casos que se requiera únicamente de un cambio de equipo con distinta tecnología no se </w:t>
      </w:r>
      <w:r w:rsidR="004F2563">
        <w:rPr>
          <w:rFonts w:ascii="ITC Avant Garde" w:hAnsi="ITC Avant Garde"/>
          <w:color w:val="auto"/>
        </w:rPr>
        <w:t>considerará</w:t>
      </w:r>
      <w:r w:rsidR="00814594" w:rsidRPr="00330641">
        <w:rPr>
          <w:rFonts w:ascii="ITC Avant Garde" w:hAnsi="ITC Avant Garde"/>
          <w:color w:val="auto"/>
        </w:rPr>
        <w:t xml:space="preserve"> como Proyecto Especial, debiendo aplicar en tales casos las tarifas por gastos de instalación y renta mensual contenidas en la oferta</w:t>
      </w:r>
      <w:r w:rsidR="00FB5CC7" w:rsidRPr="00330641">
        <w:rPr>
          <w:rFonts w:ascii="ITC Avant Garde" w:hAnsi="ITC Avant Garde"/>
          <w:color w:val="auto"/>
        </w:rPr>
        <w:t>, en los siguientes términos:</w:t>
      </w:r>
    </w:p>
    <w:p w:rsidR="0023704C" w:rsidRPr="00330641" w:rsidRDefault="0023704C" w:rsidP="000F58E0">
      <w:pPr>
        <w:spacing w:after="0" w:line="276" w:lineRule="auto"/>
        <w:ind w:left="0" w:right="0" w:firstLine="0"/>
        <w:rPr>
          <w:rFonts w:ascii="ITC Avant Garde" w:hAnsi="ITC Avant Garde"/>
          <w:color w:val="auto"/>
        </w:rPr>
      </w:pPr>
    </w:p>
    <w:p w:rsidR="0023704C" w:rsidRPr="00330641" w:rsidRDefault="0023704C" w:rsidP="000F58E0">
      <w:pPr>
        <w:autoSpaceDE w:val="0"/>
        <w:autoSpaceDN w:val="0"/>
        <w:spacing w:after="0" w:line="276" w:lineRule="auto"/>
        <w:ind w:left="567" w:right="616"/>
        <w:rPr>
          <w:rFonts w:ascii="ITC Avant Garde" w:eastAsia="Calibri" w:hAnsi="ITC Avant Garde" w:cs="Arial"/>
          <w:b/>
          <w:i/>
          <w:sz w:val="18"/>
          <w:lang w:val="es-ES_tradnl" w:eastAsia="es-ES_tradnl"/>
        </w:rPr>
      </w:pPr>
      <w:r w:rsidRPr="00330641">
        <w:rPr>
          <w:rFonts w:ascii="ITC Avant Garde" w:eastAsia="Calibri" w:hAnsi="ITC Avant Garde" w:cs="Arial"/>
          <w:b/>
          <w:i/>
          <w:sz w:val="18"/>
          <w:lang w:val="es-ES_tradnl" w:eastAsia="es-ES_tradnl"/>
        </w:rPr>
        <w:t>“2.5.6.4 No se considerarán Proyectos Especiales, los siguientes casos:</w:t>
      </w:r>
    </w:p>
    <w:p w:rsidR="0023704C" w:rsidRPr="00330641" w:rsidRDefault="0023704C" w:rsidP="000F58E0">
      <w:pPr>
        <w:autoSpaceDE w:val="0"/>
        <w:autoSpaceDN w:val="0"/>
        <w:spacing w:after="0" w:line="276" w:lineRule="auto"/>
        <w:ind w:left="567" w:right="616"/>
        <w:rPr>
          <w:rFonts w:ascii="ITC Avant Garde" w:eastAsia="Calibri" w:hAnsi="ITC Avant Garde" w:cs="Arial"/>
          <w:i/>
          <w:sz w:val="18"/>
          <w:lang w:val="es-ES_tradnl" w:eastAsia="es-ES_tradnl"/>
        </w:rPr>
      </w:pPr>
    </w:p>
    <w:p w:rsidR="0023704C" w:rsidRPr="00330641" w:rsidRDefault="0023704C" w:rsidP="006B06E7">
      <w:pPr>
        <w:numPr>
          <w:ilvl w:val="0"/>
          <w:numId w:val="10"/>
        </w:numPr>
        <w:autoSpaceDE w:val="0"/>
        <w:autoSpaceDN w:val="0"/>
        <w:spacing w:after="0" w:line="276" w:lineRule="auto"/>
        <w:ind w:left="567" w:right="616" w:firstLine="0"/>
        <w:rPr>
          <w:rFonts w:ascii="ITC Avant Garde" w:eastAsia="Calibri" w:hAnsi="ITC Avant Garde" w:cs="Arial"/>
          <w:i/>
          <w:sz w:val="18"/>
          <w:lang w:val="es-ES_tradnl" w:eastAsia="es-ES_tradnl"/>
        </w:rPr>
      </w:pPr>
      <w:r w:rsidRPr="00330641">
        <w:rPr>
          <w:rFonts w:ascii="ITC Avant Garde" w:eastAsia="Calibri" w:hAnsi="ITC Avant Garde" w:cs="Arial"/>
          <w:i/>
          <w:sz w:val="18"/>
          <w:lang w:val="es-ES_tradnl" w:eastAsia="es-ES_tradnl"/>
        </w:rPr>
        <w:t>Cuando Telmex preste o haya prestado servicios al Concesionario o Autorizado Solicitante en un determinado domicilio, utilizando la misma tecnología requerida;</w:t>
      </w:r>
    </w:p>
    <w:p w:rsidR="0023704C" w:rsidRPr="00330641" w:rsidRDefault="0023704C" w:rsidP="000F58E0">
      <w:pPr>
        <w:autoSpaceDE w:val="0"/>
        <w:autoSpaceDN w:val="0"/>
        <w:spacing w:after="0" w:line="276" w:lineRule="auto"/>
        <w:ind w:left="567" w:right="616"/>
        <w:rPr>
          <w:rFonts w:ascii="ITC Avant Garde" w:eastAsia="Calibri" w:hAnsi="ITC Avant Garde" w:cs="Arial"/>
          <w:i/>
          <w:sz w:val="18"/>
          <w:lang w:val="es-ES_tradnl" w:eastAsia="es-ES_tradnl"/>
        </w:rPr>
      </w:pPr>
    </w:p>
    <w:p w:rsidR="0023704C" w:rsidRPr="00330641" w:rsidRDefault="0023704C" w:rsidP="006B06E7">
      <w:pPr>
        <w:numPr>
          <w:ilvl w:val="0"/>
          <w:numId w:val="10"/>
        </w:numPr>
        <w:autoSpaceDE w:val="0"/>
        <w:autoSpaceDN w:val="0"/>
        <w:spacing w:after="0" w:line="276" w:lineRule="auto"/>
        <w:ind w:left="567" w:right="616" w:firstLine="0"/>
        <w:rPr>
          <w:rFonts w:ascii="ITC Avant Garde" w:eastAsia="Calibri" w:hAnsi="ITC Avant Garde" w:cs="Arial"/>
          <w:i/>
          <w:sz w:val="18"/>
          <w:lang w:val="es-ES_tradnl" w:eastAsia="es-ES_tradnl"/>
        </w:rPr>
      </w:pPr>
      <w:r w:rsidRPr="00330641">
        <w:rPr>
          <w:rFonts w:ascii="ITC Avant Garde" w:eastAsia="Calibri" w:hAnsi="ITC Avant Garde" w:cs="Arial"/>
          <w:i/>
          <w:sz w:val="18"/>
          <w:lang w:val="es-ES_tradnl" w:eastAsia="es-ES_tradnl"/>
        </w:rPr>
        <w:t>Cuando únicamente se requiera utilizar un equipo con diferente tecnología. En este caso será procedente el cobro de los gastos de instalación de dicho equipo y la renta mensual asociada a dicho enlace, de conformidad con los precios y tarifas de la presente Oferta;</w:t>
      </w:r>
    </w:p>
    <w:p w:rsidR="0023704C" w:rsidRPr="00330641" w:rsidRDefault="0023704C" w:rsidP="000F58E0">
      <w:pPr>
        <w:autoSpaceDE w:val="0"/>
        <w:autoSpaceDN w:val="0"/>
        <w:spacing w:after="0" w:line="276" w:lineRule="auto"/>
        <w:ind w:left="567" w:right="616"/>
        <w:rPr>
          <w:rFonts w:ascii="ITC Avant Garde" w:eastAsia="Calibri" w:hAnsi="ITC Avant Garde" w:cs="Arial"/>
          <w:i/>
          <w:sz w:val="18"/>
          <w:lang w:val="es-ES_tradnl" w:eastAsia="es-ES_tradnl"/>
        </w:rPr>
      </w:pPr>
    </w:p>
    <w:p w:rsidR="0023704C" w:rsidRPr="00330641" w:rsidRDefault="0023704C" w:rsidP="006B06E7">
      <w:pPr>
        <w:numPr>
          <w:ilvl w:val="0"/>
          <w:numId w:val="10"/>
        </w:numPr>
        <w:autoSpaceDE w:val="0"/>
        <w:autoSpaceDN w:val="0"/>
        <w:spacing w:after="0" w:line="276" w:lineRule="auto"/>
        <w:ind w:left="567" w:right="616" w:firstLine="0"/>
        <w:rPr>
          <w:rFonts w:ascii="ITC Avant Garde" w:eastAsia="Calibri" w:hAnsi="ITC Avant Garde" w:cs="Arial"/>
          <w:i/>
          <w:sz w:val="18"/>
          <w:lang w:val="es-ES_tradnl" w:eastAsia="es-ES_tradnl"/>
        </w:rPr>
      </w:pPr>
      <w:r w:rsidRPr="00330641">
        <w:rPr>
          <w:rFonts w:ascii="ITC Avant Garde" w:eastAsia="Calibri" w:hAnsi="ITC Avant Garde" w:cs="Arial"/>
          <w:i/>
          <w:sz w:val="18"/>
          <w:lang w:val="es-ES_tradnl" w:eastAsia="es-ES_tradnl"/>
        </w:rPr>
        <w:t>Si habiendo realizado adecuaciones para la prestación de los servicios, los costos de tales adecuaciones ya hubieren sido absorbidos por otro Concesionario o Autorizado Solicitante, y</w:t>
      </w:r>
    </w:p>
    <w:p w:rsidR="0023704C" w:rsidRPr="00330641" w:rsidRDefault="0023704C" w:rsidP="000F58E0">
      <w:pPr>
        <w:pStyle w:val="Prrafodelista"/>
        <w:spacing w:line="276" w:lineRule="auto"/>
        <w:ind w:left="567" w:right="616"/>
        <w:rPr>
          <w:rFonts w:ascii="ITC Avant Garde" w:eastAsia="Calibri" w:hAnsi="ITC Avant Garde" w:cs="Arial"/>
          <w:i/>
          <w:sz w:val="18"/>
          <w:lang w:val="es-ES_tradnl" w:eastAsia="es-ES_tradnl"/>
        </w:rPr>
      </w:pPr>
    </w:p>
    <w:p w:rsidR="0023704C" w:rsidRPr="00330641" w:rsidRDefault="0023704C" w:rsidP="006B06E7">
      <w:pPr>
        <w:numPr>
          <w:ilvl w:val="0"/>
          <w:numId w:val="10"/>
        </w:numPr>
        <w:autoSpaceDE w:val="0"/>
        <w:autoSpaceDN w:val="0"/>
        <w:spacing w:after="0" w:line="276" w:lineRule="auto"/>
        <w:ind w:left="567" w:right="616" w:firstLine="0"/>
        <w:rPr>
          <w:rFonts w:ascii="ITC Avant Garde" w:hAnsi="ITC Avant Garde" w:cs="Arial"/>
          <w:i/>
          <w:sz w:val="18"/>
        </w:rPr>
      </w:pPr>
      <w:r w:rsidRPr="00330641">
        <w:rPr>
          <w:rFonts w:ascii="ITC Avant Garde" w:eastAsia="Calibri" w:hAnsi="ITC Avant Garde" w:cs="Arial"/>
          <w:i/>
          <w:sz w:val="18"/>
          <w:lang w:val="es-ES_tradnl" w:eastAsia="es-ES_tradnl"/>
        </w:rPr>
        <w:t xml:space="preserve"> Si para la prestación de los servicios se requieren elementos de red cuyo costo ya se encuentre incorporado en las tarifas determinadas por el Instituto para el servicio mayorista de enlaces dedicados.”</w:t>
      </w:r>
    </w:p>
    <w:p w:rsidR="00814594" w:rsidRPr="00330641" w:rsidRDefault="00814594" w:rsidP="000F58E0">
      <w:pPr>
        <w:spacing w:after="0" w:line="276" w:lineRule="auto"/>
        <w:ind w:left="0" w:right="0" w:firstLine="0"/>
        <w:rPr>
          <w:rFonts w:ascii="ITC Avant Garde" w:hAnsi="ITC Avant Garde"/>
          <w:color w:val="auto"/>
        </w:rPr>
      </w:pPr>
    </w:p>
    <w:p w:rsidR="00DA60CB" w:rsidRPr="00330641" w:rsidRDefault="00DA60CB" w:rsidP="000F58E0">
      <w:pPr>
        <w:pStyle w:val="Ttulo2"/>
        <w:spacing w:before="0" w:after="0" w:line="276" w:lineRule="auto"/>
        <w:ind w:firstLine="0"/>
        <w:rPr>
          <w:rFonts w:ascii="ITC Avant Garde" w:eastAsiaTheme="majorEastAsia" w:hAnsi="ITC Avant Garde" w:cstheme="majorBidi"/>
          <w:bCs w:val="0"/>
          <w:sz w:val="22"/>
          <w:szCs w:val="22"/>
          <w:u w:val="single"/>
          <w:lang w:val="es-ES_tradnl" w:eastAsia="es-MX"/>
        </w:rPr>
      </w:pPr>
      <w:r w:rsidRPr="00330641">
        <w:rPr>
          <w:rFonts w:ascii="ITC Avant Garde" w:eastAsiaTheme="majorEastAsia" w:hAnsi="ITC Avant Garde" w:cstheme="majorBidi"/>
          <w:bCs w:val="0"/>
          <w:sz w:val="22"/>
          <w:szCs w:val="22"/>
          <w:u w:val="single"/>
          <w:lang w:val="es-ES_tradnl" w:eastAsia="es-MX"/>
        </w:rPr>
        <w:lastRenderedPageBreak/>
        <w:t>2.5.7</w:t>
      </w:r>
    </w:p>
    <w:p w:rsidR="000707CE" w:rsidRPr="00330641" w:rsidRDefault="00CD7852" w:rsidP="000F58E0">
      <w:pPr>
        <w:spacing w:after="0" w:line="276" w:lineRule="auto"/>
        <w:ind w:left="0" w:right="0" w:firstLine="0"/>
        <w:rPr>
          <w:rFonts w:ascii="ITC Avant Garde" w:hAnsi="ITC Avant Garde"/>
          <w:b/>
          <w:color w:val="auto"/>
        </w:rPr>
      </w:pPr>
      <w:r w:rsidRPr="00330641">
        <w:rPr>
          <w:rFonts w:ascii="ITC Avant Garde" w:hAnsi="ITC Avant Garde"/>
          <w:b/>
          <w:color w:val="auto"/>
        </w:rPr>
        <w:t>GRUPO AT&amp;T</w:t>
      </w:r>
      <w:r w:rsidR="000707CE" w:rsidRPr="00330641">
        <w:rPr>
          <w:rFonts w:ascii="ITC Avant Garde" w:hAnsi="ITC Avant Garde"/>
          <w:b/>
          <w:color w:val="auto"/>
        </w:rPr>
        <w:t>:</w:t>
      </w:r>
    </w:p>
    <w:p w:rsidR="001F0E36" w:rsidRPr="00330641" w:rsidRDefault="00490AAD" w:rsidP="000F58E0">
      <w:pPr>
        <w:spacing w:after="0" w:line="276" w:lineRule="auto"/>
        <w:ind w:left="0" w:right="0" w:firstLine="0"/>
        <w:rPr>
          <w:rFonts w:ascii="ITC Avant Garde" w:hAnsi="ITC Avant Garde"/>
          <w:color w:val="auto"/>
        </w:rPr>
      </w:pPr>
      <w:r w:rsidRPr="00330641">
        <w:rPr>
          <w:rFonts w:ascii="ITC Avant Garde" w:hAnsi="ITC Avant Garde"/>
          <w:color w:val="auto"/>
        </w:rPr>
        <w:t>S</w:t>
      </w:r>
      <w:r w:rsidR="005C1833">
        <w:rPr>
          <w:rFonts w:ascii="ITC Avant Garde" w:hAnsi="ITC Avant Garde"/>
          <w:color w:val="auto"/>
        </w:rPr>
        <w:t>ugirió</w:t>
      </w:r>
      <w:r w:rsidR="001F0E36" w:rsidRPr="00330641">
        <w:rPr>
          <w:rFonts w:ascii="ITC Avant Garde" w:hAnsi="ITC Avant Garde"/>
          <w:color w:val="auto"/>
        </w:rPr>
        <w:t xml:space="preserve"> la siguiente redacción </w:t>
      </w:r>
      <w:r w:rsidR="00E60C62" w:rsidRPr="00330641">
        <w:rPr>
          <w:rFonts w:ascii="ITC Avant Garde" w:hAnsi="ITC Avant Garde"/>
          <w:color w:val="auto"/>
        </w:rPr>
        <w:t>ya que es una práctica común en la industria permitir los aumentos de velocidad sin penalidad por plazo forzoso y mucho menos cobro de proyectos especiales</w:t>
      </w:r>
      <w:r w:rsidR="001F0E36" w:rsidRPr="00330641">
        <w:rPr>
          <w:rFonts w:ascii="ITC Avant Garde" w:hAnsi="ITC Avant Garde"/>
          <w:color w:val="auto"/>
        </w:rPr>
        <w:t>:</w:t>
      </w:r>
    </w:p>
    <w:p w:rsidR="009A5790" w:rsidRPr="00330641" w:rsidRDefault="009A5790" w:rsidP="00995E3F">
      <w:pPr>
        <w:spacing w:after="0" w:line="276" w:lineRule="auto"/>
        <w:ind w:left="0" w:right="474" w:firstLine="0"/>
        <w:rPr>
          <w:rFonts w:ascii="ITC Avant Garde" w:hAnsi="ITC Avant Garde"/>
          <w:color w:val="auto"/>
          <w:sz w:val="18"/>
        </w:rPr>
      </w:pPr>
    </w:p>
    <w:p w:rsidR="001F0E36" w:rsidRPr="00330641" w:rsidRDefault="00995E3F" w:rsidP="000F58E0">
      <w:pPr>
        <w:spacing w:after="0" w:line="276" w:lineRule="auto"/>
        <w:ind w:left="567" w:right="474" w:firstLine="0"/>
        <w:rPr>
          <w:rFonts w:ascii="ITC Avant Garde" w:hAnsi="ITC Avant Garde"/>
          <w:b/>
          <w:i/>
          <w:color w:val="auto"/>
          <w:sz w:val="18"/>
          <w:u w:val="single"/>
        </w:rPr>
      </w:pPr>
      <w:r>
        <w:rPr>
          <w:rFonts w:ascii="ITC Avant Garde" w:hAnsi="ITC Avant Garde"/>
          <w:b/>
          <w:i/>
          <w:color w:val="auto"/>
          <w:sz w:val="18"/>
          <w:u w:val="single"/>
        </w:rPr>
        <w:t>“</w:t>
      </w:r>
      <w:r w:rsidR="009A5790" w:rsidRPr="00330641">
        <w:rPr>
          <w:rFonts w:ascii="ITC Avant Garde" w:hAnsi="ITC Avant Garde"/>
          <w:b/>
          <w:i/>
          <w:color w:val="auto"/>
          <w:sz w:val="18"/>
          <w:u w:val="single"/>
        </w:rPr>
        <w:t>En el caso de los aumentos de velocidad que no impliquen cambio de tecnología sino solamente cambio o modificación en los equipos terminales, no existirá penalidad por el incumplimiento del plazo forzoso del enlace anterior en tanto el plazo forzoso del nuevo enlace que lo sustituye sea mayor al tiempo remanente del enlace anterior</w:t>
      </w:r>
      <w:r w:rsidR="00E60C62" w:rsidRPr="00330641">
        <w:rPr>
          <w:rFonts w:ascii="ITC Avant Garde" w:hAnsi="ITC Avant Garde"/>
          <w:b/>
          <w:i/>
          <w:color w:val="auto"/>
          <w:sz w:val="18"/>
          <w:u w:val="single"/>
        </w:rPr>
        <w:t>”</w:t>
      </w:r>
    </w:p>
    <w:p w:rsidR="001F0E36" w:rsidRPr="00330641" w:rsidRDefault="001F0E36" w:rsidP="000F58E0">
      <w:pPr>
        <w:spacing w:after="0" w:line="276" w:lineRule="auto"/>
        <w:ind w:left="0" w:right="0" w:firstLine="0"/>
        <w:rPr>
          <w:rFonts w:ascii="ITC Avant Garde" w:hAnsi="ITC Avant Garde"/>
          <w:color w:val="auto"/>
        </w:rPr>
      </w:pPr>
    </w:p>
    <w:p w:rsidR="00441E2D" w:rsidRPr="00330641" w:rsidRDefault="002A67E7" w:rsidP="000F58E0">
      <w:pPr>
        <w:spacing w:after="0" w:line="276" w:lineRule="auto"/>
        <w:ind w:left="0" w:right="0" w:firstLine="0"/>
        <w:rPr>
          <w:rFonts w:ascii="ITC Avant Garde" w:hAnsi="ITC Avant Garde" w:cs="Times New Roman"/>
          <w:b/>
          <w:color w:val="auto"/>
        </w:rPr>
      </w:pPr>
      <w:r w:rsidRPr="00330641">
        <w:rPr>
          <w:rFonts w:ascii="ITC Avant Garde" w:hAnsi="ITC Avant Garde" w:cs="Times New Roman"/>
          <w:b/>
          <w:color w:val="auto"/>
        </w:rPr>
        <w:t>Consideraciones del Instituto</w:t>
      </w:r>
      <w:r w:rsidR="003E7853" w:rsidRPr="00330641">
        <w:rPr>
          <w:rFonts w:ascii="ITC Avant Garde" w:hAnsi="ITC Avant Garde" w:cs="Times New Roman"/>
          <w:b/>
          <w:color w:val="auto"/>
        </w:rPr>
        <w:t>:</w:t>
      </w:r>
    </w:p>
    <w:p w:rsidR="003E7853" w:rsidRPr="00330641" w:rsidRDefault="003E7853" w:rsidP="000F58E0">
      <w:pPr>
        <w:autoSpaceDE w:val="0"/>
        <w:autoSpaceDN w:val="0"/>
        <w:spacing w:after="0" w:line="276" w:lineRule="auto"/>
        <w:rPr>
          <w:rFonts w:ascii="ITC Avant Garde" w:hAnsi="ITC Avant Garde" w:cs="Arial"/>
        </w:rPr>
      </w:pPr>
      <w:r w:rsidRPr="00330641">
        <w:rPr>
          <w:rFonts w:ascii="ITC Avant Garde" w:hAnsi="ITC Avant Garde" w:cs="Times New Roman"/>
          <w:color w:val="auto"/>
        </w:rPr>
        <w:t xml:space="preserve">Conforme a lo </w:t>
      </w:r>
      <w:r w:rsidR="00A001D2" w:rsidRPr="00330641">
        <w:rPr>
          <w:rFonts w:ascii="ITC Avant Garde" w:hAnsi="ITC Avant Garde" w:cs="Times New Roman"/>
          <w:color w:val="auto"/>
        </w:rPr>
        <w:t>señalado por</w:t>
      </w:r>
      <w:r w:rsidR="009A54BE" w:rsidRPr="00330641">
        <w:rPr>
          <w:rFonts w:ascii="ITC Avant Garde" w:hAnsi="ITC Avant Garde"/>
          <w:color w:val="auto"/>
        </w:rPr>
        <w:t xml:space="preserve"> Grupo</w:t>
      </w:r>
      <w:r w:rsidR="0047134C" w:rsidRPr="00330641">
        <w:rPr>
          <w:rFonts w:ascii="ITC Avant Garde" w:hAnsi="ITC Avant Garde"/>
          <w:color w:val="auto"/>
        </w:rPr>
        <w:t xml:space="preserve"> AT&amp;T de los plazos forzosos cabe señalar que</w:t>
      </w:r>
      <w:r w:rsidR="009A54BE" w:rsidRPr="00330641">
        <w:rPr>
          <w:rFonts w:ascii="ITC Avant Garde" w:hAnsi="ITC Avant Garde"/>
          <w:color w:val="auto"/>
        </w:rPr>
        <w:t>,</w:t>
      </w:r>
      <w:r w:rsidR="0047134C" w:rsidRPr="00330641">
        <w:rPr>
          <w:rFonts w:ascii="ITC Avant Garde" w:hAnsi="ITC Avant Garde"/>
          <w:color w:val="auto"/>
        </w:rPr>
        <w:t xml:space="preserve"> </w:t>
      </w:r>
      <w:r w:rsidR="00007868">
        <w:rPr>
          <w:rFonts w:ascii="ITC Avant Garde" w:hAnsi="ITC Avant Garde"/>
          <w:color w:val="auto"/>
        </w:rPr>
        <w:t>dicho supuesto dejó</w:t>
      </w:r>
      <w:r w:rsidR="00931A9E" w:rsidRPr="00330641">
        <w:rPr>
          <w:rFonts w:ascii="ITC Avant Garde" w:hAnsi="ITC Avant Garde"/>
          <w:color w:val="auto"/>
        </w:rPr>
        <w:t xml:space="preserve"> de ser considerado </w:t>
      </w:r>
      <w:r w:rsidR="0047134C" w:rsidRPr="00330641">
        <w:rPr>
          <w:rFonts w:ascii="ITC Avant Garde" w:hAnsi="ITC Avant Garde"/>
          <w:color w:val="auto"/>
        </w:rPr>
        <w:t xml:space="preserve">a partir de la </w:t>
      </w:r>
      <w:r w:rsidR="00931A9E" w:rsidRPr="00330641">
        <w:rPr>
          <w:rFonts w:ascii="ITC Avant Garde" w:hAnsi="ITC Avant Garde"/>
          <w:color w:val="auto"/>
        </w:rPr>
        <w:t xml:space="preserve">oferta </w:t>
      </w:r>
      <w:r w:rsidR="0047134C" w:rsidRPr="00330641">
        <w:rPr>
          <w:rFonts w:ascii="ITC Avant Garde" w:hAnsi="ITC Avant Garde"/>
          <w:color w:val="auto"/>
        </w:rPr>
        <w:t xml:space="preserve">de </w:t>
      </w:r>
      <w:r w:rsidR="00931A9E" w:rsidRPr="00330641">
        <w:rPr>
          <w:rFonts w:ascii="ITC Avant Garde" w:hAnsi="ITC Avant Garde"/>
          <w:color w:val="auto"/>
        </w:rPr>
        <w:t xml:space="preserve">referencia </w:t>
      </w:r>
      <w:r w:rsidR="0047134C" w:rsidRPr="00330641">
        <w:rPr>
          <w:rFonts w:ascii="ITC Avant Garde" w:hAnsi="ITC Avant Garde"/>
          <w:color w:val="auto"/>
        </w:rPr>
        <w:t xml:space="preserve">de enlaces dedicados que estuvo </w:t>
      </w:r>
      <w:r w:rsidR="00931A9E" w:rsidRPr="00330641">
        <w:rPr>
          <w:rFonts w:ascii="ITC Avant Garde" w:hAnsi="ITC Avant Garde"/>
          <w:color w:val="auto"/>
        </w:rPr>
        <w:t xml:space="preserve">vigente para 2018 en virtud del cambio de metodología de costos aplicada. </w:t>
      </w:r>
    </w:p>
    <w:p w:rsidR="002A67E7" w:rsidRPr="00330641" w:rsidRDefault="002A67E7" w:rsidP="000F58E0">
      <w:pPr>
        <w:spacing w:after="0" w:line="276" w:lineRule="auto"/>
        <w:ind w:left="0" w:right="0" w:firstLine="0"/>
        <w:rPr>
          <w:rFonts w:ascii="ITC Avant Garde" w:hAnsi="ITC Avant Garde" w:cs="Times New Roman"/>
          <w:b/>
          <w:color w:val="auto"/>
        </w:rPr>
      </w:pPr>
    </w:p>
    <w:p w:rsidR="00434B1C" w:rsidRPr="00330641" w:rsidRDefault="00434B1C" w:rsidP="00434B1C">
      <w:pPr>
        <w:spacing w:after="0" w:line="276" w:lineRule="auto"/>
        <w:ind w:left="0" w:right="0" w:firstLine="0"/>
        <w:rPr>
          <w:rFonts w:ascii="ITC Avant Garde" w:hAnsi="ITC Avant Garde"/>
          <w:b/>
          <w:color w:val="auto"/>
          <w:u w:val="single"/>
        </w:rPr>
      </w:pPr>
      <w:r w:rsidRPr="00EB2D95">
        <w:rPr>
          <w:rFonts w:ascii="ITC Avant Garde" w:hAnsi="ITC Avant Garde"/>
          <w:b/>
          <w:color w:val="auto"/>
          <w:u w:val="single"/>
        </w:rPr>
        <w:t>2.6.1 Operación y Mantenimiento</w:t>
      </w:r>
    </w:p>
    <w:p w:rsidR="00313722" w:rsidRPr="00330641" w:rsidRDefault="00313722" w:rsidP="00313722">
      <w:pPr>
        <w:spacing w:after="0" w:line="276" w:lineRule="auto"/>
        <w:ind w:left="0" w:right="0" w:firstLine="0"/>
        <w:rPr>
          <w:rFonts w:ascii="ITC Avant Garde" w:eastAsia="Times New Roman" w:hAnsi="ITC Avant Garde" w:cs="Times New Roman"/>
          <w:b/>
          <w:color w:val="auto"/>
        </w:rPr>
      </w:pPr>
      <w:r w:rsidRPr="00330641">
        <w:rPr>
          <w:rFonts w:ascii="ITC Avant Garde" w:eastAsia="Times New Roman" w:hAnsi="ITC Avant Garde" w:cs="Times New Roman"/>
          <w:b/>
          <w:color w:val="auto"/>
        </w:rPr>
        <w:t>AXTEL:</w:t>
      </w:r>
    </w:p>
    <w:p w:rsidR="00313722" w:rsidRPr="00330641" w:rsidRDefault="005C1833" w:rsidP="00313722">
      <w:pPr>
        <w:spacing w:after="0" w:line="276" w:lineRule="auto"/>
        <w:ind w:left="0" w:right="0" w:firstLine="0"/>
        <w:rPr>
          <w:rFonts w:ascii="ITC Avant Garde" w:eastAsia="Times New Roman" w:hAnsi="ITC Avant Garde" w:cs="Times New Roman"/>
          <w:color w:val="auto"/>
        </w:rPr>
      </w:pPr>
      <w:r>
        <w:rPr>
          <w:rFonts w:ascii="ITC Avant Garde" w:eastAsia="Times New Roman" w:hAnsi="ITC Avant Garde" w:cs="Times New Roman"/>
          <w:color w:val="auto"/>
        </w:rPr>
        <w:t>Solicitó</w:t>
      </w:r>
      <w:r w:rsidR="00313722" w:rsidRPr="00330641">
        <w:rPr>
          <w:rFonts w:ascii="ITC Avant Garde" w:eastAsia="Times New Roman" w:hAnsi="ITC Avant Garde" w:cs="Times New Roman"/>
          <w:color w:val="auto"/>
        </w:rPr>
        <w:t xml:space="preserve"> al Instituto que obligue al AEP que el formato del Acta de Recepción que se encuentra en el “Anexo A” de esta Oferta, sean cargados al SEG una vez que el AEP entregue el servicio y que las características del equipo terminal instalado en el sitio del cliente sean agregados al SEG según corresponda: Marca, modelo y número de serie, por lo menos. </w:t>
      </w:r>
    </w:p>
    <w:p w:rsidR="00313722" w:rsidRPr="00330641" w:rsidRDefault="00313722" w:rsidP="00313722">
      <w:pPr>
        <w:spacing w:after="0" w:line="276" w:lineRule="auto"/>
        <w:ind w:left="0" w:right="0" w:firstLine="0"/>
        <w:rPr>
          <w:rFonts w:ascii="ITC Avant Garde" w:eastAsia="Times New Roman" w:hAnsi="ITC Avant Garde" w:cs="Times New Roman"/>
          <w:color w:val="auto"/>
        </w:rPr>
      </w:pPr>
    </w:p>
    <w:p w:rsidR="00313722" w:rsidRPr="00330641" w:rsidRDefault="00313722" w:rsidP="00313722">
      <w:pPr>
        <w:spacing w:after="0" w:line="276" w:lineRule="auto"/>
        <w:ind w:left="0" w:right="0" w:firstLine="0"/>
        <w:rPr>
          <w:rFonts w:ascii="ITC Avant Garde" w:eastAsia="Times New Roman" w:hAnsi="ITC Avant Garde" w:cs="Times New Roman"/>
          <w:b/>
          <w:color w:val="auto"/>
        </w:rPr>
      </w:pPr>
      <w:r w:rsidRPr="00330641">
        <w:rPr>
          <w:rFonts w:ascii="ITC Avant Garde" w:eastAsia="Times New Roman" w:hAnsi="ITC Avant Garde" w:cs="Times New Roman"/>
          <w:b/>
          <w:color w:val="auto"/>
        </w:rPr>
        <w:t>Consideraciones del Instituto:</w:t>
      </w:r>
    </w:p>
    <w:p w:rsidR="00313722" w:rsidRPr="00330641" w:rsidRDefault="00313722" w:rsidP="00313722">
      <w:pPr>
        <w:autoSpaceDE w:val="0"/>
        <w:autoSpaceDN w:val="0"/>
        <w:spacing w:after="0" w:line="276" w:lineRule="auto"/>
        <w:ind w:left="0" w:right="0"/>
        <w:rPr>
          <w:rFonts w:ascii="ITC Avant Garde" w:hAnsi="ITC Avant Garde" w:cs="Arial"/>
        </w:rPr>
      </w:pPr>
      <w:r w:rsidRPr="00330641">
        <w:rPr>
          <w:rFonts w:ascii="ITC Avant Garde" w:hAnsi="ITC Avant Garde" w:cs="Arial"/>
        </w:rPr>
        <w:t xml:space="preserve">Al respecto se </w:t>
      </w:r>
      <w:r w:rsidR="00EB2D95">
        <w:rPr>
          <w:rFonts w:ascii="ITC Avant Garde" w:hAnsi="ITC Avant Garde" w:cs="Arial"/>
        </w:rPr>
        <w:t>adicionó</w:t>
      </w:r>
      <w:r w:rsidRPr="00330641">
        <w:rPr>
          <w:rFonts w:ascii="ITC Avant Garde" w:hAnsi="ITC Avant Garde" w:cs="Arial"/>
        </w:rPr>
        <w:t xml:space="preserve"> la obligación del AEP para que una vez validado el Servicio, al día hábil siguiente adjunte dicha Acta de Entrega, correo electrónico u otro me</w:t>
      </w:r>
      <w:r w:rsidR="00EB2D95">
        <w:rPr>
          <w:rFonts w:ascii="ITC Avant Garde" w:hAnsi="ITC Avant Garde" w:cs="Arial"/>
        </w:rPr>
        <w:t>dio fehaciente</w:t>
      </w:r>
      <w:r w:rsidRPr="00330641">
        <w:rPr>
          <w:rFonts w:ascii="ITC Avant Garde" w:hAnsi="ITC Avant Garde" w:cs="Arial"/>
        </w:rPr>
        <w:t xml:space="preserve"> mediante el cual se haya validado la entrega del servicio en el SEG.</w:t>
      </w:r>
    </w:p>
    <w:p w:rsidR="00313722" w:rsidRPr="00330641" w:rsidRDefault="00313722" w:rsidP="00313722">
      <w:pPr>
        <w:autoSpaceDE w:val="0"/>
        <w:autoSpaceDN w:val="0"/>
        <w:spacing w:after="0" w:line="276" w:lineRule="auto"/>
        <w:ind w:left="0" w:right="0"/>
        <w:rPr>
          <w:rFonts w:ascii="ITC Avant Garde" w:hAnsi="ITC Avant Garde" w:cs="Arial"/>
        </w:rPr>
      </w:pPr>
    </w:p>
    <w:p w:rsidR="00313722" w:rsidRPr="00330641" w:rsidRDefault="00313722" w:rsidP="00313722">
      <w:pPr>
        <w:autoSpaceDE w:val="0"/>
        <w:autoSpaceDN w:val="0"/>
        <w:spacing w:after="0" w:line="276" w:lineRule="auto"/>
        <w:ind w:left="567" w:right="616"/>
        <w:rPr>
          <w:rFonts w:ascii="ITC Avant Garde" w:hAnsi="ITC Avant Garde" w:cs="Arial"/>
          <w:i/>
          <w:sz w:val="18"/>
        </w:rPr>
      </w:pPr>
      <w:r w:rsidRPr="00330641">
        <w:rPr>
          <w:rFonts w:ascii="ITC Avant Garde" w:hAnsi="ITC Avant Garde" w:cs="Arial"/>
          <w:i/>
          <w:sz w:val="18"/>
        </w:rPr>
        <w:t>“[…]</w:t>
      </w:r>
    </w:p>
    <w:p w:rsidR="00313722" w:rsidRPr="00330641" w:rsidRDefault="00313722" w:rsidP="00313722">
      <w:pPr>
        <w:autoSpaceDE w:val="0"/>
        <w:autoSpaceDN w:val="0"/>
        <w:spacing w:after="0" w:line="276" w:lineRule="auto"/>
        <w:ind w:left="567" w:right="616"/>
        <w:rPr>
          <w:rFonts w:ascii="ITC Avant Garde" w:hAnsi="ITC Avant Garde"/>
          <w:i/>
          <w:sz w:val="18"/>
        </w:rPr>
      </w:pPr>
      <w:r w:rsidRPr="00330641">
        <w:rPr>
          <w:rFonts w:ascii="ITC Avant Garde" w:hAnsi="ITC Avant Garde" w:cs="Arial"/>
          <w:i/>
          <w:sz w:val="18"/>
          <w:lang w:val="es-ES"/>
        </w:rPr>
        <w:t xml:space="preserve">Una vez entregado el servicio, éste se validará a través de la suscripción de un Acta de Entrega, o bien mediante el envío de un correo electrónico, o cualquier medio fehaciente que demuestre la aceptación del servicio, debiendo quedar constancia de dicha aceptación por parte del Concesionario Solicitante o Autorizado Solicitante, de conformidad con el Anexo “A” de la presente Oferta. </w:t>
      </w:r>
      <w:r w:rsidRPr="00330641">
        <w:rPr>
          <w:rFonts w:ascii="ITC Avant Garde" w:hAnsi="ITC Avant Garde" w:cs="Arial"/>
          <w:i/>
          <w:sz w:val="18"/>
          <w:u w:val="single"/>
          <w:lang w:val="es-ES"/>
        </w:rPr>
        <w:t>Una vez validado el Servicio,</w:t>
      </w:r>
      <w:r w:rsidR="005640EA" w:rsidRPr="00330641">
        <w:rPr>
          <w:rFonts w:ascii="ITC Avant Garde" w:hAnsi="ITC Avant Garde" w:cs="Arial"/>
          <w:i/>
          <w:sz w:val="18"/>
          <w:u w:val="single"/>
          <w:lang w:val="es-ES"/>
        </w:rPr>
        <w:t xml:space="preserve"> la División Mayorista de Telmex/</w:t>
      </w:r>
      <w:proofErr w:type="spellStart"/>
      <w:r w:rsidR="005640EA" w:rsidRPr="00330641">
        <w:rPr>
          <w:rFonts w:ascii="ITC Avant Garde" w:hAnsi="ITC Avant Garde" w:cs="Arial"/>
          <w:i/>
          <w:sz w:val="18"/>
          <w:u w:val="single"/>
          <w:lang w:val="es-ES"/>
        </w:rPr>
        <w:t>Telnor</w:t>
      </w:r>
      <w:proofErr w:type="spellEnd"/>
      <w:r w:rsidRPr="00330641">
        <w:rPr>
          <w:rFonts w:ascii="ITC Avant Garde" w:hAnsi="ITC Avant Garde" w:cs="Arial"/>
          <w:i/>
          <w:sz w:val="18"/>
          <w:u w:val="single"/>
          <w:lang w:val="es-ES"/>
        </w:rPr>
        <w:t xml:space="preserve"> al día hábil siguiente adjuntará dicha Acta de Entrega, correo electrónico u otro medio fehaciente en el SEG.”</w:t>
      </w:r>
    </w:p>
    <w:p w:rsidR="00557845" w:rsidRPr="00330641" w:rsidRDefault="005640EA" w:rsidP="00557845">
      <w:pPr>
        <w:spacing w:after="0" w:line="276" w:lineRule="auto"/>
        <w:ind w:left="0" w:right="616" w:firstLine="0"/>
        <w:jc w:val="right"/>
        <w:rPr>
          <w:rFonts w:ascii="ITC Avant Garde" w:eastAsia="Times New Roman" w:hAnsi="ITC Avant Garde" w:cs="Times New Roman"/>
          <w:i/>
          <w:color w:val="auto"/>
          <w:sz w:val="18"/>
          <w:szCs w:val="18"/>
        </w:rPr>
      </w:pPr>
      <w:r w:rsidRPr="00330641">
        <w:rPr>
          <w:rFonts w:ascii="ITC Avant Garde" w:eastAsia="Times New Roman" w:hAnsi="ITC Avant Garde" w:cs="Times New Roman"/>
          <w:i/>
          <w:color w:val="auto"/>
          <w:sz w:val="18"/>
          <w:szCs w:val="18"/>
        </w:rPr>
        <w:t>(</w:t>
      </w:r>
      <w:r w:rsidR="00557845" w:rsidRPr="00330641">
        <w:rPr>
          <w:rFonts w:ascii="ITC Avant Garde" w:eastAsia="Times New Roman" w:hAnsi="ITC Avant Garde" w:cs="Times New Roman"/>
          <w:i/>
          <w:color w:val="auto"/>
          <w:sz w:val="18"/>
          <w:szCs w:val="18"/>
        </w:rPr>
        <w:t>Énfasis añadido</w:t>
      </w:r>
      <w:r w:rsidRPr="00330641">
        <w:rPr>
          <w:rFonts w:ascii="ITC Avant Garde" w:eastAsia="Times New Roman" w:hAnsi="ITC Avant Garde" w:cs="Times New Roman"/>
          <w:i/>
          <w:color w:val="auto"/>
          <w:sz w:val="18"/>
          <w:szCs w:val="18"/>
        </w:rPr>
        <w:t>)</w:t>
      </w:r>
      <w:r w:rsidR="00557845" w:rsidRPr="00330641">
        <w:rPr>
          <w:rFonts w:ascii="ITC Avant Garde" w:eastAsia="Times New Roman" w:hAnsi="ITC Avant Garde" w:cs="Times New Roman"/>
          <w:i/>
          <w:color w:val="auto"/>
          <w:sz w:val="18"/>
          <w:szCs w:val="18"/>
        </w:rPr>
        <w:t>”</w:t>
      </w:r>
    </w:p>
    <w:p w:rsidR="00661A44" w:rsidRPr="00330641" w:rsidRDefault="00661A44" w:rsidP="00661A44">
      <w:pPr>
        <w:pStyle w:val="IFTnormal"/>
        <w:spacing w:after="0"/>
        <w:ind w:left="0"/>
        <w:rPr>
          <w:rFonts w:eastAsiaTheme="majorEastAsia"/>
          <w:b/>
          <w:u w:val="single"/>
        </w:rPr>
      </w:pPr>
      <w:r w:rsidRPr="00330641">
        <w:rPr>
          <w:rFonts w:eastAsiaTheme="majorEastAsia"/>
          <w:b/>
          <w:u w:val="single"/>
        </w:rPr>
        <w:t>2.6.2.</w:t>
      </w:r>
    </w:p>
    <w:p w:rsidR="00661A44" w:rsidRPr="00330641" w:rsidRDefault="00661A44" w:rsidP="00EC3F16">
      <w:pPr>
        <w:spacing w:after="0" w:line="276" w:lineRule="auto"/>
        <w:ind w:left="0" w:right="0" w:firstLine="0"/>
        <w:rPr>
          <w:rFonts w:ascii="ITC Avant Garde" w:eastAsiaTheme="majorEastAsia" w:hAnsi="ITC Avant Garde" w:cstheme="majorBidi"/>
          <w:b/>
          <w:color w:val="auto"/>
          <w:lang w:val="es-ES_tradnl"/>
        </w:rPr>
      </w:pPr>
      <w:r w:rsidRPr="00330641">
        <w:rPr>
          <w:rFonts w:ascii="ITC Avant Garde" w:hAnsi="ITC Avant Garde"/>
          <w:b/>
          <w:color w:val="auto"/>
        </w:rPr>
        <w:t xml:space="preserve">GRUPO AT&amp;T: </w:t>
      </w:r>
    </w:p>
    <w:p w:rsidR="00661A44" w:rsidRDefault="0012211F" w:rsidP="000F58E0">
      <w:pPr>
        <w:spacing w:after="0" w:line="276" w:lineRule="auto"/>
        <w:ind w:left="0" w:right="0" w:firstLine="0"/>
        <w:outlineLvl w:val="0"/>
        <w:rPr>
          <w:rFonts w:ascii="ITC Avant Garde" w:eastAsiaTheme="majorEastAsia" w:hAnsi="ITC Avant Garde" w:cstheme="majorBidi"/>
          <w:color w:val="auto"/>
          <w:lang w:val="es-ES_tradnl"/>
        </w:rPr>
      </w:pPr>
      <w:r>
        <w:rPr>
          <w:rFonts w:ascii="ITC Avant Garde" w:eastAsiaTheme="majorEastAsia" w:hAnsi="ITC Avant Garde" w:cstheme="majorBidi"/>
          <w:color w:val="auto"/>
          <w:lang w:val="es-ES_tradnl"/>
        </w:rPr>
        <w:t>Señaló</w:t>
      </w:r>
      <w:r w:rsidR="00661A44" w:rsidRPr="00330641">
        <w:rPr>
          <w:rFonts w:ascii="ITC Avant Garde" w:eastAsiaTheme="majorEastAsia" w:hAnsi="ITC Avant Garde" w:cstheme="majorBidi"/>
          <w:color w:val="auto"/>
          <w:lang w:val="es-ES_tradnl"/>
        </w:rPr>
        <w:t xml:space="preserve"> que los tiempos de la ORE vigente son razonables, por lo que se deben de mantener, ya que no hay razón justificable para aumentarlos.</w:t>
      </w:r>
    </w:p>
    <w:p w:rsidR="00EB2D95" w:rsidRDefault="00EB2D95" w:rsidP="00A40F4D">
      <w:pPr>
        <w:spacing w:after="0" w:line="276" w:lineRule="auto"/>
        <w:ind w:left="0" w:right="0" w:firstLine="0"/>
        <w:outlineLvl w:val="0"/>
        <w:rPr>
          <w:rFonts w:ascii="ITC Avant Garde" w:eastAsia="Times New Roman" w:hAnsi="ITC Avant Garde" w:cs="Times New Roman"/>
          <w:b/>
          <w:color w:val="auto"/>
          <w:lang w:val="es-ES_tradnl"/>
        </w:rPr>
      </w:pPr>
    </w:p>
    <w:p w:rsidR="00A40F4D" w:rsidRPr="00330641" w:rsidRDefault="00136088" w:rsidP="00A40F4D">
      <w:pPr>
        <w:spacing w:after="0" w:line="276" w:lineRule="auto"/>
        <w:ind w:left="0" w:right="0" w:firstLine="0"/>
        <w:outlineLvl w:val="0"/>
        <w:rPr>
          <w:rFonts w:ascii="ITC Avant Garde" w:eastAsia="Times New Roman" w:hAnsi="ITC Avant Garde" w:cs="Times New Roman"/>
          <w:b/>
          <w:color w:val="auto"/>
          <w:lang w:val="es-ES_tradnl"/>
        </w:rPr>
      </w:pPr>
      <w:r w:rsidRPr="00330641">
        <w:rPr>
          <w:rFonts w:ascii="ITC Avant Garde" w:eastAsia="Times New Roman" w:hAnsi="ITC Avant Garde" w:cs="Times New Roman"/>
          <w:b/>
          <w:color w:val="auto"/>
          <w:lang w:val="es-ES_tradnl"/>
        </w:rPr>
        <w:t>AXTEL:</w:t>
      </w:r>
    </w:p>
    <w:p w:rsidR="00A40F4D" w:rsidRPr="00330641" w:rsidRDefault="0012211F" w:rsidP="00A40F4D">
      <w:pPr>
        <w:spacing w:after="0" w:line="276" w:lineRule="auto"/>
        <w:ind w:left="0" w:right="0" w:firstLine="0"/>
        <w:outlineLvl w:val="0"/>
        <w:rPr>
          <w:rFonts w:ascii="ITC Avant Garde" w:eastAsia="Times New Roman" w:hAnsi="ITC Avant Garde" w:cs="Times New Roman"/>
          <w:color w:val="auto"/>
          <w:lang w:val="es-ES_tradnl"/>
        </w:rPr>
      </w:pPr>
      <w:r>
        <w:rPr>
          <w:rFonts w:ascii="ITC Avant Garde" w:eastAsia="Times New Roman" w:hAnsi="ITC Avant Garde" w:cs="Times New Roman"/>
          <w:color w:val="auto"/>
          <w:lang w:val="es-ES_tradnl"/>
        </w:rPr>
        <w:t>Manifestó</w:t>
      </w:r>
      <w:r w:rsidR="00A40F4D" w:rsidRPr="00330641">
        <w:rPr>
          <w:rFonts w:ascii="ITC Avant Garde" w:eastAsia="Times New Roman" w:hAnsi="ITC Avant Garde" w:cs="Times New Roman"/>
          <w:color w:val="auto"/>
          <w:lang w:val="es-ES_tradnl"/>
        </w:rPr>
        <w:t xml:space="preserve"> que el AEP ha propuesto plazos para la reparación de fallas superiores a los plazos establecidos en la oferta vigente, por lo que </w:t>
      </w:r>
      <w:r w:rsidR="005C1833">
        <w:rPr>
          <w:rFonts w:ascii="ITC Avant Garde" w:eastAsia="Times New Roman" w:hAnsi="ITC Avant Garde" w:cs="Times New Roman"/>
          <w:color w:val="auto"/>
          <w:lang w:val="es-ES_tradnl"/>
        </w:rPr>
        <w:t>solicitó</w:t>
      </w:r>
      <w:r w:rsidR="00A40F4D" w:rsidRPr="00330641">
        <w:rPr>
          <w:rFonts w:ascii="ITC Avant Garde" w:eastAsia="Times New Roman" w:hAnsi="ITC Avant Garde" w:cs="Times New Roman"/>
          <w:color w:val="auto"/>
          <w:lang w:val="es-ES_tradnl"/>
        </w:rPr>
        <w:t xml:space="preserve"> se reestablezcan como mínimo conforme a la oferta vigente en consideración a lo definido en la </w:t>
      </w:r>
      <w:r w:rsidR="00136088" w:rsidRPr="00330641">
        <w:rPr>
          <w:rFonts w:ascii="ITC Avant Garde" w:eastAsia="Times New Roman" w:hAnsi="ITC Avant Garde" w:cs="Times New Roman"/>
          <w:color w:val="auto"/>
          <w:lang w:val="es-ES_tradnl"/>
        </w:rPr>
        <w:t>M</w:t>
      </w:r>
      <w:r w:rsidR="00A40F4D" w:rsidRPr="00330641">
        <w:rPr>
          <w:rFonts w:ascii="ITC Avant Garde" w:eastAsia="Times New Roman" w:hAnsi="ITC Avant Garde" w:cs="Times New Roman"/>
          <w:color w:val="auto"/>
          <w:lang w:val="es-ES_tradnl"/>
        </w:rPr>
        <w:t xml:space="preserve">edida </w:t>
      </w:r>
      <w:r w:rsidR="00136088" w:rsidRPr="00330641">
        <w:rPr>
          <w:rFonts w:ascii="ITC Avant Garde" w:eastAsia="Times New Roman" w:hAnsi="ITC Avant Garde" w:cs="Times New Roman"/>
          <w:color w:val="auto"/>
          <w:lang w:val="es-ES_tradnl"/>
        </w:rPr>
        <w:t>V</w:t>
      </w:r>
      <w:r w:rsidR="00A40F4D" w:rsidRPr="00330641">
        <w:rPr>
          <w:rFonts w:ascii="ITC Avant Garde" w:eastAsia="Times New Roman" w:hAnsi="ITC Avant Garde" w:cs="Times New Roman"/>
          <w:color w:val="auto"/>
          <w:lang w:val="es-ES_tradnl"/>
        </w:rPr>
        <w:t>igésima del anexo 2 de las medidas de preponderancia.</w:t>
      </w:r>
    </w:p>
    <w:p w:rsidR="00136088" w:rsidRPr="00330641" w:rsidRDefault="00136088" w:rsidP="00A40F4D">
      <w:pPr>
        <w:spacing w:after="0" w:line="276" w:lineRule="auto"/>
        <w:ind w:left="0" w:right="0" w:firstLine="0"/>
        <w:outlineLvl w:val="0"/>
        <w:rPr>
          <w:rFonts w:ascii="ITC Avant Garde" w:eastAsia="Times New Roman" w:hAnsi="ITC Avant Garde" w:cs="Times New Roman"/>
          <w:color w:val="auto"/>
          <w:lang w:val="es-ES_tradnl"/>
        </w:rPr>
      </w:pPr>
    </w:p>
    <w:p w:rsidR="00A40F4D" w:rsidRPr="00330641" w:rsidRDefault="00A40F4D" w:rsidP="00A40F4D">
      <w:pPr>
        <w:spacing w:after="0" w:line="276" w:lineRule="auto"/>
        <w:ind w:left="0" w:right="0" w:firstLine="0"/>
        <w:outlineLvl w:val="0"/>
        <w:rPr>
          <w:rFonts w:ascii="ITC Avant Garde" w:eastAsia="Times New Roman" w:hAnsi="ITC Avant Garde" w:cs="Times New Roman"/>
          <w:color w:val="auto"/>
          <w:lang w:val="es-ES_tradnl"/>
        </w:rPr>
      </w:pPr>
      <w:r w:rsidRPr="00330641">
        <w:rPr>
          <w:rFonts w:ascii="ITC Avant Garde" w:eastAsia="Times New Roman" w:hAnsi="ITC Avant Garde" w:cs="Times New Roman"/>
          <w:color w:val="auto"/>
          <w:lang w:val="es-ES_tradnl"/>
        </w:rPr>
        <w:t xml:space="preserve">Asimismo, </w:t>
      </w:r>
      <w:r w:rsidR="005C1833">
        <w:rPr>
          <w:rFonts w:ascii="ITC Avant Garde" w:eastAsia="Times New Roman" w:hAnsi="ITC Avant Garde" w:cs="Times New Roman"/>
          <w:color w:val="auto"/>
          <w:lang w:val="es-ES_tradnl"/>
        </w:rPr>
        <w:t>s</w:t>
      </w:r>
      <w:r w:rsidR="0012211F">
        <w:rPr>
          <w:rFonts w:ascii="ITC Avant Garde" w:eastAsia="Times New Roman" w:hAnsi="ITC Avant Garde" w:cs="Times New Roman"/>
          <w:color w:val="auto"/>
          <w:lang w:val="es-ES_tradnl"/>
        </w:rPr>
        <w:t>eñaló</w:t>
      </w:r>
      <w:r w:rsidRPr="00330641">
        <w:rPr>
          <w:rFonts w:ascii="ITC Avant Garde" w:eastAsia="Times New Roman" w:hAnsi="ITC Avant Garde" w:cs="Times New Roman"/>
          <w:color w:val="auto"/>
          <w:lang w:val="es-ES_tradnl"/>
        </w:rPr>
        <w:t xml:space="preserve"> que en la </w:t>
      </w:r>
      <w:r w:rsidR="002C355C" w:rsidRPr="00330641">
        <w:rPr>
          <w:rFonts w:ascii="ITC Avant Garde" w:eastAsia="Times New Roman" w:hAnsi="ITC Avant Garde" w:cs="Times New Roman"/>
          <w:color w:val="auto"/>
          <w:lang w:val="es-ES_tradnl"/>
        </w:rPr>
        <w:t>M</w:t>
      </w:r>
      <w:r w:rsidRPr="00330641">
        <w:rPr>
          <w:rFonts w:ascii="ITC Avant Garde" w:eastAsia="Times New Roman" w:hAnsi="ITC Avant Garde" w:cs="Times New Roman"/>
          <w:color w:val="auto"/>
          <w:lang w:val="es-ES_tradnl"/>
        </w:rPr>
        <w:t xml:space="preserve">edida </w:t>
      </w:r>
      <w:r w:rsidR="002C355C" w:rsidRPr="00330641">
        <w:rPr>
          <w:rFonts w:ascii="ITC Avant Garde" w:eastAsia="Times New Roman" w:hAnsi="ITC Avant Garde" w:cs="Times New Roman"/>
          <w:color w:val="auto"/>
          <w:lang w:val="es-ES_tradnl"/>
        </w:rPr>
        <w:t>C</w:t>
      </w:r>
      <w:r w:rsidRPr="00330641">
        <w:rPr>
          <w:rFonts w:ascii="ITC Avant Garde" w:eastAsia="Times New Roman" w:hAnsi="ITC Avant Garde" w:cs="Times New Roman"/>
          <w:color w:val="auto"/>
          <w:lang w:val="es-ES_tradnl"/>
        </w:rPr>
        <w:t xml:space="preserve">uadragésima </w:t>
      </w:r>
      <w:r w:rsidR="002C355C" w:rsidRPr="00330641">
        <w:rPr>
          <w:rFonts w:ascii="ITC Avant Garde" w:eastAsia="Times New Roman" w:hAnsi="ITC Avant Garde" w:cs="Times New Roman"/>
          <w:color w:val="auto"/>
          <w:lang w:val="es-ES_tradnl"/>
        </w:rPr>
        <w:t>S</w:t>
      </w:r>
      <w:r w:rsidRPr="00330641">
        <w:rPr>
          <w:rFonts w:ascii="ITC Avant Garde" w:eastAsia="Times New Roman" w:hAnsi="ITC Avant Garde" w:cs="Times New Roman"/>
          <w:color w:val="auto"/>
          <w:lang w:val="es-ES_tradnl"/>
        </w:rPr>
        <w:t xml:space="preserve">egunda se establece que las condiciones de la oferta de referencia propuesta deben ser al menos equivalentes a la oferta vigente, lo cual </w:t>
      </w:r>
      <w:r w:rsidR="002C355C" w:rsidRPr="00330641">
        <w:rPr>
          <w:rFonts w:ascii="ITC Avant Garde" w:eastAsia="Times New Roman" w:hAnsi="ITC Avant Garde" w:cs="Times New Roman"/>
          <w:color w:val="auto"/>
          <w:lang w:val="es-ES_tradnl"/>
        </w:rPr>
        <w:t xml:space="preserve">no </w:t>
      </w:r>
      <w:r w:rsidRPr="00330641">
        <w:rPr>
          <w:rFonts w:ascii="ITC Avant Garde" w:eastAsia="Times New Roman" w:hAnsi="ITC Avant Garde" w:cs="Times New Roman"/>
          <w:color w:val="auto"/>
          <w:lang w:val="es-ES_tradnl"/>
        </w:rPr>
        <w:t xml:space="preserve">resulta ser razonable </w:t>
      </w:r>
      <w:r w:rsidR="002C355C" w:rsidRPr="00330641">
        <w:rPr>
          <w:rFonts w:ascii="ITC Avant Garde" w:eastAsia="Times New Roman" w:hAnsi="ITC Avant Garde" w:cs="Times New Roman"/>
          <w:color w:val="auto"/>
          <w:lang w:val="es-ES_tradnl"/>
        </w:rPr>
        <w:t>la desmejora de los plazos para la atención de fallas</w:t>
      </w:r>
      <w:r w:rsidRPr="00330641">
        <w:rPr>
          <w:rFonts w:ascii="ITC Avant Garde" w:eastAsia="Times New Roman" w:hAnsi="ITC Avant Garde" w:cs="Times New Roman"/>
          <w:color w:val="auto"/>
          <w:lang w:val="es-ES_tradnl"/>
        </w:rPr>
        <w:t>.</w:t>
      </w:r>
    </w:p>
    <w:p w:rsidR="00A40F4D" w:rsidRPr="00330641" w:rsidRDefault="00A40F4D" w:rsidP="00A40F4D">
      <w:pPr>
        <w:spacing w:after="0" w:line="276" w:lineRule="auto"/>
        <w:ind w:left="0" w:right="0" w:firstLine="0"/>
        <w:outlineLvl w:val="0"/>
        <w:rPr>
          <w:rFonts w:ascii="ITC Avant Garde" w:eastAsia="Times New Roman" w:hAnsi="ITC Avant Garde" w:cs="Times New Roman"/>
          <w:color w:val="auto"/>
          <w:lang w:val="es-ES_tradnl"/>
        </w:rPr>
      </w:pPr>
    </w:p>
    <w:p w:rsidR="001E64BA" w:rsidRDefault="00A40F4D" w:rsidP="00225FAB">
      <w:pPr>
        <w:spacing w:after="0" w:line="276" w:lineRule="auto"/>
        <w:ind w:left="0" w:right="0" w:firstLine="0"/>
        <w:outlineLvl w:val="0"/>
        <w:rPr>
          <w:rFonts w:ascii="ITC Avant Garde" w:eastAsia="Times New Roman" w:hAnsi="ITC Avant Garde" w:cs="Times New Roman"/>
          <w:color w:val="auto"/>
          <w:lang w:val="es-ES_tradnl"/>
        </w:rPr>
      </w:pPr>
      <w:r w:rsidRPr="00330641">
        <w:rPr>
          <w:rFonts w:ascii="ITC Avant Garde" w:eastAsia="Times New Roman" w:hAnsi="ITC Avant Garde" w:cs="Times New Roman"/>
          <w:color w:val="auto"/>
          <w:lang w:val="es-ES_tradnl"/>
        </w:rPr>
        <w:t xml:space="preserve">Por otro lado, Axtel </w:t>
      </w:r>
      <w:r w:rsidR="005C1833">
        <w:rPr>
          <w:rFonts w:ascii="ITC Avant Garde" w:eastAsia="Times New Roman" w:hAnsi="ITC Avant Garde" w:cs="Times New Roman"/>
          <w:color w:val="auto"/>
          <w:lang w:val="es-ES_tradnl"/>
        </w:rPr>
        <w:t>argumentó</w:t>
      </w:r>
      <w:r w:rsidRPr="00330641">
        <w:rPr>
          <w:rFonts w:ascii="ITC Avant Garde" w:eastAsia="Times New Roman" w:hAnsi="ITC Avant Garde" w:cs="Times New Roman"/>
          <w:color w:val="auto"/>
          <w:lang w:val="es-ES_tradnl"/>
        </w:rPr>
        <w:t xml:space="preserve"> que el primer porcentaje de volumen de fallas debe partir de las horas que se encuentran establecidas en la oferta vigente</w:t>
      </w:r>
      <w:r w:rsidR="00225FAB">
        <w:rPr>
          <w:rFonts w:ascii="ITC Avant Garde" w:eastAsia="Times New Roman" w:hAnsi="ITC Avant Garde" w:cs="Times New Roman"/>
          <w:color w:val="auto"/>
          <w:lang w:val="es-ES_tradnl"/>
        </w:rPr>
        <w:t>.</w:t>
      </w:r>
    </w:p>
    <w:p w:rsidR="00225FAB" w:rsidRPr="00330641" w:rsidRDefault="00225FAB" w:rsidP="00225FAB">
      <w:pPr>
        <w:spacing w:after="0" w:line="276" w:lineRule="auto"/>
        <w:ind w:left="0" w:right="0" w:firstLine="0"/>
        <w:outlineLvl w:val="0"/>
        <w:rPr>
          <w:rFonts w:ascii="ITC Avant Garde" w:eastAsiaTheme="majorEastAsia" w:hAnsi="ITC Avant Garde" w:cstheme="majorBidi"/>
          <w:b/>
          <w:color w:val="auto"/>
          <w:lang w:val="es-ES_tradnl"/>
        </w:rPr>
      </w:pPr>
    </w:p>
    <w:p w:rsidR="00557845" w:rsidRPr="00330641" w:rsidRDefault="00557845" w:rsidP="00557845">
      <w:pPr>
        <w:spacing w:after="0" w:line="276" w:lineRule="auto"/>
        <w:ind w:left="0" w:right="0" w:firstLine="0"/>
        <w:rPr>
          <w:rFonts w:ascii="ITC Avant Garde" w:eastAsia="Times New Roman" w:hAnsi="ITC Avant Garde" w:cs="Times New Roman"/>
          <w:b/>
          <w:color w:val="auto"/>
        </w:rPr>
      </w:pPr>
      <w:r w:rsidRPr="00330641">
        <w:rPr>
          <w:rFonts w:ascii="ITC Avant Garde" w:eastAsia="Times New Roman" w:hAnsi="ITC Avant Garde" w:cs="Times New Roman"/>
          <w:b/>
          <w:color w:val="auto"/>
        </w:rPr>
        <w:t>Consideraciones del Instituto:</w:t>
      </w:r>
    </w:p>
    <w:p w:rsidR="005B2655" w:rsidRPr="00330641" w:rsidRDefault="005B2655" w:rsidP="005B2655">
      <w:pPr>
        <w:spacing w:after="0" w:line="276" w:lineRule="auto"/>
        <w:ind w:left="0" w:right="0" w:firstLine="0"/>
        <w:rPr>
          <w:rFonts w:ascii="ITC Avant Garde" w:hAnsi="ITC Avant Garde"/>
          <w:color w:val="auto"/>
        </w:rPr>
      </w:pPr>
      <w:r w:rsidRPr="00330641">
        <w:rPr>
          <w:rFonts w:ascii="ITC Avant Garde" w:hAnsi="ITC Avant Garde"/>
          <w:color w:val="auto"/>
        </w:rPr>
        <w:t xml:space="preserve">De conformidad con la Medida Cuadragésima Primera de las Medidas Fijas, </w:t>
      </w:r>
      <w:r w:rsidR="00225FAB">
        <w:rPr>
          <w:rFonts w:ascii="ITC Avant Garde" w:hAnsi="ITC Avant Garde"/>
          <w:color w:val="auto"/>
        </w:rPr>
        <w:t>se modificaron</w:t>
      </w:r>
      <w:r w:rsidRPr="00330641">
        <w:rPr>
          <w:rFonts w:ascii="ITC Avant Garde" w:hAnsi="ITC Avant Garde"/>
          <w:color w:val="auto"/>
        </w:rPr>
        <w:t xml:space="preserve"> los plazos máximos de reparación de fallas conforme a los establecidos en la Medida Vigésima de las Medidas Fijas. </w:t>
      </w:r>
    </w:p>
    <w:p w:rsidR="00557845" w:rsidRPr="00330641" w:rsidRDefault="00557845" w:rsidP="000F58E0">
      <w:pPr>
        <w:spacing w:after="0" w:line="276" w:lineRule="auto"/>
        <w:ind w:left="0" w:right="0" w:firstLine="0"/>
        <w:outlineLvl w:val="0"/>
        <w:rPr>
          <w:rFonts w:ascii="ITC Avant Garde" w:eastAsiaTheme="majorEastAsia" w:hAnsi="ITC Avant Garde" w:cstheme="majorBidi"/>
          <w:b/>
          <w:color w:val="auto"/>
          <w:lang w:val="es-ES_tradnl"/>
        </w:rPr>
      </w:pPr>
    </w:p>
    <w:p w:rsidR="00DA60CB" w:rsidRPr="00330641" w:rsidRDefault="00DA60CB" w:rsidP="000F58E0">
      <w:pPr>
        <w:pStyle w:val="IFTnormal"/>
        <w:spacing w:after="0"/>
        <w:ind w:left="0"/>
        <w:rPr>
          <w:rFonts w:eastAsiaTheme="majorEastAsia"/>
          <w:b/>
          <w:u w:val="single"/>
        </w:rPr>
      </w:pPr>
      <w:r w:rsidRPr="00330641">
        <w:rPr>
          <w:rFonts w:eastAsiaTheme="majorEastAsia"/>
          <w:b/>
          <w:u w:val="single"/>
        </w:rPr>
        <w:t>2.6.4</w:t>
      </w:r>
      <w:r w:rsidR="00934D06" w:rsidRPr="00330641">
        <w:rPr>
          <w:rFonts w:eastAsiaTheme="majorEastAsia"/>
          <w:b/>
          <w:u w:val="single"/>
        </w:rPr>
        <w:t>.</w:t>
      </w:r>
    </w:p>
    <w:p w:rsidR="00CC6061" w:rsidRPr="00330641" w:rsidRDefault="00CD7852" w:rsidP="000F58E0">
      <w:pPr>
        <w:spacing w:after="0" w:line="276" w:lineRule="auto"/>
        <w:ind w:left="0" w:right="0" w:firstLine="0"/>
        <w:rPr>
          <w:rFonts w:ascii="ITC Avant Garde" w:hAnsi="ITC Avant Garde"/>
          <w:b/>
          <w:color w:val="auto"/>
        </w:rPr>
      </w:pPr>
      <w:r w:rsidRPr="00330641">
        <w:rPr>
          <w:rFonts w:ascii="ITC Avant Garde" w:hAnsi="ITC Avant Garde"/>
          <w:b/>
          <w:color w:val="auto"/>
        </w:rPr>
        <w:t>GRUPO AT&amp;T</w:t>
      </w:r>
      <w:r w:rsidR="000707CE" w:rsidRPr="00330641">
        <w:rPr>
          <w:rFonts w:ascii="ITC Avant Garde" w:hAnsi="ITC Avant Garde"/>
          <w:b/>
          <w:color w:val="auto"/>
        </w:rPr>
        <w:t>:</w:t>
      </w:r>
      <w:r w:rsidR="00EF0AA6" w:rsidRPr="00330641">
        <w:rPr>
          <w:rFonts w:ascii="ITC Avant Garde" w:hAnsi="ITC Avant Garde"/>
          <w:b/>
          <w:color w:val="auto"/>
        </w:rPr>
        <w:t xml:space="preserve"> </w:t>
      </w:r>
    </w:p>
    <w:p w:rsidR="00D636CA" w:rsidRPr="00330641" w:rsidRDefault="00441E2D" w:rsidP="000F58E0">
      <w:pPr>
        <w:spacing w:after="0" w:line="276" w:lineRule="auto"/>
        <w:ind w:left="0" w:right="0" w:firstLine="0"/>
        <w:rPr>
          <w:rFonts w:ascii="ITC Avant Garde" w:hAnsi="ITC Avant Garde"/>
          <w:color w:val="auto"/>
        </w:rPr>
      </w:pPr>
      <w:r w:rsidRPr="00330641">
        <w:rPr>
          <w:rFonts w:ascii="ITC Avant Garde" w:hAnsi="ITC Avant Garde"/>
          <w:color w:val="auto"/>
        </w:rPr>
        <w:t>Con respecto al inciso b) de</w:t>
      </w:r>
      <w:r w:rsidR="00931A9E" w:rsidRPr="00330641">
        <w:rPr>
          <w:rFonts w:ascii="ITC Avant Garde" w:hAnsi="ITC Avant Garde"/>
          <w:color w:val="auto"/>
        </w:rPr>
        <w:t>l</w:t>
      </w:r>
      <w:r w:rsidRPr="00330641">
        <w:rPr>
          <w:rFonts w:ascii="ITC Avant Garde" w:hAnsi="ITC Avant Garde"/>
          <w:color w:val="auto"/>
        </w:rPr>
        <w:t xml:space="preserve"> numeral 2.6.</w:t>
      </w:r>
      <w:r w:rsidR="002575A3" w:rsidRPr="00330641">
        <w:rPr>
          <w:rFonts w:ascii="ITC Avant Garde" w:hAnsi="ITC Avant Garde"/>
          <w:color w:val="auto"/>
        </w:rPr>
        <w:t>4</w:t>
      </w:r>
      <w:r w:rsidR="00931A9E" w:rsidRPr="00330641">
        <w:rPr>
          <w:rFonts w:ascii="ITC Avant Garde" w:hAnsi="ITC Avant Garde"/>
          <w:color w:val="auto"/>
        </w:rPr>
        <w:t>,</w:t>
      </w:r>
      <w:r w:rsidRPr="00330641">
        <w:rPr>
          <w:rFonts w:ascii="ITC Avant Garde" w:hAnsi="ITC Avant Garde"/>
          <w:color w:val="auto"/>
        </w:rPr>
        <w:t xml:space="preserve"> </w:t>
      </w:r>
      <w:r w:rsidR="005C1833">
        <w:rPr>
          <w:rFonts w:ascii="ITC Avant Garde" w:hAnsi="ITC Avant Garde"/>
          <w:color w:val="auto"/>
        </w:rPr>
        <w:t>s</w:t>
      </w:r>
      <w:r w:rsidR="0012211F">
        <w:rPr>
          <w:rFonts w:ascii="ITC Avant Garde" w:hAnsi="ITC Avant Garde"/>
          <w:color w:val="auto"/>
        </w:rPr>
        <w:t>eñaló</w:t>
      </w:r>
      <w:r w:rsidRPr="00330641">
        <w:rPr>
          <w:rFonts w:ascii="ITC Avant Garde" w:hAnsi="ITC Avant Garde"/>
          <w:color w:val="auto"/>
        </w:rPr>
        <w:t xml:space="preserve"> que</w:t>
      </w:r>
      <w:r w:rsidR="000707CE" w:rsidRPr="00330641">
        <w:rPr>
          <w:rFonts w:ascii="ITC Avant Garde" w:hAnsi="ITC Avant Garde"/>
          <w:color w:val="auto"/>
        </w:rPr>
        <w:t xml:space="preserve"> resulta necesario</w:t>
      </w:r>
      <w:r w:rsidRPr="00330641">
        <w:rPr>
          <w:rFonts w:ascii="ITC Avant Garde" w:hAnsi="ITC Avant Garde"/>
          <w:color w:val="auto"/>
        </w:rPr>
        <w:t xml:space="preserve"> es</w:t>
      </w:r>
      <w:r w:rsidR="000707CE" w:rsidRPr="00330641">
        <w:rPr>
          <w:rFonts w:ascii="ITC Avant Garde" w:hAnsi="ITC Avant Garde"/>
          <w:color w:val="auto"/>
        </w:rPr>
        <w:t>tablecer</w:t>
      </w:r>
      <w:r w:rsidRPr="00330641">
        <w:rPr>
          <w:rFonts w:ascii="ITC Avant Garde" w:hAnsi="ITC Avant Garde"/>
          <w:color w:val="auto"/>
        </w:rPr>
        <w:t xml:space="preserve"> que cuando se presenten causas de fuerza mayor que interrumpan la prestación de los servicios, Telmex</w:t>
      </w:r>
      <w:r w:rsidR="00EF0AA6" w:rsidRPr="00330641">
        <w:rPr>
          <w:rFonts w:ascii="ITC Avant Garde" w:hAnsi="ITC Avant Garde"/>
          <w:color w:val="auto"/>
        </w:rPr>
        <w:t xml:space="preserve"> </w:t>
      </w:r>
      <w:r w:rsidRPr="00330641">
        <w:rPr>
          <w:rFonts w:ascii="ITC Avant Garde" w:hAnsi="ITC Avant Garde"/>
          <w:color w:val="auto"/>
        </w:rPr>
        <w:t xml:space="preserve">descontará de la renta la parte proporcional de los mismos que no fueron prestados. </w:t>
      </w:r>
      <w:r w:rsidR="0012211F">
        <w:rPr>
          <w:rFonts w:ascii="ITC Avant Garde" w:hAnsi="ITC Avant Garde"/>
          <w:color w:val="auto"/>
        </w:rPr>
        <w:t>Manifestó</w:t>
      </w:r>
      <w:r w:rsidR="002244F5" w:rsidRPr="00330641">
        <w:rPr>
          <w:rFonts w:ascii="ITC Avant Garde" w:hAnsi="ITC Avant Garde"/>
          <w:color w:val="auto"/>
        </w:rPr>
        <w:t xml:space="preserve"> que</w:t>
      </w:r>
      <w:r w:rsidR="007E04D0" w:rsidRPr="00330641">
        <w:rPr>
          <w:rFonts w:ascii="ITC Avant Garde" w:hAnsi="ITC Avant Garde"/>
          <w:color w:val="auto"/>
        </w:rPr>
        <w:t xml:space="preserve"> </w:t>
      </w:r>
      <w:r w:rsidRPr="00330641">
        <w:rPr>
          <w:rFonts w:ascii="ITC Avant Garde" w:hAnsi="ITC Avant Garde"/>
          <w:color w:val="auto"/>
        </w:rPr>
        <w:t xml:space="preserve">lo anterior </w:t>
      </w:r>
      <w:r w:rsidR="007E04D0" w:rsidRPr="00330641">
        <w:rPr>
          <w:rFonts w:ascii="ITC Avant Garde" w:hAnsi="ITC Avant Garde"/>
          <w:color w:val="auto"/>
        </w:rPr>
        <w:t xml:space="preserve">es </w:t>
      </w:r>
      <w:r w:rsidR="00D636CA" w:rsidRPr="00330641">
        <w:rPr>
          <w:rFonts w:ascii="ITC Avant Garde" w:hAnsi="ITC Avant Garde"/>
          <w:color w:val="auto"/>
        </w:rPr>
        <w:t>una</w:t>
      </w:r>
      <w:r w:rsidR="007E04D0" w:rsidRPr="00330641">
        <w:rPr>
          <w:rFonts w:ascii="ITC Avant Garde" w:hAnsi="ITC Avant Garde"/>
          <w:color w:val="auto"/>
        </w:rPr>
        <w:t xml:space="preserve"> práctica normal de </w:t>
      </w:r>
      <w:r w:rsidR="002244F5" w:rsidRPr="00330641">
        <w:rPr>
          <w:rFonts w:ascii="ITC Avant Garde" w:hAnsi="ITC Avant Garde"/>
          <w:color w:val="auto"/>
        </w:rPr>
        <w:t>la</w:t>
      </w:r>
      <w:r w:rsidR="007E04D0" w:rsidRPr="00330641">
        <w:rPr>
          <w:rFonts w:ascii="ITC Avant Garde" w:hAnsi="ITC Avant Garde"/>
          <w:color w:val="auto"/>
        </w:rPr>
        <w:t xml:space="preserve"> industria </w:t>
      </w:r>
      <w:r w:rsidR="00D636CA" w:rsidRPr="00330641">
        <w:rPr>
          <w:rFonts w:ascii="ITC Avant Garde" w:hAnsi="ITC Avant Garde"/>
          <w:color w:val="auto"/>
        </w:rPr>
        <w:t xml:space="preserve">en la prestación de los servicios tanto a usuarios finales como entre operadores, no se considera una penalidad, simplemente no puede cobrarse por servicios que no se prestan. </w:t>
      </w:r>
      <w:r w:rsidR="0012211F">
        <w:rPr>
          <w:rFonts w:ascii="ITC Avant Garde" w:hAnsi="ITC Avant Garde"/>
          <w:color w:val="auto"/>
        </w:rPr>
        <w:t>Señaló</w:t>
      </w:r>
      <w:r w:rsidR="00D636CA" w:rsidRPr="00330641">
        <w:rPr>
          <w:rFonts w:ascii="ITC Avant Garde" w:hAnsi="ITC Avant Garde"/>
          <w:color w:val="auto"/>
        </w:rPr>
        <w:t xml:space="preserve"> que esto mismo debe aplicar por causas imputables a terceros. </w:t>
      </w:r>
    </w:p>
    <w:p w:rsidR="00B25D3A" w:rsidRPr="00330641" w:rsidRDefault="00B25D3A" w:rsidP="000F58E0">
      <w:pPr>
        <w:spacing w:after="0" w:line="276" w:lineRule="auto"/>
        <w:ind w:left="0" w:right="0" w:firstLine="0"/>
        <w:rPr>
          <w:rFonts w:ascii="ITC Avant Garde" w:hAnsi="ITC Avant Garde"/>
          <w:b/>
          <w:color w:val="auto"/>
        </w:rPr>
      </w:pPr>
    </w:p>
    <w:p w:rsidR="00F2605A" w:rsidRPr="00330641" w:rsidRDefault="00F2605A" w:rsidP="000F58E0">
      <w:pPr>
        <w:spacing w:after="0" w:line="276" w:lineRule="auto"/>
        <w:ind w:left="0" w:right="0" w:firstLine="0"/>
        <w:rPr>
          <w:rFonts w:ascii="ITC Avant Garde" w:hAnsi="ITC Avant Garde"/>
          <w:b/>
          <w:color w:val="auto"/>
        </w:rPr>
      </w:pPr>
      <w:r w:rsidRPr="00330641">
        <w:rPr>
          <w:rFonts w:ascii="ITC Avant Garde" w:hAnsi="ITC Avant Garde"/>
          <w:b/>
          <w:color w:val="auto"/>
        </w:rPr>
        <w:t>AXTEL</w:t>
      </w:r>
      <w:r w:rsidR="00441E2D" w:rsidRPr="00330641">
        <w:rPr>
          <w:rFonts w:ascii="ITC Avant Garde" w:hAnsi="ITC Avant Garde"/>
          <w:b/>
          <w:color w:val="auto"/>
        </w:rPr>
        <w:t>:</w:t>
      </w:r>
    </w:p>
    <w:p w:rsidR="00A426FB" w:rsidRPr="00330641" w:rsidRDefault="005C1833" w:rsidP="000F58E0">
      <w:pPr>
        <w:spacing w:after="0" w:line="276" w:lineRule="auto"/>
        <w:ind w:left="0" w:right="0" w:firstLine="0"/>
        <w:rPr>
          <w:rFonts w:ascii="ITC Avant Garde" w:hAnsi="ITC Avant Garde"/>
          <w:color w:val="auto"/>
        </w:rPr>
      </w:pPr>
      <w:r>
        <w:rPr>
          <w:rFonts w:ascii="ITC Avant Garde" w:hAnsi="ITC Avant Garde"/>
          <w:color w:val="auto"/>
        </w:rPr>
        <w:t>Solicitó</w:t>
      </w:r>
      <w:r w:rsidR="007912FB" w:rsidRPr="00330641">
        <w:rPr>
          <w:rFonts w:ascii="ITC Avant Garde" w:hAnsi="ITC Avant Garde"/>
          <w:color w:val="auto"/>
        </w:rPr>
        <w:t xml:space="preserve"> al </w:t>
      </w:r>
      <w:r w:rsidR="002244F5" w:rsidRPr="00330641">
        <w:rPr>
          <w:rFonts w:ascii="ITC Avant Garde" w:hAnsi="ITC Avant Garde"/>
          <w:color w:val="auto"/>
        </w:rPr>
        <w:t xml:space="preserve">Instituto </w:t>
      </w:r>
      <w:r w:rsidR="007912FB" w:rsidRPr="00330641">
        <w:rPr>
          <w:rFonts w:ascii="ITC Avant Garde" w:hAnsi="ITC Avant Garde"/>
          <w:color w:val="auto"/>
        </w:rPr>
        <w:t xml:space="preserve">establecer de forma clara que constituye un evento imputable a terceros para evitar que el AEP tome provecho de esto para dilatar sin penalización alguna los tiempos de entrega, ya que es responsabilidad del AEP contar con un stock de equipos y refracciones para el mantenimiento y atención de eventualidades. Por ende, </w:t>
      </w:r>
      <w:r w:rsidR="002244F5" w:rsidRPr="00330641">
        <w:rPr>
          <w:rFonts w:ascii="ITC Avant Garde" w:hAnsi="ITC Avant Garde"/>
          <w:color w:val="auto"/>
        </w:rPr>
        <w:t xml:space="preserve">solicita </w:t>
      </w:r>
      <w:r w:rsidR="007912FB" w:rsidRPr="00330641">
        <w:rPr>
          <w:rFonts w:ascii="ITC Avant Garde" w:hAnsi="ITC Avant Garde"/>
          <w:color w:val="auto"/>
        </w:rPr>
        <w:t xml:space="preserve">que el tiempo en que el proveedor provea los equipos no afecte los plazos de atención a fallas o contar como tiempo de parada de reloj. </w:t>
      </w:r>
    </w:p>
    <w:p w:rsidR="002B604C" w:rsidRPr="00330641" w:rsidRDefault="002B604C" w:rsidP="000F58E0">
      <w:pPr>
        <w:spacing w:after="0" w:line="276" w:lineRule="auto"/>
        <w:ind w:left="0" w:right="0" w:firstLine="0"/>
        <w:rPr>
          <w:rFonts w:ascii="ITC Avant Garde" w:hAnsi="ITC Avant Garde"/>
          <w:color w:val="auto"/>
        </w:rPr>
      </w:pPr>
    </w:p>
    <w:p w:rsidR="007912FB" w:rsidRPr="00330641" w:rsidRDefault="00455BEF" w:rsidP="000F58E0">
      <w:pPr>
        <w:spacing w:after="0" w:line="276" w:lineRule="auto"/>
        <w:ind w:left="0" w:right="0" w:firstLine="0"/>
        <w:rPr>
          <w:rFonts w:ascii="ITC Avant Garde" w:hAnsi="ITC Avant Garde"/>
          <w:color w:val="auto"/>
        </w:rPr>
      </w:pPr>
      <w:r w:rsidRPr="00330641">
        <w:rPr>
          <w:rFonts w:ascii="ITC Avant Garde" w:hAnsi="ITC Avant Garde"/>
          <w:color w:val="auto"/>
        </w:rPr>
        <w:lastRenderedPageBreak/>
        <w:t>Asimismo, c</w:t>
      </w:r>
      <w:r w:rsidR="00C4016B">
        <w:rPr>
          <w:rFonts w:ascii="ITC Avant Garde" w:hAnsi="ITC Avant Garde"/>
          <w:color w:val="auto"/>
        </w:rPr>
        <w:t>onsidera</w:t>
      </w:r>
      <w:r w:rsidR="002244F5" w:rsidRPr="00330641">
        <w:rPr>
          <w:rFonts w:ascii="ITC Avant Garde" w:hAnsi="ITC Avant Garde"/>
          <w:color w:val="auto"/>
        </w:rPr>
        <w:t xml:space="preserve"> que e</w:t>
      </w:r>
      <w:r w:rsidR="007912FB" w:rsidRPr="00330641">
        <w:rPr>
          <w:rFonts w:ascii="ITC Avant Garde" w:hAnsi="ITC Avant Garde"/>
          <w:color w:val="auto"/>
        </w:rPr>
        <w:t xml:space="preserve">l AEP en la propuesta oferta de referencia </w:t>
      </w:r>
      <w:r w:rsidR="00C4016B">
        <w:rPr>
          <w:rFonts w:ascii="ITC Avant Garde" w:hAnsi="ITC Avant Garde"/>
          <w:color w:val="auto"/>
        </w:rPr>
        <w:t>específica</w:t>
      </w:r>
      <w:r w:rsidR="007912FB" w:rsidRPr="00330641">
        <w:rPr>
          <w:rFonts w:ascii="ITC Avant Garde" w:hAnsi="ITC Avant Garde"/>
          <w:color w:val="auto"/>
        </w:rPr>
        <w:t xml:space="preserve"> además del vandalismo, el robo a la infraestructura de Telmex como motivo de parada reloj y no contabilizar el tiempo en la solución de las fallas.</w:t>
      </w:r>
    </w:p>
    <w:p w:rsidR="007912FB" w:rsidRPr="00330641" w:rsidRDefault="007912FB" w:rsidP="000F58E0">
      <w:pPr>
        <w:spacing w:after="0" w:line="276" w:lineRule="auto"/>
        <w:ind w:left="0" w:right="0" w:firstLine="0"/>
        <w:rPr>
          <w:rFonts w:ascii="ITC Avant Garde" w:hAnsi="ITC Avant Garde"/>
          <w:color w:val="auto"/>
        </w:rPr>
      </w:pPr>
    </w:p>
    <w:p w:rsidR="007912FB" w:rsidRPr="00330641" w:rsidRDefault="007912FB" w:rsidP="000F58E0">
      <w:pPr>
        <w:spacing w:after="0" w:line="276" w:lineRule="auto"/>
        <w:ind w:left="0" w:right="0" w:firstLine="0"/>
        <w:rPr>
          <w:rFonts w:ascii="ITC Avant Garde" w:hAnsi="ITC Avant Garde"/>
          <w:color w:val="auto"/>
        </w:rPr>
      </w:pPr>
      <w:r w:rsidRPr="00330641">
        <w:rPr>
          <w:rFonts w:ascii="ITC Avant Garde" w:hAnsi="ITC Avant Garde"/>
          <w:color w:val="auto"/>
        </w:rPr>
        <w:t xml:space="preserve">Axtel </w:t>
      </w:r>
      <w:r w:rsidR="00C4016B">
        <w:rPr>
          <w:rFonts w:ascii="ITC Avant Garde" w:hAnsi="ITC Avant Garde"/>
          <w:color w:val="auto"/>
        </w:rPr>
        <w:t>s</w:t>
      </w:r>
      <w:r w:rsidR="0012211F">
        <w:rPr>
          <w:rFonts w:ascii="ITC Avant Garde" w:hAnsi="ITC Avant Garde"/>
          <w:color w:val="auto"/>
        </w:rPr>
        <w:t>eñaló</w:t>
      </w:r>
      <w:r w:rsidRPr="00330641">
        <w:rPr>
          <w:rFonts w:ascii="ITC Avant Garde" w:hAnsi="ITC Avant Garde"/>
          <w:color w:val="auto"/>
        </w:rPr>
        <w:t xml:space="preserve"> al </w:t>
      </w:r>
      <w:r w:rsidR="00323AF6" w:rsidRPr="00330641">
        <w:rPr>
          <w:rFonts w:ascii="ITC Avant Garde" w:hAnsi="ITC Avant Garde"/>
          <w:color w:val="auto"/>
        </w:rPr>
        <w:t xml:space="preserve">Instituto </w:t>
      </w:r>
      <w:r w:rsidR="00C4016B">
        <w:rPr>
          <w:rFonts w:ascii="ITC Avant Garde" w:hAnsi="ITC Avant Garde"/>
          <w:color w:val="auto"/>
        </w:rPr>
        <w:t>que é</w:t>
      </w:r>
      <w:r w:rsidRPr="00330641">
        <w:rPr>
          <w:rFonts w:ascii="ITC Avant Garde" w:hAnsi="ITC Avant Garde"/>
          <w:color w:val="auto"/>
        </w:rPr>
        <w:t xml:space="preserve">ste aumento de los tiempos ocasiona una afectación a la imagen del CS o AS, además de costo por lucro cesante debido al retraso en la entrega del servicio al cliente final. </w:t>
      </w:r>
    </w:p>
    <w:p w:rsidR="00323AF6" w:rsidRPr="00330641" w:rsidRDefault="00323AF6" w:rsidP="000F58E0">
      <w:pPr>
        <w:spacing w:after="0" w:line="276" w:lineRule="auto"/>
        <w:ind w:left="0" w:right="0" w:firstLine="0"/>
        <w:rPr>
          <w:rFonts w:ascii="ITC Avant Garde" w:hAnsi="ITC Avant Garde"/>
          <w:color w:val="auto"/>
        </w:rPr>
      </w:pPr>
    </w:p>
    <w:p w:rsidR="00612E60" w:rsidRPr="00330641" w:rsidRDefault="00455BEF" w:rsidP="000F58E0">
      <w:pPr>
        <w:spacing w:after="0" w:line="276" w:lineRule="auto"/>
        <w:ind w:left="0" w:right="0" w:firstLine="0"/>
        <w:rPr>
          <w:rFonts w:ascii="ITC Avant Garde" w:hAnsi="ITC Avant Garde"/>
          <w:color w:val="auto"/>
        </w:rPr>
      </w:pPr>
      <w:r w:rsidRPr="00330641">
        <w:rPr>
          <w:rFonts w:ascii="ITC Avant Garde" w:hAnsi="ITC Avant Garde"/>
          <w:color w:val="auto"/>
        </w:rPr>
        <w:t>Finalmente</w:t>
      </w:r>
      <w:r w:rsidR="00612E60" w:rsidRPr="00330641">
        <w:rPr>
          <w:rFonts w:ascii="ITC Avant Garde" w:hAnsi="ITC Avant Garde"/>
          <w:color w:val="auto"/>
        </w:rPr>
        <w:t xml:space="preserve">, </w:t>
      </w:r>
      <w:r w:rsidR="00F02645">
        <w:rPr>
          <w:rFonts w:ascii="ITC Avant Garde" w:hAnsi="ITC Avant Garde"/>
          <w:color w:val="auto"/>
        </w:rPr>
        <w:t>argumentó</w:t>
      </w:r>
      <w:r w:rsidR="00612E60" w:rsidRPr="00330641">
        <w:rPr>
          <w:rFonts w:ascii="ITC Avant Garde" w:hAnsi="ITC Avant Garde"/>
          <w:color w:val="auto"/>
        </w:rPr>
        <w:t xml:space="preserve"> que el AEP pretende cobrar todas aquellas actividades efectuadas por el AEP para la reparación de fallas que resulten imputables al CS, por lo tanto, queda a discreción los </w:t>
      </w:r>
      <w:r w:rsidRPr="00330641">
        <w:rPr>
          <w:rFonts w:ascii="ITC Avant Garde" w:hAnsi="ITC Avant Garde"/>
          <w:color w:val="auto"/>
        </w:rPr>
        <w:t xml:space="preserve">cargos </w:t>
      </w:r>
      <w:r w:rsidR="00612E60" w:rsidRPr="00330641">
        <w:rPr>
          <w:rFonts w:ascii="ITC Avant Garde" w:hAnsi="ITC Avant Garde"/>
          <w:color w:val="auto"/>
        </w:rPr>
        <w:t>que pudiera cobrar el AEP en este tipo de actividades. Por lo que Axtel solicita al Instituto obligar al AEP establecer tarifas estándar y detalladas para estos conceptos.</w:t>
      </w:r>
    </w:p>
    <w:p w:rsidR="00232268" w:rsidRPr="00330641" w:rsidRDefault="00232268" w:rsidP="000F58E0">
      <w:pPr>
        <w:spacing w:after="0" w:line="276" w:lineRule="auto"/>
        <w:ind w:left="0" w:right="0" w:firstLine="0"/>
        <w:rPr>
          <w:rFonts w:ascii="ITC Avant Garde" w:hAnsi="ITC Avant Garde"/>
          <w:color w:val="auto"/>
        </w:rPr>
      </w:pPr>
    </w:p>
    <w:p w:rsidR="00CA1BC9" w:rsidRPr="00330641" w:rsidRDefault="00CA1BC9" w:rsidP="000F58E0">
      <w:pPr>
        <w:spacing w:after="0" w:line="276" w:lineRule="auto"/>
        <w:ind w:left="0" w:right="0" w:firstLine="0"/>
        <w:rPr>
          <w:rFonts w:ascii="ITC Avant Garde" w:hAnsi="ITC Avant Garde" w:cs="Times New Roman"/>
          <w:b/>
          <w:color w:val="auto"/>
        </w:rPr>
      </w:pPr>
      <w:r w:rsidRPr="00330641">
        <w:rPr>
          <w:rFonts w:ascii="ITC Avant Garde" w:hAnsi="ITC Avant Garde" w:cs="Times New Roman"/>
          <w:b/>
          <w:color w:val="auto"/>
        </w:rPr>
        <w:t>Consideraciones del Instituto</w:t>
      </w:r>
      <w:r w:rsidR="009E62D4" w:rsidRPr="00330641">
        <w:rPr>
          <w:rFonts w:ascii="ITC Avant Garde" w:hAnsi="ITC Avant Garde" w:cs="Times New Roman"/>
          <w:b/>
          <w:color w:val="auto"/>
        </w:rPr>
        <w:t>:</w:t>
      </w:r>
    </w:p>
    <w:p w:rsidR="00CA1BC9" w:rsidRPr="00330641" w:rsidRDefault="00CA1BC9" w:rsidP="000F58E0">
      <w:pPr>
        <w:spacing w:after="0" w:line="276" w:lineRule="auto"/>
        <w:ind w:left="0" w:right="0" w:firstLine="0"/>
        <w:rPr>
          <w:rFonts w:ascii="ITC Avant Garde" w:hAnsi="ITC Avant Garde"/>
          <w:color w:val="auto"/>
        </w:rPr>
      </w:pPr>
      <w:r w:rsidRPr="00330641">
        <w:rPr>
          <w:rFonts w:ascii="ITC Avant Garde" w:hAnsi="ITC Avant Garde"/>
          <w:color w:val="auto"/>
        </w:rPr>
        <w:t xml:space="preserve">De conformidad con la Medida Cuadragésima Primera de las Medidas Fijas, </w:t>
      </w:r>
      <w:r w:rsidR="001D072A">
        <w:rPr>
          <w:rFonts w:ascii="ITC Avant Garde" w:hAnsi="ITC Avant Garde"/>
          <w:color w:val="auto"/>
        </w:rPr>
        <w:t>se modificó la oferta conforme a</w:t>
      </w:r>
      <w:r w:rsidRPr="00330641">
        <w:rPr>
          <w:rFonts w:ascii="ITC Avant Garde" w:hAnsi="ITC Avant Garde"/>
          <w:color w:val="auto"/>
        </w:rPr>
        <w:t xml:space="preserve"> las condiciones </w:t>
      </w:r>
      <w:r w:rsidR="001D072A">
        <w:rPr>
          <w:rFonts w:ascii="ITC Avant Garde" w:hAnsi="ITC Avant Garde"/>
          <w:color w:val="auto"/>
        </w:rPr>
        <w:t>de</w:t>
      </w:r>
      <w:r w:rsidRPr="00330641">
        <w:rPr>
          <w:rFonts w:ascii="ITC Avant Garde" w:hAnsi="ITC Avant Garde"/>
          <w:color w:val="auto"/>
        </w:rPr>
        <w:t xml:space="preserve"> la ORE</w:t>
      </w:r>
      <w:r w:rsidR="005B2655" w:rsidRPr="00330641">
        <w:rPr>
          <w:rFonts w:ascii="ITC Avant Garde" w:hAnsi="ITC Avant Garde"/>
          <w:color w:val="auto"/>
        </w:rPr>
        <w:t xml:space="preserve"> DM</w:t>
      </w:r>
      <w:r w:rsidRPr="00330641">
        <w:rPr>
          <w:rFonts w:ascii="ITC Avant Garde" w:hAnsi="ITC Avant Garde"/>
          <w:color w:val="auto"/>
        </w:rPr>
        <w:t xml:space="preserve"> 20</w:t>
      </w:r>
      <w:r w:rsidR="005B2655" w:rsidRPr="00330641">
        <w:rPr>
          <w:rFonts w:ascii="ITC Avant Garde" w:hAnsi="ITC Avant Garde"/>
          <w:color w:val="auto"/>
        </w:rPr>
        <w:t>20</w:t>
      </w:r>
      <w:r w:rsidRPr="00330641">
        <w:rPr>
          <w:rFonts w:ascii="ITC Avant Garde" w:hAnsi="ITC Avant Garde"/>
          <w:color w:val="auto"/>
        </w:rPr>
        <w:t>. Asimismo, el apartado 2.6.4 inciso d) de la ORE</w:t>
      </w:r>
      <w:r w:rsidR="005B2655" w:rsidRPr="00330641">
        <w:rPr>
          <w:rFonts w:ascii="ITC Avant Garde" w:hAnsi="ITC Avant Garde"/>
          <w:color w:val="auto"/>
        </w:rPr>
        <w:t xml:space="preserve"> DM</w:t>
      </w:r>
      <w:r w:rsidRPr="00330641">
        <w:rPr>
          <w:rFonts w:ascii="ITC Avant Garde" w:hAnsi="ITC Avant Garde"/>
          <w:color w:val="auto"/>
        </w:rPr>
        <w:t xml:space="preserve"> </w:t>
      </w:r>
      <w:r w:rsidR="00005595" w:rsidRPr="00330641">
        <w:rPr>
          <w:rFonts w:ascii="ITC Avant Garde" w:hAnsi="ITC Avant Garde"/>
          <w:color w:val="auto"/>
        </w:rPr>
        <w:t>202</w:t>
      </w:r>
      <w:r w:rsidR="005B2655" w:rsidRPr="00330641">
        <w:rPr>
          <w:rFonts w:ascii="ITC Avant Garde" w:hAnsi="ITC Avant Garde"/>
          <w:color w:val="auto"/>
        </w:rPr>
        <w:t>1</w:t>
      </w:r>
      <w:r w:rsidR="00005595" w:rsidRPr="00330641">
        <w:rPr>
          <w:rFonts w:ascii="ITC Avant Garde" w:hAnsi="ITC Avant Garde"/>
          <w:color w:val="auto"/>
        </w:rPr>
        <w:t xml:space="preserve"> se </w:t>
      </w:r>
      <w:r w:rsidRPr="00330641">
        <w:rPr>
          <w:rFonts w:ascii="ITC Avant Garde" w:hAnsi="ITC Avant Garde"/>
          <w:color w:val="auto"/>
        </w:rPr>
        <w:t>menciona el tiempo máximo en que el AEP tendrá que suministrar los equipos. En este sentido, se menciona que contar con un stock adecuado de componentes y equipos activos para atender fallas en el equipo es una buena práctica en materia de operación y mantenimiento de redes. No obstante, habrá casos en los que no se cuenta con el equipo en el stock por lo que, en estos casos, la ORE considera que no se contabilizarán los plazos correspondientes.</w:t>
      </w:r>
    </w:p>
    <w:p w:rsidR="00CA1BC9" w:rsidRPr="00330641" w:rsidRDefault="00CA1BC9" w:rsidP="000F58E0">
      <w:pPr>
        <w:spacing w:after="0" w:line="276" w:lineRule="auto"/>
        <w:ind w:left="0" w:right="0" w:firstLine="0"/>
        <w:rPr>
          <w:rFonts w:ascii="ITC Avant Garde" w:hAnsi="ITC Avant Garde"/>
          <w:color w:val="auto"/>
        </w:rPr>
      </w:pPr>
    </w:p>
    <w:p w:rsidR="00CA1BC9" w:rsidRPr="00330641" w:rsidRDefault="00CA1BC9" w:rsidP="000F58E0">
      <w:pPr>
        <w:tabs>
          <w:tab w:val="left" w:pos="284"/>
        </w:tabs>
        <w:spacing w:after="0" w:line="276" w:lineRule="auto"/>
        <w:ind w:left="0" w:right="0" w:firstLine="0"/>
        <w:rPr>
          <w:rFonts w:ascii="ITC Avant Garde" w:eastAsiaTheme="minorHAnsi" w:hAnsi="ITC Avant Garde" w:cs="Arial"/>
          <w:color w:val="auto"/>
          <w:lang w:val="es-ES_tradnl" w:eastAsia="es-ES_tradnl"/>
        </w:rPr>
      </w:pPr>
      <w:r w:rsidRPr="00330641">
        <w:rPr>
          <w:rFonts w:ascii="ITC Avant Garde" w:eastAsiaTheme="minorHAnsi" w:hAnsi="ITC Avant Garde" w:cs="Arial"/>
          <w:color w:val="auto"/>
          <w:lang w:val="es-ES_tradnl" w:eastAsia="es-ES_tradnl"/>
        </w:rPr>
        <w:t>Por otro lado, con relación a los eventos en los cuales se presenta un caso fortuito o de fuerza mayor, se precisa que son situaciones que están fuera de</w:t>
      </w:r>
      <w:r w:rsidR="00732E71" w:rsidRPr="00330641">
        <w:rPr>
          <w:rFonts w:ascii="ITC Avant Garde" w:eastAsiaTheme="minorHAnsi" w:hAnsi="ITC Avant Garde" w:cs="Arial"/>
          <w:color w:val="auto"/>
          <w:lang w:val="es-ES_tradnl" w:eastAsia="es-ES_tradnl"/>
        </w:rPr>
        <w:t>l</w:t>
      </w:r>
      <w:r w:rsidRPr="00330641">
        <w:rPr>
          <w:rFonts w:ascii="ITC Avant Garde" w:eastAsiaTheme="minorHAnsi" w:hAnsi="ITC Avant Garde" w:cs="Arial"/>
          <w:color w:val="auto"/>
          <w:lang w:val="es-ES_tradnl" w:eastAsia="es-ES_tradnl"/>
        </w:rPr>
        <w:t xml:space="preserve"> control</w:t>
      </w:r>
      <w:r w:rsidR="00732E71" w:rsidRPr="00330641">
        <w:rPr>
          <w:rFonts w:ascii="ITC Avant Garde" w:eastAsiaTheme="minorHAnsi" w:hAnsi="ITC Avant Garde" w:cs="Arial"/>
          <w:color w:val="auto"/>
          <w:lang w:val="es-ES_tradnl" w:eastAsia="es-ES_tradnl"/>
        </w:rPr>
        <w:t xml:space="preserve"> de </w:t>
      </w:r>
      <w:r w:rsidR="001D072A" w:rsidRPr="00330641">
        <w:rPr>
          <w:rFonts w:ascii="ITC Avant Garde" w:eastAsiaTheme="minorHAnsi" w:hAnsi="ITC Avant Garde" w:cs="Arial"/>
          <w:color w:val="auto"/>
          <w:lang w:val="es-ES_tradnl" w:eastAsia="es-ES_tradnl"/>
        </w:rPr>
        <w:t>las partes</w:t>
      </w:r>
      <w:r w:rsidRPr="00330641">
        <w:rPr>
          <w:rFonts w:ascii="ITC Avant Garde" w:eastAsiaTheme="minorHAnsi" w:hAnsi="ITC Avant Garde" w:cs="Arial"/>
          <w:color w:val="auto"/>
          <w:lang w:val="es-ES_tradnl" w:eastAsia="es-ES_tradnl"/>
        </w:rPr>
        <w:t>, en el sentido de que las secuelas (averías)</w:t>
      </w:r>
      <w:r w:rsidR="00C4016B">
        <w:rPr>
          <w:rFonts w:ascii="ITC Avant Garde" w:eastAsiaTheme="minorHAnsi" w:hAnsi="ITC Avant Garde" w:cs="Arial"/>
          <w:color w:val="auto"/>
          <w:lang w:val="es-ES_tradnl" w:eastAsia="es-ES_tradnl"/>
        </w:rPr>
        <w:t xml:space="preserve"> provenientes de estos sucesos </w:t>
      </w:r>
      <w:r w:rsidRPr="00330641">
        <w:rPr>
          <w:rFonts w:ascii="ITC Avant Garde" w:eastAsiaTheme="minorHAnsi" w:hAnsi="ITC Avant Garde" w:cs="Arial"/>
          <w:color w:val="auto"/>
          <w:lang w:val="es-ES_tradnl" w:eastAsia="es-ES_tradnl"/>
        </w:rPr>
        <w:t>inesperados e incontrola</w:t>
      </w:r>
      <w:r w:rsidR="00C4016B">
        <w:rPr>
          <w:rFonts w:ascii="ITC Avant Garde" w:eastAsiaTheme="minorHAnsi" w:hAnsi="ITC Avant Garde" w:cs="Arial"/>
          <w:color w:val="auto"/>
          <w:lang w:val="es-ES_tradnl" w:eastAsia="es-ES_tradnl"/>
        </w:rPr>
        <w:t xml:space="preserve">bles, originan afectaciones que </w:t>
      </w:r>
      <w:r w:rsidRPr="00330641">
        <w:rPr>
          <w:rFonts w:ascii="ITC Avant Garde" w:eastAsiaTheme="minorHAnsi" w:hAnsi="ITC Avant Garde" w:cs="Arial"/>
          <w:color w:val="auto"/>
          <w:lang w:val="es-ES_tradnl" w:eastAsia="es-ES_tradnl"/>
        </w:rPr>
        <w:t>son inatendibles dentro de los plazos establecidos, ya que el AEP no cuenta con los medios necesarios o suficientes para dar una solución expedita a la problemática. De este modo, los fallos que tienen origen en un caso fortuito o de fuerza mayor no recaen dentro del ámbito de la respon</w:t>
      </w:r>
      <w:r w:rsidR="001D072A">
        <w:rPr>
          <w:rFonts w:ascii="ITC Avant Garde" w:eastAsiaTheme="minorHAnsi" w:hAnsi="ITC Avant Garde" w:cs="Arial"/>
          <w:color w:val="auto"/>
          <w:lang w:val="es-ES_tradnl" w:eastAsia="es-ES_tradnl"/>
        </w:rPr>
        <w:t>sabilidad del AEP</w:t>
      </w:r>
      <w:r w:rsidRPr="00330641">
        <w:rPr>
          <w:rFonts w:ascii="ITC Avant Garde" w:eastAsiaTheme="minorHAnsi" w:hAnsi="ITC Avant Garde" w:cs="Arial"/>
          <w:color w:val="auto"/>
          <w:lang w:val="es-ES_tradnl" w:eastAsia="es-ES_tradnl"/>
        </w:rPr>
        <w:t>.</w:t>
      </w:r>
    </w:p>
    <w:p w:rsidR="00612E60" w:rsidRPr="00330641" w:rsidRDefault="00612E60" w:rsidP="000F58E0">
      <w:pPr>
        <w:tabs>
          <w:tab w:val="left" w:pos="284"/>
        </w:tabs>
        <w:spacing w:after="0" w:line="276" w:lineRule="auto"/>
        <w:ind w:left="0" w:right="0" w:firstLine="0"/>
        <w:rPr>
          <w:rFonts w:ascii="ITC Avant Garde" w:eastAsiaTheme="minorHAnsi" w:hAnsi="ITC Avant Garde" w:cs="Arial"/>
          <w:color w:val="auto"/>
          <w:lang w:val="es-ES_tradnl" w:eastAsia="es-ES_tradnl"/>
        </w:rPr>
      </w:pPr>
    </w:p>
    <w:p w:rsidR="00CA1BC9" w:rsidRPr="00330641" w:rsidRDefault="00CA1BC9" w:rsidP="000F58E0">
      <w:pPr>
        <w:spacing w:after="0" w:line="276" w:lineRule="auto"/>
        <w:ind w:left="0" w:right="0" w:firstLine="0"/>
        <w:rPr>
          <w:rFonts w:ascii="ITC Avant Garde" w:hAnsi="ITC Avant Garde"/>
          <w:color w:val="auto"/>
        </w:rPr>
      </w:pPr>
    </w:p>
    <w:p w:rsidR="00DA60CB" w:rsidRPr="00330641" w:rsidRDefault="00DA60CB" w:rsidP="000F58E0">
      <w:pPr>
        <w:pStyle w:val="IFTnormal"/>
        <w:spacing w:after="0"/>
        <w:ind w:left="0"/>
        <w:rPr>
          <w:rFonts w:eastAsiaTheme="majorEastAsia"/>
          <w:b/>
          <w:u w:val="single"/>
        </w:rPr>
      </w:pPr>
      <w:r w:rsidRPr="00330641">
        <w:rPr>
          <w:rFonts w:eastAsiaTheme="majorEastAsia"/>
          <w:b/>
          <w:u w:val="single"/>
        </w:rPr>
        <w:t>2.6.5</w:t>
      </w:r>
      <w:r w:rsidR="00934D06" w:rsidRPr="00330641">
        <w:rPr>
          <w:rFonts w:eastAsiaTheme="majorEastAsia"/>
          <w:b/>
          <w:u w:val="single"/>
        </w:rPr>
        <w:t>.</w:t>
      </w:r>
    </w:p>
    <w:p w:rsidR="00DF75B1" w:rsidRPr="00330641" w:rsidRDefault="00EF52DE" w:rsidP="000F58E0">
      <w:pPr>
        <w:spacing w:after="0" w:line="276" w:lineRule="auto"/>
        <w:ind w:left="0" w:right="0" w:firstLine="0"/>
        <w:rPr>
          <w:rFonts w:ascii="ITC Avant Garde" w:hAnsi="ITC Avant Garde"/>
          <w:b/>
          <w:color w:val="auto"/>
        </w:rPr>
      </w:pPr>
      <w:r w:rsidRPr="00330641">
        <w:rPr>
          <w:rFonts w:ascii="ITC Avant Garde" w:hAnsi="ITC Avant Garde"/>
          <w:b/>
          <w:color w:val="auto"/>
        </w:rPr>
        <w:t>AXTEL</w:t>
      </w:r>
      <w:r w:rsidR="008D3AB6" w:rsidRPr="00330641">
        <w:rPr>
          <w:rFonts w:ascii="ITC Avant Garde" w:hAnsi="ITC Avant Garde"/>
          <w:b/>
          <w:color w:val="auto"/>
        </w:rPr>
        <w:t>:</w:t>
      </w:r>
    </w:p>
    <w:p w:rsidR="00EF52DE" w:rsidRPr="00330641" w:rsidRDefault="00F02645" w:rsidP="000F58E0">
      <w:pPr>
        <w:spacing w:after="0" w:line="276" w:lineRule="auto"/>
        <w:ind w:left="0" w:right="0" w:firstLine="0"/>
        <w:rPr>
          <w:rFonts w:ascii="ITC Avant Garde" w:hAnsi="ITC Avant Garde"/>
          <w:color w:val="auto"/>
        </w:rPr>
      </w:pPr>
      <w:r>
        <w:rPr>
          <w:rFonts w:ascii="ITC Avant Garde" w:hAnsi="ITC Avant Garde"/>
          <w:color w:val="auto"/>
        </w:rPr>
        <w:t>Solicitó</w:t>
      </w:r>
      <w:r w:rsidR="00EF52DE" w:rsidRPr="00330641">
        <w:rPr>
          <w:rFonts w:ascii="ITC Avant Garde" w:hAnsi="ITC Avant Garde"/>
          <w:color w:val="auto"/>
        </w:rPr>
        <w:t xml:space="preserve"> al </w:t>
      </w:r>
      <w:r w:rsidR="00323AF6" w:rsidRPr="00330641">
        <w:rPr>
          <w:rFonts w:ascii="ITC Avant Garde" w:hAnsi="ITC Avant Garde"/>
          <w:color w:val="auto"/>
        </w:rPr>
        <w:t xml:space="preserve">Instituto </w:t>
      </w:r>
      <w:r w:rsidR="00EF52DE" w:rsidRPr="00330641">
        <w:rPr>
          <w:rFonts w:ascii="ITC Avant Garde" w:hAnsi="ITC Avant Garde"/>
          <w:color w:val="auto"/>
        </w:rPr>
        <w:t xml:space="preserve">mejorar los parámetros de calidad que existen en la Oferta vigente que corresponden a la medida </w:t>
      </w:r>
      <w:r w:rsidR="006D002A" w:rsidRPr="00330641">
        <w:rPr>
          <w:rFonts w:ascii="ITC Avant Garde" w:hAnsi="ITC Avant Garde"/>
          <w:color w:val="auto"/>
        </w:rPr>
        <w:t>D</w:t>
      </w:r>
      <w:r w:rsidR="00EF52DE" w:rsidRPr="00330641">
        <w:rPr>
          <w:rFonts w:ascii="ITC Avant Garde" w:hAnsi="ITC Avant Garde"/>
          <w:color w:val="auto"/>
        </w:rPr>
        <w:t>ecimonovena</w:t>
      </w:r>
      <w:r w:rsidR="006D002A" w:rsidRPr="00330641">
        <w:rPr>
          <w:rFonts w:ascii="ITC Avant Garde" w:hAnsi="ITC Avant Garde"/>
          <w:color w:val="auto"/>
        </w:rPr>
        <w:t xml:space="preserve"> de las Medidas Fijas</w:t>
      </w:r>
      <w:r w:rsidR="00EF52DE" w:rsidRPr="00330641">
        <w:rPr>
          <w:rFonts w:ascii="ITC Avant Garde" w:hAnsi="ITC Avant Garde"/>
          <w:color w:val="auto"/>
        </w:rPr>
        <w:t>.</w:t>
      </w:r>
    </w:p>
    <w:p w:rsidR="00EF52DE" w:rsidRPr="00330641" w:rsidRDefault="00EF52DE" w:rsidP="000F58E0">
      <w:pPr>
        <w:spacing w:after="0" w:line="276" w:lineRule="auto"/>
        <w:ind w:left="0" w:right="0" w:firstLine="0"/>
        <w:rPr>
          <w:rFonts w:ascii="ITC Avant Garde" w:hAnsi="ITC Avant Garde"/>
          <w:color w:val="auto"/>
        </w:rPr>
      </w:pPr>
    </w:p>
    <w:p w:rsidR="00EF52DE" w:rsidRPr="00330641" w:rsidRDefault="00323AF6" w:rsidP="000F58E0">
      <w:pPr>
        <w:spacing w:after="0" w:line="276" w:lineRule="auto"/>
        <w:ind w:left="0" w:right="0" w:firstLine="0"/>
        <w:rPr>
          <w:rFonts w:ascii="ITC Avant Garde" w:hAnsi="ITC Avant Garde"/>
          <w:color w:val="auto"/>
        </w:rPr>
      </w:pPr>
      <w:r w:rsidRPr="00330641">
        <w:rPr>
          <w:rFonts w:ascii="ITC Avant Garde" w:hAnsi="ITC Avant Garde"/>
          <w:color w:val="auto"/>
        </w:rPr>
        <w:lastRenderedPageBreak/>
        <w:t>Por otro lado</w:t>
      </w:r>
      <w:r w:rsidR="00EF52DE" w:rsidRPr="00330641">
        <w:rPr>
          <w:rFonts w:ascii="ITC Avant Garde" w:hAnsi="ITC Avant Garde"/>
          <w:color w:val="auto"/>
        </w:rPr>
        <w:t xml:space="preserve">, Axtel </w:t>
      </w:r>
      <w:r w:rsidR="00F02645">
        <w:rPr>
          <w:rFonts w:ascii="ITC Avant Garde" w:hAnsi="ITC Avant Garde"/>
          <w:color w:val="auto"/>
        </w:rPr>
        <w:t>solicitó</w:t>
      </w:r>
      <w:r w:rsidR="00EF52DE" w:rsidRPr="00330641">
        <w:rPr>
          <w:rFonts w:ascii="ITC Avant Garde" w:hAnsi="ITC Avant Garde"/>
          <w:color w:val="auto"/>
        </w:rPr>
        <w:t xml:space="preserve"> al </w:t>
      </w:r>
      <w:r w:rsidRPr="00330641">
        <w:rPr>
          <w:rFonts w:ascii="ITC Avant Garde" w:hAnsi="ITC Avant Garde"/>
          <w:color w:val="auto"/>
        </w:rPr>
        <w:t xml:space="preserve">Instituto </w:t>
      </w:r>
      <w:r w:rsidR="00EF52DE" w:rsidRPr="00330641">
        <w:rPr>
          <w:rFonts w:ascii="ITC Avant Garde" w:hAnsi="ITC Avant Garde"/>
          <w:color w:val="auto"/>
        </w:rPr>
        <w:t>que defina el servicio de Enlace Dedicado con redundancia y baj</w:t>
      </w:r>
      <w:r w:rsidR="00FC07B4" w:rsidRPr="00330641">
        <w:rPr>
          <w:rFonts w:ascii="ITC Avant Garde" w:hAnsi="ITC Avant Garde"/>
          <w:color w:val="auto"/>
        </w:rPr>
        <w:t>o</w:t>
      </w:r>
      <w:r w:rsidR="00EF52DE" w:rsidRPr="00330641">
        <w:rPr>
          <w:rFonts w:ascii="ITC Avant Garde" w:hAnsi="ITC Avant Garde"/>
          <w:color w:val="auto"/>
        </w:rPr>
        <w:t xml:space="preserve"> </w:t>
      </w:r>
      <w:r w:rsidR="0008347E" w:rsidRPr="00330641">
        <w:rPr>
          <w:rFonts w:ascii="ITC Avant Garde" w:hAnsi="ITC Avant Garde"/>
          <w:color w:val="auto"/>
        </w:rPr>
        <w:t>qué</w:t>
      </w:r>
      <w:r w:rsidR="00EF52DE" w:rsidRPr="00330641">
        <w:rPr>
          <w:rFonts w:ascii="ITC Avant Garde" w:hAnsi="ITC Avant Garde"/>
          <w:color w:val="auto"/>
        </w:rPr>
        <w:t xml:space="preserve"> características de operación debe el AEP prestar este servicio.</w:t>
      </w:r>
      <w:r w:rsidR="00455BEF" w:rsidRPr="00330641">
        <w:rPr>
          <w:rFonts w:ascii="ITC Avant Garde" w:hAnsi="ITC Avant Garde"/>
          <w:color w:val="auto"/>
        </w:rPr>
        <w:t xml:space="preserve"> Es así </w:t>
      </w:r>
      <w:r w:rsidR="00607573">
        <w:rPr>
          <w:rFonts w:ascii="ITC Avant Garde" w:hAnsi="ITC Avant Garde"/>
          <w:color w:val="auto"/>
        </w:rPr>
        <w:t>que, argumentó</w:t>
      </w:r>
      <w:r w:rsidR="00455BEF" w:rsidRPr="00330641">
        <w:rPr>
          <w:rFonts w:ascii="ITC Avant Garde" w:hAnsi="ITC Avant Garde"/>
          <w:color w:val="auto"/>
        </w:rPr>
        <w:t xml:space="preserve"> que no hay dentro de la oferta las condiciones de contratación y operación a las que deben estar sujetas, así como establecer si es redundancia de medio o ruta.</w:t>
      </w:r>
    </w:p>
    <w:p w:rsidR="00455BEF" w:rsidRPr="00330641" w:rsidRDefault="00455BEF" w:rsidP="000F58E0">
      <w:pPr>
        <w:spacing w:after="0" w:line="276" w:lineRule="auto"/>
        <w:ind w:left="0" w:right="0" w:firstLine="0"/>
        <w:rPr>
          <w:rFonts w:ascii="ITC Avant Garde" w:hAnsi="ITC Avant Garde"/>
          <w:color w:val="auto"/>
        </w:rPr>
      </w:pPr>
    </w:p>
    <w:p w:rsidR="00455BEF" w:rsidRPr="00330641" w:rsidRDefault="00455BEF" w:rsidP="000F58E0">
      <w:pPr>
        <w:spacing w:after="0" w:line="276" w:lineRule="auto"/>
        <w:ind w:left="0" w:right="0" w:firstLine="0"/>
        <w:rPr>
          <w:rFonts w:ascii="ITC Avant Garde" w:hAnsi="ITC Avant Garde"/>
          <w:color w:val="auto"/>
        </w:rPr>
      </w:pPr>
      <w:r w:rsidRPr="00330641">
        <w:rPr>
          <w:rFonts w:ascii="ITC Avant Garde" w:hAnsi="ITC Avant Garde"/>
          <w:color w:val="auto"/>
        </w:rPr>
        <w:t xml:space="preserve">Aunado a lo anterior, </w:t>
      </w:r>
      <w:r w:rsidR="00F02645">
        <w:rPr>
          <w:rFonts w:ascii="ITC Avant Garde" w:hAnsi="ITC Avant Garde"/>
          <w:color w:val="auto"/>
        </w:rPr>
        <w:t>puntualizó</w:t>
      </w:r>
      <w:r w:rsidRPr="00330641">
        <w:rPr>
          <w:rFonts w:ascii="ITC Avant Garde" w:hAnsi="ITC Avant Garde"/>
          <w:color w:val="auto"/>
        </w:rPr>
        <w:t xml:space="preserve"> que Axtel está invirtiendo e implementando diferentes puntos a nivel nacional para lograr la migración a tecnología Ethernet, aun sin que sea un servicio maduro, además que en la Oferta Propuesta no están claros los parámetros de configuración. </w:t>
      </w:r>
    </w:p>
    <w:p w:rsidR="00DF75B1" w:rsidRPr="00330641" w:rsidRDefault="00DF75B1" w:rsidP="000F58E0">
      <w:pPr>
        <w:spacing w:after="0" w:line="276" w:lineRule="auto"/>
        <w:ind w:left="0" w:right="0" w:firstLine="0"/>
        <w:rPr>
          <w:rFonts w:ascii="ITC Avant Garde" w:hAnsi="ITC Avant Garde"/>
          <w:color w:val="auto"/>
        </w:rPr>
      </w:pPr>
    </w:p>
    <w:p w:rsidR="00EF52DE" w:rsidRPr="00330641" w:rsidRDefault="001D072A" w:rsidP="000F58E0">
      <w:pPr>
        <w:spacing w:after="0" w:line="276" w:lineRule="auto"/>
        <w:ind w:left="0" w:right="0" w:firstLine="0"/>
        <w:rPr>
          <w:rFonts w:ascii="ITC Avant Garde" w:hAnsi="ITC Avant Garde"/>
          <w:color w:val="auto"/>
        </w:rPr>
      </w:pPr>
      <w:r>
        <w:rPr>
          <w:rFonts w:ascii="ITC Avant Garde" w:hAnsi="ITC Avant Garde"/>
          <w:color w:val="auto"/>
        </w:rPr>
        <w:t>Además</w:t>
      </w:r>
      <w:r w:rsidR="000A416B" w:rsidRPr="00330641">
        <w:rPr>
          <w:rFonts w:ascii="ITC Avant Garde" w:hAnsi="ITC Avant Garde"/>
          <w:color w:val="auto"/>
        </w:rPr>
        <w:t>,</w:t>
      </w:r>
      <w:r w:rsidR="00EF52DE" w:rsidRPr="00330641">
        <w:rPr>
          <w:rFonts w:ascii="ITC Avant Garde" w:hAnsi="ITC Avant Garde"/>
          <w:color w:val="auto"/>
        </w:rPr>
        <w:t xml:space="preserve"> requiere que el </w:t>
      </w:r>
      <w:r w:rsidR="00323AF6" w:rsidRPr="00330641">
        <w:rPr>
          <w:rFonts w:ascii="ITC Avant Garde" w:hAnsi="ITC Avant Garde"/>
          <w:color w:val="auto"/>
        </w:rPr>
        <w:t xml:space="preserve">Instituto </w:t>
      </w:r>
      <w:r w:rsidR="00EF52DE" w:rsidRPr="00330641">
        <w:rPr>
          <w:rFonts w:ascii="ITC Avant Garde" w:hAnsi="ITC Avant Garde"/>
          <w:color w:val="auto"/>
        </w:rPr>
        <w:t>le indique a Telmex incluir dentro de la Oferta los parámetros de configuración de los enlaces</w:t>
      </w:r>
      <w:r w:rsidR="00B72977" w:rsidRPr="00330641">
        <w:rPr>
          <w:rFonts w:ascii="ITC Avant Garde" w:hAnsi="ITC Avant Garde"/>
          <w:color w:val="auto"/>
        </w:rPr>
        <w:t xml:space="preserve"> denominados</w:t>
      </w:r>
      <w:r w:rsidR="00EF52DE" w:rsidRPr="00330641">
        <w:rPr>
          <w:rFonts w:ascii="ITC Avant Garde" w:hAnsi="ITC Avant Garde"/>
          <w:color w:val="auto"/>
        </w:rPr>
        <w:t xml:space="preserve"> </w:t>
      </w:r>
      <w:r w:rsidR="0082181F" w:rsidRPr="00330641">
        <w:rPr>
          <w:rFonts w:ascii="ITC Avant Garde" w:hAnsi="ITC Avant Garde"/>
          <w:color w:val="auto"/>
        </w:rPr>
        <w:t>de altas velocidades</w:t>
      </w:r>
      <w:r w:rsidR="00B72977" w:rsidRPr="00330641">
        <w:rPr>
          <w:rFonts w:ascii="ITC Avant Garde" w:hAnsi="ITC Avant Garde"/>
          <w:color w:val="auto"/>
        </w:rPr>
        <w:t xml:space="preserve"> Ethernet</w:t>
      </w:r>
      <w:r w:rsidR="0082181F" w:rsidRPr="00330641">
        <w:rPr>
          <w:rFonts w:ascii="ITC Avant Garde" w:hAnsi="ITC Avant Garde"/>
          <w:color w:val="auto"/>
        </w:rPr>
        <w:t xml:space="preserve">, </w:t>
      </w:r>
      <w:r w:rsidR="00B72977" w:rsidRPr="00330641">
        <w:rPr>
          <w:rFonts w:ascii="ITC Avant Garde" w:hAnsi="ITC Avant Garde"/>
          <w:color w:val="auto"/>
        </w:rPr>
        <w:t xml:space="preserve">a partir de 1 </w:t>
      </w:r>
      <w:proofErr w:type="spellStart"/>
      <w:r w:rsidR="00B72977" w:rsidRPr="00330641">
        <w:rPr>
          <w:rFonts w:ascii="ITC Avant Garde" w:hAnsi="ITC Avant Garde"/>
          <w:color w:val="auto"/>
        </w:rPr>
        <w:t>Gbps</w:t>
      </w:r>
      <w:proofErr w:type="spellEnd"/>
      <w:r w:rsidR="00B72977" w:rsidRPr="00330641">
        <w:rPr>
          <w:rFonts w:ascii="ITC Avant Garde" w:hAnsi="ITC Avant Garde"/>
          <w:color w:val="auto"/>
        </w:rPr>
        <w:t xml:space="preserve"> y en adelante</w:t>
      </w:r>
      <w:r w:rsidR="00EF52DE" w:rsidRPr="00330641">
        <w:rPr>
          <w:rFonts w:ascii="ITC Avant Garde" w:hAnsi="ITC Avant Garde"/>
          <w:color w:val="auto"/>
        </w:rPr>
        <w:t xml:space="preserve"> al menos con los siguientes parámetros de configuración:</w:t>
      </w:r>
    </w:p>
    <w:p w:rsidR="00EF52DE" w:rsidRPr="00330641" w:rsidRDefault="00EF52DE" w:rsidP="000F58E0">
      <w:pPr>
        <w:spacing w:after="0" w:line="276" w:lineRule="auto"/>
        <w:ind w:left="0" w:right="0" w:firstLine="0"/>
        <w:rPr>
          <w:rFonts w:ascii="ITC Avant Garde" w:hAnsi="ITC Avant Garde"/>
          <w:color w:val="auto"/>
        </w:rPr>
      </w:pP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03"/>
        <w:gridCol w:w="5389"/>
      </w:tblGrid>
      <w:tr w:rsidR="0082181F" w:rsidRPr="00330641" w:rsidTr="00EC3F16">
        <w:trPr>
          <w:trHeight w:val="315"/>
          <w:jc w:val="center"/>
        </w:trPr>
        <w:tc>
          <w:tcPr>
            <w:tcW w:w="7792" w:type="dxa"/>
            <w:gridSpan w:val="2"/>
            <w:tcBorders>
              <w:top w:val="single" w:sz="4" w:space="0" w:color="auto"/>
              <w:left w:val="single" w:sz="4" w:space="0" w:color="auto"/>
              <w:bottom w:val="single" w:sz="4" w:space="0" w:color="auto"/>
              <w:right w:val="single" w:sz="4" w:space="0" w:color="auto"/>
            </w:tcBorders>
            <w:noWrap/>
            <w:vAlign w:val="bottom"/>
            <w:hideMark/>
          </w:tcPr>
          <w:p w:rsidR="0082181F" w:rsidRPr="00330641" w:rsidRDefault="00B72977" w:rsidP="0082181F">
            <w:pPr>
              <w:spacing w:after="0" w:line="276" w:lineRule="auto"/>
              <w:ind w:left="0" w:right="0" w:firstLine="0"/>
              <w:jc w:val="center"/>
              <w:rPr>
                <w:rFonts w:ascii="ITC Avant Garde" w:eastAsia="Times New Roman" w:hAnsi="ITC Avant Garde" w:cs="Calibri"/>
                <w:i/>
                <w:sz w:val="18"/>
                <w:szCs w:val="18"/>
                <w:lang w:eastAsia="en-US"/>
              </w:rPr>
            </w:pPr>
            <w:r w:rsidRPr="00330641">
              <w:rPr>
                <w:rFonts w:ascii="ITC Avant Garde" w:eastAsia="Times New Roman" w:hAnsi="ITC Avant Garde" w:cs="Calibri"/>
                <w:i/>
                <w:sz w:val="18"/>
                <w:szCs w:val="18"/>
                <w:lang w:eastAsia="en-US"/>
              </w:rPr>
              <w:t>DETALLES TÉCNICOS ADICIONALES (aplica para todos los enlaces requeridos)</w:t>
            </w:r>
          </w:p>
        </w:tc>
      </w:tr>
      <w:tr w:rsidR="0082181F" w:rsidRPr="00330641" w:rsidTr="00EC3F16">
        <w:trPr>
          <w:trHeight w:val="315"/>
          <w:jc w:val="center"/>
        </w:trPr>
        <w:tc>
          <w:tcPr>
            <w:tcW w:w="2403" w:type="dxa"/>
            <w:tcBorders>
              <w:top w:val="single" w:sz="4" w:space="0" w:color="auto"/>
              <w:left w:val="single" w:sz="4" w:space="0" w:color="auto"/>
              <w:bottom w:val="single" w:sz="4" w:space="0" w:color="auto"/>
              <w:right w:val="single" w:sz="4" w:space="0" w:color="auto"/>
            </w:tcBorders>
            <w:noWrap/>
            <w:vAlign w:val="bottom"/>
            <w:hideMark/>
          </w:tcPr>
          <w:p w:rsidR="0082181F" w:rsidRPr="00330641" w:rsidRDefault="0082181F" w:rsidP="00EC3F16">
            <w:pPr>
              <w:spacing w:after="0" w:line="276" w:lineRule="auto"/>
              <w:ind w:left="0" w:right="0" w:firstLine="0"/>
              <w:jc w:val="left"/>
              <w:rPr>
                <w:rFonts w:ascii="ITC Avant Garde" w:eastAsia="Times New Roman" w:hAnsi="ITC Avant Garde" w:cs="Calibri"/>
                <w:i/>
                <w:sz w:val="18"/>
                <w:szCs w:val="18"/>
                <w:lang w:eastAsia="en-US"/>
              </w:rPr>
            </w:pPr>
            <w:r w:rsidRPr="00330641">
              <w:rPr>
                <w:rFonts w:ascii="ITC Avant Garde" w:eastAsia="Times New Roman" w:hAnsi="ITC Avant Garde" w:cs="Calibri"/>
                <w:i/>
                <w:sz w:val="18"/>
                <w:szCs w:val="18"/>
                <w:lang w:eastAsia="en-US"/>
              </w:rPr>
              <w:t>Disponibilidad de ancho de banda garantizado</w:t>
            </w:r>
          </w:p>
        </w:tc>
        <w:tc>
          <w:tcPr>
            <w:tcW w:w="5389" w:type="dxa"/>
            <w:tcBorders>
              <w:top w:val="single" w:sz="4" w:space="0" w:color="auto"/>
              <w:left w:val="single" w:sz="4" w:space="0" w:color="auto"/>
              <w:bottom w:val="single" w:sz="4" w:space="0" w:color="auto"/>
              <w:right w:val="single" w:sz="4" w:space="0" w:color="auto"/>
            </w:tcBorders>
            <w:vAlign w:val="bottom"/>
            <w:hideMark/>
          </w:tcPr>
          <w:p w:rsidR="0082181F" w:rsidRPr="00330641" w:rsidRDefault="0082181F" w:rsidP="0082181F">
            <w:pPr>
              <w:spacing w:after="0" w:line="276" w:lineRule="auto"/>
              <w:ind w:left="0" w:right="0" w:firstLine="0"/>
              <w:jc w:val="center"/>
              <w:rPr>
                <w:rFonts w:ascii="ITC Avant Garde" w:eastAsia="Times New Roman" w:hAnsi="ITC Avant Garde" w:cs="Calibri"/>
                <w:i/>
                <w:sz w:val="18"/>
                <w:szCs w:val="18"/>
                <w:lang w:eastAsia="en-US"/>
              </w:rPr>
            </w:pPr>
            <w:r w:rsidRPr="00330641">
              <w:rPr>
                <w:rFonts w:ascii="ITC Avant Garde" w:eastAsia="Times New Roman" w:hAnsi="ITC Avant Garde" w:cs="Calibri"/>
                <w:i/>
                <w:sz w:val="18"/>
                <w:szCs w:val="18"/>
                <w:lang w:eastAsia="en-US"/>
              </w:rPr>
              <w:t>100%</w:t>
            </w:r>
          </w:p>
        </w:tc>
      </w:tr>
      <w:tr w:rsidR="0082181F" w:rsidRPr="00330641" w:rsidTr="00EC3F16">
        <w:trPr>
          <w:trHeight w:val="315"/>
          <w:jc w:val="center"/>
        </w:trPr>
        <w:tc>
          <w:tcPr>
            <w:tcW w:w="2403" w:type="dxa"/>
            <w:tcBorders>
              <w:top w:val="single" w:sz="4" w:space="0" w:color="auto"/>
              <w:left w:val="single" w:sz="4" w:space="0" w:color="auto"/>
              <w:bottom w:val="single" w:sz="4" w:space="0" w:color="auto"/>
              <w:right w:val="single" w:sz="4" w:space="0" w:color="auto"/>
            </w:tcBorders>
            <w:noWrap/>
            <w:hideMark/>
          </w:tcPr>
          <w:p w:rsidR="0082181F" w:rsidRPr="00330641" w:rsidRDefault="0082181F" w:rsidP="00EC3F16">
            <w:pPr>
              <w:spacing w:after="0" w:line="276" w:lineRule="auto"/>
              <w:ind w:left="0" w:right="0" w:firstLine="0"/>
              <w:jc w:val="left"/>
              <w:rPr>
                <w:rFonts w:ascii="ITC Avant Garde" w:eastAsia="Times New Roman" w:hAnsi="ITC Avant Garde" w:cs="Calibri"/>
                <w:i/>
                <w:sz w:val="18"/>
                <w:szCs w:val="18"/>
                <w:lang w:eastAsia="en-US"/>
              </w:rPr>
            </w:pPr>
            <w:r w:rsidRPr="00330641">
              <w:rPr>
                <w:rFonts w:ascii="ITC Avant Garde" w:eastAsia="Times New Roman" w:hAnsi="ITC Avant Garde" w:cs="Calibri"/>
                <w:i/>
                <w:sz w:val="18"/>
                <w:szCs w:val="18"/>
                <w:lang w:eastAsia="en-US"/>
              </w:rPr>
              <w:t>MTU Bytes</w:t>
            </w:r>
          </w:p>
        </w:tc>
        <w:tc>
          <w:tcPr>
            <w:tcW w:w="5389" w:type="dxa"/>
            <w:tcBorders>
              <w:top w:val="single" w:sz="4" w:space="0" w:color="auto"/>
              <w:left w:val="single" w:sz="4" w:space="0" w:color="auto"/>
              <w:bottom w:val="single" w:sz="4" w:space="0" w:color="auto"/>
              <w:right w:val="single" w:sz="4" w:space="0" w:color="auto"/>
            </w:tcBorders>
            <w:hideMark/>
          </w:tcPr>
          <w:p w:rsidR="0082181F" w:rsidRPr="00330641" w:rsidRDefault="0082181F" w:rsidP="0082181F">
            <w:pPr>
              <w:spacing w:after="0" w:line="276" w:lineRule="auto"/>
              <w:ind w:left="0" w:right="0" w:firstLine="0"/>
              <w:jc w:val="center"/>
              <w:rPr>
                <w:rFonts w:ascii="ITC Avant Garde" w:eastAsia="Times New Roman" w:hAnsi="ITC Avant Garde" w:cs="Calibri"/>
                <w:i/>
                <w:sz w:val="18"/>
                <w:szCs w:val="18"/>
                <w:lang w:eastAsia="en-US"/>
              </w:rPr>
            </w:pPr>
            <w:r w:rsidRPr="00330641">
              <w:rPr>
                <w:rFonts w:ascii="ITC Avant Garde" w:eastAsia="Times New Roman" w:hAnsi="ITC Avant Garde" w:cs="Calibri"/>
                <w:i/>
                <w:sz w:val="18"/>
                <w:szCs w:val="18"/>
                <w:lang w:eastAsia="en-US"/>
              </w:rPr>
              <w:t>Mínimo 9180</w:t>
            </w:r>
          </w:p>
        </w:tc>
      </w:tr>
      <w:tr w:rsidR="0082181F" w:rsidRPr="00330641" w:rsidTr="00EC3F16">
        <w:trPr>
          <w:trHeight w:val="300"/>
          <w:jc w:val="center"/>
        </w:trPr>
        <w:tc>
          <w:tcPr>
            <w:tcW w:w="2403" w:type="dxa"/>
            <w:tcBorders>
              <w:top w:val="single" w:sz="4" w:space="0" w:color="auto"/>
              <w:left w:val="single" w:sz="4" w:space="0" w:color="auto"/>
              <w:bottom w:val="single" w:sz="4" w:space="0" w:color="auto"/>
              <w:right w:val="single" w:sz="4" w:space="0" w:color="auto"/>
            </w:tcBorders>
            <w:noWrap/>
            <w:vAlign w:val="bottom"/>
            <w:hideMark/>
          </w:tcPr>
          <w:p w:rsidR="0082181F" w:rsidRPr="00330641" w:rsidRDefault="0082181F" w:rsidP="00EC3F16">
            <w:pPr>
              <w:spacing w:after="0" w:line="276" w:lineRule="auto"/>
              <w:ind w:left="0" w:right="0" w:firstLine="0"/>
              <w:jc w:val="left"/>
              <w:rPr>
                <w:rFonts w:ascii="ITC Avant Garde" w:eastAsia="Times New Roman" w:hAnsi="ITC Avant Garde" w:cs="Calibri"/>
                <w:i/>
                <w:sz w:val="18"/>
                <w:szCs w:val="18"/>
                <w:lang w:eastAsia="en-US"/>
              </w:rPr>
            </w:pPr>
            <w:r w:rsidRPr="00330641">
              <w:rPr>
                <w:rFonts w:ascii="ITC Avant Garde" w:eastAsia="Times New Roman" w:hAnsi="ITC Avant Garde" w:cs="Calibri"/>
                <w:i/>
                <w:sz w:val="18"/>
                <w:szCs w:val="18"/>
                <w:lang w:eastAsia="en-US"/>
              </w:rPr>
              <w:t>Perdida de paquetes</w:t>
            </w:r>
          </w:p>
        </w:tc>
        <w:tc>
          <w:tcPr>
            <w:tcW w:w="5389" w:type="dxa"/>
            <w:tcBorders>
              <w:top w:val="single" w:sz="4" w:space="0" w:color="auto"/>
              <w:left w:val="single" w:sz="4" w:space="0" w:color="auto"/>
              <w:bottom w:val="single" w:sz="4" w:space="0" w:color="auto"/>
              <w:right w:val="single" w:sz="4" w:space="0" w:color="auto"/>
            </w:tcBorders>
            <w:vAlign w:val="bottom"/>
            <w:hideMark/>
          </w:tcPr>
          <w:p w:rsidR="0082181F" w:rsidRPr="00330641" w:rsidRDefault="0082181F" w:rsidP="0082181F">
            <w:pPr>
              <w:spacing w:after="0" w:line="276" w:lineRule="auto"/>
              <w:ind w:left="0" w:right="0" w:firstLine="0"/>
              <w:jc w:val="center"/>
              <w:rPr>
                <w:rFonts w:ascii="ITC Avant Garde" w:eastAsia="Times New Roman" w:hAnsi="ITC Avant Garde" w:cs="Calibri"/>
                <w:i/>
                <w:sz w:val="18"/>
                <w:szCs w:val="18"/>
                <w:lang w:eastAsia="en-US"/>
              </w:rPr>
            </w:pPr>
            <w:r w:rsidRPr="00330641">
              <w:rPr>
                <w:rFonts w:ascii="ITC Avant Garde" w:eastAsia="Times New Roman" w:hAnsi="ITC Avant Garde" w:cs="Calibri"/>
                <w:i/>
                <w:sz w:val="18"/>
                <w:szCs w:val="18"/>
                <w:lang w:eastAsia="en-US"/>
              </w:rPr>
              <w:t>Menor a 0.1%</w:t>
            </w:r>
          </w:p>
        </w:tc>
      </w:tr>
      <w:tr w:rsidR="0082181F" w:rsidRPr="00330641" w:rsidTr="00EC3F16">
        <w:trPr>
          <w:trHeight w:val="300"/>
          <w:jc w:val="center"/>
        </w:trPr>
        <w:tc>
          <w:tcPr>
            <w:tcW w:w="2403" w:type="dxa"/>
            <w:tcBorders>
              <w:top w:val="single" w:sz="4" w:space="0" w:color="auto"/>
              <w:left w:val="single" w:sz="4" w:space="0" w:color="auto"/>
              <w:bottom w:val="single" w:sz="4" w:space="0" w:color="auto"/>
              <w:right w:val="single" w:sz="4" w:space="0" w:color="auto"/>
            </w:tcBorders>
            <w:noWrap/>
            <w:vAlign w:val="bottom"/>
            <w:hideMark/>
          </w:tcPr>
          <w:p w:rsidR="0082181F" w:rsidRPr="00330641" w:rsidRDefault="0082181F" w:rsidP="00EC3F16">
            <w:pPr>
              <w:spacing w:after="0" w:line="276" w:lineRule="auto"/>
              <w:ind w:left="0" w:right="0" w:firstLine="0"/>
              <w:jc w:val="left"/>
              <w:rPr>
                <w:rFonts w:ascii="ITC Avant Garde" w:eastAsia="Times New Roman" w:hAnsi="ITC Avant Garde" w:cs="Calibri"/>
                <w:i/>
                <w:sz w:val="18"/>
                <w:szCs w:val="18"/>
                <w:lang w:eastAsia="en-US"/>
              </w:rPr>
            </w:pPr>
            <w:r w:rsidRPr="00330641">
              <w:rPr>
                <w:rFonts w:ascii="ITC Avant Garde" w:eastAsia="Times New Roman" w:hAnsi="ITC Avant Garde" w:cs="Calibri"/>
                <w:i/>
                <w:sz w:val="18"/>
                <w:szCs w:val="18"/>
                <w:lang w:eastAsia="en-US"/>
              </w:rPr>
              <w:t xml:space="preserve">Reflejar alarma link </w:t>
            </w:r>
            <w:proofErr w:type="spellStart"/>
            <w:r w:rsidRPr="00330641">
              <w:rPr>
                <w:rFonts w:ascii="ITC Avant Garde" w:eastAsia="Times New Roman" w:hAnsi="ITC Avant Garde" w:cs="Calibri"/>
                <w:i/>
                <w:sz w:val="18"/>
                <w:szCs w:val="18"/>
                <w:lang w:eastAsia="en-US"/>
              </w:rPr>
              <w:t>loss</w:t>
            </w:r>
            <w:proofErr w:type="spellEnd"/>
            <w:r w:rsidRPr="00330641">
              <w:rPr>
                <w:rFonts w:ascii="ITC Avant Garde" w:eastAsia="Times New Roman" w:hAnsi="ITC Avant Garde" w:cs="Calibri"/>
                <w:i/>
                <w:sz w:val="18"/>
                <w:szCs w:val="18"/>
                <w:lang w:eastAsia="en-US"/>
              </w:rPr>
              <w:t xml:space="preserve"> </w:t>
            </w:r>
            <w:proofErr w:type="spellStart"/>
            <w:r w:rsidRPr="00330641">
              <w:rPr>
                <w:rFonts w:ascii="ITC Avant Garde" w:eastAsia="Times New Roman" w:hAnsi="ITC Avant Garde" w:cs="Calibri"/>
                <w:i/>
                <w:sz w:val="18"/>
                <w:szCs w:val="18"/>
                <w:lang w:eastAsia="en-US"/>
              </w:rPr>
              <w:t>forwarding</w:t>
            </w:r>
            <w:proofErr w:type="spellEnd"/>
          </w:p>
        </w:tc>
        <w:tc>
          <w:tcPr>
            <w:tcW w:w="5389" w:type="dxa"/>
            <w:tcBorders>
              <w:top w:val="single" w:sz="4" w:space="0" w:color="auto"/>
              <w:left w:val="single" w:sz="4" w:space="0" w:color="auto"/>
              <w:bottom w:val="single" w:sz="4" w:space="0" w:color="auto"/>
              <w:right w:val="single" w:sz="4" w:space="0" w:color="auto"/>
            </w:tcBorders>
            <w:vAlign w:val="bottom"/>
            <w:hideMark/>
          </w:tcPr>
          <w:p w:rsidR="0082181F" w:rsidRPr="00330641" w:rsidRDefault="0082181F" w:rsidP="0082181F">
            <w:pPr>
              <w:spacing w:after="0" w:line="276" w:lineRule="auto"/>
              <w:ind w:left="0" w:right="0" w:firstLine="0"/>
              <w:jc w:val="center"/>
              <w:rPr>
                <w:rFonts w:ascii="ITC Avant Garde" w:eastAsia="Times New Roman" w:hAnsi="ITC Avant Garde" w:cs="Calibri"/>
                <w:i/>
                <w:sz w:val="18"/>
                <w:szCs w:val="18"/>
                <w:lang w:eastAsia="en-US"/>
              </w:rPr>
            </w:pPr>
            <w:r w:rsidRPr="00330641">
              <w:rPr>
                <w:rFonts w:ascii="ITC Avant Garde" w:eastAsia="Times New Roman" w:hAnsi="ITC Avant Garde" w:cs="Calibri"/>
                <w:i/>
                <w:sz w:val="18"/>
                <w:szCs w:val="18"/>
                <w:lang w:eastAsia="en-US"/>
              </w:rPr>
              <w:t>Si</w:t>
            </w:r>
          </w:p>
        </w:tc>
      </w:tr>
      <w:tr w:rsidR="0082181F" w:rsidRPr="00330641" w:rsidTr="00EC3F16">
        <w:trPr>
          <w:trHeight w:val="300"/>
          <w:jc w:val="center"/>
        </w:trPr>
        <w:tc>
          <w:tcPr>
            <w:tcW w:w="2403" w:type="dxa"/>
            <w:tcBorders>
              <w:top w:val="single" w:sz="4" w:space="0" w:color="auto"/>
              <w:left w:val="single" w:sz="4" w:space="0" w:color="auto"/>
              <w:bottom w:val="single" w:sz="4" w:space="0" w:color="auto"/>
              <w:right w:val="single" w:sz="4" w:space="0" w:color="auto"/>
            </w:tcBorders>
            <w:noWrap/>
            <w:vAlign w:val="bottom"/>
            <w:hideMark/>
          </w:tcPr>
          <w:p w:rsidR="0082181F" w:rsidRPr="00330641" w:rsidRDefault="0082181F" w:rsidP="00EC3F16">
            <w:pPr>
              <w:spacing w:after="0" w:line="276" w:lineRule="auto"/>
              <w:ind w:left="0" w:right="0" w:firstLine="0"/>
              <w:jc w:val="left"/>
              <w:rPr>
                <w:rFonts w:ascii="ITC Avant Garde" w:eastAsia="Times New Roman" w:hAnsi="ITC Avant Garde" w:cs="Calibri"/>
                <w:i/>
                <w:sz w:val="18"/>
                <w:szCs w:val="18"/>
                <w:lang w:eastAsia="en-US"/>
              </w:rPr>
            </w:pPr>
            <w:r w:rsidRPr="00330641">
              <w:rPr>
                <w:rFonts w:ascii="ITC Avant Garde" w:eastAsia="Times New Roman" w:hAnsi="ITC Avant Garde" w:cs="Calibri"/>
                <w:i/>
                <w:sz w:val="18"/>
                <w:szCs w:val="18"/>
                <w:lang w:eastAsia="en-US"/>
              </w:rPr>
              <w:t>Latencia Milisegundos</w:t>
            </w:r>
          </w:p>
        </w:tc>
        <w:tc>
          <w:tcPr>
            <w:tcW w:w="5389" w:type="dxa"/>
            <w:tcBorders>
              <w:top w:val="single" w:sz="4" w:space="0" w:color="auto"/>
              <w:left w:val="single" w:sz="4" w:space="0" w:color="auto"/>
              <w:bottom w:val="single" w:sz="4" w:space="0" w:color="auto"/>
              <w:right w:val="single" w:sz="4" w:space="0" w:color="auto"/>
            </w:tcBorders>
            <w:vAlign w:val="bottom"/>
            <w:hideMark/>
          </w:tcPr>
          <w:p w:rsidR="0082181F" w:rsidRPr="00330641" w:rsidRDefault="0082181F" w:rsidP="0082181F">
            <w:pPr>
              <w:spacing w:after="0" w:line="276" w:lineRule="auto"/>
              <w:ind w:left="0" w:right="0" w:firstLine="0"/>
              <w:jc w:val="center"/>
              <w:rPr>
                <w:rFonts w:ascii="ITC Avant Garde" w:eastAsia="Times New Roman" w:hAnsi="ITC Avant Garde" w:cs="Calibri"/>
                <w:i/>
                <w:sz w:val="18"/>
                <w:szCs w:val="18"/>
                <w:lang w:eastAsia="en-US"/>
              </w:rPr>
            </w:pPr>
            <w:r w:rsidRPr="00330641">
              <w:rPr>
                <w:rFonts w:ascii="ITC Avant Garde" w:eastAsia="Times New Roman" w:hAnsi="ITC Avant Garde" w:cs="Calibri"/>
                <w:i/>
                <w:sz w:val="18"/>
                <w:szCs w:val="18"/>
                <w:lang w:eastAsia="en-US"/>
              </w:rPr>
              <w:t>(se establece en base a un estimado)</w:t>
            </w:r>
          </w:p>
        </w:tc>
      </w:tr>
      <w:tr w:rsidR="0082181F" w:rsidRPr="00330641" w:rsidTr="00EC3F16">
        <w:trPr>
          <w:trHeight w:val="300"/>
          <w:jc w:val="center"/>
        </w:trPr>
        <w:tc>
          <w:tcPr>
            <w:tcW w:w="2403" w:type="dxa"/>
            <w:tcBorders>
              <w:top w:val="single" w:sz="4" w:space="0" w:color="auto"/>
              <w:left w:val="single" w:sz="4" w:space="0" w:color="auto"/>
              <w:bottom w:val="single" w:sz="4" w:space="0" w:color="auto"/>
              <w:right w:val="single" w:sz="4" w:space="0" w:color="auto"/>
            </w:tcBorders>
            <w:noWrap/>
            <w:vAlign w:val="bottom"/>
            <w:hideMark/>
          </w:tcPr>
          <w:p w:rsidR="0082181F" w:rsidRPr="00330641" w:rsidRDefault="0082181F" w:rsidP="00EC3F16">
            <w:pPr>
              <w:spacing w:after="0" w:line="276" w:lineRule="auto"/>
              <w:ind w:left="0" w:right="0" w:firstLine="0"/>
              <w:jc w:val="left"/>
              <w:rPr>
                <w:rFonts w:ascii="ITC Avant Garde" w:eastAsia="Times New Roman" w:hAnsi="ITC Avant Garde" w:cs="Calibri"/>
                <w:i/>
                <w:sz w:val="18"/>
                <w:szCs w:val="18"/>
                <w:lang w:eastAsia="en-US"/>
              </w:rPr>
            </w:pPr>
            <w:r w:rsidRPr="00330641">
              <w:rPr>
                <w:rFonts w:ascii="ITC Avant Garde" w:eastAsia="Times New Roman" w:hAnsi="ITC Avant Garde" w:cs="Calibri"/>
                <w:i/>
                <w:sz w:val="18"/>
                <w:szCs w:val="18"/>
                <w:lang w:eastAsia="en-US"/>
              </w:rPr>
              <w:t>Sin sobre suscripción (enlace dedicado)</w:t>
            </w:r>
          </w:p>
        </w:tc>
        <w:tc>
          <w:tcPr>
            <w:tcW w:w="5389" w:type="dxa"/>
            <w:tcBorders>
              <w:top w:val="single" w:sz="4" w:space="0" w:color="auto"/>
              <w:left w:val="single" w:sz="4" w:space="0" w:color="auto"/>
              <w:bottom w:val="single" w:sz="4" w:space="0" w:color="auto"/>
              <w:right w:val="single" w:sz="4" w:space="0" w:color="auto"/>
            </w:tcBorders>
            <w:vAlign w:val="bottom"/>
            <w:hideMark/>
          </w:tcPr>
          <w:p w:rsidR="0082181F" w:rsidRPr="00330641" w:rsidRDefault="0082181F" w:rsidP="0082181F">
            <w:pPr>
              <w:spacing w:after="0" w:line="276" w:lineRule="auto"/>
              <w:ind w:left="0" w:right="0" w:firstLine="0"/>
              <w:jc w:val="center"/>
              <w:rPr>
                <w:rFonts w:ascii="ITC Avant Garde" w:eastAsia="Times New Roman" w:hAnsi="ITC Avant Garde" w:cs="Calibri"/>
                <w:i/>
                <w:sz w:val="18"/>
                <w:szCs w:val="18"/>
                <w:lang w:eastAsia="en-US"/>
              </w:rPr>
            </w:pPr>
            <w:r w:rsidRPr="00330641">
              <w:rPr>
                <w:rFonts w:ascii="ITC Avant Garde" w:eastAsia="Times New Roman" w:hAnsi="ITC Avant Garde" w:cs="Calibri"/>
                <w:i/>
                <w:sz w:val="18"/>
                <w:szCs w:val="18"/>
                <w:lang w:eastAsia="en-US"/>
              </w:rPr>
              <w:t>Si</w:t>
            </w:r>
          </w:p>
        </w:tc>
      </w:tr>
      <w:tr w:rsidR="0082181F" w:rsidRPr="00330641" w:rsidTr="00EC3F16">
        <w:trPr>
          <w:trHeight w:val="300"/>
          <w:jc w:val="center"/>
        </w:trPr>
        <w:tc>
          <w:tcPr>
            <w:tcW w:w="2403" w:type="dxa"/>
            <w:tcBorders>
              <w:top w:val="single" w:sz="4" w:space="0" w:color="auto"/>
              <w:left w:val="single" w:sz="4" w:space="0" w:color="auto"/>
              <w:bottom w:val="single" w:sz="4" w:space="0" w:color="auto"/>
              <w:right w:val="single" w:sz="4" w:space="0" w:color="auto"/>
            </w:tcBorders>
            <w:noWrap/>
            <w:vAlign w:val="bottom"/>
            <w:hideMark/>
          </w:tcPr>
          <w:p w:rsidR="0082181F" w:rsidRPr="00330641" w:rsidRDefault="0082181F" w:rsidP="00EC3F16">
            <w:pPr>
              <w:spacing w:after="0" w:line="276" w:lineRule="auto"/>
              <w:ind w:left="0" w:right="0" w:firstLine="0"/>
              <w:jc w:val="left"/>
              <w:rPr>
                <w:rFonts w:ascii="ITC Avant Garde" w:eastAsia="Times New Roman" w:hAnsi="ITC Avant Garde" w:cs="Calibri"/>
                <w:i/>
                <w:sz w:val="18"/>
                <w:szCs w:val="18"/>
                <w:lang w:eastAsia="en-US"/>
              </w:rPr>
            </w:pPr>
            <w:r w:rsidRPr="00330641">
              <w:rPr>
                <w:rFonts w:ascii="ITC Avant Garde" w:eastAsia="Times New Roman" w:hAnsi="ITC Avant Garde" w:cs="Calibri"/>
                <w:i/>
                <w:sz w:val="18"/>
                <w:szCs w:val="18"/>
                <w:lang w:eastAsia="en-US"/>
              </w:rPr>
              <w:t>Sin restricción para manejos de protocolos IP y capa 2</w:t>
            </w:r>
          </w:p>
        </w:tc>
        <w:tc>
          <w:tcPr>
            <w:tcW w:w="5389" w:type="dxa"/>
            <w:tcBorders>
              <w:top w:val="single" w:sz="4" w:space="0" w:color="auto"/>
              <w:left w:val="single" w:sz="4" w:space="0" w:color="auto"/>
              <w:bottom w:val="single" w:sz="4" w:space="0" w:color="auto"/>
              <w:right w:val="single" w:sz="4" w:space="0" w:color="auto"/>
            </w:tcBorders>
            <w:vAlign w:val="bottom"/>
            <w:hideMark/>
          </w:tcPr>
          <w:p w:rsidR="0082181F" w:rsidRPr="00330641" w:rsidRDefault="0082181F" w:rsidP="0082181F">
            <w:pPr>
              <w:spacing w:after="0" w:line="276" w:lineRule="auto"/>
              <w:ind w:left="0" w:right="0" w:firstLine="0"/>
              <w:jc w:val="center"/>
              <w:rPr>
                <w:rFonts w:ascii="ITC Avant Garde" w:eastAsia="Times New Roman" w:hAnsi="ITC Avant Garde" w:cs="Calibri"/>
                <w:i/>
                <w:sz w:val="18"/>
                <w:szCs w:val="18"/>
                <w:lang w:eastAsia="en-US"/>
              </w:rPr>
            </w:pPr>
            <w:r w:rsidRPr="00330641">
              <w:rPr>
                <w:rFonts w:ascii="ITC Avant Garde" w:eastAsia="Times New Roman" w:hAnsi="ITC Avant Garde" w:cs="Calibri"/>
                <w:i/>
                <w:sz w:val="18"/>
                <w:szCs w:val="18"/>
                <w:lang w:eastAsia="en-US"/>
              </w:rPr>
              <w:t>Si</w:t>
            </w:r>
          </w:p>
        </w:tc>
      </w:tr>
      <w:tr w:rsidR="00B72977" w:rsidRPr="00330641" w:rsidTr="00B72977">
        <w:trPr>
          <w:trHeight w:val="300"/>
          <w:jc w:val="center"/>
        </w:trPr>
        <w:tc>
          <w:tcPr>
            <w:tcW w:w="7792" w:type="dxa"/>
            <w:gridSpan w:val="2"/>
            <w:tcBorders>
              <w:top w:val="single" w:sz="4" w:space="0" w:color="auto"/>
              <w:left w:val="nil"/>
              <w:bottom w:val="single" w:sz="4" w:space="0" w:color="auto"/>
              <w:right w:val="nil"/>
            </w:tcBorders>
            <w:noWrap/>
            <w:vAlign w:val="bottom"/>
          </w:tcPr>
          <w:p w:rsidR="00B72977" w:rsidRPr="00330641" w:rsidRDefault="00B72977" w:rsidP="0082181F">
            <w:pPr>
              <w:spacing w:after="0" w:line="276" w:lineRule="auto"/>
              <w:ind w:left="0" w:right="0" w:firstLine="0"/>
              <w:jc w:val="center"/>
              <w:rPr>
                <w:rFonts w:ascii="ITC Avant Garde" w:eastAsia="Times New Roman" w:hAnsi="ITC Avant Garde" w:cs="Calibri"/>
                <w:i/>
                <w:sz w:val="18"/>
                <w:szCs w:val="18"/>
                <w:lang w:eastAsia="en-US"/>
              </w:rPr>
            </w:pPr>
          </w:p>
        </w:tc>
      </w:tr>
      <w:tr w:rsidR="0082181F" w:rsidRPr="00330641" w:rsidTr="00EC3F16">
        <w:trPr>
          <w:trHeight w:val="315"/>
          <w:jc w:val="center"/>
        </w:trPr>
        <w:tc>
          <w:tcPr>
            <w:tcW w:w="7792" w:type="dxa"/>
            <w:gridSpan w:val="2"/>
            <w:tcBorders>
              <w:top w:val="single" w:sz="4" w:space="0" w:color="auto"/>
              <w:left w:val="single" w:sz="4" w:space="0" w:color="auto"/>
              <w:bottom w:val="single" w:sz="4" w:space="0" w:color="auto"/>
              <w:right w:val="single" w:sz="4" w:space="0" w:color="auto"/>
            </w:tcBorders>
            <w:noWrap/>
            <w:vAlign w:val="bottom"/>
            <w:hideMark/>
          </w:tcPr>
          <w:p w:rsidR="0082181F" w:rsidRPr="00330641" w:rsidRDefault="00B72977" w:rsidP="0082181F">
            <w:pPr>
              <w:spacing w:after="0" w:line="276" w:lineRule="auto"/>
              <w:ind w:left="0" w:right="0" w:firstLine="0"/>
              <w:jc w:val="center"/>
              <w:rPr>
                <w:rFonts w:ascii="ITC Avant Garde" w:eastAsia="Times New Roman" w:hAnsi="ITC Avant Garde" w:cs="Calibri"/>
                <w:i/>
                <w:sz w:val="18"/>
                <w:szCs w:val="18"/>
                <w:lang w:eastAsia="en-US"/>
              </w:rPr>
            </w:pPr>
            <w:r w:rsidRPr="00330641">
              <w:rPr>
                <w:rFonts w:ascii="ITC Avant Garde" w:eastAsia="Times New Roman" w:hAnsi="ITC Avant Garde" w:cs="Calibri"/>
                <w:i/>
                <w:sz w:val="18"/>
                <w:szCs w:val="18"/>
                <w:lang w:eastAsia="en-US"/>
              </w:rPr>
              <w:t>DETALLES TÉCNICOS DE LA ENTREGA DEL ENLACE</w:t>
            </w:r>
          </w:p>
        </w:tc>
      </w:tr>
      <w:tr w:rsidR="0082181F" w:rsidRPr="00330641" w:rsidTr="00EC3F16">
        <w:trPr>
          <w:trHeight w:val="315"/>
          <w:jc w:val="center"/>
        </w:trPr>
        <w:tc>
          <w:tcPr>
            <w:tcW w:w="2403" w:type="dxa"/>
            <w:tcBorders>
              <w:top w:val="single" w:sz="4" w:space="0" w:color="auto"/>
              <w:left w:val="single" w:sz="4" w:space="0" w:color="auto"/>
              <w:bottom w:val="single" w:sz="4" w:space="0" w:color="auto"/>
              <w:right w:val="single" w:sz="4" w:space="0" w:color="auto"/>
            </w:tcBorders>
            <w:noWrap/>
            <w:vAlign w:val="bottom"/>
            <w:hideMark/>
          </w:tcPr>
          <w:p w:rsidR="0082181F" w:rsidRPr="00330641" w:rsidRDefault="0082181F" w:rsidP="00EC3F16">
            <w:pPr>
              <w:spacing w:after="0" w:line="276" w:lineRule="auto"/>
              <w:ind w:left="0" w:right="0" w:firstLine="0"/>
              <w:jc w:val="left"/>
              <w:rPr>
                <w:rFonts w:ascii="ITC Avant Garde" w:eastAsia="Times New Roman" w:hAnsi="ITC Avant Garde" w:cs="Calibri"/>
                <w:i/>
                <w:sz w:val="18"/>
                <w:szCs w:val="18"/>
                <w:lang w:eastAsia="en-US"/>
              </w:rPr>
            </w:pPr>
            <w:r w:rsidRPr="00330641">
              <w:rPr>
                <w:rFonts w:ascii="ITC Avant Garde" w:eastAsia="Times New Roman" w:hAnsi="ITC Avant Garde" w:cs="Calibri"/>
                <w:i/>
                <w:sz w:val="18"/>
                <w:szCs w:val="18"/>
                <w:lang w:eastAsia="en-US"/>
              </w:rPr>
              <w:t>Tipo de prueba</w:t>
            </w:r>
          </w:p>
        </w:tc>
        <w:tc>
          <w:tcPr>
            <w:tcW w:w="5389" w:type="dxa"/>
            <w:tcBorders>
              <w:top w:val="single" w:sz="4" w:space="0" w:color="auto"/>
              <w:left w:val="single" w:sz="4" w:space="0" w:color="auto"/>
              <w:bottom w:val="single" w:sz="4" w:space="0" w:color="auto"/>
              <w:right w:val="single" w:sz="4" w:space="0" w:color="auto"/>
            </w:tcBorders>
            <w:vAlign w:val="bottom"/>
            <w:hideMark/>
          </w:tcPr>
          <w:p w:rsidR="0082181F" w:rsidRPr="00330641" w:rsidRDefault="0082181F" w:rsidP="0082181F">
            <w:pPr>
              <w:spacing w:after="0" w:line="276" w:lineRule="auto"/>
              <w:ind w:left="0" w:right="0" w:firstLine="0"/>
              <w:jc w:val="center"/>
              <w:rPr>
                <w:rFonts w:ascii="ITC Avant Garde" w:eastAsia="Times New Roman" w:hAnsi="ITC Avant Garde" w:cs="Calibri"/>
                <w:i/>
                <w:sz w:val="18"/>
                <w:szCs w:val="18"/>
                <w:lang w:eastAsia="en-US"/>
              </w:rPr>
            </w:pPr>
            <w:r w:rsidRPr="00330641">
              <w:rPr>
                <w:rFonts w:ascii="ITC Avant Garde" w:eastAsia="Times New Roman" w:hAnsi="ITC Avant Garde" w:cs="Calibri"/>
                <w:i/>
                <w:sz w:val="18"/>
                <w:szCs w:val="18"/>
                <w:lang w:eastAsia="en-US"/>
              </w:rPr>
              <w:t>RFC2455/Y1564/BERT/Trafico Constante</w:t>
            </w:r>
          </w:p>
        </w:tc>
      </w:tr>
      <w:tr w:rsidR="0082181F" w:rsidRPr="00330641" w:rsidTr="00EC3F16">
        <w:trPr>
          <w:trHeight w:val="315"/>
          <w:jc w:val="center"/>
        </w:trPr>
        <w:tc>
          <w:tcPr>
            <w:tcW w:w="2403" w:type="dxa"/>
            <w:tcBorders>
              <w:top w:val="single" w:sz="4" w:space="0" w:color="auto"/>
              <w:left w:val="single" w:sz="4" w:space="0" w:color="auto"/>
              <w:bottom w:val="single" w:sz="4" w:space="0" w:color="auto"/>
              <w:right w:val="single" w:sz="4" w:space="0" w:color="auto"/>
            </w:tcBorders>
            <w:noWrap/>
            <w:hideMark/>
          </w:tcPr>
          <w:p w:rsidR="0082181F" w:rsidRPr="00330641" w:rsidRDefault="0082181F" w:rsidP="00EC3F16">
            <w:pPr>
              <w:spacing w:after="0" w:line="276" w:lineRule="auto"/>
              <w:ind w:left="0" w:right="0" w:firstLine="0"/>
              <w:jc w:val="left"/>
              <w:rPr>
                <w:rFonts w:ascii="ITC Avant Garde" w:eastAsia="Times New Roman" w:hAnsi="ITC Avant Garde" w:cs="Calibri"/>
                <w:i/>
                <w:sz w:val="18"/>
                <w:szCs w:val="18"/>
                <w:lang w:eastAsia="en-US"/>
              </w:rPr>
            </w:pPr>
            <w:r w:rsidRPr="00330641">
              <w:rPr>
                <w:rFonts w:ascii="ITC Avant Garde" w:eastAsia="Times New Roman" w:hAnsi="ITC Avant Garde" w:cs="Calibri"/>
                <w:i/>
                <w:sz w:val="18"/>
                <w:szCs w:val="18"/>
                <w:lang w:eastAsia="en-US"/>
              </w:rPr>
              <w:t>Duración de la prueba</w:t>
            </w:r>
          </w:p>
        </w:tc>
        <w:tc>
          <w:tcPr>
            <w:tcW w:w="5389" w:type="dxa"/>
            <w:tcBorders>
              <w:top w:val="single" w:sz="4" w:space="0" w:color="auto"/>
              <w:left w:val="single" w:sz="4" w:space="0" w:color="auto"/>
              <w:bottom w:val="single" w:sz="4" w:space="0" w:color="auto"/>
              <w:right w:val="single" w:sz="4" w:space="0" w:color="auto"/>
            </w:tcBorders>
            <w:hideMark/>
          </w:tcPr>
          <w:p w:rsidR="0082181F" w:rsidRPr="00330641" w:rsidRDefault="0082181F" w:rsidP="0082181F">
            <w:pPr>
              <w:spacing w:after="0" w:line="276" w:lineRule="auto"/>
              <w:ind w:left="0" w:right="0" w:firstLine="0"/>
              <w:jc w:val="center"/>
              <w:rPr>
                <w:rFonts w:ascii="ITC Avant Garde" w:eastAsia="Times New Roman" w:hAnsi="ITC Avant Garde" w:cs="Calibri"/>
                <w:i/>
                <w:sz w:val="18"/>
                <w:szCs w:val="18"/>
                <w:lang w:eastAsia="en-US"/>
              </w:rPr>
            </w:pPr>
            <w:r w:rsidRPr="00330641">
              <w:rPr>
                <w:rFonts w:ascii="ITC Avant Garde" w:eastAsia="Times New Roman" w:hAnsi="ITC Avant Garde" w:cs="Calibri"/>
                <w:i/>
                <w:sz w:val="18"/>
                <w:szCs w:val="18"/>
                <w:lang w:eastAsia="en-US"/>
              </w:rPr>
              <w:t>HH:MM</w:t>
            </w:r>
          </w:p>
        </w:tc>
      </w:tr>
      <w:tr w:rsidR="0082181F" w:rsidRPr="00330641" w:rsidTr="00EC3F16">
        <w:trPr>
          <w:trHeight w:val="300"/>
          <w:jc w:val="center"/>
        </w:trPr>
        <w:tc>
          <w:tcPr>
            <w:tcW w:w="2403" w:type="dxa"/>
            <w:tcBorders>
              <w:top w:val="single" w:sz="4" w:space="0" w:color="auto"/>
              <w:left w:val="single" w:sz="4" w:space="0" w:color="auto"/>
              <w:bottom w:val="single" w:sz="4" w:space="0" w:color="auto"/>
              <w:right w:val="single" w:sz="4" w:space="0" w:color="auto"/>
            </w:tcBorders>
            <w:noWrap/>
            <w:vAlign w:val="bottom"/>
            <w:hideMark/>
          </w:tcPr>
          <w:p w:rsidR="0082181F" w:rsidRPr="00330641" w:rsidRDefault="0082181F" w:rsidP="00EC3F16">
            <w:pPr>
              <w:spacing w:after="0" w:line="276" w:lineRule="auto"/>
              <w:ind w:left="0" w:right="0" w:firstLine="0"/>
              <w:jc w:val="left"/>
              <w:rPr>
                <w:rFonts w:ascii="ITC Avant Garde" w:eastAsia="Times New Roman" w:hAnsi="ITC Avant Garde" w:cs="Calibri"/>
                <w:i/>
                <w:sz w:val="18"/>
                <w:szCs w:val="18"/>
                <w:lang w:eastAsia="en-US"/>
              </w:rPr>
            </w:pPr>
            <w:r w:rsidRPr="00330641">
              <w:rPr>
                <w:rFonts w:ascii="ITC Avant Garde" w:eastAsia="Times New Roman" w:hAnsi="ITC Avant Garde" w:cs="Calibri"/>
                <w:i/>
                <w:sz w:val="18"/>
                <w:szCs w:val="18"/>
                <w:lang w:eastAsia="en-US"/>
              </w:rPr>
              <w:t>Tipo de auto negociación</w:t>
            </w:r>
          </w:p>
        </w:tc>
        <w:tc>
          <w:tcPr>
            <w:tcW w:w="5389" w:type="dxa"/>
            <w:tcBorders>
              <w:top w:val="single" w:sz="4" w:space="0" w:color="auto"/>
              <w:left w:val="single" w:sz="4" w:space="0" w:color="auto"/>
              <w:bottom w:val="single" w:sz="4" w:space="0" w:color="auto"/>
              <w:right w:val="single" w:sz="4" w:space="0" w:color="auto"/>
            </w:tcBorders>
            <w:vAlign w:val="bottom"/>
            <w:hideMark/>
          </w:tcPr>
          <w:p w:rsidR="0082181F" w:rsidRPr="00330641" w:rsidRDefault="0082181F" w:rsidP="0082181F">
            <w:pPr>
              <w:spacing w:after="0" w:line="276" w:lineRule="auto"/>
              <w:ind w:left="0" w:right="0" w:firstLine="0"/>
              <w:jc w:val="center"/>
              <w:rPr>
                <w:rFonts w:ascii="ITC Avant Garde" w:eastAsia="Times New Roman" w:hAnsi="ITC Avant Garde" w:cs="Calibri"/>
                <w:i/>
                <w:sz w:val="18"/>
                <w:szCs w:val="18"/>
                <w:lang w:eastAsia="en-US"/>
              </w:rPr>
            </w:pPr>
            <w:r w:rsidRPr="00330641">
              <w:rPr>
                <w:rFonts w:ascii="ITC Avant Garde" w:eastAsia="Times New Roman" w:hAnsi="ITC Avant Garde" w:cs="Calibri"/>
                <w:i/>
                <w:sz w:val="18"/>
                <w:szCs w:val="18"/>
                <w:lang w:eastAsia="en-US"/>
              </w:rPr>
              <w:t>Manual/</w:t>
            </w:r>
            <w:r w:rsidR="00E662C7" w:rsidRPr="00330641">
              <w:rPr>
                <w:rFonts w:ascii="ITC Avant Garde" w:eastAsia="Times New Roman" w:hAnsi="ITC Avant Garde" w:cs="Calibri"/>
                <w:i/>
                <w:sz w:val="18"/>
                <w:szCs w:val="18"/>
                <w:lang w:eastAsia="en-US"/>
              </w:rPr>
              <w:t>Automático</w:t>
            </w:r>
          </w:p>
        </w:tc>
      </w:tr>
    </w:tbl>
    <w:p w:rsidR="001E6D57" w:rsidRPr="00330641" w:rsidRDefault="001E6D57" w:rsidP="000F58E0">
      <w:pPr>
        <w:spacing w:after="0" w:line="276" w:lineRule="auto"/>
        <w:ind w:left="0" w:right="0" w:firstLine="0"/>
        <w:rPr>
          <w:rFonts w:ascii="ITC Avant Garde" w:hAnsi="ITC Avant Garde"/>
          <w:b/>
          <w:color w:val="auto"/>
        </w:rPr>
      </w:pPr>
    </w:p>
    <w:p w:rsidR="00833A7D" w:rsidRPr="00330641" w:rsidRDefault="00CD7852" w:rsidP="000F58E0">
      <w:pPr>
        <w:spacing w:after="0" w:line="276" w:lineRule="auto"/>
        <w:ind w:left="0" w:right="0" w:firstLine="0"/>
        <w:rPr>
          <w:rFonts w:ascii="ITC Avant Garde" w:hAnsi="ITC Avant Garde"/>
          <w:b/>
          <w:color w:val="auto"/>
        </w:rPr>
      </w:pPr>
      <w:r w:rsidRPr="00330641">
        <w:rPr>
          <w:rFonts w:ascii="ITC Avant Garde" w:hAnsi="ITC Avant Garde"/>
          <w:b/>
          <w:color w:val="auto"/>
        </w:rPr>
        <w:t>GRUPO AT&amp;T</w:t>
      </w:r>
      <w:r w:rsidR="008D3AB6" w:rsidRPr="00330641">
        <w:rPr>
          <w:rFonts w:ascii="ITC Avant Garde" w:hAnsi="ITC Avant Garde"/>
          <w:b/>
          <w:color w:val="auto"/>
        </w:rPr>
        <w:t>:</w:t>
      </w:r>
    </w:p>
    <w:p w:rsidR="002C0ADE" w:rsidRPr="00330641" w:rsidRDefault="00F02645" w:rsidP="000F58E0">
      <w:pPr>
        <w:spacing w:after="0" w:line="276" w:lineRule="auto"/>
        <w:ind w:left="0" w:right="0" w:firstLine="0"/>
        <w:rPr>
          <w:rFonts w:ascii="ITC Avant Garde" w:hAnsi="ITC Avant Garde"/>
          <w:color w:val="auto"/>
        </w:rPr>
      </w:pPr>
      <w:r>
        <w:rPr>
          <w:rFonts w:ascii="ITC Avant Garde" w:hAnsi="ITC Avant Garde"/>
          <w:color w:val="auto"/>
        </w:rPr>
        <w:t>Sugirió</w:t>
      </w:r>
      <w:r w:rsidR="002C0ADE" w:rsidRPr="00330641">
        <w:rPr>
          <w:rFonts w:ascii="ITC Avant Garde" w:hAnsi="ITC Avant Garde"/>
          <w:color w:val="auto"/>
        </w:rPr>
        <w:t xml:space="preserve"> que la disponibilidad del Enlace Dedicado de 99.83% y 99.98% mensual equivale a 73 minutos fuera del servicio por mes para enlaces sin redundancia y 10 minutos para enlace con redundancia, permitidos sin penalidad. Esto considera es una calidad inferior a los estándares de la industria en México y es, por lo tanto, perfectamente razonable.</w:t>
      </w:r>
    </w:p>
    <w:p w:rsidR="002C0ADE" w:rsidRPr="00330641" w:rsidRDefault="002C0ADE" w:rsidP="000F58E0">
      <w:pPr>
        <w:spacing w:after="0" w:line="276" w:lineRule="auto"/>
        <w:ind w:left="0" w:right="0" w:firstLine="0"/>
        <w:rPr>
          <w:rFonts w:ascii="ITC Avant Garde" w:hAnsi="ITC Avant Garde"/>
          <w:color w:val="auto"/>
        </w:rPr>
      </w:pPr>
    </w:p>
    <w:p w:rsidR="002C0ADE" w:rsidRPr="00330641" w:rsidRDefault="00F02645" w:rsidP="000F58E0">
      <w:pPr>
        <w:spacing w:after="0" w:line="276" w:lineRule="auto"/>
        <w:ind w:left="0" w:right="0" w:firstLine="0"/>
        <w:rPr>
          <w:rFonts w:ascii="ITC Avant Garde" w:hAnsi="ITC Avant Garde"/>
          <w:color w:val="auto"/>
        </w:rPr>
      </w:pPr>
      <w:r>
        <w:rPr>
          <w:rFonts w:ascii="ITC Avant Garde" w:hAnsi="ITC Avant Garde"/>
          <w:color w:val="auto"/>
        </w:rPr>
        <w:lastRenderedPageBreak/>
        <w:t>Argumentó</w:t>
      </w:r>
      <w:r w:rsidR="002C0ADE" w:rsidRPr="00330641">
        <w:rPr>
          <w:rFonts w:ascii="ITC Avant Garde" w:hAnsi="ITC Avant Garde"/>
          <w:color w:val="auto"/>
        </w:rPr>
        <w:t xml:space="preserve"> que al hacerlo anual como lo propone Telmex se vuelve inoperante para los concesionarios, además, es un retroceso con respecto a la </w:t>
      </w:r>
      <w:r w:rsidR="000F3DAC" w:rsidRPr="00330641">
        <w:rPr>
          <w:rFonts w:ascii="ITC Avant Garde" w:hAnsi="ITC Avant Garde"/>
          <w:color w:val="auto"/>
        </w:rPr>
        <w:t>ORE DM 2020</w:t>
      </w:r>
      <w:r w:rsidR="002C0ADE" w:rsidRPr="00330641">
        <w:rPr>
          <w:rFonts w:ascii="ITC Avant Garde" w:hAnsi="ITC Avant Garde"/>
          <w:color w:val="auto"/>
        </w:rPr>
        <w:t xml:space="preserve">. </w:t>
      </w:r>
    </w:p>
    <w:p w:rsidR="00D81505" w:rsidRPr="00330641" w:rsidRDefault="00D81505" w:rsidP="000F58E0">
      <w:pPr>
        <w:spacing w:after="0" w:line="276" w:lineRule="auto"/>
        <w:ind w:left="0" w:right="0" w:firstLine="0"/>
        <w:rPr>
          <w:rFonts w:ascii="ITC Avant Garde" w:hAnsi="ITC Avant Garde"/>
          <w:color w:val="auto"/>
        </w:rPr>
      </w:pPr>
    </w:p>
    <w:p w:rsidR="00655E4B" w:rsidRPr="00330641" w:rsidRDefault="00FD60E4" w:rsidP="00C15D86">
      <w:pPr>
        <w:pStyle w:val="IFTnormal"/>
        <w:spacing w:after="0"/>
        <w:ind w:left="0"/>
      </w:pPr>
      <w:r w:rsidRPr="00330641">
        <w:t xml:space="preserve">Por otro lado, </w:t>
      </w:r>
      <w:r w:rsidR="00F02645">
        <w:t>puntualizó</w:t>
      </w:r>
      <w:r w:rsidR="00D81505" w:rsidRPr="00330641">
        <w:t xml:space="preserve"> que debe </w:t>
      </w:r>
      <w:r w:rsidRPr="00330641">
        <w:t>considera</w:t>
      </w:r>
      <w:r w:rsidR="00D81505" w:rsidRPr="00330641">
        <w:t>se</w:t>
      </w:r>
      <w:r w:rsidRPr="00330641">
        <w:t xml:space="preserve"> la situación de fallas repe</w:t>
      </w:r>
      <w:r w:rsidR="006F0F10" w:rsidRPr="00330641">
        <w:t>titivas</w:t>
      </w:r>
      <w:r w:rsidRPr="00330641">
        <w:t xml:space="preserve"> que no hayan sido reparadas de forma adecuada (intermitencias, programaciones inadecuadas de las redundancias). </w:t>
      </w:r>
      <w:r w:rsidR="00655E4B" w:rsidRPr="00330641">
        <w:t xml:space="preserve"> </w:t>
      </w:r>
    </w:p>
    <w:p w:rsidR="002F1428" w:rsidRPr="00330641" w:rsidRDefault="002F1428">
      <w:pPr>
        <w:pStyle w:val="IFTnormal"/>
        <w:spacing w:after="0"/>
        <w:ind w:left="0"/>
      </w:pPr>
    </w:p>
    <w:p w:rsidR="00B53788" w:rsidRPr="00330641" w:rsidRDefault="0010221A">
      <w:pPr>
        <w:pStyle w:val="IFTnormal"/>
        <w:spacing w:after="0"/>
        <w:ind w:left="0"/>
        <w:rPr>
          <w:b/>
        </w:rPr>
      </w:pPr>
      <w:r w:rsidRPr="00330641">
        <w:rPr>
          <w:b/>
        </w:rPr>
        <w:t>GRUPO TELEVISA:</w:t>
      </w:r>
    </w:p>
    <w:p w:rsidR="00BE6E56" w:rsidRPr="00330641" w:rsidRDefault="0012211F" w:rsidP="00B53788">
      <w:pPr>
        <w:pStyle w:val="IFTnormal"/>
        <w:spacing w:after="0"/>
        <w:ind w:left="0"/>
      </w:pPr>
      <w:r>
        <w:t>Señaló</w:t>
      </w:r>
      <w:r w:rsidR="00BE6E56" w:rsidRPr="00330641">
        <w:t xml:space="preserve"> que el volumen y el índice de fallas de servicios del primer semestre de 2020 hubo un incremento del 88% y del 6% de los meses de febrero y marzo, correspondientemente, con respecto al mes anterior en el volumen de fallas.</w:t>
      </w:r>
    </w:p>
    <w:p w:rsidR="00BE6E56" w:rsidRPr="00330641" w:rsidRDefault="00BE6E56" w:rsidP="00B53788">
      <w:pPr>
        <w:pStyle w:val="IFTnormal"/>
        <w:spacing w:after="0"/>
        <w:ind w:left="0"/>
      </w:pPr>
    </w:p>
    <w:p w:rsidR="00B53788" w:rsidRPr="00330641" w:rsidRDefault="00BE6E56" w:rsidP="00B53788">
      <w:pPr>
        <w:pStyle w:val="IFTnormal"/>
        <w:spacing w:after="0"/>
        <w:ind w:left="0"/>
      </w:pPr>
      <w:r w:rsidRPr="00330641">
        <w:t>Es así que,</w:t>
      </w:r>
      <w:r w:rsidR="00B53788" w:rsidRPr="00330641">
        <w:t xml:space="preserve"> que el AEP propone que los parámetros de disponibilidad de los enlaces dedicados se reduzcan, lo que se contrapone en lo establecido en la medida decimonovena donde se indica la disponibilidad de los enlaces sin redundancia debe de ser de 99.83%, y con redundancia de 99.905%.</w:t>
      </w:r>
    </w:p>
    <w:p w:rsidR="00B53788" w:rsidRPr="00330641" w:rsidRDefault="00B53788" w:rsidP="00B53788">
      <w:pPr>
        <w:pStyle w:val="IFTnormal"/>
        <w:spacing w:after="0"/>
        <w:ind w:left="0"/>
      </w:pPr>
    </w:p>
    <w:p w:rsidR="009821F3" w:rsidRPr="00330641" w:rsidRDefault="009821F3" w:rsidP="000F58E0">
      <w:pPr>
        <w:spacing w:after="0" w:line="276" w:lineRule="auto"/>
        <w:ind w:left="0" w:right="0" w:firstLine="0"/>
        <w:rPr>
          <w:rFonts w:ascii="ITC Avant Garde" w:hAnsi="ITC Avant Garde" w:cs="Times New Roman"/>
          <w:b/>
          <w:color w:val="auto"/>
        </w:rPr>
      </w:pPr>
      <w:r w:rsidRPr="00330641">
        <w:rPr>
          <w:rFonts w:ascii="ITC Avant Garde" w:hAnsi="ITC Avant Garde" w:cs="Times New Roman"/>
          <w:b/>
          <w:color w:val="auto"/>
        </w:rPr>
        <w:t>Consideraciones del Instituto</w:t>
      </w:r>
      <w:r w:rsidR="00E13092" w:rsidRPr="00330641">
        <w:rPr>
          <w:rFonts w:ascii="ITC Avant Garde" w:hAnsi="ITC Avant Garde" w:cs="Times New Roman"/>
          <w:b/>
          <w:color w:val="auto"/>
        </w:rPr>
        <w:t>:</w:t>
      </w:r>
    </w:p>
    <w:p w:rsidR="001D072A" w:rsidRDefault="001D072A" w:rsidP="000F58E0">
      <w:pPr>
        <w:spacing w:after="0" w:line="276" w:lineRule="auto"/>
        <w:ind w:left="0" w:right="0" w:firstLine="0"/>
        <w:rPr>
          <w:rFonts w:ascii="ITC Avant Garde" w:hAnsi="ITC Avant Garde" w:cs="Times New Roman"/>
          <w:color w:val="auto"/>
        </w:rPr>
      </w:pPr>
    </w:p>
    <w:p w:rsidR="002E147B" w:rsidRDefault="001D072A" w:rsidP="000F58E0">
      <w:pPr>
        <w:spacing w:after="0" w:line="276" w:lineRule="auto"/>
        <w:ind w:left="0" w:right="0" w:firstLine="0"/>
        <w:rPr>
          <w:rFonts w:ascii="ITC Avant Garde" w:hAnsi="ITC Avant Garde"/>
        </w:rPr>
      </w:pPr>
      <w:r>
        <w:rPr>
          <w:rFonts w:ascii="ITC Avant Garde" w:hAnsi="ITC Avant Garde" w:cs="Times New Roman"/>
          <w:color w:val="auto"/>
        </w:rPr>
        <w:t>Con relación a los comentarios anteriores</w:t>
      </w:r>
      <w:r w:rsidR="00780812" w:rsidRPr="00330641">
        <w:rPr>
          <w:rFonts w:ascii="ITC Avant Garde" w:hAnsi="ITC Avant Garde" w:cs="Times New Roman"/>
          <w:color w:val="auto"/>
        </w:rPr>
        <w:t>, los parámetros de calidad han sido establecidos en</w:t>
      </w:r>
      <w:r w:rsidR="00FD52EE" w:rsidRPr="00330641">
        <w:rPr>
          <w:rFonts w:ascii="ITC Avant Garde" w:hAnsi="ITC Avant Garde" w:cs="Times New Roman"/>
          <w:color w:val="auto"/>
        </w:rPr>
        <w:t xml:space="preserve"> la medida </w:t>
      </w:r>
      <w:r w:rsidR="00995461" w:rsidRPr="00330641">
        <w:rPr>
          <w:rFonts w:ascii="ITC Avant Garde" w:hAnsi="ITC Avant Garde" w:cs="Times New Roman"/>
          <w:color w:val="auto"/>
        </w:rPr>
        <w:t xml:space="preserve">Decimonovena </w:t>
      </w:r>
      <w:r w:rsidR="00FD52EE" w:rsidRPr="00330641">
        <w:rPr>
          <w:rFonts w:ascii="ITC Avant Garde" w:hAnsi="ITC Avant Garde" w:cs="Times New Roman"/>
          <w:color w:val="auto"/>
        </w:rPr>
        <w:t>de</w:t>
      </w:r>
      <w:r w:rsidR="00780812" w:rsidRPr="00330641">
        <w:rPr>
          <w:rFonts w:ascii="ITC Avant Garde" w:hAnsi="ITC Avant Garde" w:cs="Times New Roman"/>
          <w:color w:val="auto"/>
        </w:rPr>
        <w:t xml:space="preserve"> las Medidas Fijas por lo que </w:t>
      </w:r>
      <w:r>
        <w:rPr>
          <w:rFonts w:ascii="ITC Avant Garde" w:hAnsi="ITC Avant Garde" w:cs="Times New Roman"/>
          <w:color w:val="auto"/>
        </w:rPr>
        <w:t xml:space="preserve">se modificaron los plazos en la Oferta conforme dicha Medida. Respecto </w:t>
      </w:r>
      <w:r w:rsidR="00995461" w:rsidRPr="00330641">
        <w:rPr>
          <w:rFonts w:ascii="ITC Avant Garde" w:hAnsi="ITC Avant Garde" w:cs="Times New Roman"/>
          <w:color w:val="auto"/>
        </w:rPr>
        <w:t>a definir el</w:t>
      </w:r>
      <w:r w:rsidR="007C48D4" w:rsidRPr="00330641">
        <w:rPr>
          <w:rFonts w:ascii="ITC Avant Garde" w:hAnsi="ITC Avant Garde" w:cs="Times New Roman"/>
          <w:color w:val="auto"/>
        </w:rPr>
        <w:t xml:space="preserve"> e</w:t>
      </w:r>
      <w:r w:rsidR="00FD52EE" w:rsidRPr="00330641">
        <w:rPr>
          <w:rFonts w:ascii="ITC Avant Garde" w:hAnsi="ITC Avant Garde" w:cs="Times New Roman"/>
          <w:color w:val="auto"/>
        </w:rPr>
        <w:t>nlace dedicado con redundancia</w:t>
      </w:r>
      <w:r w:rsidR="00995461" w:rsidRPr="00330641">
        <w:rPr>
          <w:rFonts w:ascii="ITC Avant Garde" w:hAnsi="ITC Avant Garde" w:cs="Times New Roman"/>
          <w:color w:val="auto"/>
        </w:rPr>
        <w:t>,</w:t>
      </w:r>
      <w:r w:rsidR="00FD52EE" w:rsidRPr="00330641">
        <w:rPr>
          <w:rFonts w:ascii="ITC Avant Garde" w:hAnsi="ITC Avant Garde" w:cs="Times New Roman"/>
          <w:color w:val="auto"/>
        </w:rPr>
        <w:t xml:space="preserve"> se menciona que </w:t>
      </w:r>
      <w:r w:rsidR="00FD52EE" w:rsidRPr="00330641">
        <w:rPr>
          <w:rFonts w:ascii="ITC Avant Garde" w:eastAsiaTheme="minorHAnsi" w:hAnsi="ITC Avant Garde" w:cstheme="minorBidi"/>
        </w:rPr>
        <w:t xml:space="preserve">el concepto de redundancia </w:t>
      </w:r>
      <w:r w:rsidR="006C6782" w:rsidRPr="00330641">
        <w:rPr>
          <w:rFonts w:ascii="ITC Avant Garde" w:hAnsi="ITC Avant Garde"/>
        </w:rPr>
        <w:t>consiste en la duplicidad de componentes</w:t>
      </w:r>
      <w:r w:rsidR="00FD52EE" w:rsidRPr="00330641">
        <w:rPr>
          <w:rFonts w:ascii="ITC Avant Garde" w:hAnsi="ITC Avant Garde"/>
        </w:rPr>
        <w:t xml:space="preserve"> en este caso de un enlace</w:t>
      </w:r>
      <w:r w:rsidR="006C6782" w:rsidRPr="00330641">
        <w:rPr>
          <w:rFonts w:ascii="ITC Avant Garde" w:hAnsi="ITC Avant Garde"/>
        </w:rPr>
        <w:t xml:space="preserve"> para incrementar l</w:t>
      </w:r>
      <w:r w:rsidR="00FD52EE" w:rsidRPr="00330641">
        <w:rPr>
          <w:rFonts w:ascii="ITC Avant Garde" w:hAnsi="ITC Avant Garde"/>
        </w:rPr>
        <w:t>a disponibilidad de un sistema que</w:t>
      </w:r>
      <w:r w:rsidR="006C6782" w:rsidRPr="00330641">
        <w:rPr>
          <w:rFonts w:ascii="ITC Avant Garde" w:hAnsi="ITC Avant Garde"/>
        </w:rPr>
        <w:t xml:space="preserve"> permite garantizar la continuidad</w:t>
      </w:r>
      <w:r w:rsidR="00FD52EE" w:rsidRPr="00330641">
        <w:rPr>
          <w:rFonts w:ascii="ITC Avant Garde" w:hAnsi="ITC Avant Garde"/>
        </w:rPr>
        <w:t xml:space="preserve"> en la prestación de los servicios en caso de presentarse alguna falla, no obstante</w:t>
      </w:r>
      <w:r w:rsidR="007C48D4" w:rsidRPr="00330641">
        <w:rPr>
          <w:rFonts w:ascii="ITC Avant Garde" w:hAnsi="ITC Avant Garde"/>
        </w:rPr>
        <w:t>,</w:t>
      </w:r>
      <w:r w:rsidR="00FD52EE" w:rsidRPr="00330641">
        <w:rPr>
          <w:rFonts w:ascii="ITC Avant Garde" w:hAnsi="ITC Avant Garde"/>
        </w:rPr>
        <w:t xml:space="preserve"> no corresponde a algún tipo de servicio adicional o distinto</w:t>
      </w:r>
      <w:r w:rsidR="00995461" w:rsidRPr="00330641">
        <w:rPr>
          <w:rFonts w:ascii="ITC Avant Garde" w:hAnsi="ITC Avant Garde"/>
        </w:rPr>
        <w:t xml:space="preserve"> a los establecidos,</w:t>
      </w:r>
      <w:r w:rsidR="00FD52EE" w:rsidRPr="00330641">
        <w:rPr>
          <w:rFonts w:ascii="ITC Avant Garde" w:hAnsi="ITC Avant Garde"/>
        </w:rPr>
        <w:t xml:space="preserve"> si no a la contratación de un enlace dedicado adicional </w:t>
      </w:r>
      <w:r>
        <w:rPr>
          <w:rFonts w:ascii="ITC Avant Garde" w:hAnsi="ITC Avant Garde"/>
        </w:rPr>
        <w:t xml:space="preserve">como respaldo en caso de que el enlace falle, en virtud de lo anterior no se aprecia que sus características o condiciones para su prestación sean diferentes a lo establecido en la Oferta. </w:t>
      </w:r>
    </w:p>
    <w:p w:rsidR="001D072A" w:rsidRPr="00330641" w:rsidRDefault="001D072A" w:rsidP="000F58E0">
      <w:pPr>
        <w:spacing w:after="0" w:line="276" w:lineRule="auto"/>
        <w:ind w:left="0" w:right="0" w:firstLine="0"/>
        <w:rPr>
          <w:rFonts w:ascii="ITC Avant Garde" w:hAnsi="ITC Avant Garde"/>
        </w:rPr>
      </w:pPr>
    </w:p>
    <w:p w:rsidR="009821F3" w:rsidRPr="001D072A" w:rsidRDefault="001D072A" w:rsidP="000F58E0">
      <w:pPr>
        <w:spacing w:after="0" w:line="276" w:lineRule="auto"/>
        <w:ind w:left="0" w:right="0" w:firstLine="0"/>
        <w:rPr>
          <w:rFonts w:ascii="ITC Avant Garde" w:hAnsi="ITC Avant Garde"/>
        </w:rPr>
      </w:pPr>
      <w:r>
        <w:rPr>
          <w:rFonts w:ascii="ITC Avant Garde" w:hAnsi="ITC Avant Garde"/>
        </w:rPr>
        <w:t>Con</w:t>
      </w:r>
      <w:r w:rsidR="0038168E" w:rsidRPr="00330641">
        <w:rPr>
          <w:rFonts w:ascii="ITC Avant Garde" w:hAnsi="ITC Avant Garde"/>
        </w:rPr>
        <w:t xml:space="preserve"> relación a incluir dentro de la ORE</w:t>
      </w:r>
      <w:r w:rsidR="000F3DAC" w:rsidRPr="00330641">
        <w:rPr>
          <w:rFonts w:ascii="ITC Avant Garde" w:hAnsi="ITC Avant Garde"/>
        </w:rPr>
        <w:t xml:space="preserve"> DM</w:t>
      </w:r>
      <w:r w:rsidR="0038168E" w:rsidRPr="00330641">
        <w:rPr>
          <w:rFonts w:ascii="ITC Avant Garde" w:hAnsi="ITC Avant Garde"/>
        </w:rPr>
        <w:t xml:space="preserve"> 2021 los parámetros de configuración</w:t>
      </w:r>
      <w:r w:rsidR="000F3DAC" w:rsidRPr="00330641">
        <w:rPr>
          <w:rFonts w:ascii="ITC Avant Garde" w:hAnsi="ITC Avant Garde"/>
        </w:rPr>
        <w:t xml:space="preserve"> de los enlaces denominadas de altas velocidades Ethernet, a partir de 1 </w:t>
      </w:r>
      <w:proofErr w:type="spellStart"/>
      <w:proofErr w:type="gramStart"/>
      <w:r w:rsidR="000F3DAC" w:rsidRPr="00330641">
        <w:rPr>
          <w:rFonts w:ascii="ITC Avant Garde" w:hAnsi="ITC Avant Garde"/>
        </w:rPr>
        <w:t>Gbps</w:t>
      </w:r>
      <w:proofErr w:type="spellEnd"/>
      <w:r>
        <w:rPr>
          <w:rFonts w:ascii="ITC Avant Garde" w:hAnsi="ITC Avant Garde"/>
        </w:rPr>
        <w:t>,,</w:t>
      </w:r>
      <w:proofErr w:type="gramEnd"/>
      <w:r>
        <w:rPr>
          <w:rFonts w:ascii="ITC Avant Garde" w:hAnsi="ITC Avant Garde"/>
        </w:rPr>
        <w:t xml:space="preserve"> los parámetros de calidad para el servicio mayorista de enlaces dedicados se encuentran definidos en la </w:t>
      </w:r>
      <w:r w:rsidR="009821F3" w:rsidRPr="00330641">
        <w:rPr>
          <w:rFonts w:ascii="ITC Avant Garde" w:hAnsi="ITC Avant Garde"/>
          <w:color w:val="auto"/>
        </w:rPr>
        <w:t xml:space="preserve">Medida Cuadragésima Primera </w:t>
      </w:r>
      <w:r w:rsidR="00E13092" w:rsidRPr="00330641">
        <w:rPr>
          <w:rFonts w:ascii="ITC Avant Garde" w:hAnsi="ITC Avant Garde"/>
          <w:color w:val="auto"/>
        </w:rPr>
        <w:t>y D</w:t>
      </w:r>
      <w:r w:rsidR="006D002A" w:rsidRPr="00330641">
        <w:rPr>
          <w:rFonts w:ascii="ITC Avant Garde" w:hAnsi="ITC Avant Garde"/>
          <w:color w:val="auto"/>
        </w:rPr>
        <w:t>e</w:t>
      </w:r>
      <w:r w:rsidR="00E13092" w:rsidRPr="00330641">
        <w:rPr>
          <w:rFonts w:ascii="ITC Avant Garde" w:hAnsi="ITC Avant Garde"/>
          <w:color w:val="auto"/>
        </w:rPr>
        <w:t>cimo</w:t>
      </w:r>
      <w:r w:rsidR="006D002A" w:rsidRPr="00330641">
        <w:rPr>
          <w:rFonts w:ascii="ITC Avant Garde" w:hAnsi="ITC Avant Garde"/>
          <w:color w:val="auto"/>
        </w:rPr>
        <w:t>n</w:t>
      </w:r>
      <w:r w:rsidR="00E13092" w:rsidRPr="00330641">
        <w:rPr>
          <w:rFonts w:ascii="ITC Avant Garde" w:hAnsi="ITC Avant Garde"/>
          <w:color w:val="auto"/>
        </w:rPr>
        <w:t xml:space="preserve">ovena </w:t>
      </w:r>
      <w:r w:rsidR="009821F3" w:rsidRPr="00330641">
        <w:rPr>
          <w:rFonts w:ascii="ITC Avant Garde" w:hAnsi="ITC Avant Garde"/>
          <w:color w:val="auto"/>
        </w:rPr>
        <w:t xml:space="preserve">de las Medidas Fijas, </w:t>
      </w:r>
      <w:r>
        <w:rPr>
          <w:rFonts w:ascii="ITC Avant Garde" w:hAnsi="ITC Avant Garde"/>
          <w:color w:val="auto"/>
        </w:rPr>
        <w:t>por lo que se modificó la oferta en el siguiente sentido</w:t>
      </w:r>
      <w:r w:rsidR="009821F3" w:rsidRPr="00330641">
        <w:rPr>
          <w:rFonts w:ascii="ITC Avant Garde" w:hAnsi="ITC Avant Garde"/>
          <w:color w:val="auto"/>
        </w:rPr>
        <w:t>:</w:t>
      </w:r>
    </w:p>
    <w:p w:rsidR="009821F3" w:rsidRPr="00330641" w:rsidRDefault="009821F3" w:rsidP="000F58E0">
      <w:pPr>
        <w:tabs>
          <w:tab w:val="left" w:pos="3015"/>
        </w:tabs>
        <w:spacing w:after="0" w:line="276" w:lineRule="auto"/>
        <w:ind w:left="0" w:right="0" w:firstLine="0"/>
        <w:rPr>
          <w:rFonts w:ascii="ITC Avant Garde" w:hAnsi="ITC Avant Garde"/>
          <w:color w:val="auto"/>
        </w:rPr>
      </w:pPr>
    </w:p>
    <w:p w:rsidR="002022D8" w:rsidRPr="00330641" w:rsidRDefault="002022D8" w:rsidP="000F58E0">
      <w:pPr>
        <w:autoSpaceDE w:val="0"/>
        <w:autoSpaceDN w:val="0"/>
        <w:spacing w:after="0" w:line="276" w:lineRule="auto"/>
        <w:ind w:left="567" w:right="616"/>
        <w:rPr>
          <w:rFonts w:ascii="ITC Avant Garde" w:hAnsi="ITC Avant Garde"/>
          <w:i/>
          <w:sz w:val="18"/>
          <w:szCs w:val="18"/>
        </w:rPr>
      </w:pPr>
      <w:r w:rsidRPr="00330641">
        <w:rPr>
          <w:rFonts w:ascii="ITC Avant Garde" w:hAnsi="ITC Avant Garde" w:cs="Arial"/>
          <w:i/>
          <w:sz w:val="18"/>
          <w:szCs w:val="18"/>
        </w:rPr>
        <w:t>“2.6.5 Telmex garantizará el cumplimiento Anual de los siguientes parámetros de calidad para cada uno de los enlaces dedicados:</w:t>
      </w:r>
    </w:p>
    <w:p w:rsidR="002022D8" w:rsidRPr="00330641" w:rsidRDefault="002022D8" w:rsidP="000F58E0">
      <w:pPr>
        <w:autoSpaceDE w:val="0"/>
        <w:autoSpaceDN w:val="0"/>
        <w:spacing w:after="0" w:line="276" w:lineRule="auto"/>
        <w:ind w:left="567" w:right="616"/>
        <w:rPr>
          <w:rFonts w:ascii="ITC Avant Garde" w:hAnsi="ITC Avant Garde"/>
          <w:i/>
          <w:sz w:val="18"/>
          <w:szCs w:val="18"/>
        </w:rPr>
      </w:pPr>
      <w:r w:rsidRPr="00330641">
        <w:rPr>
          <w:rFonts w:ascii="ITC Avant Garde" w:hAnsi="ITC Avant Garde" w:cs="Arial"/>
          <w:i/>
          <w:sz w:val="18"/>
          <w:szCs w:val="18"/>
        </w:rPr>
        <w:t> </w:t>
      </w:r>
    </w:p>
    <w:p w:rsidR="002022D8" w:rsidRPr="00330641" w:rsidRDefault="002022D8" w:rsidP="006B06E7">
      <w:pPr>
        <w:pStyle w:val="Prrafodelista"/>
        <w:numPr>
          <w:ilvl w:val="0"/>
          <w:numId w:val="7"/>
        </w:numPr>
        <w:autoSpaceDE w:val="0"/>
        <w:autoSpaceDN w:val="0"/>
        <w:spacing w:after="0" w:line="276" w:lineRule="auto"/>
        <w:ind w:right="616"/>
        <w:rPr>
          <w:rFonts w:ascii="ITC Avant Garde" w:hAnsi="ITC Avant Garde"/>
          <w:i/>
          <w:sz w:val="18"/>
          <w:szCs w:val="18"/>
        </w:rPr>
      </w:pPr>
      <w:r w:rsidRPr="00330641">
        <w:rPr>
          <w:rFonts w:ascii="ITC Avant Garde" w:hAnsi="ITC Avant Garde" w:cs="Arial"/>
          <w:i/>
          <w:sz w:val="18"/>
          <w:szCs w:val="18"/>
        </w:rPr>
        <w:lastRenderedPageBreak/>
        <w:t>Disponibilidad del Enlace Dedicado sin redundancia: 99.</w:t>
      </w:r>
      <w:r w:rsidRPr="00330641">
        <w:rPr>
          <w:rFonts w:ascii="ITC Avant Garde" w:hAnsi="ITC Avant Garde" w:cs="Arial"/>
          <w:i/>
          <w:color w:val="000000" w:themeColor="text1"/>
          <w:sz w:val="18"/>
          <w:szCs w:val="18"/>
        </w:rPr>
        <w:t>83</w:t>
      </w:r>
      <w:r w:rsidRPr="00330641">
        <w:rPr>
          <w:rFonts w:ascii="ITC Avant Garde" w:hAnsi="ITC Avant Garde" w:cs="Arial"/>
          <w:i/>
          <w:sz w:val="18"/>
          <w:szCs w:val="18"/>
        </w:rPr>
        <w:t xml:space="preserve">% (noventa y </w:t>
      </w:r>
      <w:proofErr w:type="gramStart"/>
      <w:r w:rsidRPr="00330641">
        <w:rPr>
          <w:rFonts w:ascii="ITC Avant Garde" w:hAnsi="ITC Avant Garde" w:cs="Arial"/>
          <w:i/>
          <w:sz w:val="18"/>
          <w:szCs w:val="18"/>
        </w:rPr>
        <w:t>nueve</w:t>
      </w:r>
      <w:r w:rsidR="00E13092" w:rsidRPr="00330641">
        <w:rPr>
          <w:rFonts w:ascii="ITC Avant Garde" w:hAnsi="ITC Avant Garde" w:cs="Arial"/>
          <w:i/>
          <w:sz w:val="18"/>
          <w:szCs w:val="18"/>
        </w:rPr>
        <w:t xml:space="preserve"> </w:t>
      </w:r>
      <w:r w:rsidRPr="00330641">
        <w:rPr>
          <w:rFonts w:ascii="ITC Avant Garde" w:hAnsi="ITC Avant Garde" w:cs="Arial"/>
          <w:i/>
          <w:sz w:val="18"/>
          <w:szCs w:val="18"/>
        </w:rPr>
        <w:t>punto</w:t>
      </w:r>
      <w:proofErr w:type="gramEnd"/>
      <w:r w:rsidRPr="00330641">
        <w:rPr>
          <w:rFonts w:ascii="ITC Avant Garde" w:hAnsi="ITC Avant Garde" w:cs="Arial"/>
          <w:i/>
          <w:sz w:val="18"/>
          <w:szCs w:val="18"/>
        </w:rPr>
        <w:t xml:space="preserve"> </w:t>
      </w:r>
      <w:r w:rsidRPr="00330641">
        <w:rPr>
          <w:rFonts w:ascii="ITC Avant Garde" w:hAnsi="ITC Avant Garde" w:cs="Arial"/>
          <w:i/>
          <w:color w:val="000000" w:themeColor="text1"/>
          <w:sz w:val="18"/>
          <w:szCs w:val="18"/>
        </w:rPr>
        <w:t>ochenta y tres</w:t>
      </w:r>
      <w:r w:rsidRPr="00330641">
        <w:rPr>
          <w:rFonts w:ascii="ITC Avant Garde" w:hAnsi="ITC Avant Garde" w:cs="Arial"/>
          <w:i/>
          <w:sz w:val="18"/>
          <w:szCs w:val="18"/>
        </w:rPr>
        <w:t xml:space="preserve"> por ciento).</w:t>
      </w:r>
    </w:p>
    <w:p w:rsidR="002022D8" w:rsidRPr="00330641" w:rsidRDefault="002022D8" w:rsidP="000F58E0">
      <w:pPr>
        <w:autoSpaceDE w:val="0"/>
        <w:autoSpaceDN w:val="0"/>
        <w:spacing w:after="0" w:line="276" w:lineRule="auto"/>
        <w:ind w:left="567" w:right="616" w:firstLine="35"/>
        <w:rPr>
          <w:rFonts w:ascii="ITC Avant Garde" w:hAnsi="ITC Avant Garde"/>
          <w:i/>
          <w:sz w:val="18"/>
          <w:szCs w:val="18"/>
        </w:rPr>
      </w:pPr>
    </w:p>
    <w:p w:rsidR="002022D8" w:rsidRPr="00330641" w:rsidRDefault="002022D8" w:rsidP="006B06E7">
      <w:pPr>
        <w:pStyle w:val="Prrafodelista"/>
        <w:numPr>
          <w:ilvl w:val="0"/>
          <w:numId w:val="7"/>
        </w:numPr>
        <w:autoSpaceDE w:val="0"/>
        <w:autoSpaceDN w:val="0"/>
        <w:spacing w:after="0" w:line="276" w:lineRule="auto"/>
        <w:ind w:right="616"/>
        <w:rPr>
          <w:rFonts w:ascii="ITC Avant Garde" w:hAnsi="ITC Avant Garde"/>
          <w:i/>
          <w:sz w:val="18"/>
          <w:szCs w:val="18"/>
        </w:rPr>
      </w:pPr>
      <w:r w:rsidRPr="00330641">
        <w:rPr>
          <w:rFonts w:ascii="ITC Avant Garde" w:hAnsi="ITC Avant Garde" w:cs="Arial"/>
          <w:i/>
          <w:sz w:val="18"/>
          <w:szCs w:val="18"/>
        </w:rPr>
        <w:t>Disponibilidad del Enlace Dedicado con redundancia: 99.</w:t>
      </w:r>
      <w:r w:rsidRPr="00330641">
        <w:rPr>
          <w:rFonts w:ascii="ITC Avant Garde" w:hAnsi="ITC Avant Garde" w:cs="Arial"/>
          <w:i/>
          <w:color w:val="000000" w:themeColor="text1"/>
          <w:sz w:val="18"/>
          <w:szCs w:val="18"/>
        </w:rPr>
        <w:t>905</w:t>
      </w:r>
      <w:r w:rsidRPr="00330641">
        <w:rPr>
          <w:rFonts w:ascii="ITC Avant Garde" w:hAnsi="ITC Avant Garde" w:cs="Arial"/>
          <w:i/>
          <w:sz w:val="18"/>
          <w:szCs w:val="18"/>
        </w:rPr>
        <w:t>% (noventa y</w:t>
      </w:r>
      <w:r w:rsidR="00E13092" w:rsidRPr="00330641">
        <w:rPr>
          <w:rFonts w:ascii="ITC Avant Garde" w:hAnsi="ITC Avant Garde" w:cs="Arial"/>
          <w:i/>
          <w:sz w:val="18"/>
          <w:szCs w:val="18"/>
        </w:rPr>
        <w:t xml:space="preserve"> </w:t>
      </w:r>
      <w:proofErr w:type="gramStart"/>
      <w:r w:rsidRPr="00330641">
        <w:rPr>
          <w:rFonts w:ascii="ITC Avant Garde" w:hAnsi="ITC Avant Garde" w:cs="Arial"/>
          <w:i/>
          <w:sz w:val="18"/>
          <w:szCs w:val="18"/>
        </w:rPr>
        <w:t>nueve punto</w:t>
      </w:r>
      <w:proofErr w:type="gramEnd"/>
      <w:r w:rsidRPr="00330641">
        <w:rPr>
          <w:rFonts w:ascii="ITC Avant Garde" w:hAnsi="ITC Avant Garde" w:cs="Arial"/>
          <w:i/>
          <w:sz w:val="18"/>
          <w:szCs w:val="18"/>
        </w:rPr>
        <w:t xml:space="preserve"> </w:t>
      </w:r>
      <w:r w:rsidRPr="00330641">
        <w:rPr>
          <w:rFonts w:ascii="ITC Avant Garde" w:hAnsi="ITC Avant Garde" w:cs="Arial"/>
          <w:i/>
          <w:color w:val="000000" w:themeColor="text1"/>
          <w:sz w:val="18"/>
          <w:szCs w:val="18"/>
        </w:rPr>
        <w:t>novecientos cinco</w:t>
      </w:r>
      <w:r w:rsidRPr="00330641">
        <w:rPr>
          <w:rFonts w:ascii="ITC Avant Garde" w:hAnsi="ITC Avant Garde" w:cs="Arial"/>
          <w:i/>
          <w:sz w:val="18"/>
          <w:szCs w:val="18"/>
        </w:rPr>
        <w:t xml:space="preserve"> por ciento).</w:t>
      </w:r>
    </w:p>
    <w:p w:rsidR="002022D8" w:rsidRPr="00330641" w:rsidRDefault="002022D8" w:rsidP="000F58E0">
      <w:pPr>
        <w:autoSpaceDE w:val="0"/>
        <w:autoSpaceDN w:val="0"/>
        <w:spacing w:after="0" w:line="276" w:lineRule="auto"/>
        <w:ind w:left="567" w:right="616"/>
        <w:rPr>
          <w:rFonts w:ascii="ITC Avant Garde" w:hAnsi="ITC Avant Garde"/>
          <w:i/>
          <w:sz w:val="18"/>
          <w:szCs w:val="18"/>
        </w:rPr>
      </w:pPr>
    </w:p>
    <w:p w:rsidR="002022D8" w:rsidRPr="00330641" w:rsidRDefault="002022D8" w:rsidP="000F58E0">
      <w:pPr>
        <w:autoSpaceDE w:val="0"/>
        <w:autoSpaceDN w:val="0"/>
        <w:spacing w:after="0" w:line="276" w:lineRule="auto"/>
        <w:ind w:left="567" w:right="616"/>
        <w:rPr>
          <w:rFonts w:ascii="ITC Avant Garde" w:hAnsi="ITC Avant Garde"/>
          <w:sz w:val="18"/>
          <w:szCs w:val="18"/>
        </w:rPr>
      </w:pPr>
      <w:r w:rsidRPr="00330641">
        <w:rPr>
          <w:rFonts w:ascii="ITC Avant Garde" w:hAnsi="ITC Avant Garde" w:cs="Arial"/>
          <w:i/>
          <w:sz w:val="18"/>
          <w:szCs w:val="18"/>
        </w:rPr>
        <w:t>En los servicios Ethernet los parámetros de Calidad se validarán a la entrega de los Enlaces Dedicados basándose en la aplicación del estándar RFC 2544 del IETF.</w:t>
      </w:r>
      <w:r w:rsidRPr="00330641">
        <w:rPr>
          <w:rFonts w:ascii="ITC Avant Garde" w:hAnsi="ITC Avant Garde" w:cs="Arial"/>
          <w:sz w:val="18"/>
          <w:szCs w:val="18"/>
        </w:rPr>
        <w:t xml:space="preserve"> </w:t>
      </w:r>
    </w:p>
    <w:p w:rsidR="009821F3" w:rsidRPr="00330641" w:rsidRDefault="002022D8" w:rsidP="000F58E0">
      <w:pPr>
        <w:spacing w:after="0" w:line="276" w:lineRule="auto"/>
        <w:ind w:left="567" w:right="474" w:firstLine="0"/>
        <w:rPr>
          <w:rFonts w:ascii="ITC Avant Garde" w:eastAsia="Calibri" w:hAnsi="ITC Avant Garde" w:cs="Arial"/>
          <w:i/>
          <w:color w:val="auto"/>
          <w:sz w:val="18"/>
          <w:szCs w:val="18"/>
          <w:u w:val="single"/>
          <w:lang w:eastAsia="en-US"/>
        </w:rPr>
      </w:pPr>
      <w:r w:rsidRPr="00330641" w:rsidDel="002022D8">
        <w:rPr>
          <w:rFonts w:ascii="ITC Avant Garde" w:eastAsia="Calibri" w:hAnsi="ITC Avant Garde" w:cs="Arial"/>
          <w:i/>
          <w:color w:val="auto"/>
          <w:sz w:val="18"/>
          <w:szCs w:val="18"/>
          <w:lang w:eastAsia="en-US"/>
        </w:rPr>
        <w:t xml:space="preserve"> </w:t>
      </w:r>
    </w:p>
    <w:p w:rsidR="009821F3" w:rsidRPr="00330641" w:rsidRDefault="009821F3" w:rsidP="000F58E0">
      <w:pPr>
        <w:spacing w:after="0" w:line="276" w:lineRule="auto"/>
        <w:ind w:left="567" w:right="474" w:firstLine="0"/>
        <w:rPr>
          <w:rFonts w:ascii="ITC Avant Garde" w:eastAsia="Calibri" w:hAnsi="ITC Avant Garde" w:cs="Arial"/>
          <w:i/>
          <w:color w:val="auto"/>
          <w:sz w:val="18"/>
          <w:szCs w:val="18"/>
          <w:lang w:eastAsia="en-US"/>
        </w:rPr>
      </w:pPr>
      <w:r w:rsidRPr="00330641">
        <w:rPr>
          <w:rFonts w:ascii="ITC Avant Garde" w:eastAsia="Calibri" w:hAnsi="ITC Avant Garde" w:cs="Arial"/>
          <w:i/>
          <w:color w:val="auto"/>
          <w:sz w:val="18"/>
          <w:szCs w:val="18"/>
          <w:lang w:eastAsia="en-US"/>
        </w:rPr>
        <w:t>(…)”</w:t>
      </w:r>
    </w:p>
    <w:p w:rsidR="002F1428" w:rsidRPr="00330641" w:rsidRDefault="002F1428" w:rsidP="000F58E0">
      <w:pPr>
        <w:pStyle w:val="IFTnormal"/>
        <w:spacing w:after="0"/>
        <w:ind w:left="0"/>
        <w:rPr>
          <w:rFonts w:eastAsiaTheme="majorEastAsia" w:cstheme="majorBidi"/>
          <w:b/>
          <w:u w:val="single"/>
          <w:lang w:val="es-ES_tradnl"/>
        </w:rPr>
      </w:pPr>
    </w:p>
    <w:p w:rsidR="00DA60CB" w:rsidRPr="00330641" w:rsidRDefault="00C33E2B" w:rsidP="000F58E0">
      <w:pPr>
        <w:pStyle w:val="IFTnormal"/>
        <w:spacing w:after="0"/>
        <w:ind w:left="0"/>
        <w:rPr>
          <w:rFonts w:eastAsiaTheme="majorEastAsia" w:cstheme="majorBidi"/>
          <w:b/>
          <w:u w:val="single"/>
          <w:lang w:val="es-ES_tradnl"/>
        </w:rPr>
      </w:pPr>
      <w:r w:rsidRPr="00330641">
        <w:rPr>
          <w:rFonts w:eastAsiaTheme="majorEastAsia" w:cstheme="majorBidi"/>
          <w:b/>
          <w:u w:val="single"/>
          <w:lang w:val="es-ES_tradnl"/>
        </w:rPr>
        <w:t xml:space="preserve">2.7 </w:t>
      </w:r>
      <w:r w:rsidR="00836078" w:rsidRPr="00330641">
        <w:rPr>
          <w:rFonts w:eastAsiaTheme="majorEastAsia" w:cstheme="majorBidi"/>
          <w:b/>
          <w:u w:val="single"/>
          <w:lang w:val="es-ES_tradnl"/>
        </w:rPr>
        <w:t>Penalizaciones.</w:t>
      </w:r>
    </w:p>
    <w:p w:rsidR="00062695" w:rsidRPr="00E9033B" w:rsidRDefault="00062695" w:rsidP="000F58E0">
      <w:pPr>
        <w:pStyle w:val="IFTnormal"/>
        <w:spacing w:after="0"/>
        <w:ind w:left="0"/>
        <w:rPr>
          <w:rFonts w:eastAsiaTheme="majorEastAsia" w:cstheme="majorBidi"/>
          <w:b/>
          <w:u w:val="single"/>
          <w:lang w:val="es-ES_tradnl"/>
        </w:rPr>
      </w:pPr>
      <w:r w:rsidRPr="00E9033B">
        <w:rPr>
          <w:rFonts w:eastAsiaTheme="majorEastAsia" w:cstheme="majorBidi"/>
          <w:b/>
          <w:u w:val="single"/>
          <w:lang w:val="es-ES_tradnl"/>
        </w:rPr>
        <w:t>2.7.1</w:t>
      </w:r>
      <w:r w:rsidR="00B40E57" w:rsidRPr="00E9033B">
        <w:rPr>
          <w:rFonts w:eastAsiaTheme="majorEastAsia" w:cstheme="majorBidi"/>
          <w:b/>
          <w:u w:val="single"/>
          <w:lang w:val="es-ES_tradnl"/>
        </w:rPr>
        <w:t>.</w:t>
      </w:r>
    </w:p>
    <w:p w:rsidR="0030737F" w:rsidRPr="00330641" w:rsidRDefault="0030737F" w:rsidP="000F58E0">
      <w:pPr>
        <w:spacing w:after="0" w:line="276" w:lineRule="auto"/>
        <w:ind w:left="0" w:right="0" w:firstLine="0"/>
        <w:rPr>
          <w:rFonts w:ascii="ITC Avant Garde" w:hAnsi="ITC Avant Garde" w:cs="Times New Roman"/>
          <w:b/>
          <w:color w:val="auto"/>
        </w:rPr>
      </w:pPr>
      <w:r w:rsidRPr="00E9033B">
        <w:rPr>
          <w:rFonts w:ascii="ITC Avant Garde" w:hAnsi="ITC Avant Garde" w:cs="Times New Roman"/>
          <w:b/>
          <w:color w:val="auto"/>
        </w:rPr>
        <w:t>AXTEL</w:t>
      </w:r>
      <w:r w:rsidR="009322A6">
        <w:rPr>
          <w:rFonts w:ascii="ITC Avant Garde" w:hAnsi="ITC Avant Garde" w:cs="Times New Roman"/>
          <w:b/>
          <w:color w:val="auto"/>
        </w:rPr>
        <w:t>:</w:t>
      </w:r>
    </w:p>
    <w:p w:rsidR="0030737F" w:rsidRPr="00330641" w:rsidRDefault="00836078" w:rsidP="000F58E0">
      <w:pPr>
        <w:spacing w:after="0" w:line="276" w:lineRule="auto"/>
        <w:ind w:left="0" w:right="0" w:firstLine="0"/>
        <w:rPr>
          <w:rFonts w:ascii="ITC Avant Garde" w:hAnsi="ITC Avant Garde" w:cs="Times New Roman"/>
          <w:color w:val="auto"/>
        </w:rPr>
      </w:pPr>
      <w:r>
        <w:rPr>
          <w:rFonts w:ascii="ITC Avant Garde" w:hAnsi="ITC Avant Garde" w:cs="Times New Roman"/>
          <w:color w:val="auto"/>
        </w:rPr>
        <w:t>Solicitó</w:t>
      </w:r>
      <w:r w:rsidR="0030737F" w:rsidRPr="00330641">
        <w:rPr>
          <w:rFonts w:ascii="ITC Avant Garde" w:hAnsi="ITC Avant Garde" w:cs="Times New Roman"/>
          <w:color w:val="auto"/>
        </w:rPr>
        <w:t xml:space="preserve"> al </w:t>
      </w:r>
      <w:r w:rsidR="00174557" w:rsidRPr="00330641">
        <w:rPr>
          <w:rFonts w:ascii="ITC Avant Garde" w:hAnsi="ITC Avant Garde" w:cs="Times New Roman"/>
          <w:color w:val="auto"/>
        </w:rPr>
        <w:t xml:space="preserve">Instituto </w:t>
      </w:r>
      <w:r w:rsidR="0030737F" w:rsidRPr="00330641">
        <w:rPr>
          <w:rFonts w:ascii="ITC Avant Garde" w:hAnsi="ITC Avant Garde" w:cs="Times New Roman"/>
          <w:color w:val="auto"/>
        </w:rPr>
        <w:t>desestimar la penalización propuesta por parte del AEP en su Oferta de referencia en caso de retrasos en la entrega del servicio al representar una reducción del monto de penalización por entrega tardía definida en el numeral 2.7.1 de la Oferta vigente</w:t>
      </w:r>
      <w:r w:rsidR="0099109B" w:rsidRPr="00330641">
        <w:rPr>
          <w:rFonts w:ascii="ITC Avant Garde" w:hAnsi="ITC Avant Garde" w:cs="Times New Roman"/>
          <w:color w:val="auto"/>
        </w:rPr>
        <w:t>.</w:t>
      </w:r>
    </w:p>
    <w:p w:rsidR="0030737F" w:rsidRPr="00330641" w:rsidRDefault="0030737F" w:rsidP="000F58E0">
      <w:pPr>
        <w:spacing w:after="0" w:line="276" w:lineRule="auto"/>
        <w:ind w:left="0" w:right="0" w:firstLine="0"/>
        <w:rPr>
          <w:rFonts w:ascii="ITC Avant Garde" w:hAnsi="ITC Avant Garde" w:cs="Times New Roman"/>
          <w:color w:val="auto"/>
        </w:rPr>
      </w:pPr>
    </w:p>
    <w:p w:rsidR="00B72977" w:rsidRPr="00330641" w:rsidRDefault="00B72977" w:rsidP="000F58E0">
      <w:pPr>
        <w:spacing w:after="0" w:line="276" w:lineRule="auto"/>
        <w:ind w:left="0" w:right="0" w:firstLine="0"/>
        <w:rPr>
          <w:rFonts w:ascii="ITC Avant Garde" w:hAnsi="ITC Avant Garde" w:cs="Times New Roman"/>
          <w:color w:val="auto"/>
        </w:rPr>
      </w:pPr>
      <w:r w:rsidRPr="00330641">
        <w:rPr>
          <w:rFonts w:ascii="ITC Avant Garde" w:hAnsi="ITC Avant Garde" w:cs="Times New Roman"/>
          <w:color w:val="auto"/>
        </w:rPr>
        <w:t xml:space="preserve">Asimismo, </w:t>
      </w:r>
      <w:r w:rsidR="00836078">
        <w:rPr>
          <w:rFonts w:ascii="ITC Avant Garde" w:hAnsi="ITC Avant Garde" w:cs="Times New Roman"/>
          <w:color w:val="auto"/>
        </w:rPr>
        <w:t>s</w:t>
      </w:r>
      <w:r w:rsidR="0012211F">
        <w:rPr>
          <w:rFonts w:ascii="ITC Avant Garde" w:hAnsi="ITC Avant Garde" w:cs="Times New Roman"/>
          <w:color w:val="auto"/>
        </w:rPr>
        <w:t>eñaló</w:t>
      </w:r>
      <w:r w:rsidRPr="00330641">
        <w:rPr>
          <w:rFonts w:ascii="ITC Avant Garde" w:hAnsi="ITC Avant Garde" w:cs="Times New Roman"/>
          <w:color w:val="auto"/>
        </w:rPr>
        <w:t xml:space="preserve"> que la solicitud realizada la propone con base</w:t>
      </w:r>
      <w:r w:rsidR="00E50471" w:rsidRPr="00330641">
        <w:rPr>
          <w:rFonts w:ascii="ITC Avant Garde" w:hAnsi="ITC Avant Garde" w:cs="Times New Roman"/>
          <w:color w:val="auto"/>
        </w:rPr>
        <w:t xml:space="preserve">, </w:t>
      </w:r>
      <w:r w:rsidR="00E24A87">
        <w:rPr>
          <w:rFonts w:ascii="ITC Avant Garde" w:hAnsi="ITC Avant Garde" w:cs="Times New Roman"/>
          <w:color w:val="auto"/>
        </w:rPr>
        <w:t xml:space="preserve">en </w:t>
      </w:r>
      <w:r w:rsidR="00E50471" w:rsidRPr="00330641">
        <w:rPr>
          <w:rFonts w:ascii="ITC Avant Garde" w:hAnsi="ITC Avant Garde" w:cs="Times New Roman"/>
          <w:color w:val="auto"/>
        </w:rPr>
        <w:t xml:space="preserve">la medida Cuadragésima Segunda en la cual se define que las condiciones propuestas deben considerar al menos condiciones equivalentes a la Oferta Vigente y </w:t>
      </w:r>
      <w:r w:rsidR="00E24A87">
        <w:rPr>
          <w:rFonts w:ascii="ITC Avant Garde" w:hAnsi="ITC Avant Garde" w:cs="Times New Roman"/>
          <w:color w:val="auto"/>
        </w:rPr>
        <w:t>conforme a</w:t>
      </w:r>
      <w:r w:rsidR="00E50471" w:rsidRPr="00330641">
        <w:rPr>
          <w:rFonts w:ascii="ITC Avant Garde" w:hAnsi="ITC Avant Garde" w:cs="Times New Roman"/>
          <w:color w:val="auto"/>
        </w:rPr>
        <w:t xml:space="preserve"> lo establecido en la medida Decimonovena, donde define que la penalización en la provisión del servicio debe ser proporcional al daño ocasionado por el AEP.  </w:t>
      </w:r>
    </w:p>
    <w:p w:rsidR="00E50471" w:rsidRPr="00330641" w:rsidRDefault="00E50471" w:rsidP="000F58E0">
      <w:pPr>
        <w:spacing w:after="0" w:line="276" w:lineRule="auto"/>
        <w:ind w:left="0" w:right="0" w:firstLine="0"/>
        <w:rPr>
          <w:rFonts w:ascii="ITC Avant Garde" w:hAnsi="ITC Avant Garde" w:cs="Times New Roman"/>
          <w:color w:val="auto"/>
        </w:rPr>
      </w:pPr>
    </w:p>
    <w:p w:rsidR="0030737F" w:rsidRPr="00330641" w:rsidRDefault="00836078" w:rsidP="000F58E0">
      <w:pPr>
        <w:spacing w:after="0" w:line="276" w:lineRule="auto"/>
        <w:ind w:left="0" w:right="0" w:firstLine="0"/>
        <w:rPr>
          <w:rFonts w:ascii="ITC Avant Garde" w:hAnsi="ITC Avant Garde" w:cs="Times New Roman"/>
          <w:color w:val="auto"/>
        </w:rPr>
      </w:pPr>
      <w:r>
        <w:rPr>
          <w:rFonts w:ascii="ITC Avant Garde" w:hAnsi="ITC Avant Garde" w:cs="Times New Roman"/>
          <w:color w:val="auto"/>
        </w:rPr>
        <w:t>Solicitó</w:t>
      </w:r>
      <w:r w:rsidR="0030737F" w:rsidRPr="00330641">
        <w:rPr>
          <w:rFonts w:ascii="ITC Avant Garde" w:hAnsi="ITC Avant Garde" w:cs="Times New Roman"/>
          <w:color w:val="auto"/>
        </w:rPr>
        <w:t xml:space="preserve"> al </w:t>
      </w:r>
      <w:r w:rsidR="00356A5E" w:rsidRPr="00330641">
        <w:rPr>
          <w:rFonts w:ascii="ITC Avant Garde" w:hAnsi="ITC Avant Garde" w:cs="Times New Roman"/>
          <w:color w:val="auto"/>
        </w:rPr>
        <w:t>Instituto</w:t>
      </w:r>
      <w:r w:rsidR="00E50471" w:rsidRPr="00330641">
        <w:rPr>
          <w:rFonts w:ascii="ITC Avant Garde" w:hAnsi="ITC Avant Garde" w:cs="Times New Roman"/>
          <w:color w:val="auto"/>
        </w:rPr>
        <w:t xml:space="preserve"> rechazar las modificaciones pretendidas por Telmex y</w:t>
      </w:r>
      <w:r w:rsidR="00356A5E" w:rsidRPr="00330641">
        <w:rPr>
          <w:rFonts w:ascii="ITC Avant Garde" w:hAnsi="ITC Avant Garde" w:cs="Times New Roman"/>
          <w:color w:val="auto"/>
        </w:rPr>
        <w:t xml:space="preserve"> </w:t>
      </w:r>
      <w:r w:rsidR="0030737F" w:rsidRPr="00330641">
        <w:rPr>
          <w:rFonts w:ascii="ITC Avant Garde" w:hAnsi="ITC Avant Garde" w:cs="Times New Roman"/>
          <w:color w:val="auto"/>
        </w:rPr>
        <w:t>aumentar los montos de penalización aplicables al AEP como medida de control y transparencia del servicio prestado</w:t>
      </w:r>
      <w:r w:rsidR="00E50471" w:rsidRPr="00330641">
        <w:rPr>
          <w:rFonts w:ascii="ITC Avant Garde" w:hAnsi="ITC Avant Garde" w:cs="Times New Roman"/>
          <w:color w:val="auto"/>
        </w:rPr>
        <w:t xml:space="preserve"> y como disuasivo del incumplimiento.</w:t>
      </w:r>
    </w:p>
    <w:p w:rsidR="0038168E" w:rsidRPr="00330641" w:rsidRDefault="0038168E" w:rsidP="000F58E0">
      <w:pPr>
        <w:spacing w:after="0" w:line="276" w:lineRule="auto"/>
        <w:ind w:left="0" w:right="0" w:firstLine="0"/>
        <w:rPr>
          <w:rFonts w:ascii="ITC Avant Garde" w:hAnsi="ITC Avant Garde" w:cs="Times New Roman"/>
          <w:color w:val="auto"/>
        </w:rPr>
      </w:pPr>
    </w:p>
    <w:p w:rsidR="00062695" w:rsidRPr="00330641" w:rsidRDefault="00CD7852" w:rsidP="000F58E0">
      <w:pPr>
        <w:spacing w:after="0" w:line="276" w:lineRule="auto"/>
        <w:ind w:left="0" w:right="0" w:firstLine="0"/>
        <w:rPr>
          <w:rFonts w:ascii="ITC Avant Garde" w:hAnsi="ITC Avant Garde"/>
          <w:b/>
          <w:color w:val="auto"/>
        </w:rPr>
      </w:pPr>
      <w:r w:rsidRPr="00330641">
        <w:rPr>
          <w:rFonts w:ascii="ITC Avant Garde" w:hAnsi="ITC Avant Garde"/>
          <w:b/>
          <w:color w:val="auto"/>
        </w:rPr>
        <w:t>GRUPO AT&amp;T</w:t>
      </w:r>
      <w:r w:rsidR="00452908">
        <w:rPr>
          <w:rFonts w:ascii="ITC Avant Garde" w:hAnsi="ITC Avant Garde"/>
          <w:b/>
          <w:color w:val="auto"/>
        </w:rPr>
        <w:t>:</w:t>
      </w:r>
      <w:r w:rsidR="006F0F10" w:rsidRPr="00330641">
        <w:rPr>
          <w:rFonts w:ascii="ITC Avant Garde" w:hAnsi="ITC Avant Garde"/>
          <w:b/>
          <w:color w:val="auto"/>
        </w:rPr>
        <w:t xml:space="preserve"> </w:t>
      </w:r>
    </w:p>
    <w:p w:rsidR="004B3B9A" w:rsidRPr="00330641" w:rsidRDefault="0012211F" w:rsidP="000F58E0">
      <w:pPr>
        <w:spacing w:after="0" w:line="276" w:lineRule="auto"/>
        <w:ind w:left="0" w:right="0" w:firstLine="0"/>
        <w:rPr>
          <w:rFonts w:ascii="ITC Avant Garde" w:hAnsi="ITC Avant Garde"/>
          <w:color w:val="auto"/>
        </w:rPr>
      </w:pPr>
      <w:r>
        <w:rPr>
          <w:rFonts w:ascii="ITC Avant Garde" w:hAnsi="ITC Avant Garde"/>
          <w:color w:val="auto"/>
        </w:rPr>
        <w:t>Manifestó</w:t>
      </w:r>
      <w:r w:rsidR="00862FC0" w:rsidRPr="00330641">
        <w:rPr>
          <w:rFonts w:ascii="ITC Avant Garde" w:hAnsi="ITC Avant Garde"/>
          <w:color w:val="auto"/>
        </w:rPr>
        <w:t xml:space="preserve"> que la ORE actual tiene sentido y es razonable, </w:t>
      </w:r>
      <w:r w:rsidR="00B40E57" w:rsidRPr="00330641">
        <w:rPr>
          <w:rFonts w:ascii="ITC Avant Garde" w:hAnsi="ITC Avant Garde"/>
          <w:color w:val="auto"/>
        </w:rPr>
        <w:t xml:space="preserve">con respecto a las penalizaciones que tenía establecidas, </w:t>
      </w:r>
      <w:r w:rsidR="00862FC0" w:rsidRPr="00330641">
        <w:rPr>
          <w:rFonts w:ascii="ITC Avant Garde" w:hAnsi="ITC Avant Garde"/>
          <w:color w:val="auto"/>
        </w:rPr>
        <w:t>ya que</w:t>
      </w:r>
      <w:r w:rsidR="00174557" w:rsidRPr="00330641">
        <w:rPr>
          <w:rFonts w:ascii="ITC Avant Garde" w:hAnsi="ITC Avant Garde"/>
          <w:color w:val="auto"/>
        </w:rPr>
        <w:t xml:space="preserve"> la redacción propuesta por Telmex deja sin sustancia este punto y lo hace inoperante puesto que está ofreciendo no cobrar por el tiempo en que no haya entregado el servicio</w:t>
      </w:r>
      <w:r w:rsidR="00862FC0" w:rsidRPr="00330641">
        <w:rPr>
          <w:rFonts w:ascii="ITC Avant Garde" w:hAnsi="ITC Avant Garde"/>
          <w:color w:val="auto"/>
        </w:rPr>
        <w:t>.</w:t>
      </w:r>
    </w:p>
    <w:p w:rsidR="004B3B9A" w:rsidRPr="00330641" w:rsidRDefault="004B3B9A" w:rsidP="000F58E0">
      <w:pPr>
        <w:spacing w:after="0" w:line="276" w:lineRule="auto"/>
        <w:ind w:left="0" w:right="0" w:firstLine="0"/>
        <w:rPr>
          <w:rFonts w:ascii="ITC Avant Garde" w:hAnsi="ITC Avant Garde"/>
          <w:color w:val="auto"/>
        </w:rPr>
      </w:pPr>
    </w:p>
    <w:p w:rsidR="00B53788" w:rsidRPr="00330641" w:rsidRDefault="00E50471" w:rsidP="00B53788">
      <w:pPr>
        <w:spacing w:after="0" w:line="276" w:lineRule="auto"/>
        <w:ind w:left="0" w:right="0" w:firstLine="0"/>
        <w:rPr>
          <w:rFonts w:ascii="ITC Avant Garde" w:hAnsi="ITC Avant Garde"/>
          <w:b/>
          <w:color w:val="auto"/>
        </w:rPr>
      </w:pPr>
      <w:r w:rsidRPr="00330641">
        <w:rPr>
          <w:rFonts w:ascii="ITC Avant Garde" w:hAnsi="ITC Avant Garde"/>
          <w:b/>
          <w:color w:val="auto"/>
        </w:rPr>
        <w:t>GRUPO TELEVISA:</w:t>
      </w:r>
    </w:p>
    <w:p w:rsidR="00E26185" w:rsidRPr="00330641" w:rsidRDefault="0012211F" w:rsidP="00B53788">
      <w:pPr>
        <w:spacing w:after="0" w:line="276" w:lineRule="auto"/>
        <w:ind w:left="0" w:right="0" w:firstLine="0"/>
        <w:rPr>
          <w:rFonts w:ascii="ITC Avant Garde" w:hAnsi="ITC Avant Garde"/>
          <w:color w:val="auto"/>
        </w:rPr>
      </w:pPr>
      <w:r>
        <w:rPr>
          <w:rFonts w:ascii="ITC Avant Garde" w:hAnsi="ITC Avant Garde"/>
          <w:color w:val="auto"/>
        </w:rPr>
        <w:t>Manifestó</w:t>
      </w:r>
      <w:r w:rsidR="00B53788" w:rsidRPr="00330641">
        <w:rPr>
          <w:rFonts w:ascii="ITC Avant Garde" w:hAnsi="ITC Avant Garde"/>
          <w:color w:val="auto"/>
        </w:rPr>
        <w:t xml:space="preserve"> que el AEP propone calcular la penalización considerando el monto económico correspondiente de la renta proporcional a los días de retraso, </w:t>
      </w:r>
      <w:r w:rsidR="008A2D2E" w:rsidRPr="00330641">
        <w:rPr>
          <w:rFonts w:ascii="ITC Avant Garde" w:hAnsi="ITC Avant Garde"/>
          <w:color w:val="auto"/>
        </w:rPr>
        <w:t xml:space="preserve">sin embargo, no incluye una </w:t>
      </w:r>
      <w:r w:rsidR="00B53788" w:rsidRPr="00330641">
        <w:rPr>
          <w:rFonts w:ascii="ITC Avant Garde" w:hAnsi="ITC Avant Garde"/>
          <w:color w:val="auto"/>
        </w:rPr>
        <w:t>fórmula que permit</w:t>
      </w:r>
      <w:r w:rsidR="008A2D2E" w:rsidRPr="00330641">
        <w:rPr>
          <w:rFonts w:ascii="ITC Avant Garde" w:hAnsi="ITC Avant Garde"/>
          <w:color w:val="auto"/>
        </w:rPr>
        <w:t>a</w:t>
      </w:r>
      <w:r w:rsidR="00B53788" w:rsidRPr="00330641">
        <w:rPr>
          <w:rFonts w:ascii="ITC Avant Garde" w:hAnsi="ITC Avant Garde"/>
          <w:color w:val="auto"/>
        </w:rPr>
        <w:t xml:space="preserve"> entender</w:t>
      </w:r>
      <w:r w:rsidR="008A2D2E" w:rsidRPr="00330641">
        <w:rPr>
          <w:rFonts w:ascii="ITC Avant Garde" w:hAnsi="ITC Avant Garde"/>
          <w:color w:val="auto"/>
        </w:rPr>
        <w:t xml:space="preserve"> de manera transparente</w:t>
      </w:r>
      <w:r w:rsidR="00B53788" w:rsidRPr="00330641">
        <w:rPr>
          <w:rFonts w:ascii="ITC Avant Garde" w:hAnsi="ITC Avant Garde"/>
          <w:color w:val="auto"/>
        </w:rPr>
        <w:t xml:space="preserve"> el cálculo propuesto, así mismo en la </w:t>
      </w:r>
      <w:r w:rsidR="00E271A0" w:rsidRPr="00330641">
        <w:rPr>
          <w:rFonts w:ascii="ITC Avant Garde" w:hAnsi="ITC Avant Garde"/>
          <w:color w:val="auto"/>
        </w:rPr>
        <w:t xml:space="preserve">ORE DM bajo consulta </w:t>
      </w:r>
      <w:r w:rsidR="00B53788" w:rsidRPr="00330641">
        <w:rPr>
          <w:rFonts w:ascii="ITC Avant Garde" w:hAnsi="ITC Avant Garde"/>
          <w:color w:val="auto"/>
        </w:rPr>
        <w:t xml:space="preserve">se pretende calcular la penalización utilizando porcentajes de la renta mensual del servicio de la falla discriminados dependiendo del rango de disponibilidad anual con y sin </w:t>
      </w:r>
      <w:r w:rsidR="00B53788" w:rsidRPr="00330641">
        <w:rPr>
          <w:rFonts w:ascii="ITC Avant Garde" w:hAnsi="ITC Avant Garde"/>
          <w:color w:val="auto"/>
        </w:rPr>
        <w:lastRenderedPageBreak/>
        <w:t xml:space="preserve">redundancia, lo cual constituye un deterioro en las condiciones de la Oferta vigente, </w:t>
      </w:r>
      <w:r w:rsidR="00E26185" w:rsidRPr="00330641">
        <w:rPr>
          <w:rFonts w:ascii="ITC Avant Garde" w:hAnsi="ITC Avant Garde"/>
          <w:color w:val="auto"/>
        </w:rPr>
        <w:t>esto se traduce en condiciones</w:t>
      </w:r>
      <w:r w:rsidR="00B53788" w:rsidRPr="00330641">
        <w:rPr>
          <w:rFonts w:ascii="ITC Avant Garde" w:hAnsi="ITC Avant Garde"/>
          <w:color w:val="auto"/>
        </w:rPr>
        <w:t xml:space="preserve"> menos rigurosas y</w:t>
      </w:r>
      <w:r w:rsidR="00E26185" w:rsidRPr="00330641">
        <w:rPr>
          <w:rFonts w:ascii="ITC Avant Garde" w:hAnsi="ITC Avant Garde"/>
          <w:color w:val="auto"/>
        </w:rPr>
        <w:t xml:space="preserve"> penalizaciones</w:t>
      </w:r>
      <w:r w:rsidR="00B53788" w:rsidRPr="00330641">
        <w:rPr>
          <w:rFonts w:ascii="ITC Avant Garde" w:hAnsi="ITC Avant Garde"/>
          <w:color w:val="auto"/>
        </w:rPr>
        <w:t xml:space="preserve"> menores</w:t>
      </w:r>
      <w:r w:rsidR="00E26185" w:rsidRPr="00330641">
        <w:rPr>
          <w:rFonts w:ascii="ITC Avant Garde" w:hAnsi="ITC Avant Garde"/>
          <w:color w:val="auto"/>
        </w:rPr>
        <w:t xml:space="preserve"> que no generan ningún incentivo para que el AEP mantenga niveles aceptables de calidad de servicio y disponibilidad.</w:t>
      </w:r>
    </w:p>
    <w:p w:rsidR="00E26185" w:rsidRPr="00330641" w:rsidRDefault="00E26185" w:rsidP="00B53788">
      <w:pPr>
        <w:spacing w:after="0" w:line="276" w:lineRule="auto"/>
        <w:ind w:left="0" w:right="0" w:firstLine="0"/>
        <w:rPr>
          <w:rFonts w:ascii="ITC Avant Garde" w:hAnsi="ITC Avant Garde"/>
          <w:color w:val="auto"/>
        </w:rPr>
      </w:pPr>
    </w:p>
    <w:p w:rsidR="00B53788" w:rsidRPr="00330641" w:rsidRDefault="00E26185" w:rsidP="00854595">
      <w:pPr>
        <w:spacing w:after="0" w:line="276" w:lineRule="auto"/>
        <w:ind w:left="0" w:right="0" w:firstLine="0"/>
        <w:rPr>
          <w:rFonts w:ascii="ITC Avant Garde" w:hAnsi="ITC Avant Garde"/>
          <w:color w:val="auto"/>
        </w:rPr>
      </w:pPr>
      <w:r w:rsidRPr="00330641">
        <w:rPr>
          <w:rFonts w:ascii="ITC Avant Garde" w:hAnsi="ITC Avant Garde"/>
          <w:color w:val="auto"/>
        </w:rPr>
        <w:t xml:space="preserve">En este sentido, Grupo Televisa, </w:t>
      </w:r>
      <w:r w:rsidR="00836078">
        <w:rPr>
          <w:rFonts w:ascii="ITC Avant Garde" w:hAnsi="ITC Avant Garde"/>
          <w:color w:val="auto"/>
        </w:rPr>
        <w:t>s</w:t>
      </w:r>
      <w:r w:rsidR="0012211F">
        <w:rPr>
          <w:rFonts w:ascii="ITC Avant Garde" w:hAnsi="ITC Avant Garde"/>
          <w:color w:val="auto"/>
        </w:rPr>
        <w:t>eñaló</w:t>
      </w:r>
      <w:r w:rsidRPr="00330641">
        <w:rPr>
          <w:rFonts w:ascii="ITC Avant Garde" w:hAnsi="ITC Avant Garde"/>
          <w:color w:val="auto"/>
        </w:rPr>
        <w:t xml:space="preserve"> que la penalización máxima que propone el AEP es del 1.2% sobre la renta mensual en caso de que la</w:t>
      </w:r>
      <w:r w:rsidR="00083B62" w:rsidRPr="00330641">
        <w:rPr>
          <w:rFonts w:ascii="ITC Avant Garde" w:hAnsi="ITC Avant Garde"/>
          <w:color w:val="auto"/>
        </w:rPr>
        <w:t xml:space="preserve"> disponibilidad sea menos a 98%, mientras que el esquema presentado por Grupo Televisa establece una penalización por el 10% cuando la disponibilidad es menor a 98% e incrementa a medida que la disponibilidad disminuye. Es así que, Grupo Televisa considera que lo</w:t>
      </w:r>
      <w:r w:rsidR="00B53788" w:rsidRPr="00330641">
        <w:rPr>
          <w:rFonts w:ascii="ITC Avant Garde" w:hAnsi="ITC Avant Garde"/>
          <w:color w:val="auto"/>
        </w:rPr>
        <w:t>s montos de las penalizaciones</w:t>
      </w:r>
      <w:r w:rsidR="00083B62" w:rsidRPr="00330641">
        <w:rPr>
          <w:rFonts w:ascii="ITC Avant Garde" w:hAnsi="ITC Avant Garde"/>
          <w:color w:val="auto"/>
        </w:rPr>
        <w:t xml:space="preserve"> propuestos en la ORE DM</w:t>
      </w:r>
      <w:r w:rsidR="00B53788" w:rsidRPr="00330641">
        <w:rPr>
          <w:rFonts w:ascii="ITC Avant Garde" w:hAnsi="ITC Avant Garde"/>
          <w:color w:val="auto"/>
        </w:rPr>
        <w:t xml:space="preserve"> no serían suficientes para resarcir el daño ocasionado al CS</w:t>
      </w:r>
      <w:r w:rsidR="00083B62" w:rsidRPr="00330641">
        <w:rPr>
          <w:rFonts w:ascii="ITC Avant Garde" w:hAnsi="ITC Avant Garde"/>
          <w:color w:val="auto"/>
        </w:rPr>
        <w:t xml:space="preserve"> por los daños derivados</w:t>
      </w:r>
      <w:r w:rsidR="00B53788" w:rsidRPr="00330641">
        <w:rPr>
          <w:rFonts w:ascii="ITC Avant Garde" w:hAnsi="ITC Avant Garde"/>
          <w:color w:val="auto"/>
        </w:rPr>
        <w:t xml:space="preserve"> </w:t>
      </w:r>
      <w:r w:rsidR="00083B62" w:rsidRPr="00330641">
        <w:rPr>
          <w:rFonts w:ascii="ITC Avant Garde" w:hAnsi="ITC Avant Garde"/>
          <w:color w:val="auto"/>
        </w:rPr>
        <w:t>del</w:t>
      </w:r>
      <w:r w:rsidR="00B53788" w:rsidRPr="00330641">
        <w:rPr>
          <w:rFonts w:ascii="ITC Avant Garde" w:hAnsi="ITC Avant Garde"/>
          <w:color w:val="auto"/>
        </w:rPr>
        <w:t xml:space="preserve"> incumplimiento.</w:t>
      </w:r>
    </w:p>
    <w:p w:rsidR="00B53788" w:rsidRPr="00330641" w:rsidRDefault="00B53788" w:rsidP="00B53788">
      <w:pPr>
        <w:spacing w:after="0" w:line="276" w:lineRule="auto"/>
        <w:ind w:left="0" w:right="0" w:firstLine="0"/>
        <w:rPr>
          <w:rFonts w:ascii="ITC Avant Garde" w:hAnsi="ITC Avant Garde"/>
          <w:color w:val="auto"/>
        </w:rPr>
      </w:pPr>
    </w:p>
    <w:p w:rsidR="00B53788" w:rsidRPr="00330641" w:rsidRDefault="00083B62" w:rsidP="00B53788">
      <w:pPr>
        <w:spacing w:after="0" w:line="276" w:lineRule="auto"/>
        <w:ind w:left="0" w:right="0" w:firstLine="0"/>
        <w:rPr>
          <w:rFonts w:ascii="ITC Avant Garde" w:hAnsi="ITC Avant Garde"/>
          <w:color w:val="auto"/>
        </w:rPr>
      </w:pPr>
      <w:r w:rsidRPr="00330641">
        <w:rPr>
          <w:rFonts w:ascii="ITC Avant Garde" w:hAnsi="ITC Avant Garde"/>
          <w:color w:val="auto"/>
        </w:rPr>
        <w:t>Al respecto, Grupo Televisa</w:t>
      </w:r>
      <w:r w:rsidR="00B53788" w:rsidRPr="00330641">
        <w:rPr>
          <w:rFonts w:ascii="ITC Avant Garde" w:hAnsi="ITC Avant Garde"/>
          <w:color w:val="auto"/>
        </w:rPr>
        <w:t xml:space="preserve"> </w:t>
      </w:r>
      <w:r w:rsidR="00836078">
        <w:rPr>
          <w:rFonts w:ascii="ITC Avant Garde" w:hAnsi="ITC Avant Garde"/>
          <w:color w:val="auto"/>
        </w:rPr>
        <w:t>propuso</w:t>
      </w:r>
      <w:r w:rsidR="00B53788" w:rsidRPr="00330641">
        <w:rPr>
          <w:rFonts w:ascii="ITC Avant Garde" w:hAnsi="ITC Avant Garde"/>
          <w:color w:val="auto"/>
        </w:rPr>
        <w:t xml:space="preserve"> mantener o mejorar el esquema de penalizaciones por entrega tardía </w:t>
      </w:r>
      <w:r w:rsidR="000F40B6" w:rsidRPr="00330641">
        <w:rPr>
          <w:rFonts w:ascii="ITC Avant Garde" w:hAnsi="ITC Avant Garde"/>
          <w:color w:val="auto"/>
        </w:rPr>
        <w:t xml:space="preserve">correspondiente </w:t>
      </w:r>
      <w:r w:rsidR="00B53788" w:rsidRPr="00330641">
        <w:rPr>
          <w:rFonts w:ascii="ITC Avant Garde" w:hAnsi="ITC Avant Garde"/>
          <w:color w:val="auto"/>
        </w:rPr>
        <w:t>al 10% de la renta mensual por cada día hábil de retraso y la penalización asociada al incumplimiento de los parámetros de disponibilidad</w:t>
      </w:r>
      <w:r w:rsidR="000F40B6" w:rsidRPr="00330641">
        <w:rPr>
          <w:rFonts w:ascii="ITC Avant Garde" w:hAnsi="ITC Avant Garde"/>
          <w:color w:val="auto"/>
        </w:rPr>
        <w:t xml:space="preserve"> que</w:t>
      </w:r>
      <w:r w:rsidR="00B53788" w:rsidRPr="00330641">
        <w:rPr>
          <w:rFonts w:ascii="ITC Avant Garde" w:hAnsi="ITC Avant Garde"/>
          <w:color w:val="auto"/>
        </w:rPr>
        <w:t xml:space="preserve"> correspond</w:t>
      </w:r>
      <w:r w:rsidR="000F40B6" w:rsidRPr="00330641">
        <w:rPr>
          <w:rFonts w:ascii="ITC Avant Garde" w:hAnsi="ITC Avant Garde"/>
          <w:color w:val="auto"/>
        </w:rPr>
        <w:t>a</w:t>
      </w:r>
      <w:r w:rsidR="00B53788" w:rsidRPr="00330641">
        <w:rPr>
          <w:rFonts w:ascii="ITC Avant Garde" w:hAnsi="ITC Avant Garde"/>
          <w:color w:val="auto"/>
        </w:rPr>
        <w:t xml:space="preserve"> al 6% de la renta mensual del enlace por cada hora o fracción de incumplimiento, o bien podría aplicarse alternativamente lo que se establece en las prácticas internacionales donde la penalización mínima corresponde al 6% de la renta mensual y se incrementa a medida que aumentan los días de retraso. </w:t>
      </w:r>
    </w:p>
    <w:p w:rsidR="00B53788" w:rsidRPr="00330641" w:rsidRDefault="00B53788" w:rsidP="00B53788">
      <w:pPr>
        <w:spacing w:after="0" w:line="276" w:lineRule="auto"/>
        <w:ind w:left="0" w:right="0" w:firstLine="0"/>
        <w:rPr>
          <w:rFonts w:ascii="ITC Avant Garde" w:hAnsi="ITC Avant Garde"/>
          <w:color w:val="auto"/>
        </w:rPr>
      </w:pPr>
    </w:p>
    <w:p w:rsidR="00B53788" w:rsidRPr="00330641" w:rsidRDefault="00B53788" w:rsidP="00B53788">
      <w:pPr>
        <w:spacing w:after="0" w:line="276" w:lineRule="auto"/>
        <w:ind w:left="0" w:right="0" w:firstLine="0"/>
        <w:rPr>
          <w:rFonts w:ascii="ITC Avant Garde" w:hAnsi="ITC Avant Garde"/>
          <w:color w:val="auto"/>
        </w:rPr>
      </w:pPr>
      <w:r w:rsidRPr="00330641">
        <w:rPr>
          <w:rFonts w:ascii="ITC Avant Garde" w:hAnsi="ITC Avant Garde"/>
          <w:color w:val="auto"/>
        </w:rPr>
        <w:t xml:space="preserve">Por otro lado, </w:t>
      </w:r>
      <w:r w:rsidR="00836078">
        <w:rPr>
          <w:rFonts w:ascii="ITC Avant Garde" w:hAnsi="ITC Avant Garde"/>
          <w:color w:val="auto"/>
        </w:rPr>
        <w:t>propuso</w:t>
      </w:r>
      <w:r w:rsidRPr="00330641">
        <w:rPr>
          <w:rFonts w:ascii="ITC Avant Garde" w:hAnsi="ITC Avant Garde"/>
          <w:color w:val="auto"/>
        </w:rPr>
        <w:t xml:space="preserve"> obligar al AEP a emitir una fianza</w:t>
      </w:r>
      <w:r w:rsidR="000F40B6" w:rsidRPr="00330641">
        <w:rPr>
          <w:rFonts w:ascii="ITC Avant Garde" w:hAnsi="ITC Avant Garde"/>
          <w:color w:val="auto"/>
        </w:rPr>
        <w:t>,</w:t>
      </w:r>
      <w:r w:rsidRPr="00330641">
        <w:rPr>
          <w:rFonts w:ascii="ITC Avant Garde" w:hAnsi="ITC Avant Garde"/>
          <w:color w:val="auto"/>
        </w:rPr>
        <w:t xml:space="preserve"> como complemento de las penalizaciones la cual se hará efectiva en caso de incumplimiento en los niveles de servicio o en los plazos de conciliación de incidencias</w:t>
      </w:r>
      <w:r w:rsidR="00A174BD" w:rsidRPr="00330641">
        <w:rPr>
          <w:rFonts w:ascii="ITC Avant Garde" w:hAnsi="ITC Avant Garde"/>
          <w:color w:val="auto"/>
        </w:rPr>
        <w:t>.</w:t>
      </w:r>
      <w:r w:rsidRPr="00330641">
        <w:rPr>
          <w:rFonts w:ascii="ITC Avant Garde" w:hAnsi="ITC Avant Garde"/>
          <w:color w:val="auto"/>
        </w:rPr>
        <w:t xml:space="preserve">  </w:t>
      </w:r>
    </w:p>
    <w:p w:rsidR="00B53788" w:rsidRPr="00330641" w:rsidRDefault="00B53788" w:rsidP="000F58E0">
      <w:pPr>
        <w:spacing w:after="0" w:line="276" w:lineRule="auto"/>
        <w:ind w:left="0" w:right="0" w:firstLine="0"/>
        <w:rPr>
          <w:rFonts w:ascii="ITC Avant Garde" w:hAnsi="ITC Avant Garde"/>
          <w:color w:val="auto"/>
        </w:rPr>
      </w:pPr>
    </w:p>
    <w:p w:rsidR="004C741A" w:rsidRPr="00330641" w:rsidRDefault="004C741A" w:rsidP="000F58E0">
      <w:pPr>
        <w:spacing w:after="0" w:line="276" w:lineRule="auto"/>
        <w:ind w:left="0" w:right="0" w:firstLine="0"/>
        <w:rPr>
          <w:rFonts w:ascii="ITC Avant Garde" w:hAnsi="ITC Avant Garde"/>
          <w:b/>
          <w:color w:val="auto"/>
        </w:rPr>
      </w:pPr>
      <w:r w:rsidRPr="00330641">
        <w:rPr>
          <w:rFonts w:ascii="ITC Avant Garde" w:hAnsi="ITC Avant Garde"/>
          <w:b/>
          <w:color w:val="auto"/>
        </w:rPr>
        <w:t>Consideraciones del Instituto:</w:t>
      </w:r>
    </w:p>
    <w:p w:rsidR="00242BEF" w:rsidRPr="00330641" w:rsidRDefault="00242BEF" w:rsidP="000F58E0">
      <w:pPr>
        <w:spacing w:after="0" w:line="276" w:lineRule="auto"/>
        <w:ind w:left="0" w:right="0" w:firstLine="0"/>
        <w:rPr>
          <w:rFonts w:ascii="ITC Avant Garde" w:hAnsi="ITC Avant Garde"/>
          <w:color w:val="auto"/>
        </w:rPr>
      </w:pPr>
      <w:r w:rsidRPr="00330641">
        <w:rPr>
          <w:rFonts w:ascii="ITC Avant Garde" w:hAnsi="ITC Avant Garde"/>
          <w:color w:val="auto"/>
        </w:rPr>
        <w:t xml:space="preserve">En observancia de la Medida Cuadragésima </w:t>
      </w:r>
      <w:r w:rsidR="00B070E9" w:rsidRPr="00330641">
        <w:rPr>
          <w:rFonts w:ascii="ITC Avant Garde" w:hAnsi="ITC Avant Garde"/>
          <w:color w:val="auto"/>
        </w:rPr>
        <w:t>P</w:t>
      </w:r>
      <w:r w:rsidRPr="00330641">
        <w:rPr>
          <w:rFonts w:ascii="ITC Avant Garde" w:hAnsi="ITC Avant Garde"/>
          <w:color w:val="auto"/>
        </w:rPr>
        <w:t>rimera de las Medidas Fijas, en la ORE</w:t>
      </w:r>
      <w:r w:rsidR="000904E1" w:rsidRPr="00330641">
        <w:rPr>
          <w:rFonts w:ascii="ITC Avant Garde" w:hAnsi="ITC Avant Garde"/>
          <w:color w:val="auto"/>
        </w:rPr>
        <w:t xml:space="preserve"> DM</w:t>
      </w:r>
      <w:r w:rsidRPr="00330641">
        <w:rPr>
          <w:rFonts w:ascii="ITC Avant Garde" w:hAnsi="ITC Avant Garde"/>
          <w:color w:val="auto"/>
        </w:rPr>
        <w:t xml:space="preserve"> 202</w:t>
      </w:r>
      <w:r w:rsidR="000904E1" w:rsidRPr="00330641">
        <w:rPr>
          <w:rFonts w:ascii="ITC Avant Garde" w:hAnsi="ITC Avant Garde"/>
          <w:color w:val="auto"/>
        </w:rPr>
        <w:t>1</w:t>
      </w:r>
      <w:r w:rsidRPr="00330641">
        <w:rPr>
          <w:rFonts w:ascii="ITC Avant Garde" w:hAnsi="ITC Avant Garde"/>
          <w:color w:val="auto"/>
        </w:rPr>
        <w:t xml:space="preserve"> se incorporaron los porcentajes de las penalizaciones por entrega tardía de los enlaces referidas en el numeral 2.7.1, conforme a las establecidas en la ORE 20</w:t>
      </w:r>
      <w:r w:rsidR="00F527ED" w:rsidRPr="00330641">
        <w:rPr>
          <w:rFonts w:ascii="ITC Avant Garde" w:hAnsi="ITC Avant Garde"/>
          <w:color w:val="auto"/>
        </w:rPr>
        <w:t>20</w:t>
      </w:r>
      <w:r w:rsidR="00E93DAF" w:rsidRPr="00330641">
        <w:rPr>
          <w:rFonts w:ascii="ITC Avant Garde" w:hAnsi="ITC Avant Garde"/>
          <w:color w:val="auto"/>
        </w:rPr>
        <w:t>, en los siguientes términos</w:t>
      </w:r>
      <w:r w:rsidRPr="00330641">
        <w:rPr>
          <w:rFonts w:ascii="ITC Avant Garde" w:hAnsi="ITC Avant Garde"/>
          <w:color w:val="auto"/>
        </w:rPr>
        <w:t>:</w:t>
      </w:r>
    </w:p>
    <w:p w:rsidR="00242BEF" w:rsidRPr="00330641" w:rsidRDefault="00242BEF" w:rsidP="000F58E0">
      <w:pPr>
        <w:spacing w:after="0" w:line="276" w:lineRule="auto"/>
        <w:ind w:left="0" w:right="0" w:firstLine="0"/>
        <w:rPr>
          <w:rFonts w:ascii="ITC Avant Garde" w:hAnsi="ITC Avant Garde"/>
          <w:color w:val="auto"/>
        </w:rPr>
      </w:pPr>
    </w:p>
    <w:p w:rsidR="00242BEF" w:rsidRPr="00330641" w:rsidRDefault="00242BEF" w:rsidP="000F58E0">
      <w:pPr>
        <w:autoSpaceDE w:val="0"/>
        <w:autoSpaceDN w:val="0"/>
        <w:adjustRightInd w:val="0"/>
        <w:spacing w:after="0" w:line="276" w:lineRule="auto"/>
        <w:ind w:left="567" w:right="616"/>
        <w:rPr>
          <w:rFonts w:ascii="ITC Avant Garde" w:hAnsi="ITC Avant Garde" w:cs="Arial"/>
          <w:i/>
          <w:sz w:val="18"/>
          <w:szCs w:val="18"/>
        </w:rPr>
      </w:pPr>
      <w:r w:rsidRPr="00330641">
        <w:rPr>
          <w:rFonts w:ascii="ITC Avant Garde" w:hAnsi="ITC Avant Garde" w:cs="Arial"/>
          <w:i/>
          <w:sz w:val="18"/>
          <w:szCs w:val="18"/>
        </w:rPr>
        <w:t>“2.7.1 La penalización por cualquier entrega tardía de los enlaces conforme a la fecha aplicable, se calculará considerando el monto económico correspondiente al 10%</w:t>
      </w:r>
      <w:r w:rsidRPr="00330641">
        <w:rPr>
          <w:rFonts w:ascii="ITC Avant Garde" w:hAnsi="ITC Avant Garde" w:cs="Arial"/>
          <w:i/>
          <w:color w:val="000000" w:themeColor="text1"/>
          <w:sz w:val="18"/>
          <w:szCs w:val="18"/>
        </w:rPr>
        <w:t xml:space="preserve"> </w:t>
      </w:r>
      <w:r w:rsidRPr="00330641">
        <w:rPr>
          <w:rFonts w:ascii="ITC Avant Garde" w:hAnsi="ITC Avant Garde" w:cs="Arial"/>
          <w:i/>
          <w:sz w:val="18"/>
          <w:szCs w:val="18"/>
        </w:rPr>
        <w:t xml:space="preserve">de la renta </w:t>
      </w:r>
      <w:r w:rsidRPr="00330641">
        <w:rPr>
          <w:rFonts w:ascii="ITC Avant Garde" w:hAnsi="ITC Avant Garde" w:cs="Arial"/>
          <w:i/>
          <w:color w:val="000000" w:themeColor="text1"/>
          <w:sz w:val="18"/>
          <w:szCs w:val="18"/>
        </w:rPr>
        <w:t xml:space="preserve">mensual </w:t>
      </w:r>
      <w:r w:rsidRPr="00330641">
        <w:rPr>
          <w:rFonts w:ascii="ITC Avant Garde" w:hAnsi="ITC Avant Garde" w:cs="Arial"/>
          <w:i/>
          <w:sz w:val="18"/>
          <w:szCs w:val="18"/>
        </w:rPr>
        <w:t>por cada día hábil de retraso en la entrega, respecto a las fechas vinculantes, o fechas compromiso (</w:t>
      </w:r>
      <w:proofErr w:type="spellStart"/>
      <w:r w:rsidRPr="00330641">
        <w:rPr>
          <w:rFonts w:ascii="ITC Avant Garde" w:hAnsi="ITC Avant Garde" w:cs="Arial"/>
          <w:i/>
          <w:sz w:val="18"/>
          <w:szCs w:val="18"/>
        </w:rPr>
        <w:t>Due</w:t>
      </w:r>
      <w:proofErr w:type="spellEnd"/>
      <w:r w:rsidRPr="00330641">
        <w:rPr>
          <w:rFonts w:ascii="ITC Avant Garde" w:hAnsi="ITC Avant Garde" w:cs="Arial"/>
          <w:i/>
          <w:sz w:val="18"/>
          <w:szCs w:val="18"/>
        </w:rPr>
        <w:t xml:space="preserve"> Date) del servicio en cuestión, hasta por un máximo de 6 rentas mensuales. El cálculo del monto de penalización por enlace se realiza conforme la siguiente fórmula:</w:t>
      </w:r>
    </w:p>
    <w:p w:rsidR="00242BEF" w:rsidRPr="00330641" w:rsidRDefault="00242BEF" w:rsidP="000F58E0">
      <w:pPr>
        <w:autoSpaceDE w:val="0"/>
        <w:autoSpaceDN w:val="0"/>
        <w:adjustRightInd w:val="0"/>
        <w:spacing w:after="0" w:line="276" w:lineRule="auto"/>
        <w:ind w:left="567" w:right="616"/>
        <w:rPr>
          <w:rFonts w:ascii="ITC Avant Garde" w:hAnsi="ITC Avant Garde" w:cs="Arial"/>
          <w:i/>
          <w:sz w:val="18"/>
          <w:szCs w:val="18"/>
        </w:rPr>
      </w:pPr>
    </w:p>
    <w:p w:rsidR="00242BEF" w:rsidRPr="00330641" w:rsidRDefault="00DD3369" w:rsidP="000F58E0">
      <w:pPr>
        <w:autoSpaceDE w:val="0"/>
        <w:autoSpaceDN w:val="0"/>
        <w:adjustRightInd w:val="0"/>
        <w:spacing w:after="0" w:line="276" w:lineRule="auto"/>
        <w:ind w:left="567" w:right="616"/>
        <w:jc w:val="center"/>
        <w:rPr>
          <w:rFonts w:ascii="ITC Avant Garde" w:hAnsi="ITC Avant Garde" w:cs="Arial"/>
          <w:i/>
          <w:sz w:val="18"/>
          <w:szCs w:val="18"/>
        </w:rPr>
      </w:pPr>
      <m:oMath>
        <m:sSub>
          <m:sSubPr>
            <m:ctrlPr>
              <w:rPr>
                <w:rFonts w:ascii="Cambria Math" w:hAnsi="Cambria Math" w:cs="Arial"/>
                <w:i/>
                <w:sz w:val="18"/>
                <w:szCs w:val="18"/>
              </w:rPr>
            </m:ctrlPr>
          </m:sSubPr>
          <m:e>
            <m:r>
              <w:rPr>
                <w:rFonts w:ascii="Cambria Math" w:hAnsi="Cambria Math" w:cs="Arial"/>
                <w:sz w:val="18"/>
                <w:szCs w:val="18"/>
              </w:rPr>
              <m:t>Monto de penalización</m:t>
            </m:r>
          </m:e>
          <m:sub>
            <m:r>
              <w:rPr>
                <w:rFonts w:ascii="Cambria Math" w:hAnsi="Cambria Math" w:cs="Arial"/>
                <w:sz w:val="18"/>
                <w:szCs w:val="18"/>
              </w:rPr>
              <m:t>i</m:t>
            </m:r>
          </m:sub>
        </m:sSub>
        <m:r>
          <w:rPr>
            <w:rFonts w:ascii="Cambria Math" w:hAnsi="Cambria Math" w:cs="Arial"/>
            <w:sz w:val="18"/>
            <w:szCs w:val="18"/>
          </w:rPr>
          <m:t>=</m:t>
        </m:r>
        <m:d>
          <m:dPr>
            <m:ctrlPr>
              <w:rPr>
                <w:rFonts w:ascii="Cambria Math" w:hAnsi="Cambria Math" w:cs="Arial"/>
                <w:i/>
                <w:sz w:val="18"/>
                <w:szCs w:val="18"/>
              </w:rPr>
            </m:ctrlPr>
          </m:dPr>
          <m:e>
            <m:sSub>
              <m:sSubPr>
                <m:ctrlPr>
                  <w:rPr>
                    <w:rFonts w:ascii="Cambria Math" w:hAnsi="Cambria Math" w:cs="Arial"/>
                    <w:i/>
                    <w:sz w:val="18"/>
                    <w:szCs w:val="18"/>
                  </w:rPr>
                </m:ctrlPr>
              </m:sSubPr>
              <m:e>
                <m:r>
                  <w:rPr>
                    <w:rFonts w:ascii="Cambria Math" w:hAnsi="Cambria Math" w:cs="Arial"/>
                    <w:sz w:val="18"/>
                    <w:szCs w:val="18"/>
                  </w:rPr>
                  <m:t>Días de retraso</m:t>
                </m:r>
              </m:e>
              <m:sub>
                <m:r>
                  <w:rPr>
                    <w:rFonts w:ascii="Cambria Math" w:hAnsi="Cambria Math" w:cs="Arial"/>
                    <w:sz w:val="18"/>
                    <w:szCs w:val="18"/>
                  </w:rPr>
                  <m:t>i</m:t>
                </m:r>
              </m:sub>
            </m:sSub>
          </m:e>
        </m:d>
        <m:r>
          <w:rPr>
            <w:rFonts w:ascii="Cambria Math" w:hAnsi="Cambria Math" w:cs="Arial"/>
            <w:sz w:val="18"/>
            <w:szCs w:val="18"/>
          </w:rPr>
          <m:t>*</m:t>
        </m:r>
        <m:d>
          <m:dPr>
            <m:ctrlPr>
              <w:rPr>
                <w:rFonts w:ascii="Cambria Math" w:hAnsi="Cambria Math" w:cs="Arial"/>
                <w:i/>
                <w:sz w:val="18"/>
                <w:szCs w:val="18"/>
              </w:rPr>
            </m:ctrlPr>
          </m:dPr>
          <m:e>
            <m:r>
              <w:rPr>
                <w:rFonts w:ascii="Cambria Math" w:hAnsi="Cambria Math" w:cs="Arial"/>
                <w:sz w:val="18"/>
                <w:szCs w:val="18"/>
              </w:rPr>
              <m:t>0.1</m:t>
            </m:r>
          </m:e>
        </m:d>
        <m:r>
          <w:rPr>
            <w:rFonts w:ascii="Cambria Math" w:hAnsi="Cambria Math" w:cs="Arial"/>
            <w:sz w:val="18"/>
            <w:szCs w:val="18"/>
          </w:rPr>
          <m:t>*(</m:t>
        </m:r>
        <m:sSub>
          <m:sSubPr>
            <m:ctrlPr>
              <w:rPr>
                <w:rFonts w:ascii="Cambria Math" w:hAnsi="Cambria Math" w:cs="Arial"/>
                <w:i/>
                <w:sz w:val="18"/>
                <w:szCs w:val="18"/>
              </w:rPr>
            </m:ctrlPr>
          </m:sSubPr>
          <m:e>
            <m:r>
              <w:rPr>
                <w:rFonts w:ascii="Cambria Math" w:hAnsi="Cambria Math" w:cs="Arial"/>
                <w:sz w:val="18"/>
                <w:szCs w:val="18"/>
              </w:rPr>
              <m:t>Renta mensual</m:t>
            </m:r>
          </m:e>
          <m:sub>
            <m:r>
              <w:rPr>
                <w:rFonts w:ascii="Cambria Math" w:hAnsi="Cambria Math" w:cs="Arial"/>
                <w:sz w:val="18"/>
                <w:szCs w:val="18"/>
              </w:rPr>
              <m:t>i</m:t>
            </m:r>
          </m:sub>
        </m:sSub>
        <m:r>
          <w:rPr>
            <w:rFonts w:ascii="Cambria Math" w:hAnsi="Cambria Math" w:cs="Arial"/>
            <w:sz w:val="18"/>
            <w:szCs w:val="18"/>
          </w:rPr>
          <m:t>)</m:t>
        </m:r>
      </m:oMath>
      <w:r w:rsidR="00242BEF" w:rsidRPr="00330641">
        <w:rPr>
          <w:rFonts w:ascii="ITC Avant Garde" w:hAnsi="ITC Avant Garde" w:cs="Arial"/>
          <w:i/>
          <w:sz w:val="18"/>
          <w:szCs w:val="18"/>
        </w:rPr>
        <w:t xml:space="preserve"> ,</w:t>
      </w:r>
    </w:p>
    <w:p w:rsidR="00242BEF" w:rsidRPr="00330641" w:rsidRDefault="00242BEF" w:rsidP="000F58E0">
      <w:pPr>
        <w:autoSpaceDE w:val="0"/>
        <w:autoSpaceDN w:val="0"/>
        <w:adjustRightInd w:val="0"/>
        <w:spacing w:after="0" w:line="276" w:lineRule="auto"/>
        <w:ind w:left="567" w:right="616"/>
        <w:rPr>
          <w:rFonts w:ascii="ITC Avant Garde" w:hAnsi="ITC Avant Garde" w:cs="Arial"/>
          <w:i/>
          <w:sz w:val="18"/>
          <w:szCs w:val="18"/>
        </w:rPr>
      </w:pPr>
    </w:p>
    <w:p w:rsidR="00242BEF" w:rsidRPr="00330641" w:rsidRDefault="00242BEF" w:rsidP="000F58E0">
      <w:pPr>
        <w:autoSpaceDE w:val="0"/>
        <w:autoSpaceDN w:val="0"/>
        <w:adjustRightInd w:val="0"/>
        <w:spacing w:after="0" w:line="276" w:lineRule="auto"/>
        <w:ind w:left="567" w:right="616"/>
        <w:rPr>
          <w:rFonts w:ascii="ITC Avant Garde" w:hAnsi="ITC Avant Garde" w:cs="Arial"/>
          <w:i/>
          <w:sz w:val="18"/>
          <w:szCs w:val="18"/>
        </w:rPr>
      </w:pPr>
      <w:r w:rsidRPr="00330641">
        <w:rPr>
          <w:rFonts w:ascii="ITC Avant Garde" w:hAnsi="ITC Avant Garde" w:cs="Arial"/>
          <w:i/>
          <w:sz w:val="18"/>
          <w:szCs w:val="18"/>
        </w:rPr>
        <w:t>donde i es</w:t>
      </w:r>
      <w:r w:rsidRPr="00330641">
        <w:rPr>
          <w:rFonts w:ascii="ITC Avant Garde" w:hAnsi="ITC Avant Garde" w:cs="Arial"/>
          <w:i/>
          <w:color w:val="000000" w:themeColor="text1"/>
          <w:sz w:val="18"/>
          <w:szCs w:val="18"/>
        </w:rPr>
        <w:t xml:space="preserve"> el </w:t>
      </w:r>
      <w:r w:rsidRPr="00330641">
        <w:rPr>
          <w:rFonts w:ascii="ITC Avant Garde" w:hAnsi="ITC Avant Garde" w:cs="Arial"/>
          <w:i/>
          <w:sz w:val="18"/>
          <w:szCs w:val="18"/>
        </w:rPr>
        <w:t>enlace solicitado</w:t>
      </w:r>
    </w:p>
    <w:p w:rsidR="00242BEF" w:rsidRPr="00330641" w:rsidRDefault="00242BEF" w:rsidP="000F58E0">
      <w:pPr>
        <w:autoSpaceDE w:val="0"/>
        <w:autoSpaceDN w:val="0"/>
        <w:adjustRightInd w:val="0"/>
        <w:spacing w:after="0" w:line="276" w:lineRule="auto"/>
        <w:ind w:left="567" w:right="616"/>
        <w:rPr>
          <w:rFonts w:ascii="ITC Avant Garde" w:hAnsi="ITC Avant Garde" w:cs="Arial"/>
          <w:i/>
          <w:sz w:val="18"/>
          <w:szCs w:val="18"/>
        </w:rPr>
      </w:pPr>
      <w:r w:rsidRPr="00330641">
        <w:rPr>
          <w:rFonts w:ascii="ITC Avant Garde" w:hAnsi="ITC Avant Garde" w:cs="Arial"/>
          <w:i/>
          <w:sz w:val="18"/>
          <w:szCs w:val="18"/>
        </w:rPr>
        <w:t>[…]”</w:t>
      </w:r>
    </w:p>
    <w:p w:rsidR="001D6A4F" w:rsidRPr="00330641" w:rsidRDefault="001D6A4F" w:rsidP="000F58E0">
      <w:pPr>
        <w:autoSpaceDE w:val="0"/>
        <w:autoSpaceDN w:val="0"/>
        <w:adjustRightInd w:val="0"/>
        <w:spacing w:after="0" w:line="276" w:lineRule="auto"/>
        <w:ind w:left="567" w:right="616"/>
        <w:rPr>
          <w:rFonts w:ascii="ITC Avant Garde" w:hAnsi="ITC Avant Garde" w:cs="Arial"/>
          <w:i/>
          <w:sz w:val="18"/>
          <w:szCs w:val="18"/>
        </w:rPr>
      </w:pPr>
    </w:p>
    <w:p w:rsidR="001D6A4F" w:rsidRPr="00330641" w:rsidRDefault="00F527ED" w:rsidP="001D6A4F">
      <w:pPr>
        <w:pStyle w:val="IFTnormal"/>
        <w:spacing w:after="0"/>
        <w:ind w:left="0"/>
        <w:rPr>
          <w:rFonts w:eastAsiaTheme="majorEastAsia"/>
        </w:rPr>
      </w:pPr>
      <w:r w:rsidRPr="00330641">
        <w:t>Por lo que se refiere al comentario de Grupo Televisa,</w:t>
      </w:r>
      <w:r w:rsidR="001D6A4F" w:rsidRPr="00330641">
        <w:t xml:space="preserve"> en el sentido de</w:t>
      </w:r>
      <w:r w:rsidRPr="00330641">
        <w:t xml:space="preserve"> obligar al AEP a</w:t>
      </w:r>
      <w:r w:rsidR="001D6A4F" w:rsidRPr="00330641">
        <w:t xml:space="preserve"> emitir una fianza</w:t>
      </w:r>
      <w:r w:rsidRPr="00330641">
        <w:t xml:space="preserve"> como complemento de las penalizaciones</w:t>
      </w:r>
      <w:r w:rsidR="001D6A4F" w:rsidRPr="00330641">
        <w:t>, no se considera procedente</w:t>
      </w:r>
      <w:r w:rsidRPr="00330641">
        <w:t>,</w:t>
      </w:r>
      <w:r w:rsidR="001D6A4F" w:rsidRPr="00330641">
        <w:t xml:space="preserve"> ya que</w:t>
      </w:r>
      <w:r w:rsidRPr="00330641">
        <w:t>,</w:t>
      </w:r>
      <w:r w:rsidR="00AE5577" w:rsidRPr="00330641">
        <w:t xml:space="preserve"> dicho supuesto fue atendido en el numeral 2.7.2 de la ORE DM 2021 en el cual se establece la penalización </w:t>
      </w:r>
      <w:r w:rsidR="001D6A4F" w:rsidRPr="00330641">
        <w:t>correspondiente</w:t>
      </w:r>
      <w:r w:rsidR="00152A01" w:rsidRPr="00330641">
        <w:t xml:space="preserve"> por </w:t>
      </w:r>
      <w:r w:rsidR="00AE5577" w:rsidRPr="00330641">
        <w:t>incumplimiento en los parámetros de calidad, en el siguiente sentido:</w:t>
      </w:r>
      <w:r w:rsidR="001D6A4F" w:rsidRPr="00330641">
        <w:t xml:space="preserve"> </w:t>
      </w:r>
    </w:p>
    <w:p w:rsidR="00AE5577" w:rsidRPr="00330641" w:rsidRDefault="00AE5577" w:rsidP="001D6A4F">
      <w:pPr>
        <w:pStyle w:val="IFTnormal"/>
        <w:spacing w:after="0"/>
        <w:ind w:left="0"/>
      </w:pPr>
    </w:p>
    <w:p w:rsidR="00AE5577" w:rsidRPr="00330641" w:rsidRDefault="00AE5577" w:rsidP="00EC3F16">
      <w:pPr>
        <w:autoSpaceDE w:val="0"/>
        <w:autoSpaceDN w:val="0"/>
        <w:spacing w:after="0" w:line="276" w:lineRule="auto"/>
        <w:ind w:left="567" w:right="616"/>
        <w:rPr>
          <w:rFonts w:ascii="ITC Avant Garde" w:hAnsi="ITC Avant Garde" w:cs="Arial"/>
          <w:i/>
          <w:sz w:val="18"/>
        </w:rPr>
      </w:pPr>
      <w:r w:rsidRPr="00330641">
        <w:rPr>
          <w:rFonts w:ascii="ITC Avant Garde" w:hAnsi="ITC Avant Garde" w:cs="Arial"/>
          <w:i/>
          <w:sz w:val="18"/>
        </w:rPr>
        <w:t xml:space="preserve">“2.7.2 </w:t>
      </w:r>
      <w:r w:rsidRPr="00330641">
        <w:rPr>
          <w:rFonts w:ascii="ITC Avant Garde" w:eastAsia="Times New Roman" w:hAnsi="ITC Avant Garde" w:cs="Arial"/>
          <w:i/>
          <w:sz w:val="18"/>
        </w:rPr>
        <w:t>El 6% de la renta mensual del enlace por cada hora o fracción</w:t>
      </w:r>
      <w:r w:rsidRPr="00330641">
        <w:rPr>
          <w:rFonts w:ascii="ITC Avant Garde" w:hAnsi="ITC Avant Garde" w:cs="Arial"/>
          <w:i/>
          <w:sz w:val="18"/>
        </w:rPr>
        <w:t xml:space="preserve"> por incumplimiento en los parámetros de disponibilidad, </w:t>
      </w:r>
      <w:r w:rsidRPr="00330641">
        <w:rPr>
          <w:rFonts w:ascii="ITC Avant Garde" w:eastAsia="Times New Roman" w:hAnsi="ITC Avant Garde" w:cs="Arial"/>
          <w:i/>
          <w:sz w:val="18"/>
        </w:rPr>
        <w:t>esto es que el enlace no se encuentre disponible con los parámetros de calidad con los que fue contratado el servicio.</w:t>
      </w:r>
    </w:p>
    <w:p w:rsidR="00AE5577" w:rsidRPr="00330641" w:rsidRDefault="00AE5577" w:rsidP="00EC3F16">
      <w:pPr>
        <w:autoSpaceDE w:val="0"/>
        <w:autoSpaceDN w:val="0"/>
        <w:spacing w:after="0" w:line="276" w:lineRule="auto"/>
        <w:ind w:left="567" w:right="616"/>
        <w:rPr>
          <w:rFonts w:ascii="ITC Avant Garde" w:hAnsi="ITC Avant Garde"/>
          <w:i/>
          <w:sz w:val="18"/>
        </w:rPr>
      </w:pPr>
    </w:p>
    <w:p w:rsidR="00AE5577" w:rsidRPr="00330641" w:rsidRDefault="00DD3369" w:rsidP="00AE5577">
      <w:pPr>
        <w:autoSpaceDE w:val="0"/>
        <w:autoSpaceDN w:val="0"/>
        <w:adjustRightInd w:val="0"/>
        <w:spacing w:after="0" w:line="276" w:lineRule="auto"/>
        <w:ind w:left="567" w:right="616"/>
        <w:jc w:val="center"/>
        <w:rPr>
          <w:rFonts w:ascii="ITC Avant Garde" w:eastAsia="Times New Roman" w:hAnsi="ITC Avant Garde" w:cs="Arial"/>
          <w:i/>
          <w:sz w:val="18"/>
        </w:rPr>
      </w:pPr>
      <m:oMath>
        <m:sSub>
          <m:sSubPr>
            <m:ctrlPr>
              <w:rPr>
                <w:rFonts w:ascii="Cambria Math" w:eastAsia="Times New Roman" w:hAnsi="Cambria Math" w:cs="Arial"/>
                <w:i/>
                <w:sz w:val="18"/>
              </w:rPr>
            </m:ctrlPr>
          </m:sSubPr>
          <m:e>
            <m:r>
              <w:rPr>
                <w:rFonts w:ascii="Cambria Math" w:eastAsia="Times New Roman" w:hAnsi="Cambria Math" w:cs="Arial"/>
                <w:sz w:val="18"/>
              </w:rPr>
              <m:t>Monto de penalización</m:t>
            </m:r>
          </m:e>
          <m:sub>
            <m:r>
              <w:rPr>
                <w:rFonts w:ascii="Cambria Math" w:eastAsia="Times New Roman" w:hAnsi="Cambria Math" w:cs="Arial"/>
                <w:sz w:val="18"/>
              </w:rPr>
              <m:t>i</m:t>
            </m:r>
          </m:sub>
        </m:sSub>
        <m:r>
          <w:rPr>
            <w:rFonts w:ascii="Cambria Math" w:eastAsia="Times New Roman" w:hAnsi="Cambria Math" w:cs="Arial"/>
            <w:sz w:val="18"/>
          </w:rPr>
          <m:t>=</m:t>
        </m:r>
        <m:d>
          <m:dPr>
            <m:ctrlPr>
              <w:rPr>
                <w:rFonts w:ascii="Cambria Math" w:eastAsia="Times New Roman" w:hAnsi="Cambria Math" w:cs="Arial"/>
                <w:i/>
                <w:sz w:val="18"/>
              </w:rPr>
            </m:ctrlPr>
          </m:dPr>
          <m:e>
            <m:sSub>
              <m:sSubPr>
                <m:ctrlPr>
                  <w:rPr>
                    <w:rFonts w:ascii="Cambria Math" w:eastAsia="Times New Roman" w:hAnsi="Cambria Math" w:cs="Arial"/>
                    <w:i/>
                    <w:sz w:val="18"/>
                  </w:rPr>
                </m:ctrlPr>
              </m:sSubPr>
              <m:e>
                <m:r>
                  <w:rPr>
                    <w:rFonts w:ascii="Cambria Math" w:eastAsia="Times New Roman" w:hAnsi="Cambria Math" w:cs="Arial"/>
                    <w:sz w:val="18"/>
                  </w:rPr>
                  <m:t>Horas o fracción de incumplimiento</m:t>
                </m:r>
              </m:e>
              <m:sub>
                <m:r>
                  <w:rPr>
                    <w:rFonts w:ascii="Cambria Math" w:eastAsia="Times New Roman" w:hAnsi="Cambria Math" w:cs="Arial"/>
                    <w:sz w:val="18"/>
                  </w:rPr>
                  <m:t>i</m:t>
                </m:r>
              </m:sub>
            </m:sSub>
          </m:e>
        </m:d>
        <m:r>
          <w:rPr>
            <w:rFonts w:ascii="Cambria Math" w:eastAsia="Times New Roman" w:hAnsi="Cambria Math" w:cs="Arial"/>
            <w:sz w:val="18"/>
          </w:rPr>
          <m:t>*</m:t>
        </m:r>
        <m:d>
          <m:dPr>
            <m:ctrlPr>
              <w:rPr>
                <w:rFonts w:ascii="Cambria Math" w:eastAsia="Times New Roman" w:hAnsi="Cambria Math" w:cs="Arial"/>
                <w:i/>
                <w:sz w:val="18"/>
              </w:rPr>
            </m:ctrlPr>
          </m:dPr>
          <m:e>
            <m:r>
              <w:rPr>
                <w:rFonts w:ascii="Cambria Math" w:eastAsia="Times New Roman" w:hAnsi="Cambria Math" w:cs="Arial"/>
                <w:sz w:val="18"/>
              </w:rPr>
              <m:t>0.06</m:t>
            </m:r>
          </m:e>
        </m:d>
        <m:r>
          <w:rPr>
            <w:rFonts w:ascii="Cambria Math" w:eastAsia="Times New Roman" w:hAnsi="Cambria Math" w:cs="Arial"/>
            <w:sz w:val="18"/>
          </w:rPr>
          <m:t>*(</m:t>
        </m:r>
        <m:sSub>
          <m:sSubPr>
            <m:ctrlPr>
              <w:rPr>
                <w:rFonts w:ascii="Cambria Math" w:eastAsia="Times New Roman" w:hAnsi="Cambria Math" w:cs="Arial"/>
                <w:i/>
                <w:sz w:val="18"/>
              </w:rPr>
            </m:ctrlPr>
          </m:sSubPr>
          <m:e>
            <m:r>
              <w:rPr>
                <w:rFonts w:ascii="Cambria Math" w:eastAsia="Times New Roman" w:hAnsi="Cambria Math" w:cs="Arial"/>
                <w:sz w:val="18"/>
              </w:rPr>
              <m:t>Renta mensual</m:t>
            </m:r>
          </m:e>
          <m:sub>
            <m:r>
              <w:rPr>
                <w:rFonts w:ascii="Cambria Math" w:eastAsia="Times New Roman" w:hAnsi="Cambria Math" w:cs="Arial"/>
                <w:sz w:val="18"/>
              </w:rPr>
              <m:t>i</m:t>
            </m:r>
          </m:sub>
        </m:sSub>
        <m:r>
          <w:rPr>
            <w:rFonts w:ascii="Cambria Math" w:eastAsia="Times New Roman" w:hAnsi="Cambria Math" w:cs="Arial"/>
            <w:sz w:val="18"/>
          </w:rPr>
          <m:t>)</m:t>
        </m:r>
      </m:oMath>
      <w:r w:rsidR="00AE5577" w:rsidRPr="00330641">
        <w:rPr>
          <w:rFonts w:ascii="ITC Avant Garde" w:eastAsia="Times New Roman" w:hAnsi="ITC Avant Garde" w:cs="Arial"/>
          <w:i/>
          <w:sz w:val="18"/>
        </w:rPr>
        <w:t>,</w:t>
      </w:r>
    </w:p>
    <w:p w:rsidR="00AE5577" w:rsidRPr="00330641" w:rsidRDefault="00AE5577" w:rsidP="00AE5577">
      <w:pPr>
        <w:autoSpaceDE w:val="0"/>
        <w:autoSpaceDN w:val="0"/>
        <w:adjustRightInd w:val="0"/>
        <w:spacing w:after="0" w:line="276" w:lineRule="auto"/>
        <w:ind w:left="567" w:right="616"/>
        <w:rPr>
          <w:rFonts w:ascii="ITC Avant Garde" w:eastAsia="Times New Roman" w:hAnsi="ITC Avant Garde" w:cs="Arial"/>
          <w:i/>
          <w:sz w:val="18"/>
        </w:rPr>
      </w:pPr>
    </w:p>
    <w:p w:rsidR="00AE5577" w:rsidRPr="00330641" w:rsidRDefault="00AE5577" w:rsidP="00AE5577">
      <w:pPr>
        <w:autoSpaceDE w:val="0"/>
        <w:autoSpaceDN w:val="0"/>
        <w:adjustRightInd w:val="0"/>
        <w:spacing w:after="0" w:line="276" w:lineRule="auto"/>
        <w:ind w:left="567" w:right="616"/>
        <w:rPr>
          <w:rFonts w:ascii="ITC Avant Garde" w:eastAsia="Times New Roman" w:hAnsi="ITC Avant Garde" w:cs="Arial"/>
          <w:i/>
          <w:sz w:val="18"/>
        </w:rPr>
      </w:pPr>
      <w:r w:rsidRPr="00330641">
        <w:rPr>
          <w:rFonts w:ascii="ITC Avant Garde" w:eastAsia="Times New Roman" w:hAnsi="ITC Avant Garde" w:cs="Arial"/>
          <w:i/>
          <w:sz w:val="18"/>
        </w:rPr>
        <w:t>donde i es el enlace solicitado”</w:t>
      </w:r>
    </w:p>
    <w:p w:rsidR="00AE5577" w:rsidRPr="00330641" w:rsidRDefault="00AE5577" w:rsidP="001D6A4F">
      <w:pPr>
        <w:pStyle w:val="IFTnormal"/>
        <w:spacing w:after="0"/>
        <w:ind w:left="0"/>
        <w:rPr>
          <w:rFonts w:eastAsiaTheme="majorEastAsia"/>
          <w:u w:val="single"/>
        </w:rPr>
      </w:pPr>
    </w:p>
    <w:p w:rsidR="005766DD" w:rsidRPr="00330641" w:rsidRDefault="005766DD" w:rsidP="00EC3F16">
      <w:pPr>
        <w:rPr>
          <w:rFonts w:ascii="ITC Avant Garde" w:eastAsiaTheme="majorEastAsia" w:hAnsi="ITC Avant Garde" w:cstheme="majorBidi"/>
          <w:b/>
          <w:u w:val="single"/>
          <w:lang w:val="es-ES_tradnl"/>
        </w:rPr>
      </w:pPr>
      <w:r w:rsidRPr="00330641">
        <w:rPr>
          <w:rFonts w:ascii="ITC Avant Garde" w:eastAsiaTheme="majorEastAsia" w:hAnsi="ITC Avant Garde" w:cstheme="majorBidi"/>
          <w:b/>
          <w:u w:val="single"/>
          <w:lang w:val="es-ES_tradnl"/>
        </w:rPr>
        <w:t>2.7.2</w:t>
      </w:r>
    </w:p>
    <w:p w:rsidR="006229DA" w:rsidRPr="00330641" w:rsidRDefault="006229DA" w:rsidP="000F58E0">
      <w:pPr>
        <w:spacing w:after="0" w:line="276" w:lineRule="auto"/>
        <w:ind w:right="49"/>
        <w:rPr>
          <w:rFonts w:ascii="ITC Avant Garde" w:hAnsi="ITC Avant Garde"/>
          <w:b/>
          <w:color w:val="auto"/>
        </w:rPr>
      </w:pPr>
      <w:r w:rsidRPr="00330641">
        <w:rPr>
          <w:rFonts w:ascii="ITC Avant Garde" w:hAnsi="ITC Avant Garde"/>
          <w:b/>
          <w:color w:val="auto"/>
        </w:rPr>
        <w:t>GRUPO AT&amp;T</w:t>
      </w:r>
      <w:r w:rsidR="00230750" w:rsidRPr="00330641">
        <w:rPr>
          <w:rFonts w:ascii="ITC Avant Garde" w:hAnsi="ITC Avant Garde"/>
          <w:b/>
          <w:color w:val="auto"/>
        </w:rPr>
        <w:t>:</w:t>
      </w:r>
    </w:p>
    <w:p w:rsidR="006229DA" w:rsidRPr="00330641" w:rsidRDefault="00836078" w:rsidP="000F58E0">
      <w:pPr>
        <w:spacing w:after="0" w:line="276" w:lineRule="auto"/>
        <w:ind w:left="-5" w:right="49" w:firstLine="0"/>
        <w:rPr>
          <w:rFonts w:ascii="ITC Avant Garde" w:hAnsi="ITC Avant Garde"/>
          <w:color w:val="auto"/>
        </w:rPr>
      </w:pPr>
      <w:r>
        <w:rPr>
          <w:rFonts w:ascii="ITC Avant Garde" w:hAnsi="ITC Avant Garde"/>
          <w:color w:val="auto"/>
        </w:rPr>
        <w:t>Sugirió</w:t>
      </w:r>
      <w:r w:rsidR="006229DA" w:rsidRPr="00330641">
        <w:rPr>
          <w:rFonts w:ascii="ITC Avant Garde" w:hAnsi="ITC Avant Garde"/>
          <w:color w:val="auto"/>
        </w:rPr>
        <w:t xml:space="preserve"> que con la propuesta de Telmex un enlace puede haber fallado por tres meses seguidos y se deben seguir pagando las rentas completas con un descuento de 1.2%</w:t>
      </w:r>
      <w:r w:rsidR="00607573">
        <w:rPr>
          <w:rFonts w:ascii="ITC Avant Garde" w:hAnsi="ITC Avant Garde"/>
          <w:color w:val="auto"/>
        </w:rPr>
        <w:t xml:space="preserve">. Por lo que argumentó </w:t>
      </w:r>
      <w:r w:rsidR="003868AF" w:rsidRPr="00330641">
        <w:rPr>
          <w:rFonts w:ascii="ITC Avant Garde" w:hAnsi="ITC Avant Garde"/>
          <w:color w:val="auto"/>
        </w:rPr>
        <w:t xml:space="preserve">con </w:t>
      </w:r>
      <w:r w:rsidR="006229DA" w:rsidRPr="00330641">
        <w:rPr>
          <w:rFonts w:ascii="ITC Avant Garde" w:hAnsi="ITC Avant Garde"/>
          <w:color w:val="auto"/>
        </w:rPr>
        <w:t xml:space="preserve">la siguiente tabla </w:t>
      </w:r>
      <w:r w:rsidR="005D1ECD" w:rsidRPr="00330641">
        <w:rPr>
          <w:rFonts w:ascii="ITC Avant Garde" w:hAnsi="ITC Avant Garde"/>
          <w:color w:val="auto"/>
        </w:rPr>
        <w:t xml:space="preserve">que </w:t>
      </w:r>
      <w:r w:rsidR="006229DA" w:rsidRPr="00330641">
        <w:rPr>
          <w:rFonts w:ascii="ITC Avant Garde" w:hAnsi="ITC Avant Garde"/>
          <w:color w:val="auto"/>
        </w:rPr>
        <w:t xml:space="preserve">la propuesta de un enlace con redundancia que falle durante 17 horas en un mes, y si es sin redundancia y falla por 8 días al mes </w:t>
      </w:r>
      <w:r w:rsidR="00D24870" w:rsidRPr="00330641">
        <w:rPr>
          <w:rFonts w:ascii="ITC Avant Garde" w:hAnsi="ITC Avant Garde"/>
          <w:color w:val="auto"/>
        </w:rPr>
        <w:t xml:space="preserve">ya </w:t>
      </w:r>
      <w:r w:rsidR="006229DA" w:rsidRPr="00330641">
        <w:rPr>
          <w:rFonts w:ascii="ITC Avant Garde" w:hAnsi="ITC Avant Garde"/>
          <w:color w:val="auto"/>
        </w:rPr>
        <w:t xml:space="preserve">no paga la renta. </w:t>
      </w:r>
    </w:p>
    <w:p w:rsidR="006229DA" w:rsidRPr="00330641" w:rsidRDefault="006229DA" w:rsidP="000F58E0">
      <w:pPr>
        <w:spacing w:after="0" w:line="276" w:lineRule="auto"/>
        <w:ind w:left="-5" w:right="49" w:firstLine="0"/>
        <w:rPr>
          <w:rFonts w:ascii="ITC Avant Garde" w:hAnsi="ITC Avant Garde"/>
          <w:b/>
          <w:color w:val="auto"/>
        </w:rPr>
      </w:pPr>
    </w:p>
    <w:tbl>
      <w:tblPr>
        <w:tblStyle w:val="Tablaconcuadrcula"/>
        <w:tblW w:w="0" w:type="auto"/>
        <w:tblInd w:w="-5" w:type="dxa"/>
        <w:tblLook w:val="04A0" w:firstRow="1" w:lastRow="0" w:firstColumn="1" w:lastColumn="0" w:noHBand="0" w:noVBand="1"/>
      </w:tblPr>
      <w:tblGrid>
        <w:gridCol w:w="2942"/>
        <w:gridCol w:w="2943"/>
        <w:gridCol w:w="2943"/>
      </w:tblGrid>
      <w:tr w:rsidR="006229DA" w:rsidRPr="00330641" w:rsidTr="002F6BDC">
        <w:tc>
          <w:tcPr>
            <w:tcW w:w="2942" w:type="dxa"/>
          </w:tcPr>
          <w:p w:rsidR="006229DA" w:rsidRPr="00330641" w:rsidRDefault="006229DA" w:rsidP="000F58E0">
            <w:pPr>
              <w:spacing w:after="0" w:line="276" w:lineRule="auto"/>
              <w:ind w:left="0" w:right="49" w:firstLine="0"/>
              <w:rPr>
                <w:rFonts w:ascii="ITC Avant Garde" w:hAnsi="ITC Avant Garde"/>
                <w:b/>
                <w:i/>
                <w:color w:val="auto"/>
                <w:sz w:val="18"/>
                <w:szCs w:val="18"/>
              </w:rPr>
            </w:pPr>
            <w:r w:rsidRPr="00330641">
              <w:rPr>
                <w:rFonts w:ascii="ITC Avant Garde" w:hAnsi="ITC Avant Garde"/>
                <w:b/>
                <w:i/>
                <w:color w:val="auto"/>
                <w:sz w:val="18"/>
                <w:szCs w:val="18"/>
              </w:rPr>
              <w:t xml:space="preserve">Rango </w:t>
            </w:r>
            <w:r w:rsidRPr="00330641">
              <w:rPr>
                <w:rFonts w:ascii="ITC Avant Garde" w:hAnsi="ITC Avant Garde"/>
                <w:b/>
                <w:i/>
                <w:color w:val="auto"/>
                <w:sz w:val="18"/>
                <w:szCs w:val="18"/>
                <w:u w:val="single"/>
              </w:rPr>
              <w:t>indisponibilidad mensual</w:t>
            </w:r>
            <w:r w:rsidRPr="00330641">
              <w:rPr>
                <w:rFonts w:ascii="ITC Avant Garde" w:hAnsi="ITC Avant Garde"/>
                <w:b/>
                <w:i/>
                <w:color w:val="auto"/>
                <w:sz w:val="18"/>
                <w:szCs w:val="18"/>
              </w:rPr>
              <w:t xml:space="preserve"> sin redundancia </w:t>
            </w:r>
          </w:p>
        </w:tc>
        <w:tc>
          <w:tcPr>
            <w:tcW w:w="2943" w:type="dxa"/>
          </w:tcPr>
          <w:p w:rsidR="006229DA" w:rsidRPr="00330641" w:rsidRDefault="006229DA" w:rsidP="000F58E0">
            <w:pPr>
              <w:spacing w:after="0" w:line="276" w:lineRule="auto"/>
              <w:ind w:left="0" w:right="49" w:firstLine="0"/>
              <w:rPr>
                <w:rFonts w:ascii="ITC Avant Garde" w:hAnsi="ITC Avant Garde"/>
                <w:b/>
                <w:i/>
                <w:color w:val="auto"/>
                <w:sz w:val="18"/>
                <w:szCs w:val="18"/>
              </w:rPr>
            </w:pPr>
            <w:r w:rsidRPr="00330641">
              <w:rPr>
                <w:rFonts w:ascii="ITC Avant Garde" w:hAnsi="ITC Avant Garde"/>
                <w:b/>
                <w:i/>
                <w:color w:val="auto"/>
                <w:sz w:val="18"/>
                <w:szCs w:val="18"/>
              </w:rPr>
              <w:t xml:space="preserve">Rango </w:t>
            </w:r>
            <w:r w:rsidRPr="00330641">
              <w:rPr>
                <w:rFonts w:ascii="ITC Avant Garde" w:hAnsi="ITC Avant Garde"/>
                <w:b/>
                <w:i/>
                <w:color w:val="auto"/>
                <w:sz w:val="18"/>
                <w:szCs w:val="18"/>
                <w:u w:val="single"/>
              </w:rPr>
              <w:t>indisponibilidad mensual</w:t>
            </w:r>
            <w:r w:rsidRPr="00330641">
              <w:rPr>
                <w:rFonts w:ascii="ITC Avant Garde" w:hAnsi="ITC Avant Garde"/>
                <w:b/>
                <w:i/>
                <w:color w:val="auto"/>
                <w:sz w:val="18"/>
                <w:szCs w:val="18"/>
              </w:rPr>
              <w:t xml:space="preserve"> con redundancia</w:t>
            </w:r>
          </w:p>
        </w:tc>
        <w:tc>
          <w:tcPr>
            <w:tcW w:w="2943" w:type="dxa"/>
          </w:tcPr>
          <w:p w:rsidR="006229DA" w:rsidRPr="00330641" w:rsidRDefault="006229DA" w:rsidP="000F58E0">
            <w:pPr>
              <w:spacing w:after="0" w:line="276" w:lineRule="auto"/>
              <w:ind w:left="0" w:right="49" w:firstLine="0"/>
              <w:rPr>
                <w:rFonts w:ascii="ITC Avant Garde" w:hAnsi="ITC Avant Garde"/>
                <w:b/>
                <w:i/>
                <w:color w:val="auto"/>
                <w:sz w:val="18"/>
                <w:szCs w:val="18"/>
              </w:rPr>
            </w:pPr>
            <w:r w:rsidRPr="00330641">
              <w:rPr>
                <w:rFonts w:ascii="ITC Avant Garde" w:hAnsi="ITC Avant Garde"/>
                <w:b/>
                <w:i/>
                <w:color w:val="auto"/>
                <w:sz w:val="18"/>
                <w:szCs w:val="18"/>
              </w:rPr>
              <w:t xml:space="preserve">Porcentaje de la renta </w:t>
            </w:r>
            <w:r w:rsidRPr="00330641">
              <w:rPr>
                <w:rFonts w:ascii="ITC Avant Garde" w:hAnsi="ITC Avant Garde"/>
                <w:b/>
                <w:i/>
                <w:color w:val="auto"/>
                <w:sz w:val="18"/>
                <w:szCs w:val="18"/>
                <w:u w:val="single"/>
              </w:rPr>
              <w:t>mensual</w:t>
            </w:r>
            <w:r w:rsidRPr="00330641">
              <w:rPr>
                <w:rFonts w:ascii="ITC Avant Garde" w:hAnsi="ITC Avant Garde"/>
                <w:b/>
                <w:i/>
                <w:color w:val="auto"/>
                <w:sz w:val="18"/>
                <w:szCs w:val="18"/>
              </w:rPr>
              <w:t xml:space="preserve"> del servicio con falla </w:t>
            </w:r>
          </w:p>
        </w:tc>
      </w:tr>
      <w:tr w:rsidR="006229DA" w:rsidRPr="00330641" w:rsidTr="002F6BDC">
        <w:tc>
          <w:tcPr>
            <w:tcW w:w="2942" w:type="dxa"/>
          </w:tcPr>
          <w:p w:rsidR="006229DA" w:rsidRPr="00330641" w:rsidRDefault="006229DA" w:rsidP="000F58E0">
            <w:pPr>
              <w:spacing w:after="0" w:line="276" w:lineRule="auto"/>
              <w:ind w:left="0" w:right="49" w:firstLine="0"/>
              <w:rPr>
                <w:rFonts w:ascii="ITC Avant Garde" w:hAnsi="ITC Avant Garde"/>
                <w:i/>
                <w:color w:val="auto"/>
                <w:sz w:val="18"/>
                <w:szCs w:val="18"/>
              </w:rPr>
            </w:pPr>
            <w:r w:rsidRPr="00330641">
              <w:rPr>
                <w:rFonts w:ascii="ITC Avant Garde" w:hAnsi="ITC Avant Garde"/>
                <w:i/>
                <w:color w:val="auto"/>
                <w:sz w:val="18"/>
                <w:szCs w:val="18"/>
              </w:rPr>
              <w:t xml:space="preserve">Menor a 73 minutos </w:t>
            </w:r>
          </w:p>
        </w:tc>
        <w:tc>
          <w:tcPr>
            <w:tcW w:w="2943" w:type="dxa"/>
          </w:tcPr>
          <w:p w:rsidR="006229DA" w:rsidRPr="00330641" w:rsidRDefault="006229DA" w:rsidP="000F58E0">
            <w:pPr>
              <w:spacing w:after="0" w:line="276" w:lineRule="auto"/>
              <w:ind w:left="0" w:right="49" w:firstLine="0"/>
              <w:rPr>
                <w:rFonts w:ascii="ITC Avant Garde" w:hAnsi="ITC Avant Garde"/>
                <w:i/>
                <w:color w:val="auto"/>
                <w:sz w:val="18"/>
                <w:szCs w:val="18"/>
              </w:rPr>
            </w:pPr>
            <w:r w:rsidRPr="00330641">
              <w:rPr>
                <w:rFonts w:ascii="ITC Avant Garde" w:hAnsi="ITC Avant Garde"/>
                <w:i/>
                <w:color w:val="auto"/>
                <w:sz w:val="18"/>
                <w:szCs w:val="18"/>
              </w:rPr>
              <w:t>Menor 10 minutos</w:t>
            </w:r>
          </w:p>
        </w:tc>
        <w:tc>
          <w:tcPr>
            <w:tcW w:w="2943" w:type="dxa"/>
          </w:tcPr>
          <w:p w:rsidR="006229DA" w:rsidRPr="00330641" w:rsidRDefault="006229DA" w:rsidP="000F58E0">
            <w:pPr>
              <w:spacing w:after="0" w:line="276" w:lineRule="auto"/>
              <w:ind w:left="0" w:right="49" w:firstLine="0"/>
              <w:jc w:val="center"/>
              <w:rPr>
                <w:rFonts w:ascii="ITC Avant Garde" w:hAnsi="ITC Avant Garde"/>
                <w:i/>
                <w:color w:val="auto"/>
                <w:sz w:val="18"/>
                <w:szCs w:val="18"/>
              </w:rPr>
            </w:pPr>
            <w:r w:rsidRPr="00330641">
              <w:rPr>
                <w:rFonts w:ascii="ITC Avant Garde" w:hAnsi="ITC Avant Garde"/>
                <w:i/>
                <w:color w:val="auto"/>
                <w:sz w:val="18"/>
                <w:szCs w:val="18"/>
              </w:rPr>
              <w:t>0%</w:t>
            </w:r>
          </w:p>
        </w:tc>
      </w:tr>
      <w:tr w:rsidR="006229DA" w:rsidRPr="00330641" w:rsidTr="002F6BDC">
        <w:tc>
          <w:tcPr>
            <w:tcW w:w="2942" w:type="dxa"/>
          </w:tcPr>
          <w:p w:rsidR="006229DA" w:rsidRPr="00330641" w:rsidRDefault="006229DA" w:rsidP="000F58E0">
            <w:pPr>
              <w:spacing w:after="0" w:line="276" w:lineRule="auto"/>
              <w:ind w:left="0" w:right="49" w:firstLine="0"/>
              <w:rPr>
                <w:rFonts w:ascii="ITC Avant Garde" w:hAnsi="ITC Avant Garde"/>
                <w:i/>
                <w:color w:val="auto"/>
                <w:sz w:val="18"/>
                <w:szCs w:val="18"/>
              </w:rPr>
            </w:pPr>
            <w:r w:rsidRPr="00330641">
              <w:rPr>
                <w:rFonts w:ascii="ITC Avant Garde" w:hAnsi="ITC Avant Garde"/>
                <w:i/>
                <w:color w:val="auto"/>
                <w:sz w:val="18"/>
                <w:szCs w:val="18"/>
              </w:rPr>
              <w:t>Por cada dos horas adicionales</w:t>
            </w:r>
          </w:p>
        </w:tc>
        <w:tc>
          <w:tcPr>
            <w:tcW w:w="2943" w:type="dxa"/>
          </w:tcPr>
          <w:p w:rsidR="006229DA" w:rsidRPr="00330641" w:rsidRDefault="006229DA" w:rsidP="000F58E0">
            <w:pPr>
              <w:spacing w:after="0" w:line="276" w:lineRule="auto"/>
              <w:ind w:left="0" w:right="49" w:firstLine="0"/>
              <w:rPr>
                <w:rFonts w:ascii="ITC Avant Garde" w:hAnsi="ITC Avant Garde"/>
                <w:i/>
                <w:color w:val="auto"/>
                <w:sz w:val="18"/>
                <w:szCs w:val="18"/>
              </w:rPr>
            </w:pPr>
            <w:r w:rsidRPr="00330641">
              <w:rPr>
                <w:rFonts w:ascii="ITC Avant Garde" w:hAnsi="ITC Avant Garde"/>
                <w:i/>
                <w:color w:val="auto"/>
                <w:sz w:val="18"/>
                <w:szCs w:val="18"/>
              </w:rPr>
              <w:t xml:space="preserve">Por cada 10 minutos adicionales </w:t>
            </w:r>
          </w:p>
        </w:tc>
        <w:tc>
          <w:tcPr>
            <w:tcW w:w="2943" w:type="dxa"/>
          </w:tcPr>
          <w:p w:rsidR="006229DA" w:rsidRPr="00330641" w:rsidRDefault="006229DA" w:rsidP="000F58E0">
            <w:pPr>
              <w:spacing w:after="0" w:line="276" w:lineRule="auto"/>
              <w:ind w:left="0" w:right="49" w:firstLine="0"/>
              <w:jc w:val="center"/>
              <w:rPr>
                <w:rFonts w:ascii="ITC Avant Garde" w:hAnsi="ITC Avant Garde"/>
                <w:i/>
                <w:color w:val="auto"/>
                <w:sz w:val="18"/>
                <w:szCs w:val="18"/>
              </w:rPr>
            </w:pPr>
            <w:r w:rsidRPr="00330641">
              <w:rPr>
                <w:rFonts w:ascii="ITC Avant Garde" w:hAnsi="ITC Avant Garde"/>
                <w:i/>
                <w:color w:val="auto"/>
                <w:sz w:val="18"/>
                <w:szCs w:val="18"/>
              </w:rPr>
              <w:t>1%</w:t>
            </w:r>
          </w:p>
        </w:tc>
      </w:tr>
    </w:tbl>
    <w:p w:rsidR="003031DE" w:rsidRPr="00330641" w:rsidRDefault="003031DE" w:rsidP="000F58E0">
      <w:pPr>
        <w:pStyle w:val="IFTnormal"/>
        <w:spacing w:after="0"/>
        <w:ind w:left="0"/>
        <w:rPr>
          <w:rFonts w:eastAsiaTheme="majorEastAsia" w:cstheme="majorBidi"/>
          <w:lang w:val="es-ES_tradnl"/>
        </w:rPr>
      </w:pPr>
    </w:p>
    <w:p w:rsidR="0030737F" w:rsidRPr="00330641" w:rsidRDefault="0030737F" w:rsidP="000F58E0">
      <w:pPr>
        <w:spacing w:after="0" w:line="276" w:lineRule="auto"/>
        <w:ind w:left="0" w:right="0"/>
        <w:rPr>
          <w:rFonts w:ascii="ITC Avant Garde" w:eastAsiaTheme="majorEastAsia" w:hAnsi="ITC Avant Garde" w:cstheme="majorBidi"/>
          <w:b/>
          <w:color w:val="auto"/>
          <w:lang w:val="es-ES_tradnl"/>
        </w:rPr>
      </w:pPr>
      <w:r w:rsidRPr="00330641">
        <w:rPr>
          <w:rFonts w:ascii="ITC Avant Garde" w:eastAsiaTheme="majorEastAsia" w:hAnsi="ITC Avant Garde" w:cstheme="majorBidi"/>
          <w:b/>
          <w:color w:val="auto"/>
          <w:lang w:val="es-ES_tradnl"/>
        </w:rPr>
        <w:t>AXTEL</w:t>
      </w:r>
      <w:r w:rsidR="0047134C" w:rsidRPr="00330641">
        <w:rPr>
          <w:rFonts w:ascii="ITC Avant Garde" w:eastAsiaTheme="majorEastAsia" w:hAnsi="ITC Avant Garde" w:cstheme="majorBidi"/>
          <w:b/>
          <w:color w:val="auto"/>
          <w:lang w:val="es-ES_tradnl"/>
        </w:rPr>
        <w:t>:</w:t>
      </w:r>
    </w:p>
    <w:p w:rsidR="0030737F" w:rsidRPr="00330641" w:rsidRDefault="00836078" w:rsidP="000F58E0">
      <w:pPr>
        <w:spacing w:after="0" w:line="276" w:lineRule="auto"/>
        <w:ind w:left="0" w:right="0" w:firstLine="0"/>
        <w:rPr>
          <w:rFonts w:ascii="ITC Avant Garde" w:hAnsi="ITC Avant Garde"/>
          <w:color w:val="auto"/>
        </w:rPr>
      </w:pPr>
      <w:r>
        <w:rPr>
          <w:rFonts w:ascii="ITC Avant Garde" w:hAnsi="ITC Avant Garde"/>
          <w:color w:val="auto"/>
        </w:rPr>
        <w:t>Solicitó</w:t>
      </w:r>
      <w:r w:rsidR="0030737F" w:rsidRPr="00330641">
        <w:rPr>
          <w:rFonts w:ascii="ITC Avant Garde" w:hAnsi="ITC Avant Garde"/>
          <w:color w:val="auto"/>
        </w:rPr>
        <w:t xml:space="preserve"> al Instituto</w:t>
      </w:r>
      <w:r w:rsidR="00356A5E" w:rsidRPr="00330641">
        <w:rPr>
          <w:rFonts w:ascii="ITC Avant Garde" w:hAnsi="ITC Avant Garde"/>
          <w:color w:val="auto"/>
        </w:rPr>
        <w:t xml:space="preserve"> que</w:t>
      </w:r>
      <w:r w:rsidR="0030737F" w:rsidRPr="00330641">
        <w:rPr>
          <w:rFonts w:ascii="ITC Avant Garde" w:hAnsi="ITC Avant Garde"/>
          <w:color w:val="auto"/>
        </w:rPr>
        <w:t xml:space="preserve"> ante las constantes barreras experimentadas en la prestación del servicio por parte de Telmex que la penalización por incumplimiento de los parámetros de calidad en la prestación del servicio no sea reducida de forma arbitraria por el AEP considerando:</w:t>
      </w:r>
    </w:p>
    <w:p w:rsidR="0030737F" w:rsidRPr="00330641" w:rsidRDefault="0030737F" w:rsidP="000F58E0">
      <w:pPr>
        <w:spacing w:after="0" w:line="276" w:lineRule="auto"/>
        <w:ind w:left="0" w:right="0" w:firstLine="0"/>
        <w:rPr>
          <w:rFonts w:ascii="ITC Avant Garde" w:hAnsi="ITC Avant Garde"/>
          <w:color w:val="auto"/>
        </w:rPr>
      </w:pPr>
    </w:p>
    <w:p w:rsidR="0030737F" w:rsidRPr="00330641" w:rsidRDefault="0030737F" w:rsidP="006B06E7">
      <w:pPr>
        <w:pStyle w:val="Prrafodelista"/>
        <w:numPr>
          <w:ilvl w:val="0"/>
          <w:numId w:val="2"/>
        </w:numPr>
        <w:spacing w:after="0" w:line="276" w:lineRule="auto"/>
        <w:ind w:left="567" w:right="0" w:hanging="567"/>
        <w:contextualSpacing w:val="0"/>
        <w:rPr>
          <w:rFonts w:ascii="ITC Avant Garde" w:hAnsi="ITC Avant Garde"/>
          <w:color w:val="auto"/>
        </w:rPr>
      </w:pPr>
      <w:r w:rsidRPr="00330641">
        <w:rPr>
          <w:rFonts w:ascii="ITC Avant Garde" w:hAnsi="ITC Avant Garde"/>
          <w:color w:val="auto"/>
        </w:rPr>
        <w:t>La reducción del monto de penalización está en contra de la medida</w:t>
      </w:r>
      <w:r w:rsidRPr="00330641">
        <w:rPr>
          <w:rFonts w:ascii="ITC Avant Garde" w:hAnsi="ITC Avant Garde"/>
        </w:rPr>
        <w:t xml:space="preserve"> </w:t>
      </w:r>
      <w:r w:rsidR="0061116A" w:rsidRPr="00330641">
        <w:rPr>
          <w:rFonts w:ascii="ITC Avant Garde" w:hAnsi="ITC Avant Garde"/>
          <w:color w:val="auto"/>
        </w:rPr>
        <w:t>C</w:t>
      </w:r>
      <w:r w:rsidRPr="00330641">
        <w:rPr>
          <w:rFonts w:ascii="ITC Avant Garde" w:hAnsi="ITC Avant Garde"/>
          <w:color w:val="auto"/>
        </w:rPr>
        <w:t>uadragésim</w:t>
      </w:r>
      <w:r w:rsidR="0061116A" w:rsidRPr="00330641">
        <w:rPr>
          <w:rFonts w:ascii="ITC Avant Garde" w:hAnsi="ITC Avant Garde"/>
          <w:color w:val="auto"/>
        </w:rPr>
        <w:t>a P</w:t>
      </w:r>
      <w:r w:rsidRPr="00330641">
        <w:rPr>
          <w:rFonts w:ascii="ITC Avant Garde" w:hAnsi="ITC Avant Garde"/>
          <w:color w:val="auto"/>
        </w:rPr>
        <w:t>rimera de</w:t>
      </w:r>
      <w:r w:rsidR="0061116A" w:rsidRPr="00330641">
        <w:rPr>
          <w:rFonts w:ascii="ITC Avant Garde" w:hAnsi="ITC Avant Garde"/>
          <w:color w:val="auto"/>
        </w:rPr>
        <w:t xml:space="preserve"> las Medidas Fijas</w:t>
      </w:r>
      <w:r w:rsidRPr="00330641">
        <w:rPr>
          <w:rFonts w:ascii="ITC Avant Garde" w:hAnsi="ITC Avant Garde"/>
          <w:color w:val="auto"/>
        </w:rPr>
        <w:t xml:space="preserve"> al no reflejar una condición equivalente con la oferta vigente.</w:t>
      </w:r>
    </w:p>
    <w:p w:rsidR="0030737F" w:rsidRPr="00330641" w:rsidRDefault="0030737F" w:rsidP="000F58E0">
      <w:pPr>
        <w:spacing w:after="0" w:line="276" w:lineRule="auto"/>
        <w:ind w:left="567" w:right="0" w:hanging="567"/>
        <w:rPr>
          <w:rFonts w:ascii="ITC Avant Garde" w:hAnsi="ITC Avant Garde"/>
          <w:color w:val="auto"/>
        </w:rPr>
      </w:pPr>
    </w:p>
    <w:p w:rsidR="0030737F" w:rsidRPr="00330641" w:rsidRDefault="0030737F" w:rsidP="006B06E7">
      <w:pPr>
        <w:pStyle w:val="Prrafodelista"/>
        <w:numPr>
          <w:ilvl w:val="0"/>
          <w:numId w:val="2"/>
        </w:numPr>
        <w:spacing w:after="0" w:line="276" w:lineRule="auto"/>
        <w:ind w:left="567" w:right="0" w:hanging="567"/>
        <w:contextualSpacing w:val="0"/>
        <w:rPr>
          <w:rFonts w:ascii="ITC Avant Garde" w:hAnsi="ITC Avant Garde"/>
          <w:color w:val="auto"/>
        </w:rPr>
      </w:pPr>
      <w:r w:rsidRPr="00330641">
        <w:rPr>
          <w:rFonts w:ascii="ITC Avant Garde" w:hAnsi="ITC Avant Garde"/>
          <w:color w:val="auto"/>
        </w:rPr>
        <w:t>La medida decimoctava se considera que la penalización del servicio</w:t>
      </w:r>
      <w:r w:rsidRPr="00330641">
        <w:rPr>
          <w:rFonts w:ascii="ITC Avant Garde" w:hAnsi="ITC Avant Garde"/>
        </w:rPr>
        <w:t xml:space="preserve"> </w:t>
      </w:r>
      <w:r w:rsidR="00000287" w:rsidRPr="00330641">
        <w:rPr>
          <w:rFonts w:ascii="ITC Avant Garde" w:hAnsi="ITC Avant Garde"/>
        </w:rPr>
        <w:t>d</w:t>
      </w:r>
      <w:r w:rsidRPr="00330641">
        <w:rPr>
          <w:rFonts w:ascii="ITC Avant Garde" w:hAnsi="ITC Avant Garde"/>
          <w:color w:val="auto"/>
        </w:rPr>
        <w:t>ebe ser proporcional al daño experimentado por el AEP, al reducir la penalización Axtel considera que las barreras presentadas en la prestación del servicio se verán aumentadas y el daño a su imagen corporativa se verán aumentadas</w:t>
      </w:r>
      <w:r w:rsidR="00CD3FCF" w:rsidRPr="00330641">
        <w:rPr>
          <w:rFonts w:ascii="ITC Avant Garde" w:hAnsi="ITC Avant Garde"/>
          <w:color w:val="auto"/>
        </w:rPr>
        <w:t>.</w:t>
      </w:r>
    </w:p>
    <w:p w:rsidR="0030737F" w:rsidRPr="00330641" w:rsidRDefault="0030737F" w:rsidP="000F58E0">
      <w:pPr>
        <w:spacing w:after="0" w:line="276" w:lineRule="auto"/>
        <w:ind w:left="0" w:right="0" w:firstLine="0"/>
        <w:rPr>
          <w:rFonts w:ascii="ITC Avant Garde" w:hAnsi="ITC Avant Garde"/>
          <w:color w:val="auto"/>
        </w:rPr>
      </w:pPr>
    </w:p>
    <w:p w:rsidR="0030737F" w:rsidRPr="00330641" w:rsidRDefault="0030737F" w:rsidP="000F58E0">
      <w:pPr>
        <w:spacing w:after="0" w:line="276" w:lineRule="auto"/>
        <w:ind w:left="0" w:right="0" w:firstLine="0"/>
        <w:rPr>
          <w:rFonts w:ascii="ITC Avant Garde" w:hAnsi="ITC Avant Garde"/>
          <w:color w:val="auto"/>
        </w:rPr>
      </w:pPr>
      <w:r w:rsidRPr="00330641">
        <w:rPr>
          <w:rFonts w:ascii="ITC Avant Garde" w:hAnsi="ITC Avant Garde"/>
          <w:color w:val="auto"/>
        </w:rPr>
        <w:lastRenderedPageBreak/>
        <w:t xml:space="preserve">Asimismo, </w:t>
      </w:r>
      <w:r w:rsidR="00836078">
        <w:rPr>
          <w:rFonts w:ascii="ITC Avant Garde" w:hAnsi="ITC Avant Garde"/>
          <w:color w:val="auto"/>
        </w:rPr>
        <w:t>planteó</w:t>
      </w:r>
      <w:r w:rsidRPr="00330641">
        <w:rPr>
          <w:rFonts w:ascii="ITC Avant Garde" w:hAnsi="ITC Avant Garde"/>
          <w:color w:val="auto"/>
        </w:rPr>
        <w:t xml:space="preserve"> aumentar el valor considerado en la oferta vigente del 6% de la renta mensual por cada hora o fracción por incumplimiento en los parámetros de calidad de cada servicio.</w:t>
      </w:r>
    </w:p>
    <w:p w:rsidR="005E4B60" w:rsidRPr="00330641" w:rsidRDefault="005E4B60" w:rsidP="000F58E0">
      <w:pPr>
        <w:spacing w:after="0" w:line="276" w:lineRule="auto"/>
        <w:ind w:left="0" w:right="0" w:firstLine="0"/>
        <w:rPr>
          <w:rFonts w:ascii="ITC Avant Garde" w:hAnsi="ITC Avant Garde"/>
          <w:b/>
          <w:color w:val="auto"/>
        </w:rPr>
      </w:pPr>
    </w:p>
    <w:p w:rsidR="00247664" w:rsidRPr="00330641" w:rsidRDefault="00247664" w:rsidP="000F58E0">
      <w:pPr>
        <w:spacing w:after="0" w:line="276" w:lineRule="auto"/>
        <w:ind w:left="0" w:right="0" w:firstLine="0"/>
        <w:rPr>
          <w:rFonts w:ascii="ITC Avant Garde" w:hAnsi="ITC Avant Garde" w:cs="Times New Roman"/>
          <w:b/>
          <w:color w:val="auto"/>
        </w:rPr>
      </w:pPr>
      <w:r w:rsidRPr="00330641">
        <w:rPr>
          <w:rFonts w:ascii="ITC Avant Garde" w:hAnsi="ITC Avant Garde" w:cs="Times New Roman"/>
          <w:b/>
          <w:color w:val="auto"/>
        </w:rPr>
        <w:t>Consideraciones del Instituto</w:t>
      </w:r>
      <w:r w:rsidR="004547CE" w:rsidRPr="00330641">
        <w:rPr>
          <w:rFonts w:ascii="ITC Avant Garde" w:hAnsi="ITC Avant Garde" w:cs="Times New Roman"/>
          <w:b/>
          <w:color w:val="auto"/>
        </w:rPr>
        <w:t>:</w:t>
      </w:r>
    </w:p>
    <w:p w:rsidR="004547CE" w:rsidRPr="00330641" w:rsidRDefault="00A62C47" w:rsidP="000F58E0">
      <w:pPr>
        <w:spacing w:after="0" w:line="276" w:lineRule="auto"/>
        <w:ind w:left="0" w:right="0" w:firstLine="0"/>
        <w:rPr>
          <w:rFonts w:ascii="ITC Avant Garde" w:hAnsi="ITC Avant Garde"/>
          <w:color w:val="auto"/>
        </w:rPr>
      </w:pPr>
      <w:r>
        <w:rPr>
          <w:rFonts w:ascii="ITC Avant Garde" w:hAnsi="ITC Avant Garde"/>
          <w:color w:val="auto"/>
        </w:rPr>
        <w:t xml:space="preserve">Se modificó la Oferta conforme </w:t>
      </w:r>
      <w:r w:rsidR="00242BEF" w:rsidRPr="00330641">
        <w:rPr>
          <w:rFonts w:ascii="ITC Avant Garde" w:hAnsi="ITC Avant Garde"/>
          <w:color w:val="auto"/>
        </w:rPr>
        <w:t>los parámetros</w:t>
      </w:r>
      <w:r>
        <w:rPr>
          <w:rFonts w:ascii="ITC Avant Garde" w:hAnsi="ITC Avant Garde"/>
          <w:color w:val="auto"/>
        </w:rPr>
        <w:t xml:space="preserve"> de disponibilidad</w:t>
      </w:r>
      <w:r w:rsidR="00242BEF" w:rsidRPr="00330641">
        <w:rPr>
          <w:rFonts w:ascii="ITC Avant Garde" w:hAnsi="ITC Avant Garde"/>
          <w:color w:val="auto"/>
        </w:rPr>
        <w:t xml:space="preserve"> establecidos en</w:t>
      </w:r>
      <w:r>
        <w:rPr>
          <w:rFonts w:ascii="ITC Avant Garde" w:hAnsi="ITC Avant Garde"/>
          <w:color w:val="auto"/>
        </w:rPr>
        <w:t xml:space="preserve"> la Medida Decimonovena de</w:t>
      </w:r>
      <w:r w:rsidR="00242BEF" w:rsidRPr="00330641">
        <w:rPr>
          <w:rFonts w:ascii="ITC Avant Garde" w:hAnsi="ITC Avant Garde"/>
          <w:color w:val="auto"/>
        </w:rPr>
        <w:t xml:space="preserve"> las Medidas Fijas</w:t>
      </w:r>
      <w:r w:rsidR="004547CE" w:rsidRPr="00330641">
        <w:rPr>
          <w:rFonts w:ascii="ITC Avant Garde" w:hAnsi="ITC Avant Garde"/>
          <w:color w:val="auto"/>
        </w:rPr>
        <w:t xml:space="preserve"> la cual establece que los rangos de disponibilidad se medirán de forma anual y para cada uno de los enlaces dedicados.</w:t>
      </w:r>
    </w:p>
    <w:p w:rsidR="004547CE" w:rsidRPr="00330641" w:rsidRDefault="004547CE" w:rsidP="000F58E0">
      <w:pPr>
        <w:spacing w:after="0" w:line="276" w:lineRule="auto"/>
        <w:ind w:left="0" w:right="0" w:firstLine="0"/>
        <w:rPr>
          <w:rFonts w:ascii="ITC Avant Garde" w:hAnsi="ITC Avant Garde"/>
          <w:color w:val="auto"/>
        </w:rPr>
      </w:pPr>
    </w:p>
    <w:p w:rsidR="00C16BBB" w:rsidRPr="00330641" w:rsidRDefault="00474135" w:rsidP="000F58E0">
      <w:pPr>
        <w:autoSpaceDE w:val="0"/>
        <w:autoSpaceDN w:val="0"/>
        <w:adjustRightInd w:val="0"/>
        <w:spacing w:line="276" w:lineRule="auto"/>
        <w:rPr>
          <w:rFonts w:ascii="ITC Avant Garde" w:eastAsia="Calibri" w:hAnsi="ITC Avant Garde" w:cs="Arial"/>
          <w:lang w:eastAsia="es-ES"/>
        </w:rPr>
      </w:pPr>
      <w:r>
        <w:rPr>
          <w:rFonts w:ascii="ITC Avant Garde" w:hAnsi="ITC Avant Garde"/>
          <w:color w:val="auto"/>
        </w:rPr>
        <w:t xml:space="preserve">Asimismo, se modificaron las penalizaciones aplicables </w:t>
      </w:r>
      <w:r w:rsidR="004547CE" w:rsidRPr="00330641">
        <w:rPr>
          <w:rFonts w:ascii="ITC Avant Garde" w:hAnsi="ITC Avant Garde"/>
          <w:color w:val="auto"/>
        </w:rPr>
        <w:t xml:space="preserve">por incumplimiento en los parámetros de calidad </w:t>
      </w:r>
      <w:r>
        <w:rPr>
          <w:rFonts w:ascii="ITC Avant Garde" w:hAnsi="ITC Avant Garde"/>
          <w:color w:val="auto"/>
        </w:rPr>
        <w:t>conforme lo establecido en la ORE 2020.</w:t>
      </w:r>
    </w:p>
    <w:p w:rsidR="001169A3" w:rsidRPr="00330641" w:rsidRDefault="001169A3" w:rsidP="000F58E0">
      <w:pPr>
        <w:pStyle w:val="IFTnormal"/>
        <w:spacing w:after="0"/>
        <w:ind w:left="0"/>
        <w:rPr>
          <w:rFonts w:eastAsiaTheme="majorEastAsia"/>
          <w:b/>
          <w:u w:val="single"/>
        </w:rPr>
      </w:pPr>
    </w:p>
    <w:p w:rsidR="00253277" w:rsidRPr="00330641" w:rsidRDefault="00253277" w:rsidP="000F58E0">
      <w:pPr>
        <w:pStyle w:val="IFTnormal"/>
        <w:spacing w:after="0"/>
        <w:ind w:left="0"/>
        <w:rPr>
          <w:rFonts w:eastAsiaTheme="majorEastAsia"/>
          <w:b/>
          <w:u w:val="single"/>
        </w:rPr>
      </w:pPr>
      <w:r w:rsidRPr="00330641">
        <w:rPr>
          <w:rFonts w:eastAsiaTheme="majorEastAsia"/>
          <w:b/>
          <w:u w:val="single"/>
        </w:rPr>
        <w:t>2.7.4</w:t>
      </w:r>
    </w:p>
    <w:p w:rsidR="00253277" w:rsidRPr="00330641" w:rsidRDefault="00253277" w:rsidP="000F58E0">
      <w:pPr>
        <w:pStyle w:val="IFTnormal"/>
        <w:spacing w:after="0"/>
        <w:ind w:left="0"/>
        <w:rPr>
          <w:b/>
        </w:rPr>
      </w:pPr>
      <w:r w:rsidRPr="00330641">
        <w:rPr>
          <w:b/>
        </w:rPr>
        <w:t>GRUPO AT&amp;T</w:t>
      </w:r>
      <w:r w:rsidR="00073CF7" w:rsidRPr="00330641">
        <w:rPr>
          <w:b/>
        </w:rPr>
        <w:t>:</w:t>
      </w:r>
      <w:r w:rsidR="00E84177" w:rsidRPr="00330641">
        <w:rPr>
          <w:b/>
        </w:rPr>
        <w:t xml:space="preserve"> </w:t>
      </w:r>
    </w:p>
    <w:p w:rsidR="00253277" w:rsidRPr="00330641" w:rsidRDefault="00836078" w:rsidP="000F58E0">
      <w:pPr>
        <w:pStyle w:val="IFTnormal"/>
        <w:spacing w:after="0"/>
        <w:ind w:left="0"/>
      </w:pPr>
      <w:r>
        <w:rPr>
          <w:rFonts w:eastAsiaTheme="majorEastAsia"/>
        </w:rPr>
        <w:t>Sugirió</w:t>
      </w:r>
      <w:r w:rsidR="00253277" w:rsidRPr="00330641">
        <w:rPr>
          <w:rFonts w:eastAsiaTheme="majorEastAsia"/>
        </w:rPr>
        <w:t xml:space="preserve"> eliminar </w:t>
      </w:r>
      <w:r w:rsidR="003C45AA" w:rsidRPr="00330641">
        <w:rPr>
          <w:rFonts w:eastAsiaTheme="majorEastAsia"/>
        </w:rPr>
        <w:t xml:space="preserve">el numeral 2.7.4, </w:t>
      </w:r>
      <w:r>
        <w:rPr>
          <w:rFonts w:eastAsiaTheme="majorEastAsia"/>
        </w:rPr>
        <w:t>señala</w:t>
      </w:r>
      <w:r w:rsidR="003C45AA" w:rsidRPr="00330641">
        <w:rPr>
          <w:rFonts w:eastAsiaTheme="majorEastAsia"/>
        </w:rPr>
        <w:t xml:space="preserve">ndo </w:t>
      </w:r>
      <w:r w:rsidR="00253277" w:rsidRPr="00330641">
        <w:rPr>
          <w:rFonts w:eastAsiaTheme="majorEastAsia"/>
        </w:rPr>
        <w:t>que no es razonable que una visita por un reporte de falla tenga una penalización</w:t>
      </w:r>
      <w:r w:rsidR="00EA1458" w:rsidRPr="00330641">
        <w:rPr>
          <w:rFonts w:eastAsiaTheme="majorEastAsia"/>
        </w:rPr>
        <w:t xml:space="preserve"> para el CS </w:t>
      </w:r>
      <w:r w:rsidR="00253277" w:rsidRPr="00330641">
        <w:rPr>
          <w:rFonts w:eastAsiaTheme="majorEastAsia"/>
        </w:rPr>
        <w:t>tres veces mayor que todo un mes de enlace sin servicio por una falla de Telmex</w:t>
      </w:r>
      <w:r w:rsidR="000E6F71" w:rsidRPr="00330641">
        <w:rPr>
          <w:rFonts w:eastAsiaTheme="majorEastAsia"/>
        </w:rPr>
        <w:t xml:space="preserve">, </w:t>
      </w:r>
      <w:r w:rsidR="000E6F71" w:rsidRPr="00330641">
        <w:t>Asimismo debe de eliminarse el punto 2.7.5.</w:t>
      </w:r>
    </w:p>
    <w:p w:rsidR="00F47F16" w:rsidRPr="00330641" w:rsidRDefault="00F47F16" w:rsidP="000F58E0">
      <w:pPr>
        <w:pStyle w:val="IFTnormal"/>
        <w:spacing w:after="0"/>
        <w:ind w:left="0"/>
      </w:pPr>
    </w:p>
    <w:p w:rsidR="00C15D86" w:rsidRPr="00330641" w:rsidRDefault="00C15D86" w:rsidP="00C15D86">
      <w:pPr>
        <w:spacing w:after="0" w:line="276" w:lineRule="auto"/>
        <w:ind w:left="0" w:right="0" w:firstLine="0"/>
        <w:rPr>
          <w:rFonts w:ascii="ITC Avant Garde" w:eastAsiaTheme="majorEastAsia" w:hAnsi="ITC Avant Garde"/>
          <w:b/>
        </w:rPr>
      </w:pPr>
      <w:r w:rsidRPr="00330641">
        <w:rPr>
          <w:rFonts w:ascii="ITC Avant Garde" w:eastAsiaTheme="majorEastAsia" w:hAnsi="ITC Avant Garde"/>
          <w:b/>
        </w:rPr>
        <w:t>GRUPO TELEVISA:</w:t>
      </w:r>
    </w:p>
    <w:p w:rsidR="00C15D86" w:rsidRPr="00330641" w:rsidRDefault="00C15D86" w:rsidP="00C15D86">
      <w:pPr>
        <w:spacing w:after="0" w:line="276" w:lineRule="auto"/>
        <w:ind w:left="0" w:right="0" w:firstLine="0"/>
        <w:rPr>
          <w:rFonts w:ascii="ITC Avant Garde" w:hAnsi="ITC Avant Garde"/>
          <w:color w:val="auto"/>
        </w:rPr>
      </w:pPr>
      <w:r w:rsidRPr="00330641">
        <w:rPr>
          <w:rFonts w:ascii="ITC Avant Garde" w:hAnsi="ITC Avant Garde"/>
          <w:color w:val="auto"/>
        </w:rPr>
        <w:t>Propone eliminar las penalizaciones atribuibles a los CS, ya que este mismo no tiene control alguno de los enlaces o la infraestructura del servicio y por tanto no ejerce ninguna manipulación que puede desencadenar en una falla.</w:t>
      </w:r>
    </w:p>
    <w:p w:rsidR="00356A5E" w:rsidRPr="00330641" w:rsidRDefault="00356A5E" w:rsidP="000F58E0">
      <w:pPr>
        <w:pStyle w:val="IFTnormal"/>
        <w:spacing w:after="0"/>
        <w:ind w:left="0"/>
        <w:rPr>
          <w:rFonts w:eastAsiaTheme="majorEastAsia"/>
        </w:rPr>
      </w:pPr>
    </w:p>
    <w:p w:rsidR="0080033B" w:rsidRPr="00330641" w:rsidRDefault="0080033B" w:rsidP="000F58E0">
      <w:pPr>
        <w:spacing w:after="0" w:line="276" w:lineRule="auto"/>
        <w:ind w:left="0" w:right="0" w:firstLine="0"/>
        <w:rPr>
          <w:rFonts w:ascii="ITC Avant Garde" w:hAnsi="ITC Avant Garde" w:cs="Times New Roman"/>
          <w:b/>
          <w:color w:val="auto"/>
        </w:rPr>
      </w:pPr>
      <w:r w:rsidRPr="00330641">
        <w:rPr>
          <w:rFonts w:ascii="ITC Avant Garde" w:hAnsi="ITC Avant Garde" w:cs="Times New Roman"/>
          <w:b/>
          <w:color w:val="auto"/>
        </w:rPr>
        <w:t>Consideraciones del Instituto</w:t>
      </w:r>
      <w:r w:rsidR="009322A6">
        <w:rPr>
          <w:rFonts w:ascii="ITC Avant Garde" w:hAnsi="ITC Avant Garde" w:cs="Times New Roman"/>
          <w:b/>
          <w:color w:val="auto"/>
        </w:rPr>
        <w:t>:</w:t>
      </w:r>
    </w:p>
    <w:p w:rsidR="00C86F69" w:rsidRPr="00330641" w:rsidRDefault="00C86F69" w:rsidP="000F58E0">
      <w:pPr>
        <w:spacing w:after="0" w:line="276" w:lineRule="auto"/>
        <w:ind w:left="0" w:right="0" w:firstLine="0"/>
        <w:rPr>
          <w:rFonts w:ascii="ITC Avant Garde" w:hAnsi="ITC Avant Garde"/>
          <w:color w:val="auto"/>
        </w:rPr>
      </w:pPr>
      <w:r w:rsidRPr="00330641">
        <w:rPr>
          <w:rFonts w:ascii="ITC Avant Garde" w:hAnsi="ITC Avant Garde"/>
          <w:color w:val="auto"/>
        </w:rPr>
        <w:t xml:space="preserve">Por lo que hace a la penalización del 1.2% </w:t>
      </w:r>
      <w:r w:rsidR="0050502A">
        <w:rPr>
          <w:rFonts w:ascii="ITC Avant Garde" w:hAnsi="ITC Avant Garde"/>
          <w:color w:val="auto"/>
        </w:rPr>
        <w:t xml:space="preserve">representa un incentivo para la prestación de forma eficiente del servicio pues el reporte de casos de falla falsos negativos retrasa la atención de fallas reales por lo que, a efecto de evitar retrasos en la atención de fallas se </w:t>
      </w:r>
      <w:r w:rsidRPr="00330641">
        <w:rPr>
          <w:rFonts w:ascii="ITC Avant Garde" w:hAnsi="ITC Avant Garde"/>
          <w:color w:val="auto"/>
        </w:rPr>
        <w:t>considera</w:t>
      </w:r>
      <w:r w:rsidR="0050502A">
        <w:rPr>
          <w:rFonts w:ascii="ITC Avant Garde" w:hAnsi="ITC Avant Garde"/>
          <w:color w:val="auto"/>
        </w:rPr>
        <w:t xml:space="preserve"> necesario mantener dicha penalización</w:t>
      </w:r>
      <w:r w:rsidRPr="00330641">
        <w:rPr>
          <w:rFonts w:ascii="ITC Avant Garde" w:hAnsi="ITC Avant Garde"/>
          <w:color w:val="auto"/>
        </w:rPr>
        <w:t>.</w:t>
      </w:r>
      <w:r w:rsidR="0050502A">
        <w:rPr>
          <w:rFonts w:ascii="ITC Avant Garde" w:hAnsi="ITC Avant Garde"/>
          <w:color w:val="auto"/>
        </w:rPr>
        <w:t xml:space="preserve"> Asimismo, el CS puede establecer mecanismos que mejoren la identificación y reporte de fallas de tal forma que dicha penalización no sea aplicable.</w:t>
      </w:r>
    </w:p>
    <w:p w:rsidR="00B05531" w:rsidRPr="00330641" w:rsidRDefault="00B05531" w:rsidP="000F58E0">
      <w:pPr>
        <w:spacing w:after="0" w:line="276" w:lineRule="auto"/>
        <w:ind w:left="0" w:right="0" w:firstLine="0"/>
        <w:rPr>
          <w:rFonts w:ascii="ITC Avant Garde" w:hAnsi="ITC Avant Garde"/>
          <w:color w:val="auto"/>
        </w:rPr>
      </w:pPr>
    </w:p>
    <w:p w:rsidR="00836078" w:rsidRPr="00AF7193" w:rsidRDefault="00F725F9" w:rsidP="00836078">
      <w:pPr>
        <w:pStyle w:val="IFTnormal"/>
        <w:spacing w:after="0"/>
        <w:ind w:left="0"/>
        <w:rPr>
          <w:rFonts w:eastAsiaTheme="majorEastAsia" w:cs="Arial"/>
          <w:b/>
          <w:u w:val="single"/>
        </w:rPr>
      </w:pPr>
      <w:r w:rsidRPr="00330641">
        <w:rPr>
          <w:rFonts w:eastAsiaTheme="majorEastAsia"/>
          <w:b/>
          <w:u w:val="single"/>
        </w:rPr>
        <w:t>2.7.</w:t>
      </w:r>
      <w:r w:rsidR="00000287" w:rsidRPr="00330641">
        <w:rPr>
          <w:rFonts w:eastAsiaTheme="majorEastAsia"/>
          <w:b/>
          <w:u w:val="single"/>
        </w:rPr>
        <w:t>5</w:t>
      </w:r>
      <w:r w:rsidR="00836078">
        <w:rPr>
          <w:rFonts w:eastAsiaTheme="majorEastAsia"/>
          <w:b/>
          <w:u w:val="single"/>
        </w:rPr>
        <w:t xml:space="preserve"> </w:t>
      </w:r>
      <w:r w:rsidR="00836078" w:rsidRPr="00516E95">
        <w:rPr>
          <w:rFonts w:eastAsiaTheme="majorEastAsia" w:cs="Arial"/>
          <w:b/>
          <w:u w:val="single"/>
          <w:lang w:val="es-MX"/>
        </w:rPr>
        <w:t>Procedimiento de liquidación de penalizaciones</w:t>
      </w:r>
    </w:p>
    <w:p w:rsidR="000E31CA" w:rsidRPr="00516E95" w:rsidRDefault="000E31CA" w:rsidP="000E31CA">
      <w:pPr>
        <w:pStyle w:val="IFTnormal"/>
        <w:spacing w:after="0"/>
        <w:ind w:left="0"/>
        <w:rPr>
          <w:rFonts w:cs="Arial"/>
          <w:b/>
        </w:rPr>
      </w:pPr>
      <w:r w:rsidRPr="00935EA1">
        <w:rPr>
          <w:rFonts w:cs="Arial"/>
          <w:b/>
        </w:rPr>
        <w:t>G</w:t>
      </w:r>
      <w:r w:rsidRPr="00B07EF9">
        <w:rPr>
          <w:rFonts w:cs="Arial"/>
          <w:b/>
        </w:rPr>
        <w:t xml:space="preserve">RUPO </w:t>
      </w:r>
      <w:r w:rsidRPr="00AF7193">
        <w:rPr>
          <w:rFonts w:cs="Arial"/>
          <w:b/>
        </w:rPr>
        <w:t xml:space="preserve">AT&amp;T: </w:t>
      </w:r>
    </w:p>
    <w:p w:rsidR="00F725F9" w:rsidRPr="00330641" w:rsidRDefault="000E31CA" w:rsidP="000F58E0">
      <w:pPr>
        <w:pStyle w:val="IFTnormal"/>
        <w:spacing w:after="0"/>
        <w:ind w:left="0"/>
        <w:rPr>
          <w:rFonts w:eastAsiaTheme="majorEastAsia"/>
          <w:b/>
          <w:u w:val="single"/>
        </w:rPr>
      </w:pPr>
      <w:r>
        <w:rPr>
          <w:rFonts w:eastAsiaTheme="majorEastAsia" w:cs="Arial"/>
        </w:rPr>
        <w:t>Sugirió</w:t>
      </w:r>
      <w:r w:rsidRPr="00935EA1">
        <w:rPr>
          <w:rFonts w:eastAsiaTheme="majorEastAsia" w:cs="Arial"/>
        </w:rPr>
        <w:t xml:space="preserve"> eliminar </w:t>
      </w:r>
      <w:r w:rsidRPr="00060F10">
        <w:rPr>
          <w:rFonts w:eastAsiaTheme="majorEastAsia" w:cs="Arial"/>
        </w:rPr>
        <w:t>el numeral 2.7.5</w:t>
      </w:r>
    </w:p>
    <w:p w:rsidR="00722965" w:rsidRDefault="00722965" w:rsidP="000F58E0">
      <w:pPr>
        <w:spacing w:after="0" w:line="276" w:lineRule="auto"/>
        <w:ind w:left="0" w:right="0" w:firstLine="0"/>
        <w:rPr>
          <w:rFonts w:ascii="ITC Avant Garde" w:hAnsi="ITC Avant Garde"/>
          <w:b/>
          <w:color w:val="auto"/>
        </w:rPr>
      </w:pPr>
    </w:p>
    <w:p w:rsidR="006E3B2A" w:rsidRPr="00330641" w:rsidRDefault="00514D57" w:rsidP="000F58E0">
      <w:pPr>
        <w:spacing w:after="0" w:line="276" w:lineRule="auto"/>
        <w:ind w:left="0" w:right="0" w:firstLine="0"/>
        <w:rPr>
          <w:rFonts w:ascii="ITC Avant Garde" w:hAnsi="ITC Avant Garde"/>
          <w:b/>
          <w:color w:val="auto"/>
        </w:rPr>
      </w:pPr>
      <w:r w:rsidRPr="00330641">
        <w:rPr>
          <w:rFonts w:ascii="ITC Avant Garde" w:hAnsi="ITC Avant Garde"/>
          <w:b/>
          <w:color w:val="auto"/>
        </w:rPr>
        <w:t>GRUPO TELEVISA:</w:t>
      </w:r>
    </w:p>
    <w:p w:rsidR="00514D57" w:rsidRPr="00330641" w:rsidRDefault="0012211F" w:rsidP="00B53788">
      <w:pPr>
        <w:pStyle w:val="IFTnormal"/>
        <w:spacing w:after="0"/>
        <w:ind w:left="0"/>
        <w:rPr>
          <w:rFonts w:eastAsiaTheme="majorEastAsia"/>
        </w:rPr>
      </w:pPr>
      <w:r>
        <w:rPr>
          <w:rFonts w:eastAsiaTheme="majorEastAsia"/>
        </w:rPr>
        <w:t>Manifestó</w:t>
      </w:r>
      <w:r w:rsidR="00B53788" w:rsidRPr="00330641">
        <w:rPr>
          <w:rFonts w:eastAsiaTheme="majorEastAsia"/>
        </w:rPr>
        <w:t xml:space="preserve"> que existen problemáticas para llegar a un consenso entre las partes en lo que respecta a incumplimientos,</w:t>
      </w:r>
      <w:r w:rsidR="00514D57" w:rsidRPr="00330641">
        <w:rPr>
          <w:rFonts w:eastAsiaTheme="majorEastAsia"/>
        </w:rPr>
        <w:t xml:space="preserve"> en particular se torna complicado acordar cálculos y las características de</w:t>
      </w:r>
      <w:r w:rsidR="00B53788" w:rsidRPr="00330641">
        <w:rPr>
          <w:rFonts w:eastAsiaTheme="majorEastAsia"/>
        </w:rPr>
        <w:t xml:space="preserve"> las penalizaciones</w:t>
      </w:r>
      <w:r w:rsidR="00514D57" w:rsidRPr="00330641">
        <w:rPr>
          <w:rFonts w:eastAsiaTheme="majorEastAsia"/>
        </w:rPr>
        <w:t xml:space="preserve"> lo cual dificulta cobrarlas</w:t>
      </w:r>
      <w:r w:rsidR="00B53788" w:rsidRPr="00330641">
        <w:rPr>
          <w:rFonts w:eastAsiaTheme="majorEastAsia"/>
        </w:rPr>
        <w:t>.</w:t>
      </w:r>
    </w:p>
    <w:p w:rsidR="00514D57" w:rsidRPr="00330641" w:rsidRDefault="00514D57" w:rsidP="00B53788">
      <w:pPr>
        <w:pStyle w:val="IFTnormal"/>
        <w:spacing w:after="0"/>
        <w:ind w:left="0"/>
        <w:rPr>
          <w:rFonts w:eastAsiaTheme="majorEastAsia"/>
        </w:rPr>
      </w:pPr>
    </w:p>
    <w:p w:rsidR="00B53788" w:rsidRPr="00330641" w:rsidRDefault="00514D57" w:rsidP="00B53788">
      <w:pPr>
        <w:pStyle w:val="IFTnormal"/>
        <w:spacing w:after="0"/>
        <w:ind w:left="0"/>
        <w:rPr>
          <w:rFonts w:eastAsiaTheme="majorEastAsia"/>
        </w:rPr>
      </w:pPr>
      <w:r w:rsidRPr="00330641">
        <w:rPr>
          <w:rFonts w:eastAsiaTheme="majorEastAsia"/>
        </w:rPr>
        <w:t>En este sentido, Grupo Televisa</w:t>
      </w:r>
      <w:r w:rsidR="00B53788" w:rsidRPr="00330641">
        <w:rPr>
          <w:rFonts w:eastAsiaTheme="majorEastAsia"/>
        </w:rPr>
        <w:t xml:space="preserve"> propone </w:t>
      </w:r>
      <w:r w:rsidRPr="00330641">
        <w:rPr>
          <w:rFonts w:eastAsiaTheme="majorEastAsia"/>
        </w:rPr>
        <w:t xml:space="preserve">en primera instancia, </w:t>
      </w:r>
      <w:r w:rsidR="00B53788" w:rsidRPr="00330641">
        <w:rPr>
          <w:rFonts w:eastAsiaTheme="majorEastAsia"/>
        </w:rPr>
        <w:t>la creación de un comité técnico para auditar las decisiones relacionadas con incumplimientos en cuanto a los parámetros de calidad y establezca las penalizaciones correspondientes, y en tanto se conforme el comité</w:t>
      </w:r>
      <w:r w:rsidRPr="00330641">
        <w:rPr>
          <w:rFonts w:eastAsiaTheme="majorEastAsia"/>
        </w:rPr>
        <w:t xml:space="preserve"> o su viabilidad, propone al</w:t>
      </w:r>
      <w:r w:rsidR="00B53788" w:rsidRPr="00330641">
        <w:rPr>
          <w:rFonts w:eastAsiaTheme="majorEastAsia"/>
        </w:rPr>
        <w:t xml:space="preserve"> </w:t>
      </w:r>
      <w:r w:rsidRPr="00330641">
        <w:rPr>
          <w:rFonts w:eastAsiaTheme="majorEastAsia"/>
        </w:rPr>
        <w:t>I</w:t>
      </w:r>
      <w:r w:rsidR="00B53788" w:rsidRPr="00330641">
        <w:rPr>
          <w:rFonts w:eastAsiaTheme="majorEastAsia"/>
        </w:rPr>
        <w:t>nstituto</w:t>
      </w:r>
      <w:r w:rsidR="003F2A5D" w:rsidRPr="00330641">
        <w:rPr>
          <w:rFonts w:eastAsiaTheme="majorEastAsia"/>
        </w:rPr>
        <w:t xml:space="preserve"> quien evalué de forma precisa el incumplimiento de parámetros y las penalizaciones correspondientes. En segundo lugar,</w:t>
      </w:r>
      <w:r w:rsidR="00B53788" w:rsidRPr="00330641">
        <w:rPr>
          <w:rFonts w:eastAsiaTheme="majorEastAsia"/>
        </w:rPr>
        <w:t xml:space="preserve"> </w:t>
      </w:r>
      <w:r w:rsidR="00602350">
        <w:rPr>
          <w:rFonts w:eastAsiaTheme="majorEastAsia"/>
        </w:rPr>
        <w:t>solicitó</w:t>
      </w:r>
      <w:r w:rsidR="00B53788" w:rsidRPr="00330641">
        <w:rPr>
          <w:rFonts w:eastAsiaTheme="majorEastAsia"/>
        </w:rPr>
        <w:t xml:space="preserve"> establecer obligatoriamente una reunión para la conciliación de incumplimientos, misma que debe de llevarse a cabo dentro de la primera semana de cada mes, con la asistencia de al menos un representante del AEP, del CS y del Comité técnico, este último deberá entregar un veredicto del valor de las penalizaciones que son imputadas tanto al CS como al AEP</w:t>
      </w:r>
      <w:r w:rsidR="003F2A5D" w:rsidRPr="00330641">
        <w:rPr>
          <w:rFonts w:eastAsiaTheme="majorEastAsia"/>
        </w:rPr>
        <w:t xml:space="preserve">. </w:t>
      </w:r>
      <w:r w:rsidR="00330641" w:rsidRPr="00330641">
        <w:rPr>
          <w:rFonts w:eastAsiaTheme="majorEastAsia"/>
        </w:rPr>
        <w:t>Continúa</w:t>
      </w:r>
      <w:r w:rsidR="003F2A5D" w:rsidRPr="00330641">
        <w:rPr>
          <w:rFonts w:eastAsiaTheme="majorEastAsia"/>
        </w:rPr>
        <w:t xml:space="preserve"> </w:t>
      </w:r>
      <w:r w:rsidR="000E31CA">
        <w:rPr>
          <w:rFonts w:eastAsiaTheme="majorEastAsia"/>
        </w:rPr>
        <w:t>señala</w:t>
      </w:r>
      <w:r w:rsidR="003F2A5D" w:rsidRPr="00330641">
        <w:rPr>
          <w:rFonts w:eastAsiaTheme="majorEastAsia"/>
        </w:rPr>
        <w:t>ndo que</w:t>
      </w:r>
      <w:r w:rsidR="00B53788" w:rsidRPr="00330641">
        <w:rPr>
          <w:rFonts w:eastAsiaTheme="majorEastAsia"/>
        </w:rPr>
        <w:t xml:space="preserve"> </w:t>
      </w:r>
      <w:r w:rsidR="003F2A5D" w:rsidRPr="00330641">
        <w:rPr>
          <w:rFonts w:eastAsiaTheme="majorEastAsia"/>
        </w:rPr>
        <w:t>e</w:t>
      </w:r>
      <w:r w:rsidR="00B53788" w:rsidRPr="00330641">
        <w:rPr>
          <w:rFonts w:eastAsiaTheme="majorEastAsia"/>
        </w:rPr>
        <w:t>l insumo esencial de las reuniones de conciliación de penalizaciones será la información existente en el SEG</w:t>
      </w:r>
      <w:r w:rsidR="003F2A5D" w:rsidRPr="00330641">
        <w:rPr>
          <w:rFonts w:eastAsiaTheme="majorEastAsia"/>
        </w:rPr>
        <w:t xml:space="preserve">. </w:t>
      </w:r>
    </w:p>
    <w:p w:rsidR="002D4FB9" w:rsidRPr="00330641" w:rsidRDefault="002D4FB9" w:rsidP="000F58E0">
      <w:pPr>
        <w:spacing w:after="0" w:line="276" w:lineRule="auto"/>
        <w:ind w:left="0" w:right="0" w:firstLine="0"/>
        <w:rPr>
          <w:rFonts w:ascii="ITC Avant Garde" w:hAnsi="ITC Avant Garde"/>
          <w:color w:val="auto"/>
        </w:rPr>
      </w:pPr>
    </w:p>
    <w:p w:rsidR="003C45AA" w:rsidRPr="00330641" w:rsidRDefault="001E0963" w:rsidP="000F58E0">
      <w:pPr>
        <w:spacing w:after="0" w:line="276" w:lineRule="auto"/>
        <w:ind w:left="0" w:right="0" w:firstLine="0"/>
        <w:rPr>
          <w:rFonts w:ascii="ITC Avant Garde" w:hAnsi="ITC Avant Garde" w:cs="Times New Roman"/>
          <w:b/>
          <w:color w:val="auto"/>
        </w:rPr>
      </w:pPr>
      <w:r w:rsidRPr="00330641">
        <w:rPr>
          <w:rFonts w:ascii="ITC Avant Garde" w:hAnsi="ITC Avant Garde" w:cs="Times New Roman"/>
          <w:b/>
          <w:color w:val="auto"/>
        </w:rPr>
        <w:t>Consideraciones del Instituto</w:t>
      </w:r>
      <w:r w:rsidR="003C45AA" w:rsidRPr="00330641">
        <w:rPr>
          <w:rFonts w:ascii="ITC Avant Garde" w:hAnsi="ITC Avant Garde" w:cs="Times New Roman"/>
          <w:b/>
          <w:color w:val="auto"/>
        </w:rPr>
        <w:t>:</w:t>
      </w:r>
    </w:p>
    <w:p w:rsidR="006C24CD" w:rsidRPr="00C70041" w:rsidRDefault="00CA593A" w:rsidP="00C70041">
      <w:pPr>
        <w:spacing w:after="0" w:line="276" w:lineRule="auto"/>
        <w:ind w:left="0" w:right="0" w:firstLine="0"/>
        <w:rPr>
          <w:rFonts w:ascii="ITC Avant Garde" w:hAnsi="ITC Avant Garde"/>
          <w:color w:val="auto"/>
        </w:rPr>
      </w:pPr>
      <w:r w:rsidRPr="00935EA1">
        <w:rPr>
          <w:rFonts w:ascii="ITC Avant Garde" w:hAnsi="ITC Avant Garde" w:cs="Arial"/>
          <w:color w:val="auto"/>
        </w:rPr>
        <w:t xml:space="preserve">Al respecto, </w:t>
      </w:r>
      <w:r w:rsidR="00C70041">
        <w:rPr>
          <w:rFonts w:ascii="ITC Avant Garde" w:hAnsi="ITC Avant Garde" w:cs="Arial"/>
          <w:color w:val="auto"/>
        </w:rPr>
        <w:t xml:space="preserve">se considera necesario contar con un procedimiento de liquidación de penalizaciones que garantice a las partes la aplicación de las penalizaciones conforme a lo establecido en la ORE. Respecto a lo señalado por Televisa, </w:t>
      </w:r>
      <w:r w:rsidR="003C45AA" w:rsidRPr="00330641">
        <w:rPr>
          <w:rFonts w:ascii="ITC Avant Garde" w:hAnsi="ITC Avant Garde"/>
          <w:color w:val="auto"/>
        </w:rPr>
        <w:t>e</w:t>
      </w:r>
      <w:r w:rsidR="001E0963" w:rsidRPr="00330641">
        <w:rPr>
          <w:rFonts w:ascii="ITC Avant Garde" w:hAnsi="ITC Avant Garde"/>
          <w:color w:val="auto"/>
        </w:rPr>
        <w:t>l numeral 2.7.5 de la propuesta de ORE</w:t>
      </w:r>
      <w:r w:rsidR="00C15D86" w:rsidRPr="00330641">
        <w:rPr>
          <w:rFonts w:ascii="ITC Avant Garde" w:hAnsi="ITC Avant Garde"/>
          <w:color w:val="auto"/>
        </w:rPr>
        <w:t xml:space="preserve"> DM</w:t>
      </w:r>
      <w:r w:rsidR="001E0963" w:rsidRPr="00330641">
        <w:rPr>
          <w:rFonts w:ascii="ITC Avant Garde" w:hAnsi="ITC Avant Garde"/>
          <w:color w:val="auto"/>
        </w:rPr>
        <w:t xml:space="preserve"> 202</w:t>
      </w:r>
      <w:r w:rsidR="00C15D86" w:rsidRPr="00330641">
        <w:rPr>
          <w:rFonts w:ascii="ITC Avant Garde" w:hAnsi="ITC Avant Garde"/>
          <w:color w:val="auto"/>
        </w:rPr>
        <w:t>1</w:t>
      </w:r>
      <w:r w:rsidR="001E0963" w:rsidRPr="00330641">
        <w:rPr>
          <w:rFonts w:ascii="ITC Avant Garde" w:hAnsi="ITC Avant Garde"/>
          <w:color w:val="auto"/>
        </w:rPr>
        <w:t xml:space="preserve"> </w:t>
      </w:r>
      <w:r w:rsidR="00C70041">
        <w:rPr>
          <w:rFonts w:ascii="ITC Avant Garde" w:hAnsi="ITC Avant Garde"/>
          <w:color w:val="auto"/>
        </w:rPr>
        <w:t xml:space="preserve">ya </w:t>
      </w:r>
      <w:r w:rsidR="001E0963" w:rsidRPr="00330641">
        <w:rPr>
          <w:rFonts w:ascii="ITC Avant Garde" w:hAnsi="ITC Avant Garde"/>
          <w:color w:val="auto"/>
        </w:rPr>
        <w:t>incluye el proceso en el que se llevara a cabo la liquidación de las penalizaciones</w:t>
      </w:r>
      <w:r w:rsidR="00967C4E" w:rsidRPr="00330641">
        <w:rPr>
          <w:rFonts w:ascii="ITC Avant Garde" w:hAnsi="ITC Avant Garde"/>
          <w:color w:val="auto"/>
        </w:rPr>
        <w:t xml:space="preserve"> y la periodicidad con que deben realizarse las respectivas conciliaciones</w:t>
      </w:r>
      <w:r w:rsidR="00C70041">
        <w:rPr>
          <w:rFonts w:ascii="ITC Avant Garde" w:hAnsi="ITC Avant Garde"/>
          <w:color w:val="auto"/>
        </w:rPr>
        <w:t>.</w:t>
      </w:r>
    </w:p>
    <w:p w:rsidR="00967C17" w:rsidRPr="00330641" w:rsidRDefault="00967C17" w:rsidP="000F58E0">
      <w:pPr>
        <w:pStyle w:val="IFTnormal"/>
        <w:spacing w:after="0"/>
        <w:ind w:left="0"/>
        <w:rPr>
          <w:rFonts w:eastAsiaTheme="majorEastAsia"/>
        </w:rPr>
      </w:pPr>
    </w:p>
    <w:p w:rsidR="00967C17" w:rsidRPr="00330641" w:rsidRDefault="0009685E" w:rsidP="00967C17">
      <w:pPr>
        <w:spacing w:after="0" w:line="276" w:lineRule="auto"/>
        <w:ind w:left="0" w:right="0" w:firstLine="0"/>
        <w:rPr>
          <w:rFonts w:ascii="ITC Avant Garde" w:hAnsi="ITC Avant Garde"/>
          <w:color w:val="auto"/>
        </w:rPr>
      </w:pPr>
      <w:r>
        <w:rPr>
          <w:rFonts w:ascii="ITC Avant Garde" w:eastAsiaTheme="majorEastAsia" w:hAnsi="ITC Avant Garde"/>
        </w:rPr>
        <w:t>P</w:t>
      </w:r>
      <w:r w:rsidR="00967C17" w:rsidRPr="00330641">
        <w:rPr>
          <w:rFonts w:ascii="ITC Avant Garde" w:eastAsiaTheme="majorEastAsia" w:hAnsi="ITC Avant Garde"/>
        </w:rPr>
        <w:t>or lo que respecta a la creación de un comité técnico para auditar las decisiones relacionadas con incumplimientos en cuanto a los parámetros de calidad y establezca las penalizaciones correspondientes</w:t>
      </w:r>
      <w:r w:rsidR="00967C17" w:rsidRPr="00330641">
        <w:rPr>
          <w:rFonts w:ascii="ITC Avant Garde" w:hAnsi="ITC Avant Garde"/>
          <w:color w:val="auto"/>
        </w:rPr>
        <w:t xml:space="preserve">, </w:t>
      </w:r>
      <w:r>
        <w:rPr>
          <w:rFonts w:ascii="ITC Avant Garde" w:hAnsi="ITC Avant Garde"/>
          <w:color w:val="auto"/>
        </w:rPr>
        <w:t>se señala que la supervisión y vigilancia de la aplicación de las penalizaciones y el monto correspondiente excede el alcance de la Oferta de Referencia</w:t>
      </w:r>
      <w:r w:rsidR="00967C17" w:rsidRPr="00330641">
        <w:rPr>
          <w:rFonts w:ascii="ITC Avant Garde" w:hAnsi="ITC Avant Garde"/>
          <w:color w:val="auto"/>
        </w:rPr>
        <w:t>.</w:t>
      </w:r>
    </w:p>
    <w:p w:rsidR="001169A3" w:rsidRPr="00330641" w:rsidRDefault="001169A3" w:rsidP="000F58E0">
      <w:pPr>
        <w:spacing w:after="0" w:line="276" w:lineRule="auto"/>
        <w:ind w:left="0" w:right="0" w:firstLine="0"/>
        <w:rPr>
          <w:rFonts w:ascii="ITC Avant Garde" w:hAnsi="ITC Avant Garde"/>
          <w:b/>
          <w:color w:val="auto"/>
          <w:u w:val="single"/>
        </w:rPr>
      </w:pPr>
    </w:p>
    <w:p w:rsidR="004E0329" w:rsidRPr="00330641" w:rsidRDefault="004E0329" w:rsidP="000F58E0">
      <w:pPr>
        <w:spacing w:after="0" w:line="276" w:lineRule="auto"/>
        <w:ind w:left="0" w:right="0" w:firstLine="0"/>
        <w:rPr>
          <w:rFonts w:ascii="ITC Avant Garde" w:hAnsi="ITC Avant Garde"/>
          <w:b/>
          <w:color w:val="auto"/>
          <w:u w:val="single"/>
        </w:rPr>
      </w:pPr>
      <w:r w:rsidRPr="00330641">
        <w:rPr>
          <w:rFonts w:ascii="ITC Avant Garde" w:hAnsi="ITC Avant Garde"/>
          <w:b/>
          <w:color w:val="auto"/>
          <w:u w:val="single"/>
        </w:rPr>
        <w:t>2.7.6</w:t>
      </w:r>
    </w:p>
    <w:p w:rsidR="00252F42" w:rsidRPr="00330641" w:rsidRDefault="00452908" w:rsidP="000F58E0">
      <w:pPr>
        <w:spacing w:after="0" w:line="276" w:lineRule="auto"/>
        <w:ind w:left="0" w:right="0" w:firstLine="0"/>
        <w:rPr>
          <w:rFonts w:ascii="ITC Avant Garde" w:hAnsi="ITC Avant Garde"/>
          <w:b/>
          <w:color w:val="auto"/>
        </w:rPr>
      </w:pPr>
      <w:r w:rsidRPr="00330641">
        <w:rPr>
          <w:rFonts w:ascii="ITC Avant Garde" w:hAnsi="ITC Avant Garde"/>
          <w:b/>
          <w:color w:val="auto"/>
        </w:rPr>
        <w:t xml:space="preserve">GRUPO AT&amp;T: </w:t>
      </w:r>
    </w:p>
    <w:p w:rsidR="00252F42" w:rsidRPr="00330641" w:rsidRDefault="000E31CA" w:rsidP="000F58E0">
      <w:pPr>
        <w:spacing w:after="0" w:line="276" w:lineRule="auto"/>
        <w:ind w:left="0" w:right="0" w:firstLine="0"/>
        <w:rPr>
          <w:rFonts w:ascii="ITC Avant Garde" w:hAnsi="ITC Avant Garde"/>
          <w:color w:val="auto"/>
        </w:rPr>
      </w:pPr>
      <w:r>
        <w:rPr>
          <w:rFonts w:ascii="ITC Avant Garde" w:hAnsi="ITC Avant Garde"/>
          <w:color w:val="auto"/>
        </w:rPr>
        <w:t>Sugirió</w:t>
      </w:r>
      <w:r w:rsidR="00252F42" w:rsidRPr="00330641">
        <w:rPr>
          <w:rFonts w:ascii="ITC Avant Garde" w:hAnsi="ITC Avant Garde"/>
          <w:color w:val="auto"/>
        </w:rPr>
        <w:t xml:space="preserve"> agregar un numeral 2.7.6, en donde se establezca que cuando un enlace presenta fallas recurrentes y Telmex no puede solucionarlas, no es suficiente con aplicar una penalidad, el CS deberá buscar una alternativa en un tiempo razonable y poder cancelar el enlace sin penalidad. </w:t>
      </w:r>
    </w:p>
    <w:p w:rsidR="00252F42" w:rsidRPr="00330641" w:rsidRDefault="00252F42" w:rsidP="000F58E0">
      <w:pPr>
        <w:spacing w:after="0" w:line="276" w:lineRule="auto"/>
        <w:ind w:left="0" w:right="0" w:firstLine="0"/>
        <w:rPr>
          <w:rFonts w:ascii="ITC Avant Garde" w:hAnsi="ITC Avant Garde"/>
          <w:color w:val="auto"/>
        </w:rPr>
      </w:pPr>
    </w:p>
    <w:p w:rsidR="004E0329" w:rsidRPr="00330641" w:rsidRDefault="004E0329" w:rsidP="000F58E0">
      <w:pPr>
        <w:spacing w:after="0" w:line="276" w:lineRule="auto"/>
        <w:ind w:left="0" w:right="0" w:firstLine="0"/>
        <w:rPr>
          <w:rFonts w:ascii="ITC Avant Garde" w:hAnsi="ITC Avant Garde" w:cs="Times New Roman"/>
          <w:b/>
          <w:color w:val="auto"/>
        </w:rPr>
      </w:pPr>
      <w:r w:rsidRPr="00330641">
        <w:rPr>
          <w:rFonts w:ascii="ITC Avant Garde" w:hAnsi="ITC Avant Garde" w:cs="Times New Roman"/>
          <w:b/>
          <w:color w:val="auto"/>
        </w:rPr>
        <w:t>Consideraciones del Instituto</w:t>
      </w:r>
      <w:r w:rsidR="006C24CD" w:rsidRPr="00330641">
        <w:rPr>
          <w:rFonts w:ascii="ITC Avant Garde" w:hAnsi="ITC Avant Garde" w:cs="Times New Roman"/>
          <w:b/>
          <w:color w:val="auto"/>
        </w:rPr>
        <w:t>:</w:t>
      </w:r>
    </w:p>
    <w:p w:rsidR="004E0329" w:rsidRPr="00330641" w:rsidRDefault="006C24CD" w:rsidP="000F58E0">
      <w:pPr>
        <w:spacing w:after="0" w:line="276" w:lineRule="auto"/>
        <w:ind w:left="0" w:right="0" w:firstLine="0"/>
        <w:rPr>
          <w:rFonts w:ascii="ITC Avant Garde" w:hAnsi="ITC Avant Garde"/>
          <w:color w:val="auto"/>
          <w:highlight w:val="yellow"/>
        </w:rPr>
      </w:pPr>
      <w:r w:rsidRPr="00330641">
        <w:rPr>
          <w:rFonts w:ascii="ITC Avant Garde" w:hAnsi="ITC Avant Garde" w:cs="Times New Roman"/>
          <w:color w:val="auto"/>
        </w:rPr>
        <w:t xml:space="preserve">Al respecto se </w:t>
      </w:r>
      <w:r w:rsidR="000E31CA">
        <w:rPr>
          <w:rFonts w:ascii="ITC Avant Garde" w:hAnsi="ITC Avant Garde" w:cs="Times New Roman"/>
          <w:color w:val="auto"/>
        </w:rPr>
        <w:t>señala</w:t>
      </w:r>
      <w:r w:rsidR="003F4802" w:rsidRPr="00330641">
        <w:rPr>
          <w:rFonts w:ascii="ITC Avant Garde" w:hAnsi="ITC Avant Garde" w:cs="Times New Roman"/>
          <w:color w:val="auto"/>
        </w:rPr>
        <w:t xml:space="preserve">, </w:t>
      </w:r>
      <w:r w:rsidR="009F5CD9">
        <w:rPr>
          <w:rFonts w:ascii="ITC Avant Garde" w:hAnsi="ITC Avant Garde" w:cs="Times New Roman"/>
          <w:color w:val="auto"/>
        </w:rPr>
        <w:t xml:space="preserve">que </w:t>
      </w:r>
      <w:r w:rsidR="003F4802" w:rsidRPr="00330641">
        <w:rPr>
          <w:rFonts w:ascii="ITC Avant Garde" w:hAnsi="ITC Avant Garde" w:cs="Times New Roman"/>
          <w:color w:val="auto"/>
        </w:rPr>
        <w:t>la ORE</w:t>
      </w:r>
      <w:r w:rsidR="00736CF2" w:rsidRPr="00330641">
        <w:rPr>
          <w:rFonts w:ascii="ITC Avant Garde" w:hAnsi="ITC Avant Garde" w:cs="Times New Roman"/>
          <w:color w:val="auto"/>
        </w:rPr>
        <w:t xml:space="preserve"> DM</w:t>
      </w:r>
      <w:r w:rsidR="003F4802" w:rsidRPr="00330641">
        <w:rPr>
          <w:rFonts w:ascii="ITC Avant Garde" w:hAnsi="ITC Avant Garde" w:cs="Times New Roman"/>
          <w:color w:val="auto"/>
        </w:rPr>
        <w:t xml:space="preserve"> 202</w:t>
      </w:r>
      <w:r w:rsidR="00736CF2" w:rsidRPr="00330641">
        <w:rPr>
          <w:rFonts w:ascii="ITC Avant Garde" w:hAnsi="ITC Avant Garde" w:cs="Times New Roman"/>
          <w:color w:val="auto"/>
        </w:rPr>
        <w:t>1</w:t>
      </w:r>
      <w:r w:rsidR="003F4802" w:rsidRPr="00330641">
        <w:rPr>
          <w:rFonts w:ascii="ITC Avant Garde" w:hAnsi="ITC Avant Garde" w:cs="Times New Roman"/>
          <w:color w:val="auto"/>
        </w:rPr>
        <w:t xml:space="preserve"> no establece penalización por cancelar o dar de baja un servicio, para tal efecto</w:t>
      </w:r>
      <w:r w:rsidRPr="00330641">
        <w:rPr>
          <w:rFonts w:ascii="ITC Avant Garde" w:hAnsi="ITC Avant Garde" w:cs="Times New Roman"/>
          <w:color w:val="auto"/>
        </w:rPr>
        <w:t xml:space="preserve"> </w:t>
      </w:r>
      <w:r w:rsidR="00252F42" w:rsidRPr="00330641">
        <w:rPr>
          <w:rFonts w:ascii="ITC Avant Garde" w:hAnsi="ITC Avant Garde" w:cs="Times New Roman"/>
          <w:color w:val="auto"/>
        </w:rPr>
        <w:t xml:space="preserve">el convenio que acompaña a la ORE </w:t>
      </w:r>
      <w:r w:rsidR="00736CF2" w:rsidRPr="00330641">
        <w:rPr>
          <w:rFonts w:ascii="ITC Avant Garde" w:hAnsi="ITC Avant Garde" w:cs="Times New Roman"/>
          <w:color w:val="auto"/>
        </w:rPr>
        <w:t xml:space="preserve">DM </w:t>
      </w:r>
      <w:r w:rsidR="00252F42" w:rsidRPr="00330641">
        <w:rPr>
          <w:rFonts w:ascii="ITC Avant Garde" w:hAnsi="ITC Avant Garde" w:cs="Times New Roman"/>
          <w:color w:val="auto"/>
        </w:rPr>
        <w:t>202</w:t>
      </w:r>
      <w:r w:rsidR="00736CF2" w:rsidRPr="00330641">
        <w:rPr>
          <w:rFonts w:ascii="ITC Avant Garde" w:hAnsi="ITC Avant Garde" w:cs="Times New Roman"/>
          <w:color w:val="auto"/>
        </w:rPr>
        <w:t>1</w:t>
      </w:r>
      <w:r w:rsidRPr="00330641">
        <w:rPr>
          <w:rFonts w:ascii="ITC Avant Garde" w:hAnsi="ITC Avant Garde" w:cs="Times New Roman"/>
          <w:color w:val="auto"/>
        </w:rPr>
        <w:t xml:space="preserve"> </w:t>
      </w:r>
      <w:r w:rsidR="00252F42" w:rsidRPr="00330641">
        <w:rPr>
          <w:rFonts w:ascii="ITC Avant Garde" w:hAnsi="ITC Avant Garde" w:cs="Times New Roman"/>
          <w:color w:val="auto"/>
        </w:rPr>
        <w:t xml:space="preserve">considera en su cláusula décima un proceso de baja de los servicios </w:t>
      </w:r>
      <w:r w:rsidR="003F4802" w:rsidRPr="00330641">
        <w:rPr>
          <w:rFonts w:ascii="ITC Avant Garde" w:hAnsi="ITC Avant Garde" w:cs="Times New Roman"/>
          <w:color w:val="auto"/>
        </w:rPr>
        <w:t xml:space="preserve">mediante </w:t>
      </w:r>
      <w:r w:rsidR="003F4802" w:rsidRPr="00330641">
        <w:rPr>
          <w:rFonts w:ascii="ITC Avant Garde" w:hAnsi="ITC Avant Garde" w:cs="Times New Roman"/>
          <w:color w:val="auto"/>
        </w:rPr>
        <w:lastRenderedPageBreak/>
        <w:t>el cual el CS o AS podrá dar de baja algún enlace si</w:t>
      </w:r>
      <w:r w:rsidR="009F5CD9">
        <w:rPr>
          <w:rFonts w:ascii="ITC Avant Garde" w:hAnsi="ITC Avant Garde" w:cs="Times New Roman"/>
          <w:color w:val="auto"/>
        </w:rPr>
        <w:t>n</w:t>
      </w:r>
      <w:r w:rsidR="003F4802" w:rsidRPr="00330641">
        <w:rPr>
          <w:rFonts w:ascii="ITC Avant Garde" w:hAnsi="ITC Avant Garde" w:cs="Times New Roman"/>
          <w:color w:val="auto"/>
        </w:rPr>
        <w:t xml:space="preserve"> ser acreedor a algún tipo de penalización.</w:t>
      </w:r>
    </w:p>
    <w:p w:rsidR="004E0329" w:rsidRPr="00330641" w:rsidRDefault="004E0329" w:rsidP="000F58E0">
      <w:pPr>
        <w:spacing w:after="0" w:line="276" w:lineRule="auto"/>
        <w:ind w:left="-5" w:right="49" w:firstLine="0"/>
        <w:rPr>
          <w:rFonts w:ascii="ITC Avant Garde" w:hAnsi="ITC Avant Garde"/>
          <w:color w:val="auto"/>
        </w:rPr>
      </w:pPr>
    </w:p>
    <w:p w:rsidR="00393D24" w:rsidRPr="00330641" w:rsidRDefault="00393D24" w:rsidP="000F58E0">
      <w:pPr>
        <w:spacing w:after="0" w:line="276" w:lineRule="auto"/>
        <w:ind w:left="0" w:right="0" w:firstLine="0"/>
        <w:rPr>
          <w:rFonts w:ascii="ITC Avant Garde" w:hAnsi="ITC Avant Garde"/>
          <w:color w:val="auto"/>
          <w:u w:val="single"/>
        </w:rPr>
      </w:pPr>
      <w:r w:rsidRPr="00330641">
        <w:rPr>
          <w:rFonts w:ascii="ITC Avant Garde" w:eastAsiaTheme="majorEastAsia" w:hAnsi="ITC Avant Garde" w:cstheme="majorBidi"/>
          <w:b/>
          <w:color w:val="auto"/>
          <w:u w:val="single"/>
          <w:lang w:val="es-ES_tradnl"/>
        </w:rPr>
        <w:t>2.8</w:t>
      </w:r>
      <w:r w:rsidR="00CB1CF0" w:rsidRPr="00330641">
        <w:rPr>
          <w:rFonts w:ascii="ITC Avant Garde" w:eastAsiaTheme="majorEastAsia" w:hAnsi="ITC Avant Garde" w:cstheme="majorBidi"/>
          <w:b/>
          <w:color w:val="auto"/>
          <w:u w:val="single"/>
          <w:lang w:val="es-ES_tradnl"/>
        </w:rPr>
        <w:t xml:space="preserve"> Aclaración de facturas</w:t>
      </w:r>
      <w:r w:rsidR="00CD3FCF" w:rsidRPr="00330641">
        <w:rPr>
          <w:rFonts w:ascii="ITC Avant Garde" w:eastAsiaTheme="majorEastAsia" w:hAnsi="ITC Avant Garde" w:cstheme="majorBidi"/>
          <w:b/>
          <w:color w:val="auto"/>
          <w:u w:val="single"/>
          <w:lang w:val="es-ES_tradnl"/>
        </w:rPr>
        <w:t>.</w:t>
      </w:r>
    </w:p>
    <w:p w:rsidR="0030737F" w:rsidRPr="00330641" w:rsidRDefault="0030737F" w:rsidP="000F58E0">
      <w:pPr>
        <w:spacing w:after="0" w:line="276" w:lineRule="auto"/>
        <w:ind w:left="0" w:right="0" w:firstLine="0"/>
        <w:rPr>
          <w:rFonts w:ascii="ITC Avant Garde" w:hAnsi="ITC Avant Garde"/>
          <w:b/>
          <w:color w:val="auto"/>
        </w:rPr>
      </w:pPr>
      <w:r w:rsidRPr="00330641">
        <w:rPr>
          <w:rFonts w:ascii="ITC Avant Garde" w:hAnsi="ITC Avant Garde"/>
          <w:b/>
          <w:color w:val="auto"/>
        </w:rPr>
        <w:t>AXTEL</w:t>
      </w:r>
      <w:r w:rsidR="00924794" w:rsidRPr="00330641">
        <w:rPr>
          <w:rFonts w:ascii="ITC Avant Garde" w:hAnsi="ITC Avant Garde"/>
          <w:b/>
          <w:color w:val="auto"/>
        </w:rPr>
        <w:t>:</w:t>
      </w:r>
    </w:p>
    <w:p w:rsidR="00DB729F" w:rsidRPr="00330641" w:rsidRDefault="0012211F" w:rsidP="00DB729F">
      <w:pPr>
        <w:spacing w:after="0" w:line="276" w:lineRule="auto"/>
        <w:ind w:left="0" w:right="0" w:firstLine="0"/>
        <w:rPr>
          <w:rFonts w:ascii="ITC Avant Garde" w:hAnsi="ITC Avant Garde"/>
          <w:color w:val="auto"/>
        </w:rPr>
      </w:pPr>
      <w:r>
        <w:rPr>
          <w:rFonts w:ascii="ITC Avant Garde" w:hAnsi="ITC Avant Garde"/>
          <w:color w:val="auto"/>
        </w:rPr>
        <w:t>Señaló</w:t>
      </w:r>
      <w:r w:rsidR="00DB729F" w:rsidRPr="00330641">
        <w:rPr>
          <w:rFonts w:ascii="ITC Avant Garde" w:hAnsi="ITC Avant Garde"/>
          <w:color w:val="auto"/>
        </w:rPr>
        <w:t xml:space="preserve"> que en el inciso </w:t>
      </w:r>
      <w:r w:rsidR="00DB729F" w:rsidRPr="00330641">
        <w:rPr>
          <w:rFonts w:ascii="ITC Avant Garde" w:hAnsi="ITC Avant Garde"/>
          <w:b/>
          <w:color w:val="auto"/>
        </w:rPr>
        <w:t>c)</w:t>
      </w:r>
      <w:r w:rsidR="004C3B10">
        <w:rPr>
          <w:rFonts w:ascii="ITC Avant Garde" w:hAnsi="ITC Avant Garde"/>
          <w:color w:val="auto"/>
        </w:rPr>
        <w:t xml:space="preserve"> s</w:t>
      </w:r>
      <w:r w:rsidR="00DB729F" w:rsidRPr="00330641">
        <w:rPr>
          <w:rFonts w:ascii="ITC Avant Garde" w:hAnsi="ITC Avant Garde"/>
          <w:color w:val="auto"/>
        </w:rPr>
        <w:t>egundo párrafo el AEP interpreta las objeciones relacionadas con la facturación de acuerdo a sus propios criterios, por lo que e</w:t>
      </w:r>
      <w:r w:rsidR="00602350">
        <w:rPr>
          <w:rFonts w:ascii="ITC Avant Garde" w:hAnsi="ITC Avant Garde"/>
          <w:color w:val="auto"/>
        </w:rPr>
        <w:t>n virtud de lo anterior solicitó</w:t>
      </w:r>
      <w:r w:rsidR="00DB729F" w:rsidRPr="00330641">
        <w:rPr>
          <w:rFonts w:ascii="ITC Avant Garde" w:hAnsi="ITC Avant Garde"/>
          <w:color w:val="auto"/>
        </w:rPr>
        <w:t xml:space="preserve"> al Instituto incluya un procedimiento de solución de objeciones entre el CS y el AEP mismo que incorpore un tiempo de al menos 30 días, la no ejecución de fianzas en tanto no exista una resolución o sentencia en f</w:t>
      </w:r>
      <w:r w:rsidR="00015680" w:rsidRPr="00330641">
        <w:rPr>
          <w:rFonts w:ascii="ITC Avant Garde" w:hAnsi="ITC Avant Garde"/>
          <w:color w:val="auto"/>
        </w:rPr>
        <w:t>i</w:t>
      </w:r>
      <w:r w:rsidR="00DB729F" w:rsidRPr="00330641">
        <w:rPr>
          <w:rFonts w:ascii="ITC Avant Garde" w:hAnsi="ITC Avant Garde"/>
          <w:color w:val="auto"/>
        </w:rPr>
        <w:t>rme</w:t>
      </w:r>
      <w:r w:rsidR="004C3B10">
        <w:rPr>
          <w:rFonts w:ascii="ITC Avant Garde" w:hAnsi="ITC Avant Garde"/>
          <w:color w:val="auto"/>
        </w:rPr>
        <w:t>, así como la intervención del I</w:t>
      </w:r>
      <w:r w:rsidR="00DB729F" w:rsidRPr="00330641">
        <w:rPr>
          <w:rFonts w:ascii="ITC Avant Garde" w:hAnsi="ITC Avant Garde"/>
          <w:color w:val="auto"/>
        </w:rPr>
        <w:t xml:space="preserve">nstituto una vez agotados los plazos de negociación y a petición de cualquiera de las partes. </w:t>
      </w:r>
    </w:p>
    <w:p w:rsidR="00A71985" w:rsidRPr="00330641" w:rsidRDefault="00A71985" w:rsidP="000F58E0">
      <w:pPr>
        <w:spacing w:after="0" w:line="276" w:lineRule="auto"/>
        <w:ind w:left="0" w:right="0" w:firstLine="0"/>
        <w:rPr>
          <w:rFonts w:ascii="ITC Avant Garde" w:hAnsi="ITC Avant Garde"/>
          <w:color w:val="auto"/>
        </w:rPr>
      </w:pPr>
    </w:p>
    <w:p w:rsidR="00015680" w:rsidRPr="00330641" w:rsidRDefault="00C04ACB" w:rsidP="00015680">
      <w:pPr>
        <w:spacing w:after="0" w:line="276" w:lineRule="auto"/>
        <w:ind w:left="0" w:right="0" w:firstLine="0"/>
        <w:rPr>
          <w:rFonts w:ascii="ITC Avant Garde" w:hAnsi="ITC Avant Garde"/>
          <w:b/>
          <w:color w:val="auto"/>
        </w:rPr>
      </w:pPr>
      <w:r w:rsidRPr="00330641">
        <w:rPr>
          <w:rFonts w:ascii="ITC Avant Garde" w:hAnsi="ITC Avant Garde"/>
          <w:b/>
          <w:color w:val="auto"/>
        </w:rPr>
        <w:t>GRUPO TELEVISA:</w:t>
      </w:r>
    </w:p>
    <w:p w:rsidR="00ED0EB7" w:rsidRPr="00330641" w:rsidRDefault="00ED0EB7" w:rsidP="00ED0EB7">
      <w:pPr>
        <w:spacing w:after="0" w:line="276" w:lineRule="auto"/>
        <w:ind w:left="0" w:right="0" w:firstLine="0"/>
        <w:rPr>
          <w:rFonts w:ascii="ITC Avant Garde" w:hAnsi="ITC Avant Garde"/>
          <w:color w:val="auto"/>
        </w:rPr>
      </w:pPr>
      <w:r w:rsidRPr="00330641">
        <w:rPr>
          <w:rFonts w:ascii="ITC Avant Garde" w:hAnsi="ITC Avant Garde"/>
          <w:color w:val="auto"/>
        </w:rPr>
        <w:t xml:space="preserve">Grupo Televisa </w:t>
      </w:r>
      <w:r w:rsidR="000E31CA">
        <w:rPr>
          <w:rFonts w:ascii="ITC Avant Garde" w:hAnsi="ITC Avant Garde"/>
          <w:color w:val="auto"/>
        </w:rPr>
        <w:t>m</w:t>
      </w:r>
      <w:r w:rsidR="0012211F">
        <w:rPr>
          <w:rFonts w:ascii="ITC Avant Garde" w:hAnsi="ITC Avant Garde"/>
          <w:color w:val="auto"/>
        </w:rPr>
        <w:t>anifestó</w:t>
      </w:r>
      <w:r w:rsidRPr="00330641">
        <w:rPr>
          <w:rFonts w:ascii="ITC Avant Garde" w:hAnsi="ITC Avant Garde"/>
          <w:color w:val="auto"/>
        </w:rPr>
        <w:t xml:space="preserve"> que si bien en la ORE </w:t>
      </w:r>
      <w:r w:rsidR="00122E43" w:rsidRPr="00330641">
        <w:rPr>
          <w:rFonts w:ascii="ITC Avant Garde" w:hAnsi="ITC Avant Garde"/>
          <w:color w:val="auto"/>
        </w:rPr>
        <w:t xml:space="preserve">DM </w:t>
      </w:r>
      <w:r w:rsidRPr="00330641">
        <w:rPr>
          <w:rFonts w:ascii="ITC Avant Garde" w:hAnsi="ITC Avant Garde"/>
          <w:color w:val="auto"/>
        </w:rPr>
        <w:t>existe un procedimiento de objeción de facturas, frecuentemente el AEP,</w:t>
      </w:r>
      <w:r w:rsidR="00122E43" w:rsidRPr="00330641">
        <w:rPr>
          <w:rFonts w:ascii="ITC Avant Garde" w:hAnsi="ITC Avant Garde"/>
          <w:color w:val="auto"/>
        </w:rPr>
        <w:t xml:space="preserve"> es evasivo y dilatorio en los procesos de conciliación de facturas y no facilita las comunicaciones oportunas con el CS dentro de los plazos estipulados</w:t>
      </w:r>
      <w:r w:rsidR="00CD2456" w:rsidRPr="00330641">
        <w:rPr>
          <w:rFonts w:ascii="ITC Avant Garde" w:hAnsi="ITC Avant Garde"/>
          <w:color w:val="auto"/>
        </w:rPr>
        <w:t>. Es así que, a pesar de que el AEP</w:t>
      </w:r>
      <w:r w:rsidR="00122E43" w:rsidRPr="00330641">
        <w:rPr>
          <w:rFonts w:ascii="ITC Avant Garde" w:hAnsi="ITC Avant Garde"/>
          <w:color w:val="auto"/>
        </w:rPr>
        <w:t xml:space="preserve"> </w:t>
      </w:r>
      <w:r w:rsidRPr="00330641">
        <w:rPr>
          <w:rFonts w:ascii="ITC Avant Garde" w:hAnsi="ITC Avant Garde"/>
          <w:color w:val="auto"/>
        </w:rPr>
        <w:t>incumple con los plazos</w:t>
      </w:r>
      <w:r w:rsidR="00BA6E13" w:rsidRPr="00330641">
        <w:rPr>
          <w:rFonts w:ascii="ITC Avant Garde" w:hAnsi="ITC Avant Garde"/>
          <w:color w:val="auto"/>
        </w:rPr>
        <w:t xml:space="preserve"> no </w:t>
      </w:r>
      <w:r w:rsidRPr="00330641">
        <w:rPr>
          <w:rFonts w:ascii="ITC Avant Garde" w:hAnsi="ITC Avant Garde"/>
          <w:color w:val="auto"/>
        </w:rPr>
        <w:t>existe algún tipo de penalizaci</w:t>
      </w:r>
      <w:r w:rsidR="000C5575" w:rsidRPr="00330641">
        <w:rPr>
          <w:rFonts w:ascii="ITC Avant Garde" w:hAnsi="ITC Avant Garde"/>
          <w:color w:val="auto"/>
        </w:rPr>
        <w:t>ón</w:t>
      </w:r>
      <w:r w:rsidR="00CD2456" w:rsidRPr="00330641">
        <w:rPr>
          <w:rFonts w:ascii="ITC Avant Garde" w:hAnsi="ITC Avant Garde"/>
          <w:color w:val="auto"/>
        </w:rPr>
        <w:t>.</w:t>
      </w:r>
    </w:p>
    <w:p w:rsidR="000C5575" w:rsidRPr="00330641" w:rsidRDefault="000C5575" w:rsidP="00ED0EB7">
      <w:pPr>
        <w:spacing w:after="0" w:line="276" w:lineRule="auto"/>
        <w:ind w:left="0" w:right="0" w:firstLine="0"/>
        <w:rPr>
          <w:rFonts w:ascii="ITC Avant Garde" w:hAnsi="ITC Avant Garde"/>
          <w:color w:val="auto"/>
        </w:rPr>
      </w:pPr>
    </w:p>
    <w:p w:rsidR="002C4822" w:rsidRPr="00330641" w:rsidRDefault="000C5575">
      <w:pPr>
        <w:spacing w:after="0" w:line="276" w:lineRule="auto"/>
        <w:ind w:left="0" w:right="0" w:firstLine="0"/>
        <w:rPr>
          <w:rFonts w:ascii="ITC Avant Garde" w:hAnsi="ITC Avant Garde"/>
          <w:color w:val="auto"/>
        </w:rPr>
      </w:pPr>
      <w:r w:rsidRPr="00330641">
        <w:rPr>
          <w:rFonts w:ascii="ITC Avant Garde" w:hAnsi="ITC Avant Garde"/>
          <w:color w:val="auto"/>
        </w:rPr>
        <w:t>En virtud de lo anterior</w:t>
      </w:r>
      <w:r w:rsidR="00CD2456" w:rsidRPr="00330641">
        <w:rPr>
          <w:rFonts w:ascii="ITC Avant Garde" w:hAnsi="ITC Avant Garde"/>
          <w:color w:val="auto"/>
        </w:rPr>
        <w:t>,</w:t>
      </w:r>
      <w:r w:rsidR="00F87DBA" w:rsidRPr="00330641">
        <w:rPr>
          <w:rFonts w:ascii="ITC Avant Garde" w:hAnsi="ITC Avant Garde"/>
          <w:color w:val="auto"/>
        </w:rPr>
        <w:t xml:space="preserve"> </w:t>
      </w:r>
      <w:r w:rsidR="00602350">
        <w:rPr>
          <w:rFonts w:ascii="ITC Avant Garde" w:hAnsi="ITC Avant Garde"/>
          <w:color w:val="auto"/>
        </w:rPr>
        <w:t>solicitó</w:t>
      </w:r>
      <w:r w:rsidRPr="00330641">
        <w:rPr>
          <w:rFonts w:ascii="ITC Avant Garde" w:hAnsi="ITC Avant Garde"/>
          <w:color w:val="auto"/>
        </w:rPr>
        <w:t xml:space="preserve"> al </w:t>
      </w:r>
      <w:r w:rsidR="00CD2456" w:rsidRPr="00330641">
        <w:rPr>
          <w:rFonts w:ascii="ITC Avant Garde" w:hAnsi="ITC Avant Garde"/>
          <w:color w:val="auto"/>
        </w:rPr>
        <w:t>I</w:t>
      </w:r>
      <w:r w:rsidRPr="00330641">
        <w:rPr>
          <w:rFonts w:ascii="ITC Avant Garde" w:hAnsi="ITC Avant Garde"/>
          <w:color w:val="auto"/>
        </w:rPr>
        <w:t xml:space="preserve">nstituto modificar la </w:t>
      </w:r>
      <w:r w:rsidR="00CD2456" w:rsidRPr="00330641">
        <w:rPr>
          <w:rFonts w:ascii="ITC Avant Garde" w:hAnsi="ITC Avant Garde"/>
          <w:color w:val="auto"/>
        </w:rPr>
        <w:t>ORE DM</w:t>
      </w:r>
      <w:r w:rsidRPr="00330641">
        <w:rPr>
          <w:rFonts w:ascii="ITC Avant Garde" w:hAnsi="ITC Avant Garde"/>
          <w:color w:val="auto"/>
        </w:rPr>
        <w:t xml:space="preserve"> </w:t>
      </w:r>
      <w:r w:rsidR="00CD2456" w:rsidRPr="00330641">
        <w:rPr>
          <w:rFonts w:ascii="ITC Avant Garde" w:hAnsi="ITC Avant Garde"/>
          <w:color w:val="auto"/>
        </w:rPr>
        <w:t xml:space="preserve">con el fin de implementar </w:t>
      </w:r>
      <w:r w:rsidRPr="00330641">
        <w:rPr>
          <w:rFonts w:ascii="ITC Avant Garde" w:hAnsi="ITC Avant Garde"/>
          <w:color w:val="auto"/>
        </w:rPr>
        <w:t>de manera obligatoria una reunión mensual para la conciliación de facturas y en dado caso de que no asista el AEP proceda la afirmativa ficta de todas las objeciones pr</w:t>
      </w:r>
      <w:r w:rsidR="004C3B10">
        <w:rPr>
          <w:rFonts w:ascii="ITC Avant Garde" w:hAnsi="ITC Avant Garde"/>
          <w:color w:val="auto"/>
        </w:rPr>
        <w:t xml:space="preserve">eviamente presentadas por el CS y </w:t>
      </w:r>
      <w:r w:rsidR="00602350">
        <w:rPr>
          <w:rFonts w:ascii="ITC Avant Garde" w:hAnsi="ITC Avant Garde"/>
          <w:color w:val="auto"/>
        </w:rPr>
        <w:t>solicitó</w:t>
      </w:r>
      <w:r w:rsidR="002C4822" w:rsidRPr="00330641">
        <w:rPr>
          <w:rFonts w:ascii="ITC Avant Garde" w:hAnsi="ITC Avant Garde"/>
          <w:color w:val="auto"/>
        </w:rPr>
        <w:t xml:space="preserve"> establecer una metodología clara y estricta en objeción de facturas donde se incluya lo siguiente:</w:t>
      </w:r>
    </w:p>
    <w:p w:rsidR="00F87DBA" w:rsidRPr="00330641" w:rsidRDefault="00F87DBA">
      <w:pPr>
        <w:spacing w:after="0" w:line="276" w:lineRule="auto"/>
        <w:ind w:left="0" w:right="0" w:firstLine="0"/>
        <w:rPr>
          <w:rFonts w:ascii="ITC Avant Garde" w:hAnsi="ITC Avant Garde"/>
          <w:color w:val="auto"/>
        </w:rPr>
      </w:pPr>
    </w:p>
    <w:p w:rsidR="002C4822" w:rsidRPr="00330641" w:rsidRDefault="00F87DBA" w:rsidP="00F87DBA">
      <w:pPr>
        <w:spacing w:after="0" w:line="276" w:lineRule="auto"/>
        <w:ind w:left="567" w:right="0" w:firstLine="0"/>
        <w:rPr>
          <w:rFonts w:ascii="ITC Avant Garde" w:hAnsi="ITC Avant Garde"/>
          <w:color w:val="auto"/>
          <w:sz w:val="18"/>
          <w:szCs w:val="18"/>
        </w:rPr>
      </w:pPr>
      <w:r w:rsidRPr="00330641">
        <w:rPr>
          <w:rFonts w:ascii="ITC Avant Garde" w:hAnsi="ITC Avant Garde"/>
          <w:color w:val="auto"/>
          <w:sz w:val="18"/>
          <w:szCs w:val="18"/>
        </w:rPr>
        <w:t>“(…)</w:t>
      </w:r>
    </w:p>
    <w:p w:rsidR="00F87DBA" w:rsidRPr="00330641" w:rsidRDefault="00F87DBA" w:rsidP="00F87DBA">
      <w:pPr>
        <w:spacing w:after="0" w:line="276" w:lineRule="auto"/>
        <w:ind w:left="567" w:right="0" w:firstLine="0"/>
        <w:rPr>
          <w:rFonts w:ascii="ITC Avant Garde" w:hAnsi="ITC Avant Garde"/>
          <w:color w:val="auto"/>
          <w:sz w:val="18"/>
          <w:szCs w:val="18"/>
        </w:rPr>
      </w:pPr>
    </w:p>
    <w:p w:rsidR="002C4822" w:rsidRPr="00330641" w:rsidRDefault="002C4822" w:rsidP="006B06E7">
      <w:pPr>
        <w:pStyle w:val="Prrafodelista"/>
        <w:numPr>
          <w:ilvl w:val="0"/>
          <w:numId w:val="14"/>
        </w:numPr>
        <w:spacing w:after="0" w:line="276" w:lineRule="auto"/>
        <w:ind w:left="567" w:right="191" w:firstLine="0"/>
        <w:rPr>
          <w:rFonts w:ascii="ITC Avant Garde" w:hAnsi="ITC Avant Garde"/>
          <w:color w:val="auto"/>
          <w:sz w:val="18"/>
          <w:szCs w:val="18"/>
        </w:rPr>
      </w:pPr>
      <w:r w:rsidRPr="00330641">
        <w:rPr>
          <w:rFonts w:ascii="ITC Avant Garde" w:hAnsi="ITC Avant Garde"/>
          <w:color w:val="auto"/>
          <w:sz w:val="18"/>
          <w:szCs w:val="18"/>
        </w:rPr>
        <w:t>Presentación de la objeción: mismo plazo que para el pago;</w:t>
      </w:r>
    </w:p>
    <w:p w:rsidR="002C4822" w:rsidRPr="00330641" w:rsidRDefault="002C4822" w:rsidP="006B06E7">
      <w:pPr>
        <w:pStyle w:val="Prrafodelista"/>
        <w:numPr>
          <w:ilvl w:val="0"/>
          <w:numId w:val="14"/>
        </w:numPr>
        <w:spacing w:after="0" w:line="276" w:lineRule="auto"/>
        <w:ind w:left="567" w:right="191" w:firstLine="0"/>
        <w:rPr>
          <w:rFonts w:ascii="ITC Avant Garde" w:hAnsi="ITC Avant Garde"/>
          <w:color w:val="auto"/>
          <w:sz w:val="18"/>
          <w:szCs w:val="18"/>
        </w:rPr>
      </w:pPr>
      <w:r w:rsidRPr="00330641">
        <w:rPr>
          <w:rFonts w:ascii="ITC Avant Garde" w:hAnsi="ITC Avant Garde"/>
          <w:color w:val="auto"/>
          <w:sz w:val="18"/>
          <w:szCs w:val="18"/>
        </w:rPr>
        <w:t>Notificación de procedencia o improcedencia: 30 días naturales.</w:t>
      </w:r>
    </w:p>
    <w:p w:rsidR="002C4822" w:rsidRPr="00330641" w:rsidRDefault="002C4822" w:rsidP="006B06E7">
      <w:pPr>
        <w:pStyle w:val="Prrafodelista"/>
        <w:numPr>
          <w:ilvl w:val="0"/>
          <w:numId w:val="14"/>
        </w:numPr>
        <w:spacing w:after="0" w:line="276" w:lineRule="auto"/>
        <w:ind w:left="567" w:right="191" w:firstLine="0"/>
        <w:rPr>
          <w:rFonts w:ascii="ITC Avant Garde" w:hAnsi="ITC Avant Garde"/>
          <w:color w:val="auto"/>
          <w:sz w:val="18"/>
          <w:szCs w:val="18"/>
        </w:rPr>
      </w:pPr>
      <w:r w:rsidRPr="00330641">
        <w:rPr>
          <w:rFonts w:ascii="ITC Avant Garde" w:hAnsi="ITC Avant Garde"/>
          <w:color w:val="auto"/>
          <w:sz w:val="18"/>
          <w:szCs w:val="18"/>
        </w:rPr>
        <w:t>Periodo adicional para aclaración en casos de improcedencia: 15 días naturales;</w:t>
      </w:r>
    </w:p>
    <w:p w:rsidR="002C4822" w:rsidRPr="00330641" w:rsidRDefault="002C4822" w:rsidP="006B06E7">
      <w:pPr>
        <w:pStyle w:val="Prrafodelista"/>
        <w:numPr>
          <w:ilvl w:val="0"/>
          <w:numId w:val="14"/>
        </w:numPr>
        <w:spacing w:after="0" w:line="276" w:lineRule="auto"/>
        <w:ind w:left="567" w:right="191" w:firstLine="0"/>
        <w:rPr>
          <w:rFonts w:ascii="ITC Avant Garde" w:hAnsi="ITC Avant Garde"/>
          <w:color w:val="auto"/>
          <w:sz w:val="18"/>
          <w:szCs w:val="18"/>
        </w:rPr>
      </w:pPr>
      <w:r w:rsidRPr="00330641">
        <w:rPr>
          <w:rFonts w:ascii="ITC Avant Garde" w:hAnsi="ITC Avant Garde"/>
          <w:color w:val="auto"/>
          <w:sz w:val="18"/>
          <w:szCs w:val="18"/>
        </w:rPr>
        <w:t>Emisión de la nota de crédito en caso de procedencia: 30 días naturales.</w:t>
      </w:r>
      <w:r w:rsidR="00F87DBA" w:rsidRPr="00330641">
        <w:rPr>
          <w:rFonts w:ascii="ITC Avant Garde" w:hAnsi="ITC Avant Garde"/>
          <w:color w:val="auto"/>
          <w:sz w:val="18"/>
          <w:szCs w:val="18"/>
        </w:rPr>
        <w:t>”</w:t>
      </w:r>
    </w:p>
    <w:p w:rsidR="002C4822" w:rsidRPr="00330641" w:rsidRDefault="002C4822" w:rsidP="000F58E0">
      <w:pPr>
        <w:spacing w:after="0" w:line="276" w:lineRule="auto"/>
        <w:ind w:left="0" w:right="0" w:firstLine="0"/>
        <w:rPr>
          <w:rFonts w:ascii="ITC Avant Garde" w:hAnsi="ITC Avant Garde"/>
          <w:color w:val="auto"/>
        </w:rPr>
      </w:pPr>
    </w:p>
    <w:p w:rsidR="002C4822" w:rsidRPr="00330641" w:rsidRDefault="00F87DBA" w:rsidP="002C4822">
      <w:pPr>
        <w:spacing w:after="0" w:line="276" w:lineRule="auto"/>
        <w:ind w:left="0" w:right="0" w:firstLine="0"/>
        <w:rPr>
          <w:rFonts w:ascii="ITC Avant Garde" w:hAnsi="ITC Avant Garde"/>
          <w:color w:val="auto"/>
        </w:rPr>
      </w:pPr>
      <w:r w:rsidRPr="00330641">
        <w:rPr>
          <w:rFonts w:ascii="ITC Avant Garde" w:hAnsi="ITC Avant Garde"/>
          <w:color w:val="auto"/>
        </w:rPr>
        <w:t>Finalmente</w:t>
      </w:r>
      <w:r w:rsidR="002C4822" w:rsidRPr="00330641">
        <w:rPr>
          <w:rFonts w:ascii="ITC Avant Garde" w:hAnsi="ITC Avant Garde"/>
          <w:color w:val="auto"/>
        </w:rPr>
        <w:t>, propone</w:t>
      </w:r>
      <w:r w:rsidRPr="00330641">
        <w:rPr>
          <w:rFonts w:ascii="ITC Avant Garde" w:hAnsi="ITC Avant Garde"/>
          <w:color w:val="auto"/>
        </w:rPr>
        <w:t xml:space="preserve"> como última instancia </w:t>
      </w:r>
      <w:r w:rsidR="002C4822" w:rsidRPr="00330641">
        <w:rPr>
          <w:rFonts w:ascii="ITC Avant Garde" w:hAnsi="ITC Avant Garde"/>
          <w:color w:val="auto"/>
        </w:rPr>
        <w:t xml:space="preserve">la intervención del </w:t>
      </w:r>
      <w:r w:rsidRPr="00330641">
        <w:rPr>
          <w:rFonts w:ascii="ITC Avant Garde" w:hAnsi="ITC Avant Garde"/>
          <w:color w:val="auto"/>
        </w:rPr>
        <w:t>I</w:t>
      </w:r>
      <w:r w:rsidR="002C4822" w:rsidRPr="00330641">
        <w:rPr>
          <w:rFonts w:ascii="ITC Avant Garde" w:hAnsi="ITC Avant Garde"/>
          <w:color w:val="auto"/>
        </w:rPr>
        <w:t>nstituto como agente mediador</w:t>
      </w:r>
      <w:r w:rsidRPr="00330641">
        <w:rPr>
          <w:rFonts w:ascii="ITC Avant Garde" w:hAnsi="ITC Avant Garde"/>
          <w:color w:val="auto"/>
        </w:rPr>
        <w:t xml:space="preserve"> en los procesos de conciliación</w:t>
      </w:r>
      <w:r w:rsidR="002C4822" w:rsidRPr="00330641">
        <w:rPr>
          <w:rFonts w:ascii="ITC Avant Garde" w:hAnsi="ITC Avant Garde"/>
          <w:color w:val="auto"/>
        </w:rPr>
        <w:t xml:space="preserve"> en caso de</w:t>
      </w:r>
      <w:r w:rsidRPr="00330641">
        <w:rPr>
          <w:rFonts w:ascii="ITC Avant Garde" w:hAnsi="ITC Avant Garde"/>
          <w:color w:val="auto"/>
        </w:rPr>
        <w:t xml:space="preserve"> que se presenten</w:t>
      </w:r>
      <w:r w:rsidR="002C4822" w:rsidRPr="00330641">
        <w:rPr>
          <w:rFonts w:ascii="ITC Avant Garde" w:hAnsi="ITC Avant Garde"/>
          <w:color w:val="auto"/>
        </w:rPr>
        <w:t xml:space="preserve"> desacuerdo</w:t>
      </w:r>
      <w:r w:rsidRPr="00330641">
        <w:rPr>
          <w:rFonts w:ascii="ITC Avant Garde" w:hAnsi="ITC Avant Garde"/>
          <w:color w:val="auto"/>
        </w:rPr>
        <w:t>.</w:t>
      </w:r>
    </w:p>
    <w:p w:rsidR="00ED0EB7" w:rsidRPr="00330641" w:rsidRDefault="00ED0EB7" w:rsidP="000F58E0">
      <w:pPr>
        <w:spacing w:after="0" w:line="276" w:lineRule="auto"/>
        <w:ind w:left="0" w:right="0" w:firstLine="0"/>
        <w:rPr>
          <w:rFonts w:ascii="ITC Avant Garde" w:hAnsi="ITC Avant Garde"/>
          <w:color w:val="auto"/>
        </w:rPr>
      </w:pPr>
    </w:p>
    <w:p w:rsidR="000E4E46" w:rsidRPr="00330641" w:rsidRDefault="000E4E46" w:rsidP="00EC3F16">
      <w:pPr>
        <w:tabs>
          <w:tab w:val="center" w:pos="4419"/>
        </w:tabs>
        <w:spacing w:after="0" w:line="276" w:lineRule="auto"/>
        <w:ind w:left="0" w:right="0" w:firstLine="0"/>
        <w:rPr>
          <w:rFonts w:ascii="ITC Avant Garde" w:hAnsi="ITC Avant Garde" w:cs="Times New Roman"/>
          <w:b/>
          <w:color w:val="auto"/>
        </w:rPr>
      </w:pPr>
      <w:r w:rsidRPr="00330641">
        <w:rPr>
          <w:rFonts w:ascii="ITC Avant Garde" w:hAnsi="ITC Avant Garde" w:cs="Times New Roman"/>
          <w:b/>
          <w:color w:val="auto"/>
        </w:rPr>
        <w:t>Consideraciones del Instituto</w:t>
      </w:r>
      <w:r w:rsidR="00A71985" w:rsidRPr="00330641">
        <w:rPr>
          <w:rFonts w:ascii="ITC Avant Garde" w:hAnsi="ITC Avant Garde" w:cs="Times New Roman"/>
          <w:b/>
          <w:color w:val="auto"/>
        </w:rPr>
        <w:t>:</w:t>
      </w:r>
      <w:r w:rsidR="00C87E3B" w:rsidRPr="00330641">
        <w:rPr>
          <w:rFonts w:ascii="ITC Avant Garde" w:hAnsi="ITC Avant Garde" w:cs="Times New Roman"/>
          <w:b/>
          <w:color w:val="auto"/>
        </w:rPr>
        <w:tab/>
      </w:r>
    </w:p>
    <w:p w:rsidR="000E4E46" w:rsidRPr="00330641" w:rsidRDefault="00AF2E00" w:rsidP="000F58E0">
      <w:pPr>
        <w:spacing w:after="0" w:line="276" w:lineRule="auto"/>
        <w:ind w:left="0" w:right="0" w:firstLine="0"/>
        <w:rPr>
          <w:rFonts w:ascii="ITC Avant Garde" w:hAnsi="ITC Avant Garde"/>
          <w:color w:val="auto"/>
        </w:rPr>
      </w:pPr>
      <w:r w:rsidRPr="00330641">
        <w:rPr>
          <w:rFonts w:ascii="ITC Avant Garde" w:hAnsi="ITC Avant Garde"/>
          <w:color w:val="auto"/>
        </w:rPr>
        <w:t xml:space="preserve">Con respecto a lo </w:t>
      </w:r>
      <w:r w:rsidR="000E31CA">
        <w:rPr>
          <w:rFonts w:ascii="ITC Avant Garde" w:hAnsi="ITC Avant Garde"/>
          <w:color w:val="auto"/>
        </w:rPr>
        <w:t>señala</w:t>
      </w:r>
      <w:r w:rsidRPr="00330641">
        <w:rPr>
          <w:rFonts w:ascii="ITC Avant Garde" w:hAnsi="ITC Avant Garde"/>
          <w:color w:val="auto"/>
        </w:rPr>
        <w:t>do por Axtel,</w:t>
      </w:r>
      <w:r w:rsidR="008D36ED" w:rsidRPr="00330641">
        <w:rPr>
          <w:rFonts w:ascii="ITC Avant Garde" w:hAnsi="ITC Avant Garde"/>
          <w:color w:val="auto"/>
        </w:rPr>
        <w:t xml:space="preserve"> y de conformidad con lo establecido en la Medida Cuadragésima Primera de las Medidas Fijas, s</w:t>
      </w:r>
      <w:r w:rsidR="000E4E46" w:rsidRPr="00330641">
        <w:rPr>
          <w:rFonts w:ascii="ITC Avant Garde" w:hAnsi="ITC Avant Garde"/>
          <w:color w:val="auto"/>
        </w:rPr>
        <w:t xml:space="preserve">e </w:t>
      </w:r>
      <w:r w:rsidR="00D64349" w:rsidRPr="00330641">
        <w:rPr>
          <w:rFonts w:ascii="ITC Avant Garde" w:hAnsi="ITC Avant Garde"/>
          <w:color w:val="auto"/>
        </w:rPr>
        <w:t>incorpor</w:t>
      </w:r>
      <w:r w:rsidRPr="00330641">
        <w:rPr>
          <w:rFonts w:ascii="ITC Avant Garde" w:hAnsi="ITC Avant Garde"/>
          <w:color w:val="auto"/>
        </w:rPr>
        <w:t xml:space="preserve">aron los plazos </w:t>
      </w:r>
      <w:r w:rsidR="00566D53" w:rsidRPr="00330641">
        <w:rPr>
          <w:rFonts w:ascii="ITC Avant Garde" w:hAnsi="ITC Avant Garde"/>
          <w:color w:val="auto"/>
        </w:rPr>
        <w:t xml:space="preserve">establecidos en el numeral </w:t>
      </w:r>
      <w:r w:rsidRPr="00330641">
        <w:rPr>
          <w:rFonts w:ascii="ITC Avant Garde" w:hAnsi="ITC Avant Garde"/>
          <w:color w:val="auto"/>
        </w:rPr>
        <w:t xml:space="preserve">de objeción de facturas </w:t>
      </w:r>
      <w:r w:rsidR="000E31CA">
        <w:rPr>
          <w:rFonts w:ascii="ITC Avant Garde" w:hAnsi="ITC Avant Garde"/>
          <w:color w:val="auto"/>
        </w:rPr>
        <w:t>señala</w:t>
      </w:r>
      <w:r w:rsidRPr="00330641">
        <w:rPr>
          <w:rFonts w:ascii="ITC Avant Garde" w:hAnsi="ITC Avant Garde"/>
          <w:color w:val="auto"/>
        </w:rPr>
        <w:t>dos en los incisos c)</w:t>
      </w:r>
      <w:r w:rsidR="00566D53" w:rsidRPr="00330641">
        <w:rPr>
          <w:rFonts w:ascii="ITC Avant Garde" w:hAnsi="ITC Avant Garde"/>
          <w:color w:val="auto"/>
        </w:rPr>
        <w:t>,</w:t>
      </w:r>
      <w:r w:rsidR="00D64349" w:rsidRPr="00330641">
        <w:rPr>
          <w:rFonts w:ascii="ITC Avant Garde" w:hAnsi="ITC Avant Garde"/>
          <w:color w:val="auto"/>
        </w:rPr>
        <w:t xml:space="preserve"> </w:t>
      </w:r>
      <w:r w:rsidR="000E4E46" w:rsidRPr="00330641">
        <w:rPr>
          <w:rFonts w:ascii="ITC Avant Garde" w:hAnsi="ITC Avant Garde"/>
          <w:color w:val="auto"/>
        </w:rPr>
        <w:t xml:space="preserve">conforme a lo establecido en la ORE </w:t>
      </w:r>
      <w:r w:rsidR="00B66070" w:rsidRPr="00330641">
        <w:rPr>
          <w:rFonts w:ascii="ITC Avant Garde" w:hAnsi="ITC Avant Garde"/>
          <w:color w:val="auto"/>
        </w:rPr>
        <w:t>DM 2020</w:t>
      </w:r>
      <w:r w:rsidR="000E4E46" w:rsidRPr="00330641">
        <w:rPr>
          <w:rFonts w:ascii="ITC Avant Garde" w:hAnsi="ITC Avant Garde"/>
          <w:color w:val="auto"/>
        </w:rPr>
        <w:t>.</w:t>
      </w:r>
    </w:p>
    <w:p w:rsidR="00C80442" w:rsidRPr="00330641" w:rsidRDefault="00C80442" w:rsidP="000F58E0">
      <w:pPr>
        <w:spacing w:after="0" w:line="276" w:lineRule="auto"/>
        <w:ind w:left="0" w:right="0" w:firstLine="0"/>
        <w:rPr>
          <w:rFonts w:ascii="ITC Avant Garde" w:hAnsi="ITC Avant Garde"/>
          <w:color w:val="auto"/>
        </w:rPr>
      </w:pPr>
    </w:p>
    <w:p w:rsidR="004C3B10" w:rsidRDefault="004C3B10" w:rsidP="00EC3F16">
      <w:pPr>
        <w:tabs>
          <w:tab w:val="left" w:pos="284"/>
        </w:tabs>
        <w:spacing w:line="276" w:lineRule="auto"/>
        <w:rPr>
          <w:rFonts w:ascii="ITC Avant Garde" w:hAnsi="ITC Avant Garde"/>
          <w:color w:val="auto"/>
        </w:rPr>
      </w:pPr>
      <w:r>
        <w:rPr>
          <w:rFonts w:ascii="ITC Avant Garde" w:hAnsi="ITC Avant Garde"/>
          <w:color w:val="auto"/>
        </w:rPr>
        <w:t>Asimismo</w:t>
      </w:r>
      <w:r w:rsidR="00C80442" w:rsidRPr="00330641">
        <w:rPr>
          <w:rFonts w:ascii="ITC Avant Garde" w:hAnsi="ITC Avant Garde"/>
          <w:color w:val="auto"/>
        </w:rPr>
        <w:t xml:space="preserve">, la ORE DM 2021 </w:t>
      </w:r>
      <w:r>
        <w:rPr>
          <w:rFonts w:ascii="ITC Avant Garde" w:hAnsi="ITC Avant Garde"/>
          <w:color w:val="auto"/>
        </w:rPr>
        <w:t>contiene el</w:t>
      </w:r>
      <w:r w:rsidR="00C80442" w:rsidRPr="00330641">
        <w:rPr>
          <w:rFonts w:ascii="ITC Avant Garde" w:hAnsi="ITC Avant Garde"/>
          <w:color w:val="auto"/>
        </w:rPr>
        <w:t xml:space="preserve"> procedimiento de objeción de facturas</w:t>
      </w:r>
      <w:r w:rsidR="00FB7C57" w:rsidRPr="00330641">
        <w:rPr>
          <w:rFonts w:ascii="ITC Avant Garde" w:hAnsi="ITC Avant Garde"/>
          <w:color w:val="auto"/>
        </w:rPr>
        <w:t>, el cual tiene como</w:t>
      </w:r>
      <w:r w:rsidR="00C80442" w:rsidRPr="00330641">
        <w:rPr>
          <w:rFonts w:ascii="ITC Avant Garde" w:hAnsi="ITC Avant Garde"/>
          <w:color w:val="auto"/>
        </w:rPr>
        <w:t xml:space="preserve"> objetivo establecer condiciones </w:t>
      </w:r>
      <w:r w:rsidR="00EA73B3" w:rsidRPr="00330641">
        <w:rPr>
          <w:rFonts w:ascii="ITC Avant Garde" w:hAnsi="ITC Avant Garde"/>
          <w:color w:val="auto"/>
        </w:rPr>
        <w:t xml:space="preserve">claras y </w:t>
      </w:r>
      <w:r w:rsidR="00C80442" w:rsidRPr="00330641">
        <w:rPr>
          <w:rFonts w:ascii="ITC Avant Garde" w:hAnsi="ITC Avant Garde"/>
          <w:color w:val="auto"/>
        </w:rPr>
        <w:t xml:space="preserve">equitativas entre el AEP y los </w:t>
      </w:r>
      <w:r w:rsidR="00FB7C57" w:rsidRPr="00330641">
        <w:rPr>
          <w:rFonts w:ascii="ITC Avant Garde" w:hAnsi="ITC Avant Garde"/>
          <w:color w:val="auto"/>
        </w:rPr>
        <w:t>CS</w:t>
      </w:r>
      <w:r w:rsidR="00EA73B3" w:rsidRPr="00330641">
        <w:rPr>
          <w:rFonts w:ascii="ITC Avant Garde" w:hAnsi="ITC Avant Garde"/>
          <w:color w:val="auto"/>
        </w:rPr>
        <w:t xml:space="preserve"> y AS</w:t>
      </w:r>
      <w:r w:rsidR="00C80442" w:rsidRPr="00330641">
        <w:rPr>
          <w:rFonts w:ascii="ITC Avant Garde" w:hAnsi="ITC Avant Garde"/>
          <w:color w:val="auto"/>
        </w:rPr>
        <w:t>.</w:t>
      </w:r>
      <w:r w:rsidR="00550763" w:rsidRPr="00330641">
        <w:rPr>
          <w:rFonts w:ascii="ITC Avant Garde" w:hAnsi="ITC Avant Garde"/>
          <w:color w:val="auto"/>
        </w:rPr>
        <w:t xml:space="preserve"> </w:t>
      </w:r>
      <w:r>
        <w:rPr>
          <w:rFonts w:ascii="ITC Avant Garde" w:hAnsi="ITC Avant Garde"/>
          <w:color w:val="auto"/>
        </w:rPr>
        <w:t xml:space="preserve">En dicho procedimiento se establece </w:t>
      </w:r>
      <w:r w:rsidR="00EA73B3" w:rsidRPr="00330641">
        <w:rPr>
          <w:rFonts w:ascii="ITC Avant Garde" w:hAnsi="ITC Avant Garde"/>
          <w:color w:val="auto"/>
        </w:rPr>
        <w:t xml:space="preserve">un plazo de 30 (treinta) días naturales para que el CS o AS pueda objetar </w:t>
      </w:r>
      <w:r>
        <w:rPr>
          <w:rFonts w:ascii="ITC Avant Garde" w:hAnsi="ITC Avant Garde"/>
          <w:color w:val="auto"/>
        </w:rPr>
        <w:t>los</w:t>
      </w:r>
      <w:r w:rsidR="00EA73B3" w:rsidRPr="00330641">
        <w:rPr>
          <w:rFonts w:ascii="ITC Avant Garde" w:hAnsi="ITC Avant Garde"/>
          <w:color w:val="auto"/>
        </w:rPr>
        <w:t xml:space="preserve"> servicios no reconocidos</w:t>
      </w:r>
      <w:r>
        <w:rPr>
          <w:rFonts w:ascii="ITC Avant Garde" w:hAnsi="ITC Avant Garde"/>
          <w:color w:val="auto"/>
        </w:rPr>
        <w:t>, el AEP</w:t>
      </w:r>
      <w:r w:rsidR="00EA73B3" w:rsidRPr="00330641">
        <w:rPr>
          <w:rFonts w:ascii="ITC Avant Garde" w:hAnsi="ITC Avant Garde"/>
          <w:color w:val="auto"/>
        </w:rPr>
        <w:t xml:space="preserve"> </w:t>
      </w:r>
      <w:r>
        <w:rPr>
          <w:rFonts w:ascii="ITC Avant Garde" w:hAnsi="ITC Avant Garde"/>
          <w:color w:val="auto"/>
        </w:rPr>
        <w:t>cuenta</w:t>
      </w:r>
      <w:r w:rsidR="00EA73B3" w:rsidRPr="00330641">
        <w:rPr>
          <w:rFonts w:ascii="ITC Avant Garde" w:hAnsi="ITC Avant Garde"/>
          <w:color w:val="auto"/>
        </w:rPr>
        <w:t xml:space="preserve"> con el mismo plazo para analizar </w:t>
      </w:r>
      <w:r>
        <w:rPr>
          <w:rFonts w:ascii="ITC Avant Garde" w:hAnsi="ITC Avant Garde"/>
          <w:color w:val="auto"/>
        </w:rPr>
        <w:t xml:space="preserve">la información de dichas </w:t>
      </w:r>
      <w:r w:rsidR="00EA73B3" w:rsidRPr="00330641">
        <w:rPr>
          <w:rFonts w:ascii="ITC Avant Garde" w:hAnsi="ITC Avant Garde"/>
          <w:color w:val="auto"/>
        </w:rPr>
        <w:t xml:space="preserve">objeciones y determinar la procedencia o </w:t>
      </w:r>
      <w:r>
        <w:rPr>
          <w:rFonts w:ascii="ITC Avant Garde" w:hAnsi="ITC Avant Garde"/>
          <w:color w:val="auto"/>
        </w:rPr>
        <w:t>no</w:t>
      </w:r>
      <w:r w:rsidR="00EA73B3" w:rsidRPr="00330641">
        <w:rPr>
          <w:rFonts w:ascii="ITC Avant Garde" w:hAnsi="ITC Avant Garde"/>
          <w:color w:val="auto"/>
        </w:rPr>
        <w:t xml:space="preserve"> de las mismas, plazo durante el cual se auxiliará del CS o AS para resolver cualquier duda. </w:t>
      </w:r>
    </w:p>
    <w:p w:rsidR="004C3B10" w:rsidRDefault="004C3B10" w:rsidP="00EC3F16">
      <w:pPr>
        <w:tabs>
          <w:tab w:val="left" w:pos="284"/>
        </w:tabs>
        <w:spacing w:line="276" w:lineRule="auto"/>
        <w:rPr>
          <w:rFonts w:ascii="ITC Avant Garde" w:hAnsi="ITC Avant Garde"/>
          <w:color w:val="auto"/>
        </w:rPr>
      </w:pPr>
    </w:p>
    <w:p w:rsidR="00EA73B3" w:rsidRDefault="00EA73B3" w:rsidP="00EC3F16">
      <w:pPr>
        <w:tabs>
          <w:tab w:val="left" w:pos="284"/>
        </w:tabs>
        <w:spacing w:line="276" w:lineRule="auto"/>
        <w:rPr>
          <w:rFonts w:ascii="ITC Avant Garde" w:hAnsi="ITC Avant Garde"/>
          <w:color w:val="auto"/>
        </w:rPr>
      </w:pPr>
      <w:r w:rsidRPr="00330641">
        <w:rPr>
          <w:rFonts w:ascii="ITC Avant Garde" w:hAnsi="ITC Avant Garde"/>
          <w:color w:val="auto"/>
        </w:rPr>
        <w:t xml:space="preserve">En ese sentido la oferta contiene una metodología clara que permite llevar a cabo la conciliación de facturas entre las partes, </w:t>
      </w:r>
      <w:r w:rsidR="004C3B10">
        <w:rPr>
          <w:rFonts w:ascii="ITC Avant Garde" w:hAnsi="ITC Avant Garde"/>
          <w:color w:val="auto"/>
        </w:rPr>
        <w:t>finalmente respecto a que el Instituto funja como mediador en las objeciones de facturas se señala que dicha atribución escapa a la esfera de competencia de este Instituto.</w:t>
      </w:r>
    </w:p>
    <w:p w:rsidR="004C3B10" w:rsidRPr="00330641" w:rsidRDefault="004C3B10" w:rsidP="00EC3F16">
      <w:pPr>
        <w:tabs>
          <w:tab w:val="left" w:pos="284"/>
        </w:tabs>
        <w:spacing w:line="276" w:lineRule="auto"/>
        <w:rPr>
          <w:rFonts w:ascii="ITC Avant Garde" w:eastAsiaTheme="majorEastAsia" w:hAnsi="ITC Avant Garde"/>
          <w:b/>
          <w:u w:val="single"/>
        </w:rPr>
      </w:pPr>
    </w:p>
    <w:p w:rsidR="00F1410B" w:rsidRPr="00330641" w:rsidRDefault="00C33E2B" w:rsidP="000F58E0">
      <w:pPr>
        <w:pStyle w:val="IFTnormal"/>
        <w:spacing w:after="0"/>
        <w:ind w:left="0"/>
        <w:rPr>
          <w:rFonts w:eastAsiaTheme="majorEastAsia"/>
          <w:u w:val="single"/>
        </w:rPr>
      </w:pPr>
      <w:r w:rsidRPr="00330641">
        <w:rPr>
          <w:rFonts w:eastAsiaTheme="majorEastAsia"/>
          <w:b/>
          <w:u w:val="single"/>
        </w:rPr>
        <w:t xml:space="preserve">ANEXO “A” ACTA RECEPCIÓN. </w:t>
      </w:r>
    </w:p>
    <w:p w:rsidR="00C359C7" w:rsidRPr="00330641" w:rsidRDefault="00C359C7" w:rsidP="000F58E0">
      <w:pPr>
        <w:spacing w:after="0" w:line="276" w:lineRule="auto"/>
        <w:ind w:left="0" w:right="0" w:firstLine="0"/>
        <w:rPr>
          <w:rFonts w:ascii="ITC Avant Garde" w:eastAsia="Times New Roman" w:hAnsi="ITC Avant Garde" w:cs="Times New Roman"/>
          <w:b/>
          <w:color w:val="auto"/>
        </w:rPr>
      </w:pPr>
      <w:r w:rsidRPr="00330641">
        <w:rPr>
          <w:rFonts w:ascii="ITC Avant Garde" w:eastAsia="Times New Roman" w:hAnsi="ITC Avant Garde" w:cs="Times New Roman"/>
          <w:b/>
          <w:color w:val="auto"/>
        </w:rPr>
        <w:t>AXTEL</w:t>
      </w:r>
      <w:r w:rsidR="00AF0C5E" w:rsidRPr="00330641">
        <w:rPr>
          <w:rFonts w:ascii="ITC Avant Garde" w:eastAsia="Times New Roman" w:hAnsi="ITC Avant Garde" w:cs="Times New Roman"/>
          <w:b/>
          <w:color w:val="auto"/>
        </w:rPr>
        <w:t>:</w:t>
      </w:r>
    </w:p>
    <w:p w:rsidR="00C359C7" w:rsidRPr="00330641" w:rsidRDefault="00C359C7" w:rsidP="000F58E0">
      <w:pPr>
        <w:spacing w:after="0" w:line="276" w:lineRule="auto"/>
        <w:ind w:left="0" w:right="0" w:firstLine="0"/>
        <w:rPr>
          <w:rFonts w:ascii="ITC Avant Garde" w:eastAsia="Times New Roman" w:hAnsi="ITC Avant Garde" w:cs="Times New Roman"/>
          <w:color w:val="auto"/>
        </w:rPr>
      </w:pPr>
      <w:r w:rsidRPr="00330641">
        <w:rPr>
          <w:rFonts w:ascii="ITC Avant Garde" w:eastAsia="Times New Roman" w:hAnsi="ITC Avant Garde" w:cs="Times New Roman"/>
          <w:color w:val="auto"/>
        </w:rPr>
        <w:t xml:space="preserve">Axtel </w:t>
      </w:r>
      <w:r w:rsidR="000E31CA">
        <w:rPr>
          <w:rFonts w:ascii="ITC Avant Garde" w:eastAsia="Times New Roman" w:hAnsi="ITC Avant Garde" w:cs="Times New Roman"/>
          <w:color w:val="auto"/>
        </w:rPr>
        <w:t>solicitó</w:t>
      </w:r>
      <w:r w:rsidRPr="00330641">
        <w:rPr>
          <w:rFonts w:ascii="ITC Avant Garde" w:eastAsia="Times New Roman" w:hAnsi="ITC Avant Garde" w:cs="Times New Roman"/>
          <w:color w:val="auto"/>
        </w:rPr>
        <w:t xml:space="preserve"> al Instituto que obligue al AEP que el formato del Acta de Recepción que se encuentra en el “Anexo A” de esta Oferta, sean cargados al SEG una vez que el AEP entregue el servicio y que las características del equipo terminal instalado en el sitio del cliente sean agregados al SEG según corresponda: Marca, modelo y número de serie</w:t>
      </w:r>
      <w:r w:rsidR="00015680" w:rsidRPr="00330641">
        <w:rPr>
          <w:rFonts w:ascii="ITC Avant Garde" w:eastAsia="Times New Roman" w:hAnsi="ITC Avant Garde" w:cs="Times New Roman"/>
          <w:color w:val="auto"/>
        </w:rPr>
        <w:t>.</w:t>
      </w:r>
      <w:r w:rsidRPr="00330641">
        <w:rPr>
          <w:rFonts w:ascii="ITC Avant Garde" w:eastAsia="Times New Roman" w:hAnsi="ITC Avant Garde" w:cs="Times New Roman"/>
          <w:color w:val="auto"/>
        </w:rPr>
        <w:t xml:space="preserve"> </w:t>
      </w:r>
    </w:p>
    <w:p w:rsidR="00806058" w:rsidRPr="00330641" w:rsidRDefault="00806058" w:rsidP="000F58E0">
      <w:pPr>
        <w:spacing w:after="0" w:line="276" w:lineRule="auto"/>
        <w:ind w:left="0" w:right="0" w:firstLine="0"/>
        <w:rPr>
          <w:rFonts w:ascii="ITC Avant Garde" w:eastAsia="Times New Roman" w:hAnsi="ITC Avant Garde" w:cs="Times New Roman"/>
          <w:color w:val="auto"/>
        </w:rPr>
      </w:pPr>
    </w:p>
    <w:p w:rsidR="00806058" w:rsidRPr="00330641" w:rsidRDefault="000A6116" w:rsidP="000F58E0">
      <w:pPr>
        <w:spacing w:after="0" w:line="276" w:lineRule="auto"/>
        <w:ind w:left="0" w:right="0" w:firstLine="0"/>
        <w:rPr>
          <w:rFonts w:ascii="ITC Avant Garde" w:eastAsia="Times New Roman" w:hAnsi="ITC Avant Garde" w:cs="Times New Roman"/>
          <w:color w:val="auto"/>
        </w:rPr>
      </w:pPr>
      <w:r>
        <w:rPr>
          <w:rFonts w:ascii="ITC Avant Garde" w:eastAsia="Times New Roman" w:hAnsi="ITC Avant Garde" w:cs="Times New Roman"/>
          <w:color w:val="auto"/>
        </w:rPr>
        <w:t>Asimismo</w:t>
      </w:r>
      <w:r w:rsidR="00806058" w:rsidRPr="00330641">
        <w:rPr>
          <w:rFonts w:ascii="ITC Avant Garde" w:eastAsia="Times New Roman" w:hAnsi="ITC Avant Garde" w:cs="Times New Roman"/>
          <w:color w:val="auto"/>
        </w:rPr>
        <w:t xml:space="preserve">, </w:t>
      </w:r>
      <w:r w:rsidR="000E31CA">
        <w:rPr>
          <w:rFonts w:ascii="ITC Avant Garde" w:eastAsia="Times New Roman" w:hAnsi="ITC Avant Garde" w:cs="Times New Roman"/>
          <w:color w:val="auto"/>
        </w:rPr>
        <w:t>solicitó</w:t>
      </w:r>
      <w:r w:rsidR="00806058" w:rsidRPr="00330641">
        <w:rPr>
          <w:rFonts w:ascii="ITC Avant Garde" w:eastAsia="Times New Roman" w:hAnsi="ITC Avant Garde" w:cs="Times New Roman"/>
          <w:color w:val="auto"/>
        </w:rPr>
        <w:t xml:space="preserve"> al Instituto establecer un plazo máximo </w:t>
      </w:r>
      <w:r w:rsidR="00536A6E" w:rsidRPr="00330641">
        <w:rPr>
          <w:rFonts w:ascii="ITC Avant Garde" w:eastAsia="Times New Roman" w:hAnsi="ITC Avant Garde" w:cs="Times New Roman"/>
          <w:color w:val="auto"/>
        </w:rPr>
        <w:t>para que el AEP cargue la información al SEG con el fin de tener mayor transparencia posible en la prestación del servicio.</w:t>
      </w:r>
    </w:p>
    <w:p w:rsidR="0051794B" w:rsidRPr="00330641" w:rsidRDefault="0051794B" w:rsidP="000F58E0">
      <w:pPr>
        <w:spacing w:after="0" w:line="276" w:lineRule="auto"/>
        <w:ind w:left="0" w:right="0" w:firstLine="0"/>
        <w:rPr>
          <w:rFonts w:ascii="ITC Avant Garde" w:eastAsia="Times New Roman" w:hAnsi="ITC Avant Garde" w:cs="Times New Roman"/>
          <w:color w:val="auto"/>
        </w:rPr>
      </w:pPr>
    </w:p>
    <w:p w:rsidR="0051794B" w:rsidRPr="00330641" w:rsidRDefault="0051794B" w:rsidP="000F58E0">
      <w:pPr>
        <w:spacing w:after="0" w:line="276" w:lineRule="auto"/>
        <w:ind w:left="0" w:right="0" w:firstLine="0"/>
        <w:rPr>
          <w:rFonts w:ascii="ITC Avant Garde" w:eastAsia="Times New Roman" w:hAnsi="ITC Avant Garde" w:cs="Times New Roman"/>
          <w:b/>
          <w:color w:val="auto"/>
        </w:rPr>
      </w:pPr>
      <w:r w:rsidRPr="00330641">
        <w:rPr>
          <w:rFonts w:ascii="ITC Avant Garde" w:eastAsia="Times New Roman" w:hAnsi="ITC Avant Garde" w:cs="Times New Roman"/>
          <w:b/>
          <w:color w:val="auto"/>
        </w:rPr>
        <w:t>Consideraciones del Instituto</w:t>
      </w:r>
      <w:r w:rsidR="00AF0C5E" w:rsidRPr="00330641">
        <w:rPr>
          <w:rFonts w:ascii="ITC Avant Garde" w:eastAsia="Times New Roman" w:hAnsi="ITC Avant Garde" w:cs="Times New Roman"/>
          <w:b/>
          <w:color w:val="auto"/>
        </w:rPr>
        <w:t>:</w:t>
      </w:r>
    </w:p>
    <w:p w:rsidR="00934BFB" w:rsidRPr="00330641" w:rsidRDefault="00562B79" w:rsidP="00934BFB">
      <w:pPr>
        <w:spacing w:after="0" w:line="276" w:lineRule="auto"/>
        <w:ind w:left="0" w:right="0"/>
        <w:rPr>
          <w:rFonts w:ascii="ITC Avant Garde" w:hAnsi="ITC Avant Garde"/>
        </w:rPr>
      </w:pPr>
      <w:r w:rsidRPr="00562B79">
        <w:rPr>
          <w:rFonts w:ascii="ITC Avant Garde" w:hAnsi="ITC Avant Garde"/>
        </w:rPr>
        <w:t xml:space="preserve">Al respecto, resultan aplicables las </w:t>
      </w:r>
      <w:r w:rsidR="00934BFB" w:rsidRPr="00562B79">
        <w:rPr>
          <w:rFonts w:ascii="ITC Avant Garde" w:eastAsia="Times New Roman" w:hAnsi="ITC Avant Garde" w:cs="Times New Roman"/>
          <w:color w:val="auto"/>
        </w:rPr>
        <w:t>consideraciones expuestas en el numeral 2.6.1 Operación</w:t>
      </w:r>
      <w:r w:rsidR="00934BFB" w:rsidRPr="00562B79">
        <w:rPr>
          <w:rFonts w:ascii="ITC Avant Garde" w:hAnsi="ITC Avant Garde"/>
        </w:rPr>
        <w:t xml:space="preserve"> y Mantenimiento.</w:t>
      </w:r>
    </w:p>
    <w:p w:rsidR="00C359C7" w:rsidRPr="00330641" w:rsidRDefault="00C359C7" w:rsidP="000F58E0">
      <w:pPr>
        <w:spacing w:after="0" w:line="276" w:lineRule="auto"/>
        <w:ind w:left="0" w:right="0" w:firstLine="0"/>
        <w:rPr>
          <w:rFonts w:ascii="ITC Avant Garde" w:eastAsia="Times New Roman" w:hAnsi="ITC Avant Garde" w:cs="Times New Roman"/>
          <w:color w:val="auto"/>
        </w:rPr>
      </w:pPr>
    </w:p>
    <w:p w:rsidR="00312F93" w:rsidRPr="00330641" w:rsidRDefault="00936A14" w:rsidP="000F58E0">
      <w:pPr>
        <w:pStyle w:val="IFTnormal"/>
        <w:spacing w:after="0"/>
        <w:ind w:left="0"/>
        <w:rPr>
          <w:rFonts w:eastAsiaTheme="majorEastAsia"/>
          <w:u w:val="single"/>
        </w:rPr>
      </w:pPr>
      <w:r w:rsidRPr="00330641">
        <w:rPr>
          <w:rFonts w:eastAsiaTheme="majorEastAsia"/>
          <w:b/>
          <w:u w:val="single"/>
        </w:rPr>
        <w:t xml:space="preserve">ANEXO “C” ACUERDO DE CALIDAD Y SUMINISTRO DE SERVICIOS </w:t>
      </w:r>
    </w:p>
    <w:p w:rsidR="00312F93" w:rsidRPr="00330641" w:rsidRDefault="00312F93" w:rsidP="000F58E0">
      <w:pPr>
        <w:pStyle w:val="IFTnormal"/>
        <w:spacing w:after="0"/>
        <w:ind w:left="0"/>
        <w:rPr>
          <w:rFonts w:eastAsiaTheme="majorEastAsia"/>
        </w:rPr>
      </w:pPr>
      <w:r w:rsidRPr="00330641">
        <w:rPr>
          <w:rFonts w:eastAsiaTheme="majorEastAsia"/>
          <w:b/>
        </w:rPr>
        <w:t>AXTEL</w:t>
      </w:r>
      <w:r w:rsidR="008D2047" w:rsidRPr="00330641">
        <w:rPr>
          <w:rFonts w:eastAsiaTheme="majorEastAsia"/>
          <w:b/>
        </w:rPr>
        <w:t>:</w:t>
      </w:r>
    </w:p>
    <w:p w:rsidR="000A416B" w:rsidRDefault="00CE4252">
      <w:pPr>
        <w:spacing w:after="0" w:line="276" w:lineRule="auto"/>
        <w:ind w:left="0" w:right="0" w:firstLine="0"/>
        <w:rPr>
          <w:rFonts w:ascii="ITC Avant Garde" w:hAnsi="ITC Avant Garde"/>
          <w:color w:val="auto"/>
        </w:rPr>
      </w:pPr>
      <w:r w:rsidRPr="00330641">
        <w:rPr>
          <w:rFonts w:ascii="ITC Avant Garde" w:hAnsi="ITC Avant Garde"/>
          <w:color w:val="auto"/>
        </w:rPr>
        <w:t xml:space="preserve">Con respecto a lo </w:t>
      </w:r>
      <w:r w:rsidR="000E31CA">
        <w:rPr>
          <w:rFonts w:ascii="ITC Avant Garde" w:hAnsi="ITC Avant Garde"/>
          <w:color w:val="auto"/>
        </w:rPr>
        <w:t>señala</w:t>
      </w:r>
      <w:r w:rsidRPr="00330641">
        <w:rPr>
          <w:rFonts w:ascii="ITC Avant Garde" w:hAnsi="ITC Avant Garde"/>
          <w:color w:val="auto"/>
        </w:rPr>
        <w:t xml:space="preserve">do en el Anexo </w:t>
      </w:r>
      <w:r w:rsidR="00ED3954" w:rsidRPr="00330641">
        <w:rPr>
          <w:rFonts w:ascii="ITC Avant Garde" w:hAnsi="ITC Avant Garde"/>
          <w:color w:val="auto"/>
        </w:rPr>
        <w:t>“</w:t>
      </w:r>
      <w:r w:rsidRPr="00330641">
        <w:rPr>
          <w:rFonts w:ascii="ITC Avant Garde" w:hAnsi="ITC Avant Garde"/>
          <w:color w:val="auto"/>
        </w:rPr>
        <w:t>C</w:t>
      </w:r>
      <w:r w:rsidR="00ED3954" w:rsidRPr="00330641">
        <w:rPr>
          <w:rFonts w:ascii="ITC Avant Garde" w:hAnsi="ITC Avant Garde"/>
          <w:color w:val="auto"/>
        </w:rPr>
        <w:t>”,</w:t>
      </w:r>
      <w:r w:rsidRPr="00330641">
        <w:rPr>
          <w:rFonts w:ascii="ITC Avant Garde" w:hAnsi="ITC Avant Garde"/>
          <w:color w:val="auto"/>
        </w:rPr>
        <w:t xml:space="preserve"> Apartado A</w:t>
      </w:r>
      <w:r w:rsidR="00ED3954" w:rsidRPr="00330641">
        <w:rPr>
          <w:rFonts w:ascii="ITC Avant Garde" w:hAnsi="ITC Avant Garde"/>
          <w:color w:val="auto"/>
        </w:rPr>
        <w:t>,</w:t>
      </w:r>
      <w:r w:rsidRPr="00330641">
        <w:rPr>
          <w:rFonts w:ascii="ITC Avant Garde" w:hAnsi="ITC Avant Garde"/>
          <w:color w:val="auto"/>
        </w:rPr>
        <w:t xml:space="preserve"> numeral 1</w:t>
      </w:r>
      <w:r w:rsidRPr="00330641">
        <w:rPr>
          <w:rFonts w:ascii="ITC Avant Garde" w:hAnsi="ITC Avant Garde"/>
        </w:rPr>
        <w:t xml:space="preserve"> </w:t>
      </w:r>
      <w:r w:rsidR="000E31CA">
        <w:rPr>
          <w:rFonts w:ascii="ITC Avant Garde" w:hAnsi="ITC Avant Garde"/>
          <w:color w:val="auto"/>
        </w:rPr>
        <w:t>solicitó</w:t>
      </w:r>
      <w:r w:rsidRPr="00330641">
        <w:rPr>
          <w:rFonts w:ascii="ITC Avant Garde" w:hAnsi="ITC Avant Garde"/>
          <w:color w:val="auto"/>
        </w:rPr>
        <w:t xml:space="preserve"> al Instituto</w:t>
      </w:r>
      <w:r w:rsidR="00BF2A53" w:rsidRPr="00330641">
        <w:rPr>
          <w:rFonts w:ascii="ITC Avant Garde" w:hAnsi="ITC Avant Garde"/>
          <w:color w:val="auto"/>
        </w:rPr>
        <w:t xml:space="preserve"> se considere su postura en el apartado 2.6.2</w:t>
      </w:r>
      <w:r w:rsidR="00611576">
        <w:rPr>
          <w:rFonts w:ascii="ITC Avant Garde" w:hAnsi="ITC Avant Garde"/>
          <w:color w:val="auto"/>
        </w:rPr>
        <w:t>.</w:t>
      </w:r>
    </w:p>
    <w:p w:rsidR="00611576" w:rsidRPr="00330641" w:rsidRDefault="00611576">
      <w:pPr>
        <w:spacing w:after="0" w:line="276" w:lineRule="auto"/>
        <w:ind w:left="0" w:right="0" w:firstLine="0"/>
        <w:rPr>
          <w:rFonts w:ascii="ITC Avant Garde" w:hAnsi="ITC Avant Garde"/>
          <w:color w:val="auto"/>
        </w:rPr>
      </w:pPr>
    </w:p>
    <w:p w:rsidR="000B055D" w:rsidRPr="00330641" w:rsidRDefault="000B055D" w:rsidP="000F58E0">
      <w:pPr>
        <w:spacing w:after="0" w:line="276" w:lineRule="auto"/>
        <w:ind w:left="0" w:right="0"/>
        <w:rPr>
          <w:rFonts w:ascii="ITC Avant Garde" w:hAnsi="ITC Avant Garde"/>
          <w:b/>
          <w:lang w:val="es-ES_tradnl"/>
        </w:rPr>
      </w:pPr>
      <w:r w:rsidRPr="00330641">
        <w:rPr>
          <w:rFonts w:ascii="ITC Avant Garde" w:hAnsi="ITC Avant Garde"/>
          <w:b/>
          <w:lang w:val="es-ES_tradnl"/>
        </w:rPr>
        <w:t>Consideraciones del Instituto:</w:t>
      </w:r>
    </w:p>
    <w:p w:rsidR="000B055D" w:rsidRPr="00330641" w:rsidRDefault="000B055D" w:rsidP="000F58E0">
      <w:pPr>
        <w:spacing w:after="0" w:line="276" w:lineRule="auto"/>
        <w:ind w:left="0" w:right="0"/>
        <w:rPr>
          <w:rFonts w:ascii="ITC Avant Garde" w:hAnsi="ITC Avant Garde"/>
        </w:rPr>
      </w:pPr>
      <w:r w:rsidRPr="00330641">
        <w:rPr>
          <w:rFonts w:ascii="ITC Avant Garde" w:hAnsi="ITC Avant Garde"/>
        </w:rPr>
        <w:t>Al respecto, ténganse por reproducidos como si a la letra se insertasen las consideraciones expuestas en el numeral 2.6 Operación y Mantenimiento.</w:t>
      </w:r>
    </w:p>
    <w:p w:rsidR="002A4730" w:rsidRPr="00330641" w:rsidRDefault="002A4730" w:rsidP="000F58E0">
      <w:pPr>
        <w:pStyle w:val="IFTnormal"/>
        <w:spacing w:after="0"/>
        <w:ind w:left="0"/>
        <w:rPr>
          <w:rFonts w:eastAsiaTheme="majorEastAsia"/>
          <w:b/>
        </w:rPr>
      </w:pPr>
    </w:p>
    <w:p w:rsidR="002A4730" w:rsidRPr="00330641" w:rsidRDefault="002A4730" w:rsidP="000F58E0">
      <w:pPr>
        <w:pStyle w:val="IFTnormal"/>
        <w:spacing w:after="0"/>
        <w:ind w:left="0"/>
        <w:rPr>
          <w:rFonts w:eastAsiaTheme="majorEastAsia"/>
        </w:rPr>
      </w:pPr>
      <w:r w:rsidRPr="00330641">
        <w:rPr>
          <w:rFonts w:eastAsiaTheme="majorEastAsia"/>
          <w:b/>
        </w:rPr>
        <w:t>AXTEL:</w:t>
      </w:r>
    </w:p>
    <w:p w:rsidR="00E16F5E" w:rsidRPr="00330641" w:rsidRDefault="00033749" w:rsidP="000F58E0">
      <w:pPr>
        <w:spacing w:after="0" w:line="276" w:lineRule="auto"/>
        <w:ind w:left="0" w:right="0" w:firstLine="0"/>
        <w:rPr>
          <w:rFonts w:ascii="ITC Avant Garde" w:hAnsi="ITC Avant Garde"/>
          <w:color w:val="auto"/>
        </w:rPr>
      </w:pPr>
      <w:r w:rsidRPr="00330641">
        <w:rPr>
          <w:rFonts w:ascii="ITC Avant Garde" w:hAnsi="ITC Avant Garde"/>
          <w:color w:val="auto"/>
        </w:rPr>
        <w:lastRenderedPageBreak/>
        <w:t xml:space="preserve">Con respecto a lo </w:t>
      </w:r>
      <w:r w:rsidR="000E31CA">
        <w:rPr>
          <w:rFonts w:ascii="ITC Avant Garde" w:hAnsi="ITC Avant Garde"/>
          <w:color w:val="auto"/>
        </w:rPr>
        <w:t>señala</w:t>
      </w:r>
      <w:r w:rsidR="000E31CA" w:rsidRPr="00330641">
        <w:rPr>
          <w:rFonts w:ascii="ITC Avant Garde" w:hAnsi="ITC Avant Garde"/>
          <w:color w:val="auto"/>
        </w:rPr>
        <w:t>do</w:t>
      </w:r>
      <w:r w:rsidRPr="00330641">
        <w:rPr>
          <w:rFonts w:ascii="ITC Avant Garde" w:hAnsi="ITC Avant Garde"/>
          <w:color w:val="auto"/>
        </w:rPr>
        <w:t xml:space="preserve"> en el Anexo </w:t>
      </w:r>
      <w:r w:rsidR="00ED3954" w:rsidRPr="00330641">
        <w:rPr>
          <w:rFonts w:ascii="ITC Avant Garde" w:hAnsi="ITC Avant Garde"/>
          <w:color w:val="auto"/>
        </w:rPr>
        <w:t>“</w:t>
      </w:r>
      <w:r w:rsidRPr="00330641">
        <w:rPr>
          <w:rFonts w:ascii="ITC Avant Garde" w:hAnsi="ITC Avant Garde"/>
          <w:color w:val="auto"/>
        </w:rPr>
        <w:t>C</w:t>
      </w:r>
      <w:r w:rsidR="00ED3954" w:rsidRPr="00330641">
        <w:rPr>
          <w:rFonts w:ascii="ITC Avant Garde" w:hAnsi="ITC Avant Garde"/>
          <w:color w:val="auto"/>
        </w:rPr>
        <w:t>”,</w:t>
      </w:r>
      <w:r w:rsidRPr="00330641">
        <w:rPr>
          <w:rFonts w:ascii="ITC Avant Garde" w:hAnsi="ITC Avant Garde"/>
          <w:color w:val="auto"/>
        </w:rPr>
        <w:t xml:space="preserve"> Apartado A</w:t>
      </w:r>
      <w:r w:rsidR="00ED3954" w:rsidRPr="00330641">
        <w:rPr>
          <w:rFonts w:ascii="ITC Avant Garde" w:hAnsi="ITC Avant Garde"/>
          <w:color w:val="auto"/>
        </w:rPr>
        <w:t>,</w:t>
      </w:r>
      <w:r w:rsidRPr="00330641">
        <w:rPr>
          <w:rFonts w:ascii="ITC Avant Garde" w:hAnsi="ITC Avant Garde"/>
          <w:color w:val="auto"/>
        </w:rPr>
        <w:t xml:space="preserve"> numeral 1</w:t>
      </w:r>
      <w:r w:rsidR="00ED3954" w:rsidRPr="00330641">
        <w:rPr>
          <w:rFonts w:ascii="ITC Avant Garde" w:hAnsi="ITC Avant Garde"/>
          <w:color w:val="auto"/>
        </w:rPr>
        <w:t>,</w:t>
      </w:r>
      <w:r w:rsidRPr="00330641">
        <w:rPr>
          <w:rFonts w:ascii="ITC Avant Garde" w:hAnsi="ITC Avant Garde"/>
          <w:color w:val="auto"/>
        </w:rPr>
        <w:t xml:space="preserve"> inciso d</w:t>
      </w:r>
      <w:r w:rsidR="0029447D" w:rsidRPr="00330641">
        <w:rPr>
          <w:rFonts w:ascii="ITC Avant Garde" w:hAnsi="ITC Avant Garde"/>
          <w:color w:val="auto"/>
        </w:rPr>
        <w:t>)</w:t>
      </w:r>
      <w:r w:rsidR="0018264E" w:rsidRPr="00330641">
        <w:rPr>
          <w:rFonts w:ascii="ITC Avant Garde" w:hAnsi="ITC Avant Garde"/>
          <w:color w:val="auto"/>
        </w:rPr>
        <w:t>,</w:t>
      </w:r>
      <w:r w:rsidR="0029447D" w:rsidRPr="00330641">
        <w:rPr>
          <w:rFonts w:ascii="ITC Avant Garde" w:hAnsi="ITC Avant Garde"/>
          <w:color w:val="auto"/>
        </w:rPr>
        <w:t xml:space="preserve"> </w:t>
      </w:r>
      <w:r w:rsidR="0018264E" w:rsidRPr="00330641">
        <w:rPr>
          <w:rFonts w:ascii="ITC Avant Garde" w:hAnsi="ITC Avant Garde"/>
          <w:color w:val="auto"/>
        </w:rPr>
        <w:t>s</w:t>
      </w:r>
      <w:r w:rsidR="000E31CA">
        <w:rPr>
          <w:rFonts w:ascii="ITC Avant Garde" w:hAnsi="ITC Avant Garde"/>
          <w:color w:val="auto"/>
        </w:rPr>
        <w:t>olicitó</w:t>
      </w:r>
      <w:r w:rsidRPr="00330641">
        <w:rPr>
          <w:rFonts w:ascii="ITC Avant Garde" w:hAnsi="ITC Avant Garde"/>
          <w:color w:val="auto"/>
        </w:rPr>
        <w:t xml:space="preserve"> al </w:t>
      </w:r>
      <w:r w:rsidR="00FF6ED0" w:rsidRPr="00330641">
        <w:rPr>
          <w:rFonts w:ascii="ITC Avant Garde" w:hAnsi="ITC Avant Garde"/>
          <w:color w:val="auto"/>
        </w:rPr>
        <w:t>Instituto</w:t>
      </w:r>
      <w:r w:rsidR="00BF2A53" w:rsidRPr="00330641">
        <w:rPr>
          <w:rFonts w:ascii="ITC Avant Garde" w:hAnsi="ITC Avant Garde"/>
          <w:color w:val="auto"/>
        </w:rPr>
        <w:t xml:space="preserve"> se considere sus manifestaciones y postura en el apartado 2.6.4</w:t>
      </w:r>
      <w:r w:rsidR="00611576">
        <w:rPr>
          <w:rFonts w:ascii="ITC Avant Garde" w:hAnsi="ITC Avant Garde"/>
          <w:color w:val="auto"/>
        </w:rPr>
        <w:t>.</w:t>
      </w:r>
      <w:r w:rsidR="00BF2A53" w:rsidRPr="00330641">
        <w:rPr>
          <w:rFonts w:ascii="ITC Avant Garde" w:hAnsi="ITC Avant Garde"/>
          <w:color w:val="auto"/>
        </w:rPr>
        <w:t xml:space="preserve"> </w:t>
      </w:r>
      <w:r w:rsidR="00FF6ED0" w:rsidRPr="00330641">
        <w:rPr>
          <w:rFonts w:ascii="ITC Avant Garde" w:hAnsi="ITC Avant Garde"/>
          <w:color w:val="auto"/>
        </w:rPr>
        <w:t xml:space="preserve"> </w:t>
      </w:r>
    </w:p>
    <w:p w:rsidR="00E16F5E" w:rsidRPr="00330641" w:rsidRDefault="00E16F5E" w:rsidP="000F58E0">
      <w:pPr>
        <w:spacing w:after="0" w:line="276" w:lineRule="auto"/>
        <w:ind w:left="0" w:right="0"/>
        <w:rPr>
          <w:rFonts w:ascii="ITC Avant Garde" w:hAnsi="ITC Avant Garde"/>
          <w:color w:val="auto"/>
        </w:rPr>
      </w:pPr>
      <w:r w:rsidRPr="00330641">
        <w:rPr>
          <w:rFonts w:ascii="ITC Avant Garde" w:hAnsi="ITC Avant Garde"/>
          <w:color w:val="auto"/>
        </w:rPr>
        <w:t xml:space="preserve"> </w:t>
      </w:r>
    </w:p>
    <w:p w:rsidR="00E16F5E" w:rsidRPr="00330641" w:rsidRDefault="00E16F5E" w:rsidP="000F58E0">
      <w:pPr>
        <w:spacing w:after="0" w:line="276" w:lineRule="auto"/>
        <w:ind w:left="0" w:right="0"/>
        <w:rPr>
          <w:rFonts w:ascii="ITC Avant Garde" w:hAnsi="ITC Avant Garde"/>
          <w:b/>
          <w:lang w:val="es-ES_tradnl"/>
        </w:rPr>
      </w:pPr>
      <w:r w:rsidRPr="00330641">
        <w:rPr>
          <w:rFonts w:ascii="ITC Avant Garde" w:hAnsi="ITC Avant Garde"/>
          <w:b/>
          <w:lang w:val="es-ES_tradnl"/>
        </w:rPr>
        <w:t>Consideraciones del Instituto:</w:t>
      </w:r>
    </w:p>
    <w:p w:rsidR="00E16F5E" w:rsidRPr="00330641" w:rsidRDefault="00E16F5E" w:rsidP="000F58E0">
      <w:pPr>
        <w:spacing w:after="0" w:line="276" w:lineRule="auto"/>
        <w:ind w:left="0" w:right="0"/>
        <w:rPr>
          <w:rFonts w:ascii="ITC Avant Garde" w:hAnsi="ITC Avant Garde"/>
          <w:color w:val="auto"/>
        </w:rPr>
      </w:pPr>
      <w:r w:rsidRPr="00330641">
        <w:rPr>
          <w:rFonts w:ascii="ITC Avant Garde" w:hAnsi="ITC Avant Garde"/>
          <w:color w:val="auto"/>
        </w:rPr>
        <w:t>Al respecto, ténganse por reproducidos como si a la letra se insertasen las consideraciones expuestas en el numeral 2.6.4.</w:t>
      </w:r>
    </w:p>
    <w:p w:rsidR="00033749" w:rsidRPr="00330641" w:rsidRDefault="00033749" w:rsidP="000F58E0">
      <w:pPr>
        <w:spacing w:after="0" w:line="276" w:lineRule="auto"/>
        <w:ind w:left="0" w:right="0" w:firstLine="0"/>
        <w:rPr>
          <w:rFonts w:ascii="ITC Avant Garde" w:hAnsi="ITC Avant Garde"/>
          <w:color w:val="auto"/>
        </w:rPr>
      </w:pPr>
    </w:p>
    <w:p w:rsidR="00E16F5E" w:rsidRPr="00330641" w:rsidRDefault="00E16F5E" w:rsidP="000F58E0">
      <w:pPr>
        <w:pStyle w:val="IFTnormal"/>
        <w:spacing w:after="0"/>
        <w:ind w:left="0"/>
        <w:rPr>
          <w:rFonts w:eastAsiaTheme="majorEastAsia"/>
        </w:rPr>
      </w:pPr>
      <w:r w:rsidRPr="00330641">
        <w:rPr>
          <w:rFonts w:eastAsiaTheme="majorEastAsia"/>
          <w:b/>
        </w:rPr>
        <w:t>AXTEL:</w:t>
      </w:r>
    </w:p>
    <w:p w:rsidR="00AC0621" w:rsidRPr="00330641" w:rsidRDefault="00AC0621" w:rsidP="00EC3F16">
      <w:pPr>
        <w:spacing w:after="0" w:line="276" w:lineRule="auto"/>
        <w:ind w:left="0" w:right="0" w:firstLine="0"/>
        <w:rPr>
          <w:rFonts w:ascii="ITC Avant Garde" w:hAnsi="ITC Avant Garde"/>
          <w:color w:val="auto"/>
        </w:rPr>
      </w:pPr>
      <w:r w:rsidRPr="00330641">
        <w:rPr>
          <w:rFonts w:ascii="ITC Avant Garde" w:hAnsi="ITC Avant Garde"/>
          <w:color w:val="auto"/>
        </w:rPr>
        <w:t xml:space="preserve">Con respecto a lo </w:t>
      </w:r>
      <w:r w:rsidR="000E31CA">
        <w:rPr>
          <w:rFonts w:ascii="ITC Avant Garde" w:hAnsi="ITC Avant Garde"/>
          <w:color w:val="auto"/>
        </w:rPr>
        <w:t>señala</w:t>
      </w:r>
      <w:r w:rsidR="000E31CA" w:rsidRPr="00330641">
        <w:rPr>
          <w:rFonts w:ascii="ITC Avant Garde" w:hAnsi="ITC Avant Garde"/>
          <w:color w:val="auto"/>
        </w:rPr>
        <w:t>do</w:t>
      </w:r>
      <w:r w:rsidRPr="00330641">
        <w:rPr>
          <w:rFonts w:ascii="ITC Avant Garde" w:hAnsi="ITC Avant Garde"/>
          <w:color w:val="auto"/>
        </w:rPr>
        <w:t xml:space="preserve"> en el Anexo “C”, Apartado B, Plazos de Entrega, </w:t>
      </w:r>
      <w:r w:rsidR="000E31CA">
        <w:rPr>
          <w:rFonts w:ascii="ITC Avant Garde" w:hAnsi="ITC Avant Garde"/>
          <w:color w:val="auto"/>
        </w:rPr>
        <w:t>solicitó</w:t>
      </w:r>
      <w:r w:rsidRPr="00330641">
        <w:rPr>
          <w:rFonts w:ascii="ITC Avant Garde" w:hAnsi="ITC Avant Garde"/>
          <w:color w:val="auto"/>
        </w:rPr>
        <w:t xml:space="preserve"> al Instituto </w:t>
      </w:r>
      <w:r w:rsidR="005628CF" w:rsidRPr="00330641">
        <w:rPr>
          <w:rFonts w:ascii="ITC Avant Garde" w:hAnsi="ITC Avant Garde"/>
          <w:color w:val="auto"/>
        </w:rPr>
        <w:t>se considere sus manifestaciones y</w:t>
      </w:r>
      <w:r w:rsidR="002718D6" w:rsidRPr="00330641">
        <w:rPr>
          <w:rFonts w:ascii="ITC Avant Garde" w:hAnsi="ITC Avant Garde"/>
          <w:color w:val="auto"/>
        </w:rPr>
        <w:t xml:space="preserve"> postura en el apartado 2.4.1.2</w:t>
      </w:r>
      <w:r w:rsidR="00611576">
        <w:rPr>
          <w:rFonts w:ascii="ITC Avant Garde" w:hAnsi="ITC Avant Garde"/>
          <w:color w:val="auto"/>
        </w:rPr>
        <w:t>.</w:t>
      </w:r>
    </w:p>
    <w:p w:rsidR="00E16F5E" w:rsidRPr="00330641" w:rsidRDefault="00E16F5E" w:rsidP="000F58E0">
      <w:pPr>
        <w:spacing w:after="0" w:line="276" w:lineRule="auto"/>
        <w:ind w:left="0" w:right="0" w:firstLine="0"/>
        <w:rPr>
          <w:rFonts w:ascii="ITC Avant Garde" w:hAnsi="ITC Avant Garde"/>
          <w:color w:val="auto"/>
        </w:rPr>
      </w:pPr>
    </w:p>
    <w:p w:rsidR="00E16F5E" w:rsidRPr="00330641" w:rsidRDefault="00E16F5E" w:rsidP="000F58E0">
      <w:pPr>
        <w:spacing w:after="0" w:line="276" w:lineRule="auto"/>
        <w:ind w:left="0" w:right="0"/>
        <w:rPr>
          <w:rFonts w:ascii="ITC Avant Garde" w:hAnsi="ITC Avant Garde"/>
          <w:b/>
          <w:lang w:val="es-ES_tradnl"/>
        </w:rPr>
      </w:pPr>
      <w:r w:rsidRPr="00330641">
        <w:rPr>
          <w:rFonts w:ascii="ITC Avant Garde" w:hAnsi="ITC Avant Garde"/>
          <w:b/>
          <w:lang w:val="es-ES_tradnl"/>
        </w:rPr>
        <w:t>Consideraciones del Instituto:</w:t>
      </w:r>
    </w:p>
    <w:p w:rsidR="00771DA3" w:rsidRPr="00330641" w:rsidRDefault="00E16F5E" w:rsidP="000F58E0">
      <w:pPr>
        <w:pStyle w:val="IFTnormal"/>
        <w:spacing w:after="0"/>
        <w:ind w:left="0"/>
        <w:rPr>
          <w:rFonts w:eastAsiaTheme="majorEastAsia"/>
        </w:rPr>
      </w:pPr>
      <w:r w:rsidRPr="00330641">
        <w:t xml:space="preserve">Con respecto </w:t>
      </w:r>
      <w:r w:rsidR="00771DA3" w:rsidRPr="00330641">
        <w:t xml:space="preserve">a lo </w:t>
      </w:r>
      <w:r w:rsidR="000E31CA">
        <w:t>señala</w:t>
      </w:r>
      <w:r w:rsidR="000E31CA" w:rsidRPr="00330641">
        <w:t>do</w:t>
      </w:r>
      <w:r w:rsidR="00771DA3" w:rsidRPr="00330641">
        <w:t xml:space="preserve"> en su segundo párrafo</w:t>
      </w:r>
      <w:r w:rsidRPr="00330641">
        <w:t>, ténganse por reproducidos como si a la letra se insertasen las consideraciones expuestas en el numeral</w:t>
      </w:r>
      <w:r w:rsidR="00771DA3" w:rsidRPr="00330641">
        <w:t xml:space="preserve"> </w:t>
      </w:r>
      <w:r w:rsidR="00A300F1" w:rsidRPr="00330641">
        <w:t xml:space="preserve">2.4.1.2 </w:t>
      </w:r>
      <w:r w:rsidR="00771DA3" w:rsidRPr="00330641">
        <w:t>Pronóstico de Servicios.</w:t>
      </w:r>
    </w:p>
    <w:p w:rsidR="00E16F5E" w:rsidRPr="00330641" w:rsidRDefault="00E16F5E" w:rsidP="000F58E0">
      <w:pPr>
        <w:spacing w:after="0" w:line="276" w:lineRule="auto"/>
        <w:ind w:left="0" w:right="0"/>
        <w:rPr>
          <w:rFonts w:ascii="ITC Avant Garde" w:hAnsi="ITC Avant Garde"/>
          <w:b/>
          <w:lang w:val="es-ES_tradnl"/>
        </w:rPr>
      </w:pPr>
    </w:p>
    <w:p w:rsidR="00771DA3" w:rsidRPr="00330641" w:rsidRDefault="00771DA3" w:rsidP="000F58E0">
      <w:pPr>
        <w:pStyle w:val="IFTnormal"/>
        <w:spacing w:after="0"/>
        <w:ind w:left="0"/>
        <w:rPr>
          <w:rFonts w:eastAsiaTheme="majorEastAsia"/>
        </w:rPr>
      </w:pPr>
      <w:r w:rsidRPr="00330641">
        <w:rPr>
          <w:rFonts w:eastAsiaTheme="majorEastAsia"/>
          <w:b/>
        </w:rPr>
        <w:t>AXTEL:</w:t>
      </w:r>
    </w:p>
    <w:p w:rsidR="00033749" w:rsidRPr="00330641" w:rsidRDefault="00033749" w:rsidP="000F58E0">
      <w:pPr>
        <w:spacing w:after="0" w:line="276" w:lineRule="auto"/>
        <w:ind w:left="0" w:right="0" w:firstLine="0"/>
        <w:rPr>
          <w:rFonts w:ascii="ITC Avant Garde" w:hAnsi="ITC Avant Garde"/>
          <w:color w:val="auto"/>
        </w:rPr>
      </w:pPr>
      <w:r w:rsidRPr="00330641">
        <w:rPr>
          <w:rFonts w:ascii="ITC Avant Garde" w:hAnsi="ITC Avant Garde"/>
          <w:color w:val="auto"/>
        </w:rPr>
        <w:t xml:space="preserve">Con respecto a lo </w:t>
      </w:r>
      <w:r w:rsidR="000E31CA">
        <w:rPr>
          <w:rFonts w:ascii="ITC Avant Garde" w:hAnsi="ITC Avant Garde"/>
          <w:color w:val="auto"/>
        </w:rPr>
        <w:t>señala</w:t>
      </w:r>
      <w:r w:rsidR="000E31CA" w:rsidRPr="00330641">
        <w:rPr>
          <w:rFonts w:ascii="ITC Avant Garde" w:hAnsi="ITC Avant Garde"/>
          <w:color w:val="auto"/>
        </w:rPr>
        <w:t>do</w:t>
      </w:r>
      <w:r w:rsidRPr="00330641">
        <w:rPr>
          <w:rFonts w:ascii="ITC Avant Garde" w:hAnsi="ITC Avant Garde"/>
          <w:color w:val="auto"/>
        </w:rPr>
        <w:t xml:space="preserve"> en el Anexo </w:t>
      </w:r>
      <w:r w:rsidR="00ED3954" w:rsidRPr="00330641">
        <w:rPr>
          <w:rFonts w:ascii="ITC Avant Garde" w:hAnsi="ITC Avant Garde"/>
          <w:color w:val="auto"/>
        </w:rPr>
        <w:t>“</w:t>
      </w:r>
      <w:r w:rsidRPr="00330641">
        <w:rPr>
          <w:rFonts w:ascii="ITC Avant Garde" w:hAnsi="ITC Avant Garde"/>
          <w:color w:val="auto"/>
        </w:rPr>
        <w:t>C</w:t>
      </w:r>
      <w:r w:rsidR="00ED3954" w:rsidRPr="00330641">
        <w:rPr>
          <w:rFonts w:ascii="ITC Avant Garde" w:hAnsi="ITC Avant Garde"/>
          <w:color w:val="auto"/>
        </w:rPr>
        <w:t>”,</w:t>
      </w:r>
      <w:r w:rsidRPr="00330641">
        <w:rPr>
          <w:rFonts w:ascii="ITC Avant Garde" w:hAnsi="ITC Avant Garde"/>
          <w:color w:val="auto"/>
        </w:rPr>
        <w:t xml:space="preserve"> Apartado B</w:t>
      </w:r>
      <w:r w:rsidR="00ED3954" w:rsidRPr="00330641">
        <w:rPr>
          <w:rFonts w:ascii="ITC Avant Garde" w:hAnsi="ITC Avant Garde"/>
          <w:color w:val="auto"/>
        </w:rPr>
        <w:t>,</w:t>
      </w:r>
      <w:r w:rsidRPr="00330641">
        <w:rPr>
          <w:rFonts w:ascii="ITC Avant Garde" w:hAnsi="ITC Avant Garde"/>
          <w:color w:val="auto"/>
        </w:rPr>
        <w:t xml:space="preserve"> </w:t>
      </w:r>
      <w:r w:rsidR="00BC4FA9" w:rsidRPr="00330641">
        <w:rPr>
          <w:rFonts w:ascii="ITC Avant Garde" w:hAnsi="ITC Avant Garde"/>
          <w:color w:val="auto"/>
        </w:rPr>
        <w:t>Medición del cumplimi</w:t>
      </w:r>
      <w:r w:rsidR="000A6116">
        <w:rPr>
          <w:rFonts w:ascii="ITC Avant Garde" w:hAnsi="ITC Avant Garde"/>
          <w:color w:val="auto"/>
        </w:rPr>
        <w:t>ento de los plazos de entrega, c</w:t>
      </w:r>
      <w:r w:rsidR="00BC4FA9" w:rsidRPr="00330641">
        <w:rPr>
          <w:rFonts w:ascii="ITC Avant Garde" w:hAnsi="ITC Avant Garde"/>
          <w:color w:val="auto"/>
        </w:rPr>
        <w:t>uarto párrafo, propone un plazo máximo de 2 (dos) días hábiles adicionales en las que el AEP verifique los errores y para informar al CS iniciar nuevamente con las pruebas en pro de mejorar la transparencia del proceso de entrega y los tiempos de provisión a los usuarios finales.</w:t>
      </w:r>
    </w:p>
    <w:p w:rsidR="00814C3B" w:rsidRPr="00330641" w:rsidRDefault="00814C3B" w:rsidP="000F58E0">
      <w:pPr>
        <w:spacing w:after="0" w:line="276" w:lineRule="auto"/>
        <w:ind w:left="0" w:right="0" w:firstLine="0"/>
        <w:rPr>
          <w:rFonts w:ascii="ITC Avant Garde" w:hAnsi="ITC Avant Garde"/>
          <w:color w:val="auto"/>
        </w:rPr>
      </w:pPr>
    </w:p>
    <w:p w:rsidR="00814C3B" w:rsidRPr="00330641" w:rsidRDefault="00814C3B" w:rsidP="000F58E0">
      <w:pPr>
        <w:spacing w:after="0" w:line="276" w:lineRule="auto"/>
        <w:ind w:left="0" w:right="0"/>
        <w:rPr>
          <w:rFonts w:ascii="ITC Avant Garde" w:hAnsi="ITC Avant Garde"/>
          <w:b/>
          <w:lang w:val="es-ES_tradnl"/>
        </w:rPr>
      </w:pPr>
      <w:r w:rsidRPr="00330641">
        <w:rPr>
          <w:rFonts w:ascii="ITC Avant Garde" w:hAnsi="ITC Avant Garde"/>
          <w:b/>
          <w:lang w:val="es-ES_tradnl"/>
        </w:rPr>
        <w:t>Consideraciones del Instituto:</w:t>
      </w:r>
    </w:p>
    <w:p w:rsidR="00814C3B" w:rsidRPr="00330641" w:rsidRDefault="000A6116" w:rsidP="000F58E0">
      <w:pPr>
        <w:spacing w:line="276" w:lineRule="auto"/>
        <w:rPr>
          <w:rFonts w:ascii="ITC Avant Garde" w:hAnsi="ITC Avant Garde"/>
        </w:rPr>
      </w:pPr>
      <w:r>
        <w:rPr>
          <w:rFonts w:ascii="ITC Avant Garde" w:hAnsi="ITC Avant Garde"/>
        </w:rPr>
        <w:t>Se modificaron</w:t>
      </w:r>
      <w:r w:rsidR="00814C3B" w:rsidRPr="00330641">
        <w:rPr>
          <w:rFonts w:ascii="ITC Avant Garde" w:hAnsi="ITC Avant Garde"/>
        </w:rPr>
        <w:t xml:space="preserve"> los numerales 2.4.3.4 de la Oferta, así como el penúltimo párrafo del Anexo “C” y el numeral 7.2 de la cláusula séptima del convenio a efecto de establecer lo siguiente:</w:t>
      </w:r>
    </w:p>
    <w:p w:rsidR="00814C3B" w:rsidRPr="00330641" w:rsidRDefault="00814C3B" w:rsidP="000F58E0">
      <w:pPr>
        <w:spacing w:line="276" w:lineRule="auto"/>
        <w:rPr>
          <w:rFonts w:ascii="ITC Avant Garde" w:hAnsi="ITC Avant Garde"/>
        </w:rPr>
      </w:pPr>
    </w:p>
    <w:p w:rsidR="00814C3B" w:rsidRPr="00330641" w:rsidRDefault="00814C3B" w:rsidP="000F58E0">
      <w:pPr>
        <w:spacing w:line="276" w:lineRule="auto"/>
        <w:ind w:left="567" w:right="616"/>
        <w:rPr>
          <w:rFonts w:ascii="ITC Avant Garde" w:hAnsi="ITC Avant Garde" w:cs="Arial"/>
          <w:i/>
          <w:sz w:val="18"/>
          <w:szCs w:val="18"/>
        </w:rPr>
      </w:pPr>
      <w:r w:rsidRPr="00330641">
        <w:rPr>
          <w:rFonts w:ascii="ITC Avant Garde" w:hAnsi="ITC Avant Garde" w:cs="Arial"/>
          <w:i/>
          <w:sz w:val="18"/>
          <w:szCs w:val="18"/>
          <w:lang w:val="es-ES"/>
        </w:rPr>
        <w:t xml:space="preserve">“[…]Las partes tendrán un plazo de 2 (dos) días hábiles para realizar las pruebas de transmisión y concluir la entrega del servicio. </w:t>
      </w:r>
      <w:r w:rsidRPr="00330641">
        <w:rPr>
          <w:rFonts w:ascii="ITC Avant Garde" w:hAnsi="ITC Avant Garde" w:cs="Arial"/>
          <w:i/>
          <w:sz w:val="18"/>
          <w:szCs w:val="18"/>
          <w:u w:val="single"/>
        </w:rPr>
        <w:t>Si por algún motivo las pruebas realizadas no resultan satisfactorias, Telmex contará con un plazo de 2 (dos) días hábiles para analizar y reparar los errores presentados e iniciar nuevamente las pruebas</w:t>
      </w:r>
      <w:r w:rsidRPr="00330641">
        <w:rPr>
          <w:rFonts w:ascii="ITC Avant Garde" w:hAnsi="ITC Avant Garde" w:cs="Arial"/>
          <w:i/>
          <w:sz w:val="18"/>
          <w:szCs w:val="18"/>
        </w:rPr>
        <w:t>. […]”</w:t>
      </w:r>
    </w:p>
    <w:p w:rsidR="00814C3B" w:rsidRPr="00330641" w:rsidRDefault="00814C3B" w:rsidP="000F58E0">
      <w:pPr>
        <w:spacing w:after="0" w:line="276" w:lineRule="auto"/>
        <w:ind w:left="6372" w:right="0" w:firstLine="708"/>
        <w:rPr>
          <w:rFonts w:ascii="ITC Avant Garde" w:hAnsi="ITC Avant Garde"/>
          <w:b/>
          <w:lang w:val="es-ES_tradnl"/>
        </w:rPr>
      </w:pPr>
      <w:r w:rsidRPr="00330641">
        <w:rPr>
          <w:rFonts w:ascii="ITC Avant Garde" w:hAnsi="ITC Avant Garde" w:cs="Arial"/>
          <w:i/>
          <w:sz w:val="18"/>
          <w:szCs w:val="18"/>
        </w:rPr>
        <w:t>(énfasis añadido)</w:t>
      </w:r>
    </w:p>
    <w:p w:rsidR="00814C3B" w:rsidRPr="00330641" w:rsidRDefault="00814C3B" w:rsidP="000F58E0">
      <w:pPr>
        <w:spacing w:after="0" w:line="276" w:lineRule="auto"/>
        <w:ind w:left="0" w:right="0" w:firstLine="0"/>
        <w:rPr>
          <w:rFonts w:ascii="ITC Avant Garde" w:hAnsi="ITC Avant Garde"/>
          <w:color w:val="auto"/>
        </w:rPr>
      </w:pPr>
    </w:p>
    <w:p w:rsidR="00C56220" w:rsidRPr="00330641" w:rsidRDefault="00E27624" w:rsidP="000F58E0">
      <w:pPr>
        <w:spacing w:after="0" w:line="276" w:lineRule="auto"/>
        <w:ind w:left="0" w:right="0" w:firstLine="0"/>
        <w:rPr>
          <w:rFonts w:ascii="ITC Avant Garde" w:hAnsi="ITC Avant Garde"/>
          <w:color w:val="auto"/>
        </w:rPr>
      </w:pPr>
      <w:r w:rsidRPr="00330641">
        <w:rPr>
          <w:rFonts w:ascii="ITC Avant Garde" w:hAnsi="ITC Avant Garde"/>
          <w:b/>
          <w:color w:val="auto"/>
          <w:u w:val="single"/>
        </w:rPr>
        <w:t>Anexo C, B. Suministro de Servicio.</w:t>
      </w:r>
    </w:p>
    <w:p w:rsidR="00DE35A9" w:rsidRPr="00330641" w:rsidRDefault="00DE35A9" w:rsidP="00DE35A9">
      <w:pPr>
        <w:spacing w:after="0" w:line="276" w:lineRule="auto"/>
        <w:ind w:left="0" w:right="0" w:firstLine="0"/>
        <w:rPr>
          <w:rFonts w:ascii="ITC Avant Garde" w:eastAsia="Times New Roman" w:hAnsi="ITC Avant Garde" w:cs="Times New Roman"/>
          <w:b/>
          <w:color w:val="auto"/>
        </w:rPr>
      </w:pPr>
      <w:r w:rsidRPr="00330641">
        <w:rPr>
          <w:rFonts w:ascii="ITC Avant Garde" w:eastAsia="Times New Roman" w:hAnsi="ITC Avant Garde" w:cs="Times New Roman"/>
          <w:b/>
          <w:color w:val="auto"/>
        </w:rPr>
        <w:t xml:space="preserve">GRUPO AT&amp;T: </w:t>
      </w:r>
    </w:p>
    <w:p w:rsidR="00DE35A9" w:rsidRPr="00330641" w:rsidRDefault="00607573" w:rsidP="00DE35A9">
      <w:pPr>
        <w:spacing w:after="0" w:line="276" w:lineRule="auto"/>
        <w:ind w:left="0" w:right="0" w:firstLine="0"/>
        <w:rPr>
          <w:rFonts w:ascii="ITC Avant Garde" w:eastAsia="Times New Roman" w:hAnsi="ITC Avant Garde" w:cs="Times New Roman"/>
          <w:color w:val="auto"/>
        </w:rPr>
      </w:pPr>
      <w:r>
        <w:rPr>
          <w:rFonts w:ascii="ITC Avant Garde" w:eastAsia="Times New Roman" w:hAnsi="ITC Avant Garde" w:cs="Times New Roman"/>
          <w:color w:val="auto"/>
        </w:rPr>
        <w:t>Sugirió</w:t>
      </w:r>
      <w:r w:rsidR="00DE35A9" w:rsidRPr="00330641">
        <w:rPr>
          <w:rFonts w:ascii="ITC Avant Garde" w:eastAsia="Times New Roman" w:hAnsi="ITC Avant Garde" w:cs="Times New Roman"/>
          <w:color w:val="auto"/>
        </w:rPr>
        <w:t xml:space="preserve"> que los plazos de entrega se midan por trimestre calendario (enero a marzo; abril a junio; julio a septiembre y octubre a diciembre), y no podrán excederse en:</w:t>
      </w:r>
    </w:p>
    <w:p w:rsidR="00DE35A9" w:rsidRPr="00330641" w:rsidRDefault="00DE35A9" w:rsidP="00DE35A9">
      <w:pPr>
        <w:spacing w:after="0" w:line="276" w:lineRule="auto"/>
        <w:ind w:left="0" w:right="0" w:firstLine="0"/>
        <w:rPr>
          <w:rFonts w:ascii="ITC Avant Garde" w:eastAsia="Times New Roman" w:hAnsi="ITC Avant Garde" w:cs="Times New Roman"/>
          <w:color w:val="auto"/>
        </w:rPr>
      </w:pPr>
    </w:p>
    <w:p w:rsidR="00DE35A9" w:rsidRPr="00611576" w:rsidRDefault="00DE35A9" w:rsidP="00611576">
      <w:pPr>
        <w:pStyle w:val="Prrafodelista"/>
        <w:numPr>
          <w:ilvl w:val="0"/>
          <w:numId w:val="20"/>
        </w:numPr>
        <w:spacing w:after="0" w:line="276" w:lineRule="auto"/>
        <w:ind w:right="0"/>
        <w:rPr>
          <w:rFonts w:ascii="ITC Avant Garde" w:eastAsia="Times New Roman" w:hAnsi="ITC Avant Garde" w:cs="Times New Roman"/>
          <w:color w:val="auto"/>
        </w:rPr>
      </w:pPr>
      <w:r w:rsidRPr="00611576">
        <w:rPr>
          <w:rFonts w:ascii="ITC Avant Garde" w:eastAsia="Times New Roman" w:hAnsi="ITC Avant Garde" w:cs="Times New Roman"/>
          <w:color w:val="auto"/>
        </w:rPr>
        <w:lastRenderedPageBreak/>
        <w:t xml:space="preserve">El 85% (ochenta y cinco por ciento) de las solicitudes que se realicen dentro de pronóstico y el restante en el doble del plazo </w:t>
      </w:r>
      <w:r w:rsidR="000E31CA" w:rsidRPr="00611576">
        <w:rPr>
          <w:rFonts w:ascii="ITC Avant Garde" w:eastAsia="Times New Roman" w:hAnsi="ITC Avant Garde" w:cs="Times New Roman"/>
          <w:color w:val="auto"/>
        </w:rPr>
        <w:t>señala</w:t>
      </w:r>
      <w:r w:rsidRPr="00611576">
        <w:rPr>
          <w:rFonts w:ascii="ITC Avant Garde" w:eastAsia="Times New Roman" w:hAnsi="ITC Avant Garde" w:cs="Times New Roman"/>
          <w:color w:val="auto"/>
        </w:rPr>
        <w:t>do hasta llegar al 100% (cien por ciento).</w:t>
      </w:r>
    </w:p>
    <w:p w:rsidR="00DE35A9" w:rsidRPr="00330641" w:rsidRDefault="00DE35A9" w:rsidP="00DE35A9">
      <w:pPr>
        <w:spacing w:after="0" w:line="276" w:lineRule="auto"/>
        <w:ind w:left="567" w:right="0" w:hanging="567"/>
        <w:contextualSpacing/>
        <w:rPr>
          <w:rFonts w:ascii="ITC Avant Garde" w:eastAsia="Times New Roman" w:hAnsi="ITC Avant Garde" w:cs="Times New Roman"/>
          <w:color w:val="auto"/>
        </w:rPr>
      </w:pPr>
    </w:p>
    <w:p w:rsidR="00DE35A9" w:rsidRPr="00611576" w:rsidRDefault="00DE35A9" w:rsidP="00611576">
      <w:pPr>
        <w:pStyle w:val="Prrafodelista"/>
        <w:numPr>
          <w:ilvl w:val="0"/>
          <w:numId w:val="20"/>
        </w:numPr>
        <w:spacing w:after="0" w:line="276" w:lineRule="auto"/>
        <w:ind w:right="0"/>
        <w:rPr>
          <w:rFonts w:ascii="ITC Avant Garde" w:eastAsia="Times New Roman" w:hAnsi="ITC Avant Garde" w:cs="Times New Roman"/>
          <w:color w:val="auto"/>
        </w:rPr>
      </w:pPr>
      <w:r w:rsidRPr="00611576">
        <w:rPr>
          <w:rFonts w:ascii="ITC Avant Garde" w:eastAsia="Times New Roman" w:hAnsi="ITC Avant Garde" w:cs="Times New Roman"/>
          <w:color w:val="auto"/>
        </w:rPr>
        <w:t xml:space="preserve">El 20% (veinte por ciento) de las solicitudes que se realicen fuera de pronóstico y el doble del plazo </w:t>
      </w:r>
      <w:r w:rsidR="000E31CA" w:rsidRPr="00611576">
        <w:rPr>
          <w:rFonts w:ascii="ITC Avant Garde" w:eastAsia="Times New Roman" w:hAnsi="ITC Avant Garde" w:cs="Times New Roman"/>
          <w:color w:val="auto"/>
        </w:rPr>
        <w:t>s</w:t>
      </w:r>
      <w:r w:rsidR="0012211F" w:rsidRPr="00611576">
        <w:rPr>
          <w:rFonts w:ascii="ITC Avant Garde" w:eastAsia="Times New Roman" w:hAnsi="ITC Avant Garde" w:cs="Times New Roman"/>
          <w:color w:val="auto"/>
        </w:rPr>
        <w:t>e</w:t>
      </w:r>
      <w:r w:rsidR="000E31CA" w:rsidRPr="00611576">
        <w:rPr>
          <w:rFonts w:ascii="ITC Avant Garde" w:eastAsia="Times New Roman" w:hAnsi="ITC Avant Garde" w:cs="Times New Roman"/>
          <w:color w:val="auto"/>
        </w:rPr>
        <w:t>ñala</w:t>
      </w:r>
      <w:r w:rsidRPr="00611576">
        <w:rPr>
          <w:rFonts w:ascii="ITC Avant Garde" w:eastAsia="Times New Roman" w:hAnsi="ITC Avant Garde" w:cs="Times New Roman"/>
          <w:color w:val="auto"/>
        </w:rPr>
        <w:t>do para el remanente de solicitudes hasta llegar al 100% (cien por ciento).</w:t>
      </w:r>
    </w:p>
    <w:p w:rsidR="00DE35A9" w:rsidRPr="00330641" w:rsidRDefault="00DE35A9" w:rsidP="00DE35A9">
      <w:pPr>
        <w:spacing w:line="276" w:lineRule="auto"/>
        <w:ind w:left="720"/>
        <w:contextualSpacing/>
        <w:rPr>
          <w:rFonts w:ascii="ITC Avant Garde" w:eastAsia="Times New Roman" w:hAnsi="ITC Avant Garde" w:cs="Times New Roman"/>
          <w:color w:val="auto"/>
        </w:rPr>
      </w:pPr>
    </w:p>
    <w:p w:rsidR="00DE35A9" w:rsidRPr="00330641" w:rsidRDefault="000E31CA" w:rsidP="00DE35A9">
      <w:pPr>
        <w:spacing w:after="0" w:line="276" w:lineRule="auto"/>
        <w:ind w:right="0"/>
        <w:rPr>
          <w:rFonts w:ascii="ITC Avant Garde" w:eastAsia="Times New Roman" w:hAnsi="ITC Avant Garde" w:cs="Times New Roman"/>
          <w:i/>
          <w:color w:val="auto"/>
          <w:sz w:val="18"/>
          <w:szCs w:val="18"/>
        </w:rPr>
      </w:pPr>
      <w:r>
        <w:rPr>
          <w:rFonts w:ascii="ITC Avant Garde" w:eastAsia="Times New Roman" w:hAnsi="ITC Avant Garde" w:cs="Times New Roman"/>
          <w:color w:val="auto"/>
        </w:rPr>
        <w:t>Sugirió</w:t>
      </w:r>
      <w:r w:rsidR="00DE35A9" w:rsidRPr="00330641">
        <w:rPr>
          <w:rFonts w:ascii="ITC Avant Garde" w:eastAsia="Times New Roman" w:hAnsi="ITC Avant Garde" w:cs="Times New Roman"/>
          <w:color w:val="auto"/>
        </w:rPr>
        <w:t xml:space="preserve"> que se deben de mantener los plazos actuales y la velocidad de 100 </w:t>
      </w:r>
      <w:proofErr w:type="spellStart"/>
      <w:r w:rsidR="00DE35A9" w:rsidRPr="00330641">
        <w:rPr>
          <w:rFonts w:ascii="ITC Avant Garde" w:eastAsia="Times New Roman" w:hAnsi="ITC Avant Garde" w:cs="Times New Roman"/>
          <w:color w:val="auto"/>
        </w:rPr>
        <w:t>Gbps</w:t>
      </w:r>
      <w:proofErr w:type="spellEnd"/>
      <w:r w:rsidR="00DE35A9" w:rsidRPr="00330641">
        <w:rPr>
          <w:rFonts w:ascii="ITC Avant Garde" w:eastAsia="Times New Roman" w:hAnsi="ITC Avant Garde" w:cs="Times New Roman"/>
          <w:color w:val="auto"/>
        </w:rPr>
        <w:t xml:space="preserve">. Asimismo, y con respecto a los plazos de los pronósticos argumentan que resultan excesivos, esto tomando en cuenta la cantidad de motivos por los que la Red Nacional puede detener el reloj y que no tiene que cumplirlo en el 100% de los casos </w:t>
      </w:r>
    </w:p>
    <w:p w:rsidR="00DE35A9" w:rsidRPr="00330641" w:rsidRDefault="00DE35A9" w:rsidP="00DE35A9">
      <w:pPr>
        <w:spacing w:after="0" w:line="276" w:lineRule="auto"/>
        <w:ind w:left="0" w:right="0"/>
        <w:rPr>
          <w:rFonts w:ascii="ITC Avant Garde" w:hAnsi="ITC Avant Garde"/>
          <w:b/>
          <w:color w:val="auto"/>
        </w:rPr>
      </w:pPr>
    </w:p>
    <w:p w:rsidR="00DE35A9" w:rsidRPr="00330641" w:rsidRDefault="00DE35A9" w:rsidP="00DE35A9">
      <w:pPr>
        <w:spacing w:after="0" w:line="276" w:lineRule="auto"/>
        <w:ind w:left="0" w:right="0" w:firstLine="0"/>
        <w:rPr>
          <w:rFonts w:ascii="ITC Avant Garde" w:hAnsi="ITC Avant Garde" w:cs="Times New Roman"/>
          <w:b/>
          <w:color w:val="auto"/>
        </w:rPr>
      </w:pPr>
      <w:r w:rsidRPr="00330641">
        <w:rPr>
          <w:rFonts w:ascii="ITC Avant Garde" w:hAnsi="ITC Avant Garde" w:cs="Times New Roman"/>
          <w:b/>
          <w:color w:val="auto"/>
        </w:rPr>
        <w:t>Consideraciones del Instituto:</w:t>
      </w:r>
    </w:p>
    <w:p w:rsidR="00DE35A9" w:rsidRPr="00330641" w:rsidRDefault="00DE35A9" w:rsidP="00DE35A9">
      <w:pPr>
        <w:spacing w:after="0" w:line="276" w:lineRule="auto"/>
        <w:ind w:left="0" w:right="0" w:firstLine="0"/>
        <w:rPr>
          <w:rFonts w:ascii="ITC Avant Garde" w:hAnsi="ITC Avant Garde"/>
          <w:color w:val="auto"/>
        </w:rPr>
      </w:pPr>
      <w:r w:rsidRPr="00330641">
        <w:rPr>
          <w:rFonts w:ascii="ITC Avant Garde" w:hAnsi="ITC Avant Garde"/>
        </w:rPr>
        <w:t xml:space="preserve">Al respecto, ténganse por reproducidos como si a la letra se insertasen las consideraciones expuestas en el numeral </w:t>
      </w:r>
      <w:r w:rsidRPr="00330641">
        <w:rPr>
          <w:rFonts w:ascii="ITC Avant Garde" w:hAnsi="ITC Avant Garde"/>
          <w:iCs/>
        </w:rPr>
        <w:t>2.4.1.1.</w:t>
      </w:r>
    </w:p>
    <w:p w:rsidR="00DE35A9" w:rsidRPr="00330641" w:rsidRDefault="00DE35A9" w:rsidP="000F58E0">
      <w:pPr>
        <w:spacing w:after="0" w:line="276" w:lineRule="auto"/>
        <w:ind w:left="0" w:right="0"/>
        <w:rPr>
          <w:rFonts w:ascii="ITC Avant Garde" w:hAnsi="ITC Avant Garde"/>
          <w:b/>
          <w:color w:val="auto"/>
        </w:rPr>
      </w:pPr>
    </w:p>
    <w:p w:rsidR="00E27624" w:rsidRPr="00330641" w:rsidRDefault="00452908" w:rsidP="000F58E0">
      <w:pPr>
        <w:spacing w:after="0" w:line="276" w:lineRule="auto"/>
        <w:ind w:left="0" w:right="0"/>
        <w:rPr>
          <w:rFonts w:ascii="ITC Avant Garde" w:hAnsi="ITC Avant Garde"/>
          <w:b/>
          <w:color w:val="auto"/>
        </w:rPr>
      </w:pPr>
      <w:r w:rsidRPr="00330641">
        <w:rPr>
          <w:rFonts w:ascii="ITC Avant Garde" w:hAnsi="ITC Avant Garde"/>
          <w:b/>
          <w:color w:val="auto"/>
        </w:rPr>
        <w:t>GRUPO AT&amp;T:</w:t>
      </w:r>
    </w:p>
    <w:p w:rsidR="00E27624" w:rsidRPr="00330641" w:rsidRDefault="000E31CA" w:rsidP="000F58E0">
      <w:pPr>
        <w:pStyle w:val="IFTnormal"/>
        <w:spacing w:after="0"/>
        <w:ind w:left="0"/>
        <w:rPr>
          <w:rFonts w:eastAsia="Avant Garde" w:cs="Avant Garde"/>
          <w:lang w:val="es-MX"/>
        </w:rPr>
      </w:pPr>
      <w:r>
        <w:rPr>
          <w:rFonts w:eastAsia="Avant Garde" w:cs="Avant Garde"/>
          <w:lang w:val="es-MX"/>
        </w:rPr>
        <w:t>Sugirió</w:t>
      </w:r>
      <w:r w:rsidR="00E27624" w:rsidRPr="00330641">
        <w:rPr>
          <w:rFonts w:eastAsia="Avant Garde" w:cs="Avant Garde"/>
          <w:lang w:val="es-MX"/>
        </w:rPr>
        <w:t xml:space="preserve"> actualizar el tiempo requerido para coordinar las pruebas en sitios remotos en un plazo de 5 (cinco) días hábiles y no en plazo de 2 (dos) días hábiles como lo sugiere la oferta propuesta.</w:t>
      </w:r>
    </w:p>
    <w:p w:rsidR="00E27624" w:rsidRPr="00330641" w:rsidRDefault="00E27624" w:rsidP="000F58E0">
      <w:pPr>
        <w:pStyle w:val="IFTnormal"/>
        <w:spacing w:after="0"/>
        <w:ind w:left="0"/>
      </w:pPr>
    </w:p>
    <w:p w:rsidR="00E27624" w:rsidRPr="00330641" w:rsidRDefault="00E27624" w:rsidP="000F58E0">
      <w:pPr>
        <w:spacing w:after="0" w:line="276" w:lineRule="auto"/>
        <w:ind w:left="0" w:right="0" w:firstLine="0"/>
        <w:rPr>
          <w:rFonts w:ascii="ITC Avant Garde" w:hAnsi="ITC Avant Garde" w:cs="Times New Roman"/>
          <w:b/>
          <w:color w:val="auto"/>
        </w:rPr>
      </w:pPr>
      <w:r w:rsidRPr="00330641">
        <w:rPr>
          <w:rFonts w:ascii="ITC Avant Garde" w:hAnsi="ITC Avant Garde" w:cs="Times New Roman"/>
          <w:b/>
          <w:color w:val="auto"/>
        </w:rPr>
        <w:t>Consideraciones del Instituto:</w:t>
      </w:r>
    </w:p>
    <w:p w:rsidR="00E27624" w:rsidRPr="00330641" w:rsidRDefault="00E27624" w:rsidP="000F58E0">
      <w:pPr>
        <w:spacing w:after="0" w:line="276" w:lineRule="auto"/>
        <w:ind w:left="0" w:right="0" w:firstLine="0"/>
        <w:rPr>
          <w:rFonts w:ascii="ITC Avant Garde" w:hAnsi="ITC Avant Garde"/>
          <w:color w:val="auto"/>
        </w:rPr>
      </w:pPr>
      <w:r w:rsidRPr="00330641">
        <w:rPr>
          <w:rFonts w:ascii="ITC Avant Garde" w:hAnsi="ITC Avant Garde"/>
        </w:rPr>
        <w:t xml:space="preserve">Al respecto, ténganse por reproducidos como si a la letra se insertasen las consideraciones expuestas en el numeral </w:t>
      </w:r>
      <w:r w:rsidRPr="00330641">
        <w:rPr>
          <w:rFonts w:ascii="ITC Avant Garde" w:hAnsi="ITC Avant Garde"/>
          <w:iCs/>
        </w:rPr>
        <w:t>2.4.3.4.</w:t>
      </w:r>
    </w:p>
    <w:p w:rsidR="00E27624" w:rsidRPr="00330641" w:rsidRDefault="00E27624" w:rsidP="000F58E0">
      <w:pPr>
        <w:spacing w:after="0" w:line="276" w:lineRule="auto"/>
        <w:ind w:left="0" w:right="0" w:firstLine="0"/>
        <w:rPr>
          <w:rFonts w:ascii="ITC Avant Garde" w:hAnsi="ITC Avant Garde"/>
          <w:color w:val="auto"/>
        </w:rPr>
      </w:pPr>
    </w:p>
    <w:p w:rsidR="00E27624" w:rsidRPr="00330641" w:rsidRDefault="00452908" w:rsidP="000F58E0">
      <w:pPr>
        <w:spacing w:after="0" w:line="276" w:lineRule="auto"/>
        <w:ind w:left="0" w:right="0"/>
        <w:rPr>
          <w:rFonts w:ascii="ITC Avant Garde" w:hAnsi="ITC Avant Garde"/>
          <w:b/>
          <w:color w:val="auto"/>
        </w:rPr>
      </w:pPr>
      <w:r w:rsidRPr="00330641">
        <w:rPr>
          <w:rFonts w:ascii="ITC Avant Garde" w:hAnsi="ITC Avant Garde"/>
          <w:b/>
          <w:color w:val="auto"/>
        </w:rPr>
        <w:t>GRUPO AT&amp;T:</w:t>
      </w:r>
    </w:p>
    <w:p w:rsidR="00E27624" w:rsidRPr="00330641" w:rsidRDefault="00E27624" w:rsidP="000F58E0">
      <w:pPr>
        <w:spacing w:after="0" w:line="276" w:lineRule="auto"/>
        <w:ind w:left="0" w:right="0" w:firstLine="0"/>
        <w:rPr>
          <w:rFonts w:ascii="ITC Avant Garde" w:hAnsi="ITC Avant Garde"/>
          <w:color w:val="auto"/>
        </w:rPr>
      </w:pPr>
      <w:r w:rsidRPr="00330641">
        <w:rPr>
          <w:rFonts w:ascii="ITC Avant Garde" w:hAnsi="ITC Avant Garde"/>
          <w:color w:val="auto"/>
        </w:rPr>
        <w:t xml:space="preserve">Grupo AT&amp;T </w:t>
      </w:r>
      <w:r w:rsidR="000E31CA">
        <w:rPr>
          <w:rFonts w:ascii="ITC Avant Garde" w:hAnsi="ITC Avant Garde"/>
          <w:color w:val="auto"/>
        </w:rPr>
        <w:t>s</w:t>
      </w:r>
      <w:r w:rsidR="0012211F">
        <w:rPr>
          <w:rFonts w:ascii="ITC Avant Garde" w:hAnsi="ITC Avant Garde"/>
          <w:color w:val="auto"/>
        </w:rPr>
        <w:t>eñaló</w:t>
      </w:r>
      <w:r w:rsidRPr="00330641">
        <w:rPr>
          <w:rFonts w:ascii="ITC Avant Garde" w:hAnsi="ITC Avant Garde"/>
          <w:color w:val="auto"/>
        </w:rPr>
        <w:t xml:space="preserve"> que con respecto a los Enlaces que excedan un 20% o más de los pronosticados, mismos que serán instalados en un plazo definido por mutuo acuerdo bajo esquema fecha compromiso (</w:t>
      </w:r>
      <w:proofErr w:type="spellStart"/>
      <w:r w:rsidRPr="00330641">
        <w:rPr>
          <w:rFonts w:ascii="ITC Avant Garde" w:hAnsi="ITC Avant Garde"/>
          <w:color w:val="auto"/>
        </w:rPr>
        <w:t>Due</w:t>
      </w:r>
      <w:proofErr w:type="spellEnd"/>
      <w:r w:rsidRPr="00330641">
        <w:rPr>
          <w:rFonts w:ascii="ITC Avant Garde" w:hAnsi="ITC Avant Garde"/>
          <w:color w:val="auto"/>
        </w:rPr>
        <w:t xml:space="preserve"> Date), resulta extremadamente difícil entregar el pronóstico preciso de las necesidades de enlaces con una año de anticipación y aceptando la dificultad que esto genera a Telme</w:t>
      </w:r>
      <w:r w:rsidR="00602350">
        <w:rPr>
          <w:rFonts w:ascii="ITC Avant Garde" w:hAnsi="ITC Avant Garde"/>
          <w:color w:val="auto"/>
        </w:rPr>
        <w:t>x, solicitó</w:t>
      </w:r>
      <w:r w:rsidRPr="00330641">
        <w:rPr>
          <w:rFonts w:ascii="ITC Avant Garde" w:hAnsi="ITC Avant Garde"/>
          <w:color w:val="auto"/>
        </w:rPr>
        <w:t xml:space="preserve"> establecer que tratándose de Enlaces Ethernet no podrá exceder de 60 días hábiles para enlaces locales y de 90 días hábiles para enlaces entre localidades.</w:t>
      </w:r>
    </w:p>
    <w:p w:rsidR="00E27624" w:rsidRPr="00330641" w:rsidRDefault="00E27624" w:rsidP="000F58E0">
      <w:pPr>
        <w:spacing w:after="0" w:line="276" w:lineRule="auto"/>
        <w:ind w:left="0" w:right="0" w:firstLine="0"/>
        <w:rPr>
          <w:rFonts w:ascii="ITC Avant Garde" w:hAnsi="ITC Avant Garde"/>
          <w:color w:val="auto"/>
        </w:rPr>
      </w:pPr>
    </w:p>
    <w:p w:rsidR="00E27624" w:rsidRPr="00330641" w:rsidRDefault="00E27624" w:rsidP="000F58E0">
      <w:pPr>
        <w:spacing w:after="0" w:line="276" w:lineRule="auto"/>
        <w:ind w:left="0" w:right="0" w:firstLine="0"/>
        <w:rPr>
          <w:rFonts w:ascii="ITC Avant Garde" w:hAnsi="ITC Avant Garde" w:cs="Times New Roman"/>
          <w:b/>
          <w:color w:val="auto"/>
        </w:rPr>
      </w:pPr>
      <w:r w:rsidRPr="00330641">
        <w:rPr>
          <w:rFonts w:ascii="ITC Avant Garde" w:hAnsi="ITC Avant Garde" w:cs="Times New Roman"/>
          <w:b/>
          <w:color w:val="auto"/>
        </w:rPr>
        <w:t>Consideraciones del Instituto:</w:t>
      </w:r>
    </w:p>
    <w:p w:rsidR="00E27624" w:rsidRPr="00330641" w:rsidRDefault="00E27624" w:rsidP="000F58E0">
      <w:pPr>
        <w:spacing w:after="0" w:line="276" w:lineRule="auto"/>
        <w:ind w:left="0" w:right="0"/>
        <w:rPr>
          <w:rFonts w:ascii="ITC Avant Garde" w:hAnsi="ITC Avant Garde"/>
        </w:rPr>
      </w:pPr>
      <w:r w:rsidRPr="00330641">
        <w:rPr>
          <w:rFonts w:ascii="ITC Avant Garde" w:hAnsi="ITC Avant Garde"/>
        </w:rPr>
        <w:t xml:space="preserve">Al respecto, ténganse por reproducidos como si a la letra se insertasen las consideraciones expuestas en el numeral </w:t>
      </w:r>
      <w:r w:rsidRPr="00330641">
        <w:rPr>
          <w:rFonts w:ascii="ITC Avant Garde" w:hAnsi="ITC Avant Garde"/>
          <w:iCs/>
        </w:rPr>
        <w:t>2.4.3.5</w:t>
      </w:r>
      <w:r w:rsidRPr="00330641">
        <w:rPr>
          <w:rFonts w:ascii="ITC Avant Garde" w:hAnsi="ITC Avant Garde"/>
        </w:rPr>
        <w:t>.</w:t>
      </w:r>
    </w:p>
    <w:p w:rsidR="00E27624" w:rsidRPr="00330641" w:rsidRDefault="00E27624" w:rsidP="000F58E0">
      <w:pPr>
        <w:spacing w:after="0" w:line="276" w:lineRule="auto"/>
        <w:ind w:left="0" w:right="0"/>
        <w:rPr>
          <w:rFonts w:ascii="ITC Avant Garde" w:hAnsi="ITC Avant Garde"/>
        </w:rPr>
      </w:pPr>
    </w:p>
    <w:p w:rsidR="00E27624" w:rsidRPr="00330641" w:rsidRDefault="00452908" w:rsidP="000F58E0">
      <w:pPr>
        <w:spacing w:after="0" w:line="276" w:lineRule="auto"/>
        <w:ind w:left="0" w:right="0"/>
        <w:rPr>
          <w:rFonts w:ascii="ITC Avant Garde" w:hAnsi="ITC Avant Garde"/>
          <w:b/>
          <w:color w:val="auto"/>
        </w:rPr>
      </w:pPr>
      <w:r w:rsidRPr="00330641">
        <w:rPr>
          <w:rFonts w:ascii="ITC Avant Garde" w:hAnsi="ITC Avant Garde"/>
          <w:b/>
          <w:color w:val="auto"/>
        </w:rPr>
        <w:t>GRUPO AT&amp;T:</w:t>
      </w:r>
    </w:p>
    <w:p w:rsidR="00E27624" w:rsidRPr="00330641" w:rsidRDefault="00E27624" w:rsidP="000F58E0">
      <w:pPr>
        <w:spacing w:after="0" w:line="276" w:lineRule="auto"/>
        <w:ind w:left="0" w:right="0" w:firstLine="0"/>
        <w:rPr>
          <w:rFonts w:ascii="ITC Avant Garde" w:hAnsi="ITC Avant Garde"/>
          <w:color w:val="auto"/>
        </w:rPr>
      </w:pPr>
      <w:r w:rsidRPr="00330641">
        <w:rPr>
          <w:rFonts w:ascii="ITC Avant Garde" w:hAnsi="ITC Avant Garde"/>
          <w:color w:val="auto"/>
        </w:rPr>
        <w:lastRenderedPageBreak/>
        <w:t xml:space="preserve">Asimismo, </w:t>
      </w:r>
      <w:r w:rsidR="000E31CA">
        <w:rPr>
          <w:rFonts w:ascii="ITC Avant Garde" w:hAnsi="ITC Avant Garde"/>
          <w:color w:val="auto"/>
        </w:rPr>
        <w:t>s</w:t>
      </w:r>
      <w:r w:rsidR="0012211F">
        <w:rPr>
          <w:rFonts w:ascii="ITC Avant Garde" w:hAnsi="ITC Avant Garde"/>
          <w:color w:val="auto"/>
        </w:rPr>
        <w:t>eñaló</w:t>
      </w:r>
      <w:r w:rsidRPr="00330641">
        <w:rPr>
          <w:rFonts w:ascii="ITC Avant Garde" w:hAnsi="ITC Avant Garde"/>
          <w:color w:val="auto"/>
        </w:rPr>
        <w:t xml:space="preserve"> que resulta necesario establecer que cuando se presenten causas de fuerza mayor que interrumpan la prestación de los servicios, Telmex descontará de la renta la parte proporcional de los mismos que no fueron prestados. </w:t>
      </w:r>
      <w:r w:rsidR="0012211F">
        <w:rPr>
          <w:rFonts w:ascii="ITC Avant Garde" w:hAnsi="ITC Avant Garde"/>
          <w:color w:val="auto"/>
        </w:rPr>
        <w:t>Manifestó</w:t>
      </w:r>
      <w:r w:rsidRPr="00330641">
        <w:rPr>
          <w:rFonts w:ascii="ITC Avant Garde" w:hAnsi="ITC Avant Garde"/>
          <w:color w:val="auto"/>
        </w:rPr>
        <w:t xml:space="preserve"> que lo anterior es una práctica normal de la industria en la prestación de los servicios tanto a usuarios finales como entre operadores, no se considera una penalidad, simplemente no puede cobrarse por servicios que no se prestan. </w:t>
      </w:r>
      <w:r w:rsidR="0012211F">
        <w:rPr>
          <w:rFonts w:ascii="ITC Avant Garde" w:hAnsi="ITC Avant Garde"/>
          <w:color w:val="auto"/>
        </w:rPr>
        <w:t>Señaló</w:t>
      </w:r>
      <w:r w:rsidRPr="00330641">
        <w:rPr>
          <w:rFonts w:ascii="ITC Avant Garde" w:hAnsi="ITC Avant Garde"/>
          <w:color w:val="auto"/>
        </w:rPr>
        <w:t xml:space="preserve"> que esto mismo debe aplicar por causas imputables a terceros. </w:t>
      </w:r>
    </w:p>
    <w:p w:rsidR="00E93DAF" w:rsidRPr="00330641" w:rsidRDefault="00E93DAF" w:rsidP="000F58E0">
      <w:pPr>
        <w:spacing w:after="0" w:line="276" w:lineRule="auto"/>
        <w:ind w:left="0" w:right="0" w:firstLine="0"/>
        <w:rPr>
          <w:rFonts w:ascii="ITC Avant Garde" w:hAnsi="ITC Avant Garde" w:cs="Times New Roman"/>
          <w:b/>
          <w:color w:val="auto"/>
        </w:rPr>
      </w:pPr>
    </w:p>
    <w:p w:rsidR="00E27624" w:rsidRPr="00330641" w:rsidRDefault="00E27624" w:rsidP="000F58E0">
      <w:pPr>
        <w:spacing w:after="0" w:line="276" w:lineRule="auto"/>
        <w:ind w:left="0" w:right="0" w:firstLine="0"/>
        <w:rPr>
          <w:rFonts w:ascii="ITC Avant Garde" w:hAnsi="ITC Avant Garde" w:cs="Times New Roman"/>
          <w:b/>
          <w:color w:val="auto"/>
        </w:rPr>
      </w:pPr>
      <w:r w:rsidRPr="00330641">
        <w:rPr>
          <w:rFonts w:ascii="ITC Avant Garde" w:hAnsi="ITC Avant Garde" w:cs="Times New Roman"/>
          <w:b/>
          <w:color w:val="auto"/>
        </w:rPr>
        <w:t>Consideraciones del Instituto:</w:t>
      </w:r>
    </w:p>
    <w:p w:rsidR="00E27624" w:rsidRPr="00330641" w:rsidRDefault="00E27624" w:rsidP="000F58E0">
      <w:pPr>
        <w:spacing w:after="0" w:line="276" w:lineRule="auto"/>
        <w:ind w:left="0" w:right="0"/>
        <w:rPr>
          <w:rFonts w:ascii="ITC Avant Garde" w:hAnsi="ITC Avant Garde"/>
          <w:iCs/>
        </w:rPr>
      </w:pPr>
      <w:r w:rsidRPr="00330641">
        <w:rPr>
          <w:rFonts w:ascii="ITC Avant Garde" w:hAnsi="ITC Avant Garde"/>
        </w:rPr>
        <w:t xml:space="preserve">Al respecto, ténganse por reproducidos como si a la letra se insertasen las consideraciones expuestas en el numeral </w:t>
      </w:r>
      <w:r w:rsidRPr="00330641">
        <w:rPr>
          <w:rFonts w:ascii="ITC Avant Garde" w:hAnsi="ITC Avant Garde"/>
          <w:iCs/>
        </w:rPr>
        <w:t>2.6.4.</w:t>
      </w:r>
    </w:p>
    <w:p w:rsidR="00E93DAF" w:rsidRPr="00330641" w:rsidRDefault="00E93DAF" w:rsidP="000F58E0">
      <w:pPr>
        <w:spacing w:after="0" w:line="276" w:lineRule="auto"/>
        <w:ind w:left="0" w:right="0"/>
        <w:rPr>
          <w:rFonts w:ascii="ITC Avant Garde" w:hAnsi="ITC Avant Garde"/>
          <w:iCs/>
        </w:rPr>
      </w:pPr>
    </w:p>
    <w:p w:rsidR="00E27624" w:rsidRPr="00330641" w:rsidRDefault="00452908" w:rsidP="000F58E0">
      <w:pPr>
        <w:spacing w:after="0" w:line="276" w:lineRule="auto"/>
        <w:ind w:left="0" w:right="0"/>
        <w:rPr>
          <w:rFonts w:ascii="ITC Avant Garde" w:hAnsi="ITC Avant Garde"/>
          <w:b/>
          <w:color w:val="auto"/>
        </w:rPr>
      </w:pPr>
      <w:r w:rsidRPr="00330641">
        <w:rPr>
          <w:rFonts w:ascii="ITC Avant Garde" w:hAnsi="ITC Avant Garde"/>
          <w:b/>
          <w:color w:val="auto"/>
        </w:rPr>
        <w:t>GRUPO AT&amp;T:</w:t>
      </w:r>
    </w:p>
    <w:p w:rsidR="00611576" w:rsidRDefault="00E27624" w:rsidP="00611576">
      <w:pPr>
        <w:spacing w:after="0" w:line="276" w:lineRule="auto"/>
        <w:ind w:left="0" w:right="0" w:firstLine="0"/>
        <w:rPr>
          <w:rFonts w:ascii="ITC Avant Garde" w:hAnsi="ITC Avant Garde"/>
          <w:color w:val="auto"/>
        </w:rPr>
      </w:pPr>
      <w:r w:rsidRPr="00330641">
        <w:rPr>
          <w:rFonts w:ascii="ITC Avant Garde" w:hAnsi="ITC Avant Garde"/>
          <w:color w:val="auto"/>
        </w:rPr>
        <w:t xml:space="preserve">Grupo AT&amp;T </w:t>
      </w:r>
      <w:r w:rsidR="003030FC">
        <w:rPr>
          <w:rFonts w:ascii="ITC Avant Garde" w:hAnsi="ITC Avant Garde"/>
          <w:color w:val="auto"/>
        </w:rPr>
        <w:t>sugirió</w:t>
      </w:r>
      <w:r w:rsidRPr="00330641">
        <w:rPr>
          <w:rFonts w:ascii="ITC Avant Garde" w:hAnsi="ITC Avant Garde"/>
          <w:color w:val="auto"/>
        </w:rPr>
        <w:t xml:space="preserve"> que la disponibilidad del Enlace Dedicado de 99.83% y 99.98% mensual equivale a 73 minutos fuera del servicio por mes para enlaces sin redundancia y 10 minutos para enlace con redundancia, permitidos sin penalidad. Esto considera es una calidad inferior a los estándares de la industria en México y es, por lo </w:t>
      </w:r>
      <w:r w:rsidR="00611576">
        <w:rPr>
          <w:rFonts w:ascii="ITC Avant Garde" w:hAnsi="ITC Avant Garde"/>
          <w:color w:val="auto"/>
        </w:rPr>
        <w:t>tanto, perfectamente razonable.</w:t>
      </w:r>
    </w:p>
    <w:p w:rsidR="00611576" w:rsidRDefault="00611576" w:rsidP="00611576">
      <w:pPr>
        <w:spacing w:after="0" w:line="276" w:lineRule="auto"/>
        <w:ind w:left="0" w:right="0" w:firstLine="0"/>
        <w:rPr>
          <w:rFonts w:ascii="ITC Avant Garde" w:hAnsi="ITC Avant Garde"/>
          <w:color w:val="auto"/>
        </w:rPr>
      </w:pPr>
    </w:p>
    <w:p w:rsidR="00611576" w:rsidRDefault="003030FC" w:rsidP="00611576">
      <w:pPr>
        <w:spacing w:after="0" w:line="276" w:lineRule="auto"/>
        <w:ind w:left="0" w:right="0" w:firstLine="0"/>
        <w:rPr>
          <w:rFonts w:ascii="ITC Avant Garde" w:hAnsi="ITC Avant Garde"/>
          <w:color w:val="auto"/>
        </w:rPr>
      </w:pPr>
      <w:r>
        <w:rPr>
          <w:rFonts w:ascii="ITC Avant Garde" w:hAnsi="ITC Avant Garde"/>
          <w:color w:val="auto"/>
        </w:rPr>
        <w:t>Argumentó</w:t>
      </w:r>
      <w:r w:rsidR="00E27624" w:rsidRPr="00330641">
        <w:rPr>
          <w:rFonts w:ascii="ITC Avant Garde" w:hAnsi="ITC Avant Garde"/>
          <w:color w:val="auto"/>
        </w:rPr>
        <w:t xml:space="preserve"> que al hacerlo anual como lo propone Telmex se vuelve inoperante para los concesionarios, además, es un retroceso con respecto a la Oferta vigente</w:t>
      </w:r>
      <w:r w:rsidR="00611576">
        <w:rPr>
          <w:rFonts w:ascii="ITC Avant Garde" w:hAnsi="ITC Avant Garde"/>
          <w:color w:val="auto"/>
        </w:rPr>
        <w:t>.</w:t>
      </w:r>
    </w:p>
    <w:p w:rsidR="00611576" w:rsidRDefault="00611576" w:rsidP="00611576">
      <w:pPr>
        <w:spacing w:after="0" w:line="276" w:lineRule="auto"/>
        <w:ind w:left="0" w:right="0" w:firstLine="0"/>
        <w:rPr>
          <w:rFonts w:ascii="ITC Avant Garde" w:hAnsi="ITC Avant Garde"/>
          <w:color w:val="auto"/>
        </w:rPr>
      </w:pPr>
    </w:p>
    <w:p w:rsidR="00E27624" w:rsidRPr="00611576" w:rsidRDefault="00E27624" w:rsidP="00611576">
      <w:pPr>
        <w:spacing w:after="0" w:line="276" w:lineRule="auto"/>
        <w:ind w:left="0" w:right="0" w:firstLine="0"/>
        <w:rPr>
          <w:rFonts w:ascii="ITC Avant Garde" w:hAnsi="ITC Avant Garde"/>
          <w:color w:val="auto"/>
        </w:rPr>
      </w:pPr>
      <w:r w:rsidRPr="00562B79">
        <w:rPr>
          <w:rFonts w:ascii="ITC Avant Garde" w:hAnsi="ITC Avant Garde"/>
          <w:color w:val="auto"/>
        </w:rPr>
        <w:t xml:space="preserve">Por otro lado, </w:t>
      </w:r>
      <w:r w:rsidR="003030FC" w:rsidRPr="00562B79">
        <w:rPr>
          <w:rFonts w:ascii="ITC Avant Garde" w:hAnsi="ITC Avant Garde"/>
          <w:color w:val="auto"/>
        </w:rPr>
        <w:t>consideró</w:t>
      </w:r>
      <w:r w:rsidRPr="00562B79">
        <w:rPr>
          <w:rFonts w:ascii="ITC Avant Garde" w:hAnsi="ITC Avant Garde"/>
          <w:color w:val="auto"/>
        </w:rPr>
        <w:t xml:space="preserve"> la situación de fallas repeti</w:t>
      </w:r>
      <w:r w:rsidR="00446C08" w:rsidRPr="00562B79">
        <w:rPr>
          <w:rFonts w:ascii="ITC Avant Garde" w:hAnsi="ITC Avant Garde"/>
          <w:color w:val="auto"/>
        </w:rPr>
        <w:t>ti</w:t>
      </w:r>
      <w:r w:rsidRPr="00562B79">
        <w:rPr>
          <w:rFonts w:ascii="ITC Avant Garde" w:hAnsi="ITC Avant Garde"/>
          <w:color w:val="auto"/>
        </w:rPr>
        <w:t>vas que no hayan sido reparadas de forma adecuada (intermitencias, programaciones inadecuadas de las redundancias).</w:t>
      </w:r>
    </w:p>
    <w:p w:rsidR="003030FC" w:rsidRDefault="003030FC" w:rsidP="000F58E0">
      <w:pPr>
        <w:spacing w:after="0" w:line="276" w:lineRule="auto"/>
        <w:ind w:left="0" w:right="0" w:firstLine="0"/>
        <w:rPr>
          <w:rFonts w:ascii="ITC Avant Garde" w:hAnsi="ITC Avant Garde" w:cs="Times New Roman"/>
          <w:b/>
          <w:color w:val="auto"/>
        </w:rPr>
      </w:pPr>
    </w:p>
    <w:p w:rsidR="00E27624" w:rsidRPr="00330641" w:rsidRDefault="00E27624" w:rsidP="000F58E0">
      <w:pPr>
        <w:spacing w:after="0" w:line="276" w:lineRule="auto"/>
        <w:ind w:left="0" w:right="0" w:firstLine="0"/>
        <w:rPr>
          <w:rFonts w:ascii="ITC Avant Garde" w:hAnsi="ITC Avant Garde" w:cs="Times New Roman"/>
          <w:b/>
          <w:color w:val="auto"/>
        </w:rPr>
      </w:pPr>
      <w:r w:rsidRPr="00330641">
        <w:rPr>
          <w:rFonts w:ascii="ITC Avant Garde" w:hAnsi="ITC Avant Garde" w:cs="Times New Roman"/>
          <w:b/>
          <w:color w:val="auto"/>
        </w:rPr>
        <w:t>Consideraciones del Instituto:</w:t>
      </w:r>
    </w:p>
    <w:p w:rsidR="00E27624" w:rsidRPr="00330641" w:rsidRDefault="00E27624" w:rsidP="000F58E0">
      <w:pPr>
        <w:spacing w:after="0" w:line="276" w:lineRule="auto"/>
        <w:ind w:left="0" w:right="0"/>
        <w:rPr>
          <w:rFonts w:ascii="ITC Avant Garde" w:hAnsi="ITC Avant Garde"/>
        </w:rPr>
      </w:pPr>
      <w:r w:rsidRPr="00330641">
        <w:rPr>
          <w:rFonts w:ascii="ITC Avant Garde" w:hAnsi="ITC Avant Garde"/>
        </w:rPr>
        <w:t xml:space="preserve">Al respecto, ténganse por reproducidos como si a la letra se insertasen las consideraciones expuestas en el numeral </w:t>
      </w:r>
      <w:r w:rsidRPr="00330641">
        <w:rPr>
          <w:rFonts w:ascii="ITC Avant Garde" w:hAnsi="ITC Avant Garde"/>
          <w:iCs/>
        </w:rPr>
        <w:t>2.6.5.</w:t>
      </w:r>
    </w:p>
    <w:p w:rsidR="00E27624" w:rsidRPr="00330641" w:rsidRDefault="00E27624" w:rsidP="000F58E0">
      <w:pPr>
        <w:spacing w:after="0" w:line="276" w:lineRule="auto"/>
        <w:ind w:left="0" w:right="0"/>
        <w:rPr>
          <w:rFonts w:ascii="ITC Avant Garde" w:hAnsi="ITC Avant Garde"/>
          <w:b/>
          <w:iCs/>
        </w:rPr>
      </w:pPr>
    </w:p>
    <w:p w:rsidR="00E27624" w:rsidRPr="00330641" w:rsidRDefault="00452908" w:rsidP="000F58E0">
      <w:pPr>
        <w:spacing w:after="0" w:line="276" w:lineRule="auto"/>
        <w:ind w:left="0" w:right="0"/>
        <w:rPr>
          <w:rFonts w:ascii="ITC Avant Garde" w:hAnsi="ITC Avant Garde"/>
          <w:b/>
          <w:color w:val="auto"/>
        </w:rPr>
      </w:pPr>
      <w:r w:rsidRPr="00330641">
        <w:rPr>
          <w:rFonts w:ascii="ITC Avant Garde" w:hAnsi="ITC Avant Garde"/>
          <w:b/>
          <w:color w:val="auto"/>
        </w:rPr>
        <w:t>GRUPO AT&amp;T:</w:t>
      </w:r>
    </w:p>
    <w:p w:rsidR="00B40E57" w:rsidRPr="00330641" w:rsidRDefault="0012211F" w:rsidP="000F58E0">
      <w:pPr>
        <w:spacing w:after="0" w:line="276" w:lineRule="auto"/>
        <w:ind w:left="0" w:right="0" w:firstLine="0"/>
        <w:rPr>
          <w:rFonts w:ascii="ITC Avant Garde" w:hAnsi="ITC Avant Garde"/>
          <w:color w:val="auto"/>
        </w:rPr>
      </w:pPr>
      <w:r>
        <w:rPr>
          <w:rFonts w:ascii="ITC Avant Garde" w:hAnsi="ITC Avant Garde"/>
          <w:color w:val="auto"/>
        </w:rPr>
        <w:t>Manifestó</w:t>
      </w:r>
      <w:r w:rsidR="00B40E57" w:rsidRPr="00330641">
        <w:rPr>
          <w:rFonts w:ascii="ITC Avant Garde" w:hAnsi="ITC Avant Garde"/>
          <w:color w:val="auto"/>
        </w:rPr>
        <w:t xml:space="preserve"> que la ORE actual tiene sentido y es razonable, con respecto a las penalizaciones que tenía establecidas, ya que la redacción propuesta por Telmex deja sin sustancia este punto y lo hace inoperante puesto que está ofreciendo no cobrar por el tiempo en que no haya entregado el servicio.</w:t>
      </w:r>
    </w:p>
    <w:p w:rsidR="00E27624" w:rsidRPr="00330641" w:rsidRDefault="00E27624" w:rsidP="000F58E0">
      <w:pPr>
        <w:spacing w:after="0" w:line="276" w:lineRule="auto"/>
        <w:ind w:left="-5" w:right="49" w:firstLine="0"/>
        <w:rPr>
          <w:rFonts w:ascii="ITC Avant Garde" w:hAnsi="ITC Avant Garde"/>
          <w:color w:val="auto"/>
        </w:rPr>
      </w:pPr>
    </w:p>
    <w:p w:rsidR="00E27624" w:rsidRPr="00330641" w:rsidRDefault="00E27624" w:rsidP="000F58E0">
      <w:pPr>
        <w:spacing w:after="0" w:line="276" w:lineRule="auto"/>
        <w:ind w:left="0" w:right="0" w:firstLine="0"/>
        <w:rPr>
          <w:rFonts w:ascii="ITC Avant Garde" w:hAnsi="ITC Avant Garde" w:cs="Times New Roman"/>
          <w:b/>
          <w:color w:val="auto"/>
        </w:rPr>
      </w:pPr>
      <w:r w:rsidRPr="00330641">
        <w:rPr>
          <w:rFonts w:ascii="ITC Avant Garde" w:hAnsi="ITC Avant Garde" w:cs="Times New Roman"/>
          <w:b/>
          <w:color w:val="auto"/>
        </w:rPr>
        <w:t>Consideraciones del Instituto:</w:t>
      </w:r>
    </w:p>
    <w:p w:rsidR="00E27624" w:rsidRPr="00330641" w:rsidRDefault="00E27624" w:rsidP="000F58E0">
      <w:pPr>
        <w:spacing w:after="0" w:line="276" w:lineRule="auto"/>
        <w:ind w:left="0" w:right="0"/>
        <w:rPr>
          <w:rFonts w:ascii="ITC Avant Garde" w:hAnsi="ITC Avant Garde"/>
        </w:rPr>
      </w:pPr>
      <w:r w:rsidRPr="00330641">
        <w:rPr>
          <w:rFonts w:ascii="ITC Avant Garde" w:hAnsi="ITC Avant Garde"/>
        </w:rPr>
        <w:t xml:space="preserve">Al respecto, ténganse por reproducidos como si a la letra se insertasen las consideraciones expuestas en el numeral </w:t>
      </w:r>
      <w:r w:rsidRPr="00330641">
        <w:rPr>
          <w:rFonts w:ascii="ITC Avant Garde" w:hAnsi="ITC Avant Garde"/>
          <w:iCs/>
        </w:rPr>
        <w:t>2.7.1.</w:t>
      </w:r>
    </w:p>
    <w:p w:rsidR="00E27624" w:rsidRPr="00330641" w:rsidRDefault="00E27624" w:rsidP="000F58E0">
      <w:pPr>
        <w:spacing w:after="0" w:line="276" w:lineRule="auto"/>
        <w:ind w:left="-5" w:right="49" w:firstLine="0"/>
        <w:rPr>
          <w:rFonts w:ascii="ITC Avant Garde" w:hAnsi="ITC Avant Garde"/>
          <w:color w:val="auto"/>
        </w:rPr>
      </w:pPr>
    </w:p>
    <w:p w:rsidR="00E27624" w:rsidRPr="00330641" w:rsidRDefault="00452908" w:rsidP="000F58E0">
      <w:pPr>
        <w:spacing w:after="0" w:line="276" w:lineRule="auto"/>
        <w:ind w:left="0" w:right="0"/>
        <w:rPr>
          <w:rFonts w:ascii="ITC Avant Garde" w:hAnsi="ITC Avant Garde"/>
          <w:b/>
          <w:color w:val="auto"/>
        </w:rPr>
      </w:pPr>
      <w:r w:rsidRPr="00330641">
        <w:rPr>
          <w:rFonts w:ascii="ITC Avant Garde" w:hAnsi="ITC Avant Garde"/>
          <w:b/>
          <w:color w:val="auto"/>
        </w:rPr>
        <w:t>GRUPO AT&amp;T:</w:t>
      </w:r>
    </w:p>
    <w:p w:rsidR="00E27624" w:rsidRPr="00330641" w:rsidRDefault="00607573" w:rsidP="000F58E0">
      <w:pPr>
        <w:spacing w:after="0" w:line="276" w:lineRule="auto"/>
        <w:ind w:left="-5" w:right="49" w:firstLine="0"/>
        <w:rPr>
          <w:rFonts w:ascii="ITC Avant Garde" w:hAnsi="ITC Avant Garde"/>
          <w:color w:val="auto"/>
        </w:rPr>
      </w:pPr>
      <w:r>
        <w:rPr>
          <w:rFonts w:ascii="ITC Avant Garde" w:hAnsi="ITC Avant Garde"/>
          <w:color w:val="auto"/>
        </w:rPr>
        <w:lastRenderedPageBreak/>
        <w:t xml:space="preserve">Finalmente sugirió </w:t>
      </w:r>
      <w:r w:rsidR="00E27624" w:rsidRPr="00330641">
        <w:rPr>
          <w:rFonts w:ascii="ITC Avant Garde" w:hAnsi="ITC Avant Garde"/>
          <w:color w:val="auto"/>
        </w:rPr>
        <w:t>que con la propuesta de Telmex un enlace puede haber fallado por tres meses seguidos y se deben seguir pagando las rentas completas con un descuento de 1.2%. Por lo que arg</w:t>
      </w:r>
      <w:r>
        <w:rPr>
          <w:rFonts w:ascii="ITC Avant Garde" w:hAnsi="ITC Avant Garde"/>
          <w:color w:val="auto"/>
        </w:rPr>
        <w:t>umentó</w:t>
      </w:r>
      <w:r w:rsidR="00E27624" w:rsidRPr="00330641">
        <w:rPr>
          <w:rFonts w:ascii="ITC Avant Garde" w:hAnsi="ITC Avant Garde"/>
          <w:color w:val="auto"/>
        </w:rPr>
        <w:t xml:space="preserve"> </w:t>
      </w:r>
      <w:r w:rsidR="00446C08" w:rsidRPr="00330641">
        <w:rPr>
          <w:rFonts w:ascii="ITC Avant Garde" w:hAnsi="ITC Avant Garde"/>
          <w:color w:val="auto"/>
        </w:rPr>
        <w:t xml:space="preserve">con </w:t>
      </w:r>
      <w:r w:rsidR="00E27624" w:rsidRPr="00330641">
        <w:rPr>
          <w:rFonts w:ascii="ITC Avant Garde" w:hAnsi="ITC Avant Garde"/>
          <w:color w:val="auto"/>
        </w:rPr>
        <w:t xml:space="preserve">la siguiente tabla </w:t>
      </w:r>
      <w:r w:rsidR="00446C08" w:rsidRPr="00330641">
        <w:rPr>
          <w:rFonts w:ascii="ITC Avant Garde" w:hAnsi="ITC Avant Garde"/>
          <w:color w:val="auto"/>
        </w:rPr>
        <w:t xml:space="preserve">que </w:t>
      </w:r>
      <w:r w:rsidR="00E27624" w:rsidRPr="00330641">
        <w:rPr>
          <w:rFonts w:ascii="ITC Avant Garde" w:hAnsi="ITC Avant Garde"/>
          <w:color w:val="auto"/>
        </w:rPr>
        <w:t xml:space="preserve">la propuesta de un enlace con redundancia que falle durante 17 horas en un mes, ya no paga renta; y si es sin redundancia y falla por 8 días al mes no paga la renta. </w:t>
      </w:r>
    </w:p>
    <w:p w:rsidR="00E27624" w:rsidRDefault="00E27624" w:rsidP="000F58E0">
      <w:pPr>
        <w:spacing w:after="0" w:line="276" w:lineRule="auto"/>
        <w:ind w:left="-5" w:right="49" w:firstLine="0"/>
        <w:rPr>
          <w:rFonts w:ascii="ITC Avant Garde" w:hAnsi="ITC Avant Garde"/>
          <w:b/>
          <w:color w:val="auto"/>
        </w:rPr>
      </w:pPr>
    </w:p>
    <w:tbl>
      <w:tblPr>
        <w:tblStyle w:val="Tablaconcuadrcula"/>
        <w:tblW w:w="0" w:type="auto"/>
        <w:tblInd w:w="-5" w:type="dxa"/>
        <w:tblLook w:val="04A0" w:firstRow="1" w:lastRow="0" w:firstColumn="1" w:lastColumn="0" w:noHBand="0" w:noVBand="1"/>
      </w:tblPr>
      <w:tblGrid>
        <w:gridCol w:w="2942"/>
        <w:gridCol w:w="2943"/>
        <w:gridCol w:w="2943"/>
      </w:tblGrid>
      <w:tr w:rsidR="00E27624" w:rsidRPr="00330641" w:rsidTr="00EE344E">
        <w:tc>
          <w:tcPr>
            <w:tcW w:w="2942" w:type="dxa"/>
          </w:tcPr>
          <w:p w:rsidR="00E27624" w:rsidRPr="00330641" w:rsidRDefault="00E27624" w:rsidP="000F58E0">
            <w:pPr>
              <w:spacing w:after="0" w:line="276" w:lineRule="auto"/>
              <w:ind w:left="0" w:right="49" w:firstLine="0"/>
              <w:rPr>
                <w:rFonts w:ascii="ITC Avant Garde" w:hAnsi="ITC Avant Garde"/>
                <w:b/>
                <w:i/>
                <w:color w:val="auto"/>
                <w:sz w:val="18"/>
                <w:szCs w:val="18"/>
              </w:rPr>
            </w:pPr>
            <w:r w:rsidRPr="00330641">
              <w:rPr>
                <w:rFonts w:ascii="ITC Avant Garde" w:hAnsi="ITC Avant Garde"/>
                <w:b/>
                <w:i/>
                <w:color w:val="auto"/>
                <w:sz w:val="18"/>
                <w:szCs w:val="18"/>
              </w:rPr>
              <w:t xml:space="preserve">Rango </w:t>
            </w:r>
            <w:r w:rsidRPr="00330641">
              <w:rPr>
                <w:rFonts w:ascii="ITC Avant Garde" w:hAnsi="ITC Avant Garde"/>
                <w:b/>
                <w:i/>
                <w:color w:val="auto"/>
                <w:sz w:val="18"/>
                <w:szCs w:val="18"/>
                <w:u w:val="single"/>
              </w:rPr>
              <w:t>indisponibilidad mensual</w:t>
            </w:r>
            <w:r w:rsidRPr="00330641">
              <w:rPr>
                <w:rFonts w:ascii="ITC Avant Garde" w:hAnsi="ITC Avant Garde"/>
                <w:b/>
                <w:i/>
                <w:color w:val="auto"/>
                <w:sz w:val="18"/>
                <w:szCs w:val="18"/>
              </w:rPr>
              <w:t xml:space="preserve"> sin redundancia </w:t>
            </w:r>
          </w:p>
        </w:tc>
        <w:tc>
          <w:tcPr>
            <w:tcW w:w="2943" w:type="dxa"/>
          </w:tcPr>
          <w:p w:rsidR="00E27624" w:rsidRPr="00330641" w:rsidRDefault="00E27624" w:rsidP="000F58E0">
            <w:pPr>
              <w:spacing w:after="0" w:line="276" w:lineRule="auto"/>
              <w:ind w:left="0" w:right="49" w:firstLine="0"/>
              <w:rPr>
                <w:rFonts w:ascii="ITC Avant Garde" w:hAnsi="ITC Avant Garde"/>
                <w:b/>
                <w:i/>
                <w:color w:val="auto"/>
                <w:sz w:val="18"/>
                <w:szCs w:val="18"/>
              </w:rPr>
            </w:pPr>
            <w:r w:rsidRPr="00330641">
              <w:rPr>
                <w:rFonts w:ascii="ITC Avant Garde" w:hAnsi="ITC Avant Garde"/>
                <w:b/>
                <w:i/>
                <w:color w:val="auto"/>
                <w:sz w:val="18"/>
                <w:szCs w:val="18"/>
              </w:rPr>
              <w:t xml:space="preserve">Rango </w:t>
            </w:r>
            <w:r w:rsidRPr="00330641">
              <w:rPr>
                <w:rFonts w:ascii="ITC Avant Garde" w:hAnsi="ITC Avant Garde"/>
                <w:b/>
                <w:i/>
                <w:color w:val="auto"/>
                <w:sz w:val="18"/>
                <w:szCs w:val="18"/>
                <w:u w:val="single"/>
              </w:rPr>
              <w:t>indisponibilidad mensual</w:t>
            </w:r>
            <w:r w:rsidRPr="00330641">
              <w:rPr>
                <w:rFonts w:ascii="ITC Avant Garde" w:hAnsi="ITC Avant Garde"/>
                <w:b/>
                <w:i/>
                <w:color w:val="auto"/>
                <w:sz w:val="18"/>
                <w:szCs w:val="18"/>
              </w:rPr>
              <w:t xml:space="preserve"> con redundancia</w:t>
            </w:r>
          </w:p>
        </w:tc>
        <w:tc>
          <w:tcPr>
            <w:tcW w:w="2943" w:type="dxa"/>
          </w:tcPr>
          <w:p w:rsidR="00E27624" w:rsidRPr="00330641" w:rsidRDefault="00E27624" w:rsidP="000F58E0">
            <w:pPr>
              <w:spacing w:after="0" w:line="276" w:lineRule="auto"/>
              <w:ind w:left="0" w:right="49" w:firstLine="0"/>
              <w:rPr>
                <w:rFonts w:ascii="ITC Avant Garde" w:hAnsi="ITC Avant Garde"/>
                <w:b/>
                <w:i/>
                <w:color w:val="auto"/>
                <w:sz w:val="18"/>
                <w:szCs w:val="18"/>
              </w:rPr>
            </w:pPr>
            <w:r w:rsidRPr="00330641">
              <w:rPr>
                <w:rFonts w:ascii="ITC Avant Garde" w:hAnsi="ITC Avant Garde"/>
                <w:b/>
                <w:i/>
                <w:color w:val="auto"/>
                <w:sz w:val="18"/>
                <w:szCs w:val="18"/>
              </w:rPr>
              <w:t xml:space="preserve">Porcentaje de la renta </w:t>
            </w:r>
            <w:r w:rsidRPr="00330641">
              <w:rPr>
                <w:rFonts w:ascii="ITC Avant Garde" w:hAnsi="ITC Avant Garde"/>
                <w:b/>
                <w:i/>
                <w:color w:val="auto"/>
                <w:sz w:val="18"/>
                <w:szCs w:val="18"/>
                <w:u w:val="single"/>
              </w:rPr>
              <w:t>mensual</w:t>
            </w:r>
            <w:r w:rsidRPr="00330641">
              <w:rPr>
                <w:rFonts w:ascii="ITC Avant Garde" w:hAnsi="ITC Avant Garde"/>
                <w:b/>
                <w:i/>
                <w:color w:val="auto"/>
                <w:sz w:val="18"/>
                <w:szCs w:val="18"/>
              </w:rPr>
              <w:t xml:space="preserve"> del servicio con falla </w:t>
            </w:r>
          </w:p>
        </w:tc>
      </w:tr>
      <w:tr w:rsidR="00E27624" w:rsidRPr="00330641" w:rsidTr="00EE344E">
        <w:tc>
          <w:tcPr>
            <w:tcW w:w="2942" w:type="dxa"/>
          </w:tcPr>
          <w:p w:rsidR="00E27624" w:rsidRPr="00330641" w:rsidRDefault="00E27624" w:rsidP="000F58E0">
            <w:pPr>
              <w:spacing w:after="0" w:line="276" w:lineRule="auto"/>
              <w:ind w:left="0" w:right="49" w:firstLine="0"/>
              <w:rPr>
                <w:rFonts w:ascii="ITC Avant Garde" w:hAnsi="ITC Avant Garde"/>
                <w:i/>
                <w:color w:val="auto"/>
                <w:sz w:val="18"/>
                <w:szCs w:val="18"/>
              </w:rPr>
            </w:pPr>
            <w:r w:rsidRPr="00330641">
              <w:rPr>
                <w:rFonts w:ascii="ITC Avant Garde" w:hAnsi="ITC Avant Garde"/>
                <w:i/>
                <w:color w:val="auto"/>
                <w:sz w:val="18"/>
                <w:szCs w:val="18"/>
              </w:rPr>
              <w:t xml:space="preserve">Menor a 73 minutos </w:t>
            </w:r>
          </w:p>
        </w:tc>
        <w:tc>
          <w:tcPr>
            <w:tcW w:w="2943" w:type="dxa"/>
          </w:tcPr>
          <w:p w:rsidR="00E27624" w:rsidRPr="00330641" w:rsidRDefault="00E27624" w:rsidP="000F58E0">
            <w:pPr>
              <w:spacing w:after="0" w:line="276" w:lineRule="auto"/>
              <w:ind w:left="0" w:right="49" w:firstLine="0"/>
              <w:rPr>
                <w:rFonts w:ascii="ITC Avant Garde" w:hAnsi="ITC Avant Garde"/>
                <w:i/>
                <w:color w:val="auto"/>
                <w:sz w:val="18"/>
                <w:szCs w:val="18"/>
              </w:rPr>
            </w:pPr>
            <w:r w:rsidRPr="00330641">
              <w:rPr>
                <w:rFonts w:ascii="ITC Avant Garde" w:hAnsi="ITC Avant Garde"/>
                <w:i/>
                <w:color w:val="auto"/>
                <w:sz w:val="18"/>
                <w:szCs w:val="18"/>
              </w:rPr>
              <w:t>Menor 10 minutos</w:t>
            </w:r>
          </w:p>
        </w:tc>
        <w:tc>
          <w:tcPr>
            <w:tcW w:w="2943" w:type="dxa"/>
          </w:tcPr>
          <w:p w:rsidR="00E27624" w:rsidRPr="00330641" w:rsidRDefault="00E27624" w:rsidP="000F58E0">
            <w:pPr>
              <w:spacing w:after="0" w:line="276" w:lineRule="auto"/>
              <w:ind w:left="0" w:right="49" w:firstLine="0"/>
              <w:jc w:val="center"/>
              <w:rPr>
                <w:rFonts w:ascii="ITC Avant Garde" w:hAnsi="ITC Avant Garde"/>
                <w:i/>
                <w:color w:val="auto"/>
                <w:sz w:val="18"/>
                <w:szCs w:val="18"/>
              </w:rPr>
            </w:pPr>
            <w:r w:rsidRPr="00330641">
              <w:rPr>
                <w:rFonts w:ascii="ITC Avant Garde" w:hAnsi="ITC Avant Garde"/>
                <w:i/>
                <w:color w:val="auto"/>
                <w:sz w:val="18"/>
                <w:szCs w:val="18"/>
              </w:rPr>
              <w:t>0%</w:t>
            </w:r>
          </w:p>
        </w:tc>
      </w:tr>
      <w:tr w:rsidR="00E27624" w:rsidRPr="00330641" w:rsidTr="00EE344E">
        <w:tc>
          <w:tcPr>
            <w:tcW w:w="2942" w:type="dxa"/>
          </w:tcPr>
          <w:p w:rsidR="00E27624" w:rsidRPr="00330641" w:rsidRDefault="00E27624" w:rsidP="000F58E0">
            <w:pPr>
              <w:spacing w:after="0" w:line="276" w:lineRule="auto"/>
              <w:ind w:left="0" w:right="49" w:firstLine="0"/>
              <w:rPr>
                <w:rFonts w:ascii="ITC Avant Garde" w:hAnsi="ITC Avant Garde"/>
                <w:i/>
                <w:color w:val="auto"/>
                <w:sz w:val="18"/>
                <w:szCs w:val="18"/>
              </w:rPr>
            </w:pPr>
            <w:r w:rsidRPr="00330641">
              <w:rPr>
                <w:rFonts w:ascii="ITC Avant Garde" w:hAnsi="ITC Avant Garde"/>
                <w:i/>
                <w:color w:val="auto"/>
                <w:sz w:val="18"/>
                <w:szCs w:val="18"/>
              </w:rPr>
              <w:t>Por cada dos horas adicionales</w:t>
            </w:r>
          </w:p>
        </w:tc>
        <w:tc>
          <w:tcPr>
            <w:tcW w:w="2943" w:type="dxa"/>
          </w:tcPr>
          <w:p w:rsidR="00E27624" w:rsidRPr="00330641" w:rsidRDefault="00E27624" w:rsidP="000F58E0">
            <w:pPr>
              <w:spacing w:after="0" w:line="276" w:lineRule="auto"/>
              <w:ind w:left="0" w:right="49" w:firstLine="0"/>
              <w:rPr>
                <w:rFonts w:ascii="ITC Avant Garde" w:hAnsi="ITC Avant Garde"/>
                <w:i/>
                <w:color w:val="auto"/>
                <w:sz w:val="18"/>
                <w:szCs w:val="18"/>
              </w:rPr>
            </w:pPr>
            <w:r w:rsidRPr="00330641">
              <w:rPr>
                <w:rFonts w:ascii="ITC Avant Garde" w:hAnsi="ITC Avant Garde"/>
                <w:i/>
                <w:color w:val="auto"/>
                <w:sz w:val="18"/>
                <w:szCs w:val="18"/>
              </w:rPr>
              <w:t xml:space="preserve">Por cada 10 minutos adicionales </w:t>
            </w:r>
          </w:p>
        </w:tc>
        <w:tc>
          <w:tcPr>
            <w:tcW w:w="2943" w:type="dxa"/>
          </w:tcPr>
          <w:p w:rsidR="00E27624" w:rsidRPr="00330641" w:rsidRDefault="00E27624" w:rsidP="000F58E0">
            <w:pPr>
              <w:spacing w:after="0" w:line="276" w:lineRule="auto"/>
              <w:ind w:left="0" w:right="49" w:firstLine="0"/>
              <w:jc w:val="center"/>
              <w:rPr>
                <w:rFonts w:ascii="ITC Avant Garde" w:hAnsi="ITC Avant Garde"/>
                <w:i/>
                <w:color w:val="auto"/>
                <w:sz w:val="18"/>
                <w:szCs w:val="18"/>
              </w:rPr>
            </w:pPr>
            <w:r w:rsidRPr="00330641">
              <w:rPr>
                <w:rFonts w:ascii="ITC Avant Garde" w:hAnsi="ITC Avant Garde"/>
                <w:i/>
                <w:color w:val="auto"/>
                <w:sz w:val="18"/>
                <w:szCs w:val="18"/>
              </w:rPr>
              <w:t>1%</w:t>
            </w:r>
          </w:p>
        </w:tc>
      </w:tr>
    </w:tbl>
    <w:p w:rsidR="00E27624" w:rsidRPr="00330641" w:rsidRDefault="00E27624" w:rsidP="000F58E0">
      <w:pPr>
        <w:spacing w:after="0" w:line="276" w:lineRule="auto"/>
        <w:ind w:left="0" w:right="0"/>
        <w:rPr>
          <w:rFonts w:ascii="ITC Avant Garde" w:hAnsi="ITC Avant Garde"/>
        </w:rPr>
      </w:pPr>
    </w:p>
    <w:p w:rsidR="00E27624" w:rsidRPr="00330641" w:rsidRDefault="00E27624" w:rsidP="000F58E0">
      <w:pPr>
        <w:spacing w:after="0" w:line="276" w:lineRule="auto"/>
        <w:ind w:left="0" w:right="0" w:firstLine="0"/>
        <w:rPr>
          <w:rFonts w:ascii="ITC Avant Garde" w:hAnsi="ITC Avant Garde" w:cs="Times New Roman"/>
          <w:b/>
          <w:color w:val="auto"/>
        </w:rPr>
      </w:pPr>
      <w:r w:rsidRPr="00330641">
        <w:rPr>
          <w:rFonts w:ascii="ITC Avant Garde" w:hAnsi="ITC Avant Garde" w:cs="Times New Roman"/>
          <w:b/>
          <w:color w:val="auto"/>
        </w:rPr>
        <w:t>Consideraciones del Instituto:</w:t>
      </w:r>
    </w:p>
    <w:p w:rsidR="00E27624" w:rsidRPr="00330641" w:rsidRDefault="00E27624" w:rsidP="000F58E0">
      <w:pPr>
        <w:spacing w:after="0" w:line="276" w:lineRule="auto"/>
        <w:ind w:left="0" w:right="0"/>
        <w:rPr>
          <w:rFonts w:ascii="ITC Avant Garde" w:hAnsi="ITC Avant Garde"/>
          <w:iCs/>
        </w:rPr>
      </w:pPr>
      <w:r w:rsidRPr="00330641">
        <w:rPr>
          <w:rFonts w:ascii="ITC Avant Garde" w:hAnsi="ITC Avant Garde"/>
        </w:rPr>
        <w:t xml:space="preserve">Al respecto, ténganse por reproducidos como si a la letra se insertasen las consideraciones expuestas en el numeral </w:t>
      </w:r>
      <w:r w:rsidRPr="00330641">
        <w:rPr>
          <w:rFonts w:ascii="ITC Avant Garde" w:hAnsi="ITC Avant Garde"/>
          <w:iCs/>
        </w:rPr>
        <w:t>2.7.2.</w:t>
      </w:r>
    </w:p>
    <w:p w:rsidR="0088568D" w:rsidRPr="00330641" w:rsidRDefault="0088568D" w:rsidP="000F58E0">
      <w:pPr>
        <w:spacing w:after="0" w:line="276" w:lineRule="auto"/>
        <w:ind w:left="0" w:right="0"/>
        <w:rPr>
          <w:rFonts w:ascii="ITC Avant Garde" w:hAnsi="ITC Avant Garde"/>
        </w:rPr>
      </w:pPr>
    </w:p>
    <w:p w:rsidR="0088568D" w:rsidRPr="00330641" w:rsidRDefault="00452908" w:rsidP="0088568D">
      <w:pPr>
        <w:pStyle w:val="IFTnormal"/>
        <w:spacing w:after="0"/>
        <w:ind w:left="0"/>
        <w:rPr>
          <w:b/>
        </w:rPr>
      </w:pPr>
      <w:r w:rsidRPr="00330641">
        <w:rPr>
          <w:b/>
        </w:rPr>
        <w:t xml:space="preserve">GRUPO AT&amp;T: </w:t>
      </w:r>
    </w:p>
    <w:p w:rsidR="0088568D" w:rsidRPr="00330641" w:rsidRDefault="0012211F" w:rsidP="0088568D">
      <w:pPr>
        <w:spacing w:after="0" w:line="276" w:lineRule="auto"/>
        <w:ind w:left="0" w:right="0"/>
        <w:rPr>
          <w:rFonts w:ascii="ITC Avant Garde" w:eastAsiaTheme="majorEastAsia" w:hAnsi="ITC Avant Garde"/>
        </w:rPr>
      </w:pPr>
      <w:r>
        <w:rPr>
          <w:rFonts w:ascii="ITC Avant Garde" w:eastAsiaTheme="majorEastAsia" w:hAnsi="ITC Avant Garde"/>
        </w:rPr>
        <w:t>Señaló</w:t>
      </w:r>
      <w:r w:rsidR="0088568D" w:rsidRPr="00330641">
        <w:rPr>
          <w:rFonts w:ascii="ITC Avant Garde" w:eastAsiaTheme="majorEastAsia" w:hAnsi="ITC Avant Garde"/>
        </w:rPr>
        <w:t xml:space="preserve"> que no es razonable que una visita por un reporte de falla tenga una penalización para el CS tres veces mayor que todo un mes de enlace sin servicio por una falla de Telmex.</w:t>
      </w:r>
    </w:p>
    <w:p w:rsidR="0088568D" w:rsidRPr="00330641" w:rsidRDefault="0088568D" w:rsidP="0088568D">
      <w:pPr>
        <w:spacing w:after="0" w:line="276" w:lineRule="auto"/>
        <w:ind w:left="0" w:right="0"/>
        <w:rPr>
          <w:rFonts w:ascii="ITC Avant Garde" w:eastAsiaTheme="majorEastAsia" w:hAnsi="ITC Avant Garde"/>
        </w:rPr>
      </w:pPr>
    </w:p>
    <w:p w:rsidR="0088568D" w:rsidRPr="00330641" w:rsidRDefault="0088568D" w:rsidP="0088568D">
      <w:pPr>
        <w:spacing w:after="0" w:line="276" w:lineRule="auto"/>
        <w:ind w:left="0" w:right="0" w:firstLine="0"/>
        <w:rPr>
          <w:rFonts w:ascii="ITC Avant Garde" w:hAnsi="ITC Avant Garde" w:cs="Times New Roman"/>
          <w:b/>
          <w:color w:val="auto"/>
        </w:rPr>
      </w:pPr>
      <w:r w:rsidRPr="00330641">
        <w:rPr>
          <w:rFonts w:ascii="ITC Avant Garde" w:hAnsi="ITC Avant Garde" w:cs="Times New Roman"/>
          <w:b/>
          <w:color w:val="auto"/>
        </w:rPr>
        <w:t>Consideraciones del Instituto:</w:t>
      </w:r>
    </w:p>
    <w:p w:rsidR="0088568D" w:rsidRPr="00330641" w:rsidRDefault="0088568D" w:rsidP="0088568D">
      <w:pPr>
        <w:spacing w:after="0" w:line="276" w:lineRule="auto"/>
        <w:ind w:left="0" w:right="0"/>
        <w:rPr>
          <w:rFonts w:ascii="ITC Avant Garde" w:hAnsi="ITC Avant Garde"/>
          <w:iCs/>
        </w:rPr>
      </w:pPr>
      <w:r w:rsidRPr="00330641">
        <w:rPr>
          <w:rFonts w:ascii="ITC Avant Garde" w:hAnsi="ITC Avant Garde"/>
        </w:rPr>
        <w:t xml:space="preserve">Al respecto, ténganse por reproducidos como si a la letra se insertasen las consideraciones expuestas en el numeral </w:t>
      </w:r>
      <w:r w:rsidRPr="00330641">
        <w:rPr>
          <w:rFonts w:ascii="ITC Avant Garde" w:hAnsi="ITC Avant Garde"/>
          <w:iCs/>
        </w:rPr>
        <w:t>2.7.4.</w:t>
      </w:r>
    </w:p>
    <w:p w:rsidR="00230750" w:rsidRPr="00330641" w:rsidRDefault="00230750" w:rsidP="000F58E0">
      <w:pPr>
        <w:pStyle w:val="IFTnormal"/>
        <w:spacing w:after="0"/>
        <w:ind w:left="0"/>
        <w:rPr>
          <w:rFonts w:eastAsiaTheme="majorEastAsia" w:cstheme="majorBidi"/>
          <w:b/>
          <w:lang w:val="es-ES_tradnl"/>
        </w:rPr>
      </w:pPr>
    </w:p>
    <w:p w:rsidR="0009123E" w:rsidRPr="00330641" w:rsidRDefault="00936A14" w:rsidP="000F58E0">
      <w:pPr>
        <w:spacing w:after="0" w:line="276" w:lineRule="auto"/>
        <w:ind w:left="0" w:right="0" w:firstLine="0"/>
        <w:rPr>
          <w:rFonts w:ascii="ITC Avant Garde" w:hAnsi="ITC Avant Garde"/>
          <w:color w:val="auto"/>
          <w:u w:val="single"/>
        </w:rPr>
      </w:pPr>
      <w:r w:rsidRPr="00330641">
        <w:rPr>
          <w:rFonts w:ascii="ITC Avant Garde" w:hAnsi="ITC Avant Garde"/>
          <w:b/>
          <w:color w:val="auto"/>
          <w:u w:val="single"/>
        </w:rPr>
        <w:t>ANEXO “D” PROCEDIMIENTO DE ENTREGA/RECEPCIÓN.</w:t>
      </w:r>
      <w:r w:rsidRPr="00330641">
        <w:rPr>
          <w:rFonts w:ascii="ITC Avant Garde" w:hAnsi="ITC Avant Garde"/>
          <w:color w:val="auto"/>
          <w:u w:val="single"/>
        </w:rPr>
        <w:t xml:space="preserve"> </w:t>
      </w:r>
    </w:p>
    <w:p w:rsidR="00C56220" w:rsidRPr="00330641" w:rsidRDefault="00C56220" w:rsidP="000F58E0">
      <w:pPr>
        <w:spacing w:after="0" w:line="276" w:lineRule="auto"/>
        <w:ind w:left="0" w:right="0" w:firstLine="0"/>
        <w:rPr>
          <w:rFonts w:ascii="ITC Avant Garde" w:hAnsi="ITC Avant Garde"/>
          <w:b/>
          <w:color w:val="auto"/>
        </w:rPr>
      </w:pPr>
      <w:r w:rsidRPr="00330641">
        <w:rPr>
          <w:rFonts w:ascii="ITC Avant Garde" w:hAnsi="ITC Avant Garde"/>
          <w:b/>
          <w:color w:val="auto"/>
        </w:rPr>
        <w:t>AXTEL</w:t>
      </w:r>
      <w:r w:rsidR="006659E4" w:rsidRPr="00330641">
        <w:rPr>
          <w:rFonts w:ascii="ITC Avant Garde" w:hAnsi="ITC Avant Garde"/>
          <w:b/>
          <w:color w:val="auto"/>
        </w:rPr>
        <w:t>:</w:t>
      </w:r>
    </w:p>
    <w:p w:rsidR="00C56220" w:rsidRPr="00330641" w:rsidRDefault="00C56220" w:rsidP="000F58E0">
      <w:pPr>
        <w:spacing w:after="0" w:line="276" w:lineRule="auto"/>
        <w:ind w:left="0" w:right="0" w:firstLine="0"/>
        <w:rPr>
          <w:rFonts w:ascii="ITC Avant Garde" w:hAnsi="ITC Avant Garde"/>
          <w:color w:val="auto"/>
        </w:rPr>
      </w:pPr>
      <w:r w:rsidRPr="00330641">
        <w:rPr>
          <w:rFonts w:ascii="ITC Avant Garde" w:hAnsi="ITC Avant Garde"/>
          <w:color w:val="auto"/>
        </w:rPr>
        <w:t>En lo referente a</w:t>
      </w:r>
      <w:r w:rsidR="0009123E" w:rsidRPr="00330641">
        <w:rPr>
          <w:rFonts w:ascii="ITC Avant Garde" w:hAnsi="ITC Avant Garde"/>
          <w:color w:val="auto"/>
        </w:rPr>
        <w:t xml:space="preserve"> </w:t>
      </w:r>
      <w:r w:rsidRPr="00330641">
        <w:rPr>
          <w:rFonts w:ascii="ITC Avant Garde" w:hAnsi="ITC Avant Garde"/>
          <w:color w:val="auto"/>
        </w:rPr>
        <w:t>l</w:t>
      </w:r>
      <w:r w:rsidR="0009123E" w:rsidRPr="00330641">
        <w:rPr>
          <w:rFonts w:ascii="ITC Avant Garde" w:hAnsi="ITC Avant Garde"/>
          <w:color w:val="auto"/>
        </w:rPr>
        <w:t>os</w:t>
      </w:r>
      <w:r w:rsidRPr="00330641">
        <w:rPr>
          <w:rFonts w:ascii="ITC Avant Garde" w:hAnsi="ITC Avant Garde"/>
          <w:color w:val="auto"/>
        </w:rPr>
        <w:t xml:space="preserve"> </w:t>
      </w:r>
      <w:r w:rsidR="00E210FD" w:rsidRPr="00330641">
        <w:rPr>
          <w:rFonts w:ascii="ITC Avant Garde" w:hAnsi="ITC Avant Garde"/>
          <w:color w:val="auto"/>
        </w:rPr>
        <w:t>n</w:t>
      </w:r>
      <w:r w:rsidRPr="00330641">
        <w:rPr>
          <w:rFonts w:ascii="ITC Avant Garde" w:hAnsi="ITC Avant Garde"/>
          <w:color w:val="auto"/>
        </w:rPr>
        <w:t>umeral</w:t>
      </w:r>
      <w:r w:rsidR="0009123E" w:rsidRPr="00330641">
        <w:rPr>
          <w:rFonts w:ascii="ITC Avant Garde" w:hAnsi="ITC Avant Garde"/>
          <w:color w:val="auto"/>
        </w:rPr>
        <w:t>es</w:t>
      </w:r>
      <w:r w:rsidRPr="00330641">
        <w:rPr>
          <w:rFonts w:ascii="ITC Avant Garde" w:hAnsi="ITC Avant Garde"/>
          <w:color w:val="auto"/>
        </w:rPr>
        <w:t xml:space="preserve"> 2 y 3</w:t>
      </w:r>
      <w:r w:rsidR="00E210FD" w:rsidRPr="00330641">
        <w:rPr>
          <w:rFonts w:ascii="ITC Avant Garde" w:hAnsi="ITC Avant Garde"/>
          <w:color w:val="auto"/>
        </w:rPr>
        <w:t xml:space="preserve">, </w:t>
      </w:r>
      <w:r w:rsidR="003030FC">
        <w:rPr>
          <w:rFonts w:ascii="ITC Avant Garde" w:hAnsi="ITC Avant Garde"/>
          <w:color w:val="auto"/>
        </w:rPr>
        <w:t>solicitó</w:t>
      </w:r>
      <w:r w:rsidRPr="00330641">
        <w:rPr>
          <w:rFonts w:ascii="ITC Avant Garde" w:hAnsi="ITC Avant Garde"/>
          <w:color w:val="auto"/>
        </w:rPr>
        <w:t xml:space="preserve"> al </w:t>
      </w:r>
      <w:r w:rsidR="0009123E" w:rsidRPr="00330641">
        <w:rPr>
          <w:rFonts w:ascii="ITC Avant Garde" w:hAnsi="ITC Avant Garde"/>
          <w:color w:val="auto"/>
        </w:rPr>
        <w:t xml:space="preserve">Instituto </w:t>
      </w:r>
      <w:r w:rsidRPr="00330641">
        <w:rPr>
          <w:rFonts w:ascii="ITC Avant Garde" w:hAnsi="ITC Avant Garde"/>
          <w:color w:val="auto"/>
        </w:rPr>
        <w:t xml:space="preserve">obligar al AEP que no considere el periodo entre la notificación de la entrega del servicio y la aceptación de este considerando que en ocasiones el resultado de las pruebas es que los enlaces resultan con errores. </w:t>
      </w:r>
      <w:r w:rsidR="0012211F">
        <w:rPr>
          <w:rFonts w:ascii="ITC Avant Garde" w:hAnsi="ITC Avant Garde"/>
          <w:color w:val="auto"/>
        </w:rPr>
        <w:t>Señaló</w:t>
      </w:r>
      <w:r w:rsidR="001509F1" w:rsidRPr="00330641">
        <w:rPr>
          <w:rFonts w:ascii="ITC Avant Garde" w:hAnsi="ITC Avant Garde"/>
          <w:color w:val="auto"/>
        </w:rPr>
        <w:t xml:space="preserve"> que</w:t>
      </w:r>
      <w:r w:rsidR="00BB5177" w:rsidRPr="00330641">
        <w:rPr>
          <w:rFonts w:ascii="ITC Avant Garde" w:hAnsi="ITC Avant Garde"/>
          <w:color w:val="auto"/>
        </w:rPr>
        <w:t>,</w:t>
      </w:r>
      <w:r w:rsidR="001509F1" w:rsidRPr="00330641">
        <w:rPr>
          <w:rFonts w:ascii="ITC Avant Garde" w:hAnsi="ITC Avant Garde"/>
          <w:color w:val="auto"/>
        </w:rPr>
        <w:t xml:space="preserve"> e</w:t>
      </w:r>
      <w:r w:rsidRPr="00330641">
        <w:rPr>
          <w:rFonts w:ascii="ITC Avant Garde" w:hAnsi="ITC Avant Garde"/>
          <w:color w:val="auto"/>
        </w:rPr>
        <w:t>stos errores son informados al AEP esperando una solución en corto tiempo.</w:t>
      </w:r>
      <w:r w:rsidR="0009123E" w:rsidRPr="00330641">
        <w:rPr>
          <w:rFonts w:ascii="ITC Avant Garde" w:hAnsi="ITC Avant Garde"/>
          <w:color w:val="auto"/>
        </w:rPr>
        <w:t xml:space="preserve"> S</w:t>
      </w:r>
      <w:r w:rsidRPr="00330641">
        <w:rPr>
          <w:rFonts w:ascii="ITC Avant Garde" w:hAnsi="ITC Avant Garde"/>
          <w:color w:val="auto"/>
        </w:rPr>
        <w:t xml:space="preserve">in embargo, </w:t>
      </w:r>
      <w:r w:rsidR="001509F1" w:rsidRPr="00330641">
        <w:rPr>
          <w:rFonts w:ascii="ITC Avant Garde" w:hAnsi="ITC Avant Garde"/>
          <w:color w:val="auto"/>
        </w:rPr>
        <w:t xml:space="preserve">expone que </w:t>
      </w:r>
      <w:r w:rsidRPr="00330641">
        <w:rPr>
          <w:rFonts w:ascii="ITC Avant Garde" w:hAnsi="ITC Avant Garde"/>
          <w:color w:val="auto"/>
        </w:rPr>
        <w:t xml:space="preserve">en ocasiones las revisiones de los errores son excesivos y un paro al plazo de entrega ocasiona que el AEP no cumpla la fecha comprometida, sino todo lo contrario, da la pauta para que a discreción el AEP trabaje en una construcción que aparentemente concluyó. </w:t>
      </w:r>
    </w:p>
    <w:p w:rsidR="00C56220" w:rsidRPr="00330641" w:rsidRDefault="00C56220" w:rsidP="000F58E0">
      <w:pPr>
        <w:spacing w:after="0" w:line="276" w:lineRule="auto"/>
        <w:ind w:left="0" w:right="0" w:firstLine="0"/>
        <w:rPr>
          <w:rFonts w:ascii="ITC Avant Garde" w:hAnsi="ITC Avant Garde"/>
          <w:color w:val="auto"/>
        </w:rPr>
      </w:pPr>
    </w:p>
    <w:p w:rsidR="00BC4FA9" w:rsidRPr="00330641" w:rsidRDefault="00C56220" w:rsidP="000F58E0">
      <w:pPr>
        <w:spacing w:after="0" w:line="276" w:lineRule="auto"/>
        <w:ind w:left="0" w:right="0" w:firstLine="0"/>
        <w:rPr>
          <w:rFonts w:ascii="ITC Avant Garde" w:hAnsi="ITC Avant Garde"/>
          <w:color w:val="auto"/>
        </w:rPr>
      </w:pPr>
      <w:r w:rsidRPr="00330641">
        <w:rPr>
          <w:rFonts w:ascii="ITC Avant Garde" w:hAnsi="ITC Avant Garde"/>
          <w:color w:val="auto"/>
        </w:rPr>
        <w:t>En consideració</w:t>
      </w:r>
      <w:r w:rsidR="00602350">
        <w:rPr>
          <w:rFonts w:ascii="ITC Avant Garde" w:hAnsi="ITC Avant Garde"/>
          <w:color w:val="auto"/>
        </w:rPr>
        <w:t>n de lo anterior, Axtel solicitó</w:t>
      </w:r>
      <w:r w:rsidRPr="00330641">
        <w:rPr>
          <w:rFonts w:ascii="ITC Avant Garde" w:hAnsi="ITC Avant Garde"/>
          <w:color w:val="auto"/>
        </w:rPr>
        <w:t xml:space="preserve"> al Instituto definir un plazo de solución en lo referente a la prueba de 2 (dos) días hábiles para </w:t>
      </w:r>
      <w:r w:rsidR="006236AA" w:rsidRPr="00330641">
        <w:rPr>
          <w:rFonts w:ascii="ITC Avant Garde" w:hAnsi="ITC Avant Garde"/>
          <w:color w:val="auto"/>
        </w:rPr>
        <w:t>solucionar las fallas o errores resultado de las pruebas.</w:t>
      </w:r>
    </w:p>
    <w:p w:rsidR="00C56220" w:rsidRPr="00330641" w:rsidRDefault="00C56220" w:rsidP="000F58E0">
      <w:pPr>
        <w:spacing w:after="0" w:line="276" w:lineRule="auto"/>
        <w:ind w:left="0" w:right="0" w:firstLine="0"/>
        <w:rPr>
          <w:rFonts w:ascii="ITC Avant Garde" w:hAnsi="ITC Avant Garde"/>
          <w:color w:val="auto"/>
        </w:rPr>
      </w:pPr>
    </w:p>
    <w:p w:rsidR="003362F1" w:rsidRPr="00330641" w:rsidRDefault="003362F1" w:rsidP="000F58E0">
      <w:pPr>
        <w:spacing w:after="0" w:line="276" w:lineRule="auto"/>
        <w:ind w:left="0" w:right="0" w:firstLine="0"/>
        <w:rPr>
          <w:rFonts w:ascii="ITC Avant Garde" w:hAnsi="ITC Avant Garde" w:cs="Times New Roman"/>
          <w:b/>
          <w:color w:val="auto"/>
        </w:rPr>
      </w:pPr>
      <w:r w:rsidRPr="00330641">
        <w:rPr>
          <w:rFonts w:ascii="ITC Avant Garde" w:hAnsi="ITC Avant Garde" w:cs="Times New Roman"/>
          <w:b/>
          <w:color w:val="auto"/>
        </w:rPr>
        <w:t>Consideraciones del Instituto</w:t>
      </w:r>
      <w:r w:rsidR="00452908">
        <w:rPr>
          <w:rFonts w:ascii="ITC Avant Garde" w:hAnsi="ITC Avant Garde" w:cs="Times New Roman"/>
          <w:b/>
          <w:color w:val="auto"/>
        </w:rPr>
        <w:t>:</w:t>
      </w:r>
    </w:p>
    <w:p w:rsidR="00A46173" w:rsidRPr="00330641" w:rsidRDefault="002A4730" w:rsidP="00EC3F16">
      <w:pPr>
        <w:autoSpaceDE w:val="0"/>
        <w:autoSpaceDN w:val="0"/>
        <w:adjustRightInd w:val="0"/>
        <w:spacing w:line="276" w:lineRule="auto"/>
        <w:rPr>
          <w:rFonts w:ascii="ITC Avant Garde" w:hAnsi="ITC Avant Garde"/>
        </w:rPr>
      </w:pPr>
      <w:r w:rsidRPr="00330641">
        <w:rPr>
          <w:rFonts w:ascii="ITC Avant Garde" w:hAnsi="ITC Avant Garde"/>
        </w:rPr>
        <w:lastRenderedPageBreak/>
        <w:t>Al respecto</w:t>
      </w:r>
      <w:r w:rsidR="00E210FD" w:rsidRPr="00330641">
        <w:rPr>
          <w:rFonts w:ascii="ITC Avant Garde" w:hAnsi="ITC Avant Garde"/>
        </w:rPr>
        <w:t>,</w:t>
      </w:r>
      <w:r w:rsidRPr="00330641">
        <w:rPr>
          <w:rFonts w:ascii="ITC Avant Garde" w:hAnsi="ITC Avant Garde"/>
        </w:rPr>
        <w:t xml:space="preserve"> se </w:t>
      </w:r>
      <w:r w:rsidR="003030FC">
        <w:rPr>
          <w:rFonts w:ascii="ITC Avant Garde" w:hAnsi="ITC Avant Garde"/>
        </w:rPr>
        <w:t>señala</w:t>
      </w:r>
      <w:r w:rsidRPr="00330641">
        <w:rPr>
          <w:rFonts w:ascii="ITC Avant Garde" w:hAnsi="ITC Avant Garde"/>
        </w:rPr>
        <w:t xml:space="preserve"> que </w:t>
      </w:r>
      <w:r w:rsidR="00A46173" w:rsidRPr="00330641">
        <w:rPr>
          <w:rFonts w:ascii="ITC Avant Garde" w:hAnsi="ITC Avant Garde"/>
        </w:rPr>
        <w:t>fueron modificados los numerales 2.4.3.4 de la Oferta, así como el penúltimo párrafo del Anexo “C” y el numeral 7.2 de la cláusula séptima del convenio a efecto de establecer lo siguiente:</w:t>
      </w:r>
    </w:p>
    <w:p w:rsidR="00A46173" w:rsidRPr="00330641" w:rsidRDefault="00A46173" w:rsidP="000F58E0">
      <w:pPr>
        <w:spacing w:line="276" w:lineRule="auto"/>
        <w:rPr>
          <w:rFonts w:ascii="ITC Avant Garde" w:hAnsi="ITC Avant Garde"/>
        </w:rPr>
      </w:pPr>
    </w:p>
    <w:p w:rsidR="0012273D" w:rsidRDefault="0012273D" w:rsidP="000F58E0">
      <w:pPr>
        <w:spacing w:line="276" w:lineRule="auto"/>
        <w:ind w:left="567" w:right="616"/>
        <w:rPr>
          <w:rFonts w:ascii="ITC Avant Garde" w:hAnsi="ITC Avant Garde" w:cs="Arial"/>
          <w:i/>
          <w:sz w:val="18"/>
          <w:szCs w:val="18"/>
        </w:rPr>
      </w:pPr>
      <w:r w:rsidRPr="00330641">
        <w:rPr>
          <w:rFonts w:ascii="ITC Avant Garde" w:hAnsi="ITC Avant Garde" w:cs="Arial"/>
          <w:i/>
          <w:sz w:val="18"/>
          <w:szCs w:val="18"/>
          <w:lang w:val="es-ES"/>
        </w:rPr>
        <w:t>“[…]</w:t>
      </w:r>
      <w:r w:rsidR="00A46173" w:rsidRPr="00330641">
        <w:rPr>
          <w:rFonts w:ascii="ITC Avant Garde" w:hAnsi="ITC Avant Garde" w:cs="Arial"/>
          <w:i/>
          <w:sz w:val="18"/>
          <w:szCs w:val="18"/>
          <w:lang w:val="es-ES"/>
        </w:rPr>
        <w:t xml:space="preserve">Las partes tendrán un plazo de 2 (dos) días hábiles para realizar las pruebas de transmisión y concluir la entrega del servicio. </w:t>
      </w:r>
      <w:r w:rsidR="00A46173" w:rsidRPr="00330641">
        <w:rPr>
          <w:rFonts w:ascii="ITC Avant Garde" w:hAnsi="ITC Avant Garde" w:cs="Arial"/>
          <w:i/>
          <w:sz w:val="18"/>
          <w:szCs w:val="18"/>
          <w:u w:val="single"/>
        </w:rPr>
        <w:t xml:space="preserve">Si por algún motivo las pruebas realizadas no resultan satisfactorias, Telmex contará con un plazo de 2 (dos) días hábiles para analizar y reparar los errores presentados e iniciar nuevamente las </w:t>
      </w:r>
      <w:r w:rsidRPr="00330641">
        <w:rPr>
          <w:rFonts w:ascii="ITC Avant Garde" w:hAnsi="ITC Avant Garde" w:cs="Arial"/>
          <w:i/>
          <w:sz w:val="18"/>
          <w:szCs w:val="18"/>
          <w:u w:val="single"/>
        </w:rPr>
        <w:t>pruebas</w:t>
      </w:r>
      <w:r w:rsidRPr="00330641">
        <w:rPr>
          <w:rFonts w:ascii="ITC Avant Garde" w:hAnsi="ITC Avant Garde" w:cs="Arial"/>
          <w:i/>
          <w:sz w:val="18"/>
          <w:szCs w:val="18"/>
        </w:rPr>
        <w:t>. […]”</w:t>
      </w:r>
    </w:p>
    <w:p w:rsidR="00567DC0" w:rsidRPr="00330641" w:rsidRDefault="00567DC0" w:rsidP="000F58E0">
      <w:pPr>
        <w:spacing w:line="276" w:lineRule="auto"/>
        <w:ind w:left="567" w:right="616"/>
        <w:rPr>
          <w:rFonts w:ascii="ITC Avant Garde" w:hAnsi="ITC Avant Garde" w:cs="Arial"/>
          <w:i/>
          <w:sz w:val="18"/>
          <w:szCs w:val="18"/>
        </w:rPr>
      </w:pPr>
    </w:p>
    <w:p w:rsidR="0012273D" w:rsidRPr="00330641" w:rsidRDefault="0012273D" w:rsidP="000F58E0">
      <w:pPr>
        <w:spacing w:line="276" w:lineRule="auto"/>
        <w:ind w:left="567" w:right="616"/>
        <w:jc w:val="right"/>
        <w:rPr>
          <w:rFonts w:ascii="ITC Avant Garde" w:hAnsi="ITC Avant Garde" w:cs="Arial"/>
          <w:i/>
          <w:sz w:val="18"/>
          <w:szCs w:val="18"/>
        </w:rPr>
      </w:pPr>
      <w:r w:rsidRPr="00330641">
        <w:rPr>
          <w:rFonts w:ascii="ITC Avant Garde" w:hAnsi="ITC Avant Garde" w:cs="Arial"/>
          <w:i/>
          <w:sz w:val="18"/>
          <w:szCs w:val="18"/>
        </w:rPr>
        <w:t>(énfasis añadido)</w:t>
      </w:r>
    </w:p>
    <w:p w:rsidR="00BD45F9" w:rsidRPr="00330641" w:rsidRDefault="00BD45F9" w:rsidP="000F58E0">
      <w:pPr>
        <w:spacing w:line="276" w:lineRule="auto"/>
        <w:ind w:left="567" w:right="616"/>
        <w:rPr>
          <w:rFonts w:ascii="ITC Avant Garde" w:eastAsiaTheme="majorEastAsia" w:hAnsi="ITC Avant Garde"/>
          <w:i/>
          <w:sz w:val="18"/>
          <w:szCs w:val="18"/>
        </w:rPr>
      </w:pPr>
    </w:p>
    <w:p w:rsidR="006236AA" w:rsidRPr="00330641" w:rsidRDefault="006236AA" w:rsidP="006236AA">
      <w:pPr>
        <w:spacing w:after="0" w:line="276" w:lineRule="auto"/>
        <w:ind w:left="0" w:right="0" w:firstLine="0"/>
        <w:rPr>
          <w:rFonts w:ascii="ITC Avant Garde" w:hAnsi="ITC Avant Garde"/>
          <w:b/>
          <w:color w:val="auto"/>
          <w:u w:val="single"/>
        </w:rPr>
      </w:pPr>
      <w:bookmarkStart w:id="1" w:name="_GoBack"/>
      <w:bookmarkEnd w:id="1"/>
      <w:r w:rsidRPr="00330641">
        <w:rPr>
          <w:rFonts w:ascii="ITC Avant Garde" w:hAnsi="ITC Avant Garde"/>
          <w:b/>
          <w:color w:val="auto"/>
          <w:u w:val="single"/>
        </w:rPr>
        <w:t>ANEXO “E” NORMA Y ESPECIFICACIONES DE CONSTRUCCIÓN LOCAL DEL CLIENTE PARA SU CONEXIÓN A LA RED DIGITAL DE ACCESO.</w:t>
      </w:r>
    </w:p>
    <w:p w:rsidR="006236AA" w:rsidRPr="00330641" w:rsidRDefault="006236AA" w:rsidP="006236AA">
      <w:pPr>
        <w:spacing w:after="0" w:line="276" w:lineRule="auto"/>
        <w:ind w:left="0" w:right="0" w:firstLine="0"/>
        <w:rPr>
          <w:rFonts w:ascii="ITC Avant Garde" w:hAnsi="ITC Avant Garde"/>
          <w:b/>
          <w:color w:val="auto"/>
        </w:rPr>
      </w:pPr>
      <w:r w:rsidRPr="00330641">
        <w:rPr>
          <w:rFonts w:ascii="ITC Avant Garde" w:hAnsi="ITC Avant Garde"/>
          <w:b/>
          <w:color w:val="auto"/>
        </w:rPr>
        <w:t>AXTEL:</w:t>
      </w:r>
    </w:p>
    <w:p w:rsidR="006236AA" w:rsidRPr="00330641" w:rsidRDefault="0012211F" w:rsidP="006236AA">
      <w:pPr>
        <w:spacing w:after="0" w:line="276" w:lineRule="auto"/>
        <w:ind w:left="0" w:right="0" w:firstLine="0"/>
        <w:rPr>
          <w:rFonts w:ascii="ITC Avant Garde" w:hAnsi="ITC Avant Garde"/>
          <w:color w:val="auto"/>
        </w:rPr>
      </w:pPr>
      <w:r>
        <w:rPr>
          <w:rFonts w:ascii="ITC Avant Garde" w:hAnsi="ITC Avant Garde"/>
          <w:color w:val="auto"/>
        </w:rPr>
        <w:t>Manifestó</w:t>
      </w:r>
      <w:r w:rsidR="006236AA" w:rsidRPr="00330641">
        <w:rPr>
          <w:rFonts w:ascii="ITC Avant Garde" w:hAnsi="ITC Avant Garde"/>
          <w:color w:val="auto"/>
        </w:rPr>
        <w:t xml:space="preserve"> que el anexo “E” debe ser notificado con condiciones mínimas cuando es sitio del cliente final (no en </w:t>
      </w:r>
      <w:proofErr w:type="spellStart"/>
      <w:r w:rsidR="006236AA" w:rsidRPr="00330641">
        <w:rPr>
          <w:rFonts w:ascii="ITC Avant Garde" w:hAnsi="ITC Avant Garde"/>
          <w:color w:val="auto"/>
        </w:rPr>
        <w:t>coubicación</w:t>
      </w:r>
      <w:proofErr w:type="spellEnd"/>
      <w:r w:rsidR="006236AA" w:rsidRPr="00330641">
        <w:rPr>
          <w:rFonts w:ascii="ITC Avant Garde" w:hAnsi="ITC Avant Garde"/>
          <w:color w:val="auto"/>
        </w:rPr>
        <w:t>). Asimismo, incluir un apartado con las características mínimas necesarias:</w:t>
      </w:r>
    </w:p>
    <w:p w:rsidR="00BA3B11" w:rsidRPr="00330641" w:rsidRDefault="00BA3B11" w:rsidP="006236AA">
      <w:pPr>
        <w:spacing w:after="0" w:line="276" w:lineRule="auto"/>
        <w:ind w:left="0" w:right="0" w:firstLine="0"/>
        <w:rPr>
          <w:rFonts w:ascii="ITC Avant Garde" w:hAnsi="ITC Avant Garde"/>
          <w:color w:val="auto"/>
        </w:rPr>
      </w:pPr>
    </w:p>
    <w:p w:rsidR="006236AA" w:rsidRPr="00330641" w:rsidRDefault="006236AA" w:rsidP="006B06E7">
      <w:pPr>
        <w:pStyle w:val="Prrafodelista"/>
        <w:numPr>
          <w:ilvl w:val="0"/>
          <w:numId w:val="11"/>
        </w:numPr>
        <w:spacing w:after="0" w:line="276" w:lineRule="auto"/>
        <w:ind w:right="0"/>
        <w:rPr>
          <w:rFonts w:ascii="ITC Avant Garde" w:hAnsi="ITC Avant Garde"/>
          <w:color w:val="auto"/>
          <w:u w:val="single"/>
        </w:rPr>
      </w:pPr>
      <w:r w:rsidRPr="00330641">
        <w:rPr>
          <w:rFonts w:ascii="ITC Avant Garde" w:hAnsi="ITC Avant Garde"/>
          <w:color w:val="auto"/>
        </w:rPr>
        <w:t>Tener un espacio mínimo disponible para la instalación del equipo del AEP</w:t>
      </w:r>
      <w:r w:rsidR="000C767B" w:rsidRPr="00330641">
        <w:rPr>
          <w:rFonts w:ascii="ITC Avant Garde" w:hAnsi="ITC Avant Garde"/>
          <w:color w:val="auto"/>
        </w:rPr>
        <w:t>.</w:t>
      </w:r>
      <w:r w:rsidRPr="00330641">
        <w:rPr>
          <w:rFonts w:ascii="ITC Avant Garde" w:hAnsi="ITC Avant Garde"/>
          <w:color w:val="auto"/>
        </w:rPr>
        <w:t xml:space="preserve"> </w:t>
      </w:r>
    </w:p>
    <w:p w:rsidR="006236AA" w:rsidRPr="00330641" w:rsidRDefault="006236AA" w:rsidP="006B06E7">
      <w:pPr>
        <w:pStyle w:val="Prrafodelista"/>
        <w:numPr>
          <w:ilvl w:val="0"/>
          <w:numId w:val="11"/>
        </w:numPr>
        <w:spacing w:after="0" w:line="276" w:lineRule="auto"/>
        <w:ind w:right="0"/>
        <w:rPr>
          <w:rFonts w:ascii="ITC Avant Garde" w:hAnsi="ITC Avant Garde"/>
          <w:color w:val="auto"/>
          <w:u w:val="single"/>
        </w:rPr>
      </w:pPr>
      <w:r w:rsidRPr="00330641">
        <w:rPr>
          <w:rFonts w:ascii="ITC Avant Garde" w:hAnsi="ITC Avant Garde"/>
          <w:color w:val="auto"/>
        </w:rPr>
        <w:t>El equipo del AEP no debe estar expuesto a los rayos del sol</w:t>
      </w:r>
      <w:r w:rsidR="000C767B" w:rsidRPr="00330641">
        <w:rPr>
          <w:rFonts w:ascii="ITC Avant Garde" w:hAnsi="ITC Avant Garde"/>
          <w:color w:val="auto"/>
        </w:rPr>
        <w:t>.</w:t>
      </w:r>
      <w:r w:rsidRPr="00330641">
        <w:rPr>
          <w:rFonts w:ascii="ITC Avant Garde" w:hAnsi="ITC Avant Garde"/>
          <w:color w:val="auto"/>
        </w:rPr>
        <w:t xml:space="preserve"> </w:t>
      </w:r>
    </w:p>
    <w:p w:rsidR="006236AA" w:rsidRPr="00330641" w:rsidRDefault="006236AA" w:rsidP="006B06E7">
      <w:pPr>
        <w:pStyle w:val="Prrafodelista"/>
        <w:numPr>
          <w:ilvl w:val="0"/>
          <w:numId w:val="11"/>
        </w:numPr>
        <w:spacing w:after="0" w:line="276" w:lineRule="auto"/>
        <w:ind w:right="0"/>
        <w:rPr>
          <w:rFonts w:ascii="ITC Avant Garde" w:hAnsi="ITC Avant Garde"/>
          <w:color w:val="auto"/>
          <w:u w:val="single"/>
        </w:rPr>
      </w:pPr>
      <w:r w:rsidRPr="00330641">
        <w:rPr>
          <w:rFonts w:ascii="ITC Avant Garde" w:hAnsi="ITC Avant Garde"/>
          <w:color w:val="auto"/>
        </w:rPr>
        <w:t>El equipo del AEP no debe estar expuesto a acumulación excesiva de polvo</w:t>
      </w:r>
      <w:r w:rsidR="000C767B" w:rsidRPr="00330641">
        <w:rPr>
          <w:rFonts w:ascii="ITC Avant Garde" w:hAnsi="ITC Avant Garde"/>
          <w:color w:val="auto"/>
        </w:rPr>
        <w:t>.</w:t>
      </w:r>
    </w:p>
    <w:p w:rsidR="006236AA" w:rsidRPr="00330641" w:rsidRDefault="006236AA" w:rsidP="006B06E7">
      <w:pPr>
        <w:pStyle w:val="Prrafodelista"/>
        <w:numPr>
          <w:ilvl w:val="0"/>
          <w:numId w:val="11"/>
        </w:numPr>
        <w:spacing w:after="0" w:line="276" w:lineRule="auto"/>
        <w:ind w:right="0"/>
        <w:rPr>
          <w:rFonts w:ascii="ITC Avant Garde" w:hAnsi="ITC Avant Garde"/>
          <w:color w:val="auto"/>
          <w:u w:val="single"/>
        </w:rPr>
      </w:pPr>
      <w:r w:rsidRPr="00330641">
        <w:rPr>
          <w:rFonts w:ascii="ITC Avant Garde" w:hAnsi="ITC Avant Garde"/>
          <w:color w:val="auto"/>
        </w:rPr>
        <w:t>El equipo del AEP no debe estar expuesto a la humedad</w:t>
      </w:r>
      <w:r w:rsidR="000C767B" w:rsidRPr="00330641">
        <w:rPr>
          <w:rFonts w:ascii="ITC Avant Garde" w:hAnsi="ITC Avant Garde"/>
          <w:color w:val="auto"/>
        </w:rPr>
        <w:t>.</w:t>
      </w:r>
      <w:r w:rsidRPr="00330641">
        <w:rPr>
          <w:rFonts w:ascii="ITC Avant Garde" w:hAnsi="ITC Avant Garde"/>
          <w:color w:val="auto"/>
        </w:rPr>
        <w:t xml:space="preserve"> </w:t>
      </w:r>
    </w:p>
    <w:p w:rsidR="006236AA" w:rsidRPr="00330641" w:rsidRDefault="006236AA" w:rsidP="006B06E7">
      <w:pPr>
        <w:pStyle w:val="Prrafodelista"/>
        <w:numPr>
          <w:ilvl w:val="0"/>
          <w:numId w:val="11"/>
        </w:numPr>
        <w:spacing w:after="0" w:line="276" w:lineRule="auto"/>
        <w:ind w:right="0"/>
        <w:rPr>
          <w:rFonts w:ascii="ITC Avant Garde" w:hAnsi="ITC Avant Garde"/>
          <w:color w:val="auto"/>
          <w:u w:val="single"/>
        </w:rPr>
      </w:pPr>
      <w:r w:rsidRPr="00330641">
        <w:rPr>
          <w:rFonts w:ascii="ITC Avant Garde" w:hAnsi="ITC Avant Garde"/>
          <w:color w:val="auto"/>
        </w:rPr>
        <w:t>Los cableados no deberán estar situados en pasillos o en lugares de tránsito</w:t>
      </w:r>
      <w:r w:rsidR="000C767B" w:rsidRPr="00330641">
        <w:rPr>
          <w:rFonts w:ascii="ITC Avant Garde" w:hAnsi="ITC Avant Garde"/>
          <w:color w:val="auto"/>
        </w:rPr>
        <w:t>.</w:t>
      </w:r>
      <w:r w:rsidRPr="00330641">
        <w:rPr>
          <w:rFonts w:ascii="ITC Avant Garde" w:hAnsi="ITC Avant Garde"/>
          <w:color w:val="auto"/>
        </w:rPr>
        <w:t xml:space="preserve"> </w:t>
      </w:r>
    </w:p>
    <w:p w:rsidR="006236AA" w:rsidRPr="00330641" w:rsidRDefault="006236AA" w:rsidP="006B06E7">
      <w:pPr>
        <w:pStyle w:val="Prrafodelista"/>
        <w:numPr>
          <w:ilvl w:val="0"/>
          <w:numId w:val="11"/>
        </w:numPr>
        <w:spacing w:after="0" w:line="276" w:lineRule="auto"/>
        <w:ind w:right="0"/>
        <w:rPr>
          <w:rFonts w:ascii="ITC Avant Garde" w:hAnsi="ITC Avant Garde"/>
          <w:color w:val="auto"/>
          <w:u w:val="single"/>
        </w:rPr>
      </w:pPr>
      <w:r w:rsidRPr="00330641">
        <w:rPr>
          <w:rFonts w:ascii="ITC Avant Garde" w:hAnsi="ITC Avant Garde"/>
          <w:color w:val="auto"/>
        </w:rPr>
        <w:t>La trayectoria del cable de alimentación no debe coincidir con la trayectoria del cable de conexión de la NTU, NTE o fibra óptica</w:t>
      </w:r>
      <w:r w:rsidR="000C767B" w:rsidRPr="00330641">
        <w:rPr>
          <w:rFonts w:ascii="ITC Avant Garde" w:hAnsi="ITC Avant Garde"/>
          <w:color w:val="auto"/>
        </w:rPr>
        <w:t>.</w:t>
      </w:r>
    </w:p>
    <w:p w:rsidR="000C767B" w:rsidRPr="00330641" w:rsidRDefault="000C767B" w:rsidP="006B06E7">
      <w:pPr>
        <w:pStyle w:val="Prrafodelista"/>
        <w:numPr>
          <w:ilvl w:val="0"/>
          <w:numId w:val="11"/>
        </w:numPr>
        <w:spacing w:after="0" w:line="276" w:lineRule="auto"/>
        <w:ind w:right="0"/>
        <w:rPr>
          <w:rFonts w:ascii="ITC Avant Garde" w:hAnsi="ITC Avant Garde"/>
          <w:color w:val="auto"/>
          <w:u w:val="single"/>
        </w:rPr>
      </w:pPr>
      <w:r w:rsidRPr="00330641">
        <w:rPr>
          <w:rFonts w:ascii="ITC Avant Garde" w:hAnsi="ITC Avant Garde"/>
          <w:color w:val="auto"/>
        </w:rPr>
        <w:t xml:space="preserve">Se recomienda utilizar clavijas polarizadas y aterrizadas. </w:t>
      </w:r>
    </w:p>
    <w:p w:rsidR="000C767B" w:rsidRPr="00330641" w:rsidRDefault="000C767B" w:rsidP="006B06E7">
      <w:pPr>
        <w:pStyle w:val="Prrafodelista"/>
        <w:numPr>
          <w:ilvl w:val="0"/>
          <w:numId w:val="11"/>
        </w:numPr>
        <w:spacing w:after="0" w:line="276" w:lineRule="auto"/>
        <w:ind w:right="0"/>
        <w:rPr>
          <w:rFonts w:ascii="ITC Avant Garde" w:hAnsi="ITC Avant Garde"/>
          <w:color w:val="auto"/>
          <w:u w:val="single"/>
        </w:rPr>
      </w:pPr>
      <w:r w:rsidRPr="00330641">
        <w:rPr>
          <w:rFonts w:ascii="ITC Avant Garde" w:hAnsi="ITC Avant Garde"/>
          <w:color w:val="auto"/>
        </w:rPr>
        <w:t xml:space="preserve">Se recomienda no utilizar </w:t>
      </w:r>
      <w:proofErr w:type="spellStart"/>
      <w:r w:rsidRPr="00330641">
        <w:rPr>
          <w:rFonts w:ascii="ITC Avant Garde" w:hAnsi="ITC Avant Garde"/>
          <w:color w:val="auto"/>
        </w:rPr>
        <w:t>multi</w:t>
      </w:r>
      <w:proofErr w:type="spellEnd"/>
      <w:r w:rsidRPr="00330641">
        <w:rPr>
          <w:rFonts w:ascii="ITC Avant Garde" w:hAnsi="ITC Avant Garde"/>
          <w:color w:val="auto"/>
        </w:rPr>
        <w:t xml:space="preserve"> contactos. </w:t>
      </w:r>
    </w:p>
    <w:p w:rsidR="000C767B" w:rsidRPr="00330641" w:rsidRDefault="000C767B" w:rsidP="006B06E7">
      <w:pPr>
        <w:pStyle w:val="Prrafodelista"/>
        <w:numPr>
          <w:ilvl w:val="0"/>
          <w:numId w:val="11"/>
        </w:numPr>
        <w:spacing w:after="0" w:line="276" w:lineRule="auto"/>
        <w:ind w:right="0"/>
        <w:rPr>
          <w:rFonts w:ascii="ITC Avant Garde" w:hAnsi="ITC Avant Garde"/>
          <w:color w:val="auto"/>
          <w:u w:val="single"/>
        </w:rPr>
      </w:pPr>
      <w:r w:rsidRPr="00330641">
        <w:rPr>
          <w:rFonts w:ascii="ITC Avant Garde" w:hAnsi="ITC Avant Garde"/>
          <w:color w:val="auto"/>
        </w:rPr>
        <w:t>Se recomienda que el tomacorriente se suministre desde una toma de corriente ininterrumpida.</w:t>
      </w:r>
    </w:p>
    <w:p w:rsidR="006236AA" w:rsidRPr="00330641" w:rsidRDefault="000C767B" w:rsidP="006B06E7">
      <w:pPr>
        <w:pStyle w:val="Prrafodelista"/>
        <w:numPr>
          <w:ilvl w:val="0"/>
          <w:numId w:val="11"/>
        </w:numPr>
        <w:spacing w:after="0" w:line="276" w:lineRule="auto"/>
        <w:ind w:right="0"/>
        <w:rPr>
          <w:rFonts w:ascii="ITC Avant Garde" w:hAnsi="ITC Avant Garde"/>
          <w:color w:val="auto"/>
          <w:u w:val="single"/>
        </w:rPr>
      </w:pPr>
      <w:r w:rsidRPr="00330641">
        <w:rPr>
          <w:rFonts w:ascii="ITC Avant Garde" w:hAnsi="ITC Avant Garde"/>
          <w:color w:val="auto"/>
        </w:rPr>
        <w:t xml:space="preserve">No colocar otros objetos encima de los equipos del AEP. </w:t>
      </w:r>
    </w:p>
    <w:p w:rsidR="000C767B" w:rsidRPr="00330641" w:rsidRDefault="000C767B" w:rsidP="00EC3F16">
      <w:pPr>
        <w:spacing w:after="0" w:line="276" w:lineRule="auto"/>
        <w:ind w:right="0"/>
        <w:rPr>
          <w:rFonts w:ascii="ITC Avant Garde" w:hAnsi="ITC Avant Garde" w:cs="Times New Roman"/>
          <w:b/>
          <w:color w:val="auto"/>
        </w:rPr>
      </w:pPr>
    </w:p>
    <w:p w:rsidR="000C767B" w:rsidRPr="00330641" w:rsidRDefault="000C767B" w:rsidP="00EC3F16">
      <w:pPr>
        <w:spacing w:after="0" w:line="276" w:lineRule="auto"/>
        <w:ind w:right="0"/>
        <w:rPr>
          <w:rFonts w:ascii="ITC Avant Garde" w:hAnsi="ITC Avant Garde" w:cs="Times New Roman"/>
          <w:b/>
          <w:color w:val="auto"/>
        </w:rPr>
      </w:pPr>
      <w:r w:rsidRPr="00330641">
        <w:rPr>
          <w:rFonts w:ascii="ITC Avant Garde" w:hAnsi="ITC Avant Garde" w:cs="Times New Roman"/>
          <w:b/>
          <w:color w:val="auto"/>
        </w:rPr>
        <w:t>Consideraciones del Instituto:</w:t>
      </w:r>
    </w:p>
    <w:p w:rsidR="00DA6492" w:rsidRPr="00330641" w:rsidRDefault="00DA6492" w:rsidP="00DA6492">
      <w:pPr>
        <w:spacing w:after="0" w:line="276" w:lineRule="auto"/>
        <w:ind w:left="0" w:right="0" w:firstLine="0"/>
        <w:rPr>
          <w:rFonts w:ascii="ITC Avant Garde" w:hAnsi="ITC Avant Garde"/>
          <w:color w:val="auto"/>
        </w:rPr>
      </w:pPr>
      <w:r w:rsidRPr="00330641">
        <w:rPr>
          <w:rFonts w:ascii="ITC Avant Garde" w:hAnsi="ITC Avant Garde"/>
          <w:color w:val="auto"/>
        </w:rPr>
        <w:t xml:space="preserve">Al respecto, </w:t>
      </w:r>
      <w:r w:rsidR="00D27F19" w:rsidRPr="00330641">
        <w:rPr>
          <w:rFonts w:ascii="ITC Avant Garde" w:hAnsi="ITC Avant Garde"/>
          <w:color w:val="auto"/>
        </w:rPr>
        <w:t xml:space="preserve">el Anexo E tiene como objetivo definir los requerimientos y especificaciones </w:t>
      </w:r>
      <w:r w:rsidR="00D27F19" w:rsidRPr="00330641">
        <w:rPr>
          <w:rFonts w:ascii="ITC Avant Garde" w:hAnsi="ITC Avant Garde"/>
          <w:b/>
          <w:i/>
          <w:color w:val="auto"/>
        </w:rPr>
        <w:t>generales</w:t>
      </w:r>
      <w:r w:rsidR="00D27F19" w:rsidRPr="00330641">
        <w:rPr>
          <w:rFonts w:ascii="ITC Avant Garde" w:hAnsi="ITC Avant Garde"/>
          <w:color w:val="auto"/>
        </w:rPr>
        <w:t xml:space="preserve"> de construcción para el acondicionamiento del Local-Cliente </w:t>
      </w:r>
      <w:r w:rsidR="0051711C" w:rsidRPr="00330641">
        <w:rPr>
          <w:rFonts w:ascii="ITC Avant Garde" w:hAnsi="ITC Avant Garde"/>
          <w:color w:val="auto"/>
        </w:rPr>
        <w:t xml:space="preserve">para el suministro de los servicios así como la protección al personal y equipo del AEP, en este sentido dicho Anexo cumple con dichas </w:t>
      </w:r>
      <w:r w:rsidR="0051711C" w:rsidRPr="00330641">
        <w:rPr>
          <w:rFonts w:ascii="ITC Avant Garde" w:hAnsi="ITC Avant Garde"/>
          <w:b/>
          <w:i/>
          <w:color w:val="auto"/>
        </w:rPr>
        <w:t xml:space="preserve">especificaciones Generales </w:t>
      </w:r>
      <w:r w:rsidR="0051711C" w:rsidRPr="00330641">
        <w:rPr>
          <w:rFonts w:ascii="ITC Avant Garde" w:hAnsi="ITC Avant Garde"/>
          <w:color w:val="auto"/>
        </w:rPr>
        <w:t xml:space="preserve">no obstante de ninguna manera limita poder implementar o llevar a cabo acciones que permitan mantener bajo condiciones adecuadas </w:t>
      </w:r>
      <w:r w:rsidR="007B66CB" w:rsidRPr="00330641">
        <w:rPr>
          <w:rFonts w:ascii="ITC Avant Garde" w:hAnsi="ITC Avant Garde"/>
          <w:color w:val="auto"/>
        </w:rPr>
        <w:t xml:space="preserve">o características específicas la instalación y cuidados de los </w:t>
      </w:r>
      <w:r w:rsidR="00C970C8">
        <w:rPr>
          <w:rFonts w:ascii="ITC Avant Garde" w:hAnsi="ITC Avant Garde"/>
          <w:color w:val="auto"/>
        </w:rPr>
        <w:t>equipos del AEP que se instalarán en el sitio del cliente final</w:t>
      </w:r>
      <w:r w:rsidR="007B66CB" w:rsidRPr="00330641">
        <w:rPr>
          <w:rFonts w:ascii="ITC Avant Garde" w:hAnsi="ITC Avant Garde"/>
          <w:color w:val="auto"/>
        </w:rPr>
        <w:t>.</w:t>
      </w:r>
    </w:p>
    <w:p w:rsidR="006236AA" w:rsidRPr="00330641" w:rsidRDefault="006236AA" w:rsidP="000F58E0">
      <w:pPr>
        <w:pStyle w:val="IFTnormal"/>
        <w:spacing w:after="0"/>
        <w:ind w:left="0"/>
        <w:rPr>
          <w:rFonts w:eastAsiaTheme="majorEastAsia"/>
          <w:b/>
          <w:u w:val="single"/>
        </w:rPr>
      </w:pPr>
    </w:p>
    <w:p w:rsidR="002325DE" w:rsidRPr="00330641" w:rsidRDefault="00936A14" w:rsidP="000F58E0">
      <w:pPr>
        <w:pStyle w:val="IFTnormal"/>
        <w:spacing w:after="0"/>
        <w:ind w:left="0"/>
        <w:rPr>
          <w:rFonts w:eastAsiaTheme="majorEastAsia"/>
          <w:u w:val="single"/>
        </w:rPr>
      </w:pPr>
      <w:r w:rsidRPr="00330641">
        <w:rPr>
          <w:rFonts w:eastAsiaTheme="majorEastAsia"/>
          <w:b/>
          <w:u w:val="single"/>
        </w:rPr>
        <w:t xml:space="preserve">ANEXO “F” PROCEDIMIENTO DE ACCESO A SITIOS. </w:t>
      </w:r>
    </w:p>
    <w:p w:rsidR="00C56220" w:rsidRPr="00330641" w:rsidRDefault="00CD7852" w:rsidP="000F58E0">
      <w:pPr>
        <w:pStyle w:val="IFTnormal"/>
        <w:spacing w:after="0"/>
        <w:ind w:left="0"/>
        <w:rPr>
          <w:b/>
        </w:rPr>
      </w:pPr>
      <w:r w:rsidRPr="00330641">
        <w:rPr>
          <w:b/>
        </w:rPr>
        <w:lastRenderedPageBreak/>
        <w:t>GRUPO AT&amp;T</w:t>
      </w:r>
      <w:r w:rsidR="0012273D" w:rsidRPr="00330641">
        <w:rPr>
          <w:b/>
        </w:rPr>
        <w:t>:</w:t>
      </w:r>
    </w:p>
    <w:p w:rsidR="002325DE" w:rsidRPr="00330641" w:rsidRDefault="0012211F" w:rsidP="000F58E0">
      <w:pPr>
        <w:spacing w:after="0" w:line="276" w:lineRule="auto"/>
        <w:ind w:left="0" w:right="0" w:firstLine="0"/>
        <w:rPr>
          <w:rFonts w:ascii="ITC Avant Garde" w:hAnsi="ITC Avant Garde"/>
          <w:i/>
          <w:color w:val="auto"/>
        </w:rPr>
      </w:pPr>
      <w:r>
        <w:rPr>
          <w:rFonts w:ascii="ITC Avant Garde" w:hAnsi="ITC Avant Garde"/>
          <w:color w:val="auto"/>
        </w:rPr>
        <w:t>Manifestó</w:t>
      </w:r>
      <w:r w:rsidR="00536A6E" w:rsidRPr="00330641">
        <w:rPr>
          <w:rFonts w:ascii="ITC Avant Garde" w:hAnsi="ITC Avant Garde"/>
          <w:color w:val="auto"/>
        </w:rPr>
        <w:t xml:space="preserve"> que la forma</w:t>
      </w:r>
      <w:r w:rsidR="00E84177" w:rsidRPr="00330641">
        <w:rPr>
          <w:rFonts w:ascii="ITC Avant Garde" w:hAnsi="ITC Avant Garde"/>
          <w:color w:val="auto"/>
        </w:rPr>
        <w:t xml:space="preserve"> más</w:t>
      </w:r>
      <w:r w:rsidR="00536A6E" w:rsidRPr="00330641">
        <w:rPr>
          <w:rFonts w:ascii="ITC Avant Garde" w:hAnsi="ITC Avant Garde"/>
          <w:color w:val="auto"/>
        </w:rPr>
        <w:t xml:space="preserve"> usual de ingreso a las instalaciones de otra empresa y en particular, las áreas que manejan equipos críticos, </w:t>
      </w:r>
      <w:r w:rsidR="00E84177" w:rsidRPr="00330641">
        <w:rPr>
          <w:rFonts w:ascii="ITC Avant Garde" w:hAnsi="ITC Avant Garde"/>
          <w:color w:val="auto"/>
        </w:rPr>
        <w:t xml:space="preserve">es </w:t>
      </w:r>
      <w:r w:rsidR="00536A6E" w:rsidRPr="00330641">
        <w:rPr>
          <w:rFonts w:ascii="ITC Avant Garde" w:hAnsi="ITC Avant Garde"/>
          <w:color w:val="auto"/>
        </w:rPr>
        <w:t>que el personal present</w:t>
      </w:r>
      <w:r w:rsidR="00E84177" w:rsidRPr="00330641">
        <w:rPr>
          <w:rFonts w:ascii="ITC Avant Garde" w:hAnsi="ITC Avant Garde"/>
          <w:color w:val="auto"/>
        </w:rPr>
        <w:t>e</w:t>
      </w:r>
      <w:r w:rsidR="00536A6E" w:rsidRPr="00330641">
        <w:rPr>
          <w:rFonts w:ascii="ITC Avant Garde" w:hAnsi="ITC Avant Garde"/>
          <w:color w:val="auto"/>
        </w:rPr>
        <w:t xml:space="preserve"> identificación oficial, credencial de la empresa para la que se trabaja y firmar la responsiva de confidencialidad.</w:t>
      </w:r>
    </w:p>
    <w:p w:rsidR="00033749" w:rsidRPr="00330641" w:rsidRDefault="00033749" w:rsidP="000F58E0">
      <w:pPr>
        <w:spacing w:after="0" w:line="276" w:lineRule="auto"/>
        <w:ind w:left="0" w:right="0"/>
        <w:rPr>
          <w:rFonts w:ascii="ITC Avant Garde" w:hAnsi="ITC Avant Garde"/>
          <w:color w:val="auto"/>
        </w:rPr>
      </w:pPr>
    </w:p>
    <w:p w:rsidR="00B80447" w:rsidRPr="00330641" w:rsidRDefault="00B80447" w:rsidP="000F58E0">
      <w:pPr>
        <w:spacing w:after="0" w:line="276" w:lineRule="auto"/>
        <w:ind w:left="0" w:right="0" w:firstLine="0"/>
        <w:rPr>
          <w:rFonts w:ascii="ITC Avant Garde" w:hAnsi="ITC Avant Garde" w:cs="Times New Roman"/>
          <w:b/>
          <w:color w:val="auto"/>
        </w:rPr>
      </w:pPr>
      <w:r w:rsidRPr="00330641">
        <w:rPr>
          <w:rFonts w:ascii="ITC Avant Garde" w:hAnsi="ITC Avant Garde" w:cs="Times New Roman"/>
          <w:b/>
          <w:color w:val="auto"/>
        </w:rPr>
        <w:t>Consideraciones del Instituto</w:t>
      </w:r>
      <w:r w:rsidR="0012273D" w:rsidRPr="00330641">
        <w:rPr>
          <w:rFonts w:ascii="ITC Avant Garde" w:hAnsi="ITC Avant Garde" w:cs="Times New Roman"/>
          <w:b/>
          <w:color w:val="auto"/>
        </w:rPr>
        <w:t>:</w:t>
      </w:r>
    </w:p>
    <w:p w:rsidR="0012273D" w:rsidRPr="00330641" w:rsidRDefault="00B80447" w:rsidP="000F58E0">
      <w:pPr>
        <w:spacing w:after="0" w:line="276" w:lineRule="auto"/>
        <w:ind w:left="0" w:right="0" w:firstLine="0"/>
        <w:rPr>
          <w:rFonts w:ascii="ITC Avant Garde" w:hAnsi="ITC Avant Garde"/>
          <w:color w:val="auto"/>
        </w:rPr>
      </w:pPr>
      <w:r w:rsidRPr="00330641">
        <w:rPr>
          <w:rFonts w:ascii="ITC Avant Garde" w:hAnsi="ITC Avant Garde"/>
          <w:color w:val="auto"/>
        </w:rPr>
        <w:t>En el Anexo aludido se establece que todo el personal que ingrese a la instalación deberá mostrar la identificación que lo acredite como trabajador de la Compañía a la que pertenece, mediante credencial actualizada.</w:t>
      </w:r>
      <w:r w:rsidR="0012273D" w:rsidRPr="00330641">
        <w:rPr>
          <w:rFonts w:ascii="ITC Avant Garde" w:hAnsi="ITC Avant Garde"/>
          <w:color w:val="auto"/>
        </w:rPr>
        <w:t xml:space="preserve"> Asimismo, y por lo que respecta a la identificación oficial ténganse por ténganse por reproducidos como si a la letra se insertasen las consideraciones expuestas en el numeral 2.4.3. Medición del cumplimiento de los Plazos de entrega.</w:t>
      </w:r>
    </w:p>
    <w:p w:rsidR="00B80447" w:rsidRPr="00330641" w:rsidRDefault="00B80447" w:rsidP="000F58E0">
      <w:pPr>
        <w:spacing w:after="0" w:line="276" w:lineRule="auto"/>
        <w:ind w:left="0" w:right="0"/>
        <w:rPr>
          <w:rFonts w:ascii="ITC Avant Garde" w:hAnsi="ITC Avant Garde"/>
          <w:color w:val="auto"/>
        </w:rPr>
      </w:pPr>
    </w:p>
    <w:p w:rsidR="00BF18BF" w:rsidRPr="00330641" w:rsidRDefault="00936A14" w:rsidP="000F58E0">
      <w:pPr>
        <w:pStyle w:val="IFTnormal"/>
        <w:spacing w:after="0"/>
        <w:ind w:left="0"/>
        <w:rPr>
          <w:rFonts w:eastAsiaTheme="majorEastAsia"/>
        </w:rPr>
      </w:pPr>
      <w:r w:rsidRPr="00330641">
        <w:rPr>
          <w:rFonts w:eastAsiaTheme="majorEastAsia"/>
          <w:b/>
          <w:u w:val="single"/>
        </w:rPr>
        <w:t>ANEXO “G” FORMATO DE PRONÓSTICO DE REQUERIMIENTO DE SERVICIO</w:t>
      </w:r>
      <w:r w:rsidRPr="00330641">
        <w:rPr>
          <w:rFonts w:eastAsiaTheme="majorEastAsia"/>
          <w:b/>
        </w:rPr>
        <w:t xml:space="preserve"> </w:t>
      </w:r>
    </w:p>
    <w:p w:rsidR="00C206F2" w:rsidRPr="00330641" w:rsidRDefault="00C206F2" w:rsidP="000F58E0">
      <w:pPr>
        <w:pStyle w:val="IFTnormal"/>
        <w:tabs>
          <w:tab w:val="left" w:pos="2275"/>
        </w:tabs>
        <w:spacing w:after="0"/>
        <w:ind w:left="0"/>
        <w:rPr>
          <w:b/>
        </w:rPr>
      </w:pPr>
      <w:r w:rsidRPr="00330641">
        <w:rPr>
          <w:b/>
        </w:rPr>
        <w:t>AXTEL</w:t>
      </w:r>
      <w:r w:rsidR="0012273D" w:rsidRPr="00330641">
        <w:rPr>
          <w:b/>
        </w:rPr>
        <w:t>:</w:t>
      </w:r>
    </w:p>
    <w:p w:rsidR="000C767B" w:rsidRPr="00330641" w:rsidRDefault="000C767B" w:rsidP="000C767B">
      <w:pPr>
        <w:spacing w:after="0" w:line="276" w:lineRule="auto"/>
        <w:ind w:left="0" w:right="0" w:firstLine="0"/>
        <w:rPr>
          <w:rFonts w:ascii="ITC Avant Garde" w:hAnsi="ITC Avant Garde"/>
          <w:color w:val="auto"/>
        </w:rPr>
      </w:pPr>
      <w:r w:rsidRPr="00330641">
        <w:rPr>
          <w:rFonts w:ascii="ITC Avant Garde" w:hAnsi="ITC Avant Garde"/>
          <w:color w:val="auto"/>
        </w:rPr>
        <w:t xml:space="preserve">Con respecto a lo </w:t>
      </w:r>
      <w:r w:rsidR="003030FC">
        <w:rPr>
          <w:rFonts w:ascii="ITC Avant Garde" w:hAnsi="ITC Avant Garde"/>
          <w:color w:val="auto"/>
        </w:rPr>
        <w:t>señalado</w:t>
      </w:r>
      <w:r w:rsidRPr="00330641">
        <w:rPr>
          <w:rFonts w:ascii="ITC Avant Garde" w:hAnsi="ITC Avant Garde"/>
          <w:color w:val="auto"/>
        </w:rPr>
        <w:t xml:space="preserve"> en el Anexo “G”, </w:t>
      </w:r>
      <w:r w:rsidR="003030FC">
        <w:rPr>
          <w:rFonts w:ascii="ITC Avant Garde" w:hAnsi="ITC Avant Garde"/>
          <w:color w:val="auto"/>
        </w:rPr>
        <w:t>solicitó</w:t>
      </w:r>
      <w:r w:rsidRPr="00330641">
        <w:rPr>
          <w:rFonts w:ascii="ITC Avant Garde" w:hAnsi="ITC Avant Garde"/>
          <w:color w:val="auto"/>
        </w:rPr>
        <w:t xml:space="preserve"> al Instituto se considere sus manifestaciones y postura en el apartado 2.2.  </w:t>
      </w:r>
    </w:p>
    <w:p w:rsidR="008C6FAA" w:rsidRPr="00330641" w:rsidRDefault="008C6FAA" w:rsidP="000F58E0">
      <w:pPr>
        <w:spacing w:after="0" w:line="276" w:lineRule="auto"/>
        <w:ind w:left="0" w:right="0" w:firstLine="0"/>
        <w:rPr>
          <w:rFonts w:ascii="ITC Avant Garde" w:hAnsi="ITC Avant Garde"/>
          <w:color w:val="auto"/>
        </w:rPr>
      </w:pPr>
    </w:p>
    <w:p w:rsidR="00E7168E" w:rsidRPr="00330641" w:rsidRDefault="00E7168E" w:rsidP="000F58E0">
      <w:pPr>
        <w:spacing w:after="0" w:line="276" w:lineRule="auto"/>
        <w:ind w:left="0" w:right="0" w:firstLine="0"/>
        <w:rPr>
          <w:rFonts w:ascii="ITC Avant Garde" w:hAnsi="ITC Avant Garde" w:cs="Times New Roman"/>
          <w:b/>
          <w:color w:val="auto"/>
        </w:rPr>
      </w:pPr>
      <w:r w:rsidRPr="00330641">
        <w:rPr>
          <w:rFonts w:ascii="ITC Avant Garde" w:hAnsi="ITC Avant Garde" w:cs="Times New Roman"/>
          <w:b/>
          <w:color w:val="auto"/>
        </w:rPr>
        <w:t>Consideraciones del Instituto</w:t>
      </w:r>
      <w:r w:rsidR="0012273D" w:rsidRPr="00330641">
        <w:rPr>
          <w:rFonts w:ascii="ITC Avant Garde" w:hAnsi="ITC Avant Garde" w:cs="Times New Roman"/>
          <w:b/>
          <w:color w:val="auto"/>
        </w:rPr>
        <w:t>:</w:t>
      </w:r>
    </w:p>
    <w:p w:rsidR="0012273D" w:rsidRPr="00330641" w:rsidRDefault="00E210FD" w:rsidP="00EC3F16">
      <w:pPr>
        <w:spacing w:after="0" w:line="276" w:lineRule="auto"/>
        <w:ind w:left="0" w:right="0"/>
        <w:rPr>
          <w:rFonts w:ascii="ITC Avant Garde" w:hAnsi="ITC Avant Garde"/>
        </w:rPr>
      </w:pPr>
      <w:r w:rsidRPr="00330641">
        <w:rPr>
          <w:rFonts w:ascii="ITC Avant Garde" w:hAnsi="ITC Avant Garde"/>
        </w:rPr>
        <w:t xml:space="preserve">Al respecto, ténganse por reproducidos como si a la letra se insertasen las consideraciones expuestas en el numeral </w:t>
      </w:r>
      <w:r w:rsidR="0012273D" w:rsidRPr="00330641">
        <w:rPr>
          <w:rFonts w:ascii="ITC Avant Garde" w:hAnsi="ITC Avant Garde"/>
        </w:rPr>
        <w:t>2.2 Pronóstico de Servicios.</w:t>
      </w:r>
    </w:p>
    <w:p w:rsidR="005F7CF7" w:rsidRPr="00330641" w:rsidRDefault="005F7CF7" w:rsidP="000F58E0">
      <w:pPr>
        <w:spacing w:after="0" w:line="276" w:lineRule="auto"/>
        <w:ind w:left="0" w:right="0" w:firstLine="0"/>
        <w:rPr>
          <w:rFonts w:ascii="ITC Avant Garde" w:hAnsi="ITC Avant Garde"/>
          <w:color w:val="auto"/>
        </w:rPr>
      </w:pPr>
    </w:p>
    <w:p w:rsidR="00DA60CB" w:rsidRPr="0088169D" w:rsidRDefault="00DA60CB" w:rsidP="000F58E0">
      <w:pPr>
        <w:pStyle w:val="IFTnormal"/>
        <w:spacing w:after="0"/>
        <w:ind w:left="0"/>
        <w:rPr>
          <w:b/>
          <w:u w:val="single"/>
        </w:rPr>
      </w:pPr>
      <w:r w:rsidRPr="0088169D">
        <w:rPr>
          <w:b/>
          <w:u w:val="single"/>
        </w:rPr>
        <w:t xml:space="preserve">MODELO </w:t>
      </w:r>
      <w:r w:rsidR="00A828EB" w:rsidRPr="0088169D">
        <w:rPr>
          <w:b/>
          <w:u w:val="single"/>
        </w:rPr>
        <w:t xml:space="preserve">DE </w:t>
      </w:r>
      <w:r w:rsidRPr="0088169D">
        <w:rPr>
          <w:b/>
          <w:u w:val="single"/>
        </w:rPr>
        <w:t>CONVENIO</w:t>
      </w:r>
      <w:r w:rsidR="00E01AC3" w:rsidRPr="0088169D">
        <w:rPr>
          <w:b/>
          <w:u w:val="single"/>
        </w:rPr>
        <w:t>.</w:t>
      </w:r>
      <w:r w:rsidRPr="0088169D">
        <w:rPr>
          <w:b/>
          <w:u w:val="single"/>
        </w:rPr>
        <w:t xml:space="preserve"> </w:t>
      </w:r>
    </w:p>
    <w:p w:rsidR="00936A14" w:rsidRPr="00330641" w:rsidRDefault="00936A14" w:rsidP="000F58E0">
      <w:pPr>
        <w:pStyle w:val="IFTnormal"/>
        <w:spacing w:after="0"/>
        <w:ind w:left="0"/>
        <w:rPr>
          <w:rFonts w:eastAsiaTheme="majorEastAsia" w:cstheme="majorBidi"/>
          <w:b/>
          <w:u w:val="single"/>
          <w:lang w:val="es-ES_tradnl"/>
        </w:rPr>
      </w:pPr>
      <w:r w:rsidRPr="00330641">
        <w:rPr>
          <w:rFonts w:eastAsiaTheme="majorEastAsia" w:cstheme="majorBidi"/>
          <w:b/>
          <w:bCs/>
          <w:u w:val="single"/>
          <w:lang w:val="es-ES_tradnl"/>
        </w:rPr>
        <w:t xml:space="preserve">Cláusula Primera Definiciones </w:t>
      </w:r>
    </w:p>
    <w:p w:rsidR="005F7CF7" w:rsidRPr="00330641" w:rsidRDefault="00C206F2" w:rsidP="000F58E0">
      <w:pPr>
        <w:pStyle w:val="IFTnormal"/>
        <w:spacing w:after="0"/>
        <w:ind w:left="0"/>
        <w:rPr>
          <w:rFonts w:eastAsiaTheme="majorEastAsia" w:cstheme="majorBidi"/>
          <w:lang w:val="es-ES_tradnl"/>
        </w:rPr>
      </w:pPr>
      <w:r w:rsidRPr="00330641">
        <w:rPr>
          <w:b/>
        </w:rPr>
        <w:t>AXTEL</w:t>
      </w:r>
      <w:r w:rsidR="00C256A6" w:rsidRPr="00330641">
        <w:rPr>
          <w:b/>
        </w:rPr>
        <w:t>:</w:t>
      </w:r>
    </w:p>
    <w:p w:rsidR="00C206F2" w:rsidRPr="00330641" w:rsidRDefault="00452908" w:rsidP="000F58E0">
      <w:pPr>
        <w:spacing w:after="0" w:line="276" w:lineRule="auto"/>
        <w:ind w:left="0" w:right="0" w:firstLine="0"/>
        <w:rPr>
          <w:rFonts w:ascii="ITC Avant Garde" w:hAnsi="ITC Avant Garde"/>
          <w:color w:val="auto"/>
        </w:rPr>
      </w:pPr>
      <w:r>
        <w:rPr>
          <w:rFonts w:ascii="ITC Avant Garde" w:hAnsi="ITC Avant Garde"/>
          <w:color w:val="auto"/>
        </w:rPr>
        <w:t xml:space="preserve">Recomendó </w:t>
      </w:r>
      <w:r w:rsidR="00C206F2" w:rsidRPr="00330641">
        <w:rPr>
          <w:rFonts w:ascii="ITC Avant Garde" w:hAnsi="ITC Avant Garde"/>
          <w:color w:val="auto"/>
        </w:rPr>
        <w:t xml:space="preserve">incluir las definiciones </w:t>
      </w:r>
      <w:r w:rsidR="007D1956" w:rsidRPr="00330641">
        <w:rPr>
          <w:rFonts w:ascii="ITC Avant Garde" w:hAnsi="ITC Avant Garde"/>
          <w:color w:val="auto"/>
        </w:rPr>
        <w:t xml:space="preserve">REFERENCIA </w:t>
      </w:r>
      <w:r w:rsidR="00C206F2" w:rsidRPr="00330641">
        <w:rPr>
          <w:rFonts w:ascii="ITC Avant Garde" w:hAnsi="ITC Avant Garde"/>
          <w:color w:val="auto"/>
        </w:rPr>
        <w:t xml:space="preserve">y </w:t>
      </w:r>
      <w:r w:rsidR="007D1956" w:rsidRPr="00330641">
        <w:rPr>
          <w:rFonts w:ascii="ITC Avant Garde" w:hAnsi="ITC Avant Garde"/>
          <w:color w:val="auto"/>
        </w:rPr>
        <w:t xml:space="preserve">FOLIO </w:t>
      </w:r>
      <w:r w:rsidR="00C206F2" w:rsidRPr="00330641">
        <w:rPr>
          <w:rFonts w:ascii="ITC Avant Garde" w:hAnsi="ITC Avant Garde"/>
          <w:color w:val="auto"/>
        </w:rPr>
        <w:t>respectivamente.</w:t>
      </w:r>
      <w:r w:rsidR="007D1956" w:rsidRPr="00330641">
        <w:rPr>
          <w:rFonts w:ascii="ITC Avant Garde" w:hAnsi="ITC Avant Garde"/>
          <w:color w:val="auto"/>
        </w:rPr>
        <w:t xml:space="preserve"> </w:t>
      </w:r>
      <w:r w:rsidR="00C206F2" w:rsidRPr="00330641">
        <w:rPr>
          <w:rFonts w:ascii="ITC Avant Garde" w:hAnsi="ITC Avant Garde"/>
          <w:color w:val="auto"/>
        </w:rPr>
        <w:t>Las palabras en cuestión son utilizadas dentro de la Oferta Propuesta, Convenio Propuesto y Anexos.</w:t>
      </w:r>
    </w:p>
    <w:p w:rsidR="00C206F2" w:rsidRPr="00330641" w:rsidRDefault="00C206F2" w:rsidP="000F58E0">
      <w:pPr>
        <w:spacing w:after="0" w:line="276" w:lineRule="auto"/>
        <w:ind w:left="0" w:right="0" w:firstLine="0"/>
        <w:rPr>
          <w:rFonts w:ascii="ITC Avant Garde" w:hAnsi="ITC Avant Garde"/>
          <w:color w:val="auto"/>
        </w:rPr>
      </w:pPr>
    </w:p>
    <w:p w:rsidR="00B247FF" w:rsidRPr="00330641" w:rsidRDefault="00B247FF" w:rsidP="000F58E0">
      <w:pPr>
        <w:spacing w:after="0" w:line="276" w:lineRule="auto"/>
        <w:ind w:left="0" w:right="0" w:firstLine="0"/>
        <w:rPr>
          <w:rFonts w:ascii="ITC Avant Garde" w:hAnsi="ITC Avant Garde" w:cs="Times New Roman"/>
          <w:b/>
          <w:color w:val="auto"/>
        </w:rPr>
      </w:pPr>
      <w:r w:rsidRPr="00330641">
        <w:rPr>
          <w:rFonts w:ascii="ITC Avant Garde" w:hAnsi="ITC Avant Garde" w:cs="Times New Roman"/>
          <w:b/>
          <w:color w:val="auto"/>
        </w:rPr>
        <w:t>Consideraciones del Instituto</w:t>
      </w:r>
      <w:r w:rsidR="006C4BBF" w:rsidRPr="00330641">
        <w:rPr>
          <w:rFonts w:ascii="ITC Avant Garde" w:hAnsi="ITC Avant Garde" w:cs="Times New Roman"/>
          <w:b/>
          <w:color w:val="auto"/>
        </w:rPr>
        <w:t>:</w:t>
      </w:r>
    </w:p>
    <w:p w:rsidR="00C970C8" w:rsidRDefault="00171C91" w:rsidP="000F58E0">
      <w:pPr>
        <w:spacing w:after="0" w:line="276" w:lineRule="auto"/>
        <w:ind w:left="0" w:right="0" w:firstLine="0"/>
        <w:rPr>
          <w:rFonts w:ascii="ITC Avant Garde" w:hAnsi="ITC Avant Garde"/>
          <w:color w:val="auto"/>
        </w:rPr>
      </w:pPr>
      <w:r w:rsidRPr="00330641">
        <w:rPr>
          <w:rFonts w:ascii="ITC Avant Garde" w:hAnsi="ITC Avant Garde"/>
          <w:color w:val="auto"/>
        </w:rPr>
        <w:t>Al respecto, dichas palabras se utilizan a lo largo de la ORE</w:t>
      </w:r>
      <w:r w:rsidR="00E210FD" w:rsidRPr="00330641">
        <w:rPr>
          <w:rFonts w:ascii="ITC Avant Garde" w:hAnsi="ITC Avant Garde"/>
          <w:color w:val="auto"/>
        </w:rPr>
        <w:t xml:space="preserve"> DM</w:t>
      </w:r>
      <w:r w:rsidRPr="00330641">
        <w:rPr>
          <w:rFonts w:ascii="ITC Avant Garde" w:hAnsi="ITC Avant Garde"/>
          <w:color w:val="auto"/>
        </w:rPr>
        <w:t xml:space="preserve"> 202</w:t>
      </w:r>
      <w:r w:rsidR="00E210FD" w:rsidRPr="00330641">
        <w:rPr>
          <w:rFonts w:ascii="ITC Avant Garde" w:hAnsi="ITC Avant Garde"/>
          <w:color w:val="auto"/>
        </w:rPr>
        <w:t>1</w:t>
      </w:r>
      <w:r w:rsidRPr="00330641">
        <w:rPr>
          <w:rFonts w:ascii="ITC Avant Garde" w:hAnsi="ITC Avant Garde"/>
          <w:color w:val="auto"/>
        </w:rPr>
        <w:t xml:space="preserve"> para distintas situaciones por ejemplo la palabra “referencia” puede corresponder a “numero de referencia” “referencia del servicio” “referencia del acta” “referencia de solicitud” “referencia asociada” etc., mismo caso sucede con la palabra </w:t>
      </w:r>
      <w:r w:rsidR="006C4BBF" w:rsidRPr="00330641">
        <w:rPr>
          <w:rFonts w:ascii="ITC Avant Garde" w:hAnsi="ITC Avant Garde"/>
          <w:color w:val="auto"/>
        </w:rPr>
        <w:t>“</w:t>
      </w:r>
      <w:r w:rsidRPr="00330641">
        <w:rPr>
          <w:rFonts w:ascii="ITC Avant Garde" w:hAnsi="ITC Avant Garde"/>
          <w:color w:val="auto"/>
        </w:rPr>
        <w:t>folio</w:t>
      </w:r>
      <w:r w:rsidR="006C4BBF" w:rsidRPr="00330641">
        <w:rPr>
          <w:rFonts w:ascii="ITC Avant Garde" w:hAnsi="ITC Avant Garde"/>
          <w:color w:val="auto"/>
        </w:rPr>
        <w:t>”</w:t>
      </w:r>
      <w:r w:rsidRPr="00330641">
        <w:rPr>
          <w:rFonts w:ascii="ITC Avant Garde" w:hAnsi="ITC Avant Garde"/>
          <w:color w:val="auto"/>
        </w:rPr>
        <w:t xml:space="preserve">, en </w:t>
      </w:r>
      <w:r w:rsidR="00330641">
        <w:rPr>
          <w:rFonts w:ascii="ITC Avant Garde" w:hAnsi="ITC Avant Garde"/>
          <w:color w:val="auto"/>
        </w:rPr>
        <w:t>tal</w:t>
      </w:r>
      <w:r w:rsidR="00693248" w:rsidRPr="00330641">
        <w:rPr>
          <w:rFonts w:ascii="ITC Avant Garde" w:hAnsi="ITC Avant Garde"/>
          <w:color w:val="auto"/>
        </w:rPr>
        <w:t xml:space="preserve"> </w:t>
      </w:r>
      <w:r w:rsidRPr="00330641">
        <w:rPr>
          <w:rFonts w:ascii="ITC Avant Garde" w:hAnsi="ITC Avant Garde"/>
          <w:color w:val="auto"/>
        </w:rPr>
        <w:t>tesitura</w:t>
      </w:r>
      <w:r w:rsidR="006C4BBF" w:rsidRPr="00330641">
        <w:rPr>
          <w:rFonts w:ascii="ITC Avant Garde" w:hAnsi="ITC Avant Garde"/>
          <w:color w:val="auto"/>
        </w:rPr>
        <w:t xml:space="preserve"> </w:t>
      </w:r>
      <w:r w:rsidR="00C970C8">
        <w:rPr>
          <w:rFonts w:ascii="ITC Avant Garde" w:hAnsi="ITC Avant Garde"/>
          <w:color w:val="auto"/>
        </w:rPr>
        <w:t>no es posible definir dichos términos.</w:t>
      </w:r>
    </w:p>
    <w:p w:rsidR="006C4BBF" w:rsidRPr="00330641" w:rsidRDefault="00C970C8" w:rsidP="000F58E0">
      <w:pPr>
        <w:spacing w:after="0" w:line="276" w:lineRule="auto"/>
        <w:ind w:left="0" w:right="0" w:firstLine="0"/>
        <w:rPr>
          <w:rFonts w:ascii="ITC Avant Garde" w:hAnsi="ITC Avant Garde"/>
          <w:color w:val="auto"/>
        </w:rPr>
      </w:pPr>
      <w:r w:rsidRPr="00330641">
        <w:rPr>
          <w:rFonts w:ascii="ITC Avant Garde" w:hAnsi="ITC Avant Garde"/>
          <w:color w:val="auto"/>
        </w:rPr>
        <w:t xml:space="preserve"> </w:t>
      </w:r>
    </w:p>
    <w:p w:rsidR="00DA60CB" w:rsidRPr="00330641" w:rsidRDefault="00DA60CB" w:rsidP="000F58E0">
      <w:pPr>
        <w:pStyle w:val="IFTnormal"/>
        <w:spacing w:after="0"/>
        <w:ind w:left="0"/>
        <w:rPr>
          <w:rFonts w:eastAsiaTheme="majorEastAsia" w:cstheme="majorBidi"/>
          <w:u w:val="single"/>
          <w:lang w:val="es-ES_tradnl"/>
        </w:rPr>
      </w:pPr>
      <w:r w:rsidRPr="00330641">
        <w:rPr>
          <w:rFonts w:eastAsiaTheme="majorEastAsia" w:cstheme="majorBidi"/>
          <w:b/>
          <w:bCs/>
          <w:u w:val="single"/>
          <w:lang w:val="es-ES_tradnl"/>
        </w:rPr>
        <w:t xml:space="preserve">Cláusula Tercera </w:t>
      </w:r>
      <w:r w:rsidR="006902E6" w:rsidRPr="00330641">
        <w:rPr>
          <w:rFonts w:eastAsiaTheme="majorEastAsia" w:cstheme="majorBidi"/>
          <w:b/>
          <w:bCs/>
          <w:u w:val="single"/>
          <w:lang w:val="es-ES_tradnl"/>
        </w:rPr>
        <w:t>Precio y Condiciones de Pago</w:t>
      </w:r>
      <w:r w:rsidR="00E01AC3" w:rsidRPr="00330641">
        <w:rPr>
          <w:rFonts w:eastAsiaTheme="majorEastAsia" w:cstheme="majorBidi"/>
          <w:b/>
          <w:bCs/>
          <w:u w:val="single"/>
          <w:lang w:val="es-ES_tradnl"/>
        </w:rPr>
        <w:t>.</w:t>
      </w:r>
      <w:r w:rsidR="006902E6" w:rsidRPr="00330641">
        <w:rPr>
          <w:rFonts w:eastAsiaTheme="majorEastAsia" w:cstheme="majorBidi"/>
          <w:b/>
          <w:bCs/>
          <w:u w:val="single"/>
          <w:lang w:val="es-ES_tradnl"/>
        </w:rPr>
        <w:t xml:space="preserve"> </w:t>
      </w:r>
    </w:p>
    <w:p w:rsidR="005E427B" w:rsidRPr="00330641" w:rsidRDefault="00C206F2" w:rsidP="000F58E0">
      <w:pPr>
        <w:spacing w:after="0" w:line="276" w:lineRule="auto"/>
        <w:ind w:left="0" w:right="0"/>
        <w:rPr>
          <w:rFonts w:ascii="ITC Avant Garde" w:hAnsi="ITC Avant Garde"/>
          <w:b/>
          <w:color w:val="auto"/>
        </w:rPr>
      </w:pPr>
      <w:r w:rsidRPr="00330641">
        <w:rPr>
          <w:rFonts w:ascii="ITC Avant Garde" w:hAnsi="ITC Avant Garde"/>
          <w:b/>
          <w:color w:val="auto"/>
        </w:rPr>
        <w:t>AXTEL</w:t>
      </w:r>
      <w:r w:rsidR="00C256A6" w:rsidRPr="00330641">
        <w:rPr>
          <w:rFonts w:ascii="ITC Avant Garde" w:hAnsi="ITC Avant Garde"/>
          <w:b/>
          <w:color w:val="auto"/>
        </w:rPr>
        <w:t>:</w:t>
      </w:r>
    </w:p>
    <w:p w:rsidR="00C206F2" w:rsidRPr="00330641" w:rsidRDefault="003030FC" w:rsidP="000F58E0">
      <w:pPr>
        <w:spacing w:after="0" w:line="276" w:lineRule="auto"/>
        <w:ind w:left="0" w:right="0"/>
        <w:rPr>
          <w:rFonts w:ascii="ITC Avant Garde" w:hAnsi="ITC Avant Garde"/>
          <w:color w:val="auto"/>
        </w:rPr>
      </w:pPr>
      <w:r>
        <w:rPr>
          <w:rFonts w:ascii="ITC Avant Garde" w:hAnsi="ITC Avant Garde"/>
          <w:color w:val="auto"/>
        </w:rPr>
        <w:t>Argumentó</w:t>
      </w:r>
      <w:r w:rsidR="003371F5" w:rsidRPr="00330641">
        <w:rPr>
          <w:rFonts w:ascii="ITC Avant Garde" w:hAnsi="ITC Avant Garde"/>
          <w:color w:val="auto"/>
        </w:rPr>
        <w:t xml:space="preserve"> que el </w:t>
      </w:r>
      <w:r w:rsidR="00C970C8">
        <w:rPr>
          <w:rFonts w:ascii="ITC Avant Garde" w:hAnsi="ITC Avant Garde"/>
          <w:color w:val="auto"/>
        </w:rPr>
        <w:t>i</w:t>
      </w:r>
      <w:r w:rsidR="00C206F2" w:rsidRPr="00330641">
        <w:rPr>
          <w:rFonts w:ascii="ITC Avant Garde" w:hAnsi="ITC Avant Garde"/>
          <w:color w:val="auto"/>
        </w:rPr>
        <w:t xml:space="preserve">nciso </w:t>
      </w:r>
      <w:r w:rsidR="003371F5" w:rsidRPr="00330641">
        <w:rPr>
          <w:rFonts w:ascii="ITC Avant Garde" w:hAnsi="ITC Avant Garde"/>
          <w:color w:val="auto"/>
        </w:rPr>
        <w:t>a</w:t>
      </w:r>
      <w:r w:rsidR="005E3823" w:rsidRPr="00330641">
        <w:rPr>
          <w:rFonts w:ascii="ITC Avant Garde" w:hAnsi="ITC Avant Garde"/>
          <w:color w:val="auto"/>
        </w:rPr>
        <w:t>)</w:t>
      </w:r>
      <w:r w:rsidR="00C206F2" w:rsidRPr="00330641">
        <w:rPr>
          <w:rFonts w:ascii="ITC Avant Garde" w:hAnsi="ITC Avant Garde"/>
          <w:color w:val="auto"/>
        </w:rPr>
        <w:t xml:space="preserve"> de la Cláusula Tercera</w:t>
      </w:r>
      <w:r w:rsidR="005E3823" w:rsidRPr="00330641">
        <w:rPr>
          <w:rFonts w:ascii="ITC Avant Garde" w:hAnsi="ITC Avant Garde"/>
          <w:color w:val="auto"/>
        </w:rPr>
        <w:t>, previo a realizar un pago por gastos de instalación o cualquier otro concepto,</w:t>
      </w:r>
      <w:r w:rsidR="00C206F2" w:rsidRPr="00330641">
        <w:rPr>
          <w:rFonts w:ascii="ITC Avant Garde" w:hAnsi="ITC Avant Garde"/>
          <w:color w:val="auto"/>
        </w:rPr>
        <w:t xml:space="preserve"> requiere una factura</w:t>
      </w:r>
      <w:r w:rsidR="005E3823" w:rsidRPr="00330641">
        <w:rPr>
          <w:rFonts w:ascii="ITC Avant Garde" w:hAnsi="ITC Avant Garde"/>
          <w:color w:val="auto"/>
        </w:rPr>
        <w:t xml:space="preserve"> como es </w:t>
      </w:r>
      <w:r w:rsidR="005E3823" w:rsidRPr="00330641">
        <w:rPr>
          <w:rFonts w:ascii="ITC Avant Garde" w:hAnsi="ITC Avant Garde"/>
          <w:color w:val="auto"/>
        </w:rPr>
        <w:lastRenderedPageBreak/>
        <w:t>comúnmente considerado en la industria y el comercio nacional</w:t>
      </w:r>
      <w:r w:rsidR="00C206F2" w:rsidRPr="00330641">
        <w:rPr>
          <w:rFonts w:ascii="ITC Avant Garde" w:hAnsi="ITC Avant Garde"/>
          <w:color w:val="auto"/>
        </w:rPr>
        <w:t>.</w:t>
      </w:r>
      <w:r w:rsidR="005E3823" w:rsidRPr="00330641">
        <w:rPr>
          <w:rFonts w:ascii="ITC Avant Garde" w:hAnsi="ITC Avant Garde"/>
          <w:color w:val="auto"/>
        </w:rPr>
        <w:t xml:space="preserve"> Por lo que</w:t>
      </w:r>
      <w:r w:rsidR="00E753FE" w:rsidRPr="00330641">
        <w:rPr>
          <w:rFonts w:ascii="ITC Avant Garde" w:hAnsi="ITC Avant Garde"/>
          <w:color w:val="auto"/>
        </w:rPr>
        <w:t xml:space="preserve"> </w:t>
      </w:r>
      <w:r>
        <w:rPr>
          <w:rFonts w:ascii="ITC Avant Garde" w:hAnsi="ITC Avant Garde"/>
          <w:color w:val="auto"/>
        </w:rPr>
        <w:t>m</w:t>
      </w:r>
      <w:r w:rsidR="0012211F">
        <w:rPr>
          <w:rFonts w:ascii="ITC Avant Garde" w:hAnsi="ITC Avant Garde"/>
          <w:color w:val="auto"/>
        </w:rPr>
        <w:t>anifestó</w:t>
      </w:r>
      <w:r w:rsidR="00E753FE" w:rsidRPr="00330641">
        <w:rPr>
          <w:rFonts w:ascii="ITC Avant Garde" w:hAnsi="ITC Avant Garde"/>
          <w:color w:val="auto"/>
        </w:rPr>
        <w:t xml:space="preserve"> que</w:t>
      </w:r>
      <w:r w:rsidR="005E3823" w:rsidRPr="00330641">
        <w:rPr>
          <w:rFonts w:ascii="ITC Avant Garde" w:hAnsi="ITC Avant Garde"/>
          <w:color w:val="auto"/>
        </w:rPr>
        <w:t xml:space="preserve"> en los escenarios en que el AEP no envíe la factura oportunamente, los pagos se convierten en no deducibles.</w:t>
      </w:r>
    </w:p>
    <w:p w:rsidR="00C206F2" w:rsidRPr="00330641" w:rsidRDefault="00C206F2" w:rsidP="000F58E0">
      <w:pPr>
        <w:spacing w:after="0" w:line="276" w:lineRule="auto"/>
        <w:ind w:left="0" w:right="0"/>
        <w:rPr>
          <w:rFonts w:ascii="ITC Avant Garde" w:hAnsi="ITC Avant Garde"/>
          <w:color w:val="auto"/>
        </w:rPr>
      </w:pPr>
    </w:p>
    <w:p w:rsidR="00C206F2" w:rsidRPr="00330641" w:rsidRDefault="00C206F2" w:rsidP="000F58E0">
      <w:pPr>
        <w:spacing w:after="0" w:line="276" w:lineRule="auto"/>
        <w:ind w:left="0" w:right="0"/>
        <w:rPr>
          <w:rFonts w:ascii="ITC Avant Garde" w:hAnsi="ITC Avant Garde"/>
          <w:color w:val="auto"/>
        </w:rPr>
      </w:pPr>
      <w:r w:rsidRPr="00330641">
        <w:rPr>
          <w:rFonts w:ascii="ITC Avant Garde" w:hAnsi="ITC Avant Garde"/>
          <w:color w:val="auto"/>
        </w:rPr>
        <w:t xml:space="preserve">Axtel </w:t>
      </w:r>
      <w:r w:rsidR="003030FC">
        <w:rPr>
          <w:rFonts w:ascii="ITC Avant Garde" w:hAnsi="ITC Avant Garde"/>
          <w:color w:val="auto"/>
        </w:rPr>
        <w:t>propuso</w:t>
      </w:r>
      <w:r w:rsidRPr="00330641">
        <w:rPr>
          <w:rFonts w:ascii="ITC Avant Garde" w:hAnsi="ITC Avant Garde"/>
          <w:color w:val="auto"/>
        </w:rPr>
        <w:t xml:space="preserve"> que los gastos de instalación de los enlaces nuevos que se solicitan se incluyan como </w:t>
      </w:r>
      <w:r w:rsidR="005E3823" w:rsidRPr="00330641">
        <w:rPr>
          <w:rFonts w:ascii="ITC Avant Garde" w:hAnsi="ITC Avant Garde"/>
          <w:color w:val="auto"/>
        </w:rPr>
        <w:t xml:space="preserve">DEBÍTESE </w:t>
      </w:r>
      <w:r w:rsidRPr="00330641">
        <w:rPr>
          <w:rFonts w:ascii="ITC Avant Garde" w:hAnsi="ITC Avant Garde"/>
          <w:color w:val="auto"/>
        </w:rPr>
        <w:t>(costos a incluir en la facturación mensual de la renta de los servicios en operación) en la facturación mensual.</w:t>
      </w:r>
    </w:p>
    <w:p w:rsidR="00C206F2" w:rsidRPr="00330641" w:rsidRDefault="00C206F2" w:rsidP="000F58E0">
      <w:pPr>
        <w:spacing w:after="0" w:line="276" w:lineRule="auto"/>
        <w:ind w:left="0" w:right="0"/>
        <w:rPr>
          <w:rFonts w:ascii="ITC Avant Garde" w:hAnsi="ITC Avant Garde"/>
          <w:color w:val="auto"/>
        </w:rPr>
      </w:pPr>
    </w:p>
    <w:p w:rsidR="00C206F2" w:rsidRPr="00330641" w:rsidRDefault="00E3534A" w:rsidP="000F58E0">
      <w:pPr>
        <w:spacing w:after="0" w:line="276" w:lineRule="auto"/>
        <w:ind w:left="0" w:right="0"/>
        <w:rPr>
          <w:rFonts w:ascii="ITC Avant Garde" w:hAnsi="ITC Avant Garde"/>
          <w:i/>
          <w:color w:val="auto"/>
        </w:rPr>
      </w:pPr>
      <w:r w:rsidRPr="00330641">
        <w:rPr>
          <w:rFonts w:ascii="ITC Avant Garde" w:hAnsi="ITC Avant Garde"/>
          <w:color w:val="auto"/>
        </w:rPr>
        <w:t>En el n</w:t>
      </w:r>
      <w:r w:rsidR="00C970C8">
        <w:rPr>
          <w:rFonts w:ascii="ITC Avant Garde" w:hAnsi="ITC Avant Garde"/>
          <w:color w:val="auto"/>
        </w:rPr>
        <w:t>umeral 3.1 inciso b) c</w:t>
      </w:r>
      <w:r w:rsidR="00C206F2" w:rsidRPr="00330641">
        <w:rPr>
          <w:rFonts w:ascii="ITC Avant Garde" w:hAnsi="ITC Avant Garde"/>
          <w:color w:val="auto"/>
        </w:rPr>
        <w:t>uarto párrafo</w:t>
      </w:r>
      <w:r w:rsidR="003477A9" w:rsidRPr="00330641">
        <w:rPr>
          <w:rFonts w:ascii="ITC Avant Garde" w:hAnsi="ITC Avant Garde"/>
          <w:color w:val="auto"/>
        </w:rPr>
        <w:t xml:space="preserve"> de la Cláusula Tercera, </w:t>
      </w:r>
      <w:r w:rsidR="003030FC">
        <w:rPr>
          <w:rFonts w:ascii="ITC Avant Garde" w:hAnsi="ITC Avant Garde"/>
          <w:color w:val="auto"/>
        </w:rPr>
        <w:t>solicitó</w:t>
      </w:r>
      <w:r w:rsidR="00FB6023" w:rsidRPr="00330641">
        <w:rPr>
          <w:rFonts w:ascii="ITC Avant Garde" w:hAnsi="ITC Avant Garde"/>
          <w:color w:val="auto"/>
        </w:rPr>
        <w:t xml:space="preserve"> al </w:t>
      </w:r>
      <w:r w:rsidR="005E3823" w:rsidRPr="00330641">
        <w:rPr>
          <w:rFonts w:ascii="ITC Avant Garde" w:hAnsi="ITC Avant Garde"/>
          <w:color w:val="auto"/>
        </w:rPr>
        <w:t xml:space="preserve">Instituto </w:t>
      </w:r>
      <w:r w:rsidR="00FB6023" w:rsidRPr="00330641">
        <w:rPr>
          <w:rFonts w:ascii="ITC Avant Garde" w:hAnsi="ITC Avant Garde"/>
          <w:color w:val="auto"/>
        </w:rPr>
        <w:t xml:space="preserve">obligar al AEP </w:t>
      </w:r>
      <w:r w:rsidR="00524DC5" w:rsidRPr="00330641">
        <w:rPr>
          <w:rFonts w:ascii="ITC Avant Garde" w:hAnsi="ITC Avant Garde"/>
          <w:color w:val="auto"/>
        </w:rPr>
        <w:t>emitir una factura mensual, o en su defecto ampliar el tiempo de revisión de los servicios por parte del CS en 15 días adicionales, por último</w:t>
      </w:r>
      <w:r w:rsidR="003030FC" w:rsidRPr="00330641">
        <w:rPr>
          <w:rFonts w:ascii="ITC Avant Garde" w:hAnsi="ITC Avant Garde"/>
          <w:color w:val="auto"/>
        </w:rPr>
        <w:t>,</w:t>
      </w:r>
      <w:r w:rsidR="003030FC">
        <w:rPr>
          <w:rFonts w:ascii="ITC Avant Garde" w:hAnsi="ITC Avant Garde"/>
          <w:color w:val="auto"/>
        </w:rPr>
        <w:t xml:space="preserve"> solicitó</w:t>
      </w:r>
      <w:r w:rsidR="00524DC5" w:rsidRPr="00330641">
        <w:rPr>
          <w:rFonts w:ascii="ITC Avant Garde" w:hAnsi="ITC Avant Garde"/>
          <w:color w:val="auto"/>
        </w:rPr>
        <w:t xml:space="preserve"> que se incluya en el Convenio que “</w:t>
      </w:r>
      <w:r w:rsidR="00524DC5" w:rsidRPr="00330641">
        <w:rPr>
          <w:rFonts w:ascii="ITC Avant Garde" w:hAnsi="ITC Avant Garde"/>
          <w:i/>
          <w:color w:val="auto"/>
        </w:rPr>
        <w:t>para que una factura sea válida y exigible, debe ir acompañada del soporte con cada uno de los servicios y cuya suma de importe debe ser igual a lo facturado”.</w:t>
      </w:r>
    </w:p>
    <w:p w:rsidR="00C206F2" w:rsidRPr="00330641" w:rsidRDefault="00C206F2" w:rsidP="000F58E0">
      <w:pPr>
        <w:spacing w:after="0" w:line="276" w:lineRule="auto"/>
        <w:ind w:left="0" w:right="0"/>
        <w:rPr>
          <w:rFonts w:ascii="ITC Avant Garde" w:hAnsi="ITC Avant Garde"/>
          <w:color w:val="auto"/>
        </w:rPr>
      </w:pPr>
    </w:p>
    <w:p w:rsidR="004D179E" w:rsidRPr="00330641" w:rsidRDefault="00C970C8" w:rsidP="000F58E0">
      <w:pPr>
        <w:spacing w:after="0" w:line="276" w:lineRule="auto"/>
        <w:ind w:left="0" w:right="0"/>
        <w:rPr>
          <w:rFonts w:ascii="ITC Avant Garde" w:hAnsi="ITC Avant Garde"/>
          <w:color w:val="auto"/>
        </w:rPr>
      </w:pPr>
      <w:r>
        <w:rPr>
          <w:rFonts w:ascii="ITC Avant Garde" w:hAnsi="ITC Avant Garde"/>
          <w:color w:val="auto"/>
        </w:rPr>
        <w:t>En el n</w:t>
      </w:r>
      <w:r w:rsidR="00FB6023" w:rsidRPr="00330641">
        <w:rPr>
          <w:rFonts w:ascii="ITC Avant Garde" w:hAnsi="ITC Avant Garde"/>
          <w:color w:val="auto"/>
        </w:rPr>
        <w:t xml:space="preserve">umeral 3.2 </w:t>
      </w:r>
      <w:r w:rsidR="008C2CFD" w:rsidRPr="00330641">
        <w:rPr>
          <w:rFonts w:ascii="ITC Avant Garde" w:hAnsi="ITC Avant Garde"/>
          <w:color w:val="auto"/>
        </w:rPr>
        <w:t xml:space="preserve">Inciso d) </w:t>
      </w:r>
      <w:r w:rsidR="00FB6023" w:rsidRPr="00330641">
        <w:rPr>
          <w:rFonts w:ascii="ITC Avant Garde" w:hAnsi="ITC Avant Garde"/>
          <w:color w:val="auto"/>
        </w:rPr>
        <w:t xml:space="preserve">de la Cláusula Tercera, </w:t>
      </w:r>
      <w:r w:rsidR="003030FC">
        <w:rPr>
          <w:rFonts w:ascii="ITC Avant Garde" w:hAnsi="ITC Avant Garde"/>
          <w:color w:val="auto"/>
        </w:rPr>
        <w:t>solicitó</w:t>
      </w:r>
      <w:r w:rsidR="00FB6023" w:rsidRPr="00330641">
        <w:rPr>
          <w:rFonts w:ascii="ITC Avant Garde" w:hAnsi="ITC Avant Garde"/>
          <w:color w:val="auto"/>
        </w:rPr>
        <w:t xml:space="preserve"> al </w:t>
      </w:r>
      <w:r w:rsidR="00A205E7" w:rsidRPr="00330641">
        <w:rPr>
          <w:rFonts w:ascii="ITC Avant Garde" w:hAnsi="ITC Avant Garde"/>
          <w:color w:val="auto"/>
        </w:rPr>
        <w:t xml:space="preserve">Instituto </w:t>
      </w:r>
      <w:r w:rsidR="008C2CFD" w:rsidRPr="00330641">
        <w:rPr>
          <w:rFonts w:ascii="ITC Avant Garde" w:hAnsi="ITC Avant Garde"/>
          <w:color w:val="auto"/>
        </w:rPr>
        <w:t>que exista un procedimiento de solución de objeciones de facturación cuando el CS y el AEP no lleguen a ningún acuerdo y que este sea a través de la intervención del instituto.</w:t>
      </w:r>
    </w:p>
    <w:p w:rsidR="00B2362D" w:rsidRPr="00330641" w:rsidRDefault="00B2362D" w:rsidP="000F58E0">
      <w:pPr>
        <w:spacing w:after="0" w:line="276" w:lineRule="auto"/>
        <w:ind w:left="0" w:right="0"/>
        <w:rPr>
          <w:rFonts w:ascii="ITC Avant Garde" w:hAnsi="ITC Avant Garde"/>
          <w:color w:val="auto"/>
        </w:rPr>
      </w:pPr>
    </w:p>
    <w:p w:rsidR="002325DE" w:rsidRPr="00330641" w:rsidRDefault="00CD7852" w:rsidP="000F58E0">
      <w:pPr>
        <w:spacing w:after="0" w:line="276" w:lineRule="auto"/>
        <w:ind w:left="0" w:right="0" w:firstLine="0"/>
        <w:rPr>
          <w:rFonts w:ascii="ITC Avant Garde" w:hAnsi="ITC Avant Garde"/>
          <w:b/>
          <w:color w:val="auto"/>
        </w:rPr>
      </w:pPr>
      <w:r w:rsidRPr="00330641">
        <w:rPr>
          <w:rFonts w:ascii="ITC Avant Garde" w:hAnsi="ITC Avant Garde"/>
          <w:b/>
          <w:color w:val="auto"/>
        </w:rPr>
        <w:t>GRUPO AT&amp;T</w:t>
      </w:r>
      <w:r w:rsidR="00D36AEC" w:rsidRPr="00330641">
        <w:rPr>
          <w:rFonts w:ascii="ITC Avant Garde" w:hAnsi="ITC Avant Garde"/>
          <w:b/>
          <w:color w:val="auto"/>
        </w:rPr>
        <w:t>:</w:t>
      </w:r>
    </w:p>
    <w:p w:rsidR="00C00ED9" w:rsidRPr="00330641" w:rsidRDefault="00371586" w:rsidP="000F58E0">
      <w:pPr>
        <w:spacing w:after="0" w:line="276" w:lineRule="auto"/>
        <w:ind w:left="0" w:right="0" w:firstLine="0"/>
        <w:rPr>
          <w:rFonts w:ascii="ITC Avant Garde" w:hAnsi="ITC Avant Garde"/>
          <w:color w:val="auto"/>
        </w:rPr>
      </w:pPr>
      <w:r w:rsidRPr="00330641">
        <w:rPr>
          <w:rFonts w:ascii="ITC Avant Garde" w:hAnsi="ITC Avant Garde"/>
          <w:color w:val="auto"/>
        </w:rPr>
        <w:t>S</w:t>
      </w:r>
      <w:r w:rsidR="003030FC">
        <w:rPr>
          <w:rFonts w:ascii="ITC Avant Garde" w:hAnsi="ITC Avant Garde"/>
          <w:color w:val="auto"/>
        </w:rPr>
        <w:t>ugirió</w:t>
      </w:r>
      <w:r w:rsidR="002325DE" w:rsidRPr="00330641">
        <w:rPr>
          <w:rFonts w:ascii="ITC Avant Garde" w:hAnsi="ITC Avant Garde"/>
          <w:color w:val="auto"/>
        </w:rPr>
        <w:t xml:space="preserve"> mantener el plazo de 90 días vigente</w:t>
      </w:r>
      <w:r w:rsidR="00A205E7" w:rsidRPr="00330641">
        <w:rPr>
          <w:rFonts w:ascii="ITC Avant Garde" w:hAnsi="ITC Avant Garde"/>
          <w:color w:val="auto"/>
        </w:rPr>
        <w:t>, dado que no se justifica dicha extensión</w:t>
      </w:r>
      <w:r w:rsidR="003371F5" w:rsidRPr="00330641">
        <w:rPr>
          <w:rFonts w:ascii="ITC Avant Garde" w:hAnsi="ITC Avant Garde"/>
          <w:color w:val="auto"/>
        </w:rPr>
        <w:t xml:space="preserve"> en lugar de un plazo de 120 días naturales</w:t>
      </w:r>
      <w:r w:rsidR="002325DE" w:rsidRPr="00330641">
        <w:rPr>
          <w:rFonts w:ascii="ITC Avant Garde" w:hAnsi="ITC Avant Garde"/>
          <w:color w:val="auto"/>
        </w:rPr>
        <w:t>.</w:t>
      </w:r>
    </w:p>
    <w:p w:rsidR="00F87DBA" w:rsidRPr="00330641" w:rsidRDefault="00F87DBA" w:rsidP="000F58E0">
      <w:pPr>
        <w:spacing w:after="0" w:line="276" w:lineRule="auto"/>
        <w:ind w:left="0" w:right="0" w:firstLine="0"/>
        <w:rPr>
          <w:rFonts w:ascii="ITC Avant Garde" w:hAnsi="ITC Avant Garde"/>
          <w:color w:val="auto"/>
        </w:rPr>
      </w:pPr>
    </w:p>
    <w:p w:rsidR="00F87DBA" w:rsidRPr="00330641" w:rsidRDefault="00F87DBA" w:rsidP="000F58E0">
      <w:pPr>
        <w:spacing w:after="0" w:line="276" w:lineRule="auto"/>
        <w:ind w:left="0" w:right="0" w:firstLine="0"/>
        <w:rPr>
          <w:rFonts w:ascii="ITC Avant Garde" w:hAnsi="ITC Avant Garde"/>
          <w:b/>
          <w:color w:val="auto"/>
        </w:rPr>
      </w:pPr>
      <w:r w:rsidRPr="00330641">
        <w:rPr>
          <w:rFonts w:ascii="ITC Avant Garde" w:hAnsi="ITC Avant Garde"/>
          <w:b/>
          <w:color w:val="auto"/>
        </w:rPr>
        <w:t>GRUPO TELEVISA:</w:t>
      </w:r>
    </w:p>
    <w:p w:rsidR="00F87DBA" w:rsidRPr="00330641" w:rsidRDefault="003030FC" w:rsidP="000F58E0">
      <w:pPr>
        <w:spacing w:after="0" w:line="276" w:lineRule="auto"/>
        <w:ind w:left="0" w:right="0" w:firstLine="0"/>
        <w:rPr>
          <w:rFonts w:ascii="ITC Avant Garde" w:hAnsi="ITC Avant Garde"/>
          <w:color w:val="auto"/>
        </w:rPr>
      </w:pPr>
      <w:r>
        <w:rPr>
          <w:rFonts w:ascii="ITC Avant Garde" w:hAnsi="ITC Avant Garde"/>
          <w:color w:val="auto"/>
        </w:rPr>
        <w:t>Argumentó</w:t>
      </w:r>
      <w:r w:rsidR="00643A61" w:rsidRPr="00330641">
        <w:rPr>
          <w:rFonts w:ascii="ITC Avant Garde" w:hAnsi="ITC Avant Garde"/>
          <w:color w:val="auto"/>
        </w:rPr>
        <w:t xml:space="preserve"> que no es com</w:t>
      </w:r>
      <w:r w:rsidR="00C970C8">
        <w:rPr>
          <w:rFonts w:ascii="ITC Avant Garde" w:hAnsi="ITC Avant Garde"/>
          <w:color w:val="auto"/>
        </w:rPr>
        <w:t xml:space="preserve">prensible que </w:t>
      </w:r>
      <w:r w:rsidR="00643A61" w:rsidRPr="00330641">
        <w:rPr>
          <w:rFonts w:ascii="ITC Avant Garde" w:hAnsi="ITC Avant Garde"/>
          <w:color w:val="auto"/>
        </w:rPr>
        <w:t>el AEP maneje políticas diferenciadas de objeción en la facturación entre las Ofertas que ofrece a los CS</w:t>
      </w:r>
      <w:r w:rsidR="00F87623" w:rsidRPr="00330641">
        <w:rPr>
          <w:rFonts w:ascii="ITC Avant Garde" w:hAnsi="ITC Avant Garde"/>
          <w:color w:val="auto"/>
        </w:rPr>
        <w:t xml:space="preserve">, ya que el hecho de emitir una fianza por los cargos no reconocidos es injustificable. </w:t>
      </w:r>
      <w:r w:rsidR="0012211F">
        <w:rPr>
          <w:rFonts w:ascii="ITC Avant Garde" w:hAnsi="ITC Avant Garde"/>
          <w:color w:val="auto"/>
        </w:rPr>
        <w:t>Señaló</w:t>
      </w:r>
      <w:r w:rsidR="00F87623" w:rsidRPr="00330641">
        <w:rPr>
          <w:rFonts w:ascii="ITC Avant Garde" w:hAnsi="ITC Avant Garde"/>
          <w:color w:val="auto"/>
        </w:rPr>
        <w:t xml:space="preserve"> que esto teniendo en cuenta que su emisión impl</w:t>
      </w:r>
      <w:r w:rsidR="00C970C8">
        <w:rPr>
          <w:rFonts w:ascii="ITC Avant Garde" w:hAnsi="ITC Avant Garde"/>
          <w:color w:val="auto"/>
        </w:rPr>
        <w:t>ica no solo recurrir en un costo</w:t>
      </w:r>
      <w:r w:rsidR="00F87623" w:rsidRPr="00330641">
        <w:rPr>
          <w:rFonts w:ascii="ITC Avant Garde" w:hAnsi="ITC Avant Garde"/>
          <w:color w:val="auto"/>
        </w:rPr>
        <w:t xml:space="preserve"> adicional y dispendioso por montos que tal vez pueden ser insignificantes. Adiciona que es absurdo hacer el pago de la fianza por montos objetados, ya que se traduce en tener que pagar de más por un servicio que no se presta correctamente.  </w:t>
      </w:r>
    </w:p>
    <w:p w:rsidR="00F87623" w:rsidRPr="00330641" w:rsidRDefault="00F87623" w:rsidP="000F58E0">
      <w:pPr>
        <w:spacing w:after="0" w:line="276" w:lineRule="auto"/>
        <w:ind w:left="0" w:right="0" w:firstLine="0"/>
        <w:rPr>
          <w:rFonts w:ascii="ITC Avant Garde" w:hAnsi="ITC Avant Garde"/>
          <w:color w:val="auto"/>
        </w:rPr>
      </w:pPr>
    </w:p>
    <w:p w:rsidR="00803927" w:rsidRPr="00330641" w:rsidRDefault="00F87623" w:rsidP="000F58E0">
      <w:pPr>
        <w:spacing w:after="0" w:line="276" w:lineRule="auto"/>
        <w:ind w:left="0" w:right="0" w:firstLine="0"/>
        <w:rPr>
          <w:rFonts w:ascii="ITC Avant Garde" w:hAnsi="ITC Avant Garde"/>
          <w:color w:val="auto"/>
        </w:rPr>
      </w:pPr>
      <w:r w:rsidRPr="00330641">
        <w:rPr>
          <w:rFonts w:ascii="ITC Avant Garde" w:hAnsi="ITC Avant Garde"/>
          <w:color w:val="auto"/>
        </w:rPr>
        <w:t xml:space="preserve">En este mismo sentido, Grupo Televisa </w:t>
      </w:r>
      <w:r w:rsidR="00C970C8">
        <w:rPr>
          <w:rFonts w:ascii="ITC Avant Garde" w:hAnsi="ITC Avant Garde"/>
          <w:color w:val="auto"/>
        </w:rPr>
        <w:t>s</w:t>
      </w:r>
      <w:r w:rsidR="0012211F">
        <w:rPr>
          <w:rFonts w:ascii="ITC Avant Garde" w:hAnsi="ITC Avant Garde"/>
          <w:color w:val="auto"/>
        </w:rPr>
        <w:t>eñaló</w:t>
      </w:r>
      <w:r w:rsidRPr="00330641">
        <w:rPr>
          <w:rFonts w:ascii="ITC Avant Garde" w:hAnsi="ITC Avant Garde"/>
          <w:color w:val="auto"/>
        </w:rPr>
        <w:t xml:space="preserve"> que en la Cláusula N</w:t>
      </w:r>
      <w:r w:rsidR="00803927" w:rsidRPr="00330641">
        <w:rPr>
          <w:rFonts w:ascii="ITC Avant Garde" w:hAnsi="ITC Avant Garde"/>
          <w:color w:val="auto"/>
        </w:rPr>
        <w:t xml:space="preserve">ovena el CS ya está emitiendo una fianza como garantía para el cumplimiento de las obligaciones asociadas al contrato que tiene con el AEP, lo que quiere decir que el CS está obligado a emitir una fianza adicional e innecesaria a parte de la que ya emitió para poder tener acceso a los servicios que le brinda el AEP. </w:t>
      </w:r>
    </w:p>
    <w:p w:rsidR="00803927" w:rsidRPr="00330641" w:rsidRDefault="00803927" w:rsidP="000F58E0">
      <w:pPr>
        <w:spacing w:after="0" w:line="276" w:lineRule="auto"/>
        <w:ind w:left="0" w:right="0" w:firstLine="0"/>
        <w:rPr>
          <w:rFonts w:ascii="ITC Avant Garde" w:hAnsi="ITC Avant Garde"/>
          <w:color w:val="auto"/>
        </w:rPr>
      </w:pPr>
    </w:p>
    <w:p w:rsidR="00F87623" w:rsidRPr="00330641" w:rsidRDefault="00803927" w:rsidP="000F58E0">
      <w:pPr>
        <w:spacing w:after="0" w:line="276" w:lineRule="auto"/>
        <w:ind w:left="0" w:right="0" w:firstLine="0"/>
        <w:rPr>
          <w:rFonts w:ascii="ITC Avant Garde" w:hAnsi="ITC Avant Garde"/>
          <w:color w:val="auto"/>
        </w:rPr>
      </w:pPr>
      <w:r w:rsidRPr="00330641">
        <w:rPr>
          <w:rFonts w:ascii="ITC Avant Garde" w:hAnsi="ITC Avant Garde"/>
          <w:color w:val="auto"/>
        </w:rPr>
        <w:t>Al respecto, Grupo Televisa propone eliminar la fianza para montos objetados en la ORE DM, de manera que se agilicen los procesos administrativos y no se perjudiquen a los CS con demoras en la emisión de nota</w:t>
      </w:r>
      <w:r w:rsidR="00602350">
        <w:rPr>
          <w:rFonts w:ascii="ITC Avant Garde" w:hAnsi="ITC Avant Garde"/>
          <w:color w:val="auto"/>
        </w:rPr>
        <w:t xml:space="preserve">s de crédito. Asimismo, </w:t>
      </w:r>
      <w:r w:rsidR="00602350">
        <w:rPr>
          <w:rFonts w:ascii="ITC Avant Garde" w:hAnsi="ITC Avant Garde"/>
          <w:color w:val="auto"/>
        </w:rPr>
        <w:lastRenderedPageBreak/>
        <w:t>solicitó</w:t>
      </w:r>
      <w:r w:rsidRPr="00330641">
        <w:rPr>
          <w:rFonts w:ascii="ITC Avant Garde" w:hAnsi="ITC Avant Garde"/>
          <w:color w:val="auto"/>
        </w:rPr>
        <w:t xml:space="preserve"> dicho cambio para que exista consistencia entre las diferentes ofertas de referencia, ya que, a la fecha la ORE DM es la única oferta donde se exige la irracional fianza.  </w:t>
      </w:r>
      <w:r w:rsidR="00F87623" w:rsidRPr="00330641">
        <w:rPr>
          <w:rFonts w:ascii="ITC Avant Garde" w:hAnsi="ITC Avant Garde"/>
          <w:color w:val="auto"/>
        </w:rPr>
        <w:t xml:space="preserve"> </w:t>
      </w:r>
    </w:p>
    <w:p w:rsidR="002325DE" w:rsidRPr="00330641" w:rsidRDefault="002325DE" w:rsidP="000F58E0">
      <w:pPr>
        <w:spacing w:after="0" w:line="276" w:lineRule="auto"/>
        <w:ind w:left="0" w:right="0" w:firstLine="0"/>
        <w:rPr>
          <w:rFonts w:ascii="ITC Avant Garde" w:hAnsi="ITC Avant Garde"/>
          <w:color w:val="auto"/>
        </w:rPr>
      </w:pPr>
    </w:p>
    <w:p w:rsidR="00357047" w:rsidRPr="00330641" w:rsidRDefault="00357047" w:rsidP="000F58E0">
      <w:pPr>
        <w:spacing w:after="0" w:line="276" w:lineRule="auto"/>
        <w:ind w:left="0" w:right="0" w:firstLine="0"/>
        <w:rPr>
          <w:rFonts w:ascii="ITC Avant Garde" w:hAnsi="ITC Avant Garde" w:cs="Times New Roman"/>
          <w:b/>
          <w:color w:val="auto"/>
        </w:rPr>
      </w:pPr>
      <w:r w:rsidRPr="00330641">
        <w:rPr>
          <w:rFonts w:ascii="ITC Avant Garde" w:hAnsi="ITC Avant Garde" w:cs="Times New Roman"/>
          <w:b/>
          <w:color w:val="auto"/>
        </w:rPr>
        <w:t>Consideraciones del Instituto</w:t>
      </w:r>
      <w:r w:rsidR="00D36AEC" w:rsidRPr="00330641">
        <w:rPr>
          <w:rFonts w:ascii="ITC Avant Garde" w:hAnsi="ITC Avant Garde" w:cs="Times New Roman"/>
          <w:b/>
          <w:color w:val="auto"/>
        </w:rPr>
        <w:t>:</w:t>
      </w:r>
    </w:p>
    <w:p w:rsidR="00C970C8" w:rsidRPr="00330641" w:rsidRDefault="00D36AEC" w:rsidP="00C56880">
      <w:pPr>
        <w:spacing w:after="0" w:line="276" w:lineRule="auto"/>
        <w:ind w:left="0" w:right="0" w:firstLine="0"/>
        <w:rPr>
          <w:rFonts w:ascii="ITC Avant Garde" w:hAnsi="ITC Avant Garde"/>
          <w:color w:val="auto"/>
        </w:rPr>
      </w:pPr>
      <w:r w:rsidRPr="00330641">
        <w:rPr>
          <w:rFonts w:ascii="ITC Avant Garde" w:hAnsi="ITC Avant Garde"/>
          <w:color w:val="auto"/>
        </w:rPr>
        <w:t xml:space="preserve">Con respecto a lo </w:t>
      </w:r>
      <w:r w:rsidR="0017294E" w:rsidRPr="00330641">
        <w:rPr>
          <w:rFonts w:ascii="ITC Avant Garde" w:hAnsi="ITC Avant Garde"/>
          <w:color w:val="auto"/>
        </w:rPr>
        <w:t>argumentado</w:t>
      </w:r>
      <w:r w:rsidRPr="00330641">
        <w:rPr>
          <w:rFonts w:ascii="ITC Avant Garde" w:hAnsi="ITC Avant Garde"/>
          <w:color w:val="auto"/>
        </w:rPr>
        <w:t xml:space="preserve"> por Axtel, </w:t>
      </w:r>
      <w:r w:rsidR="00C56880">
        <w:rPr>
          <w:rFonts w:ascii="ITC Avant Garde" w:hAnsi="ITC Avant Garde"/>
          <w:color w:val="auto"/>
        </w:rPr>
        <w:t xml:space="preserve">sobre que </w:t>
      </w:r>
      <w:r w:rsidR="00C56880" w:rsidRPr="00330641">
        <w:rPr>
          <w:rFonts w:ascii="ITC Avant Garde" w:hAnsi="ITC Avant Garde"/>
          <w:color w:val="auto"/>
        </w:rPr>
        <w:t>previo a realizar un pago por gastos de instalación o cualquier otro concepto, requiere una factura</w:t>
      </w:r>
      <w:r w:rsidR="00C56880">
        <w:rPr>
          <w:rFonts w:ascii="ITC Avant Garde" w:hAnsi="ITC Avant Garde"/>
          <w:color w:val="auto"/>
        </w:rPr>
        <w:t xml:space="preserve"> y que </w:t>
      </w:r>
      <w:r w:rsidR="00C56880" w:rsidRPr="00330641">
        <w:rPr>
          <w:rFonts w:ascii="ITC Avant Garde" w:hAnsi="ITC Avant Garde"/>
          <w:color w:val="auto"/>
        </w:rPr>
        <w:t>los pagos se convierten en no deducibles</w:t>
      </w:r>
      <w:r w:rsidR="00C56880">
        <w:rPr>
          <w:rFonts w:ascii="ITC Avant Garde" w:hAnsi="ITC Avant Garde"/>
          <w:color w:val="auto"/>
        </w:rPr>
        <w:t xml:space="preserve"> así como que </w:t>
      </w:r>
      <w:r w:rsidR="00C970C8" w:rsidRPr="00330641">
        <w:rPr>
          <w:rFonts w:ascii="ITC Avant Garde" w:hAnsi="ITC Avant Garde"/>
          <w:color w:val="auto"/>
        </w:rPr>
        <w:t>los enlaces nuevos que se solicitan se incluyan como DEBÍTESE (costos a incluir en la facturación mensual de la renta de los servicios en opera</w:t>
      </w:r>
      <w:r w:rsidR="00C56880">
        <w:rPr>
          <w:rFonts w:ascii="ITC Avant Garde" w:hAnsi="ITC Avant Garde"/>
          <w:color w:val="auto"/>
        </w:rPr>
        <w:t>ción) en la facturación mensual, se señala que dichas solicitudes exceden el ámbito de competencia de este Instituto pues no es autoridad en materia fiscal.</w:t>
      </w:r>
    </w:p>
    <w:p w:rsidR="00C56880" w:rsidRDefault="00C56880" w:rsidP="000F58E0">
      <w:pPr>
        <w:spacing w:after="0" w:line="276" w:lineRule="auto"/>
        <w:ind w:left="0" w:right="0" w:firstLine="0"/>
        <w:rPr>
          <w:rFonts w:ascii="ITC Avant Garde" w:hAnsi="ITC Avant Garde"/>
          <w:color w:val="auto"/>
        </w:rPr>
      </w:pPr>
    </w:p>
    <w:p w:rsidR="00DC23B5" w:rsidRPr="00330641" w:rsidRDefault="00BE126F" w:rsidP="000F58E0">
      <w:pPr>
        <w:spacing w:after="0" w:line="276" w:lineRule="auto"/>
        <w:ind w:left="0" w:right="0" w:firstLine="0"/>
        <w:rPr>
          <w:rFonts w:ascii="ITC Avant Garde" w:hAnsi="ITC Avant Garde"/>
          <w:color w:val="auto"/>
        </w:rPr>
      </w:pPr>
      <w:r w:rsidRPr="00330641">
        <w:rPr>
          <w:rFonts w:ascii="ITC Avant Garde" w:hAnsi="ITC Avant Garde"/>
          <w:color w:val="auto"/>
        </w:rPr>
        <w:t xml:space="preserve">Asimismo, </w:t>
      </w:r>
      <w:r w:rsidR="00E3534A" w:rsidRPr="00330641">
        <w:rPr>
          <w:rFonts w:ascii="ITC Avant Garde" w:hAnsi="ITC Avant Garde"/>
          <w:color w:val="auto"/>
        </w:rPr>
        <w:t>con respecto a la propuesta de Axtel de establecer la obligaci</w:t>
      </w:r>
      <w:r w:rsidR="00AA38B4" w:rsidRPr="00330641">
        <w:rPr>
          <w:rFonts w:ascii="ITC Avant Garde" w:hAnsi="ITC Avant Garde"/>
          <w:color w:val="auto"/>
        </w:rPr>
        <w:t>ón de que el AEP remita</w:t>
      </w:r>
      <w:r w:rsidR="00E3534A" w:rsidRPr="00330641">
        <w:rPr>
          <w:rFonts w:ascii="ITC Avant Garde" w:hAnsi="ITC Avant Garde"/>
          <w:color w:val="auto"/>
        </w:rPr>
        <w:t xml:space="preserve"> la </w:t>
      </w:r>
      <w:r w:rsidR="00AA38B4" w:rsidRPr="00330641">
        <w:rPr>
          <w:rFonts w:ascii="ITC Avant Garde" w:hAnsi="ITC Avant Garde"/>
          <w:color w:val="auto"/>
        </w:rPr>
        <w:t xml:space="preserve">facturación correspondiente mes con </w:t>
      </w:r>
      <w:r w:rsidR="00E3534A" w:rsidRPr="00330641">
        <w:rPr>
          <w:rFonts w:ascii="ITC Avant Garde" w:hAnsi="ITC Avant Garde"/>
          <w:color w:val="auto"/>
        </w:rPr>
        <w:t xml:space="preserve">mes, se </w:t>
      </w:r>
      <w:r w:rsidR="00C56880">
        <w:rPr>
          <w:rFonts w:ascii="ITC Avant Garde" w:hAnsi="ITC Avant Garde"/>
          <w:color w:val="auto"/>
        </w:rPr>
        <w:t>modificó</w:t>
      </w:r>
      <w:r w:rsidR="00AA38B4" w:rsidRPr="00330641">
        <w:rPr>
          <w:rFonts w:ascii="ITC Avant Garde" w:hAnsi="ITC Avant Garde"/>
          <w:color w:val="auto"/>
        </w:rPr>
        <w:t xml:space="preserve"> el inciso c) de la cláusula Tercera de la ORE </w:t>
      </w:r>
      <w:r w:rsidR="00884D93" w:rsidRPr="00330641">
        <w:rPr>
          <w:rFonts w:ascii="ITC Avant Garde" w:hAnsi="ITC Avant Garde"/>
          <w:color w:val="auto"/>
        </w:rPr>
        <w:t>DM</w:t>
      </w:r>
      <w:r w:rsidR="00AA38B4" w:rsidRPr="00330641">
        <w:rPr>
          <w:rFonts w:ascii="ITC Avant Garde" w:hAnsi="ITC Avant Garde"/>
          <w:color w:val="auto"/>
        </w:rPr>
        <w:t xml:space="preserve"> 202</w:t>
      </w:r>
      <w:r w:rsidR="00884D93" w:rsidRPr="00330641">
        <w:rPr>
          <w:rFonts w:ascii="ITC Avant Garde" w:hAnsi="ITC Avant Garde"/>
          <w:color w:val="auto"/>
        </w:rPr>
        <w:t>1</w:t>
      </w:r>
      <w:r w:rsidR="00C56880">
        <w:rPr>
          <w:rFonts w:ascii="ITC Avant Garde" w:hAnsi="ITC Avant Garde"/>
          <w:color w:val="auto"/>
        </w:rPr>
        <w:t xml:space="preserve"> en el sentido señalado por Axtel</w:t>
      </w:r>
      <w:r w:rsidR="00FF5808" w:rsidRPr="00330641">
        <w:rPr>
          <w:rFonts w:ascii="ITC Avant Garde" w:hAnsi="ITC Avant Garde"/>
          <w:color w:val="auto"/>
        </w:rPr>
        <w:t>.</w:t>
      </w:r>
    </w:p>
    <w:p w:rsidR="00884D93" w:rsidRPr="00330641" w:rsidRDefault="00884D93" w:rsidP="000F58E0">
      <w:pPr>
        <w:spacing w:after="0" w:line="276" w:lineRule="auto"/>
        <w:ind w:left="0" w:right="0" w:firstLine="0"/>
        <w:rPr>
          <w:rFonts w:ascii="ITC Avant Garde" w:hAnsi="ITC Avant Garde"/>
          <w:color w:val="auto"/>
        </w:rPr>
      </w:pPr>
    </w:p>
    <w:p w:rsidR="00C56880" w:rsidRDefault="00884D93" w:rsidP="00884D93">
      <w:pPr>
        <w:spacing w:after="0" w:line="276" w:lineRule="auto"/>
        <w:ind w:left="0" w:right="0"/>
        <w:rPr>
          <w:rFonts w:ascii="ITC Avant Garde" w:hAnsi="ITC Avant Garde"/>
          <w:color w:val="auto"/>
        </w:rPr>
      </w:pPr>
      <w:r w:rsidRPr="00330641">
        <w:rPr>
          <w:rFonts w:ascii="ITC Avant Garde" w:hAnsi="ITC Avant Garde"/>
          <w:color w:val="auto"/>
        </w:rPr>
        <w:t xml:space="preserve">Por último y con relación la fianza </w:t>
      </w:r>
      <w:r w:rsidR="003030FC">
        <w:rPr>
          <w:rFonts w:ascii="ITC Avant Garde" w:hAnsi="ITC Avant Garde"/>
          <w:color w:val="auto"/>
        </w:rPr>
        <w:t>señalada</w:t>
      </w:r>
      <w:r w:rsidRPr="00330641">
        <w:rPr>
          <w:rFonts w:ascii="ITC Avant Garde" w:hAnsi="ITC Avant Garde"/>
          <w:color w:val="auto"/>
        </w:rPr>
        <w:t xml:space="preserve"> por Axtel y Grupo Televisa </w:t>
      </w:r>
      <w:r w:rsidR="00C56880">
        <w:rPr>
          <w:rFonts w:ascii="ITC Avant Garde" w:hAnsi="ITC Avant Garde"/>
          <w:color w:val="auto"/>
        </w:rPr>
        <w:t>la constitución de la fianza</w:t>
      </w:r>
      <w:r w:rsidRPr="00330641">
        <w:rPr>
          <w:rFonts w:ascii="ITC Avant Garde" w:hAnsi="ITC Avant Garde"/>
          <w:color w:val="auto"/>
        </w:rPr>
        <w:t xml:space="preserve"> </w:t>
      </w:r>
      <w:r w:rsidR="00C56880">
        <w:rPr>
          <w:rFonts w:ascii="ITC Avant Garde" w:hAnsi="ITC Avant Garde"/>
          <w:color w:val="auto"/>
        </w:rPr>
        <w:t xml:space="preserve">únicamente es aplicable en caso de que </w:t>
      </w:r>
      <w:r w:rsidRPr="00330641">
        <w:rPr>
          <w:rFonts w:ascii="ITC Avant Garde" w:hAnsi="ITC Avant Garde"/>
          <w:color w:val="auto"/>
        </w:rPr>
        <w:t xml:space="preserve">el CS o AS no </w:t>
      </w:r>
      <w:r w:rsidR="00C56880">
        <w:rPr>
          <w:rFonts w:ascii="ITC Avant Garde" w:hAnsi="ITC Avant Garde"/>
          <w:color w:val="auto"/>
        </w:rPr>
        <w:t>cubran</w:t>
      </w:r>
      <w:r w:rsidRPr="00330641">
        <w:rPr>
          <w:rFonts w:ascii="ITC Avant Garde" w:hAnsi="ITC Avant Garde"/>
          <w:color w:val="auto"/>
        </w:rPr>
        <w:t xml:space="preserve"> la totalidad de los servicios,</w:t>
      </w:r>
      <w:r w:rsidR="00C56880">
        <w:rPr>
          <w:rFonts w:ascii="ITC Avant Garde" w:hAnsi="ITC Avant Garde"/>
          <w:color w:val="auto"/>
        </w:rPr>
        <w:t xml:space="preserve"> ya que los mismos son prestados de manera unidireccional por lo que no hay forma de que, en caso de que la objeción de facturas sea improcedente y por tanto en contra del CS y AS y se deba cubrir el monto de la objeción al AEP, éste tenga la certeza de que dichos montos realmente serán cubiertos.  </w:t>
      </w:r>
    </w:p>
    <w:p w:rsidR="00DA4B64" w:rsidRPr="00330641" w:rsidRDefault="00DA4B64" w:rsidP="000F58E0">
      <w:pPr>
        <w:pStyle w:val="IFT1"/>
        <w:tabs>
          <w:tab w:val="left" w:pos="426"/>
        </w:tabs>
        <w:spacing w:after="0"/>
      </w:pPr>
    </w:p>
    <w:p w:rsidR="000F00D3" w:rsidRPr="00330641" w:rsidRDefault="000F00D3" w:rsidP="000F58E0">
      <w:pPr>
        <w:spacing w:after="0" w:line="276" w:lineRule="auto"/>
        <w:ind w:left="0" w:right="0" w:firstLine="0"/>
        <w:rPr>
          <w:rFonts w:ascii="ITC Avant Garde" w:hAnsi="ITC Avant Garde"/>
          <w:b/>
          <w:color w:val="auto"/>
          <w:u w:val="single"/>
        </w:rPr>
      </w:pPr>
      <w:r w:rsidRPr="00330641">
        <w:rPr>
          <w:rFonts w:ascii="ITC Avant Garde" w:hAnsi="ITC Avant Garde"/>
          <w:b/>
          <w:color w:val="auto"/>
          <w:u w:val="single"/>
        </w:rPr>
        <w:t>Cláusula Vigésima Sexta.</w:t>
      </w:r>
      <w:r w:rsidR="00754C23" w:rsidRPr="003030FC">
        <w:rPr>
          <w:rFonts w:ascii="ITC Avant Garde" w:hAnsi="ITC Avant Garde"/>
          <w:u w:val="single"/>
        </w:rPr>
        <w:t xml:space="preserve"> </w:t>
      </w:r>
      <w:r w:rsidR="00754C23" w:rsidRPr="00330641">
        <w:rPr>
          <w:rFonts w:ascii="ITC Avant Garde" w:hAnsi="ITC Avant Garde"/>
          <w:b/>
          <w:color w:val="auto"/>
          <w:u w:val="single"/>
        </w:rPr>
        <w:t>DATOS PERSONALES.</w:t>
      </w:r>
    </w:p>
    <w:p w:rsidR="000F00D3" w:rsidRPr="00330641" w:rsidRDefault="00CD7852" w:rsidP="000F58E0">
      <w:pPr>
        <w:pStyle w:val="IFT1"/>
        <w:tabs>
          <w:tab w:val="left" w:pos="426"/>
        </w:tabs>
        <w:spacing w:after="0"/>
        <w:rPr>
          <w:b/>
        </w:rPr>
      </w:pPr>
      <w:r w:rsidRPr="00330641">
        <w:rPr>
          <w:b/>
        </w:rPr>
        <w:t>GRUPO AT&amp;T</w:t>
      </w:r>
      <w:r w:rsidR="0059153A" w:rsidRPr="00330641">
        <w:rPr>
          <w:b/>
        </w:rPr>
        <w:t>:</w:t>
      </w:r>
      <w:r w:rsidR="0007452F" w:rsidRPr="00330641">
        <w:rPr>
          <w:b/>
        </w:rPr>
        <w:t xml:space="preserve"> </w:t>
      </w:r>
    </w:p>
    <w:p w:rsidR="0018270E" w:rsidRPr="00330641" w:rsidRDefault="00371586" w:rsidP="000F58E0">
      <w:pPr>
        <w:pStyle w:val="IFT1"/>
        <w:tabs>
          <w:tab w:val="left" w:pos="426"/>
        </w:tabs>
        <w:spacing w:after="0"/>
      </w:pPr>
      <w:r w:rsidRPr="00330641">
        <w:t>S</w:t>
      </w:r>
      <w:r w:rsidR="003030FC">
        <w:t>ugirió</w:t>
      </w:r>
      <w:r w:rsidR="000F00D3" w:rsidRPr="00330641">
        <w:t xml:space="preserve"> que en todos los lugares en que dice "el CONCESIONARIO SOLICITANTE"</w:t>
      </w:r>
      <w:r w:rsidR="00D47CC4" w:rsidRPr="00330641">
        <w:t xml:space="preserve"> </w:t>
      </w:r>
      <w:r w:rsidR="000F00D3" w:rsidRPr="00330641">
        <w:t>debe sustituirse por "LAS PARTES".</w:t>
      </w:r>
    </w:p>
    <w:p w:rsidR="0018270E" w:rsidRPr="00330641" w:rsidRDefault="0018270E" w:rsidP="000F58E0">
      <w:pPr>
        <w:pStyle w:val="IFT1"/>
        <w:tabs>
          <w:tab w:val="left" w:pos="426"/>
        </w:tabs>
        <w:spacing w:after="0"/>
      </w:pPr>
    </w:p>
    <w:p w:rsidR="000F00D3" w:rsidRPr="00330641" w:rsidRDefault="0012211F" w:rsidP="000F58E0">
      <w:pPr>
        <w:pStyle w:val="IFT1"/>
        <w:tabs>
          <w:tab w:val="left" w:pos="426"/>
        </w:tabs>
        <w:spacing w:after="0"/>
      </w:pPr>
      <w:r>
        <w:t>Manifestó</w:t>
      </w:r>
      <w:r w:rsidR="0018270E" w:rsidRPr="00330641">
        <w:t xml:space="preserve"> que ambas partes tendrán acceso a información confidencial y datos personales de terceros, por lo que ambas partes se deben comprometer a no divulgarlas y tratarlas con la correspondiente confidencialidad.</w:t>
      </w:r>
    </w:p>
    <w:p w:rsidR="0059153A" w:rsidRPr="00330641" w:rsidRDefault="0059153A" w:rsidP="000F58E0">
      <w:pPr>
        <w:spacing w:after="0" w:line="276" w:lineRule="auto"/>
        <w:ind w:left="0" w:right="0" w:firstLine="0"/>
        <w:rPr>
          <w:rFonts w:ascii="ITC Avant Garde" w:hAnsi="ITC Avant Garde" w:cs="Times New Roman"/>
          <w:b/>
          <w:color w:val="auto"/>
        </w:rPr>
      </w:pPr>
    </w:p>
    <w:p w:rsidR="00D77712" w:rsidRPr="00330641" w:rsidRDefault="00D77712" w:rsidP="000F58E0">
      <w:pPr>
        <w:spacing w:after="0" w:line="276" w:lineRule="auto"/>
        <w:ind w:left="0" w:right="0" w:firstLine="0"/>
        <w:rPr>
          <w:rFonts w:ascii="ITC Avant Garde" w:hAnsi="ITC Avant Garde" w:cs="Times New Roman"/>
          <w:b/>
          <w:color w:val="auto"/>
        </w:rPr>
      </w:pPr>
      <w:r w:rsidRPr="00330641">
        <w:rPr>
          <w:rFonts w:ascii="ITC Avant Garde" w:hAnsi="ITC Avant Garde" w:cs="Times New Roman"/>
          <w:b/>
          <w:color w:val="auto"/>
        </w:rPr>
        <w:t>Consideraciones del Instituto</w:t>
      </w:r>
      <w:r w:rsidR="0059153A" w:rsidRPr="00330641">
        <w:rPr>
          <w:rFonts w:ascii="ITC Avant Garde" w:hAnsi="ITC Avant Garde" w:cs="Times New Roman"/>
          <w:b/>
          <w:color w:val="auto"/>
        </w:rPr>
        <w:t>:</w:t>
      </w:r>
    </w:p>
    <w:p w:rsidR="00D77712" w:rsidRPr="00330641" w:rsidRDefault="00754C23" w:rsidP="000F58E0">
      <w:pPr>
        <w:spacing w:after="0" w:line="276" w:lineRule="auto"/>
        <w:ind w:left="0" w:right="0" w:firstLine="0"/>
        <w:rPr>
          <w:rFonts w:ascii="ITC Avant Garde" w:hAnsi="ITC Avant Garde"/>
          <w:color w:val="auto"/>
        </w:rPr>
      </w:pPr>
      <w:r w:rsidRPr="00330641">
        <w:rPr>
          <w:rFonts w:ascii="ITC Avant Garde" w:hAnsi="ITC Avant Garde"/>
          <w:color w:val="auto"/>
        </w:rPr>
        <w:t xml:space="preserve">Cabe </w:t>
      </w:r>
      <w:r w:rsidR="003030FC">
        <w:rPr>
          <w:rFonts w:ascii="ITC Avant Garde" w:hAnsi="ITC Avant Garde"/>
          <w:color w:val="auto"/>
        </w:rPr>
        <w:t>señala</w:t>
      </w:r>
      <w:r w:rsidRPr="00330641">
        <w:rPr>
          <w:rFonts w:ascii="ITC Avant Garde" w:hAnsi="ITC Avant Garde"/>
          <w:color w:val="auto"/>
        </w:rPr>
        <w:t>r que si bie</w:t>
      </w:r>
      <w:r w:rsidR="0089794A" w:rsidRPr="00330641">
        <w:rPr>
          <w:rFonts w:ascii="ITC Avant Garde" w:hAnsi="ITC Avant Garde"/>
          <w:color w:val="auto"/>
        </w:rPr>
        <w:t>n como estipula</w:t>
      </w:r>
      <w:r w:rsidRPr="00330641">
        <w:rPr>
          <w:rFonts w:ascii="ITC Avant Garde" w:hAnsi="ITC Avant Garde"/>
          <w:color w:val="auto"/>
        </w:rPr>
        <w:t xml:space="preserve"> dicha cláusula</w:t>
      </w:r>
      <w:r w:rsidR="0089794A" w:rsidRPr="00330641">
        <w:rPr>
          <w:rFonts w:ascii="ITC Avant Garde" w:hAnsi="ITC Avant Garde"/>
          <w:color w:val="auto"/>
        </w:rPr>
        <w:t>,</w:t>
      </w:r>
      <w:r w:rsidRPr="00330641">
        <w:rPr>
          <w:rFonts w:ascii="ITC Avant Garde" w:hAnsi="ITC Avant Garde"/>
          <w:color w:val="auto"/>
        </w:rPr>
        <w:t xml:space="preserve"> Telmex y el CS o AS, son responsables del tratamiento y manejo adecuado de los datos personales que obtenga con motivo de su operación, cumpliendo al efecto con la legislación aplicable</w:t>
      </w:r>
      <w:r w:rsidR="0089794A" w:rsidRPr="00330641">
        <w:rPr>
          <w:rFonts w:ascii="ITC Avant Garde" w:hAnsi="ITC Avant Garde"/>
          <w:color w:val="auto"/>
        </w:rPr>
        <w:t>,</w:t>
      </w:r>
      <w:r w:rsidRPr="00330641">
        <w:rPr>
          <w:rFonts w:ascii="ITC Avant Garde" w:hAnsi="ITC Avant Garde"/>
          <w:color w:val="auto"/>
        </w:rPr>
        <w:t xml:space="preserve"> en el caso de la Oferta</w:t>
      </w:r>
      <w:r w:rsidR="0089794A" w:rsidRPr="00330641">
        <w:rPr>
          <w:rFonts w:ascii="ITC Avant Garde" w:hAnsi="ITC Avant Garde"/>
          <w:color w:val="auto"/>
        </w:rPr>
        <w:t>,</w:t>
      </w:r>
      <w:r w:rsidRPr="00330641">
        <w:rPr>
          <w:rFonts w:ascii="ITC Avant Garde" w:hAnsi="ITC Avant Garde"/>
          <w:color w:val="auto"/>
        </w:rPr>
        <w:t xml:space="preserve"> los servicios no serán prestados mutuamente si no que Telmex </w:t>
      </w:r>
      <w:r w:rsidR="00C56880">
        <w:rPr>
          <w:rFonts w:ascii="ITC Avant Garde" w:hAnsi="ITC Avant Garde"/>
          <w:color w:val="auto"/>
        </w:rPr>
        <w:t>prestará</w:t>
      </w:r>
      <w:r w:rsidR="0089794A" w:rsidRPr="00330641">
        <w:rPr>
          <w:rFonts w:ascii="ITC Avant Garde" w:hAnsi="ITC Avant Garde"/>
          <w:color w:val="auto"/>
        </w:rPr>
        <w:t xml:space="preserve"> los servicios de enlaces a </w:t>
      </w:r>
      <w:r w:rsidR="00FF5808" w:rsidRPr="00330641">
        <w:rPr>
          <w:rFonts w:ascii="ITC Avant Garde" w:hAnsi="ITC Avant Garde"/>
          <w:color w:val="auto"/>
        </w:rPr>
        <w:t xml:space="preserve">Grupo </w:t>
      </w:r>
      <w:r w:rsidR="0089794A" w:rsidRPr="00330641">
        <w:rPr>
          <w:rFonts w:ascii="ITC Avant Garde" w:hAnsi="ITC Avant Garde"/>
          <w:color w:val="auto"/>
        </w:rPr>
        <w:t>AT</w:t>
      </w:r>
      <w:r w:rsidR="00FF5808" w:rsidRPr="00330641">
        <w:rPr>
          <w:rFonts w:ascii="ITC Avant Garde" w:hAnsi="ITC Avant Garde"/>
          <w:color w:val="auto"/>
        </w:rPr>
        <w:t>&amp;</w:t>
      </w:r>
      <w:r w:rsidR="0089794A" w:rsidRPr="00330641">
        <w:rPr>
          <w:rFonts w:ascii="ITC Avant Garde" w:hAnsi="ITC Avant Garde"/>
          <w:color w:val="auto"/>
        </w:rPr>
        <w:t xml:space="preserve">T o su cliente final, por lo que el CS o As se deberá asegurar de que exista un consentimiento de los titulares </w:t>
      </w:r>
      <w:r w:rsidR="0089794A" w:rsidRPr="00330641">
        <w:rPr>
          <w:rFonts w:ascii="ITC Avant Garde" w:hAnsi="ITC Avant Garde"/>
          <w:color w:val="auto"/>
        </w:rPr>
        <w:lastRenderedPageBreak/>
        <w:t>del servicio para que Telmex pueda hacer uso de dichos datos para las finalidades derivadas del servicio contratado</w:t>
      </w:r>
      <w:r w:rsidRPr="00330641">
        <w:rPr>
          <w:rFonts w:ascii="ITC Avant Garde" w:hAnsi="ITC Avant Garde"/>
          <w:color w:val="auto"/>
        </w:rPr>
        <w:t xml:space="preserve">. </w:t>
      </w:r>
    </w:p>
    <w:p w:rsidR="00D77712" w:rsidRPr="00330641" w:rsidRDefault="00D77712" w:rsidP="000F58E0">
      <w:pPr>
        <w:pStyle w:val="IFT1"/>
        <w:tabs>
          <w:tab w:val="left" w:pos="426"/>
        </w:tabs>
        <w:spacing w:after="0"/>
      </w:pPr>
    </w:p>
    <w:p w:rsidR="00B00966" w:rsidRPr="00330641" w:rsidRDefault="00936A14" w:rsidP="000F58E0">
      <w:pPr>
        <w:spacing w:after="0" w:line="276" w:lineRule="auto"/>
        <w:ind w:left="0" w:right="0" w:firstLine="0"/>
        <w:rPr>
          <w:rFonts w:ascii="ITC Avant Garde" w:hAnsi="ITC Avant Garde"/>
          <w:b/>
          <w:color w:val="auto"/>
          <w:u w:val="single"/>
        </w:rPr>
      </w:pPr>
      <w:r w:rsidRPr="00330641">
        <w:rPr>
          <w:rFonts w:ascii="ITC Avant Garde" w:hAnsi="ITC Avant Garde"/>
          <w:b/>
          <w:color w:val="auto"/>
          <w:u w:val="single"/>
        </w:rPr>
        <w:t>ANEXO “A” TARIFAS</w:t>
      </w:r>
    </w:p>
    <w:p w:rsidR="00D47CC4" w:rsidRPr="00330641" w:rsidRDefault="00D47CC4" w:rsidP="000F58E0">
      <w:pPr>
        <w:spacing w:after="0" w:line="276" w:lineRule="auto"/>
        <w:ind w:left="0" w:right="0" w:firstLine="0"/>
        <w:rPr>
          <w:rFonts w:ascii="ITC Avant Garde" w:hAnsi="ITC Avant Garde"/>
          <w:b/>
          <w:color w:val="auto"/>
        </w:rPr>
      </w:pPr>
      <w:r w:rsidRPr="00330641">
        <w:rPr>
          <w:rFonts w:ascii="ITC Avant Garde" w:hAnsi="ITC Avant Garde"/>
          <w:b/>
          <w:color w:val="auto"/>
        </w:rPr>
        <w:t>GRUPO AT&amp;T</w:t>
      </w:r>
      <w:r w:rsidR="00D512E4" w:rsidRPr="00330641">
        <w:rPr>
          <w:rFonts w:ascii="ITC Avant Garde" w:hAnsi="ITC Avant Garde"/>
          <w:b/>
          <w:color w:val="auto"/>
        </w:rPr>
        <w:t>:</w:t>
      </w:r>
    </w:p>
    <w:p w:rsidR="00446C08" w:rsidRPr="00330641" w:rsidRDefault="0012211F" w:rsidP="000F58E0">
      <w:pPr>
        <w:spacing w:after="0" w:line="276" w:lineRule="auto"/>
        <w:ind w:left="0" w:right="0" w:firstLine="0"/>
        <w:rPr>
          <w:rFonts w:ascii="ITC Avant Garde" w:hAnsi="ITC Avant Garde"/>
          <w:color w:val="auto"/>
        </w:rPr>
      </w:pPr>
      <w:r>
        <w:rPr>
          <w:rFonts w:ascii="ITC Avant Garde" w:hAnsi="ITC Avant Garde"/>
          <w:color w:val="auto"/>
        </w:rPr>
        <w:t>Manifestó</w:t>
      </w:r>
      <w:r w:rsidR="00446C08" w:rsidRPr="00330641">
        <w:rPr>
          <w:rFonts w:ascii="ITC Avant Garde" w:hAnsi="ITC Avant Garde"/>
          <w:color w:val="auto"/>
        </w:rPr>
        <w:t xml:space="preserve"> que se debe eliminar el párrafo donde se establece </w:t>
      </w:r>
      <w:r w:rsidR="006E6306" w:rsidRPr="00330641">
        <w:rPr>
          <w:rFonts w:ascii="ITC Avant Garde" w:hAnsi="ITC Avant Garde"/>
          <w:color w:val="auto"/>
        </w:rPr>
        <w:t>un cobro por la elaboración de una cotización, dado que no ésta no es una práctica habitual.</w:t>
      </w:r>
    </w:p>
    <w:p w:rsidR="00524DC5" w:rsidRPr="00330641" w:rsidRDefault="00524DC5" w:rsidP="000F58E0">
      <w:pPr>
        <w:spacing w:after="0" w:line="276" w:lineRule="auto"/>
        <w:ind w:left="0" w:right="0" w:firstLine="0"/>
        <w:rPr>
          <w:rFonts w:ascii="ITC Avant Garde" w:hAnsi="ITC Avant Garde"/>
          <w:color w:val="auto"/>
        </w:rPr>
      </w:pPr>
    </w:p>
    <w:p w:rsidR="00524DC5" w:rsidRPr="00330641" w:rsidRDefault="00524DC5" w:rsidP="000F58E0">
      <w:pPr>
        <w:spacing w:after="0" w:line="276" w:lineRule="auto"/>
        <w:ind w:left="0" w:right="0" w:firstLine="0"/>
        <w:rPr>
          <w:rFonts w:ascii="ITC Avant Garde" w:hAnsi="ITC Avant Garde"/>
          <w:b/>
          <w:color w:val="auto"/>
        </w:rPr>
      </w:pPr>
      <w:r w:rsidRPr="00330641">
        <w:rPr>
          <w:rFonts w:ascii="ITC Avant Garde" w:hAnsi="ITC Avant Garde"/>
          <w:b/>
          <w:color w:val="auto"/>
        </w:rPr>
        <w:t>AXTEL:</w:t>
      </w:r>
    </w:p>
    <w:p w:rsidR="00722B2D" w:rsidRPr="00330641" w:rsidRDefault="003030FC" w:rsidP="0071752E">
      <w:pPr>
        <w:spacing w:after="0" w:line="276" w:lineRule="auto"/>
        <w:ind w:left="0" w:right="0" w:firstLine="0"/>
        <w:rPr>
          <w:rFonts w:ascii="ITC Avant Garde" w:hAnsi="ITC Avant Garde"/>
        </w:rPr>
      </w:pPr>
      <w:r>
        <w:rPr>
          <w:rFonts w:ascii="ITC Avant Garde" w:hAnsi="ITC Avant Garde"/>
        </w:rPr>
        <w:t>Argumentó</w:t>
      </w:r>
      <w:r w:rsidR="003B1744" w:rsidRPr="00330641">
        <w:rPr>
          <w:rFonts w:ascii="ITC Avant Garde" w:hAnsi="ITC Avant Garde"/>
        </w:rPr>
        <w:t xml:space="preserve"> que se deben reducir las tarifas de los servicios de enlaces del AEP, ya que se ha permitido un incremento del 15% en los últimos dos años para el 90% de los s</w:t>
      </w:r>
      <w:r w:rsidR="00722B2D" w:rsidRPr="00330641">
        <w:rPr>
          <w:rFonts w:ascii="ITC Avant Garde" w:hAnsi="ITC Avant Garde"/>
        </w:rPr>
        <w:t xml:space="preserve">ervicios mayoristas contratados, en contraparte, </w:t>
      </w:r>
      <w:r w:rsidR="0012211F">
        <w:rPr>
          <w:rFonts w:ascii="ITC Avant Garde" w:hAnsi="ITC Avant Garde"/>
        </w:rPr>
        <w:t>Señaló</w:t>
      </w:r>
      <w:r w:rsidR="00722B2D" w:rsidRPr="00330641">
        <w:rPr>
          <w:rFonts w:ascii="ITC Avant Garde" w:hAnsi="ITC Avant Garde"/>
        </w:rPr>
        <w:t xml:space="preserve"> que si bien algunos servicios se han observado disminuciones de precios estas corresponden a servicios de demanda baja. Propone que se reduzcan los precios mayoristas de manera significativa con base a lo siguiente: </w:t>
      </w:r>
    </w:p>
    <w:p w:rsidR="00722B2D" w:rsidRPr="00330641" w:rsidRDefault="00722B2D" w:rsidP="00963EE8">
      <w:pPr>
        <w:spacing w:after="0" w:line="276" w:lineRule="auto"/>
        <w:ind w:left="0" w:right="0" w:firstLine="0"/>
        <w:rPr>
          <w:rFonts w:ascii="ITC Avant Garde" w:hAnsi="ITC Avant Garde"/>
        </w:rPr>
      </w:pPr>
    </w:p>
    <w:p w:rsidR="004176F4" w:rsidRPr="00330641" w:rsidRDefault="00722B2D" w:rsidP="006B06E7">
      <w:pPr>
        <w:pStyle w:val="Prrafodelista"/>
        <w:numPr>
          <w:ilvl w:val="0"/>
          <w:numId w:val="12"/>
        </w:numPr>
        <w:spacing w:after="0" w:line="276" w:lineRule="auto"/>
        <w:ind w:right="0"/>
        <w:rPr>
          <w:rFonts w:ascii="ITC Avant Garde" w:hAnsi="ITC Avant Garde"/>
        </w:rPr>
      </w:pPr>
      <w:r w:rsidRPr="00330641">
        <w:rPr>
          <w:rFonts w:ascii="ITC Avant Garde" w:hAnsi="ITC Avant Garde"/>
        </w:rPr>
        <w:t>Calibrar los precios resultantes del modelo de costos con base en la evolución de los precios finales mayoristas del mercado que van a la baja.</w:t>
      </w:r>
    </w:p>
    <w:p w:rsidR="000F4243" w:rsidRPr="00330641" w:rsidRDefault="000F4243" w:rsidP="006B06E7">
      <w:pPr>
        <w:pStyle w:val="Prrafodelista"/>
        <w:numPr>
          <w:ilvl w:val="0"/>
          <w:numId w:val="12"/>
        </w:numPr>
        <w:spacing w:after="0" w:line="276" w:lineRule="auto"/>
        <w:ind w:right="0"/>
        <w:rPr>
          <w:rFonts w:ascii="ITC Avant Garde" w:hAnsi="ITC Avant Garde"/>
        </w:rPr>
      </w:pPr>
      <w:r w:rsidRPr="00330641">
        <w:rPr>
          <w:rFonts w:ascii="ITC Avant Garde" w:hAnsi="ITC Avant Garde"/>
        </w:rPr>
        <w:t xml:space="preserve">Eliminar del modelo de costos las inversiones asociadas a renovación de tecnología TDM o SDH, en virtud de la propuesta de Telmex de prestar servicios TDM hasta agotar capacidad, por lo que se infiere que ya no se realizarán inversiones TDM. </w:t>
      </w:r>
    </w:p>
    <w:p w:rsidR="006E6306" w:rsidRPr="00330641" w:rsidRDefault="000F4243" w:rsidP="006B06E7">
      <w:pPr>
        <w:pStyle w:val="Prrafodelista"/>
        <w:numPr>
          <w:ilvl w:val="0"/>
          <w:numId w:val="12"/>
        </w:numPr>
        <w:spacing w:after="0" w:line="276" w:lineRule="auto"/>
        <w:ind w:right="0"/>
        <w:rPr>
          <w:rFonts w:ascii="ITC Avant Garde" w:hAnsi="ITC Avant Garde"/>
        </w:rPr>
      </w:pPr>
      <w:r w:rsidRPr="00330641">
        <w:rPr>
          <w:rFonts w:ascii="ITC Avant Garde" w:hAnsi="ITC Avant Garde"/>
        </w:rPr>
        <w:t xml:space="preserve">Eliminar el concepto de tramo </w:t>
      </w:r>
      <w:proofErr w:type="spellStart"/>
      <w:r w:rsidRPr="00330641">
        <w:rPr>
          <w:rFonts w:ascii="ITC Avant Garde" w:hAnsi="ITC Avant Garde"/>
        </w:rPr>
        <w:t>coubicado</w:t>
      </w:r>
      <w:proofErr w:type="spellEnd"/>
      <w:r w:rsidRPr="00330641">
        <w:rPr>
          <w:rFonts w:ascii="ITC Avant Garde" w:hAnsi="ITC Avant Garde"/>
        </w:rPr>
        <w:t>, que se ha introducido en la oferta de 2020 y que sólo causa confusi</w:t>
      </w:r>
      <w:r w:rsidR="00105DF8" w:rsidRPr="00330641">
        <w:rPr>
          <w:rFonts w:ascii="ITC Avant Garde" w:hAnsi="ITC Avant Garde"/>
        </w:rPr>
        <w:t>ón y es una clara pretensión del AEP debe cobrar de manera artificial por los servicios mayoristas, incluso hasta el 85% del costo de un tramo local, lo cual podría considerarse hasta anticompetitivo.</w:t>
      </w:r>
      <w:r w:rsidR="004176F4" w:rsidRPr="00330641">
        <w:rPr>
          <w:rFonts w:ascii="ITC Avant Garde" w:hAnsi="ITC Avant Garde"/>
        </w:rPr>
        <w:t xml:space="preserve"> </w:t>
      </w:r>
      <w:r w:rsidR="00722B2D" w:rsidRPr="00330641">
        <w:rPr>
          <w:rFonts w:ascii="ITC Avant Garde" w:hAnsi="ITC Avant Garde"/>
        </w:rPr>
        <w:t xml:space="preserve"> </w:t>
      </w:r>
    </w:p>
    <w:p w:rsidR="00FD37D8" w:rsidRPr="00330641" w:rsidRDefault="00FD37D8" w:rsidP="000F58E0">
      <w:pPr>
        <w:spacing w:after="0" w:line="276" w:lineRule="auto"/>
        <w:ind w:left="0" w:right="0" w:firstLine="0"/>
        <w:rPr>
          <w:rFonts w:ascii="ITC Avant Garde" w:hAnsi="ITC Avant Garde"/>
          <w:b/>
          <w:color w:val="auto"/>
        </w:rPr>
      </w:pPr>
    </w:p>
    <w:p w:rsidR="00FD37D8" w:rsidRPr="00330641" w:rsidRDefault="00FD37D8" w:rsidP="00FD37D8">
      <w:pPr>
        <w:pStyle w:val="IFT1"/>
        <w:tabs>
          <w:tab w:val="left" w:pos="426"/>
        </w:tabs>
        <w:spacing w:after="0"/>
        <w:rPr>
          <w:b/>
        </w:rPr>
      </w:pPr>
      <w:r w:rsidRPr="00330641">
        <w:rPr>
          <w:b/>
        </w:rPr>
        <w:t>CANIETI:</w:t>
      </w:r>
    </w:p>
    <w:p w:rsidR="00900E28" w:rsidRPr="00330641" w:rsidRDefault="0012211F" w:rsidP="00FD37D8">
      <w:pPr>
        <w:pStyle w:val="IFT1"/>
        <w:tabs>
          <w:tab w:val="left" w:pos="426"/>
        </w:tabs>
        <w:spacing w:after="0"/>
      </w:pPr>
      <w:r>
        <w:t>Señaló</w:t>
      </w:r>
      <w:r w:rsidR="00144435" w:rsidRPr="00330641">
        <w:t xml:space="preserve"> que los precios resultantes del modelo de costos necesitan ser calibrados con base en las condiciones del mercado</w:t>
      </w:r>
      <w:r w:rsidR="00900E28" w:rsidRPr="00330641">
        <w:t>, ya que, en los últimos dos años, los años precios han incrementado entre del 11% y el 15%, para el 80% de los servicios mayoristas en operación, los cuales responden a la demanda del mercado minorista.</w:t>
      </w:r>
    </w:p>
    <w:p w:rsidR="00900E28" w:rsidRPr="00330641" w:rsidRDefault="00900E28" w:rsidP="00FD37D8">
      <w:pPr>
        <w:pStyle w:val="IFT1"/>
        <w:tabs>
          <w:tab w:val="left" w:pos="426"/>
        </w:tabs>
        <w:spacing w:after="0"/>
      </w:pPr>
    </w:p>
    <w:p w:rsidR="005D5779" w:rsidRPr="00330641" w:rsidRDefault="00900E28" w:rsidP="00FD37D8">
      <w:pPr>
        <w:pStyle w:val="IFT1"/>
        <w:tabs>
          <w:tab w:val="left" w:pos="426"/>
        </w:tabs>
        <w:spacing w:after="0"/>
      </w:pPr>
      <w:r w:rsidRPr="00330641">
        <w:t xml:space="preserve">Aunado a lo anterior, </w:t>
      </w:r>
      <w:r w:rsidR="003030FC">
        <w:t>sugirió</w:t>
      </w:r>
      <w:r w:rsidRPr="00330641">
        <w:t xml:space="preserve"> al Instituto calibre los precios resultantes del modelo con los precios del mercado minorista, lo cual resulte en una disminución de precios de al menos el 15%. Dado que el primer lugar, el AEP indica que la prestación de servicios TDM sólo será hasta agotar capacidad, infiere que el AEP ya no realizará inversiones en TDM, en segundo lugar, </w:t>
      </w:r>
      <w:r w:rsidR="0012211F">
        <w:t>Señaló</w:t>
      </w:r>
      <w:r w:rsidR="00DC23ED" w:rsidRPr="00330641">
        <w:t xml:space="preserve"> que la fibra óptica de acceso y transporte ha disminuido constantemente a tasas de 5%, por lo que para Ethernet </w:t>
      </w:r>
      <w:r w:rsidR="00DC23ED" w:rsidRPr="00330641">
        <w:lastRenderedPageBreak/>
        <w:t>debería verse reflejada la disminución</w:t>
      </w:r>
      <w:r w:rsidR="00B356B7" w:rsidRPr="00330641">
        <w:t xml:space="preserve"> y por último, los enlaces con tecnología TDM más contratados son de 128 Kbps, 516 Kbps, 1024 Kbps y E1´s, mientras que para Ethernet son 2 Mbps, 4 Mbps, 10 Mbps 1 </w:t>
      </w:r>
      <w:proofErr w:type="spellStart"/>
      <w:r w:rsidR="00B356B7" w:rsidRPr="00330641">
        <w:t>Gbps</w:t>
      </w:r>
      <w:proofErr w:type="spellEnd"/>
      <w:r w:rsidR="00B356B7" w:rsidRPr="00330641">
        <w:t xml:space="preserve"> y 10 </w:t>
      </w:r>
      <w:proofErr w:type="spellStart"/>
      <w:r w:rsidR="00B356B7" w:rsidRPr="00330641">
        <w:t>Gbps</w:t>
      </w:r>
      <w:proofErr w:type="spellEnd"/>
      <w:r w:rsidR="00DC23ED" w:rsidRPr="00330641">
        <w:t>.</w:t>
      </w:r>
    </w:p>
    <w:p w:rsidR="00FC402C" w:rsidRPr="00330641" w:rsidRDefault="00FC402C" w:rsidP="00FD37D8">
      <w:pPr>
        <w:pStyle w:val="IFT1"/>
        <w:tabs>
          <w:tab w:val="left" w:pos="426"/>
        </w:tabs>
        <w:spacing w:after="0"/>
      </w:pPr>
    </w:p>
    <w:p w:rsidR="00BA7929" w:rsidRPr="00330641" w:rsidRDefault="00BA7929" w:rsidP="00BA7929">
      <w:pPr>
        <w:spacing w:after="0" w:line="276" w:lineRule="auto"/>
        <w:ind w:left="0" w:right="0" w:firstLine="0"/>
        <w:rPr>
          <w:rFonts w:ascii="ITC Avant Garde" w:hAnsi="ITC Avant Garde" w:cs="Times New Roman"/>
          <w:b/>
          <w:color w:val="auto"/>
        </w:rPr>
      </w:pPr>
      <w:r w:rsidRPr="00330641">
        <w:rPr>
          <w:rFonts w:ascii="ITC Avant Garde" w:hAnsi="ITC Avant Garde" w:cs="Times New Roman"/>
          <w:b/>
          <w:color w:val="auto"/>
        </w:rPr>
        <w:t>Consideraciones del Instituto:</w:t>
      </w:r>
    </w:p>
    <w:p w:rsidR="00BA7929" w:rsidRPr="00330641" w:rsidRDefault="00BA7929" w:rsidP="00BA7929">
      <w:pPr>
        <w:spacing w:after="0" w:line="276" w:lineRule="auto"/>
        <w:ind w:left="0" w:right="0" w:firstLine="0"/>
        <w:rPr>
          <w:rFonts w:ascii="ITC Avant Garde" w:hAnsi="ITC Avant Garde"/>
          <w:color w:val="auto"/>
        </w:rPr>
      </w:pPr>
      <w:r w:rsidRPr="00330641">
        <w:rPr>
          <w:rFonts w:ascii="ITC Avant Garde" w:hAnsi="ITC Avant Garde"/>
          <w:color w:val="auto"/>
        </w:rPr>
        <w:t xml:space="preserve">Al respecto, la Medida Trigésima Séptima de las Medidas Fijas establece que las tarifas aplicables al Servicio Mayorista de Enlaces Dedicados se determinarán a partir de un modelo de costos basado en una metodología de costos incrementales promedio de largo plazo, que al efecto emita el Instituto; ello en concordancia con la Medida Cuadragésima Primera de las Medidas Fijas en donde se </w:t>
      </w:r>
      <w:r w:rsidR="0012211F">
        <w:rPr>
          <w:rFonts w:ascii="ITC Avant Garde" w:hAnsi="ITC Avant Garde"/>
          <w:color w:val="auto"/>
        </w:rPr>
        <w:t>Señaló</w:t>
      </w:r>
      <w:r w:rsidRPr="00330641">
        <w:rPr>
          <w:rFonts w:ascii="ITC Avant Garde" w:hAnsi="ITC Avant Garde"/>
          <w:color w:val="auto"/>
        </w:rPr>
        <w:t xml:space="preserve"> que la Oferta de Referencia correspondiente deberá contener las tarifas. </w:t>
      </w:r>
    </w:p>
    <w:p w:rsidR="00C208C1" w:rsidRPr="00330641" w:rsidRDefault="00C208C1" w:rsidP="00BA7929">
      <w:pPr>
        <w:spacing w:after="0" w:line="276" w:lineRule="auto"/>
        <w:ind w:left="0" w:right="0" w:firstLine="0"/>
        <w:rPr>
          <w:rFonts w:ascii="ITC Avant Garde" w:hAnsi="ITC Avant Garde"/>
          <w:color w:val="auto"/>
        </w:rPr>
      </w:pPr>
    </w:p>
    <w:p w:rsidR="00C208C1" w:rsidRPr="00330641" w:rsidRDefault="00C208C1" w:rsidP="00C208C1">
      <w:pPr>
        <w:spacing w:after="0" w:line="276" w:lineRule="auto"/>
        <w:ind w:left="0" w:right="0" w:firstLine="0"/>
        <w:rPr>
          <w:rFonts w:ascii="ITC Avant Garde" w:hAnsi="ITC Avant Garde"/>
          <w:color w:val="auto"/>
        </w:rPr>
      </w:pPr>
      <w:r w:rsidRPr="00330641">
        <w:rPr>
          <w:rFonts w:ascii="ITC Avant Garde" w:hAnsi="ITC Avant Garde"/>
          <w:color w:val="auto"/>
        </w:rPr>
        <w:t xml:space="preserve">Es necesario </w:t>
      </w:r>
      <w:r w:rsidR="002C10C5">
        <w:rPr>
          <w:rFonts w:ascii="ITC Avant Garde" w:hAnsi="ITC Avant Garde"/>
          <w:color w:val="auto"/>
        </w:rPr>
        <w:t>señala</w:t>
      </w:r>
      <w:r w:rsidRPr="00330641">
        <w:rPr>
          <w:rFonts w:ascii="ITC Avant Garde" w:hAnsi="ITC Avant Garde"/>
          <w:color w:val="auto"/>
        </w:rPr>
        <w:t xml:space="preserve">r que la metodología instrumentada por este Instituto, Costos Incrementales Totales Promedio de Largo Plazo (CITLP) se considera una mejor práctica internacional tanto por reguladores como por organismos especializados en telecomunicaciones. Esto debido a que dicha metodología permite la recuperación de todos los costos en los que se incurre por proveer el servicio de manera eficiente, a la vez que otorga un </w:t>
      </w:r>
      <w:proofErr w:type="spellStart"/>
      <w:r w:rsidRPr="00330641">
        <w:rPr>
          <w:rFonts w:ascii="ITC Avant Garde" w:hAnsi="ITC Avant Garde"/>
          <w:color w:val="auto"/>
        </w:rPr>
        <w:t>mark</w:t>
      </w:r>
      <w:proofErr w:type="spellEnd"/>
      <w:r w:rsidRPr="00330641">
        <w:rPr>
          <w:rFonts w:ascii="ITC Avant Garde" w:hAnsi="ITC Avant Garde"/>
          <w:color w:val="auto"/>
        </w:rPr>
        <w:t xml:space="preserve"> up que permite recuperar una porción razonable de los costos comunes y compartidos de los servicios que presta la empresa regulada. De tal forma, las tarifas establecidas en el presente instrumento regulatorio garantizan al AEP el eficiente retorno de los costos contraídos por el suministro del servicio de enlaces dedicados, al tiempo que incentivan un crecimiento en la demanda de los mismos y, por ende, la competencia en el segmento correspondiente.</w:t>
      </w:r>
    </w:p>
    <w:p w:rsidR="00BA7929" w:rsidRPr="00330641" w:rsidRDefault="00BA7929" w:rsidP="00BA7929">
      <w:pPr>
        <w:spacing w:after="0" w:line="276" w:lineRule="auto"/>
        <w:ind w:left="0" w:right="0" w:firstLine="0"/>
        <w:rPr>
          <w:rFonts w:ascii="ITC Avant Garde" w:hAnsi="ITC Avant Garde"/>
          <w:color w:val="auto"/>
        </w:rPr>
      </w:pPr>
    </w:p>
    <w:p w:rsidR="00BA7929" w:rsidRPr="00330641" w:rsidRDefault="00BA7929" w:rsidP="00BA7929">
      <w:pPr>
        <w:spacing w:after="0" w:line="276" w:lineRule="auto"/>
        <w:ind w:left="0" w:right="0" w:firstLine="0"/>
        <w:rPr>
          <w:rFonts w:ascii="ITC Avant Garde" w:hAnsi="ITC Avant Garde"/>
          <w:b/>
          <w:color w:val="auto"/>
        </w:rPr>
      </w:pPr>
      <w:r w:rsidRPr="00330641">
        <w:rPr>
          <w:rFonts w:ascii="ITC Avant Garde" w:hAnsi="ITC Avant Garde"/>
          <w:color w:val="auto"/>
        </w:rPr>
        <w:t>Por otro lado, y por lo que respecta a la solicitud de</w:t>
      </w:r>
      <w:r w:rsidRPr="00330641">
        <w:rPr>
          <w:rFonts w:ascii="ITC Avant Garde" w:hAnsi="ITC Avant Garde"/>
        </w:rPr>
        <w:t xml:space="preserve"> </w:t>
      </w:r>
      <w:r w:rsidRPr="00330641">
        <w:rPr>
          <w:rFonts w:ascii="ITC Avant Garde" w:hAnsi="ITC Avant Garde"/>
          <w:color w:val="auto"/>
        </w:rPr>
        <w:t xml:space="preserve">eliminar los cargos administrativos por </w:t>
      </w:r>
      <w:r w:rsidR="00C208C1" w:rsidRPr="00330641">
        <w:rPr>
          <w:rFonts w:ascii="ITC Avant Garde" w:hAnsi="ITC Avant Garde"/>
          <w:color w:val="auto"/>
        </w:rPr>
        <w:t xml:space="preserve">la </w:t>
      </w:r>
      <w:r w:rsidR="00C56880">
        <w:rPr>
          <w:rFonts w:ascii="ITC Avant Garde" w:hAnsi="ITC Avant Garde"/>
          <w:color w:val="auto"/>
        </w:rPr>
        <w:t xml:space="preserve">elaboración de la </w:t>
      </w:r>
      <w:r w:rsidR="00C208C1" w:rsidRPr="00330641">
        <w:rPr>
          <w:rFonts w:ascii="ITC Avant Garde" w:hAnsi="ITC Avant Garde"/>
          <w:color w:val="auto"/>
        </w:rPr>
        <w:t>cotización de</w:t>
      </w:r>
      <w:r w:rsidRPr="00330641">
        <w:rPr>
          <w:rFonts w:ascii="ITC Avant Garde" w:hAnsi="ITC Avant Garde"/>
          <w:color w:val="auto"/>
        </w:rPr>
        <w:t xml:space="preserve"> un proyecto especial</w:t>
      </w:r>
      <w:r w:rsidR="00C56880">
        <w:rPr>
          <w:rFonts w:ascii="ITC Avant Garde" w:hAnsi="ITC Avant Garde"/>
        </w:rPr>
        <w:t xml:space="preserve"> dicho cobro se eliminó de la Oferta</w:t>
      </w:r>
      <w:r w:rsidRPr="00330641">
        <w:rPr>
          <w:rFonts w:ascii="ITC Avant Garde" w:hAnsi="ITC Avant Garde"/>
          <w:color w:val="auto"/>
        </w:rPr>
        <w:t>.</w:t>
      </w:r>
    </w:p>
    <w:p w:rsidR="00DC23ED" w:rsidRPr="00330641" w:rsidRDefault="00DC23ED" w:rsidP="00FD37D8">
      <w:pPr>
        <w:pStyle w:val="IFT1"/>
        <w:tabs>
          <w:tab w:val="left" w:pos="426"/>
        </w:tabs>
        <w:spacing w:after="0"/>
      </w:pPr>
    </w:p>
    <w:p w:rsidR="00B43E25" w:rsidRPr="00330641" w:rsidRDefault="00C47D18" w:rsidP="000F58E0">
      <w:pPr>
        <w:pStyle w:val="IFTnormal"/>
        <w:spacing w:after="0"/>
        <w:ind w:left="0"/>
        <w:rPr>
          <w:rFonts w:eastAsiaTheme="majorEastAsia" w:cstheme="majorBidi"/>
          <w:b/>
          <w:bCs/>
          <w:u w:val="single"/>
          <w:lang w:val="es-ES_tradnl"/>
        </w:rPr>
      </w:pPr>
      <w:r w:rsidRPr="00330641">
        <w:rPr>
          <w:rFonts w:eastAsiaTheme="majorEastAsia" w:cstheme="majorBidi"/>
          <w:b/>
          <w:bCs/>
          <w:u w:val="single"/>
          <w:lang w:val="es-ES_tradnl"/>
        </w:rPr>
        <w:t>COMENTARIOS GENERALES.</w:t>
      </w:r>
    </w:p>
    <w:p w:rsidR="00D512E4" w:rsidRPr="00330641" w:rsidRDefault="000C5D1A" w:rsidP="000F58E0">
      <w:pPr>
        <w:pStyle w:val="IFT1"/>
        <w:tabs>
          <w:tab w:val="left" w:pos="426"/>
        </w:tabs>
        <w:spacing w:after="0"/>
        <w:rPr>
          <w:b/>
        </w:rPr>
      </w:pPr>
      <w:r w:rsidRPr="00330641">
        <w:rPr>
          <w:b/>
        </w:rPr>
        <w:t>CANIETI</w:t>
      </w:r>
      <w:r w:rsidR="00D512E4" w:rsidRPr="00330641">
        <w:rPr>
          <w:b/>
        </w:rPr>
        <w:t>:</w:t>
      </w:r>
    </w:p>
    <w:p w:rsidR="00390E33" w:rsidRPr="00330641" w:rsidRDefault="0012211F" w:rsidP="000F58E0">
      <w:pPr>
        <w:pStyle w:val="IFT1"/>
        <w:tabs>
          <w:tab w:val="left" w:pos="426"/>
        </w:tabs>
        <w:spacing w:after="0"/>
      </w:pPr>
      <w:r>
        <w:t>Manifestó</w:t>
      </w:r>
      <w:r w:rsidR="00390E33" w:rsidRPr="00330641">
        <w:t xml:space="preserve"> que en virtud de que la separación funcional ya est</w:t>
      </w:r>
      <w:r w:rsidR="00FD37D8" w:rsidRPr="00330641">
        <w:t>á implementada, se debería realizar un análisis de cumplimiento de equivalencia de insumos para que las Ofertas brinden certeza de que los procesos, términos, condiciones y precios, son los mismos para el AEP, como para los CS.</w:t>
      </w:r>
    </w:p>
    <w:p w:rsidR="00FD37D8" w:rsidRPr="00330641" w:rsidRDefault="00FD37D8" w:rsidP="000F58E0">
      <w:pPr>
        <w:pStyle w:val="IFT1"/>
        <w:tabs>
          <w:tab w:val="left" w:pos="426"/>
        </w:tabs>
        <w:spacing w:after="0"/>
      </w:pPr>
    </w:p>
    <w:p w:rsidR="00C208C1" w:rsidRPr="00330641" w:rsidRDefault="00FD37D8" w:rsidP="000F58E0">
      <w:pPr>
        <w:pStyle w:val="IFT1"/>
        <w:tabs>
          <w:tab w:val="left" w:pos="426"/>
        </w:tabs>
        <w:spacing w:after="0"/>
      </w:pPr>
      <w:r w:rsidRPr="00330641">
        <w:rPr>
          <w:iCs w:val="0"/>
        </w:rPr>
        <w:t xml:space="preserve">Además, </w:t>
      </w:r>
      <w:r w:rsidR="002C10C5">
        <w:rPr>
          <w:iCs w:val="0"/>
        </w:rPr>
        <w:t>s</w:t>
      </w:r>
      <w:r w:rsidR="0012211F">
        <w:rPr>
          <w:iCs w:val="0"/>
        </w:rPr>
        <w:t>eñaló</w:t>
      </w:r>
      <w:r w:rsidR="007547D8" w:rsidRPr="00330641">
        <w:rPr>
          <w:iCs w:val="0"/>
        </w:rPr>
        <w:t xml:space="preserve"> que el Instituto </w:t>
      </w:r>
      <w:r w:rsidR="00390E33" w:rsidRPr="00330641">
        <w:rPr>
          <w:iCs w:val="0"/>
        </w:rPr>
        <w:t>debería establecer condiciones favorables y efectivas para la competencia en el sector, y el fomento de las inversiones que realizan los CS</w:t>
      </w:r>
      <w:r w:rsidRPr="00330641">
        <w:rPr>
          <w:iCs w:val="0"/>
        </w:rPr>
        <w:t xml:space="preserve">. </w:t>
      </w:r>
    </w:p>
    <w:p w:rsidR="00C208C1" w:rsidRPr="00330641" w:rsidRDefault="00C208C1" w:rsidP="000F58E0">
      <w:pPr>
        <w:pStyle w:val="IFT1"/>
        <w:tabs>
          <w:tab w:val="left" w:pos="426"/>
        </w:tabs>
        <w:spacing w:after="0"/>
        <w:rPr>
          <w:b/>
        </w:rPr>
      </w:pPr>
    </w:p>
    <w:p w:rsidR="00C0092E" w:rsidRPr="00330641" w:rsidRDefault="00C0092E" w:rsidP="000F58E0">
      <w:pPr>
        <w:pStyle w:val="IFT1"/>
        <w:tabs>
          <w:tab w:val="left" w:pos="426"/>
        </w:tabs>
        <w:spacing w:after="0"/>
        <w:rPr>
          <w:b/>
        </w:rPr>
      </w:pPr>
      <w:r w:rsidRPr="00330641">
        <w:rPr>
          <w:b/>
        </w:rPr>
        <w:lastRenderedPageBreak/>
        <w:t>PEGASO</w:t>
      </w:r>
      <w:r w:rsidR="00215384" w:rsidRPr="00330641">
        <w:rPr>
          <w:b/>
        </w:rPr>
        <w:t>:</w:t>
      </w:r>
      <w:r w:rsidRPr="00330641">
        <w:rPr>
          <w:b/>
        </w:rPr>
        <w:t xml:space="preserve"> </w:t>
      </w:r>
    </w:p>
    <w:p w:rsidR="00AC1759" w:rsidRPr="00330641" w:rsidRDefault="002C10C5" w:rsidP="00AC1759">
      <w:pPr>
        <w:pStyle w:val="IFT1"/>
        <w:tabs>
          <w:tab w:val="left" w:pos="426"/>
        </w:tabs>
        <w:spacing w:after="0"/>
      </w:pPr>
      <w:r>
        <w:t>Puntualizó</w:t>
      </w:r>
      <w:r w:rsidR="00AC1759" w:rsidRPr="00330641">
        <w:t xml:space="preserve"> que el principio de Equivalencia de los Insumos, que es el principal objetivo de una Separación Funcional, el intentar garantizar un mismo trato entre las unidades minorista y el resto de los concesionarios, no hay garantía de que se esté cumpliendo el trato no discriminatorio, en la actualidad y con las obligaciones vigentes </w:t>
      </w:r>
      <w:r w:rsidR="000425AC" w:rsidRPr="00330641">
        <w:t>no existe garantía de un cumplimiento del principio de Equivalencia de los Insumos o trato no discriminatorio</w:t>
      </w:r>
      <w:r w:rsidR="00AC1759" w:rsidRPr="00330641">
        <w:t xml:space="preserve">. </w:t>
      </w:r>
    </w:p>
    <w:p w:rsidR="000425AC" w:rsidRPr="00330641" w:rsidRDefault="000425AC" w:rsidP="00AC1759">
      <w:pPr>
        <w:pStyle w:val="IFT1"/>
        <w:tabs>
          <w:tab w:val="left" w:pos="426"/>
        </w:tabs>
        <w:spacing w:after="0"/>
      </w:pPr>
    </w:p>
    <w:p w:rsidR="000425AC" w:rsidRPr="00330641" w:rsidRDefault="0012211F" w:rsidP="000425AC">
      <w:pPr>
        <w:spacing w:after="0" w:line="276" w:lineRule="auto"/>
        <w:ind w:left="0" w:right="0"/>
        <w:rPr>
          <w:rFonts w:ascii="ITC Avant Garde" w:hAnsi="ITC Avant Garde"/>
          <w:color w:val="auto"/>
        </w:rPr>
      </w:pPr>
      <w:r>
        <w:rPr>
          <w:rFonts w:ascii="ITC Avant Garde" w:hAnsi="ITC Avant Garde"/>
          <w:color w:val="auto"/>
        </w:rPr>
        <w:t>Señaló</w:t>
      </w:r>
      <w:r w:rsidR="000425AC" w:rsidRPr="00330641">
        <w:rPr>
          <w:rFonts w:ascii="ITC Avant Garde" w:hAnsi="ITC Avant Garde"/>
          <w:color w:val="auto"/>
        </w:rPr>
        <w:t xml:space="preserve"> Pegaso que el Instituto debe de utilizar su régimen sancionador para que, si desde el primer día de puesta en marcha de la DM no utilizan el SEG de la DM con los mismos procedimientos, interfaces e información disponible que ofrece al resto de los CS, para sus propias peticiones de enlaces dedicados.</w:t>
      </w:r>
      <w:r w:rsidR="00176F0C" w:rsidRPr="00330641">
        <w:rPr>
          <w:rFonts w:ascii="ITC Avant Garde" w:hAnsi="ITC Avant Garde"/>
          <w:color w:val="auto"/>
        </w:rPr>
        <w:t xml:space="preserve"> Asimismo, solicitan al Instituto que las unidades minoristas del AEP utilicen </w:t>
      </w:r>
      <w:r w:rsidR="00330641">
        <w:rPr>
          <w:rFonts w:ascii="ITC Avant Garde" w:hAnsi="ITC Avant Garde"/>
          <w:color w:val="auto"/>
        </w:rPr>
        <w:t>el SEG para su auto provisión.</w:t>
      </w:r>
      <w:r w:rsidR="000425AC" w:rsidRPr="00330641">
        <w:rPr>
          <w:rFonts w:ascii="ITC Avant Garde" w:hAnsi="ITC Avant Garde"/>
          <w:color w:val="auto"/>
        </w:rPr>
        <w:t xml:space="preserve"> </w:t>
      </w:r>
    </w:p>
    <w:p w:rsidR="000425AC" w:rsidRPr="00330641" w:rsidRDefault="000425AC" w:rsidP="00AC1759">
      <w:pPr>
        <w:pStyle w:val="IFT1"/>
        <w:tabs>
          <w:tab w:val="left" w:pos="426"/>
        </w:tabs>
        <w:spacing w:after="0"/>
      </w:pPr>
    </w:p>
    <w:p w:rsidR="00C0092E" w:rsidRPr="00330641" w:rsidRDefault="00AC1759" w:rsidP="000F58E0">
      <w:pPr>
        <w:pStyle w:val="IFT1"/>
        <w:tabs>
          <w:tab w:val="left" w:pos="426"/>
        </w:tabs>
        <w:spacing w:after="0"/>
      </w:pPr>
      <w:r w:rsidRPr="00330641">
        <w:t xml:space="preserve">Asimismo, </w:t>
      </w:r>
      <w:r w:rsidR="002C10C5">
        <w:t>s</w:t>
      </w:r>
      <w:r w:rsidR="0012211F">
        <w:t>eñaló</w:t>
      </w:r>
      <w:r w:rsidR="00C0092E" w:rsidRPr="00330641">
        <w:t xml:space="preserve"> que los contratos gubernamentales ganados por el AEP basados en soluciones de conectividad con enlaces dedicados son notoriamente no replicables ni técnica ni económicamente por los CS a partir de s</w:t>
      </w:r>
      <w:r w:rsidR="00F920B9">
        <w:t>u oferta de referencia. Solicitó</w:t>
      </w:r>
      <w:r w:rsidR="00C0092E" w:rsidRPr="00330641">
        <w:t xml:space="preserve"> al Instituto una supervisión e intervención en estos casos ante indicios de falta de </w:t>
      </w:r>
      <w:proofErr w:type="spellStart"/>
      <w:r w:rsidR="00C0092E" w:rsidRPr="00330641">
        <w:t>replicabilidad</w:t>
      </w:r>
      <w:proofErr w:type="spellEnd"/>
      <w:r w:rsidR="00C0092E" w:rsidRPr="00330641">
        <w:t xml:space="preserve"> </w:t>
      </w:r>
      <w:r w:rsidR="007A40F2" w:rsidRPr="00330641">
        <w:t xml:space="preserve">por parte de </w:t>
      </w:r>
      <w:r w:rsidR="00C0092E" w:rsidRPr="00330641">
        <w:t xml:space="preserve">los CS. </w:t>
      </w:r>
      <w:r w:rsidR="0012211F">
        <w:t>Señaló</w:t>
      </w:r>
      <w:r w:rsidR="00C0092E" w:rsidRPr="00330641">
        <w:t xml:space="preserve"> que el Instituto podrá intervenir antes de que pueda cerrarse el contrato y asegurar que éste puede ser replicado a partir de la oferta mayorista del AEP.</w:t>
      </w:r>
      <w:r w:rsidR="00607573">
        <w:t xml:space="preserve"> En el caso contrario, argumentó</w:t>
      </w:r>
      <w:r w:rsidR="00C0092E" w:rsidRPr="00330641">
        <w:t xml:space="preserve"> que el AEP tendrá que hacer las modificaciones necesarias en la oferta de referencia para asegurar la </w:t>
      </w:r>
      <w:proofErr w:type="spellStart"/>
      <w:r w:rsidR="00C0092E" w:rsidRPr="00330641">
        <w:t>replicabilidad</w:t>
      </w:r>
      <w:proofErr w:type="spellEnd"/>
      <w:r w:rsidR="00C0092E" w:rsidRPr="00330641">
        <w:t xml:space="preserve"> técnica y económica antes del cierre del contrato y con antelación suficiente para que los CS puedan elaborar su propuesta.</w:t>
      </w:r>
    </w:p>
    <w:p w:rsidR="00C0092E" w:rsidRPr="00330641" w:rsidRDefault="00C0092E" w:rsidP="000F58E0">
      <w:pPr>
        <w:pStyle w:val="IFT1"/>
        <w:tabs>
          <w:tab w:val="left" w:pos="426"/>
        </w:tabs>
        <w:spacing w:after="0"/>
      </w:pPr>
    </w:p>
    <w:p w:rsidR="00215384" w:rsidRPr="00330641" w:rsidRDefault="00C0092E" w:rsidP="000F58E0">
      <w:pPr>
        <w:spacing w:after="0" w:line="276" w:lineRule="auto"/>
        <w:ind w:left="0" w:right="0" w:firstLine="0"/>
        <w:rPr>
          <w:rFonts w:ascii="ITC Avant Garde" w:hAnsi="ITC Avant Garde" w:cs="Times New Roman"/>
          <w:b/>
          <w:color w:val="auto"/>
        </w:rPr>
      </w:pPr>
      <w:r w:rsidRPr="00330641">
        <w:rPr>
          <w:rFonts w:ascii="ITC Avant Garde" w:hAnsi="ITC Avant Garde" w:cs="Times New Roman"/>
          <w:b/>
          <w:color w:val="auto"/>
        </w:rPr>
        <w:t>Consideraciones del Instituto</w:t>
      </w:r>
      <w:r w:rsidR="00215384" w:rsidRPr="00330641">
        <w:rPr>
          <w:rFonts w:ascii="ITC Avant Garde" w:hAnsi="ITC Avant Garde" w:cs="Times New Roman"/>
          <w:b/>
          <w:color w:val="auto"/>
        </w:rPr>
        <w:t>:</w:t>
      </w:r>
    </w:p>
    <w:p w:rsidR="007A40F2" w:rsidRPr="00330641" w:rsidRDefault="00D40C65" w:rsidP="000F58E0">
      <w:pPr>
        <w:spacing w:after="0" w:line="276" w:lineRule="auto"/>
        <w:ind w:left="0" w:right="0" w:firstLine="0"/>
        <w:rPr>
          <w:rFonts w:ascii="ITC Avant Garde" w:hAnsi="ITC Avant Garde" w:cs="Times New Roman"/>
          <w:color w:val="auto"/>
        </w:rPr>
      </w:pPr>
      <w:r>
        <w:rPr>
          <w:rFonts w:ascii="ITC Avant Garde" w:hAnsi="ITC Avant Garde" w:cs="Times New Roman"/>
          <w:color w:val="auto"/>
        </w:rPr>
        <w:t>Respecto al análisis de equivalencia de insumos y que no se está cumpliendo dicho principio, se señala que se encuentra fuera del alcance la Oferta realizar dicho análisis o determinar si se está cumpliendo o no dicho principio.</w:t>
      </w:r>
    </w:p>
    <w:p w:rsidR="000425AC" w:rsidRPr="00330641" w:rsidRDefault="000425AC" w:rsidP="000F58E0">
      <w:pPr>
        <w:autoSpaceDE w:val="0"/>
        <w:autoSpaceDN w:val="0"/>
        <w:adjustRightInd w:val="0"/>
        <w:spacing w:after="0" w:line="276" w:lineRule="auto"/>
        <w:ind w:left="0" w:right="0" w:firstLine="0"/>
        <w:rPr>
          <w:rFonts w:ascii="ITC Avant Garde" w:hAnsi="ITC Avant Garde" w:cs="Times New Roman"/>
          <w:color w:val="auto"/>
        </w:rPr>
      </w:pPr>
    </w:p>
    <w:p w:rsidR="000425AC" w:rsidRPr="00330641" w:rsidRDefault="000425AC" w:rsidP="000425AC">
      <w:pPr>
        <w:pStyle w:val="IFT1"/>
        <w:tabs>
          <w:tab w:val="left" w:pos="426"/>
        </w:tabs>
        <w:spacing w:after="0"/>
        <w:rPr>
          <w:b/>
        </w:rPr>
      </w:pPr>
      <w:r w:rsidRPr="00330641">
        <w:rPr>
          <w:b/>
        </w:rPr>
        <w:t>PEGASO:</w:t>
      </w:r>
    </w:p>
    <w:p w:rsidR="000425AC" w:rsidRPr="00330641" w:rsidRDefault="00D40C65" w:rsidP="000425AC">
      <w:pPr>
        <w:pStyle w:val="IFT1"/>
        <w:tabs>
          <w:tab w:val="left" w:pos="426"/>
        </w:tabs>
        <w:spacing w:after="0"/>
      </w:pPr>
      <w:r>
        <w:t>A</w:t>
      </w:r>
      <w:r w:rsidR="002C10C5">
        <w:t>rgumentó</w:t>
      </w:r>
      <w:r w:rsidR="000425AC" w:rsidRPr="00330641">
        <w:t xml:space="preserve"> que la propia oferta de referencia de enlaces dedicados debe incorporar unos indicadores clave de desempeño específicos para el servicio de Enlaces Dedicados, que garanticen el mismo trato que da el AEP a su propia operación y a los CS, así como el mismo trato entre los distintos CS.</w:t>
      </w:r>
    </w:p>
    <w:p w:rsidR="000425AC" w:rsidRPr="00330641" w:rsidRDefault="000425AC" w:rsidP="000425AC">
      <w:pPr>
        <w:pStyle w:val="IFT1"/>
        <w:tabs>
          <w:tab w:val="left" w:pos="426"/>
        </w:tabs>
        <w:spacing w:after="0"/>
      </w:pPr>
    </w:p>
    <w:p w:rsidR="000425AC" w:rsidRPr="00330641" w:rsidRDefault="0012211F" w:rsidP="000425AC">
      <w:pPr>
        <w:pStyle w:val="IFT1"/>
        <w:tabs>
          <w:tab w:val="left" w:pos="426"/>
        </w:tabs>
        <w:spacing w:after="0"/>
      </w:pPr>
      <w:r>
        <w:t>Señaló</w:t>
      </w:r>
      <w:r w:rsidR="000425AC" w:rsidRPr="00330641">
        <w:t xml:space="preserve"> que, en cuanto al envío de la información y reportes, el AEP enviará mensualmente a cada CS los indicadores de desempeño particulares del CS, así como los indicadores agregados para todos los CS (y así cada CS podrá observar que no se le discrimina frente a otros CS) además de los mayoristas y minoristas del </w:t>
      </w:r>
      <w:r w:rsidR="000425AC" w:rsidRPr="00330641">
        <w:lastRenderedPageBreak/>
        <w:t>propio AEP (lo que permitirá comprobar que el AEP no discrimina entre su auto-provisión y la de terceros).</w:t>
      </w:r>
    </w:p>
    <w:p w:rsidR="000425AC" w:rsidRPr="00330641" w:rsidRDefault="000425AC" w:rsidP="000425AC">
      <w:pPr>
        <w:pStyle w:val="IFT1"/>
        <w:tabs>
          <w:tab w:val="left" w:pos="426"/>
        </w:tabs>
        <w:spacing w:after="0"/>
      </w:pPr>
    </w:p>
    <w:p w:rsidR="000425AC" w:rsidRPr="00330641" w:rsidRDefault="000425AC" w:rsidP="000425AC">
      <w:pPr>
        <w:pStyle w:val="IFT1"/>
        <w:tabs>
          <w:tab w:val="left" w:pos="426"/>
        </w:tabs>
        <w:spacing w:after="0"/>
      </w:pPr>
      <w:r w:rsidRPr="00330641">
        <w:t xml:space="preserve">La oferta de referencia debe incluir </w:t>
      </w:r>
      <w:r w:rsidR="007E4DC2" w:rsidRPr="00330641">
        <w:t>todos los</w:t>
      </w:r>
      <w:r w:rsidRPr="00330641">
        <w:t xml:space="preserve"> indicadores </w:t>
      </w:r>
      <w:r w:rsidR="00FB3454" w:rsidRPr="00330641">
        <w:t>que son</w:t>
      </w:r>
      <w:r w:rsidRPr="00330641">
        <w:t xml:space="preserve"> relevantes </w:t>
      </w:r>
      <w:r w:rsidR="00FB3454" w:rsidRPr="00330641">
        <w:t>del</w:t>
      </w:r>
      <w:r w:rsidRPr="00330641">
        <w:t xml:space="preserve"> servicio aguas abajo</w:t>
      </w:r>
      <w:r w:rsidR="00FB3454" w:rsidRPr="00330641">
        <w:t xml:space="preserve"> del AEP que permitan garantizar un trato no discriminatorio</w:t>
      </w:r>
      <w:r w:rsidRPr="00330641">
        <w:t>.</w:t>
      </w:r>
      <w:r w:rsidR="00FB3454" w:rsidRPr="00330641">
        <w:t xml:space="preserve"> De la misma forma </w:t>
      </w:r>
      <w:r w:rsidR="002C10C5">
        <w:t>s</w:t>
      </w:r>
      <w:r w:rsidR="0012211F">
        <w:t>eñaló</w:t>
      </w:r>
      <w:r w:rsidR="00FB3454" w:rsidRPr="00330641">
        <w:t xml:space="preserve"> la incorporación de indicadores específicos relativos a los proyectos especiales, lo cuales deben ser incorporados para el servicio de enlaces dedicados provisto por la DM, con especial énfasis en recopilar y comparar los valores que finalmente estas unidades minoristas del AEP otorgan a sus clientes finales.</w:t>
      </w:r>
      <w:r w:rsidRPr="00330641">
        <w:t xml:space="preserve"> Además,</w:t>
      </w:r>
      <w:r w:rsidR="00FB3454" w:rsidRPr="00330641">
        <w:t xml:space="preserve"> </w:t>
      </w:r>
      <w:r w:rsidR="0012211F">
        <w:t>Señaló</w:t>
      </w:r>
      <w:r w:rsidR="00FB3454" w:rsidRPr="00330641">
        <w:t xml:space="preserve"> que el AEP aporte los resultados de los indicadores</w:t>
      </w:r>
      <w:r w:rsidRPr="00330641">
        <w:t xml:space="preserve"> análogos minoristas </w:t>
      </w:r>
      <w:r w:rsidR="00FB3454" w:rsidRPr="00330641">
        <w:t>que ofrece en los enlaces a sus clientes finales</w:t>
      </w:r>
      <w:r w:rsidRPr="00330641">
        <w:t>.</w:t>
      </w:r>
    </w:p>
    <w:p w:rsidR="00507EA5" w:rsidRPr="00330641" w:rsidRDefault="00507EA5" w:rsidP="000425AC">
      <w:pPr>
        <w:pStyle w:val="IFT1"/>
        <w:tabs>
          <w:tab w:val="left" w:pos="426"/>
        </w:tabs>
        <w:spacing w:after="0"/>
      </w:pPr>
    </w:p>
    <w:p w:rsidR="00507EA5" w:rsidRPr="00330641" w:rsidRDefault="00507EA5" w:rsidP="00507EA5">
      <w:pPr>
        <w:pStyle w:val="IFT1"/>
        <w:tabs>
          <w:tab w:val="left" w:pos="426"/>
        </w:tabs>
        <w:spacing w:after="0"/>
      </w:pPr>
      <w:r w:rsidRPr="00330641">
        <w:t xml:space="preserve">Por lo anterior, Pegaso </w:t>
      </w:r>
      <w:r w:rsidR="002C10C5">
        <w:t>solicitó</w:t>
      </w:r>
      <w:r w:rsidRPr="00330641">
        <w:t xml:space="preserve"> al Instituto que incluya explícitamente esta propuesta de indicadores y reportes dentro de la oferta de referencia, pues es la mejor garantía de su cumplimiento.</w:t>
      </w:r>
    </w:p>
    <w:p w:rsidR="000425AC" w:rsidRPr="00330641" w:rsidRDefault="000425AC" w:rsidP="000425AC">
      <w:pPr>
        <w:pStyle w:val="IFT1"/>
        <w:tabs>
          <w:tab w:val="left" w:pos="426"/>
        </w:tabs>
        <w:spacing w:after="0"/>
      </w:pPr>
    </w:p>
    <w:p w:rsidR="000425AC" w:rsidRPr="00330641" w:rsidRDefault="000425AC" w:rsidP="000425AC">
      <w:pPr>
        <w:spacing w:after="0" w:line="276" w:lineRule="auto"/>
        <w:ind w:left="0" w:right="0" w:firstLine="0"/>
        <w:rPr>
          <w:rFonts w:ascii="ITC Avant Garde" w:hAnsi="ITC Avant Garde" w:cs="Times New Roman"/>
          <w:b/>
          <w:color w:val="auto"/>
        </w:rPr>
      </w:pPr>
      <w:r w:rsidRPr="00330641">
        <w:rPr>
          <w:rFonts w:ascii="ITC Avant Garde" w:hAnsi="ITC Avant Garde" w:cs="Times New Roman"/>
          <w:b/>
          <w:color w:val="auto"/>
        </w:rPr>
        <w:t>Consideraciones del Instituto:</w:t>
      </w:r>
    </w:p>
    <w:p w:rsidR="00D40C65" w:rsidRDefault="00D40C65" w:rsidP="000425AC">
      <w:pPr>
        <w:autoSpaceDE w:val="0"/>
        <w:autoSpaceDN w:val="0"/>
        <w:adjustRightInd w:val="0"/>
        <w:spacing w:after="0" w:line="276" w:lineRule="auto"/>
        <w:ind w:left="0" w:right="0" w:firstLine="0"/>
        <w:rPr>
          <w:rFonts w:ascii="ITC Avant Garde" w:hAnsi="ITC Avant Garde"/>
          <w:color w:val="auto"/>
        </w:rPr>
      </w:pPr>
      <w:r>
        <w:rPr>
          <w:rFonts w:ascii="ITC Avant Garde" w:hAnsi="ITC Avant Garde"/>
          <w:color w:val="auto"/>
        </w:rPr>
        <w:t>La determinación, reportes, cumplimiento entre otros de los indicadores clave de desempeño se encuentran fuera del alcance de la Oferta de Referencia.</w:t>
      </w:r>
    </w:p>
    <w:p w:rsidR="00507EA5" w:rsidRPr="00330641" w:rsidRDefault="00D40C65" w:rsidP="000425AC">
      <w:pPr>
        <w:autoSpaceDE w:val="0"/>
        <w:autoSpaceDN w:val="0"/>
        <w:adjustRightInd w:val="0"/>
        <w:spacing w:after="0" w:line="276" w:lineRule="auto"/>
        <w:ind w:left="0" w:right="0" w:firstLine="0"/>
        <w:rPr>
          <w:rFonts w:ascii="ITC Avant Garde" w:eastAsia="Times New Roman" w:hAnsi="ITC Avant Garde" w:cs="Times New Roman"/>
          <w:color w:val="auto"/>
        </w:rPr>
      </w:pPr>
      <w:r>
        <w:rPr>
          <w:rFonts w:ascii="ITC Avant Garde" w:hAnsi="ITC Avant Garde"/>
          <w:color w:val="auto"/>
        </w:rPr>
        <w:t xml:space="preserve"> </w:t>
      </w:r>
    </w:p>
    <w:p w:rsidR="00507EA5" w:rsidRPr="00330641" w:rsidRDefault="00507EA5" w:rsidP="00507EA5">
      <w:pPr>
        <w:pStyle w:val="IFT1"/>
        <w:tabs>
          <w:tab w:val="left" w:pos="426"/>
        </w:tabs>
        <w:spacing w:after="0"/>
        <w:rPr>
          <w:b/>
        </w:rPr>
      </w:pPr>
      <w:r w:rsidRPr="00330641">
        <w:rPr>
          <w:b/>
        </w:rPr>
        <w:t>PEGASO:</w:t>
      </w:r>
    </w:p>
    <w:p w:rsidR="00507EA5" w:rsidRPr="00330641" w:rsidRDefault="002C10C5" w:rsidP="000425AC">
      <w:pPr>
        <w:autoSpaceDE w:val="0"/>
        <w:autoSpaceDN w:val="0"/>
        <w:adjustRightInd w:val="0"/>
        <w:spacing w:after="0" w:line="276" w:lineRule="auto"/>
        <w:ind w:left="0" w:right="0" w:firstLine="0"/>
        <w:rPr>
          <w:rFonts w:ascii="ITC Avant Garde" w:eastAsia="Times New Roman" w:hAnsi="ITC Avant Garde" w:cs="Times New Roman"/>
          <w:color w:val="auto"/>
        </w:rPr>
      </w:pPr>
      <w:r>
        <w:rPr>
          <w:rFonts w:ascii="ITC Avant Garde" w:eastAsia="Times New Roman" w:hAnsi="ITC Avant Garde" w:cs="Times New Roman"/>
          <w:color w:val="auto"/>
        </w:rPr>
        <w:t>Solicitó</w:t>
      </w:r>
      <w:r w:rsidR="00022C6F" w:rsidRPr="00330641">
        <w:rPr>
          <w:rFonts w:ascii="ITC Avant Garde" w:eastAsia="Times New Roman" w:hAnsi="ITC Avant Garde" w:cs="Times New Roman"/>
          <w:color w:val="auto"/>
        </w:rPr>
        <w:t xml:space="preserve"> al Instituto que todas las condiciones adoptadas en el Plan de Separación Funcional sean incorporadas en la ORE DM. Finalmente </w:t>
      </w:r>
      <w:r>
        <w:rPr>
          <w:rFonts w:ascii="ITC Avant Garde" w:eastAsia="Times New Roman" w:hAnsi="ITC Avant Garde" w:cs="Times New Roman"/>
          <w:color w:val="auto"/>
        </w:rPr>
        <w:t>solicitó</w:t>
      </w:r>
      <w:r w:rsidR="00022C6F" w:rsidRPr="00330641">
        <w:rPr>
          <w:rFonts w:ascii="ITC Avant Garde" w:eastAsia="Times New Roman" w:hAnsi="ITC Avant Garde" w:cs="Times New Roman"/>
          <w:color w:val="auto"/>
        </w:rPr>
        <w:t xml:space="preserve"> al Instituto que no apruebe las ofertas de referencia del AEP sin antes publicar la revisión bienal de las medidas asimétricas que están pendientes</w:t>
      </w:r>
      <w:r w:rsidR="004126E6" w:rsidRPr="00330641">
        <w:rPr>
          <w:rFonts w:ascii="ITC Avant Garde" w:eastAsia="Times New Roman" w:hAnsi="ITC Avant Garde" w:cs="Times New Roman"/>
          <w:color w:val="auto"/>
        </w:rPr>
        <w:t>, debido a que las nuevas medidas pueden requerir cambios en las ofertas de referencia.</w:t>
      </w:r>
    </w:p>
    <w:p w:rsidR="004126E6" w:rsidRPr="00330641" w:rsidRDefault="004126E6" w:rsidP="000425AC">
      <w:pPr>
        <w:autoSpaceDE w:val="0"/>
        <w:autoSpaceDN w:val="0"/>
        <w:adjustRightInd w:val="0"/>
        <w:spacing w:after="0" w:line="276" w:lineRule="auto"/>
        <w:ind w:left="0" w:right="0" w:firstLine="0"/>
        <w:rPr>
          <w:rFonts w:ascii="ITC Avant Garde" w:eastAsia="Times New Roman" w:hAnsi="ITC Avant Garde" w:cs="Times New Roman"/>
          <w:color w:val="auto"/>
        </w:rPr>
      </w:pPr>
    </w:p>
    <w:p w:rsidR="004126E6" w:rsidRPr="00330641" w:rsidRDefault="004126E6" w:rsidP="004126E6">
      <w:pPr>
        <w:spacing w:after="0" w:line="276" w:lineRule="auto"/>
        <w:ind w:left="0" w:right="0" w:firstLine="0"/>
        <w:rPr>
          <w:rFonts w:ascii="ITC Avant Garde" w:hAnsi="ITC Avant Garde" w:cs="Times New Roman"/>
          <w:b/>
          <w:color w:val="auto"/>
        </w:rPr>
      </w:pPr>
      <w:r w:rsidRPr="00330641">
        <w:rPr>
          <w:rFonts w:ascii="ITC Avant Garde" w:hAnsi="ITC Avant Garde" w:cs="Times New Roman"/>
          <w:b/>
          <w:color w:val="auto"/>
        </w:rPr>
        <w:t>Consideraciones del Instituto:</w:t>
      </w:r>
    </w:p>
    <w:p w:rsidR="008217B9" w:rsidRDefault="00D40C65" w:rsidP="00EC3F16">
      <w:pPr>
        <w:spacing w:line="276" w:lineRule="auto"/>
        <w:rPr>
          <w:rFonts w:ascii="ITC Avant Garde" w:eastAsia="Times New Roman" w:hAnsi="ITC Avant Garde" w:cs="Times New Roman"/>
          <w:color w:val="auto"/>
        </w:rPr>
      </w:pPr>
      <w:r>
        <w:rPr>
          <w:rFonts w:ascii="ITC Avant Garde" w:eastAsia="Times New Roman" w:hAnsi="ITC Avant Garde" w:cs="Times New Roman"/>
          <w:color w:val="auto"/>
        </w:rPr>
        <w:t>La supervisión del Instituto realizada a través del procedimiento de revisión de la oferta de referencia del servicio mayorista de enlaces dedicados tiene como objetivo que dicha oferta cumpla con el marco regulatorio vigente y no depende de la publicación de instrumentos regulatorios que a futuro resultarían aplicables.</w:t>
      </w:r>
    </w:p>
    <w:p w:rsidR="007A40F2" w:rsidRPr="00330641" w:rsidRDefault="007A40F2" w:rsidP="000F58E0">
      <w:pPr>
        <w:spacing w:after="0" w:line="276" w:lineRule="auto"/>
        <w:ind w:left="0" w:right="0" w:firstLine="0"/>
        <w:rPr>
          <w:rFonts w:ascii="ITC Avant Garde" w:hAnsi="ITC Avant Garde"/>
        </w:rPr>
      </w:pPr>
    </w:p>
    <w:p w:rsidR="00915B2C" w:rsidRPr="00330641" w:rsidRDefault="00915B2C" w:rsidP="000F58E0">
      <w:pPr>
        <w:pStyle w:val="IFT1"/>
        <w:tabs>
          <w:tab w:val="left" w:pos="426"/>
        </w:tabs>
        <w:spacing w:after="0"/>
        <w:rPr>
          <w:b/>
        </w:rPr>
      </w:pPr>
      <w:r w:rsidRPr="00330641">
        <w:rPr>
          <w:b/>
        </w:rPr>
        <w:t>AXTEL</w:t>
      </w:r>
      <w:r w:rsidR="007A40F2" w:rsidRPr="00330641">
        <w:rPr>
          <w:b/>
        </w:rPr>
        <w:t>:</w:t>
      </w:r>
    </w:p>
    <w:p w:rsidR="00B05642" w:rsidRPr="00330641" w:rsidRDefault="00607573">
      <w:pPr>
        <w:pStyle w:val="IFT1"/>
        <w:tabs>
          <w:tab w:val="left" w:pos="426"/>
        </w:tabs>
        <w:spacing w:after="0"/>
      </w:pPr>
      <w:r>
        <w:t>Solicitó</w:t>
      </w:r>
      <w:r w:rsidR="00915B2C" w:rsidRPr="00330641">
        <w:t xml:space="preserve"> que</w:t>
      </w:r>
      <w:r>
        <w:t xml:space="preserve"> el</w:t>
      </w:r>
      <w:r w:rsidR="00915B2C" w:rsidRPr="00330641">
        <w:t xml:space="preserve"> Instituto se </w:t>
      </w:r>
      <w:r w:rsidR="008D1335" w:rsidRPr="00330641">
        <w:t xml:space="preserve">asegure que las medidas establecidas en la Oferta siempre garanticen la prestación de los servicios mayoristas por parte de Telmex bajo la consideración de un operador eficiente, la eliminación, o no consideración de cualquier </w:t>
      </w:r>
      <w:r w:rsidR="00C9763F" w:rsidRPr="00330641">
        <w:t>condición</w:t>
      </w:r>
      <w:r w:rsidR="008D1335" w:rsidRPr="00330641">
        <w:t xml:space="preserve"> que implique la creaci</w:t>
      </w:r>
      <w:r w:rsidR="00C9763F" w:rsidRPr="00330641">
        <w:t>ón de barreras, así como, asegurar la equivalencia de insumos, es decir el acceso a los insumos del AEP en términos no discriminatorios y bajo las mismas condiciones, plazos y precios.</w:t>
      </w:r>
    </w:p>
    <w:p w:rsidR="00B05642" w:rsidRPr="00330641" w:rsidRDefault="00B05642">
      <w:pPr>
        <w:pStyle w:val="IFT1"/>
        <w:tabs>
          <w:tab w:val="left" w:pos="426"/>
        </w:tabs>
        <w:spacing w:after="0"/>
      </w:pPr>
    </w:p>
    <w:p w:rsidR="00B05642" w:rsidRPr="00330641" w:rsidRDefault="00B05642" w:rsidP="00B05642">
      <w:pPr>
        <w:autoSpaceDE w:val="0"/>
        <w:autoSpaceDN w:val="0"/>
        <w:adjustRightInd w:val="0"/>
        <w:spacing w:after="0" w:line="276" w:lineRule="auto"/>
        <w:ind w:left="0" w:right="0" w:firstLine="0"/>
        <w:rPr>
          <w:rFonts w:ascii="ITC Avant Garde" w:hAnsi="ITC Avant Garde"/>
          <w:color w:val="auto"/>
        </w:rPr>
      </w:pPr>
      <w:r w:rsidRPr="00330641">
        <w:rPr>
          <w:rFonts w:ascii="ITC Avant Garde" w:hAnsi="ITC Avant Garde"/>
          <w:color w:val="auto"/>
        </w:rPr>
        <w:lastRenderedPageBreak/>
        <w:t xml:space="preserve">Por otro lado, Axtel </w:t>
      </w:r>
      <w:r w:rsidR="002C10C5">
        <w:rPr>
          <w:rFonts w:ascii="ITC Avant Garde" w:hAnsi="ITC Avant Garde"/>
          <w:color w:val="auto"/>
        </w:rPr>
        <w:t>s</w:t>
      </w:r>
      <w:r w:rsidR="0012211F">
        <w:rPr>
          <w:rFonts w:ascii="ITC Avant Garde" w:hAnsi="ITC Avant Garde"/>
          <w:color w:val="auto"/>
        </w:rPr>
        <w:t>eñaló</w:t>
      </w:r>
      <w:r w:rsidRPr="00330641">
        <w:rPr>
          <w:rFonts w:ascii="ITC Avant Garde" w:hAnsi="ITC Avant Garde"/>
          <w:color w:val="auto"/>
        </w:rPr>
        <w:t xml:space="preserve"> que el AEP debe facilitar la migración de servicios TDM a Ethernet, ya que en la </w:t>
      </w:r>
      <w:r w:rsidR="00D40C65">
        <w:rPr>
          <w:rFonts w:ascii="ITC Avant Garde" w:hAnsi="ITC Avant Garde"/>
          <w:color w:val="auto"/>
        </w:rPr>
        <w:t xml:space="preserve">Oferta </w:t>
      </w:r>
      <w:r w:rsidRPr="00330641">
        <w:rPr>
          <w:rFonts w:ascii="ITC Avant Garde" w:hAnsi="ITC Avant Garde"/>
          <w:color w:val="auto"/>
        </w:rPr>
        <w:t>del AEP no toma en cuenta la demanda de un segmento importante del mercado minorista que sigue recibiendo la prestación de capacidades bajas (me</w:t>
      </w:r>
      <w:r w:rsidR="00607573">
        <w:rPr>
          <w:rFonts w:ascii="ITC Avant Garde" w:hAnsi="ITC Avant Garde"/>
          <w:color w:val="auto"/>
        </w:rPr>
        <w:t>nor a 1 Mbps) por lo que sugirió</w:t>
      </w:r>
      <w:r w:rsidRPr="00330641">
        <w:rPr>
          <w:rFonts w:ascii="ITC Avant Garde" w:hAnsi="ITC Avant Garde"/>
          <w:color w:val="auto"/>
        </w:rPr>
        <w:t xml:space="preserve"> lo siguiente:</w:t>
      </w:r>
    </w:p>
    <w:p w:rsidR="00B05642" w:rsidRPr="00330641" w:rsidRDefault="00B05642" w:rsidP="00B05642">
      <w:pPr>
        <w:autoSpaceDE w:val="0"/>
        <w:autoSpaceDN w:val="0"/>
        <w:adjustRightInd w:val="0"/>
        <w:spacing w:after="0" w:line="276" w:lineRule="auto"/>
        <w:ind w:left="0" w:right="0" w:firstLine="0"/>
        <w:rPr>
          <w:rFonts w:ascii="ITC Avant Garde" w:hAnsi="ITC Avant Garde"/>
          <w:color w:val="auto"/>
        </w:rPr>
      </w:pPr>
    </w:p>
    <w:p w:rsidR="00B05642" w:rsidRPr="00330641" w:rsidRDefault="00B05642" w:rsidP="006B06E7">
      <w:pPr>
        <w:pStyle w:val="Prrafodelista"/>
        <w:numPr>
          <w:ilvl w:val="0"/>
          <w:numId w:val="13"/>
        </w:numPr>
        <w:autoSpaceDE w:val="0"/>
        <w:autoSpaceDN w:val="0"/>
        <w:adjustRightInd w:val="0"/>
        <w:spacing w:after="0" w:line="276" w:lineRule="auto"/>
        <w:ind w:right="0"/>
        <w:rPr>
          <w:rFonts w:ascii="ITC Avant Garde" w:hAnsi="ITC Avant Garde"/>
          <w:color w:val="auto"/>
        </w:rPr>
      </w:pPr>
      <w:r w:rsidRPr="00330641">
        <w:rPr>
          <w:rFonts w:ascii="ITC Avant Garde" w:hAnsi="ITC Avant Garde"/>
          <w:color w:val="auto"/>
        </w:rPr>
        <w:t xml:space="preserve">Incluir velocidades de Ethernet menores a 1 Mbps actuales para servicios Ethernet con precios equiparables a los de TDM. </w:t>
      </w:r>
    </w:p>
    <w:p w:rsidR="00B05642" w:rsidRPr="00330641" w:rsidRDefault="00B05642" w:rsidP="006B06E7">
      <w:pPr>
        <w:pStyle w:val="Prrafodelista"/>
        <w:numPr>
          <w:ilvl w:val="0"/>
          <w:numId w:val="13"/>
        </w:numPr>
        <w:autoSpaceDE w:val="0"/>
        <w:autoSpaceDN w:val="0"/>
        <w:adjustRightInd w:val="0"/>
        <w:spacing w:after="0" w:line="276" w:lineRule="auto"/>
        <w:ind w:right="0"/>
        <w:rPr>
          <w:rFonts w:ascii="ITC Avant Garde" w:hAnsi="ITC Avant Garde"/>
          <w:color w:val="auto"/>
        </w:rPr>
      </w:pPr>
      <w:r w:rsidRPr="00330641">
        <w:rPr>
          <w:rFonts w:ascii="ITC Avant Garde" w:hAnsi="ITC Avant Garde"/>
          <w:color w:val="auto"/>
        </w:rPr>
        <w:t xml:space="preserve">No cobrar proyectos especiales cuando sean solicitados servicios Ethernet, en virtud de que el CAPEX asociado a la instalación y despliegue de servicios Ethernet ya ha sido considerado en las tarifas. </w:t>
      </w:r>
    </w:p>
    <w:p w:rsidR="00B05642" w:rsidRPr="00330641" w:rsidRDefault="00B05642" w:rsidP="006B06E7">
      <w:pPr>
        <w:pStyle w:val="Prrafodelista"/>
        <w:numPr>
          <w:ilvl w:val="0"/>
          <w:numId w:val="13"/>
        </w:numPr>
        <w:autoSpaceDE w:val="0"/>
        <w:autoSpaceDN w:val="0"/>
        <w:adjustRightInd w:val="0"/>
        <w:spacing w:after="0" w:line="276" w:lineRule="auto"/>
        <w:ind w:right="0"/>
        <w:rPr>
          <w:rFonts w:ascii="ITC Avant Garde" w:hAnsi="ITC Avant Garde"/>
          <w:color w:val="auto"/>
        </w:rPr>
      </w:pPr>
      <w:r w:rsidRPr="00330641">
        <w:rPr>
          <w:rFonts w:ascii="ITC Avant Garde" w:hAnsi="ITC Avant Garde"/>
          <w:color w:val="auto"/>
        </w:rPr>
        <w:t>Establecer que, si Telmex no cobra gastos de instalación a sus clientes cuando estos deciden migrar de TDM a Ethernet, se deberá hacer extensiva esta consideración a los CS, puesto que es un costo que Telmex decide absorber por ganar eficiencia en la red.</w:t>
      </w:r>
    </w:p>
    <w:p w:rsidR="007803C2" w:rsidRPr="00330641" w:rsidRDefault="007803C2" w:rsidP="00EC3F16">
      <w:pPr>
        <w:pStyle w:val="Prrafodelista"/>
        <w:autoSpaceDE w:val="0"/>
        <w:autoSpaceDN w:val="0"/>
        <w:adjustRightInd w:val="0"/>
        <w:spacing w:after="0" w:line="276" w:lineRule="auto"/>
        <w:ind w:right="0" w:firstLine="0"/>
        <w:rPr>
          <w:rFonts w:ascii="ITC Avant Garde" w:hAnsi="ITC Avant Garde"/>
          <w:color w:val="auto"/>
        </w:rPr>
      </w:pPr>
    </w:p>
    <w:p w:rsidR="00915B2C" w:rsidRPr="00330641" w:rsidRDefault="00915B2C" w:rsidP="000F58E0">
      <w:pPr>
        <w:spacing w:after="0" w:line="276" w:lineRule="auto"/>
        <w:ind w:left="0" w:right="0" w:firstLine="0"/>
        <w:rPr>
          <w:rFonts w:ascii="ITC Avant Garde" w:hAnsi="ITC Avant Garde" w:cs="Times New Roman"/>
          <w:b/>
          <w:color w:val="auto"/>
        </w:rPr>
      </w:pPr>
      <w:r w:rsidRPr="00330641">
        <w:rPr>
          <w:rFonts w:ascii="ITC Avant Garde" w:hAnsi="ITC Avant Garde" w:cs="Times New Roman"/>
          <w:b/>
          <w:color w:val="auto"/>
        </w:rPr>
        <w:t>Consideraciones del Instituto</w:t>
      </w:r>
      <w:r w:rsidR="00F678A5" w:rsidRPr="00330641">
        <w:rPr>
          <w:rFonts w:ascii="ITC Avant Garde" w:hAnsi="ITC Avant Garde" w:cs="Times New Roman"/>
          <w:b/>
          <w:color w:val="auto"/>
        </w:rPr>
        <w:t>:</w:t>
      </w:r>
    </w:p>
    <w:p w:rsidR="00C36A88" w:rsidRPr="00330641" w:rsidRDefault="00A35DE7" w:rsidP="00C36A88">
      <w:pPr>
        <w:spacing w:after="0" w:line="276" w:lineRule="auto"/>
        <w:ind w:left="0" w:right="0" w:firstLine="0"/>
        <w:rPr>
          <w:rFonts w:ascii="ITC Avant Garde" w:hAnsi="ITC Avant Garde" w:cs="Times New Roman"/>
          <w:color w:val="auto"/>
        </w:rPr>
      </w:pPr>
      <w:r w:rsidRPr="00330641">
        <w:rPr>
          <w:rFonts w:ascii="ITC Avant Garde" w:hAnsi="ITC Avant Garde"/>
          <w:color w:val="auto"/>
        </w:rPr>
        <w:t xml:space="preserve">Al respecto, se </w:t>
      </w:r>
      <w:r w:rsidR="002C10C5">
        <w:rPr>
          <w:rFonts w:ascii="ITC Avant Garde" w:hAnsi="ITC Avant Garde"/>
          <w:color w:val="auto"/>
        </w:rPr>
        <w:t>señala</w:t>
      </w:r>
      <w:r w:rsidRPr="00330641">
        <w:rPr>
          <w:rFonts w:ascii="ITC Avant Garde" w:hAnsi="ITC Avant Garde"/>
          <w:color w:val="auto"/>
        </w:rPr>
        <w:t xml:space="preserve"> que la ORE DM 2021 establece las </w:t>
      </w:r>
      <w:r w:rsidR="00D40C65" w:rsidRPr="00330641">
        <w:rPr>
          <w:rFonts w:ascii="ITC Avant Garde" w:hAnsi="ITC Avant Garde"/>
          <w:color w:val="auto"/>
        </w:rPr>
        <w:t>condiciones necesarias</w:t>
      </w:r>
      <w:r w:rsidRPr="00330641">
        <w:rPr>
          <w:rFonts w:ascii="ITC Avant Garde" w:hAnsi="ITC Avant Garde"/>
          <w:color w:val="auto"/>
        </w:rPr>
        <w:t xml:space="preserve"> que garanticen la eficiente prestación de los servicios de enlaces dedicados, tomando como base el marco regulatorio aplicable como son las Medidas Fijas a las que está obligado a cumplir el AEP</w:t>
      </w:r>
      <w:r w:rsidR="00D40C65">
        <w:rPr>
          <w:rFonts w:ascii="ITC Avant Garde" w:hAnsi="ITC Avant Garde"/>
          <w:color w:val="auto"/>
        </w:rPr>
        <w:t xml:space="preserve">. </w:t>
      </w:r>
      <w:r w:rsidRPr="00330641">
        <w:rPr>
          <w:rFonts w:ascii="ITC Avant Garde" w:hAnsi="ITC Avant Garde"/>
          <w:color w:val="auto"/>
        </w:rPr>
        <w:t xml:space="preserve"> </w:t>
      </w:r>
      <w:r w:rsidR="00C36A88" w:rsidRPr="00330641">
        <w:rPr>
          <w:rFonts w:ascii="ITC Avant Garde" w:eastAsia="Times New Roman" w:hAnsi="ITC Avant Garde" w:cs="Times New Roman"/>
          <w:color w:val="auto"/>
        </w:rPr>
        <w:t xml:space="preserve">Asimismo, </w:t>
      </w:r>
      <w:r w:rsidR="00C36A88" w:rsidRPr="00330641">
        <w:rPr>
          <w:rFonts w:ascii="ITC Avant Garde" w:hAnsi="ITC Avant Garde" w:cs="Times New Roman"/>
          <w:color w:val="auto"/>
        </w:rPr>
        <w:t xml:space="preserve">en relación con la migración de tecnología TDM a Ethernet, </w:t>
      </w:r>
      <w:r w:rsidR="00D40C65">
        <w:rPr>
          <w:rFonts w:ascii="ITC Avant Garde" w:hAnsi="ITC Avant Garde" w:cs="Times New Roman"/>
          <w:color w:val="auto"/>
        </w:rPr>
        <w:t xml:space="preserve">de conformidad con lo establecido en las medidas Fijas el AEP debe continuar prestando los servicios de enlaces dedicados a través de las tecnologías TDM y Ethernet </w:t>
      </w:r>
      <w:r w:rsidRPr="00330641">
        <w:rPr>
          <w:rFonts w:ascii="ITC Avant Garde" w:hAnsi="ITC Avant Garde" w:cs="Times New Roman"/>
          <w:color w:val="auto"/>
        </w:rPr>
        <w:t>en sus distintas capacidades</w:t>
      </w:r>
      <w:r w:rsidR="00C36A88" w:rsidRPr="00330641">
        <w:rPr>
          <w:rFonts w:ascii="ITC Avant Garde" w:hAnsi="ITC Avant Garde" w:cs="Times New Roman"/>
          <w:color w:val="auto"/>
        </w:rPr>
        <w:t xml:space="preserve">. </w:t>
      </w:r>
    </w:p>
    <w:p w:rsidR="00915B2C" w:rsidRPr="00330641" w:rsidRDefault="00915B2C" w:rsidP="000F58E0">
      <w:pPr>
        <w:pStyle w:val="IFT1"/>
        <w:tabs>
          <w:tab w:val="left" w:pos="426"/>
        </w:tabs>
        <w:spacing w:after="0"/>
      </w:pPr>
    </w:p>
    <w:p w:rsidR="00E662C7" w:rsidRPr="00330641" w:rsidRDefault="00452908" w:rsidP="000F58E0">
      <w:pPr>
        <w:pStyle w:val="IFT1"/>
        <w:tabs>
          <w:tab w:val="left" w:pos="426"/>
        </w:tabs>
        <w:spacing w:after="0"/>
        <w:rPr>
          <w:b/>
        </w:rPr>
      </w:pPr>
      <w:r w:rsidRPr="00330641">
        <w:rPr>
          <w:b/>
        </w:rPr>
        <w:t>GRUPO TELEVISA</w:t>
      </w:r>
      <w:r>
        <w:rPr>
          <w:b/>
        </w:rPr>
        <w:t>:</w:t>
      </w:r>
    </w:p>
    <w:p w:rsidR="00DA10CE" w:rsidRPr="00330641" w:rsidRDefault="0012211F" w:rsidP="000F58E0">
      <w:pPr>
        <w:pStyle w:val="IFT1"/>
        <w:tabs>
          <w:tab w:val="left" w:pos="426"/>
        </w:tabs>
        <w:spacing w:after="0"/>
      </w:pPr>
      <w:r>
        <w:t>Manifestó</w:t>
      </w:r>
      <w:r w:rsidR="00BD5987" w:rsidRPr="00330641">
        <w:t xml:space="preserve"> que la separación funcional presenta un gran riesgo de operatividad, en la provisión de los servicios a los CS y para la competencia en el sector, debido a que puede haber situaciones complejas que involucra a la EM y DM, y dado que la estructura de la red no permite tener una división </w:t>
      </w:r>
      <w:r w:rsidR="00DA10CE" w:rsidRPr="00330641">
        <w:t>determinante para que cada una de las entidades gestione lo que le corresponde, se ha visto afectado la provisión de los servicios.</w:t>
      </w:r>
    </w:p>
    <w:p w:rsidR="00DA10CE" w:rsidRPr="00330641" w:rsidRDefault="00DA10CE" w:rsidP="000F58E0">
      <w:pPr>
        <w:pStyle w:val="IFT1"/>
        <w:tabs>
          <w:tab w:val="left" w:pos="426"/>
        </w:tabs>
        <w:spacing w:after="0"/>
      </w:pPr>
    </w:p>
    <w:p w:rsidR="00BD5987" w:rsidRPr="00330641" w:rsidRDefault="00DA10CE" w:rsidP="000F58E0">
      <w:pPr>
        <w:pStyle w:val="IFT1"/>
        <w:tabs>
          <w:tab w:val="left" w:pos="426"/>
        </w:tabs>
        <w:spacing w:after="0"/>
      </w:pPr>
      <w:r w:rsidRPr="00330641">
        <w:t>En virtud de lo anterior</w:t>
      </w:r>
      <w:r w:rsidR="002C10C5">
        <w:t>, propuso</w:t>
      </w:r>
      <w:r w:rsidRPr="00330641">
        <w:t xml:space="preserve"> designar a la EM como una ventanilla única de acceso a los servicios mayoristas tanto para los CS como para la DM, lo anterior traería consigo</w:t>
      </w:r>
      <w:r w:rsidR="003C741E" w:rsidRPr="00330641">
        <w:t xml:space="preserve"> mayores niveles de transparencia a la relación bilateral del AEP con los CS y garantizaría</w:t>
      </w:r>
      <w:r w:rsidRPr="00330641">
        <w:t xml:space="preserve"> una mayor eficiencia en términos de la provisión de servicios, facilitando los procesos de facturación, conciliaciones, entre otros. </w:t>
      </w:r>
    </w:p>
    <w:p w:rsidR="00C36A88" w:rsidRPr="00330641" w:rsidRDefault="00C36A88" w:rsidP="000F58E0">
      <w:pPr>
        <w:pStyle w:val="IFT1"/>
        <w:tabs>
          <w:tab w:val="left" w:pos="426"/>
        </w:tabs>
        <w:spacing w:after="0"/>
      </w:pPr>
    </w:p>
    <w:p w:rsidR="00DA10CE" w:rsidRPr="00330641" w:rsidRDefault="00DA10CE" w:rsidP="000F58E0">
      <w:pPr>
        <w:pStyle w:val="IFT1"/>
        <w:tabs>
          <w:tab w:val="left" w:pos="426"/>
        </w:tabs>
        <w:spacing w:after="0"/>
      </w:pPr>
      <w:r w:rsidRPr="00330641">
        <w:t xml:space="preserve">Asimismo, la separación funcional dio paso a una interdependencia </w:t>
      </w:r>
      <w:r w:rsidR="0019184C" w:rsidRPr="00330641">
        <w:t xml:space="preserve">entre la EM y DM generando que la DM eluda su responsabilidad con respecto a la provisión de los servicios, imponga unilateralmente medidas que obstaculizan la eficiencia de </w:t>
      </w:r>
      <w:r w:rsidR="0019184C" w:rsidRPr="00330641">
        <w:lastRenderedPageBreak/>
        <w:t>los procesos y generan gestiones innecesarias que retrasan la provisión de los servicios</w:t>
      </w:r>
      <w:r w:rsidR="00D90B9D" w:rsidRPr="00330641">
        <w:t>.</w:t>
      </w:r>
    </w:p>
    <w:p w:rsidR="00D90B9D" w:rsidRPr="00330641" w:rsidRDefault="00D90B9D" w:rsidP="000F58E0">
      <w:pPr>
        <w:pStyle w:val="IFT1"/>
        <w:tabs>
          <w:tab w:val="left" w:pos="426"/>
        </w:tabs>
        <w:spacing w:after="0"/>
      </w:pPr>
    </w:p>
    <w:p w:rsidR="00D90B9D" w:rsidRPr="00330641" w:rsidRDefault="00D90B9D" w:rsidP="000F58E0">
      <w:pPr>
        <w:pStyle w:val="IFT1"/>
        <w:tabs>
          <w:tab w:val="left" w:pos="426"/>
        </w:tabs>
        <w:spacing w:after="0"/>
      </w:pPr>
      <w:r w:rsidRPr="00330641">
        <w:t>Por lo anterior</w:t>
      </w:r>
      <w:r w:rsidR="00B22661" w:rsidRPr="00330641">
        <w:t>,</w:t>
      </w:r>
      <w:r w:rsidRPr="00330641">
        <w:t xml:space="preserve"> Grupo </w:t>
      </w:r>
      <w:r w:rsidR="00B22661" w:rsidRPr="00330641">
        <w:t>T</w:t>
      </w:r>
      <w:r w:rsidRPr="00330641">
        <w:t xml:space="preserve">elevisa </w:t>
      </w:r>
      <w:r w:rsidR="002C10C5">
        <w:t>propuso</w:t>
      </w:r>
      <w:r w:rsidRPr="00330641">
        <w:t xml:space="preserve"> que se establezca a la DM como única responsable de la totalidad de los suministros que implica la prestación de los servicios de enlaces dedicados entre localidades y de larga distancia</w:t>
      </w:r>
      <w:r w:rsidR="001A66FA" w:rsidRPr="00330641">
        <w:t xml:space="preserve">, lo cual incluye la responsabilidad absoluta sobre los servicios mayoristas de enlaces dedicados locales a que hubiera lugar. Asimismo, </w:t>
      </w:r>
      <w:r w:rsidR="002C10C5">
        <w:t>s</w:t>
      </w:r>
      <w:r w:rsidR="0012211F">
        <w:t>eñaló</w:t>
      </w:r>
      <w:r w:rsidR="001A66FA" w:rsidRPr="00330641">
        <w:t xml:space="preserve"> que se debe establecer claramente en la Oferta que en ninguna circunstancia la DM se pueda escudar en interdependencias con la EM para obstaculizar o retrasar cualquier procedimiento asociado a la contratación de los servicios, </w:t>
      </w:r>
      <w:r w:rsidRPr="00330641">
        <w:t>por lo que es necesario eliminar de la ORE</w:t>
      </w:r>
      <w:r w:rsidR="001A66FA" w:rsidRPr="00330641">
        <w:t xml:space="preserve"> DM </w:t>
      </w:r>
      <w:r w:rsidRPr="00330641">
        <w:t>todos los textos que hagan referencia a esta interdependencia</w:t>
      </w:r>
      <w:r w:rsidR="001A66FA" w:rsidRPr="00330641">
        <w:t xml:space="preserve"> entre ambas entidades</w:t>
      </w:r>
      <w:r w:rsidRPr="00330641">
        <w:t>.</w:t>
      </w:r>
    </w:p>
    <w:p w:rsidR="009E3CF3" w:rsidRPr="00330641" w:rsidRDefault="009E3CF3" w:rsidP="000F58E0">
      <w:pPr>
        <w:pStyle w:val="IFT1"/>
        <w:tabs>
          <w:tab w:val="left" w:pos="426"/>
        </w:tabs>
        <w:spacing w:after="0"/>
      </w:pPr>
    </w:p>
    <w:p w:rsidR="009E3CF3" w:rsidRPr="00330641" w:rsidRDefault="009E3CF3" w:rsidP="009E3CF3">
      <w:pPr>
        <w:pStyle w:val="IFT1"/>
        <w:tabs>
          <w:tab w:val="left" w:pos="426"/>
        </w:tabs>
        <w:spacing w:after="0"/>
        <w:rPr>
          <w:b/>
        </w:rPr>
      </w:pPr>
      <w:r w:rsidRPr="00330641">
        <w:rPr>
          <w:b/>
        </w:rPr>
        <w:t>Consideraciones del Instituto:</w:t>
      </w:r>
    </w:p>
    <w:p w:rsidR="0077747B" w:rsidRDefault="00EC6256" w:rsidP="009E3CF3">
      <w:pPr>
        <w:pStyle w:val="IFT1"/>
        <w:tabs>
          <w:tab w:val="left" w:pos="426"/>
        </w:tabs>
        <w:spacing w:after="0"/>
      </w:pPr>
      <w:r w:rsidRPr="00330641">
        <w:t xml:space="preserve">Al respecto, </w:t>
      </w:r>
      <w:r w:rsidR="0077747B">
        <w:t xml:space="preserve">los términos bajo los cuales se determinó la separación funcional exceden el alcance de la </w:t>
      </w:r>
      <w:r w:rsidRPr="00330641">
        <w:t>ORE DM 2021</w:t>
      </w:r>
      <w:r w:rsidR="0077747B">
        <w:t>.</w:t>
      </w:r>
      <w:r w:rsidRPr="00330641">
        <w:t xml:space="preserve"> </w:t>
      </w:r>
    </w:p>
    <w:p w:rsidR="0077747B" w:rsidRDefault="0077747B" w:rsidP="009E3CF3">
      <w:pPr>
        <w:pStyle w:val="IFT1"/>
        <w:tabs>
          <w:tab w:val="left" w:pos="426"/>
        </w:tabs>
        <w:spacing w:after="0"/>
      </w:pPr>
    </w:p>
    <w:p w:rsidR="009E3CF3" w:rsidRPr="00330641" w:rsidRDefault="00CA2188" w:rsidP="009E3CF3">
      <w:pPr>
        <w:pStyle w:val="IFT1"/>
        <w:tabs>
          <w:tab w:val="left" w:pos="426"/>
        </w:tabs>
        <w:spacing w:after="0"/>
        <w:rPr>
          <w:b/>
        </w:rPr>
      </w:pPr>
      <w:r w:rsidRPr="00330641">
        <w:rPr>
          <w:b/>
        </w:rPr>
        <w:t>GRUPO TELEVISA:</w:t>
      </w:r>
    </w:p>
    <w:p w:rsidR="009E3CF3" w:rsidRPr="00330641" w:rsidRDefault="002C10C5" w:rsidP="009E3CF3">
      <w:pPr>
        <w:pStyle w:val="IFT1"/>
        <w:tabs>
          <w:tab w:val="left" w:pos="426"/>
        </w:tabs>
        <w:spacing w:after="0"/>
      </w:pPr>
      <w:r>
        <w:t>Solicitó</w:t>
      </w:r>
      <w:r w:rsidR="009E3CF3" w:rsidRPr="00330641">
        <w:t xml:space="preserve"> mantener el SEG como principal medio de comunicación para la remisión de facturas para garantizar que el </w:t>
      </w:r>
      <w:r w:rsidR="009713ED" w:rsidRPr="00330641">
        <w:t>I</w:t>
      </w:r>
      <w:r w:rsidR="009E3CF3" w:rsidRPr="00330641">
        <w:t>nstituto pueda hacer seguimiento de la información que se tra</w:t>
      </w:r>
      <w:r w:rsidR="009713ED" w:rsidRPr="00330641">
        <w:t>n</w:t>
      </w:r>
      <w:r w:rsidR="009E3CF3" w:rsidRPr="00330641">
        <w:t>smite.</w:t>
      </w:r>
      <w:r w:rsidR="00CA2188" w:rsidRPr="00330641">
        <w:t xml:space="preserve"> </w:t>
      </w:r>
      <w:r w:rsidR="009713ED" w:rsidRPr="00330641">
        <w:t xml:space="preserve">Asimismo, </w:t>
      </w:r>
      <w:r>
        <w:t>solicitó</w:t>
      </w:r>
      <w:r w:rsidR="009E3CF3" w:rsidRPr="00330641">
        <w:t xml:space="preserve"> eliminar el carácter vinculante de los pronósticos suministrados por el CS y mantener lo que se establece en la Oferta vigente.</w:t>
      </w:r>
    </w:p>
    <w:p w:rsidR="009E3CF3" w:rsidRPr="00330641" w:rsidRDefault="009E3CF3" w:rsidP="009E3CF3">
      <w:pPr>
        <w:pStyle w:val="IFT1"/>
        <w:tabs>
          <w:tab w:val="left" w:pos="426"/>
        </w:tabs>
        <w:spacing w:after="0"/>
      </w:pPr>
    </w:p>
    <w:p w:rsidR="009E3CF3" w:rsidRPr="00330641" w:rsidRDefault="009713ED" w:rsidP="009E3CF3">
      <w:pPr>
        <w:pStyle w:val="IFT1"/>
        <w:tabs>
          <w:tab w:val="left" w:pos="426"/>
        </w:tabs>
        <w:spacing w:after="0"/>
      </w:pPr>
      <w:r w:rsidRPr="00330641">
        <w:t>Por otro lado, Grupo Televisa, s</w:t>
      </w:r>
      <w:r w:rsidR="002C10C5">
        <w:t>olicitó</w:t>
      </w:r>
      <w:r w:rsidRPr="00330641">
        <w:t xml:space="preserve"> mantener las tarifas estipuladas de acuerdo con el modelo de costos pertinente, que permite</w:t>
      </w:r>
      <w:r w:rsidR="009E3CF3" w:rsidRPr="00330641">
        <w:t xml:space="preserve"> determinar tarifas que sean accesibles para los CS y que permitan la contratación de los servicios necesarios mientras promueven la competitividad y la estabilidad en el mercado.</w:t>
      </w:r>
    </w:p>
    <w:p w:rsidR="009E3CF3" w:rsidRPr="00330641" w:rsidRDefault="009E3CF3" w:rsidP="009E3CF3">
      <w:pPr>
        <w:pStyle w:val="IFT1"/>
        <w:tabs>
          <w:tab w:val="left" w:pos="426"/>
        </w:tabs>
        <w:spacing w:after="0"/>
      </w:pPr>
    </w:p>
    <w:p w:rsidR="009E3CF3" w:rsidRPr="00330641" w:rsidRDefault="009713ED" w:rsidP="009E3CF3">
      <w:pPr>
        <w:pStyle w:val="IFT1"/>
        <w:tabs>
          <w:tab w:val="left" w:pos="426"/>
        </w:tabs>
        <w:spacing w:after="0"/>
      </w:pPr>
      <w:r w:rsidRPr="00330641">
        <w:t xml:space="preserve">Finalmente, </w:t>
      </w:r>
      <w:r w:rsidR="002C10C5">
        <w:t>solicitó</w:t>
      </w:r>
      <w:r w:rsidR="009E3CF3" w:rsidRPr="00330641">
        <w:t xml:space="preserve"> que en la cláusula </w:t>
      </w:r>
      <w:r w:rsidRPr="00330641">
        <w:t>V</w:t>
      </w:r>
      <w:r w:rsidR="009E3CF3" w:rsidRPr="00330641">
        <w:t xml:space="preserve">igésima </w:t>
      </w:r>
      <w:r w:rsidRPr="00330641">
        <w:t>S</w:t>
      </w:r>
      <w:r w:rsidR="009E3CF3" w:rsidRPr="00330641">
        <w:t xml:space="preserve">éptima se incluyan procesos y plazos claros para la intervención del </w:t>
      </w:r>
      <w:r w:rsidRPr="00330641">
        <w:t>I</w:t>
      </w:r>
      <w:r w:rsidR="009E3CF3" w:rsidRPr="00330641">
        <w:t>nstituto en caso de que se presenten desacuerdos entre las partes</w:t>
      </w:r>
      <w:r w:rsidRPr="00330641">
        <w:t>.</w:t>
      </w:r>
      <w:r w:rsidR="009E3CF3" w:rsidRPr="00330641">
        <w:t xml:space="preserve">  </w:t>
      </w:r>
    </w:p>
    <w:p w:rsidR="009E3CF3" w:rsidRPr="00330641" w:rsidRDefault="009E3CF3" w:rsidP="000F58E0">
      <w:pPr>
        <w:pStyle w:val="IFT1"/>
        <w:tabs>
          <w:tab w:val="left" w:pos="426"/>
        </w:tabs>
        <w:spacing w:after="0"/>
      </w:pPr>
    </w:p>
    <w:p w:rsidR="00784434" w:rsidRPr="00330641" w:rsidRDefault="00784434" w:rsidP="00784434">
      <w:pPr>
        <w:pStyle w:val="IFT1"/>
        <w:tabs>
          <w:tab w:val="left" w:pos="426"/>
        </w:tabs>
        <w:spacing w:after="0"/>
        <w:rPr>
          <w:b/>
        </w:rPr>
      </w:pPr>
      <w:r w:rsidRPr="00330641">
        <w:rPr>
          <w:b/>
        </w:rPr>
        <w:t>Consideraciones del Instituto:</w:t>
      </w:r>
    </w:p>
    <w:p w:rsidR="00784434" w:rsidRPr="00330641" w:rsidRDefault="00784434" w:rsidP="00784434">
      <w:pPr>
        <w:spacing w:after="0" w:line="276" w:lineRule="auto"/>
        <w:ind w:left="0" w:right="0" w:firstLine="0"/>
        <w:rPr>
          <w:rFonts w:ascii="ITC Avant Garde" w:hAnsi="ITC Avant Garde"/>
          <w:color w:val="auto"/>
        </w:rPr>
      </w:pPr>
      <w:r w:rsidRPr="00330641">
        <w:rPr>
          <w:rFonts w:ascii="ITC Avant Garde" w:hAnsi="ITC Avant Garde"/>
          <w:color w:val="auto"/>
        </w:rPr>
        <w:t>Con relación a la determinación de que las t</w:t>
      </w:r>
      <w:r w:rsidRPr="00330641">
        <w:rPr>
          <w:rFonts w:ascii="ITC Avant Garde" w:hAnsi="ITC Avant Garde"/>
        </w:rPr>
        <w:t>arifas sean accesibles para los CS y que permitan la contratación de los servicios necesarios mientras promueven la competitividad y la estabilidad en el mercado, l</w:t>
      </w:r>
      <w:r w:rsidRPr="00330641">
        <w:rPr>
          <w:rFonts w:ascii="ITC Avant Garde" w:hAnsi="ITC Avant Garde"/>
          <w:color w:val="auto"/>
        </w:rPr>
        <w:t xml:space="preserve">a Medida Trigésima Séptima de las Medidas Fijas establece que las tarifas aplicables al Servicio Mayorista de Enlaces Dedicados se determinarán a partir de un modelo de costos basado en una metodología de costos incrementales promedio de largo plazo, que al efecto </w:t>
      </w:r>
      <w:r w:rsidRPr="00330641">
        <w:rPr>
          <w:rFonts w:ascii="ITC Avant Garde" w:hAnsi="ITC Avant Garde"/>
          <w:color w:val="auto"/>
        </w:rPr>
        <w:lastRenderedPageBreak/>
        <w:t xml:space="preserve">emita el Instituto; metodología que considera todos los elementos que se requieren para prestar el servicio de enlaces dedicados, ello en concordancia con la Medida Cuadragésima Primera de las Medidas Fijas en donde se </w:t>
      </w:r>
      <w:r w:rsidR="0077747B">
        <w:rPr>
          <w:rFonts w:ascii="ITC Avant Garde" w:hAnsi="ITC Avant Garde"/>
          <w:color w:val="auto"/>
        </w:rPr>
        <w:t>señala</w:t>
      </w:r>
      <w:r w:rsidRPr="00330641">
        <w:rPr>
          <w:rFonts w:ascii="ITC Avant Garde" w:hAnsi="ITC Avant Garde"/>
          <w:color w:val="auto"/>
        </w:rPr>
        <w:t xml:space="preserve"> que la Oferta de Referencia correspondiente deberá contener las tarifas. </w:t>
      </w:r>
    </w:p>
    <w:p w:rsidR="00784434" w:rsidRPr="00330641" w:rsidRDefault="00784434" w:rsidP="00784434">
      <w:pPr>
        <w:spacing w:after="0" w:line="276" w:lineRule="auto"/>
        <w:ind w:left="0" w:right="0" w:firstLine="0"/>
        <w:rPr>
          <w:rFonts w:ascii="ITC Avant Garde" w:hAnsi="ITC Avant Garde"/>
          <w:color w:val="auto"/>
        </w:rPr>
      </w:pPr>
    </w:p>
    <w:p w:rsidR="00784434" w:rsidRPr="00330641" w:rsidRDefault="00784434" w:rsidP="00784434">
      <w:pPr>
        <w:spacing w:after="0" w:line="276" w:lineRule="auto"/>
        <w:ind w:left="0" w:right="0" w:firstLine="0"/>
        <w:rPr>
          <w:rFonts w:ascii="ITC Avant Garde" w:hAnsi="ITC Avant Garde"/>
          <w:color w:val="auto"/>
        </w:rPr>
      </w:pPr>
      <w:r w:rsidRPr="00330641">
        <w:rPr>
          <w:rFonts w:ascii="ITC Avant Garde" w:hAnsi="ITC Avant Garde"/>
          <w:color w:val="auto"/>
        </w:rPr>
        <w:t xml:space="preserve">Es necesario </w:t>
      </w:r>
      <w:r w:rsidR="002C10C5">
        <w:rPr>
          <w:rFonts w:ascii="ITC Avant Garde" w:hAnsi="ITC Avant Garde"/>
          <w:color w:val="auto"/>
        </w:rPr>
        <w:t>señala</w:t>
      </w:r>
      <w:r w:rsidRPr="00330641">
        <w:rPr>
          <w:rFonts w:ascii="ITC Avant Garde" w:hAnsi="ITC Avant Garde"/>
          <w:color w:val="auto"/>
        </w:rPr>
        <w:t xml:space="preserve">r que la metodología instrumentada por este Instituto, Costos Incrementales Totales Promedio de Largo Plazo (CITLP) se considera una mejor práctica internacional tanto por reguladores como por organismos especializados en telecomunicaciones. Esto debido a que dicha metodología permite la recuperación de todos los costos en los que se incurre por proveer el servicio de manera eficiente, a la vez que otorga un </w:t>
      </w:r>
      <w:proofErr w:type="spellStart"/>
      <w:r w:rsidRPr="00330641">
        <w:rPr>
          <w:rFonts w:ascii="ITC Avant Garde" w:hAnsi="ITC Avant Garde"/>
          <w:color w:val="auto"/>
        </w:rPr>
        <w:t>mark</w:t>
      </w:r>
      <w:proofErr w:type="spellEnd"/>
      <w:r w:rsidRPr="00330641">
        <w:rPr>
          <w:rFonts w:ascii="ITC Avant Garde" w:hAnsi="ITC Avant Garde"/>
          <w:color w:val="auto"/>
        </w:rPr>
        <w:t xml:space="preserve"> up que permite recuperar una porción razonable de los costos comunes y compartidos de los servicios que presta la empresa regulada. De tal forma, las tarifas establecidas en el presente instrumento regulatorio garantizan al AEP el eficiente retorno de los costos contraídos por el suministro del servicio de enlaces dedicados, al tiempo que incentivan un crecimiento en la demanda de los mismos y, por ende, la competencia en el segmento correspondiente.</w:t>
      </w:r>
    </w:p>
    <w:p w:rsidR="00784434" w:rsidRPr="00330641" w:rsidRDefault="00784434" w:rsidP="00784434">
      <w:pPr>
        <w:spacing w:after="0" w:line="276" w:lineRule="auto"/>
        <w:ind w:left="0" w:right="0" w:firstLine="0"/>
        <w:rPr>
          <w:rFonts w:ascii="ITC Avant Garde" w:hAnsi="ITC Avant Garde"/>
          <w:color w:val="auto"/>
        </w:rPr>
      </w:pPr>
    </w:p>
    <w:p w:rsidR="00FC402C" w:rsidRPr="00330641" w:rsidRDefault="0077747B" w:rsidP="00EC3F16">
      <w:pPr>
        <w:tabs>
          <w:tab w:val="left" w:pos="284"/>
        </w:tabs>
        <w:spacing w:line="276" w:lineRule="auto"/>
        <w:ind w:left="0" w:firstLine="0"/>
        <w:rPr>
          <w:rFonts w:ascii="ITC Avant Garde" w:hAnsi="ITC Avant Garde" w:cs="Arial"/>
        </w:rPr>
      </w:pPr>
      <w:r>
        <w:rPr>
          <w:rFonts w:ascii="ITC Avant Garde" w:hAnsi="ITC Avant Garde" w:cs="Arial"/>
        </w:rPr>
        <w:t>E</w:t>
      </w:r>
      <w:r w:rsidR="00FC402C" w:rsidRPr="00330641">
        <w:rPr>
          <w:rFonts w:ascii="ITC Avant Garde" w:hAnsi="ITC Avant Garde" w:cs="Arial"/>
        </w:rPr>
        <w:t xml:space="preserve">n la ORE DM 2021 se precisa que conforme a la medida Cuadragésima Segunda de las Medidas Fijas, el SEG es el mecanismo de comunicación entre el AEP y los CS </w:t>
      </w:r>
      <w:r w:rsidR="005C76E5">
        <w:rPr>
          <w:rFonts w:ascii="ITC Avant Garde" w:hAnsi="ITC Avant Garde" w:cs="Arial"/>
        </w:rPr>
        <w:t xml:space="preserve">y AS </w:t>
      </w:r>
      <w:r w:rsidR="00FC402C" w:rsidRPr="00330641">
        <w:rPr>
          <w:rFonts w:ascii="ITC Avant Garde" w:hAnsi="ITC Avant Garde" w:cs="Arial"/>
        </w:rPr>
        <w:t xml:space="preserve">por lo que la contratación, reportes y seguimiento de fallas e incidencias, consultas y, todo aquello necesario para la correcta operación de los Servicios Mayoristas de Enlaces Dedicados, se debe realizar a través de dicho sistema. </w:t>
      </w:r>
    </w:p>
    <w:p w:rsidR="00FC402C" w:rsidRPr="00330641" w:rsidRDefault="00FC402C" w:rsidP="00FC402C">
      <w:pPr>
        <w:tabs>
          <w:tab w:val="left" w:pos="284"/>
        </w:tabs>
        <w:spacing w:line="276" w:lineRule="auto"/>
        <w:rPr>
          <w:rFonts w:ascii="ITC Avant Garde" w:hAnsi="ITC Avant Garde" w:cs="Arial"/>
        </w:rPr>
      </w:pPr>
    </w:p>
    <w:p w:rsidR="006051A4" w:rsidRPr="00330641" w:rsidRDefault="00FC402C" w:rsidP="00EC3F16">
      <w:pPr>
        <w:tabs>
          <w:tab w:val="left" w:pos="284"/>
        </w:tabs>
        <w:spacing w:line="276" w:lineRule="auto"/>
        <w:rPr>
          <w:rFonts w:ascii="ITC Avant Garde" w:hAnsi="ITC Avant Garde" w:cs="Arial"/>
        </w:rPr>
      </w:pPr>
      <w:r w:rsidRPr="00330641">
        <w:rPr>
          <w:rFonts w:ascii="ITC Avant Garde" w:hAnsi="ITC Avant Garde" w:cs="Arial"/>
        </w:rPr>
        <w:t>En este sentido, únicamente en caso de que exista una imposibilidad técnica para la utilización del SEG se podrá utilizar un medio alternativo de comunicación en la que el AEP deberá habilitar un centro telefónico de atención, así como una dirección de correo electrónico que permita realizar las operaciones previstas en los sistemas y habilitar procedimientos de registro de las operaciones realizadas de manera temporal de conformidad con lo establecido en la medida Cuadragésima Segunda.</w:t>
      </w:r>
    </w:p>
    <w:p w:rsidR="006051A4" w:rsidRPr="00330641" w:rsidRDefault="006051A4" w:rsidP="00EC3F16">
      <w:pPr>
        <w:tabs>
          <w:tab w:val="left" w:pos="284"/>
        </w:tabs>
        <w:spacing w:line="276" w:lineRule="auto"/>
        <w:rPr>
          <w:rFonts w:ascii="ITC Avant Garde" w:hAnsi="ITC Avant Garde" w:cs="Arial"/>
        </w:rPr>
      </w:pPr>
    </w:p>
    <w:p w:rsidR="006051A4" w:rsidRPr="00330641" w:rsidRDefault="006051A4" w:rsidP="0088169D">
      <w:pPr>
        <w:autoSpaceDE w:val="0"/>
        <w:autoSpaceDN w:val="0"/>
        <w:spacing w:after="0" w:line="276" w:lineRule="auto"/>
        <w:ind w:left="0" w:right="0"/>
        <w:rPr>
          <w:rFonts w:ascii="ITC Avant Garde" w:hAnsi="ITC Avant Garde" w:cs="Arial"/>
        </w:rPr>
      </w:pPr>
      <w:r w:rsidRPr="00330641">
        <w:rPr>
          <w:rFonts w:ascii="ITC Avant Garde" w:hAnsi="ITC Avant Garde" w:cs="Arial"/>
        </w:rPr>
        <w:t>Por último,</w:t>
      </w:r>
      <w:r w:rsidR="0050222B">
        <w:rPr>
          <w:rFonts w:ascii="ITC Avant Garde" w:hAnsi="ITC Avant Garde" w:cs="Arial"/>
        </w:rPr>
        <w:t xml:space="preserve"> los procesos y plazos para la resolución de desacuerdos del servicio mayorista de enlaces dedicados se encuentran establecidos en los instrumentos regulatorios correspondientes </w:t>
      </w:r>
      <w:proofErr w:type="gramStart"/>
      <w:r w:rsidR="0050222B">
        <w:rPr>
          <w:rFonts w:ascii="ITC Avant Garde" w:hAnsi="ITC Avant Garde" w:cs="Arial"/>
        </w:rPr>
        <w:t>y</w:t>
      </w:r>
      <w:proofErr w:type="gramEnd"/>
      <w:r w:rsidR="0050222B">
        <w:rPr>
          <w:rFonts w:ascii="ITC Avant Garde" w:hAnsi="ITC Avant Garde" w:cs="Arial"/>
        </w:rPr>
        <w:t xml:space="preserve"> por tanto, no forman parte de la Oferta de Referencia.</w:t>
      </w:r>
    </w:p>
    <w:p w:rsidR="00784434" w:rsidRPr="00330641" w:rsidRDefault="00784434" w:rsidP="00EC3F16">
      <w:pPr>
        <w:autoSpaceDE w:val="0"/>
        <w:autoSpaceDN w:val="0"/>
        <w:spacing w:after="0" w:line="276" w:lineRule="auto"/>
        <w:ind w:left="0" w:right="0" w:firstLine="0"/>
        <w:rPr>
          <w:rFonts w:ascii="ITC Avant Garde" w:hAnsi="ITC Avant Garde" w:cs="Arial"/>
        </w:rPr>
      </w:pPr>
    </w:p>
    <w:p w:rsidR="00784434" w:rsidRPr="00330641" w:rsidRDefault="00784434" w:rsidP="00784434">
      <w:pPr>
        <w:autoSpaceDE w:val="0"/>
        <w:autoSpaceDN w:val="0"/>
        <w:spacing w:after="0" w:line="276" w:lineRule="auto"/>
        <w:ind w:left="0" w:right="0"/>
        <w:rPr>
          <w:rFonts w:ascii="ITC Avant Garde" w:hAnsi="ITC Avant Garde" w:cs="Arial"/>
        </w:rPr>
      </w:pPr>
    </w:p>
    <w:p w:rsidR="00784434" w:rsidRPr="00330641" w:rsidRDefault="00784434" w:rsidP="00784434">
      <w:pPr>
        <w:pStyle w:val="IFT1"/>
        <w:tabs>
          <w:tab w:val="left" w:pos="426"/>
        </w:tabs>
        <w:spacing w:after="0"/>
      </w:pPr>
    </w:p>
    <w:p w:rsidR="00784434" w:rsidRPr="00330641" w:rsidRDefault="00784434" w:rsidP="000F58E0">
      <w:pPr>
        <w:pStyle w:val="IFT1"/>
        <w:tabs>
          <w:tab w:val="left" w:pos="426"/>
        </w:tabs>
        <w:spacing w:after="0"/>
      </w:pPr>
    </w:p>
    <w:sectPr w:rsidR="00784434" w:rsidRPr="0033064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3369" w:rsidRDefault="00DD3369" w:rsidP="00850E38">
      <w:pPr>
        <w:spacing w:after="0" w:line="240" w:lineRule="auto"/>
      </w:pPr>
      <w:r>
        <w:separator/>
      </w:r>
    </w:p>
  </w:endnote>
  <w:endnote w:type="continuationSeparator" w:id="0">
    <w:p w:rsidR="00DD3369" w:rsidRDefault="00DD3369" w:rsidP="00850E38">
      <w:pPr>
        <w:spacing w:after="0" w:line="240" w:lineRule="auto"/>
      </w:pPr>
      <w:r>
        <w:continuationSeparator/>
      </w:r>
    </w:p>
  </w:endnote>
  <w:endnote w:type="continuationNotice" w:id="1">
    <w:p w:rsidR="00DD3369" w:rsidRDefault="00DD33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vant Garde">
    <w:altName w:val="Century Gothic"/>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504020202030204"/>
    <w:charset w:val="00"/>
    <w:family w:val="swiss"/>
    <w:pitch w:val="variable"/>
    <w:sig w:usb0="00000007" w:usb1="00000000"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4871081"/>
      <w:docPartObj>
        <w:docPartGallery w:val="Page Numbers (Bottom of Page)"/>
        <w:docPartUnique/>
      </w:docPartObj>
    </w:sdtPr>
    <w:sdtEndPr/>
    <w:sdtContent>
      <w:p w:rsidR="0037308F" w:rsidRDefault="0037308F">
        <w:pPr>
          <w:pStyle w:val="Piedepgina"/>
          <w:jc w:val="right"/>
        </w:pPr>
        <w:r>
          <w:fldChar w:fldCharType="begin"/>
        </w:r>
        <w:r>
          <w:instrText>PAGE   \* MERGEFORMAT</w:instrText>
        </w:r>
        <w:r>
          <w:fldChar w:fldCharType="separate"/>
        </w:r>
        <w:r w:rsidR="00562B79" w:rsidRPr="00562B79">
          <w:rPr>
            <w:noProof/>
            <w:lang w:val="es-ES"/>
          </w:rPr>
          <w:t>54</w:t>
        </w:r>
        <w:r>
          <w:fldChar w:fldCharType="end"/>
        </w:r>
      </w:p>
    </w:sdtContent>
  </w:sdt>
  <w:p w:rsidR="0037308F" w:rsidRDefault="0037308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3369" w:rsidRDefault="00DD3369" w:rsidP="00850E38">
      <w:pPr>
        <w:spacing w:after="0" w:line="240" w:lineRule="auto"/>
      </w:pPr>
      <w:r>
        <w:separator/>
      </w:r>
    </w:p>
  </w:footnote>
  <w:footnote w:type="continuationSeparator" w:id="0">
    <w:p w:rsidR="00DD3369" w:rsidRDefault="00DD3369" w:rsidP="00850E38">
      <w:pPr>
        <w:spacing w:after="0" w:line="240" w:lineRule="auto"/>
      </w:pPr>
      <w:r>
        <w:continuationSeparator/>
      </w:r>
    </w:p>
  </w:footnote>
  <w:footnote w:type="continuationNotice" w:id="1">
    <w:p w:rsidR="00DD3369" w:rsidRDefault="00DD336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A27FF"/>
    <w:multiLevelType w:val="hybridMultilevel"/>
    <w:tmpl w:val="54B87B08"/>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 w15:restartNumberingAfterBreak="0">
    <w:nsid w:val="0AEA6B79"/>
    <w:multiLevelType w:val="hybridMultilevel"/>
    <w:tmpl w:val="88F21F32"/>
    <w:lvl w:ilvl="0" w:tplc="D0002F38">
      <w:start w:val="1"/>
      <w:numFmt w:val="lowerRoman"/>
      <w:lvlText w:val="(%1)"/>
      <w:lvlJc w:val="left"/>
      <w:pPr>
        <w:ind w:left="715" w:hanging="360"/>
      </w:pPr>
      <w:rPr>
        <w:rFonts w:hint="default"/>
        <w:b/>
      </w:rPr>
    </w:lvl>
    <w:lvl w:ilvl="1" w:tplc="080A0019" w:tentative="1">
      <w:start w:val="1"/>
      <w:numFmt w:val="lowerLetter"/>
      <w:lvlText w:val="%2."/>
      <w:lvlJc w:val="left"/>
      <w:pPr>
        <w:ind w:left="1435" w:hanging="360"/>
      </w:pPr>
    </w:lvl>
    <w:lvl w:ilvl="2" w:tplc="080A001B" w:tentative="1">
      <w:start w:val="1"/>
      <w:numFmt w:val="lowerRoman"/>
      <w:lvlText w:val="%3."/>
      <w:lvlJc w:val="right"/>
      <w:pPr>
        <w:ind w:left="2155" w:hanging="180"/>
      </w:pPr>
    </w:lvl>
    <w:lvl w:ilvl="3" w:tplc="080A000F" w:tentative="1">
      <w:start w:val="1"/>
      <w:numFmt w:val="decimal"/>
      <w:lvlText w:val="%4."/>
      <w:lvlJc w:val="left"/>
      <w:pPr>
        <w:ind w:left="2875" w:hanging="360"/>
      </w:pPr>
    </w:lvl>
    <w:lvl w:ilvl="4" w:tplc="080A0019" w:tentative="1">
      <w:start w:val="1"/>
      <w:numFmt w:val="lowerLetter"/>
      <w:lvlText w:val="%5."/>
      <w:lvlJc w:val="left"/>
      <w:pPr>
        <w:ind w:left="3595" w:hanging="360"/>
      </w:pPr>
    </w:lvl>
    <w:lvl w:ilvl="5" w:tplc="080A001B" w:tentative="1">
      <w:start w:val="1"/>
      <w:numFmt w:val="lowerRoman"/>
      <w:lvlText w:val="%6."/>
      <w:lvlJc w:val="right"/>
      <w:pPr>
        <w:ind w:left="4315" w:hanging="180"/>
      </w:pPr>
    </w:lvl>
    <w:lvl w:ilvl="6" w:tplc="080A000F" w:tentative="1">
      <w:start w:val="1"/>
      <w:numFmt w:val="decimal"/>
      <w:lvlText w:val="%7."/>
      <w:lvlJc w:val="left"/>
      <w:pPr>
        <w:ind w:left="5035" w:hanging="360"/>
      </w:pPr>
    </w:lvl>
    <w:lvl w:ilvl="7" w:tplc="080A0019" w:tentative="1">
      <w:start w:val="1"/>
      <w:numFmt w:val="lowerLetter"/>
      <w:lvlText w:val="%8."/>
      <w:lvlJc w:val="left"/>
      <w:pPr>
        <w:ind w:left="5755" w:hanging="360"/>
      </w:pPr>
    </w:lvl>
    <w:lvl w:ilvl="8" w:tplc="080A001B" w:tentative="1">
      <w:start w:val="1"/>
      <w:numFmt w:val="lowerRoman"/>
      <w:lvlText w:val="%9."/>
      <w:lvlJc w:val="right"/>
      <w:pPr>
        <w:ind w:left="6475" w:hanging="180"/>
      </w:pPr>
    </w:lvl>
  </w:abstractNum>
  <w:abstractNum w:abstractNumId="2" w15:restartNumberingAfterBreak="0">
    <w:nsid w:val="0FB7080A"/>
    <w:multiLevelType w:val="hybridMultilevel"/>
    <w:tmpl w:val="93524B0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18523AF6"/>
    <w:multiLevelType w:val="hybridMultilevel"/>
    <w:tmpl w:val="77160A06"/>
    <w:lvl w:ilvl="0" w:tplc="080A0011">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 w15:restartNumberingAfterBreak="0">
    <w:nsid w:val="292B110F"/>
    <w:multiLevelType w:val="hybridMultilevel"/>
    <w:tmpl w:val="28F4778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BFF01BB"/>
    <w:multiLevelType w:val="hybridMultilevel"/>
    <w:tmpl w:val="07349CAE"/>
    <w:lvl w:ilvl="0" w:tplc="464A0920">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6" w15:restartNumberingAfterBreak="0">
    <w:nsid w:val="2C317E98"/>
    <w:multiLevelType w:val="hybridMultilevel"/>
    <w:tmpl w:val="BF56C4B6"/>
    <w:lvl w:ilvl="0" w:tplc="D0002F38">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A644823"/>
    <w:multiLevelType w:val="hybridMultilevel"/>
    <w:tmpl w:val="339EA7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F112DE8"/>
    <w:multiLevelType w:val="hybridMultilevel"/>
    <w:tmpl w:val="9F980880"/>
    <w:lvl w:ilvl="0" w:tplc="080A0019">
      <w:start w:val="1"/>
      <w:numFmt w:val="lowerLetter"/>
      <w:lvlText w:val="%1."/>
      <w:lvlJc w:val="left"/>
      <w:pPr>
        <w:ind w:left="840" w:hanging="360"/>
      </w:pPr>
    </w:lvl>
    <w:lvl w:ilvl="1" w:tplc="080A0019" w:tentative="1">
      <w:start w:val="1"/>
      <w:numFmt w:val="lowerLetter"/>
      <w:lvlText w:val="%2."/>
      <w:lvlJc w:val="left"/>
      <w:pPr>
        <w:ind w:left="1560" w:hanging="360"/>
      </w:pPr>
    </w:lvl>
    <w:lvl w:ilvl="2" w:tplc="080A001B" w:tentative="1">
      <w:start w:val="1"/>
      <w:numFmt w:val="lowerRoman"/>
      <w:lvlText w:val="%3."/>
      <w:lvlJc w:val="right"/>
      <w:pPr>
        <w:ind w:left="2280" w:hanging="180"/>
      </w:pPr>
    </w:lvl>
    <w:lvl w:ilvl="3" w:tplc="080A000F" w:tentative="1">
      <w:start w:val="1"/>
      <w:numFmt w:val="decimal"/>
      <w:lvlText w:val="%4."/>
      <w:lvlJc w:val="left"/>
      <w:pPr>
        <w:ind w:left="3000" w:hanging="360"/>
      </w:pPr>
    </w:lvl>
    <w:lvl w:ilvl="4" w:tplc="080A0019" w:tentative="1">
      <w:start w:val="1"/>
      <w:numFmt w:val="lowerLetter"/>
      <w:lvlText w:val="%5."/>
      <w:lvlJc w:val="left"/>
      <w:pPr>
        <w:ind w:left="3720" w:hanging="360"/>
      </w:pPr>
    </w:lvl>
    <w:lvl w:ilvl="5" w:tplc="080A001B" w:tentative="1">
      <w:start w:val="1"/>
      <w:numFmt w:val="lowerRoman"/>
      <w:lvlText w:val="%6."/>
      <w:lvlJc w:val="right"/>
      <w:pPr>
        <w:ind w:left="4440" w:hanging="180"/>
      </w:pPr>
    </w:lvl>
    <w:lvl w:ilvl="6" w:tplc="080A000F" w:tentative="1">
      <w:start w:val="1"/>
      <w:numFmt w:val="decimal"/>
      <w:lvlText w:val="%7."/>
      <w:lvlJc w:val="left"/>
      <w:pPr>
        <w:ind w:left="5160" w:hanging="360"/>
      </w:pPr>
    </w:lvl>
    <w:lvl w:ilvl="7" w:tplc="080A0019" w:tentative="1">
      <w:start w:val="1"/>
      <w:numFmt w:val="lowerLetter"/>
      <w:lvlText w:val="%8."/>
      <w:lvlJc w:val="left"/>
      <w:pPr>
        <w:ind w:left="5880" w:hanging="360"/>
      </w:pPr>
    </w:lvl>
    <w:lvl w:ilvl="8" w:tplc="080A001B" w:tentative="1">
      <w:start w:val="1"/>
      <w:numFmt w:val="lowerRoman"/>
      <w:lvlText w:val="%9."/>
      <w:lvlJc w:val="right"/>
      <w:pPr>
        <w:ind w:left="6600" w:hanging="180"/>
      </w:pPr>
    </w:lvl>
  </w:abstractNum>
  <w:abstractNum w:abstractNumId="9" w15:restartNumberingAfterBreak="0">
    <w:nsid w:val="3F67069C"/>
    <w:multiLevelType w:val="hybridMultilevel"/>
    <w:tmpl w:val="74B8120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0" w15:restartNumberingAfterBreak="0">
    <w:nsid w:val="452017B8"/>
    <w:multiLevelType w:val="hybridMultilevel"/>
    <w:tmpl w:val="5FF4A130"/>
    <w:lvl w:ilvl="0" w:tplc="4ADA15C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3407D59"/>
    <w:multiLevelType w:val="hybridMultilevel"/>
    <w:tmpl w:val="0958F1F4"/>
    <w:lvl w:ilvl="0" w:tplc="080A0001">
      <w:start w:val="1"/>
      <w:numFmt w:val="bullet"/>
      <w:lvlText w:val=""/>
      <w:lvlJc w:val="left"/>
      <w:pPr>
        <w:ind w:left="715" w:hanging="360"/>
      </w:pPr>
      <w:rPr>
        <w:rFonts w:ascii="Symbol" w:hAnsi="Symbol" w:hint="default"/>
      </w:rPr>
    </w:lvl>
    <w:lvl w:ilvl="1" w:tplc="080A0003" w:tentative="1">
      <w:start w:val="1"/>
      <w:numFmt w:val="bullet"/>
      <w:lvlText w:val="o"/>
      <w:lvlJc w:val="left"/>
      <w:pPr>
        <w:ind w:left="1435" w:hanging="360"/>
      </w:pPr>
      <w:rPr>
        <w:rFonts w:ascii="Courier New" w:hAnsi="Courier New" w:cs="Courier New" w:hint="default"/>
      </w:rPr>
    </w:lvl>
    <w:lvl w:ilvl="2" w:tplc="080A0005" w:tentative="1">
      <w:start w:val="1"/>
      <w:numFmt w:val="bullet"/>
      <w:lvlText w:val=""/>
      <w:lvlJc w:val="left"/>
      <w:pPr>
        <w:ind w:left="2155" w:hanging="360"/>
      </w:pPr>
      <w:rPr>
        <w:rFonts w:ascii="Wingdings" w:hAnsi="Wingdings" w:hint="default"/>
      </w:rPr>
    </w:lvl>
    <w:lvl w:ilvl="3" w:tplc="080A0001" w:tentative="1">
      <w:start w:val="1"/>
      <w:numFmt w:val="bullet"/>
      <w:lvlText w:val=""/>
      <w:lvlJc w:val="left"/>
      <w:pPr>
        <w:ind w:left="2875" w:hanging="360"/>
      </w:pPr>
      <w:rPr>
        <w:rFonts w:ascii="Symbol" w:hAnsi="Symbol" w:hint="default"/>
      </w:rPr>
    </w:lvl>
    <w:lvl w:ilvl="4" w:tplc="080A0003" w:tentative="1">
      <w:start w:val="1"/>
      <w:numFmt w:val="bullet"/>
      <w:lvlText w:val="o"/>
      <w:lvlJc w:val="left"/>
      <w:pPr>
        <w:ind w:left="3595" w:hanging="360"/>
      </w:pPr>
      <w:rPr>
        <w:rFonts w:ascii="Courier New" w:hAnsi="Courier New" w:cs="Courier New" w:hint="default"/>
      </w:rPr>
    </w:lvl>
    <w:lvl w:ilvl="5" w:tplc="080A0005" w:tentative="1">
      <w:start w:val="1"/>
      <w:numFmt w:val="bullet"/>
      <w:lvlText w:val=""/>
      <w:lvlJc w:val="left"/>
      <w:pPr>
        <w:ind w:left="4315" w:hanging="360"/>
      </w:pPr>
      <w:rPr>
        <w:rFonts w:ascii="Wingdings" w:hAnsi="Wingdings" w:hint="default"/>
      </w:rPr>
    </w:lvl>
    <w:lvl w:ilvl="6" w:tplc="080A0001" w:tentative="1">
      <w:start w:val="1"/>
      <w:numFmt w:val="bullet"/>
      <w:lvlText w:val=""/>
      <w:lvlJc w:val="left"/>
      <w:pPr>
        <w:ind w:left="5035" w:hanging="360"/>
      </w:pPr>
      <w:rPr>
        <w:rFonts w:ascii="Symbol" w:hAnsi="Symbol" w:hint="default"/>
      </w:rPr>
    </w:lvl>
    <w:lvl w:ilvl="7" w:tplc="080A0003" w:tentative="1">
      <w:start w:val="1"/>
      <w:numFmt w:val="bullet"/>
      <w:lvlText w:val="o"/>
      <w:lvlJc w:val="left"/>
      <w:pPr>
        <w:ind w:left="5755" w:hanging="360"/>
      </w:pPr>
      <w:rPr>
        <w:rFonts w:ascii="Courier New" w:hAnsi="Courier New" w:cs="Courier New" w:hint="default"/>
      </w:rPr>
    </w:lvl>
    <w:lvl w:ilvl="8" w:tplc="080A0005" w:tentative="1">
      <w:start w:val="1"/>
      <w:numFmt w:val="bullet"/>
      <w:lvlText w:val=""/>
      <w:lvlJc w:val="left"/>
      <w:pPr>
        <w:ind w:left="6475" w:hanging="360"/>
      </w:pPr>
      <w:rPr>
        <w:rFonts w:ascii="Wingdings" w:hAnsi="Wingdings" w:hint="default"/>
      </w:rPr>
    </w:lvl>
  </w:abstractNum>
  <w:abstractNum w:abstractNumId="12" w15:restartNumberingAfterBreak="0">
    <w:nsid w:val="57BA4B5D"/>
    <w:multiLevelType w:val="hybridMultilevel"/>
    <w:tmpl w:val="E7067052"/>
    <w:lvl w:ilvl="0" w:tplc="D0002F38">
      <w:start w:val="1"/>
      <w:numFmt w:val="lowerRoman"/>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3" w15:restartNumberingAfterBreak="0">
    <w:nsid w:val="59124C12"/>
    <w:multiLevelType w:val="hybridMultilevel"/>
    <w:tmpl w:val="16E0E1E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A984462"/>
    <w:multiLevelType w:val="hybridMultilevel"/>
    <w:tmpl w:val="2B9691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F3E1D88"/>
    <w:multiLevelType w:val="hybridMultilevel"/>
    <w:tmpl w:val="63E814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6FA5393"/>
    <w:multiLevelType w:val="hybridMultilevel"/>
    <w:tmpl w:val="FE129C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97A4D85"/>
    <w:multiLevelType w:val="hybridMultilevel"/>
    <w:tmpl w:val="77102178"/>
    <w:lvl w:ilvl="0" w:tplc="D0002F38">
      <w:start w:val="1"/>
      <w:numFmt w:val="low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1646371"/>
    <w:multiLevelType w:val="hybridMultilevel"/>
    <w:tmpl w:val="6482302E"/>
    <w:lvl w:ilvl="0" w:tplc="080A0001">
      <w:start w:val="1"/>
      <w:numFmt w:val="bullet"/>
      <w:lvlText w:val=""/>
      <w:lvlJc w:val="left"/>
      <w:pPr>
        <w:ind w:left="1277" w:hanging="360"/>
      </w:pPr>
      <w:rPr>
        <w:rFonts w:ascii="Symbol" w:hAnsi="Symbol" w:hint="default"/>
      </w:rPr>
    </w:lvl>
    <w:lvl w:ilvl="1" w:tplc="080A0003" w:tentative="1">
      <w:start w:val="1"/>
      <w:numFmt w:val="bullet"/>
      <w:lvlText w:val="o"/>
      <w:lvlJc w:val="left"/>
      <w:pPr>
        <w:ind w:left="1997" w:hanging="360"/>
      </w:pPr>
      <w:rPr>
        <w:rFonts w:ascii="Courier New" w:hAnsi="Courier New" w:cs="Courier New" w:hint="default"/>
      </w:rPr>
    </w:lvl>
    <w:lvl w:ilvl="2" w:tplc="080A0005" w:tentative="1">
      <w:start w:val="1"/>
      <w:numFmt w:val="bullet"/>
      <w:lvlText w:val=""/>
      <w:lvlJc w:val="left"/>
      <w:pPr>
        <w:ind w:left="2717" w:hanging="360"/>
      </w:pPr>
      <w:rPr>
        <w:rFonts w:ascii="Wingdings" w:hAnsi="Wingdings" w:hint="default"/>
      </w:rPr>
    </w:lvl>
    <w:lvl w:ilvl="3" w:tplc="080A0001" w:tentative="1">
      <w:start w:val="1"/>
      <w:numFmt w:val="bullet"/>
      <w:lvlText w:val=""/>
      <w:lvlJc w:val="left"/>
      <w:pPr>
        <w:ind w:left="3437" w:hanging="360"/>
      </w:pPr>
      <w:rPr>
        <w:rFonts w:ascii="Symbol" w:hAnsi="Symbol" w:hint="default"/>
      </w:rPr>
    </w:lvl>
    <w:lvl w:ilvl="4" w:tplc="080A0003" w:tentative="1">
      <w:start w:val="1"/>
      <w:numFmt w:val="bullet"/>
      <w:lvlText w:val="o"/>
      <w:lvlJc w:val="left"/>
      <w:pPr>
        <w:ind w:left="4157" w:hanging="360"/>
      </w:pPr>
      <w:rPr>
        <w:rFonts w:ascii="Courier New" w:hAnsi="Courier New" w:cs="Courier New" w:hint="default"/>
      </w:rPr>
    </w:lvl>
    <w:lvl w:ilvl="5" w:tplc="080A0005" w:tentative="1">
      <w:start w:val="1"/>
      <w:numFmt w:val="bullet"/>
      <w:lvlText w:val=""/>
      <w:lvlJc w:val="left"/>
      <w:pPr>
        <w:ind w:left="4877" w:hanging="360"/>
      </w:pPr>
      <w:rPr>
        <w:rFonts w:ascii="Wingdings" w:hAnsi="Wingdings" w:hint="default"/>
      </w:rPr>
    </w:lvl>
    <w:lvl w:ilvl="6" w:tplc="080A0001" w:tentative="1">
      <w:start w:val="1"/>
      <w:numFmt w:val="bullet"/>
      <w:lvlText w:val=""/>
      <w:lvlJc w:val="left"/>
      <w:pPr>
        <w:ind w:left="5597" w:hanging="360"/>
      </w:pPr>
      <w:rPr>
        <w:rFonts w:ascii="Symbol" w:hAnsi="Symbol" w:hint="default"/>
      </w:rPr>
    </w:lvl>
    <w:lvl w:ilvl="7" w:tplc="080A0003" w:tentative="1">
      <w:start w:val="1"/>
      <w:numFmt w:val="bullet"/>
      <w:lvlText w:val="o"/>
      <w:lvlJc w:val="left"/>
      <w:pPr>
        <w:ind w:left="6317" w:hanging="360"/>
      </w:pPr>
      <w:rPr>
        <w:rFonts w:ascii="Courier New" w:hAnsi="Courier New" w:cs="Courier New" w:hint="default"/>
      </w:rPr>
    </w:lvl>
    <w:lvl w:ilvl="8" w:tplc="080A0005" w:tentative="1">
      <w:start w:val="1"/>
      <w:numFmt w:val="bullet"/>
      <w:lvlText w:val=""/>
      <w:lvlJc w:val="left"/>
      <w:pPr>
        <w:ind w:left="7037" w:hanging="360"/>
      </w:pPr>
      <w:rPr>
        <w:rFonts w:ascii="Wingdings" w:hAnsi="Wingdings" w:hint="default"/>
      </w:rPr>
    </w:lvl>
  </w:abstractNum>
  <w:abstractNum w:abstractNumId="19" w15:restartNumberingAfterBreak="0">
    <w:nsid w:val="72E46172"/>
    <w:multiLevelType w:val="hybridMultilevel"/>
    <w:tmpl w:val="7C2AC87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11"/>
  </w:num>
  <w:num w:numId="3">
    <w:abstractNumId w:val="19"/>
  </w:num>
  <w:num w:numId="4">
    <w:abstractNumId w:val="2"/>
  </w:num>
  <w:num w:numId="5">
    <w:abstractNumId w:val="15"/>
  </w:num>
  <w:num w:numId="6">
    <w:abstractNumId w:val="1"/>
  </w:num>
  <w:num w:numId="7">
    <w:abstractNumId w:val="18"/>
  </w:num>
  <w:num w:numId="8">
    <w:abstractNumId w:val="0"/>
  </w:num>
  <w:num w:numId="9">
    <w:abstractNumId w:val="5"/>
  </w:num>
  <w:num w:numId="10">
    <w:abstractNumId w:val="6"/>
  </w:num>
  <w:num w:numId="11">
    <w:abstractNumId w:val="9"/>
  </w:num>
  <w:num w:numId="12">
    <w:abstractNumId w:val="8"/>
  </w:num>
  <w:num w:numId="13">
    <w:abstractNumId w:val="4"/>
  </w:num>
  <w:num w:numId="14">
    <w:abstractNumId w:val="10"/>
  </w:num>
  <w:num w:numId="15">
    <w:abstractNumId w:val="3"/>
  </w:num>
  <w:num w:numId="16">
    <w:abstractNumId w:val="12"/>
  </w:num>
  <w:num w:numId="17">
    <w:abstractNumId w:val="17"/>
  </w:num>
  <w:num w:numId="18">
    <w:abstractNumId w:val="14"/>
  </w:num>
  <w:num w:numId="19">
    <w:abstractNumId w:val="7"/>
  </w:num>
  <w:num w:numId="20">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636"/>
    <w:rsid w:val="00000287"/>
    <w:rsid w:val="00000412"/>
    <w:rsid w:val="00000C86"/>
    <w:rsid w:val="000010F1"/>
    <w:rsid w:val="000013A5"/>
    <w:rsid w:val="00002462"/>
    <w:rsid w:val="00003E6C"/>
    <w:rsid w:val="0000523A"/>
    <w:rsid w:val="00005595"/>
    <w:rsid w:val="00005BB5"/>
    <w:rsid w:val="0000630F"/>
    <w:rsid w:val="00006624"/>
    <w:rsid w:val="00006AE6"/>
    <w:rsid w:val="00006CB0"/>
    <w:rsid w:val="00007868"/>
    <w:rsid w:val="0001021E"/>
    <w:rsid w:val="000107C6"/>
    <w:rsid w:val="000112FD"/>
    <w:rsid w:val="000116CC"/>
    <w:rsid w:val="00012370"/>
    <w:rsid w:val="00012799"/>
    <w:rsid w:val="00012B60"/>
    <w:rsid w:val="00013543"/>
    <w:rsid w:val="00014EC3"/>
    <w:rsid w:val="000152A1"/>
    <w:rsid w:val="00015680"/>
    <w:rsid w:val="0001578A"/>
    <w:rsid w:val="0002032E"/>
    <w:rsid w:val="00020AEF"/>
    <w:rsid w:val="00020EB1"/>
    <w:rsid w:val="000227CE"/>
    <w:rsid w:val="00022C6F"/>
    <w:rsid w:val="00022D15"/>
    <w:rsid w:val="00023530"/>
    <w:rsid w:val="000255C3"/>
    <w:rsid w:val="000256BF"/>
    <w:rsid w:val="00025A25"/>
    <w:rsid w:val="00025AA8"/>
    <w:rsid w:val="00025E66"/>
    <w:rsid w:val="0002622B"/>
    <w:rsid w:val="00026EAA"/>
    <w:rsid w:val="0002792E"/>
    <w:rsid w:val="00030FA7"/>
    <w:rsid w:val="0003101B"/>
    <w:rsid w:val="00032067"/>
    <w:rsid w:val="0003296F"/>
    <w:rsid w:val="00032BD2"/>
    <w:rsid w:val="00033749"/>
    <w:rsid w:val="00033AEB"/>
    <w:rsid w:val="00033F4B"/>
    <w:rsid w:val="00035F82"/>
    <w:rsid w:val="00036FFB"/>
    <w:rsid w:val="00040AC2"/>
    <w:rsid w:val="00041960"/>
    <w:rsid w:val="00042394"/>
    <w:rsid w:val="00042526"/>
    <w:rsid w:val="000425AC"/>
    <w:rsid w:val="000430EE"/>
    <w:rsid w:val="00044C98"/>
    <w:rsid w:val="000453DB"/>
    <w:rsid w:val="000454D7"/>
    <w:rsid w:val="00045D8C"/>
    <w:rsid w:val="000474E8"/>
    <w:rsid w:val="00050C44"/>
    <w:rsid w:val="00052757"/>
    <w:rsid w:val="000558F2"/>
    <w:rsid w:val="0005630B"/>
    <w:rsid w:val="000578D1"/>
    <w:rsid w:val="00061632"/>
    <w:rsid w:val="000617E2"/>
    <w:rsid w:val="00061A50"/>
    <w:rsid w:val="00062695"/>
    <w:rsid w:val="0006472A"/>
    <w:rsid w:val="00064EE6"/>
    <w:rsid w:val="000667ED"/>
    <w:rsid w:val="00070300"/>
    <w:rsid w:val="00070793"/>
    <w:rsid w:val="000707CE"/>
    <w:rsid w:val="00072836"/>
    <w:rsid w:val="00072B8F"/>
    <w:rsid w:val="00073CF7"/>
    <w:rsid w:val="0007441C"/>
    <w:rsid w:val="0007452F"/>
    <w:rsid w:val="00074E54"/>
    <w:rsid w:val="00077151"/>
    <w:rsid w:val="00080BC4"/>
    <w:rsid w:val="00082161"/>
    <w:rsid w:val="000822F1"/>
    <w:rsid w:val="0008236C"/>
    <w:rsid w:val="00082EAF"/>
    <w:rsid w:val="00082F8A"/>
    <w:rsid w:val="0008347E"/>
    <w:rsid w:val="0008368F"/>
    <w:rsid w:val="00083819"/>
    <w:rsid w:val="00083B04"/>
    <w:rsid w:val="00083B62"/>
    <w:rsid w:val="0008411B"/>
    <w:rsid w:val="0008435A"/>
    <w:rsid w:val="000853A0"/>
    <w:rsid w:val="0008647C"/>
    <w:rsid w:val="000872B1"/>
    <w:rsid w:val="0009027A"/>
    <w:rsid w:val="000904E1"/>
    <w:rsid w:val="0009119A"/>
    <w:rsid w:val="000911E5"/>
    <w:rsid w:val="0009123E"/>
    <w:rsid w:val="00093AD7"/>
    <w:rsid w:val="00093D6D"/>
    <w:rsid w:val="0009685E"/>
    <w:rsid w:val="00096A8B"/>
    <w:rsid w:val="00096A8E"/>
    <w:rsid w:val="000973A6"/>
    <w:rsid w:val="0009757A"/>
    <w:rsid w:val="00097A4D"/>
    <w:rsid w:val="000A0928"/>
    <w:rsid w:val="000A240E"/>
    <w:rsid w:val="000A2A76"/>
    <w:rsid w:val="000A36C9"/>
    <w:rsid w:val="000A416B"/>
    <w:rsid w:val="000A42C3"/>
    <w:rsid w:val="000A4538"/>
    <w:rsid w:val="000A4C2D"/>
    <w:rsid w:val="000A6116"/>
    <w:rsid w:val="000A6437"/>
    <w:rsid w:val="000A767B"/>
    <w:rsid w:val="000A7F63"/>
    <w:rsid w:val="000B055D"/>
    <w:rsid w:val="000B0672"/>
    <w:rsid w:val="000B1076"/>
    <w:rsid w:val="000B3447"/>
    <w:rsid w:val="000B35EB"/>
    <w:rsid w:val="000B5F09"/>
    <w:rsid w:val="000B6021"/>
    <w:rsid w:val="000B634D"/>
    <w:rsid w:val="000C005D"/>
    <w:rsid w:val="000C06D5"/>
    <w:rsid w:val="000C1B90"/>
    <w:rsid w:val="000C2549"/>
    <w:rsid w:val="000C27EC"/>
    <w:rsid w:val="000C3D27"/>
    <w:rsid w:val="000C5575"/>
    <w:rsid w:val="000C5D1A"/>
    <w:rsid w:val="000C752A"/>
    <w:rsid w:val="000C767B"/>
    <w:rsid w:val="000D253B"/>
    <w:rsid w:val="000D2A52"/>
    <w:rsid w:val="000D339B"/>
    <w:rsid w:val="000D456C"/>
    <w:rsid w:val="000D483B"/>
    <w:rsid w:val="000D50D9"/>
    <w:rsid w:val="000D52B2"/>
    <w:rsid w:val="000D7C18"/>
    <w:rsid w:val="000D7E69"/>
    <w:rsid w:val="000E1B71"/>
    <w:rsid w:val="000E31CA"/>
    <w:rsid w:val="000E40D9"/>
    <w:rsid w:val="000E4E46"/>
    <w:rsid w:val="000E4EAA"/>
    <w:rsid w:val="000E5FE3"/>
    <w:rsid w:val="000E6021"/>
    <w:rsid w:val="000E643B"/>
    <w:rsid w:val="000E6E00"/>
    <w:rsid w:val="000E6F71"/>
    <w:rsid w:val="000F00D3"/>
    <w:rsid w:val="000F081D"/>
    <w:rsid w:val="000F1E28"/>
    <w:rsid w:val="000F32F2"/>
    <w:rsid w:val="000F3DAC"/>
    <w:rsid w:val="000F40B6"/>
    <w:rsid w:val="000F4243"/>
    <w:rsid w:val="000F43EB"/>
    <w:rsid w:val="000F47D3"/>
    <w:rsid w:val="000F4816"/>
    <w:rsid w:val="000F4896"/>
    <w:rsid w:val="000F513D"/>
    <w:rsid w:val="000F58E0"/>
    <w:rsid w:val="000F5ACA"/>
    <w:rsid w:val="000F6817"/>
    <w:rsid w:val="000F6E8B"/>
    <w:rsid w:val="000F7B5C"/>
    <w:rsid w:val="001000F4"/>
    <w:rsid w:val="0010057D"/>
    <w:rsid w:val="0010103D"/>
    <w:rsid w:val="0010119A"/>
    <w:rsid w:val="001019A5"/>
    <w:rsid w:val="0010221A"/>
    <w:rsid w:val="00102464"/>
    <w:rsid w:val="001024F4"/>
    <w:rsid w:val="001037FA"/>
    <w:rsid w:val="00105DF8"/>
    <w:rsid w:val="00106E54"/>
    <w:rsid w:val="00111994"/>
    <w:rsid w:val="001132CA"/>
    <w:rsid w:val="00113D61"/>
    <w:rsid w:val="00113F3B"/>
    <w:rsid w:val="001149BF"/>
    <w:rsid w:val="001149E3"/>
    <w:rsid w:val="001153A1"/>
    <w:rsid w:val="001169A3"/>
    <w:rsid w:val="00116A7F"/>
    <w:rsid w:val="00116AD9"/>
    <w:rsid w:val="00116D5C"/>
    <w:rsid w:val="00116D7E"/>
    <w:rsid w:val="00121AC6"/>
    <w:rsid w:val="0012211F"/>
    <w:rsid w:val="0012273D"/>
    <w:rsid w:val="00122CD3"/>
    <w:rsid w:val="00122DD7"/>
    <w:rsid w:val="00122E43"/>
    <w:rsid w:val="0012319A"/>
    <w:rsid w:val="001239FD"/>
    <w:rsid w:val="00125209"/>
    <w:rsid w:val="0012539F"/>
    <w:rsid w:val="00127EFA"/>
    <w:rsid w:val="00131FE7"/>
    <w:rsid w:val="00133AC8"/>
    <w:rsid w:val="001356BB"/>
    <w:rsid w:val="00136088"/>
    <w:rsid w:val="0013725E"/>
    <w:rsid w:val="001379AF"/>
    <w:rsid w:val="001402A5"/>
    <w:rsid w:val="00141F7C"/>
    <w:rsid w:val="00142883"/>
    <w:rsid w:val="00144435"/>
    <w:rsid w:val="0014506C"/>
    <w:rsid w:val="0014601D"/>
    <w:rsid w:val="001467EB"/>
    <w:rsid w:val="00146FCB"/>
    <w:rsid w:val="00147EE6"/>
    <w:rsid w:val="001509F1"/>
    <w:rsid w:val="00151D26"/>
    <w:rsid w:val="0015222B"/>
    <w:rsid w:val="00152A01"/>
    <w:rsid w:val="00152A3D"/>
    <w:rsid w:val="00152DAF"/>
    <w:rsid w:val="00152F53"/>
    <w:rsid w:val="00154794"/>
    <w:rsid w:val="00155471"/>
    <w:rsid w:val="001559CD"/>
    <w:rsid w:val="001563C4"/>
    <w:rsid w:val="0015670B"/>
    <w:rsid w:val="00157AEC"/>
    <w:rsid w:val="00157B30"/>
    <w:rsid w:val="00160574"/>
    <w:rsid w:val="001614CA"/>
    <w:rsid w:val="00161692"/>
    <w:rsid w:val="001617AB"/>
    <w:rsid w:val="001627C9"/>
    <w:rsid w:val="001628D3"/>
    <w:rsid w:val="00162FAB"/>
    <w:rsid w:val="00163E7B"/>
    <w:rsid w:val="00164C16"/>
    <w:rsid w:val="00164FEE"/>
    <w:rsid w:val="001717B5"/>
    <w:rsid w:val="00171B2F"/>
    <w:rsid w:val="00171C91"/>
    <w:rsid w:val="00171ECB"/>
    <w:rsid w:val="00171F60"/>
    <w:rsid w:val="0017212F"/>
    <w:rsid w:val="0017294E"/>
    <w:rsid w:val="00173500"/>
    <w:rsid w:val="0017422B"/>
    <w:rsid w:val="00174557"/>
    <w:rsid w:val="00174E4B"/>
    <w:rsid w:val="00174EC9"/>
    <w:rsid w:val="001751DD"/>
    <w:rsid w:val="00175981"/>
    <w:rsid w:val="00176DFF"/>
    <w:rsid w:val="00176F0C"/>
    <w:rsid w:val="00177528"/>
    <w:rsid w:val="0017770B"/>
    <w:rsid w:val="001805EC"/>
    <w:rsid w:val="001814B4"/>
    <w:rsid w:val="00181552"/>
    <w:rsid w:val="0018169C"/>
    <w:rsid w:val="0018264E"/>
    <w:rsid w:val="0018270E"/>
    <w:rsid w:val="001834D3"/>
    <w:rsid w:val="00183E66"/>
    <w:rsid w:val="0018402E"/>
    <w:rsid w:val="00184685"/>
    <w:rsid w:val="00184B9E"/>
    <w:rsid w:val="00184F90"/>
    <w:rsid w:val="001855F4"/>
    <w:rsid w:val="00186975"/>
    <w:rsid w:val="00186F22"/>
    <w:rsid w:val="00187A26"/>
    <w:rsid w:val="001901B1"/>
    <w:rsid w:val="0019184C"/>
    <w:rsid w:val="00192401"/>
    <w:rsid w:val="001925F3"/>
    <w:rsid w:val="00193FD2"/>
    <w:rsid w:val="001941AD"/>
    <w:rsid w:val="0019440C"/>
    <w:rsid w:val="001958AA"/>
    <w:rsid w:val="001A0546"/>
    <w:rsid w:val="001A18A0"/>
    <w:rsid w:val="001A2665"/>
    <w:rsid w:val="001A29E1"/>
    <w:rsid w:val="001A2EA4"/>
    <w:rsid w:val="001A3757"/>
    <w:rsid w:val="001A40EF"/>
    <w:rsid w:val="001A66FA"/>
    <w:rsid w:val="001A72C3"/>
    <w:rsid w:val="001B037F"/>
    <w:rsid w:val="001B0ACB"/>
    <w:rsid w:val="001B0B8E"/>
    <w:rsid w:val="001B15FD"/>
    <w:rsid w:val="001B352A"/>
    <w:rsid w:val="001B35B5"/>
    <w:rsid w:val="001B480C"/>
    <w:rsid w:val="001B4D90"/>
    <w:rsid w:val="001B4FE6"/>
    <w:rsid w:val="001B5011"/>
    <w:rsid w:val="001B75AF"/>
    <w:rsid w:val="001B7DBD"/>
    <w:rsid w:val="001C0CB8"/>
    <w:rsid w:val="001C1FB7"/>
    <w:rsid w:val="001C3832"/>
    <w:rsid w:val="001C3B49"/>
    <w:rsid w:val="001C4054"/>
    <w:rsid w:val="001C4CF3"/>
    <w:rsid w:val="001C5FB7"/>
    <w:rsid w:val="001C64BE"/>
    <w:rsid w:val="001C6DF7"/>
    <w:rsid w:val="001C6F37"/>
    <w:rsid w:val="001D00A2"/>
    <w:rsid w:val="001D02CD"/>
    <w:rsid w:val="001D072A"/>
    <w:rsid w:val="001D0A90"/>
    <w:rsid w:val="001D0B9F"/>
    <w:rsid w:val="001D1462"/>
    <w:rsid w:val="001D1D26"/>
    <w:rsid w:val="001D3299"/>
    <w:rsid w:val="001D3999"/>
    <w:rsid w:val="001D4F17"/>
    <w:rsid w:val="001D5421"/>
    <w:rsid w:val="001D5BDF"/>
    <w:rsid w:val="001D6A4F"/>
    <w:rsid w:val="001D6F6A"/>
    <w:rsid w:val="001D7F56"/>
    <w:rsid w:val="001E0963"/>
    <w:rsid w:val="001E161E"/>
    <w:rsid w:val="001E256D"/>
    <w:rsid w:val="001E2994"/>
    <w:rsid w:val="001E2B1E"/>
    <w:rsid w:val="001E2C9D"/>
    <w:rsid w:val="001E3301"/>
    <w:rsid w:val="001E62D1"/>
    <w:rsid w:val="001E64BA"/>
    <w:rsid w:val="001E6D57"/>
    <w:rsid w:val="001E7026"/>
    <w:rsid w:val="001F0594"/>
    <w:rsid w:val="001F0A0E"/>
    <w:rsid w:val="001F0C9D"/>
    <w:rsid w:val="001F0E36"/>
    <w:rsid w:val="001F119F"/>
    <w:rsid w:val="001F12C0"/>
    <w:rsid w:val="001F3E20"/>
    <w:rsid w:val="001F56BC"/>
    <w:rsid w:val="001F5B47"/>
    <w:rsid w:val="001F5C0F"/>
    <w:rsid w:val="001F717E"/>
    <w:rsid w:val="001F74B0"/>
    <w:rsid w:val="001F7ACC"/>
    <w:rsid w:val="00200119"/>
    <w:rsid w:val="002008B6"/>
    <w:rsid w:val="002010F7"/>
    <w:rsid w:val="0020165C"/>
    <w:rsid w:val="00201C47"/>
    <w:rsid w:val="002022D8"/>
    <w:rsid w:val="002023C7"/>
    <w:rsid w:val="002036BF"/>
    <w:rsid w:val="00204863"/>
    <w:rsid w:val="00204C5B"/>
    <w:rsid w:val="00210477"/>
    <w:rsid w:val="00210524"/>
    <w:rsid w:val="00211B41"/>
    <w:rsid w:val="00214168"/>
    <w:rsid w:val="00214E77"/>
    <w:rsid w:val="00215376"/>
    <w:rsid w:val="00215384"/>
    <w:rsid w:val="0021575A"/>
    <w:rsid w:val="00215EBA"/>
    <w:rsid w:val="00217501"/>
    <w:rsid w:val="002175B0"/>
    <w:rsid w:val="00222030"/>
    <w:rsid w:val="002224F9"/>
    <w:rsid w:val="002230D9"/>
    <w:rsid w:val="002244F5"/>
    <w:rsid w:val="00224801"/>
    <w:rsid w:val="00225F08"/>
    <w:rsid w:val="00225FAB"/>
    <w:rsid w:val="00225FBD"/>
    <w:rsid w:val="002264A3"/>
    <w:rsid w:val="00226B8F"/>
    <w:rsid w:val="00230080"/>
    <w:rsid w:val="0023052D"/>
    <w:rsid w:val="00230750"/>
    <w:rsid w:val="00230A1B"/>
    <w:rsid w:val="00231748"/>
    <w:rsid w:val="00232268"/>
    <w:rsid w:val="0023249D"/>
    <w:rsid w:val="002325DE"/>
    <w:rsid w:val="00232E2C"/>
    <w:rsid w:val="00232EC1"/>
    <w:rsid w:val="0023494B"/>
    <w:rsid w:val="00234B97"/>
    <w:rsid w:val="00234D18"/>
    <w:rsid w:val="002356DA"/>
    <w:rsid w:val="0023570F"/>
    <w:rsid w:val="0023617D"/>
    <w:rsid w:val="0023704C"/>
    <w:rsid w:val="002378F1"/>
    <w:rsid w:val="00237A60"/>
    <w:rsid w:val="00242BEF"/>
    <w:rsid w:val="00242C31"/>
    <w:rsid w:val="00242CBC"/>
    <w:rsid w:val="002443F0"/>
    <w:rsid w:val="002453CF"/>
    <w:rsid w:val="00246900"/>
    <w:rsid w:val="0024705F"/>
    <w:rsid w:val="00247175"/>
    <w:rsid w:val="00247664"/>
    <w:rsid w:val="002476FE"/>
    <w:rsid w:val="00247917"/>
    <w:rsid w:val="002529BA"/>
    <w:rsid w:val="00252CB2"/>
    <w:rsid w:val="00252F42"/>
    <w:rsid w:val="00253277"/>
    <w:rsid w:val="00253535"/>
    <w:rsid w:val="00253F0C"/>
    <w:rsid w:val="00255F49"/>
    <w:rsid w:val="00255FBE"/>
    <w:rsid w:val="002575A3"/>
    <w:rsid w:val="00257FBF"/>
    <w:rsid w:val="00261182"/>
    <w:rsid w:val="00261A6F"/>
    <w:rsid w:val="00263A93"/>
    <w:rsid w:val="00263A9A"/>
    <w:rsid w:val="00264F4E"/>
    <w:rsid w:val="00264F66"/>
    <w:rsid w:val="00265CCF"/>
    <w:rsid w:val="00266563"/>
    <w:rsid w:val="002666C0"/>
    <w:rsid w:val="00267945"/>
    <w:rsid w:val="00267CF7"/>
    <w:rsid w:val="00267DEA"/>
    <w:rsid w:val="002705D4"/>
    <w:rsid w:val="002718D6"/>
    <w:rsid w:val="00271AC7"/>
    <w:rsid w:val="00271B58"/>
    <w:rsid w:val="0027354C"/>
    <w:rsid w:val="002754B1"/>
    <w:rsid w:val="00275879"/>
    <w:rsid w:val="00275BB0"/>
    <w:rsid w:val="00275DC2"/>
    <w:rsid w:val="00275DED"/>
    <w:rsid w:val="00275FD7"/>
    <w:rsid w:val="00276D96"/>
    <w:rsid w:val="00277579"/>
    <w:rsid w:val="00280C2F"/>
    <w:rsid w:val="00280E6A"/>
    <w:rsid w:val="00281282"/>
    <w:rsid w:val="002815AB"/>
    <w:rsid w:val="00284C18"/>
    <w:rsid w:val="002858F5"/>
    <w:rsid w:val="00287C70"/>
    <w:rsid w:val="0029002F"/>
    <w:rsid w:val="00290A5B"/>
    <w:rsid w:val="00290CD2"/>
    <w:rsid w:val="00291C0D"/>
    <w:rsid w:val="00291CC9"/>
    <w:rsid w:val="0029280D"/>
    <w:rsid w:val="00292D94"/>
    <w:rsid w:val="0029447D"/>
    <w:rsid w:val="00294AA2"/>
    <w:rsid w:val="00296244"/>
    <w:rsid w:val="00297096"/>
    <w:rsid w:val="002973C8"/>
    <w:rsid w:val="002A0EAE"/>
    <w:rsid w:val="002A2B02"/>
    <w:rsid w:val="002A3AD1"/>
    <w:rsid w:val="002A4730"/>
    <w:rsid w:val="002A67E7"/>
    <w:rsid w:val="002A6878"/>
    <w:rsid w:val="002A7DD5"/>
    <w:rsid w:val="002B2999"/>
    <w:rsid w:val="002B3461"/>
    <w:rsid w:val="002B3521"/>
    <w:rsid w:val="002B3DD9"/>
    <w:rsid w:val="002B604C"/>
    <w:rsid w:val="002B7BCC"/>
    <w:rsid w:val="002C0875"/>
    <w:rsid w:val="002C0ADE"/>
    <w:rsid w:val="002C10C5"/>
    <w:rsid w:val="002C1345"/>
    <w:rsid w:val="002C2A41"/>
    <w:rsid w:val="002C355C"/>
    <w:rsid w:val="002C3C74"/>
    <w:rsid w:val="002C47D0"/>
    <w:rsid w:val="002C4822"/>
    <w:rsid w:val="002C52CE"/>
    <w:rsid w:val="002C64FC"/>
    <w:rsid w:val="002C71D0"/>
    <w:rsid w:val="002C7552"/>
    <w:rsid w:val="002D0AA8"/>
    <w:rsid w:val="002D0EE4"/>
    <w:rsid w:val="002D2A19"/>
    <w:rsid w:val="002D2D01"/>
    <w:rsid w:val="002D3243"/>
    <w:rsid w:val="002D363E"/>
    <w:rsid w:val="002D4096"/>
    <w:rsid w:val="002D4409"/>
    <w:rsid w:val="002D4FB9"/>
    <w:rsid w:val="002D5D98"/>
    <w:rsid w:val="002D7290"/>
    <w:rsid w:val="002E084A"/>
    <w:rsid w:val="002E09F0"/>
    <w:rsid w:val="002E0AD8"/>
    <w:rsid w:val="002E147B"/>
    <w:rsid w:val="002E1BB5"/>
    <w:rsid w:val="002E2109"/>
    <w:rsid w:val="002E27B9"/>
    <w:rsid w:val="002E3E3D"/>
    <w:rsid w:val="002E4119"/>
    <w:rsid w:val="002E4B67"/>
    <w:rsid w:val="002E5701"/>
    <w:rsid w:val="002E5A3C"/>
    <w:rsid w:val="002E5BD9"/>
    <w:rsid w:val="002E5E53"/>
    <w:rsid w:val="002E677B"/>
    <w:rsid w:val="002E71FE"/>
    <w:rsid w:val="002E72F3"/>
    <w:rsid w:val="002F0C55"/>
    <w:rsid w:val="002F12D7"/>
    <w:rsid w:val="002F13E8"/>
    <w:rsid w:val="002F1428"/>
    <w:rsid w:val="002F175B"/>
    <w:rsid w:val="002F3FBF"/>
    <w:rsid w:val="002F6BDC"/>
    <w:rsid w:val="002F7AB4"/>
    <w:rsid w:val="00300557"/>
    <w:rsid w:val="00300A37"/>
    <w:rsid w:val="003015F8"/>
    <w:rsid w:val="00301A36"/>
    <w:rsid w:val="00301ACA"/>
    <w:rsid w:val="00301C06"/>
    <w:rsid w:val="003026DB"/>
    <w:rsid w:val="00302FAA"/>
    <w:rsid w:val="003030FC"/>
    <w:rsid w:val="003031DE"/>
    <w:rsid w:val="0030381C"/>
    <w:rsid w:val="00303EE7"/>
    <w:rsid w:val="003069CB"/>
    <w:rsid w:val="0030737F"/>
    <w:rsid w:val="0031241A"/>
    <w:rsid w:val="003126AE"/>
    <w:rsid w:val="00312F93"/>
    <w:rsid w:val="00313722"/>
    <w:rsid w:val="00315CC8"/>
    <w:rsid w:val="0031628D"/>
    <w:rsid w:val="003167AD"/>
    <w:rsid w:val="003169DC"/>
    <w:rsid w:val="00316D90"/>
    <w:rsid w:val="00317D34"/>
    <w:rsid w:val="00317E33"/>
    <w:rsid w:val="00317F28"/>
    <w:rsid w:val="00320A15"/>
    <w:rsid w:val="00321527"/>
    <w:rsid w:val="00322533"/>
    <w:rsid w:val="003238C4"/>
    <w:rsid w:val="00323AF6"/>
    <w:rsid w:val="00324179"/>
    <w:rsid w:val="00325DEC"/>
    <w:rsid w:val="00325F96"/>
    <w:rsid w:val="003261B7"/>
    <w:rsid w:val="00326630"/>
    <w:rsid w:val="0032722C"/>
    <w:rsid w:val="003303CE"/>
    <w:rsid w:val="00330641"/>
    <w:rsid w:val="00330F38"/>
    <w:rsid w:val="00331122"/>
    <w:rsid w:val="0033127E"/>
    <w:rsid w:val="003314AC"/>
    <w:rsid w:val="0033160A"/>
    <w:rsid w:val="00331AFD"/>
    <w:rsid w:val="00333509"/>
    <w:rsid w:val="00333CBD"/>
    <w:rsid w:val="00333DB7"/>
    <w:rsid w:val="00334F31"/>
    <w:rsid w:val="00334FF5"/>
    <w:rsid w:val="00335935"/>
    <w:rsid w:val="003362F1"/>
    <w:rsid w:val="00336494"/>
    <w:rsid w:val="00336801"/>
    <w:rsid w:val="00336B4F"/>
    <w:rsid w:val="003371F5"/>
    <w:rsid w:val="00337249"/>
    <w:rsid w:val="00337AD7"/>
    <w:rsid w:val="003412AD"/>
    <w:rsid w:val="0034198E"/>
    <w:rsid w:val="00341B0A"/>
    <w:rsid w:val="00342F59"/>
    <w:rsid w:val="003434A8"/>
    <w:rsid w:val="003449D3"/>
    <w:rsid w:val="00345613"/>
    <w:rsid w:val="00345A6A"/>
    <w:rsid w:val="003474C0"/>
    <w:rsid w:val="003477A9"/>
    <w:rsid w:val="00350ED6"/>
    <w:rsid w:val="00351C4D"/>
    <w:rsid w:val="00353FDF"/>
    <w:rsid w:val="003547C6"/>
    <w:rsid w:val="0035637C"/>
    <w:rsid w:val="00356651"/>
    <w:rsid w:val="0035697C"/>
    <w:rsid w:val="00356A5E"/>
    <w:rsid w:val="00357047"/>
    <w:rsid w:val="00360260"/>
    <w:rsid w:val="00360BAF"/>
    <w:rsid w:val="003620CF"/>
    <w:rsid w:val="00362A4F"/>
    <w:rsid w:val="00363C51"/>
    <w:rsid w:val="00363FC1"/>
    <w:rsid w:val="00365FDC"/>
    <w:rsid w:val="00366883"/>
    <w:rsid w:val="00367657"/>
    <w:rsid w:val="00367679"/>
    <w:rsid w:val="003676B8"/>
    <w:rsid w:val="003700FE"/>
    <w:rsid w:val="00371330"/>
    <w:rsid w:val="00371339"/>
    <w:rsid w:val="0037150A"/>
    <w:rsid w:val="00371586"/>
    <w:rsid w:val="0037192C"/>
    <w:rsid w:val="0037291F"/>
    <w:rsid w:val="0037308F"/>
    <w:rsid w:val="003736E8"/>
    <w:rsid w:val="00374B31"/>
    <w:rsid w:val="00376A5D"/>
    <w:rsid w:val="00376BCA"/>
    <w:rsid w:val="0037730B"/>
    <w:rsid w:val="00377693"/>
    <w:rsid w:val="00377FF6"/>
    <w:rsid w:val="003809C4"/>
    <w:rsid w:val="0038168E"/>
    <w:rsid w:val="003828DA"/>
    <w:rsid w:val="00384A9B"/>
    <w:rsid w:val="00385377"/>
    <w:rsid w:val="00385EBD"/>
    <w:rsid w:val="00386279"/>
    <w:rsid w:val="003868AF"/>
    <w:rsid w:val="003871B1"/>
    <w:rsid w:val="0038736A"/>
    <w:rsid w:val="00390E33"/>
    <w:rsid w:val="0039137C"/>
    <w:rsid w:val="00391B77"/>
    <w:rsid w:val="00392A93"/>
    <w:rsid w:val="00392DC8"/>
    <w:rsid w:val="0039352F"/>
    <w:rsid w:val="00393C79"/>
    <w:rsid w:val="00393D24"/>
    <w:rsid w:val="00394051"/>
    <w:rsid w:val="00394546"/>
    <w:rsid w:val="00395250"/>
    <w:rsid w:val="00395CB7"/>
    <w:rsid w:val="00396226"/>
    <w:rsid w:val="00397A9E"/>
    <w:rsid w:val="003A02B7"/>
    <w:rsid w:val="003A225A"/>
    <w:rsid w:val="003A3258"/>
    <w:rsid w:val="003A351D"/>
    <w:rsid w:val="003A3FC9"/>
    <w:rsid w:val="003A666C"/>
    <w:rsid w:val="003A6B68"/>
    <w:rsid w:val="003B1744"/>
    <w:rsid w:val="003B2211"/>
    <w:rsid w:val="003B24D6"/>
    <w:rsid w:val="003B5137"/>
    <w:rsid w:val="003B6046"/>
    <w:rsid w:val="003B61D7"/>
    <w:rsid w:val="003B79A8"/>
    <w:rsid w:val="003B7A5C"/>
    <w:rsid w:val="003B7CB6"/>
    <w:rsid w:val="003B7FF2"/>
    <w:rsid w:val="003C04C2"/>
    <w:rsid w:val="003C0ACC"/>
    <w:rsid w:val="003C1B4D"/>
    <w:rsid w:val="003C239B"/>
    <w:rsid w:val="003C2698"/>
    <w:rsid w:val="003C29BF"/>
    <w:rsid w:val="003C2C82"/>
    <w:rsid w:val="003C4055"/>
    <w:rsid w:val="003C45AA"/>
    <w:rsid w:val="003C4C9E"/>
    <w:rsid w:val="003C57E2"/>
    <w:rsid w:val="003C5DD8"/>
    <w:rsid w:val="003C6C13"/>
    <w:rsid w:val="003C741E"/>
    <w:rsid w:val="003D07DA"/>
    <w:rsid w:val="003D0C4D"/>
    <w:rsid w:val="003D0D92"/>
    <w:rsid w:val="003D1221"/>
    <w:rsid w:val="003D163A"/>
    <w:rsid w:val="003D16FD"/>
    <w:rsid w:val="003D18F5"/>
    <w:rsid w:val="003D2090"/>
    <w:rsid w:val="003D2488"/>
    <w:rsid w:val="003D31D8"/>
    <w:rsid w:val="003D3C04"/>
    <w:rsid w:val="003D3E74"/>
    <w:rsid w:val="003D536D"/>
    <w:rsid w:val="003D5B1F"/>
    <w:rsid w:val="003D5D3E"/>
    <w:rsid w:val="003D62BA"/>
    <w:rsid w:val="003D644F"/>
    <w:rsid w:val="003D65AC"/>
    <w:rsid w:val="003D6E67"/>
    <w:rsid w:val="003D786D"/>
    <w:rsid w:val="003E2C61"/>
    <w:rsid w:val="003E48B6"/>
    <w:rsid w:val="003E4B60"/>
    <w:rsid w:val="003E5270"/>
    <w:rsid w:val="003E5D63"/>
    <w:rsid w:val="003E686D"/>
    <w:rsid w:val="003E715E"/>
    <w:rsid w:val="003E74E1"/>
    <w:rsid w:val="003E7853"/>
    <w:rsid w:val="003E7C74"/>
    <w:rsid w:val="003F01D2"/>
    <w:rsid w:val="003F02A9"/>
    <w:rsid w:val="003F0742"/>
    <w:rsid w:val="003F18DE"/>
    <w:rsid w:val="003F2A5D"/>
    <w:rsid w:val="003F30C0"/>
    <w:rsid w:val="003F4574"/>
    <w:rsid w:val="003F4802"/>
    <w:rsid w:val="003F494D"/>
    <w:rsid w:val="003F52AA"/>
    <w:rsid w:val="003F5DEF"/>
    <w:rsid w:val="003F62EC"/>
    <w:rsid w:val="003F6627"/>
    <w:rsid w:val="003F73E0"/>
    <w:rsid w:val="003F7968"/>
    <w:rsid w:val="003F7EF4"/>
    <w:rsid w:val="00400006"/>
    <w:rsid w:val="00400C55"/>
    <w:rsid w:val="00401211"/>
    <w:rsid w:val="004014EC"/>
    <w:rsid w:val="00401BBC"/>
    <w:rsid w:val="004021E7"/>
    <w:rsid w:val="00404B08"/>
    <w:rsid w:val="00404CDE"/>
    <w:rsid w:val="004054B0"/>
    <w:rsid w:val="004063ED"/>
    <w:rsid w:val="00406BD8"/>
    <w:rsid w:val="00410DAC"/>
    <w:rsid w:val="00411028"/>
    <w:rsid w:val="0041123D"/>
    <w:rsid w:val="00411823"/>
    <w:rsid w:val="004118D6"/>
    <w:rsid w:val="00411F8C"/>
    <w:rsid w:val="00412127"/>
    <w:rsid w:val="00412679"/>
    <w:rsid w:val="004126E6"/>
    <w:rsid w:val="0041279A"/>
    <w:rsid w:val="00412A3A"/>
    <w:rsid w:val="0041520D"/>
    <w:rsid w:val="0041566C"/>
    <w:rsid w:val="00416DDB"/>
    <w:rsid w:val="00416FAF"/>
    <w:rsid w:val="00417115"/>
    <w:rsid w:val="00417492"/>
    <w:rsid w:val="0041750F"/>
    <w:rsid w:val="004176F4"/>
    <w:rsid w:val="0041794C"/>
    <w:rsid w:val="0042039A"/>
    <w:rsid w:val="0042039B"/>
    <w:rsid w:val="00423455"/>
    <w:rsid w:val="004237FB"/>
    <w:rsid w:val="004247DA"/>
    <w:rsid w:val="00424BAC"/>
    <w:rsid w:val="0042598A"/>
    <w:rsid w:val="004260C1"/>
    <w:rsid w:val="004260CE"/>
    <w:rsid w:val="00426C9C"/>
    <w:rsid w:val="0042763B"/>
    <w:rsid w:val="004276AA"/>
    <w:rsid w:val="00427780"/>
    <w:rsid w:val="004303DD"/>
    <w:rsid w:val="00430DE8"/>
    <w:rsid w:val="00430F5B"/>
    <w:rsid w:val="00432B0B"/>
    <w:rsid w:val="00433A2A"/>
    <w:rsid w:val="00434233"/>
    <w:rsid w:val="0043451F"/>
    <w:rsid w:val="00434B1C"/>
    <w:rsid w:val="00434EC8"/>
    <w:rsid w:val="004351A5"/>
    <w:rsid w:val="00436BF0"/>
    <w:rsid w:val="00437604"/>
    <w:rsid w:val="00437DAF"/>
    <w:rsid w:val="00440320"/>
    <w:rsid w:val="00440754"/>
    <w:rsid w:val="004407F2"/>
    <w:rsid w:val="00440BDD"/>
    <w:rsid w:val="004412CD"/>
    <w:rsid w:val="00441929"/>
    <w:rsid w:val="00441E2D"/>
    <w:rsid w:val="0044234A"/>
    <w:rsid w:val="00442E37"/>
    <w:rsid w:val="0044302B"/>
    <w:rsid w:val="004434D4"/>
    <w:rsid w:val="004437D3"/>
    <w:rsid w:val="00444D12"/>
    <w:rsid w:val="00446284"/>
    <w:rsid w:val="00446C08"/>
    <w:rsid w:val="004502E1"/>
    <w:rsid w:val="00451C7F"/>
    <w:rsid w:val="00452321"/>
    <w:rsid w:val="004524FB"/>
    <w:rsid w:val="00452908"/>
    <w:rsid w:val="00453242"/>
    <w:rsid w:val="004533C0"/>
    <w:rsid w:val="00453D8C"/>
    <w:rsid w:val="0045462A"/>
    <w:rsid w:val="004547CE"/>
    <w:rsid w:val="00455B9D"/>
    <w:rsid w:val="00455BEF"/>
    <w:rsid w:val="004566F4"/>
    <w:rsid w:val="00456886"/>
    <w:rsid w:val="00457177"/>
    <w:rsid w:val="00461E21"/>
    <w:rsid w:val="00462517"/>
    <w:rsid w:val="0046279A"/>
    <w:rsid w:val="00463147"/>
    <w:rsid w:val="00463757"/>
    <w:rsid w:val="00463BC8"/>
    <w:rsid w:val="004642DF"/>
    <w:rsid w:val="004644BA"/>
    <w:rsid w:val="00464FC1"/>
    <w:rsid w:val="0046561E"/>
    <w:rsid w:val="00465ADD"/>
    <w:rsid w:val="004660B4"/>
    <w:rsid w:val="004662DE"/>
    <w:rsid w:val="00466D21"/>
    <w:rsid w:val="004673E8"/>
    <w:rsid w:val="00467F16"/>
    <w:rsid w:val="00470E4E"/>
    <w:rsid w:val="004710F7"/>
    <w:rsid w:val="0047134C"/>
    <w:rsid w:val="004713D6"/>
    <w:rsid w:val="004714D1"/>
    <w:rsid w:val="0047377C"/>
    <w:rsid w:val="00474135"/>
    <w:rsid w:val="00475A34"/>
    <w:rsid w:val="00475F4E"/>
    <w:rsid w:val="00476767"/>
    <w:rsid w:val="004773B2"/>
    <w:rsid w:val="00477C4E"/>
    <w:rsid w:val="00480D77"/>
    <w:rsid w:val="004821B5"/>
    <w:rsid w:val="004841AE"/>
    <w:rsid w:val="004845C8"/>
    <w:rsid w:val="00485C24"/>
    <w:rsid w:val="004861AA"/>
    <w:rsid w:val="004865BD"/>
    <w:rsid w:val="00487045"/>
    <w:rsid w:val="004903D7"/>
    <w:rsid w:val="004907CB"/>
    <w:rsid w:val="00490AAD"/>
    <w:rsid w:val="00492428"/>
    <w:rsid w:val="00492CBE"/>
    <w:rsid w:val="00492D25"/>
    <w:rsid w:val="00495B2E"/>
    <w:rsid w:val="00496A64"/>
    <w:rsid w:val="004975AF"/>
    <w:rsid w:val="004A0497"/>
    <w:rsid w:val="004A07F8"/>
    <w:rsid w:val="004A09E0"/>
    <w:rsid w:val="004A0E8E"/>
    <w:rsid w:val="004A114D"/>
    <w:rsid w:val="004A209B"/>
    <w:rsid w:val="004A2132"/>
    <w:rsid w:val="004A21A7"/>
    <w:rsid w:val="004A323C"/>
    <w:rsid w:val="004A36AE"/>
    <w:rsid w:val="004A492E"/>
    <w:rsid w:val="004A7C43"/>
    <w:rsid w:val="004B1207"/>
    <w:rsid w:val="004B1309"/>
    <w:rsid w:val="004B270F"/>
    <w:rsid w:val="004B3B9A"/>
    <w:rsid w:val="004B4B20"/>
    <w:rsid w:val="004B5366"/>
    <w:rsid w:val="004B6367"/>
    <w:rsid w:val="004B6644"/>
    <w:rsid w:val="004B68AE"/>
    <w:rsid w:val="004B6FE3"/>
    <w:rsid w:val="004C06B0"/>
    <w:rsid w:val="004C0A99"/>
    <w:rsid w:val="004C0AE2"/>
    <w:rsid w:val="004C23CD"/>
    <w:rsid w:val="004C28CB"/>
    <w:rsid w:val="004C2D95"/>
    <w:rsid w:val="004C3B10"/>
    <w:rsid w:val="004C44EE"/>
    <w:rsid w:val="004C4C30"/>
    <w:rsid w:val="004C5387"/>
    <w:rsid w:val="004C58CC"/>
    <w:rsid w:val="004C5D88"/>
    <w:rsid w:val="004C621F"/>
    <w:rsid w:val="004C67F4"/>
    <w:rsid w:val="004C6CED"/>
    <w:rsid w:val="004C7209"/>
    <w:rsid w:val="004C741A"/>
    <w:rsid w:val="004C7664"/>
    <w:rsid w:val="004C7889"/>
    <w:rsid w:val="004C7A59"/>
    <w:rsid w:val="004D0014"/>
    <w:rsid w:val="004D080E"/>
    <w:rsid w:val="004D0A60"/>
    <w:rsid w:val="004D15C2"/>
    <w:rsid w:val="004D15D8"/>
    <w:rsid w:val="004D179E"/>
    <w:rsid w:val="004D1CB6"/>
    <w:rsid w:val="004D1DD3"/>
    <w:rsid w:val="004D2630"/>
    <w:rsid w:val="004D3171"/>
    <w:rsid w:val="004D40ED"/>
    <w:rsid w:val="004D4E80"/>
    <w:rsid w:val="004D7073"/>
    <w:rsid w:val="004D75B1"/>
    <w:rsid w:val="004E0329"/>
    <w:rsid w:val="004E0D17"/>
    <w:rsid w:val="004E10AB"/>
    <w:rsid w:val="004E2AF4"/>
    <w:rsid w:val="004E2E7F"/>
    <w:rsid w:val="004E30BA"/>
    <w:rsid w:val="004E3E95"/>
    <w:rsid w:val="004E4015"/>
    <w:rsid w:val="004E465E"/>
    <w:rsid w:val="004E4BD2"/>
    <w:rsid w:val="004E54CD"/>
    <w:rsid w:val="004E7A14"/>
    <w:rsid w:val="004E7E59"/>
    <w:rsid w:val="004F0037"/>
    <w:rsid w:val="004F1050"/>
    <w:rsid w:val="004F1E05"/>
    <w:rsid w:val="004F2563"/>
    <w:rsid w:val="004F25ED"/>
    <w:rsid w:val="004F26A5"/>
    <w:rsid w:val="004F3E4C"/>
    <w:rsid w:val="004F4D56"/>
    <w:rsid w:val="004F4E36"/>
    <w:rsid w:val="004F70B7"/>
    <w:rsid w:val="004F7A1D"/>
    <w:rsid w:val="004F7B50"/>
    <w:rsid w:val="00500732"/>
    <w:rsid w:val="005009F5"/>
    <w:rsid w:val="0050222B"/>
    <w:rsid w:val="00502C75"/>
    <w:rsid w:val="00502D13"/>
    <w:rsid w:val="00503097"/>
    <w:rsid w:val="00504D9C"/>
    <w:rsid w:val="0050502A"/>
    <w:rsid w:val="005056B2"/>
    <w:rsid w:val="00506028"/>
    <w:rsid w:val="00507EA5"/>
    <w:rsid w:val="00510806"/>
    <w:rsid w:val="00510FB2"/>
    <w:rsid w:val="00510FBA"/>
    <w:rsid w:val="00512A21"/>
    <w:rsid w:val="00513729"/>
    <w:rsid w:val="00513E83"/>
    <w:rsid w:val="00514D57"/>
    <w:rsid w:val="00514F6E"/>
    <w:rsid w:val="00515876"/>
    <w:rsid w:val="005167FD"/>
    <w:rsid w:val="0051711C"/>
    <w:rsid w:val="0051794B"/>
    <w:rsid w:val="0052138E"/>
    <w:rsid w:val="00521DA1"/>
    <w:rsid w:val="00521E44"/>
    <w:rsid w:val="005234BF"/>
    <w:rsid w:val="00523D18"/>
    <w:rsid w:val="00524DC5"/>
    <w:rsid w:val="00524E50"/>
    <w:rsid w:val="00524E67"/>
    <w:rsid w:val="00527432"/>
    <w:rsid w:val="00527852"/>
    <w:rsid w:val="00531238"/>
    <w:rsid w:val="00532503"/>
    <w:rsid w:val="005326F9"/>
    <w:rsid w:val="005346AE"/>
    <w:rsid w:val="0053471B"/>
    <w:rsid w:val="00536025"/>
    <w:rsid w:val="00536709"/>
    <w:rsid w:val="00536A6E"/>
    <w:rsid w:val="0053791C"/>
    <w:rsid w:val="00542D61"/>
    <w:rsid w:val="00545264"/>
    <w:rsid w:val="005461D4"/>
    <w:rsid w:val="0054774B"/>
    <w:rsid w:val="00550330"/>
    <w:rsid w:val="00550763"/>
    <w:rsid w:val="005512F7"/>
    <w:rsid w:val="00551A3B"/>
    <w:rsid w:val="00552310"/>
    <w:rsid w:val="0055319C"/>
    <w:rsid w:val="00553B03"/>
    <w:rsid w:val="005548CD"/>
    <w:rsid w:val="00557675"/>
    <w:rsid w:val="005577F3"/>
    <w:rsid w:val="00557845"/>
    <w:rsid w:val="00557CBC"/>
    <w:rsid w:val="005604EC"/>
    <w:rsid w:val="00560588"/>
    <w:rsid w:val="0056137B"/>
    <w:rsid w:val="00562757"/>
    <w:rsid w:val="005628CF"/>
    <w:rsid w:val="00562B79"/>
    <w:rsid w:val="00563425"/>
    <w:rsid w:val="005634D5"/>
    <w:rsid w:val="00563AAB"/>
    <w:rsid w:val="00563CC6"/>
    <w:rsid w:val="00563D31"/>
    <w:rsid w:val="005640EA"/>
    <w:rsid w:val="005652D4"/>
    <w:rsid w:val="00565459"/>
    <w:rsid w:val="00566156"/>
    <w:rsid w:val="00566828"/>
    <w:rsid w:val="00566A51"/>
    <w:rsid w:val="00566D53"/>
    <w:rsid w:val="00566D5A"/>
    <w:rsid w:val="00566E21"/>
    <w:rsid w:val="00567DC0"/>
    <w:rsid w:val="00567F4F"/>
    <w:rsid w:val="00572012"/>
    <w:rsid w:val="00572502"/>
    <w:rsid w:val="005739AD"/>
    <w:rsid w:val="005757A6"/>
    <w:rsid w:val="005766DD"/>
    <w:rsid w:val="00576883"/>
    <w:rsid w:val="00577E0D"/>
    <w:rsid w:val="00580BAE"/>
    <w:rsid w:val="00580D4B"/>
    <w:rsid w:val="00580EDB"/>
    <w:rsid w:val="005827D1"/>
    <w:rsid w:val="00582941"/>
    <w:rsid w:val="00582D84"/>
    <w:rsid w:val="00583001"/>
    <w:rsid w:val="00583216"/>
    <w:rsid w:val="0058342D"/>
    <w:rsid w:val="00584A27"/>
    <w:rsid w:val="00584CE9"/>
    <w:rsid w:val="00584EDC"/>
    <w:rsid w:val="005850CE"/>
    <w:rsid w:val="005859C5"/>
    <w:rsid w:val="0058744E"/>
    <w:rsid w:val="00590996"/>
    <w:rsid w:val="0059153A"/>
    <w:rsid w:val="005937E1"/>
    <w:rsid w:val="00593DAB"/>
    <w:rsid w:val="005945C5"/>
    <w:rsid w:val="00596096"/>
    <w:rsid w:val="005A01D2"/>
    <w:rsid w:val="005A07CD"/>
    <w:rsid w:val="005A13C8"/>
    <w:rsid w:val="005A1745"/>
    <w:rsid w:val="005A1FF8"/>
    <w:rsid w:val="005A308A"/>
    <w:rsid w:val="005A33E6"/>
    <w:rsid w:val="005A4723"/>
    <w:rsid w:val="005A5364"/>
    <w:rsid w:val="005A5AA4"/>
    <w:rsid w:val="005A614A"/>
    <w:rsid w:val="005A626A"/>
    <w:rsid w:val="005A63F6"/>
    <w:rsid w:val="005A734A"/>
    <w:rsid w:val="005B05AA"/>
    <w:rsid w:val="005B06F9"/>
    <w:rsid w:val="005B0DB6"/>
    <w:rsid w:val="005B1101"/>
    <w:rsid w:val="005B1122"/>
    <w:rsid w:val="005B1F2F"/>
    <w:rsid w:val="005B2655"/>
    <w:rsid w:val="005B7596"/>
    <w:rsid w:val="005C0FD9"/>
    <w:rsid w:val="005C16EF"/>
    <w:rsid w:val="005C1833"/>
    <w:rsid w:val="005C205D"/>
    <w:rsid w:val="005C2225"/>
    <w:rsid w:val="005C22B5"/>
    <w:rsid w:val="005C7482"/>
    <w:rsid w:val="005C76E5"/>
    <w:rsid w:val="005C7822"/>
    <w:rsid w:val="005C7C8F"/>
    <w:rsid w:val="005D09D2"/>
    <w:rsid w:val="005D0EB9"/>
    <w:rsid w:val="005D1ECD"/>
    <w:rsid w:val="005D2415"/>
    <w:rsid w:val="005D2C60"/>
    <w:rsid w:val="005D30E3"/>
    <w:rsid w:val="005D3135"/>
    <w:rsid w:val="005D33F8"/>
    <w:rsid w:val="005D3D5C"/>
    <w:rsid w:val="005D5779"/>
    <w:rsid w:val="005D6D94"/>
    <w:rsid w:val="005D720B"/>
    <w:rsid w:val="005D7EC3"/>
    <w:rsid w:val="005E0312"/>
    <w:rsid w:val="005E187B"/>
    <w:rsid w:val="005E1D38"/>
    <w:rsid w:val="005E28A2"/>
    <w:rsid w:val="005E303B"/>
    <w:rsid w:val="005E36E2"/>
    <w:rsid w:val="005E3823"/>
    <w:rsid w:val="005E3E7C"/>
    <w:rsid w:val="005E427B"/>
    <w:rsid w:val="005E4B60"/>
    <w:rsid w:val="005E4FC6"/>
    <w:rsid w:val="005E600B"/>
    <w:rsid w:val="005E617B"/>
    <w:rsid w:val="005E71E2"/>
    <w:rsid w:val="005E73BF"/>
    <w:rsid w:val="005E7E79"/>
    <w:rsid w:val="005E7E9B"/>
    <w:rsid w:val="005F0489"/>
    <w:rsid w:val="005F09E1"/>
    <w:rsid w:val="005F1961"/>
    <w:rsid w:val="005F36EE"/>
    <w:rsid w:val="005F3DD6"/>
    <w:rsid w:val="005F3E1D"/>
    <w:rsid w:val="005F4F96"/>
    <w:rsid w:val="005F629A"/>
    <w:rsid w:val="005F6355"/>
    <w:rsid w:val="005F669E"/>
    <w:rsid w:val="005F7CF7"/>
    <w:rsid w:val="00600CC7"/>
    <w:rsid w:val="006021B2"/>
    <w:rsid w:val="00602350"/>
    <w:rsid w:val="00602801"/>
    <w:rsid w:val="00602CF3"/>
    <w:rsid w:val="00603342"/>
    <w:rsid w:val="006035CD"/>
    <w:rsid w:val="00603C74"/>
    <w:rsid w:val="00604F4F"/>
    <w:rsid w:val="00604F9B"/>
    <w:rsid w:val="006051A4"/>
    <w:rsid w:val="006067FC"/>
    <w:rsid w:val="006074C8"/>
    <w:rsid w:val="00607573"/>
    <w:rsid w:val="006075D8"/>
    <w:rsid w:val="00607A90"/>
    <w:rsid w:val="0061014A"/>
    <w:rsid w:val="006103F8"/>
    <w:rsid w:val="0061116A"/>
    <w:rsid w:val="00611576"/>
    <w:rsid w:val="00612E60"/>
    <w:rsid w:val="00612F6B"/>
    <w:rsid w:val="00613955"/>
    <w:rsid w:val="0061489D"/>
    <w:rsid w:val="00616291"/>
    <w:rsid w:val="0061724C"/>
    <w:rsid w:val="006222E2"/>
    <w:rsid w:val="006224DB"/>
    <w:rsid w:val="006225E0"/>
    <w:rsid w:val="00622664"/>
    <w:rsid w:val="006229DA"/>
    <w:rsid w:val="006236AA"/>
    <w:rsid w:val="00623C7F"/>
    <w:rsid w:val="006244D3"/>
    <w:rsid w:val="00625088"/>
    <w:rsid w:val="00625263"/>
    <w:rsid w:val="00626288"/>
    <w:rsid w:val="00626E7E"/>
    <w:rsid w:val="006307A2"/>
    <w:rsid w:val="00630B0E"/>
    <w:rsid w:val="00631FBF"/>
    <w:rsid w:val="0063404E"/>
    <w:rsid w:val="00634563"/>
    <w:rsid w:val="0063568C"/>
    <w:rsid w:val="00635AAB"/>
    <w:rsid w:val="00636628"/>
    <w:rsid w:val="006371EA"/>
    <w:rsid w:val="006408FE"/>
    <w:rsid w:val="00640D6A"/>
    <w:rsid w:val="00642D28"/>
    <w:rsid w:val="00643845"/>
    <w:rsid w:val="00643A61"/>
    <w:rsid w:val="00644CBB"/>
    <w:rsid w:val="0064660A"/>
    <w:rsid w:val="00646ED3"/>
    <w:rsid w:val="00647BC5"/>
    <w:rsid w:val="00651C81"/>
    <w:rsid w:val="00651C91"/>
    <w:rsid w:val="00651D35"/>
    <w:rsid w:val="00651D88"/>
    <w:rsid w:val="00652D5F"/>
    <w:rsid w:val="00653470"/>
    <w:rsid w:val="006535AC"/>
    <w:rsid w:val="00653685"/>
    <w:rsid w:val="00654146"/>
    <w:rsid w:val="006548E6"/>
    <w:rsid w:val="00655E4B"/>
    <w:rsid w:val="00656E4B"/>
    <w:rsid w:val="00656FB9"/>
    <w:rsid w:val="00661A44"/>
    <w:rsid w:val="00662275"/>
    <w:rsid w:val="00662316"/>
    <w:rsid w:val="00663A71"/>
    <w:rsid w:val="00663B5D"/>
    <w:rsid w:val="00664C1D"/>
    <w:rsid w:val="00664EA0"/>
    <w:rsid w:val="00665443"/>
    <w:rsid w:val="006654B2"/>
    <w:rsid w:val="006659E4"/>
    <w:rsid w:val="00666AD1"/>
    <w:rsid w:val="00667190"/>
    <w:rsid w:val="0066726E"/>
    <w:rsid w:val="006676FD"/>
    <w:rsid w:val="00670405"/>
    <w:rsid w:val="00670F2A"/>
    <w:rsid w:val="0067104D"/>
    <w:rsid w:val="00671DD1"/>
    <w:rsid w:val="006723EB"/>
    <w:rsid w:val="006724A5"/>
    <w:rsid w:val="00676166"/>
    <w:rsid w:val="0067648C"/>
    <w:rsid w:val="00676807"/>
    <w:rsid w:val="00676D8B"/>
    <w:rsid w:val="00677FBB"/>
    <w:rsid w:val="00680431"/>
    <w:rsid w:val="00681E1A"/>
    <w:rsid w:val="006828B8"/>
    <w:rsid w:val="00682D18"/>
    <w:rsid w:val="00682EE0"/>
    <w:rsid w:val="00683529"/>
    <w:rsid w:val="0068369C"/>
    <w:rsid w:val="00683D13"/>
    <w:rsid w:val="006841C0"/>
    <w:rsid w:val="006841F3"/>
    <w:rsid w:val="00684525"/>
    <w:rsid w:val="0068607E"/>
    <w:rsid w:val="0068614A"/>
    <w:rsid w:val="006902E6"/>
    <w:rsid w:val="00690A1D"/>
    <w:rsid w:val="00690B6E"/>
    <w:rsid w:val="006912E2"/>
    <w:rsid w:val="00693248"/>
    <w:rsid w:val="0069473A"/>
    <w:rsid w:val="00694D6A"/>
    <w:rsid w:val="00695327"/>
    <w:rsid w:val="00695D7D"/>
    <w:rsid w:val="006A0A6B"/>
    <w:rsid w:val="006A1B27"/>
    <w:rsid w:val="006A1C4A"/>
    <w:rsid w:val="006A1F02"/>
    <w:rsid w:val="006A2EE5"/>
    <w:rsid w:val="006A36C0"/>
    <w:rsid w:val="006A4B0F"/>
    <w:rsid w:val="006A5025"/>
    <w:rsid w:val="006A5E37"/>
    <w:rsid w:val="006A6635"/>
    <w:rsid w:val="006A6D3E"/>
    <w:rsid w:val="006A72D2"/>
    <w:rsid w:val="006A76D1"/>
    <w:rsid w:val="006B06E7"/>
    <w:rsid w:val="006B3777"/>
    <w:rsid w:val="006B3AE0"/>
    <w:rsid w:val="006B4057"/>
    <w:rsid w:val="006B452E"/>
    <w:rsid w:val="006B4A67"/>
    <w:rsid w:val="006B6D00"/>
    <w:rsid w:val="006B7F87"/>
    <w:rsid w:val="006C20A9"/>
    <w:rsid w:val="006C24CD"/>
    <w:rsid w:val="006C363C"/>
    <w:rsid w:val="006C3A24"/>
    <w:rsid w:val="006C3E91"/>
    <w:rsid w:val="006C3F71"/>
    <w:rsid w:val="006C4483"/>
    <w:rsid w:val="006C45E3"/>
    <w:rsid w:val="006C4A5B"/>
    <w:rsid w:val="006C4BBF"/>
    <w:rsid w:val="006C5D6E"/>
    <w:rsid w:val="006C6782"/>
    <w:rsid w:val="006C6E1B"/>
    <w:rsid w:val="006D002A"/>
    <w:rsid w:val="006D05ED"/>
    <w:rsid w:val="006D0D74"/>
    <w:rsid w:val="006D1749"/>
    <w:rsid w:val="006D1FB1"/>
    <w:rsid w:val="006D29FE"/>
    <w:rsid w:val="006D31B2"/>
    <w:rsid w:val="006D3F22"/>
    <w:rsid w:val="006D3F89"/>
    <w:rsid w:val="006D4908"/>
    <w:rsid w:val="006D4B6D"/>
    <w:rsid w:val="006D6587"/>
    <w:rsid w:val="006E3B2A"/>
    <w:rsid w:val="006E3E3B"/>
    <w:rsid w:val="006E44C1"/>
    <w:rsid w:val="006E4751"/>
    <w:rsid w:val="006E5816"/>
    <w:rsid w:val="006E5CEF"/>
    <w:rsid w:val="006E6012"/>
    <w:rsid w:val="006E6306"/>
    <w:rsid w:val="006E6610"/>
    <w:rsid w:val="006E7671"/>
    <w:rsid w:val="006E790B"/>
    <w:rsid w:val="006F0642"/>
    <w:rsid w:val="006F0F10"/>
    <w:rsid w:val="006F273A"/>
    <w:rsid w:val="006F2B93"/>
    <w:rsid w:val="006F2F8B"/>
    <w:rsid w:val="006F312E"/>
    <w:rsid w:val="006F402E"/>
    <w:rsid w:val="006F41EC"/>
    <w:rsid w:val="006F48BA"/>
    <w:rsid w:val="006F6E67"/>
    <w:rsid w:val="006F7CD5"/>
    <w:rsid w:val="00700CE5"/>
    <w:rsid w:val="00700DAF"/>
    <w:rsid w:val="00701BBC"/>
    <w:rsid w:val="00701CAA"/>
    <w:rsid w:val="00702146"/>
    <w:rsid w:val="00702319"/>
    <w:rsid w:val="0070234A"/>
    <w:rsid w:val="00704060"/>
    <w:rsid w:val="007050EB"/>
    <w:rsid w:val="007062F5"/>
    <w:rsid w:val="007064CA"/>
    <w:rsid w:val="00707A63"/>
    <w:rsid w:val="00711871"/>
    <w:rsid w:val="00711DBE"/>
    <w:rsid w:val="00712139"/>
    <w:rsid w:val="007122E2"/>
    <w:rsid w:val="0071293C"/>
    <w:rsid w:val="00716507"/>
    <w:rsid w:val="007171E3"/>
    <w:rsid w:val="00717446"/>
    <w:rsid w:val="0071752E"/>
    <w:rsid w:val="00717AAB"/>
    <w:rsid w:val="00717D14"/>
    <w:rsid w:val="00722965"/>
    <w:rsid w:val="00722B2D"/>
    <w:rsid w:val="00722EE0"/>
    <w:rsid w:val="00723AF7"/>
    <w:rsid w:val="00725920"/>
    <w:rsid w:val="00725ABF"/>
    <w:rsid w:val="00725D30"/>
    <w:rsid w:val="0072605A"/>
    <w:rsid w:val="00727749"/>
    <w:rsid w:val="00727BED"/>
    <w:rsid w:val="00730763"/>
    <w:rsid w:val="00730B8F"/>
    <w:rsid w:val="00730D3C"/>
    <w:rsid w:val="007322BD"/>
    <w:rsid w:val="00732817"/>
    <w:rsid w:val="00732E71"/>
    <w:rsid w:val="0073345C"/>
    <w:rsid w:val="00734191"/>
    <w:rsid w:val="00734326"/>
    <w:rsid w:val="00734CCD"/>
    <w:rsid w:val="007353D8"/>
    <w:rsid w:val="00735437"/>
    <w:rsid w:val="007361D3"/>
    <w:rsid w:val="00736457"/>
    <w:rsid w:val="007367D3"/>
    <w:rsid w:val="00736936"/>
    <w:rsid w:val="00736CF2"/>
    <w:rsid w:val="0074006E"/>
    <w:rsid w:val="0074176E"/>
    <w:rsid w:val="00743249"/>
    <w:rsid w:val="00744B29"/>
    <w:rsid w:val="00746F48"/>
    <w:rsid w:val="00747788"/>
    <w:rsid w:val="00747A80"/>
    <w:rsid w:val="00747CEA"/>
    <w:rsid w:val="0075043F"/>
    <w:rsid w:val="00750BBF"/>
    <w:rsid w:val="00750DBD"/>
    <w:rsid w:val="00750E25"/>
    <w:rsid w:val="007519E1"/>
    <w:rsid w:val="00751EB2"/>
    <w:rsid w:val="007520B0"/>
    <w:rsid w:val="0075291E"/>
    <w:rsid w:val="00752C96"/>
    <w:rsid w:val="0075322F"/>
    <w:rsid w:val="00753739"/>
    <w:rsid w:val="007547D8"/>
    <w:rsid w:val="00754C23"/>
    <w:rsid w:val="00757A3C"/>
    <w:rsid w:val="00761595"/>
    <w:rsid w:val="00761DEA"/>
    <w:rsid w:val="007622C4"/>
    <w:rsid w:val="00765FE9"/>
    <w:rsid w:val="007663D2"/>
    <w:rsid w:val="00766862"/>
    <w:rsid w:val="00766C8B"/>
    <w:rsid w:val="00767508"/>
    <w:rsid w:val="007676D5"/>
    <w:rsid w:val="00770B2B"/>
    <w:rsid w:val="00771BA9"/>
    <w:rsid w:val="00771DA3"/>
    <w:rsid w:val="00772625"/>
    <w:rsid w:val="00773F27"/>
    <w:rsid w:val="00774EB5"/>
    <w:rsid w:val="00775B6B"/>
    <w:rsid w:val="00776CA7"/>
    <w:rsid w:val="0077747B"/>
    <w:rsid w:val="007774ED"/>
    <w:rsid w:val="00780104"/>
    <w:rsid w:val="007803B2"/>
    <w:rsid w:val="007803C2"/>
    <w:rsid w:val="007806B1"/>
    <w:rsid w:val="00780812"/>
    <w:rsid w:val="00780C79"/>
    <w:rsid w:val="00781A31"/>
    <w:rsid w:val="00781BB7"/>
    <w:rsid w:val="00782174"/>
    <w:rsid w:val="00783535"/>
    <w:rsid w:val="00784434"/>
    <w:rsid w:val="00785D6B"/>
    <w:rsid w:val="00786B8A"/>
    <w:rsid w:val="00786FFB"/>
    <w:rsid w:val="00787734"/>
    <w:rsid w:val="00790398"/>
    <w:rsid w:val="00790CC1"/>
    <w:rsid w:val="007912FB"/>
    <w:rsid w:val="00791340"/>
    <w:rsid w:val="0079260B"/>
    <w:rsid w:val="007926DE"/>
    <w:rsid w:val="00792830"/>
    <w:rsid w:val="00793782"/>
    <w:rsid w:val="007951C4"/>
    <w:rsid w:val="0079593A"/>
    <w:rsid w:val="00797663"/>
    <w:rsid w:val="007A114B"/>
    <w:rsid w:val="007A160E"/>
    <w:rsid w:val="007A16E7"/>
    <w:rsid w:val="007A232A"/>
    <w:rsid w:val="007A3731"/>
    <w:rsid w:val="007A40F2"/>
    <w:rsid w:val="007A4859"/>
    <w:rsid w:val="007A5406"/>
    <w:rsid w:val="007A643E"/>
    <w:rsid w:val="007B08CE"/>
    <w:rsid w:val="007B0A7F"/>
    <w:rsid w:val="007B0F9D"/>
    <w:rsid w:val="007B5614"/>
    <w:rsid w:val="007B66CB"/>
    <w:rsid w:val="007B6EEC"/>
    <w:rsid w:val="007B7145"/>
    <w:rsid w:val="007B71D1"/>
    <w:rsid w:val="007C05F3"/>
    <w:rsid w:val="007C06DB"/>
    <w:rsid w:val="007C07BF"/>
    <w:rsid w:val="007C25DA"/>
    <w:rsid w:val="007C2F41"/>
    <w:rsid w:val="007C3B0F"/>
    <w:rsid w:val="007C48D4"/>
    <w:rsid w:val="007C615F"/>
    <w:rsid w:val="007C6C46"/>
    <w:rsid w:val="007C6D52"/>
    <w:rsid w:val="007D0A65"/>
    <w:rsid w:val="007D1956"/>
    <w:rsid w:val="007D1F32"/>
    <w:rsid w:val="007D24BC"/>
    <w:rsid w:val="007D290E"/>
    <w:rsid w:val="007D2B99"/>
    <w:rsid w:val="007D2EF2"/>
    <w:rsid w:val="007D2F46"/>
    <w:rsid w:val="007D3F39"/>
    <w:rsid w:val="007D4114"/>
    <w:rsid w:val="007D5550"/>
    <w:rsid w:val="007D5930"/>
    <w:rsid w:val="007D73FB"/>
    <w:rsid w:val="007D75BE"/>
    <w:rsid w:val="007E04D0"/>
    <w:rsid w:val="007E13B4"/>
    <w:rsid w:val="007E22A9"/>
    <w:rsid w:val="007E34E2"/>
    <w:rsid w:val="007E4DC2"/>
    <w:rsid w:val="007E6A42"/>
    <w:rsid w:val="007E73AB"/>
    <w:rsid w:val="007F02FD"/>
    <w:rsid w:val="007F0633"/>
    <w:rsid w:val="007F1794"/>
    <w:rsid w:val="007F193C"/>
    <w:rsid w:val="007F1C41"/>
    <w:rsid w:val="007F2A2A"/>
    <w:rsid w:val="007F2A36"/>
    <w:rsid w:val="007F2B25"/>
    <w:rsid w:val="007F2B3D"/>
    <w:rsid w:val="007F34EF"/>
    <w:rsid w:val="007F423B"/>
    <w:rsid w:val="007F4920"/>
    <w:rsid w:val="007F61BE"/>
    <w:rsid w:val="007F733E"/>
    <w:rsid w:val="007F7DB9"/>
    <w:rsid w:val="007F7EBC"/>
    <w:rsid w:val="0080033B"/>
    <w:rsid w:val="00802983"/>
    <w:rsid w:val="00802DD7"/>
    <w:rsid w:val="008035D4"/>
    <w:rsid w:val="00803927"/>
    <w:rsid w:val="00803BCE"/>
    <w:rsid w:val="00805CF2"/>
    <w:rsid w:val="00806058"/>
    <w:rsid w:val="00806CFA"/>
    <w:rsid w:val="00807762"/>
    <w:rsid w:val="0081097D"/>
    <w:rsid w:val="00810D3C"/>
    <w:rsid w:val="008115E7"/>
    <w:rsid w:val="00812985"/>
    <w:rsid w:val="00812D10"/>
    <w:rsid w:val="00812D19"/>
    <w:rsid w:val="00812DAF"/>
    <w:rsid w:val="008136EB"/>
    <w:rsid w:val="0081381E"/>
    <w:rsid w:val="00814594"/>
    <w:rsid w:val="00814734"/>
    <w:rsid w:val="00814C3B"/>
    <w:rsid w:val="00816C1D"/>
    <w:rsid w:val="00820CAE"/>
    <w:rsid w:val="008217B9"/>
    <w:rsid w:val="0082181F"/>
    <w:rsid w:val="00822CFF"/>
    <w:rsid w:val="00825C7C"/>
    <w:rsid w:val="00825E22"/>
    <w:rsid w:val="00826FA6"/>
    <w:rsid w:val="008277C2"/>
    <w:rsid w:val="008279B8"/>
    <w:rsid w:val="00830046"/>
    <w:rsid w:val="0083171C"/>
    <w:rsid w:val="0083215B"/>
    <w:rsid w:val="0083255E"/>
    <w:rsid w:val="00832B80"/>
    <w:rsid w:val="008335E8"/>
    <w:rsid w:val="00833A7D"/>
    <w:rsid w:val="0083413D"/>
    <w:rsid w:val="00835577"/>
    <w:rsid w:val="00835616"/>
    <w:rsid w:val="0083598A"/>
    <w:rsid w:val="00836078"/>
    <w:rsid w:val="0083647F"/>
    <w:rsid w:val="00837D8A"/>
    <w:rsid w:val="0084092F"/>
    <w:rsid w:val="00841566"/>
    <w:rsid w:val="00842F80"/>
    <w:rsid w:val="0084320D"/>
    <w:rsid w:val="00843C7B"/>
    <w:rsid w:val="00843CED"/>
    <w:rsid w:val="00844110"/>
    <w:rsid w:val="008450D1"/>
    <w:rsid w:val="00845FAE"/>
    <w:rsid w:val="0084769B"/>
    <w:rsid w:val="00847E7F"/>
    <w:rsid w:val="00850D9F"/>
    <w:rsid w:val="00850E38"/>
    <w:rsid w:val="00851B99"/>
    <w:rsid w:val="008521AE"/>
    <w:rsid w:val="00852F8A"/>
    <w:rsid w:val="00853229"/>
    <w:rsid w:val="00854595"/>
    <w:rsid w:val="008562D3"/>
    <w:rsid w:val="00857DA5"/>
    <w:rsid w:val="0086021A"/>
    <w:rsid w:val="0086102F"/>
    <w:rsid w:val="008616AB"/>
    <w:rsid w:val="0086249B"/>
    <w:rsid w:val="00862FC0"/>
    <w:rsid w:val="0086557F"/>
    <w:rsid w:val="00865D3C"/>
    <w:rsid w:val="00866E27"/>
    <w:rsid w:val="00867367"/>
    <w:rsid w:val="00867829"/>
    <w:rsid w:val="008717A2"/>
    <w:rsid w:val="00873A95"/>
    <w:rsid w:val="00874EE9"/>
    <w:rsid w:val="008773D9"/>
    <w:rsid w:val="008777B0"/>
    <w:rsid w:val="008779C0"/>
    <w:rsid w:val="00877D6C"/>
    <w:rsid w:val="00880581"/>
    <w:rsid w:val="0088169D"/>
    <w:rsid w:val="00882A66"/>
    <w:rsid w:val="00884D93"/>
    <w:rsid w:val="0088540C"/>
    <w:rsid w:val="0088568D"/>
    <w:rsid w:val="00886565"/>
    <w:rsid w:val="0088668E"/>
    <w:rsid w:val="00886987"/>
    <w:rsid w:val="00890E61"/>
    <w:rsid w:val="0089108F"/>
    <w:rsid w:val="00891838"/>
    <w:rsid w:val="00891A8C"/>
    <w:rsid w:val="008931EC"/>
    <w:rsid w:val="00893D01"/>
    <w:rsid w:val="00893FFD"/>
    <w:rsid w:val="0089492B"/>
    <w:rsid w:val="00894C6F"/>
    <w:rsid w:val="00894E80"/>
    <w:rsid w:val="0089558C"/>
    <w:rsid w:val="00896A23"/>
    <w:rsid w:val="0089794A"/>
    <w:rsid w:val="00897FED"/>
    <w:rsid w:val="008A1AD8"/>
    <w:rsid w:val="008A1D41"/>
    <w:rsid w:val="008A1D88"/>
    <w:rsid w:val="008A2148"/>
    <w:rsid w:val="008A2D2E"/>
    <w:rsid w:val="008A31CE"/>
    <w:rsid w:val="008A3776"/>
    <w:rsid w:val="008A4B55"/>
    <w:rsid w:val="008A649A"/>
    <w:rsid w:val="008A67CB"/>
    <w:rsid w:val="008A6B43"/>
    <w:rsid w:val="008A7017"/>
    <w:rsid w:val="008A7117"/>
    <w:rsid w:val="008B150B"/>
    <w:rsid w:val="008B2139"/>
    <w:rsid w:val="008B2CF3"/>
    <w:rsid w:val="008B300D"/>
    <w:rsid w:val="008B4362"/>
    <w:rsid w:val="008B43F5"/>
    <w:rsid w:val="008B4904"/>
    <w:rsid w:val="008B51F9"/>
    <w:rsid w:val="008B574B"/>
    <w:rsid w:val="008B5EAC"/>
    <w:rsid w:val="008B6BD1"/>
    <w:rsid w:val="008B72BB"/>
    <w:rsid w:val="008C0667"/>
    <w:rsid w:val="008C12A9"/>
    <w:rsid w:val="008C1345"/>
    <w:rsid w:val="008C2529"/>
    <w:rsid w:val="008C2AB8"/>
    <w:rsid w:val="008C2C87"/>
    <w:rsid w:val="008C2CFD"/>
    <w:rsid w:val="008C355F"/>
    <w:rsid w:val="008C37A6"/>
    <w:rsid w:val="008C3A64"/>
    <w:rsid w:val="008C5ABC"/>
    <w:rsid w:val="008C6FAA"/>
    <w:rsid w:val="008C6FEF"/>
    <w:rsid w:val="008C7AD1"/>
    <w:rsid w:val="008D10F3"/>
    <w:rsid w:val="008D1335"/>
    <w:rsid w:val="008D2047"/>
    <w:rsid w:val="008D3066"/>
    <w:rsid w:val="008D36ED"/>
    <w:rsid w:val="008D3AB6"/>
    <w:rsid w:val="008D50EB"/>
    <w:rsid w:val="008D5642"/>
    <w:rsid w:val="008D59D6"/>
    <w:rsid w:val="008D5F6D"/>
    <w:rsid w:val="008D64B5"/>
    <w:rsid w:val="008D6537"/>
    <w:rsid w:val="008D6617"/>
    <w:rsid w:val="008D6841"/>
    <w:rsid w:val="008D6C4F"/>
    <w:rsid w:val="008E04D6"/>
    <w:rsid w:val="008E0638"/>
    <w:rsid w:val="008E08A0"/>
    <w:rsid w:val="008F008A"/>
    <w:rsid w:val="008F1B19"/>
    <w:rsid w:val="008F1E3D"/>
    <w:rsid w:val="008F266A"/>
    <w:rsid w:val="008F2C37"/>
    <w:rsid w:val="008F338B"/>
    <w:rsid w:val="008F592B"/>
    <w:rsid w:val="008F5FA7"/>
    <w:rsid w:val="008F7946"/>
    <w:rsid w:val="008F7F5A"/>
    <w:rsid w:val="00900E28"/>
    <w:rsid w:val="0090263B"/>
    <w:rsid w:val="00903912"/>
    <w:rsid w:val="00904F0E"/>
    <w:rsid w:val="00905105"/>
    <w:rsid w:val="00905BFC"/>
    <w:rsid w:val="009060A3"/>
    <w:rsid w:val="0090656E"/>
    <w:rsid w:val="00906F93"/>
    <w:rsid w:val="009071E5"/>
    <w:rsid w:val="00907545"/>
    <w:rsid w:val="0090777C"/>
    <w:rsid w:val="00911322"/>
    <w:rsid w:val="00912173"/>
    <w:rsid w:val="0091372C"/>
    <w:rsid w:val="009137EB"/>
    <w:rsid w:val="009155A8"/>
    <w:rsid w:val="00915B2C"/>
    <w:rsid w:val="009162B7"/>
    <w:rsid w:val="009166ED"/>
    <w:rsid w:val="009168A9"/>
    <w:rsid w:val="00920A95"/>
    <w:rsid w:val="00921400"/>
    <w:rsid w:val="00921673"/>
    <w:rsid w:val="00921988"/>
    <w:rsid w:val="009230AD"/>
    <w:rsid w:val="00924794"/>
    <w:rsid w:val="00925E67"/>
    <w:rsid w:val="00926D28"/>
    <w:rsid w:val="00927FEB"/>
    <w:rsid w:val="00931A9E"/>
    <w:rsid w:val="0093211F"/>
    <w:rsid w:val="009322A6"/>
    <w:rsid w:val="009324B9"/>
    <w:rsid w:val="0093334E"/>
    <w:rsid w:val="00933957"/>
    <w:rsid w:val="009340E4"/>
    <w:rsid w:val="009342B9"/>
    <w:rsid w:val="009345C9"/>
    <w:rsid w:val="00934BFB"/>
    <w:rsid w:val="00934CAB"/>
    <w:rsid w:val="00934D06"/>
    <w:rsid w:val="00935985"/>
    <w:rsid w:val="00936A14"/>
    <w:rsid w:val="009401E2"/>
    <w:rsid w:val="00940F2D"/>
    <w:rsid w:val="0094172B"/>
    <w:rsid w:val="00943452"/>
    <w:rsid w:val="009447A9"/>
    <w:rsid w:val="00944DA1"/>
    <w:rsid w:val="00945713"/>
    <w:rsid w:val="0094616B"/>
    <w:rsid w:val="00950D71"/>
    <w:rsid w:val="00951EAA"/>
    <w:rsid w:val="00952D27"/>
    <w:rsid w:val="00953FFC"/>
    <w:rsid w:val="00955B23"/>
    <w:rsid w:val="00955D71"/>
    <w:rsid w:val="00956A9E"/>
    <w:rsid w:val="00956D55"/>
    <w:rsid w:val="00957AC2"/>
    <w:rsid w:val="00957EE5"/>
    <w:rsid w:val="0096031D"/>
    <w:rsid w:val="00960554"/>
    <w:rsid w:val="009605FC"/>
    <w:rsid w:val="00960675"/>
    <w:rsid w:val="009608E7"/>
    <w:rsid w:val="00960BFB"/>
    <w:rsid w:val="00963EE8"/>
    <w:rsid w:val="00964BF2"/>
    <w:rsid w:val="00965485"/>
    <w:rsid w:val="00965EBA"/>
    <w:rsid w:val="00965FD5"/>
    <w:rsid w:val="00967377"/>
    <w:rsid w:val="00967820"/>
    <w:rsid w:val="00967C17"/>
    <w:rsid w:val="00967C4E"/>
    <w:rsid w:val="0097012D"/>
    <w:rsid w:val="0097132F"/>
    <w:rsid w:val="009713ED"/>
    <w:rsid w:val="00971B98"/>
    <w:rsid w:val="00972DEB"/>
    <w:rsid w:val="00974E94"/>
    <w:rsid w:val="009754D6"/>
    <w:rsid w:val="00975914"/>
    <w:rsid w:val="00975A0A"/>
    <w:rsid w:val="009767B0"/>
    <w:rsid w:val="00976D8D"/>
    <w:rsid w:val="009821F3"/>
    <w:rsid w:val="00983855"/>
    <w:rsid w:val="0099109B"/>
    <w:rsid w:val="00991405"/>
    <w:rsid w:val="009926A9"/>
    <w:rsid w:val="00993AE8"/>
    <w:rsid w:val="00994184"/>
    <w:rsid w:val="0099471C"/>
    <w:rsid w:val="00995461"/>
    <w:rsid w:val="00995E3F"/>
    <w:rsid w:val="009966B5"/>
    <w:rsid w:val="009966F2"/>
    <w:rsid w:val="009970C4"/>
    <w:rsid w:val="009A007A"/>
    <w:rsid w:val="009A02C6"/>
    <w:rsid w:val="009A16D9"/>
    <w:rsid w:val="009A225C"/>
    <w:rsid w:val="009A22BE"/>
    <w:rsid w:val="009A48D7"/>
    <w:rsid w:val="009A50E3"/>
    <w:rsid w:val="009A5195"/>
    <w:rsid w:val="009A54BE"/>
    <w:rsid w:val="009A5790"/>
    <w:rsid w:val="009A5F87"/>
    <w:rsid w:val="009A66FC"/>
    <w:rsid w:val="009A6ECF"/>
    <w:rsid w:val="009B0B1D"/>
    <w:rsid w:val="009B1655"/>
    <w:rsid w:val="009B1E89"/>
    <w:rsid w:val="009B1FC9"/>
    <w:rsid w:val="009B22DA"/>
    <w:rsid w:val="009B2ECC"/>
    <w:rsid w:val="009B3963"/>
    <w:rsid w:val="009B5ACD"/>
    <w:rsid w:val="009B6196"/>
    <w:rsid w:val="009B68D1"/>
    <w:rsid w:val="009C08EA"/>
    <w:rsid w:val="009C216A"/>
    <w:rsid w:val="009C342A"/>
    <w:rsid w:val="009C4483"/>
    <w:rsid w:val="009C49F2"/>
    <w:rsid w:val="009C4ECF"/>
    <w:rsid w:val="009C6187"/>
    <w:rsid w:val="009C73C8"/>
    <w:rsid w:val="009D0316"/>
    <w:rsid w:val="009D0718"/>
    <w:rsid w:val="009D1572"/>
    <w:rsid w:val="009D17B3"/>
    <w:rsid w:val="009D1EC2"/>
    <w:rsid w:val="009D2B1E"/>
    <w:rsid w:val="009D3AAA"/>
    <w:rsid w:val="009D3CF6"/>
    <w:rsid w:val="009D59AF"/>
    <w:rsid w:val="009E06B2"/>
    <w:rsid w:val="009E1F77"/>
    <w:rsid w:val="009E3370"/>
    <w:rsid w:val="009E37D9"/>
    <w:rsid w:val="009E3CF3"/>
    <w:rsid w:val="009E47C6"/>
    <w:rsid w:val="009E4BAD"/>
    <w:rsid w:val="009E5933"/>
    <w:rsid w:val="009E62D4"/>
    <w:rsid w:val="009E6366"/>
    <w:rsid w:val="009E6CAB"/>
    <w:rsid w:val="009E7683"/>
    <w:rsid w:val="009F3384"/>
    <w:rsid w:val="009F4DF5"/>
    <w:rsid w:val="009F5A66"/>
    <w:rsid w:val="009F5CD9"/>
    <w:rsid w:val="009F656C"/>
    <w:rsid w:val="009F7CCB"/>
    <w:rsid w:val="009F7F2C"/>
    <w:rsid w:val="00A001D2"/>
    <w:rsid w:val="00A00CFB"/>
    <w:rsid w:val="00A010FB"/>
    <w:rsid w:val="00A01887"/>
    <w:rsid w:val="00A04272"/>
    <w:rsid w:val="00A042A9"/>
    <w:rsid w:val="00A04B2E"/>
    <w:rsid w:val="00A06872"/>
    <w:rsid w:val="00A07386"/>
    <w:rsid w:val="00A07920"/>
    <w:rsid w:val="00A07C5F"/>
    <w:rsid w:val="00A12997"/>
    <w:rsid w:val="00A12BC3"/>
    <w:rsid w:val="00A131D1"/>
    <w:rsid w:val="00A14D7A"/>
    <w:rsid w:val="00A155D4"/>
    <w:rsid w:val="00A16D72"/>
    <w:rsid w:val="00A174BD"/>
    <w:rsid w:val="00A205E7"/>
    <w:rsid w:val="00A205EC"/>
    <w:rsid w:val="00A20675"/>
    <w:rsid w:val="00A21C28"/>
    <w:rsid w:val="00A22091"/>
    <w:rsid w:val="00A22142"/>
    <w:rsid w:val="00A22729"/>
    <w:rsid w:val="00A23214"/>
    <w:rsid w:val="00A26744"/>
    <w:rsid w:val="00A269FA"/>
    <w:rsid w:val="00A27A1D"/>
    <w:rsid w:val="00A27B0B"/>
    <w:rsid w:val="00A27C2B"/>
    <w:rsid w:val="00A27DA3"/>
    <w:rsid w:val="00A300F1"/>
    <w:rsid w:val="00A30409"/>
    <w:rsid w:val="00A3078B"/>
    <w:rsid w:val="00A31139"/>
    <w:rsid w:val="00A31CFD"/>
    <w:rsid w:val="00A335E8"/>
    <w:rsid w:val="00A35781"/>
    <w:rsid w:val="00A35DE7"/>
    <w:rsid w:val="00A36510"/>
    <w:rsid w:val="00A375FE"/>
    <w:rsid w:val="00A37AC7"/>
    <w:rsid w:val="00A4079E"/>
    <w:rsid w:val="00A40F4D"/>
    <w:rsid w:val="00A410C2"/>
    <w:rsid w:val="00A4201C"/>
    <w:rsid w:val="00A42348"/>
    <w:rsid w:val="00A42557"/>
    <w:rsid w:val="00A426FB"/>
    <w:rsid w:val="00A4430C"/>
    <w:rsid w:val="00A4438E"/>
    <w:rsid w:val="00A44EE5"/>
    <w:rsid w:val="00A45E95"/>
    <w:rsid w:val="00A46173"/>
    <w:rsid w:val="00A47101"/>
    <w:rsid w:val="00A47B74"/>
    <w:rsid w:val="00A47DE8"/>
    <w:rsid w:val="00A50145"/>
    <w:rsid w:val="00A50B6C"/>
    <w:rsid w:val="00A52C33"/>
    <w:rsid w:val="00A52C55"/>
    <w:rsid w:val="00A532B4"/>
    <w:rsid w:val="00A5370B"/>
    <w:rsid w:val="00A53894"/>
    <w:rsid w:val="00A53D9A"/>
    <w:rsid w:val="00A5409C"/>
    <w:rsid w:val="00A54703"/>
    <w:rsid w:val="00A567D2"/>
    <w:rsid w:val="00A57258"/>
    <w:rsid w:val="00A578D2"/>
    <w:rsid w:val="00A605EA"/>
    <w:rsid w:val="00A61DE5"/>
    <w:rsid w:val="00A62C47"/>
    <w:rsid w:val="00A63602"/>
    <w:rsid w:val="00A63AA2"/>
    <w:rsid w:val="00A64E96"/>
    <w:rsid w:val="00A669AA"/>
    <w:rsid w:val="00A66E84"/>
    <w:rsid w:val="00A66EE5"/>
    <w:rsid w:val="00A6730A"/>
    <w:rsid w:val="00A7037A"/>
    <w:rsid w:val="00A70606"/>
    <w:rsid w:val="00A7128D"/>
    <w:rsid w:val="00A718ED"/>
    <w:rsid w:val="00A71985"/>
    <w:rsid w:val="00A71D6E"/>
    <w:rsid w:val="00A72576"/>
    <w:rsid w:val="00A72C2F"/>
    <w:rsid w:val="00A74997"/>
    <w:rsid w:val="00A75077"/>
    <w:rsid w:val="00A7777E"/>
    <w:rsid w:val="00A80B4F"/>
    <w:rsid w:val="00A81155"/>
    <w:rsid w:val="00A8132B"/>
    <w:rsid w:val="00A82623"/>
    <w:rsid w:val="00A828EB"/>
    <w:rsid w:val="00A82914"/>
    <w:rsid w:val="00A8407D"/>
    <w:rsid w:val="00A857CA"/>
    <w:rsid w:val="00A8716E"/>
    <w:rsid w:val="00A90392"/>
    <w:rsid w:val="00A9348F"/>
    <w:rsid w:val="00A94263"/>
    <w:rsid w:val="00A9478C"/>
    <w:rsid w:val="00A95005"/>
    <w:rsid w:val="00A951DD"/>
    <w:rsid w:val="00A964E4"/>
    <w:rsid w:val="00A96DD2"/>
    <w:rsid w:val="00AA0185"/>
    <w:rsid w:val="00AA0235"/>
    <w:rsid w:val="00AA0A99"/>
    <w:rsid w:val="00AA0C10"/>
    <w:rsid w:val="00AA1BD9"/>
    <w:rsid w:val="00AA21A6"/>
    <w:rsid w:val="00AA25A5"/>
    <w:rsid w:val="00AA38B4"/>
    <w:rsid w:val="00AA3CD7"/>
    <w:rsid w:val="00AA403C"/>
    <w:rsid w:val="00AA4CB3"/>
    <w:rsid w:val="00AA5646"/>
    <w:rsid w:val="00AB0597"/>
    <w:rsid w:val="00AB0CA1"/>
    <w:rsid w:val="00AB1A80"/>
    <w:rsid w:val="00AB1EC6"/>
    <w:rsid w:val="00AB2305"/>
    <w:rsid w:val="00AB276C"/>
    <w:rsid w:val="00AB2797"/>
    <w:rsid w:val="00AB38F5"/>
    <w:rsid w:val="00AB3E7C"/>
    <w:rsid w:val="00AB4279"/>
    <w:rsid w:val="00AB4604"/>
    <w:rsid w:val="00AB46B0"/>
    <w:rsid w:val="00AB5358"/>
    <w:rsid w:val="00AB56FF"/>
    <w:rsid w:val="00AB5F12"/>
    <w:rsid w:val="00AC0621"/>
    <w:rsid w:val="00AC0CA2"/>
    <w:rsid w:val="00AC13F7"/>
    <w:rsid w:val="00AC152D"/>
    <w:rsid w:val="00AC1759"/>
    <w:rsid w:val="00AC2B0D"/>
    <w:rsid w:val="00AC35E8"/>
    <w:rsid w:val="00AC37F3"/>
    <w:rsid w:val="00AC3ECD"/>
    <w:rsid w:val="00AC4E5F"/>
    <w:rsid w:val="00AC5B39"/>
    <w:rsid w:val="00AC61EF"/>
    <w:rsid w:val="00AC6D59"/>
    <w:rsid w:val="00AC72FB"/>
    <w:rsid w:val="00AC7A73"/>
    <w:rsid w:val="00AC7CA5"/>
    <w:rsid w:val="00AC7E42"/>
    <w:rsid w:val="00AD0D4C"/>
    <w:rsid w:val="00AD20E2"/>
    <w:rsid w:val="00AD2D3F"/>
    <w:rsid w:val="00AD4287"/>
    <w:rsid w:val="00AD5F34"/>
    <w:rsid w:val="00AD6238"/>
    <w:rsid w:val="00AD7886"/>
    <w:rsid w:val="00AE0292"/>
    <w:rsid w:val="00AE051B"/>
    <w:rsid w:val="00AE0E9C"/>
    <w:rsid w:val="00AE1762"/>
    <w:rsid w:val="00AE1ED1"/>
    <w:rsid w:val="00AE2A82"/>
    <w:rsid w:val="00AE2D65"/>
    <w:rsid w:val="00AE2D79"/>
    <w:rsid w:val="00AE3D6C"/>
    <w:rsid w:val="00AE3D85"/>
    <w:rsid w:val="00AE41D5"/>
    <w:rsid w:val="00AE4408"/>
    <w:rsid w:val="00AE4612"/>
    <w:rsid w:val="00AE5577"/>
    <w:rsid w:val="00AE5F61"/>
    <w:rsid w:val="00AE646C"/>
    <w:rsid w:val="00AE6F37"/>
    <w:rsid w:val="00AE7807"/>
    <w:rsid w:val="00AF00FF"/>
    <w:rsid w:val="00AF0C5E"/>
    <w:rsid w:val="00AF1429"/>
    <w:rsid w:val="00AF246F"/>
    <w:rsid w:val="00AF2E00"/>
    <w:rsid w:val="00AF4619"/>
    <w:rsid w:val="00AF4C02"/>
    <w:rsid w:val="00AF62DB"/>
    <w:rsid w:val="00AF7A1A"/>
    <w:rsid w:val="00B0062C"/>
    <w:rsid w:val="00B00966"/>
    <w:rsid w:val="00B02028"/>
    <w:rsid w:val="00B02130"/>
    <w:rsid w:val="00B02BD2"/>
    <w:rsid w:val="00B03268"/>
    <w:rsid w:val="00B03808"/>
    <w:rsid w:val="00B042FA"/>
    <w:rsid w:val="00B043A7"/>
    <w:rsid w:val="00B04B59"/>
    <w:rsid w:val="00B04CBA"/>
    <w:rsid w:val="00B05531"/>
    <w:rsid w:val="00B05642"/>
    <w:rsid w:val="00B05966"/>
    <w:rsid w:val="00B06A1D"/>
    <w:rsid w:val="00B070E9"/>
    <w:rsid w:val="00B0744E"/>
    <w:rsid w:val="00B079F2"/>
    <w:rsid w:val="00B07D96"/>
    <w:rsid w:val="00B10817"/>
    <w:rsid w:val="00B10CF5"/>
    <w:rsid w:val="00B11811"/>
    <w:rsid w:val="00B12D34"/>
    <w:rsid w:val="00B1395E"/>
    <w:rsid w:val="00B14566"/>
    <w:rsid w:val="00B149FF"/>
    <w:rsid w:val="00B16740"/>
    <w:rsid w:val="00B169D0"/>
    <w:rsid w:val="00B176EE"/>
    <w:rsid w:val="00B17918"/>
    <w:rsid w:val="00B20692"/>
    <w:rsid w:val="00B22030"/>
    <w:rsid w:val="00B2247D"/>
    <w:rsid w:val="00B22661"/>
    <w:rsid w:val="00B22B5F"/>
    <w:rsid w:val="00B22EEE"/>
    <w:rsid w:val="00B23623"/>
    <w:rsid w:val="00B2362D"/>
    <w:rsid w:val="00B23EE3"/>
    <w:rsid w:val="00B24663"/>
    <w:rsid w:val="00B247FF"/>
    <w:rsid w:val="00B25511"/>
    <w:rsid w:val="00B25D3A"/>
    <w:rsid w:val="00B2674A"/>
    <w:rsid w:val="00B300F0"/>
    <w:rsid w:val="00B317B8"/>
    <w:rsid w:val="00B3181B"/>
    <w:rsid w:val="00B32476"/>
    <w:rsid w:val="00B32812"/>
    <w:rsid w:val="00B329CF"/>
    <w:rsid w:val="00B32BD7"/>
    <w:rsid w:val="00B33ABC"/>
    <w:rsid w:val="00B345E7"/>
    <w:rsid w:val="00B346BD"/>
    <w:rsid w:val="00B34750"/>
    <w:rsid w:val="00B34BC1"/>
    <w:rsid w:val="00B356B7"/>
    <w:rsid w:val="00B36B9E"/>
    <w:rsid w:val="00B377EB"/>
    <w:rsid w:val="00B37DAD"/>
    <w:rsid w:val="00B4025A"/>
    <w:rsid w:val="00B40E57"/>
    <w:rsid w:val="00B41D30"/>
    <w:rsid w:val="00B4301A"/>
    <w:rsid w:val="00B43E25"/>
    <w:rsid w:val="00B44459"/>
    <w:rsid w:val="00B44ED8"/>
    <w:rsid w:val="00B45ADD"/>
    <w:rsid w:val="00B46F12"/>
    <w:rsid w:val="00B478DD"/>
    <w:rsid w:val="00B506E6"/>
    <w:rsid w:val="00B53788"/>
    <w:rsid w:val="00B540FB"/>
    <w:rsid w:val="00B543EF"/>
    <w:rsid w:val="00B55253"/>
    <w:rsid w:val="00B55741"/>
    <w:rsid w:val="00B56F70"/>
    <w:rsid w:val="00B57C2C"/>
    <w:rsid w:val="00B57DF2"/>
    <w:rsid w:val="00B608D9"/>
    <w:rsid w:val="00B638FF"/>
    <w:rsid w:val="00B63BB2"/>
    <w:rsid w:val="00B63E56"/>
    <w:rsid w:val="00B6404F"/>
    <w:rsid w:val="00B6499B"/>
    <w:rsid w:val="00B65093"/>
    <w:rsid w:val="00B65970"/>
    <w:rsid w:val="00B65E9A"/>
    <w:rsid w:val="00B66070"/>
    <w:rsid w:val="00B6796F"/>
    <w:rsid w:val="00B67BA7"/>
    <w:rsid w:val="00B700D3"/>
    <w:rsid w:val="00B70B09"/>
    <w:rsid w:val="00B71314"/>
    <w:rsid w:val="00B72977"/>
    <w:rsid w:val="00B72AD6"/>
    <w:rsid w:val="00B73B99"/>
    <w:rsid w:val="00B74D4E"/>
    <w:rsid w:val="00B7643E"/>
    <w:rsid w:val="00B767CF"/>
    <w:rsid w:val="00B76CB3"/>
    <w:rsid w:val="00B76EE4"/>
    <w:rsid w:val="00B80447"/>
    <w:rsid w:val="00B8065F"/>
    <w:rsid w:val="00B81175"/>
    <w:rsid w:val="00B8199B"/>
    <w:rsid w:val="00B84FB4"/>
    <w:rsid w:val="00B90EF1"/>
    <w:rsid w:val="00B914C5"/>
    <w:rsid w:val="00B928E3"/>
    <w:rsid w:val="00B92AE2"/>
    <w:rsid w:val="00B943CD"/>
    <w:rsid w:val="00B94780"/>
    <w:rsid w:val="00B947A0"/>
    <w:rsid w:val="00B95C7E"/>
    <w:rsid w:val="00B962DA"/>
    <w:rsid w:val="00B966A1"/>
    <w:rsid w:val="00B97300"/>
    <w:rsid w:val="00B97719"/>
    <w:rsid w:val="00BA0A61"/>
    <w:rsid w:val="00BA264B"/>
    <w:rsid w:val="00BA3A51"/>
    <w:rsid w:val="00BA3B11"/>
    <w:rsid w:val="00BA4531"/>
    <w:rsid w:val="00BA59D8"/>
    <w:rsid w:val="00BA5B7D"/>
    <w:rsid w:val="00BA68BD"/>
    <w:rsid w:val="00BA6CD8"/>
    <w:rsid w:val="00BA6E13"/>
    <w:rsid w:val="00BA7633"/>
    <w:rsid w:val="00BA7929"/>
    <w:rsid w:val="00BA7B20"/>
    <w:rsid w:val="00BA7D09"/>
    <w:rsid w:val="00BA7F7C"/>
    <w:rsid w:val="00BB09FF"/>
    <w:rsid w:val="00BB1291"/>
    <w:rsid w:val="00BB14F8"/>
    <w:rsid w:val="00BB1C5C"/>
    <w:rsid w:val="00BB388E"/>
    <w:rsid w:val="00BB3D0E"/>
    <w:rsid w:val="00BB4AD0"/>
    <w:rsid w:val="00BB5177"/>
    <w:rsid w:val="00BB553A"/>
    <w:rsid w:val="00BB655E"/>
    <w:rsid w:val="00BB6725"/>
    <w:rsid w:val="00BB6BBA"/>
    <w:rsid w:val="00BB75F2"/>
    <w:rsid w:val="00BB7A2A"/>
    <w:rsid w:val="00BC0EE1"/>
    <w:rsid w:val="00BC130D"/>
    <w:rsid w:val="00BC168A"/>
    <w:rsid w:val="00BC210A"/>
    <w:rsid w:val="00BC245D"/>
    <w:rsid w:val="00BC2A08"/>
    <w:rsid w:val="00BC39D6"/>
    <w:rsid w:val="00BC41DB"/>
    <w:rsid w:val="00BC4CF1"/>
    <w:rsid w:val="00BC4FA9"/>
    <w:rsid w:val="00BC6184"/>
    <w:rsid w:val="00BC6ED0"/>
    <w:rsid w:val="00BC724C"/>
    <w:rsid w:val="00BC74BF"/>
    <w:rsid w:val="00BC7D2B"/>
    <w:rsid w:val="00BC7ED6"/>
    <w:rsid w:val="00BC7F43"/>
    <w:rsid w:val="00BD4344"/>
    <w:rsid w:val="00BD45F9"/>
    <w:rsid w:val="00BD47E8"/>
    <w:rsid w:val="00BD5987"/>
    <w:rsid w:val="00BD5E07"/>
    <w:rsid w:val="00BD665D"/>
    <w:rsid w:val="00BD6CB0"/>
    <w:rsid w:val="00BE05F3"/>
    <w:rsid w:val="00BE126F"/>
    <w:rsid w:val="00BE2096"/>
    <w:rsid w:val="00BE2B61"/>
    <w:rsid w:val="00BE2F6A"/>
    <w:rsid w:val="00BE3C84"/>
    <w:rsid w:val="00BE4995"/>
    <w:rsid w:val="00BE513E"/>
    <w:rsid w:val="00BE52C8"/>
    <w:rsid w:val="00BE6636"/>
    <w:rsid w:val="00BE6E56"/>
    <w:rsid w:val="00BE71F9"/>
    <w:rsid w:val="00BE74E7"/>
    <w:rsid w:val="00BE78B7"/>
    <w:rsid w:val="00BE7B48"/>
    <w:rsid w:val="00BF0250"/>
    <w:rsid w:val="00BF06A7"/>
    <w:rsid w:val="00BF18BF"/>
    <w:rsid w:val="00BF253D"/>
    <w:rsid w:val="00BF2A53"/>
    <w:rsid w:val="00BF3405"/>
    <w:rsid w:val="00BF37B9"/>
    <w:rsid w:val="00BF4C34"/>
    <w:rsid w:val="00BF64FE"/>
    <w:rsid w:val="00BF709C"/>
    <w:rsid w:val="00BF7F0D"/>
    <w:rsid w:val="00C000AA"/>
    <w:rsid w:val="00C0081B"/>
    <w:rsid w:val="00C0092E"/>
    <w:rsid w:val="00C00ED9"/>
    <w:rsid w:val="00C015BE"/>
    <w:rsid w:val="00C01E17"/>
    <w:rsid w:val="00C03A70"/>
    <w:rsid w:val="00C03C48"/>
    <w:rsid w:val="00C04ACB"/>
    <w:rsid w:val="00C053B9"/>
    <w:rsid w:val="00C05596"/>
    <w:rsid w:val="00C058CC"/>
    <w:rsid w:val="00C1021B"/>
    <w:rsid w:val="00C1026C"/>
    <w:rsid w:val="00C1079F"/>
    <w:rsid w:val="00C1111F"/>
    <w:rsid w:val="00C13455"/>
    <w:rsid w:val="00C1553B"/>
    <w:rsid w:val="00C159DE"/>
    <w:rsid w:val="00C15D86"/>
    <w:rsid w:val="00C165F2"/>
    <w:rsid w:val="00C167D0"/>
    <w:rsid w:val="00C16BBB"/>
    <w:rsid w:val="00C16DAF"/>
    <w:rsid w:val="00C170A8"/>
    <w:rsid w:val="00C17369"/>
    <w:rsid w:val="00C173C5"/>
    <w:rsid w:val="00C174F6"/>
    <w:rsid w:val="00C20050"/>
    <w:rsid w:val="00C2023E"/>
    <w:rsid w:val="00C206F2"/>
    <w:rsid w:val="00C208C1"/>
    <w:rsid w:val="00C23B30"/>
    <w:rsid w:val="00C23CF4"/>
    <w:rsid w:val="00C23D06"/>
    <w:rsid w:val="00C243EB"/>
    <w:rsid w:val="00C24FA8"/>
    <w:rsid w:val="00C24FB6"/>
    <w:rsid w:val="00C256A6"/>
    <w:rsid w:val="00C267D0"/>
    <w:rsid w:val="00C26979"/>
    <w:rsid w:val="00C27826"/>
    <w:rsid w:val="00C30FCE"/>
    <w:rsid w:val="00C31013"/>
    <w:rsid w:val="00C31596"/>
    <w:rsid w:val="00C316AD"/>
    <w:rsid w:val="00C3270E"/>
    <w:rsid w:val="00C3290B"/>
    <w:rsid w:val="00C33E2B"/>
    <w:rsid w:val="00C341AC"/>
    <w:rsid w:val="00C355CC"/>
    <w:rsid w:val="00C359C7"/>
    <w:rsid w:val="00C360BE"/>
    <w:rsid w:val="00C36723"/>
    <w:rsid w:val="00C36A88"/>
    <w:rsid w:val="00C36B91"/>
    <w:rsid w:val="00C37FAF"/>
    <w:rsid w:val="00C4016B"/>
    <w:rsid w:val="00C403F7"/>
    <w:rsid w:val="00C40A2B"/>
    <w:rsid w:val="00C41841"/>
    <w:rsid w:val="00C41D47"/>
    <w:rsid w:val="00C42346"/>
    <w:rsid w:val="00C42595"/>
    <w:rsid w:val="00C45510"/>
    <w:rsid w:val="00C473DA"/>
    <w:rsid w:val="00C479A5"/>
    <w:rsid w:val="00C47D18"/>
    <w:rsid w:val="00C50224"/>
    <w:rsid w:val="00C506EC"/>
    <w:rsid w:val="00C50D3A"/>
    <w:rsid w:val="00C511EC"/>
    <w:rsid w:val="00C51D09"/>
    <w:rsid w:val="00C5409C"/>
    <w:rsid w:val="00C5454D"/>
    <w:rsid w:val="00C54E9C"/>
    <w:rsid w:val="00C55114"/>
    <w:rsid w:val="00C55547"/>
    <w:rsid w:val="00C556F3"/>
    <w:rsid w:val="00C559C1"/>
    <w:rsid w:val="00C56220"/>
    <w:rsid w:val="00C56533"/>
    <w:rsid w:val="00C56880"/>
    <w:rsid w:val="00C56BF6"/>
    <w:rsid w:val="00C56E49"/>
    <w:rsid w:val="00C61FDE"/>
    <w:rsid w:val="00C629AC"/>
    <w:rsid w:val="00C62CCF"/>
    <w:rsid w:val="00C63453"/>
    <w:rsid w:val="00C634B4"/>
    <w:rsid w:val="00C641AB"/>
    <w:rsid w:val="00C643B0"/>
    <w:rsid w:val="00C646BD"/>
    <w:rsid w:val="00C65796"/>
    <w:rsid w:val="00C6593D"/>
    <w:rsid w:val="00C667C6"/>
    <w:rsid w:val="00C67092"/>
    <w:rsid w:val="00C6742B"/>
    <w:rsid w:val="00C67A33"/>
    <w:rsid w:val="00C70041"/>
    <w:rsid w:val="00C70A81"/>
    <w:rsid w:val="00C73C84"/>
    <w:rsid w:val="00C748CB"/>
    <w:rsid w:val="00C77F5E"/>
    <w:rsid w:val="00C80442"/>
    <w:rsid w:val="00C81F2F"/>
    <w:rsid w:val="00C81FC1"/>
    <w:rsid w:val="00C826C1"/>
    <w:rsid w:val="00C834C1"/>
    <w:rsid w:val="00C84492"/>
    <w:rsid w:val="00C84981"/>
    <w:rsid w:val="00C849A8"/>
    <w:rsid w:val="00C85382"/>
    <w:rsid w:val="00C860A9"/>
    <w:rsid w:val="00C86F69"/>
    <w:rsid w:val="00C87480"/>
    <w:rsid w:val="00C8762A"/>
    <w:rsid w:val="00C87C55"/>
    <w:rsid w:val="00C87E3B"/>
    <w:rsid w:val="00C915F0"/>
    <w:rsid w:val="00C91E4A"/>
    <w:rsid w:val="00C91F39"/>
    <w:rsid w:val="00C9291E"/>
    <w:rsid w:val="00C932A2"/>
    <w:rsid w:val="00C93A96"/>
    <w:rsid w:val="00C93E0D"/>
    <w:rsid w:val="00C943D6"/>
    <w:rsid w:val="00C9442F"/>
    <w:rsid w:val="00C94B70"/>
    <w:rsid w:val="00C94EFB"/>
    <w:rsid w:val="00C970C8"/>
    <w:rsid w:val="00C9763F"/>
    <w:rsid w:val="00CA028A"/>
    <w:rsid w:val="00CA07B6"/>
    <w:rsid w:val="00CA0DEE"/>
    <w:rsid w:val="00CA1364"/>
    <w:rsid w:val="00CA1435"/>
    <w:rsid w:val="00CA1830"/>
    <w:rsid w:val="00CA1B28"/>
    <w:rsid w:val="00CA1BC9"/>
    <w:rsid w:val="00CA2188"/>
    <w:rsid w:val="00CA25F7"/>
    <w:rsid w:val="00CA4034"/>
    <w:rsid w:val="00CA409B"/>
    <w:rsid w:val="00CA442E"/>
    <w:rsid w:val="00CA4C25"/>
    <w:rsid w:val="00CA5189"/>
    <w:rsid w:val="00CA51ED"/>
    <w:rsid w:val="00CA541D"/>
    <w:rsid w:val="00CA593A"/>
    <w:rsid w:val="00CA6B38"/>
    <w:rsid w:val="00CB14F2"/>
    <w:rsid w:val="00CB1CF0"/>
    <w:rsid w:val="00CB1F81"/>
    <w:rsid w:val="00CB21C3"/>
    <w:rsid w:val="00CB25FA"/>
    <w:rsid w:val="00CB412F"/>
    <w:rsid w:val="00CB4827"/>
    <w:rsid w:val="00CB4877"/>
    <w:rsid w:val="00CB4D1E"/>
    <w:rsid w:val="00CB5EC8"/>
    <w:rsid w:val="00CB5F04"/>
    <w:rsid w:val="00CB639D"/>
    <w:rsid w:val="00CB6B11"/>
    <w:rsid w:val="00CC02C4"/>
    <w:rsid w:val="00CC1149"/>
    <w:rsid w:val="00CC13E7"/>
    <w:rsid w:val="00CC2C21"/>
    <w:rsid w:val="00CC447A"/>
    <w:rsid w:val="00CC594B"/>
    <w:rsid w:val="00CC6061"/>
    <w:rsid w:val="00CC6B3B"/>
    <w:rsid w:val="00CC7EEA"/>
    <w:rsid w:val="00CD057B"/>
    <w:rsid w:val="00CD06CB"/>
    <w:rsid w:val="00CD09FD"/>
    <w:rsid w:val="00CD131F"/>
    <w:rsid w:val="00CD1527"/>
    <w:rsid w:val="00CD18E2"/>
    <w:rsid w:val="00CD201F"/>
    <w:rsid w:val="00CD2456"/>
    <w:rsid w:val="00CD2CA6"/>
    <w:rsid w:val="00CD3452"/>
    <w:rsid w:val="00CD3FCF"/>
    <w:rsid w:val="00CD5414"/>
    <w:rsid w:val="00CD614D"/>
    <w:rsid w:val="00CD7852"/>
    <w:rsid w:val="00CD7DD0"/>
    <w:rsid w:val="00CE3533"/>
    <w:rsid w:val="00CE4252"/>
    <w:rsid w:val="00CE7176"/>
    <w:rsid w:val="00CF0022"/>
    <w:rsid w:val="00CF0113"/>
    <w:rsid w:val="00CF05E9"/>
    <w:rsid w:val="00CF080D"/>
    <w:rsid w:val="00CF0913"/>
    <w:rsid w:val="00CF3333"/>
    <w:rsid w:val="00CF5B41"/>
    <w:rsid w:val="00CF7595"/>
    <w:rsid w:val="00D00F77"/>
    <w:rsid w:val="00D05148"/>
    <w:rsid w:val="00D05F07"/>
    <w:rsid w:val="00D066BC"/>
    <w:rsid w:val="00D10C3A"/>
    <w:rsid w:val="00D11672"/>
    <w:rsid w:val="00D1195A"/>
    <w:rsid w:val="00D11F3F"/>
    <w:rsid w:val="00D125FA"/>
    <w:rsid w:val="00D12EFD"/>
    <w:rsid w:val="00D14B04"/>
    <w:rsid w:val="00D154AB"/>
    <w:rsid w:val="00D17C2F"/>
    <w:rsid w:val="00D223E9"/>
    <w:rsid w:val="00D22B29"/>
    <w:rsid w:val="00D24870"/>
    <w:rsid w:val="00D249FA"/>
    <w:rsid w:val="00D2512C"/>
    <w:rsid w:val="00D251C6"/>
    <w:rsid w:val="00D25BE7"/>
    <w:rsid w:val="00D27F19"/>
    <w:rsid w:val="00D30F88"/>
    <w:rsid w:val="00D31401"/>
    <w:rsid w:val="00D3169E"/>
    <w:rsid w:val="00D325FD"/>
    <w:rsid w:val="00D32E5F"/>
    <w:rsid w:val="00D332DC"/>
    <w:rsid w:val="00D3331D"/>
    <w:rsid w:val="00D33878"/>
    <w:rsid w:val="00D34483"/>
    <w:rsid w:val="00D357BE"/>
    <w:rsid w:val="00D361F7"/>
    <w:rsid w:val="00D36AEC"/>
    <w:rsid w:val="00D3727F"/>
    <w:rsid w:val="00D40725"/>
    <w:rsid w:val="00D40C65"/>
    <w:rsid w:val="00D42026"/>
    <w:rsid w:val="00D4269F"/>
    <w:rsid w:val="00D42C0C"/>
    <w:rsid w:val="00D43743"/>
    <w:rsid w:val="00D43C11"/>
    <w:rsid w:val="00D43D47"/>
    <w:rsid w:val="00D44DB6"/>
    <w:rsid w:val="00D44E95"/>
    <w:rsid w:val="00D45B34"/>
    <w:rsid w:val="00D45F71"/>
    <w:rsid w:val="00D46F6B"/>
    <w:rsid w:val="00D471CD"/>
    <w:rsid w:val="00D47CC4"/>
    <w:rsid w:val="00D512E4"/>
    <w:rsid w:val="00D51376"/>
    <w:rsid w:val="00D53DFB"/>
    <w:rsid w:val="00D544A8"/>
    <w:rsid w:val="00D545F4"/>
    <w:rsid w:val="00D55035"/>
    <w:rsid w:val="00D563AA"/>
    <w:rsid w:val="00D57322"/>
    <w:rsid w:val="00D60151"/>
    <w:rsid w:val="00D60BCD"/>
    <w:rsid w:val="00D60BE9"/>
    <w:rsid w:val="00D631E5"/>
    <w:rsid w:val="00D636CA"/>
    <w:rsid w:val="00D64349"/>
    <w:rsid w:val="00D64DDB"/>
    <w:rsid w:val="00D656DD"/>
    <w:rsid w:val="00D65B81"/>
    <w:rsid w:val="00D670CD"/>
    <w:rsid w:val="00D67341"/>
    <w:rsid w:val="00D67A33"/>
    <w:rsid w:val="00D70399"/>
    <w:rsid w:val="00D748EF"/>
    <w:rsid w:val="00D74AB8"/>
    <w:rsid w:val="00D75D06"/>
    <w:rsid w:val="00D7752A"/>
    <w:rsid w:val="00D77712"/>
    <w:rsid w:val="00D812FC"/>
    <w:rsid w:val="00D81505"/>
    <w:rsid w:val="00D81E4F"/>
    <w:rsid w:val="00D83B4B"/>
    <w:rsid w:val="00D84DC1"/>
    <w:rsid w:val="00D856AC"/>
    <w:rsid w:val="00D87434"/>
    <w:rsid w:val="00D8789F"/>
    <w:rsid w:val="00D87F23"/>
    <w:rsid w:val="00D903A3"/>
    <w:rsid w:val="00D90701"/>
    <w:rsid w:val="00D90B9D"/>
    <w:rsid w:val="00D90DAD"/>
    <w:rsid w:val="00D92D16"/>
    <w:rsid w:val="00D9372C"/>
    <w:rsid w:val="00D93BE0"/>
    <w:rsid w:val="00D94054"/>
    <w:rsid w:val="00D9608F"/>
    <w:rsid w:val="00D96394"/>
    <w:rsid w:val="00D96B50"/>
    <w:rsid w:val="00D96C25"/>
    <w:rsid w:val="00D97F56"/>
    <w:rsid w:val="00DA1082"/>
    <w:rsid w:val="00DA10CE"/>
    <w:rsid w:val="00DA13D1"/>
    <w:rsid w:val="00DA224B"/>
    <w:rsid w:val="00DA2E2B"/>
    <w:rsid w:val="00DA3A07"/>
    <w:rsid w:val="00DA3A84"/>
    <w:rsid w:val="00DA4744"/>
    <w:rsid w:val="00DA4B64"/>
    <w:rsid w:val="00DA5C13"/>
    <w:rsid w:val="00DA5E93"/>
    <w:rsid w:val="00DA60CB"/>
    <w:rsid w:val="00DA6163"/>
    <w:rsid w:val="00DA6492"/>
    <w:rsid w:val="00DA65A3"/>
    <w:rsid w:val="00DA707C"/>
    <w:rsid w:val="00DB0087"/>
    <w:rsid w:val="00DB019E"/>
    <w:rsid w:val="00DB2410"/>
    <w:rsid w:val="00DB3C74"/>
    <w:rsid w:val="00DB4AFC"/>
    <w:rsid w:val="00DB4CA3"/>
    <w:rsid w:val="00DB711E"/>
    <w:rsid w:val="00DB729F"/>
    <w:rsid w:val="00DC0FCE"/>
    <w:rsid w:val="00DC23B5"/>
    <w:rsid w:val="00DC23ED"/>
    <w:rsid w:val="00DC3734"/>
    <w:rsid w:val="00DC3B94"/>
    <w:rsid w:val="00DC418D"/>
    <w:rsid w:val="00DC49E3"/>
    <w:rsid w:val="00DC5035"/>
    <w:rsid w:val="00DC6539"/>
    <w:rsid w:val="00DC7D7D"/>
    <w:rsid w:val="00DD08D3"/>
    <w:rsid w:val="00DD14CC"/>
    <w:rsid w:val="00DD2D2E"/>
    <w:rsid w:val="00DD2F05"/>
    <w:rsid w:val="00DD3338"/>
    <w:rsid w:val="00DD3369"/>
    <w:rsid w:val="00DD4212"/>
    <w:rsid w:val="00DD442E"/>
    <w:rsid w:val="00DD4779"/>
    <w:rsid w:val="00DD6A2D"/>
    <w:rsid w:val="00DD6FB3"/>
    <w:rsid w:val="00DD7C25"/>
    <w:rsid w:val="00DE007B"/>
    <w:rsid w:val="00DE0BD5"/>
    <w:rsid w:val="00DE1618"/>
    <w:rsid w:val="00DE2C32"/>
    <w:rsid w:val="00DE3583"/>
    <w:rsid w:val="00DE35A9"/>
    <w:rsid w:val="00DE4C90"/>
    <w:rsid w:val="00DE5E02"/>
    <w:rsid w:val="00DE673E"/>
    <w:rsid w:val="00DE69FE"/>
    <w:rsid w:val="00DF0D08"/>
    <w:rsid w:val="00DF114D"/>
    <w:rsid w:val="00DF162E"/>
    <w:rsid w:val="00DF1E3B"/>
    <w:rsid w:val="00DF1F4D"/>
    <w:rsid w:val="00DF2FD9"/>
    <w:rsid w:val="00DF4B28"/>
    <w:rsid w:val="00DF572E"/>
    <w:rsid w:val="00DF5801"/>
    <w:rsid w:val="00DF63EC"/>
    <w:rsid w:val="00DF687B"/>
    <w:rsid w:val="00DF6A89"/>
    <w:rsid w:val="00DF7464"/>
    <w:rsid w:val="00DF75B1"/>
    <w:rsid w:val="00DF75FB"/>
    <w:rsid w:val="00E0097C"/>
    <w:rsid w:val="00E019DE"/>
    <w:rsid w:val="00E01AC3"/>
    <w:rsid w:val="00E030B3"/>
    <w:rsid w:val="00E03EF2"/>
    <w:rsid w:val="00E0448E"/>
    <w:rsid w:val="00E06D36"/>
    <w:rsid w:val="00E116A4"/>
    <w:rsid w:val="00E11EF9"/>
    <w:rsid w:val="00E12E2D"/>
    <w:rsid w:val="00E13092"/>
    <w:rsid w:val="00E1499B"/>
    <w:rsid w:val="00E14DDD"/>
    <w:rsid w:val="00E14FB2"/>
    <w:rsid w:val="00E15375"/>
    <w:rsid w:val="00E155B7"/>
    <w:rsid w:val="00E16F5E"/>
    <w:rsid w:val="00E17395"/>
    <w:rsid w:val="00E20AF3"/>
    <w:rsid w:val="00E20C2D"/>
    <w:rsid w:val="00E210FD"/>
    <w:rsid w:val="00E2152E"/>
    <w:rsid w:val="00E2254E"/>
    <w:rsid w:val="00E22F57"/>
    <w:rsid w:val="00E2379C"/>
    <w:rsid w:val="00E23880"/>
    <w:rsid w:val="00E23943"/>
    <w:rsid w:val="00E24519"/>
    <w:rsid w:val="00E24A87"/>
    <w:rsid w:val="00E24EE6"/>
    <w:rsid w:val="00E25A4B"/>
    <w:rsid w:val="00E26185"/>
    <w:rsid w:val="00E271A0"/>
    <w:rsid w:val="00E27528"/>
    <w:rsid w:val="00E27624"/>
    <w:rsid w:val="00E27C01"/>
    <w:rsid w:val="00E30E80"/>
    <w:rsid w:val="00E31F82"/>
    <w:rsid w:val="00E32FFC"/>
    <w:rsid w:val="00E34618"/>
    <w:rsid w:val="00E3534A"/>
    <w:rsid w:val="00E35C24"/>
    <w:rsid w:val="00E361F4"/>
    <w:rsid w:val="00E37002"/>
    <w:rsid w:val="00E4063D"/>
    <w:rsid w:val="00E40D2F"/>
    <w:rsid w:val="00E416A5"/>
    <w:rsid w:val="00E44975"/>
    <w:rsid w:val="00E45784"/>
    <w:rsid w:val="00E4767E"/>
    <w:rsid w:val="00E478DD"/>
    <w:rsid w:val="00E50471"/>
    <w:rsid w:val="00E525B0"/>
    <w:rsid w:val="00E52D68"/>
    <w:rsid w:val="00E53450"/>
    <w:rsid w:val="00E53FBC"/>
    <w:rsid w:val="00E53FF7"/>
    <w:rsid w:val="00E54896"/>
    <w:rsid w:val="00E55135"/>
    <w:rsid w:val="00E559BA"/>
    <w:rsid w:val="00E55A46"/>
    <w:rsid w:val="00E56F56"/>
    <w:rsid w:val="00E6097E"/>
    <w:rsid w:val="00E60C62"/>
    <w:rsid w:val="00E627C3"/>
    <w:rsid w:val="00E62C36"/>
    <w:rsid w:val="00E64076"/>
    <w:rsid w:val="00E648CE"/>
    <w:rsid w:val="00E662C7"/>
    <w:rsid w:val="00E7168E"/>
    <w:rsid w:val="00E71DAF"/>
    <w:rsid w:val="00E72686"/>
    <w:rsid w:val="00E729B0"/>
    <w:rsid w:val="00E73102"/>
    <w:rsid w:val="00E73796"/>
    <w:rsid w:val="00E74346"/>
    <w:rsid w:val="00E7533D"/>
    <w:rsid w:val="00E753FE"/>
    <w:rsid w:val="00E761FB"/>
    <w:rsid w:val="00E765F8"/>
    <w:rsid w:val="00E76616"/>
    <w:rsid w:val="00E7700D"/>
    <w:rsid w:val="00E775A2"/>
    <w:rsid w:val="00E7797F"/>
    <w:rsid w:val="00E812F1"/>
    <w:rsid w:val="00E81B19"/>
    <w:rsid w:val="00E81D86"/>
    <w:rsid w:val="00E8277B"/>
    <w:rsid w:val="00E83C03"/>
    <w:rsid w:val="00E84177"/>
    <w:rsid w:val="00E84312"/>
    <w:rsid w:val="00E84353"/>
    <w:rsid w:val="00E84B88"/>
    <w:rsid w:val="00E84DEE"/>
    <w:rsid w:val="00E86A27"/>
    <w:rsid w:val="00E873F4"/>
    <w:rsid w:val="00E8774C"/>
    <w:rsid w:val="00E87947"/>
    <w:rsid w:val="00E87ACD"/>
    <w:rsid w:val="00E87E75"/>
    <w:rsid w:val="00E9033B"/>
    <w:rsid w:val="00E90584"/>
    <w:rsid w:val="00E918A2"/>
    <w:rsid w:val="00E92D56"/>
    <w:rsid w:val="00E92FAD"/>
    <w:rsid w:val="00E93C1E"/>
    <w:rsid w:val="00E93D59"/>
    <w:rsid w:val="00E93DAF"/>
    <w:rsid w:val="00E96A9C"/>
    <w:rsid w:val="00E96CB3"/>
    <w:rsid w:val="00E972AF"/>
    <w:rsid w:val="00E97DFA"/>
    <w:rsid w:val="00E97FF5"/>
    <w:rsid w:val="00EA0FA3"/>
    <w:rsid w:val="00EA10C1"/>
    <w:rsid w:val="00EA1384"/>
    <w:rsid w:val="00EA1458"/>
    <w:rsid w:val="00EA1636"/>
    <w:rsid w:val="00EA1F74"/>
    <w:rsid w:val="00EA236B"/>
    <w:rsid w:val="00EA3770"/>
    <w:rsid w:val="00EA5471"/>
    <w:rsid w:val="00EA567A"/>
    <w:rsid w:val="00EA597A"/>
    <w:rsid w:val="00EA6DA1"/>
    <w:rsid w:val="00EA73B3"/>
    <w:rsid w:val="00EB0044"/>
    <w:rsid w:val="00EB029F"/>
    <w:rsid w:val="00EB0944"/>
    <w:rsid w:val="00EB0FB3"/>
    <w:rsid w:val="00EB133C"/>
    <w:rsid w:val="00EB1F80"/>
    <w:rsid w:val="00EB2040"/>
    <w:rsid w:val="00EB2D95"/>
    <w:rsid w:val="00EB3F0F"/>
    <w:rsid w:val="00EB48CC"/>
    <w:rsid w:val="00EB4C59"/>
    <w:rsid w:val="00EB5388"/>
    <w:rsid w:val="00EB5B39"/>
    <w:rsid w:val="00EB5CA5"/>
    <w:rsid w:val="00EB6607"/>
    <w:rsid w:val="00EB6C27"/>
    <w:rsid w:val="00EB6C29"/>
    <w:rsid w:val="00EB7235"/>
    <w:rsid w:val="00EC06C6"/>
    <w:rsid w:val="00EC0785"/>
    <w:rsid w:val="00EC0CEC"/>
    <w:rsid w:val="00EC1A4B"/>
    <w:rsid w:val="00EC1C87"/>
    <w:rsid w:val="00EC3B9F"/>
    <w:rsid w:val="00EC3F16"/>
    <w:rsid w:val="00EC49A5"/>
    <w:rsid w:val="00EC49F7"/>
    <w:rsid w:val="00EC4CCE"/>
    <w:rsid w:val="00EC515A"/>
    <w:rsid w:val="00EC5746"/>
    <w:rsid w:val="00EC5D03"/>
    <w:rsid w:val="00EC60F6"/>
    <w:rsid w:val="00EC6256"/>
    <w:rsid w:val="00EC6464"/>
    <w:rsid w:val="00EC6704"/>
    <w:rsid w:val="00EC68E1"/>
    <w:rsid w:val="00EC6A5C"/>
    <w:rsid w:val="00EC6BE6"/>
    <w:rsid w:val="00ED0130"/>
    <w:rsid w:val="00ED0EB7"/>
    <w:rsid w:val="00ED1431"/>
    <w:rsid w:val="00ED1642"/>
    <w:rsid w:val="00ED2B39"/>
    <w:rsid w:val="00ED3400"/>
    <w:rsid w:val="00ED3954"/>
    <w:rsid w:val="00ED4471"/>
    <w:rsid w:val="00ED678B"/>
    <w:rsid w:val="00ED67DC"/>
    <w:rsid w:val="00ED79BF"/>
    <w:rsid w:val="00EE0270"/>
    <w:rsid w:val="00EE0AB7"/>
    <w:rsid w:val="00EE0E44"/>
    <w:rsid w:val="00EE17E4"/>
    <w:rsid w:val="00EE20B6"/>
    <w:rsid w:val="00EE2989"/>
    <w:rsid w:val="00EE344E"/>
    <w:rsid w:val="00EE39FD"/>
    <w:rsid w:val="00EE57AB"/>
    <w:rsid w:val="00EE599D"/>
    <w:rsid w:val="00EE59A3"/>
    <w:rsid w:val="00EE62CE"/>
    <w:rsid w:val="00EE6775"/>
    <w:rsid w:val="00EE6B83"/>
    <w:rsid w:val="00EE791A"/>
    <w:rsid w:val="00EE7ECB"/>
    <w:rsid w:val="00EF0256"/>
    <w:rsid w:val="00EF0A65"/>
    <w:rsid w:val="00EF0AA6"/>
    <w:rsid w:val="00EF0AAB"/>
    <w:rsid w:val="00EF10A9"/>
    <w:rsid w:val="00EF1517"/>
    <w:rsid w:val="00EF3082"/>
    <w:rsid w:val="00EF3951"/>
    <w:rsid w:val="00EF3D2B"/>
    <w:rsid w:val="00EF52DE"/>
    <w:rsid w:val="00EF5CC9"/>
    <w:rsid w:val="00EF5DC6"/>
    <w:rsid w:val="00EF6614"/>
    <w:rsid w:val="00EF7253"/>
    <w:rsid w:val="00F00E83"/>
    <w:rsid w:val="00F01E15"/>
    <w:rsid w:val="00F02645"/>
    <w:rsid w:val="00F03238"/>
    <w:rsid w:val="00F045BD"/>
    <w:rsid w:val="00F04683"/>
    <w:rsid w:val="00F04EBB"/>
    <w:rsid w:val="00F05D8C"/>
    <w:rsid w:val="00F068B5"/>
    <w:rsid w:val="00F06A35"/>
    <w:rsid w:val="00F06EA5"/>
    <w:rsid w:val="00F107E4"/>
    <w:rsid w:val="00F114A0"/>
    <w:rsid w:val="00F13D8E"/>
    <w:rsid w:val="00F1410B"/>
    <w:rsid w:val="00F14466"/>
    <w:rsid w:val="00F144FB"/>
    <w:rsid w:val="00F145F6"/>
    <w:rsid w:val="00F14882"/>
    <w:rsid w:val="00F14A04"/>
    <w:rsid w:val="00F14CFA"/>
    <w:rsid w:val="00F16390"/>
    <w:rsid w:val="00F168DE"/>
    <w:rsid w:val="00F16F35"/>
    <w:rsid w:val="00F1716E"/>
    <w:rsid w:val="00F17506"/>
    <w:rsid w:val="00F17602"/>
    <w:rsid w:val="00F20FB6"/>
    <w:rsid w:val="00F21070"/>
    <w:rsid w:val="00F210D4"/>
    <w:rsid w:val="00F213A5"/>
    <w:rsid w:val="00F22319"/>
    <w:rsid w:val="00F22A1B"/>
    <w:rsid w:val="00F22FF3"/>
    <w:rsid w:val="00F2420C"/>
    <w:rsid w:val="00F24210"/>
    <w:rsid w:val="00F24ABD"/>
    <w:rsid w:val="00F24DE8"/>
    <w:rsid w:val="00F2605A"/>
    <w:rsid w:val="00F26851"/>
    <w:rsid w:val="00F2721F"/>
    <w:rsid w:val="00F30250"/>
    <w:rsid w:val="00F302A7"/>
    <w:rsid w:val="00F31174"/>
    <w:rsid w:val="00F33051"/>
    <w:rsid w:val="00F33D95"/>
    <w:rsid w:val="00F347C1"/>
    <w:rsid w:val="00F34F69"/>
    <w:rsid w:val="00F35087"/>
    <w:rsid w:val="00F36A0D"/>
    <w:rsid w:val="00F372F4"/>
    <w:rsid w:val="00F37863"/>
    <w:rsid w:val="00F400C9"/>
    <w:rsid w:val="00F40684"/>
    <w:rsid w:val="00F40B90"/>
    <w:rsid w:val="00F4153E"/>
    <w:rsid w:val="00F42A26"/>
    <w:rsid w:val="00F42D01"/>
    <w:rsid w:val="00F42F94"/>
    <w:rsid w:val="00F435E7"/>
    <w:rsid w:val="00F43622"/>
    <w:rsid w:val="00F44731"/>
    <w:rsid w:val="00F4624E"/>
    <w:rsid w:val="00F462D6"/>
    <w:rsid w:val="00F463BD"/>
    <w:rsid w:val="00F467DC"/>
    <w:rsid w:val="00F472CE"/>
    <w:rsid w:val="00F47F16"/>
    <w:rsid w:val="00F50845"/>
    <w:rsid w:val="00F51606"/>
    <w:rsid w:val="00F51864"/>
    <w:rsid w:val="00F51CCB"/>
    <w:rsid w:val="00F52464"/>
    <w:rsid w:val="00F527ED"/>
    <w:rsid w:val="00F52B9D"/>
    <w:rsid w:val="00F53860"/>
    <w:rsid w:val="00F545CD"/>
    <w:rsid w:val="00F54A01"/>
    <w:rsid w:val="00F54B4A"/>
    <w:rsid w:val="00F55368"/>
    <w:rsid w:val="00F560C5"/>
    <w:rsid w:val="00F566C8"/>
    <w:rsid w:val="00F568BD"/>
    <w:rsid w:val="00F57E53"/>
    <w:rsid w:val="00F6328B"/>
    <w:rsid w:val="00F636C0"/>
    <w:rsid w:val="00F63FC2"/>
    <w:rsid w:val="00F64AC2"/>
    <w:rsid w:val="00F64B8C"/>
    <w:rsid w:val="00F652A3"/>
    <w:rsid w:val="00F65F63"/>
    <w:rsid w:val="00F66BD0"/>
    <w:rsid w:val="00F678A5"/>
    <w:rsid w:val="00F706E7"/>
    <w:rsid w:val="00F70F7E"/>
    <w:rsid w:val="00F723B0"/>
    <w:rsid w:val="00F725F9"/>
    <w:rsid w:val="00F72621"/>
    <w:rsid w:val="00F73E8C"/>
    <w:rsid w:val="00F743EE"/>
    <w:rsid w:val="00F74573"/>
    <w:rsid w:val="00F758E3"/>
    <w:rsid w:val="00F75B91"/>
    <w:rsid w:val="00F763CE"/>
    <w:rsid w:val="00F77DD9"/>
    <w:rsid w:val="00F81458"/>
    <w:rsid w:val="00F81746"/>
    <w:rsid w:val="00F833D7"/>
    <w:rsid w:val="00F83D1C"/>
    <w:rsid w:val="00F846F8"/>
    <w:rsid w:val="00F8555B"/>
    <w:rsid w:val="00F859D7"/>
    <w:rsid w:val="00F86595"/>
    <w:rsid w:val="00F87102"/>
    <w:rsid w:val="00F872A9"/>
    <w:rsid w:val="00F8732D"/>
    <w:rsid w:val="00F87623"/>
    <w:rsid w:val="00F879E9"/>
    <w:rsid w:val="00F87DBA"/>
    <w:rsid w:val="00F91E06"/>
    <w:rsid w:val="00F920B9"/>
    <w:rsid w:val="00F93F48"/>
    <w:rsid w:val="00F95781"/>
    <w:rsid w:val="00F96752"/>
    <w:rsid w:val="00F9794C"/>
    <w:rsid w:val="00FA01A1"/>
    <w:rsid w:val="00FA244D"/>
    <w:rsid w:val="00FA287D"/>
    <w:rsid w:val="00FA3285"/>
    <w:rsid w:val="00FA5202"/>
    <w:rsid w:val="00FA53E4"/>
    <w:rsid w:val="00FA5C1A"/>
    <w:rsid w:val="00FA5E2D"/>
    <w:rsid w:val="00FB00EE"/>
    <w:rsid w:val="00FB1114"/>
    <w:rsid w:val="00FB2524"/>
    <w:rsid w:val="00FB261C"/>
    <w:rsid w:val="00FB2AC2"/>
    <w:rsid w:val="00FB2BAE"/>
    <w:rsid w:val="00FB3454"/>
    <w:rsid w:val="00FB3D52"/>
    <w:rsid w:val="00FB47FD"/>
    <w:rsid w:val="00FB5CC7"/>
    <w:rsid w:val="00FB6023"/>
    <w:rsid w:val="00FB6175"/>
    <w:rsid w:val="00FB7323"/>
    <w:rsid w:val="00FB7416"/>
    <w:rsid w:val="00FB7931"/>
    <w:rsid w:val="00FB7C57"/>
    <w:rsid w:val="00FB7DED"/>
    <w:rsid w:val="00FC07B4"/>
    <w:rsid w:val="00FC0E1C"/>
    <w:rsid w:val="00FC279B"/>
    <w:rsid w:val="00FC340F"/>
    <w:rsid w:val="00FC37B6"/>
    <w:rsid w:val="00FC402C"/>
    <w:rsid w:val="00FC4272"/>
    <w:rsid w:val="00FC4342"/>
    <w:rsid w:val="00FC4FFA"/>
    <w:rsid w:val="00FC5620"/>
    <w:rsid w:val="00FC6F15"/>
    <w:rsid w:val="00FC737D"/>
    <w:rsid w:val="00FC7667"/>
    <w:rsid w:val="00FC7A6D"/>
    <w:rsid w:val="00FD1AA6"/>
    <w:rsid w:val="00FD2159"/>
    <w:rsid w:val="00FD37D8"/>
    <w:rsid w:val="00FD3EC8"/>
    <w:rsid w:val="00FD4063"/>
    <w:rsid w:val="00FD460F"/>
    <w:rsid w:val="00FD4993"/>
    <w:rsid w:val="00FD4C63"/>
    <w:rsid w:val="00FD52EE"/>
    <w:rsid w:val="00FD5CFC"/>
    <w:rsid w:val="00FD60E4"/>
    <w:rsid w:val="00FD6434"/>
    <w:rsid w:val="00FD683D"/>
    <w:rsid w:val="00FD6A5C"/>
    <w:rsid w:val="00FD6BDD"/>
    <w:rsid w:val="00FD7F2E"/>
    <w:rsid w:val="00FE04B3"/>
    <w:rsid w:val="00FE0BCD"/>
    <w:rsid w:val="00FE0C3F"/>
    <w:rsid w:val="00FE1143"/>
    <w:rsid w:val="00FE2077"/>
    <w:rsid w:val="00FE4795"/>
    <w:rsid w:val="00FE4A0D"/>
    <w:rsid w:val="00FE53F1"/>
    <w:rsid w:val="00FE5A7A"/>
    <w:rsid w:val="00FE5F73"/>
    <w:rsid w:val="00FE70B1"/>
    <w:rsid w:val="00FE73FA"/>
    <w:rsid w:val="00FE7A25"/>
    <w:rsid w:val="00FE7C91"/>
    <w:rsid w:val="00FF1CA7"/>
    <w:rsid w:val="00FF4A0C"/>
    <w:rsid w:val="00FF51D2"/>
    <w:rsid w:val="00FF5487"/>
    <w:rsid w:val="00FF5808"/>
    <w:rsid w:val="00FF6DAD"/>
    <w:rsid w:val="00FF6ED0"/>
    <w:rsid w:val="00FF7354"/>
    <w:rsid w:val="00FF7E13"/>
    <w:rsid w:val="00FF7F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D0E47"/>
  <w15:chartTrackingRefBased/>
  <w15:docId w15:val="{A9190D6B-984C-4D2A-9C08-037C74253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7624"/>
    <w:pPr>
      <w:spacing w:after="3" w:line="219" w:lineRule="auto"/>
      <w:ind w:left="10" w:right="2" w:hanging="10"/>
      <w:jc w:val="both"/>
    </w:pPr>
    <w:rPr>
      <w:rFonts w:ascii="Avant Garde" w:eastAsia="Avant Garde" w:hAnsi="Avant Garde" w:cs="Avant Garde"/>
      <w:color w:val="000000"/>
      <w:lang w:eastAsia="es-MX"/>
    </w:rPr>
  </w:style>
  <w:style w:type="paragraph" w:styleId="Ttulo1">
    <w:name w:val="heading 1"/>
    <w:aliases w:val="h1,TOC,Heading,Numbered - 1,ARC 1,heading1,q,Heading 2-SOW,1,Gp Heading,Part,Chapter Heading,Section Heading,KJL:Main,H1,Document, Document,l,h,l1,11,12,13,14,15,111,121,131,141,16,112,122,132,142,17,113,123,133,143,18,114,124,134,144,19,115,a"/>
    <w:next w:val="Normal"/>
    <w:link w:val="Ttulo1Car"/>
    <w:uiPriority w:val="9"/>
    <w:unhideWhenUsed/>
    <w:qFormat/>
    <w:rsid w:val="00DA60CB"/>
    <w:pPr>
      <w:keepNext/>
      <w:keepLines/>
      <w:spacing w:after="0"/>
      <w:ind w:left="370" w:hanging="10"/>
      <w:outlineLvl w:val="0"/>
    </w:pPr>
    <w:rPr>
      <w:rFonts w:ascii="Avant Garde" w:eastAsia="Avant Garde" w:hAnsi="Avant Garde" w:cs="Avant Garde"/>
      <w:color w:val="000000"/>
      <w:sz w:val="24"/>
      <w:lang w:eastAsia="es-MX"/>
    </w:rPr>
  </w:style>
  <w:style w:type="paragraph" w:styleId="Ttulo2">
    <w:name w:val="heading 2"/>
    <w:aliases w:val="h2,Section,Numbered - 2,Major,título 2,ARC 2,Para2,heading2,2,headi,h21,h22,21,H2,w,heading 2,headline,side,l2,list + change bar,???,Titre 2,Chapter,1.Seite,Sub Heading,Reset numbering,KJL:1st Level,sl2,22,23,211,221,24,212,222,25,213,223,26"/>
    <w:basedOn w:val="Normal"/>
    <w:next w:val="Normal"/>
    <w:link w:val="Ttulo2Car"/>
    <w:uiPriority w:val="9"/>
    <w:unhideWhenUsed/>
    <w:qFormat/>
    <w:rsid w:val="00DA60CB"/>
    <w:pPr>
      <w:keepNext/>
      <w:keepLines/>
      <w:spacing w:before="360" w:after="240" w:line="320" w:lineRule="atLeast"/>
      <w:ind w:left="0" w:right="0" w:hanging="499"/>
      <w:outlineLvl w:val="1"/>
    </w:pPr>
    <w:rPr>
      <w:rFonts w:ascii="Times New Roman" w:eastAsia="Times New Roman" w:hAnsi="Times New Roman" w:cs="Times New Roman"/>
      <w:b/>
      <w:bCs/>
      <w:color w:val="auto"/>
      <w:sz w:val="24"/>
      <w:szCs w:val="26"/>
      <w:lang w:val="es-ES" w:eastAsia="en-US"/>
    </w:rPr>
  </w:style>
  <w:style w:type="paragraph" w:styleId="Ttulo3">
    <w:name w:val="heading 3"/>
    <w:aliases w:val="h3,3,l3,Guide 3,Head 3,List level 3,list 3,l3+toc 3,CT,X.X.X,two dig,C Sub-Sub/Italic,Head 31,Head 32,C Sub-Sub/Italic1,h3 sub heading,H3,3m,Normal + num,Heading three,Sub-section,heading 3,H31,Titre 3,_hh_Heading3,Sub-Section,ARC 3,heading3,e"/>
    <w:basedOn w:val="Normal"/>
    <w:next w:val="Normal"/>
    <w:link w:val="Ttulo3Car"/>
    <w:uiPriority w:val="9"/>
    <w:unhideWhenUsed/>
    <w:qFormat/>
    <w:rsid w:val="00DA60CB"/>
    <w:pPr>
      <w:keepNext/>
      <w:keepLines/>
      <w:spacing w:before="360" w:after="240" w:line="320" w:lineRule="atLeast"/>
      <w:ind w:left="0" w:right="0" w:hanging="499"/>
      <w:outlineLvl w:val="2"/>
    </w:pPr>
    <w:rPr>
      <w:rFonts w:ascii="Times New Roman" w:eastAsia="Times New Roman" w:hAnsi="Times New Roman" w:cs="Times New Roman"/>
      <w:b/>
      <w:bCs/>
      <w:color w:val="auto"/>
      <w:lang w:val="es-ES" w:eastAsia="en-US"/>
    </w:rPr>
  </w:style>
  <w:style w:type="paragraph" w:styleId="Ttulo4">
    <w:name w:val="heading 4"/>
    <w:aliases w:val="h4,Underunderafsnit"/>
    <w:basedOn w:val="Normal"/>
    <w:next w:val="Normal"/>
    <w:link w:val="Ttulo4Car"/>
    <w:uiPriority w:val="9"/>
    <w:unhideWhenUsed/>
    <w:qFormat/>
    <w:rsid w:val="00DA60CB"/>
    <w:pPr>
      <w:keepNext/>
      <w:keepLines/>
      <w:spacing w:before="360" w:after="240" w:line="320" w:lineRule="atLeast"/>
      <w:ind w:left="0" w:right="0" w:firstLine="0"/>
      <w:outlineLvl w:val="3"/>
    </w:pPr>
    <w:rPr>
      <w:rFonts w:ascii="Times New Roman" w:eastAsia="Times New Roman" w:hAnsi="Times New Roman" w:cs="Times New Roman"/>
      <w:bCs/>
      <w:i/>
      <w:iCs/>
      <w:color w:val="auto"/>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rueba1,Numeración 1"/>
    <w:basedOn w:val="Normal"/>
    <w:link w:val="PrrafodelistaCar"/>
    <w:uiPriority w:val="99"/>
    <w:qFormat/>
    <w:rsid w:val="00BE6636"/>
    <w:pPr>
      <w:ind w:left="720"/>
      <w:contextualSpacing/>
    </w:pPr>
  </w:style>
  <w:style w:type="character" w:customStyle="1" w:styleId="PrrafodelistaCar">
    <w:name w:val="Párrafo de lista Car"/>
    <w:aliases w:val="prueba1 Car,Numeración 1 Car"/>
    <w:basedOn w:val="Fuentedeprrafopredeter"/>
    <w:link w:val="Prrafodelista"/>
    <w:uiPriority w:val="99"/>
    <w:qFormat/>
    <w:rsid w:val="00BE6636"/>
    <w:rPr>
      <w:rFonts w:ascii="Avant Garde" w:eastAsia="Avant Garde" w:hAnsi="Avant Garde" w:cs="Avant Garde"/>
      <w:color w:val="000000"/>
      <w:lang w:eastAsia="es-MX"/>
    </w:rPr>
  </w:style>
  <w:style w:type="character" w:customStyle="1" w:styleId="Ttulo1Car">
    <w:name w:val="Título 1 Car"/>
    <w:aliases w:val="h1 Car,TOC Car,Heading Car,Numbered - 1 Car,ARC 1 Car,heading1 Car,q Car,Heading 2-SOW Car,1 Car,Gp Heading Car,Part Car,Chapter Heading Car,Section Heading Car,KJL:Main Car,H1 Car,Document Car, Document Car,l Car,h Car,l1 Car,11 Car,12 Car"/>
    <w:basedOn w:val="Fuentedeprrafopredeter"/>
    <w:link w:val="Ttulo1"/>
    <w:uiPriority w:val="9"/>
    <w:rsid w:val="00DA60CB"/>
    <w:rPr>
      <w:rFonts w:ascii="Avant Garde" w:eastAsia="Avant Garde" w:hAnsi="Avant Garde" w:cs="Avant Garde"/>
      <w:color w:val="000000"/>
      <w:sz w:val="24"/>
      <w:lang w:eastAsia="es-MX"/>
    </w:rPr>
  </w:style>
  <w:style w:type="character" w:customStyle="1" w:styleId="Ttulo2Car">
    <w:name w:val="Título 2 Car"/>
    <w:aliases w:val="h2 Car,Section Car,Numbered - 2 Car,Major Car,título 2 Car,ARC 2 Car,Para2 Car,heading2 Car,2 Car,headi Car,h21 Car,h22 Car,21 Car,H2 Car,w Car,heading 2 Car,headline Car,side Car,l2 Car,list + change bar Car,??? Car,Titre 2 Car,Chapter Car"/>
    <w:basedOn w:val="Fuentedeprrafopredeter"/>
    <w:link w:val="Ttulo2"/>
    <w:uiPriority w:val="9"/>
    <w:rsid w:val="00DA60CB"/>
    <w:rPr>
      <w:rFonts w:ascii="Times New Roman" w:eastAsia="Times New Roman" w:hAnsi="Times New Roman" w:cs="Times New Roman"/>
      <w:b/>
      <w:bCs/>
      <w:sz w:val="24"/>
      <w:szCs w:val="26"/>
      <w:lang w:val="es-ES"/>
    </w:rPr>
  </w:style>
  <w:style w:type="character" w:customStyle="1" w:styleId="Ttulo3Car">
    <w:name w:val="Título 3 Car"/>
    <w:aliases w:val="h3 Car,3 Car,l3 Car,Guide 3 Car,Head 3 Car,List level 3 Car,list 3 Car,l3+toc 3 Car,CT Car,X.X.X Car,two dig Car,C Sub-Sub/Italic Car,Head 31 Car,Head 32 Car,C Sub-Sub/Italic1 Car,h3 sub heading Car,H3 Car,3m Car,Normal + num Car,H31 Car"/>
    <w:basedOn w:val="Fuentedeprrafopredeter"/>
    <w:link w:val="Ttulo3"/>
    <w:uiPriority w:val="9"/>
    <w:rsid w:val="00DA60CB"/>
    <w:rPr>
      <w:rFonts w:ascii="Times New Roman" w:eastAsia="Times New Roman" w:hAnsi="Times New Roman" w:cs="Times New Roman"/>
      <w:b/>
      <w:bCs/>
      <w:lang w:val="es-ES"/>
    </w:rPr>
  </w:style>
  <w:style w:type="character" w:customStyle="1" w:styleId="Ttulo4Car">
    <w:name w:val="Título 4 Car"/>
    <w:aliases w:val="h4 Car,Underunderafsnit Car"/>
    <w:basedOn w:val="Fuentedeprrafopredeter"/>
    <w:link w:val="Ttulo4"/>
    <w:uiPriority w:val="9"/>
    <w:rsid w:val="00DA60CB"/>
    <w:rPr>
      <w:rFonts w:ascii="Times New Roman" w:eastAsia="Times New Roman" w:hAnsi="Times New Roman" w:cs="Times New Roman"/>
      <w:bCs/>
      <w:i/>
      <w:iCs/>
      <w:lang w:val="es-ES"/>
    </w:rPr>
  </w:style>
  <w:style w:type="paragraph" w:customStyle="1" w:styleId="Default">
    <w:name w:val="Default"/>
    <w:rsid w:val="00DA60CB"/>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nhideWhenUsed/>
    <w:rsid w:val="00DA60CB"/>
    <w:rPr>
      <w:sz w:val="16"/>
      <w:szCs w:val="16"/>
    </w:rPr>
  </w:style>
  <w:style w:type="paragraph" w:styleId="Textocomentario">
    <w:name w:val="annotation text"/>
    <w:basedOn w:val="Normal"/>
    <w:link w:val="TextocomentarioCar"/>
    <w:unhideWhenUsed/>
    <w:rsid w:val="00DA60CB"/>
    <w:pPr>
      <w:spacing w:after="20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comentarioCar">
    <w:name w:val="Texto comentario Car"/>
    <w:basedOn w:val="Fuentedeprrafopredeter"/>
    <w:link w:val="Textocomentario"/>
    <w:rsid w:val="00DA60CB"/>
    <w:rPr>
      <w:sz w:val="20"/>
      <w:szCs w:val="20"/>
    </w:rPr>
  </w:style>
  <w:style w:type="paragraph" w:styleId="Textodeglobo">
    <w:name w:val="Balloon Text"/>
    <w:basedOn w:val="Normal"/>
    <w:link w:val="TextodegloboCar"/>
    <w:uiPriority w:val="99"/>
    <w:unhideWhenUsed/>
    <w:rsid w:val="00DA60C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DA60CB"/>
    <w:rPr>
      <w:rFonts w:ascii="Segoe UI" w:eastAsia="Avant Garde" w:hAnsi="Segoe UI" w:cs="Segoe UI"/>
      <w:color w:val="000000"/>
      <w:sz w:val="18"/>
      <w:szCs w:val="18"/>
      <w:lang w:eastAsia="es-MX"/>
    </w:rPr>
  </w:style>
  <w:style w:type="character" w:styleId="Hipervnculo">
    <w:name w:val="Hyperlink"/>
    <w:basedOn w:val="Fuentedeprrafopredeter"/>
    <w:uiPriority w:val="99"/>
    <w:unhideWhenUsed/>
    <w:rsid w:val="00DA60CB"/>
    <w:rPr>
      <w:color w:val="0563C1" w:themeColor="hyperlink"/>
      <w:u w:val="single"/>
    </w:rPr>
  </w:style>
  <w:style w:type="character" w:customStyle="1" w:styleId="apple-converted-space">
    <w:name w:val="apple-converted-space"/>
    <w:basedOn w:val="Fuentedeprrafopredeter"/>
    <w:rsid w:val="00DA60CB"/>
  </w:style>
  <w:style w:type="paragraph" w:styleId="Textoindependiente2">
    <w:name w:val="Body Text 2"/>
    <w:basedOn w:val="Normal"/>
    <w:link w:val="Textoindependiente2Car"/>
    <w:rsid w:val="00DA60CB"/>
    <w:pPr>
      <w:spacing w:after="0" w:line="240" w:lineRule="auto"/>
      <w:ind w:left="0" w:right="0" w:firstLine="0"/>
    </w:pPr>
    <w:rPr>
      <w:rFonts w:ascii="Arial" w:eastAsia="Times New Roman" w:hAnsi="Arial" w:cs="Arial"/>
      <w:snapToGrid w:val="0"/>
      <w:color w:val="auto"/>
      <w:szCs w:val="20"/>
      <w:lang w:eastAsia="en-US"/>
    </w:rPr>
  </w:style>
  <w:style w:type="character" w:customStyle="1" w:styleId="Textoindependiente2Car">
    <w:name w:val="Texto independiente 2 Car"/>
    <w:basedOn w:val="Fuentedeprrafopredeter"/>
    <w:link w:val="Textoindependiente2"/>
    <w:rsid w:val="00DA60CB"/>
    <w:rPr>
      <w:rFonts w:ascii="Arial" w:eastAsia="Times New Roman" w:hAnsi="Arial" w:cs="Arial"/>
      <w:snapToGrid w:val="0"/>
      <w:szCs w:val="20"/>
    </w:rPr>
  </w:style>
  <w:style w:type="paragraph" w:customStyle="1" w:styleId="Ejemplo">
    <w:name w:val="Ejemplo"/>
    <w:basedOn w:val="Normal"/>
    <w:link w:val="EjemploChar"/>
    <w:qFormat/>
    <w:rsid w:val="00DA60CB"/>
    <w:pPr>
      <w:spacing w:before="240" w:after="240" w:line="276" w:lineRule="auto"/>
      <w:ind w:left="0" w:right="0" w:firstLine="0"/>
      <w:jc w:val="center"/>
    </w:pPr>
    <w:rPr>
      <w:rFonts w:ascii="ITC Avant Garde" w:eastAsia="Times New Roman" w:hAnsi="ITC Avant Garde" w:cs="Arial"/>
      <w:color w:val="auto"/>
    </w:rPr>
  </w:style>
  <w:style w:type="character" w:customStyle="1" w:styleId="EjemploChar">
    <w:name w:val="Ejemplo Char"/>
    <w:basedOn w:val="Fuentedeprrafopredeter"/>
    <w:link w:val="Ejemplo"/>
    <w:rsid w:val="00DA60CB"/>
    <w:rPr>
      <w:rFonts w:ascii="ITC Avant Garde" w:eastAsia="Times New Roman" w:hAnsi="ITC Avant Garde" w:cs="Arial"/>
      <w:lang w:eastAsia="es-MX"/>
    </w:rPr>
  </w:style>
  <w:style w:type="paragraph" w:customStyle="1" w:styleId="Titulo2">
    <w:name w:val="Titulo 2"/>
    <w:basedOn w:val="Normal"/>
    <w:rsid w:val="00DA60CB"/>
    <w:pPr>
      <w:pBdr>
        <w:top w:val="double" w:sz="6" w:space="1" w:color="auto"/>
      </w:pBdr>
      <w:spacing w:after="101" w:line="240" w:lineRule="auto"/>
      <w:ind w:left="0" w:right="0" w:firstLine="0"/>
      <w:outlineLvl w:val="1"/>
    </w:pPr>
    <w:rPr>
      <w:rFonts w:ascii="Arial" w:eastAsia="Times New Roman" w:hAnsi="Arial" w:cs="Arial"/>
      <w:color w:val="auto"/>
      <w:sz w:val="18"/>
      <w:szCs w:val="20"/>
      <w:lang w:eastAsia="es-ES"/>
    </w:rPr>
  </w:style>
  <w:style w:type="paragraph" w:customStyle="1" w:styleId="Textoindependiente21">
    <w:name w:val="Texto independiente 21"/>
    <w:basedOn w:val="Normal"/>
    <w:rsid w:val="00DA60CB"/>
    <w:pPr>
      <w:suppressAutoHyphens/>
      <w:spacing w:after="0" w:line="100" w:lineRule="atLeast"/>
      <w:ind w:left="0" w:right="0" w:firstLine="0"/>
      <w:jc w:val="left"/>
    </w:pPr>
    <w:rPr>
      <w:rFonts w:ascii="Times New Roman" w:eastAsia="Times New Roman" w:hAnsi="Times New Roman" w:cs="Times New Roman"/>
      <w:color w:val="auto"/>
      <w:kern w:val="2"/>
      <w:sz w:val="20"/>
      <w:szCs w:val="20"/>
      <w:lang w:val="es-ES" w:eastAsia="ar-SA"/>
    </w:rPr>
  </w:style>
  <w:style w:type="character" w:styleId="Refdenotaalpie">
    <w:name w:val="footnote reference"/>
    <w:aliases w:val="(NECG) Footnote Reference,o,fr,Style 3,Appel note de bas de p,Style 12,Style 124,Ref,de nota al pie"/>
    <w:uiPriority w:val="99"/>
    <w:rsid w:val="00DA60CB"/>
    <w:rPr>
      <w:vertAlign w:val="superscript"/>
    </w:rPr>
  </w:style>
  <w:style w:type="paragraph" w:customStyle="1" w:styleId="Citas">
    <w:name w:val="Citas"/>
    <w:basedOn w:val="Normal"/>
    <w:link w:val="CitasChar"/>
    <w:qFormat/>
    <w:rsid w:val="00DA60CB"/>
    <w:pPr>
      <w:tabs>
        <w:tab w:val="left" w:pos="8280"/>
      </w:tabs>
      <w:spacing w:after="120" w:line="360" w:lineRule="auto"/>
      <w:ind w:left="567" w:right="900" w:firstLine="0"/>
    </w:pPr>
    <w:rPr>
      <w:rFonts w:ascii="Century Gothic" w:eastAsia="Times New Roman" w:hAnsi="Century Gothic" w:cs="Times New Roman"/>
      <w:i/>
      <w:color w:val="auto"/>
      <w:sz w:val="24"/>
      <w:szCs w:val="24"/>
      <w:lang w:eastAsia="es-ES"/>
    </w:rPr>
  </w:style>
  <w:style w:type="character" w:customStyle="1" w:styleId="CitasChar">
    <w:name w:val="Citas Char"/>
    <w:link w:val="Citas"/>
    <w:rsid w:val="00DA60CB"/>
    <w:rPr>
      <w:rFonts w:ascii="Century Gothic" w:eastAsia="Times New Roman" w:hAnsi="Century Gothic" w:cs="Times New Roman"/>
      <w:i/>
      <w:sz w:val="24"/>
      <w:szCs w:val="24"/>
      <w:lang w:eastAsia="es-ES"/>
    </w:rPr>
  </w:style>
  <w:style w:type="paragraph" w:styleId="Textonotapie">
    <w:name w:val="footnote text"/>
    <w:aliases w:val="Footnote Text Char Char Char,Footnote Text Char Char Char Char Char Char Char,Footnote Text Char Char Char Char Char Char Char Char Char,Footnote Text Char Char Char Char Char,Footnote Text2 Char Char,ALTS FOOTNOTE,Footnote Text Char3,5_G"/>
    <w:basedOn w:val="Normal"/>
    <w:link w:val="TextonotapieCar"/>
    <w:qFormat/>
    <w:rsid w:val="00DA60CB"/>
    <w:pPr>
      <w:spacing w:after="0" w:line="240" w:lineRule="auto"/>
      <w:ind w:left="0" w:right="0" w:firstLine="0"/>
      <w:jc w:val="left"/>
    </w:pPr>
    <w:rPr>
      <w:rFonts w:ascii="Arial" w:eastAsia="Times New Roman" w:hAnsi="Arial" w:cs="Times New Roman"/>
      <w:color w:val="auto"/>
      <w:sz w:val="20"/>
      <w:szCs w:val="20"/>
      <w:lang w:val="es-ES" w:eastAsia="es-ES"/>
    </w:rPr>
  </w:style>
  <w:style w:type="character" w:customStyle="1" w:styleId="TextonotapieCar">
    <w:name w:val="Texto nota pie Car"/>
    <w:aliases w:val="Footnote Text Char Char Char Car,Footnote Text Char Char Char Char Char Char Char Car,Footnote Text Char Char Char Char Char Char Char Char Char Car,Footnote Text Char Char Char Char Char Car,Footnote Text2 Char Char Car,5_G Car"/>
    <w:basedOn w:val="Fuentedeprrafopredeter"/>
    <w:link w:val="Textonotapie"/>
    <w:rsid w:val="00DA60CB"/>
    <w:rPr>
      <w:rFonts w:ascii="Arial" w:eastAsia="Times New Roman" w:hAnsi="Arial" w:cs="Times New Roman"/>
      <w:sz w:val="20"/>
      <w:szCs w:val="20"/>
      <w:lang w:val="es-ES" w:eastAsia="es-ES"/>
    </w:rPr>
  </w:style>
  <w:style w:type="paragraph" w:customStyle="1" w:styleId="s4">
    <w:name w:val="s4"/>
    <w:basedOn w:val="Normal"/>
    <w:rsid w:val="00DA60CB"/>
    <w:pPr>
      <w:spacing w:before="100" w:beforeAutospacing="1" w:after="100" w:afterAutospacing="1" w:line="360" w:lineRule="auto"/>
      <w:ind w:left="0" w:right="0" w:firstLine="0"/>
    </w:pPr>
    <w:rPr>
      <w:rFonts w:ascii="Times New Roman" w:eastAsia="Calibri" w:hAnsi="Times New Roman" w:cs="Times New Roman"/>
      <w:color w:val="auto"/>
      <w:sz w:val="24"/>
      <w:szCs w:val="24"/>
      <w:lang w:eastAsia="en-US"/>
    </w:rPr>
  </w:style>
  <w:style w:type="paragraph" w:customStyle="1" w:styleId="s11">
    <w:name w:val="s11"/>
    <w:basedOn w:val="Normal"/>
    <w:rsid w:val="00DA60CB"/>
    <w:pPr>
      <w:spacing w:before="100" w:beforeAutospacing="1" w:after="100" w:afterAutospacing="1" w:line="360" w:lineRule="auto"/>
      <w:ind w:left="0" w:right="0" w:firstLine="0"/>
    </w:pPr>
    <w:rPr>
      <w:rFonts w:ascii="Times New Roman" w:eastAsia="Calibri" w:hAnsi="Times New Roman" w:cs="Times New Roman"/>
      <w:color w:val="auto"/>
      <w:sz w:val="24"/>
      <w:szCs w:val="24"/>
      <w:lang w:eastAsia="en-US"/>
    </w:rPr>
  </w:style>
  <w:style w:type="character" w:customStyle="1" w:styleId="s6">
    <w:name w:val="s6"/>
    <w:rsid w:val="00DA60CB"/>
  </w:style>
  <w:style w:type="character" w:customStyle="1" w:styleId="s2">
    <w:name w:val="s2"/>
    <w:rsid w:val="00DA60CB"/>
  </w:style>
  <w:style w:type="paragraph" w:styleId="NormalWeb">
    <w:name w:val="Normal (Web)"/>
    <w:basedOn w:val="Normal"/>
    <w:uiPriority w:val="99"/>
    <w:semiHidden/>
    <w:unhideWhenUsed/>
    <w:rsid w:val="00DA60CB"/>
    <w:pPr>
      <w:spacing w:before="100" w:beforeAutospacing="1" w:after="100" w:afterAutospacing="1" w:line="240" w:lineRule="auto"/>
      <w:ind w:left="0" w:right="0" w:firstLine="0"/>
      <w:jc w:val="left"/>
    </w:pPr>
    <w:rPr>
      <w:rFonts w:ascii="Times New Roman" w:eastAsiaTheme="minorHAnsi" w:hAnsi="Times New Roman" w:cs="Times New Roman"/>
      <w:color w:val="auto"/>
      <w:sz w:val="24"/>
      <w:szCs w:val="24"/>
    </w:rPr>
  </w:style>
  <w:style w:type="paragraph" w:styleId="Descripcin">
    <w:name w:val="caption"/>
    <w:basedOn w:val="Normal"/>
    <w:next w:val="Normal"/>
    <w:uiPriority w:val="35"/>
    <w:unhideWhenUsed/>
    <w:qFormat/>
    <w:rsid w:val="00DA60CB"/>
    <w:pPr>
      <w:spacing w:after="200" w:line="240" w:lineRule="auto"/>
      <w:ind w:left="0" w:right="0" w:firstLine="0"/>
      <w:jc w:val="left"/>
    </w:pPr>
    <w:rPr>
      <w:rFonts w:asciiTheme="minorHAnsi" w:eastAsiaTheme="minorEastAsia" w:hAnsiTheme="minorHAnsi" w:cstheme="minorBidi"/>
      <w:i/>
      <w:iCs/>
      <w:color w:val="44546A" w:themeColor="text2"/>
      <w:sz w:val="18"/>
      <w:szCs w:val="18"/>
      <w:lang w:eastAsia="en-US"/>
    </w:rPr>
  </w:style>
  <w:style w:type="paragraph" w:customStyle="1" w:styleId="Normal2">
    <w:name w:val="Normal2"/>
    <w:rsid w:val="00DA60CB"/>
    <w:pPr>
      <w:spacing w:after="0" w:line="276" w:lineRule="auto"/>
    </w:pPr>
    <w:rPr>
      <w:rFonts w:ascii="Arial" w:eastAsia="Arial" w:hAnsi="Arial" w:cs="Arial"/>
      <w:color w:val="000000"/>
      <w:szCs w:val="20"/>
      <w:lang w:val="en-US"/>
    </w:rPr>
  </w:style>
  <w:style w:type="paragraph" w:customStyle="1" w:styleId="IFTnormal">
    <w:name w:val="IFT normal"/>
    <w:basedOn w:val="Normal"/>
    <w:link w:val="IFTnormalCar"/>
    <w:qFormat/>
    <w:rsid w:val="00DA60CB"/>
    <w:pPr>
      <w:spacing w:after="200" w:line="276" w:lineRule="auto"/>
      <w:ind w:left="426" w:right="0" w:firstLine="0"/>
    </w:pPr>
    <w:rPr>
      <w:rFonts w:ascii="ITC Avant Garde" w:eastAsia="Times New Roman" w:hAnsi="ITC Avant Garde" w:cs="Times New Roman"/>
      <w:iCs/>
      <w:color w:val="auto"/>
      <w:lang w:val="es-ES"/>
    </w:rPr>
  </w:style>
  <w:style w:type="paragraph" w:customStyle="1" w:styleId="TAL">
    <w:name w:val="TAL"/>
    <w:basedOn w:val="Normal"/>
    <w:link w:val="TALChar"/>
    <w:uiPriority w:val="99"/>
    <w:rsid w:val="00DA60CB"/>
    <w:pPr>
      <w:keepNext/>
      <w:keepLines/>
      <w:spacing w:after="0" w:line="240" w:lineRule="auto"/>
      <w:ind w:left="0" w:right="0" w:firstLine="0"/>
      <w:jc w:val="left"/>
    </w:pPr>
    <w:rPr>
      <w:rFonts w:ascii="Arial" w:eastAsia="Batang" w:hAnsi="Arial" w:cs="Times New Roman"/>
      <w:color w:val="auto"/>
      <w:sz w:val="18"/>
      <w:szCs w:val="20"/>
      <w:lang w:val="en-GB" w:eastAsia="es-ES"/>
    </w:rPr>
  </w:style>
  <w:style w:type="character" w:customStyle="1" w:styleId="TALChar">
    <w:name w:val="TAL Char"/>
    <w:link w:val="TAL"/>
    <w:uiPriority w:val="99"/>
    <w:locked/>
    <w:rsid w:val="00DA60CB"/>
    <w:rPr>
      <w:rFonts w:ascii="Arial" w:eastAsia="Batang" w:hAnsi="Arial" w:cs="Times New Roman"/>
      <w:sz w:val="18"/>
      <w:szCs w:val="20"/>
      <w:lang w:val="en-GB" w:eastAsia="es-ES"/>
    </w:rPr>
  </w:style>
  <w:style w:type="table" w:styleId="Tablaconcuadrcula">
    <w:name w:val="Table Grid"/>
    <w:basedOn w:val="Tablanormal"/>
    <w:uiPriority w:val="39"/>
    <w:rsid w:val="00DA60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A60C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A60CB"/>
    <w:rPr>
      <w:rFonts w:ascii="Avant Garde" w:eastAsia="Avant Garde" w:hAnsi="Avant Garde" w:cs="Avant Garde"/>
      <w:color w:val="000000"/>
      <w:lang w:eastAsia="es-MX"/>
    </w:rPr>
  </w:style>
  <w:style w:type="paragraph" w:styleId="Piedepgina">
    <w:name w:val="footer"/>
    <w:basedOn w:val="Normal"/>
    <w:link w:val="PiedepginaCar"/>
    <w:uiPriority w:val="99"/>
    <w:unhideWhenUsed/>
    <w:rsid w:val="00DA60C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A60CB"/>
    <w:rPr>
      <w:rFonts w:ascii="Avant Garde" w:eastAsia="Avant Garde" w:hAnsi="Avant Garde" w:cs="Avant Garde"/>
      <w:color w:val="000000"/>
      <w:lang w:eastAsia="es-MX"/>
    </w:rPr>
  </w:style>
  <w:style w:type="paragraph" w:styleId="Asuntodelcomentario">
    <w:name w:val="annotation subject"/>
    <w:basedOn w:val="Textocomentario"/>
    <w:next w:val="Textocomentario"/>
    <w:link w:val="AsuntodelcomentarioCar"/>
    <w:uiPriority w:val="99"/>
    <w:semiHidden/>
    <w:unhideWhenUsed/>
    <w:rsid w:val="00DA60CB"/>
    <w:pPr>
      <w:spacing w:after="3"/>
      <w:ind w:left="10" w:right="2" w:hanging="10"/>
      <w:jc w:val="both"/>
    </w:pPr>
    <w:rPr>
      <w:rFonts w:ascii="Avant Garde" w:eastAsia="Avant Garde" w:hAnsi="Avant Garde" w:cs="Avant Garde"/>
      <w:b/>
      <w:bCs/>
      <w:color w:val="000000"/>
      <w:lang w:eastAsia="es-MX"/>
    </w:rPr>
  </w:style>
  <w:style w:type="character" w:customStyle="1" w:styleId="AsuntodelcomentarioCar">
    <w:name w:val="Asunto del comentario Car"/>
    <w:basedOn w:val="TextocomentarioCar"/>
    <w:link w:val="Asuntodelcomentario"/>
    <w:uiPriority w:val="99"/>
    <w:semiHidden/>
    <w:rsid w:val="00DA60CB"/>
    <w:rPr>
      <w:rFonts w:ascii="Avant Garde" w:eastAsia="Avant Garde" w:hAnsi="Avant Garde" w:cs="Avant Garde"/>
      <w:b/>
      <w:bCs/>
      <w:color w:val="000000"/>
      <w:sz w:val="20"/>
      <w:szCs w:val="20"/>
      <w:lang w:eastAsia="es-MX"/>
    </w:rPr>
  </w:style>
  <w:style w:type="paragraph" w:styleId="Textosinformato">
    <w:name w:val="Plain Text"/>
    <w:basedOn w:val="Normal"/>
    <w:link w:val="TextosinformatoCar"/>
    <w:rsid w:val="00DA60CB"/>
    <w:pPr>
      <w:spacing w:after="0" w:line="240" w:lineRule="auto"/>
      <w:ind w:left="0" w:right="0" w:firstLine="0"/>
      <w:jc w:val="left"/>
    </w:pPr>
    <w:rPr>
      <w:rFonts w:ascii="Courier New" w:eastAsia="Times New Roman" w:hAnsi="Courier New" w:cs="Courier New"/>
      <w:color w:val="auto"/>
      <w:sz w:val="20"/>
      <w:szCs w:val="20"/>
      <w:lang w:eastAsia="es-ES"/>
    </w:rPr>
  </w:style>
  <w:style w:type="character" w:customStyle="1" w:styleId="TextosinformatoCar">
    <w:name w:val="Texto sin formato Car"/>
    <w:basedOn w:val="Fuentedeprrafopredeter"/>
    <w:link w:val="Textosinformato"/>
    <w:rsid w:val="00DA60CB"/>
    <w:rPr>
      <w:rFonts w:ascii="Courier New" w:eastAsia="Times New Roman" w:hAnsi="Courier New" w:cs="Courier New"/>
      <w:sz w:val="20"/>
      <w:szCs w:val="20"/>
      <w:lang w:eastAsia="es-ES"/>
    </w:rPr>
  </w:style>
  <w:style w:type="character" w:customStyle="1" w:styleId="IFTnormalCar">
    <w:name w:val="IFT normal Car"/>
    <w:basedOn w:val="Fuentedeprrafopredeter"/>
    <w:link w:val="IFTnormal"/>
    <w:qFormat/>
    <w:rsid w:val="00DA60CB"/>
    <w:rPr>
      <w:rFonts w:ascii="ITC Avant Garde" w:eastAsia="Times New Roman" w:hAnsi="ITC Avant Garde" w:cs="Times New Roman"/>
      <w:iCs/>
      <w:lang w:val="es-ES" w:eastAsia="es-MX"/>
    </w:rPr>
  </w:style>
  <w:style w:type="paragraph" w:customStyle="1" w:styleId="Prrafodelista1">
    <w:name w:val="Párrafo de lista1"/>
    <w:basedOn w:val="Normal"/>
    <w:uiPriority w:val="99"/>
    <w:qFormat/>
    <w:rsid w:val="00DA60CB"/>
    <w:pPr>
      <w:spacing w:after="0" w:line="240" w:lineRule="auto"/>
      <w:ind w:left="708" w:right="0" w:firstLine="0"/>
      <w:jc w:val="left"/>
    </w:pPr>
    <w:rPr>
      <w:rFonts w:ascii="Times New Roman" w:eastAsia="Times New Roman" w:hAnsi="Times New Roman" w:cs="Times New Roman"/>
      <w:color w:val="auto"/>
      <w:sz w:val="24"/>
      <w:szCs w:val="24"/>
      <w:lang w:val="es-ES" w:eastAsia="es-ES"/>
    </w:rPr>
  </w:style>
  <w:style w:type="paragraph" w:customStyle="1" w:styleId="IFT1">
    <w:name w:val="IFT 1"/>
    <w:basedOn w:val="Normal"/>
    <w:link w:val="IFT1Car"/>
    <w:qFormat/>
    <w:rsid w:val="00DA60CB"/>
    <w:pPr>
      <w:spacing w:after="200" w:line="276" w:lineRule="auto"/>
      <w:ind w:left="0" w:right="0" w:firstLine="0"/>
    </w:pPr>
    <w:rPr>
      <w:rFonts w:ascii="ITC Avant Garde" w:eastAsia="Times New Roman" w:hAnsi="ITC Avant Garde" w:cs="Times New Roman"/>
      <w:iCs/>
      <w:color w:val="auto"/>
      <w:lang w:eastAsia="en-US"/>
    </w:rPr>
  </w:style>
  <w:style w:type="character" w:customStyle="1" w:styleId="IFT1Car">
    <w:name w:val="IFT 1 Car"/>
    <w:link w:val="IFT1"/>
    <w:rsid w:val="00DA60CB"/>
    <w:rPr>
      <w:rFonts w:ascii="ITC Avant Garde" w:eastAsia="Times New Roman" w:hAnsi="ITC Avant Garde" w:cs="Times New Roman"/>
      <w:iCs/>
    </w:rPr>
  </w:style>
  <w:style w:type="paragraph" w:customStyle="1" w:styleId="Citaift">
    <w:name w:val="Cita ift"/>
    <w:basedOn w:val="Normal"/>
    <w:link w:val="CitaiftCar"/>
    <w:qFormat/>
    <w:rsid w:val="00DA60CB"/>
    <w:pPr>
      <w:adjustRightInd w:val="0"/>
      <w:spacing w:after="200" w:line="276" w:lineRule="auto"/>
      <w:ind w:left="851" w:right="760" w:firstLine="0"/>
    </w:pPr>
    <w:rPr>
      <w:rFonts w:ascii="ITC Avant Garde" w:eastAsia="Times New Roman" w:hAnsi="ITC Avant Garde" w:cs="Arial"/>
      <w:i/>
      <w:sz w:val="18"/>
      <w:szCs w:val="18"/>
      <w:lang w:eastAsia="es-ES"/>
    </w:rPr>
  </w:style>
  <w:style w:type="character" w:customStyle="1" w:styleId="CitaiftCar">
    <w:name w:val="Cita ift Car"/>
    <w:link w:val="Citaift"/>
    <w:rsid w:val="00DA60CB"/>
    <w:rPr>
      <w:rFonts w:ascii="ITC Avant Garde" w:eastAsia="Times New Roman" w:hAnsi="ITC Avant Garde" w:cs="Arial"/>
      <w:i/>
      <w:color w:val="000000"/>
      <w:sz w:val="18"/>
      <w:szCs w:val="18"/>
      <w:lang w:eastAsia="es-ES"/>
    </w:rPr>
  </w:style>
  <w:style w:type="paragraph" w:styleId="Revisin">
    <w:name w:val="Revision"/>
    <w:hidden/>
    <w:uiPriority w:val="99"/>
    <w:semiHidden/>
    <w:rsid w:val="00DA60CB"/>
    <w:pPr>
      <w:spacing w:after="0" w:line="240" w:lineRule="auto"/>
    </w:pPr>
    <w:rPr>
      <w:rFonts w:ascii="Avant Garde" w:eastAsia="Avant Garde" w:hAnsi="Avant Garde" w:cs="Avant Garde"/>
      <w:color w:val="000000"/>
      <w:lang w:eastAsia="es-MX"/>
    </w:rPr>
  </w:style>
  <w:style w:type="paragraph" w:customStyle="1" w:styleId="p1">
    <w:name w:val="p1"/>
    <w:basedOn w:val="Normal"/>
    <w:rsid w:val="00DA60CB"/>
    <w:pPr>
      <w:spacing w:after="0" w:line="240" w:lineRule="auto"/>
      <w:ind w:left="0" w:right="0" w:firstLine="0"/>
      <w:jc w:val="left"/>
    </w:pPr>
    <w:rPr>
      <w:rFonts w:ascii="Helvetica" w:eastAsiaTheme="minorHAnsi" w:hAnsi="Helvetica" w:cs="Times New Roman"/>
      <w:color w:val="auto"/>
      <w:sz w:val="18"/>
      <w:szCs w:val="18"/>
      <w:lang w:val="es-ES_tradnl" w:eastAsia="es-ES_tradnl"/>
    </w:rPr>
  </w:style>
  <w:style w:type="table" w:customStyle="1" w:styleId="Tablaconcuadrcula1">
    <w:name w:val="Tabla con cuadrícula1"/>
    <w:basedOn w:val="Tablanormal"/>
    <w:next w:val="Tablaconcuadrcula"/>
    <w:uiPriority w:val="39"/>
    <w:rsid w:val="00AE44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2">
    <w:name w:val="List Bullet 2"/>
    <w:basedOn w:val="Normal"/>
    <w:unhideWhenUsed/>
    <w:rsid w:val="005D2415"/>
    <w:pPr>
      <w:overflowPunct w:val="0"/>
      <w:autoSpaceDE w:val="0"/>
      <w:autoSpaceDN w:val="0"/>
      <w:spacing w:after="180" w:line="240" w:lineRule="auto"/>
      <w:ind w:left="720" w:right="0" w:hanging="360"/>
      <w:jc w:val="left"/>
    </w:pPr>
    <w:rPr>
      <w:rFonts w:ascii="Times New Roman" w:eastAsia="Times New Roman" w:hAnsi="Times New Roman" w:cs="Times New Roman"/>
      <w:color w:val="auto"/>
      <w:sz w:val="20"/>
      <w:szCs w:val="20"/>
    </w:rPr>
  </w:style>
  <w:style w:type="character" w:styleId="Hipervnculovisitado">
    <w:name w:val="FollowedHyperlink"/>
    <w:basedOn w:val="Fuentedeprrafopredeter"/>
    <w:uiPriority w:val="99"/>
    <w:semiHidden/>
    <w:unhideWhenUsed/>
    <w:rsid w:val="003434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8073">
      <w:bodyDiv w:val="1"/>
      <w:marLeft w:val="0"/>
      <w:marRight w:val="0"/>
      <w:marTop w:val="0"/>
      <w:marBottom w:val="0"/>
      <w:divBdr>
        <w:top w:val="none" w:sz="0" w:space="0" w:color="auto"/>
        <w:left w:val="none" w:sz="0" w:space="0" w:color="auto"/>
        <w:bottom w:val="none" w:sz="0" w:space="0" w:color="auto"/>
        <w:right w:val="none" w:sz="0" w:space="0" w:color="auto"/>
      </w:divBdr>
    </w:div>
    <w:div w:id="21369417">
      <w:bodyDiv w:val="1"/>
      <w:marLeft w:val="0"/>
      <w:marRight w:val="0"/>
      <w:marTop w:val="0"/>
      <w:marBottom w:val="0"/>
      <w:divBdr>
        <w:top w:val="none" w:sz="0" w:space="0" w:color="auto"/>
        <w:left w:val="none" w:sz="0" w:space="0" w:color="auto"/>
        <w:bottom w:val="none" w:sz="0" w:space="0" w:color="auto"/>
        <w:right w:val="none" w:sz="0" w:space="0" w:color="auto"/>
      </w:divBdr>
    </w:div>
    <w:div w:id="114452536">
      <w:bodyDiv w:val="1"/>
      <w:marLeft w:val="0"/>
      <w:marRight w:val="0"/>
      <w:marTop w:val="0"/>
      <w:marBottom w:val="0"/>
      <w:divBdr>
        <w:top w:val="none" w:sz="0" w:space="0" w:color="auto"/>
        <w:left w:val="none" w:sz="0" w:space="0" w:color="auto"/>
        <w:bottom w:val="none" w:sz="0" w:space="0" w:color="auto"/>
        <w:right w:val="none" w:sz="0" w:space="0" w:color="auto"/>
      </w:divBdr>
    </w:div>
    <w:div w:id="220167601">
      <w:bodyDiv w:val="1"/>
      <w:marLeft w:val="0"/>
      <w:marRight w:val="0"/>
      <w:marTop w:val="0"/>
      <w:marBottom w:val="0"/>
      <w:divBdr>
        <w:top w:val="none" w:sz="0" w:space="0" w:color="auto"/>
        <w:left w:val="none" w:sz="0" w:space="0" w:color="auto"/>
        <w:bottom w:val="none" w:sz="0" w:space="0" w:color="auto"/>
        <w:right w:val="none" w:sz="0" w:space="0" w:color="auto"/>
      </w:divBdr>
      <w:divsChild>
        <w:div w:id="951591568">
          <w:marLeft w:val="0"/>
          <w:marRight w:val="0"/>
          <w:marTop w:val="0"/>
          <w:marBottom w:val="0"/>
          <w:divBdr>
            <w:top w:val="none" w:sz="0" w:space="0" w:color="auto"/>
            <w:left w:val="none" w:sz="0" w:space="0" w:color="auto"/>
            <w:bottom w:val="none" w:sz="0" w:space="0" w:color="auto"/>
            <w:right w:val="none" w:sz="0" w:space="0" w:color="auto"/>
          </w:divBdr>
          <w:divsChild>
            <w:div w:id="649140538">
              <w:marLeft w:val="0"/>
              <w:marRight w:val="0"/>
              <w:marTop w:val="0"/>
              <w:marBottom w:val="0"/>
              <w:divBdr>
                <w:top w:val="none" w:sz="0" w:space="0" w:color="auto"/>
                <w:left w:val="none" w:sz="0" w:space="0" w:color="auto"/>
                <w:bottom w:val="none" w:sz="0" w:space="0" w:color="auto"/>
                <w:right w:val="none" w:sz="0" w:space="0" w:color="auto"/>
              </w:divBdr>
            </w:div>
            <w:div w:id="143740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076376">
      <w:bodyDiv w:val="1"/>
      <w:marLeft w:val="0"/>
      <w:marRight w:val="0"/>
      <w:marTop w:val="0"/>
      <w:marBottom w:val="0"/>
      <w:divBdr>
        <w:top w:val="none" w:sz="0" w:space="0" w:color="auto"/>
        <w:left w:val="none" w:sz="0" w:space="0" w:color="auto"/>
        <w:bottom w:val="none" w:sz="0" w:space="0" w:color="auto"/>
        <w:right w:val="none" w:sz="0" w:space="0" w:color="auto"/>
      </w:divBdr>
    </w:div>
    <w:div w:id="279797123">
      <w:bodyDiv w:val="1"/>
      <w:marLeft w:val="0"/>
      <w:marRight w:val="0"/>
      <w:marTop w:val="0"/>
      <w:marBottom w:val="0"/>
      <w:divBdr>
        <w:top w:val="none" w:sz="0" w:space="0" w:color="auto"/>
        <w:left w:val="none" w:sz="0" w:space="0" w:color="auto"/>
        <w:bottom w:val="none" w:sz="0" w:space="0" w:color="auto"/>
        <w:right w:val="none" w:sz="0" w:space="0" w:color="auto"/>
      </w:divBdr>
    </w:div>
    <w:div w:id="627705606">
      <w:bodyDiv w:val="1"/>
      <w:marLeft w:val="0"/>
      <w:marRight w:val="0"/>
      <w:marTop w:val="0"/>
      <w:marBottom w:val="0"/>
      <w:divBdr>
        <w:top w:val="none" w:sz="0" w:space="0" w:color="auto"/>
        <w:left w:val="none" w:sz="0" w:space="0" w:color="auto"/>
        <w:bottom w:val="none" w:sz="0" w:space="0" w:color="auto"/>
        <w:right w:val="none" w:sz="0" w:space="0" w:color="auto"/>
      </w:divBdr>
    </w:div>
    <w:div w:id="706833175">
      <w:bodyDiv w:val="1"/>
      <w:marLeft w:val="0"/>
      <w:marRight w:val="0"/>
      <w:marTop w:val="0"/>
      <w:marBottom w:val="0"/>
      <w:divBdr>
        <w:top w:val="none" w:sz="0" w:space="0" w:color="auto"/>
        <w:left w:val="none" w:sz="0" w:space="0" w:color="auto"/>
        <w:bottom w:val="none" w:sz="0" w:space="0" w:color="auto"/>
        <w:right w:val="none" w:sz="0" w:space="0" w:color="auto"/>
      </w:divBdr>
      <w:divsChild>
        <w:div w:id="852038768">
          <w:marLeft w:val="0"/>
          <w:marRight w:val="0"/>
          <w:marTop w:val="0"/>
          <w:marBottom w:val="0"/>
          <w:divBdr>
            <w:top w:val="none" w:sz="0" w:space="0" w:color="auto"/>
            <w:left w:val="none" w:sz="0" w:space="0" w:color="auto"/>
            <w:bottom w:val="none" w:sz="0" w:space="0" w:color="auto"/>
            <w:right w:val="none" w:sz="0" w:space="0" w:color="auto"/>
          </w:divBdr>
          <w:divsChild>
            <w:div w:id="1441796209">
              <w:marLeft w:val="0"/>
              <w:marRight w:val="0"/>
              <w:marTop w:val="0"/>
              <w:marBottom w:val="0"/>
              <w:divBdr>
                <w:top w:val="none" w:sz="0" w:space="0" w:color="auto"/>
                <w:left w:val="none" w:sz="0" w:space="0" w:color="auto"/>
                <w:bottom w:val="none" w:sz="0" w:space="0" w:color="auto"/>
                <w:right w:val="none" w:sz="0" w:space="0" w:color="auto"/>
              </w:divBdr>
            </w:div>
            <w:div w:id="146384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89148">
      <w:bodyDiv w:val="1"/>
      <w:marLeft w:val="0"/>
      <w:marRight w:val="0"/>
      <w:marTop w:val="0"/>
      <w:marBottom w:val="0"/>
      <w:divBdr>
        <w:top w:val="none" w:sz="0" w:space="0" w:color="auto"/>
        <w:left w:val="none" w:sz="0" w:space="0" w:color="auto"/>
        <w:bottom w:val="none" w:sz="0" w:space="0" w:color="auto"/>
        <w:right w:val="none" w:sz="0" w:space="0" w:color="auto"/>
      </w:divBdr>
    </w:div>
    <w:div w:id="1030300207">
      <w:bodyDiv w:val="1"/>
      <w:marLeft w:val="0"/>
      <w:marRight w:val="0"/>
      <w:marTop w:val="0"/>
      <w:marBottom w:val="0"/>
      <w:divBdr>
        <w:top w:val="none" w:sz="0" w:space="0" w:color="auto"/>
        <w:left w:val="none" w:sz="0" w:space="0" w:color="auto"/>
        <w:bottom w:val="none" w:sz="0" w:space="0" w:color="auto"/>
        <w:right w:val="none" w:sz="0" w:space="0" w:color="auto"/>
      </w:divBdr>
    </w:div>
    <w:div w:id="1060831560">
      <w:bodyDiv w:val="1"/>
      <w:marLeft w:val="0"/>
      <w:marRight w:val="0"/>
      <w:marTop w:val="0"/>
      <w:marBottom w:val="0"/>
      <w:divBdr>
        <w:top w:val="none" w:sz="0" w:space="0" w:color="auto"/>
        <w:left w:val="none" w:sz="0" w:space="0" w:color="auto"/>
        <w:bottom w:val="none" w:sz="0" w:space="0" w:color="auto"/>
        <w:right w:val="none" w:sz="0" w:space="0" w:color="auto"/>
      </w:divBdr>
    </w:div>
    <w:div w:id="1146581033">
      <w:bodyDiv w:val="1"/>
      <w:marLeft w:val="0"/>
      <w:marRight w:val="0"/>
      <w:marTop w:val="0"/>
      <w:marBottom w:val="0"/>
      <w:divBdr>
        <w:top w:val="none" w:sz="0" w:space="0" w:color="auto"/>
        <w:left w:val="none" w:sz="0" w:space="0" w:color="auto"/>
        <w:bottom w:val="none" w:sz="0" w:space="0" w:color="auto"/>
        <w:right w:val="none" w:sz="0" w:space="0" w:color="auto"/>
      </w:divBdr>
    </w:div>
    <w:div w:id="1242063850">
      <w:bodyDiv w:val="1"/>
      <w:marLeft w:val="0"/>
      <w:marRight w:val="0"/>
      <w:marTop w:val="0"/>
      <w:marBottom w:val="0"/>
      <w:divBdr>
        <w:top w:val="none" w:sz="0" w:space="0" w:color="auto"/>
        <w:left w:val="none" w:sz="0" w:space="0" w:color="auto"/>
        <w:bottom w:val="none" w:sz="0" w:space="0" w:color="auto"/>
        <w:right w:val="none" w:sz="0" w:space="0" w:color="auto"/>
      </w:divBdr>
    </w:div>
    <w:div w:id="1287077764">
      <w:bodyDiv w:val="1"/>
      <w:marLeft w:val="0"/>
      <w:marRight w:val="0"/>
      <w:marTop w:val="0"/>
      <w:marBottom w:val="0"/>
      <w:divBdr>
        <w:top w:val="none" w:sz="0" w:space="0" w:color="auto"/>
        <w:left w:val="none" w:sz="0" w:space="0" w:color="auto"/>
        <w:bottom w:val="none" w:sz="0" w:space="0" w:color="auto"/>
        <w:right w:val="none" w:sz="0" w:space="0" w:color="auto"/>
      </w:divBdr>
    </w:div>
    <w:div w:id="1303736388">
      <w:bodyDiv w:val="1"/>
      <w:marLeft w:val="0"/>
      <w:marRight w:val="0"/>
      <w:marTop w:val="0"/>
      <w:marBottom w:val="0"/>
      <w:divBdr>
        <w:top w:val="none" w:sz="0" w:space="0" w:color="auto"/>
        <w:left w:val="none" w:sz="0" w:space="0" w:color="auto"/>
        <w:bottom w:val="none" w:sz="0" w:space="0" w:color="auto"/>
        <w:right w:val="none" w:sz="0" w:space="0" w:color="auto"/>
      </w:divBdr>
    </w:div>
    <w:div w:id="1620602215">
      <w:bodyDiv w:val="1"/>
      <w:marLeft w:val="0"/>
      <w:marRight w:val="0"/>
      <w:marTop w:val="0"/>
      <w:marBottom w:val="0"/>
      <w:divBdr>
        <w:top w:val="none" w:sz="0" w:space="0" w:color="auto"/>
        <w:left w:val="none" w:sz="0" w:space="0" w:color="auto"/>
        <w:bottom w:val="none" w:sz="0" w:space="0" w:color="auto"/>
        <w:right w:val="none" w:sz="0" w:space="0" w:color="auto"/>
      </w:divBdr>
    </w:div>
    <w:div w:id="1684282102">
      <w:bodyDiv w:val="1"/>
      <w:marLeft w:val="0"/>
      <w:marRight w:val="0"/>
      <w:marTop w:val="0"/>
      <w:marBottom w:val="0"/>
      <w:divBdr>
        <w:top w:val="none" w:sz="0" w:space="0" w:color="auto"/>
        <w:left w:val="none" w:sz="0" w:space="0" w:color="auto"/>
        <w:bottom w:val="none" w:sz="0" w:space="0" w:color="auto"/>
        <w:right w:val="none" w:sz="0" w:space="0" w:color="auto"/>
      </w:divBdr>
    </w:div>
    <w:div w:id="1782605643">
      <w:bodyDiv w:val="1"/>
      <w:marLeft w:val="0"/>
      <w:marRight w:val="0"/>
      <w:marTop w:val="0"/>
      <w:marBottom w:val="0"/>
      <w:divBdr>
        <w:top w:val="none" w:sz="0" w:space="0" w:color="auto"/>
        <w:left w:val="none" w:sz="0" w:space="0" w:color="auto"/>
        <w:bottom w:val="none" w:sz="0" w:space="0" w:color="auto"/>
        <w:right w:val="none" w:sz="0" w:space="0" w:color="auto"/>
      </w:divBdr>
    </w:div>
    <w:div w:id="1874463661">
      <w:bodyDiv w:val="1"/>
      <w:marLeft w:val="0"/>
      <w:marRight w:val="0"/>
      <w:marTop w:val="0"/>
      <w:marBottom w:val="0"/>
      <w:divBdr>
        <w:top w:val="none" w:sz="0" w:space="0" w:color="auto"/>
        <w:left w:val="none" w:sz="0" w:space="0" w:color="auto"/>
        <w:bottom w:val="none" w:sz="0" w:space="0" w:color="auto"/>
        <w:right w:val="none" w:sz="0" w:space="0" w:color="auto"/>
      </w:divBdr>
    </w:div>
    <w:div w:id="1960720243">
      <w:bodyDiv w:val="1"/>
      <w:marLeft w:val="0"/>
      <w:marRight w:val="0"/>
      <w:marTop w:val="0"/>
      <w:marBottom w:val="0"/>
      <w:divBdr>
        <w:top w:val="none" w:sz="0" w:space="0" w:color="auto"/>
        <w:left w:val="none" w:sz="0" w:space="0" w:color="auto"/>
        <w:bottom w:val="none" w:sz="0" w:space="0" w:color="auto"/>
        <w:right w:val="none" w:sz="0" w:space="0" w:color="auto"/>
      </w:divBdr>
    </w:div>
    <w:div w:id="2009137521">
      <w:bodyDiv w:val="1"/>
      <w:marLeft w:val="0"/>
      <w:marRight w:val="0"/>
      <w:marTop w:val="0"/>
      <w:marBottom w:val="0"/>
      <w:divBdr>
        <w:top w:val="none" w:sz="0" w:space="0" w:color="auto"/>
        <w:left w:val="none" w:sz="0" w:space="0" w:color="auto"/>
        <w:bottom w:val="none" w:sz="0" w:space="0" w:color="auto"/>
        <w:right w:val="none" w:sz="0" w:space="0" w:color="auto"/>
      </w:divBdr>
    </w:div>
    <w:div w:id="208078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fertas.referencia@ift.org.m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A7239E847F169D4992494C6946306634" ma:contentTypeVersion="0" ma:contentTypeDescription="Crear nuevo documento." ma:contentTypeScope="" ma:versionID="3bd7b992d69023004f9d10561e0e5344">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5EAFC-2052-4ED5-93CD-BAF878E96C97}">
  <ds:schemaRefs>
    <ds:schemaRef ds:uri="http://schemas.microsoft.com/sharepoint/v3/contenttype/forms"/>
  </ds:schemaRefs>
</ds:datastoreItem>
</file>

<file path=customXml/itemProps2.xml><?xml version="1.0" encoding="utf-8"?>
<ds:datastoreItem xmlns:ds="http://schemas.openxmlformats.org/officeDocument/2006/customXml" ds:itemID="{999D02BE-0ED5-4C5F-8D48-391EC5303B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B6AB8AD-4941-4926-BC0C-A352D456FEC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B205AFA-F2C9-4D9A-AAAD-10E303D60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54</Pages>
  <Words>18820</Words>
  <Characters>103514</Characters>
  <Application>Microsoft Office Word</Application>
  <DocSecurity>0</DocSecurity>
  <Lines>862</Lines>
  <Paragraphs>244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Trueba Ostoa</dc:creator>
  <cp:keywords/>
  <dc:description/>
  <cp:lastModifiedBy>Adriana Williams Hernandez</cp:lastModifiedBy>
  <cp:revision>56</cp:revision>
  <cp:lastPrinted>2019-01-08T22:44:00Z</cp:lastPrinted>
  <dcterms:created xsi:type="dcterms:W3CDTF">2021-01-15T19:52:00Z</dcterms:created>
  <dcterms:modified xsi:type="dcterms:W3CDTF">2021-02-03T19:03:00Z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0x010100A7239E847F169D4992494C6946306634</vt:lpwstr>
  </property>
</Properties>
</file>