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82FD" w14:textId="45D6DB10" w:rsidR="00712099" w:rsidRDefault="00B56C73" w:rsidP="00255B89">
      <w:pPr>
        <w:pStyle w:val="Textoindependiente"/>
        <w:spacing w:line="276" w:lineRule="auto"/>
        <w:ind w:left="0" w:right="48"/>
        <w:jc w:val="both"/>
        <w:rPr>
          <w:rFonts w:ascii="Arial" w:hAnsi="Arial" w:cs="Arial"/>
          <w:b/>
          <w:sz w:val="26"/>
          <w:szCs w:val="26"/>
        </w:rPr>
      </w:pPr>
      <w:r w:rsidRPr="00B91942">
        <w:rPr>
          <w:rFonts w:ascii="Arial" w:hAnsi="Arial" w:cs="Arial"/>
          <w:b/>
          <w:sz w:val="26"/>
          <w:szCs w:val="26"/>
        </w:rPr>
        <w:t>P</w:t>
      </w:r>
      <w:r w:rsidR="00C21D72" w:rsidRPr="00B91942">
        <w:rPr>
          <w:rFonts w:ascii="Arial" w:hAnsi="Arial" w:cs="Arial"/>
          <w:b/>
          <w:sz w:val="26"/>
          <w:szCs w:val="26"/>
        </w:rPr>
        <w:t xml:space="preserve">royecto de </w:t>
      </w:r>
      <w:r w:rsidR="00B91942" w:rsidRPr="00B91942">
        <w:rPr>
          <w:rFonts w:ascii="Arial" w:hAnsi="Arial" w:cs="Arial"/>
          <w:b/>
          <w:sz w:val="26"/>
          <w:szCs w:val="26"/>
        </w:rPr>
        <w:t xml:space="preserve">Calendario </w:t>
      </w:r>
      <w:r w:rsidR="0026406D" w:rsidRPr="00B91942">
        <w:rPr>
          <w:rFonts w:ascii="Arial" w:hAnsi="Arial" w:cs="Arial"/>
          <w:b/>
          <w:sz w:val="26"/>
          <w:szCs w:val="26"/>
        </w:rPr>
        <w:t xml:space="preserve">de </w:t>
      </w:r>
      <w:r w:rsidR="00B91942">
        <w:rPr>
          <w:rFonts w:ascii="Arial" w:hAnsi="Arial" w:cs="Arial"/>
          <w:b/>
          <w:sz w:val="26"/>
          <w:szCs w:val="26"/>
        </w:rPr>
        <w:t>A</w:t>
      </w:r>
      <w:r w:rsidR="0026406D" w:rsidRPr="00B91942">
        <w:rPr>
          <w:rFonts w:ascii="Arial" w:hAnsi="Arial" w:cs="Arial"/>
          <w:b/>
          <w:sz w:val="26"/>
          <w:szCs w:val="26"/>
        </w:rPr>
        <w:t>ctividades de</w:t>
      </w:r>
      <w:r w:rsidR="00C21D72" w:rsidRPr="00B91942">
        <w:rPr>
          <w:rFonts w:ascii="Arial" w:hAnsi="Arial" w:cs="Arial"/>
          <w:b/>
          <w:sz w:val="26"/>
          <w:szCs w:val="26"/>
        </w:rPr>
        <w:t xml:space="preserve"> l</w:t>
      </w:r>
      <w:r w:rsidR="003177F8" w:rsidRPr="00B91942">
        <w:rPr>
          <w:rFonts w:ascii="Arial" w:hAnsi="Arial" w:cs="Arial"/>
          <w:b/>
          <w:sz w:val="26"/>
          <w:szCs w:val="26"/>
        </w:rPr>
        <w:t>a</w:t>
      </w:r>
      <w:r w:rsidR="00673264" w:rsidRPr="00B91942">
        <w:rPr>
          <w:rFonts w:ascii="Arial" w:hAnsi="Arial" w:cs="Arial"/>
          <w:b/>
          <w:sz w:val="26"/>
          <w:szCs w:val="26"/>
        </w:rPr>
        <w:t xml:space="preserve"> </w:t>
      </w:r>
      <w:r w:rsidR="00712099" w:rsidRPr="00B91942">
        <w:rPr>
          <w:rFonts w:ascii="Arial" w:hAnsi="Arial" w:cs="Arial"/>
          <w:b/>
          <w:sz w:val="26"/>
          <w:szCs w:val="26"/>
        </w:rPr>
        <w:t xml:space="preserve">Licitación Pública para concesionar el uso, aprovechamiento y explotación comercial de </w:t>
      </w:r>
      <w:r w:rsidR="002F1715" w:rsidRPr="00B91942">
        <w:rPr>
          <w:rFonts w:ascii="Arial" w:hAnsi="Arial" w:cs="Arial"/>
          <w:b/>
          <w:sz w:val="26"/>
          <w:szCs w:val="26"/>
        </w:rPr>
        <w:t xml:space="preserve">234 frecuencias en el segmento de 88 a 106 MHz de la banda de </w:t>
      </w:r>
      <w:r w:rsidR="00B44642" w:rsidRPr="00B91942">
        <w:rPr>
          <w:rFonts w:ascii="Arial" w:hAnsi="Arial" w:cs="Arial"/>
          <w:b/>
          <w:sz w:val="26"/>
          <w:szCs w:val="26"/>
        </w:rPr>
        <w:t xml:space="preserve">Frecuencia Modulada </w:t>
      </w:r>
      <w:r w:rsidR="002F1715" w:rsidRPr="00B91942">
        <w:rPr>
          <w:rFonts w:ascii="Arial" w:hAnsi="Arial" w:cs="Arial"/>
          <w:b/>
          <w:sz w:val="26"/>
          <w:szCs w:val="26"/>
        </w:rPr>
        <w:t xml:space="preserve">y de 85 frecuencias en el segmento de 535 a 1605 kHz de la banda de </w:t>
      </w:r>
      <w:r w:rsidR="00B44642" w:rsidRPr="00B91942">
        <w:rPr>
          <w:rFonts w:ascii="Arial" w:hAnsi="Arial" w:cs="Arial"/>
          <w:b/>
          <w:sz w:val="26"/>
          <w:szCs w:val="26"/>
        </w:rPr>
        <w:t xml:space="preserve">Amplitud Modulada </w:t>
      </w:r>
      <w:r w:rsidR="002F1715" w:rsidRPr="00B91942">
        <w:rPr>
          <w:rFonts w:ascii="Arial" w:hAnsi="Arial" w:cs="Arial"/>
          <w:b/>
          <w:sz w:val="26"/>
          <w:szCs w:val="26"/>
        </w:rPr>
        <w:t xml:space="preserve">para la prestación del </w:t>
      </w:r>
      <w:r w:rsidR="00B44642" w:rsidRPr="00B91942">
        <w:rPr>
          <w:rFonts w:ascii="Arial" w:hAnsi="Arial" w:cs="Arial"/>
          <w:b/>
          <w:sz w:val="26"/>
          <w:szCs w:val="26"/>
        </w:rPr>
        <w:t xml:space="preserve">Servicio Público </w:t>
      </w:r>
      <w:r w:rsidR="002F1715" w:rsidRPr="00B91942">
        <w:rPr>
          <w:rFonts w:ascii="Arial" w:hAnsi="Arial" w:cs="Arial"/>
          <w:b/>
          <w:sz w:val="26"/>
          <w:szCs w:val="26"/>
        </w:rPr>
        <w:t xml:space="preserve">de </w:t>
      </w:r>
      <w:r w:rsidR="00B44642" w:rsidRPr="00B91942">
        <w:rPr>
          <w:rFonts w:ascii="Arial" w:hAnsi="Arial" w:cs="Arial"/>
          <w:b/>
          <w:sz w:val="26"/>
          <w:szCs w:val="26"/>
        </w:rPr>
        <w:t xml:space="preserve">Radiodifusión Sonora </w:t>
      </w:r>
      <w:r w:rsidR="002F1715" w:rsidRPr="00B91942">
        <w:rPr>
          <w:rFonts w:ascii="Arial" w:hAnsi="Arial" w:cs="Arial"/>
          <w:b/>
          <w:sz w:val="26"/>
          <w:szCs w:val="26"/>
        </w:rPr>
        <w:t>(Licitación No. IFT-8</w:t>
      </w:r>
      <w:r w:rsidR="00712099" w:rsidRPr="00B91942">
        <w:rPr>
          <w:rFonts w:ascii="Arial" w:hAnsi="Arial" w:cs="Arial"/>
          <w:b/>
          <w:sz w:val="26"/>
          <w:szCs w:val="26"/>
        </w:rPr>
        <w:t>).</w:t>
      </w:r>
    </w:p>
    <w:p w14:paraId="5E9EDD90" w14:textId="77777777" w:rsidR="00B43260" w:rsidRPr="00B91942" w:rsidRDefault="00B43260" w:rsidP="00255B89">
      <w:pPr>
        <w:pStyle w:val="Textoindependiente"/>
        <w:spacing w:line="276" w:lineRule="auto"/>
        <w:ind w:left="0" w:right="48"/>
        <w:jc w:val="both"/>
        <w:rPr>
          <w:rFonts w:ascii="Arial" w:hAnsi="Arial" w:cs="Arial"/>
          <w:b/>
          <w:sz w:val="26"/>
          <w:szCs w:val="26"/>
        </w:rPr>
      </w:pPr>
    </w:p>
    <w:p w14:paraId="5D66ADD5" w14:textId="11CF56FD" w:rsidR="00B43260" w:rsidRDefault="00B43260" w:rsidP="00B43260">
      <w:pPr>
        <w:pStyle w:val="Textoindependiente"/>
        <w:spacing w:line="276" w:lineRule="auto"/>
        <w:ind w:left="0" w:right="48"/>
        <w:jc w:val="center"/>
        <w:rPr>
          <w:rFonts w:ascii="Arial" w:hAnsi="Arial" w:cs="Arial"/>
          <w:b/>
          <w:spacing w:val="-1"/>
        </w:rPr>
      </w:pPr>
    </w:p>
    <w:p w14:paraId="4727AD6E" w14:textId="77777777" w:rsidR="00B43260" w:rsidRPr="000E5CC0" w:rsidRDefault="00B43260" w:rsidP="00B43260">
      <w:pPr>
        <w:pStyle w:val="Textoindependiente"/>
        <w:spacing w:line="276" w:lineRule="auto"/>
        <w:ind w:left="0" w:right="48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PROPUESTA 1</w:t>
      </w:r>
    </w:p>
    <w:p w14:paraId="583521C3" w14:textId="77777777" w:rsidR="00B43260" w:rsidRDefault="00B43260" w:rsidP="00B43260">
      <w:pPr>
        <w:pStyle w:val="Textoindependiente"/>
        <w:spacing w:line="276" w:lineRule="auto"/>
        <w:ind w:left="0" w:right="48"/>
        <w:jc w:val="center"/>
        <w:rPr>
          <w:rFonts w:ascii="Arial" w:hAnsi="Arial" w:cs="Arial"/>
          <w:spacing w:val="-1"/>
          <w:highlight w:val="yellow"/>
        </w:rPr>
      </w:pPr>
    </w:p>
    <w:tbl>
      <w:tblPr>
        <w:tblStyle w:val="Tabladelista3-nfasis6"/>
        <w:tblW w:w="9466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5670"/>
        <w:gridCol w:w="2525"/>
      </w:tblGrid>
      <w:tr w:rsidR="00B43260" w:rsidRPr="00521AFB" w14:paraId="00619CDC" w14:textId="77777777" w:rsidTr="00BE4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tcBorders>
              <w:bottom w:val="single" w:sz="4" w:space="0" w:color="70AD47" w:themeColor="accent6"/>
              <w:right w:val="single" w:sz="12" w:space="0" w:color="FFFFFF" w:themeColor="background1"/>
            </w:tcBorders>
            <w:vAlign w:val="center"/>
          </w:tcPr>
          <w:p w14:paraId="095D16A7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Numeral de las Bases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left w:val="single" w:sz="12" w:space="0" w:color="FFFFFF" w:themeColor="background1"/>
              <w:bottom w:val="single" w:sz="4" w:space="0" w:color="70AD47" w:themeColor="accent6"/>
              <w:right w:val="single" w:sz="12" w:space="0" w:color="FFFFFF" w:themeColor="background1"/>
            </w:tcBorders>
            <w:vAlign w:val="center"/>
          </w:tcPr>
          <w:p w14:paraId="533AABDB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525" w:type="dxa"/>
            <w:tcBorders>
              <w:left w:val="single" w:sz="12" w:space="0" w:color="FFFFFF" w:themeColor="background1"/>
              <w:bottom w:val="single" w:sz="4" w:space="0" w:color="70AD47" w:themeColor="accent6"/>
            </w:tcBorders>
            <w:vAlign w:val="center"/>
          </w:tcPr>
          <w:p w14:paraId="0CDFCA53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Fechas / Plazos</w:t>
            </w:r>
          </w:p>
        </w:tc>
      </w:tr>
      <w:tr w:rsidR="00B43260" w:rsidRPr="00521AFB" w14:paraId="03718F65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3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3BCB5B12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Primera Etapa: Manifestación de Interés, Preguntas y Respuestas, Entrega de información y documentación al Instituto y, en su caso, prevención y su desahogo.</w:t>
            </w:r>
          </w:p>
        </w:tc>
      </w:tr>
      <w:tr w:rsidR="00B43260" w:rsidRPr="00521AFB" w14:paraId="4C5475F5" w14:textId="77777777" w:rsidTr="00BE42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696CCFD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6.1.1 y 6.1.2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5242E1B2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Manifestación de Interés para participar en la Licitación </w:t>
            </w:r>
          </w:p>
          <w:p w14:paraId="6AD9570F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EDBBC8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Generación y envío de Folio Único y contraseña a los Interesados por parte del Instituto.</w:t>
            </w:r>
          </w:p>
          <w:p w14:paraId="7149BFB2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4BF9EA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En su caso, formulación de preguntas 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respecto de las Bases, sus Apéndices y Anexos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a través del S</w:t>
            </w:r>
            <w:r>
              <w:rPr>
                <w:rFonts w:ascii="Arial" w:hAnsi="Arial" w:cs="Arial"/>
                <w:sz w:val="20"/>
                <w:szCs w:val="20"/>
              </w:rPr>
              <w:t xml:space="preserve">istema </w:t>
            </w:r>
            <w:r w:rsidRPr="00521AF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lectrónico de </w:t>
            </w:r>
            <w:r w:rsidRPr="00521AF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egistro (SER)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por parte de los Interesados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3EBF4F5D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octubre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  <w:tr w:rsidR="00B43260" w:rsidRPr="00521AFB" w14:paraId="05878D7C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F3E034E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911B63A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Envío a los Interesados a través del SER de las Hojas de Ayuda para realizar el pago de Derechos.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6788C8AD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A más tardar el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octubre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  <w:tr w:rsidR="00B43260" w:rsidRPr="00521AFB" w14:paraId="73A8410A" w14:textId="77777777" w:rsidTr="00BE42DD">
        <w:trPr>
          <w:trHeight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C4B9275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A3E6620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Publicación en el Portal de Internet del Instituto de las preguntas recibidas y las respuestas correspondientes, respecto de las Bases, sus Apéndices y Anexos.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6E0A861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A más tardar el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  <w:tr w:rsidR="00B43260" w:rsidRPr="00521AFB" w14:paraId="02C42794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8D4187E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BBC56FE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Acreditar el pago de Derechos por parte de los Interesados.</w:t>
            </w:r>
          </w:p>
          <w:p w14:paraId="2362111D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3739EA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Entrega de la información y documentación prevista en el Apéndice B y en el Apéndice C a través del SER por parte de los Interesados. </w:t>
            </w:r>
          </w:p>
          <w:p w14:paraId="55B57835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D17DEB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 su caso, entrega de opinión previa y favorable de la Comisión Nacional de Inversiones Extranjeras.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8D87317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  <w:tr w:rsidR="00B43260" w:rsidRPr="00521AFB" w:rsidDel="009B79B8" w14:paraId="03B86530" w14:textId="77777777" w:rsidTr="00BE42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  <w:vAlign w:val="center"/>
          </w:tcPr>
          <w:p w14:paraId="3A2F13A9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shd w:val="clear" w:color="auto" w:fill="auto"/>
            <w:vAlign w:val="center"/>
          </w:tcPr>
          <w:p w14:paraId="3B120B65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En su caso, notificación de prevención a los Interesados, a través del SER, sobre la información y/o documentación faltante o que no hubiera cumplido con los requisitos contemplados en las Bases, en el Apéndice B y en el Apéndice 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3E4BF9BC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43260" w:rsidRPr="00521AFB" w:rsidDel="009B79B8" w14:paraId="0B456C29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40E8547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C1BE064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 su caso, desahogo de la prevención a través del SER de aquellos Interesados que se encuentren en este supuesto.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647C2FDF" w14:textId="51FF4349" w:rsidR="00B43260" w:rsidRPr="00521AFB" w:rsidRDefault="00B43260" w:rsidP="00C471D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27B">
              <w:rPr>
                <w:rFonts w:ascii="Arial" w:hAnsi="Arial" w:cs="Arial"/>
                <w:sz w:val="20"/>
                <w:szCs w:val="20"/>
              </w:rPr>
              <w:t xml:space="preserve">Del 25 de enero al </w:t>
            </w:r>
            <w:r w:rsidR="00C471DB" w:rsidRPr="0020027B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20027B">
              <w:rPr>
                <w:rFonts w:ascii="Arial" w:hAnsi="Arial" w:cs="Arial"/>
                <w:sz w:val="20"/>
                <w:szCs w:val="20"/>
              </w:rPr>
              <w:t>de febrero de 2021</w:t>
            </w:r>
          </w:p>
        </w:tc>
      </w:tr>
      <w:tr w:rsidR="00B43260" w:rsidRPr="00521AFB" w:rsidDel="009B79B8" w14:paraId="6B529168" w14:textId="77777777" w:rsidTr="00BE42DD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3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015314D3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  <w:shd w:val="clear" w:color="auto" w:fill="E2EFD9" w:themeFill="accent6" w:themeFillTint="33"/>
              </w:rPr>
              <w:t>Segunda Etapa: Evaluación, Dictaminación y Emisión de Constancias de Participación.</w:t>
            </w:r>
          </w:p>
        </w:tc>
      </w:tr>
      <w:tr w:rsidR="00B43260" w:rsidRPr="00521AFB" w:rsidDel="009B79B8" w14:paraId="08D54373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9A129CF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6CDC64A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Emisión de acuerdo de Constancia de Participación o del acuerdo por el cual se resuelve no otorgarla.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6F3CC16C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A más tardar el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mayo de 2021</w:t>
            </w:r>
          </w:p>
        </w:tc>
      </w:tr>
      <w:tr w:rsidR="00B43260" w:rsidRPr="00521AFB" w:rsidDel="009B79B8" w14:paraId="6A374FF5" w14:textId="77777777" w:rsidTr="00BE42DD">
        <w:trPr>
          <w:trHeight w:val="20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88945F3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6.2.2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54D7DCD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Publicación del calendario de entrega de Constancia de Participación o, en su caso, del acuerdo por el que se resuelve no otorgarla.</w:t>
            </w:r>
          </w:p>
          <w:p w14:paraId="48E00B7F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25E1CD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Envío a los Interesados, a través SER, de la cita específica para entrega de Constancias de Participación o, en su caso, el acuerdo por el que se resuelve no otorgarla.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6544713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A más tardar el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mayo </w:t>
            </w:r>
            <w:r w:rsidRPr="00521AFB">
              <w:rPr>
                <w:rFonts w:ascii="Arial" w:hAnsi="Arial" w:cs="Arial"/>
                <w:sz w:val="20"/>
                <w:szCs w:val="20"/>
              </w:rPr>
              <w:t>de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43260" w:rsidRPr="00521AFB" w:rsidDel="009B79B8" w14:paraId="4017625C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70362B6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07EED1DD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Notificación de acuerdo de Constancia de Participación o del acuerdo por el cual se resuelve no otorgarla.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6FF5B46B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A más tardar </w:t>
            </w:r>
            <w:r>
              <w:rPr>
                <w:rFonts w:ascii="Arial" w:hAnsi="Arial" w:cs="Arial"/>
                <w:sz w:val="20"/>
                <w:szCs w:val="20"/>
              </w:rPr>
              <w:t>28 de mayo de 2021</w:t>
            </w:r>
          </w:p>
        </w:tc>
      </w:tr>
      <w:tr w:rsidR="00B43260" w:rsidRPr="00521AFB" w:rsidDel="009B79B8" w14:paraId="1D8AC807" w14:textId="77777777" w:rsidTr="00BE42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253611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A98116E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Entrega física por parte del Interesado de la documentación y la Garantía de Seriedad correspondiente.</w:t>
            </w:r>
          </w:p>
          <w:p w14:paraId="56E167F9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5EB272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Entrega por parte del Instituto de la Constancia de Participación y las Claves de Acceso.</w:t>
            </w:r>
          </w:p>
          <w:p w14:paraId="6BF083F9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03C905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Entrega por parte del Instituto del acuerdo por el que se resuelve no otorgar la Constancia de Participación.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7D43651B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</w:rPr>
              <w:t>31 de mayo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43260" w:rsidRPr="00521AFB" w14:paraId="5BFFB8E6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3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70287AE6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Tercera Etapa: Sesiones de Práctica y Procedimiento de Presentación de Ofertas</w:t>
            </w:r>
          </w:p>
        </w:tc>
      </w:tr>
      <w:tr w:rsidR="00B43260" w:rsidRPr="00521AFB" w14:paraId="4FAD9FA8" w14:textId="77777777" w:rsidTr="00BE42DD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C652665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F7EDE89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Sesiones de práctica.</w:t>
            </w:r>
          </w:p>
          <w:p w14:paraId="512C12B2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D62A35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 su caso, programación del Modo Automático dentro del S</w:t>
            </w:r>
            <w:r>
              <w:rPr>
                <w:rFonts w:ascii="Arial" w:hAnsi="Arial" w:cs="Arial"/>
                <w:sz w:val="20"/>
                <w:szCs w:val="20"/>
              </w:rPr>
              <w:t xml:space="preserve">istema </w:t>
            </w:r>
            <w:r w:rsidRPr="00521AF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lectrónico de </w:t>
            </w:r>
            <w:r w:rsidRPr="00521AF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resentación de </w:t>
            </w:r>
            <w:r w:rsidRPr="00521AF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fertas (SEPRO)</w:t>
            </w:r>
            <w:r w:rsidRPr="00521AFB">
              <w:rPr>
                <w:rFonts w:ascii="Arial" w:hAnsi="Arial" w:cs="Arial"/>
                <w:sz w:val="20"/>
                <w:szCs w:val="20"/>
              </w:rPr>
              <w:t>, por los Participantes.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D1DEA2E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Del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al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junio </w:t>
            </w:r>
            <w:r w:rsidRPr="00521AFB">
              <w:rPr>
                <w:rFonts w:ascii="Arial" w:hAnsi="Arial" w:cs="Arial"/>
                <w:sz w:val="20"/>
                <w:szCs w:val="20"/>
              </w:rPr>
              <w:t>de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43260" w:rsidRPr="00521AFB" w14:paraId="47F5E9E6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2D2CBAB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6.3.2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7BDC3E94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Inicio del Procedimiento de Presentación de Ofertas.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4B599D57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A partir del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43260" w:rsidRPr="00521AFB" w14:paraId="681F9B38" w14:textId="77777777" w:rsidTr="00BE42DD">
        <w:trPr>
          <w:trHeight w:val="7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01AE77C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6.3.3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32F4C19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Publicación de los resultados del Procedimiento de Presentación de Ofertas en el Portal de Internet del Instituto.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288742EF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Al siguiente día hábil de finalizado el PPO.</w:t>
            </w:r>
          </w:p>
        </w:tc>
      </w:tr>
      <w:tr w:rsidR="00B43260" w:rsidRPr="00521AFB" w14:paraId="596C3A20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3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1F92AFBA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Cuarta Etapa: Acta de Fallo, Pago de Contraprestación y Otorgamiento de títulos de concesión.</w:t>
            </w:r>
          </w:p>
        </w:tc>
      </w:tr>
      <w:tr w:rsidR="00B43260" w:rsidRPr="00521AFB" w14:paraId="7CCFA962" w14:textId="77777777" w:rsidTr="00BE42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7FEC960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748022FE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Emisión del Acta de Fallo.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72CB502C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Dentro de los 25 (veinticinco</w:t>
            </w: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días hábiles posteriores a la publicación de los resultados del Procedimiento de Presentación de Ofertas del último concurso.</w:t>
            </w:r>
          </w:p>
        </w:tc>
      </w:tr>
      <w:tr w:rsidR="00B43260" w:rsidRPr="00521AFB" w14:paraId="0C281E09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5A2091D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shd w:val="clear" w:color="auto" w:fill="FFFFFF" w:themeFill="background1"/>
            <w:vAlign w:val="center"/>
          </w:tcPr>
          <w:p w14:paraId="744488C1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Notificación a los Participantes del Acta de Fallo.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43F518C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Dentro de los siguientes </w:t>
            </w: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15</w:t>
            </w: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quince</w:t>
            </w: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) días hábiles siguientes a la emisión de las Actas de Fallo.</w:t>
            </w:r>
          </w:p>
        </w:tc>
      </w:tr>
      <w:tr w:rsidR="00B43260" w:rsidRPr="00521AFB" w14:paraId="44736310" w14:textId="77777777" w:rsidTr="00BE42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A14FF41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2916577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Liberación de Garantías de Seriedad a los Participantes que no hayan incurrido en causales de descalificación y que no sean Participantes Ganadores.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6EEE3BA7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Dentro de los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quince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días 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hábiles 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siguientes a la emisión de las Actas de Fallo.</w:t>
            </w:r>
          </w:p>
        </w:tc>
      </w:tr>
      <w:tr w:rsidR="00B43260" w:rsidRPr="00521AFB" w14:paraId="0AB11938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9AC3E26" w14:textId="77777777" w:rsidR="00B43260" w:rsidRPr="00521AFB" w:rsidRDefault="00B43260" w:rsidP="00BE42DD">
            <w:pPr>
              <w:ind w:left="9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7FD8E967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Envío a los Participantes Ganadores, a través del SER, de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Pr="00521AFB">
              <w:rPr>
                <w:rFonts w:ascii="Arial" w:hAnsi="Arial" w:cs="Arial"/>
                <w:sz w:val="20"/>
                <w:szCs w:val="20"/>
              </w:rPr>
              <w:lastRenderedPageBreak/>
              <w:t>números de referencia para el pago de las Contraprestaciones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3F7F1E10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 xml:space="preserve">Dentro de los </w:t>
            </w: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 xml:space="preserve">siguientes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cinco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 días hábiles siguientes a la notificación de las Actas de Fallo.</w:t>
            </w:r>
          </w:p>
        </w:tc>
      </w:tr>
      <w:tr w:rsidR="00B43260" w:rsidRPr="00521AFB" w14:paraId="13725E19" w14:textId="77777777" w:rsidTr="00BE42DD">
        <w:trPr>
          <w:trHeight w:val="10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7211ECF" w14:textId="77777777" w:rsidR="00B43260" w:rsidRPr="00521AFB" w:rsidRDefault="00B43260" w:rsidP="00BE42DD">
            <w:pPr>
              <w:ind w:left="9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6.4.2 y 6.4.3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5CA7BE25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Pago de la Contraprestación.</w:t>
            </w:r>
          </w:p>
          <w:p w14:paraId="2A366E34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2E95CA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Pago de Retiro (en su caso).</w:t>
            </w:r>
          </w:p>
          <w:p w14:paraId="67351224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5CBE9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Pago de pagos de Derechos adicionales (en su caso).</w:t>
            </w:r>
          </w:p>
          <w:p w14:paraId="4B6CABDF" w14:textId="77777777" w:rsidR="00B43260" w:rsidRPr="00521AFB" w:rsidRDefault="00B43260" w:rsidP="00BE42DD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0A582A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 el caso de Consorcios, acreditación ante el Instituto de la constitución de sociedades mercantiles.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EE5080A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Dentro de los 30 (treinta) días hábiles siguientes a la notificación de las Actas de Fallo correspondiente.</w:t>
            </w:r>
          </w:p>
        </w:tc>
      </w:tr>
      <w:tr w:rsidR="00B43260" w:rsidRPr="00521AFB" w14:paraId="00017812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5909F3A" w14:textId="77777777" w:rsidR="00B43260" w:rsidRPr="00521AFB" w:rsidRDefault="00B43260" w:rsidP="00BE42DD">
            <w:pPr>
              <w:tabs>
                <w:tab w:val="left" w:pos="1155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8394C1D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Otorgamiento y firma del(los) título(s) de concesión. </w:t>
            </w:r>
          </w:p>
          <w:p w14:paraId="0929B86D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94D071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Liberación de Garantías de Seriedad a los Participantes Ganadores a los que se les haya hecho entrega del(los) título(s) de concesión.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80D444A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Dentro de los 20 (veinte) días hábiles siguientes al cumplimiento de las condiciones que se establezcan en el Acta de Fallo correspondiente.</w:t>
            </w:r>
          </w:p>
        </w:tc>
      </w:tr>
      <w:tr w:rsidR="00B43260" w:rsidRPr="00521AFB" w14:paraId="2A3098E3" w14:textId="77777777" w:rsidTr="00BE42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367EBF5" w14:textId="77777777" w:rsidR="00B43260" w:rsidRPr="00521AFB" w:rsidRDefault="00B43260" w:rsidP="00BE42DD">
            <w:pPr>
              <w:tabs>
                <w:tab w:val="left" w:pos="1155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54D3F04B" w14:textId="77777777" w:rsidR="00B43260" w:rsidRPr="00521AFB" w:rsidRDefault="00B43260" w:rsidP="00BE42D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En su caso, emisión de Acuerdo de Lotes Desiertos.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61B6503A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Dentro de los 20 (veinte) días hábiles siguientes al  otorgamiento y firma de los Títulos de Concesión o, en su caso, al vencimiento del plazo para el pago de Contraprestaciones.</w:t>
            </w:r>
          </w:p>
        </w:tc>
      </w:tr>
      <w:tr w:rsidR="00B43260" w:rsidRPr="00521AFB" w14:paraId="16FFCEF6" w14:textId="77777777" w:rsidTr="00BE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56611CF" w14:textId="77777777" w:rsidR="00B43260" w:rsidRPr="00521AFB" w:rsidRDefault="00B43260" w:rsidP="00BE42DD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16.2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57C607C4" w14:textId="77777777" w:rsidR="00B43260" w:rsidRPr="00521AFB" w:rsidRDefault="00B43260" w:rsidP="00BE42D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Presentación del testimonio final del Testigo Social.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6324D4AD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Dentro de los 7 (siete) días naturales siguientes al otorgamiento y firma de los Títulos de Concesión o, en su caso, la emisión del Acuerdo de Lotes Desiertos.</w:t>
            </w:r>
          </w:p>
        </w:tc>
      </w:tr>
      <w:tr w:rsidR="00B43260" w:rsidRPr="00521AFB" w14:paraId="798B4C3B" w14:textId="77777777" w:rsidTr="00BE42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71" w:type="dxa"/>
            <w:vAlign w:val="center"/>
          </w:tcPr>
          <w:p w14:paraId="6EB36C3C" w14:textId="77777777" w:rsidR="00B43260" w:rsidRPr="00521AFB" w:rsidRDefault="00B43260" w:rsidP="00BE42DD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16.3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744C34D4" w14:textId="77777777" w:rsidR="00B43260" w:rsidRPr="00521AFB" w:rsidRDefault="00B43260" w:rsidP="00BE42D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Publicación en el Portal de Internet del Instituto del informe presentado por el Testigo Social.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25" w:type="dxa"/>
            <w:vAlign w:val="center"/>
          </w:tcPr>
          <w:p w14:paraId="2A938CBF" w14:textId="77777777" w:rsidR="00B43260" w:rsidRPr="00521AFB" w:rsidRDefault="00B43260" w:rsidP="00BE42D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Dentro de los 5 (cinco) días hábiles siguientes a la presentación del informe.</w:t>
            </w:r>
          </w:p>
        </w:tc>
      </w:tr>
    </w:tbl>
    <w:p w14:paraId="6FF87342" w14:textId="098850D6" w:rsidR="00B43260" w:rsidRDefault="00B43260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4D91D092" w14:textId="1B52FEF2" w:rsidR="00DC5E02" w:rsidRDefault="00DC5E02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5A0B57B0" w14:textId="770384B1" w:rsidR="00DC5E02" w:rsidRDefault="00DC5E02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5D067D46" w14:textId="0F78C9C4" w:rsidR="00DC5E02" w:rsidRDefault="00DC5E02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27E117AE" w14:textId="23F566F8" w:rsidR="00DC5E02" w:rsidRDefault="00DC5E02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187BFDB4" w14:textId="0D20A379" w:rsidR="00DC5E02" w:rsidRDefault="00DC5E02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382C0457" w14:textId="0D07863D" w:rsidR="00DC5E02" w:rsidRDefault="00DC5E02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74B59751" w14:textId="29B66C37" w:rsidR="00DC5E02" w:rsidRDefault="00DC5E02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5662461B" w14:textId="143A7217" w:rsidR="00DC5E02" w:rsidRDefault="00DC5E02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2137948E" w14:textId="77777777" w:rsidR="00DC5E02" w:rsidRDefault="00DC5E02" w:rsidP="00B43260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p w14:paraId="0250D708" w14:textId="77777777" w:rsidR="00B43260" w:rsidRDefault="00B43260" w:rsidP="00B43260">
      <w:pPr>
        <w:pStyle w:val="Textoindependiente"/>
        <w:spacing w:line="276" w:lineRule="auto"/>
        <w:ind w:left="0" w:right="48"/>
        <w:jc w:val="center"/>
        <w:rPr>
          <w:rFonts w:ascii="Arial" w:hAnsi="Arial" w:cs="Arial"/>
          <w:b/>
          <w:spacing w:val="-1"/>
        </w:rPr>
      </w:pPr>
    </w:p>
    <w:p w14:paraId="7B895D37" w14:textId="0D2FEAD6" w:rsidR="00B43260" w:rsidRPr="000E5CC0" w:rsidRDefault="00B43260" w:rsidP="00B43260">
      <w:pPr>
        <w:pStyle w:val="Textoindependiente"/>
        <w:spacing w:line="276" w:lineRule="auto"/>
        <w:ind w:left="0" w:right="48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lastRenderedPageBreak/>
        <w:t>PROPUESTA 2</w:t>
      </w:r>
    </w:p>
    <w:p w14:paraId="0B9DA8CE" w14:textId="3E9315F5" w:rsidR="00314A06" w:rsidRDefault="00314A06" w:rsidP="00314A06">
      <w:pPr>
        <w:pStyle w:val="Textoindependiente"/>
        <w:spacing w:line="276" w:lineRule="auto"/>
        <w:ind w:left="0" w:right="48"/>
        <w:rPr>
          <w:rFonts w:ascii="Arial" w:hAnsi="Arial" w:cs="Arial"/>
          <w:spacing w:val="-1"/>
          <w:highlight w:val="yellow"/>
        </w:rPr>
      </w:pPr>
    </w:p>
    <w:p w14:paraId="539901C9" w14:textId="77777777" w:rsidR="00314A06" w:rsidRPr="00521AFB" w:rsidRDefault="00314A06" w:rsidP="00314A06">
      <w:pPr>
        <w:widowControl/>
        <w:autoSpaceDE w:val="0"/>
        <w:autoSpaceDN w:val="0"/>
        <w:adjustRightInd w:val="0"/>
        <w:spacing w:line="276" w:lineRule="auto"/>
        <w:ind w:right="48"/>
        <w:contextualSpacing/>
        <w:jc w:val="both"/>
        <w:rPr>
          <w:rFonts w:ascii="Arial" w:eastAsia="ITC Avant Garde" w:hAnsi="Arial" w:cs="Arial"/>
          <w:spacing w:val="-1"/>
          <w:sz w:val="20"/>
          <w:szCs w:val="20"/>
        </w:rPr>
      </w:pPr>
    </w:p>
    <w:tbl>
      <w:tblPr>
        <w:tblStyle w:val="Tabladelista3-nfasis6"/>
        <w:tblW w:w="9466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5670"/>
        <w:gridCol w:w="2525"/>
      </w:tblGrid>
      <w:tr w:rsidR="00DC5E02" w:rsidRPr="00521AFB" w14:paraId="59279AA5" w14:textId="77777777" w:rsidTr="00B71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tcBorders>
              <w:bottom w:val="single" w:sz="4" w:space="0" w:color="70AD47" w:themeColor="accent6"/>
              <w:right w:val="single" w:sz="12" w:space="0" w:color="FFFFFF" w:themeColor="background1"/>
            </w:tcBorders>
            <w:vAlign w:val="center"/>
          </w:tcPr>
          <w:p w14:paraId="19ADFA99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Numeral de las Bases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left w:val="single" w:sz="12" w:space="0" w:color="FFFFFF" w:themeColor="background1"/>
              <w:bottom w:val="single" w:sz="4" w:space="0" w:color="70AD47" w:themeColor="accent6"/>
              <w:right w:val="single" w:sz="12" w:space="0" w:color="FFFFFF" w:themeColor="background1"/>
            </w:tcBorders>
            <w:vAlign w:val="center"/>
          </w:tcPr>
          <w:p w14:paraId="42738A5C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525" w:type="dxa"/>
            <w:tcBorders>
              <w:left w:val="single" w:sz="12" w:space="0" w:color="FFFFFF" w:themeColor="background1"/>
              <w:bottom w:val="single" w:sz="4" w:space="0" w:color="70AD47" w:themeColor="accent6"/>
            </w:tcBorders>
            <w:vAlign w:val="center"/>
          </w:tcPr>
          <w:p w14:paraId="658FCFE6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Fechas / Plazos</w:t>
            </w:r>
          </w:p>
        </w:tc>
      </w:tr>
      <w:tr w:rsidR="00DC5E02" w:rsidRPr="00521AFB" w14:paraId="32A5EAB4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3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5F64A1F4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Primera Etapa: Manifestación de Interés, Preguntas y Respuestas, Entrega de información y documentación al Instituto y, en su caso, prevención y su desahogo.</w:t>
            </w:r>
          </w:p>
        </w:tc>
      </w:tr>
      <w:tr w:rsidR="00DC5E02" w:rsidRPr="00521AFB" w14:paraId="3A0EBA16" w14:textId="77777777" w:rsidTr="00B7179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229C5CC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6.1.1 y 6.1.2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795E4BF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Manifestación de Interés para participar en la Licitación </w:t>
            </w:r>
          </w:p>
          <w:p w14:paraId="0C7551BA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CCF3FC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Generación y envío de Folio Único y contraseña a los Interesados por parte del Instituto.</w:t>
            </w:r>
          </w:p>
          <w:p w14:paraId="50B8D2DA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7DD9E6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En su caso, formulación de preguntas 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respecto de las Bases, sus Apéndices y Anexos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a través del S</w:t>
            </w:r>
            <w:r>
              <w:rPr>
                <w:rFonts w:ascii="Arial" w:hAnsi="Arial" w:cs="Arial"/>
                <w:sz w:val="20"/>
                <w:szCs w:val="20"/>
              </w:rPr>
              <w:t xml:space="preserve">istema </w:t>
            </w:r>
            <w:r w:rsidRPr="00521AF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lectrónico de </w:t>
            </w:r>
            <w:r w:rsidRPr="00521AF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egistro (SER)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por parte de los Interesados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401D2B30" w14:textId="1F3D9E42" w:rsidR="00DC5E02" w:rsidRPr="00521AFB" w:rsidRDefault="00DC5E02" w:rsidP="0005242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052421">
              <w:rPr>
                <w:rFonts w:ascii="Arial" w:hAnsi="Arial" w:cs="Arial"/>
                <w:sz w:val="20"/>
                <w:szCs w:val="20"/>
              </w:rPr>
              <w:t>10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052421">
              <w:rPr>
                <w:rFonts w:ascii="Arial" w:hAnsi="Arial" w:cs="Arial"/>
                <w:sz w:val="20"/>
                <w:szCs w:val="20"/>
              </w:rPr>
              <w:t>21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2421">
              <w:rPr>
                <w:rFonts w:ascii="Arial" w:hAnsi="Arial" w:cs="Arial"/>
                <w:sz w:val="20"/>
                <w:szCs w:val="20"/>
              </w:rPr>
              <w:t>mayo de 2021</w:t>
            </w:r>
          </w:p>
        </w:tc>
      </w:tr>
      <w:tr w:rsidR="00DC5E02" w:rsidRPr="00521AFB" w14:paraId="77C16685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205BC2D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110F08E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Envío a los Interesados a través del SER de las Hojas de Ayuda para realizar el pago de Derechos.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1E921C5" w14:textId="3017A940" w:rsidR="00DC5E02" w:rsidRPr="00052421" w:rsidRDefault="00DC5E02" w:rsidP="0005242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2421">
              <w:rPr>
                <w:rFonts w:ascii="Arial" w:hAnsi="Arial" w:cs="Arial"/>
                <w:sz w:val="20"/>
                <w:szCs w:val="20"/>
              </w:rPr>
              <w:t>A más tardar el 2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8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mayo de 2021</w:t>
            </w:r>
          </w:p>
        </w:tc>
      </w:tr>
      <w:tr w:rsidR="00DC5E02" w:rsidRPr="00521AFB" w14:paraId="1F769450" w14:textId="77777777" w:rsidTr="00B71794">
        <w:trPr>
          <w:trHeight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186E1FE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E98B9D8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Publicación en el Portal de Internet del Instituto de las preguntas recibidas y las respuestas correspondientes, respecto de las Bases, sus Apéndices y Anexos.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41E74E1" w14:textId="44D18099" w:rsidR="00DC5E02" w:rsidRPr="00052421" w:rsidRDefault="00DC5E02" w:rsidP="0005242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2421">
              <w:rPr>
                <w:rFonts w:ascii="Arial" w:hAnsi="Arial" w:cs="Arial"/>
                <w:sz w:val="20"/>
                <w:szCs w:val="20"/>
              </w:rPr>
              <w:t xml:space="preserve">A más tardar el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18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junio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5E02" w:rsidRPr="00521AFB" w14:paraId="08CA1C34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32479DC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963BA9F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Acreditar el pago de Derechos por parte de los Interesados.</w:t>
            </w:r>
          </w:p>
          <w:p w14:paraId="11FB4D77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790B0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 xml:space="preserve">Entrega de la información y documentación prevista en el Apéndice B y en el Apéndice C a través del SER por parte de los Interesados. </w:t>
            </w:r>
          </w:p>
          <w:p w14:paraId="18D6B490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D9BF44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 su caso, entrega de opinión previa y favorable de la Comisión Nacional de Inversiones Extranjeras.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F8B946E" w14:textId="6B20591D" w:rsidR="00DC5E02" w:rsidRPr="00052421" w:rsidRDefault="00DC5E02" w:rsidP="0005242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2421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21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 xml:space="preserve">de junio 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al 2 de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julio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5E02" w:rsidRPr="00521AFB" w:rsidDel="009B79B8" w14:paraId="49EFC5DE" w14:textId="77777777" w:rsidTr="00B7179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  <w:vAlign w:val="center"/>
          </w:tcPr>
          <w:p w14:paraId="4CA89B01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shd w:val="clear" w:color="auto" w:fill="auto"/>
            <w:vAlign w:val="center"/>
          </w:tcPr>
          <w:p w14:paraId="7B4F6454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En su caso, notificación de prevención a los Interesados, a través del SER, sobre la información y/o documentación faltante o que no hubiera cumplido con los requisitos contemplados en las Bases, en el Apéndice B y en el Apéndice 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2FC8EB18" w14:textId="222BF3E2" w:rsidR="00DC5E02" w:rsidRPr="00052421" w:rsidRDefault="00DC5E02" w:rsidP="000524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21">
              <w:rPr>
                <w:rFonts w:ascii="Arial" w:hAnsi="Arial" w:cs="Arial"/>
                <w:sz w:val="20"/>
                <w:szCs w:val="20"/>
              </w:rPr>
              <w:t>Del 1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6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0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 xml:space="preserve">agosto </w:t>
            </w:r>
            <w:r w:rsidRPr="00052421">
              <w:rPr>
                <w:rFonts w:ascii="Arial" w:hAnsi="Arial" w:cs="Arial"/>
                <w:sz w:val="20"/>
                <w:szCs w:val="20"/>
              </w:rPr>
              <w:t>de 2021</w:t>
            </w:r>
          </w:p>
        </w:tc>
      </w:tr>
      <w:tr w:rsidR="00DC5E02" w:rsidRPr="00521AFB" w:rsidDel="009B79B8" w14:paraId="51CBAFE1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E86C0CD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6.1.5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29F2235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 su caso, desahogo de la prevención a través del SER de aquellos Interesados que se encuentren en este supuesto.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DF02BC4" w14:textId="6E2E1945" w:rsidR="00DC5E02" w:rsidRPr="00052421" w:rsidRDefault="00DC5E02" w:rsidP="0005242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2421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23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agosto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3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2421" w:rsidRPr="00052421">
              <w:rPr>
                <w:rFonts w:ascii="Arial" w:hAnsi="Arial" w:cs="Arial"/>
                <w:sz w:val="20"/>
                <w:szCs w:val="20"/>
              </w:rPr>
              <w:t>septiembre</w:t>
            </w:r>
            <w:r w:rsidRPr="00052421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</w:tc>
      </w:tr>
      <w:tr w:rsidR="00DC5E02" w:rsidRPr="00521AFB" w:rsidDel="009B79B8" w14:paraId="1128971E" w14:textId="77777777" w:rsidTr="00B71794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3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0E2734FD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  <w:shd w:val="clear" w:color="auto" w:fill="E2EFD9" w:themeFill="accent6" w:themeFillTint="33"/>
              </w:rPr>
              <w:t>Segunda Etapa: Evaluación, Dictaminación y Emisión de Constancias de Participación.</w:t>
            </w:r>
          </w:p>
        </w:tc>
      </w:tr>
      <w:tr w:rsidR="00DC5E02" w:rsidRPr="00521AFB" w:rsidDel="009B79B8" w14:paraId="1688BE89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D3A1F21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9C92EE6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Emisión de acuerdo de Constancia de Participación o del acuerdo por el cual se resuelve no otorgarla.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618F556" w14:textId="1DC9B0CA" w:rsidR="00DC5E02" w:rsidRPr="00052421" w:rsidRDefault="00DC5E02" w:rsidP="006D5FC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D5FC8">
              <w:rPr>
                <w:rFonts w:ascii="Arial" w:hAnsi="Arial" w:cs="Arial"/>
                <w:sz w:val="20"/>
                <w:szCs w:val="20"/>
              </w:rPr>
              <w:t xml:space="preserve">A más tardar el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3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diciembre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</w:tc>
      </w:tr>
      <w:tr w:rsidR="00DC5E02" w:rsidRPr="00521AFB" w:rsidDel="009B79B8" w14:paraId="59042939" w14:textId="77777777" w:rsidTr="00B71794">
        <w:trPr>
          <w:trHeight w:val="20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7023C87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BD8C7B5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Publicación del calendario de entrega de Constancia de Participación o, en su caso, del acuerdo por el que se resuelve no otorgarla.</w:t>
            </w:r>
          </w:p>
          <w:p w14:paraId="56723B3A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56FD0E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Envío a los Interesados, a través SER, de la cita específica para entrega de Constancias de Participación o, en su caso, el acuerdo por el que se resuelve no otorgarla.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F36EBE2" w14:textId="3A8D58C0" w:rsidR="00DC5E02" w:rsidRPr="006D5FC8" w:rsidRDefault="00DC5E02" w:rsidP="006D5FC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FC8">
              <w:rPr>
                <w:rFonts w:ascii="Arial" w:hAnsi="Arial" w:cs="Arial"/>
                <w:sz w:val="20"/>
                <w:szCs w:val="20"/>
              </w:rPr>
              <w:t xml:space="preserve">A más tardar el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17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diciembre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</w:tc>
      </w:tr>
      <w:tr w:rsidR="00DC5E02" w:rsidRPr="00521AFB" w:rsidDel="009B79B8" w14:paraId="31D3467D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FAE4DAC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2CE66A6B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Notificación de acuerdo de Constancia de Participación o del acuerdo por el cual se resuelve no otorgarla.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1E8D67C9" w14:textId="7D78C6B3" w:rsidR="00DC5E02" w:rsidRPr="006D5FC8" w:rsidRDefault="006D5FC8" w:rsidP="00B7179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FC8">
              <w:rPr>
                <w:rFonts w:ascii="Arial" w:hAnsi="Arial" w:cs="Arial"/>
                <w:sz w:val="20"/>
                <w:szCs w:val="20"/>
              </w:rPr>
              <w:t>A más tardar el 17 de diciembre de 2021</w:t>
            </w:r>
          </w:p>
        </w:tc>
      </w:tr>
      <w:tr w:rsidR="00DC5E02" w:rsidRPr="00521AFB" w:rsidDel="009B79B8" w14:paraId="2D7A5109" w14:textId="77777777" w:rsidTr="00B717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143F34B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76D93B77" w14:textId="77777777" w:rsidR="00DC5E02" w:rsidRPr="006D5FC8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FC8">
              <w:rPr>
                <w:rFonts w:ascii="Arial" w:hAnsi="Arial" w:cs="Arial"/>
                <w:sz w:val="20"/>
                <w:szCs w:val="20"/>
              </w:rPr>
              <w:t xml:space="preserve">Entrega física por parte del Interesado de la documentación y </w:t>
            </w:r>
            <w:r w:rsidRPr="006D5FC8">
              <w:rPr>
                <w:rFonts w:ascii="Arial" w:hAnsi="Arial" w:cs="Arial"/>
                <w:sz w:val="20"/>
                <w:szCs w:val="20"/>
              </w:rPr>
              <w:lastRenderedPageBreak/>
              <w:t>la Garantía de Seriedad correspondiente.</w:t>
            </w:r>
          </w:p>
          <w:p w14:paraId="06CB3F6B" w14:textId="77777777" w:rsidR="00DC5E02" w:rsidRPr="006D5FC8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4C90A9" w14:textId="77777777" w:rsidR="00DC5E02" w:rsidRPr="006D5FC8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FC8">
              <w:rPr>
                <w:rFonts w:ascii="Arial" w:hAnsi="Arial" w:cs="Arial"/>
                <w:sz w:val="20"/>
                <w:szCs w:val="20"/>
              </w:rPr>
              <w:t>Entrega por parte del Instituto de la Constancia de Participación y las Claves de Acceso.</w:t>
            </w:r>
          </w:p>
          <w:p w14:paraId="1A56845B" w14:textId="77777777" w:rsidR="00DC5E02" w:rsidRPr="006D5FC8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204C30" w14:textId="77777777" w:rsidR="00DC5E02" w:rsidRPr="006D5FC8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FC8">
              <w:rPr>
                <w:rFonts w:ascii="Arial" w:hAnsi="Arial" w:cs="Arial"/>
                <w:sz w:val="20"/>
                <w:szCs w:val="20"/>
              </w:rPr>
              <w:t>Entrega por parte del Instituto del acuerdo por el que se resuelve no otorgar la Constancia de Participación.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66177898" w14:textId="1C102B64" w:rsidR="00DC5E02" w:rsidRPr="006D5FC8" w:rsidRDefault="00DC5E02" w:rsidP="006D5FC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FC8">
              <w:rPr>
                <w:rFonts w:ascii="Arial" w:hAnsi="Arial" w:cs="Arial"/>
                <w:sz w:val="20"/>
                <w:szCs w:val="20"/>
              </w:rPr>
              <w:lastRenderedPageBreak/>
              <w:t xml:space="preserve">Del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10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2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1 de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enero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D5FC8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5E02" w:rsidRPr="00521AFB" w14:paraId="7C20C9A9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3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48839CBD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lastRenderedPageBreak/>
              <w:t>Tercera Etapa: Sesiones de Práctica y Procedimiento de Presentación de Ofertas</w:t>
            </w:r>
          </w:p>
        </w:tc>
      </w:tr>
      <w:tr w:rsidR="00DC5E02" w:rsidRPr="00521AFB" w14:paraId="43638E2A" w14:textId="77777777" w:rsidTr="00B71794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0E551C8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87F2306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Sesiones de práctica.</w:t>
            </w:r>
          </w:p>
          <w:p w14:paraId="506F6DF4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D9FC23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 su caso, programación del Modo Automático dentro del S</w:t>
            </w:r>
            <w:r>
              <w:rPr>
                <w:rFonts w:ascii="Arial" w:hAnsi="Arial" w:cs="Arial"/>
                <w:sz w:val="20"/>
                <w:szCs w:val="20"/>
              </w:rPr>
              <w:t xml:space="preserve">istema </w:t>
            </w:r>
            <w:r w:rsidRPr="00521AF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lectrónico de </w:t>
            </w:r>
            <w:r w:rsidRPr="00521AF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resentación de </w:t>
            </w:r>
            <w:r w:rsidRPr="00521AF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fertas (SEPRO)</w:t>
            </w:r>
            <w:r w:rsidRPr="00521AFB">
              <w:rPr>
                <w:rFonts w:ascii="Arial" w:hAnsi="Arial" w:cs="Arial"/>
                <w:sz w:val="20"/>
                <w:szCs w:val="20"/>
              </w:rPr>
              <w:t>, por los Participantes.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EAAA408" w14:textId="1EA437FB" w:rsidR="00DC5E02" w:rsidRPr="006D5FC8" w:rsidRDefault="00DC5E02" w:rsidP="006D5FC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FC8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24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2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8 de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enero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5E02" w:rsidRPr="00521AFB" w14:paraId="2DE6C01F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D51B121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6.3.2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220530F5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Inicio del Procedimiento de Presentación de Ofertas.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3C33E50C" w14:textId="7CDE317D" w:rsidR="00DC5E02" w:rsidRPr="006D5FC8" w:rsidRDefault="00DC5E02" w:rsidP="006D5FC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FC8">
              <w:rPr>
                <w:rFonts w:ascii="Arial" w:hAnsi="Arial" w:cs="Arial"/>
                <w:sz w:val="20"/>
                <w:szCs w:val="20"/>
              </w:rPr>
              <w:t xml:space="preserve">A partir del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3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1 de 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enero</w:t>
            </w:r>
            <w:r w:rsidRPr="006D5FC8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6D5FC8" w:rsidRPr="006D5F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5E02" w:rsidRPr="00521AFB" w14:paraId="48BC66AF" w14:textId="77777777" w:rsidTr="00B71794">
        <w:trPr>
          <w:trHeight w:val="7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8653909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6.3.3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2E49C498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Publicación de los resultados del Procedimiento de Presentación de Ofertas en el Portal de Internet del Instituto.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F07C925" w14:textId="77777777" w:rsidR="00DC5E02" w:rsidRPr="006D5FC8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FC8">
              <w:rPr>
                <w:rFonts w:ascii="Arial" w:hAnsi="Arial" w:cs="Arial"/>
                <w:color w:val="000000" w:themeColor="text1"/>
                <w:sz w:val="20"/>
                <w:szCs w:val="20"/>
              </w:rPr>
              <w:t>Al siguiente día hábil de finalizado el PPO.</w:t>
            </w:r>
          </w:p>
        </w:tc>
      </w:tr>
      <w:tr w:rsidR="00DC5E02" w:rsidRPr="00521AFB" w14:paraId="12BF4CA8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3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7EBC2408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Cuarta Etapa: Acta de Fallo, Pago de Contraprestación y Otorgamiento de títulos de concesión.</w:t>
            </w:r>
          </w:p>
        </w:tc>
      </w:tr>
      <w:tr w:rsidR="00DC5E02" w:rsidRPr="00521AFB" w14:paraId="63643210" w14:textId="77777777" w:rsidTr="00B717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FEC8559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FC489A3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Emisión del Acta de Fallo.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71E1180A" w14:textId="0452B326" w:rsidR="00DC5E02" w:rsidRPr="00521AFB" w:rsidRDefault="00DC5E02" w:rsidP="00BA232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Dentro de los 25 (veinticinco</w:t>
            </w: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días hábiles posteriores a la publicación de los resultados del Procedimiento de Presentación de Ofertas del último concurso.</w:t>
            </w:r>
          </w:p>
        </w:tc>
      </w:tr>
      <w:tr w:rsidR="00DC5E02" w:rsidRPr="00521AFB" w14:paraId="1594D768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5E18886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shd w:val="clear" w:color="auto" w:fill="FFFFFF" w:themeFill="background1"/>
            <w:vAlign w:val="center"/>
          </w:tcPr>
          <w:p w14:paraId="083F4810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Notificación a los Participantes del Acta de Fallo.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7EBC36F2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Dentro de los siguientes </w:t>
            </w: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15</w:t>
            </w: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quince</w:t>
            </w: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) días hábiles siguientes a la emisión de las Actas de Fallo.</w:t>
            </w:r>
          </w:p>
        </w:tc>
      </w:tr>
      <w:tr w:rsidR="00DC5E02" w:rsidRPr="00521AFB" w14:paraId="14C2AD6D" w14:textId="77777777" w:rsidTr="00B717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A185D11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3B71610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Liberación de Garantías de Seriedad a los Participantes que no hayan incurrido en causales de descalificación y que no sean Participantes Ganadores.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1D64932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Dentro de los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quince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días 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hábiles 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siguientes a la emisión de las Actas de Fallo.</w:t>
            </w:r>
          </w:p>
        </w:tc>
      </w:tr>
      <w:tr w:rsidR="00DC5E02" w:rsidRPr="00521AFB" w14:paraId="0070E8A4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B83F32A" w14:textId="77777777" w:rsidR="00DC5E02" w:rsidRPr="00521AFB" w:rsidRDefault="00DC5E02" w:rsidP="00B71794">
            <w:pPr>
              <w:ind w:left="9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0143E17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Envío a los Participantes Ganadores, a través del SER, de</w:t>
            </w:r>
            <w:r w:rsidRPr="00521AFB">
              <w:rPr>
                <w:rFonts w:ascii="Arial" w:hAnsi="Arial" w:cs="Arial"/>
                <w:sz w:val="20"/>
                <w:szCs w:val="20"/>
              </w:rPr>
              <w:t xml:space="preserve"> los números de referencia para el pago de las Contraprestaciones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39EDC2A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Dentro de los siguientes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cinco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521AFB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 días hábiles siguientes a la notificación de las Actas de Fallo.</w:t>
            </w:r>
          </w:p>
        </w:tc>
      </w:tr>
      <w:tr w:rsidR="00DC5E02" w:rsidRPr="00521AFB" w14:paraId="47D83D9E" w14:textId="77777777" w:rsidTr="00B71794">
        <w:trPr>
          <w:trHeight w:val="10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6998398" w14:textId="77777777" w:rsidR="00DC5E02" w:rsidRPr="00521AFB" w:rsidRDefault="00DC5E02" w:rsidP="00B71794">
            <w:pPr>
              <w:ind w:left="9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6.4.2 y 6.4.3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A5A118C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Pago de la Contraprestación.</w:t>
            </w:r>
          </w:p>
          <w:p w14:paraId="7C5FF717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71609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Pago de Retiro (en su caso).</w:t>
            </w:r>
          </w:p>
          <w:p w14:paraId="2735014E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7FE35B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Pago de pagos de Derechos adicionales (en su caso).</w:t>
            </w:r>
          </w:p>
          <w:p w14:paraId="4041E19E" w14:textId="77777777" w:rsidR="00DC5E02" w:rsidRPr="00521AFB" w:rsidRDefault="00DC5E02" w:rsidP="00B7179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792FC8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En el caso de Consorcios, acreditación ante el Instituto de la constitución de sociedades mercantiles.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62AED23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Dentro de los 30 (treinta) días hábiles siguientes a la notificación de las Actas de Fallo correspondiente.</w:t>
            </w:r>
          </w:p>
        </w:tc>
      </w:tr>
      <w:tr w:rsidR="00DC5E02" w:rsidRPr="00521AFB" w14:paraId="154C81E0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DC0B170" w14:textId="77777777" w:rsidR="00DC5E02" w:rsidRPr="00521AFB" w:rsidRDefault="00DC5E02" w:rsidP="00B71794">
            <w:pPr>
              <w:tabs>
                <w:tab w:val="left" w:pos="1155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6.4.5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7463E3C3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Otorgamiento y firma del(los) título(s) de concesión. </w:t>
            </w:r>
          </w:p>
          <w:p w14:paraId="37259405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AC581D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Liberación de Garantías de Seriedad a los Participantes Ganadores a los que se les haya hecho entrega del(los) título(s) de concesión.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69BD1145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Dentro de los 20 </w:t>
            </w: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(veinte) días hábiles siguientes al cumplimiento de las condiciones que se establezcan en el Acta de Fallo correspondiente.</w:t>
            </w:r>
          </w:p>
        </w:tc>
      </w:tr>
      <w:tr w:rsidR="00DC5E02" w:rsidRPr="00521AFB" w14:paraId="1C092239" w14:textId="77777777" w:rsidTr="00B717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31F20E1" w14:textId="77777777" w:rsidR="00DC5E02" w:rsidRPr="00521AFB" w:rsidRDefault="00DC5E02" w:rsidP="00B71794">
            <w:pPr>
              <w:tabs>
                <w:tab w:val="left" w:pos="1155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C3D1B8C" w14:textId="77777777" w:rsidR="00DC5E02" w:rsidRPr="00521AFB" w:rsidRDefault="00DC5E02" w:rsidP="00B7179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En su caso, emisión de Acuerdo de Lotes Desiertos.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F56B275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Dentro de los 20 (veinte) días hábiles siguientes al  otorgamiento y firma de los Títulos de Concesión o, en su caso, al vencimiento del plazo para el pago de Contraprestaciones.</w:t>
            </w:r>
          </w:p>
        </w:tc>
      </w:tr>
      <w:tr w:rsidR="00DC5E02" w:rsidRPr="00521AFB" w14:paraId="2E24724A" w14:textId="77777777" w:rsidTr="00B7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572B7E1" w14:textId="77777777" w:rsidR="00DC5E02" w:rsidRPr="00521AFB" w:rsidRDefault="00DC5E02" w:rsidP="00B71794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16.2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D04FE0B" w14:textId="77777777" w:rsidR="00DC5E02" w:rsidRPr="00521AFB" w:rsidRDefault="00DC5E02" w:rsidP="00B717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Presentación del testimonio final del Testigo Social.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0392B488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sz w:val="20"/>
                <w:szCs w:val="20"/>
              </w:rPr>
              <w:t>Dentro de los 7 (siete) días naturales siguientes al otorgamiento y firma de los Títulos de Concesión o, en su caso, la emisión del Acuerdo de Lotes Desiertos.</w:t>
            </w:r>
          </w:p>
        </w:tc>
      </w:tr>
      <w:tr w:rsidR="00DC5E02" w:rsidRPr="00521AFB" w14:paraId="6EB3E4BB" w14:textId="77777777" w:rsidTr="00B717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71" w:type="dxa"/>
            <w:vAlign w:val="center"/>
          </w:tcPr>
          <w:p w14:paraId="47415327" w14:textId="77777777" w:rsidR="00DC5E02" w:rsidRPr="00521AFB" w:rsidRDefault="00DC5E02" w:rsidP="00B71794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16.3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01FE9F1" w14:textId="77777777" w:rsidR="00DC5E02" w:rsidRPr="00521AFB" w:rsidRDefault="00DC5E02" w:rsidP="00B717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Publicación en el Portal de Internet del Instituto del informe presentado por el Testigo Social.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25" w:type="dxa"/>
            <w:vAlign w:val="center"/>
          </w:tcPr>
          <w:p w14:paraId="535E962B" w14:textId="77777777" w:rsidR="00DC5E02" w:rsidRPr="00521AFB" w:rsidRDefault="00DC5E02" w:rsidP="00B7179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1AFB">
              <w:rPr>
                <w:rFonts w:ascii="Arial" w:hAnsi="Arial" w:cs="Arial"/>
                <w:color w:val="000000" w:themeColor="text1"/>
                <w:sz w:val="20"/>
                <w:szCs w:val="20"/>
              </w:rPr>
              <w:t>Dentro de los 5 (cinco) días hábiles siguientes a la presentación del informe.</w:t>
            </w:r>
          </w:p>
        </w:tc>
      </w:tr>
    </w:tbl>
    <w:p w14:paraId="0686693E" w14:textId="332F49F8" w:rsidR="000E5CC0" w:rsidRDefault="000E5CC0" w:rsidP="00A6273F">
      <w:pPr>
        <w:pStyle w:val="Textoindependiente"/>
        <w:spacing w:line="276" w:lineRule="auto"/>
        <w:ind w:left="0" w:right="48"/>
        <w:jc w:val="both"/>
        <w:rPr>
          <w:rFonts w:ascii="Arial" w:hAnsi="Arial" w:cs="Arial"/>
          <w:spacing w:val="-1"/>
        </w:rPr>
      </w:pPr>
    </w:p>
    <w:p w14:paraId="004F37FE" w14:textId="77777777" w:rsidR="0062330E" w:rsidRPr="002D52FE" w:rsidRDefault="0062330E" w:rsidP="0062330E">
      <w:pPr>
        <w:pStyle w:val="Textoindependiente"/>
        <w:spacing w:line="276" w:lineRule="auto"/>
        <w:ind w:left="0" w:right="48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TABLA COMPARATIVA</w:t>
      </w:r>
      <w:r w:rsidRPr="002D52FE">
        <w:rPr>
          <w:rFonts w:ascii="Arial" w:hAnsi="Arial" w:cs="Arial"/>
          <w:b/>
          <w:spacing w:val="-1"/>
        </w:rPr>
        <w:t xml:space="preserve"> DE LA</w:t>
      </w:r>
      <w:r>
        <w:rPr>
          <w:rFonts w:ascii="Arial" w:hAnsi="Arial" w:cs="Arial"/>
          <w:b/>
          <w:spacing w:val="-1"/>
        </w:rPr>
        <w:t>S</w:t>
      </w:r>
      <w:r w:rsidRPr="002D52FE">
        <w:rPr>
          <w:rFonts w:ascii="Arial" w:hAnsi="Arial" w:cs="Arial"/>
          <w:b/>
          <w:spacing w:val="-1"/>
        </w:rPr>
        <w:t xml:space="preserve"> PROPUESTAS</w:t>
      </w:r>
      <w:r>
        <w:rPr>
          <w:rFonts w:ascii="Arial" w:hAnsi="Arial" w:cs="Arial"/>
          <w:b/>
          <w:spacing w:val="-1"/>
        </w:rPr>
        <w:t xml:space="preserve"> </w:t>
      </w:r>
      <w:r w:rsidRPr="002D52FE">
        <w:rPr>
          <w:rFonts w:ascii="Arial" w:hAnsi="Arial" w:cs="Arial"/>
          <w:b/>
          <w:spacing w:val="-1"/>
        </w:rPr>
        <w:t>DE CALENDARIO DE ACTIVIDADES DE LA LICITACIÓN NO. IFT-8</w:t>
      </w:r>
    </w:p>
    <w:tbl>
      <w:tblPr>
        <w:tblStyle w:val="Tabladelista3-nfasis6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65"/>
        <w:gridCol w:w="3763"/>
        <w:gridCol w:w="2255"/>
        <w:gridCol w:w="2311"/>
      </w:tblGrid>
      <w:tr w:rsidR="0062330E" w:rsidRPr="00920BC2" w14:paraId="3A0D26B9" w14:textId="77777777" w:rsidTr="00FA1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5" w:type="dxa"/>
            <w:tcBorders>
              <w:bottom w:val="single" w:sz="4" w:space="0" w:color="70AD47" w:themeColor="accent6"/>
              <w:right w:val="single" w:sz="12" w:space="0" w:color="FFFFFF" w:themeColor="background1"/>
            </w:tcBorders>
            <w:vAlign w:val="center"/>
          </w:tcPr>
          <w:p w14:paraId="7A23C09F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Numeral de las Bases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tcBorders>
              <w:left w:val="single" w:sz="12" w:space="0" w:color="FFFFFF" w:themeColor="background1"/>
              <w:bottom w:val="single" w:sz="4" w:space="0" w:color="70AD47" w:themeColor="accent6"/>
              <w:right w:val="single" w:sz="12" w:space="0" w:color="FFFFFF" w:themeColor="background1"/>
            </w:tcBorders>
            <w:vAlign w:val="center"/>
          </w:tcPr>
          <w:p w14:paraId="48A17A31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Actividad</w:t>
            </w:r>
          </w:p>
        </w:tc>
        <w:tc>
          <w:tcPr>
            <w:tcW w:w="2255" w:type="dxa"/>
            <w:tcBorders>
              <w:left w:val="single" w:sz="12" w:space="0" w:color="FFFFFF" w:themeColor="background1"/>
              <w:bottom w:val="single" w:sz="4" w:space="0" w:color="70AD47" w:themeColor="accent6"/>
            </w:tcBorders>
            <w:vAlign w:val="center"/>
          </w:tcPr>
          <w:p w14:paraId="75D97759" w14:textId="7F0096C9" w:rsidR="0062330E" w:rsidRPr="00920BC2" w:rsidRDefault="0062330E" w:rsidP="00FA1C5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Fechas / Plazos</w:t>
            </w:r>
            <w:r>
              <w:rPr>
                <w:rFonts w:ascii="Arial" w:hAnsi="Arial" w:cs="Arial"/>
                <w:sz w:val="18"/>
                <w:szCs w:val="20"/>
              </w:rPr>
              <w:t xml:space="preserve"> (P</w:t>
            </w:r>
            <w:r>
              <w:rPr>
                <w:rFonts w:ascii="Arial" w:hAnsi="Arial" w:cs="Arial"/>
                <w:sz w:val="18"/>
                <w:szCs w:val="20"/>
              </w:rPr>
              <w:t>ropuesta 1)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311" w:type="dxa"/>
            <w:tcBorders>
              <w:left w:val="single" w:sz="12" w:space="0" w:color="FFFFFF" w:themeColor="background1"/>
              <w:bottom w:val="single" w:sz="4" w:space="0" w:color="70AD47" w:themeColor="accent6"/>
            </w:tcBorders>
            <w:vAlign w:val="center"/>
          </w:tcPr>
          <w:p w14:paraId="32C49176" w14:textId="4667446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Fechas / Plazos</w:t>
            </w:r>
            <w:r>
              <w:rPr>
                <w:rFonts w:ascii="Arial" w:hAnsi="Arial" w:cs="Arial"/>
                <w:sz w:val="18"/>
                <w:szCs w:val="20"/>
              </w:rPr>
              <w:t xml:space="preserve"> (P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20"/>
              </w:rPr>
              <w:t>ropuesta 2)</w:t>
            </w:r>
          </w:p>
        </w:tc>
      </w:tr>
      <w:tr w:rsidR="0062330E" w:rsidRPr="00920BC2" w14:paraId="1EE29EDB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25934C4B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Primera Etapa: Manifestación de Interés, Preguntas y Respuestas, Entrega de información y documentación al Instituto y, en su caso, prevención y su desahogo.</w:t>
            </w:r>
          </w:p>
        </w:tc>
      </w:tr>
      <w:tr w:rsidR="0062330E" w:rsidRPr="00920BC2" w14:paraId="6ED9EE36" w14:textId="77777777" w:rsidTr="00FA1C5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76F50794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6.1.1 y 6.1.2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3130B8AB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 xml:space="preserve">Manifestación de Interés para participar en la Licitación </w:t>
            </w:r>
          </w:p>
          <w:p w14:paraId="3529545C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14:paraId="0D9617E7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Generación y envío de Folio Único y contraseña a los Interesados por parte del Instituto.</w:t>
            </w:r>
          </w:p>
          <w:p w14:paraId="521FC186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14:paraId="27500BE5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 xml:space="preserve">En su caso, formulación de preguntas </w:t>
            </w: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respecto de las Bases, sus Apéndices y Anexos</w:t>
            </w:r>
            <w:r w:rsidRPr="00920BC2">
              <w:rPr>
                <w:rFonts w:ascii="Arial" w:hAnsi="Arial" w:cs="Arial"/>
                <w:sz w:val="18"/>
                <w:szCs w:val="20"/>
              </w:rPr>
              <w:t xml:space="preserve"> a través del Sistema Electrónico de Registro (SER) por parte de los Interesados</w:t>
            </w: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2255" w:type="dxa"/>
            <w:tcBorders>
              <w:right w:val="single" w:sz="4" w:space="0" w:color="70AD47" w:themeColor="accent6"/>
            </w:tcBorders>
            <w:vAlign w:val="center"/>
          </w:tcPr>
          <w:p w14:paraId="44E51E57" w14:textId="77777777" w:rsidR="0062330E" w:rsidRPr="00800A42" w:rsidRDefault="0062330E" w:rsidP="00FA1C5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Del 5 al 16 de octubre de 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24C9DAC1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Del 10 al 21 de mayo de 2021</w:t>
            </w:r>
          </w:p>
        </w:tc>
      </w:tr>
      <w:tr w:rsidR="0062330E" w:rsidRPr="00920BC2" w14:paraId="4727B822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39946E20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0E5199AB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Envío a los Interesados a través del SER de las Hojas de Ayuda para realizar el pago de Derechos.</w:t>
            </w:r>
          </w:p>
        </w:tc>
        <w:tc>
          <w:tcPr>
            <w:tcW w:w="2255" w:type="dxa"/>
            <w:tcBorders>
              <w:right w:val="single" w:sz="4" w:space="0" w:color="70AD47" w:themeColor="accent6"/>
            </w:tcBorders>
            <w:vAlign w:val="center"/>
          </w:tcPr>
          <w:p w14:paraId="6B80F901" w14:textId="77777777" w:rsidR="0062330E" w:rsidRPr="00800A42" w:rsidRDefault="0062330E" w:rsidP="00FA1C5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A más tardar el 23 de octubre de 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left w:val="single" w:sz="4" w:space="0" w:color="70AD47" w:themeColor="accent6"/>
            </w:tcBorders>
            <w:vAlign w:val="center"/>
          </w:tcPr>
          <w:p w14:paraId="4DDD8AEE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A más tardar el 28 de mayo de 2021</w:t>
            </w:r>
          </w:p>
        </w:tc>
      </w:tr>
      <w:tr w:rsidR="0062330E" w:rsidRPr="00920BC2" w14:paraId="3F99AA19" w14:textId="77777777" w:rsidTr="00FA1C5C">
        <w:trPr>
          <w:trHeight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59CFCADD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13A66A50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Publicación en el Portal de Internet del Instituto de las preguntas recibidas y las respuestas correspondientes, respecto de las Bases, sus Apéndices y Anexos.</w:t>
            </w:r>
          </w:p>
        </w:tc>
        <w:tc>
          <w:tcPr>
            <w:tcW w:w="2255" w:type="dxa"/>
            <w:tcBorders>
              <w:right w:val="single" w:sz="4" w:space="0" w:color="70AD47" w:themeColor="accent6"/>
            </w:tcBorders>
            <w:vAlign w:val="center"/>
          </w:tcPr>
          <w:p w14:paraId="7249335C" w14:textId="77777777" w:rsidR="0062330E" w:rsidRPr="00800A42" w:rsidRDefault="0062330E" w:rsidP="00FA1C5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A más tardar el 13 de noviembre de 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7D444861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A más tardar el 18 de junio de 2021</w:t>
            </w:r>
          </w:p>
        </w:tc>
      </w:tr>
      <w:tr w:rsidR="0062330E" w:rsidRPr="00920BC2" w14:paraId="3958B00F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051F5A7A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lastRenderedPageBreak/>
              <w:t>6.1.3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1EDEA22F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Acreditar el pago de Derechos por parte de los Interesados.</w:t>
            </w:r>
          </w:p>
          <w:p w14:paraId="5E00B0D3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B8C80FE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 xml:space="preserve">Entrega de la información y documentación prevista en el Apéndice B y en el Apéndice C a través del SER por parte de los Interesados. </w:t>
            </w:r>
          </w:p>
          <w:p w14:paraId="383D7128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82AE00D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En su caso, entrega de opinión previa y favorable de la Comisión Nacional de Inversiones Extranjeras.</w:t>
            </w:r>
          </w:p>
        </w:tc>
        <w:tc>
          <w:tcPr>
            <w:tcW w:w="2255" w:type="dxa"/>
            <w:tcBorders>
              <w:right w:val="single" w:sz="4" w:space="0" w:color="70AD47" w:themeColor="accent6"/>
            </w:tcBorders>
            <w:vAlign w:val="center"/>
          </w:tcPr>
          <w:p w14:paraId="0FE2285E" w14:textId="77777777" w:rsidR="0062330E" w:rsidRPr="00800A42" w:rsidRDefault="0062330E" w:rsidP="00FA1C5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Del 17 al 27 de noviembre de 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left w:val="single" w:sz="4" w:space="0" w:color="70AD47" w:themeColor="accent6"/>
            </w:tcBorders>
            <w:vAlign w:val="center"/>
          </w:tcPr>
          <w:p w14:paraId="72336939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Del 21 de junio al 2 de julio de 2021</w:t>
            </w:r>
          </w:p>
        </w:tc>
      </w:tr>
      <w:tr w:rsidR="0062330E" w:rsidRPr="00920BC2" w:rsidDel="009B79B8" w14:paraId="667428C3" w14:textId="77777777" w:rsidTr="00FA1C5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shd w:val="clear" w:color="auto" w:fill="auto"/>
            <w:vAlign w:val="center"/>
          </w:tcPr>
          <w:p w14:paraId="1A670F23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shd w:val="clear" w:color="auto" w:fill="auto"/>
            <w:vAlign w:val="center"/>
          </w:tcPr>
          <w:p w14:paraId="7EBC6377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  <w:shd w:val="clear" w:color="auto" w:fill="FFFFFF" w:themeFill="background1"/>
              </w:rPr>
              <w:t>En su caso, notificación de prevención a los Interesados, a través del SER, sobre la información y/o documentación faltante o que no hubiera cumplido con los requisitos contemplados en las Bases, en el Apéndice B y en el Apéndice C.</w:t>
            </w:r>
          </w:p>
        </w:tc>
        <w:tc>
          <w:tcPr>
            <w:tcW w:w="2255" w:type="dxa"/>
            <w:tcBorders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40BD73" w14:textId="77777777" w:rsidR="0062330E" w:rsidRPr="00800A42" w:rsidRDefault="0062330E" w:rsidP="00FA1C5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Del 18 al 22 de enero de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7AB0A9EF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Del 16 al 20 de agosto de 2021</w:t>
            </w:r>
          </w:p>
        </w:tc>
      </w:tr>
      <w:tr w:rsidR="0062330E" w:rsidRPr="00920BC2" w:rsidDel="009B79B8" w14:paraId="0CEE89C9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114CB342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6.1.5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4685AC77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En su caso, desahogo de la prevención a través del SER de aquellos Interesados que se encuentren en este supuesto.</w:t>
            </w:r>
          </w:p>
        </w:tc>
        <w:tc>
          <w:tcPr>
            <w:tcW w:w="2255" w:type="dxa"/>
            <w:tcBorders>
              <w:right w:val="single" w:sz="4" w:space="0" w:color="70AD47" w:themeColor="accent6"/>
            </w:tcBorders>
            <w:vAlign w:val="center"/>
          </w:tcPr>
          <w:p w14:paraId="113621A2" w14:textId="77777777" w:rsidR="0062330E" w:rsidRPr="00800A42" w:rsidRDefault="0062330E" w:rsidP="00FA1C5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Del 25 de enero al 8 de febrero de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left w:val="single" w:sz="4" w:space="0" w:color="70AD47" w:themeColor="accent6"/>
            </w:tcBorders>
            <w:vAlign w:val="center"/>
          </w:tcPr>
          <w:p w14:paraId="64B4F381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Del 23 de agosto al 3 de septiembre de 2021</w:t>
            </w:r>
          </w:p>
        </w:tc>
      </w:tr>
      <w:tr w:rsidR="0062330E" w:rsidRPr="00920BC2" w:rsidDel="009B79B8" w14:paraId="50F7B5E6" w14:textId="77777777" w:rsidTr="00FA1C5C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3628A967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  <w:shd w:val="clear" w:color="auto" w:fill="E2EFD9" w:themeFill="accent6" w:themeFillTint="33"/>
              </w:rPr>
            </w:pPr>
            <w:r w:rsidRPr="00800A42">
              <w:rPr>
                <w:rFonts w:ascii="Arial" w:hAnsi="Arial" w:cs="Arial"/>
                <w:sz w:val="18"/>
                <w:szCs w:val="20"/>
                <w:shd w:val="clear" w:color="auto" w:fill="E2EFD9" w:themeFill="accent6" w:themeFillTint="33"/>
              </w:rPr>
              <w:t>Segunda Etapa: Evaluación, Dictaminación y Emisión de Constancias de Participación.</w:t>
            </w:r>
          </w:p>
        </w:tc>
      </w:tr>
      <w:tr w:rsidR="0062330E" w:rsidRPr="00920BC2" w:rsidDel="009B79B8" w14:paraId="423B742D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4A0A1E75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013F498C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Emisión de acuerdo de Constancia de Participación o del acuerdo por el cual se resuelve no otorgarla.</w:t>
            </w:r>
          </w:p>
        </w:tc>
        <w:tc>
          <w:tcPr>
            <w:tcW w:w="2255" w:type="dxa"/>
            <w:tcBorders>
              <w:right w:val="single" w:sz="4" w:space="0" w:color="70AD47" w:themeColor="accent6"/>
            </w:tcBorders>
            <w:vAlign w:val="center"/>
          </w:tcPr>
          <w:p w14:paraId="73F52792" w14:textId="77777777" w:rsidR="0062330E" w:rsidRPr="00800A42" w:rsidRDefault="0062330E" w:rsidP="00FA1C5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A más tardar el 14 de mayo de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left w:val="single" w:sz="4" w:space="0" w:color="70AD47" w:themeColor="accent6"/>
            </w:tcBorders>
            <w:vAlign w:val="center"/>
          </w:tcPr>
          <w:p w14:paraId="1EFBF039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A más tardar el 3 de diciembre de 2021</w:t>
            </w:r>
          </w:p>
        </w:tc>
      </w:tr>
      <w:tr w:rsidR="0062330E" w:rsidRPr="00920BC2" w:rsidDel="009B79B8" w14:paraId="39DA795A" w14:textId="77777777" w:rsidTr="00FA1C5C">
        <w:trPr>
          <w:trHeight w:val="20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7DE4C866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4CE8DA07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Publicación del calendario de entrega de Constancia de Participación o, en su caso, del acuerdo por el que se resuelve no otorgarla.</w:t>
            </w:r>
          </w:p>
          <w:p w14:paraId="1C012AD1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3D45975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Envío a los Interesados, a través SER, de la cita específica para entrega de Constancias de Participación o, en su caso, el acuerdo por el que se resuelve no otorgarla.</w:t>
            </w:r>
          </w:p>
        </w:tc>
        <w:tc>
          <w:tcPr>
            <w:tcW w:w="225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478CCEC" w14:textId="77777777" w:rsidR="0062330E" w:rsidRPr="00800A42" w:rsidRDefault="0062330E" w:rsidP="00FA1C5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A más tardar el 28 de mayo de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left w:val="single" w:sz="4" w:space="0" w:color="70AD47" w:themeColor="accent6"/>
            </w:tcBorders>
            <w:vAlign w:val="center"/>
          </w:tcPr>
          <w:p w14:paraId="195A5779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A más tardar el 17 de diciembre de 2021</w:t>
            </w:r>
          </w:p>
        </w:tc>
      </w:tr>
      <w:tr w:rsidR="0062330E" w:rsidRPr="00920BC2" w:rsidDel="009B79B8" w14:paraId="1922A9A3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0D6E349C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57E50004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Notificación de acuerdo de Constancia de Participación o del acuerdo por el cual se resuelve no otorgarla.</w:t>
            </w:r>
          </w:p>
        </w:tc>
        <w:tc>
          <w:tcPr>
            <w:tcW w:w="2255" w:type="dxa"/>
            <w:tcBorders>
              <w:right w:val="single" w:sz="4" w:space="0" w:color="70AD47" w:themeColor="accent6"/>
            </w:tcBorders>
            <w:vAlign w:val="center"/>
          </w:tcPr>
          <w:p w14:paraId="073E6DE7" w14:textId="77777777" w:rsidR="0062330E" w:rsidRPr="00800A42" w:rsidRDefault="0062330E" w:rsidP="00FA1C5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A más tardar 28 de mayo de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left w:val="single" w:sz="4" w:space="0" w:color="70AD47" w:themeColor="accent6"/>
            </w:tcBorders>
            <w:vAlign w:val="center"/>
          </w:tcPr>
          <w:p w14:paraId="010ADF3C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A más tardar el 17 de diciembre de 2021</w:t>
            </w:r>
          </w:p>
        </w:tc>
      </w:tr>
      <w:tr w:rsidR="0062330E" w:rsidRPr="00920BC2" w:rsidDel="009B79B8" w14:paraId="3AC1E67E" w14:textId="77777777" w:rsidTr="00FA1C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61D28577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645714DC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Entrega física por parte del Interesado de la documentación y la Garantía de Seriedad correspondiente.</w:t>
            </w:r>
          </w:p>
          <w:p w14:paraId="7BC8305B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14:paraId="49F41D9A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Entrega por parte del Instituto de la Constancia de Participación y las Claves de Acceso.</w:t>
            </w:r>
          </w:p>
          <w:p w14:paraId="3520713E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14:paraId="38A51843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Entrega por parte del Instituto del acuerdo por el que se resuelve no otorgar la Constancia de Participación.</w:t>
            </w:r>
          </w:p>
        </w:tc>
        <w:tc>
          <w:tcPr>
            <w:tcW w:w="225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A099C8" w14:textId="77777777" w:rsidR="0062330E" w:rsidRPr="00800A42" w:rsidRDefault="0062330E" w:rsidP="00FA1C5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Del 31 de mayo al 11 de junio de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1C386686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Del 10 al 21 de enero de 2022</w:t>
            </w:r>
          </w:p>
        </w:tc>
      </w:tr>
      <w:tr w:rsidR="0062330E" w:rsidRPr="00920BC2" w14:paraId="0AEF6673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3BB43203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Tercera Etapa: Sesiones de Práctica y Procedimiento de Presentación de Ofertas</w:t>
            </w:r>
          </w:p>
        </w:tc>
      </w:tr>
      <w:tr w:rsidR="0062330E" w:rsidRPr="00920BC2" w14:paraId="27162FBD" w14:textId="77777777" w:rsidTr="00FA1C5C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1D39F696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53B5A3CB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Sesiones de práctica.</w:t>
            </w:r>
          </w:p>
          <w:p w14:paraId="7A5991A3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93513D2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En su caso, programación del Modo Automático dentro del Sistema Electrónico de Presentación de Ofertas (SEPRO), por los Participantes.</w:t>
            </w:r>
          </w:p>
        </w:tc>
        <w:tc>
          <w:tcPr>
            <w:tcW w:w="225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44657FF" w14:textId="77777777" w:rsidR="0062330E" w:rsidRPr="00800A42" w:rsidRDefault="0062330E" w:rsidP="00FA1C5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Del 14 al 18 de junio de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79AAC360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Del 24 al 28 de enero de 2022</w:t>
            </w:r>
          </w:p>
        </w:tc>
      </w:tr>
      <w:tr w:rsidR="0062330E" w:rsidRPr="00920BC2" w14:paraId="6CAF2FF3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193234DD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lastRenderedPageBreak/>
              <w:t>6.3.2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3622B589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Inicio del Procedimiento de Presentación de Ofertas.</w:t>
            </w:r>
          </w:p>
        </w:tc>
        <w:tc>
          <w:tcPr>
            <w:tcW w:w="2255" w:type="dxa"/>
            <w:tcBorders>
              <w:right w:val="single" w:sz="4" w:space="0" w:color="70AD47" w:themeColor="accent6"/>
            </w:tcBorders>
            <w:vAlign w:val="center"/>
          </w:tcPr>
          <w:p w14:paraId="6C9B2BE6" w14:textId="77777777" w:rsidR="0062330E" w:rsidRPr="00800A42" w:rsidRDefault="0062330E" w:rsidP="00FA1C5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/>
                <w:sz w:val="18"/>
                <w:szCs w:val="20"/>
              </w:rPr>
              <w:t>A partir del 21 de junio de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1" w:type="dxa"/>
            <w:tcBorders>
              <w:left w:val="single" w:sz="4" w:space="0" w:color="70AD47" w:themeColor="accent6"/>
            </w:tcBorders>
            <w:vAlign w:val="center"/>
          </w:tcPr>
          <w:p w14:paraId="17EFFC4F" w14:textId="77777777" w:rsidR="0062330E" w:rsidRPr="00800A42" w:rsidRDefault="0062330E" w:rsidP="00FA1C5C">
            <w:pPr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A partir del 31 de enero de 2022</w:t>
            </w:r>
          </w:p>
        </w:tc>
      </w:tr>
      <w:tr w:rsidR="0062330E" w:rsidRPr="00920BC2" w14:paraId="25FFBF27" w14:textId="77777777" w:rsidTr="00FA1C5C">
        <w:trPr>
          <w:trHeight w:val="7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17CF6189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6.3.3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09DD79BF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Publicación de los resultados del Procedimiento de Presentación de Ofertas en el Portal de Internet del Instituto.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6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109457FA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color w:val="000000" w:themeColor="text1"/>
                <w:sz w:val="18"/>
                <w:szCs w:val="20"/>
              </w:rPr>
              <w:t>Al siguiente día hábil de finalizado el PPO.</w:t>
            </w:r>
          </w:p>
        </w:tc>
      </w:tr>
      <w:tr w:rsidR="0062330E" w:rsidRPr="00920BC2" w14:paraId="5D75A683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5F5510E2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Cuarta Etapa: Acta de Fallo, Pago de Contraprestación y Otorgamiento de títulos de concesión.</w:t>
            </w:r>
          </w:p>
        </w:tc>
      </w:tr>
      <w:tr w:rsidR="0062330E" w:rsidRPr="00920BC2" w14:paraId="55F18000" w14:textId="77777777" w:rsidTr="00FA1C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0581C576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5E80F97C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Emisión del Acta de Fallo.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6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14EFFE0A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Cs w:val="0"/>
                <w:color w:val="000000" w:themeColor="text1"/>
                <w:sz w:val="18"/>
                <w:szCs w:val="20"/>
              </w:rPr>
              <w:t xml:space="preserve">Dentro de los 25 (veinticinco) </w:t>
            </w:r>
            <w:r w:rsidRPr="00800A42">
              <w:rPr>
                <w:rFonts w:ascii="Arial" w:hAnsi="Arial" w:cs="Arial"/>
                <w:color w:val="000000" w:themeColor="text1"/>
                <w:sz w:val="18"/>
                <w:szCs w:val="20"/>
              </w:rPr>
              <w:t>días hábiles posteriores a la publicación de los resultados del Procedimiento de Presentación de Ofertas del último concurso.</w:t>
            </w:r>
          </w:p>
        </w:tc>
      </w:tr>
      <w:tr w:rsidR="0062330E" w:rsidRPr="00920BC2" w14:paraId="257FD882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2CC86CF2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shd w:val="clear" w:color="auto" w:fill="FFFFFF" w:themeFill="background1"/>
            <w:vAlign w:val="center"/>
          </w:tcPr>
          <w:p w14:paraId="20085DCD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Notificación a los Participantes del Acta de Fallo.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6" w:type="dxa"/>
            <w:gridSpan w:val="2"/>
            <w:vAlign w:val="center"/>
          </w:tcPr>
          <w:p w14:paraId="7C034BCC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Cs w:val="0"/>
                <w:color w:val="000000" w:themeColor="text1"/>
                <w:sz w:val="18"/>
                <w:szCs w:val="20"/>
              </w:rPr>
              <w:t>Dentro de los siguientes 15 (quince) días hábiles siguientes a la emisión de las Actas de Fallo.</w:t>
            </w:r>
          </w:p>
        </w:tc>
      </w:tr>
      <w:tr w:rsidR="0062330E" w:rsidRPr="00920BC2" w14:paraId="7C8274A2" w14:textId="77777777" w:rsidTr="00FA1C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34A1AF65" w14:textId="77777777" w:rsidR="0062330E" w:rsidRPr="00920BC2" w:rsidRDefault="0062330E" w:rsidP="00FA1C5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39D28A10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Liberación de Garantías de Seriedad a los Participantes que no hayan incurrido en causales de descalificación y que no sean Participantes Ganadores.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6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5D074F84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Dentro de los 15 (quince) días </w:t>
            </w:r>
            <w:r w:rsidRPr="00800A42">
              <w:rPr>
                <w:rFonts w:ascii="Arial" w:hAnsi="Arial" w:cs="Arial"/>
                <w:sz w:val="18"/>
                <w:szCs w:val="20"/>
              </w:rPr>
              <w:t xml:space="preserve">hábiles </w:t>
            </w:r>
            <w:r w:rsidRPr="00800A42">
              <w:rPr>
                <w:rFonts w:ascii="Arial" w:hAnsi="Arial" w:cs="Arial"/>
                <w:color w:val="000000" w:themeColor="text1"/>
                <w:sz w:val="18"/>
                <w:szCs w:val="20"/>
              </w:rPr>
              <w:t>siguientes a la emisión de las Actas de Fallo.</w:t>
            </w:r>
          </w:p>
        </w:tc>
      </w:tr>
      <w:tr w:rsidR="0062330E" w:rsidRPr="00920BC2" w14:paraId="2D052B25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33C16A75" w14:textId="77777777" w:rsidR="0062330E" w:rsidRPr="00920BC2" w:rsidRDefault="0062330E" w:rsidP="00FA1C5C">
            <w:pPr>
              <w:ind w:left="9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1E1DCADF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Envío a los Participantes Ganadores, a través del SER, de</w:t>
            </w:r>
            <w:r w:rsidRPr="00920BC2">
              <w:rPr>
                <w:rFonts w:ascii="Arial" w:hAnsi="Arial" w:cs="Arial"/>
                <w:sz w:val="18"/>
                <w:szCs w:val="20"/>
              </w:rPr>
              <w:t xml:space="preserve"> los números de referencia para el pago de las Contraprestaciones</w:t>
            </w: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6" w:type="dxa"/>
            <w:gridSpan w:val="2"/>
            <w:vAlign w:val="center"/>
          </w:tcPr>
          <w:p w14:paraId="77FC819C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bCs w:val="0"/>
                <w:color w:val="000000" w:themeColor="text1"/>
                <w:sz w:val="18"/>
                <w:szCs w:val="20"/>
              </w:rPr>
              <w:t xml:space="preserve">Dentro de los siguientes </w:t>
            </w:r>
            <w:r w:rsidRPr="00800A42">
              <w:rPr>
                <w:rFonts w:ascii="Arial" w:hAnsi="Arial" w:cs="Arial"/>
                <w:color w:val="000000" w:themeColor="text1"/>
                <w:sz w:val="18"/>
                <w:szCs w:val="20"/>
              </w:rPr>
              <w:t>5 (cinco)</w:t>
            </w:r>
            <w:r w:rsidRPr="00800A42">
              <w:rPr>
                <w:rFonts w:ascii="Arial" w:hAnsi="Arial" w:cs="Arial"/>
                <w:bCs w:val="0"/>
                <w:color w:val="000000" w:themeColor="text1"/>
                <w:sz w:val="18"/>
                <w:szCs w:val="20"/>
              </w:rPr>
              <w:t xml:space="preserve"> días hábiles siguientes a la notificación de las Actas de Fallo.</w:t>
            </w:r>
          </w:p>
        </w:tc>
      </w:tr>
      <w:tr w:rsidR="0062330E" w:rsidRPr="00920BC2" w14:paraId="063C2CA8" w14:textId="77777777" w:rsidTr="00FA1C5C">
        <w:trPr>
          <w:trHeight w:val="10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3A54EC74" w14:textId="77777777" w:rsidR="0062330E" w:rsidRPr="00920BC2" w:rsidRDefault="0062330E" w:rsidP="00FA1C5C">
            <w:pPr>
              <w:ind w:left="9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6.4.2 y 6.4.3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66FFF8F4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Pago de la Contraprestación.</w:t>
            </w:r>
          </w:p>
          <w:p w14:paraId="04FE882E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3BAF087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Pago de Retiro (en su caso).</w:t>
            </w:r>
          </w:p>
          <w:p w14:paraId="25AA3E24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F1EAF6B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Pago de pagos de Derechos adicionales (en su caso).</w:t>
            </w:r>
          </w:p>
          <w:p w14:paraId="273C4229" w14:textId="77777777" w:rsidR="0062330E" w:rsidRPr="00920BC2" w:rsidRDefault="0062330E" w:rsidP="00FA1C5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DC2F1C4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sz w:val="18"/>
                <w:szCs w:val="20"/>
              </w:rPr>
              <w:t>En el caso de Consorcios, acreditación ante el Instituto de la constitución de sociedades mercantiles.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6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4AC1C1FF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color w:val="000000" w:themeColor="text1"/>
                <w:sz w:val="18"/>
                <w:szCs w:val="20"/>
              </w:rPr>
              <w:t>Dentro de los 30 (treinta) días hábiles siguientes a la notificación de las Actas de Fallo correspondiente.</w:t>
            </w:r>
          </w:p>
        </w:tc>
      </w:tr>
      <w:tr w:rsidR="0062330E" w:rsidRPr="00920BC2" w14:paraId="3B245776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4D89D46A" w14:textId="77777777" w:rsidR="0062330E" w:rsidRPr="00920BC2" w:rsidRDefault="0062330E" w:rsidP="00FA1C5C">
            <w:pPr>
              <w:tabs>
                <w:tab w:val="left" w:pos="1155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6.4.5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3BA6C6DE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Otorgamiento y firma del(los) título(s) de concesión. </w:t>
            </w:r>
          </w:p>
          <w:p w14:paraId="0827FCC2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14:paraId="0118443F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Liberación de Garantías de Seriedad a los Participantes Ganadores a los que se les haya hecho entrega del(los) título(s) de concesión.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6" w:type="dxa"/>
            <w:gridSpan w:val="2"/>
            <w:vAlign w:val="center"/>
          </w:tcPr>
          <w:p w14:paraId="1AFEC6FB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color w:val="000000" w:themeColor="text1"/>
                <w:sz w:val="18"/>
                <w:szCs w:val="20"/>
              </w:rPr>
              <w:t>Dentro de los 20 (veinte) días hábiles siguientes al cumplimiento de las condiciones que se establezcan en el Acta de Fallo correspondiente.</w:t>
            </w:r>
          </w:p>
        </w:tc>
      </w:tr>
      <w:tr w:rsidR="0062330E" w:rsidRPr="00920BC2" w14:paraId="031D38E2" w14:textId="77777777" w:rsidTr="00FA1C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7C3C2BC2" w14:textId="77777777" w:rsidR="0062330E" w:rsidRPr="00920BC2" w:rsidRDefault="0062330E" w:rsidP="00FA1C5C">
            <w:pPr>
              <w:tabs>
                <w:tab w:val="left" w:pos="1155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2B67AA90" w14:textId="77777777" w:rsidR="0062330E" w:rsidRPr="00920BC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En su caso, emisión de Acuerdo de Lotes Desiertos.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6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43071E2B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color w:val="000000" w:themeColor="text1"/>
                <w:sz w:val="18"/>
                <w:szCs w:val="20"/>
              </w:rPr>
              <w:t>Dentro de los 20 (veinte) días hábiles siguientes al  otorgamiento y firma de los Títulos de Concesión o, en su caso, al vencimiento del plazo para el pago de Contraprestaciones.</w:t>
            </w:r>
          </w:p>
        </w:tc>
      </w:tr>
      <w:tr w:rsidR="0062330E" w:rsidRPr="00920BC2" w14:paraId="7775EBDC" w14:textId="77777777" w:rsidTr="00FA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131BE0BD" w14:textId="77777777" w:rsidR="0062330E" w:rsidRPr="00920BC2" w:rsidRDefault="0062330E" w:rsidP="00FA1C5C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16.2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2F8973B4" w14:textId="77777777" w:rsidR="0062330E" w:rsidRPr="00920BC2" w:rsidRDefault="0062330E" w:rsidP="00FA1C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Presentación del testimonio final del Testigo Social.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6" w:type="dxa"/>
            <w:gridSpan w:val="2"/>
            <w:vAlign w:val="center"/>
          </w:tcPr>
          <w:p w14:paraId="47287DFB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00A42">
              <w:rPr>
                <w:rFonts w:ascii="Arial" w:hAnsi="Arial" w:cs="Arial"/>
                <w:sz w:val="18"/>
                <w:szCs w:val="20"/>
              </w:rPr>
              <w:t>Dentro de los 7 (siete) días naturales siguientes al otorgamiento y firma de los Títulos de Concesión o, en su caso, la emisión del Acuerdo de Lotes Desiertos.</w:t>
            </w:r>
          </w:p>
        </w:tc>
      </w:tr>
      <w:tr w:rsidR="0062330E" w:rsidRPr="00920BC2" w14:paraId="3FB7A0FA" w14:textId="77777777" w:rsidTr="00FA1C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65" w:type="dxa"/>
            <w:vAlign w:val="center"/>
          </w:tcPr>
          <w:p w14:paraId="01E6436C" w14:textId="77777777" w:rsidR="0062330E" w:rsidRPr="00920BC2" w:rsidRDefault="0062330E" w:rsidP="00FA1C5C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color w:val="000000" w:themeColor="text1"/>
                <w:sz w:val="18"/>
                <w:szCs w:val="20"/>
              </w:rPr>
              <w:t>16.3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3" w:type="dxa"/>
            <w:vAlign w:val="center"/>
          </w:tcPr>
          <w:p w14:paraId="79B53A4E" w14:textId="77777777" w:rsidR="0062330E" w:rsidRPr="00920BC2" w:rsidRDefault="0062330E" w:rsidP="00FA1C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 w:val="0"/>
                <w:color w:val="000000" w:themeColor="text1"/>
                <w:sz w:val="18"/>
                <w:szCs w:val="20"/>
              </w:rPr>
            </w:pPr>
            <w:r w:rsidRPr="00920BC2">
              <w:rPr>
                <w:rFonts w:ascii="Arial" w:hAnsi="Arial" w:cs="Arial"/>
                <w:b w:val="0"/>
                <w:color w:val="000000" w:themeColor="text1"/>
                <w:sz w:val="18"/>
                <w:szCs w:val="20"/>
              </w:rPr>
              <w:t>Publicación en el Portal de Internet del Instituto del informe presentado por el Testigo Social.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566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388ACBC2" w14:textId="77777777" w:rsidR="0062330E" w:rsidRPr="00800A42" w:rsidRDefault="0062330E" w:rsidP="00FA1C5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00A42">
              <w:rPr>
                <w:rFonts w:ascii="Arial" w:hAnsi="Arial" w:cs="Arial"/>
                <w:color w:val="000000" w:themeColor="text1"/>
                <w:sz w:val="18"/>
                <w:szCs w:val="20"/>
              </w:rPr>
              <w:t>Dentro de los 5 (cinco) días hábiles siguientes a la presentación del informe.</w:t>
            </w:r>
          </w:p>
        </w:tc>
      </w:tr>
    </w:tbl>
    <w:p w14:paraId="38357E72" w14:textId="77777777" w:rsidR="0062330E" w:rsidRPr="000E5CC0" w:rsidRDefault="0062330E" w:rsidP="00A6273F">
      <w:pPr>
        <w:pStyle w:val="Textoindependiente"/>
        <w:spacing w:line="276" w:lineRule="auto"/>
        <w:ind w:left="0" w:right="48"/>
        <w:jc w:val="both"/>
        <w:rPr>
          <w:rFonts w:ascii="Arial" w:hAnsi="Arial" w:cs="Arial"/>
          <w:spacing w:val="-1"/>
        </w:rPr>
      </w:pPr>
    </w:p>
    <w:sectPr w:rsidR="0062330E" w:rsidRPr="000E5CC0" w:rsidSect="00304D17">
      <w:footerReference w:type="default" r:id="rId11"/>
      <w:pgSz w:w="12240" w:h="15840"/>
      <w:pgMar w:top="851" w:right="1418" w:bottom="1134" w:left="1418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0F30" w14:textId="77777777" w:rsidR="00F022F3" w:rsidRDefault="00F022F3" w:rsidP="0044176F">
      <w:r>
        <w:separator/>
      </w:r>
    </w:p>
  </w:endnote>
  <w:endnote w:type="continuationSeparator" w:id="0">
    <w:p w14:paraId="35A3218B" w14:textId="77777777" w:rsidR="00F022F3" w:rsidRDefault="00F022F3" w:rsidP="0044176F">
      <w:r>
        <w:continuationSeparator/>
      </w:r>
    </w:p>
  </w:endnote>
  <w:endnote w:type="continuationNotice" w:id="1">
    <w:p w14:paraId="21D27176" w14:textId="77777777" w:rsidR="00F022F3" w:rsidRDefault="00F02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951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0FCB6A" w14:textId="77777777" w:rsidR="00F022F3" w:rsidRPr="00C71F0D" w:rsidRDefault="00F022F3">
            <w:pPr>
              <w:pStyle w:val="Piedepgina"/>
              <w:jc w:val="right"/>
              <w:rPr>
                <w:sz w:val="18"/>
                <w:szCs w:val="18"/>
              </w:rPr>
            </w:pPr>
          </w:p>
          <w:p w14:paraId="59FB9439" w14:textId="2C1BC3D3" w:rsidR="00F022F3" w:rsidRDefault="00F022F3">
            <w:pPr>
              <w:pStyle w:val="Piedepgina"/>
              <w:jc w:val="right"/>
            </w:pPr>
            <w:r w:rsidRPr="00C71F0D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C71F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71F0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71F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330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C71F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71F0D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C71F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71F0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71F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330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C71F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722C12" w14:textId="77777777" w:rsidR="00F022F3" w:rsidRPr="0094471B" w:rsidRDefault="00F022F3" w:rsidP="007E2141">
    <w:pPr>
      <w:spacing w:line="200" w:lineRule="exact"/>
      <w:jc w:val="center"/>
      <w:rPr>
        <w:rFonts w:ascii="ITC Avant Garde" w:hAnsi="ITC Avant Gard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5D67" w14:textId="77777777" w:rsidR="00F022F3" w:rsidRDefault="00F022F3" w:rsidP="0044176F">
      <w:r>
        <w:separator/>
      </w:r>
    </w:p>
  </w:footnote>
  <w:footnote w:type="continuationSeparator" w:id="0">
    <w:p w14:paraId="7DCA67F0" w14:textId="77777777" w:rsidR="00F022F3" w:rsidRDefault="00F022F3" w:rsidP="0044176F">
      <w:r>
        <w:continuationSeparator/>
      </w:r>
    </w:p>
  </w:footnote>
  <w:footnote w:type="continuationNotice" w:id="1">
    <w:p w14:paraId="4BBC05B1" w14:textId="77777777" w:rsidR="00F022F3" w:rsidRDefault="00F022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88F"/>
    <w:multiLevelType w:val="hybridMultilevel"/>
    <w:tmpl w:val="02FE30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6FC7"/>
    <w:multiLevelType w:val="hybridMultilevel"/>
    <w:tmpl w:val="FE3CDE18"/>
    <w:lvl w:ilvl="0" w:tplc="D3EC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EF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08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4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C8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8E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CD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05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175808"/>
    <w:multiLevelType w:val="hybridMultilevel"/>
    <w:tmpl w:val="73E482C2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1F18"/>
    <w:multiLevelType w:val="hybridMultilevel"/>
    <w:tmpl w:val="427E4760"/>
    <w:lvl w:ilvl="0" w:tplc="8570B8D2">
      <w:start w:val="1"/>
      <w:numFmt w:val="upperRoman"/>
      <w:lvlText w:val="%1."/>
      <w:lvlJc w:val="left"/>
      <w:pPr>
        <w:ind w:hanging="471"/>
        <w:jc w:val="right"/>
      </w:pPr>
      <w:rPr>
        <w:rFonts w:ascii="ITC Avant Garde" w:eastAsia="ITC Avant Garde" w:hAnsi="ITC Avant Garde" w:hint="default"/>
        <w:spacing w:val="-1"/>
        <w:w w:val="99"/>
        <w:sz w:val="22"/>
        <w:szCs w:val="22"/>
      </w:rPr>
    </w:lvl>
    <w:lvl w:ilvl="1" w:tplc="D7DEFF24">
      <w:start w:val="1"/>
      <w:numFmt w:val="decimal"/>
      <w:lvlText w:val="%2"/>
      <w:lvlJc w:val="left"/>
      <w:pPr>
        <w:ind w:hanging="117"/>
      </w:pPr>
      <w:rPr>
        <w:rFonts w:ascii="ITC Avant Garde" w:eastAsia="ITC Avant Garde" w:hAnsi="ITC Avant Garde" w:hint="default"/>
        <w:sz w:val="14"/>
        <w:szCs w:val="14"/>
      </w:rPr>
    </w:lvl>
    <w:lvl w:ilvl="2" w:tplc="CB16ABDC">
      <w:start w:val="1"/>
      <w:numFmt w:val="bullet"/>
      <w:lvlText w:val="•"/>
      <w:lvlJc w:val="left"/>
      <w:rPr>
        <w:rFonts w:hint="default"/>
      </w:rPr>
    </w:lvl>
    <w:lvl w:ilvl="3" w:tplc="CC5A3242">
      <w:start w:val="1"/>
      <w:numFmt w:val="bullet"/>
      <w:lvlText w:val="•"/>
      <w:lvlJc w:val="left"/>
      <w:rPr>
        <w:rFonts w:hint="default"/>
      </w:rPr>
    </w:lvl>
    <w:lvl w:ilvl="4" w:tplc="7BFACBD8">
      <w:start w:val="1"/>
      <w:numFmt w:val="bullet"/>
      <w:lvlText w:val="•"/>
      <w:lvlJc w:val="left"/>
      <w:rPr>
        <w:rFonts w:hint="default"/>
      </w:rPr>
    </w:lvl>
    <w:lvl w:ilvl="5" w:tplc="9E42BF46">
      <w:start w:val="1"/>
      <w:numFmt w:val="bullet"/>
      <w:lvlText w:val="•"/>
      <w:lvlJc w:val="left"/>
      <w:rPr>
        <w:rFonts w:hint="default"/>
      </w:rPr>
    </w:lvl>
    <w:lvl w:ilvl="6" w:tplc="53FA194E">
      <w:start w:val="1"/>
      <w:numFmt w:val="bullet"/>
      <w:lvlText w:val="•"/>
      <w:lvlJc w:val="left"/>
      <w:rPr>
        <w:rFonts w:hint="default"/>
      </w:rPr>
    </w:lvl>
    <w:lvl w:ilvl="7" w:tplc="4626721E">
      <w:start w:val="1"/>
      <w:numFmt w:val="bullet"/>
      <w:lvlText w:val="•"/>
      <w:lvlJc w:val="left"/>
      <w:rPr>
        <w:rFonts w:hint="default"/>
      </w:rPr>
    </w:lvl>
    <w:lvl w:ilvl="8" w:tplc="64CEC6C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2147F4C"/>
    <w:multiLevelType w:val="hybridMultilevel"/>
    <w:tmpl w:val="E3082BC8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473E"/>
    <w:multiLevelType w:val="hybridMultilevel"/>
    <w:tmpl w:val="3AA89140"/>
    <w:lvl w:ilvl="0" w:tplc="DB6AEAFA">
      <w:start w:val="1"/>
      <w:numFmt w:val="ordinalText"/>
      <w:lvlText w:val="%1.-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6249"/>
    <w:multiLevelType w:val="hybridMultilevel"/>
    <w:tmpl w:val="D49AB012"/>
    <w:lvl w:ilvl="0" w:tplc="3BCA0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A5D81"/>
    <w:multiLevelType w:val="multilevel"/>
    <w:tmpl w:val="18CCA62A"/>
    <w:numStyleLink w:val="Estilo1"/>
  </w:abstractNum>
  <w:abstractNum w:abstractNumId="8" w15:restartNumberingAfterBreak="0">
    <w:nsid w:val="3694774E"/>
    <w:multiLevelType w:val="hybridMultilevel"/>
    <w:tmpl w:val="0928BA20"/>
    <w:lvl w:ilvl="0" w:tplc="F58EF72E">
      <w:start w:val="1"/>
      <w:numFmt w:val="ordinalText"/>
      <w:lvlText w:val="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C3F6A"/>
    <w:multiLevelType w:val="hybridMultilevel"/>
    <w:tmpl w:val="52C6EB66"/>
    <w:lvl w:ilvl="0" w:tplc="4FEC8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E0E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E0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45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87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EB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E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08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E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D74A67"/>
    <w:multiLevelType w:val="hybridMultilevel"/>
    <w:tmpl w:val="1F4E5A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1397E"/>
    <w:multiLevelType w:val="hybridMultilevel"/>
    <w:tmpl w:val="CE6CAB02"/>
    <w:lvl w:ilvl="0" w:tplc="080A0017">
      <w:start w:val="1"/>
      <w:numFmt w:val="lowerLetter"/>
      <w:lvlText w:val="%1)"/>
      <w:lvlJc w:val="left"/>
      <w:pPr>
        <w:ind w:hanging="361"/>
      </w:pPr>
      <w:rPr>
        <w:rFonts w:hint="default"/>
        <w:w w:val="99"/>
        <w:sz w:val="22"/>
        <w:szCs w:val="22"/>
      </w:rPr>
    </w:lvl>
    <w:lvl w:ilvl="1" w:tplc="65DAF87E">
      <w:start w:val="1"/>
      <w:numFmt w:val="bullet"/>
      <w:lvlText w:val="•"/>
      <w:lvlJc w:val="left"/>
      <w:rPr>
        <w:rFonts w:hint="default"/>
      </w:rPr>
    </w:lvl>
    <w:lvl w:ilvl="2" w:tplc="9C4CBCEE">
      <w:start w:val="1"/>
      <w:numFmt w:val="bullet"/>
      <w:lvlText w:val="•"/>
      <w:lvlJc w:val="left"/>
      <w:rPr>
        <w:rFonts w:hint="default"/>
      </w:rPr>
    </w:lvl>
    <w:lvl w:ilvl="3" w:tplc="6B540C76">
      <w:start w:val="1"/>
      <w:numFmt w:val="bullet"/>
      <w:lvlText w:val="•"/>
      <w:lvlJc w:val="left"/>
      <w:rPr>
        <w:rFonts w:hint="default"/>
      </w:rPr>
    </w:lvl>
    <w:lvl w:ilvl="4" w:tplc="4D7848E6">
      <w:start w:val="1"/>
      <w:numFmt w:val="bullet"/>
      <w:lvlText w:val="•"/>
      <w:lvlJc w:val="left"/>
      <w:rPr>
        <w:rFonts w:hint="default"/>
      </w:rPr>
    </w:lvl>
    <w:lvl w:ilvl="5" w:tplc="F9640FD8">
      <w:start w:val="1"/>
      <w:numFmt w:val="bullet"/>
      <w:lvlText w:val="•"/>
      <w:lvlJc w:val="left"/>
      <w:rPr>
        <w:rFonts w:hint="default"/>
      </w:rPr>
    </w:lvl>
    <w:lvl w:ilvl="6" w:tplc="290C2F02">
      <w:start w:val="1"/>
      <w:numFmt w:val="bullet"/>
      <w:lvlText w:val="•"/>
      <w:lvlJc w:val="left"/>
      <w:rPr>
        <w:rFonts w:hint="default"/>
      </w:rPr>
    </w:lvl>
    <w:lvl w:ilvl="7" w:tplc="C4E29600">
      <w:start w:val="1"/>
      <w:numFmt w:val="bullet"/>
      <w:lvlText w:val="•"/>
      <w:lvlJc w:val="left"/>
      <w:rPr>
        <w:rFonts w:hint="default"/>
      </w:rPr>
    </w:lvl>
    <w:lvl w:ilvl="8" w:tplc="22CC4B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666598E"/>
    <w:multiLevelType w:val="multilevel"/>
    <w:tmpl w:val="E2042ED6"/>
    <w:styleLink w:val="List10"/>
    <w:lvl w:ilvl="0">
      <w:numFmt w:val="bullet"/>
      <w:lvlText w:val="•"/>
      <w:lvlJc w:val="left"/>
      <w:pPr>
        <w:tabs>
          <w:tab w:val="num" w:pos="211"/>
        </w:tabs>
        <w:ind w:left="211" w:hanging="145"/>
      </w:pPr>
      <w:rPr>
        <w:rFonts w:ascii="Helvetica Neue" w:eastAsia="Helvetica Neue" w:hAnsi="Helvetica Neue" w:cs="Helvetica Neue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</w:abstractNum>
  <w:abstractNum w:abstractNumId="13" w15:restartNumberingAfterBreak="0">
    <w:nsid w:val="5B2C74F3"/>
    <w:multiLevelType w:val="hybridMultilevel"/>
    <w:tmpl w:val="CE6CAB02"/>
    <w:lvl w:ilvl="0" w:tplc="080A0017">
      <w:start w:val="1"/>
      <w:numFmt w:val="lowerLetter"/>
      <w:lvlText w:val="%1)"/>
      <w:lvlJc w:val="left"/>
      <w:pPr>
        <w:ind w:hanging="361"/>
      </w:pPr>
      <w:rPr>
        <w:rFonts w:hint="default"/>
        <w:w w:val="99"/>
        <w:sz w:val="22"/>
        <w:szCs w:val="22"/>
      </w:rPr>
    </w:lvl>
    <w:lvl w:ilvl="1" w:tplc="65DAF87E">
      <w:start w:val="1"/>
      <w:numFmt w:val="bullet"/>
      <w:lvlText w:val="•"/>
      <w:lvlJc w:val="left"/>
      <w:rPr>
        <w:rFonts w:hint="default"/>
      </w:rPr>
    </w:lvl>
    <w:lvl w:ilvl="2" w:tplc="9C4CBCEE">
      <w:start w:val="1"/>
      <w:numFmt w:val="bullet"/>
      <w:lvlText w:val="•"/>
      <w:lvlJc w:val="left"/>
      <w:rPr>
        <w:rFonts w:hint="default"/>
      </w:rPr>
    </w:lvl>
    <w:lvl w:ilvl="3" w:tplc="6B540C76">
      <w:start w:val="1"/>
      <w:numFmt w:val="bullet"/>
      <w:lvlText w:val="•"/>
      <w:lvlJc w:val="left"/>
      <w:rPr>
        <w:rFonts w:hint="default"/>
      </w:rPr>
    </w:lvl>
    <w:lvl w:ilvl="4" w:tplc="4D7848E6">
      <w:start w:val="1"/>
      <w:numFmt w:val="bullet"/>
      <w:lvlText w:val="•"/>
      <w:lvlJc w:val="left"/>
      <w:rPr>
        <w:rFonts w:hint="default"/>
      </w:rPr>
    </w:lvl>
    <w:lvl w:ilvl="5" w:tplc="F9640FD8">
      <w:start w:val="1"/>
      <w:numFmt w:val="bullet"/>
      <w:lvlText w:val="•"/>
      <w:lvlJc w:val="left"/>
      <w:rPr>
        <w:rFonts w:hint="default"/>
      </w:rPr>
    </w:lvl>
    <w:lvl w:ilvl="6" w:tplc="290C2F02">
      <w:start w:val="1"/>
      <w:numFmt w:val="bullet"/>
      <w:lvlText w:val="•"/>
      <w:lvlJc w:val="left"/>
      <w:rPr>
        <w:rFonts w:hint="default"/>
      </w:rPr>
    </w:lvl>
    <w:lvl w:ilvl="7" w:tplc="C4E29600">
      <w:start w:val="1"/>
      <w:numFmt w:val="bullet"/>
      <w:lvlText w:val="•"/>
      <w:lvlJc w:val="left"/>
      <w:rPr>
        <w:rFonts w:hint="default"/>
      </w:rPr>
    </w:lvl>
    <w:lvl w:ilvl="8" w:tplc="22CC4B5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F173DEC"/>
    <w:multiLevelType w:val="hybridMultilevel"/>
    <w:tmpl w:val="393883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579A3"/>
    <w:multiLevelType w:val="hybridMultilevel"/>
    <w:tmpl w:val="73E482C2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54EA0"/>
    <w:multiLevelType w:val="hybridMultilevel"/>
    <w:tmpl w:val="02FE30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D2918"/>
    <w:multiLevelType w:val="hybridMultilevel"/>
    <w:tmpl w:val="78B8A5AC"/>
    <w:lvl w:ilvl="0" w:tplc="6274811A">
      <w:start w:val="1"/>
      <w:numFmt w:val="lowerLetter"/>
      <w:lvlText w:val="%1)"/>
      <w:lvlJc w:val="left"/>
      <w:pPr>
        <w:ind w:hanging="361"/>
      </w:pPr>
      <w:rPr>
        <w:rFonts w:ascii="ITC Avant Garde" w:eastAsia="ITC Avant Garde" w:hAnsi="ITC Avant Garde" w:hint="default"/>
        <w:w w:val="99"/>
        <w:sz w:val="22"/>
        <w:szCs w:val="22"/>
      </w:rPr>
    </w:lvl>
    <w:lvl w:ilvl="1" w:tplc="65DAF87E">
      <w:start w:val="1"/>
      <w:numFmt w:val="bullet"/>
      <w:lvlText w:val="•"/>
      <w:lvlJc w:val="left"/>
      <w:rPr>
        <w:rFonts w:hint="default"/>
      </w:rPr>
    </w:lvl>
    <w:lvl w:ilvl="2" w:tplc="9C4CBCEE">
      <w:start w:val="1"/>
      <w:numFmt w:val="bullet"/>
      <w:lvlText w:val="•"/>
      <w:lvlJc w:val="left"/>
      <w:rPr>
        <w:rFonts w:hint="default"/>
      </w:rPr>
    </w:lvl>
    <w:lvl w:ilvl="3" w:tplc="6B540C76">
      <w:start w:val="1"/>
      <w:numFmt w:val="bullet"/>
      <w:lvlText w:val="•"/>
      <w:lvlJc w:val="left"/>
      <w:rPr>
        <w:rFonts w:hint="default"/>
      </w:rPr>
    </w:lvl>
    <w:lvl w:ilvl="4" w:tplc="4D7848E6">
      <w:start w:val="1"/>
      <w:numFmt w:val="bullet"/>
      <w:lvlText w:val="•"/>
      <w:lvlJc w:val="left"/>
      <w:rPr>
        <w:rFonts w:hint="default"/>
      </w:rPr>
    </w:lvl>
    <w:lvl w:ilvl="5" w:tplc="F9640FD8">
      <w:start w:val="1"/>
      <w:numFmt w:val="bullet"/>
      <w:lvlText w:val="•"/>
      <w:lvlJc w:val="left"/>
      <w:rPr>
        <w:rFonts w:hint="default"/>
      </w:rPr>
    </w:lvl>
    <w:lvl w:ilvl="6" w:tplc="290C2F02">
      <w:start w:val="1"/>
      <w:numFmt w:val="bullet"/>
      <w:lvlText w:val="•"/>
      <w:lvlJc w:val="left"/>
      <w:rPr>
        <w:rFonts w:hint="default"/>
      </w:rPr>
    </w:lvl>
    <w:lvl w:ilvl="7" w:tplc="C4E29600">
      <w:start w:val="1"/>
      <w:numFmt w:val="bullet"/>
      <w:lvlText w:val="•"/>
      <w:lvlJc w:val="left"/>
      <w:rPr>
        <w:rFonts w:hint="default"/>
      </w:rPr>
    </w:lvl>
    <w:lvl w:ilvl="8" w:tplc="22CC4B5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8FB78BB"/>
    <w:multiLevelType w:val="multilevel"/>
    <w:tmpl w:val="18CCA62A"/>
    <w:styleLink w:val="Estilo1"/>
    <w:lvl w:ilvl="0">
      <w:start w:val="1"/>
      <w:numFmt w:val="ordinalText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31FE3"/>
    <w:multiLevelType w:val="hybridMultilevel"/>
    <w:tmpl w:val="DDC8BB96"/>
    <w:lvl w:ilvl="0" w:tplc="6F9AD1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1"/>
  </w:num>
  <w:num w:numId="5">
    <w:abstractNumId w:val="15"/>
  </w:num>
  <w:num w:numId="6">
    <w:abstractNumId w:val="5"/>
  </w:num>
  <w:num w:numId="7">
    <w:abstractNumId w:val="4"/>
  </w:num>
  <w:num w:numId="8">
    <w:abstractNumId w:val="16"/>
  </w:num>
  <w:num w:numId="9">
    <w:abstractNumId w:val="2"/>
  </w:num>
  <w:num w:numId="10">
    <w:abstractNumId w:val="7"/>
  </w:num>
  <w:num w:numId="11">
    <w:abstractNumId w:val="12"/>
  </w:num>
  <w:num w:numId="12">
    <w:abstractNumId w:val="14"/>
  </w:num>
  <w:num w:numId="13">
    <w:abstractNumId w:val="0"/>
  </w:num>
  <w:num w:numId="14">
    <w:abstractNumId w:val="7"/>
    <w:lvlOverride w:ilvl="0">
      <w:lvl w:ilvl="0">
        <w:start w:val="1"/>
        <w:numFmt w:val="ordinalText"/>
        <w:lvlText w:val="%1.- "/>
        <w:lvlJc w:val="left"/>
        <w:pPr>
          <w:ind w:left="1162" w:firstLine="114"/>
        </w:pPr>
        <w:rPr>
          <w:rFonts w:hint="default"/>
          <w:b/>
          <w:i w:val="0"/>
          <w:caps w:val="0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931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651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371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091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11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531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251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971" w:hanging="180"/>
        </w:pPr>
        <w:rPr>
          <w:rFonts w:hint="default"/>
        </w:rPr>
      </w:lvl>
    </w:lvlOverride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20"/>
  </w:num>
  <w:num w:numId="20">
    <w:abstractNumId w:val="8"/>
  </w:num>
  <w:num w:numId="21">
    <w:abstractNumId w:val="5"/>
    <w:lvlOverride w:ilvl="0">
      <w:startOverride w:val="1"/>
    </w:lvlOverride>
  </w:num>
  <w:num w:numId="22">
    <w:abstractNumId w:val="17"/>
  </w:num>
  <w:num w:numId="23">
    <w:abstractNumId w:val="1"/>
  </w:num>
  <w:num w:numId="24">
    <w:abstractNumId w:val="7"/>
    <w:lvlOverride w:ilvl="0">
      <w:lvl w:ilvl="0">
        <w:start w:val="1"/>
        <w:numFmt w:val="ordinalText"/>
        <w:lvlText w:val="%1.- "/>
        <w:lvlJc w:val="left"/>
        <w:pPr>
          <w:ind w:left="737" w:firstLine="114"/>
        </w:pPr>
        <w:rPr>
          <w:rFonts w:hint="default"/>
          <w:b/>
          <w:i w:val="0"/>
          <w:caps w:val="0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931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651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371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091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11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531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251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971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99"/>
    <w:rsid w:val="000246F3"/>
    <w:rsid w:val="00026FAF"/>
    <w:rsid w:val="000441DE"/>
    <w:rsid w:val="00052421"/>
    <w:rsid w:val="000528BD"/>
    <w:rsid w:val="00064789"/>
    <w:rsid w:val="00080AC6"/>
    <w:rsid w:val="000939E9"/>
    <w:rsid w:val="000A2911"/>
    <w:rsid w:val="000C5F5F"/>
    <w:rsid w:val="000E3ADE"/>
    <w:rsid w:val="000E5CC0"/>
    <w:rsid w:val="001105A6"/>
    <w:rsid w:val="00120EEC"/>
    <w:rsid w:val="00124D1F"/>
    <w:rsid w:val="001457DE"/>
    <w:rsid w:val="0014683A"/>
    <w:rsid w:val="00164AC2"/>
    <w:rsid w:val="001826CC"/>
    <w:rsid w:val="00185542"/>
    <w:rsid w:val="001A11F2"/>
    <w:rsid w:val="001B48A2"/>
    <w:rsid w:val="001C40F6"/>
    <w:rsid w:val="001F3DBC"/>
    <w:rsid w:val="0020027B"/>
    <w:rsid w:val="00227C3F"/>
    <w:rsid w:val="002443BB"/>
    <w:rsid w:val="002528EF"/>
    <w:rsid w:val="00255B89"/>
    <w:rsid w:val="0026406D"/>
    <w:rsid w:val="00265B56"/>
    <w:rsid w:val="00273DD1"/>
    <w:rsid w:val="002A2C73"/>
    <w:rsid w:val="002A5805"/>
    <w:rsid w:val="002C5BBB"/>
    <w:rsid w:val="002E648E"/>
    <w:rsid w:val="002F1715"/>
    <w:rsid w:val="00304D17"/>
    <w:rsid w:val="00307ECA"/>
    <w:rsid w:val="003123B0"/>
    <w:rsid w:val="00314A06"/>
    <w:rsid w:val="003177F8"/>
    <w:rsid w:val="00321BDD"/>
    <w:rsid w:val="0033595D"/>
    <w:rsid w:val="003423C4"/>
    <w:rsid w:val="00342A61"/>
    <w:rsid w:val="0034716E"/>
    <w:rsid w:val="00354F42"/>
    <w:rsid w:val="00356C3B"/>
    <w:rsid w:val="00395FEE"/>
    <w:rsid w:val="003A588F"/>
    <w:rsid w:val="003A6F78"/>
    <w:rsid w:val="003C0593"/>
    <w:rsid w:val="003C3813"/>
    <w:rsid w:val="003D73FC"/>
    <w:rsid w:val="003D7612"/>
    <w:rsid w:val="003E091B"/>
    <w:rsid w:val="004005C8"/>
    <w:rsid w:val="00405714"/>
    <w:rsid w:val="00406723"/>
    <w:rsid w:val="004337A9"/>
    <w:rsid w:val="00435996"/>
    <w:rsid w:val="004366B4"/>
    <w:rsid w:val="0044176F"/>
    <w:rsid w:val="00450895"/>
    <w:rsid w:val="004570F6"/>
    <w:rsid w:val="00484818"/>
    <w:rsid w:val="0048535A"/>
    <w:rsid w:val="004A57B5"/>
    <w:rsid w:val="004B2AF1"/>
    <w:rsid w:val="004C3F83"/>
    <w:rsid w:val="004C4B4C"/>
    <w:rsid w:val="004C5BFE"/>
    <w:rsid w:val="004E5147"/>
    <w:rsid w:val="004F0847"/>
    <w:rsid w:val="004F4781"/>
    <w:rsid w:val="00503530"/>
    <w:rsid w:val="0051716E"/>
    <w:rsid w:val="00521AFB"/>
    <w:rsid w:val="0055778C"/>
    <w:rsid w:val="00563D26"/>
    <w:rsid w:val="0057004C"/>
    <w:rsid w:val="00573FED"/>
    <w:rsid w:val="00584A5E"/>
    <w:rsid w:val="00594EE4"/>
    <w:rsid w:val="005A07A7"/>
    <w:rsid w:val="005A57D6"/>
    <w:rsid w:val="005B65E9"/>
    <w:rsid w:val="005E5188"/>
    <w:rsid w:val="005F1532"/>
    <w:rsid w:val="005F190E"/>
    <w:rsid w:val="005F61F5"/>
    <w:rsid w:val="0062330E"/>
    <w:rsid w:val="0063433E"/>
    <w:rsid w:val="00662922"/>
    <w:rsid w:val="00673264"/>
    <w:rsid w:val="00673765"/>
    <w:rsid w:val="00692538"/>
    <w:rsid w:val="006B75AC"/>
    <w:rsid w:val="006B7BE3"/>
    <w:rsid w:val="006D5FC8"/>
    <w:rsid w:val="006F7F3D"/>
    <w:rsid w:val="00712099"/>
    <w:rsid w:val="00731E24"/>
    <w:rsid w:val="007322E8"/>
    <w:rsid w:val="00735B86"/>
    <w:rsid w:val="0074271C"/>
    <w:rsid w:val="007476F1"/>
    <w:rsid w:val="00747924"/>
    <w:rsid w:val="00747E8B"/>
    <w:rsid w:val="00763DE2"/>
    <w:rsid w:val="007762C3"/>
    <w:rsid w:val="00784616"/>
    <w:rsid w:val="00790166"/>
    <w:rsid w:val="0079347B"/>
    <w:rsid w:val="007951A7"/>
    <w:rsid w:val="007B49F3"/>
    <w:rsid w:val="007B7C1A"/>
    <w:rsid w:val="007D3382"/>
    <w:rsid w:val="007D382E"/>
    <w:rsid w:val="007D3E45"/>
    <w:rsid w:val="007E2141"/>
    <w:rsid w:val="007E7C2E"/>
    <w:rsid w:val="007F3652"/>
    <w:rsid w:val="008154DC"/>
    <w:rsid w:val="00834E9D"/>
    <w:rsid w:val="00847437"/>
    <w:rsid w:val="00852AD5"/>
    <w:rsid w:val="008575E9"/>
    <w:rsid w:val="00864354"/>
    <w:rsid w:val="00864DC5"/>
    <w:rsid w:val="008741BF"/>
    <w:rsid w:val="008843DD"/>
    <w:rsid w:val="00887FED"/>
    <w:rsid w:val="00893A12"/>
    <w:rsid w:val="008A3745"/>
    <w:rsid w:val="008B6B2E"/>
    <w:rsid w:val="008C74B9"/>
    <w:rsid w:val="008D5DA9"/>
    <w:rsid w:val="008E0428"/>
    <w:rsid w:val="0090005E"/>
    <w:rsid w:val="0090342E"/>
    <w:rsid w:val="009067F9"/>
    <w:rsid w:val="009246B1"/>
    <w:rsid w:val="00936FA4"/>
    <w:rsid w:val="009635C9"/>
    <w:rsid w:val="00965F9A"/>
    <w:rsid w:val="00974FD6"/>
    <w:rsid w:val="009870B0"/>
    <w:rsid w:val="009948D9"/>
    <w:rsid w:val="009A5D5A"/>
    <w:rsid w:val="009B7147"/>
    <w:rsid w:val="009C7C25"/>
    <w:rsid w:val="009E1AB8"/>
    <w:rsid w:val="009E1C75"/>
    <w:rsid w:val="009F123E"/>
    <w:rsid w:val="009F1500"/>
    <w:rsid w:val="009F32BA"/>
    <w:rsid w:val="00A12964"/>
    <w:rsid w:val="00A14FF2"/>
    <w:rsid w:val="00A22B6C"/>
    <w:rsid w:val="00A6273F"/>
    <w:rsid w:val="00A8125B"/>
    <w:rsid w:val="00AB0622"/>
    <w:rsid w:val="00AB1042"/>
    <w:rsid w:val="00AC43E9"/>
    <w:rsid w:val="00AD0FF5"/>
    <w:rsid w:val="00AD6F1B"/>
    <w:rsid w:val="00AE0C1B"/>
    <w:rsid w:val="00AE4F48"/>
    <w:rsid w:val="00AF4074"/>
    <w:rsid w:val="00B04053"/>
    <w:rsid w:val="00B11199"/>
    <w:rsid w:val="00B316D0"/>
    <w:rsid w:val="00B4085D"/>
    <w:rsid w:val="00B43260"/>
    <w:rsid w:val="00B44642"/>
    <w:rsid w:val="00B44BBA"/>
    <w:rsid w:val="00B544F3"/>
    <w:rsid w:val="00B56C73"/>
    <w:rsid w:val="00B63705"/>
    <w:rsid w:val="00B8251F"/>
    <w:rsid w:val="00B8344C"/>
    <w:rsid w:val="00B84533"/>
    <w:rsid w:val="00B91942"/>
    <w:rsid w:val="00B97DD6"/>
    <w:rsid w:val="00BA2327"/>
    <w:rsid w:val="00BB4857"/>
    <w:rsid w:val="00BB4B84"/>
    <w:rsid w:val="00BC14AC"/>
    <w:rsid w:val="00BC59F5"/>
    <w:rsid w:val="00BD683D"/>
    <w:rsid w:val="00BE5474"/>
    <w:rsid w:val="00C21D72"/>
    <w:rsid w:val="00C2575D"/>
    <w:rsid w:val="00C300DA"/>
    <w:rsid w:val="00C425F1"/>
    <w:rsid w:val="00C44334"/>
    <w:rsid w:val="00C471DB"/>
    <w:rsid w:val="00C53C69"/>
    <w:rsid w:val="00C7274B"/>
    <w:rsid w:val="00C80FC2"/>
    <w:rsid w:val="00C840ED"/>
    <w:rsid w:val="00C93062"/>
    <w:rsid w:val="00C9367C"/>
    <w:rsid w:val="00CB37EC"/>
    <w:rsid w:val="00CB5C44"/>
    <w:rsid w:val="00CE24A5"/>
    <w:rsid w:val="00D00023"/>
    <w:rsid w:val="00D064EF"/>
    <w:rsid w:val="00D37054"/>
    <w:rsid w:val="00D54F87"/>
    <w:rsid w:val="00D5607D"/>
    <w:rsid w:val="00D6637F"/>
    <w:rsid w:val="00D740D9"/>
    <w:rsid w:val="00D9262C"/>
    <w:rsid w:val="00DC34D6"/>
    <w:rsid w:val="00DC5E02"/>
    <w:rsid w:val="00DE28C1"/>
    <w:rsid w:val="00DF53BB"/>
    <w:rsid w:val="00E03416"/>
    <w:rsid w:val="00E12D07"/>
    <w:rsid w:val="00E255B3"/>
    <w:rsid w:val="00E64558"/>
    <w:rsid w:val="00E65C00"/>
    <w:rsid w:val="00E759D9"/>
    <w:rsid w:val="00E7771B"/>
    <w:rsid w:val="00E92C03"/>
    <w:rsid w:val="00E97019"/>
    <w:rsid w:val="00EA33EC"/>
    <w:rsid w:val="00EC4BCA"/>
    <w:rsid w:val="00ED0431"/>
    <w:rsid w:val="00EE1CB2"/>
    <w:rsid w:val="00EE2390"/>
    <w:rsid w:val="00EF2CC9"/>
    <w:rsid w:val="00F00122"/>
    <w:rsid w:val="00F022F3"/>
    <w:rsid w:val="00F249D3"/>
    <w:rsid w:val="00F27614"/>
    <w:rsid w:val="00F340BF"/>
    <w:rsid w:val="00F43D94"/>
    <w:rsid w:val="00F62EC3"/>
    <w:rsid w:val="00F65F80"/>
    <w:rsid w:val="00F67FC5"/>
    <w:rsid w:val="00F70416"/>
    <w:rsid w:val="00F860AB"/>
    <w:rsid w:val="00F87081"/>
    <w:rsid w:val="00F92D93"/>
    <w:rsid w:val="00F94628"/>
    <w:rsid w:val="00FA54DE"/>
    <w:rsid w:val="00FE03AC"/>
    <w:rsid w:val="00FF1DB2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58B3"/>
  <w15:chartTrackingRefBased/>
  <w15:docId w15:val="{D89CAE12-A924-4F21-B97D-F404A94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2099"/>
    <w:pPr>
      <w:widowControl w:val="0"/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0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12099"/>
    <w:pPr>
      <w:keepNext w:val="0"/>
      <w:keepLines w:val="0"/>
      <w:widowControl/>
      <w:pBdr>
        <w:top w:val="nil"/>
        <w:left w:val="nil"/>
        <w:bottom w:val="nil"/>
        <w:right w:val="nil"/>
        <w:between w:val="nil"/>
        <w:bar w:val="nil"/>
      </w:pBdr>
      <w:spacing w:before="0"/>
      <w:ind w:left="720" w:hanging="360"/>
      <w:contextualSpacing/>
      <w:jc w:val="center"/>
      <w:outlineLvl w:val="2"/>
    </w:pPr>
    <w:rPr>
      <w:rFonts w:ascii="ITC Avant Garde" w:eastAsia="Times New Roman" w:hAnsi="ITC Avant Garde" w:cs="Times"/>
      <w:b/>
      <w:color w:val="2F2F2F"/>
      <w:sz w:val="24"/>
      <w:szCs w:val="24"/>
      <w:bdr w:val="ni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120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12099"/>
    <w:rPr>
      <w:rFonts w:ascii="ITC Avant Garde" w:eastAsia="Times New Roman" w:hAnsi="ITC Avant Garde" w:cs="Times"/>
      <w:b/>
      <w:color w:val="2F2F2F"/>
      <w:sz w:val="24"/>
      <w:szCs w:val="24"/>
      <w:bdr w:val="nil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7120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2099"/>
    <w:pPr>
      <w:ind w:left="118"/>
    </w:pPr>
    <w:rPr>
      <w:rFonts w:ascii="ITC Avant Garde" w:eastAsia="ITC Avant Garde" w:hAnsi="ITC Avant Gard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2099"/>
    <w:rPr>
      <w:rFonts w:ascii="ITC Avant Garde" w:eastAsia="ITC Avant Garde" w:hAnsi="ITC Avant Garde"/>
    </w:rPr>
  </w:style>
  <w:style w:type="paragraph" w:styleId="Prrafodelista">
    <w:name w:val="List Paragraph"/>
    <w:aliases w:val="4 Viñ 1nivel,Numeración 1,Cuadrícula media 1 - Énfasis 21,Listas,lp1,Bullet List,FooterText,numbered,List Paragraph1,Paragraphe de liste1,Bulletr List Paragraph,列出段落,列出段落1"/>
    <w:basedOn w:val="Normal"/>
    <w:link w:val="PrrafodelistaCar"/>
    <w:uiPriority w:val="34"/>
    <w:qFormat/>
    <w:rsid w:val="00712099"/>
  </w:style>
  <w:style w:type="paragraph" w:customStyle="1" w:styleId="TableParagraph">
    <w:name w:val="Table Paragraph"/>
    <w:basedOn w:val="Normal"/>
    <w:uiPriority w:val="1"/>
    <w:qFormat/>
    <w:rsid w:val="00712099"/>
  </w:style>
  <w:style w:type="paragraph" w:styleId="Textodeglobo">
    <w:name w:val="Balloon Text"/>
    <w:basedOn w:val="Normal"/>
    <w:link w:val="TextodegloboCar"/>
    <w:uiPriority w:val="99"/>
    <w:semiHidden/>
    <w:unhideWhenUsed/>
    <w:rsid w:val="007120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09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2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099"/>
  </w:style>
  <w:style w:type="paragraph" w:styleId="Piedepgina">
    <w:name w:val="footer"/>
    <w:basedOn w:val="Normal"/>
    <w:link w:val="PiedepginaCar"/>
    <w:uiPriority w:val="99"/>
    <w:unhideWhenUsed/>
    <w:rsid w:val="00712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099"/>
  </w:style>
  <w:style w:type="character" w:styleId="Refdecomentario">
    <w:name w:val="annotation reference"/>
    <w:basedOn w:val="Fuentedeprrafopredeter"/>
    <w:uiPriority w:val="99"/>
    <w:unhideWhenUsed/>
    <w:rsid w:val="007120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20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20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0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209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2099"/>
    <w:pPr>
      <w:spacing w:after="0" w:line="240" w:lineRule="auto"/>
    </w:pPr>
  </w:style>
  <w:style w:type="paragraph" w:styleId="Textonotapie">
    <w:name w:val="footnote text"/>
    <w:aliases w:val=" Char,Char,ALTS FOOTNOTE,Footnote Text Char1,Footnote Text Char Char1,Footnote Text Char4 Char Char,Footnote Text Char1 Char1 Char1 Char,Footnote Text Char Char1 Char1 Char Char,Footnote Text Char1 Char1 Char1 Char Char Char1,DNV-,DNV,fn"/>
    <w:basedOn w:val="Normal"/>
    <w:link w:val="TextonotapieCar"/>
    <w:uiPriority w:val="99"/>
    <w:unhideWhenUsed/>
    <w:qFormat/>
    <w:rsid w:val="00712099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TextonotapieCar">
    <w:name w:val="Texto nota pie Car"/>
    <w:aliases w:val=" Char Car,Char Car,ALTS FOOTNOTE Car,Footnote Text Char1 Car,Footnote Text Char Char1 Car,Footnote Text Char4 Char Char Car,Footnote Text Char1 Char1 Char1 Char Car,Footnote Text Char Char1 Char1 Char Char Car,DNV- Car,DNV Car,fn Car"/>
    <w:basedOn w:val="Fuentedeprrafopredeter"/>
    <w:link w:val="Textonotapie"/>
    <w:uiPriority w:val="99"/>
    <w:rsid w:val="00712099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Refdenotaalpie">
    <w:name w:val="footnote reference"/>
    <w:aliases w:val="Footnote symbol,Appel note de bas de p,Footnote Reference/,Style 12,(NECG) Footnote Reference,Style 124,o,fr,Style 13,FR,Style 17,Style 3,Appel note de bas de p + 11 pt,Italic,Footnote,Appel note de bas de p1,Appel note de bas de p2"/>
    <w:uiPriority w:val="99"/>
    <w:qFormat/>
    <w:rsid w:val="00712099"/>
    <w:rPr>
      <w:vertAlign w:val="superscript"/>
    </w:rPr>
  </w:style>
  <w:style w:type="character" w:customStyle="1" w:styleId="PrrafodelistaCar">
    <w:name w:val="Párrafo de lista Car"/>
    <w:aliases w:val="4 Viñ 1nivel Car,Numeración 1 Car,Cuadrícula media 1 - Énfasis 21 Car,Listas Car,lp1 Car,Bullet List Car,FooterText Car,numbered Car,List Paragraph1 Car,Paragraphe de liste1 Car,Bulletr List Paragraph Car,列出段落 Car,列出段落1 Car"/>
    <w:link w:val="Prrafodelista"/>
    <w:uiPriority w:val="34"/>
    <w:locked/>
    <w:rsid w:val="00712099"/>
  </w:style>
  <w:style w:type="paragraph" w:customStyle="1" w:styleId="texto">
    <w:name w:val="texto"/>
    <w:basedOn w:val="Normal"/>
    <w:rsid w:val="00712099"/>
    <w:pPr>
      <w:widowControl/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Default">
    <w:name w:val="Default"/>
    <w:link w:val="DefaultCar"/>
    <w:rsid w:val="00712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rsid w:val="00712099"/>
    <w:rPr>
      <w:u w:val="single"/>
    </w:rPr>
  </w:style>
  <w:style w:type="numbering" w:customStyle="1" w:styleId="List10">
    <w:name w:val="List 10"/>
    <w:basedOn w:val="Sinlista"/>
    <w:rsid w:val="00712099"/>
    <w:pPr>
      <w:numPr>
        <w:numId w:val="11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209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12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TDC2"/>
    <w:next w:val="Normal"/>
    <w:autoRedefine/>
    <w:uiPriority w:val="39"/>
    <w:unhideWhenUsed/>
    <w:rsid w:val="00712099"/>
    <w:pPr>
      <w:widowControl/>
      <w:spacing w:after="0" w:line="276" w:lineRule="auto"/>
      <w:ind w:left="0"/>
      <w:jc w:val="center"/>
    </w:pPr>
    <w:rPr>
      <w:rFonts w:ascii="Times New Roman" w:eastAsia="Calibri" w:hAnsi="Times New Roman" w:cs="Times New Roman"/>
      <w:noProof/>
      <w:sz w:val="20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712099"/>
    <w:pPr>
      <w:spacing w:after="100"/>
      <w:ind w:left="220"/>
    </w:pPr>
  </w:style>
  <w:style w:type="numbering" w:customStyle="1" w:styleId="Estilo1">
    <w:name w:val="Estilo1"/>
    <w:uiPriority w:val="99"/>
    <w:rsid w:val="00712099"/>
    <w:pPr>
      <w:numPr>
        <w:numId w:val="15"/>
      </w:numPr>
    </w:pPr>
  </w:style>
  <w:style w:type="table" w:customStyle="1" w:styleId="Tablaconcuadrcula2">
    <w:name w:val="Tabla con cuadrícula2"/>
    <w:basedOn w:val="Tablanormal"/>
    <w:next w:val="Tablaconcuadrcula"/>
    <w:uiPriority w:val="39"/>
    <w:rsid w:val="0071209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">
    <w:name w:val="Tabla de cuadrícula 4 - Énfasis 31"/>
    <w:basedOn w:val="Tablanormal"/>
    <w:next w:val="Tabladecuadrcula4-nfasis3"/>
    <w:uiPriority w:val="49"/>
    <w:rsid w:val="007120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ladecuadrcula4-nfasis3">
    <w:name w:val="Grid Table 4 Accent 3"/>
    <w:basedOn w:val="Tablanormal"/>
    <w:uiPriority w:val="49"/>
    <w:rsid w:val="007120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DefaultCar">
    <w:name w:val="Default Car"/>
    <w:basedOn w:val="Fuentedeprrafopredeter"/>
    <w:link w:val="Default"/>
    <w:rsid w:val="00712099"/>
    <w:rPr>
      <w:rFonts w:ascii="Arial" w:hAnsi="Arial" w:cs="Arial"/>
      <w:color w:val="000000"/>
      <w:sz w:val="24"/>
      <w:szCs w:val="24"/>
    </w:rPr>
  </w:style>
  <w:style w:type="table" w:customStyle="1" w:styleId="Tabladecuadrcula4-nfasis32">
    <w:name w:val="Tabla de cuadrícula 4 - Énfasis 32"/>
    <w:basedOn w:val="Tablanormal"/>
    <w:next w:val="Tabladecuadrcula4-nfasis3"/>
    <w:uiPriority w:val="49"/>
    <w:rsid w:val="007120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ladelista3-nfasis6">
    <w:name w:val="List Table 3 Accent 6"/>
    <w:basedOn w:val="Tablanormal"/>
    <w:uiPriority w:val="48"/>
    <w:rsid w:val="00BC14A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C4B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82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669F-0E31-4E63-8EBF-D31E2A266D2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EEE90D-1228-465E-8686-DC05F3C89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A1B47-5D38-469C-BB03-51E121F8C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1DFD33-8295-493F-9E22-5C2DF535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2703</Words>
  <Characters>14868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</dc:creator>
  <cp:keywords/>
  <dc:description/>
  <cp:lastModifiedBy>Carlos Juan de Dios Sanchez Breton</cp:lastModifiedBy>
  <cp:revision>12</cp:revision>
  <dcterms:created xsi:type="dcterms:W3CDTF">2020-06-11T19:04:00Z</dcterms:created>
  <dcterms:modified xsi:type="dcterms:W3CDTF">2020-06-22T23:48:00Z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