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A9275" w14:textId="77777777" w:rsidR="00F41591" w:rsidRPr="00ED0CD3" w:rsidRDefault="00F41591" w:rsidP="00F41591">
      <w:pPr>
        <w:keepNext/>
        <w:suppressAutoHyphens/>
        <w:spacing w:line="276" w:lineRule="auto"/>
        <w:jc w:val="center"/>
        <w:outlineLvl w:val="5"/>
        <w:rPr>
          <w:rFonts w:ascii="Arial" w:hAnsi="Arial" w:cs="Arial"/>
          <w:b/>
          <w:sz w:val="22"/>
          <w:szCs w:val="22"/>
        </w:rPr>
      </w:pPr>
      <w:bookmarkStart w:id="0" w:name="_GoBack"/>
      <w:bookmarkEnd w:id="0"/>
      <w:r w:rsidRPr="00ED0CD3">
        <w:rPr>
          <w:rFonts w:ascii="Arial" w:hAnsi="Arial" w:cs="Arial"/>
          <w:b/>
          <w:sz w:val="22"/>
          <w:szCs w:val="22"/>
        </w:rPr>
        <w:t xml:space="preserve">Anexo </w:t>
      </w:r>
      <w:r w:rsidR="0046109A" w:rsidRPr="00ED0CD3">
        <w:rPr>
          <w:rFonts w:ascii="Arial" w:hAnsi="Arial" w:cs="Arial"/>
          <w:b/>
          <w:sz w:val="22"/>
          <w:szCs w:val="22"/>
        </w:rPr>
        <w:t>Único</w:t>
      </w:r>
    </w:p>
    <w:p w14:paraId="36818C7D" w14:textId="77777777" w:rsidR="00FB2B9E" w:rsidRPr="00ED0CD3" w:rsidRDefault="00083C96" w:rsidP="007478A6">
      <w:pPr>
        <w:keepNext/>
        <w:suppressAutoHyphens/>
        <w:spacing w:line="276" w:lineRule="auto"/>
        <w:jc w:val="both"/>
        <w:outlineLvl w:val="5"/>
        <w:rPr>
          <w:rFonts w:ascii="Arial" w:hAnsi="Arial" w:cs="Arial"/>
          <w:b/>
          <w:sz w:val="22"/>
          <w:szCs w:val="22"/>
        </w:rPr>
      </w:pPr>
      <w:r w:rsidRPr="00ED0CD3">
        <w:rPr>
          <w:rFonts w:ascii="Arial" w:hAnsi="Arial" w:cs="Arial"/>
          <w:b/>
          <w:sz w:val="22"/>
          <w:szCs w:val="22"/>
        </w:rPr>
        <w:t xml:space="preserve">Acuerdo mediante el cual el Pleno del Instituto Federal de Telecomunicaciones aprueba la modificación </w:t>
      </w:r>
      <w:r w:rsidR="00B60484" w:rsidRPr="00ED0CD3">
        <w:rPr>
          <w:rFonts w:ascii="Arial" w:hAnsi="Arial" w:cs="Arial"/>
          <w:b/>
          <w:sz w:val="22"/>
          <w:szCs w:val="22"/>
        </w:rPr>
        <w:t xml:space="preserve">a </w:t>
      </w:r>
      <w:r w:rsidRPr="00ED0CD3">
        <w:rPr>
          <w:rFonts w:ascii="Arial" w:hAnsi="Arial" w:cs="Arial"/>
          <w:b/>
          <w:sz w:val="22"/>
          <w:szCs w:val="22"/>
        </w:rPr>
        <w:t xml:space="preserve">diversos artículos de los Lineamientos generales para el otorgamiento de las </w:t>
      </w:r>
      <w:r w:rsidRPr="00ED0CD3">
        <w:rPr>
          <w:rFonts w:ascii="Arial" w:eastAsiaTheme="minorHAnsi" w:hAnsi="Arial" w:cs="Arial"/>
          <w:b/>
          <w:bCs/>
          <w:sz w:val="22"/>
          <w:szCs w:val="22"/>
          <w:lang w:val="es-MX" w:eastAsia="es-MX"/>
        </w:rPr>
        <w:t>concesiones</w:t>
      </w:r>
      <w:r w:rsidRPr="00ED0CD3">
        <w:rPr>
          <w:rFonts w:ascii="Arial" w:hAnsi="Arial" w:cs="Arial"/>
          <w:b/>
          <w:sz w:val="22"/>
          <w:szCs w:val="22"/>
        </w:rPr>
        <w:t xml:space="preserve"> a que se refiere el título cuarto de la Ley Federal de Telecomunicaciones y Radiodifusión</w:t>
      </w:r>
    </w:p>
    <w:p w14:paraId="22F76629" w14:textId="77777777" w:rsidR="00201176" w:rsidRPr="00ED0CD3" w:rsidRDefault="00201176" w:rsidP="007478A6">
      <w:pPr>
        <w:pStyle w:val="Texto"/>
        <w:spacing w:after="0" w:line="276" w:lineRule="auto"/>
        <w:ind w:firstLine="0"/>
        <w:rPr>
          <w:b/>
          <w:sz w:val="22"/>
          <w:szCs w:val="22"/>
        </w:rPr>
      </w:pPr>
    </w:p>
    <w:p w14:paraId="08170911" w14:textId="77777777" w:rsidR="00FB2B9E" w:rsidRPr="00ED0CD3" w:rsidRDefault="00083C96" w:rsidP="007478A6">
      <w:pPr>
        <w:pStyle w:val="ANOTACION"/>
        <w:spacing w:before="0" w:after="0" w:line="276" w:lineRule="auto"/>
        <w:rPr>
          <w:rFonts w:ascii="Arial" w:hAnsi="Arial" w:cs="Arial"/>
          <w:sz w:val="22"/>
          <w:szCs w:val="22"/>
        </w:rPr>
      </w:pPr>
      <w:r w:rsidRPr="00ED0CD3">
        <w:rPr>
          <w:rFonts w:ascii="Arial" w:hAnsi="Arial" w:cs="Arial"/>
          <w:sz w:val="22"/>
          <w:szCs w:val="22"/>
        </w:rPr>
        <w:t>Antecedentes</w:t>
      </w:r>
    </w:p>
    <w:p w14:paraId="76C3804D" w14:textId="77777777" w:rsidR="00201176" w:rsidRPr="00ED0CD3" w:rsidRDefault="00201176" w:rsidP="007478A6">
      <w:pPr>
        <w:pStyle w:val="ANOTACION"/>
        <w:spacing w:before="0" w:after="0" w:line="276" w:lineRule="auto"/>
        <w:rPr>
          <w:rFonts w:ascii="Arial" w:hAnsi="Arial" w:cs="Arial"/>
          <w:sz w:val="22"/>
          <w:szCs w:val="22"/>
        </w:rPr>
      </w:pPr>
    </w:p>
    <w:p w14:paraId="451E13D7" w14:textId="77777777" w:rsidR="00FB2B9E" w:rsidRPr="00ED0CD3" w:rsidRDefault="00083C96" w:rsidP="007478A6">
      <w:pPr>
        <w:pStyle w:val="Texto"/>
        <w:spacing w:after="0" w:line="276" w:lineRule="auto"/>
        <w:ind w:firstLine="0"/>
        <w:rPr>
          <w:sz w:val="22"/>
          <w:szCs w:val="22"/>
        </w:rPr>
      </w:pPr>
      <w:r w:rsidRPr="00ED0CD3">
        <w:rPr>
          <w:b/>
          <w:sz w:val="22"/>
          <w:szCs w:val="22"/>
        </w:rPr>
        <w:t xml:space="preserve">Primero. </w:t>
      </w:r>
      <w:r w:rsidR="00FB2B9E" w:rsidRPr="00ED0CD3">
        <w:rPr>
          <w:b/>
          <w:sz w:val="22"/>
          <w:szCs w:val="22"/>
        </w:rPr>
        <w:t>Decreto de Reforma Constitucional.</w:t>
      </w:r>
      <w:r w:rsidR="00FB2B9E" w:rsidRPr="00ED0CD3">
        <w:rPr>
          <w:sz w:val="22"/>
          <w:szCs w:val="22"/>
        </w:rPr>
        <w:t xml:space="preserve"> El 11 de junio de 2013, se publicó en el Diario Oficial de la Federación (en lo sucesivo, “DOF”), el “</w:t>
      </w:r>
      <w:r w:rsidR="00FB2B9E" w:rsidRPr="00ED0CD3">
        <w:rPr>
          <w:i/>
          <w:sz w:val="22"/>
          <w:szCs w:val="22"/>
        </w:rPr>
        <w:t>Decreto por el que se reforman y adicionan diversas disposiciones de los artículos 6o., 7o., 27, 28, 73, 78, 94 y 105 de la Constitución Política de los Estados Unidos Mexicanos, en materia de telecomunicaciones</w:t>
      </w:r>
      <w:r w:rsidR="00FB2B9E" w:rsidRPr="00ED0CD3">
        <w:rPr>
          <w:sz w:val="22"/>
          <w:szCs w:val="22"/>
        </w:rPr>
        <w:t>”, mediante el cual se creó al Instituto Federal de Telecomunicaciones (en lo sucesivo, el “Instituto”) como un órgano autónomo, con personalidad jurídica y patrimonio propios.</w:t>
      </w:r>
    </w:p>
    <w:p w14:paraId="2DEC0156" w14:textId="77777777" w:rsidR="00201176" w:rsidRPr="00ED0CD3" w:rsidRDefault="00201176" w:rsidP="007478A6">
      <w:pPr>
        <w:pStyle w:val="Texto"/>
        <w:spacing w:after="0" w:line="276" w:lineRule="auto"/>
        <w:rPr>
          <w:b/>
          <w:sz w:val="22"/>
          <w:szCs w:val="22"/>
        </w:rPr>
      </w:pPr>
    </w:p>
    <w:p w14:paraId="51FC1F1A" w14:textId="77777777" w:rsidR="00FB2B9E" w:rsidRPr="00ED0CD3" w:rsidRDefault="00083C96" w:rsidP="007478A6">
      <w:pPr>
        <w:pStyle w:val="Texto"/>
        <w:spacing w:after="0" w:line="276" w:lineRule="auto"/>
        <w:ind w:firstLine="0"/>
        <w:rPr>
          <w:sz w:val="22"/>
          <w:szCs w:val="22"/>
        </w:rPr>
      </w:pPr>
      <w:r w:rsidRPr="00ED0CD3">
        <w:rPr>
          <w:b/>
          <w:sz w:val="22"/>
          <w:szCs w:val="22"/>
        </w:rPr>
        <w:t xml:space="preserve">Segundo. </w:t>
      </w:r>
      <w:r w:rsidR="00FB2B9E" w:rsidRPr="00ED0CD3">
        <w:rPr>
          <w:b/>
          <w:sz w:val="22"/>
          <w:szCs w:val="22"/>
        </w:rPr>
        <w:t>Decreto de Ley.</w:t>
      </w:r>
      <w:r w:rsidR="00FB2B9E" w:rsidRPr="00ED0CD3">
        <w:rPr>
          <w:sz w:val="22"/>
          <w:szCs w:val="22"/>
        </w:rPr>
        <w:t xml:space="preserve"> El 14 de julio de 2014, se publicó en el DOF el “</w:t>
      </w:r>
      <w:r w:rsidR="00FB2B9E" w:rsidRPr="00ED0CD3">
        <w:rPr>
          <w:i/>
          <w:sz w:val="22"/>
          <w:szCs w:val="22"/>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FB2B9E" w:rsidRPr="00ED0CD3">
        <w:rPr>
          <w:sz w:val="22"/>
          <w:szCs w:val="22"/>
        </w:rPr>
        <w:t xml:space="preserve">”, el </w:t>
      </w:r>
      <w:r w:rsidR="001F5E19" w:rsidRPr="00ED0CD3">
        <w:rPr>
          <w:sz w:val="22"/>
          <w:szCs w:val="22"/>
        </w:rPr>
        <w:t>cual,</w:t>
      </w:r>
      <w:r w:rsidR="00FB2B9E" w:rsidRPr="00ED0CD3">
        <w:rPr>
          <w:sz w:val="22"/>
          <w:szCs w:val="22"/>
        </w:rPr>
        <w:t xml:space="preserve"> de conformidad con el artículo PRIMERO Transitorio, entró en vigor a los 30 días naturales siguientes a su publicación, es decir, el 13 de agosto de 2014.</w:t>
      </w:r>
    </w:p>
    <w:p w14:paraId="504200A3" w14:textId="77777777" w:rsidR="00201176" w:rsidRPr="00ED0CD3" w:rsidRDefault="00201176" w:rsidP="007478A6">
      <w:pPr>
        <w:pStyle w:val="Texto"/>
        <w:spacing w:after="0" w:line="276" w:lineRule="auto"/>
        <w:rPr>
          <w:b/>
          <w:sz w:val="22"/>
          <w:szCs w:val="22"/>
        </w:rPr>
      </w:pPr>
    </w:p>
    <w:p w14:paraId="0F1F3F0A" w14:textId="77777777" w:rsidR="00FB2B9E" w:rsidRPr="00ED0CD3" w:rsidRDefault="00083C96" w:rsidP="007478A6">
      <w:pPr>
        <w:pStyle w:val="Texto"/>
        <w:spacing w:after="0" w:line="276" w:lineRule="auto"/>
        <w:ind w:firstLine="0"/>
        <w:rPr>
          <w:sz w:val="22"/>
          <w:szCs w:val="22"/>
        </w:rPr>
      </w:pPr>
      <w:r w:rsidRPr="00ED0CD3">
        <w:rPr>
          <w:b/>
          <w:sz w:val="22"/>
          <w:szCs w:val="22"/>
        </w:rPr>
        <w:t xml:space="preserve">Tercero. </w:t>
      </w:r>
      <w:r w:rsidR="00FB2B9E" w:rsidRPr="00ED0CD3">
        <w:rPr>
          <w:b/>
          <w:sz w:val="22"/>
          <w:szCs w:val="22"/>
        </w:rPr>
        <w:t>Lineamientos Generales para el Otorgamiento de las Concesiones.</w:t>
      </w:r>
      <w:r w:rsidR="00FB2B9E" w:rsidRPr="00ED0CD3">
        <w:rPr>
          <w:sz w:val="22"/>
          <w:szCs w:val="22"/>
        </w:rPr>
        <w:t xml:space="preserve"> El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 </w:t>
      </w:r>
      <w:r w:rsidR="001F5E19" w:rsidRPr="00ED0CD3">
        <w:rPr>
          <w:sz w:val="22"/>
          <w:szCs w:val="22"/>
        </w:rPr>
        <w:t xml:space="preserve">cuya última modificación fue publicada en el DOF el 13 de febrero de 2019 </w:t>
      </w:r>
      <w:r w:rsidR="00FB2B9E" w:rsidRPr="00ED0CD3">
        <w:rPr>
          <w:sz w:val="22"/>
          <w:szCs w:val="22"/>
        </w:rPr>
        <w:t>(en lo sucesivo, los “Lineamientos”).</w:t>
      </w:r>
    </w:p>
    <w:p w14:paraId="3CC22399" w14:textId="77777777" w:rsidR="00201176" w:rsidRPr="00ED0CD3" w:rsidRDefault="00201176" w:rsidP="007478A6">
      <w:pPr>
        <w:pStyle w:val="Texto"/>
        <w:spacing w:after="0" w:line="276" w:lineRule="auto"/>
        <w:rPr>
          <w:b/>
          <w:sz w:val="22"/>
          <w:szCs w:val="22"/>
        </w:rPr>
      </w:pPr>
    </w:p>
    <w:p w14:paraId="7EDC6A90" w14:textId="77777777" w:rsidR="00FB2B9E" w:rsidRPr="00ED0CD3" w:rsidRDefault="007478A6" w:rsidP="007478A6">
      <w:pPr>
        <w:pStyle w:val="Texto"/>
        <w:spacing w:after="0" w:line="276" w:lineRule="auto"/>
        <w:ind w:firstLine="0"/>
        <w:rPr>
          <w:sz w:val="22"/>
          <w:szCs w:val="22"/>
        </w:rPr>
      </w:pPr>
      <w:r w:rsidRPr="00ED0CD3">
        <w:rPr>
          <w:b/>
          <w:sz w:val="22"/>
          <w:szCs w:val="22"/>
        </w:rPr>
        <w:t xml:space="preserve">Cuarto. </w:t>
      </w:r>
      <w:r w:rsidR="00FB2B9E" w:rsidRPr="00ED0CD3">
        <w:rPr>
          <w:b/>
          <w:sz w:val="22"/>
          <w:szCs w:val="22"/>
        </w:rPr>
        <w:t xml:space="preserve">Consulta pública. </w:t>
      </w:r>
      <w:r w:rsidR="00FB2B9E" w:rsidRPr="00ED0CD3">
        <w:rPr>
          <w:sz w:val="22"/>
          <w:szCs w:val="22"/>
        </w:rPr>
        <w:t>Mediante Acuerdo P/IFT/</w:t>
      </w:r>
      <w:r w:rsidR="006527FB" w:rsidRPr="00ED0CD3">
        <w:rPr>
          <w:sz w:val="22"/>
          <w:szCs w:val="22"/>
        </w:rPr>
        <w:t>XXXXXX</w:t>
      </w:r>
      <w:r w:rsidR="00FB2B9E" w:rsidRPr="00ED0CD3">
        <w:rPr>
          <w:sz w:val="22"/>
          <w:szCs w:val="22"/>
        </w:rPr>
        <w:t>/</w:t>
      </w:r>
      <w:r w:rsidR="006527FB" w:rsidRPr="00ED0CD3">
        <w:rPr>
          <w:sz w:val="22"/>
          <w:szCs w:val="22"/>
        </w:rPr>
        <w:t>XXX</w:t>
      </w:r>
      <w:r w:rsidR="00FB2B9E" w:rsidRPr="00ED0CD3">
        <w:rPr>
          <w:sz w:val="22"/>
          <w:szCs w:val="22"/>
        </w:rPr>
        <w:t xml:space="preserve"> de fecha </w:t>
      </w:r>
      <w:r w:rsidR="006527FB" w:rsidRPr="00ED0CD3">
        <w:rPr>
          <w:sz w:val="22"/>
          <w:szCs w:val="22"/>
        </w:rPr>
        <w:t>X</w:t>
      </w:r>
      <w:r w:rsidR="00FB2B9E" w:rsidRPr="00ED0CD3">
        <w:rPr>
          <w:sz w:val="22"/>
          <w:szCs w:val="22"/>
        </w:rPr>
        <w:t xml:space="preserve"> de </w:t>
      </w:r>
      <w:r w:rsidR="006527FB" w:rsidRPr="00ED0CD3">
        <w:rPr>
          <w:sz w:val="22"/>
          <w:szCs w:val="22"/>
        </w:rPr>
        <w:t>XXXXXXX</w:t>
      </w:r>
      <w:r w:rsidR="00FB2B9E" w:rsidRPr="00ED0CD3">
        <w:rPr>
          <w:sz w:val="22"/>
          <w:szCs w:val="22"/>
        </w:rPr>
        <w:t xml:space="preserve"> de 20</w:t>
      </w:r>
      <w:r w:rsidR="006527FB" w:rsidRPr="00ED0CD3">
        <w:rPr>
          <w:sz w:val="22"/>
          <w:szCs w:val="22"/>
        </w:rPr>
        <w:t>XX</w:t>
      </w:r>
      <w:r w:rsidR="00FB2B9E" w:rsidRPr="00ED0CD3">
        <w:rPr>
          <w:sz w:val="22"/>
          <w:szCs w:val="22"/>
        </w:rPr>
        <w:t xml:space="preserve">, en su </w:t>
      </w:r>
      <w:r w:rsidR="006527FB" w:rsidRPr="00ED0CD3">
        <w:rPr>
          <w:sz w:val="22"/>
          <w:szCs w:val="22"/>
        </w:rPr>
        <w:t>XXXXXX</w:t>
      </w:r>
      <w:r w:rsidR="00FB2B9E" w:rsidRPr="00ED0CD3">
        <w:rPr>
          <w:sz w:val="22"/>
          <w:szCs w:val="22"/>
        </w:rPr>
        <w:t xml:space="preserve"> Sesión Ordinaria el Pleno determinó someter a consulta pública el Anteproyecto del Acuerdo </w:t>
      </w:r>
      <w:r w:rsidR="006527FB" w:rsidRPr="00ED0CD3">
        <w:rPr>
          <w:sz w:val="22"/>
          <w:szCs w:val="22"/>
        </w:rPr>
        <w:t>XXXXXXXXXXXXXXXXXXXXXX</w:t>
      </w:r>
      <w:r w:rsidR="00FB2B9E" w:rsidRPr="00ED0CD3">
        <w:rPr>
          <w:sz w:val="22"/>
          <w:szCs w:val="22"/>
        </w:rPr>
        <w:t xml:space="preserve"> (en lo sucesivo, el “Anteproyecto), presentado por la Unidad de Concesiones y Servicios.</w:t>
      </w:r>
    </w:p>
    <w:p w14:paraId="68F1092D" w14:textId="77777777" w:rsidR="004E6336" w:rsidRPr="00ED0CD3" w:rsidRDefault="004E6336" w:rsidP="007478A6">
      <w:pPr>
        <w:pStyle w:val="Texto"/>
        <w:spacing w:after="0" w:line="276" w:lineRule="auto"/>
        <w:rPr>
          <w:b/>
          <w:sz w:val="22"/>
          <w:szCs w:val="22"/>
        </w:rPr>
      </w:pPr>
    </w:p>
    <w:p w14:paraId="01F9EEB9" w14:textId="77777777" w:rsidR="00FB2B9E" w:rsidRPr="00ED0CD3" w:rsidRDefault="00FB2B9E" w:rsidP="007478A6">
      <w:pPr>
        <w:pStyle w:val="Texto"/>
        <w:spacing w:after="0" w:line="276" w:lineRule="auto"/>
        <w:ind w:firstLine="0"/>
        <w:rPr>
          <w:sz w:val="22"/>
          <w:szCs w:val="22"/>
        </w:rPr>
      </w:pPr>
      <w:r w:rsidRPr="00ED0CD3">
        <w:rPr>
          <w:sz w:val="22"/>
          <w:szCs w:val="22"/>
        </w:rPr>
        <w:t xml:space="preserve">La consulta pública se llevó a cabo del </w:t>
      </w:r>
      <w:r w:rsidR="006527FB" w:rsidRPr="00ED0CD3">
        <w:rPr>
          <w:sz w:val="22"/>
          <w:szCs w:val="22"/>
        </w:rPr>
        <w:t xml:space="preserve">XX </w:t>
      </w:r>
      <w:r w:rsidRPr="00ED0CD3">
        <w:rPr>
          <w:sz w:val="22"/>
          <w:szCs w:val="22"/>
        </w:rPr>
        <w:t xml:space="preserve">de </w:t>
      </w:r>
      <w:r w:rsidR="006527FB" w:rsidRPr="00ED0CD3">
        <w:rPr>
          <w:sz w:val="22"/>
          <w:szCs w:val="22"/>
        </w:rPr>
        <w:t>XXXXX</w:t>
      </w:r>
      <w:r w:rsidRPr="00ED0CD3">
        <w:rPr>
          <w:sz w:val="22"/>
          <w:szCs w:val="22"/>
        </w:rPr>
        <w:t xml:space="preserve"> al </w:t>
      </w:r>
      <w:r w:rsidR="006527FB" w:rsidRPr="00ED0CD3">
        <w:rPr>
          <w:sz w:val="22"/>
          <w:szCs w:val="22"/>
        </w:rPr>
        <w:t>XX</w:t>
      </w:r>
      <w:r w:rsidRPr="00ED0CD3">
        <w:rPr>
          <w:sz w:val="22"/>
          <w:szCs w:val="22"/>
        </w:rPr>
        <w:t xml:space="preserve"> de </w:t>
      </w:r>
      <w:r w:rsidR="006527FB" w:rsidRPr="00ED0CD3">
        <w:rPr>
          <w:sz w:val="22"/>
          <w:szCs w:val="22"/>
        </w:rPr>
        <w:t>XXXXXXXX</w:t>
      </w:r>
      <w:r w:rsidRPr="00ED0CD3">
        <w:rPr>
          <w:sz w:val="22"/>
          <w:szCs w:val="22"/>
        </w:rPr>
        <w:t xml:space="preserve"> de 20</w:t>
      </w:r>
      <w:r w:rsidR="006527FB" w:rsidRPr="00ED0CD3">
        <w:rPr>
          <w:sz w:val="22"/>
          <w:szCs w:val="22"/>
        </w:rPr>
        <w:t>XX</w:t>
      </w:r>
      <w:r w:rsidRPr="00ED0CD3">
        <w:rPr>
          <w:sz w:val="22"/>
          <w:szCs w:val="22"/>
        </w:rPr>
        <w:t xml:space="preserve">, recibiéndose en ese periodo comentarios de </w:t>
      </w:r>
      <w:r w:rsidR="006527FB" w:rsidRPr="00ED0CD3">
        <w:rPr>
          <w:sz w:val="22"/>
          <w:szCs w:val="22"/>
        </w:rPr>
        <w:t>XXX</w:t>
      </w:r>
      <w:r w:rsidRPr="00ED0CD3">
        <w:rPr>
          <w:sz w:val="22"/>
          <w:szCs w:val="22"/>
        </w:rPr>
        <w:t xml:space="preserve"> participantes. Una vez cerrada la consulta pública, se agruparon los comentarios, opiniones y manifestaciones que se encontraron relacionados entre sí, se tomaron en consideración las aplicables para hacer modificaciones y adecuaciones al Anteproyecto. El pronunciamiento de manera general respecto de los comentarios, opiniones y manifestaciones concretas recibidas se encuentra disponible en el portal de Internet del Instituto.</w:t>
      </w:r>
    </w:p>
    <w:p w14:paraId="6C47EDD8" w14:textId="77777777" w:rsidR="00201176" w:rsidRPr="00ED0CD3" w:rsidRDefault="00201176" w:rsidP="007478A6">
      <w:pPr>
        <w:pStyle w:val="Texto"/>
        <w:spacing w:after="0" w:line="276" w:lineRule="auto"/>
        <w:rPr>
          <w:sz w:val="22"/>
          <w:szCs w:val="22"/>
        </w:rPr>
      </w:pPr>
    </w:p>
    <w:p w14:paraId="1E7C71FB" w14:textId="77777777" w:rsidR="005871D1" w:rsidRPr="00ED0CD3" w:rsidRDefault="007478A6" w:rsidP="007478A6">
      <w:pPr>
        <w:pStyle w:val="Texto"/>
        <w:spacing w:after="0" w:line="276" w:lineRule="auto"/>
        <w:ind w:firstLine="0"/>
        <w:rPr>
          <w:sz w:val="22"/>
          <w:szCs w:val="22"/>
        </w:rPr>
      </w:pPr>
      <w:r w:rsidRPr="00ED0CD3">
        <w:rPr>
          <w:b/>
          <w:sz w:val="22"/>
          <w:szCs w:val="22"/>
        </w:rPr>
        <w:t xml:space="preserve">Quinto. </w:t>
      </w:r>
      <w:r w:rsidR="005871D1" w:rsidRPr="00ED0CD3">
        <w:rPr>
          <w:b/>
          <w:sz w:val="22"/>
          <w:szCs w:val="22"/>
        </w:rPr>
        <w:t xml:space="preserve">Solicitud de análisis de impacto regulatorio. </w:t>
      </w:r>
      <w:r w:rsidR="00FB2B9E" w:rsidRPr="00ED0CD3">
        <w:rPr>
          <w:sz w:val="22"/>
          <w:szCs w:val="22"/>
        </w:rPr>
        <w:t xml:space="preserve">La Unidad de Concesiones y Servicios </w:t>
      </w:r>
      <w:r w:rsidR="005871D1" w:rsidRPr="00ED0CD3">
        <w:rPr>
          <w:sz w:val="22"/>
          <w:szCs w:val="22"/>
        </w:rPr>
        <w:t>mediante of</w:t>
      </w:r>
      <w:r w:rsidR="0046109A" w:rsidRPr="00ED0CD3">
        <w:rPr>
          <w:sz w:val="22"/>
          <w:szCs w:val="22"/>
        </w:rPr>
        <w:t xml:space="preserve">icio IFTXXXXXXXXXXXXX solicitó </w:t>
      </w:r>
      <w:r w:rsidR="005871D1" w:rsidRPr="00ED0CD3">
        <w:rPr>
          <w:sz w:val="22"/>
          <w:szCs w:val="22"/>
        </w:rPr>
        <w:t>a</w:t>
      </w:r>
      <w:r w:rsidR="00FB2B9E" w:rsidRPr="00ED0CD3">
        <w:rPr>
          <w:sz w:val="22"/>
          <w:szCs w:val="22"/>
        </w:rPr>
        <w:t xml:space="preserve"> la Coordinación General de Mejora Regulatoria </w:t>
      </w:r>
      <w:r w:rsidR="00FB2B9E" w:rsidRPr="00ED0CD3">
        <w:rPr>
          <w:sz w:val="22"/>
          <w:szCs w:val="22"/>
        </w:rPr>
        <w:lastRenderedPageBreak/>
        <w:t>el Análisis de Impacto Regulatorio,</w:t>
      </w:r>
      <w:r w:rsidR="005871D1" w:rsidRPr="00ED0CD3">
        <w:rPr>
          <w:sz w:val="22"/>
          <w:szCs w:val="22"/>
        </w:rPr>
        <w:t xml:space="preserve"> respecto de la modificación de diversos artículos de los Lineamientos.</w:t>
      </w:r>
    </w:p>
    <w:p w14:paraId="272D73FD" w14:textId="77777777" w:rsidR="005871D1" w:rsidRPr="00ED0CD3" w:rsidRDefault="005871D1" w:rsidP="007478A6">
      <w:pPr>
        <w:pStyle w:val="Texto"/>
        <w:spacing w:after="0" w:line="276" w:lineRule="auto"/>
        <w:ind w:firstLine="0"/>
        <w:rPr>
          <w:sz w:val="22"/>
          <w:szCs w:val="22"/>
        </w:rPr>
      </w:pPr>
    </w:p>
    <w:p w14:paraId="15C78788" w14:textId="77777777" w:rsidR="003C0742" w:rsidRPr="00ED0CD3" w:rsidRDefault="007478A6" w:rsidP="007478A6">
      <w:pPr>
        <w:pStyle w:val="Texto"/>
        <w:spacing w:after="0" w:line="276" w:lineRule="auto"/>
        <w:ind w:firstLine="0"/>
        <w:rPr>
          <w:sz w:val="22"/>
          <w:szCs w:val="22"/>
        </w:rPr>
      </w:pPr>
      <w:r w:rsidRPr="00ED0CD3">
        <w:rPr>
          <w:b/>
          <w:sz w:val="22"/>
          <w:szCs w:val="22"/>
        </w:rPr>
        <w:t xml:space="preserve">Sexto. </w:t>
      </w:r>
      <w:r w:rsidR="003D2EF5" w:rsidRPr="00ED0CD3">
        <w:rPr>
          <w:b/>
          <w:sz w:val="22"/>
          <w:szCs w:val="22"/>
        </w:rPr>
        <w:t>Análisis de Nulo Impacto Regulatorio</w:t>
      </w:r>
      <w:r w:rsidR="003C0742" w:rsidRPr="00ED0CD3">
        <w:rPr>
          <w:b/>
          <w:sz w:val="22"/>
          <w:szCs w:val="22"/>
        </w:rPr>
        <w:t>.</w:t>
      </w:r>
      <w:r w:rsidR="003C0742" w:rsidRPr="00ED0CD3">
        <w:rPr>
          <w:sz w:val="22"/>
          <w:szCs w:val="22"/>
        </w:rPr>
        <w:t xml:space="preserve"> Con oficio IFT/211/CGMR/</w:t>
      </w:r>
      <w:r w:rsidR="003D2EF5" w:rsidRPr="00ED0CD3">
        <w:rPr>
          <w:sz w:val="22"/>
          <w:szCs w:val="22"/>
        </w:rPr>
        <w:t>XXXX</w:t>
      </w:r>
      <w:r w:rsidR="003C0742" w:rsidRPr="00ED0CD3">
        <w:rPr>
          <w:sz w:val="22"/>
          <w:szCs w:val="22"/>
        </w:rPr>
        <w:t>/</w:t>
      </w:r>
      <w:r w:rsidR="003D2EF5" w:rsidRPr="00ED0CD3">
        <w:rPr>
          <w:sz w:val="22"/>
          <w:szCs w:val="22"/>
        </w:rPr>
        <w:t>2020</w:t>
      </w:r>
      <w:r w:rsidR="003C0742" w:rsidRPr="00ED0CD3">
        <w:rPr>
          <w:sz w:val="22"/>
          <w:szCs w:val="22"/>
        </w:rPr>
        <w:t xml:space="preserve"> del </w:t>
      </w:r>
      <w:r w:rsidR="003D2EF5" w:rsidRPr="00ED0CD3">
        <w:rPr>
          <w:sz w:val="22"/>
          <w:szCs w:val="22"/>
        </w:rPr>
        <w:t>XX</w:t>
      </w:r>
      <w:r w:rsidR="003C0742" w:rsidRPr="00ED0CD3">
        <w:rPr>
          <w:sz w:val="22"/>
          <w:szCs w:val="22"/>
        </w:rPr>
        <w:t xml:space="preserve"> de </w:t>
      </w:r>
      <w:r w:rsidR="003D2EF5" w:rsidRPr="00ED0CD3">
        <w:rPr>
          <w:sz w:val="22"/>
          <w:szCs w:val="22"/>
        </w:rPr>
        <w:t>XXXXXX de 2020</w:t>
      </w:r>
      <w:r w:rsidR="003C0742" w:rsidRPr="00ED0CD3">
        <w:rPr>
          <w:sz w:val="22"/>
          <w:szCs w:val="22"/>
        </w:rPr>
        <w:t xml:space="preserve"> la Coordinación General de</w:t>
      </w:r>
      <w:r w:rsidR="00542AE6" w:rsidRPr="00ED0CD3">
        <w:rPr>
          <w:sz w:val="22"/>
          <w:szCs w:val="22"/>
        </w:rPr>
        <w:t xml:space="preserve"> </w:t>
      </w:r>
      <w:r w:rsidR="003C0742" w:rsidRPr="00ED0CD3">
        <w:rPr>
          <w:sz w:val="22"/>
          <w:szCs w:val="22"/>
        </w:rPr>
        <w:t>Mejora Regulatoria del Instituto emitió opinión no vinculante respecto del Análisis de Nulo Impacto</w:t>
      </w:r>
      <w:r w:rsidR="00542AE6" w:rsidRPr="00ED0CD3">
        <w:rPr>
          <w:sz w:val="22"/>
          <w:szCs w:val="22"/>
        </w:rPr>
        <w:t xml:space="preserve"> </w:t>
      </w:r>
      <w:r w:rsidR="003C0742" w:rsidRPr="00ED0CD3">
        <w:rPr>
          <w:sz w:val="22"/>
          <w:szCs w:val="22"/>
        </w:rPr>
        <w:t>Regulatorio. En dicha opinión señaló que el objetivo del acuerdo de mérito es reducir la carga regulatoria de</w:t>
      </w:r>
      <w:r w:rsidR="00542AE6" w:rsidRPr="00ED0CD3">
        <w:rPr>
          <w:sz w:val="22"/>
          <w:szCs w:val="22"/>
        </w:rPr>
        <w:t xml:space="preserve"> </w:t>
      </w:r>
      <w:r w:rsidR="003C0742" w:rsidRPr="00ED0CD3">
        <w:rPr>
          <w:sz w:val="22"/>
          <w:szCs w:val="22"/>
        </w:rPr>
        <w:t xml:space="preserve">aquellos </w:t>
      </w:r>
      <w:r w:rsidR="00BC257E" w:rsidRPr="00ED0CD3">
        <w:rPr>
          <w:sz w:val="22"/>
          <w:szCs w:val="22"/>
        </w:rPr>
        <w:t>Solicitantes</w:t>
      </w:r>
      <w:r w:rsidR="003C0742" w:rsidRPr="00ED0CD3">
        <w:rPr>
          <w:sz w:val="22"/>
          <w:szCs w:val="22"/>
        </w:rPr>
        <w:t xml:space="preserve"> y en su caso, </w:t>
      </w:r>
      <w:r w:rsidR="00BC257E" w:rsidRPr="00ED0CD3">
        <w:rPr>
          <w:sz w:val="22"/>
          <w:szCs w:val="22"/>
        </w:rPr>
        <w:t>Concesionarios</w:t>
      </w:r>
      <w:r w:rsidR="006C6E72" w:rsidRPr="00ED0CD3">
        <w:rPr>
          <w:sz w:val="22"/>
          <w:szCs w:val="22"/>
        </w:rPr>
        <w:t>.</w:t>
      </w:r>
    </w:p>
    <w:p w14:paraId="22A71EFC" w14:textId="77777777" w:rsidR="00201176" w:rsidRPr="00ED0CD3" w:rsidRDefault="00201176" w:rsidP="007478A6">
      <w:pPr>
        <w:pStyle w:val="Texto"/>
        <w:spacing w:after="0" w:line="276" w:lineRule="auto"/>
        <w:rPr>
          <w:sz w:val="22"/>
          <w:szCs w:val="22"/>
        </w:rPr>
      </w:pPr>
    </w:p>
    <w:p w14:paraId="005C7454" w14:textId="77777777" w:rsidR="00FB2B9E" w:rsidRPr="00ED0CD3" w:rsidRDefault="007478A6" w:rsidP="007478A6">
      <w:pPr>
        <w:pStyle w:val="ANOTACION"/>
        <w:spacing w:before="0" w:after="0" w:line="276" w:lineRule="auto"/>
        <w:rPr>
          <w:rFonts w:ascii="Arial" w:hAnsi="Arial" w:cs="Arial"/>
          <w:sz w:val="22"/>
          <w:szCs w:val="22"/>
        </w:rPr>
      </w:pPr>
      <w:r w:rsidRPr="00ED0CD3">
        <w:rPr>
          <w:rFonts w:ascii="Arial" w:hAnsi="Arial" w:cs="Arial"/>
          <w:sz w:val="22"/>
          <w:szCs w:val="22"/>
        </w:rPr>
        <w:t>Considerando</w:t>
      </w:r>
    </w:p>
    <w:p w14:paraId="75E778A1" w14:textId="77777777" w:rsidR="00201176" w:rsidRPr="00ED0CD3" w:rsidRDefault="00201176" w:rsidP="007478A6">
      <w:pPr>
        <w:pStyle w:val="ANOTACION"/>
        <w:spacing w:before="0" w:after="0" w:line="276" w:lineRule="auto"/>
        <w:rPr>
          <w:rFonts w:ascii="Arial" w:hAnsi="Arial" w:cs="Arial"/>
          <w:sz w:val="22"/>
          <w:szCs w:val="22"/>
        </w:rPr>
      </w:pPr>
    </w:p>
    <w:p w14:paraId="4C0BA895" w14:textId="77777777" w:rsidR="00FB2B9E" w:rsidRPr="00ED0CD3" w:rsidRDefault="007478A6" w:rsidP="007478A6">
      <w:pPr>
        <w:pStyle w:val="Texto"/>
        <w:spacing w:after="0" w:line="276" w:lineRule="auto"/>
        <w:ind w:firstLine="0"/>
        <w:rPr>
          <w:sz w:val="22"/>
          <w:szCs w:val="22"/>
        </w:rPr>
      </w:pPr>
      <w:r w:rsidRPr="00ED0CD3">
        <w:rPr>
          <w:b/>
          <w:sz w:val="22"/>
          <w:szCs w:val="22"/>
        </w:rPr>
        <w:t>Primero</w:t>
      </w:r>
      <w:r w:rsidR="004E6336" w:rsidRPr="00ED0CD3">
        <w:rPr>
          <w:b/>
          <w:sz w:val="22"/>
          <w:szCs w:val="22"/>
        </w:rPr>
        <w:t>.</w:t>
      </w:r>
      <w:r w:rsidR="002B35C7" w:rsidRPr="00ED0CD3">
        <w:rPr>
          <w:b/>
          <w:sz w:val="22"/>
          <w:szCs w:val="22"/>
        </w:rPr>
        <w:t xml:space="preserve"> Competencia</w:t>
      </w:r>
      <w:r w:rsidRPr="00ED0CD3">
        <w:rPr>
          <w:b/>
          <w:sz w:val="22"/>
          <w:szCs w:val="22"/>
        </w:rPr>
        <w:t xml:space="preserve"> del Instituto</w:t>
      </w:r>
      <w:r w:rsidR="002B35C7" w:rsidRPr="00ED0CD3">
        <w:rPr>
          <w:b/>
          <w:sz w:val="22"/>
          <w:szCs w:val="22"/>
        </w:rPr>
        <w:t>.</w:t>
      </w:r>
      <w:r w:rsidR="00FB2B9E" w:rsidRPr="00ED0CD3">
        <w:rPr>
          <w:sz w:val="22"/>
          <w:szCs w:val="22"/>
        </w:rPr>
        <w:t xml:space="preserve"> De conformidad con el artículo 28, párrafo décimo quinto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w:t>
      </w:r>
    </w:p>
    <w:p w14:paraId="764F3A29" w14:textId="77777777" w:rsidR="00723678" w:rsidRPr="00ED0CD3" w:rsidRDefault="00723678" w:rsidP="007478A6">
      <w:pPr>
        <w:pStyle w:val="Texto"/>
        <w:spacing w:after="0" w:line="276" w:lineRule="auto"/>
        <w:rPr>
          <w:sz w:val="22"/>
          <w:szCs w:val="22"/>
        </w:rPr>
      </w:pPr>
    </w:p>
    <w:p w14:paraId="58773586" w14:textId="77777777" w:rsidR="00FB2B9E" w:rsidRPr="00ED0CD3" w:rsidRDefault="00FB2B9E" w:rsidP="007478A6">
      <w:pPr>
        <w:pStyle w:val="Texto"/>
        <w:spacing w:after="0" w:line="276" w:lineRule="auto"/>
        <w:ind w:firstLine="0"/>
        <w:rPr>
          <w:sz w:val="22"/>
          <w:szCs w:val="22"/>
        </w:rPr>
      </w:pPr>
      <w:r w:rsidRPr="00ED0CD3">
        <w:rPr>
          <w:sz w:val="22"/>
          <w:szCs w:val="22"/>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Ley Federal de Telecomunicaciones y Radiodifusión (en lo sucesivo, la “Ley”), garantizando lo establecido en los artículos 6° y 7° de la Constitución.</w:t>
      </w:r>
    </w:p>
    <w:p w14:paraId="704D2E9E" w14:textId="77777777" w:rsidR="00723678" w:rsidRPr="00ED0CD3" w:rsidRDefault="00723678" w:rsidP="007478A6">
      <w:pPr>
        <w:pStyle w:val="Texto"/>
        <w:spacing w:after="0" w:line="276" w:lineRule="auto"/>
        <w:rPr>
          <w:sz w:val="22"/>
          <w:szCs w:val="22"/>
        </w:rPr>
      </w:pPr>
    </w:p>
    <w:p w14:paraId="5C02548A" w14:textId="77777777" w:rsidR="00FB2B9E" w:rsidRPr="00ED0CD3" w:rsidRDefault="00FB2B9E" w:rsidP="007478A6">
      <w:pPr>
        <w:pStyle w:val="Texto"/>
        <w:spacing w:after="0" w:line="276" w:lineRule="auto"/>
        <w:ind w:firstLine="0"/>
        <w:rPr>
          <w:sz w:val="22"/>
          <w:szCs w:val="22"/>
        </w:rPr>
      </w:pPr>
      <w:r w:rsidRPr="00ED0CD3">
        <w:rPr>
          <w:sz w:val="22"/>
          <w:szCs w:val="22"/>
        </w:rPr>
        <w:t>Asimismo, el párrafo décimo sexto del artículo 28 de la Constitución establece que el Instituto es también la autoridad en materia de competencia económica de los sectores de radiodifusión y telecomunicaciones, por lo que en éstos ejercerá en forma exclusiva las facultades del artículo 28 de la Constitución, la Ley y la Ley Federal de Competencia Económica.</w:t>
      </w:r>
    </w:p>
    <w:p w14:paraId="607216C3" w14:textId="77777777" w:rsidR="00723678" w:rsidRPr="00ED0CD3" w:rsidRDefault="00723678" w:rsidP="007478A6">
      <w:pPr>
        <w:pStyle w:val="Texto"/>
        <w:spacing w:after="0" w:line="276" w:lineRule="auto"/>
        <w:ind w:firstLine="0"/>
        <w:rPr>
          <w:sz w:val="22"/>
          <w:szCs w:val="22"/>
        </w:rPr>
      </w:pPr>
    </w:p>
    <w:p w14:paraId="13E00E82" w14:textId="77777777" w:rsidR="001C7114" w:rsidRPr="00ED0CD3" w:rsidRDefault="001C7114" w:rsidP="007478A6">
      <w:pPr>
        <w:pStyle w:val="Texto"/>
        <w:spacing w:after="0" w:line="276" w:lineRule="auto"/>
        <w:ind w:firstLine="0"/>
        <w:rPr>
          <w:sz w:val="22"/>
          <w:szCs w:val="22"/>
        </w:rPr>
      </w:pPr>
      <w:r w:rsidRPr="00ED0CD3">
        <w:rPr>
          <w:sz w:val="22"/>
          <w:szCs w:val="22"/>
        </w:rPr>
        <w:t>El artículo 15, fracciones I y LVI de la Ley señala que corresponde al Instituto aprobar y expedir lineamientos en materia de telecomunicaciones y radiodifusión y disposiciones administrativas de carácter general necesarias para el debido ejercicio de sus facultades y atribuciones.</w:t>
      </w:r>
    </w:p>
    <w:p w14:paraId="159958A3" w14:textId="77777777" w:rsidR="001C7114" w:rsidRPr="00ED0CD3" w:rsidRDefault="001C7114" w:rsidP="007478A6">
      <w:pPr>
        <w:pStyle w:val="Texto"/>
        <w:spacing w:after="0" w:line="276" w:lineRule="auto"/>
        <w:ind w:firstLine="0"/>
        <w:rPr>
          <w:sz w:val="22"/>
          <w:szCs w:val="22"/>
        </w:rPr>
      </w:pPr>
    </w:p>
    <w:p w14:paraId="36EA1CAA" w14:textId="62BCBE56" w:rsidR="00FB2B9E" w:rsidRPr="00ED0CD3" w:rsidRDefault="001C7114" w:rsidP="007478A6">
      <w:pPr>
        <w:pStyle w:val="Texto"/>
        <w:spacing w:after="0" w:line="276" w:lineRule="auto"/>
        <w:ind w:firstLine="0"/>
        <w:rPr>
          <w:sz w:val="22"/>
          <w:szCs w:val="22"/>
        </w:rPr>
      </w:pPr>
      <w:r w:rsidRPr="00ED0CD3">
        <w:rPr>
          <w:sz w:val="22"/>
          <w:szCs w:val="22"/>
        </w:rPr>
        <w:t xml:space="preserve">Por lo anterior y con fundamento en los artículos 6o. y 28, párrafos décimo quinto y décimo sexto de la Constitución; 1, 2, 7, 15 fracción I y LVI, 17 fracción I de la Ley y 1, 4 fracción I y 6 fracción I del Estatuto Orgánico, el Pleno del Instituto es competente para emitir el presente </w:t>
      </w:r>
      <w:r w:rsidR="00FB2B9E" w:rsidRPr="00ED0CD3">
        <w:rPr>
          <w:sz w:val="22"/>
          <w:szCs w:val="22"/>
        </w:rPr>
        <w:t xml:space="preserve">Acuerdo </w:t>
      </w:r>
      <w:r w:rsidR="00723678" w:rsidRPr="00ED0CD3">
        <w:rPr>
          <w:sz w:val="22"/>
          <w:szCs w:val="22"/>
        </w:rPr>
        <w:t xml:space="preserve">que modifica </w:t>
      </w:r>
      <w:r w:rsidR="00FB2B9E" w:rsidRPr="00ED0CD3">
        <w:rPr>
          <w:sz w:val="22"/>
          <w:szCs w:val="22"/>
        </w:rPr>
        <w:t>los Lineamientos.</w:t>
      </w:r>
    </w:p>
    <w:p w14:paraId="4E5A691E" w14:textId="77777777" w:rsidR="00723678" w:rsidRPr="00ED0CD3" w:rsidRDefault="00723678" w:rsidP="007478A6">
      <w:pPr>
        <w:pStyle w:val="Texto"/>
        <w:spacing w:after="0" w:line="276" w:lineRule="auto"/>
        <w:rPr>
          <w:sz w:val="22"/>
          <w:szCs w:val="22"/>
        </w:rPr>
      </w:pPr>
    </w:p>
    <w:p w14:paraId="7D7F890C" w14:textId="77777777" w:rsidR="00A60CDD" w:rsidRPr="00ED0CD3" w:rsidRDefault="007478A6" w:rsidP="007478A6">
      <w:pPr>
        <w:pStyle w:val="Texto"/>
        <w:spacing w:after="0" w:line="276" w:lineRule="auto"/>
        <w:ind w:firstLine="0"/>
        <w:rPr>
          <w:sz w:val="22"/>
          <w:szCs w:val="22"/>
        </w:rPr>
      </w:pPr>
      <w:r w:rsidRPr="00ED0CD3">
        <w:rPr>
          <w:b/>
          <w:sz w:val="22"/>
          <w:szCs w:val="22"/>
        </w:rPr>
        <w:t>Segundo</w:t>
      </w:r>
      <w:r w:rsidR="004E6336" w:rsidRPr="00ED0CD3">
        <w:rPr>
          <w:b/>
          <w:sz w:val="22"/>
          <w:szCs w:val="22"/>
        </w:rPr>
        <w:t>.</w:t>
      </w:r>
      <w:r w:rsidR="00FB2B9E" w:rsidRPr="00ED0CD3">
        <w:rPr>
          <w:b/>
          <w:sz w:val="22"/>
          <w:szCs w:val="22"/>
        </w:rPr>
        <w:t xml:space="preserve"> </w:t>
      </w:r>
      <w:r w:rsidR="001A7A35" w:rsidRPr="00ED0CD3">
        <w:rPr>
          <w:b/>
          <w:sz w:val="22"/>
          <w:szCs w:val="22"/>
        </w:rPr>
        <w:t>Concesiones para uso público y social</w:t>
      </w:r>
      <w:r w:rsidR="00F6538A" w:rsidRPr="00ED0CD3">
        <w:rPr>
          <w:sz w:val="22"/>
          <w:szCs w:val="22"/>
        </w:rPr>
        <w:t xml:space="preserve">. </w:t>
      </w:r>
      <w:r w:rsidR="00A60CDD" w:rsidRPr="00ED0CD3">
        <w:rPr>
          <w:sz w:val="22"/>
          <w:szCs w:val="22"/>
        </w:rPr>
        <w:t xml:space="preserve">El artículo 76 de la </w:t>
      </w:r>
      <w:r w:rsidR="006B59AA" w:rsidRPr="00ED0CD3">
        <w:rPr>
          <w:sz w:val="22"/>
          <w:szCs w:val="22"/>
        </w:rPr>
        <w:t xml:space="preserve">Ley establece </w:t>
      </w:r>
      <w:r w:rsidR="00A60CDD" w:rsidRPr="00ED0CD3">
        <w:rPr>
          <w:sz w:val="22"/>
          <w:szCs w:val="22"/>
        </w:rPr>
        <w:t>las concesiones para usar, aprovechar y explotar bandas de frecuencia del espectro radioeléctrico, las cuales de acuerdo a sus fines serán entre otras</w:t>
      </w:r>
      <w:r w:rsidR="00934A55" w:rsidRPr="00ED0CD3">
        <w:rPr>
          <w:sz w:val="22"/>
          <w:szCs w:val="22"/>
        </w:rPr>
        <w:t>, para uso público y social, tal como se desprende de la siguiente transcripción</w:t>
      </w:r>
      <w:r w:rsidR="00A60CDD" w:rsidRPr="00ED0CD3">
        <w:rPr>
          <w:sz w:val="22"/>
          <w:szCs w:val="22"/>
        </w:rPr>
        <w:t>:</w:t>
      </w:r>
    </w:p>
    <w:p w14:paraId="20B999CE" w14:textId="77777777" w:rsidR="00A60CDD" w:rsidRPr="00ED0CD3" w:rsidRDefault="00A60CDD" w:rsidP="007478A6">
      <w:pPr>
        <w:pStyle w:val="Texto"/>
        <w:spacing w:after="0" w:line="276" w:lineRule="auto"/>
        <w:ind w:firstLine="0"/>
        <w:rPr>
          <w:sz w:val="22"/>
          <w:szCs w:val="22"/>
        </w:rPr>
      </w:pPr>
    </w:p>
    <w:p w14:paraId="0B4E44D6" w14:textId="77777777" w:rsidR="00A60CDD" w:rsidRPr="00ED0CD3" w:rsidRDefault="007478A6" w:rsidP="007478A6">
      <w:pPr>
        <w:pStyle w:val="Cita"/>
        <w:spacing w:before="0" w:after="0"/>
        <w:ind w:left="862" w:right="862"/>
        <w:jc w:val="both"/>
        <w:rPr>
          <w:rFonts w:ascii="Arial" w:eastAsiaTheme="minorHAnsi" w:hAnsi="Arial" w:cs="Arial"/>
          <w:color w:val="auto"/>
          <w:sz w:val="20"/>
          <w:szCs w:val="20"/>
          <w:lang w:val="es-MX" w:eastAsia="en-US"/>
        </w:rPr>
      </w:pPr>
      <w:r w:rsidRPr="00ED0CD3">
        <w:rPr>
          <w:rFonts w:ascii="Arial" w:eastAsiaTheme="minorHAnsi" w:hAnsi="Arial" w:cs="Arial"/>
          <w:b/>
          <w:bCs/>
          <w:color w:val="auto"/>
          <w:sz w:val="20"/>
          <w:szCs w:val="20"/>
          <w:lang w:val="es-MX" w:eastAsia="en-US"/>
        </w:rPr>
        <w:lastRenderedPageBreak/>
        <w:t>“</w:t>
      </w:r>
      <w:r w:rsidR="00A60CDD" w:rsidRPr="00ED0CD3">
        <w:rPr>
          <w:rFonts w:ascii="Arial" w:eastAsiaTheme="minorHAnsi" w:hAnsi="Arial" w:cs="Arial"/>
          <w:b/>
          <w:bCs/>
          <w:color w:val="auto"/>
          <w:sz w:val="20"/>
          <w:szCs w:val="20"/>
          <w:lang w:val="es-MX" w:eastAsia="en-US"/>
        </w:rPr>
        <w:t xml:space="preserve">Artículo 76. </w:t>
      </w:r>
      <w:r w:rsidR="00A60CDD" w:rsidRPr="00ED0CD3">
        <w:rPr>
          <w:rFonts w:ascii="Arial" w:eastAsiaTheme="minorHAnsi" w:hAnsi="Arial" w:cs="Arial"/>
          <w:color w:val="auto"/>
          <w:sz w:val="20"/>
          <w:szCs w:val="20"/>
          <w:lang w:val="es-MX" w:eastAsia="en-US"/>
        </w:rPr>
        <w:t>De acuerdo con sus fines, las concesiones a que se refiere este capítulo serán:</w:t>
      </w:r>
    </w:p>
    <w:p w14:paraId="54B386C7" w14:textId="77777777" w:rsidR="00A60CDD" w:rsidRPr="00ED0CD3" w:rsidRDefault="00A60CDD" w:rsidP="007478A6">
      <w:pPr>
        <w:pStyle w:val="Cita"/>
        <w:spacing w:before="0" w:after="0"/>
        <w:ind w:left="862" w:right="862"/>
        <w:jc w:val="both"/>
        <w:rPr>
          <w:rFonts w:ascii="Arial" w:eastAsiaTheme="minorHAnsi" w:hAnsi="Arial" w:cs="Arial"/>
          <w:b/>
          <w:bCs/>
          <w:color w:val="auto"/>
          <w:sz w:val="20"/>
          <w:szCs w:val="20"/>
          <w:lang w:val="es-MX" w:eastAsia="en-US"/>
        </w:rPr>
      </w:pPr>
      <w:r w:rsidRPr="00ED0CD3">
        <w:rPr>
          <w:rFonts w:ascii="Arial" w:eastAsiaTheme="minorHAnsi" w:hAnsi="Arial" w:cs="Arial"/>
          <w:b/>
          <w:bCs/>
          <w:color w:val="auto"/>
          <w:sz w:val="20"/>
          <w:szCs w:val="20"/>
          <w:lang w:val="es-MX" w:eastAsia="en-US"/>
        </w:rPr>
        <w:t>…</w:t>
      </w:r>
    </w:p>
    <w:p w14:paraId="0646739D" w14:textId="77777777" w:rsidR="00A60CDD" w:rsidRPr="00ED0CD3" w:rsidRDefault="00A60CDD" w:rsidP="007478A6">
      <w:pPr>
        <w:pStyle w:val="Cita"/>
        <w:spacing w:before="0" w:after="0"/>
        <w:ind w:left="862" w:right="862"/>
        <w:jc w:val="both"/>
        <w:rPr>
          <w:rFonts w:ascii="Arial" w:eastAsiaTheme="minorHAnsi" w:hAnsi="Arial" w:cs="Arial"/>
          <w:color w:val="auto"/>
          <w:sz w:val="20"/>
          <w:szCs w:val="20"/>
          <w:lang w:val="es-MX" w:eastAsia="en-US"/>
        </w:rPr>
      </w:pPr>
      <w:r w:rsidRPr="00ED0CD3">
        <w:rPr>
          <w:rFonts w:ascii="Arial" w:eastAsiaTheme="minorHAnsi" w:hAnsi="Arial" w:cs="Arial"/>
          <w:b/>
          <w:bCs/>
          <w:color w:val="auto"/>
          <w:sz w:val="20"/>
          <w:szCs w:val="20"/>
          <w:lang w:val="es-MX" w:eastAsia="en-US"/>
        </w:rPr>
        <w:t xml:space="preserve">II. Para uso público: </w:t>
      </w:r>
      <w:r w:rsidRPr="00ED0CD3">
        <w:rPr>
          <w:rFonts w:ascii="Arial" w:eastAsiaTheme="minorHAnsi" w:hAnsi="Arial" w:cs="Arial"/>
          <w:color w:val="auto"/>
          <w:sz w:val="20"/>
          <w:szCs w:val="20"/>
          <w:lang w:val="es-MX" w:eastAsia="en-US"/>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14:paraId="57CDF00D" w14:textId="77777777" w:rsidR="004E37D6" w:rsidRPr="00ED0CD3" w:rsidRDefault="004E37D6" w:rsidP="004E37D6">
      <w:pPr>
        <w:rPr>
          <w:rFonts w:eastAsiaTheme="minorHAnsi"/>
          <w:lang w:val="es-MX" w:eastAsia="en-US"/>
        </w:rPr>
      </w:pPr>
    </w:p>
    <w:p w14:paraId="127F0E66" w14:textId="77777777" w:rsidR="00A60CDD" w:rsidRPr="00ED0CD3" w:rsidRDefault="00A60CDD" w:rsidP="007478A6">
      <w:pPr>
        <w:pStyle w:val="Cita"/>
        <w:spacing w:before="0" w:after="0"/>
        <w:ind w:left="862" w:right="862"/>
        <w:jc w:val="both"/>
        <w:rPr>
          <w:rFonts w:ascii="Arial" w:eastAsiaTheme="minorHAnsi" w:hAnsi="Arial" w:cs="Arial"/>
          <w:color w:val="auto"/>
          <w:sz w:val="20"/>
          <w:szCs w:val="20"/>
          <w:lang w:val="es-MX" w:eastAsia="en-US"/>
        </w:rPr>
      </w:pPr>
      <w:r w:rsidRPr="00ED0CD3">
        <w:rPr>
          <w:rFonts w:ascii="Arial" w:eastAsiaTheme="minorHAnsi" w:hAnsi="Arial" w:cs="Arial"/>
          <w:color w:val="auto"/>
          <w:sz w:val="20"/>
          <w:szCs w:val="20"/>
          <w:lang w:val="es-MX" w:eastAsia="en-US"/>
        </w:rPr>
        <w:t>Bajo este tipo de concesiones se incluyen a los concesionarios o permisionarios de servicios públicos, distintos a los de telecomunicaciones o de radiodifusión, cuando éstas sean necesarias para la operación y seguridad del servicio de que se trate.</w:t>
      </w:r>
    </w:p>
    <w:p w14:paraId="2F581335" w14:textId="77777777" w:rsidR="00A60CDD" w:rsidRPr="00ED0CD3" w:rsidRDefault="00A60CDD" w:rsidP="007478A6">
      <w:pPr>
        <w:pStyle w:val="Cita"/>
        <w:spacing w:before="0" w:after="0"/>
        <w:ind w:left="862" w:right="862"/>
        <w:jc w:val="both"/>
        <w:rPr>
          <w:rFonts w:ascii="Arial" w:eastAsiaTheme="minorHAnsi" w:hAnsi="Arial" w:cs="Arial"/>
          <w:color w:val="auto"/>
          <w:sz w:val="20"/>
          <w:szCs w:val="20"/>
          <w:lang w:val="es-MX" w:eastAsia="en-US"/>
        </w:rPr>
      </w:pPr>
      <w:r w:rsidRPr="00ED0CD3">
        <w:rPr>
          <w:rFonts w:ascii="Arial" w:eastAsiaTheme="minorHAnsi" w:hAnsi="Arial" w:cs="Arial"/>
          <w:color w:val="auto"/>
          <w:sz w:val="20"/>
          <w:szCs w:val="20"/>
          <w:lang w:val="es-MX" w:eastAsia="en-US"/>
        </w:rPr>
        <w:t>En este tipo de concesiones no se podrán usar, aprovechar o explotar con fines de lucro, bandas de frecuencias del espectro radioeléctrico de uso determinado o para la ocupación o explotación de recursos orbitales, de lo contrario deberán obtener una concesión para uso comercial;</w:t>
      </w:r>
    </w:p>
    <w:p w14:paraId="60E59BEA" w14:textId="77777777" w:rsidR="00A60CDD" w:rsidRPr="00ED0CD3" w:rsidRDefault="00A60CDD" w:rsidP="007478A6">
      <w:pPr>
        <w:pStyle w:val="Cita"/>
        <w:spacing w:before="0" w:after="0"/>
        <w:ind w:left="862" w:right="862"/>
        <w:jc w:val="both"/>
        <w:rPr>
          <w:rFonts w:ascii="Arial" w:eastAsiaTheme="minorHAnsi" w:hAnsi="Arial" w:cs="Arial"/>
          <w:color w:val="auto"/>
          <w:sz w:val="20"/>
          <w:szCs w:val="20"/>
          <w:lang w:val="es-MX" w:eastAsia="en-US"/>
        </w:rPr>
      </w:pPr>
      <w:r w:rsidRPr="00ED0CD3">
        <w:rPr>
          <w:rFonts w:ascii="Arial" w:eastAsiaTheme="minorHAnsi" w:hAnsi="Arial" w:cs="Arial"/>
          <w:color w:val="auto"/>
          <w:sz w:val="20"/>
          <w:szCs w:val="20"/>
          <w:lang w:val="es-MX" w:eastAsia="en-US"/>
        </w:rPr>
        <w:t>…</w:t>
      </w:r>
    </w:p>
    <w:p w14:paraId="639B3AAB" w14:textId="77777777" w:rsidR="004E37D6" w:rsidRPr="00ED0CD3" w:rsidRDefault="004E37D6" w:rsidP="004E37D6">
      <w:pPr>
        <w:rPr>
          <w:rFonts w:eastAsiaTheme="minorHAnsi"/>
          <w:lang w:val="es-MX" w:eastAsia="en-US"/>
        </w:rPr>
      </w:pPr>
    </w:p>
    <w:p w14:paraId="5526AA15" w14:textId="77777777" w:rsidR="00A60CDD" w:rsidRPr="00ED0CD3" w:rsidRDefault="00A60CDD" w:rsidP="007478A6">
      <w:pPr>
        <w:pStyle w:val="Cita"/>
        <w:spacing w:before="0" w:after="0"/>
        <w:ind w:left="862" w:right="862"/>
        <w:jc w:val="both"/>
        <w:rPr>
          <w:rFonts w:ascii="Arial" w:eastAsiaTheme="minorHAnsi" w:hAnsi="Arial" w:cs="Arial"/>
          <w:color w:val="auto"/>
          <w:sz w:val="20"/>
          <w:szCs w:val="20"/>
          <w:lang w:val="es-MX" w:eastAsia="en-US"/>
        </w:rPr>
      </w:pPr>
      <w:r w:rsidRPr="00ED0CD3">
        <w:rPr>
          <w:rFonts w:ascii="Arial" w:eastAsiaTheme="minorHAnsi" w:hAnsi="Arial" w:cs="Arial"/>
          <w:b/>
          <w:bCs/>
          <w:color w:val="auto"/>
          <w:sz w:val="20"/>
          <w:szCs w:val="20"/>
          <w:lang w:val="es-MX" w:eastAsia="en-US"/>
        </w:rPr>
        <w:t xml:space="preserve">IV. Para uso social: </w:t>
      </w:r>
      <w:r w:rsidRPr="00ED0CD3">
        <w:rPr>
          <w:rFonts w:ascii="Arial" w:eastAsiaTheme="minorHAnsi" w:hAnsi="Arial" w:cs="Arial"/>
          <w:color w:val="auto"/>
          <w:sz w:val="20"/>
          <w:szCs w:val="20"/>
          <w:lang w:val="es-MX" w:eastAsia="en-US"/>
        </w:rPr>
        <w:t>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 Quedan comprendidos en esta categoría los medios comunitarios e indígenas referidos en el artículo 67, fracción IV, así como las instituciones de educación superior de carácter privado.</w:t>
      </w:r>
      <w:r w:rsidR="007478A6" w:rsidRPr="00ED0CD3">
        <w:rPr>
          <w:rFonts w:ascii="Arial" w:eastAsiaTheme="minorHAnsi" w:hAnsi="Arial" w:cs="Arial"/>
          <w:color w:val="auto"/>
          <w:sz w:val="20"/>
          <w:szCs w:val="20"/>
          <w:lang w:val="es-MX" w:eastAsia="en-US"/>
        </w:rPr>
        <w:t>”</w:t>
      </w:r>
    </w:p>
    <w:p w14:paraId="4757BA0D" w14:textId="77777777" w:rsidR="00A60CDD" w:rsidRPr="00ED0CD3" w:rsidRDefault="00A60CDD" w:rsidP="007478A6">
      <w:pPr>
        <w:pStyle w:val="Texto"/>
        <w:spacing w:after="0" w:line="276" w:lineRule="auto"/>
        <w:ind w:firstLine="0"/>
        <w:rPr>
          <w:sz w:val="22"/>
          <w:szCs w:val="22"/>
        </w:rPr>
      </w:pPr>
    </w:p>
    <w:p w14:paraId="0B895713" w14:textId="77777777" w:rsidR="00AD5C08" w:rsidRPr="00ED0CD3" w:rsidRDefault="008C6073" w:rsidP="007478A6">
      <w:pPr>
        <w:pStyle w:val="Texto"/>
        <w:spacing w:after="0" w:line="276" w:lineRule="auto"/>
        <w:ind w:firstLine="0"/>
        <w:rPr>
          <w:sz w:val="22"/>
          <w:szCs w:val="22"/>
        </w:rPr>
      </w:pPr>
      <w:r w:rsidRPr="00ED0CD3">
        <w:rPr>
          <w:sz w:val="22"/>
          <w:szCs w:val="22"/>
        </w:rPr>
        <w:t xml:space="preserve">En este sentido, los artículos 83 y 85 de la Ley establecen que las concesiones para uso público y social se podrán otorgar a través del procedimiento de asignación directa y bajo estas modalidades no se podrán prestar servicios con fines de lucro, ni compartir el espectro radioeléctrico con terceros. </w:t>
      </w:r>
      <w:r w:rsidR="007478A6" w:rsidRPr="00ED0CD3">
        <w:rPr>
          <w:sz w:val="22"/>
          <w:szCs w:val="22"/>
        </w:rPr>
        <w:t>Asimismo,</w:t>
      </w:r>
      <w:r w:rsidRPr="00ED0CD3">
        <w:rPr>
          <w:sz w:val="22"/>
          <w:szCs w:val="22"/>
        </w:rPr>
        <w:t xml:space="preserve"> señala los</w:t>
      </w:r>
      <w:r w:rsidR="007478A6" w:rsidRPr="00ED0CD3">
        <w:rPr>
          <w:sz w:val="22"/>
          <w:szCs w:val="22"/>
        </w:rPr>
        <w:t xml:space="preserve"> requisitos que deberán cumplir</w:t>
      </w:r>
      <w:r w:rsidRPr="00ED0CD3">
        <w:rPr>
          <w:sz w:val="22"/>
          <w:szCs w:val="22"/>
        </w:rPr>
        <w:t xml:space="preserve"> para el otorgamiento de una concesión.</w:t>
      </w:r>
      <w:r w:rsidR="006C6E72" w:rsidRPr="00ED0CD3">
        <w:rPr>
          <w:sz w:val="22"/>
          <w:szCs w:val="22"/>
        </w:rPr>
        <w:t xml:space="preserve"> </w:t>
      </w:r>
      <w:r w:rsidR="00AD5C08" w:rsidRPr="00ED0CD3">
        <w:rPr>
          <w:sz w:val="22"/>
          <w:szCs w:val="22"/>
        </w:rPr>
        <w:t>En el propio artículo 85, se establece que el Instituto está obligado a prestar asistencia técnica a concesiones comunitarias e indígenas para facilitar el cumplimiento de dichos requisitos.</w:t>
      </w:r>
    </w:p>
    <w:p w14:paraId="2EDE18EB" w14:textId="77777777" w:rsidR="008C6073" w:rsidRPr="00ED0CD3" w:rsidRDefault="008C6073" w:rsidP="007478A6">
      <w:pPr>
        <w:pStyle w:val="Texto"/>
        <w:spacing w:after="0" w:line="276" w:lineRule="auto"/>
        <w:ind w:firstLine="0"/>
        <w:rPr>
          <w:sz w:val="22"/>
          <w:szCs w:val="22"/>
        </w:rPr>
      </w:pPr>
    </w:p>
    <w:p w14:paraId="196EBEDF" w14:textId="77777777" w:rsidR="008C6073" w:rsidRPr="00ED0CD3" w:rsidRDefault="007478A6" w:rsidP="007478A6">
      <w:pPr>
        <w:pStyle w:val="Texto"/>
        <w:spacing w:after="0" w:line="276" w:lineRule="auto"/>
        <w:ind w:firstLine="0"/>
        <w:rPr>
          <w:sz w:val="22"/>
          <w:szCs w:val="22"/>
        </w:rPr>
      </w:pPr>
      <w:r w:rsidRPr="00ED0CD3">
        <w:rPr>
          <w:sz w:val="22"/>
          <w:szCs w:val="22"/>
        </w:rPr>
        <w:t>De igual forma</w:t>
      </w:r>
      <w:r w:rsidR="008C6073" w:rsidRPr="00ED0CD3">
        <w:rPr>
          <w:sz w:val="22"/>
          <w:szCs w:val="22"/>
        </w:rPr>
        <w:t xml:space="preserve">, el Instituto en cumplimiento al antepenúltimo párrafo del artículo 85, emitió los Lineamientos en que se establecieron los términos para la acreditación los requisitos previstos en la Ley. </w:t>
      </w:r>
    </w:p>
    <w:p w14:paraId="489D4023" w14:textId="77777777" w:rsidR="008C6073" w:rsidRPr="00ED0CD3" w:rsidRDefault="008C6073" w:rsidP="007478A6">
      <w:pPr>
        <w:pStyle w:val="Texto"/>
        <w:spacing w:after="0" w:line="276" w:lineRule="auto"/>
        <w:ind w:firstLine="0"/>
        <w:rPr>
          <w:sz w:val="22"/>
          <w:szCs w:val="22"/>
        </w:rPr>
      </w:pPr>
    </w:p>
    <w:p w14:paraId="53B2515C" w14:textId="77777777" w:rsidR="00B24694" w:rsidRPr="00ED0CD3" w:rsidRDefault="008C6073" w:rsidP="007478A6">
      <w:pPr>
        <w:pStyle w:val="Texto"/>
        <w:spacing w:after="0" w:line="276" w:lineRule="auto"/>
        <w:ind w:firstLine="0"/>
        <w:rPr>
          <w:sz w:val="22"/>
          <w:szCs w:val="22"/>
        </w:rPr>
      </w:pPr>
      <w:r w:rsidRPr="00ED0CD3">
        <w:rPr>
          <w:sz w:val="22"/>
          <w:szCs w:val="22"/>
        </w:rPr>
        <w:t>Ahora bien,</w:t>
      </w:r>
      <w:r w:rsidR="006B59AA" w:rsidRPr="00ED0CD3">
        <w:rPr>
          <w:sz w:val="22"/>
          <w:szCs w:val="22"/>
        </w:rPr>
        <w:t xml:space="preserve"> la Ley</w:t>
      </w:r>
      <w:r w:rsidR="00B12FD4" w:rsidRPr="00ED0CD3">
        <w:rPr>
          <w:sz w:val="22"/>
          <w:szCs w:val="22"/>
        </w:rPr>
        <w:t xml:space="preserve"> y los Lineamientos</w:t>
      </w:r>
      <w:r w:rsidR="006B59AA" w:rsidRPr="00ED0CD3">
        <w:rPr>
          <w:sz w:val="22"/>
          <w:szCs w:val="22"/>
        </w:rPr>
        <w:t xml:space="preserve"> establece</w:t>
      </w:r>
      <w:r w:rsidR="00B12FD4" w:rsidRPr="00ED0CD3">
        <w:rPr>
          <w:sz w:val="22"/>
          <w:szCs w:val="22"/>
        </w:rPr>
        <w:t>n</w:t>
      </w:r>
      <w:r w:rsidR="006B59AA" w:rsidRPr="00ED0CD3">
        <w:rPr>
          <w:sz w:val="22"/>
          <w:szCs w:val="22"/>
        </w:rPr>
        <w:t xml:space="preserve"> de manera general los requisitos que deben cumplir los interesados en obtener concesión única, o en su caso, concesiones sobre espectro radioeléctri</w:t>
      </w:r>
      <w:r w:rsidR="00ED237F" w:rsidRPr="00ED0CD3">
        <w:rPr>
          <w:sz w:val="22"/>
          <w:szCs w:val="22"/>
        </w:rPr>
        <w:t xml:space="preserve">co, </w:t>
      </w:r>
      <w:r w:rsidR="00B24694" w:rsidRPr="00ED0CD3">
        <w:rPr>
          <w:sz w:val="22"/>
          <w:szCs w:val="22"/>
        </w:rPr>
        <w:t>result</w:t>
      </w:r>
      <w:r w:rsidRPr="00ED0CD3">
        <w:rPr>
          <w:sz w:val="22"/>
          <w:szCs w:val="22"/>
        </w:rPr>
        <w:t>a</w:t>
      </w:r>
      <w:r w:rsidR="00B24694" w:rsidRPr="00ED0CD3">
        <w:rPr>
          <w:sz w:val="22"/>
          <w:szCs w:val="22"/>
        </w:rPr>
        <w:t xml:space="preserve"> necesario</w:t>
      </w:r>
      <w:r w:rsidR="00B12FD4" w:rsidRPr="00ED0CD3">
        <w:rPr>
          <w:sz w:val="22"/>
          <w:szCs w:val="22"/>
        </w:rPr>
        <w:t xml:space="preserve"> </w:t>
      </w:r>
      <w:r w:rsidR="00B24694" w:rsidRPr="00ED0CD3">
        <w:rPr>
          <w:sz w:val="22"/>
          <w:szCs w:val="22"/>
        </w:rPr>
        <w:t xml:space="preserve">establecer de manera clara y precisa los términos en que deben acreditarse dichos requisitos, así como los procesos que se deben seguir para obtener cada una de las concesiones. </w:t>
      </w:r>
    </w:p>
    <w:p w14:paraId="7AE81DAB" w14:textId="77777777" w:rsidR="00B24694" w:rsidRPr="00ED0CD3" w:rsidRDefault="00B24694" w:rsidP="00DF74F2">
      <w:pPr>
        <w:pStyle w:val="Texto"/>
        <w:spacing w:after="0" w:line="276" w:lineRule="auto"/>
        <w:ind w:firstLine="0"/>
        <w:rPr>
          <w:sz w:val="22"/>
          <w:szCs w:val="22"/>
        </w:rPr>
      </w:pPr>
    </w:p>
    <w:p w14:paraId="35C734DD" w14:textId="77777777" w:rsidR="00F6538A" w:rsidRPr="00ED0CD3" w:rsidRDefault="00F6538A" w:rsidP="007478A6">
      <w:pPr>
        <w:pStyle w:val="Default"/>
        <w:spacing w:line="276" w:lineRule="auto"/>
        <w:ind w:right="48"/>
        <w:jc w:val="both"/>
        <w:rPr>
          <w:color w:val="auto"/>
          <w:sz w:val="22"/>
          <w:szCs w:val="22"/>
        </w:rPr>
      </w:pPr>
      <w:r w:rsidRPr="00ED0CD3">
        <w:rPr>
          <w:color w:val="auto"/>
          <w:sz w:val="22"/>
          <w:szCs w:val="22"/>
        </w:rPr>
        <w:t xml:space="preserve">Asimismo, el artículo 86 de la referida Ley ordena lo siguiente: </w:t>
      </w:r>
    </w:p>
    <w:p w14:paraId="3643D2FC" w14:textId="77777777" w:rsidR="00F6538A" w:rsidRPr="00ED0CD3" w:rsidRDefault="00F6538A" w:rsidP="007478A6">
      <w:pPr>
        <w:pStyle w:val="Default"/>
        <w:spacing w:line="276" w:lineRule="auto"/>
        <w:ind w:left="567" w:right="902"/>
        <w:jc w:val="both"/>
        <w:rPr>
          <w:color w:val="auto"/>
          <w:sz w:val="22"/>
          <w:szCs w:val="22"/>
        </w:rPr>
      </w:pPr>
    </w:p>
    <w:p w14:paraId="6301D913" w14:textId="77777777" w:rsidR="00F6538A" w:rsidRPr="00ED0CD3" w:rsidRDefault="00F6538A" w:rsidP="007478A6">
      <w:pPr>
        <w:pStyle w:val="Default"/>
        <w:ind w:left="567" w:right="902"/>
        <w:jc w:val="both"/>
        <w:rPr>
          <w:i/>
          <w:color w:val="auto"/>
          <w:sz w:val="20"/>
          <w:szCs w:val="20"/>
        </w:rPr>
      </w:pPr>
      <w:r w:rsidRPr="00ED0CD3">
        <w:rPr>
          <w:i/>
          <w:color w:val="auto"/>
          <w:sz w:val="20"/>
          <w:szCs w:val="20"/>
        </w:rPr>
        <w:t xml:space="preserve">“Artículo 86. Los interesados en obtener una concesión sobre el espectro radioeléctrico para uso público para prestar el servicio de radiodifusión, presentarán solicitud en la que deberán cumplir los requisitos establecidos en el numeral 85 de esta Ley, dentro del plazo establecido en el programa anual de uso y aprovechamiento de bandas de frecuencias. </w:t>
      </w:r>
    </w:p>
    <w:p w14:paraId="58F18B56" w14:textId="77777777" w:rsidR="00F6538A" w:rsidRPr="00ED0CD3" w:rsidRDefault="00F6538A" w:rsidP="007478A6">
      <w:pPr>
        <w:pStyle w:val="Default"/>
        <w:ind w:left="567" w:right="902"/>
        <w:jc w:val="both"/>
        <w:rPr>
          <w:i/>
          <w:color w:val="auto"/>
          <w:sz w:val="20"/>
          <w:szCs w:val="20"/>
        </w:rPr>
      </w:pPr>
    </w:p>
    <w:p w14:paraId="457B4F7D" w14:textId="77777777" w:rsidR="00F6538A" w:rsidRPr="00ED0CD3" w:rsidRDefault="00F6538A" w:rsidP="007478A6">
      <w:pPr>
        <w:pStyle w:val="Default"/>
        <w:ind w:left="567" w:right="902"/>
        <w:jc w:val="both"/>
        <w:rPr>
          <w:i/>
          <w:color w:val="auto"/>
          <w:sz w:val="20"/>
          <w:szCs w:val="20"/>
        </w:rPr>
      </w:pPr>
      <w:r w:rsidRPr="00ED0CD3">
        <w:rPr>
          <w:i/>
          <w:color w:val="auto"/>
          <w:sz w:val="20"/>
          <w:szCs w:val="20"/>
        </w:rPr>
        <w:lastRenderedPageBreak/>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26A541CF" w14:textId="77777777" w:rsidR="00F6538A" w:rsidRPr="00ED0CD3" w:rsidRDefault="00F6538A" w:rsidP="007478A6">
      <w:pPr>
        <w:pStyle w:val="Default"/>
        <w:ind w:left="567" w:right="899"/>
        <w:jc w:val="both"/>
        <w:rPr>
          <w:i/>
          <w:color w:val="auto"/>
          <w:sz w:val="20"/>
          <w:szCs w:val="20"/>
        </w:rPr>
      </w:pPr>
    </w:p>
    <w:p w14:paraId="2CDA5C0C" w14:textId="77777777" w:rsidR="00F6538A" w:rsidRPr="00ED0CD3" w:rsidRDefault="00F6538A" w:rsidP="007478A6">
      <w:pPr>
        <w:pStyle w:val="Default"/>
        <w:ind w:left="567" w:right="899"/>
        <w:jc w:val="both"/>
        <w:rPr>
          <w:i/>
          <w:color w:val="auto"/>
          <w:sz w:val="20"/>
          <w:szCs w:val="20"/>
        </w:rPr>
      </w:pPr>
      <w:r w:rsidRPr="00ED0CD3">
        <w:rPr>
          <w:i/>
          <w:color w:val="auto"/>
          <w:sz w:val="20"/>
          <w:szCs w:val="20"/>
        </w:rPr>
        <w:t>(…)”</w:t>
      </w:r>
    </w:p>
    <w:p w14:paraId="5009F487" w14:textId="77777777" w:rsidR="00E9391F" w:rsidRPr="00ED0CD3" w:rsidRDefault="00E9391F" w:rsidP="007478A6">
      <w:pPr>
        <w:autoSpaceDE w:val="0"/>
        <w:autoSpaceDN w:val="0"/>
        <w:adjustRightInd w:val="0"/>
        <w:ind w:left="567" w:right="899"/>
        <w:jc w:val="right"/>
        <w:rPr>
          <w:rFonts w:ascii="Arial" w:hAnsi="Arial" w:cs="Arial"/>
          <w:bCs/>
          <w:i/>
          <w:sz w:val="20"/>
          <w:szCs w:val="20"/>
        </w:rPr>
      </w:pPr>
    </w:p>
    <w:p w14:paraId="28F6B36A" w14:textId="77777777" w:rsidR="00F6538A" w:rsidRPr="00ED0CD3" w:rsidRDefault="00F6538A" w:rsidP="00E9391F">
      <w:pPr>
        <w:autoSpaceDE w:val="0"/>
        <w:autoSpaceDN w:val="0"/>
        <w:adjustRightInd w:val="0"/>
        <w:ind w:left="567" w:right="899"/>
        <w:rPr>
          <w:rFonts w:ascii="Arial" w:hAnsi="Arial" w:cs="Arial"/>
          <w:bCs/>
          <w:i/>
          <w:sz w:val="20"/>
          <w:szCs w:val="20"/>
        </w:rPr>
      </w:pPr>
      <w:r w:rsidRPr="00ED0CD3">
        <w:rPr>
          <w:rFonts w:ascii="Arial" w:hAnsi="Arial" w:cs="Arial"/>
          <w:bCs/>
          <w:i/>
          <w:sz w:val="20"/>
          <w:szCs w:val="20"/>
        </w:rPr>
        <w:t>[Énfasis añadido]</w:t>
      </w:r>
    </w:p>
    <w:p w14:paraId="1B4DB137" w14:textId="77777777" w:rsidR="00F6538A" w:rsidRPr="00ED0CD3" w:rsidRDefault="00F6538A" w:rsidP="007478A6">
      <w:pPr>
        <w:pStyle w:val="Default"/>
        <w:spacing w:line="276" w:lineRule="auto"/>
        <w:ind w:left="567" w:right="899"/>
        <w:jc w:val="both"/>
        <w:rPr>
          <w:i/>
          <w:color w:val="auto"/>
          <w:sz w:val="22"/>
          <w:szCs w:val="22"/>
        </w:rPr>
      </w:pPr>
    </w:p>
    <w:p w14:paraId="0E945E4E" w14:textId="77777777" w:rsidR="00CB5A07" w:rsidRPr="00ED0CD3" w:rsidRDefault="00F6538A" w:rsidP="007478A6">
      <w:pPr>
        <w:pStyle w:val="Texto"/>
        <w:spacing w:after="0" w:line="276" w:lineRule="auto"/>
        <w:ind w:firstLine="0"/>
        <w:rPr>
          <w:sz w:val="22"/>
          <w:szCs w:val="22"/>
        </w:rPr>
      </w:pPr>
      <w:r w:rsidRPr="00ED0CD3">
        <w:rPr>
          <w:sz w:val="22"/>
          <w:szCs w:val="22"/>
        </w:rPr>
        <w:t>De la lectura del precepto legal anteriormente citado se desprende que, adicionalmente al cumplimiento de los requisitos señalados en el artículo 85 los interesados deberán cumplir con lo dispuesto en el segundo párrafo del artículo 86 de la Ley.</w:t>
      </w:r>
    </w:p>
    <w:p w14:paraId="6CF28936" w14:textId="77777777" w:rsidR="00CB5A07" w:rsidRPr="00ED0CD3" w:rsidRDefault="00CB5A07" w:rsidP="007478A6">
      <w:pPr>
        <w:pStyle w:val="Texto"/>
        <w:spacing w:after="0" w:line="276" w:lineRule="auto"/>
        <w:ind w:firstLine="0"/>
        <w:rPr>
          <w:sz w:val="22"/>
          <w:szCs w:val="22"/>
        </w:rPr>
      </w:pPr>
    </w:p>
    <w:p w14:paraId="2F86C345" w14:textId="77777777" w:rsidR="00F6538A" w:rsidRPr="00ED0CD3" w:rsidRDefault="00F6538A" w:rsidP="007478A6">
      <w:pPr>
        <w:pStyle w:val="Default"/>
        <w:spacing w:line="276" w:lineRule="auto"/>
        <w:ind w:right="48"/>
        <w:jc w:val="both"/>
        <w:rPr>
          <w:color w:val="auto"/>
          <w:sz w:val="22"/>
          <w:szCs w:val="22"/>
        </w:rPr>
      </w:pPr>
      <w:r w:rsidRPr="00ED0CD3">
        <w:rPr>
          <w:color w:val="auto"/>
          <w:sz w:val="22"/>
          <w:szCs w:val="22"/>
        </w:rPr>
        <w:t xml:space="preserve">Por su parte, el artículo 8 </w:t>
      </w:r>
      <w:r w:rsidR="004E37D6" w:rsidRPr="00ED0CD3">
        <w:rPr>
          <w:color w:val="auto"/>
          <w:sz w:val="22"/>
          <w:szCs w:val="22"/>
        </w:rPr>
        <w:t xml:space="preserve">fracciones IV y VII </w:t>
      </w:r>
      <w:r w:rsidRPr="00ED0CD3">
        <w:rPr>
          <w:color w:val="auto"/>
          <w:sz w:val="22"/>
          <w:szCs w:val="22"/>
        </w:rPr>
        <w:t>de los Lineamientos, establece que los interesados en obtener una Concesión de Espectro Radioeléctrico para uso público, deberán de satisfacer los siguientes requisitos:</w:t>
      </w:r>
    </w:p>
    <w:p w14:paraId="5FFE0236" w14:textId="77777777" w:rsidR="00F6538A" w:rsidRPr="00ED0CD3" w:rsidRDefault="00F6538A" w:rsidP="007478A6">
      <w:pPr>
        <w:pStyle w:val="Default"/>
        <w:spacing w:line="276" w:lineRule="auto"/>
        <w:ind w:left="567" w:right="902"/>
        <w:jc w:val="both"/>
        <w:rPr>
          <w:i/>
          <w:color w:val="auto"/>
          <w:sz w:val="22"/>
          <w:szCs w:val="22"/>
        </w:rPr>
      </w:pPr>
    </w:p>
    <w:p w14:paraId="2EA7AAC9" w14:textId="77777777" w:rsidR="00F6538A" w:rsidRPr="00ED0CD3" w:rsidRDefault="00F6538A" w:rsidP="00DF74F2">
      <w:pPr>
        <w:pStyle w:val="Default"/>
        <w:ind w:left="567" w:right="902"/>
        <w:jc w:val="both"/>
        <w:rPr>
          <w:i/>
          <w:color w:val="auto"/>
          <w:sz w:val="20"/>
          <w:szCs w:val="20"/>
        </w:rPr>
      </w:pPr>
      <w:r w:rsidRPr="00ED0CD3">
        <w:rPr>
          <w:i/>
          <w:color w:val="auto"/>
          <w:sz w:val="20"/>
          <w:szCs w:val="20"/>
        </w:rPr>
        <w:t>“(…)</w:t>
      </w:r>
    </w:p>
    <w:p w14:paraId="714F9A56" w14:textId="77777777" w:rsidR="00F6538A" w:rsidRPr="00ED0CD3" w:rsidRDefault="00F6538A" w:rsidP="00DF74F2">
      <w:pPr>
        <w:ind w:left="567" w:right="902"/>
        <w:jc w:val="both"/>
        <w:rPr>
          <w:rFonts w:ascii="Arial" w:hAnsi="Arial" w:cs="Arial"/>
          <w:i/>
          <w:sz w:val="20"/>
          <w:szCs w:val="20"/>
        </w:rPr>
      </w:pPr>
    </w:p>
    <w:p w14:paraId="15E0D3B9" w14:textId="77777777" w:rsidR="00F6538A" w:rsidRPr="00ED0CD3" w:rsidRDefault="00F6538A" w:rsidP="00DF74F2">
      <w:pPr>
        <w:ind w:left="567" w:right="902"/>
        <w:jc w:val="both"/>
        <w:rPr>
          <w:rFonts w:ascii="Arial" w:hAnsi="Arial" w:cs="Arial"/>
          <w:i/>
          <w:sz w:val="20"/>
          <w:szCs w:val="20"/>
        </w:rPr>
      </w:pPr>
      <w:r w:rsidRPr="00ED0CD3">
        <w:rPr>
          <w:rFonts w:ascii="Arial" w:hAnsi="Arial" w:cs="Arial"/>
          <w:i/>
          <w:sz w:val="20"/>
          <w:szCs w:val="20"/>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6D272B0F" w14:textId="77777777" w:rsidR="00F6538A" w:rsidRPr="00ED0CD3" w:rsidRDefault="00F6538A" w:rsidP="00DF74F2">
      <w:pPr>
        <w:ind w:left="567" w:right="902"/>
        <w:jc w:val="both"/>
        <w:rPr>
          <w:rFonts w:ascii="Arial" w:hAnsi="Arial" w:cs="Arial"/>
          <w:i/>
          <w:sz w:val="20"/>
          <w:szCs w:val="20"/>
        </w:rPr>
      </w:pPr>
    </w:p>
    <w:p w14:paraId="12ABC9E6" w14:textId="77777777" w:rsidR="00F6538A" w:rsidRPr="00ED0CD3" w:rsidRDefault="00F6538A" w:rsidP="00DF74F2">
      <w:pPr>
        <w:ind w:left="567" w:right="902"/>
        <w:jc w:val="both"/>
        <w:rPr>
          <w:rFonts w:ascii="Arial" w:hAnsi="Arial" w:cs="Arial"/>
          <w:i/>
          <w:sz w:val="20"/>
          <w:szCs w:val="20"/>
        </w:rPr>
      </w:pPr>
      <w:r w:rsidRPr="00ED0CD3">
        <w:rPr>
          <w:rFonts w:ascii="Arial" w:hAnsi="Arial" w:cs="Arial"/>
          <w:i/>
          <w:sz w:val="20"/>
          <w:szCs w:val="20"/>
        </w:rPr>
        <w:t>El Interesado deberá describir los mecanismos concretos para asegurar los principios a que se refiere el segundo párrafo del artículo 86 de la Ley, los cuales deberán atender a lo siguiente:</w:t>
      </w:r>
    </w:p>
    <w:p w14:paraId="636D4250" w14:textId="77777777" w:rsidR="00F6538A" w:rsidRPr="00ED0CD3" w:rsidRDefault="00F6538A" w:rsidP="00DF74F2">
      <w:pPr>
        <w:ind w:left="567" w:right="902"/>
        <w:jc w:val="both"/>
        <w:rPr>
          <w:rFonts w:ascii="Arial" w:hAnsi="Arial" w:cs="Arial"/>
          <w:i/>
          <w:sz w:val="20"/>
          <w:szCs w:val="20"/>
        </w:rPr>
      </w:pPr>
    </w:p>
    <w:p w14:paraId="7195D505" w14:textId="77777777" w:rsidR="00F6538A" w:rsidRPr="00ED0CD3" w:rsidRDefault="00F6538A" w:rsidP="00DF74F2">
      <w:pPr>
        <w:pStyle w:val="Prrafodelista"/>
        <w:numPr>
          <w:ilvl w:val="0"/>
          <w:numId w:val="15"/>
        </w:numPr>
        <w:ind w:right="902"/>
        <w:jc w:val="both"/>
        <w:rPr>
          <w:rFonts w:cs="Arial"/>
          <w:i/>
          <w:sz w:val="20"/>
        </w:rPr>
      </w:pPr>
      <w:r w:rsidRPr="00ED0CD3">
        <w:rPr>
          <w:rFonts w:cs="Arial"/>
          <w:i/>
          <w:sz w:val="20"/>
        </w:rPr>
        <w:t xml:space="preserve">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w:t>
      </w:r>
      <w:r w:rsidRPr="00ED0CD3">
        <w:rPr>
          <w:rFonts w:cs="Arial"/>
          <w:b/>
          <w:i/>
          <w:sz w:val="20"/>
        </w:rPr>
        <w:t>instalado dentro de los primeros seis meses a partir del otorgamiento de la Concesión de Espectro Radioeléctrico para Uso Público</w:t>
      </w:r>
      <w:r w:rsidRPr="00ED0CD3">
        <w:rPr>
          <w:rFonts w:cs="Arial"/>
          <w:i/>
          <w:sz w:val="20"/>
        </w:rPr>
        <w:t>, lo cual deberá ser acreditado ante el Instituto, conforme se establezca en el título de concesión respectivo y, en su caso, las disposiciones aplicables;</w:t>
      </w:r>
    </w:p>
    <w:p w14:paraId="1C1A187B" w14:textId="77777777" w:rsidR="00F6538A" w:rsidRPr="00ED0CD3" w:rsidRDefault="00F6538A" w:rsidP="00DF74F2">
      <w:pPr>
        <w:pStyle w:val="Prrafodelista"/>
        <w:numPr>
          <w:ilvl w:val="0"/>
          <w:numId w:val="15"/>
        </w:numPr>
        <w:ind w:right="902"/>
        <w:jc w:val="both"/>
        <w:rPr>
          <w:rFonts w:cs="Arial"/>
          <w:i/>
          <w:sz w:val="20"/>
        </w:rPr>
      </w:pPr>
      <w:r w:rsidRPr="00ED0CD3">
        <w:rPr>
          <w:rFonts w:cs="Arial"/>
          <w:i/>
          <w:sz w:val="20"/>
        </w:rPr>
        <w:t>El Interesado deberá contar, de conformidad con su naturaleza jurídica y la normatividad aplicable, con autonomía de gestión financiera;</w:t>
      </w:r>
    </w:p>
    <w:p w14:paraId="3029DD4F" w14:textId="77777777" w:rsidR="00F6538A" w:rsidRPr="00ED0CD3" w:rsidRDefault="00F6538A" w:rsidP="00DF74F2">
      <w:pPr>
        <w:pStyle w:val="Prrafodelista"/>
        <w:numPr>
          <w:ilvl w:val="0"/>
          <w:numId w:val="15"/>
        </w:numPr>
        <w:ind w:right="902"/>
        <w:jc w:val="both"/>
        <w:rPr>
          <w:rFonts w:cs="Arial"/>
          <w:i/>
          <w:sz w:val="20"/>
        </w:rPr>
      </w:pPr>
      <w:r w:rsidRPr="00ED0CD3">
        <w:rPr>
          <w:rFonts w:cs="Arial"/>
          <w:i/>
          <w:sz w:val="20"/>
        </w:rPr>
        <w:t>El Interesado deberá establecer reglas que aseguren la transparencia y la rendición de cuentas del mismo, para lo cual deberá observar las disposiciones normativas aplicables en la materia según corresponda;</w:t>
      </w:r>
    </w:p>
    <w:p w14:paraId="511BE322" w14:textId="77777777" w:rsidR="00F6538A" w:rsidRPr="00ED0CD3" w:rsidRDefault="00F6538A" w:rsidP="00DF74F2">
      <w:pPr>
        <w:pStyle w:val="Prrafodelista"/>
        <w:numPr>
          <w:ilvl w:val="0"/>
          <w:numId w:val="15"/>
        </w:numPr>
        <w:ind w:right="902"/>
        <w:jc w:val="both"/>
        <w:rPr>
          <w:rFonts w:cs="Arial"/>
          <w:i/>
          <w:sz w:val="20"/>
        </w:rPr>
      </w:pPr>
      <w:r w:rsidRPr="00ED0CD3">
        <w:rPr>
          <w:rFonts w:cs="Arial"/>
          <w:i/>
          <w:sz w:val="20"/>
        </w:rPr>
        <w:t>El Interesado deberá especificar cómo atenderá a lo establecido en la Ley y en los lineamientos en la materia emitidos por el Instituto para la defensoría de sus contenidos en relación con las audiencias;</w:t>
      </w:r>
    </w:p>
    <w:p w14:paraId="35E57B79" w14:textId="77777777" w:rsidR="00F6538A" w:rsidRPr="00ED0CD3" w:rsidRDefault="00F6538A" w:rsidP="00DF74F2">
      <w:pPr>
        <w:pStyle w:val="Prrafodelista"/>
        <w:numPr>
          <w:ilvl w:val="0"/>
          <w:numId w:val="15"/>
        </w:numPr>
        <w:ind w:right="902"/>
        <w:jc w:val="both"/>
        <w:rPr>
          <w:rFonts w:cs="Arial"/>
          <w:i/>
          <w:sz w:val="20"/>
        </w:rPr>
      </w:pPr>
      <w:r w:rsidRPr="00ED0CD3">
        <w:rPr>
          <w:rFonts w:cs="Arial"/>
          <w:i/>
          <w:sz w:val="20"/>
        </w:rPr>
        <w:t>Los mecanismos de financiamiento deberán ser acordes con los establecidos en la Ley o con cualquier otro cuyo ejercicio sea legítimo y les esté permitido, y</w:t>
      </w:r>
    </w:p>
    <w:p w14:paraId="3FBEAEEB" w14:textId="77777777" w:rsidR="00F6538A" w:rsidRPr="00ED0CD3" w:rsidRDefault="00F6538A" w:rsidP="00DF74F2">
      <w:pPr>
        <w:pStyle w:val="Prrafodelista"/>
        <w:numPr>
          <w:ilvl w:val="0"/>
          <w:numId w:val="15"/>
        </w:numPr>
        <w:ind w:right="902"/>
        <w:jc w:val="both"/>
        <w:rPr>
          <w:rFonts w:cs="Arial"/>
          <w:i/>
          <w:sz w:val="20"/>
        </w:rPr>
      </w:pPr>
      <w:r w:rsidRPr="00ED0CD3">
        <w:rPr>
          <w:rFonts w:cs="Arial"/>
          <w:i/>
          <w:sz w:val="20"/>
        </w:rPr>
        <w:t>El Interesado deberá especificar de qué manera garantizará el pleno acceso a tecnologías.</w:t>
      </w:r>
    </w:p>
    <w:p w14:paraId="11493EAC" w14:textId="77777777" w:rsidR="00F6538A" w:rsidRPr="00ED0CD3" w:rsidRDefault="00F6538A" w:rsidP="00DF74F2">
      <w:pPr>
        <w:pStyle w:val="Prrafodelista"/>
        <w:ind w:left="1287" w:right="902"/>
        <w:jc w:val="both"/>
        <w:rPr>
          <w:rFonts w:cs="Arial"/>
          <w:i/>
          <w:sz w:val="20"/>
        </w:rPr>
      </w:pPr>
    </w:p>
    <w:p w14:paraId="41F60308" w14:textId="77777777" w:rsidR="00F6538A" w:rsidRPr="00ED0CD3" w:rsidRDefault="00F6538A" w:rsidP="00DF74F2">
      <w:pPr>
        <w:ind w:left="567" w:right="902"/>
        <w:jc w:val="both"/>
        <w:rPr>
          <w:rFonts w:ascii="Arial" w:hAnsi="Arial" w:cs="Arial"/>
          <w:i/>
          <w:sz w:val="20"/>
          <w:szCs w:val="20"/>
        </w:rPr>
      </w:pPr>
      <w:r w:rsidRPr="00ED0CD3">
        <w:rPr>
          <w:rFonts w:ascii="Arial" w:hAnsi="Arial" w:cs="Arial"/>
          <w:i/>
          <w:sz w:val="20"/>
          <w:szCs w:val="20"/>
        </w:rPr>
        <w:lastRenderedPageBreak/>
        <w:t>En el supuesto de que el Instituto advierta que los mecanismos expuestos no sean suficientes para garantizar los objetivos pretendidos, requerirá al Interesado para que realice las modificaciones pertinentes.</w:t>
      </w:r>
    </w:p>
    <w:p w14:paraId="15DF2CBD" w14:textId="77777777" w:rsidR="00F6538A" w:rsidRPr="00ED0CD3" w:rsidRDefault="00F6538A" w:rsidP="00DF74F2">
      <w:pPr>
        <w:ind w:left="567" w:right="902"/>
        <w:jc w:val="both"/>
        <w:rPr>
          <w:rFonts w:ascii="Arial" w:hAnsi="Arial" w:cs="Arial"/>
          <w:i/>
          <w:sz w:val="20"/>
          <w:szCs w:val="20"/>
        </w:rPr>
      </w:pPr>
    </w:p>
    <w:p w14:paraId="2DC4188A" w14:textId="77777777" w:rsidR="00B944A0" w:rsidRPr="00ED0CD3" w:rsidRDefault="00F6538A" w:rsidP="00DF74F2">
      <w:pPr>
        <w:ind w:left="567" w:right="902"/>
        <w:jc w:val="both"/>
        <w:rPr>
          <w:rFonts w:ascii="Arial" w:hAnsi="Arial" w:cs="Arial"/>
          <w:i/>
          <w:sz w:val="20"/>
          <w:szCs w:val="20"/>
        </w:rPr>
      </w:pPr>
      <w:r w:rsidRPr="00ED0CD3">
        <w:rPr>
          <w:rFonts w:ascii="Arial" w:hAnsi="Arial" w:cs="Arial"/>
          <w:i/>
          <w:sz w:val="20"/>
          <w:szCs w:val="20"/>
        </w:rPr>
        <w:t>(…)</w:t>
      </w:r>
    </w:p>
    <w:p w14:paraId="56EE43B8" w14:textId="77777777" w:rsidR="00B944A0" w:rsidRPr="00ED0CD3" w:rsidRDefault="00B944A0" w:rsidP="00DF74F2">
      <w:pPr>
        <w:ind w:left="567" w:right="902"/>
        <w:jc w:val="both"/>
        <w:rPr>
          <w:rFonts w:ascii="Arial" w:hAnsi="Arial" w:cs="Arial"/>
          <w:i/>
          <w:sz w:val="20"/>
          <w:szCs w:val="20"/>
        </w:rPr>
      </w:pPr>
    </w:p>
    <w:p w14:paraId="0DA8BEAA" w14:textId="77777777" w:rsidR="00B944A0" w:rsidRPr="00ED0CD3" w:rsidRDefault="00B944A0" w:rsidP="00DF74F2">
      <w:pPr>
        <w:ind w:left="567" w:right="902"/>
        <w:jc w:val="both"/>
        <w:rPr>
          <w:rFonts w:ascii="Arial" w:hAnsi="Arial" w:cs="Arial"/>
          <w:i/>
          <w:sz w:val="20"/>
          <w:szCs w:val="20"/>
        </w:rPr>
      </w:pPr>
      <w:r w:rsidRPr="00ED0CD3">
        <w:rPr>
          <w:rFonts w:ascii="Arial" w:hAnsi="Arial" w:cs="Arial"/>
          <w:i/>
          <w:sz w:val="20"/>
          <w:szCs w:val="20"/>
        </w:rPr>
        <w:t>VII. Para concesiones de espectro radioeléctrico para Uso Público.</w:t>
      </w:r>
    </w:p>
    <w:p w14:paraId="1DA74AEA" w14:textId="77777777" w:rsidR="00B944A0" w:rsidRPr="00ED0CD3" w:rsidRDefault="00B944A0" w:rsidP="00DF74F2">
      <w:pPr>
        <w:ind w:left="567" w:right="902"/>
        <w:jc w:val="both"/>
        <w:rPr>
          <w:rFonts w:ascii="Arial" w:hAnsi="Arial" w:cs="Arial"/>
          <w:i/>
          <w:sz w:val="20"/>
          <w:szCs w:val="20"/>
        </w:rPr>
      </w:pPr>
    </w:p>
    <w:p w14:paraId="35F1AD9A" w14:textId="77777777" w:rsidR="00B944A0" w:rsidRPr="00ED0CD3" w:rsidRDefault="00B944A0" w:rsidP="00DF74F2">
      <w:pPr>
        <w:ind w:left="567" w:right="902"/>
        <w:jc w:val="both"/>
        <w:rPr>
          <w:rFonts w:ascii="Arial" w:hAnsi="Arial" w:cs="Arial"/>
          <w:i/>
          <w:sz w:val="20"/>
          <w:szCs w:val="20"/>
        </w:rPr>
      </w:pPr>
      <w:r w:rsidRPr="00ED0CD3">
        <w:rPr>
          <w:rFonts w:ascii="Arial" w:hAnsi="Arial" w:cs="Arial"/>
          <w:i/>
          <w:sz w:val="20"/>
          <w:szCs w:val="20"/>
        </w:rPr>
        <w:t>El Interesado deberá solicitar por escrito al Instituto, la coordinación para determinar conjuntamente los requerimientos específicos de espectro radioeléctrico, previo a su solicitud del otorgamiento de una Concesión de Espectro Radioeléctrico para Uso Público.</w:t>
      </w:r>
    </w:p>
    <w:p w14:paraId="139DC870" w14:textId="77777777" w:rsidR="00F6538A" w:rsidRPr="00ED0CD3" w:rsidRDefault="00F6538A" w:rsidP="00DF74F2">
      <w:pPr>
        <w:ind w:left="567" w:right="902"/>
        <w:jc w:val="both"/>
        <w:rPr>
          <w:rFonts w:ascii="Arial" w:hAnsi="Arial" w:cs="Arial"/>
          <w:i/>
          <w:sz w:val="20"/>
          <w:szCs w:val="20"/>
        </w:rPr>
      </w:pPr>
      <w:r w:rsidRPr="00ED0CD3">
        <w:rPr>
          <w:rFonts w:ascii="Arial" w:hAnsi="Arial" w:cs="Arial"/>
          <w:i/>
          <w:sz w:val="20"/>
          <w:szCs w:val="20"/>
        </w:rPr>
        <w:t>”</w:t>
      </w:r>
    </w:p>
    <w:p w14:paraId="271F1BD9" w14:textId="77777777" w:rsidR="00F6538A" w:rsidRPr="00ED0CD3" w:rsidRDefault="00F6538A" w:rsidP="00DF74F2">
      <w:pPr>
        <w:pStyle w:val="Default"/>
        <w:ind w:left="567" w:right="899"/>
        <w:jc w:val="both"/>
        <w:rPr>
          <w:i/>
          <w:color w:val="auto"/>
          <w:sz w:val="20"/>
          <w:szCs w:val="20"/>
        </w:rPr>
      </w:pPr>
    </w:p>
    <w:p w14:paraId="6F7C1F48" w14:textId="77777777" w:rsidR="00F6538A" w:rsidRPr="00ED0CD3" w:rsidRDefault="00F6538A" w:rsidP="004E37D6">
      <w:pPr>
        <w:autoSpaceDE w:val="0"/>
        <w:autoSpaceDN w:val="0"/>
        <w:adjustRightInd w:val="0"/>
        <w:ind w:left="567" w:right="899"/>
        <w:rPr>
          <w:rFonts w:ascii="Arial" w:hAnsi="Arial" w:cs="Arial"/>
          <w:bCs/>
          <w:i/>
          <w:sz w:val="20"/>
          <w:szCs w:val="20"/>
        </w:rPr>
      </w:pPr>
      <w:r w:rsidRPr="00ED0CD3">
        <w:rPr>
          <w:rFonts w:ascii="Arial" w:hAnsi="Arial" w:cs="Arial"/>
          <w:bCs/>
          <w:i/>
          <w:sz w:val="20"/>
          <w:szCs w:val="20"/>
        </w:rPr>
        <w:t>[Énfasis añadido]</w:t>
      </w:r>
    </w:p>
    <w:p w14:paraId="07C909FE" w14:textId="77777777" w:rsidR="00DF74F2" w:rsidRPr="00ED0CD3" w:rsidRDefault="00DF74F2" w:rsidP="00DF74F2">
      <w:pPr>
        <w:pStyle w:val="Texto"/>
        <w:spacing w:after="0" w:line="276" w:lineRule="auto"/>
        <w:ind w:firstLine="0"/>
        <w:rPr>
          <w:sz w:val="22"/>
          <w:szCs w:val="22"/>
        </w:rPr>
      </w:pPr>
    </w:p>
    <w:p w14:paraId="4690FA10" w14:textId="77777777" w:rsidR="00DF74F2" w:rsidRPr="00ED0CD3" w:rsidRDefault="00DF74F2" w:rsidP="00DF74F2">
      <w:pPr>
        <w:pStyle w:val="Texto"/>
        <w:spacing w:after="0" w:line="276" w:lineRule="auto"/>
        <w:ind w:firstLine="0"/>
        <w:rPr>
          <w:sz w:val="22"/>
          <w:szCs w:val="22"/>
        </w:rPr>
      </w:pPr>
      <w:r w:rsidRPr="00ED0CD3">
        <w:rPr>
          <w:sz w:val="22"/>
          <w:szCs w:val="22"/>
        </w:rPr>
        <w:t>Con motivo de la experiencia que se ha observado por parte del Instituto en la aplicación y observancia de los Lineamientos a través de la atención y substanciación de diversas solicitudes de otorgamiento de concesiones pública y social, se considera necesario modificar diversos artículos de los Lineamientos a efecto de dar claridad y facilitar</w:t>
      </w:r>
      <w:r w:rsidR="00B944A0" w:rsidRPr="00ED0CD3">
        <w:rPr>
          <w:sz w:val="22"/>
          <w:szCs w:val="22"/>
        </w:rPr>
        <w:t>,</w:t>
      </w:r>
      <w:r w:rsidRPr="00ED0CD3">
        <w:rPr>
          <w:sz w:val="22"/>
          <w:szCs w:val="22"/>
        </w:rPr>
        <w:t xml:space="preserve"> en beneficio de los solicitantes</w:t>
      </w:r>
      <w:r w:rsidR="00B944A0" w:rsidRPr="00ED0CD3">
        <w:rPr>
          <w:sz w:val="22"/>
          <w:szCs w:val="22"/>
        </w:rPr>
        <w:t>,</w:t>
      </w:r>
      <w:r w:rsidRPr="00ED0CD3">
        <w:rPr>
          <w:sz w:val="22"/>
          <w:szCs w:val="22"/>
        </w:rPr>
        <w:t xml:space="preserve"> el cumplimiento de los requisitos de las solicitudes de concesión mencionadas.</w:t>
      </w:r>
    </w:p>
    <w:p w14:paraId="42D618C5" w14:textId="77777777" w:rsidR="00DF74F2" w:rsidRPr="00ED0CD3" w:rsidRDefault="00DF74F2" w:rsidP="007478A6">
      <w:pPr>
        <w:pStyle w:val="Texto"/>
        <w:spacing w:after="0" w:line="276" w:lineRule="auto"/>
        <w:ind w:firstLine="0"/>
        <w:rPr>
          <w:sz w:val="22"/>
          <w:szCs w:val="22"/>
        </w:rPr>
      </w:pPr>
    </w:p>
    <w:p w14:paraId="2A81190E" w14:textId="77777777" w:rsidR="006B59AA" w:rsidRPr="00ED0CD3" w:rsidRDefault="006B59AA" w:rsidP="007478A6">
      <w:pPr>
        <w:pStyle w:val="Texto"/>
        <w:spacing w:after="0" w:line="276" w:lineRule="auto"/>
        <w:ind w:firstLine="0"/>
        <w:rPr>
          <w:sz w:val="22"/>
          <w:szCs w:val="22"/>
        </w:rPr>
      </w:pPr>
      <w:r w:rsidRPr="00ED0CD3">
        <w:rPr>
          <w:sz w:val="22"/>
          <w:szCs w:val="22"/>
        </w:rPr>
        <w:t xml:space="preserve">En virtud de lo anterior, el Instituto considera necesaria la </w:t>
      </w:r>
      <w:r w:rsidR="006C6E72" w:rsidRPr="00ED0CD3">
        <w:rPr>
          <w:sz w:val="22"/>
          <w:szCs w:val="22"/>
        </w:rPr>
        <w:t xml:space="preserve">modificación </w:t>
      </w:r>
      <w:r w:rsidRPr="00ED0CD3">
        <w:rPr>
          <w:sz w:val="22"/>
          <w:szCs w:val="22"/>
        </w:rPr>
        <w:t xml:space="preserve">de los Lineamientos, con la finalidad de precisar </w:t>
      </w:r>
      <w:r w:rsidR="00B944A0" w:rsidRPr="00ED0CD3">
        <w:rPr>
          <w:sz w:val="22"/>
          <w:szCs w:val="22"/>
        </w:rPr>
        <w:t xml:space="preserve">y facilitar </w:t>
      </w:r>
      <w:r w:rsidRPr="00ED0CD3">
        <w:rPr>
          <w:sz w:val="22"/>
          <w:szCs w:val="22"/>
        </w:rPr>
        <w:t>los procedimientos y requisitos para el otorgamiento de los diversos tipos y usos de concesiones previstos por la Ley.</w:t>
      </w:r>
    </w:p>
    <w:p w14:paraId="35AAFF9C" w14:textId="77777777" w:rsidR="00723678" w:rsidRPr="00ED0CD3" w:rsidRDefault="00723678" w:rsidP="007478A6">
      <w:pPr>
        <w:pStyle w:val="Texto"/>
        <w:spacing w:after="0" w:line="276" w:lineRule="auto"/>
        <w:rPr>
          <w:sz w:val="22"/>
          <w:szCs w:val="22"/>
        </w:rPr>
      </w:pPr>
    </w:p>
    <w:p w14:paraId="7C1CCF1F" w14:textId="2EA6596B" w:rsidR="00AD5C08" w:rsidRPr="00ED0CD3" w:rsidRDefault="00DF74F2" w:rsidP="007478A6">
      <w:pPr>
        <w:pStyle w:val="Texto"/>
        <w:spacing w:after="0" w:line="276" w:lineRule="auto"/>
        <w:ind w:firstLine="0"/>
        <w:rPr>
          <w:sz w:val="22"/>
          <w:szCs w:val="22"/>
        </w:rPr>
      </w:pPr>
      <w:r w:rsidRPr="00ED0CD3">
        <w:rPr>
          <w:b/>
          <w:sz w:val="22"/>
          <w:szCs w:val="22"/>
        </w:rPr>
        <w:t>Tercero</w:t>
      </w:r>
      <w:r w:rsidR="00986F30" w:rsidRPr="00ED0CD3">
        <w:rPr>
          <w:sz w:val="22"/>
          <w:szCs w:val="22"/>
        </w:rPr>
        <w:t xml:space="preserve">. </w:t>
      </w:r>
      <w:r w:rsidR="00986F30" w:rsidRPr="00ED0CD3">
        <w:rPr>
          <w:b/>
          <w:sz w:val="22"/>
          <w:szCs w:val="22"/>
        </w:rPr>
        <w:t>Modificaciones a los Lineamientos</w:t>
      </w:r>
      <w:r w:rsidR="004E6336" w:rsidRPr="00ED0CD3">
        <w:rPr>
          <w:sz w:val="22"/>
          <w:szCs w:val="22"/>
        </w:rPr>
        <w:t>.</w:t>
      </w:r>
      <w:r w:rsidR="00321755" w:rsidRPr="00ED0CD3">
        <w:rPr>
          <w:sz w:val="22"/>
          <w:szCs w:val="22"/>
        </w:rPr>
        <w:t xml:space="preserve"> Habiendo señalado lo anterior, las modificaciones</w:t>
      </w:r>
      <w:r w:rsidR="00AD5C08" w:rsidRPr="00ED0CD3">
        <w:rPr>
          <w:sz w:val="22"/>
          <w:szCs w:val="22"/>
        </w:rPr>
        <w:t xml:space="preserve"> a los Lineamientos </w:t>
      </w:r>
      <w:r w:rsidR="00CB5A07" w:rsidRPr="00ED0CD3">
        <w:rPr>
          <w:sz w:val="22"/>
          <w:szCs w:val="22"/>
        </w:rPr>
        <w:t>respecto</w:t>
      </w:r>
      <w:r w:rsidR="00AD5C08" w:rsidRPr="00ED0CD3">
        <w:rPr>
          <w:sz w:val="22"/>
          <w:szCs w:val="22"/>
        </w:rPr>
        <w:t xml:space="preserve"> a las concesiones </w:t>
      </w:r>
      <w:r w:rsidR="00CB5A07" w:rsidRPr="00ED0CD3">
        <w:rPr>
          <w:sz w:val="22"/>
          <w:szCs w:val="22"/>
        </w:rPr>
        <w:t xml:space="preserve">de bandas de frecuencias del espectro para uso </w:t>
      </w:r>
      <w:r w:rsidR="00AD5C08" w:rsidRPr="00ED0CD3">
        <w:rPr>
          <w:sz w:val="22"/>
          <w:szCs w:val="22"/>
        </w:rPr>
        <w:t>social</w:t>
      </w:r>
      <w:r w:rsidR="00CB5A07" w:rsidRPr="00ED0CD3">
        <w:rPr>
          <w:sz w:val="22"/>
          <w:szCs w:val="22"/>
        </w:rPr>
        <w:t>, incluyendo comunitarias e indígenas</w:t>
      </w:r>
      <w:r w:rsidR="00AD5C08" w:rsidRPr="00ED0CD3">
        <w:rPr>
          <w:sz w:val="22"/>
          <w:szCs w:val="22"/>
        </w:rPr>
        <w:t xml:space="preserve"> </w:t>
      </w:r>
      <w:r w:rsidR="00C42340" w:rsidRPr="00ED0CD3">
        <w:rPr>
          <w:sz w:val="22"/>
          <w:szCs w:val="22"/>
        </w:rPr>
        <w:t>consisten</w:t>
      </w:r>
      <w:r w:rsidR="00CB5A07" w:rsidRPr="00ED0CD3">
        <w:rPr>
          <w:sz w:val="22"/>
          <w:szCs w:val="22"/>
        </w:rPr>
        <w:t xml:space="preserve"> </w:t>
      </w:r>
      <w:r w:rsidR="00236783" w:rsidRPr="00ED0CD3">
        <w:rPr>
          <w:sz w:val="22"/>
          <w:szCs w:val="22"/>
        </w:rPr>
        <w:t>esencialmente</w:t>
      </w:r>
      <w:r w:rsidR="00C42340" w:rsidRPr="00ED0CD3" w:rsidDel="00C42340">
        <w:rPr>
          <w:sz w:val="22"/>
          <w:szCs w:val="22"/>
        </w:rPr>
        <w:t xml:space="preserve"> </w:t>
      </w:r>
      <w:r w:rsidR="00AD5C08" w:rsidRPr="00ED0CD3">
        <w:rPr>
          <w:sz w:val="22"/>
          <w:szCs w:val="22"/>
        </w:rPr>
        <w:t xml:space="preserve">en aclarar y simplificar los requisitos </w:t>
      </w:r>
      <w:r w:rsidR="00012B80" w:rsidRPr="00ED0CD3">
        <w:rPr>
          <w:sz w:val="22"/>
          <w:szCs w:val="22"/>
        </w:rPr>
        <w:t xml:space="preserve">a efecto de que </w:t>
      </w:r>
      <w:r w:rsidR="00B00895" w:rsidRPr="00ED0CD3">
        <w:rPr>
          <w:sz w:val="22"/>
          <w:szCs w:val="22"/>
        </w:rPr>
        <w:t>los interesados en obtener una concesión para estos usos sean</w:t>
      </w:r>
      <w:r w:rsidR="00C42340" w:rsidRPr="00ED0CD3">
        <w:rPr>
          <w:sz w:val="22"/>
          <w:szCs w:val="22"/>
        </w:rPr>
        <w:t xml:space="preserve"> </w:t>
      </w:r>
      <w:r w:rsidR="00B00895" w:rsidRPr="00ED0CD3">
        <w:rPr>
          <w:sz w:val="22"/>
          <w:szCs w:val="22"/>
        </w:rPr>
        <w:t>más específicos</w:t>
      </w:r>
      <w:r w:rsidR="00AD5C08" w:rsidRPr="00ED0CD3">
        <w:rPr>
          <w:sz w:val="22"/>
          <w:szCs w:val="22"/>
        </w:rPr>
        <w:t>. En</w:t>
      </w:r>
      <w:r w:rsidR="006C6E72" w:rsidRPr="00ED0CD3">
        <w:rPr>
          <w:sz w:val="22"/>
          <w:szCs w:val="22"/>
        </w:rPr>
        <w:t xml:space="preserve"> ese sentido</w:t>
      </w:r>
      <w:r w:rsidR="00AD5C08" w:rsidRPr="00ED0CD3">
        <w:rPr>
          <w:sz w:val="22"/>
          <w:szCs w:val="22"/>
        </w:rPr>
        <w:t xml:space="preserve">, </w:t>
      </w:r>
      <w:r w:rsidR="006C6E72" w:rsidRPr="00ED0CD3">
        <w:rPr>
          <w:sz w:val="22"/>
          <w:szCs w:val="22"/>
        </w:rPr>
        <w:t>l</w:t>
      </w:r>
      <w:r w:rsidR="00C42340" w:rsidRPr="00ED0CD3">
        <w:rPr>
          <w:sz w:val="22"/>
          <w:szCs w:val="22"/>
        </w:rPr>
        <w:t>a</w:t>
      </w:r>
      <w:r w:rsidR="006C6E72" w:rsidRPr="00ED0CD3">
        <w:rPr>
          <w:sz w:val="22"/>
          <w:szCs w:val="22"/>
        </w:rPr>
        <w:t xml:space="preserve">s </w:t>
      </w:r>
      <w:r w:rsidR="00C42340" w:rsidRPr="00ED0CD3">
        <w:rPr>
          <w:sz w:val="22"/>
          <w:szCs w:val="22"/>
        </w:rPr>
        <w:t>modificaciones particularmente versan sobre el artículo 3 de los Lineamiento</w:t>
      </w:r>
      <w:r w:rsidR="00CB5A07" w:rsidRPr="00ED0CD3">
        <w:rPr>
          <w:sz w:val="22"/>
          <w:szCs w:val="22"/>
        </w:rPr>
        <w:t>s</w:t>
      </w:r>
      <w:r w:rsidR="00C42340" w:rsidRPr="00ED0CD3">
        <w:rPr>
          <w:sz w:val="22"/>
          <w:szCs w:val="22"/>
        </w:rPr>
        <w:t xml:space="preserve">, </w:t>
      </w:r>
      <w:r w:rsidR="00CB5A07" w:rsidRPr="00ED0CD3">
        <w:rPr>
          <w:sz w:val="22"/>
          <w:szCs w:val="22"/>
        </w:rPr>
        <w:t xml:space="preserve">para </w:t>
      </w:r>
      <w:r w:rsidR="00C42340" w:rsidRPr="00ED0CD3">
        <w:rPr>
          <w:sz w:val="22"/>
          <w:szCs w:val="22"/>
        </w:rPr>
        <w:t xml:space="preserve"> los apartados de</w:t>
      </w:r>
      <w:r w:rsidR="006C6E72" w:rsidRPr="00ED0CD3">
        <w:rPr>
          <w:sz w:val="22"/>
          <w:szCs w:val="22"/>
        </w:rPr>
        <w:t xml:space="preserve"> descripción y justificación del proyecto</w:t>
      </w:r>
      <w:r w:rsidR="00AD5C08" w:rsidRPr="00ED0CD3">
        <w:rPr>
          <w:sz w:val="22"/>
          <w:szCs w:val="22"/>
        </w:rPr>
        <w:t xml:space="preserve"> </w:t>
      </w:r>
      <w:r w:rsidR="006C6E72" w:rsidRPr="00ED0CD3">
        <w:rPr>
          <w:sz w:val="22"/>
          <w:szCs w:val="22"/>
        </w:rPr>
        <w:t xml:space="preserve">así como el </w:t>
      </w:r>
      <w:r w:rsidR="00AD5C08" w:rsidRPr="00ED0CD3">
        <w:rPr>
          <w:sz w:val="22"/>
          <w:szCs w:val="22"/>
        </w:rPr>
        <w:t xml:space="preserve">método para acreditar la capacidad </w:t>
      </w:r>
      <w:r w:rsidR="006C6E72" w:rsidRPr="00ED0CD3">
        <w:rPr>
          <w:sz w:val="22"/>
          <w:szCs w:val="22"/>
        </w:rPr>
        <w:t xml:space="preserve">técnica y </w:t>
      </w:r>
      <w:r w:rsidR="00AD5C08" w:rsidRPr="00ED0CD3">
        <w:rPr>
          <w:sz w:val="22"/>
          <w:szCs w:val="22"/>
        </w:rPr>
        <w:t xml:space="preserve">económica </w:t>
      </w:r>
      <w:r w:rsidR="004C1E03" w:rsidRPr="00ED0CD3">
        <w:rPr>
          <w:sz w:val="22"/>
          <w:szCs w:val="22"/>
        </w:rPr>
        <w:t xml:space="preserve">para cada uso </w:t>
      </w:r>
      <w:r w:rsidR="00934A55" w:rsidRPr="00ED0CD3">
        <w:rPr>
          <w:sz w:val="22"/>
          <w:szCs w:val="22"/>
        </w:rPr>
        <w:t xml:space="preserve">delimitándolo </w:t>
      </w:r>
      <w:r w:rsidR="00CB5A07" w:rsidRPr="00ED0CD3">
        <w:rPr>
          <w:sz w:val="22"/>
          <w:szCs w:val="22"/>
        </w:rPr>
        <w:t>en función de lo</w:t>
      </w:r>
      <w:r w:rsidR="004C1E03" w:rsidRPr="00ED0CD3">
        <w:rPr>
          <w:sz w:val="22"/>
          <w:szCs w:val="22"/>
        </w:rPr>
        <w:t xml:space="preserve"> que establece el artículo 89 de la Ley, en segundo lugar, elimina</w:t>
      </w:r>
      <w:r w:rsidR="00C42340" w:rsidRPr="00ED0CD3">
        <w:rPr>
          <w:sz w:val="22"/>
          <w:szCs w:val="22"/>
        </w:rPr>
        <w:t>r</w:t>
      </w:r>
      <w:r w:rsidR="004C1E03" w:rsidRPr="00ED0CD3">
        <w:rPr>
          <w:sz w:val="22"/>
          <w:szCs w:val="22"/>
        </w:rPr>
        <w:t xml:space="preserve"> requisitos para concesiones comunitarias e indígenas que representan barreras económicas y </w:t>
      </w:r>
      <w:r w:rsidR="004E37D6" w:rsidRPr="00ED0CD3">
        <w:rPr>
          <w:sz w:val="22"/>
          <w:szCs w:val="22"/>
        </w:rPr>
        <w:t xml:space="preserve">administrativas </w:t>
      </w:r>
      <w:r w:rsidR="004C1E03" w:rsidRPr="00ED0CD3">
        <w:rPr>
          <w:sz w:val="22"/>
          <w:szCs w:val="22"/>
        </w:rPr>
        <w:t xml:space="preserve">y, en tercer lugar, establecer el alcance de la asistencia técnica a la que los concesionarios comunitarios e indígenas tiene derecho y que no represente una barrera administrativa o legal para obtener una </w:t>
      </w:r>
      <w:r w:rsidR="0091112D" w:rsidRPr="00ED0CD3">
        <w:rPr>
          <w:sz w:val="22"/>
          <w:szCs w:val="22"/>
        </w:rPr>
        <w:t>concesión</w:t>
      </w:r>
      <w:r w:rsidR="004C1E03" w:rsidRPr="00ED0CD3">
        <w:rPr>
          <w:sz w:val="22"/>
          <w:szCs w:val="22"/>
        </w:rPr>
        <w:t xml:space="preserve">. </w:t>
      </w:r>
    </w:p>
    <w:p w14:paraId="7842D517" w14:textId="77777777" w:rsidR="00EE396A" w:rsidRPr="00ED0CD3" w:rsidRDefault="00EE396A" w:rsidP="007478A6">
      <w:pPr>
        <w:pStyle w:val="Texto"/>
        <w:spacing w:after="0" w:line="276" w:lineRule="auto"/>
        <w:ind w:firstLine="0"/>
        <w:rPr>
          <w:sz w:val="22"/>
          <w:szCs w:val="22"/>
        </w:rPr>
      </w:pPr>
    </w:p>
    <w:p w14:paraId="36F5C4DF" w14:textId="7DDECFD1" w:rsidR="004E6336" w:rsidRPr="00ED0CD3" w:rsidRDefault="00CB5A07" w:rsidP="007478A6">
      <w:pPr>
        <w:pStyle w:val="Texto"/>
        <w:spacing w:after="0" w:line="276" w:lineRule="auto"/>
        <w:ind w:firstLine="0"/>
        <w:rPr>
          <w:sz w:val="22"/>
          <w:szCs w:val="22"/>
        </w:rPr>
      </w:pPr>
      <w:r w:rsidRPr="00ED0CD3">
        <w:rPr>
          <w:sz w:val="22"/>
          <w:szCs w:val="22"/>
        </w:rPr>
        <w:t xml:space="preserve">Por lo que hace al apartado de concesiones de bandas de frecuencias del espectro radioeléctrico para uso público, el </w:t>
      </w:r>
      <w:r w:rsidR="004E6336" w:rsidRPr="00ED0CD3">
        <w:rPr>
          <w:sz w:val="22"/>
          <w:szCs w:val="22"/>
        </w:rPr>
        <w:t xml:space="preserve">nuevo marco regulatorio ordenó la transición de permisos a concesión a efecto de homologar el régimen de </w:t>
      </w:r>
      <w:r w:rsidR="00236783" w:rsidRPr="00ED0CD3">
        <w:rPr>
          <w:sz w:val="22"/>
          <w:szCs w:val="22"/>
        </w:rPr>
        <w:t>concesionamiento con lo cual se armonizaron las obligaciones de los títulos otorgados al amparo de la Ley Federal de Radio y Televisión conforme a las disposiciones de la legislación actualmente vigente</w:t>
      </w:r>
      <w:r w:rsidR="004E6336" w:rsidRPr="00ED0CD3">
        <w:rPr>
          <w:sz w:val="22"/>
          <w:szCs w:val="22"/>
        </w:rPr>
        <w:t>; aunado a ello se introdujo la figura de concesión única, a través de la cual se habilita a su titular para prestar cualquier servicio de telecomunicaciones y radiodifusión de manera convergente.</w:t>
      </w:r>
    </w:p>
    <w:p w14:paraId="0D8E800C" w14:textId="77777777" w:rsidR="004E6336" w:rsidRPr="00ED0CD3" w:rsidRDefault="004E6336" w:rsidP="007478A6">
      <w:pPr>
        <w:pStyle w:val="Texto"/>
        <w:spacing w:after="0" w:line="276" w:lineRule="auto"/>
        <w:ind w:firstLine="0"/>
        <w:rPr>
          <w:sz w:val="22"/>
          <w:szCs w:val="22"/>
        </w:rPr>
      </w:pPr>
    </w:p>
    <w:p w14:paraId="2ED30874" w14:textId="77777777" w:rsidR="004E6336" w:rsidRPr="00ED0CD3" w:rsidRDefault="004E6336" w:rsidP="007478A6">
      <w:pPr>
        <w:pStyle w:val="Texto"/>
        <w:spacing w:after="0" w:line="276" w:lineRule="auto"/>
        <w:ind w:firstLine="0"/>
        <w:rPr>
          <w:sz w:val="22"/>
          <w:szCs w:val="22"/>
        </w:rPr>
      </w:pPr>
      <w:r w:rsidRPr="00ED0CD3">
        <w:rPr>
          <w:sz w:val="22"/>
          <w:szCs w:val="22"/>
        </w:rPr>
        <w:lastRenderedPageBreak/>
        <w:t>Los principios fundamentales que se mencionan, quedaron plasmados en el artículo 86 de la Ley, al señalar que los interesados en obtener una concesión sobre el espectro radioeléctrico para uso público para prestar el servicio de radiodifusión deberán precisarse en su solicitud de concesión, los mecanismos para asegurar la a) independencia editorial; b) autonomía de gestión financiera; c) garantías de participación ciudadana; d) reglas claras para la transparencia y rendición de cuentas; e) defensa de sus contenidos; f) opciones de financiamiento; g) pleno acceso a tecnologías y, h) reglas para la expresión de diversidades ideológicas, étnicas y culturales.</w:t>
      </w:r>
    </w:p>
    <w:p w14:paraId="70F8178A" w14:textId="77777777" w:rsidR="004E6336" w:rsidRPr="00ED0CD3" w:rsidRDefault="004E6336" w:rsidP="007478A6">
      <w:pPr>
        <w:pStyle w:val="Texto"/>
        <w:spacing w:after="0" w:line="276" w:lineRule="auto"/>
        <w:ind w:firstLine="0"/>
        <w:rPr>
          <w:sz w:val="22"/>
          <w:szCs w:val="22"/>
        </w:rPr>
      </w:pPr>
    </w:p>
    <w:p w14:paraId="78ABFB52" w14:textId="77777777" w:rsidR="004E6336" w:rsidRPr="00ED0CD3" w:rsidRDefault="004E6336" w:rsidP="007478A6">
      <w:pPr>
        <w:pStyle w:val="Texto"/>
        <w:spacing w:after="0" w:line="276" w:lineRule="auto"/>
        <w:ind w:firstLine="0"/>
        <w:rPr>
          <w:sz w:val="22"/>
          <w:szCs w:val="22"/>
        </w:rPr>
      </w:pPr>
      <w:r w:rsidRPr="00ED0CD3">
        <w:rPr>
          <w:sz w:val="22"/>
          <w:szCs w:val="22"/>
        </w:rPr>
        <w:t xml:space="preserve">Posteriormente, para dar mayor certeza jurídica a los solicitantes y concesionarios ya establecidos, el Instituto emitió los Lineamientos, donde se concretaron los requisitos generales para el otorgamiento de concesiones de espectro radioeléctrico para uso público, particularmente el cómo los interesados deben </w:t>
      </w:r>
      <w:r w:rsidR="004E37D6" w:rsidRPr="00ED0CD3">
        <w:rPr>
          <w:sz w:val="22"/>
          <w:szCs w:val="22"/>
        </w:rPr>
        <w:t>acreditar</w:t>
      </w:r>
      <w:r w:rsidRPr="00ED0CD3">
        <w:rPr>
          <w:sz w:val="22"/>
          <w:szCs w:val="22"/>
        </w:rPr>
        <w:t xml:space="preserve"> los mecanismos para asegurar los principios a que se refiere el segundo párrafo del artículo 86 de la Ley, lo cual esta descrito en la fracción IV, del artículo 8 de los Lineamientos.</w:t>
      </w:r>
    </w:p>
    <w:p w14:paraId="78D57218" w14:textId="77777777" w:rsidR="004E6336" w:rsidRPr="00ED0CD3" w:rsidRDefault="004E6336" w:rsidP="007478A6">
      <w:pPr>
        <w:pStyle w:val="Texto"/>
        <w:spacing w:after="0" w:line="276" w:lineRule="auto"/>
        <w:ind w:firstLine="0"/>
        <w:rPr>
          <w:sz w:val="22"/>
          <w:szCs w:val="22"/>
        </w:rPr>
      </w:pPr>
    </w:p>
    <w:p w14:paraId="2F8705EB" w14:textId="77777777" w:rsidR="004E6336" w:rsidRPr="00ED0CD3" w:rsidRDefault="004E6336" w:rsidP="007478A6">
      <w:pPr>
        <w:pStyle w:val="Texto"/>
        <w:spacing w:after="0" w:line="276" w:lineRule="auto"/>
        <w:ind w:firstLine="0"/>
        <w:rPr>
          <w:sz w:val="22"/>
          <w:szCs w:val="22"/>
        </w:rPr>
      </w:pPr>
      <w:r w:rsidRPr="00ED0CD3">
        <w:rPr>
          <w:sz w:val="22"/>
          <w:szCs w:val="22"/>
        </w:rPr>
        <w:t>De esta manera, con la finalidad de cumplimentar e</w:t>
      </w:r>
      <w:r w:rsidR="00535269" w:rsidRPr="00ED0CD3">
        <w:rPr>
          <w:sz w:val="22"/>
          <w:szCs w:val="22"/>
        </w:rPr>
        <w:t>l</w:t>
      </w:r>
      <w:r w:rsidRPr="00ED0CD3">
        <w:rPr>
          <w:sz w:val="22"/>
          <w:szCs w:val="22"/>
        </w:rPr>
        <w:t xml:space="preserve"> mandato constitucional que ordenaba la transición de permisos a concesión a efecto de homologar el régimen de licenciamiento, se estableció en el artículo Segundo Transitorio de los Lineamientos, el procedimiento respectivo, específicamente en su fracción VIII se ordenó que los permisionarios que transiten al régimen de concesión para uso público, de conformidad con los títulos de concesión respectivos, quedarán obligados a cumplir con los principios a que se refiere el segundo párrafo del artículo 86 de la Ley, otorgándoles un plazo de 6 (seis) meses contados a partir del día siguiente del otorgamiento del título de concesión de espectro radioeléctrico respectivo, para que presente ante el Instituto, los mecanismos concretos para asegurar los principios de referencia, y que el incumplimiento a esta obligación motivará la revocación de las concesiones involucradas.</w:t>
      </w:r>
    </w:p>
    <w:p w14:paraId="69FAE44E" w14:textId="77777777" w:rsidR="004E6336" w:rsidRPr="00ED0CD3" w:rsidRDefault="004E6336" w:rsidP="007478A6">
      <w:pPr>
        <w:pStyle w:val="Texto"/>
        <w:spacing w:after="0" w:line="276" w:lineRule="auto"/>
        <w:ind w:firstLine="0"/>
        <w:rPr>
          <w:sz w:val="22"/>
          <w:szCs w:val="22"/>
        </w:rPr>
      </w:pPr>
    </w:p>
    <w:p w14:paraId="59157FAB" w14:textId="77777777" w:rsidR="004E6336" w:rsidRPr="00ED0CD3" w:rsidRDefault="004E6336" w:rsidP="007478A6">
      <w:pPr>
        <w:pStyle w:val="Texto"/>
        <w:spacing w:after="0" w:line="276" w:lineRule="auto"/>
        <w:ind w:firstLine="0"/>
        <w:rPr>
          <w:sz w:val="22"/>
          <w:szCs w:val="22"/>
        </w:rPr>
      </w:pPr>
      <w:r w:rsidRPr="00ED0CD3">
        <w:rPr>
          <w:sz w:val="22"/>
          <w:szCs w:val="22"/>
        </w:rPr>
        <w:t xml:space="preserve">En concordancia con lo anterior, el Instituto decidió aplicar el mismo marco regulatorio a los concesionarios para uso público que transitaron al nuevo régimen legal y a los concesionarios o nuevos entrantes, que obtengan un nuevo título de concesión de bandas de frecuencia para uso público en términos de la nueva Ley; razón por la cual, </w:t>
      </w:r>
      <w:r w:rsidR="004E37D6" w:rsidRPr="00ED0CD3">
        <w:rPr>
          <w:sz w:val="22"/>
          <w:szCs w:val="22"/>
        </w:rPr>
        <w:t>a todos los concesionarios  de radiodifusión de uso público se</w:t>
      </w:r>
      <w:r w:rsidRPr="00ED0CD3">
        <w:rPr>
          <w:sz w:val="22"/>
          <w:szCs w:val="22"/>
        </w:rPr>
        <w:t xml:space="preserve"> les impuso el mismo plazo y la misma </w:t>
      </w:r>
      <w:r w:rsidR="0027767B" w:rsidRPr="00ED0CD3">
        <w:rPr>
          <w:sz w:val="22"/>
          <w:szCs w:val="22"/>
        </w:rPr>
        <w:t xml:space="preserve">consecuencia normativa </w:t>
      </w:r>
      <w:r w:rsidRPr="00ED0CD3">
        <w:rPr>
          <w:sz w:val="22"/>
          <w:szCs w:val="22"/>
        </w:rPr>
        <w:t>con la finalidad de otorgar un trato igual a todos los concesionarios de uso público en materia de radiodifusión en la República Mexicana.</w:t>
      </w:r>
    </w:p>
    <w:p w14:paraId="28CF9C36" w14:textId="77777777" w:rsidR="004E6336" w:rsidRPr="00ED0CD3" w:rsidRDefault="004E6336" w:rsidP="007478A6">
      <w:pPr>
        <w:pStyle w:val="Texto"/>
        <w:spacing w:after="0" w:line="276" w:lineRule="auto"/>
        <w:ind w:firstLine="0"/>
        <w:rPr>
          <w:sz w:val="22"/>
          <w:szCs w:val="22"/>
        </w:rPr>
      </w:pPr>
    </w:p>
    <w:p w14:paraId="3FA89C55" w14:textId="77777777" w:rsidR="004E6336" w:rsidRPr="00ED0CD3" w:rsidRDefault="004E6336" w:rsidP="007478A6">
      <w:pPr>
        <w:pStyle w:val="Texto"/>
        <w:spacing w:after="0" w:line="276" w:lineRule="auto"/>
        <w:ind w:firstLine="0"/>
        <w:rPr>
          <w:sz w:val="22"/>
          <w:szCs w:val="22"/>
        </w:rPr>
      </w:pPr>
      <w:r w:rsidRPr="00ED0CD3">
        <w:rPr>
          <w:sz w:val="22"/>
          <w:szCs w:val="22"/>
        </w:rPr>
        <w:t>Dicha decisión, pone de manifiesto la importancia que éste Instituto le ha otorgado a los mecanismos de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pues son considerados la columna vertebral de los medios públicos nacionales.</w:t>
      </w:r>
    </w:p>
    <w:p w14:paraId="4282451E" w14:textId="77777777" w:rsidR="004E6336" w:rsidRPr="00ED0CD3" w:rsidRDefault="004E6336" w:rsidP="007478A6">
      <w:pPr>
        <w:pStyle w:val="Texto"/>
        <w:spacing w:after="0" w:line="276" w:lineRule="auto"/>
        <w:ind w:firstLine="0"/>
        <w:rPr>
          <w:sz w:val="22"/>
          <w:szCs w:val="22"/>
        </w:rPr>
      </w:pPr>
    </w:p>
    <w:p w14:paraId="1AA25A61" w14:textId="67D77850" w:rsidR="004E6336" w:rsidRPr="00ED0CD3" w:rsidRDefault="004E6336" w:rsidP="006527FB">
      <w:pPr>
        <w:pStyle w:val="Texto"/>
        <w:spacing w:after="0" w:line="276" w:lineRule="auto"/>
        <w:ind w:firstLine="0"/>
        <w:rPr>
          <w:sz w:val="22"/>
          <w:szCs w:val="22"/>
        </w:rPr>
      </w:pPr>
      <w:r w:rsidRPr="00ED0CD3">
        <w:rPr>
          <w:sz w:val="22"/>
          <w:szCs w:val="22"/>
        </w:rPr>
        <w:t>Ahora bien, durante el proceso que han llevado los concesionarios para uso público en materia de radiodifusión para el acreditamiento de los mecanismos indica</w:t>
      </w:r>
      <w:r w:rsidR="00535269" w:rsidRPr="00ED0CD3">
        <w:rPr>
          <w:sz w:val="22"/>
          <w:szCs w:val="22"/>
        </w:rPr>
        <w:t>dos</w:t>
      </w:r>
      <w:r w:rsidRPr="00ED0CD3">
        <w:rPr>
          <w:sz w:val="22"/>
          <w:szCs w:val="22"/>
        </w:rPr>
        <w:t xml:space="preserve"> en el segundo párrafo del </w:t>
      </w:r>
      <w:r w:rsidRPr="00ED0CD3">
        <w:rPr>
          <w:sz w:val="22"/>
          <w:szCs w:val="22"/>
        </w:rPr>
        <w:lastRenderedPageBreak/>
        <w:t>artí</w:t>
      </w:r>
      <w:r w:rsidR="00934A55" w:rsidRPr="00ED0CD3">
        <w:rPr>
          <w:sz w:val="22"/>
          <w:szCs w:val="22"/>
        </w:rPr>
        <w:t>culo</w:t>
      </w:r>
      <w:r w:rsidRPr="00ED0CD3">
        <w:rPr>
          <w:sz w:val="22"/>
          <w:szCs w:val="22"/>
        </w:rPr>
        <w:t xml:space="preserve"> 86 de la Ley, el Instituto ha observado</w:t>
      </w:r>
      <w:r w:rsidR="004E37D6" w:rsidRPr="00ED0CD3">
        <w:rPr>
          <w:sz w:val="22"/>
          <w:szCs w:val="22"/>
        </w:rPr>
        <w:t xml:space="preserve"> por la experiencia y evaluación</w:t>
      </w:r>
      <w:r w:rsidRPr="00ED0CD3">
        <w:rPr>
          <w:sz w:val="22"/>
          <w:szCs w:val="22"/>
        </w:rPr>
        <w:t xml:space="preserve"> que </w:t>
      </w:r>
      <w:r w:rsidR="004E37D6" w:rsidRPr="00ED0CD3">
        <w:rPr>
          <w:sz w:val="22"/>
          <w:szCs w:val="22"/>
        </w:rPr>
        <w:t xml:space="preserve">el </w:t>
      </w:r>
      <w:r w:rsidRPr="00ED0CD3">
        <w:rPr>
          <w:sz w:val="22"/>
          <w:szCs w:val="22"/>
        </w:rPr>
        <w:t xml:space="preserve">plazo de seis meses que otorgó para su cumplimento ha sido insuficiente en todos los casos, pues ha resultado </w:t>
      </w:r>
      <w:r w:rsidR="00934A55" w:rsidRPr="00ED0CD3">
        <w:rPr>
          <w:sz w:val="22"/>
          <w:szCs w:val="22"/>
        </w:rPr>
        <w:t xml:space="preserve">escaso </w:t>
      </w:r>
      <w:r w:rsidRPr="00ED0CD3">
        <w:rPr>
          <w:sz w:val="22"/>
          <w:szCs w:val="22"/>
        </w:rPr>
        <w:t xml:space="preserve">para la instalación de consejo ciudadano, y para la acreditación concreta de cada uno de los ocho mecanismos, pues en muchas ocasiones </w:t>
      </w:r>
      <w:r w:rsidR="00934A55" w:rsidRPr="00ED0CD3">
        <w:rPr>
          <w:sz w:val="22"/>
          <w:szCs w:val="22"/>
        </w:rPr>
        <w:t>e</w:t>
      </w:r>
      <w:r w:rsidRPr="00ED0CD3">
        <w:rPr>
          <w:sz w:val="22"/>
          <w:szCs w:val="22"/>
        </w:rPr>
        <w:t xml:space="preserve">ste plazo no es acorde con las diversas modificaciones que dichos concesionarios deben realizar a su marco jurídico o administrativo, considerando que los concesionarios para uso público pueden ser Poderes de la Unión, de los Estados, los órganos de Gobierno del Distrito Federal, los Municipios, los órganos constitucionales autónomos y las instituciones de educación superior de carácter público, lo que </w:t>
      </w:r>
      <w:r w:rsidR="004E37D6" w:rsidRPr="00ED0CD3">
        <w:rPr>
          <w:sz w:val="22"/>
          <w:szCs w:val="22"/>
        </w:rPr>
        <w:t>implica</w:t>
      </w:r>
      <w:r w:rsidRPr="00ED0CD3">
        <w:rPr>
          <w:sz w:val="22"/>
          <w:szCs w:val="22"/>
        </w:rPr>
        <w:t xml:space="preserve">, </w:t>
      </w:r>
      <w:r w:rsidR="006527FB" w:rsidRPr="00ED0CD3">
        <w:rPr>
          <w:sz w:val="22"/>
          <w:szCs w:val="22"/>
        </w:rPr>
        <w:t>una adecuación de sus directivas y estatutos internos cuya propuesta y adopción requiere mayor oportunidad para la generación de la i</w:t>
      </w:r>
      <w:r w:rsidRPr="00ED0CD3">
        <w:rPr>
          <w:sz w:val="22"/>
          <w:szCs w:val="22"/>
        </w:rPr>
        <w:t>nformación y documentación tendiente a dar el cumplimiento respectivo.</w:t>
      </w:r>
    </w:p>
    <w:p w14:paraId="617203D8" w14:textId="77777777" w:rsidR="004E6336" w:rsidRPr="00ED0CD3" w:rsidRDefault="004E6336" w:rsidP="007478A6">
      <w:pPr>
        <w:pStyle w:val="Texto"/>
        <w:spacing w:after="0" w:line="276" w:lineRule="auto"/>
        <w:ind w:firstLine="0"/>
        <w:rPr>
          <w:sz w:val="22"/>
          <w:szCs w:val="22"/>
        </w:rPr>
      </w:pPr>
    </w:p>
    <w:p w14:paraId="6E0A4FAE" w14:textId="77777777" w:rsidR="004E6336" w:rsidRPr="00ED0CD3" w:rsidRDefault="004E6336" w:rsidP="007478A6">
      <w:pPr>
        <w:pStyle w:val="Texto"/>
        <w:spacing w:after="0" w:line="276" w:lineRule="auto"/>
        <w:ind w:firstLine="0"/>
        <w:rPr>
          <w:sz w:val="22"/>
          <w:szCs w:val="22"/>
        </w:rPr>
      </w:pPr>
      <w:r w:rsidRPr="00ED0CD3">
        <w:rPr>
          <w:sz w:val="22"/>
          <w:szCs w:val="22"/>
        </w:rPr>
        <w:t>Es por ello, que con la finalidad de dar certeza jurídica a un número importante de concesionarios para uso público, respecto de sus concesiones de bandas de frecuencia que hoy tienen concesionadas, considerando que el plazo establecido originalmente en los Lineamientos</w:t>
      </w:r>
      <w:r w:rsidR="0027767B" w:rsidRPr="00ED0CD3">
        <w:rPr>
          <w:sz w:val="22"/>
          <w:szCs w:val="22"/>
        </w:rPr>
        <w:t xml:space="preserve"> </w:t>
      </w:r>
      <w:r w:rsidRPr="00ED0CD3">
        <w:rPr>
          <w:sz w:val="22"/>
          <w:szCs w:val="22"/>
        </w:rPr>
        <w:t xml:space="preserve">en </w:t>
      </w:r>
      <w:r w:rsidR="0027767B" w:rsidRPr="00ED0CD3">
        <w:rPr>
          <w:sz w:val="22"/>
          <w:szCs w:val="22"/>
        </w:rPr>
        <w:t>la mayoría de los casos ha resultado sumamente difícil de observar</w:t>
      </w:r>
      <w:r w:rsidRPr="00ED0CD3">
        <w:rPr>
          <w:sz w:val="22"/>
          <w:szCs w:val="22"/>
        </w:rPr>
        <w:t xml:space="preserve">, lo que conlleva como consecuencia legal </w:t>
      </w:r>
      <w:r w:rsidR="000169D7" w:rsidRPr="00ED0CD3">
        <w:rPr>
          <w:sz w:val="22"/>
          <w:szCs w:val="22"/>
        </w:rPr>
        <w:t xml:space="preserve">una </w:t>
      </w:r>
      <w:r w:rsidR="0027767B" w:rsidRPr="00ED0CD3">
        <w:rPr>
          <w:sz w:val="22"/>
          <w:szCs w:val="22"/>
        </w:rPr>
        <w:t>sanci</w:t>
      </w:r>
      <w:r w:rsidR="000169D7" w:rsidRPr="00ED0CD3">
        <w:rPr>
          <w:sz w:val="22"/>
          <w:szCs w:val="22"/>
        </w:rPr>
        <w:t>ón administrativa</w:t>
      </w:r>
      <w:r w:rsidRPr="00ED0CD3">
        <w:rPr>
          <w:sz w:val="22"/>
          <w:szCs w:val="22"/>
        </w:rPr>
        <w:t>, en términos del último párrafo de la fracción VIII del artículo Segundo Transitorio de los lineamientos en comento; se propone la ampliación del plazo para dar cumplimiento a dicha obligación, de 6 meses a 2 años, contados a partir de la notificación del título de concesión respectivo, y la modificación de la sanción respectiva, medidas que permitirán que los concesionarios que hayan presentado su solicitud de autorización de manera extemporánea, estar en posibilidades reales, junto con el acompañamiento que otorgue este Instituto, de establecer la implementación de los mecanismos del artículo 86 de la Ley.</w:t>
      </w:r>
    </w:p>
    <w:p w14:paraId="1C9FBABA" w14:textId="77777777" w:rsidR="00DF74F2" w:rsidRPr="00ED0CD3" w:rsidRDefault="00DF74F2" w:rsidP="00DF74F2">
      <w:pPr>
        <w:pStyle w:val="Texto"/>
        <w:spacing w:after="0" w:line="276" w:lineRule="auto"/>
        <w:ind w:firstLine="0"/>
        <w:rPr>
          <w:sz w:val="22"/>
          <w:szCs w:val="22"/>
        </w:rPr>
      </w:pPr>
    </w:p>
    <w:p w14:paraId="36CB366E" w14:textId="77777777" w:rsidR="00BC257E" w:rsidRPr="00ED0CD3" w:rsidRDefault="00BC257E" w:rsidP="007478A6">
      <w:pPr>
        <w:pStyle w:val="Texto"/>
        <w:spacing w:after="0" w:line="276" w:lineRule="auto"/>
        <w:ind w:firstLine="0"/>
        <w:rPr>
          <w:sz w:val="22"/>
          <w:szCs w:val="22"/>
        </w:rPr>
      </w:pPr>
      <w:r w:rsidRPr="00ED0CD3">
        <w:rPr>
          <w:sz w:val="22"/>
          <w:szCs w:val="22"/>
        </w:rPr>
        <w:t xml:space="preserve">En esa tesitura, se propone la misma modificación a la fracción VIII del artículo SEGUNDO Transitorio de los Lineamientos, pues </w:t>
      </w:r>
      <w:r w:rsidR="00DF74F2" w:rsidRPr="00ED0CD3">
        <w:rPr>
          <w:sz w:val="22"/>
          <w:szCs w:val="22"/>
        </w:rPr>
        <w:t>ambos</w:t>
      </w:r>
      <w:r w:rsidRPr="00ED0CD3">
        <w:rPr>
          <w:sz w:val="22"/>
          <w:szCs w:val="22"/>
        </w:rPr>
        <w:t xml:space="preserve"> </w:t>
      </w:r>
      <w:r w:rsidR="00DF74F2" w:rsidRPr="00ED0CD3">
        <w:rPr>
          <w:sz w:val="22"/>
          <w:szCs w:val="22"/>
        </w:rPr>
        <w:t>artículos</w:t>
      </w:r>
      <w:r w:rsidRPr="00ED0CD3">
        <w:rPr>
          <w:sz w:val="22"/>
          <w:szCs w:val="22"/>
        </w:rPr>
        <w:t xml:space="preserve"> </w:t>
      </w:r>
      <w:r w:rsidR="00DF74F2" w:rsidRPr="00ED0CD3">
        <w:rPr>
          <w:sz w:val="22"/>
          <w:szCs w:val="22"/>
        </w:rPr>
        <w:t>deben ser armónico</w:t>
      </w:r>
      <w:r w:rsidRPr="00ED0CD3">
        <w:rPr>
          <w:sz w:val="22"/>
          <w:szCs w:val="22"/>
        </w:rPr>
        <w:t>s con los concesionarios que transitaron al nuevo régimen de concesionamiento y los nuevos entrantes que obtengan sus títulos de concesión de bandas de frecuencia en los términos de la Ley.</w:t>
      </w:r>
    </w:p>
    <w:p w14:paraId="2CF3F107" w14:textId="77777777" w:rsidR="00BC257E" w:rsidRPr="00ED0CD3" w:rsidRDefault="00BC257E" w:rsidP="007478A6">
      <w:pPr>
        <w:pStyle w:val="Texto"/>
        <w:spacing w:after="0" w:line="276" w:lineRule="auto"/>
        <w:ind w:firstLine="0"/>
        <w:rPr>
          <w:sz w:val="22"/>
          <w:szCs w:val="22"/>
        </w:rPr>
      </w:pPr>
    </w:p>
    <w:p w14:paraId="257275EE" w14:textId="502F8AC6" w:rsidR="00BC257E" w:rsidRPr="00ED0CD3" w:rsidRDefault="00BC257E" w:rsidP="007478A6">
      <w:pPr>
        <w:pStyle w:val="Texto"/>
        <w:spacing w:after="0" w:line="276" w:lineRule="auto"/>
        <w:ind w:firstLine="0"/>
        <w:rPr>
          <w:sz w:val="22"/>
          <w:szCs w:val="22"/>
        </w:rPr>
      </w:pPr>
      <w:r w:rsidRPr="00ED0CD3">
        <w:rPr>
          <w:sz w:val="22"/>
          <w:szCs w:val="22"/>
        </w:rPr>
        <w:t xml:space="preserve">Asimismo, </w:t>
      </w:r>
      <w:r w:rsidR="00105833" w:rsidRPr="00ED0CD3">
        <w:rPr>
          <w:sz w:val="22"/>
          <w:szCs w:val="22"/>
        </w:rPr>
        <w:t>considerando la armonía que debe prevalecer en el cuerpo normativo que se pretende modificar, se propone la disminución de la sanción administrativa establecida en la última parte de la fracción VIII del artículo del artículo SEGUNDO Transitorio de los Lineamientos, pues como ya se indicó la revocación de dichas concesiones para uso público, afectar</w:t>
      </w:r>
      <w:r w:rsidR="00934A55" w:rsidRPr="00ED0CD3">
        <w:rPr>
          <w:sz w:val="22"/>
          <w:szCs w:val="22"/>
        </w:rPr>
        <w:t>ía</w:t>
      </w:r>
      <w:r w:rsidR="00105833" w:rsidRPr="00ED0CD3">
        <w:rPr>
          <w:sz w:val="22"/>
          <w:szCs w:val="22"/>
        </w:rPr>
        <w:t xml:space="preserve"> directamente a las audiencias de diversas localidades de la República Mexicana, que actualmente reciben sus señales, pues no tendrán las opciones educativas, culturales, sociales que estas estaciones aportan, pues los contenidos que </w:t>
      </w:r>
      <w:r w:rsidR="00934A55" w:rsidRPr="00ED0CD3">
        <w:rPr>
          <w:sz w:val="22"/>
          <w:szCs w:val="22"/>
        </w:rPr>
        <w:t>é</w:t>
      </w:r>
      <w:r w:rsidR="00105833" w:rsidRPr="00ED0CD3">
        <w:rPr>
          <w:sz w:val="22"/>
          <w:szCs w:val="22"/>
        </w:rPr>
        <w:t>stos generan difícilmente podrán producirse en las concesiones de uso comercial.</w:t>
      </w:r>
    </w:p>
    <w:p w14:paraId="332303E1" w14:textId="77777777" w:rsidR="00535269" w:rsidRPr="00ED0CD3" w:rsidRDefault="00535269" w:rsidP="007478A6">
      <w:pPr>
        <w:pStyle w:val="Texto"/>
        <w:spacing w:after="0" w:line="276" w:lineRule="auto"/>
        <w:ind w:firstLine="0"/>
        <w:rPr>
          <w:sz w:val="22"/>
          <w:szCs w:val="22"/>
        </w:rPr>
      </w:pPr>
    </w:p>
    <w:p w14:paraId="61588F1A" w14:textId="4AEBB57B" w:rsidR="00535269" w:rsidRPr="00ED0CD3" w:rsidRDefault="00535269" w:rsidP="007478A6">
      <w:pPr>
        <w:pStyle w:val="Texto"/>
        <w:spacing w:after="0" w:line="276" w:lineRule="auto"/>
        <w:ind w:firstLine="0"/>
        <w:rPr>
          <w:sz w:val="22"/>
          <w:szCs w:val="22"/>
        </w:rPr>
      </w:pPr>
      <w:r w:rsidRPr="00ED0CD3">
        <w:rPr>
          <w:sz w:val="22"/>
          <w:szCs w:val="22"/>
        </w:rPr>
        <w:t xml:space="preserve">Ahora bien, por lo que hace al requisito </w:t>
      </w:r>
      <w:r w:rsidR="00C42CBF" w:rsidRPr="00ED0CD3">
        <w:rPr>
          <w:sz w:val="22"/>
          <w:szCs w:val="22"/>
        </w:rPr>
        <w:t xml:space="preserve">establecido en el artículo 8 fracción VII de los Lineamientos, el cual </w:t>
      </w:r>
      <w:r w:rsidR="00934A55" w:rsidRPr="00ED0CD3">
        <w:rPr>
          <w:sz w:val="22"/>
          <w:szCs w:val="22"/>
        </w:rPr>
        <w:t xml:space="preserve">indica </w:t>
      </w:r>
      <w:r w:rsidR="00C42CBF" w:rsidRPr="00ED0CD3">
        <w:rPr>
          <w:sz w:val="22"/>
          <w:szCs w:val="22"/>
        </w:rPr>
        <w:t>que los</w:t>
      </w:r>
      <w:r w:rsidRPr="00ED0CD3">
        <w:rPr>
          <w:sz w:val="22"/>
          <w:szCs w:val="22"/>
        </w:rPr>
        <w:t xml:space="preserve"> interesados en obtener una concesión de espectro radioeléctrico para uso público</w:t>
      </w:r>
      <w:r w:rsidR="00C42CBF" w:rsidRPr="00ED0CD3">
        <w:rPr>
          <w:sz w:val="22"/>
          <w:szCs w:val="22"/>
        </w:rPr>
        <w:t xml:space="preserve"> deberán solicitar por escrito al </w:t>
      </w:r>
      <w:r w:rsidRPr="00ED0CD3">
        <w:rPr>
          <w:sz w:val="22"/>
          <w:szCs w:val="22"/>
        </w:rPr>
        <w:t>Instituto</w:t>
      </w:r>
      <w:r w:rsidR="00C42CBF" w:rsidRPr="00ED0CD3">
        <w:rPr>
          <w:sz w:val="22"/>
          <w:szCs w:val="22"/>
        </w:rPr>
        <w:t>,</w:t>
      </w:r>
      <w:r w:rsidRPr="00ED0CD3">
        <w:rPr>
          <w:sz w:val="22"/>
          <w:szCs w:val="22"/>
        </w:rPr>
        <w:t xml:space="preserve"> previo a la presentación de su solicitud</w:t>
      </w:r>
      <w:r w:rsidR="00C42CBF" w:rsidRPr="00ED0CD3">
        <w:rPr>
          <w:sz w:val="22"/>
          <w:szCs w:val="22"/>
        </w:rPr>
        <w:t>,</w:t>
      </w:r>
      <w:r w:rsidRPr="00ED0CD3">
        <w:rPr>
          <w:sz w:val="22"/>
          <w:szCs w:val="22"/>
        </w:rPr>
        <w:t xml:space="preserve"> </w:t>
      </w:r>
      <w:r w:rsidR="00C42CBF" w:rsidRPr="00ED0CD3">
        <w:rPr>
          <w:sz w:val="22"/>
          <w:szCs w:val="22"/>
        </w:rPr>
        <w:t>la coordinación para</w:t>
      </w:r>
      <w:r w:rsidRPr="00ED0CD3">
        <w:rPr>
          <w:sz w:val="22"/>
          <w:szCs w:val="22"/>
        </w:rPr>
        <w:t xml:space="preserve"> determinar conjunt</w:t>
      </w:r>
      <w:r w:rsidR="00C42CBF" w:rsidRPr="00ED0CD3">
        <w:rPr>
          <w:sz w:val="22"/>
          <w:szCs w:val="22"/>
        </w:rPr>
        <w:t>amente</w:t>
      </w:r>
      <w:r w:rsidRPr="00ED0CD3">
        <w:rPr>
          <w:sz w:val="22"/>
          <w:szCs w:val="22"/>
        </w:rPr>
        <w:t xml:space="preserve"> </w:t>
      </w:r>
      <w:r w:rsidR="00C42CBF" w:rsidRPr="00ED0CD3">
        <w:rPr>
          <w:sz w:val="22"/>
          <w:szCs w:val="22"/>
        </w:rPr>
        <w:t>sus</w:t>
      </w:r>
      <w:r w:rsidRPr="00ED0CD3">
        <w:rPr>
          <w:sz w:val="22"/>
          <w:szCs w:val="22"/>
        </w:rPr>
        <w:t xml:space="preserve"> necesidades espectrales</w:t>
      </w:r>
      <w:r w:rsidR="00C42CBF" w:rsidRPr="00ED0CD3">
        <w:rPr>
          <w:sz w:val="22"/>
          <w:szCs w:val="22"/>
        </w:rPr>
        <w:t>,</w:t>
      </w:r>
      <w:r w:rsidRPr="00ED0CD3">
        <w:rPr>
          <w:sz w:val="22"/>
          <w:szCs w:val="22"/>
        </w:rPr>
        <w:t xml:space="preserve"> se ha observado que dicho requisito además de representar una carga administrativa</w:t>
      </w:r>
      <w:r w:rsidR="00C42CBF" w:rsidRPr="00ED0CD3">
        <w:rPr>
          <w:sz w:val="22"/>
          <w:szCs w:val="22"/>
        </w:rPr>
        <w:t>,</w:t>
      </w:r>
      <w:r w:rsidRPr="00ED0CD3">
        <w:rPr>
          <w:sz w:val="22"/>
          <w:szCs w:val="22"/>
        </w:rPr>
        <w:t xml:space="preserve"> no ha reportado </w:t>
      </w:r>
      <w:r w:rsidR="00C42CBF" w:rsidRPr="00ED0CD3">
        <w:rPr>
          <w:sz w:val="22"/>
          <w:szCs w:val="22"/>
        </w:rPr>
        <w:t>una mejora en cuanto a los tiempos de respuesta</w:t>
      </w:r>
      <w:r w:rsidR="003267E5" w:rsidRPr="00ED0CD3">
        <w:rPr>
          <w:sz w:val="22"/>
          <w:szCs w:val="22"/>
        </w:rPr>
        <w:t>,</w:t>
      </w:r>
      <w:r w:rsidR="00C42CBF" w:rsidRPr="00ED0CD3">
        <w:rPr>
          <w:sz w:val="22"/>
          <w:szCs w:val="22"/>
        </w:rPr>
        <w:t xml:space="preserve"> </w:t>
      </w:r>
      <w:r w:rsidR="003267E5" w:rsidRPr="00ED0CD3">
        <w:rPr>
          <w:sz w:val="22"/>
          <w:szCs w:val="22"/>
        </w:rPr>
        <w:t xml:space="preserve">respecto a las solicitudes de este </w:t>
      </w:r>
      <w:r w:rsidR="003267E5" w:rsidRPr="00ED0CD3">
        <w:rPr>
          <w:sz w:val="22"/>
          <w:szCs w:val="22"/>
        </w:rPr>
        <w:lastRenderedPageBreak/>
        <w:t xml:space="preserve">tipo, </w:t>
      </w:r>
      <w:r w:rsidR="00C42CBF" w:rsidRPr="00ED0CD3">
        <w:rPr>
          <w:sz w:val="22"/>
          <w:szCs w:val="22"/>
        </w:rPr>
        <w:t>por parte del área técnica del Instituto ni ha disminuido el número de requerimientos técnicos</w:t>
      </w:r>
      <w:r w:rsidR="003267E5" w:rsidRPr="00ED0CD3">
        <w:rPr>
          <w:sz w:val="22"/>
          <w:szCs w:val="22"/>
        </w:rPr>
        <w:t xml:space="preserve"> a los interesados. Derivado de lo anterior, s</w:t>
      </w:r>
      <w:r w:rsidR="00C42CBF" w:rsidRPr="00ED0CD3">
        <w:rPr>
          <w:sz w:val="22"/>
          <w:szCs w:val="22"/>
        </w:rPr>
        <w:t>e propone su</w:t>
      </w:r>
      <w:r w:rsidR="003267E5" w:rsidRPr="00ED0CD3">
        <w:rPr>
          <w:sz w:val="22"/>
          <w:szCs w:val="22"/>
        </w:rPr>
        <w:t xml:space="preserve"> eliminación.</w:t>
      </w:r>
      <w:r w:rsidR="00C42CBF" w:rsidRPr="00ED0CD3">
        <w:rPr>
          <w:sz w:val="22"/>
          <w:szCs w:val="22"/>
        </w:rPr>
        <w:t xml:space="preserve"> </w:t>
      </w:r>
    </w:p>
    <w:p w14:paraId="1D76B369" w14:textId="77777777" w:rsidR="00723678" w:rsidRPr="00ED0CD3" w:rsidRDefault="00723678" w:rsidP="007478A6">
      <w:pPr>
        <w:pStyle w:val="Texto"/>
        <w:spacing w:after="0" w:line="276" w:lineRule="auto"/>
        <w:ind w:firstLine="0"/>
        <w:rPr>
          <w:sz w:val="22"/>
          <w:szCs w:val="22"/>
        </w:rPr>
      </w:pPr>
    </w:p>
    <w:p w14:paraId="6DCD8A40" w14:textId="79A95D00" w:rsidR="009D53C8" w:rsidRPr="00ED0CD3" w:rsidRDefault="009D53C8" w:rsidP="007478A6">
      <w:pPr>
        <w:pStyle w:val="Texto"/>
        <w:spacing w:after="0" w:line="276" w:lineRule="auto"/>
        <w:ind w:firstLine="0"/>
        <w:rPr>
          <w:sz w:val="22"/>
          <w:szCs w:val="22"/>
        </w:rPr>
      </w:pPr>
      <w:r w:rsidRPr="00ED0CD3">
        <w:rPr>
          <w:sz w:val="22"/>
          <w:szCs w:val="22"/>
        </w:rPr>
        <w:t>Por otro lado, se propone la eliminación de la parte inicial del tercer párrafo del artículo 13 de los Lineamientos, pues con ello se busca eliminar la carga administrativa a cargo de los solicitantes y concesionarios referente a rubricar y foliar todas las hojas de la solicitud y sus anexos por parte del mismo solicitante o a través de s</w:t>
      </w:r>
      <w:r w:rsidR="00934A55" w:rsidRPr="00ED0CD3">
        <w:rPr>
          <w:sz w:val="22"/>
          <w:szCs w:val="22"/>
        </w:rPr>
        <w:t>u</w:t>
      </w:r>
      <w:r w:rsidRPr="00ED0CD3">
        <w:rPr>
          <w:sz w:val="22"/>
          <w:szCs w:val="22"/>
        </w:rPr>
        <w:t xml:space="preserve"> representante legal, pues se considera que dicho requisito es un exceso y no tiene mayor trascendencia en la documentación presentada. </w:t>
      </w:r>
    </w:p>
    <w:p w14:paraId="013DA18E" w14:textId="77777777" w:rsidR="009D53C8" w:rsidRPr="00ED0CD3" w:rsidRDefault="009D53C8" w:rsidP="007478A6">
      <w:pPr>
        <w:pStyle w:val="Texto"/>
        <w:spacing w:after="0" w:line="276" w:lineRule="auto"/>
        <w:ind w:firstLine="0"/>
        <w:rPr>
          <w:sz w:val="22"/>
          <w:szCs w:val="22"/>
        </w:rPr>
      </w:pPr>
    </w:p>
    <w:p w14:paraId="346B7212" w14:textId="77777777" w:rsidR="00FB2B9E" w:rsidRPr="00ED0CD3" w:rsidRDefault="00FB2B9E" w:rsidP="007478A6">
      <w:pPr>
        <w:pStyle w:val="Texto"/>
        <w:spacing w:after="0" w:line="276" w:lineRule="auto"/>
        <w:ind w:firstLine="0"/>
        <w:rPr>
          <w:sz w:val="22"/>
          <w:szCs w:val="22"/>
        </w:rPr>
      </w:pPr>
      <w:r w:rsidRPr="00ED0CD3">
        <w:rPr>
          <w:sz w:val="22"/>
          <w:szCs w:val="22"/>
        </w:rPr>
        <w:t>Por las razones antes expuestas, con fundamento en lo dispuesto por los artículos 6º y 28, párrafo décimo quinto de la Constitución Política de los Estados Unidos Mexicanos; 1, 2, 7, 15, fracciones I y LVI, 17 fracción I y 51 de la Ley Federal de Telecomunicaciones y Radiodifusión; y 1, 4 fracción I y 6 fracción I del Estatuto Orgánico del Instituto Federal de Telecomunicaciones, se expide el siguiente:</w:t>
      </w:r>
    </w:p>
    <w:p w14:paraId="1903D9D6" w14:textId="77777777" w:rsidR="00723678" w:rsidRPr="00ED0CD3" w:rsidRDefault="00723678" w:rsidP="007478A6">
      <w:pPr>
        <w:pStyle w:val="Texto"/>
        <w:spacing w:after="0" w:line="276" w:lineRule="auto"/>
        <w:rPr>
          <w:sz w:val="22"/>
          <w:szCs w:val="22"/>
        </w:rPr>
      </w:pPr>
    </w:p>
    <w:p w14:paraId="43C895AF" w14:textId="77777777" w:rsidR="00FB2B9E" w:rsidRPr="00ED0CD3" w:rsidRDefault="00DF74F2" w:rsidP="007478A6">
      <w:pPr>
        <w:pStyle w:val="ANOTACION"/>
        <w:spacing w:before="0" w:after="0" w:line="276" w:lineRule="auto"/>
        <w:rPr>
          <w:rFonts w:ascii="Arial" w:hAnsi="Arial" w:cs="Arial"/>
          <w:sz w:val="22"/>
          <w:szCs w:val="22"/>
        </w:rPr>
      </w:pPr>
      <w:r w:rsidRPr="00ED0CD3">
        <w:rPr>
          <w:rFonts w:ascii="Arial" w:hAnsi="Arial" w:cs="Arial"/>
          <w:sz w:val="22"/>
          <w:szCs w:val="22"/>
        </w:rPr>
        <w:t>Acuerdo</w:t>
      </w:r>
    </w:p>
    <w:p w14:paraId="01233FD8" w14:textId="77777777" w:rsidR="00723678" w:rsidRPr="00ED0CD3" w:rsidRDefault="00723678" w:rsidP="007478A6">
      <w:pPr>
        <w:pStyle w:val="ANOTACION"/>
        <w:spacing w:before="0" w:after="0" w:line="276" w:lineRule="auto"/>
        <w:rPr>
          <w:rFonts w:ascii="Arial" w:hAnsi="Arial" w:cs="Arial"/>
          <w:sz w:val="22"/>
          <w:szCs w:val="22"/>
        </w:rPr>
      </w:pPr>
    </w:p>
    <w:p w14:paraId="4054F46C" w14:textId="3145D1BC" w:rsidR="00EA5E48" w:rsidRPr="00ED0CD3" w:rsidRDefault="00DF74F2" w:rsidP="007478A6">
      <w:pPr>
        <w:pStyle w:val="Texto"/>
        <w:spacing w:after="0" w:line="276" w:lineRule="auto"/>
        <w:ind w:firstLine="0"/>
        <w:rPr>
          <w:sz w:val="22"/>
          <w:szCs w:val="22"/>
        </w:rPr>
      </w:pPr>
      <w:r w:rsidRPr="00ED0CD3">
        <w:rPr>
          <w:b/>
          <w:sz w:val="22"/>
          <w:szCs w:val="22"/>
        </w:rPr>
        <w:t>Primero</w:t>
      </w:r>
      <w:r w:rsidR="00EA5E48" w:rsidRPr="00ED0CD3">
        <w:rPr>
          <w:b/>
          <w:sz w:val="22"/>
          <w:szCs w:val="22"/>
        </w:rPr>
        <w:t xml:space="preserve">. </w:t>
      </w:r>
      <w:r w:rsidR="00DF59EA" w:rsidRPr="00ED0CD3">
        <w:rPr>
          <w:sz w:val="22"/>
          <w:szCs w:val="22"/>
        </w:rPr>
        <w:t xml:space="preserve">Se </w:t>
      </w:r>
      <w:r w:rsidR="00DF59EA" w:rsidRPr="00ED0CD3">
        <w:rPr>
          <w:b/>
          <w:sz w:val="22"/>
          <w:szCs w:val="22"/>
        </w:rPr>
        <w:t xml:space="preserve">MODIFICAN </w:t>
      </w:r>
      <w:r w:rsidR="00DF59EA" w:rsidRPr="00ED0CD3">
        <w:rPr>
          <w:sz w:val="22"/>
          <w:szCs w:val="22"/>
        </w:rPr>
        <w:t>los artículos 3</w:t>
      </w:r>
      <w:r w:rsidR="000579A6" w:rsidRPr="00ED0CD3">
        <w:rPr>
          <w:sz w:val="22"/>
          <w:szCs w:val="22"/>
        </w:rPr>
        <w:t>, fracción I</w:t>
      </w:r>
      <w:r w:rsidR="00C928BF" w:rsidRPr="00ED0CD3">
        <w:rPr>
          <w:sz w:val="22"/>
          <w:szCs w:val="22"/>
        </w:rPr>
        <w:t>,</w:t>
      </w:r>
      <w:r w:rsidR="00DF59EA" w:rsidRPr="00ED0CD3">
        <w:rPr>
          <w:sz w:val="22"/>
          <w:szCs w:val="22"/>
        </w:rPr>
        <w:t xml:space="preserve"> </w:t>
      </w:r>
      <w:r w:rsidR="00EA5E48" w:rsidRPr="00ED0CD3">
        <w:rPr>
          <w:sz w:val="22"/>
          <w:szCs w:val="22"/>
        </w:rPr>
        <w:t>inciso c)</w:t>
      </w:r>
      <w:r w:rsidR="001B71D0" w:rsidRPr="00ED0CD3">
        <w:rPr>
          <w:sz w:val="22"/>
          <w:szCs w:val="22"/>
        </w:rPr>
        <w:t xml:space="preserve"> </w:t>
      </w:r>
      <w:r w:rsidR="00057A33" w:rsidRPr="00ED0CD3">
        <w:rPr>
          <w:sz w:val="22"/>
          <w:szCs w:val="22"/>
        </w:rPr>
        <w:t>p</w:t>
      </w:r>
      <w:r w:rsidR="001B71D0" w:rsidRPr="00ED0CD3">
        <w:rPr>
          <w:sz w:val="22"/>
          <w:szCs w:val="22"/>
        </w:rPr>
        <w:t>rimer y segundo</w:t>
      </w:r>
      <w:r w:rsidR="00057A33" w:rsidRPr="00ED0CD3">
        <w:rPr>
          <w:sz w:val="22"/>
          <w:szCs w:val="22"/>
        </w:rPr>
        <w:t xml:space="preserve"> párrafo</w:t>
      </w:r>
      <w:r w:rsidR="00920262" w:rsidRPr="00ED0CD3">
        <w:rPr>
          <w:sz w:val="22"/>
          <w:szCs w:val="22"/>
        </w:rPr>
        <w:t>;</w:t>
      </w:r>
      <w:r w:rsidR="000579A6" w:rsidRPr="00ED0CD3">
        <w:rPr>
          <w:sz w:val="22"/>
          <w:szCs w:val="22"/>
        </w:rPr>
        <w:t xml:space="preserve"> fracción III</w:t>
      </w:r>
      <w:r w:rsidR="00C928BF" w:rsidRPr="00ED0CD3">
        <w:rPr>
          <w:sz w:val="22"/>
          <w:szCs w:val="22"/>
        </w:rPr>
        <w:t>,</w:t>
      </w:r>
      <w:r w:rsidR="000579A6" w:rsidRPr="00ED0CD3">
        <w:rPr>
          <w:sz w:val="22"/>
          <w:szCs w:val="22"/>
        </w:rPr>
        <w:t xml:space="preserve"> incisos a) y b)</w:t>
      </w:r>
      <w:r w:rsidR="00920262" w:rsidRPr="00ED0CD3">
        <w:rPr>
          <w:sz w:val="22"/>
          <w:szCs w:val="22"/>
        </w:rPr>
        <w:t xml:space="preserve"> </w:t>
      </w:r>
      <w:r w:rsidR="001B71D0" w:rsidRPr="00ED0CD3">
        <w:rPr>
          <w:sz w:val="22"/>
          <w:szCs w:val="22"/>
        </w:rPr>
        <w:t>primer, tercer y cuarto</w:t>
      </w:r>
      <w:r w:rsidR="00026D9C" w:rsidRPr="00ED0CD3">
        <w:rPr>
          <w:sz w:val="22"/>
          <w:szCs w:val="22"/>
        </w:rPr>
        <w:t xml:space="preserve"> párrafo</w:t>
      </w:r>
      <w:r w:rsidR="00920262" w:rsidRPr="00ED0CD3">
        <w:rPr>
          <w:sz w:val="22"/>
          <w:szCs w:val="22"/>
        </w:rPr>
        <w:t>;</w:t>
      </w:r>
      <w:r w:rsidR="000579A6" w:rsidRPr="00ED0CD3">
        <w:rPr>
          <w:sz w:val="22"/>
          <w:szCs w:val="22"/>
        </w:rPr>
        <w:t xml:space="preserve"> fracción IV</w:t>
      </w:r>
      <w:r w:rsidR="00C928BF" w:rsidRPr="00ED0CD3">
        <w:rPr>
          <w:sz w:val="22"/>
          <w:szCs w:val="22"/>
        </w:rPr>
        <w:t>,</w:t>
      </w:r>
      <w:r w:rsidR="000579A6" w:rsidRPr="00ED0CD3">
        <w:rPr>
          <w:sz w:val="22"/>
          <w:szCs w:val="22"/>
        </w:rPr>
        <w:t xml:space="preserve"> inciso</w:t>
      </w:r>
      <w:r w:rsidR="002E1C09" w:rsidRPr="00ED0CD3">
        <w:rPr>
          <w:sz w:val="22"/>
          <w:szCs w:val="22"/>
        </w:rPr>
        <w:t>s</w:t>
      </w:r>
      <w:r w:rsidR="000579A6" w:rsidRPr="00ED0CD3">
        <w:rPr>
          <w:sz w:val="22"/>
          <w:szCs w:val="22"/>
        </w:rPr>
        <w:t xml:space="preserve"> a)</w:t>
      </w:r>
      <w:r w:rsidR="00920262" w:rsidRPr="00ED0CD3">
        <w:rPr>
          <w:sz w:val="22"/>
          <w:szCs w:val="22"/>
        </w:rPr>
        <w:t xml:space="preserve"> primer y segundo párrafo</w:t>
      </w:r>
      <w:r w:rsidR="000579A6" w:rsidRPr="00ED0CD3">
        <w:rPr>
          <w:sz w:val="22"/>
          <w:szCs w:val="22"/>
        </w:rPr>
        <w:t xml:space="preserve"> y b) segundo, tercer y </w:t>
      </w:r>
      <w:r w:rsidR="00026D9C" w:rsidRPr="00ED0CD3">
        <w:rPr>
          <w:sz w:val="22"/>
          <w:szCs w:val="22"/>
        </w:rPr>
        <w:t>quinto párrafo</w:t>
      </w:r>
      <w:r w:rsidR="008256C2" w:rsidRPr="00ED0CD3">
        <w:rPr>
          <w:sz w:val="22"/>
          <w:szCs w:val="22"/>
        </w:rPr>
        <w:t>;</w:t>
      </w:r>
      <w:r w:rsidR="000579A6" w:rsidRPr="00ED0CD3">
        <w:rPr>
          <w:sz w:val="22"/>
          <w:szCs w:val="22"/>
        </w:rPr>
        <w:t xml:space="preserve"> fracción V</w:t>
      </w:r>
      <w:r w:rsidR="008256C2" w:rsidRPr="00ED0CD3">
        <w:rPr>
          <w:sz w:val="22"/>
          <w:szCs w:val="22"/>
        </w:rPr>
        <w:t>, primer párrafo</w:t>
      </w:r>
      <w:r w:rsidR="00C6087C" w:rsidRPr="00ED0CD3">
        <w:rPr>
          <w:sz w:val="22"/>
          <w:szCs w:val="22"/>
        </w:rPr>
        <w:t xml:space="preserve"> y </w:t>
      </w:r>
      <w:r w:rsidR="00A64E94" w:rsidRPr="00ED0CD3">
        <w:rPr>
          <w:sz w:val="22"/>
          <w:szCs w:val="22"/>
        </w:rPr>
        <w:t xml:space="preserve">fracción </w:t>
      </w:r>
      <w:r w:rsidR="00C6087C" w:rsidRPr="00ED0CD3">
        <w:rPr>
          <w:sz w:val="22"/>
          <w:szCs w:val="22"/>
        </w:rPr>
        <w:t>VI</w:t>
      </w:r>
      <w:r w:rsidR="00245DBB" w:rsidRPr="00ED0CD3">
        <w:rPr>
          <w:sz w:val="22"/>
          <w:szCs w:val="22"/>
        </w:rPr>
        <w:t>;</w:t>
      </w:r>
      <w:r w:rsidR="00DF59EA" w:rsidRPr="00ED0CD3">
        <w:rPr>
          <w:sz w:val="22"/>
          <w:szCs w:val="22"/>
        </w:rPr>
        <w:t xml:space="preserve"> </w:t>
      </w:r>
      <w:r w:rsidR="00245DBB" w:rsidRPr="00ED0CD3">
        <w:rPr>
          <w:sz w:val="22"/>
          <w:szCs w:val="22"/>
        </w:rPr>
        <w:t>8</w:t>
      </w:r>
      <w:r w:rsidR="00A64E94" w:rsidRPr="00ED0CD3">
        <w:rPr>
          <w:sz w:val="22"/>
          <w:szCs w:val="22"/>
        </w:rPr>
        <w:t>,</w:t>
      </w:r>
      <w:r w:rsidR="00920262" w:rsidRPr="00ED0CD3">
        <w:rPr>
          <w:sz w:val="22"/>
          <w:szCs w:val="22"/>
        </w:rPr>
        <w:t xml:space="preserve"> </w:t>
      </w:r>
      <w:r w:rsidR="000579A6" w:rsidRPr="00ED0CD3">
        <w:rPr>
          <w:sz w:val="22"/>
          <w:szCs w:val="22"/>
        </w:rPr>
        <w:t>primer párrafo, y fracción VI, inciso a);</w:t>
      </w:r>
      <w:r w:rsidR="00245DBB" w:rsidRPr="00ED0CD3">
        <w:rPr>
          <w:sz w:val="22"/>
          <w:szCs w:val="22"/>
        </w:rPr>
        <w:t xml:space="preserve"> 13, </w:t>
      </w:r>
      <w:r w:rsidR="002E1C09" w:rsidRPr="00ED0CD3">
        <w:rPr>
          <w:sz w:val="22"/>
          <w:szCs w:val="22"/>
        </w:rPr>
        <w:t>segundo</w:t>
      </w:r>
      <w:r w:rsidR="000579A6" w:rsidRPr="00ED0CD3">
        <w:rPr>
          <w:sz w:val="22"/>
          <w:szCs w:val="22"/>
        </w:rPr>
        <w:t xml:space="preserve"> y </w:t>
      </w:r>
      <w:r w:rsidR="002E1C09" w:rsidRPr="00ED0CD3">
        <w:rPr>
          <w:sz w:val="22"/>
          <w:szCs w:val="22"/>
        </w:rPr>
        <w:t xml:space="preserve">tercer </w:t>
      </w:r>
      <w:r w:rsidR="00245DBB" w:rsidRPr="00ED0CD3">
        <w:rPr>
          <w:sz w:val="22"/>
          <w:szCs w:val="22"/>
        </w:rPr>
        <w:t>párrafo;</w:t>
      </w:r>
      <w:r w:rsidR="002E711C" w:rsidRPr="00ED0CD3">
        <w:rPr>
          <w:sz w:val="22"/>
          <w:szCs w:val="22"/>
        </w:rPr>
        <w:t xml:space="preserve"> 21</w:t>
      </w:r>
      <w:r w:rsidR="00C928BF" w:rsidRPr="00ED0CD3">
        <w:rPr>
          <w:sz w:val="22"/>
          <w:szCs w:val="22"/>
        </w:rPr>
        <w:t xml:space="preserve">, primer y </w:t>
      </w:r>
      <w:r w:rsidR="00886EC7" w:rsidRPr="00ED0CD3">
        <w:rPr>
          <w:sz w:val="22"/>
          <w:szCs w:val="22"/>
        </w:rPr>
        <w:t>tercer</w:t>
      </w:r>
      <w:r w:rsidR="00C928BF" w:rsidRPr="00ED0CD3">
        <w:rPr>
          <w:sz w:val="22"/>
          <w:szCs w:val="22"/>
        </w:rPr>
        <w:t xml:space="preserve"> párrafo</w:t>
      </w:r>
      <w:r w:rsidR="002E1C09" w:rsidRPr="00ED0CD3">
        <w:rPr>
          <w:sz w:val="22"/>
          <w:szCs w:val="22"/>
        </w:rPr>
        <w:t>;</w:t>
      </w:r>
      <w:r w:rsidR="00245DBB" w:rsidRPr="00ED0CD3">
        <w:rPr>
          <w:sz w:val="22"/>
          <w:szCs w:val="22"/>
        </w:rPr>
        <w:t xml:space="preserve"> </w:t>
      </w:r>
      <w:r w:rsidR="00A64E94" w:rsidRPr="00ED0CD3">
        <w:rPr>
          <w:sz w:val="22"/>
          <w:szCs w:val="22"/>
        </w:rPr>
        <w:t xml:space="preserve">se </w:t>
      </w:r>
      <w:r w:rsidR="00245DBB" w:rsidRPr="00ED0CD3">
        <w:rPr>
          <w:b/>
          <w:sz w:val="22"/>
          <w:szCs w:val="22"/>
        </w:rPr>
        <w:t xml:space="preserve">ADICIONAN </w:t>
      </w:r>
      <w:r w:rsidR="00A64E94" w:rsidRPr="00ED0CD3">
        <w:rPr>
          <w:sz w:val="22"/>
          <w:szCs w:val="22"/>
        </w:rPr>
        <w:t>a</w:t>
      </w:r>
      <w:r w:rsidR="00A64E94" w:rsidRPr="00ED0CD3">
        <w:rPr>
          <w:b/>
          <w:sz w:val="22"/>
          <w:szCs w:val="22"/>
        </w:rPr>
        <w:t xml:space="preserve"> </w:t>
      </w:r>
      <w:r w:rsidR="00245DBB" w:rsidRPr="00ED0CD3">
        <w:rPr>
          <w:sz w:val="22"/>
          <w:szCs w:val="22"/>
        </w:rPr>
        <w:t>los artículos 3</w:t>
      </w:r>
      <w:r w:rsidR="00C928BF" w:rsidRPr="00ED0CD3">
        <w:rPr>
          <w:sz w:val="22"/>
          <w:szCs w:val="22"/>
        </w:rPr>
        <w:t>, fracción IV, inciso b)</w:t>
      </w:r>
      <w:r w:rsidR="00245DBB" w:rsidRPr="00ED0CD3">
        <w:rPr>
          <w:sz w:val="22"/>
          <w:szCs w:val="22"/>
        </w:rPr>
        <w:t xml:space="preserve">, </w:t>
      </w:r>
      <w:r w:rsidR="00A64E94" w:rsidRPr="00ED0CD3">
        <w:rPr>
          <w:sz w:val="22"/>
          <w:szCs w:val="22"/>
        </w:rPr>
        <w:t xml:space="preserve">un </w:t>
      </w:r>
      <w:r w:rsidR="008256C2" w:rsidRPr="00ED0CD3">
        <w:rPr>
          <w:sz w:val="22"/>
          <w:szCs w:val="22"/>
        </w:rPr>
        <w:t>sexto</w:t>
      </w:r>
      <w:r w:rsidR="00E159BD" w:rsidRPr="00ED0CD3">
        <w:rPr>
          <w:sz w:val="22"/>
          <w:szCs w:val="22"/>
        </w:rPr>
        <w:t xml:space="preserve"> párrafo y </w:t>
      </w:r>
      <w:r w:rsidR="00C928BF" w:rsidRPr="00ED0CD3">
        <w:rPr>
          <w:sz w:val="22"/>
          <w:szCs w:val="22"/>
        </w:rPr>
        <w:t xml:space="preserve">fracción V, </w:t>
      </w:r>
      <w:r w:rsidR="00A64E94" w:rsidRPr="00ED0CD3">
        <w:rPr>
          <w:sz w:val="22"/>
          <w:szCs w:val="22"/>
        </w:rPr>
        <w:t xml:space="preserve">un </w:t>
      </w:r>
      <w:r w:rsidR="00570B0E" w:rsidRPr="00ED0CD3">
        <w:rPr>
          <w:sz w:val="22"/>
          <w:szCs w:val="22"/>
        </w:rPr>
        <w:t xml:space="preserve">segundo </w:t>
      </w:r>
      <w:r w:rsidR="00E159BD" w:rsidRPr="00ED0CD3">
        <w:rPr>
          <w:sz w:val="22"/>
          <w:szCs w:val="22"/>
        </w:rPr>
        <w:t>párrafo</w:t>
      </w:r>
      <w:r w:rsidR="008130F0" w:rsidRPr="00ED0CD3">
        <w:rPr>
          <w:sz w:val="22"/>
          <w:szCs w:val="22"/>
        </w:rPr>
        <w:t>;</w:t>
      </w:r>
      <w:r w:rsidR="00245DBB" w:rsidRPr="00ED0CD3">
        <w:rPr>
          <w:sz w:val="22"/>
          <w:szCs w:val="22"/>
        </w:rPr>
        <w:t xml:space="preserve"> </w:t>
      </w:r>
      <w:r w:rsidR="00C928BF" w:rsidRPr="00ED0CD3">
        <w:rPr>
          <w:sz w:val="22"/>
          <w:szCs w:val="22"/>
        </w:rPr>
        <w:t xml:space="preserve">8, fracción IV, </w:t>
      </w:r>
      <w:r w:rsidR="00A64E94" w:rsidRPr="00ED0CD3">
        <w:rPr>
          <w:sz w:val="22"/>
          <w:szCs w:val="22"/>
        </w:rPr>
        <w:t xml:space="preserve">los párrafos </w:t>
      </w:r>
      <w:r w:rsidR="000B6E67" w:rsidRPr="00ED0CD3">
        <w:rPr>
          <w:sz w:val="22"/>
          <w:szCs w:val="22"/>
        </w:rPr>
        <w:t>tercer</w:t>
      </w:r>
      <w:r w:rsidR="00A64E94" w:rsidRPr="00ED0CD3">
        <w:rPr>
          <w:sz w:val="22"/>
          <w:szCs w:val="22"/>
        </w:rPr>
        <w:t>o</w:t>
      </w:r>
      <w:r w:rsidR="000B6E67" w:rsidRPr="00ED0CD3">
        <w:rPr>
          <w:sz w:val="22"/>
          <w:szCs w:val="22"/>
        </w:rPr>
        <w:t>, cuarto y quinto</w:t>
      </w:r>
      <w:r w:rsidR="008130F0" w:rsidRPr="00ED0CD3">
        <w:rPr>
          <w:sz w:val="22"/>
          <w:szCs w:val="22"/>
        </w:rPr>
        <w:t xml:space="preserve">; </w:t>
      </w:r>
      <w:r w:rsidR="008669FB" w:rsidRPr="00ED0CD3">
        <w:rPr>
          <w:sz w:val="22"/>
          <w:szCs w:val="22"/>
        </w:rPr>
        <w:t xml:space="preserve">14, </w:t>
      </w:r>
      <w:r w:rsidR="00A64E94" w:rsidRPr="00ED0CD3">
        <w:rPr>
          <w:sz w:val="22"/>
          <w:szCs w:val="22"/>
        </w:rPr>
        <w:t xml:space="preserve">un </w:t>
      </w:r>
      <w:r w:rsidR="008669FB" w:rsidRPr="00ED0CD3">
        <w:rPr>
          <w:sz w:val="22"/>
          <w:szCs w:val="22"/>
        </w:rPr>
        <w:t>tercer párrafo</w:t>
      </w:r>
      <w:r w:rsidR="00850B4D" w:rsidRPr="00ED0CD3">
        <w:rPr>
          <w:sz w:val="22"/>
          <w:szCs w:val="22"/>
        </w:rPr>
        <w:t>;</w:t>
      </w:r>
      <w:r w:rsidR="008669FB" w:rsidRPr="00ED0CD3">
        <w:rPr>
          <w:sz w:val="22"/>
          <w:szCs w:val="22"/>
        </w:rPr>
        <w:t xml:space="preserve"> </w:t>
      </w:r>
      <w:r w:rsidR="003442F8" w:rsidRPr="00ED0CD3">
        <w:rPr>
          <w:sz w:val="22"/>
          <w:szCs w:val="22"/>
        </w:rPr>
        <w:t xml:space="preserve">19, </w:t>
      </w:r>
      <w:r w:rsidR="00A64E94" w:rsidRPr="00ED0CD3">
        <w:rPr>
          <w:sz w:val="22"/>
          <w:szCs w:val="22"/>
        </w:rPr>
        <w:t xml:space="preserve">un </w:t>
      </w:r>
      <w:r w:rsidR="00886EC7" w:rsidRPr="00ED0CD3">
        <w:rPr>
          <w:sz w:val="22"/>
          <w:szCs w:val="22"/>
        </w:rPr>
        <w:t xml:space="preserve">segundo </w:t>
      </w:r>
      <w:r w:rsidR="003442F8" w:rsidRPr="00ED0CD3">
        <w:rPr>
          <w:sz w:val="22"/>
          <w:szCs w:val="22"/>
        </w:rPr>
        <w:t>párrafo</w:t>
      </w:r>
      <w:r w:rsidR="007E73DC" w:rsidRPr="00ED0CD3">
        <w:rPr>
          <w:sz w:val="22"/>
          <w:szCs w:val="22"/>
        </w:rPr>
        <w:t xml:space="preserve">, </w:t>
      </w:r>
      <w:r w:rsidR="00C928BF" w:rsidRPr="00ED0CD3">
        <w:rPr>
          <w:sz w:val="22"/>
          <w:szCs w:val="22"/>
        </w:rPr>
        <w:t xml:space="preserve">y </w:t>
      </w:r>
      <w:r w:rsidR="007E73DC" w:rsidRPr="00ED0CD3">
        <w:rPr>
          <w:sz w:val="22"/>
          <w:szCs w:val="22"/>
        </w:rPr>
        <w:t xml:space="preserve">se </w:t>
      </w:r>
      <w:r w:rsidR="007E73DC" w:rsidRPr="00ED0CD3">
        <w:rPr>
          <w:b/>
          <w:sz w:val="22"/>
          <w:szCs w:val="22"/>
        </w:rPr>
        <w:t>ELIMINA</w:t>
      </w:r>
      <w:r w:rsidR="007E73DC" w:rsidRPr="00ED0CD3">
        <w:rPr>
          <w:sz w:val="22"/>
          <w:szCs w:val="22"/>
        </w:rPr>
        <w:t xml:space="preserve"> </w:t>
      </w:r>
      <w:r w:rsidR="00C928BF" w:rsidRPr="00ED0CD3">
        <w:rPr>
          <w:sz w:val="22"/>
          <w:szCs w:val="22"/>
        </w:rPr>
        <w:t>de los artículo</w:t>
      </w:r>
      <w:r w:rsidR="00A64E94" w:rsidRPr="00ED0CD3">
        <w:rPr>
          <w:sz w:val="22"/>
          <w:szCs w:val="22"/>
        </w:rPr>
        <w:t>s</w:t>
      </w:r>
      <w:r w:rsidR="00C928BF" w:rsidRPr="00ED0CD3">
        <w:rPr>
          <w:sz w:val="22"/>
          <w:szCs w:val="22"/>
        </w:rPr>
        <w:t xml:space="preserve"> 8,</w:t>
      </w:r>
      <w:r w:rsidR="007E73DC" w:rsidRPr="00ED0CD3">
        <w:rPr>
          <w:sz w:val="22"/>
          <w:szCs w:val="22"/>
        </w:rPr>
        <w:t xml:space="preserve"> </w:t>
      </w:r>
      <w:r w:rsidR="00A64E94" w:rsidRPr="00ED0CD3">
        <w:rPr>
          <w:sz w:val="22"/>
          <w:szCs w:val="22"/>
        </w:rPr>
        <w:t xml:space="preserve">la </w:t>
      </w:r>
      <w:r w:rsidR="007E73DC" w:rsidRPr="00ED0CD3">
        <w:rPr>
          <w:sz w:val="22"/>
          <w:szCs w:val="22"/>
        </w:rPr>
        <w:t>fracción VII</w:t>
      </w:r>
      <w:r w:rsidR="00C928BF" w:rsidRPr="00ED0CD3">
        <w:rPr>
          <w:sz w:val="22"/>
          <w:szCs w:val="22"/>
        </w:rPr>
        <w:t>; y 13,</w:t>
      </w:r>
      <w:r w:rsidR="007E73DC" w:rsidRPr="00ED0CD3">
        <w:rPr>
          <w:sz w:val="22"/>
          <w:szCs w:val="22"/>
        </w:rPr>
        <w:t xml:space="preserve"> el </w:t>
      </w:r>
      <w:r w:rsidR="002E1C09" w:rsidRPr="00ED0CD3">
        <w:rPr>
          <w:sz w:val="22"/>
          <w:szCs w:val="22"/>
        </w:rPr>
        <w:t xml:space="preserve">cuarto </w:t>
      </w:r>
      <w:r w:rsidR="007E73DC" w:rsidRPr="00ED0CD3">
        <w:rPr>
          <w:sz w:val="22"/>
          <w:szCs w:val="22"/>
        </w:rPr>
        <w:t xml:space="preserve">párrafo </w:t>
      </w:r>
      <w:r w:rsidR="009A610E" w:rsidRPr="00ED0CD3">
        <w:rPr>
          <w:sz w:val="22"/>
          <w:szCs w:val="22"/>
        </w:rPr>
        <w:t>de los</w:t>
      </w:r>
      <w:r w:rsidR="00E159BD" w:rsidRPr="00ED0CD3">
        <w:rPr>
          <w:sz w:val="22"/>
          <w:szCs w:val="22"/>
        </w:rPr>
        <w:t xml:space="preserve"> </w:t>
      </w:r>
      <w:r w:rsidR="00EA5E48" w:rsidRPr="00ED0CD3">
        <w:rPr>
          <w:sz w:val="22"/>
          <w:szCs w:val="22"/>
        </w:rPr>
        <w:t>Lineamientos generales para el otorgamiento de las concesiones a que se refiere el título cuarto de la Ley Federal de Telecomunicaciones y Radiodifusión, para quedar como sigue:</w:t>
      </w:r>
    </w:p>
    <w:p w14:paraId="16319A7F" w14:textId="77777777" w:rsidR="00EA5E48" w:rsidRPr="00ED0CD3" w:rsidRDefault="00EA5E48" w:rsidP="007478A6">
      <w:pPr>
        <w:pStyle w:val="Texto"/>
        <w:spacing w:after="0" w:line="276" w:lineRule="auto"/>
        <w:rPr>
          <w:sz w:val="22"/>
          <w:szCs w:val="22"/>
        </w:rPr>
      </w:pPr>
    </w:p>
    <w:p w14:paraId="0800AF1D" w14:textId="77777777" w:rsidR="00EA5E48" w:rsidRPr="00ED0CD3" w:rsidRDefault="00EA5E48" w:rsidP="00B41386">
      <w:pPr>
        <w:pStyle w:val="Texto"/>
        <w:spacing w:after="0" w:line="276" w:lineRule="auto"/>
        <w:ind w:left="576" w:right="757" w:firstLine="0"/>
        <w:rPr>
          <w:b/>
          <w:sz w:val="20"/>
        </w:rPr>
      </w:pPr>
      <w:r w:rsidRPr="00ED0CD3">
        <w:rPr>
          <w:b/>
          <w:sz w:val="20"/>
        </w:rPr>
        <w:t>“Artículo 3. …</w:t>
      </w:r>
    </w:p>
    <w:p w14:paraId="1D4AAF1F" w14:textId="77777777" w:rsidR="00EA5E48" w:rsidRPr="00ED0CD3" w:rsidRDefault="00EA5E48" w:rsidP="00B41386">
      <w:pPr>
        <w:pStyle w:val="Texto"/>
        <w:spacing w:after="0" w:line="276" w:lineRule="auto"/>
        <w:ind w:left="576" w:right="757" w:firstLine="0"/>
        <w:rPr>
          <w:sz w:val="20"/>
        </w:rPr>
      </w:pPr>
    </w:p>
    <w:p w14:paraId="552D0BF5" w14:textId="77777777" w:rsidR="00303E47" w:rsidRPr="00ED0CD3" w:rsidRDefault="00EA5E48" w:rsidP="00B41386">
      <w:pPr>
        <w:pStyle w:val="Texto"/>
        <w:numPr>
          <w:ilvl w:val="0"/>
          <w:numId w:val="2"/>
        </w:numPr>
        <w:tabs>
          <w:tab w:val="left" w:pos="993"/>
        </w:tabs>
        <w:spacing w:after="0" w:line="276" w:lineRule="auto"/>
        <w:ind w:left="567" w:right="757" w:firstLine="0"/>
        <w:rPr>
          <w:b/>
          <w:sz w:val="20"/>
        </w:rPr>
      </w:pPr>
      <w:r w:rsidRPr="00ED0CD3">
        <w:rPr>
          <w:b/>
          <w:sz w:val="20"/>
        </w:rPr>
        <w:t>Datos generales del Interesado.</w:t>
      </w:r>
    </w:p>
    <w:p w14:paraId="3C308BB9" w14:textId="77777777" w:rsidR="00303E47" w:rsidRPr="00ED0CD3" w:rsidRDefault="00303E47" w:rsidP="00B41386">
      <w:pPr>
        <w:pStyle w:val="Texto"/>
        <w:numPr>
          <w:ilvl w:val="0"/>
          <w:numId w:val="16"/>
        </w:numPr>
        <w:tabs>
          <w:tab w:val="left" w:pos="993"/>
        </w:tabs>
        <w:spacing w:after="0" w:line="276" w:lineRule="auto"/>
        <w:ind w:left="709" w:right="757" w:firstLine="0"/>
        <w:rPr>
          <w:b/>
          <w:sz w:val="20"/>
        </w:rPr>
      </w:pPr>
      <w:r w:rsidRPr="00ED0CD3">
        <w:rPr>
          <w:b/>
          <w:sz w:val="20"/>
        </w:rPr>
        <w:t>…</w:t>
      </w:r>
    </w:p>
    <w:p w14:paraId="2D6D0A41" w14:textId="77777777" w:rsidR="00303E47" w:rsidRPr="00ED0CD3" w:rsidRDefault="00303E47" w:rsidP="00B41386">
      <w:pPr>
        <w:pStyle w:val="Texto"/>
        <w:numPr>
          <w:ilvl w:val="0"/>
          <w:numId w:val="16"/>
        </w:numPr>
        <w:tabs>
          <w:tab w:val="left" w:pos="993"/>
        </w:tabs>
        <w:spacing w:after="0" w:line="276" w:lineRule="auto"/>
        <w:ind w:left="709" w:right="757" w:firstLine="0"/>
        <w:rPr>
          <w:b/>
          <w:sz w:val="20"/>
        </w:rPr>
      </w:pPr>
      <w:r w:rsidRPr="00ED0CD3">
        <w:rPr>
          <w:b/>
          <w:sz w:val="20"/>
        </w:rPr>
        <w:t>…</w:t>
      </w:r>
    </w:p>
    <w:p w14:paraId="4B2F357B" w14:textId="523F2705" w:rsidR="002A790D" w:rsidRPr="00ED0CD3" w:rsidRDefault="00EA5E48" w:rsidP="00B41386">
      <w:pPr>
        <w:pStyle w:val="Texto"/>
        <w:numPr>
          <w:ilvl w:val="0"/>
          <w:numId w:val="16"/>
        </w:numPr>
        <w:tabs>
          <w:tab w:val="left" w:pos="993"/>
        </w:tabs>
        <w:spacing w:after="0" w:line="276" w:lineRule="auto"/>
        <w:ind w:left="709" w:right="757" w:firstLine="0"/>
        <w:rPr>
          <w:b/>
          <w:sz w:val="20"/>
        </w:rPr>
      </w:pPr>
      <w:r w:rsidRPr="00ED0CD3">
        <w:rPr>
          <w:b/>
          <w:sz w:val="20"/>
        </w:rPr>
        <w:t>Domicilio en el territorio nacional</w:t>
      </w:r>
      <w:r w:rsidRPr="00ED0CD3">
        <w:rPr>
          <w:sz w:val="20"/>
        </w:rPr>
        <w:t xml:space="preserve"> (calle, número exterior, número interior, </w:t>
      </w:r>
      <w:r w:rsidR="00EA3486" w:rsidRPr="00ED0CD3">
        <w:rPr>
          <w:sz w:val="20"/>
        </w:rPr>
        <w:t xml:space="preserve">en su caso </w:t>
      </w:r>
      <w:r w:rsidR="00F7615B" w:rsidRPr="00ED0CD3">
        <w:rPr>
          <w:sz w:val="20"/>
        </w:rPr>
        <w:t xml:space="preserve"> entre calle o referencia de ubicación</w:t>
      </w:r>
      <w:r w:rsidRPr="00ED0CD3">
        <w:rPr>
          <w:sz w:val="20"/>
        </w:rPr>
        <w:t>, localidad o colonia, municipio o demarcación, entidad federativa y código postal). En su caso, el Interesado podrá autorizar personas para oír y recibir notificaciones.</w:t>
      </w:r>
    </w:p>
    <w:p w14:paraId="6D238FAA" w14:textId="77777777" w:rsidR="00EA5E48" w:rsidRPr="00ED0CD3" w:rsidRDefault="00EA5E48" w:rsidP="00B41386">
      <w:pPr>
        <w:pStyle w:val="Texto"/>
        <w:tabs>
          <w:tab w:val="left" w:pos="993"/>
        </w:tabs>
        <w:spacing w:after="0" w:line="276" w:lineRule="auto"/>
        <w:ind w:left="709" w:right="757" w:firstLine="0"/>
        <w:rPr>
          <w:sz w:val="20"/>
        </w:rPr>
      </w:pPr>
      <w:r w:rsidRPr="00ED0CD3">
        <w:rPr>
          <w:sz w:val="20"/>
        </w:rPr>
        <w:t>Se acreditará con copia simple del recibo de suministro de energía eléctrica, de agua, servicios de telecomunicaciones o boleta predial, con una antigüedad máxima de tres meses contados a partir de la fecha de presentación. Además, podrá señalar un domicilio diferente para oír y recibir notificaciones por parte del Instituto.</w:t>
      </w:r>
    </w:p>
    <w:p w14:paraId="084B60C0" w14:textId="77777777" w:rsidR="001B71D0" w:rsidRPr="00ED0CD3" w:rsidRDefault="001B71D0" w:rsidP="00B41386">
      <w:pPr>
        <w:pStyle w:val="Texto"/>
        <w:tabs>
          <w:tab w:val="left" w:pos="993"/>
        </w:tabs>
        <w:spacing w:after="0" w:line="276" w:lineRule="auto"/>
        <w:ind w:left="709" w:right="757" w:firstLine="0"/>
        <w:rPr>
          <w:b/>
          <w:sz w:val="20"/>
        </w:rPr>
      </w:pPr>
      <w:r w:rsidRPr="00ED0CD3">
        <w:rPr>
          <w:sz w:val="20"/>
        </w:rPr>
        <w:t>…</w:t>
      </w:r>
    </w:p>
    <w:p w14:paraId="4ECB601E" w14:textId="77777777" w:rsidR="002A790D" w:rsidRPr="00ED0CD3" w:rsidRDefault="002A790D" w:rsidP="00B41386">
      <w:pPr>
        <w:pStyle w:val="Texto"/>
        <w:numPr>
          <w:ilvl w:val="0"/>
          <w:numId w:val="16"/>
        </w:numPr>
        <w:tabs>
          <w:tab w:val="left" w:pos="993"/>
        </w:tabs>
        <w:spacing w:after="0" w:line="276" w:lineRule="auto"/>
        <w:ind w:left="709" w:right="757" w:firstLine="0"/>
        <w:rPr>
          <w:sz w:val="20"/>
        </w:rPr>
      </w:pPr>
      <w:r w:rsidRPr="00ED0CD3">
        <w:rPr>
          <w:sz w:val="20"/>
        </w:rPr>
        <w:t>…</w:t>
      </w:r>
    </w:p>
    <w:p w14:paraId="6B334BD8" w14:textId="77777777" w:rsidR="00EA5E48" w:rsidRPr="00ED0CD3" w:rsidRDefault="002A790D" w:rsidP="00B41386">
      <w:pPr>
        <w:pStyle w:val="Texto"/>
        <w:tabs>
          <w:tab w:val="left" w:pos="993"/>
        </w:tabs>
        <w:spacing w:after="0" w:line="276" w:lineRule="auto"/>
        <w:ind w:left="709" w:right="757" w:firstLine="0"/>
        <w:rPr>
          <w:sz w:val="20"/>
        </w:rPr>
      </w:pPr>
      <w:r w:rsidRPr="00ED0CD3">
        <w:rPr>
          <w:sz w:val="20"/>
        </w:rPr>
        <w:t xml:space="preserve">… </w:t>
      </w:r>
    </w:p>
    <w:p w14:paraId="29F17B5B" w14:textId="77777777" w:rsidR="00EA5E48" w:rsidRPr="00ED0CD3" w:rsidRDefault="00EA5E48" w:rsidP="00B41386">
      <w:pPr>
        <w:pStyle w:val="Texto"/>
        <w:tabs>
          <w:tab w:val="left" w:pos="993"/>
        </w:tabs>
        <w:spacing w:after="0" w:line="276" w:lineRule="auto"/>
        <w:ind w:left="576" w:right="757" w:firstLine="0"/>
        <w:rPr>
          <w:b/>
          <w:sz w:val="20"/>
        </w:rPr>
      </w:pPr>
    </w:p>
    <w:p w14:paraId="30161C77" w14:textId="77777777" w:rsidR="00EA5E48" w:rsidRPr="00ED0CD3" w:rsidRDefault="00EA5E48" w:rsidP="00B41386">
      <w:pPr>
        <w:pStyle w:val="Texto"/>
        <w:numPr>
          <w:ilvl w:val="0"/>
          <w:numId w:val="4"/>
        </w:numPr>
        <w:tabs>
          <w:tab w:val="left" w:pos="993"/>
        </w:tabs>
        <w:spacing w:after="0" w:line="276" w:lineRule="auto"/>
        <w:ind w:left="567" w:right="757" w:firstLine="0"/>
        <w:rPr>
          <w:b/>
          <w:sz w:val="20"/>
        </w:rPr>
      </w:pPr>
      <w:r w:rsidRPr="00ED0CD3">
        <w:rPr>
          <w:b/>
          <w:sz w:val="20"/>
        </w:rPr>
        <w:t>Características Generales del Proyecto.</w:t>
      </w:r>
    </w:p>
    <w:p w14:paraId="5B4EC2DE" w14:textId="77777777" w:rsidR="00EA5E48" w:rsidRPr="00ED0CD3" w:rsidRDefault="00EA5E48" w:rsidP="00B41386">
      <w:pPr>
        <w:pStyle w:val="Texto"/>
        <w:numPr>
          <w:ilvl w:val="0"/>
          <w:numId w:val="17"/>
        </w:numPr>
        <w:tabs>
          <w:tab w:val="left" w:pos="993"/>
        </w:tabs>
        <w:spacing w:after="0" w:line="276" w:lineRule="auto"/>
        <w:ind w:left="709" w:right="757" w:firstLine="0"/>
        <w:rPr>
          <w:sz w:val="20"/>
        </w:rPr>
      </w:pPr>
      <w:r w:rsidRPr="00ED0CD3">
        <w:rPr>
          <w:b/>
          <w:sz w:val="20"/>
        </w:rPr>
        <w:lastRenderedPageBreak/>
        <w:t>Descripción del Proyecto.</w:t>
      </w:r>
      <w:r w:rsidRPr="00ED0CD3">
        <w:rPr>
          <w:sz w:val="20"/>
        </w:rPr>
        <w:t xml:space="preserve"> El Interesado deberá hacer una descripción del proyecto señalando los principales equipos o medios de transmisión, su capacidad y en su caso, marca y modelo, con los que dará inicio de operaciones, distinguiendo entre aquellos propios y arrendados acompañada de la cotización para la adquisición o arrendamiento de dichos equipos o medios de transmisión, emitida con un tiempo máximo de seis meses de antigüedad a la fecha de presentación. En caso de contar con los equipos y/o medios de transmisión, deberá presentar el documento que respalde su legal posesión.</w:t>
      </w:r>
    </w:p>
    <w:p w14:paraId="77969CFB" w14:textId="77777777" w:rsidR="00920262" w:rsidRPr="00ED0CD3" w:rsidRDefault="00920262" w:rsidP="00920262">
      <w:pPr>
        <w:pStyle w:val="Texto"/>
        <w:tabs>
          <w:tab w:val="left" w:pos="993"/>
        </w:tabs>
        <w:spacing w:after="0" w:line="276" w:lineRule="auto"/>
        <w:ind w:right="757"/>
        <w:rPr>
          <w:sz w:val="20"/>
        </w:rPr>
      </w:pPr>
    </w:p>
    <w:p w14:paraId="68113D52" w14:textId="77777777" w:rsidR="00CB5A07" w:rsidRPr="00ED0CD3" w:rsidRDefault="00EA5E48" w:rsidP="00B41386">
      <w:pPr>
        <w:pStyle w:val="Texto"/>
        <w:numPr>
          <w:ilvl w:val="0"/>
          <w:numId w:val="17"/>
        </w:numPr>
        <w:tabs>
          <w:tab w:val="left" w:pos="993"/>
        </w:tabs>
        <w:spacing w:after="0" w:line="276" w:lineRule="auto"/>
        <w:ind w:left="709" w:right="757" w:firstLine="0"/>
        <w:rPr>
          <w:sz w:val="20"/>
        </w:rPr>
      </w:pPr>
      <w:r w:rsidRPr="00ED0CD3">
        <w:rPr>
          <w:b/>
          <w:sz w:val="20"/>
        </w:rPr>
        <w:t>Justificación del Proyecto</w:t>
      </w:r>
      <w:r w:rsidRPr="00ED0CD3">
        <w:rPr>
          <w:sz w:val="20"/>
        </w:rPr>
        <w:t>. En el caso de Concesión Única para Uso Público el Interesado deberá detallar o especificar las atribuciones, funciones y</w:t>
      </w:r>
      <w:r w:rsidR="00EA3486" w:rsidRPr="00ED0CD3">
        <w:rPr>
          <w:sz w:val="20"/>
        </w:rPr>
        <w:t>/u</w:t>
      </w:r>
      <w:r w:rsidRPr="00ED0CD3">
        <w:rPr>
          <w:sz w:val="20"/>
        </w:rPr>
        <w:t xml:space="preserve"> objetivos que tiene conferidas el ente público o el concesionario o permisionario de servicios públicos distintos de telecomunicaciones o de radiodifusión y que guardan relación con la solicitud de la concesión, especificando de qué manera se relaciona el proyecto con el cumplimiento de sus fines.</w:t>
      </w:r>
    </w:p>
    <w:p w14:paraId="786A619B" w14:textId="77777777" w:rsidR="002A790D" w:rsidRPr="00ED0CD3" w:rsidRDefault="002A790D" w:rsidP="00B41386">
      <w:pPr>
        <w:pStyle w:val="Texto"/>
        <w:tabs>
          <w:tab w:val="left" w:pos="993"/>
        </w:tabs>
        <w:spacing w:after="0" w:line="276" w:lineRule="auto"/>
        <w:ind w:left="709" w:right="757" w:firstLine="0"/>
        <w:rPr>
          <w:b/>
          <w:sz w:val="22"/>
          <w:szCs w:val="22"/>
        </w:rPr>
      </w:pPr>
    </w:p>
    <w:p w14:paraId="242F69F3" w14:textId="77777777" w:rsidR="002A790D" w:rsidRPr="00ED0CD3" w:rsidRDefault="002A790D" w:rsidP="00B41386">
      <w:pPr>
        <w:pStyle w:val="Texto"/>
        <w:tabs>
          <w:tab w:val="left" w:pos="993"/>
        </w:tabs>
        <w:spacing w:after="0" w:line="276" w:lineRule="auto"/>
        <w:ind w:left="709" w:right="757" w:firstLine="0"/>
        <w:rPr>
          <w:b/>
          <w:sz w:val="20"/>
        </w:rPr>
      </w:pPr>
      <w:r w:rsidRPr="00ED0CD3">
        <w:rPr>
          <w:b/>
          <w:sz w:val="20"/>
        </w:rPr>
        <w:t>…</w:t>
      </w:r>
    </w:p>
    <w:p w14:paraId="4A0065D2" w14:textId="7D08698A" w:rsidR="00EA5E48" w:rsidRPr="00ED0CD3" w:rsidRDefault="00EA5E48" w:rsidP="00B41386">
      <w:pPr>
        <w:pStyle w:val="Texto"/>
        <w:tabs>
          <w:tab w:val="left" w:pos="993"/>
        </w:tabs>
        <w:spacing w:after="0" w:line="276" w:lineRule="auto"/>
        <w:ind w:left="709" w:right="757" w:firstLine="0"/>
        <w:rPr>
          <w:sz w:val="20"/>
        </w:rPr>
      </w:pPr>
      <w:r w:rsidRPr="00ED0CD3">
        <w:rPr>
          <w:sz w:val="20"/>
        </w:rPr>
        <w:t xml:space="preserve">En el caso de Concesión Única para Uso Social, el Interesado deberá </w:t>
      </w:r>
      <w:r w:rsidR="00EA3486" w:rsidRPr="00ED0CD3">
        <w:rPr>
          <w:sz w:val="20"/>
        </w:rPr>
        <w:t xml:space="preserve">describir </w:t>
      </w:r>
      <w:r w:rsidRPr="00ED0CD3">
        <w:rPr>
          <w:sz w:val="20"/>
        </w:rPr>
        <w:t>si los propósitos de la concesión son culturales, científicos, educativos o a la comunidad, sin fines de lucro.</w:t>
      </w:r>
    </w:p>
    <w:p w14:paraId="0C4EFB44" w14:textId="77777777" w:rsidR="00EA5E48" w:rsidRPr="00ED0CD3" w:rsidRDefault="00EA5E48" w:rsidP="00B41386">
      <w:pPr>
        <w:pStyle w:val="Texto"/>
        <w:tabs>
          <w:tab w:val="left" w:pos="993"/>
        </w:tabs>
        <w:spacing w:after="0" w:line="276" w:lineRule="auto"/>
        <w:ind w:left="709" w:right="757" w:firstLine="0"/>
        <w:rPr>
          <w:sz w:val="20"/>
        </w:rPr>
      </w:pPr>
    </w:p>
    <w:p w14:paraId="4D0A083D" w14:textId="77777777" w:rsidR="00EA5E48" w:rsidRPr="00ED0CD3" w:rsidRDefault="00EA5E48" w:rsidP="00B41386">
      <w:pPr>
        <w:pStyle w:val="Texto"/>
        <w:tabs>
          <w:tab w:val="left" w:pos="993"/>
        </w:tabs>
        <w:spacing w:after="0" w:line="276" w:lineRule="auto"/>
        <w:ind w:left="709" w:right="757" w:firstLine="0"/>
        <w:rPr>
          <w:sz w:val="20"/>
        </w:rPr>
      </w:pPr>
      <w:r w:rsidRPr="00ED0CD3">
        <w:rPr>
          <w:sz w:val="20"/>
        </w:rPr>
        <w:t>Para el caso de Concesiones para Uso Social Comunitaria, el Interesado deberá describir la forma en que sus actividades y sus fines son acordes con los principios de participación ciudadana directa, convivencia social, equidad, igualdad de género y pluralidad. Asimismo, deberán demostrar la existencia de un vínculo directo o coordinación con la comunidad en la que se prestará el servicio, lo cual podrá acreditarse, entre otros, con cartas de apoyo al proyecto, reconocimientos y/o testimonios de la labor social del Interesado en la comunidad.</w:t>
      </w:r>
    </w:p>
    <w:p w14:paraId="14EAF044" w14:textId="77777777" w:rsidR="001B71D0" w:rsidRPr="00ED0CD3" w:rsidRDefault="001B71D0" w:rsidP="00B41386">
      <w:pPr>
        <w:pStyle w:val="Texto"/>
        <w:tabs>
          <w:tab w:val="left" w:pos="993"/>
        </w:tabs>
        <w:spacing w:after="0" w:line="276" w:lineRule="auto"/>
        <w:ind w:left="709" w:right="757" w:firstLine="0"/>
        <w:rPr>
          <w:sz w:val="20"/>
        </w:rPr>
      </w:pPr>
      <w:r w:rsidRPr="00ED0CD3">
        <w:rPr>
          <w:sz w:val="20"/>
        </w:rPr>
        <w:t>…</w:t>
      </w:r>
    </w:p>
    <w:p w14:paraId="14102DF5" w14:textId="77777777" w:rsidR="001B71D0" w:rsidRPr="00ED0CD3" w:rsidRDefault="001B71D0" w:rsidP="00B41386">
      <w:pPr>
        <w:pStyle w:val="Texto"/>
        <w:tabs>
          <w:tab w:val="left" w:pos="993"/>
        </w:tabs>
        <w:spacing w:after="0" w:line="276" w:lineRule="auto"/>
        <w:ind w:left="709" w:right="757" w:firstLine="0"/>
        <w:rPr>
          <w:sz w:val="20"/>
        </w:rPr>
      </w:pPr>
    </w:p>
    <w:p w14:paraId="4BBFCDE5" w14:textId="77777777" w:rsidR="00EA5E48" w:rsidRPr="00ED0CD3" w:rsidRDefault="00EA5E48" w:rsidP="00B41386">
      <w:pPr>
        <w:pStyle w:val="Texto"/>
        <w:tabs>
          <w:tab w:val="left" w:pos="993"/>
        </w:tabs>
        <w:spacing w:after="0" w:line="276" w:lineRule="auto"/>
        <w:ind w:left="426" w:right="757" w:firstLine="0"/>
        <w:rPr>
          <w:sz w:val="20"/>
        </w:rPr>
      </w:pPr>
    </w:p>
    <w:p w14:paraId="184AA562" w14:textId="77777777" w:rsidR="00EA5E48" w:rsidRPr="00ED0CD3" w:rsidRDefault="00EA5E48" w:rsidP="00B41386">
      <w:pPr>
        <w:pStyle w:val="Texto"/>
        <w:tabs>
          <w:tab w:val="left" w:pos="993"/>
        </w:tabs>
        <w:spacing w:after="0" w:line="276" w:lineRule="auto"/>
        <w:ind w:left="576" w:right="757" w:firstLine="0"/>
        <w:rPr>
          <w:b/>
          <w:sz w:val="20"/>
        </w:rPr>
      </w:pPr>
    </w:p>
    <w:p w14:paraId="02B75641" w14:textId="77777777" w:rsidR="00EA5E48" w:rsidRPr="00ED0CD3" w:rsidRDefault="00CB5A07" w:rsidP="00B41386">
      <w:pPr>
        <w:pStyle w:val="Texto"/>
        <w:numPr>
          <w:ilvl w:val="0"/>
          <w:numId w:val="4"/>
        </w:numPr>
        <w:tabs>
          <w:tab w:val="left" w:pos="993"/>
        </w:tabs>
        <w:spacing w:after="0" w:line="276" w:lineRule="auto"/>
        <w:ind w:left="567" w:right="757" w:firstLine="0"/>
        <w:rPr>
          <w:b/>
          <w:sz w:val="20"/>
        </w:rPr>
      </w:pPr>
      <w:r w:rsidRPr="00ED0CD3">
        <w:rPr>
          <w:b/>
          <w:sz w:val="20"/>
        </w:rPr>
        <w:t>Capacidad Técnica, Económica, Jurídica y Administrativa</w:t>
      </w:r>
      <w:r w:rsidR="00EA5E48" w:rsidRPr="00ED0CD3">
        <w:rPr>
          <w:b/>
          <w:sz w:val="20"/>
        </w:rPr>
        <w:t>.</w:t>
      </w:r>
    </w:p>
    <w:p w14:paraId="4E74B130" w14:textId="77777777" w:rsidR="00EA5E48" w:rsidRPr="00ED0CD3" w:rsidRDefault="00EA5E48" w:rsidP="00B41386">
      <w:pPr>
        <w:pStyle w:val="Texto"/>
        <w:tabs>
          <w:tab w:val="left" w:pos="993"/>
        </w:tabs>
        <w:spacing w:after="0" w:line="276" w:lineRule="auto"/>
        <w:ind w:left="567" w:right="757" w:firstLine="0"/>
        <w:rPr>
          <w:b/>
          <w:sz w:val="20"/>
        </w:rPr>
      </w:pPr>
    </w:p>
    <w:p w14:paraId="6DBE5368" w14:textId="77777777" w:rsidR="009B5F7F" w:rsidRPr="00ED0CD3" w:rsidRDefault="00EA5E48" w:rsidP="00B41386">
      <w:pPr>
        <w:pStyle w:val="Texto"/>
        <w:numPr>
          <w:ilvl w:val="0"/>
          <w:numId w:val="8"/>
        </w:numPr>
        <w:tabs>
          <w:tab w:val="left" w:pos="851"/>
          <w:tab w:val="left" w:pos="993"/>
        </w:tabs>
        <w:spacing w:after="0" w:line="276" w:lineRule="auto"/>
        <w:ind w:left="851" w:right="757" w:firstLine="0"/>
        <w:rPr>
          <w:sz w:val="20"/>
        </w:rPr>
      </w:pPr>
      <w:r w:rsidRPr="00ED0CD3">
        <w:rPr>
          <w:b/>
          <w:sz w:val="20"/>
        </w:rPr>
        <w:t xml:space="preserve">Capacidad Técnica. </w:t>
      </w:r>
      <w:r w:rsidRPr="00ED0CD3">
        <w:rPr>
          <w:sz w:val="20"/>
        </w:rPr>
        <w:t xml:space="preserve">El Interesado deberá manifestar </w:t>
      </w:r>
      <w:r w:rsidR="00F7615B" w:rsidRPr="00ED0CD3">
        <w:rPr>
          <w:sz w:val="20"/>
        </w:rPr>
        <w:t>bajo protesta de decir verdad</w:t>
      </w:r>
      <w:r w:rsidR="00F7615B" w:rsidRPr="00ED0CD3">
        <w:rPr>
          <w:sz w:val="16"/>
          <w:szCs w:val="16"/>
        </w:rPr>
        <w:t xml:space="preserve"> </w:t>
      </w:r>
      <w:r w:rsidRPr="00ED0CD3">
        <w:rPr>
          <w:sz w:val="20"/>
        </w:rPr>
        <w:t xml:space="preserve"> que conoce y observará las disposiciones técnicas y administrativas aplicables en el desarrollo de la infraestructura, instalación de las estaciones o sistemas que destine para la operación de los servicios.</w:t>
      </w:r>
    </w:p>
    <w:p w14:paraId="3992ACE0" w14:textId="77777777" w:rsidR="009B5F7F" w:rsidRPr="00ED0CD3" w:rsidRDefault="009B5F7F" w:rsidP="00B41386">
      <w:pPr>
        <w:pStyle w:val="Texto"/>
        <w:tabs>
          <w:tab w:val="left" w:pos="851"/>
          <w:tab w:val="left" w:pos="993"/>
        </w:tabs>
        <w:spacing w:after="0" w:line="276" w:lineRule="auto"/>
        <w:ind w:left="851" w:right="757" w:firstLine="0"/>
        <w:rPr>
          <w:sz w:val="20"/>
        </w:rPr>
      </w:pPr>
    </w:p>
    <w:p w14:paraId="4AFEDD06" w14:textId="093CBA74" w:rsidR="00EA5E48" w:rsidRPr="00ED0CD3" w:rsidRDefault="009B5F7F" w:rsidP="00B41386">
      <w:pPr>
        <w:pStyle w:val="Texto"/>
        <w:tabs>
          <w:tab w:val="left" w:pos="851"/>
          <w:tab w:val="left" w:pos="993"/>
        </w:tabs>
        <w:spacing w:after="0" w:line="276" w:lineRule="auto"/>
        <w:ind w:left="851" w:right="757" w:firstLine="0"/>
        <w:rPr>
          <w:sz w:val="20"/>
        </w:rPr>
      </w:pPr>
      <w:r w:rsidRPr="00ED0CD3">
        <w:rPr>
          <w:sz w:val="20"/>
        </w:rPr>
        <w:t xml:space="preserve">En el </w:t>
      </w:r>
      <w:r w:rsidR="00EA5E48" w:rsidRPr="00ED0CD3">
        <w:rPr>
          <w:sz w:val="20"/>
        </w:rPr>
        <w:t xml:space="preserve">caso de que la solicitud verse sobre una Concesión Única para Uso Social Comunitaria o Concesión Única para Uso Social Indígena podrán acreditar esta capacidad a través de la exhibición de convenios celebrados con instituciones públicas o privadas que por su naturaleza y objeto puedan brindar capacitación o asistencia técnica en la materia. </w:t>
      </w:r>
      <w:r w:rsidR="00F7615B" w:rsidRPr="00ED0CD3">
        <w:rPr>
          <w:rFonts w:eastAsiaTheme="minorHAnsi"/>
          <w:sz w:val="20"/>
          <w:lang w:val="es-MX" w:eastAsia="en-US"/>
        </w:rPr>
        <w:t>Asimismo, el Interesado podrá solicitar y recibir asistencia técnica por parte del Instituto para la acreditación de este requisito</w:t>
      </w:r>
      <w:r w:rsidR="00EA5E48" w:rsidRPr="00ED0CD3">
        <w:rPr>
          <w:rFonts w:eastAsiaTheme="minorHAnsi"/>
          <w:sz w:val="20"/>
          <w:lang w:val="es-MX" w:eastAsia="en-US"/>
        </w:rPr>
        <w:t>.</w:t>
      </w:r>
    </w:p>
    <w:p w14:paraId="2E720C3E" w14:textId="77777777" w:rsidR="00EA5E48" w:rsidRPr="00ED0CD3" w:rsidRDefault="00EA5E48" w:rsidP="00B41386">
      <w:pPr>
        <w:tabs>
          <w:tab w:val="left" w:pos="851"/>
          <w:tab w:val="left" w:pos="993"/>
        </w:tabs>
        <w:autoSpaceDE w:val="0"/>
        <w:autoSpaceDN w:val="0"/>
        <w:adjustRightInd w:val="0"/>
        <w:spacing w:line="276" w:lineRule="auto"/>
        <w:ind w:left="851" w:right="757"/>
        <w:jc w:val="both"/>
        <w:rPr>
          <w:rFonts w:ascii="Arial" w:eastAsiaTheme="minorHAnsi" w:hAnsi="Arial" w:cs="Arial"/>
          <w:sz w:val="20"/>
          <w:szCs w:val="20"/>
          <w:lang w:val="es-MX" w:eastAsia="en-US"/>
        </w:rPr>
      </w:pPr>
    </w:p>
    <w:p w14:paraId="684C70ED" w14:textId="77777777" w:rsidR="00EA5E48" w:rsidRPr="00ED0CD3" w:rsidRDefault="00EA5E48" w:rsidP="00B41386">
      <w:pPr>
        <w:pStyle w:val="Texto"/>
        <w:numPr>
          <w:ilvl w:val="0"/>
          <w:numId w:val="8"/>
        </w:numPr>
        <w:tabs>
          <w:tab w:val="left" w:pos="851"/>
          <w:tab w:val="left" w:pos="993"/>
        </w:tabs>
        <w:spacing w:after="0" w:line="276" w:lineRule="auto"/>
        <w:ind w:left="851" w:right="757" w:firstLine="0"/>
        <w:rPr>
          <w:sz w:val="20"/>
        </w:rPr>
      </w:pPr>
      <w:r w:rsidRPr="00ED0CD3">
        <w:rPr>
          <w:b/>
          <w:sz w:val="20"/>
        </w:rPr>
        <w:t>Capacidad Económica</w:t>
      </w:r>
      <w:r w:rsidR="00A82352" w:rsidRPr="00ED0CD3">
        <w:rPr>
          <w:sz w:val="20"/>
        </w:rPr>
        <w:t>…</w:t>
      </w:r>
    </w:p>
    <w:p w14:paraId="57951C19" w14:textId="77777777" w:rsidR="00A82352" w:rsidRPr="00ED0CD3" w:rsidRDefault="00A82352" w:rsidP="00B41386">
      <w:pPr>
        <w:pStyle w:val="Texto"/>
        <w:tabs>
          <w:tab w:val="left" w:pos="851"/>
          <w:tab w:val="left" w:pos="993"/>
        </w:tabs>
        <w:spacing w:after="0" w:line="276" w:lineRule="auto"/>
        <w:ind w:left="851" w:right="757" w:firstLine="0"/>
        <w:rPr>
          <w:sz w:val="20"/>
        </w:rPr>
      </w:pPr>
    </w:p>
    <w:p w14:paraId="0E63C96C" w14:textId="77777777" w:rsidR="00EA5E48" w:rsidRPr="00ED0CD3" w:rsidRDefault="00EA5E48" w:rsidP="00B41386">
      <w:pPr>
        <w:pStyle w:val="Texto"/>
        <w:tabs>
          <w:tab w:val="left" w:pos="851"/>
          <w:tab w:val="left" w:pos="993"/>
        </w:tabs>
        <w:spacing w:after="0" w:line="276" w:lineRule="auto"/>
        <w:ind w:left="851" w:right="757" w:firstLine="0"/>
        <w:rPr>
          <w:sz w:val="20"/>
        </w:rPr>
      </w:pPr>
      <w:r w:rsidRPr="00ED0CD3">
        <w:rPr>
          <w:sz w:val="20"/>
        </w:rPr>
        <w:t xml:space="preserve">El Interesado para demostrar su solvencia en relación directa con las características y dimensiones del proyecto concreto deberá presentar alguno de los siguientes </w:t>
      </w:r>
      <w:r w:rsidRPr="00ED0CD3">
        <w:rPr>
          <w:sz w:val="20"/>
        </w:rPr>
        <w:lastRenderedPageBreak/>
        <w:t>documentos: copia simple de los estados de cuenta del Interesado y/o, en su caso, de sus accionistas, socios o asociados emitidos por instituciones financieras o bancarias de los últimos tres meses disponibles con saldos promedio suficientes; carta original de institución financiera o bancaria en la que se manifieste de forma explícita que cuenta con inversiones por un monto determinado suficiente; carta original de institución financiera o bancaria en la que se manifieste de forma explícita que la misma ha evaluado el proyecto específico y que se ha autorizado o tiene la intención de otorgar un crédito por un monto explícito suficiente, la carta deberá estar suscrita por un ejecutivo de la institución financiera o bancaria con las respectivas formalidades; o copia de la última declaración anual del Impuesto Sobre la Renta del Interesado y/o, en su caso, de sus accionistas.</w:t>
      </w:r>
    </w:p>
    <w:p w14:paraId="2532DBA6" w14:textId="77777777" w:rsidR="00EA5E48" w:rsidRPr="00ED0CD3" w:rsidRDefault="00EA5E48" w:rsidP="00B41386">
      <w:pPr>
        <w:pStyle w:val="Texto"/>
        <w:tabs>
          <w:tab w:val="left" w:pos="851"/>
          <w:tab w:val="left" w:pos="993"/>
        </w:tabs>
        <w:spacing w:after="0" w:line="276" w:lineRule="auto"/>
        <w:ind w:left="851" w:right="757" w:firstLine="0"/>
        <w:rPr>
          <w:rFonts w:eastAsiaTheme="minorHAnsi"/>
          <w:sz w:val="20"/>
          <w:lang w:val="es-MX" w:eastAsia="en-US"/>
        </w:rPr>
      </w:pPr>
    </w:p>
    <w:p w14:paraId="2B21379D" w14:textId="77777777" w:rsidR="009B5F7F" w:rsidRPr="00ED0CD3" w:rsidRDefault="00A82352" w:rsidP="00B41386">
      <w:pPr>
        <w:pStyle w:val="Texto"/>
        <w:tabs>
          <w:tab w:val="left" w:pos="851"/>
          <w:tab w:val="left" w:pos="993"/>
        </w:tabs>
        <w:spacing w:after="0" w:line="276" w:lineRule="auto"/>
        <w:ind w:left="851" w:right="757" w:firstLine="0"/>
        <w:rPr>
          <w:sz w:val="20"/>
        </w:rPr>
      </w:pPr>
      <w:r w:rsidRPr="00ED0CD3">
        <w:rPr>
          <w:sz w:val="20"/>
        </w:rPr>
        <w:t>La solvencia económica se tendrá por acreditada para cada proyecto en concreto, cuando el Interesado al menos cubra los costos señalados en la fracción III, inciso a) del presente artículo, independientemente de que dichos costos sean cubiertos con capital propio o deuda adquirida. En el supuesto que el Interesado ya cuente con los equipos y medios de transmisión señalados en la fracción III, inciso a) del presente artículo, no deberá acreditar la cobertura de dichos costos, pero si deberá demostrar que cuenta con capital para continuar con el proyecto.</w:t>
      </w:r>
    </w:p>
    <w:p w14:paraId="345F4060" w14:textId="77777777" w:rsidR="009B5F7F" w:rsidRPr="00ED0CD3" w:rsidRDefault="009B5F7F" w:rsidP="00B41386">
      <w:pPr>
        <w:pStyle w:val="Texto"/>
        <w:tabs>
          <w:tab w:val="left" w:pos="851"/>
          <w:tab w:val="left" w:pos="993"/>
        </w:tabs>
        <w:spacing w:after="0" w:line="276" w:lineRule="auto"/>
        <w:ind w:left="851" w:right="757" w:firstLine="0"/>
        <w:rPr>
          <w:sz w:val="20"/>
        </w:rPr>
      </w:pPr>
      <w:r w:rsidRPr="00ED0CD3">
        <w:rPr>
          <w:sz w:val="20"/>
        </w:rPr>
        <w:t>…</w:t>
      </w:r>
    </w:p>
    <w:p w14:paraId="45358182" w14:textId="77777777" w:rsidR="009B5F7F" w:rsidRPr="00ED0CD3" w:rsidRDefault="009B5F7F" w:rsidP="00B41386">
      <w:pPr>
        <w:pStyle w:val="Texto"/>
        <w:tabs>
          <w:tab w:val="left" w:pos="851"/>
          <w:tab w:val="left" w:pos="993"/>
        </w:tabs>
        <w:spacing w:after="0" w:line="276" w:lineRule="auto"/>
        <w:ind w:left="851" w:right="757" w:firstLine="0"/>
        <w:rPr>
          <w:sz w:val="20"/>
        </w:rPr>
      </w:pPr>
    </w:p>
    <w:p w14:paraId="30B641E0" w14:textId="77777777" w:rsidR="009B5F7F" w:rsidRPr="00ED0CD3" w:rsidRDefault="00A82352" w:rsidP="00B41386">
      <w:pPr>
        <w:pStyle w:val="Texto"/>
        <w:tabs>
          <w:tab w:val="left" w:pos="851"/>
          <w:tab w:val="left" w:pos="993"/>
        </w:tabs>
        <w:spacing w:after="0" w:line="276" w:lineRule="auto"/>
        <w:ind w:left="851" w:right="757" w:firstLine="0"/>
        <w:rPr>
          <w:sz w:val="20"/>
        </w:rPr>
      </w:pPr>
      <w:r w:rsidRPr="00ED0CD3">
        <w:rPr>
          <w:sz w:val="20"/>
        </w:rPr>
        <w:t>En el caso de Concesiones Únicas para Uso Social, el interesado además podrá acreditar su capacidad económica a través de los mecanismos que señala la Ley, incluyendo las proyecciones que realice para obtener ingresos conforme al artículo 89 de la Ley para el caso del servicio de radiodifusión, e incluso patrocinios otorgados por terceros.</w:t>
      </w:r>
    </w:p>
    <w:p w14:paraId="5B0A0C8F" w14:textId="77777777" w:rsidR="009B5F7F" w:rsidRPr="00ED0CD3" w:rsidRDefault="009B5F7F" w:rsidP="00B41386">
      <w:pPr>
        <w:pStyle w:val="Texto"/>
        <w:tabs>
          <w:tab w:val="left" w:pos="851"/>
          <w:tab w:val="left" w:pos="993"/>
        </w:tabs>
        <w:spacing w:after="0" w:line="276" w:lineRule="auto"/>
        <w:ind w:left="851" w:right="757" w:firstLine="0"/>
        <w:rPr>
          <w:sz w:val="20"/>
        </w:rPr>
      </w:pPr>
    </w:p>
    <w:p w14:paraId="2B90B027" w14:textId="77777777" w:rsidR="00C22C7B" w:rsidRPr="00ED0CD3" w:rsidRDefault="00A82352" w:rsidP="00B41386">
      <w:pPr>
        <w:pStyle w:val="Texto"/>
        <w:tabs>
          <w:tab w:val="left" w:pos="851"/>
          <w:tab w:val="left" w:pos="993"/>
        </w:tabs>
        <w:spacing w:after="0" w:line="276" w:lineRule="auto"/>
        <w:ind w:left="851" w:right="757" w:firstLine="0"/>
        <w:rPr>
          <w:sz w:val="20"/>
        </w:rPr>
      </w:pPr>
      <w:r w:rsidRPr="00ED0CD3">
        <w:rPr>
          <w:sz w:val="20"/>
        </w:rPr>
        <w:t xml:space="preserve">Tratándose de Concesiones Únicas para Uso Social Comunitario o Indígena, además podrán acreditar con aquellos medios lícitos que contemplen sus usos y costumbres, tales como, entre otros, el trabajo colectivo, donaciones o </w:t>
      </w:r>
      <w:r w:rsidR="00F7615B" w:rsidRPr="00ED0CD3">
        <w:rPr>
          <w:rFonts w:eastAsiaTheme="minorHAnsi"/>
          <w:sz w:val="20"/>
          <w:lang w:val="es-MX" w:eastAsia="en-US"/>
        </w:rPr>
        <w:t xml:space="preserve">cartas de apoyo económico </w:t>
      </w:r>
      <w:r w:rsidRPr="00ED0CD3">
        <w:rPr>
          <w:sz w:val="20"/>
        </w:rPr>
        <w:t>por parte de los miembros de la comunidad o patrocinios otorgados por terceros.</w:t>
      </w:r>
    </w:p>
    <w:p w14:paraId="68C298B7" w14:textId="77777777" w:rsidR="00265931" w:rsidRPr="00ED0CD3" w:rsidRDefault="00265931" w:rsidP="00B41386">
      <w:pPr>
        <w:pStyle w:val="Texto"/>
        <w:tabs>
          <w:tab w:val="left" w:pos="851"/>
          <w:tab w:val="left" w:pos="993"/>
        </w:tabs>
        <w:spacing w:after="0" w:line="276" w:lineRule="auto"/>
        <w:ind w:left="851" w:right="757" w:firstLine="0"/>
        <w:rPr>
          <w:sz w:val="20"/>
        </w:rPr>
      </w:pPr>
    </w:p>
    <w:p w14:paraId="0C698870" w14:textId="77777777" w:rsidR="00C22C7B" w:rsidRPr="00ED0CD3" w:rsidRDefault="00C22C7B" w:rsidP="00D410FC">
      <w:pPr>
        <w:pStyle w:val="Texto"/>
        <w:tabs>
          <w:tab w:val="left" w:pos="851"/>
          <w:tab w:val="left" w:pos="993"/>
        </w:tabs>
        <w:spacing w:after="0" w:line="276" w:lineRule="auto"/>
        <w:ind w:left="851" w:right="757" w:firstLine="0"/>
        <w:rPr>
          <w:b/>
          <w:sz w:val="20"/>
        </w:rPr>
      </w:pPr>
    </w:p>
    <w:p w14:paraId="47A3F000" w14:textId="77777777" w:rsidR="009B5F7F" w:rsidRPr="00ED0CD3" w:rsidRDefault="00C22C7B" w:rsidP="00B41386">
      <w:pPr>
        <w:pStyle w:val="Texto"/>
        <w:numPr>
          <w:ilvl w:val="0"/>
          <w:numId w:val="12"/>
        </w:numPr>
        <w:tabs>
          <w:tab w:val="left" w:pos="851"/>
        </w:tabs>
        <w:spacing w:after="0" w:line="276" w:lineRule="auto"/>
        <w:ind w:left="851" w:right="757" w:hanging="284"/>
        <w:rPr>
          <w:b/>
          <w:sz w:val="20"/>
        </w:rPr>
      </w:pPr>
      <w:r w:rsidRPr="00ED0CD3">
        <w:rPr>
          <w:b/>
          <w:sz w:val="20"/>
        </w:rPr>
        <w:t xml:space="preserve">Programa inicial de cobertura. </w:t>
      </w:r>
      <w:r w:rsidRPr="00ED0CD3">
        <w:rPr>
          <w:sz w:val="20"/>
        </w:rPr>
        <w:t>El Interesado deberá especificar sus programas y compromisos de cobertura asociados al proyecto, precisando el listado de localidades o áreas geográficas en las que se pretende prestar los servicios, indicando el nombre de la localidad, municipio y estado al que pertenece, así como las respectivas claves de área geoestadística de conformidad con la última actualización del “Catálogo único de claves de áreas geoestadísticas, estatales, municipales y localidades” que emite el Instituto Nacional de Estadística y Geografía o, en su caso, la publicación que lo sustituya.</w:t>
      </w:r>
      <w:r w:rsidR="0097752B" w:rsidRPr="00ED0CD3">
        <w:rPr>
          <w:sz w:val="20"/>
        </w:rPr>
        <w:t xml:space="preserve"> </w:t>
      </w:r>
    </w:p>
    <w:p w14:paraId="773B1C7E" w14:textId="77777777" w:rsidR="009B5F7F" w:rsidRPr="00ED0CD3" w:rsidRDefault="009B5F7F" w:rsidP="00B41386">
      <w:pPr>
        <w:pStyle w:val="Texto"/>
        <w:tabs>
          <w:tab w:val="left" w:pos="851"/>
        </w:tabs>
        <w:spacing w:after="0" w:line="276" w:lineRule="auto"/>
        <w:ind w:left="851" w:right="757" w:hanging="284"/>
        <w:rPr>
          <w:b/>
          <w:sz w:val="20"/>
        </w:rPr>
      </w:pPr>
    </w:p>
    <w:p w14:paraId="31C10E94" w14:textId="46C5BF8E" w:rsidR="0097752B" w:rsidRPr="00ED0CD3" w:rsidRDefault="00C22C7B" w:rsidP="00B41386">
      <w:pPr>
        <w:pStyle w:val="Texto"/>
        <w:tabs>
          <w:tab w:val="left" w:pos="851"/>
        </w:tabs>
        <w:spacing w:after="0" w:line="276" w:lineRule="auto"/>
        <w:ind w:left="851" w:right="757" w:firstLine="0"/>
        <w:rPr>
          <w:sz w:val="20"/>
        </w:rPr>
      </w:pPr>
      <w:r w:rsidRPr="00ED0CD3">
        <w:rPr>
          <w:sz w:val="20"/>
        </w:rPr>
        <w:t xml:space="preserve">Tratándose de solicitantes de concesión social comunitaria o social indígena para prestar servicios de radiodifusión, bastará con que los interesados </w:t>
      </w:r>
      <w:r w:rsidR="00F7615B" w:rsidRPr="00ED0CD3">
        <w:rPr>
          <w:sz w:val="20"/>
        </w:rPr>
        <w:t>podrán señalar la cobertura en términos del párrafo anterior o en su defecto</w:t>
      </w:r>
      <w:r w:rsidR="00F7615B" w:rsidRPr="00ED0CD3">
        <w:rPr>
          <w:b/>
          <w:sz w:val="16"/>
          <w:szCs w:val="16"/>
        </w:rPr>
        <w:t xml:space="preserve">  </w:t>
      </w:r>
      <w:r w:rsidRPr="00ED0CD3">
        <w:rPr>
          <w:sz w:val="20"/>
        </w:rPr>
        <w:t xml:space="preserve"> las localidades o áreas geográficas en las que pretenden bridar el servicio.</w:t>
      </w:r>
    </w:p>
    <w:p w14:paraId="56590088" w14:textId="77777777" w:rsidR="0097752B" w:rsidRPr="00ED0CD3" w:rsidRDefault="0097752B" w:rsidP="00B41386">
      <w:pPr>
        <w:pStyle w:val="Texto"/>
        <w:tabs>
          <w:tab w:val="left" w:pos="851"/>
        </w:tabs>
        <w:spacing w:after="0" w:line="276" w:lineRule="auto"/>
        <w:ind w:left="851" w:right="757" w:firstLine="0"/>
        <w:rPr>
          <w:sz w:val="20"/>
        </w:rPr>
      </w:pPr>
    </w:p>
    <w:p w14:paraId="2F764729" w14:textId="16BDA623" w:rsidR="00C22C7B" w:rsidRPr="00ED0CD3" w:rsidRDefault="0097752B" w:rsidP="007D2202">
      <w:pPr>
        <w:pStyle w:val="Texto"/>
        <w:numPr>
          <w:ilvl w:val="0"/>
          <w:numId w:val="12"/>
        </w:numPr>
        <w:tabs>
          <w:tab w:val="left" w:pos="851"/>
        </w:tabs>
        <w:spacing w:after="0" w:line="276" w:lineRule="auto"/>
        <w:ind w:left="851" w:right="757" w:hanging="284"/>
        <w:rPr>
          <w:sz w:val="20"/>
        </w:rPr>
      </w:pPr>
      <w:r w:rsidRPr="00ED0CD3">
        <w:rPr>
          <w:b/>
          <w:sz w:val="20"/>
        </w:rPr>
        <w:lastRenderedPageBreak/>
        <w:t xml:space="preserve">Pago por el análisis de la solicitud. </w:t>
      </w:r>
      <w:r w:rsidRPr="00ED0CD3">
        <w:rPr>
          <w:sz w:val="20"/>
        </w:rPr>
        <w:t xml:space="preserve">Los Interesados en obtener cualquier concesión deberán acompañar a su solicitud </w:t>
      </w:r>
      <w:r w:rsidR="00F7615B" w:rsidRPr="00ED0CD3">
        <w:rPr>
          <w:rFonts w:eastAsiaTheme="minorHAnsi"/>
          <w:sz w:val="20"/>
          <w:lang w:val="es-MX" w:eastAsia="en-US"/>
        </w:rPr>
        <w:t xml:space="preserve">la factura emitida por el Instituto que ampare </w:t>
      </w:r>
      <w:r w:rsidRPr="00ED0CD3">
        <w:rPr>
          <w:sz w:val="20"/>
        </w:rPr>
        <w:t xml:space="preserve"> el pago de los derechos, que en su caso correspondan, por concepto del estudio de la solicitud.</w:t>
      </w:r>
    </w:p>
    <w:p w14:paraId="6794BCFE" w14:textId="77777777" w:rsidR="00723678" w:rsidRPr="00ED0CD3" w:rsidRDefault="00723678" w:rsidP="00B41386">
      <w:pPr>
        <w:pStyle w:val="Texto"/>
        <w:tabs>
          <w:tab w:val="left" w:pos="851"/>
        </w:tabs>
        <w:spacing w:after="0" w:line="276" w:lineRule="auto"/>
        <w:ind w:left="851" w:right="757" w:hanging="284"/>
        <w:rPr>
          <w:sz w:val="20"/>
        </w:rPr>
      </w:pPr>
    </w:p>
    <w:p w14:paraId="502358F4" w14:textId="77777777" w:rsidR="005B5248" w:rsidRPr="00ED0CD3" w:rsidRDefault="00FB2B9E" w:rsidP="00B41386">
      <w:pPr>
        <w:pStyle w:val="Texto"/>
        <w:spacing w:after="0" w:line="276" w:lineRule="auto"/>
        <w:ind w:left="567" w:right="757" w:firstLine="0"/>
        <w:rPr>
          <w:sz w:val="20"/>
        </w:rPr>
      </w:pPr>
      <w:r w:rsidRPr="00ED0CD3">
        <w:rPr>
          <w:b/>
          <w:sz w:val="20"/>
        </w:rPr>
        <w:t xml:space="preserve">Artículo </w:t>
      </w:r>
      <w:r w:rsidR="00542AE6" w:rsidRPr="00ED0CD3">
        <w:rPr>
          <w:b/>
          <w:sz w:val="20"/>
        </w:rPr>
        <w:t>8</w:t>
      </w:r>
      <w:r w:rsidRPr="00ED0CD3">
        <w:rPr>
          <w:b/>
          <w:sz w:val="20"/>
        </w:rPr>
        <w:t>.</w:t>
      </w:r>
      <w:r w:rsidR="009B5F7F" w:rsidRPr="00ED0CD3">
        <w:rPr>
          <w:b/>
          <w:sz w:val="20"/>
        </w:rPr>
        <w:t xml:space="preserve"> </w:t>
      </w:r>
      <w:r w:rsidR="009B5F7F" w:rsidRPr="00ED0CD3">
        <w:rPr>
          <w:sz w:val="20"/>
        </w:rPr>
        <w:t>Los Interesados en obtener una Concesión de Espectro Radioeléctrico para Uso Público, Concesión de Espectro Radioeléctrico para Uso Social o Concesión de Espectro Radioeléctrico para Uso Privado, ésta última en relación con el contenido del artículo 76, fracción III, inciso b), de la Ley, es decir con propósitos de experimentación, comprobación de viabilidad técnica y económica de tecnologías en desarrollo, pruebas temporales de equipo, así como para satisfacer necesidades de comunicación para embajadas o misiones diplomáticas que visiten el país, deberán presentar la información y cumplir en su totalidad con los requisitos aplicables que establece el artículo 3 de los Lineamientos para la obtención de la Concesión Única que corresponda, mediante el Formato IFT-Concesión Espectro Radioeléctrico que corresponda al tipo de concesión que se solicita, conforme a los siguientes formatos, los cuales forman parte integral de los presentes Lineamientos:</w:t>
      </w:r>
    </w:p>
    <w:p w14:paraId="77186C11" w14:textId="77777777" w:rsidR="009B5F7F" w:rsidRPr="00ED0CD3" w:rsidRDefault="009B5F7F" w:rsidP="00B41386">
      <w:pPr>
        <w:pStyle w:val="Texto"/>
        <w:tabs>
          <w:tab w:val="left" w:pos="851"/>
        </w:tabs>
        <w:spacing w:after="0" w:line="276" w:lineRule="auto"/>
        <w:ind w:left="851" w:right="757" w:hanging="284"/>
        <w:rPr>
          <w:sz w:val="20"/>
        </w:rPr>
      </w:pPr>
    </w:p>
    <w:p w14:paraId="7EF6C9CC" w14:textId="77777777" w:rsidR="009B5F7F" w:rsidRPr="00ED0CD3" w:rsidRDefault="0017518F" w:rsidP="00B41386">
      <w:pPr>
        <w:pStyle w:val="Texto"/>
        <w:tabs>
          <w:tab w:val="left" w:pos="851"/>
        </w:tabs>
        <w:spacing w:after="0" w:line="276" w:lineRule="auto"/>
        <w:ind w:left="851" w:right="757" w:hanging="284"/>
        <w:rPr>
          <w:sz w:val="20"/>
        </w:rPr>
      </w:pPr>
      <w:r w:rsidRPr="00ED0CD3">
        <w:rPr>
          <w:sz w:val="20"/>
        </w:rPr>
        <w:t>[</w:t>
      </w:r>
      <w:r w:rsidR="009B5F7F" w:rsidRPr="00ED0CD3">
        <w:rPr>
          <w:sz w:val="20"/>
        </w:rPr>
        <w:t>…</w:t>
      </w:r>
      <w:r w:rsidRPr="00ED0CD3">
        <w:rPr>
          <w:sz w:val="20"/>
        </w:rPr>
        <w:t>]</w:t>
      </w:r>
    </w:p>
    <w:p w14:paraId="5CA8A09A" w14:textId="77777777" w:rsidR="00265931" w:rsidRPr="00ED0CD3" w:rsidRDefault="00265931" w:rsidP="00B41386">
      <w:pPr>
        <w:pStyle w:val="Texto"/>
        <w:tabs>
          <w:tab w:val="left" w:pos="851"/>
        </w:tabs>
        <w:spacing w:after="0" w:line="276" w:lineRule="auto"/>
        <w:ind w:left="851" w:right="757" w:firstLine="0"/>
        <w:rPr>
          <w:sz w:val="20"/>
        </w:rPr>
      </w:pPr>
    </w:p>
    <w:p w14:paraId="4C2619C6" w14:textId="77777777" w:rsidR="00265931" w:rsidRPr="00ED0CD3" w:rsidRDefault="00265931" w:rsidP="00B41386">
      <w:pPr>
        <w:pStyle w:val="Texto"/>
        <w:tabs>
          <w:tab w:val="left" w:pos="851"/>
        </w:tabs>
        <w:spacing w:after="0" w:line="276" w:lineRule="auto"/>
        <w:ind w:left="851" w:right="757" w:hanging="425"/>
        <w:rPr>
          <w:sz w:val="20"/>
        </w:rPr>
      </w:pPr>
      <w:r w:rsidRPr="00ED0CD3">
        <w:rPr>
          <w:b/>
          <w:sz w:val="20"/>
        </w:rPr>
        <w:t>IV.</w:t>
      </w:r>
      <w:r w:rsidRPr="00ED0CD3">
        <w:rPr>
          <w:sz w:val="20"/>
        </w:rPr>
        <w:t xml:space="preserve"> …</w:t>
      </w:r>
    </w:p>
    <w:p w14:paraId="6CB794FF" w14:textId="77777777" w:rsidR="00265931" w:rsidRPr="00ED0CD3" w:rsidRDefault="00265931" w:rsidP="00B41386">
      <w:pPr>
        <w:pStyle w:val="Texto"/>
        <w:tabs>
          <w:tab w:val="left" w:pos="851"/>
        </w:tabs>
        <w:spacing w:after="0" w:line="276" w:lineRule="auto"/>
        <w:ind w:left="851" w:right="757" w:firstLine="0"/>
        <w:rPr>
          <w:sz w:val="20"/>
        </w:rPr>
      </w:pPr>
    </w:p>
    <w:p w14:paraId="59DBF332" w14:textId="77777777" w:rsidR="00265931" w:rsidRPr="00ED0CD3" w:rsidRDefault="00265931" w:rsidP="00B41386">
      <w:pPr>
        <w:pStyle w:val="Texto"/>
        <w:numPr>
          <w:ilvl w:val="0"/>
          <w:numId w:val="1"/>
        </w:numPr>
        <w:tabs>
          <w:tab w:val="left" w:pos="851"/>
        </w:tabs>
        <w:spacing w:after="0" w:line="276" w:lineRule="auto"/>
        <w:ind w:left="851" w:right="757" w:firstLine="0"/>
        <w:rPr>
          <w:sz w:val="20"/>
        </w:rPr>
      </w:pPr>
      <w:r w:rsidRPr="00ED0CD3">
        <w:rPr>
          <w:sz w:val="20"/>
        </w:rPr>
        <w:t>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dos primeros años partir de la fecha de la notificación del título de concesión de bandas de frecuencia, lo cual deberá ser acreditado ante el Instituto, conforme se establezca en dicho título y, en su caso, las disposiciones aplicables;</w:t>
      </w:r>
    </w:p>
    <w:p w14:paraId="660DA90B" w14:textId="77777777" w:rsidR="00265931" w:rsidRPr="00ED0CD3" w:rsidRDefault="00265931" w:rsidP="00B41386">
      <w:pPr>
        <w:pStyle w:val="Texto"/>
        <w:tabs>
          <w:tab w:val="left" w:pos="851"/>
        </w:tabs>
        <w:spacing w:after="0" w:line="276" w:lineRule="auto"/>
        <w:ind w:left="851" w:right="757" w:firstLine="0"/>
        <w:rPr>
          <w:sz w:val="20"/>
        </w:rPr>
      </w:pPr>
    </w:p>
    <w:p w14:paraId="351AE9B5" w14:textId="77777777" w:rsidR="0017518F" w:rsidRPr="00ED0CD3" w:rsidRDefault="0017518F" w:rsidP="00B41386">
      <w:pPr>
        <w:pStyle w:val="Texto"/>
        <w:tabs>
          <w:tab w:val="left" w:pos="851"/>
        </w:tabs>
        <w:spacing w:after="0" w:line="276" w:lineRule="auto"/>
        <w:ind w:left="851" w:right="757" w:firstLine="0"/>
        <w:rPr>
          <w:sz w:val="20"/>
        </w:rPr>
      </w:pPr>
    </w:p>
    <w:p w14:paraId="64848F02" w14:textId="77777777" w:rsidR="0017518F" w:rsidRPr="00ED0CD3" w:rsidRDefault="0017518F" w:rsidP="00B41386">
      <w:pPr>
        <w:pStyle w:val="Texto"/>
        <w:tabs>
          <w:tab w:val="left" w:pos="851"/>
        </w:tabs>
        <w:spacing w:after="0" w:line="276" w:lineRule="auto"/>
        <w:ind w:left="851" w:right="757" w:firstLine="0"/>
        <w:rPr>
          <w:sz w:val="20"/>
        </w:rPr>
      </w:pPr>
      <w:r w:rsidRPr="00ED0CD3">
        <w:rPr>
          <w:sz w:val="20"/>
        </w:rPr>
        <w:t>…</w:t>
      </w:r>
    </w:p>
    <w:p w14:paraId="4C6F19CA" w14:textId="77777777" w:rsidR="00265931" w:rsidRPr="00ED0CD3" w:rsidRDefault="00265931" w:rsidP="00B41386">
      <w:pPr>
        <w:pStyle w:val="Texto"/>
        <w:tabs>
          <w:tab w:val="left" w:pos="851"/>
        </w:tabs>
        <w:spacing w:after="0" w:line="276" w:lineRule="auto"/>
        <w:ind w:left="851" w:right="757" w:firstLine="0"/>
        <w:rPr>
          <w:sz w:val="20"/>
        </w:rPr>
      </w:pPr>
    </w:p>
    <w:p w14:paraId="5D3D40F5" w14:textId="77777777" w:rsidR="00265931" w:rsidRPr="00ED0CD3" w:rsidRDefault="00265931" w:rsidP="00B41386">
      <w:pPr>
        <w:pStyle w:val="Texto"/>
        <w:spacing w:after="0" w:line="276" w:lineRule="auto"/>
        <w:ind w:left="567" w:right="757" w:firstLine="0"/>
        <w:rPr>
          <w:sz w:val="20"/>
        </w:rPr>
      </w:pPr>
      <w:r w:rsidRPr="00ED0CD3">
        <w:rPr>
          <w:sz w:val="20"/>
        </w:rPr>
        <w:t xml:space="preserve">Las obligaciones descritas en el presente artículo deberán ser efectivamente cumplidas por el Concesionario </w:t>
      </w:r>
      <w:r w:rsidR="00273EA8" w:rsidRPr="00ED0CD3">
        <w:rPr>
          <w:sz w:val="20"/>
        </w:rPr>
        <w:t>en el</w:t>
      </w:r>
      <w:r w:rsidRPr="00ED0CD3">
        <w:rPr>
          <w:sz w:val="20"/>
        </w:rPr>
        <w:t xml:space="preserve"> plazo de dos años contados a partir de la fecha de notificación del título de concesión de banda de frecuencias.</w:t>
      </w:r>
    </w:p>
    <w:p w14:paraId="11F1EA66" w14:textId="77777777" w:rsidR="00265931" w:rsidRPr="00ED0CD3" w:rsidRDefault="00265931" w:rsidP="00B41386">
      <w:pPr>
        <w:pStyle w:val="Texto"/>
        <w:spacing w:after="0" w:line="276" w:lineRule="auto"/>
        <w:ind w:left="567" w:right="757" w:firstLine="0"/>
        <w:rPr>
          <w:sz w:val="20"/>
        </w:rPr>
      </w:pPr>
    </w:p>
    <w:p w14:paraId="08B9F40B" w14:textId="77777777" w:rsidR="00265931" w:rsidRPr="00ED0CD3" w:rsidRDefault="00265931" w:rsidP="00B41386">
      <w:pPr>
        <w:pStyle w:val="Texto"/>
        <w:spacing w:after="0" w:line="276" w:lineRule="auto"/>
        <w:ind w:left="567" w:right="757" w:firstLine="0"/>
        <w:rPr>
          <w:sz w:val="20"/>
        </w:rPr>
      </w:pPr>
      <w:r w:rsidRPr="00ED0CD3">
        <w:rPr>
          <w:sz w:val="20"/>
        </w:rPr>
        <w:t>El concesionario deberá observar de manera permanente durante la vigencia de la concesión que al efecto se le otorgue los principios citados en los párrafos que anteceden, los cuales garantizan el carácter de uso público en la prestación de servicio de radiodifusión sonora.</w:t>
      </w:r>
    </w:p>
    <w:p w14:paraId="60D40B2F" w14:textId="77777777" w:rsidR="00265931" w:rsidRPr="00ED0CD3" w:rsidRDefault="00265931" w:rsidP="00B41386">
      <w:pPr>
        <w:pStyle w:val="Texto"/>
        <w:spacing w:after="0" w:line="276" w:lineRule="auto"/>
        <w:ind w:left="567" w:right="757" w:firstLine="0"/>
        <w:rPr>
          <w:sz w:val="20"/>
        </w:rPr>
      </w:pPr>
    </w:p>
    <w:p w14:paraId="41BDE4F6" w14:textId="77777777" w:rsidR="00265931" w:rsidRPr="00ED0CD3" w:rsidRDefault="00265931" w:rsidP="00B41386">
      <w:pPr>
        <w:pStyle w:val="Texto"/>
        <w:spacing w:after="0" w:line="276" w:lineRule="auto"/>
        <w:ind w:left="567" w:right="757" w:firstLine="0"/>
        <w:rPr>
          <w:sz w:val="20"/>
        </w:rPr>
      </w:pPr>
      <w:r w:rsidRPr="00ED0CD3">
        <w:rPr>
          <w:sz w:val="20"/>
        </w:rPr>
        <w:t>El incumplimiento a lo dispuesto en la presente fracción será sancionado en términos de lo dispuesto por la Ley.</w:t>
      </w:r>
    </w:p>
    <w:p w14:paraId="2D0597DF" w14:textId="77777777" w:rsidR="00265931" w:rsidRPr="00ED0CD3" w:rsidRDefault="00265931" w:rsidP="00B41386">
      <w:pPr>
        <w:pStyle w:val="Texto"/>
        <w:tabs>
          <w:tab w:val="left" w:pos="851"/>
        </w:tabs>
        <w:spacing w:after="0" w:line="276" w:lineRule="auto"/>
        <w:ind w:left="851" w:right="757" w:firstLine="0"/>
        <w:rPr>
          <w:sz w:val="20"/>
        </w:rPr>
      </w:pPr>
    </w:p>
    <w:p w14:paraId="4AA00C12" w14:textId="77777777" w:rsidR="009B5F7F" w:rsidRPr="00ED0CD3" w:rsidRDefault="009B5F7F" w:rsidP="00B41386">
      <w:pPr>
        <w:pStyle w:val="Texto"/>
        <w:tabs>
          <w:tab w:val="left" w:pos="851"/>
        </w:tabs>
        <w:spacing w:after="0" w:line="276" w:lineRule="auto"/>
        <w:ind w:left="851" w:right="757" w:firstLine="0"/>
        <w:rPr>
          <w:sz w:val="20"/>
        </w:rPr>
      </w:pPr>
    </w:p>
    <w:p w14:paraId="78FBE202" w14:textId="77777777" w:rsidR="00FB2B9E" w:rsidRPr="00ED0CD3" w:rsidRDefault="00C80239" w:rsidP="00B41386">
      <w:pPr>
        <w:pStyle w:val="Texto"/>
        <w:spacing w:after="0" w:line="276" w:lineRule="auto"/>
        <w:ind w:left="567" w:right="757" w:firstLine="0"/>
        <w:rPr>
          <w:b/>
          <w:sz w:val="20"/>
        </w:rPr>
      </w:pPr>
      <w:r w:rsidRPr="00ED0CD3">
        <w:rPr>
          <w:b/>
          <w:sz w:val="20"/>
        </w:rPr>
        <w:t>Artículo 13</w:t>
      </w:r>
      <w:r w:rsidR="00FB2B9E" w:rsidRPr="00ED0CD3">
        <w:rPr>
          <w:b/>
          <w:sz w:val="20"/>
        </w:rPr>
        <w:t xml:space="preserve">. </w:t>
      </w:r>
      <w:r w:rsidRPr="00ED0CD3">
        <w:rPr>
          <w:b/>
          <w:sz w:val="20"/>
        </w:rPr>
        <w:t>…</w:t>
      </w:r>
    </w:p>
    <w:p w14:paraId="721A4DE6" w14:textId="77777777" w:rsidR="00C80239" w:rsidRPr="00ED0CD3" w:rsidRDefault="00C80239" w:rsidP="00B41386">
      <w:pPr>
        <w:pStyle w:val="Texto"/>
        <w:spacing w:after="0" w:line="276" w:lineRule="auto"/>
        <w:ind w:left="567" w:right="757" w:firstLine="0"/>
        <w:rPr>
          <w:sz w:val="20"/>
        </w:rPr>
      </w:pPr>
    </w:p>
    <w:p w14:paraId="762B7566" w14:textId="77777777" w:rsidR="00814457" w:rsidRPr="00ED0CD3" w:rsidRDefault="009B5F7F" w:rsidP="00B41386">
      <w:pPr>
        <w:pStyle w:val="Texto"/>
        <w:spacing w:after="0" w:line="276" w:lineRule="auto"/>
        <w:ind w:left="567" w:right="757" w:firstLine="0"/>
        <w:rPr>
          <w:sz w:val="20"/>
        </w:rPr>
      </w:pPr>
      <w:r w:rsidRPr="00ED0CD3">
        <w:rPr>
          <w:sz w:val="20"/>
        </w:rPr>
        <w:t>El formato de solicitud se presentará de manera impresa conforme a los archivos electrónicos que podrán ser obtenidos de la página de Internet del Instituto.</w:t>
      </w:r>
    </w:p>
    <w:p w14:paraId="7C43CC34" w14:textId="77777777" w:rsidR="00723678" w:rsidRPr="00ED0CD3" w:rsidRDefault="00723678" w:rsidP="00B41386">
      <w:pPr>
        <w:pStyle w:val="Texto"/>
        <w:spacing w:after="0" w:line="276" w:lineRule="auto"/>
        <w:ind w:left="567" w:right="757" w:firstLine="0"/>
        <w:rPr>
          <w:sz w:val="20"/>
        </w:rPr>
      </w:pPr>
    </w:p>
    <w:p w14:paraId="4FFDD45C" w14:textId="77777777" w:rsidR="009B5F7F" w:rsidRPr="00ED0CD3" w:rsidRDefault="00814457">
      <w:pPr>
        <w:pStyle w:val="Texto"/>
        <w:spacing w:after="0" w:line="276" w:lineRule="auto"/>
        <w:ind w:left="567" w:right="757" w:firstLine="0"/>
        <w:rPr>
          <w:sz w:val="20"/>
        </w:rPr>
      </w:pPr>
      <w:r w:rsidRPr="00ED0CD3">
        <w:rPr>
          <w:sz w:val="20"/>
        </w:rPr>
        <w:t>Cuando los Interesados presenten una solicitud para el otorgamiento de concesiones sobre el espectro radioeléctrico cuyo formato requiera la presentación, mediante Anexos, de diversas especificaciones técnicas, dichos Anexos además de presentarse de manera impresa, deberán incluirse en archivos electrónicos editables, grabados en un disco compacto o un dispositivo USB.</w:t>
      </w:r>
      <w:r w:rsidR="00046931" w:rsidRPr="00ED0CD3">
        <w:rPr>
          <w:sz w:val="20"/>
        </w:rPr>
        <w:t xml:space="preserve"> </w:t>
      </w:r>
      <w:r w:rsidR="009B5F7F" w:rsidRPr="00ED0CD3">
        <w:rPr>
          <w:sz w:val="20"/>
        </w:rPr>
        <w:t>En caso de que exista discrepancia entre la información impresa y la que se presente en el medio electrónico se requerirá al Interesado para que subsane la misma.</w:t>
      </w:r>
    </w:p>
    <w:p w14:paraId="57C8B5CC" w14:textId="77777777" w:rsidR="00046931" w:rsidRPr="00ED0CD3" w:rsidRDefault="00046931">
      <w:pPr>
        <w:pStyle w:val="Texto"/>
        <w:spacing w:after="0" w:line="276" w:lineRule="auto"/>
        <w:ind w:left="567" w:right="757" w:firstLine="0"/>
        <w:rPr>
          <w:sz w:val="20"/>
        </w:rPr>
      </w:pPr>
    </w:p>
    <w:p w14:paraId="49F32DEC" w14:textId="77777777" w:rsidR="00046931" w:rsidRPr="00ED0CD3" w:rsidRDefault="00046931">
      <w:pPr>
        <w:pStyle w:val="Texto"/>
        <w:spacing w:after="0" w:line="276" w:lineRule="auto"/>
        <w:ind w:left="567" w:right="757" w:firstLine="0"/>
        <w:rPr>
          <w:sz w:val="20"/>
        </w:rPr>
      </w:pPr>
    </w:p>
    <w:p w14:paraId="11359645" w14:textId="77777777" w:rsidR="009B5F7F" w:rsidRPr="00ED0CD3" w:rsidRDefault="009B5F7F" w:rsidP="00B41386">
      <w:pPr>
        <w:pStyle w:val="Texto"/>
        <w:tabs>
          <w:tab w:val="left" w:pos="851"/>
        </w:tabs>
        <w:spacing w:after="0" w:line="276" w:lineRule="auto"/>
        <w:ind w:left="851" w:right="757" w:firstLine="0"/>
        <w:rPr>
          <w:b/>
          <w:sz w:val="20"/>
        </w:rPr>
      </w:pPr>
    </w:p>
    <w:p w14:paraId="4FD29F3F" w14:textId="77777777" w:rsidR="004B193B" w:rsidRPr="00ED0CD3" w:rsidRDefault="004B193B" w:rsidP="00B41386">
      <w:pPr>
        <w:pStyle w:val="Texto"/>
        <w:spacing w:after="0" w:line="276" w:lineRule="auto"/>
        <w:ind w:left="567" w:right="757" w:firstLine="0"/>
        <w:rPr>
          <w:b/>
          <w:sz w:val="20"/>
        </w:rPr>
      </w:pPr>
      <w:r w:rsidRPr="00ED0CD3">
        <w:rPr>
          <w:b/>
          <w:sz w:val="20"/>
        </w:rPr>
        <w:t>Artículo 14.- …</w:t>
      </w:r>
    </w:p>
    <w:p w14:paraId="5E3406FB" w14:textId="77777777" w:rsidR="004B193B" w:rsidRPr="00ED0CD3" w:rsidRDefault="004B193B" w:rsidP="00B41386">
      <w:pPr>
        <w:pStyle w:val="Texto"/>
        <w:spacing w:after="0" w:line="276" w:lineRule="auto"/>
        <w:ind w:left="567" w:right="757" w:firstLine="0"/>
        <w:rPr>
          <w:sz w:val="20"/>
        </w:rPr>
      </w:pPr>
      <w:r w:rsidRPr="00ED0CD3">
        <w:rPr>
          <w:sz w:val="20"/>
        </w:rPr>
        <w:t>…</w:t>
      </w:r>
    </w:p>
    <w:p w14:paraId="0CFCB5E3" w14:textId="77777777" w:rsidR="009B5F7F" w:rsidRPr="00ED0CD3" w:rsidRDefault="009B5F7F" w:rsidP="00B41386">
      <w:pPr>
        <w:pStyle w:val="Texto"/>
        <w:spacing w:after="0" w:line="276" w:lineRule="auto"/>
        <w:ind w:left="567" w:right="757" w:firstLine="0"/>
        <w:rPr>
          <w:sz w:val="20"/>
        </w:rPr>
      </w:pPr>
    </w:p>
    <w:p w14:paraId="55DA6BC1" w14:textId="77777777" w:rsidR="004B193B" w:rsidRPr="00ED0CD3" w:rsidRDefault="004B193B" w:rsidP="00B41386">
      <w:pPr>
        <w:pStyle w:val="Texto"/>
        <w:spacing w:after="0" w:line="276" w:lineRule="auto"/>
        <w:ind w:left="567" w:right="757" w:firstLine="0"/>
        <w:rPr>
          <w:sz w:val="20"/>
        </w:rPr>
      </w:pPr>
      <w:r w:rsidRPr="00ED0CD3">
        <w:rPr>
          <w:sz w:val="20"/>
        </w:rPr>
        <w:t>La asistencia a que se refiere el presente artículo comprende la obligación a cargo del Instituto para la integración de las solicitudes, asimismo al tratarse de concesiones de bandas de frecuencias para el servicio de radiodifusión el Instituto brindará apoyo técnico para el cumplimiento de lo establecido en el Art. 155 de la Ley.</w:t>
      </w:r>
    </w:p>
    <w:p w14:paraId="37649DFC" w14:textId="77777777" w:rsidR="004B193B" w:rsidRPr="00ED0CD3" w:rsidRDefault="004B193B" w:rsidP="00B41386">
      <w:pPr>
        <w:pStyle w:val="Texto"/>
        <w:spacing w:after="0" w:line="276" w:lineRule="auto"/>
        <w:ind w:left="567" w:right="757" w:firstLine="0"/>
        <w:rPr>
          <w:b/>
          <w:sz w:val="20"/>
        </w:rPr>
      </w:pPr>
    </w:p>
    <w:p w14:paraId="2A0DA257" w14:textId="77777777" w:rsidR="004B193B" w:rsidRPr="00ED0CD3" w:rsidRDefault="004B193B" w:rsidP="00B41386">
      <w:pPr>
        <w:pStyle w:val="Texto"/>
        <w:tabs>
          <w:tab w:val="left" w:pos="851"/>
        </w:tabs>
        <w:spacing w:after="0" w:line="276" w:lineRule="auto"/>
        <w:ind w:left="851" w:right="757" w:firstLine="0"/>
        <w:rPr>
          <w:sz w:val="20"/>
        </w:rPr>
      </w:pPr>
      <w:r w:rsidRPr="00ED0CD3">
        <w:rPr>
          <w:sz w:val="20"/>
        </w:rPr>
        <w:t xml:space="preserve">… </w:t>
      </w:r>
    </w:p>
    <w:p w14:paraId="6819BC9E" w14:textId="77777777" w:rsidR="003442F8" w:rsidRPr="00ED0CD3" w:rsidRDefault="003442F8" w:rsidP="00B41386">
      <w:pPr>
        <w:pStyle w:val="Texto"/>
        <w:tabs>
          <w:tab w:val="left" w:pos="851"/>
        </w:tabs>
        <w:spacing w:after="0" w:line="276" w:lineRule="auto"/>
        <w:ind w:left="851" w:right="757" w:firstLine="0"/>
        <w:rPr>
          <w:b/>
          <w:sz w:val="20"/>
        </w:rPr>
      </w:pPr>
    </w:p>
    <w:p w14:paraId="3E65F182" w14:textId="77777777" w:rsidR="003442F8" w:rsidRPr="00ED0CD3" w:rsidRDefault="003442F8" w:rsidP="00B41386">
      <w:pPr>
        <w:pStyle w:val="Texto"/>
        <w:spacing w:after="0" w:line="276" w:lineRule="auto"/>
        <w:ind w:left="567" w:right="757" w:firstLine="0"/>
        <w:rPr>
          <w:b/>
          <w:sz w:val="20"/>
        </w:rPr>
      </w:pPr>
      <w:r w:rsidRPr="00ED0CD3">
        <w:rPr>
          <w:b/>
          <w:sz w:val="20"/>
        </w:rPr>
        <w:t xml:space="preserve">Artículo 19. </w:t>
      </w:r>
      <w:r w:rsidRPr="00ED0CD3">
        <w:rPr>
          <w:sz w:val="20"/>
        </w:rPr>
        <w:t>…</w:t>
      </w:r>
    </w:p>
    <w:p w14:paraId="67EEE895" w14:textId="77777777" w:rsidR="003442F8" w:rsidRPr="00ED0CD3" w:rsidRDefault="003442F8" w:rsidP="00B41386">
      <w:pPr>
        <w:pStyle w:val="Texto"/>
        <w:spacing w:after="0" w:line="276" w:lineRule="auto"/>
        <w:ind w:left="567" w:right="757" w:firstLine="0"/>
        <w:rPr>
          <w:b/>
          <w:sz w:val="20"/>
        </w:rPr>
      </w:pPr>
    </w:p>
    <w:p w14:paraId="535D8C98" w14:textId="77777777" w:rsidR="003442F8" w:rsidRPr="00ED0CD3" w:rsidRDefault="003442F8" w:rsidP="00B41386">
      <w:pPr>
        <w:pStyle w:val="Texto"/>
        <w:spacing w:after="0" w:line="276" w:lineRule="auto"/>
        <w:ind w:left="567" w:right="757" w:firstLine="0"/>
        <w:rPr>
          <w:sz w:val="20"/>
        </w:rPr>
      </w:pPr>
      <w:r w:rsidRPr="00ED0CD3">
        <w:rPr>
          <w:sz w:val="20"/>
        </w:rPr>
        <w:t xml:space="preserve">El Instituto en la evaluación y atención de solicitudes de concesión de Uso Comunitario y Uso Indígena deberá observar los principios de inmediatez, no formalismo y la causa de pedir. </w:t>
      </w:r>
    </w:p>
    <w:p w14:paraId="46E795B6" w14:textId="77777777" w:rsidR="004B193B" w:rsidRPr="00ED0CD3" w:rsidRDefault="004B193B" w:rsidP="00B41386">
      <w:pPr>
        <w:pStyle w:val="Texto"/>
        <w:spacing w:after="0" w:line="276" w:lineRule="auto"/>
        <w:ind w:left="567" w:right="757" w:firstLine="0"/>
        <w:rPr>
          <w:b/>
          <w:sz w:val="20"/>
        </w:rPr>
      </w:pPr>
    </w:p>
    <w:p w14:paraId="3D672F93" w14:textId="77777777" w:rsidR="004B193B" w:rsidRPr="00ED0CD3" w:rsidRDefault="004B193B" w:rsidP="00B41386">
      <w:pPr>
        <w:pStyle w:val="Texto"/>
        <w:spacing w:after="0" w:line="276" w:lineRule="auto"/>
        <w:ind w:left="567" w:right="757" w:firstLine="0"/>
        <w:rPr>
          <w:sz w:val="20"/>
        </w:rPr>
      </w:pPr>
      <w:r w:rsidRPr="00ED0CD3">
        <w:rPr>
          <w:b/>
          <w:sz w:val="20"/>
        </w:rPr>
        <w:t xml:space="preserve">Artículo 21.- </w:t>
      </w:r>
      <w:r w:rsidRPr="00ED0CD3">
        <w:rPr>
          <w:sz w:val="20"/>
        </w:rPr>
        <w:t xml:space="preserve">Cuando la solicitud correspondiente no contenga los datos y/o información requeridos en los presentes Lineamientos, en cualquier momento el Instituto prevendrá por </w:t>
      </w:r>
      <w:r w:rsidR="00F7615B" w:rsidRPr="00ED0CD3">
        <w:rPr>
          <w:sz w:val="20"/>
        </w:rPr>
        <w:t xml:space="preserve">única vez al Interesado por escrito, </w:t>
      </w:r>
      <w:r w:rsidRPr="00ED0CD3">
        <w:rPr>
          <w:sz w:val="20"/>
        </w:rPr>
        <w:t>para que a más tardar dentro del plazo de 30 (treinta) días hábiles, contados a partir del siguiente a aquél en que surta efectos la notificación correspondiente, subsane la omisión o defecto correspondiente de forma completa. Dicho plazo podrá ser prorrogado en una sola ocasión por un período igual a solicitud del Interesado, la cual deberá ser presentada mediante escrito libre dentro del término concedido.</w:t>
      </w:r>
    </w:p>
    <w:p w14:paraId="3A98E6AE" w14:textId="77777777" w:rsidR="004B193B" w:rsidRPr="00ED0CD3" w:rsidRDefault="004B193B" w:rsidP="00B41386">
      <w:pPr>
        <w:pStyle w:val="Texto"/>
        <w:spacing w:after="0" w:line="276" w:lineRule="auto"/>
        <w:ind w:left="567" w:right="757" w:firstLine="0"/>
        <w:rPr>
          <w:sz w:val="20"/>
        </w:rPr>
      </w:pPr>
      <w:r w:rsidRPr="00ED0CD3">
        <w:rPr>
          <w:sz w:val="20"/>
        </w:rPr>
        <w:t>…</w:t>
      </w:r>
    </w:p>
    <w:p w14:paraId="16D6779B" w14:textId="77777777" w:rsidR="004B193B" w:rsidRPr="00ED0CD3" w:rsidRDefault="004B193B" w:rsidP="00B41386">
      <w:pPr>
        <w:pStyle w:val="Texto"/>
        <w:spacing w:after="0" w:line="276" w:lineRule="auto"/>
        <w:ind w:left="567" w:right="757" w:firstLine="0"/>
        <w:rPr>
          <w:sz w:val="20"/>
        </w:rPr>
      </w:pPr>
    </w:p>
    <w:p w14:paraId="3CB73958" w14:textId="77777777" w:rsidR="004B193B" w:rsidRPr="00ED0CD3" w:rsidRDefault="004B193B" w:rsidP="00B41386">
      <w:pPr>
        <w:pStyle w:val="Texto"/>
        <w:spacing w:after="0" w:line="276" w:lineRule="auto"/>
        <w:ind w:left="567" w:right="757" w:firstLine="0"/>
        <w:rPr>
          <w:sz w:val="20"/>
        </w:rPr>
      </w:pPr>
      <w:r w:rsidRPr="00ED0CD3">
        <w:rPr>
          <w:sz w:val="20"/>
        </w:rPr>
        <w:t>Cuando el Interesado no desahogue la prevención realizada de forma completa y dentro del plazo referido en el primer párrafo, el Instituto desechará el trámite.</w:t>
      </w:r>
    </w:p>
    <w:p w14:paraId="5C1FBC1C" w14:textId="77777777" w:rsidR="004B193B" w:rsidRPr="00ED0CD3" w:rsidRDefault="004B193B" w:rsidP="007478A6">
      <w:pPr>
        <w:pStyle w:val="Texto"/>
        <w:spacing w:after="0" w:line="276" w:lineRule="auto"/>
        <w:ind w:firstLine="0"/>
        <w:rPr>
          <w:b/>
          <w:sz w:val="20"/>
        </w:rPr>
      </w:pPr>
    </w:p>
    <w:p w14:paraId="48806187" w14:textId="77777777" w:rsidR="001D4A05" w:rsidRPr="00ED0CD3" w:rsidRDefault="000F3C4E" w:rsidP="000F3C4E">
      <w:pPr>
        <w:pStyle w:val="Texto"/>
        <w:spacing w:after="0" w:line="276" w:lineRule="auto"/>
        <w:ind w:firstLine="0"/>
        <w:rPr>
          <w:sz w:val="22"/>
          <w:szCs w:val="22"/>
        </w:rPr>
      </w:pPr>
      <w:r w:rsidRPr="00ED0CD3">
        <w:rPr>
          <w:b/>
          <w:sz w:val="22"/>
          <w:szCs w:val="22"/>
        </w:rPr>
        <w:t>Segundo</w:t>
      </w:r>
      <w:r w:rsidR="00C80239" w:rsidRPr="00ED0CD3">
        <w:rPr>
          <w:b/>
          <w:sz w:val="22"/>
          <w:szCs w:val="22"/>
        </w:rPr>
        <w:t>.</w:t>
      </w:r>
      <w:r w:rsidR="001D4A05" w:rsidRPr="00ED0CD3">
        <w:rPr>
          <w:b/>
          <w:sz w:val="22"/>
          <w:szCs w:val="22"/>
        </w:rPr>
        <w:t xml:space="preserve"> </w:t>
      </w:r>
      <w:r w:rsidR="001D4A05" w:rsidRPr="00ED0CD3">
        <w:rPr>
          <w:sz w:val="22"/>
          <w:szCs w:val="22"/>
        </w:rPr>
        <w:t xml:space="preserve">Se </w:t>
      </w:r>
      <w:r w:rsidR="00773ED9" w:rsidRPr="00ED0CD3">
        <w:rPr>
          <w:sz w:val="22"/>
          <w:szCs w:val="22"/>
        </w:rPr>
        <w:t xml:space="preserve">modifica </w:t>
      </w:r>
      <w:r w:rsidR="00273EA8" w:rsidRPr="00ED0CD3">
        <w:rPr>
          <w:sz w:val="22"/>
          <w:szCs w:val="22"/>
        </w:rPr>
        <w:t>el artículo SEGUNDO Transitorio,</w:t>
      </w:r>
      <w:r w:rsidR="001D4A05" w:rsidRPr="00ED0CD3">
        <w:rPr>
          <w:sz w:val="22"/>
          <w:szCs w:val="22"/>
        </w:rPr>
        <w:t xml:space="preserve"> fracción VIII de los Lineamientos generales para el otorgamiento de las concesiones a que se refiere el título cuarto de la Ley Federal de Telecomunicaciones y Radiodifusión, para quedar como sigue:</w:t>
      </w:r>
    </w:p>
    <w:p w14:paraId="002A4C57" w14:textId="77777777" w:rsidR="00723678" w:rsidRPr="00ED0CD3" w:rsidRDefault="00723678" w:rsidP="00B41386">
      <w:pPr>
        <w:pStyle w:val="Texto"/>
        <w:spacing w:after="0" w:line="276" w:lineRule="auto"/>
        <w:ind w:left="567" w:right="757"/>
        <w:rPr>
          <w:b/>
          <w:sz w:val="22"/>
          <w:szCs w:val="22"/>
        </w:rPr>
      </w:pPr>
    </w:p>
    <w:p w14:paraId="71BF6657" w14:textId="77777777" w:rsidR="001D4A05" w:rsidRPr="00ED0CD3" w:rsidRDefault="001D4A05" w:rsidP="00B41386">
      <w:pPr>
        <w:pStyle w:val="Texto"/>
        <w:spacing w:after="0" w:line="276" w:lineRule="auto"/>
        <w:ind w:left="567" w:right="757" w:firstLine="0"/>
        <w:rPr>
          <w:b/>
          <w:sz w:val="20"/>
        </w:rPr>
      </w:pPr>
      <w:r w:rsidRPr="00ED0CD3">
        <w:rPr>
          <w:b/>
          <w:sz w:val="20"/>
        </w:rPr>
        <w:t>“</w:t>
      </w:r>
      <w:r w:rsidR="004B193B" w:rsidRPr="00ED0CD3">
        <w:rPr>
          <w:b/>
          <w:sz w:val="20"/>
        </w:rPr>
        <w:t>SEGUNDO. -</w:t>
      </w:r>
      <w:r w:rsidRPr="00ED0CD3">
        <w:rPr>
          <w:b/>
          <w:sz w:val="20"/>
        </w:rPr>
        <w:t xml:space="preserve"> …</w:t>
      </w:r>
    </w:p>
    <w:p w14:paraId="56C61569" w14:textId="77777777" w:rsidR="001D4A05" w:rsidRPr="00ED0CD3" w:rsidRDefault="001D4A05" w:rsidP="00B41386">
      <w:pPr>
        <w:pStyle w:val="Texto"/>
        <w:spacing w:after="0" w:line="276" w:lineRule="auto"/>
        <w:ind w:left="567" w:right="757"/>
        <w:rPr>
          <w:b/>
          <w:sz w:val="20"/>
        </w:rPr>
      </w:pPr>
    </w:p>
    <w:p w14:paraId="08304479" w14:textId="77777777" w:rsidR="001D4A05" w:rsidRPr="00ED0CD3" w:rsidRDefault="001D4A05" w:rsidP="00B41386">
      <w:pPr>
        <w:pStyle w:val="Texto"/>
        <w:spacing w:after="0" w:line="276" w:lineRule="auto"/>
        <w:ind w:left="567" w:right="757"/>
        <w:rPr>
          <w:sz w:val="20"/>
        </w:rPr>
      </w:pPr>
      <w:r w:rsidRPr="00ED0CD3">
        <w:rPr>
          <w:sz w:val="20"/>
        </w:rPr>
        <w:t>…</w:t>
      </w:r>
    </w:p>
    <w:p w14:paraId="3EBF9BF1" w14:textId="77777777" w:rsidR="001D4A05" w:rsidRPr="00ED0CD3" w:rsidRDefault="001D4A05" w:rsidP="00B41386">
      <w:pPr>
        <w:pStyle w:val="Texto"/>
        <w:spacing w:after="0" w:line="276" w:lineRule="auto"/>
        <w:ind w:left="567" w:right="757"/>
        <w:rPr>
          <w:b/>
          <w:sz w:val="20"/>
        </w:rPr>
      </w:pPr>
    </w:p>
    <w:p w14:paraId="57CE390D" w14:textId="77777777" w:rsidR="001D4A05" w:rsidRPr="00ED0CD3" w:rsidRDefault="001D4A05" w:rsidP="00B41386">
      <w:pPr>
        <w:pStyle w:val="Texto"/>
        <w:spacing w:after="0" w:line="276" w:lineRule="auto"/>
        <w:ind w:left="567" w:right="757"/>
        <w:rPr>
          <w:sz w:val="20"/>
        </w:rPr>
      </w:pPr>
      <w:r w:rsidRPr="00ED0CD3">
        <w:rPr>
          <w:b/>
          <w:sz w:val="20"/>
        </w:rPr>
        <w:lastRenderedPageBreak/>
        <w:t xml:space="preserve">VIII. </w:t>
      </w:r>
      <w:r w:rsidRPr="00ED0CD3">
        <w:rPr>
          <w:sz w:val="20"/>
        </w:rPr>
        <w:t>Los permisionarios que transiten al régimen de Concesión para Uso Público, de conformidad con los títulos de concesión respectivos, quedarán obligados a cumplir con los principios a que se refiere el segundo párrafo del artículo 86 de la Ley, por lo que el concesionario contará con un plazo de 2 (dos) años contados a partir del día siguiente de la notificación del título de concesión de Espectro Radioeléctrico respectivo para presentar ante el Instituto, en términos del artículo 8 fracción IV de los presentes Lineamientos, los mecanismos concretos para asegurar dichos principios. El incumplimiento a lo dispuesto en la presente fracción será sancionado en términos de lo dispuesto por la Ley, y</w:t>
      </w:r>
    </w:p>
    <w:p w14:paraId="1D6F9306" w14:textId="77777777" w:rsidR="001D4A05" w:rsidRPr="00ED0CD3" w:rsidRDefault="001D4A05" w:rsidP="00B41386">
      <w:pPr>
        <w:pStyle w:val="Texto"/>
        <w:spacing w:after="0" w:line="276" w:lineRule="auto"/>
        <w:ind w:left="567" w:right="757"/>
        <w:rPr>
          <w:sz w:val="20"/>
        </w:rPr>
      </w:pPr>
    </w:p>
    <w:p w14:paraId="5C6804DA" w14:textId="77777777" w:rsidR="001D4A05" w:rsidRPr="00ED0CD3" w:rsidRDefault="001D4A05" w:rsidP="000F3C4E">
      <w:pPr>
        <w:pStyle w:val="Texto"/>
        <w:spacing w:after="0" w:line="276" w:lineRule="auto"/>
        <w:ind w:left="567"/>
        <w:rPr>
          <w:sz w:val="20"/>
        </w:rPr>
      </w:pPr>
      <w:r w:rsidRPr="00ED0CD3">
        <w:rPr>
          <w:sz w:val="20"/>
        </w:rPr>
        <w:t>…”</w:t>
      </w:r>
    </w:p>
    <w:p w14:paraId="1D8EF777" w14:textId="77777777" w:rsidR="000F3C4E" w:rsidRPr="00ED0CD3" w:rsidRDefault="000F3C4E" w:rsidP="000F3C4E">
      <w:pPr>
        <w:pStyle w:val="Texto"/>
        <w:spacing w:after="0" w:line="276" w:lineRule="auto"/>
        <w:ind w:left="567"/>
        <w:rPr>
          <w:sz w:val="20"/>
        </w:rPr>
      </w:pPr>
    </w:p>
    <w:p w14:paraId="10B842A9" w14:textId="77777777" w:rsidR="009C72B6" w:rsidRPr="00ED0CD3" w:rsidRDefault="009C72B6" w:rsidP="007478A6">
      <w:pPr>
        <w:pStyle w:val="Texto"/>
        <w:spacing w:after="0" w:line="276" w:lineRule="auto"/>
        <w:ind w:firstLine="0"/>
        <w:jc w:val="center"/>
        <w:rPr>
          <w:b/>
          <w:sz w:val="22"/>
          <w:szCs w:val="22"/>
        </w:rPr>
      </w:pPr>
      <w:r w:rsidRPr="00ED0CD3">
        <w:rPr>
          <w:b/>
          <w:sz w:val="22"/>
          <w:szCs w:val="22"/>
        </w:rPr>
        <w:t>T</w:t>
      </w:r>
      <w:r w:rsidR="00DF74F2" w:rsidRPr="00ED0CD3">
        <w:rPr>
          <w:b/>
          <w:sz w:val="22"/>
          <w:szCs w:val="22"/>
        </w:rPr>
        <w:t>ransitorios</w:t>
      </w:r>
    </w:p>
    <w:p w14:paraId="07E20A3D" w14:textId="77777777" w:rsidR="009C72B6" w:rsidRPr="00ED0CD3" w:rsidRDefault="009C72B6" w:rsidP="007478A6">
      <w:pPr>
        <w:pStyle w:val="Texto"/>
        <w:spacing w:after="0" w:line="276" w:lineRule="auto"/>
        <w:ind w:firstLine="0"/>
        <w:rPr>
          <w:b/>
          <w:sz w:val="22"/>
          <w:szCs w:val="22"/>
        </w:rPr>
      </w:pPr>
    </w:p>
    <w:p w14:paraId="05AF8C86" w14:textId="049B40A5" w:rsidR="00FB2B9E" w:rsidRPr="00ED0CD3" w:rsidRDefault="00DF74F2" w:rsidP="007478A6">
      <w:pPr>
        <w:pStyle w:val="Texto"/>
        <w:spacing w:after="0" w:line="276" w:lineRule="auto"/>
        <w:ind w:firstLine="0"/>
        <w:rPr>
          <w:sz w:val="22"/>
          <w:szCs w:val="22"/>
        </w:rPr>
      </w:pPr>
      <w:r w:rsidRPr="00ED0CD3">
        <w:rPr>
          <w:b/>
          <w:sz w:val="22"/>
          <w:szCs w:val="22"/>
        </w:rPr>
        <w:t>Primero</w:t>
      </w:r>
      <w:r w:rsidR="000052C5" w:rsidRPr="00ED0CD3">
        <w:rPr>
          <w:b/>
          <w:sz w:val="22"/>
          <w:szCs w:val="22"/>
        </w:rPr>
        <w:t xml:space="preserve">. </w:t>
      </w:r>
      <w:r w:rsidR="00EA3486" w:rsidRPr="00ED0CD3">
        <w:rPr>
          <w:sz w:val="22"/>
          <w:szCs w:val="22"/>
        </w:rPr>
        <w:t>El presente Acuerdo</w:t>
      </w:r>
      <w:r w:rsidR="00773ED9" w:rsidRPr="00ED0CD3">
        <w:rPr>
          <w:sz w:val="22"/>
          <w:szCs w:val="22"/>
        </w:rPr>
        <w:t xml:space="preserve"> entrará en vigor al día siguiente de su publicación en el Diario Oficial de la Federación.</w:t>
      </w:r>
    </w:p>
    <w:p w14:paraId="3AAE934C" w14:textId="77777777" w:rsidR="00723678" w:rsidRPr="00ED0CD3" w:rsidRDefault="00723678" w:rsidP="007478A6">
      <w:pPr>
        <w:pStyle w:val="Texto"/>
        <w:spacing w:after="0" w:line="276" w:lineRule="auto"/>
        <w:ind w:firstLine="0"/>
        <w:rPr>
          <w:sz w:val="22"/>
          <w:szCs w:val="22"/>
        </w:rPr>
      </w:pPr>
    </w:p>
    <w:p w14:paraId="5655A14D" w14:textId="77777777" w:rsidR="00F937C4" w:rsidRPr="00ED0CD3" w:rsidRDefault="00F937C4" w:rsidP="00F937C4">
      <w:pPr>
        <w:pStyle w:val="Texto"/>
        <w:spacing w:after="0" w:line="276" w:lineRule="auto"/>
        <w:ind w:firstLine="0"/>
        <w:rPr>
          <w:sz w:val="22"/>
          <w:szCs w:val="22"/>
        </w:rPr>
      </w:pPr>
      <w:r w:rsidRPr="00ED0CD3">
        <w:rPr>
          <w:b/>
          <w:sz w:val="22"/>
          <w:szCs w:val="22"/>
        </w:rPr>
        <w:t>Segundo</w:t>
      </w:r>
      <w:r w:rsidRPr="00ED0CD3">
        <w:rPr>
          <w:sz w:val="22"/>
          <w:szCs w:val="22"/>
        </w:rPr>
        <w:t>. Se derogan aquellas disposiciones que se opongan a la presente Resolución.</w:t>
      </w:r>
    </w:p>
    <w:p w14:paraId="2E19E6E2" w14:textId="77777777" w:rsidR="00F937C4" w:rsidRPr="00ED0CD3" w:rsidRDefault="00F937C4" w:rsidP="00F937C4">
      <w:pPr>
        <w:pStyle w:val="Texto"/>
        <w:spacing w:after="0" w:line="276" w:lineRule="auto"/>
        <w:rPr>
          <w:sz w:val="22"/>
          <w:szCs w:val="22"/>
        </w:rPr>
      </w:pPr>
    </w:p>
    <w:p w14:paraId="32BB32C3" w14:textId="77777777" w:rsidR="00773ED9" w:rsidRPr="00ED0CD3" w:rsidRDefault="00F7615B" w:rsidP="00773ED9">
      <w:pPr>
        <w:pStyle w:val="Texto"/>
        <w:spacing w:after="0" w:line="276" w:lineRule="auto"/>
        <w:ind w:firstLine="0"/>
        <w:rPr>
          <w:sz w:val="22"/>
          <w:szCs w:val="22"/>
        </w:rPr>
      </w:pPr>
      <w:r w:rsidRPr="00ED0CD3">
        <w:rPr>
          <w:b/>
          <w:sz w:val="20"/>
        </w:rPr>
        <w:t>Tercero.</w:t>
      </w:r>
      <w:r w:rsidRPr="00ED0CD3">
        <w:rPr>
          <w:sz w:val="20"/>
        </w:rPr>
        <w:t xml:space="preserve"> </w:t>
      </w:r>
      <w:r w:rsidR="00773ED9" w:rsidRPr="00ED0CD3">
        <w:rPr>
          <w:sz w:val="20"/>
        </w:rPr>
        <w:t xml:space="preserve"> En</w:t>
      </w:r>
      <w:r w:rsidR="00773ED9" w:rsidRPr="00ED0CD3">
        <w:rPr>
          <w:sz w:val="22"/>
          <w:szCs w:val="22"/>
        </w:rPr>
        <w:t xml:space="preserve"> materia de radiodifusión, se modifica la condición </w:t>
      </w:r>
      <w:r w:rsidR="00934A55" w:rsidRPr="00ED0CD3">
        <w:rPr>
          <w:sz w:val="22"/>
          <w:szCs w:val="22"/>
        </w:rPr>
        <w:t xml:space="preserve">11 </w:t>
      </w:r>
      <w:r w:rsidR="00EA3486" w:rsidRPr="00ED0CD3">
        <w:rPr>
          <w:sz w:val="22"/>
          <w:szCs w:val="22"/>
        </w:rPr>
        <w:t>o</w:t>
      </w:r>
      <w:r w:rsidR="00934A55" w:rsidRPr="00ED0CD3">
        <w:rPr>
          <w:sz w:val="22"/>
          <w:szCs w:val="22"/>
        </w:rPr>
        <w:t xml:space="preserve"> 12</w:t>
      </w:r>
      <w:r w:rsidR="00EA3486" w:rsidRPr="00ED0CD3">
        <w:rPr>
          <w:sz w:val="22"/>
          <w:szCs w:val="22"/>
        </w:rPr>
        <w:t xml:space="preserve"> de los títulos de concesión de bandas de frecuencia, relativa a mecanismos para garantizar el carácter de uso público a que se refiere el artículo </w:t>
      </w:r>
      <w:r w:rsidR="00773ED9" w:rsidRPr="00ED0CD3">
        <w:rPr>
          <w:sz w:val="22"/>
          <w:szCs w:val="22"/>
        </w:rPr>
        <w:t>86 de la Ley Federal de Telecomunicaciones y Radiodifusión de las Concesiones de Espectro Radioeléctrico para Uso Público para quedar en los siguientes términos:</w:t>
      </w:r>
    </w:p>
    <w:p w14:paraId="52972154" w14:textId="77777777" w:rsidR="00773ED9" w:rsidRPr="00ED0CD3" w:rsidRDefault="00773ED9" w:rsidP="00773ED9">
      <w:pPr>
        <w:jc w:val="both"/>
        <w:rPr>
          <w:rFonts w:ascii="Arial" w:hAnsi="Arial" w:cs="Arial"/>
          <w:sz w:val="22"/>
        </w:rPr>
      </w:pPr>
    </w:p>
    <w:p w14:paraId="0AE68017" w14:textId="77777777" w:rsidR="00773ED9" w:rsidRPr="00ED0CD3" w:rsidRDefault="00F7615B" w:rsidP="00773ED9">
      <w:pPr>
        <w:ind w:left="708"/>
        <w:jc w:val="both"/>
        <w:rPr>
          <w:rFonts w:ascii="Arial" w:hAnsi="Arial" w:cs="Arial"/>
          <w:i/>
          <w:sz w:val="22"/>
        </w:rPr>
      </w:pPr>
      <w:r w:rsidRPr="00ED0CD3">
        <w:rPr>
          <w:rFonts w:ascii="Arial" w:hAnsi="Arial" w:cs="Arial"/>
          <w:i/>
          <w:sz w:val="20"/>
          <w:szCs w:val="20"/>
        </w:rPr>
        <w:t xml:space="preserve">“Mecanismos para garantizar el carácter de uso público. </w:t>
      </w:r>
      <w:r w:rsidR="00773ED9" w:rsidRPr="00ED0CD3">
        <w:rPr>
          <w:rFonts w:ascii="Arial" w:hAnsi="Arial" w:cs="Arial"/>
          <w:i/>
          <w:sz w:val="22"/>
        </w:rPr>
        <w:t>El Concesionario queda obligado a cumplir durante la vigencia de la concesión con los Lineamientos Generales para el Otorgamiento de las Concesiones a que se refiere el Título Cuarto de la Ley Federal de Telecomunicaciones y Radiodifusión, publicados en el Diario Oficial de la Federación el 24 de julio de 2015, en relación con los mecanismos a que se refiere el artículo 86 de la Ley que aseguren los siguientes principios: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w:t>
      </w:r>
    </w:p>
    <w:p w14:paraId="47CCAD66" w14:textId="77777777" w:rsidR="00773ED9" w:rsidRPr="00ED0CD3" w:rsidRDefault="00773ED9" w:rsidP="00773ED9">
      <w:pPr>
        <w:ind w:left="708"/>
        <w:jc w:val="both"/>
        <w:rPr>
          <w:rFonts w:ascii="Arial" w:hAnsi="Arial" w:cs="Arial"/>
          <w:i/>
          <w:sz w:val="22"/>
        </w:rPr>
      </w:pPr>
    </w:p>
    <w:p w14:paraId="122500FE" w14:textId="77777777" w:rsidR="00773ED9" w:rsidRPr="00ED0CD3" w:rsidRDefault="00773ED9" w:rsidP="00773ED9">
      <w:pPr>
        <w:ind w:left="708"/>
        <w:jc w:val="both"/>
        <w:rPr>
          <w:rFonts w:ascii="Arial" w:hAnsi="Arial" w:cs="Arial"/>
          <w:i/>
          <w:sz w:val="22"/>
        </w:rPr>
      </w:pPr>
      <w:r w:rsidRPr="00ED0CD3">
        <w:rPr>
          <w:rFonts w:ascii="Arial" w:hAnsi="Arial" w:cs="Arial"/>
          <w:i/>
          <w:sz w:val="22"/>
        </w:rPr>
        <w:t>En su caso, el incumplimiento a lo dispuesto en dichas condiciones será sancionado en términos de lo dispuesto por la Ley.</w:t>
      </w:r>
      <w:r w:rsidR="00F7615B" w:rsidRPr="00ED0CD3">
        <w:rPr>
          <w:rFonts w:ascii="Arial" w:hAnsi="Arial" w:cs="Arial"/>
          <w:i/>
          <w:sz w:val="22"/>
        </w:rPr>
        <w:t>”</w:t>
      </w:r>
    </w:p>
    <w:p w14:paraId="30A3C912" w14:textId="77777777" w:rsidR="00773ED9" w:rsidRPr="00ED0CD3" w:rsidRDefault="00773ED9" w:rsidP="00F937C4">
      <w:pPr>
        <w:pStyle w:val="Texto"/>
        <w:spacing w:after="0" w:line="276" w:lineRule="auto"/>
        <w:ind w:firstLine="0"/>
        <w:rPr>
          <w:sz w:val="20"/>
          <w:szCs w:val="22"/>
        </w:rPr>
      </w:pPr>
    </w:p>
    <w:p w14:paraId="1665853E" w14:textId="77777777" w:rsidR="00F7615B" w:rsidRPr="00ED0CD3" w:rsidRDefault="00F7615B" w:rsidP="00F937C4">
      <w:pPr>
        <w:pStyle w:val="Texto"/>
        <w:spacing w:after="0" w:line="276" w:lineRule="auto"/>
        <w:ind w:firstLine="0"/>
        <w:rPr>
          <w:sz w:val="20"/>
          <w:szCs w:val="22"/>
        </w:rPr>
      </w:pPr>
      <w:r w:rsidRPr="00ED0CD3">
        <w:rPr>
          <w:sz w:val="20"/>
          <w:szCs w:val="22"/>
        </w:rPr>
        <w:t>Dicha obligación deberá ser cumplida durante un plazo de dos años contados a partir del día siguiente a la fecha de entrega del presente título y durante toda su vigencia.</w:t>
      </w:r>
    </w:p>
    <w:p w14:paraId="4FB55CDC" w14:textId="77777777" w:rsidR="00273EA8" w:rsidRPr="00ED0CD3" w:rsidRDefault="00273EA8" w:rsidP="007478A6">
      <w:pPr>
        <w:pStyle w:val="Texto"/>
        <w:spacing w:after="0" w:line="276" w:lineRule="auto"/>
        <w:ind w:firstLine="0"/>
        <w:rPr>
          <w:sz w:val="22"/>
          <w:szCs w:val="22"/>
        </w:rPr>
      </w:pPr>
    </w:p>
    <w:p w14:paraId="7BB84CBE" w14:textId="77777777" w:rsidR="00FB2B9E" w:rsidRPr="00ED0CD3" w:rsidRDefault="00273EA8" w:rsidP="007478A6">
      <w:pPr>
        <w:pStyle w:val="Texto"/>
        <w:spacing w:after="0" w:line="276" w:lineRule="auto"/>
        <w:ind w:firstLine="0"/>
        <w:rPr>
          <w:sz w:val="22"/>
          <w:szCs w:val="22"/>
        </w:rPr>
      </w:pPr>
      <w:r w:rsidRPr="00ED0CD3">
        <w:rPr>
          <w:b/>
          <w:sz w:val="22"/>
          <w:szCs w:val="22"/>
        </w:rPr>
        <w:t>Cuarto</w:t>
      </w:r>
      <w:r w:rsidR="00C80239" w:rsidRPr="00ED0CD3">
        <w:rPr>
          <w:b/>
          <w:sz w:val="22"/>
          <w:szCs w:val="22"/>
        </w:rPr>
        <w:t>.</w:t>
      </w:r>
      <w:r w:rsidR="00FB2B9E" w:rsidRPr="00ED0CD3">
        <w:rPr>
          <w:b/>
          <w:sz w:val="22"/>
          <w:szCs w:val="22"/>
        </w:rPr>
        <w:t xml:space="preserve"> </w:t>
      </w:r>
      <w:r w:rsidR="00FB2B9E" w:rsidRPr="00ED0CD3">
        <w:rPr>
          <w:sz w:val="22"/>
          <w:szCs w:val="22"/>
        </w:rPr>
        <w:t>Publíquese el presente Acuerdo en el portal de Internet del Instituto y el Diario Oficial de la Federación.</w:t>
      </w:r>
    </w:p>
    <w:p w14:paraId="686519A5" w14:textId="77777777" w:rsidR="00FB2B9E" w:rsidRPr="00ED0CD3" w:rsidRDefault="00FB2B9E" w:rsidP="007478A6">
      <w:pPr>
        <w:pStyle w:val="Texto"/>
        <w:spacing w:after="0" w:line="276" w:lineRule="auto"/>
        <w:rPr>
          <w:sz w:val="22"/>
          <w:szCs w:val="22"/>
        </w:rPr>
      </w:pPr>
    </w:p>
    <w:sectPr w:rsidR="00FB2B9E" w:rsidRPr="00ED0CD3" w:rsidSect="00201176">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C5E32" w14:textId="77777777" w:rsidR="00EA7FB9" w:rsidRDefault="00EA7FB9" w:rsidP="00723678">
      <w:r>
        <w:separator/>
      </w:r>
    </w:p>
  </w:endnote>
  <w:endnote w:type="continuationSeparator" w:id="0">
    <w:p w14:paraId="31DFCDAB" w14:textId="77777777" w:rsidR="00EA7FB9" w:rsidRDefault="00EA7FB9" w:rsidP="0072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66BF" w14:textId="77777777" w:rsidR="00086968" w:rsidRDefault="000869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376102"/>
      <w:docPartObj>
        <w:docPartGallery w:val="Page Numbers (Bottom of Page)"/>
        <w:docPartUnique/>
      </w:docPartObj>
    </w:sdtPr>
    <w:sdtEndPr/>
    <w:sdtContent>
      <w:p w14:paraId="2F558996" w14:textId="72A5CB01" w:rsidR="005B5248" w:rsidRDefault="005B5248">
        <w:pPr>
          <w:pStyle w:val="Piedepgina"/>
          <w:jc w:val="right"/>
        </w:pPr>
        <w:r>
          <w:fldChar w:fldCharType="begin"/>
        </w:r>
        <w:r>
          <w:instrText>PAGE   \* MERGEFORMAT</w:instrText>
        </w:r>
        <w:r>
          <w:fldChar w:fldCharType="separate"/>
        </w:r>
        <w:r w:rsidR="00086968">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B428" w14:textId="77777777" w:rsidR="00086968" w:rsidRDefault="000869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C4609" w14:textId="77777777" w:rsidR="00EA7FB9" w:rsidRDefault="00EA7FB9" w:rsidP="00723678">
      <w:r>
        <w:separator/>
      </w:r>
    </w:p>
  </w:footnote>
  <w:footnote w:type="continuationSeparator" w:id="0">
    <w:p w14:paraId="0091BFF5" w14:textId="77777777" w:rsidR="00EA7FB9" w:rsidRDefault="00EA7FB9" w:rsidP="00723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B40A6" w14:textId="5DC06B4F" w:rsidR="00086968" w:rsidRDefault="00086968">
    <w:pPr>
      <w:pStyle w:val="Encabezado"/>
    </w:pPr>
    <w:r>
      <w:rPr>
        <w:noProof/>
      </w:rPr>
      <w:pict w14:anchorId="43C45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709813" o:spid="_x0000_s2050" type="#_x0000_t136" style="position:absolute;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04A3" w14:textId="4D2EE81A" w:rsidR="00086968" w:rsidRDefault="00086968">
    <w:pPr>
      <w:pStyle w:val="Encabezado"/>
    </w:pPr>
    <w:r>
      <w:rPr>
        <w:noProof/>
      </w:rPr>
      <w:pict w14:anchorId="72E16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709814" o:spid="_x0000_s2051" type="#_x0000_t136" style="position:absolute;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6E0AD" w14:textId="247613C4" w:rsidR="00086968" w:rsidRDefault="00086968">
    <w:pPr>
      <w:pStyle w:val="Encabezado"/>
    </w:pPr>
    <w:r>
      <w:rPr>
        <w:noProof/>
      </w:rPr>
      <w:pict w14:anchorId="7A478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709812" o:spid="_x0000_s2049" type="#_x0000_t136" style="position:absolute;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0F3B"/>
    <w:multiLevelType w:val="hybridMultilevel"/>
    <w:tmpl w:val="D3BA0488"/>
    <w:lvl w:ilvl="0" w:tplc="9CEEFF7C">
      <w:start w:val="3"/>
      <w:numFmt w:val="upperRoman"/>
      <w:lvlText w:val="%1."/>
      <w:lvlJc w:val="left"/>
      <w:pPr>
        <w:ind w:left="100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B6051"/>
    <w:multiLevelType w:val="hybridMultilevel"/>
    <w:tmpl w:val="4E186962"/>
    <w:lvl w:ilvl="0" w:tplc="F8DCC94E">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F113DB"/>
    <w:multiLevelType w:val="hybridMultilevel"/>
    <w:tmpl w:val="40AC7B9E"/>
    <w:lvl w:ilvl="0" w:tplc="F96EB460">
      <w:start w:val="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9A050F"/>
    <w:multiLevelType w:val="hybridMultilevel"/>
    <w:tmpl w:val="7A9079D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3D603BC4"/>
    <w:multiLevelType w:val="hybridMultilevel"/>
    <w:tmpl w:val="95CC1738"/>
    <w:lvl w:ilvl="0" w:tplc="3E2817E6">
      <w:start w:val="6"/>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B10077"/>
    <w:multiLevelType w:val="hybridMultilevel"/>
    <w:tmpl w:val="1D9C53E2"/>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6" w15:restartNumberingAfterBreak="0">
    <w:nsid w:val="47E27030"/>
    <w:multiLevelType w:val="hybridMultilevel"/>
    <w:tmpl w:val="92E0058C"/>
    <w:lvl w:ilvl="0" w:tplc="498E4550">
      <w:start w:val="1"/>
      <w:numFmt w:val="upperRoman"/>
      <w:lvlText w:val="%1."/>
      <w:lvlJc w:val="left"/>
      <w:pPr>
        <w:ind w:left="1004"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DC07AC0"/>
    <w:multiLevelType w:val="hybridMultilevel"/>
    <w:tmpl w:val="E1C01C8C"/>
    <w:lvl w:ilvl="0" w:tplc="080A0017">
      <w:start w:val="1"/>
      <w:numFmt w:val="lowerLetter"/>
      <w:lvlText w:val="%1)"/>
      <w:lvlJc w:val="left"/>
      <w:pPr>
        <w:ind w:left="100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9E563E"/>
    <w:multiLevelType w:val="hybridMultilevel"/>
    <w:tmpl w:val="14CC58E0"/>
    <w:lvl w:ilvl="0" w:tplc="CBF4D94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F2A3714"/>
    <w:multiLevelType w:val="hybridMultilevel"/>
    <w:tmpl w:val="D3BA0488"/>
    <w:lvl w:ilvl="0" w:tplc="9CEEFF7C">
      <w:start w:val="3"/>
      <w:numFmt w:val="upperRoman"/>
      <w:lvlText w:val="%1."/>
      <w:lvlJc w:val="left"/>
      <w:pPr>
        <w:ind w:left="100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98098D"/>
    <w:multiLevelType w:val="hybridMultilevel"/>
    <w:tmpl w:val="5A5E2FAC"/>
    <w:lvl w:ilvl="0" w:tplc="395E5000">
      <w:start w:val="1"/>
      <w:numFmt w:val="lowerLetter"/>
      <w:lvlText w:val="%1)"/>
      <w:lvlJc w:val="left"/>
      <w:pPr>
        <w:ind w:left="136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A852AC"/>
    <w:multiLevelType w:val="hybridMultilevel"/>
    <w:tmpl w:val="88FEF814"/>
    <w:lvl w:ilvl="0" w:tplc="550E565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5DD455B6"/>
    <w:multiLevelType w:val="hybridMultilevel"/>
    <w:tmpl w:val="8A68335C"/>
    <w:lvl w:ilvl="0" w:tplc="62642A50">
      <w:start w:val="3"/>
      <w:numFmt w:val="upperRoman"/>
      <w:lvlText w:val="%1."/>
      <w:lvlJc w:val="left"/>
      <w:pPr>
        <w:ind w:left="100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221E20"/>
    <w:multiLevelType w:val="hybridMultilevel"/>
    <w:tmpl w:val="A7A01C9A"/>
    <w:lvl w:ilvl="0" w:tplc="20C47122">
      <w:start w:val="1"/>
      <w:numFmt w:val="lowerLetter"/>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E77F6C"/>
    <w:multiLevelType w:val="hybridMultilevel"/>
    <w:tmpl w:val="F62C8324"/>
    <w:lvl w:ilvl="0" w:tplc="800E067C">
      <w:start w:val="1"/>
      <w:numFmt w:val="lowerLetter"/>
      <w:lvlText w:val="%1)"/>
      <w:lvlJc w:val="left"/>
      <w:pPr>
        <w:ind w:left="786" w:hanging="360"/>
      </w:pPr>
      <w:rPr>
        <w:rFonts w:hint="default"/>
        <w:b/>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15" w15:restartNumberingAfterBreak="0">
    <w:nsid w:val="6A6F7B13"/>
    <w:multiLevelType w:val="hybridMultilevel"/>
    <w:tmpl w:val="2F02CA72"/>
    <w:lvl w:ilvl="0" w:tplc="27540498">
      <w:start w:val="3"/>
      <w:numFmt w:val="lowerLetter"/>
      <w:lvlText w:val="%1)"/>
      <w:lvlJc w:val="left"/>
      <w:pPr>
        <w:ind w:left="10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5DF4609"/>
    <w:multiLevelType w:val="hybridMultilevel"/>
    <w:tmpl w:val="4254FCC8"/>
    <w:lvl w:ilvl="0" w:tplc="B1685E4E">
      <w:start w:val="1"/>
      <w:numFmt w:val="lowerLetter"/>
      <w:lvlText w:val="%1)"/>
      <w:lvlJc w:val="left"/>
      <w:pPr>
        <w:ind w:left="1350" w:hanging="360"/>
      </w:pPr>
      <w:rPr>
        <w:rFonts w:hint="default"/>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num w:numId="1">
    <w:abstractNumId w:val="16"/>
  </w:num>
  <w:num w:numId="2">
    <w:abstractNumId w:val="8"/>
  </w:num>
  <w:num w:numId="3">
    <w:abstractNumId w:val="15"/>
  </w:num>
  <w:num w:numId="4">
    <w:abstractNumId w:val="9"/>
  </w:num>
  <w:num w:numId="5">
    <w:abstractNumId w:val="7"/>
  </w:num>
  <w:num w:numId="6">
    <w:abstractNumId w:val="12"/>
  </w:num>
  <w:num w:numId="7">
    <w:abstractNumId w:val="11"/>
  </w:num>
  <w:num w:numId="8">
    <w:abstractNumId w:val="13"/>
  </w:num>
  <w:num w:numId="9">
    <w:abstractNumId w:val="1"/>
  </w:num>
  <w:num w:numId="10">
    <w:abstractNumId w:val="0"/>
  </w:num>
  <w:num w:numId="11">
    <w:abstractNumId w:val="5"/>
  </w:num>
  <w:num w:numId="12">
    <w:abstractNumId w:val="2"/>
  </w:num>
  <w:num w:numId="13">
    <w:abstractNumId w:val="6"/>
  </w:num>
  <w:num w:numId="14">
    <w:abstractNumId w:val="4"/>
  </w:num>
  <w:num w:numId="15">
    <w:abstractNumId w:val="3"/>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B9E"/>
    <w:rsid w:val="000052C5"/>
    <w:rsid w:val="00012B80"/>
    <w:rsid w:val="000158A8"/>
    <w:rsid w:val="000169D7"/>
    <w:rsid w:val="00026D9C"/>
    <w:rsid w:val="000305B0"/>
    <w:rsid w:val="0003679B"/>
    <w:rsid w:val="00046931"/>
    <w:rsid w:val="000579A6"/>
    <w:rsid w:val="00057A33"/>
    <w:rsid w:val="00072CD7"/>
    <w:rsid w:val="00083C96"/>
    <w:rsid w:val="00086968"/>
    <w:rsid w:val="000A1431"/>
    <w:rsid w:val="000B6E67"/>
    <w:rsid w:val="000F3C4E"/>
    <w:rsid w:val="00105833"/>
    <w:rsid w:val="00170B22"/>
    <w:rsid w:val="0017518F"/>
    <w:rsid w:val="001768BF"/>
    <w:rsid w:val="0018162E"/>
    <w:rsid w:val="001A7A35"/>
    <w:rsid w:val="001B71D0"/>
    <w:rsid w:val="001C7114"/>
    <w:rsid w:val="001D4A05"/>
    <w:rsid w:val="001F5E19"/>
    <w:rsid w:val="00201176"/>
    <w:rsid w:val="00236783"/>
    <w:rsid w:val="00237FF1"/>
    <w:rsid w:val="00245DBB"/>
    <w:rsid w:val="00250558"/>
    <w:rsid w:val="00256E52"/>
    <w:rsid w:val="0026103E"/>
    <w:rsid w:val="002657A7"/>
    <w:rsid w:val="00265861"/>
    <w:rsid w:val="00265931"/>
    <w:rsid w:val="00273E10"/>
    <w:rsid w:val="00273EA8"/>
    <w:rsid w:val="0027767B"/>
    <w:rsid w:val="00296B80"/>
    <w:rsid w:val="002A790D"/>
    <w:rsid w:val="002B35C7"/>
    <w:rsid w:val="002B45E6"/>
    <w:rsid w:val="002C1FAA"/>
    <w:rsid w:val="002D7BC4"/>
    <w:rsid w:val="002E1C09"/>
    <w:rsid w:val="002E711C"/>
    <w:rsid w:val="00303E47"/>
    <w:rsid w:val="00320223"/>
    <w:rsid w:val="00321755"/>
    <w:rsid w:val="003267E5"/>
    <w:rsid w:val="003442F8"/>
    <w:rsid w:val="003744E1"/>
    <w:rsid w:val="003A708B"/>
    <w:rsid w:val="003C0742"/>
    <w:rsid w:val="003D2EF5"/>
    <w:rsid w:val="003F5AA7"/>
    <w:rsid w:val="003F6D04"/>
    <w:rsid w:val="0046109A"/>
    <w:rsid w:val="004834F1"/>
    <w:rsid w:val="004A484A"/>
    <w:rsid w:val="004B193B"/>
    <w:rsid w:val="004B56AA"/>
    <w:rsid w:val="004C1094"/>
    <w:rsid w:val="004C1E03"/>
    <w:rsid w:val="004E37D6"/>
    <w:rsid w:val="004E6336"/>
    <w:rsid w:val="005347C3"/>
    <w:rsid w:val="00535269"/>
    <w:rsid w:val="00542AE6"/>
    <w:rsid w:val="00565A80"/>
    <w:rsid w:val="00570B0E"/>
    <w:rsid w:val="005871D1"/>
    <w:rsid w:val="005B256F"/>
    <w:rsid w:val="005B3E1A"/>
    <w:rsid w:val="005B5248"/>
    <w:rsid w:val="005D59E6"/>
    <w:rsid w:val="00627B33"/>
    <w:rsid w:val="006527FB"/>
    <w:rsid w:val="00662B5E"/>
    <w:rsid w:val="006812BC"/>
    <w:rsid w:val="006A5CCF"/>
    <w:rsid w:val="006B3C21"/>
    <w:rsid w:val="006B59AA"/>
    <w:rsid w:val="006C0F63"/>
    <w:rsid w:val="006C6E72"/>
    <w:rsid w:val="006D48CC"/>
    <w:rsid w:val="006E6A56"/>
    <w:rsid w:val="007040E7"/>
    <w:rsid w:val="00723678"/>
    <w:rsid w:val="00725A5E"/>
    <w:rsid w:val="007478A6"/>
    <w:rsid w:val="00773ED9"/>
    <w:rsid w:val="00790D4B"/>
    <w:rsid w:val="007C4E5E"/>
    <w:rsid w:val="007D2202"/>
    <w:rsid w:val="007D6A59"/>
    <w:rsid w:val="007E73DC"/>
    <w:rsid w:val="00801EA6"/>
    <w:rsid w:val="008130F0"/>
    <w:rsid w:val="00814457"/>
    <w:rsid w:val="008256C2"/>
    <w:rsid w:val="008406EE"/>
    <w:rsid w:val="00841716"/>
    <w:rsid w:val="00850B4D"/>
    <w:rsid w:val="008669FB"/>
    <w:rsid w:val="00886EC7"/>
    <w:rsid w:val="008C4ABF"/>
    <w:rsid w:val="008C6073"/>
    <w:rsid w:val="008E2D69"/>
    <w:rsid w:val="0091112D"/>
    <w:rsid w:val="00920262"/>
    <w:rsid w:val="00923A91"/>
    <w:rsid w:val="00934A55"/>
    <w:rsid w:val="009364FE"/>
    <w:rsid w:val="009524E3"/>
    <w:rsid w:val="009657D6"/>
    <w:rsid w:val="0097201D"/>
    <w:rsid w:val="0097752B"/>
    <w:rsid w:val="00985E80"/>
    <w:rsid w:val="00986F30"/>
    <w:rsid w:val="0099042C"/>
    <w:rsid w:val="009A610E"/>
    <w:rsid w:val="009B5F7F"/>
    <w:rsid w:val="009C72B6"/>
    <w:rsid w:val="009D53C8"/>
    <w:rsid w:val="009D5EDA"/>
    <w:rsid w:val="009E21BF"/>
    <w:rsid w:val="009E35F9"/>
    <w:rsid w:val="00A03DDE"/>
    <w:rsid w:val="00A0427A"/>
    <w:rsid w:val="00A36CAD"/>
    <w:rsid w:val="00A43B10"/>
    <w:rsid w:val="00A60CDD"/>
    <w:rsid w:val="00A64E94"/>
    <w:rsid w:val="00A82352"/>
    <w:rsid w:val="00AB4A88"/>
    <w:rsid w:val="00AD5C08"/>
    <w:rsid w:val="00B00895"/>
    <w:rsid w:val="00B12FD4"/>
    <w:rsid w:val="00B24694"/>
    <w:rsid w:val="00B41386"/>
    <w:rsid w:val="00B60484"/>
    <w:rsid w:val="00B730A1"/>
    <w:rsid w:val="00B944A0"/>
    <w:rsid w:val="00BC257E"/>
    <w:rsid w:val="00C22C7B"/>
    <w:rsid w:val="00C42340"/>
    <w:rsid w:val="00C42CBF"/>
    <w:rsid w:val="00C45C41"/>
    <w:rsid w:val="00C6087C"/>
    <w:rsid w:val="00C80239"/>
    <w:rsid w:val="00C928BF"/>
    <w:rsid w:val="00CB5A07"/>
    <w:rsid w:val="00CC1043"/>
    <w:rsid w:val="00CC7124"/>
    <w:rsid w:val="00D410FC"/>
    <w:rsid w:val="00D51E12"/>
    <w:rsid w:val="00D84E87"/>
    <w:rsid w:val="00DC6BA8"/>
    <w:rsid w:val="00DE0B86"/>
    <w:rsid w:val="00DF59EA"/>
    <w:rsid w:val="00DF74F2"/>
    <w:rsid w:val="00E05734"/>
    <w:rsid w:val="00E159BD"/>
    <w:rsid w:val="00E4705A"/>
    <w:rsid w:val="00E56A81"/>
    <w:rsid w:val="00E60C57"/>
    <w:rsid w:val="00E6358E"/>
    <w:rsid w:val="00E65A6E"/>
    <w:rsid w:val="00E66CFE"/>
    <w:rsid w:val="00E736AD"/>
    <w:rsid w:val="00E9391F"/>
    <w:rsid w:val="00EA3486"/>
    <w:rsid w:val="00EA5E48"/>
    <w:rsid w:val="00EA7FB9"/>
    <w:rsid w:val="00EB5A8E"/>
    <w:rsid w:val="00ED0CD3"/>
    <w:rsid w:val="00ED237F"/>
    <w:rsid w:val="00EE396A"/>
    <w:rsid w:val="00EF1D50"/>
    <w:rsid w:val="00EF7911"/>
    <w:rsid w:val="00F23FB5"/>
    <w:rsid w:val="00F366E4"/>
    <w:rsid w:val="00F41591"/>
    <w:rsid w:val="00F6538A"/>
    <w:rsid w:val="00F7615B"/>
    <w:rsid w:val="00F937C4"/>
    <w:rsid w:val="00F9394E"/>
    <w:rsid w:val="00FB1872"/>
    <w:rsid w:val="00FB2B9E"/>
    <w:rsid w:val="00FC539F"/>
    <w:rsid w:val="00FC7B42"/>
    <w:rsid w:val="00FF5E46"/>
    <w:rsid w:val="00FF76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53A732"/>
  <w15:chartTrackingRefBased/>
  <w15:docId w15:val="{601AA735-7180-449E-8A0B-4E4E2273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B9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FB2B9E"/>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FB2B9E"/>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FB2B9E"/>
    <w:pPr>
      <w:spacing w:before="101" w:after="101" w:line="216" w:lineRule="atLeast"/>
      <w:jc w:val="center"/>
    </w:pPr>
    <w:rPr>
      <w:b/>
      <w:sz w:val="18"/>
      <w:szCs w:val="20"/>
      <w:lang w:val="es-ES_tradnl"/>
    </w:rPr>
  </w:style>
  <w:style w:type="paragraph" w:customStyle="1" w:styleId="Titulo1">
    <w:name w:val="Titulo 1"/>
    <w:basedOn w:val="Texto"/>
    <w:rsid w:val="00FB2B9E"/>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B2B9E"/>
    <w:pPr>
      <w:pBdr>
        <w:top w:val="double" w:sz="6" w:space="1" w:color="auto"/>
      </w:pBdr>
      <w:spacing w:line="240" w:lineRule="auto"/>
      <w:ind w:firstLine="0"/>
      <w:outlineLvl w:val="1"/>
    </w:pPr>
    <w:rPr>
      <w:lang w:val="es-MX"/>
    </w:rPr>
  </w:style>
  <w:style w:type="character" w:customStyle="1" w:styleId="TextoCar">
    <w:name w:val="Texto Car"/>
    <w:link w:val="Texto"/>
    <w:locked/>
    <w:rsid w:val="00FB2B9E"/>
    <w:rPr>
      <w:rFonts w:ascii="Arial" w:eastAsia="Times New Roman" w:hAnsi="Arial" w:cs="Arial"/>
      <w:sz w:val="18"/>
      <w:szCs w:val="20"/>
      <w:lang w:val="es-ES" w:eastAsia="es-ES"/>
    </w:rPr>
  </w:style>
  <w:style w:type="character" w:customStyle="1" w:styleId="ROMANOSCar">
    <w:name w:val="ROMANOS Car"/>
    <w:link w:val="ROMANOS"/>
    <w:locked/>
    <w:rsid w:val="00FB2B9E"/>
    <w:rPr>
      <w:rFonts w:ascii="Arial" w:eastAsia="Times New Roman" w:hAnsi="Arial" w:cs="Arial"/>
      <w:sz w:val="18"/>
      <w:szCs w:val="18"/>
      <w:lang w:val="es-ES" w:eastAsia="es-ES"/>
    </w:rPr>
  </w:style>
  <w:style w:type="character" w:customStyle="1" w:styleId="ANOTACIONCar">
    <w:name w:val="ANOTACION Car"/>
    <w:link w:val="ANOTACION"/>
    <w:locked/>
    <w:rsid w:val="00FB2B9E"/>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nhideWhenUsed/>
    <w:rsid w:val="00723678"/>
    <w:pPr>
      <w:tabs>
        <w:tab w:val="center" w:pos="4419"/>
        <w:tab w:val="right" w:pos="8838"/>
      </w:tabs>
    </w:pPr>
  </w:style>
  <w:style w:type="character" w:customStyle="1" w:styleId="EncabezadoCar">
    <w:name w:val="Encabezado Car"/>
    <w:basedOn w:val="Fuentedeprrafopredeter"/>
    <w:link w:val="Encabezado"/>
    <w:rsid w:val="0072367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23678"/>
    <w:pPr>
      <w:tabs>
        <w:tab w:val="center" w:pos="4419"/>
        <w:tab w:val="right" w:pos="8838"/>
      </w:tabs>
    </w:pPr>
  </w:style>
  <w:style w:type="character" w:customStyle="1" w:styleId="PiedepginaCar">
    <w:name w:val="Pie de página Car"/>
    <w:basedOn w:val="Fuentedeprrafopredeter"/>
    <w:link w:val="Piedepgina"/>
    <w:uiPriority w:val="99"/>
    <w:rsid w:val="0072367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84E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4E87"/>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1F5E19"/>
    <w:rPr>
      <w:sz w:val="16"/>
      <w:szCs w:val="16"/>
    </w:rPr>
  </w:style>
  <w:style w:type="paragraph" w:styleId="Textocomentario">
    <w:name w:val="annotation text"/>
    <w:basedOn w:val="Normal"/>
    <w:link w:val="TextocomentarioCar"/>
    <w:uiPriority w:val="99"/>
    <w:semiHidden/>
    <w:unhideWhenUsed/>
    <w:rsid w:val="001F5E19"/>
    <w:rPr>
      <w:sz w:val="20"/>
      <w:szCs w:val="20"/>
    </w:rPr>
  </w:style>
  <w:style w:type="character" w:customStyle="1" w:styleId="TextocomentarioCar">
    <w:name w:val="Texto comentario Car"/>
    <w:basedOn w:val="Fuentedeprrafopredeter"/>
    <w:link w:val="Textocomentario"/>
    <w:uiPriority w:val="99"/>
    <w:semiHidden/>
    <w:rsid w:val="001F5E1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F5E19"/>
    <w:rPr>
      <w:b/>
      <w:bCs/>
    </w:rPr>
  </w:style>
  <w:style w:type="character" w:customStyle="1" w:styleId="AsuntodelcomentarioCar">
    <w:name w:val="Asunto del comentario Car"/>
    <w:basedOn w:val="TextocomentarioCar"/>
    <w:link w:val="Asuntodelcomentario"/>
    <w:uiPriority w:val="99"/>
    <w:semiHidden/>
    <w:rsid w:val="001F5E19"/>
    <w:rPr>
      <w:rFonts w:ascii="Times New Roman" w:eastAsia="Times New Roman" w:hAnsi="Times New Roman" w:cs="Times New Roman"/>
      <w:b/>
      <w:bCs/>
      <w:sz w:val="20"/>
      <w:szCs w:val="20"/>
      <w:lang w:val="es-ES" w:eastAsia="es-ES"/>
    </w:rPr>
  </w:style>
  <w:style w:type="paragraph" w:styleId="Cita">
    <w:name w:val="Quote"/>
    <w:basedOn w:val="Normal"/>
    <w:next w:val="Normal"/>
    <w:link w:val="CitaCar"/>
    <w:uiPriority w:val="29"/>
    <w:qFormat/>
    <w:rsid w:val="00A60CD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60CDD"/>
    <w:rPr>
      <w:rFonts w:ascii="Times New Roman" w:eastAsia="Times New Roman" w:hAnsi="Times New Roman" w:cs="Times New Roman"/>
      <w:i/>
      <w:iCs/>
      <w:color w:val="404040" w:themeColor="text1" w:themeTint="BF"/>
      <w:sz w:val="24"/>
      <w:szCs w:val="24"/>
      <w:lang w:val="es-ES" w:eastAsia="es-ES"/>
    </w:rPr>
  </w:style>
  <w:style w:type="paragraph" w:styleId="Revisin">
    <w:name w:val="Revision"/>
    <w:hidden/>
    <w:uiPriority w:val="99"/>
    <w:semiHidden/>
    <w:rsid w:val="00A82352"/>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F6538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4 Viñ 1nivel,Numeración 1,Cuadrícula media 1 - Énfasis 21"/>
    <w:basedOn w:val="Normal"/>
    <w:link w:val="PrrafodelistaCar"/>
    <w:uiPriority w:val="34"/>
    <w:qFormat/>
    <w:rsid w:val="00F6538A"/>
    <w:pPr>
      <w:ind w:left="708"/>
    </w:pPr>
    <w:rPr>
      <w:rFonts w:ascii="Arial" w:hAnsi="Arial"/>
      <w:szCs w:val="20"/>
      <w:lang w:val="es-MX" w:eastAsia="en-US"/>
    </w:rPr>
  </w:style>
  <w:style w:type="character" w:customStyle="1" w:styleId="PrrafodelistaCar">
    <w:name w:val="Párrafo de lista Car"/>
    <w:aliases w:val="4 Viñ 1nivel Car,Numeración 1 Car,Cuadrícula media 1 - Énfasis 21 Car"/>
    <w:link w:val="Prrafodelista"/>
    <w:uiPriority w:val="34"/>
    <w:locked/>
    <w:rsid w:val="00F6538A"/>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C43C3-ED5C-47C5-AD15-862ECA73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5803</Words>
  <Characters>31918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Guzman Gutierrez</dc:creator>
  <cp:keywords/>
  <dc:description/>
  <cp:lastModifiedBy>CGMR</cp:lastModifiedBy>
  <cp:revision>4</cp:revision>
  <dcterms:created xsi:type="dcterms:W3CDTF">2020-10-28T21:06:00Z</dcterms:created>
  <dcterms:modified xsi:type="dcterms:W3CDTF">2020-10-28T23:10:00Z</dcterms:modified>
</cp:coreProperties>
</file>