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2BE2" w14:textId="0D1B2859" w:rsidR="00FB2B9E" w:rsidRPr="00564A73" w:rsidRDefault="00535AF9" w:rsidP="00564A73">
      <w:pPr>
        <w:keepNext/>
        <w:suppressAutoHyphens/>
        <w:spacing w:line="276" w:lineRule="auto"/>
        <w:jc w:val="both"/>
        <w:outlineLvl w:val="5"/>
        <w:rPr>
          <w:rFonts w:ascii="Arial" w:hAnsi="Arial" w:cs="Arial"/>
          <w:b/>
          <w:sz w:val="26"/>
          <w:szCs w:val="26"/>
        </w:rPr>
      </w:pPr>
      <w:bookmarkStart w:id="0" w:name="_GoBack"/>
      <w:bookmarkEnd w:id="0"/>
      <w:r w:rsidRPr="00564A73">
        <w:rPr>
          <w:rFonts w:ascii="Arial" w:hAnsi="Arial" w:cs="Arial"/>
          <w:b/>
          <w:sz w:val="26"/>
          <w:szCs w:val="26"/>
        </w:rPr>
        <w:t>Acuerdo mediante el cual el Pleno del Instituto Federal de Telecomunicaciones determina someter a consulta pública el Anteproyecto de</w:t>
      </w:r>
      <w:r w:rsidR="00B26E4E">
        <w:rPr>
          <w:rFonts w:ascii="Arial" w:hAnsi="Arial" w:cs="Arial"/>
          <w:b/>
          <w:sz w:val="26"/>
          <w:szCs w:val="26"/>
        </w:rPr>
        <w:t>l</w:t>
      </w:r>
      <w:r w:rsidRPr="00564A73">
        <w:rPr>
          <w:rFonts w:ascii="Arial" w:hAnsi="Arial" w:cs="Arial"/>
          <w:b/>
          <w:sz w:val="26"/>
          <w:szCs w:val="26"/>
        </w:rPr>
        <w:t xml:space="preserve"> </w:t>
      </w:r>
      <w:r w:rsidR="00B26E4E">
        <w:rPr>
          <w:rFonts w:ascii="Arial" w:hAnsi="Arial" w:cs="Arial"/>
          <w:b/>
          <w:sz w:val="26"/>
          <w:szCs w:val="26"/>
        </w:rPr>
        <w:t xml:space="preserve">diverso </w:t>
      </w:r>
      <w:r w:rsidR="00B26E4E" w:rsidRPr="00B26E4E">
        <w:rPr>
          <w:rFonts w:ascii="Arial" w:hAnsi="Arial" w:cs="Arial"/>
          <w:b/>
          <w:sz w:val="26"/>
          <w:szCs w:val="26"/>
        </w:rPr>
        <w:t>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p>
    <w:p w14:paraId="36AC2C02" w14:textId="77777777" w:rsidR="00201176" w:rsidRPr="00564A73" w:rsidRDefault="00201176" w:rsidP="00564A73">
      <w:pPr>
        <w:pStyle w:val="Texto"/>
        <w:spacing w:after="0" w:line="276" w:lineRule="auto"/>
        <w:ind w:firstLine="0"/>
        <w:rPr>
          <w:b/>
          <w:sz w:val="22"/>
          <w:szCs w:val="22"/>
        </w:rPr>
      </w:pPr>
    </w:p>
    <w:p w14:paraId="06211755" w14:textId="6107BDFF" w:rsidR="00FB2B9E" w:rsidRPr="00564A73" w:rsidRDefault="00535AF9" w:rsidP="00564A73">
      <w:pPr>
        <w:pStyle w:val="ANOTACION"/>
        <w:spacing w:before="0" w:after="0" w:line="276" w:lineRule="auto"/>
        <w:rPr>
          <w:rFonts w:ascii="Arial" w:hAnsi="Arial" w:cs="Arial"/>
          <w:sz w:val="22"/>
          <w:szCs w:val="22"/>
        </w:rPr>
      </w:pPr>
      <w:r w:rsidRPr="00564A73">
        <w:rPr>
          <w:rFonts w:ascii="Arial" w:hAnsi="Arial" w:cs="Arial"/>
          <w:sz w:val="22"/>
          <w:szCs w:val="22"/>
        </w:rPr>
        <w:t>Antecedentes</w:t>
      </w:r>
    </w:p>
    <w:p w14:paraId="3E88C536" w14:textId="77777777" w:rsidR="00201176" w:rsidRPr="00564A73" w:rsidRDefault="00201176" w:rsidP="00564A73">
      <w:pPr>
        <w:pStyle w:val="ANOTACION"/>
        <w:spacing w:before="0" w:after="0" w:line="276" w:lineRule="auto"/>
        <w:rPr>
          <w:rFonts w:ascii="Arial" w:hAnsi="Arial" w:cs="Arial"/>
          <w:sz w:val="22"/>
          <w:szCs w:val="22"/>
        </w:rPr>
      </w:pPr>
    </w:p>
    <w:p w14:paraId="20027E56" w14:textId="6D95B59B" w:rsidR="00FB2B9E" w:rsidRPr="00564A73" w:rsidRDefault="00535AF9" w:rsidP="00564A73">
      <w:pPr>
        <w:pStyle w:val="Texto"/>
        <w:spacing w:after="0" w:line="276" w:lineRule="auto"/>
        <w:ind w:firstLine="0"/>
        <w:rPr>
          <w:color w:val="000000"/>
          <w:sz w:val="22"/>
          <w:szCs w:val="22"/>
        </w:rPr>
      </w:pPr>
      <w:r w:rsidRPr="00564A73">
        <w:rPr>
          <w:b/>
          <w:sz w:val="22"/>
          <w:szCs w:val="22"/>
        </w:rPr>
        <w:t xml:space="preserve">Primero. </w:t>
      </w:r>
      <w:r w:rsidR="00FB2B9E" w:rsidRPr="00564A73">
        <w:rPr>
          <w:b/>
          <w:sz w:val="22"/>
          <w:szCs w:val="22"/>
        </w:rPr>
        <w:t>Decreto de Reforma Constitucional.</w:t>
      </w:r>
      <w:r w:rsidR="00FB2B9E" w:rsidRPr="00564A73">
        <w:rPr>
          <w:color w:val="000000"/>
          <w:sz w:val="22"/>
          <w:szCs w:val="22"/>
        </w:rPr>
        <w:t xml:space="preserve"> El 11 de junio de 2013, se publicó en el Diario Oficial de la Federación (en lo sucesivo, “DOF”), el “</w:t>
      </w:r>
      <w:r w:rsidR="00FB2B9E" w:rsidRPr="00564A73">
        <w:rPr>
          <w:i/>
          <w:color w:val="000000"/>
          <w:sz w:val="22"/>
          <w:szCs w:val="22"/>
        </w:rPr>
        <w:t>Decreto por el que se reforman y adicionan diversas disposiciones de los artículos 6o., 7o., 27, 28, 73, 78, 94 y 105 de la Constitución Política de los Estados Unidos Mexicanos, en materia de telecomunicaciones</w:t>
      </w:r>
      <w:r w:rsidR="00FB2B9E" w:rsidRPr="00564A73">
        <w:rPr>
          <w:color w:val="000000"/>
          <w:sz w:val="22"/>
          <w:szCs w:val="22"/>
        </w:rPr>
        <w:t>”, mediante el cual se creó al Instituto Federal de Telecomunicaciones (en lo sucesivo, el “Instituto”) como un órgano autónomo, con personalidad jurídica y patrimonio propios.</w:t>
      </w:r>
    </w:p>
    <w:p w14:paraId="1AB57B4B" w14:textId="77777777" w:rsidR="00201176" w:rsidRPr="00564A73" w:rsidRDefault="00201176" w:rsidP="00564A73">
      <w:pPr>
        <w:pStyle w:val="Texto"/>
        <w:spacing w:after="0" w:line="276" w:lineRule="auto"/>
        <w:rPr>
          <w:b/>
          <w:color w:val="000000"/>
          <w:sz w:val="22"/>
          <w:szCs w:val="22"/>
        </w:rPr>
      </w:pPr>
    </w:p>
    <w:p w14:paraId="3F479BC0" w14:textId="21017776" w:rsidR="00FB2B9E" w:rsidRPr="00564A73" w:rsidRDefault="00535AF9" w:rsidP="00564A73">
      <w:pPr>
        <w:pStyle w:val="Texto"/>
        <w:spacing w:after="0" w:line="276" w:lineRule="auto"/>
        <w:ind w:firstLine="0"/>
        <w:rPr>
          <w:color w:val="000000"/>
          <w:sz w:val="22"/>
          <w:szCs w:val="22"/>
        </w:rPr>
      </w:pPr>
      <w:r w:rsidRPr="00564A73">
        <w:rPr>
          <w:b/>
          <w:color w:val="000000"/>
          <w:sz w:val="22"/>
          <w:szCs w:val="22"/>
        </w:rPr>
        <w:t xml:space="preserve">Segundo. </w:t>
      </w:r>
      <w:r w:rsidR="00FB2B9E" w:rsidRPr="00564A73">
        <w:rPr>
          <w:b/>
          <w:color w:val="000000"/>
          <w:sz w:val="22"/>
          <w:szCs w:val="22"/>
        </w:rPr>
        <w:t>Decreto de Ley.</w:t>
      </w:r>
      <w:r w:rsidR="00FB2B9E" w:rsidRPr="00564A73">
        <w:rPr>
          <w:color w:val="000000"/>
          <w:sz w:val="22"/>
          <w:szCs w:val="22"/>
        </w:rPr>
        <w:t xml:space="preserve"> El 14 de julio de 2014, se publicó en el DOF el “</w:t>
      </w:r>
      <w:r w:rsidR="00FB2B9E" w:rsidRPr="00564A73">
        <w:rPr>
          <w:i/>
          <w:color w:val="000000"/>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B2B9E" w:rsidRPr="00564A73">
        <w:rPr>
          <w:color w:val="000000"/>
          <w:sz w:val="22"/>
          <w:szCs w:val="22"/>
        </w:rPr>
        <w:t xml:space="preserve">”, el </w:t>
      </w:r>
      <w:r w:rsidR="001F5E19" w:rsidRPr="00564A73">
        <w:rPr>
          <w:color w:val="000000"/>
          <w:sz w:val="22"/>
          <w:szCs w:val="22"/>
        </w:rPr>
        <w:t>cual,</w:t>
      </w:r>
      <w:r w:rsidR="00FB2B9E" w:rsidRPr="00564A73">
        <w:rPr>
          <w:color w:val="000000"/>
          <w:sz w:val="22"/>
          <w:szCs w:val="22"/>
        </w:rPr>
        <w:t xml:space="preserve"> de conformidad con el artículo PRIMERO Transitorio, entró en vigor a los 30 días naturales siguientes a su publicación, es decir, el 13 de agosto de 2014.</w:t>
      </w:r>
    </w:p>
    <w:p w14:paraId="1A9D414D" w14:textId="378863CF" w:rsidR="006F6C85" w:rsidRPr="00564A73" w:rsidRDefault="006F6C85" w:rsidP="00564A73">
      <w:pPr>
        <w:pStyle w:val="Texto"/>
        <w:spacing w:after="0" w:line="276" w:lineRule="auto"/>
        <w:ind w:firstLine="0"/>
        <w:rPr>
          <w:color w:val="000000"/>
          <w:sz w:val="22"/>
          <w:szCs w:val="22"/>
        </w:rPr>
      </w:pPr>
    </w:p>
    <w:p w14:paraId="1D7AEBB0" w14:textId="172F93F7" w:rsidR="006F6C85" w:rsidRPr="00564A73" w:rsidRDefault="00535AF9" w:rsidP="00564A73">
      <w:pPr>
        <w:pStyle w:val="Prrafodelista"/>
        <w:suppressAutoHyphens/>
        <w:spacing w:line="276" w:lineRule="auto"/>
        <w:ind w:left="0" w:right="-62"/>
        <w:jc w:val="both"/>
        <w:rPr>
          <w:rFonts w:cs="Arial"/>
          <w:sz w:val="22"/>
          <w:szCs w:val="22"/>
          <w:lang w:val="es-ES" w:eastAsia="ar-SA"/>
        </w:rPr>
      </w:pPr>
      <w:r w:rsidRPr="00564A73">
        <w:rPr>
          <w:rFonts w:cs="Arial"/>
          <w:b/>
          <w:sz w:val="22"/>
          <w:szCs w:val="22"/>
        </w:rPr>
        <w:t>Tercero. Estatuto Orgánico.</w:t>
      </w:r>
      <w:r w:rsidR="006F6C85" w:rsidRPr="00564A73">
        <w:rPr>
          <w:rFonts w:cs="Arial"/>
          <w:kern w:val="2"/>
          <w:sz w:val="22"/>
          <w:szCs w:val="22"/>
          <w:lang w:eastAsia="ar-SA"/>
        </w:rPr>
        <w:t xml:space="preserve"> </w:t>
      </w:r>
      <w:r w:rsidR="006F6C85" w:rsidRPr="00564A73">
        <w:rPr>
          <w:rFonts w:cs="Arial"/>
          <w:sz w:val="22"/>
          <w:szCs w:val="22"/>
          <w:lang w:eastAsia="es-MX"/>
        </w:rPr>
        <w:t xml:space="preserve">El 4 de septiembre de 2014 se publicó en el DOF el “Estatuto Orgánico del Instituto Federal de Telecomunicaciones” (el “Estatuto Orgánico”), el cual entró en vigor el 26 de septiembre de 2014 y cuya última modificación fue publicada el </w:t>
      </w:r>
      <w:r w:rsidR="007553FC" w:rsidRPr="007553FC">
        <w:rPr>
          <w:rFonts w:cs="Arial"/>
          <w:sz w:val="22"/>
          <w:szCs w:val="22"/>
          <w:lang w:eastAsia="es-MX"/>
        </w:rPr>
        <w:t>02 de octubre de 2020</w:t>
      </w:r>
      <w:r w:rsidR="006F6C85" w:rsidRPr="00564A73">
        <w:rPr>
          <w:rFonts w:cs="Arial"/>
          <w:sz w:val="22"/>
          <w:szCs w:val="22"/>
          <w:lang w:eastAsia="es-MX"/>
        </w:rPr>
        <w:t xml:space="preserve">. </w:t>
      </w:r>
    </w:p>
    <w:p w14:paraId="0BAA61DF" w14:textId="1CF6D3A8" w:rsidR="006F6C85" w:rsidRPr="00564A73" w:rsidRDefault="006F6C85" w:rsidP="00564A73">
      <w:pPr>
        <w:pStyle w:val="Texto"/>
        <w:spacing w:after="0" w:line="276" w:lineRule="auto"/>
        <w:ind w:firstLine="0"/>
        <w:rPr>
          <w:b/>
          <w:sz w:val="22"/>
          <w:szCs w:val="22"/>
        </w:rPr>
      </w:pPr>
    </w:p>
    <w:p w14:paraId="596F9DEC" w14:textId="20E6A230" w:rsidR="00FB2B9E" w:rsidRPr="00564A73" w:rsidRDefault="00535AF9" w:rsidP="00564A73">
      <w:pPr>
        <w:pStyle w:val="Texto"/>
        <w:spacing w:after="0" w:line="276" w:lineRule="auto"/>
        <w:ind w:firstLine="0"/>
        <w:rPr>
          <w:color w:val="000000"/>
          <w:sz w:val="22"/>
          <w:szCs w:val="22"/>
        </w:rPr>
      </w:pPr>
      <w:r w:rsidRPr="00564A73">
        <w:rPr>
          <w:b/>
          <w:sz w:val="22"/>
          <w:szCs w:val="22"/>
        </w:rPr>
        <w:t xml:space="preserve">Cuarto. </w:t>
      </w:r>
      <w:r w:rsidR="00FB2B9E" w:rsidRPr="00564A73">
        <w:rPr>
          <w:b/>
          <w:sz w:val="22"/>
          <w:szCs w:val="22"/>
        </w:rPr>
        <w:t>Lineamientos Generales para el Otorgamiento de las Concesiones.</w:t>
      </w:r>
      <w:r w:rsidR="00FB2B9E" w:rsidRPr="00564A73">
        <w:rPr>
          <w:sz w:val="22"/>
          <w:szCs w:val="22"/>
        </w:rPr>
        <w:t xml:space="preserve"> </w:t>
      </w:r>
      <w:r w:rsidR="00FB2B9E" w:rsidRPr="00564A73">
        <w:rPr>
          <w:color w:val="000000"/>
          <w:sz w:val="22"/>
          <w:szCs w:val="22"/>
        </w:rPr>
        <w:t xml:space="preserve">El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w:t>
      </w:r>
      <w:r w:rsidR="001F5E19" w:rsidRPr="00564A73">
        <w:rPr>
          <w:color w:val="000000"/>
          <w:sz w:val="22"/>
          <w:szCs w:val="22"/>
        </w:rPr>
        <w:t xml:space="preserve">cuya última modificación fue publicada en el DOF el 13 de febrero de 2019 </w:t>
      </w:r>
      <w:r w:rsidR="00FB2B9E" w:rsidRPr="00564A73">
        <w:rPr>
          <w:color w:val="000000"/>
          <w:sz w:val="22"/>
          <w:szCs w:val="22"/>
        </w:rPr>
        <w:t>(en lo sucesivo, los “Lineamientos”).</w:t>
      </w:r>
    </w:p>
    <w:p w14:paraId="2A0A4778" w14:textId="77777777" w:rsidR="00201176" w:rsidRPr="00564A73" w:rsidRDefault="00201176" w:rsidP="00564A73">
      <w:pPr>
        <w:pStyle w:val="Texto"/>
        <w:spacing w:after="0" w:line="276" w:lineRule="auto"/>
        <w:rPr>
          <w:b/>
          <w:color w:val="000000"/>
          <w:sz w:val="22"/>
          <w:szCs w:val="22"/>
        </w:rPr>
      </w:pPr>
    </w:p>
    <w:p w14:paraId="331D6548" w14:textId="78AD2D12" w:rsidR="003C0742" w:rsidRPr="00564A73" w:rsidRDefault="00535AF9" w:rsidP="00564A73">
      <w:pPr>
        <w:pStyle w:val="Texto"/>
        <w:spacing w:after="0" w:line="276" w:lineRule="auto"/>
        <w:ind w:firstLine="0"/>
        <w:rPr>
          <w:color w:val="000000"/>
          <w:sz w:val="22"/>
          <w:szCs w:val="22"/>
        </w:rPr>
      </w:pPr>
      <w:r w:rsidRPr="00564A73">
        <w:rPr>
          <w:b/>
          <w:color w:val="000000"/>
          <w:sz w:val="22"/>
          <w:szCs w:val="22"/>
        </w:rPr>
        <w:t xml:space="preserve">Quinto. </w:t>
      </w:r>
      <w:r w:rsidR="006F6C85" w:rsidRPr="00564A73">
        <w:rPr>
          <w:b/>
          <w:color w:val="000000"/>
          <w:sz w:val="22"/>
          <w:szCs w:val="22"/>
        </w:rPr>
        <w:t xml:space="preserve">Lineamientos de </w:t>
      </w:r>
      <w:r w:rsidR="00FB2B9E" w:rsidRPr="00564A73">
        <w:rPr>
          <w:b/>
          <w:color w:val="000000"/>
          <w:sz w:val="22"/>
          <w:szCs w:val="22"/>
        </w:rPr>
        <w:t xml:space="preserve">Consulta pública. </w:t>
      </w:r>
      <w:r w:rsidR="006F6C85" w:rsidRPr="00564A73">
        <w:rPr>
          <w:color w:val="000000"/>
          <w:sz w:val="22"/>
          <w:szCs w:val="22"/>
        </w:rPr>
        <w:t>El 8 de noviembre de 2017, se publicó en el DOF el "Acuerdo mediante el cual el Pleno del Instituto Federal de Telecomunicaciones aprueba y emite los Lineamientos de Consulta Pública y Análisis de Impacto Regulatorio del Instituto Federal de Telecomunicaciones" ("Lineamientos de Consulta Pública"). En términos de lo dispuesto por el artículo PRIMERO Transitorio, los Lineamientos de Consulta Pública entraron en vigor el 1 de enero de 2018.</w:t>
      </w:r>
    </w:p>
    <w:p w14:paraId="09C34E7B" w14:textId="77777777" w:rsidR="00201176" w:rsidRPr="00564A73" w:rsidRDefault="00201176" w:rsidP="00564A73">
      <w:pPr>
        <w:pStyle w:val="Texto"/>
        <w:spacing w:after="0" w:line="276" w:lineRule="auto"/>
        <w:rPr>
          <w:sz w:val="22"/>
          <w:szCs w:val="22"/>
        </w:rPr>
      </w:pPr>
    </w:p>
    <w:p w14:paraId="24A67790" w14:textId="1BAF734C" w:rsidR="00FB2B9E" w:rsidRPr="00564A73" w:rsidRDefault="00535AF9" w:rsidP="00564A73">
      <w:pPr>
        <w:pStyle w:val="ANOTACION"/>
        <w:spacing w:before="0" w:after="0" w:line="276" w:lineRule="auto"/>
        <w:rPr>
          <w:rFonts w:ascii="Arial" w:hAnsi="Arial" w:cs="Arial"/>
          <w:sz w:val="22"/>
          <w:szCs w:val="22"/>
        </w:rPr>
      </w:pPr>
      <w:r w:rsidRPr="00564A73">
        <w:rPr>
          <w:rFonts w:ascii="Arial" w:hAnsi="Arial" w:cs="Arial"/>
          <w:sz w:val="22"/>
          <w:szCs w:val="22"/>
        </w:rPr>
        <w:lastRenderedPageBreak/>
        <w:t>Considerandos</w:t>
      </w:r>
    </w:p>
    <w:p w14:paraId="21458F9A" w14:textId="77777777" w:rsidR="00201176" w:rsidRPr="00564A73" w:rsidRDefault="00201176" w:rsidP="00564A73">
      <w:pPr>
        <w:pStyle w:val="ANOTACION"/>
        <w:spacing w:before="0" w:after="0" w:line="276" w:lineRule="auto"/>
        <w:rPr>
          <w:rFonts w:ascii="Arial" w:hAnsi="Arial" w:cs="Arial"/>
          <w:sz w:val="22"/>
          <w:szCs w:val="22"/>
        </w:rPr>
      </w:pPr>
    </w:p>
    <w:p w14:paraId="04A2DAF2" w14:textId="4B3C43D7" w:rsidR="00FB2B9E" w:rsidRPr="00564A73" w:rsidRDefault="004E6336" w:rsidP="00564A73">
      <w:pPr>
        <w:pStyle w:val="Texto"/>
        <w:spacing w:after="0" w:line="276" w:lineRule="auto"/>
        <w:ind w:firstLine="0"/>
        <w:rPr>
          <w:sz w:val="22"/>
          <w:szCs w:val="22"/>
        </w:rPr>
      </w:pPr>
      <w:r w:rsidRPr="00564A73">
        <w:rPr>
          <w:b/>
          <w:sz w:val="22"/>
          <w:szCs w:val="22"/>
        </w:rPr>
        <w:t>P</w:t>
      </w:r>
      <w:r w:rsidR="00535AF9" w:rsidRPr="00564A73">
        <w:rPr>
          <w:b/>
          <w:sz w:val="22"/>
          <w:szCs w:val="22"/>
        </w:rPr>
        <w:t>rimero</w:t>
      </w:r>
      <w:r w:rsidRPr="00564A73">
        <w:rPr>
          <w:b/>
          <w:sz w:val="22"/>
          <w:szCs w:val="22"/>
        </w:rPr>
        <w:t>.</w:t>
      </w:r>
      <w:r w:rsidR="00BF0E18">
        <w:rPr>
          <w:b/>
          <w:sz w:val="22"/>
          <w:szCs w:val="22"/>
        </w:rPr>
        <w:t xml:space="preserve"> Competencia del Instituto.</w:t>
      </w:r>
      <w:r w:rsidR="002B35C7" w:rsidRPr="00564A73">
        <w:rPr>
          <w:b/>
          <w:sz w:val="22"/>
          <w:szCs w:val="22"/>
        </w:rPr>
        <w:t xml:space="preserve"> </w:t>
      </w:r>
      <w:r w:rsidR="00FB2B9E" w:rsidRPr="00564A73">
        <w:rPr>
          <w:sz w:val="22"/>
          <w:szCs w:val="22"/>
        </w:rPr>
        <w:t>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76B61AC7" w14:textId="77777777" w:rsidR="00723678" w:rsidRPr="00564A73" w:rsidRDefault="00723678" w:rsidP="00564A73">
      <w:pPr>
        <w:pStyle w:val="Texto"/>
        <w:spacing w:after="0" w:line="276" w:lineRule="auto"/>
        <w:rPr>
          <w:sz w:val="22"/>
          <w:szCs w:val="22"/>
        </w:rPr>
      </w:pPr>
    </w:p>
    <w:p w14:paraId="432E2C38" w14:textId="77777777" w:rsidR="00FB2B9E" w:rsidRPr="00564A73" w:rsidRDefault="00FB2B9E" w:rsidP="00564A73">
      <w:pPr>
        <w:pStyle w:val="Texto"/>
        <w:spacing w:after="0" w:line="276" w:lineRule="auto"/>
        <w:ind w:firstLine="0"/>
        <w:rPr>
          <w:sz w:val="22"/>
          <w:szCs w:val="22"/>
        </w:rPr>
      </w:pPr>
      <w:r w:rsidRPr="00564A73">
        <w:rPr>
          <w:sz w:val="22"/>
          <w:szCs w:val="22"/>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lo establecido en los artículos 6° y 7° de la Constitución.</w:t>
      </w:r>
    </w:p>
    <w:p w14:paraId="5D6337C9" w14:textId="77777777" w:rsidR="00723678" w:rsidRPr="00564A73" w:rsidRDefault="00723678" w:rsidP="00564A73">
      <w:pPr>
        <w:pStyle w:val="Texto"/>
        <w:spacing w:after="0" w:line="276" w:lineRule="auto"/>
        <w:rPr>
          <w:sz w:val="22"/>
          <w:szCs w:val="22"/>
        </w:rPr>
      </w:pPr>
    </w:p>
    <w:p w14:paraId="425FF2E2" w14:textId="77777777" w:rsidR="00FB2B9E" w:rsidRPr="00564A73" w:rsidRDefault="00FB2B9E" w:rsidP="00564A73">
      <w:pPr>
        <w:pStyle w:val="Texto"/>
        <w:spacing w:after="0" w:line="276" w:lineRule="auto"/>
        <w:ind w:firstLine="0"/>
        <w:rPr>
          <w:sz w:val="22"/>
          <w:szCs w:val="22"/>
        </w:rPr>
      </w:pPr>
      <w:r w:rsidRPr="00564A73">
        <w:rPr>
          <w:sz w:val="22"/>
          <w:szCs w:val="22"/>
        </w:rPr>
        <w:t>Asimismo, el párrafo décimo sexto del artículo 28 de la Constitución establece que el Instituto es también la autoridad en materia de competencia económica de los sectores de radiodifusión y telecomunicaciones, por lo que en éstos ejercerá en forma exclusiva las facultades del artículo 28 de la Constitución, la Ley y la Ley Federal de Competencia Económica.</w:t>
      </w:r>
    </w:p>
    <w:p w14:paraId="75F5B246" w14:textId="77777777" w:rsidR="00723678" w:rsidRPr="00564A73" w:rsidRDefault="00723678" w:rsidP="00564A73">
      <w:pPr>
        <w:pStyle w:val="Texto"/>
        <w:spacing w:after="0" w:line="276" w:lineRule="auto"/>
        <w:ind w:firstLine="0"/>
        <w:rPr>
          <w:sz w:val="22"/>
          <w:szCs w:val="22"/>
        </w:rPr>
      </w:pPr>
    </w:p>
    <w:p w14:paraId="6DC51007" w14:textId="77777777" w:rsidR="001C7114" w:rsidRPr="00564A73" w:rsidRDefault="001C7114" w:rsidP="00564A73">
      <w:pPr>
        <w:pStyle w:val="Texto"/>
        <w:spacing w:after="0" w:line="276" w:lineRule="auto"/>
        <w:ind w:firstLine="0"/>
        <w:rPr>
          <w:sz w:val="22"/>
          <w:szCs w:val="22"/>
        </w:rPr>
      </w:pPr>
      <w:r w:rsidRPr="00564A73">
        <w:rPr>
          <w:sz w:val="22"/>
          <w:szCs w:val="22"/>
        </w:rPr>
        <w:t>El artículo 15, fracciones I y LVI de la Ley señala que corresponde al Instituto aprobar y expedir lineamientos en materia de telecomunicaciones y radiodifusión y disposiciones administrativas de carácter general necesarias para el debido ejercicio de sus facultades y atribuciones.</w:t>
      </w:r>
    </w:p>
    <w:p w14:paraId="3C04CC43" w14:textId="77777777" w:rsidR="001C7114" w:rsidRPr="00564A73" w:rsidRDefault="001C7114" w:rsidP="00564A73">
      <w:pPr>
        <w:pStyle w:val="Texto"/>
        <w:spacing w:after="0" w:line="276" w:lineRule="auto"/>
        <w:ind w:firstLine="0"/>
        <w:rPr>
          <w:sz w:val="22"/>
          <w:szCs w:val="22"/>
        </w:rPr>
      </w:pPr>
    </w:p>
    <w:p w14:paraId="1F1CF996" w14:textId="2293FF47" w:rsidR="00FB2B9E" w:rsidRPr="00564A73" w:rsidRDefault="001C7114" w:rsidP="00564A73">
      <w:pPr>
        <w:pStyle w:val="Texto"/>
        <w:spacing w:after="0" w:line="276" w:lineRule="auto"/>
        <w:ind w:firstLine="0"/>
        <w:rPr>
          <w:sz w:val="22"/>
          <w:szCs w:val="22"/>
        </w:rPr>
      </w:pPr>
      <w:r w:rsidRPr="00564A73">
        <w:rPr>
          <w:sz w:val="22"/>
          <w:szCs w:val="22"/>
        </w:rPr>
        <w:t xml:space="preserve">Por lo anterior y con fundamento en los artículos 6o. y 28, párrafos décimo quinto y décimo sexto de la Constitución; 1, 2, 7, 15 fracción I, y LVI, 17 fracción I de la Ley y 1, 4 fracción I y 6 fracción I del Estatuto Orgánico, el Pleno del Instituto es competente para emitir el presente </w:t>
      </w:r>
      <w:r w:rsidR="00FB2B9E" w:rsidRPr="00564A73">
        <w:rPr>
          <w:sz w:val="22"/>
          <w:szCs w:val="22"/>
        </w:rPr>
        <w:t xml:space="preserve">Acuerdo </w:t>
      </w:r>
      <w:r w:rsidR="00723678" w:rsidRPr="00564A73">
        <w:rPr>
          <w:sz w:val="22"/>
          <w:szCs w:val="22"/>
        </w:rPr>
        <w:t xml:space="preserve">que modifica </w:t>
      </w:r>
      <w:r w:rsidR="00FB2B9E" w:rsidRPr="00564A73">
        <w:rPr>
          <w:sz w:val="22"/>
          <w:szCs w:val="22"/>
        </w:rPr>
        <w:t>los Lineamientos.</w:t>
      </w:r>
    </w:p>
    <w:p w14:paraId="359FC1C4" w14:textId="77777777" w:rsidR="00723678" w:rsidRPr="00564A73" w:rsidRDefault="00723678" w:rsidP="00564A73">
      <w:pPr>
        <w:pStyle w:val="Texto"/>
        <w:spacing w:after="0" w:line="276" w:lineRule="auto"/>
        <w:rPr>
          <w:sz w:val="22"/>
          <w:szCs w:val="22"/>
        </w:rPr>
      </w:pPr>
    </w:p>
    <w:p w14:paraId="79E77EB3" w14:textId="174C3630" w:rsidR="007C52E8" w:rsidRDefault="004E6336" w:rsidP="00564A73">
      <w:pPr>
        <w:pStyle w:val="Texto"/>
        <w:spacing w:after="0" w:line="276" w:lineRule="auto"/>
        <w:ind w:firstLine="0"/>
        <w:rPr>
          <w:sz w:val="22"/>
          <w:szCs w:val="22"/>
          <w:lang w:val="es-MX" w:eastAsia="es-MX"/>
        </w:rPr>
      </w:pPr>
      <w:r w:rsidRPr="00564A73">
        <w:rPr>
          <w:b/>
          <w:sz w:val="22"/>
          <w:szCs w:val="22"/>
        </w:rPr>
        <w:t>S</w:t>
      </w:r>
      <w:r w:rsidR="00535AF9" w:rsidRPr="00564A73">
        <w:rPr>
          <w:b/>
          <w:sz w:val="22"/>
          <w:szCs w:val="22"/>
        </w:rPr>
        <w:t>egundo</w:t>
      </w:r>
      <w:r w:rsidRPr="00564A73">
        <w:rPr>
          <w:b/>
          <w:sz w:val="22"/>
          <w:szCs w:val="22"/>
        </w:rPr>
        <w:t>.</w:t>
      </w:r>
      <w:r w:rsidR="00FB2B9E" w:rsidRPr="00564A73">
        <w:rPr>
          <w:b/>
          <w:sz w:val="22"/>
          <w:szCs w:val="22"/>
        </w:rPr>
        <w:t xml:space="preserve"> </w:t>
      </w:r>
      <w:r w:rsidR="00BF0E18">
        <w:rPr>
          <w:b/>
          <w:sz w:val="22"/>
          <w:szCs w:val="22"/>
        </w:rPr>
        <w:t xml:space="preserve">Contenido y Objeto del Proyecto. </w:t>
      </w:r>
      <w:r w:rsidR="00BF0E18">
        <w:rPr>
          <w:sz w:val="22"/>
          <w:szCs w:val="22"/>
          <w:lang w:val="es-MX" w:eastAsia="es-MX"/>
        </w:rPr>
        <w:t xml:space="preserve">El presente Anteproyecto, </w:t>
      </w:r>
      <w:r w:rsidR="00567D8D" w:rsidRPr="00564A73">
        <w:rPr>
          <w:sz w:val="22"/>
          <w:szCs w:val="22"/>
        </w:rPr>
        <w:t xml:space="preserve">como disposición administrativa de carácter general </w:t>
      </w:r>
      <w:r w:rsidR="000A7A9B">
        <w:rPr>
          <w:sz w:val="22"/>
          <w:szCs w:val="22"/>
        </w:rPr>
        <w:t>es</w:t>
      </w:r>
      <w:r w:rsidR="000A7A9B" w:rsidRPr="00564A73">
        <w:rPr>
          <w:sz w:val="22"/>
          <w:szCs w:val="22"/>
        </w:rPr>
        <w:t xml:space="preserve"> </w:t>
      </w:r>
      <w:r w:rsidR="00567D8D" w:rsidRPr="00564A73">
        <w:rPr>
          <w:sz w:val="22"/>
          <w:szCs w:val="22"/>
        </w:rPr>
        <w:t xml:space="preserve">aplicables a cualquier persona física, moral, ente público </w:t>
      </w:r>
      <w:r w:rsidR="000779D6" w:rsidRPr="002B5D18">
        <w:rPr>
          <w:sz w:val="22"/>
          <w:szCs w:val="22"/>
        </w:rPr>
        <w:t xml:space="preserve">o comunidad indígena </w:t>
      </w:r>
      <w:r w:rsidR="00567D8D" w:rsidRPr="00564A73">
        <w:rPr>
          <w:sz w:val="22"/>
          <w:szCs w:val="22"/>
        </w:rPr>
        <w:t>que pretendan obtener por parte del Instituto una concesión a las que se refiere el Título Cuarto de la Ley y tiene como objeto: (i) establecer los términos en que deben ser cumplidos los diversos requisitos para obtener una concesión; (ii) dotar de certeza jurídica a los interesados respecto de los procesos que se deben seguir para obtener los diferentes tipos de concesiones.</w:t>
      </w:r>
      <w:r w:rsidR="007C52E8">
        <w:rPr>
          <w:sz w:val="22"/>
          <w:szCs w:val="22"/>
          <w:lang w:val="es-MX" w:eastAsia="es-MX"/>
        </w:rPr>
        <w:t xml:space="preserve">  </w:t>
      </w:r>
    </w:p>
    <w:p w14:paraId="78D49359" w14:textId="0E25C04F" w:rsidR="007C52E8" w:rsidRDefault="007C52E8" w:rsidP="00564A73">
      <w:pPr>
        <w:pStyle w:val="Texto"/>
        <w:spacing w:after="0" w:line="276" w:lineRule="auto"/>
        <w:ind w:firstLine="0"/>
        <w:rPr>
          <w:sz w:val="22"/>
          <w:szCs w:val="22"/>
          <w:lang w:val="es-MX" w:eastAsia="es-MX"/>
        </w:rPr>
      </w:pPr>
    </w:p>
    <w:p w14:paraId="4B8738AA" w14:textId="7B27C48F" w:rsidR="00567D8D" w:rsidRPr="00564A73" w:rsidRDefault="007C52E8" w:rsidP="00567D8D">
      <w:pPr>
        <w:pStyle w:val="Texto"/>
        <w:spacing w:after="0" w:line="276" w:lineRule="auto"/>
        <w:ind w:firstLine="0"/>
        <w:rPr>
          <w:sz w:val="22"/>
          <w:szCs w:val="22"/>
        </w:rPr>
      </w:pPr>
      <w:r>
        <w:rPr>
          <w:sz w:val="22"/>
          <w:szCs w:val="22"/>
          <w:lang w:val="es-MX" w:eastAsia="es-MX"/>
        </w:rPr>
        <w:t>En ese sentido, el Anteproyecto tiene por objeto</w:t>
      </w:r>
      <w:r w:rsidR="00567D8D">
        <w:rPr>
          <w:sz w:val="22"/>
          <w:szCs w:val="22"/>
          <w:lang w:val="es-MX" w:eastAsia="es-MX"/>
        </w:rPr>
        <w:t xml:space="preserve">: i) </w:t>
      </w:r>
      <w:r w:rsidR="00567D8D" w:rsidRPr="00564A73">
        <w:rPr>
          <w:sz w:val="22"/>
          <w:szCs w:val="22"/>
        </w:rPr>
        <w:t>aclarar y simplificar</w:t>
      </w:r>
      <w:r w:rsidR="00567D8D">
        <w:rPr>
          <w:sz w:val="22"/>
          <w:szCs w:val="22"/>
        </w:rPr>
        <w:t>,</w:t>
      </w:r>
      <w:r w:rsidR="00567D8D" w:rsidRPr="00564A73">
        <w:rPr>
          <w:sz w:val="22"/>
          <w:szCs w:val="22"/>
        </w:rPr>
        <w:t xml:space="preserve"> respecto a las concesiones de bandas de frecuencias del espectro para uso social, incluyendo comunitarias e indígenas los requisitos a efecto de que los interesados en obtener una concesión para estos usos sean más específicos. </w:t>
      </w:r>
    </w:p>
    <w:p w14:paraId="1D959D70" w14:textId="77777777" w:rsidR="00567D8D" w:rsidRPr="00564A73" w:rsidRDefault="00567D8D" w:rsidP="00567D8D">
      <w:pPr>
        <w:pStyle w:val="Texto"/>
        <w:spacing w:after="0" w:line="276" w:lineRule="auto"/>
        <w:ind w:firstLine="0"/>
        <w:rPr>
          <w:sz w:val="22"/>
          <w:szCs w:val="22"/>
        </w:rPr>
      </w:pPr>
    </w:p>
    <w:p w14:paraId="468F9145" w14:textId="3FACAA3E" w:rsidR="00567D8D" w:rsidRPr="00564A73" w:rsidRDefault="00B522CD" w:rsidP="00567D8D">
      <w:pPr>
        <w:pStyle w:val="Texto"/>
        <w:spacing w:after="0" w:line="276" w:lineRule="auto"/>
        <w:ind w:firstLine="0"/>
        <w:rPr>
          <w:sz w:val="22"/>
          <w:szCs w:val="22"/>
        </w:rPr>
      </w:pPr>
      <w:r>
        <w:rPr>
          <w:sz w:val="22"/>
          <w:szCs w:val="22"/>
        </w:rPr>
        <w:lastRenderedPageBreak/>
        <w:t>ii) D</w:t>
      </w:r>
      <w:r w:rsidR="00567D8D" w:rsidRPr="00564A73">
        <w:rPr>
          <w:sz w:val="22"/>
          <w:szCs w:val="22"/>
        </w:rPr>
        <w:t xml:space="preserve">urante el proceso que han llevado </w:t>
      </w:r>
      <w:r>
        <w:rPr>
          <w:sz w:val="22"/>
          <w:szCs w:val="22"/>
        </w:rPr>
        <w:t>diversos</w:t>
      </w:r>
      <w:r w:rsidR="00567D8D" w:rsidRPr="00564A73">
        <w:rPr>
          <w:sz w:val="22"/>
          <w:szCs w:val="22"/>
        </w:rPr>
        <w:t xml:space="preserve"> concesionarios para uso público en materia de radiodifusión para el acreditamiento de los mecanismos indica</w:t>
      </w:r>
      <w:r w:rsidR="000A7A9B">
        <w:rPr>
          <w:sz w:val="22"/>
          <w:szCs w:val="22"/>
        </w:rPr>
        <w:t>do</w:t>
      </w:r>
      <w:r w:rsidR="00567D8D" w:rsidRPr="00564A73">
        <w:rPr>
          <w:sz w:val="22"/>
          <w:szCs w:val="22"/>
        </w:rPr>
        <w:t xml:space="preserve">s en el segundo párrafo del artíceme 86 de la Ley, el Instituto ha observado que </w:t>
      </w:r>
      <w:r w:rsidR="000A7A9B">
        <w:rPr>
          <w:sz w:val="22"/>
          <w:szCs w:val="22"/>
        </w:rPr>
        <w:t>el</w:t>
      </w:r>
      <w:r w:rsidR="000A7A9B" w:rsidRPr="00564A73">
        <w:rPr>
          <w:sz w:val="22"/>
          <w:szCs w:val="22"/>
        </w:rPr>
        <w:t xml:space="preserve"> </w:t>
      </w:r>
      <w:r w:rsidR="00567D8D" w:rsidRPr="00564A73">
        <w:rPr>
          <w:sz w:val="22"/>
          <w:szCs w:val="22"/>
        </w:rPr>
        <w:t>plazo de seis meses que otorgó para su cumplimento ha sido insuficiente en todos los casos, pues ha resultado insuficiente para la instalación de consejo ciudadano, y para la acreditación concreta de cada uno de los ocho mecanismos, pues éste plazo no es acorde con las diversas modificaciones que dichos concesionarios deben realizar a su marco jurídico o administrativo, considerando que los concesionarios para uso público pueden ser Poderes de la Unión, de los Estados, los órganos de Gobierno del Distrito Federal, los Municipios, los órganos constitucionales autónomos y las instituciones de educación superior de carácter público.</w:t>
      </w:r>
    </w:p>
    <w:p w14:paraId="0CC4D0CC" w14:textId="77777777" w:rsidR="00567D8D" w:rsidRPr="00564A73" w:rsidRDefault="00567D8D" w:rsidP="00567D8D">
      <w:pPr>
        <w:pStyle w:val="Texto"/>
        <w:spacing w:after="0" w:line="276" w:lineRule="auto"/>
        <w:ind w:firstLine="0"/>
        <w:rPr>
          <w:sz w:val="22"/>
          <w:szCs w:val="22"/>
        </w:rPr>
      </w:pPr>
    </w:p>
    <w:p w14:paraId="686FFDCC" w14:textId="3FD81E27" w:rsidR="00567D8D" w:rsidRDefault="00567D8D" w:rsidP="00567D8D">
      <w:pPr>
        <w:pStyle w:val="Texto"/>
        <w:spacing w:after="0" w:line="276" w:lineRule="auto"/>
        <w:ind w:firstLine="0"/>
        <w:rPr>
          <w:sz w:val="22"/>
          <w:szCs w:val="22"/>
        </w:rPr>
      </w:pPr>
      <w:r w:rsidRPr="00564A73">
        <w:rPr>
          <w:sz w:val="22"/>
          <w:szCs w:val="22"/>
        </w:rPr>
        <w:t xml:space="preserve">Es por ello, que con la finalidad de dar certeza jurídica a un número importante de concesionarios para uso público, respecto de sus concesiones de bandas de frecuencia que hoy tienen concesionadas, considerando que el plazo establecido originalmente en los Lineamientos de Concesionamiento, </w:t>
      </w:r>
      <w:r w:rsidR="00F379D0">
        <w:rPr>
          <w:sz w:val="22"/>
          <w:szCs w:val="22"/>
        </w:rPr>
        <w:t>es ajustado para acreditar los</w:t>
      </w:r>
      <w:r w:rsidR="000779D6">
        <w:rPr>
          <w:sz w:val="22"/>
          <w:szCs w:val="22"/>
        </w:rPr>
        <w:t xml:space="preserve"> </w:t>
      </w:r>
      <w:r w:rsidR="00F379D0">
        <w:rPr>
          <w:sz w:val="22"/>
          <w:szCs w:val="22"/>
        </w:rPr>
        <w:t>mecanismos</w:t>
      </w:r>
      <w:r w:rsidRPr="00564A73">
        <w:rPr>
          <w:sz w:val="22"/>
          <w:szCs w:val="22"/>
        </w:rPr>
        <w:t xml:space="preserve">, </w:t>
      </w:r>
      <w:r w:rsidR="00F379D0" w:rsidRPr="002B5D18">
        <w:rPr>
          <w:sz w:val="22"/>
          <w:szCs w:val="22"/>
        </w:rPr>
        <w:t>se propone la ampliación del plazo para dar cumplimiento a dicha obligación, de 6 meses a 2 años, contados a partir de la notificación del título de concesión respectivo, y la modificación de la sanción respectiva, medidas que permitirán que los concesionarios que hayan presentado su solicitud de autorización de manera extemporánea, estar en posibilidades reales, junto con el acompañamiento que otorgue este Instituto, de establecer la implementación de los mecanismos del artículo 86 de la Ley.</w:t>
      </w:r>
    </w:p>
    <w:p w14:paraId="2B685746" w14:textId="77777777" w:rsidR="00567D8D" w:rsidRPr="00564A73" w:rsidRDefault="00567D8D" w:rsidP="00567D8D">
      <w:pPr>
        <w:pStyle w:val="Texto"/>
        <w:spacing w:after="0" w:line="276" w:lineRule="auto"/>
        <w:ind w:firstLine="0"/>
        <w:rPr>
          <w:sz w:val="22"/>
          <w:szCs w:val="22"/>
        </w:rPr>
      </w:pPr>
    </w:p>
    <w:p w14:paraId="5CE8DBF0" w14:textId="171E87B7" w:rsidR="00567D8D" w:rsidRPr="00564A73" w:rsidRDefault="00C176CC" w:rsidP="00567D8D">
      <w:pPr>
        <w:pStyle w:val="Texto"/>
        <w:spacing w:after="0" w:line="276" w:lineRule="auto"/>
        <w:ind w:firstLine="0"/>
        <w:rPr>
          <w:sz w:val="22"/>
          <w:szCs w:val="22"/>
        </w:rPr>
      </w:pPr>
      <w:r>
        <w:rPr>
          <w:sz w:val="22"/>
          <w:szCs w:val="22"/>
        </w:rPr>
        <w:t>En esa tesitura,</w:t>
      </w:r>
      <w:r w:rsidR="00B522CD">
        <w:rPr>
          <w:sz w:val="22"/>
          <w:szCs w:val="22"/>
        </w:rPr>
        <w:t xml:space="preserve"> </w:t>
      </w:r>
      <w:r w:rsidR="00567D8D" w:rsidRPr="00564A73">
        <w:rPr>
          <w:sz w:val="22"/>
          <w:szCs w:val="22"/>
        </w:rPr>
        <w:t xml:space="preserve">se propone la misma modificación a la fracción VIII del artículo SEGUNDO Transitorio de los Lineamientos de Concesionamiento, pues </w:t>
      </w:r>
      <w:r>
        <w:rPr>
          <w:sz w:val="22"/>
          <w:szCs w:val="22"/>
        </w:rPr>
        <w:t>ambos artículos</w:t>
      </w:r>
      <w:r w:rsidR="00567D8D" w:rsidRPr="00564A73">
        <w:rPr>
          <w:sz w:val="22"/>
          <w:szCs w:val="22"/>
        </w:rPr>
        <w:t xml:space="preserve"> deben ser </w:t>
      </w:r>
      <w:r>
        <w:rPr>
          <w:sz w:val="22"/>
          <w:szCs w:val="22"/>
        </w:rPr>
        <w:t>compatibles en su contenido</w:t>
      </w:r>
      <w:r w:rsidR="00567D8D" w:rsidRPr="00564A73">
        <w:rPr>
          <w:sz w:val="22"/>
          <w:szCs w:val="22"/>
        </w:rPr>
        <w:t xml:space="preserve"> con los concesionarios que transitaron al nuevo régimen de concesionamiento y los nuevos entrantes que obtengan sus títulos de concesión de bandas de frecuencia en los términos de la Ley.</w:t>
      </w:r>
    </w:p>
    <w:p w14:paraId="6C4A7946" w14:textId="77777777" w:rsidR="00567D8D" w:rsidRPr="00564A73" w:rsidRDefault="00567D8D" w:rsidP="00567D8D">
      <w:pPr>
        <w:pStyle w:val="Texto"/>
        <w:spacing w:after="0" w:line="276" w:lineRule="auto"/>
        <w:ind w:firstLine="0"/>
        <w:rPr>
          <w:sz w:val="22"/>
          <w:szCs w:val="22"/>
        </w:rPr>
      </w:pPr>
    </w:p>
    <w:p w14:paraId="001B72A3" w14:textId="43567B85" w:rsidR="00567D8D" w:rsidRDefault="00567D8D" w:rsidP="00567D8D">
      <w:pPr>
        <w:pStyle w:val="Texto"/>
        <w:spacing w:after="0" w:line="276" w:lineRule="auto"/>
        <w:ind w:firstLine="0"/>
        <w:rPr>
          <w:sz w:val="22"/>
          <w:szCs w:val="22"/>
        </w:rPr>
      </w:pPr>
      <w:r w:rsidRPr="00564A73">
        <w:rPr>
          <w:sz w:val="22"/>
          <w:szCs w:val="22"/>
        </w:rPr>
        <w:t xml:space="preserve">Asimismo, considerando la armonía que deben prevalecer en el cuerpo normativo que se pretende modificar, se propone la disminución de la sanción administrativa establecida en la última parte de la fracción VIII del artículo del artículo SEGUNDO Transitorio de los Lineamientos de Concesionamiento, pues como ya se indicó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w:t>
      </w:r>
      <w:r w:rsidR="000A7A9B">
        <w:rPr>
          <w:sz w:val="22"/>
          <w:szCs w:val="22"/>
        </w:rPr>
        <w:t>é</w:t>
      </w:r>
      <w:r w:rsidRPr="00564A73">
        <w:rPr>
          <w:sz w:val="22"/>
          <w:szCs w:val="22"/>
        </w:rPr>
        <w:t>stos generan difícilmente podrán producirse en las concesiones de uso comercial.</w:t>
      </w:r>
    </w:p>
    <w:p w14:paraId="3FF2F966" w14:textId="67569F62" w:rsidR="00435FBA" w:rsidRDefault="00435FBA" w:rsidP="00567D8D">
      <w:pPr>
        <w:pStyle w:val="Texto"/>
        <w:spacing w:after="0" w:line="276" w:lineRule="auto"/>
        <w:ind w:firstLine="0"/>
        <w:rPr>
          <w:sz w:val="22"/>
          <w:szCs w:val="22"/>
        </w:rPr>
      </w:pPr>
    </w:p>
    <w:p w14:paraId="47523DBE" w14:textId="2B992A26" w:rsidR="00435FBA" w:rsidRPr="007478A6" w:rsidRDefault="00435FBA" w:rsidP="00435FBA">
      <w:pPr>
        <w:pStyle w:val="Texto"/>
        <w:spacing w:after="0" w:line="276" w:lineRule="auto"/>
        <w:ind w:firstLine="0"/>
        <w:rPr>
          <w:sz w:val="22"/>
          <w:szCs w:val="22"/>
        </w:rPr>
      </w:pPr>
      <w:r w:rsidRPr="007478A6">
        <w:rPr>
          <w:sz w:val="22"/>
          <w:szCs w:val="22"/>
        </w:rPr>
        <w:t xml:space="preserve">Por otro lado, se propone la eliminación de la parte inicial del tercer párrafo del artículo 13 de los Lineamientos, pues con ello se busca eliminar la carga administrativa a cargo de los solicitantes y concesionarios en </w:t>
      </w:r>
      <w:r w:rsidR="000A7A9B" w:rsidRPr="007478A6">
        <w:rPr>
          <w:sz w:val="22"/>
          <w:szCs w:val="22"/>
        </w:rPr>
        <w:t>m</w:t>
      </w:r>
      <w:r w:rsidR="000A7A9B">
        <w:rPr>
          <w:sz w:val="22"/>
          <w:szCs w:val="22"/>
        </w:rPr>
        <w:t>a</w:t>
      </w:r>
      <w:r w:rsidR="000A7A9B" w:rsidRPr="007478A6">
        <w:rPr>
          <w:sz w:val="22"/>
          <w:szCs w:val="22"/>
        </w:rPr>
        <w:t>teria</w:t>
      </w:r>
      <w:r w:rsidRPr="007478A6">
        <w:rPr>
          <w:sz w:val="22"/>
          <w:szCs w:val="22"/>
        </w:rPr>
        <w:t xml:space="preserve"> de radiodifusión para uso público y social, referente a rubricar y foliar todas las hojas de la solicitud y sus anexos por parte del mismo solicitante o a través de s</w:t>
      </w:r>
      <w:r w:rsidR="000A7A9B">
        <w:rPr>
          <w:sz w:val="22"/>
          <w:szCs w:val="22"/>
        </w:rPr>
        <w:t>u</w:t>
      </w:r>
      <w:r w:rsidRPr="007478A6">
        <w:rPr>
          <w:sz w:val="22"/>
          <w:szCs w:val="22"/>
        </w:rPr>
        <w:t xml:space="preserve"> representante legal, pues se considera que dicho requisito es un exceso y no tiene mayor trascendencia en la documentación presentada. </w:t>
      </w:r>
    </w:p>
    <w:p w14:paraId="594F5DA8" w14:textId="0949451C" w:rsidR="007C52E8" w:rsidRPr="00216832" w:rsidRDefault="007C52E8" w:rsidP="00216832">
      <w:pPr>
        <w:pStyle w:val="Texto"/>
        <w:spacing w:after="0" w:line="276" w:lineRule="auto"/>
        <w:ind w:firstLine="0"/>
        <w:rPr>
          <w:sz w:val="22"/>
          <w:szCs w:val="22"/>
        </w:rPr>
      </w:pPr>
    </w:p>
    <w:p w14:paraId="3A09F917" w14:textId="464E8109" w:rsidR="00216832" w:rsidRDefault="00C176CC" w:rsidP="00216832">
      <w:pPr>
        <w:autoSpaceDE w:val="0"/>
        <w:autoSpaceDN w:val="0"/>
        <w:adjustRightInd w:val="0"/>
        <w:spacing w:line="276" w:lineRule="auto"/>
        <w:jc w:val="both"/>
        <w:rPr>
          <w:rFonts w:ascii="Arial" w:hAnsi="Arial" w:cs="Arial"/>
          <w:sz w:val="22"/>
          <w:szCs w:val="22"/>
        </w:rPr>
      </w:pPr>
      <w:r w:rsidRPr="00216832">
        <w:rPr>
          <w:rFonts w:ascii="Arial" w:hAnsi="Arial" w:cs="Arial"/>
          <w:b/>
          <w:sz w:val="22"/>
          <w:szCs w:val="22"/>
        </w:rPr>
        <w:lastRenderedPageBreak/>
        <w:t>Tercero. Importancia del Anteproyecto y la mejora administrativa</w:t>
      </w:r>
      <w:r w:rsidRPr="00216832">
        <w:rPr>
          <w:rFonts w:ascii="Arial" w:hAnsi="Arial" w:cs="Arial"/>
          <w:sz w:val="22"/>
          <w:szCs w:val="22"/>
        </w:rPr>
        <w:t xml:space="preserve">. </w:t>
      </w:r>
      <w:r w:rsidR="00216832" w:rsidRPr="00216832">
        <w:rPr>
          <w:rFonts w:ascii="Arial" w:hAnsi="Arial" w:cs="Arial"/>
          <w:sz w:val="22"/>
          <w:szCs w:val="22"/>
        </w:rPr>
        <w:t>Que el presente</w:t>
      </w:r>
      <w:r w:rsidR="00216832">
        <w:rPr>
          <w:rFonts w:ascii="Arial" w:hAnsi="Arial" w:cs="Arial"/>
          <w:sz w:val="22"/>
          <w:szCs w:val="22"/>
        </w:rPr>
        <w:t xml:space="preserve"> </w:t>
      </w:r>
      <w:r w:rsidR="00216832" w:rsidRPr="00216832">
        <w:rPr>
          <w:rFonts w:ascii="Arial" w:hAnsi="Arial" w:cs="Arial"/>
          <w:sz w:val="22"/>
          <w:szCs w:val="22"/>
        </w:rPr>
        <w:t xml:space="preserve">Anteproyecto de modificación a </w:t>
      </w:r>
      <w:r w:rsidR="00216832">
        <w:rPr>
          <w:rFonts w:ascii="Arial" w:hAnsi="Arial" w:cs="Arial"/>
          <w:sz w:val="22"/>
          <w:szCs w:val="22"/>
        </w:rPr>
        <w:t>los Lineamientos de Concesionamiento</w:t>
      </w:r>
      <w:r w:rsidR="00216832" w:rsidRPr="00216832">
        <w:rPr>
          <w:rFonts w:ascii="Arial" w:hAnsi="Arial" w:cs="Arial"/>
          <w:sz w:val="22"/>
          <w:szCs w:val="22"/>
        </w:rPr>
        <w:t>, tiene por objeto emplear la simplificación</w:t>
      </w:r>
      <w:r w:rsidR="00216832">
        <w:rPr>
          <w:rFonts w:ascii="Arial" w:hAnsi="Arial" w:cs="Arial"/>
          <w:sz w:val="22"/>
          <w:szCs w:val="22"/>
        </w:rPr>
        <w:t xml:space="preserve"> administrativa como herramienta</w:t>
      </w:r>
      <w:r w:rsidR="00216832" w:rsidRPr="00216832">
        <w:rPr>
          <w:rFonts w:ascii="Arial" w:hAnsi="Arial" w:cs="Arial"/>
          <w:sz w:val="22"/>
          <w:szCs w:val="22"/>
        </w:rPr>
        <w:t xml:space="preserve"> para eficientar los trámites y servicios a cargo del</w:t>
      </w:r>
      <w:r w:rsidR="00216832">
        <w:rPr>
          <w:rFonts w:ascii="Arial" w:hAnsi="Arial" w:cs="Arial"/>
          <w:sz w:val="22"/>
          <w:szCs w:val="22"/>
        </w:rPr>
        <w:t xml:space="preserve"> </w:t>
      </w:r>
      <w:r w:rsidR="00216832" w:rsidRPr="00216832">
        <w:rPr>
          <w:rFonts w:ascii="Arial" w:hAnsi="Arial" w:cs="Arial"/>
          <w:sz w:val="22"/>
          <w:szCs w:val="22"/>
        </w:rPr>
        <w:t>Instituto, facilitar su presentación y disminuir las cargas administrativas a sus regulados</w:t>
      </w:r>
      <w:r w:rsidR="00216832">
        <w:rPr>
          <w:rFonts w:ascii="Arial" w:hAnsi="Arial" w:cs="Arial"/>
          <w:sz w:val="22"/>
          <w:szCs w:val="22"/>
        </w:rPr>
        <w:t xml:space="preserve"> </w:t>
      </w:r>
      <w:r w:rsidR="00216832" w:rsidRPr="00216832">
        <w:rPr>
          <w:rFonts w:ascii="Arial" w:hAnsi="Arial" w:cs="Arial"/>
          <w:sz w:val="22"/>
          <w:szCs w:val="22"/>
        </w:rPr>
        <w:t>como una política pública continua.</w:t>
      </w:r>
    </w:p>
    <w:p w14:paraId="3ADE6B1E" w14:textId="77777777" w:rsidR="00216832" w:rsidRPr="00216832" w:rsidRDefault="00216832" w:rsidP="00216832">
      <w:pPr>
        <w:autoSpaceDE w:val="0"/>
        <w:autoSpaceDN w:val="0"/>
        <w:adjustRightInd w:val="0"/>
        <w:spacing w:line="276" w:lineRule="auto"/>
        <w:jc w:val="both"/>
        <w:rPr>
          <w:rFonts w:ascii="Arial" w:hAnsi="Arial" w:cs="Arial"/>
          <w:sz w:val="22"/>
          <w:szCs w:val="22"/>
        </w:rPr>
      </w:pPr>
    </w:p>
    <w:p w14:paraId="62190073" w14:textId="2DF2BB10" w:rsidR="00216832" w:rsidRPr="00216832" w:rsidRDefault="00216832" w:rsidP="00216832">
      <w:pPr>
        <w:autoSpaceDE w:val="0"/>
        <w:autoSpaceDN w:val="0"/>
        <w:adjustRightInd w:val="0"/>
        <w:spacing w:line="276" w:lineRule="auto"/>
        <w:jc w:val="both"/>
        <w:rPr>
          <w:rFonts w:ascii="Arial" w:eastAsiaTheme="minorHAnsi" w:hAnsi="Arial" w:cs="Arial"/>
          <w:sz w:val="22"/>
          <w:szCs w:val="22"/>
          <w:lang w:val="es-MX" w:eastAsia="en-US"/>
        </w:rPr>
      </w:pPr>
      <w:r w:rsidRPr="00216832">
        <w:rPr>
          <w:rFonts w:ascii="Arial" w:eastAsiaTheme="minorHAnsi" w:hAnsi="Arial" w:cs="Arial"/>
          <w:sz w:val="22"/>
          <w:szCs w:val="22"/>
          <w:lang w:val="es-MX" w:eastAsia="en-US"/>
        </w:rPr>
        <w:t>La tarea de mejorar y simplificar trámites es parte de una estrategia amplia de política</w:t>
      </w:r>
      <w:r>
        <w:rPr>
          <w:rFonts w:ascii="Arial" w:eastAsiaTheme="minorHAnsi" w:hAnsi="Arial" w:cs="Arial"/>
          <w:sz w:val="22"/>
          <w:szCs w:val="22"/>
          <w:lang w:val="es-MX" w:eastAsia="en-US"/>
        </w:rPr>
        <w:t xml:space="preserve"> </w:t>
      </w:r>
      <w:r w:rsidRPr="00216832">
        <w:rPr>
          <w:rFonts w:ascii="Arial" w:eastAsiaTheme="minorHAnsi" w:hAnsi="Arial" w:cs="Arial"/>
          <w:sz w:val="22"/>
          <w:szCs w:val="22"/>
          <w:lang w:val="es-MX" w:eastAsia="en-US"/>
        </w:rPr>
        <w:t>regulatoria, la forma en la que éstos se diseñan, impl</w:t>
      </w:r>
      <w:r>
        <w:rPr>
          <w:rFonts w:ascii="Arial" w:eastAsiaTheme="minorHAnsi" w:hAnsi="Arial" w:cs="Arial"/>
          <w:sz w:val="22"/>
          <w:szCs w:val="22"/>
          <w:lang w:val="es-MX" w:eastAsia="en-US"/>
        </w:rPr>
        <w:t>ementa</w:t>
      </w:r>
      <w:r w:rsidR="000A7A9B">
        <w:rPr>
          <w:rFonts w:ascii="Arial" w:eastAsiaTheme="minorHAnsi" w:hAnsi="Arial" w:cs="Arial"/>
          <w:sz w:val="22"/>
          <w:szCs w:val="22"/>
          <w:lang w:val="es-MX" w:eastAsia="en-US"/>
        </w:rPr>
        <w:t>n</w:t>
      </w:r>
      <w:r>
        <w:rPr>
          <w:rFonts w:ascii="Arial" w:eastAsiaTheme="minorHAnsi" w:hAnsi="Arial" w:cs="Arial"/>
          <w:sz w:val="22"/>
          <w:szCs w:val="22"/>
          <w:lang w:val="es-MX" w:eastAsia="en-US"/>
        </w:rPr>
        <w:t xml:space="preserve">, y hacen cumplir tiene </w:t>
      </w:r>
      <w:r w:rsidRPr="00216832">
        <w:rPr>
          <w:rFonts w:ascii="Arial" w:eastAsiaTheme="minorHAnsi" w:hAnsi="Arial" w:cs="Arial"/>
          <w:sz w:val="22"/>
          <w:szCs w:val="22"/>
          <w:lang w:val="es-MX" w:eastAsia="en-US"/>
        </w:rPr>
        <w:t>una</w:t>
      </w:r>
      <w:r>
        <w:rPr>
          <w:rFonts w:ascii="Arial" w:eastAsiaTheme="minorHAnsi" w:hAnsi="Arial" w:cs="Arial"/>
          <w:sz w:val="22"/>
          <w:szCs w:val="22"/>
          <w:lang w:val="es-MX" w:eastAsia="en-US"/>
        </w:rPr>
        <w:t xml:space="preserve"> i</w:t>
      </w:r>
      <w:r w:rsidRPr="00216832">
        <w:rPr>
          <w:rFonts w:ascii="Arial" w:eastAsiaTheme="minorHAnsi" w:hAnsi="Arial" w:cs="Arial"/>
          <w:sz w:val="22"/>
          <w:szCs w:val="22"/>
          <w:lang w:val="es-MX" w:eastAsia="en-US"/>
        </w:rPr>
        <w:t>ncidencia directa en la efectividad de la regulación y, por tanto, en su capacidad para</w:t>
      </w:r>
      <w:r>
        <w:rPr>
          <w:rFonts w:ascii="Arial" w:eastAsiaTheme="minorHAnsi" w:hAnsi="Arial" w:cs="Arial"/>
          <w:sz w:val="22"/>
          <w:szCs w:val="22"/>
          <w:lang w:val="es-MX" w:eastAsia="en-US"/>
        </w:rPr>
        <w:t xml:space="preserve"> </w:t>
      </w:r>
      <w:r w:rsidRPr="00216832">
        <w:rPr>
          <w:rFonts w:ascii="Arial" w:eastAsiaTheme="minorHAnsi" w:hAnsi="Arial" w:cs="Arial"/>
          <w:sz w:val="22"/>
          <w:szCs w:val="22"/>
          <w:lang w:val="es-MX" w:eastAsia="en-US"/>
        </w:rPr>
        <w:t>cumplir co</w:t>
      </w:r>
      <w:r>
        <w:rPr>
          <w:rFonts w:ascii="Arial" w:eastAsiaTheme="minorHAnsi" w:hAnsi="Arial" w:cs="Arial"/>
          <w:sz w:val="22"/>
          <w:szCs w:val="22"/>
          <w:lang w:val="es-MX" w:eastAsia="en-US"/>
        </w:rPr>
        <w:t>n su objetivo primario de políti</w:t>
      </w:r>
      <w:r w:rsidRPr="00216832">
        <w:rPr>
          <w:rFonts w:ascii="Arial" w:eastAsiaTheme="minorHAnsi" w:hAnsi="Arial" w:cs="Arial"/>
          <w:sz w:val="22"/>
          <w:szCs w:val="22"/>
          <w:lang w:val="es-MX" w:eastAsia="en-US"/>
        </w:rPr>
        <w:t>ca pública. Así que la reducción de la carga</w:t>
      </w:r>
      <w:r>
        <w:rPr>
          <w:rFonts w:ascii="Arial" w:eastAsiaTheme="minorHAnsi" w:hAnsi="Arial" w:cs="Arial"/>
          <w:sz w:val="22"/>
          <w:szCs w:val="22"/>
          <w:lang w:val="es-MX" w:eastAsia="en-US"/>
        </w:rPr>
        <w:t xml:space="preserve"> administrativa de las regul</w:t>
      </w:r>
      <w:r w:rsidRPr="00216832">
        <w:rPr>
          <w:rFonts w:ascii="Arial" w:eastAsiaTheme="minorHAnsi" w:hAnsi="Arial" w:cs="Arial"/>
          <w:sz w:val="22"/>
          <w:szCs w:val="22"/>
          <w:lang w:val="es-MX" w:eastAsia="en-US"/>
        </w:rPr>
        <w:t>aciones gubernamentales en los ciudadanos, las empresas y</w:t>
      </w:r>
      <w:r>
        <w:rPr>
          <w:rFonts w:ascii="Arial" w:eastAsiaTheme="minorHAnsi" w:hAnsi="Arial" w:cs="Arial"/>
          <w:sz w:val="22"/>
          <w:szCs w:val="22"/>
          <w:lang w:val="es-MX" w:eastAsia="en-US"/>
        </w:rPr>
        <w:t xml:space="preserve"> </w:t>
      </w:r>
      <w:r w:rsidRPr="00216832">
        <w:rPr>
          <w:rFonts w:ascii="Arial" w:eastAsiaTheme="minorHAnsi" w:hAnsi="Arial" w:cs="Arial"/>
          <w:sz w:val="22"/>
          <w:szCs w:val="22"/>
          <w:lang w:val="es-MX" w:eastAsia="en-US"/>
        </w:rPr>
        <w:t xml:space="preserve">el sector público es parte de </w:t>
      </w:r>
      <w:r>
        <w:rPr>
          <w:rFonts w:ascii="Arial" w:eastAsiaTheme="minorHAnsi" w:hAnsi="Arial" w:cs="Arial"/>
          <w:sz w:val="22"/>
          <w:szCs w:val="22"/>
          <w:lang w:val="es-MX" w:eastAsia="en-US"/>
        </w:rPr>
        <w:t>la estrategia de la mejora administrativa</w:t>
      </w:r>
      <w:r w:rsidRPr="00216832">
        <w:rPr>
          <w:rFonts w:ascii="Arial" w:eastAsiaTheme="minorHAnsi" w:hAnsi="Arial" w:cs="Arial"/>
          <w:sz w:val="22"/>
          <w:szCs w:val="22"/>
          <w:lang w:val="es-MX" w:eastAsia="en-US"/>
        </w:rPr>
        <w:t xml:space="preserve"> a cargo de este</w:t>
      </w:r>
      <w:r>
        <w:rPr>
          <w:rFonts w:ascii="Arial" w:eastAsiaTheme="minorHAnsi" w:hAnsi="Arial" w:cs="Arial"/>
          <w:sz w:val="22"/>
          <w:szCs w:val="22"/>
          <w:lang w:val="es-MX" w:eastAsia="en-US"/>
        </w:rPr>
        <w:t xml:space="preserve"> Instituto</w:t>
      </w:r>
      <w:r w:rsidRPr="00216832">
        <w:rPr>
          <w:rFonts w:ascii="Arial" w:eastAsiaTheme="minorHAnsi" w:hAnsi="Arial" w:cs="Arial"/>
          <w:sz w:val="22"/>
          <w:szCs w:val="22"/>
          <w:lang w:val="es-MX" w:eastAsia="en-US"/>
        </w:rPr>
        <w:t xml:space="preserve"> para mejorar el desempeño económico y la</w:t>
      </w:r>
    </w:p>
    <w:p w14:paraId="5AECFD8A" w14:textId="268D9FC1" w:rsidR="00C176CC" w:rsidRPr="00216832" w:rsidRDefault="00216832" w:rsidP="00216832">
      <w:pPr>
        <w:pStyle w:val="Texto"/>
        <w:spacing w:after="0" w:line="276" w:lineRule="auto"/>
        <w:ind w:firstLine="0"/>
        <w:rPr>
          <w:sz w:val="22"/>
          <w:szCs w:val="22"/>
        </w:rPr>
      </w:pPr>
      <w:r w:rsidRPr="00216832">
        <w:rPr>
          <w:rFonts w:eastAsiaTheme="minorHAnsi"/>
          <w:sz w:val="22"/>
          <w:szCs w:val="22"/>
          <w:lang w:val="es-MX" w:eastAsia="en-US"/>
        </w:rPr>
        <w:t>productividad de l</w:t>
      </w:r>
      <w:r>
        <w:rPr>
          <w:rFonts w:eastAsiaTheme="minorHAnsi"/>
          <w:sz w:val="22"/>
          <w:szCs w:val="22"/>
          <w:lang w:val="es-MX" w:eastAsia="en-US"/>
        </w:rPr>
        <w:t>os sectores de las telecomunica</w:t>
      </w:r>
      <w:r w:rsidRPr="00216832">
        <w:rPr>
          <w:rFonts w:eastAsiaTheme="minorHAnsi"/>
          <w:sz w:val="22"/>
          <w:szCs w:val="22"/>
          <w:lang w:val="es-MX" w:eastAsia="en-US"/>
        </w:rPr>
        <w:t>ciones y la radiodifusión.</w:t>
      </w:r>
    </w:p>
    <w:p w14:paraId="2877EEC1" w14:textId="130CF545" w:rsidR="007C52E8" w:rsidRDefault="007C52E8" w:rsidP="00216832">
      <w:pPr>
        <w:pStyle w:val="Texto"/>
        <w:spacing w:after="0" w:line="276" w:lineRule="auto"/>
        <w:ind w:firstLine="0"/>
        <w:rPr>
          <w:sz w:val="22"/>
          <w:szCs w:val="22"/>
        </w:rPr>
      </w:pPr>
    </w:p>
    <w:p w14:paraId="39FA0A50" w14:textId="27CC0DD3" w:rsidR="00883FBE" w:rsidRPr="00883FBE" w:rsidRDefault="00883FBE" w:rsidP="00564A73">
      <w:pPr>
        <w:pStyle w:val="Texto"/>
        <w:spacing w:after="0" w:line="276" w:lineRule="auto"/>
        <w:ind w:firstLine="0"/>
        <w:rPr>
          <w:sz w:val="22"/>
          <w:szCs w:val="22"/>
          <w:lang w:val="es-MX" w:eastAsia="es-MX"/>
        </w:rPr>
      </w:pPr>
      <w:r w:rsidRPr="00883FBE">
        <w:rPr>
          <w:b/>
          <w:sz w:val="22"/>
          <w:szCs w:val="22"/>
        </w:rPr>
        <w:t>Cuarto. Consultas Públicas.</w:t>
      </w:r>
      <w:r>
        <w:rPr>
          <w:sz w:val="22"/>
          <w:szCs w:val="22"/>
        </w:rPr>
        <w:t xml:space="preserve"> </w:t>
      </w:r>
      <w:r w:rsidR="007C52E8">
        <w:rPr>
          <w:sz w:val="22"/>
          <w:szCs w:val="22"/>
          <w:lang w:val="es-MX" w:eastAsia="es-MX"/>
        </w:rPr>
        <w:t>El ar</w:t>
      </w:r>
      <w:r w:rsidR="00A15FC8" w:rsidRPr="00564A73">
        <w:rPr>
          <w:sz w:val="22"/>
          <w:szCs w:val="22"/>
          <w:lang w:val="es-MX" w:eastAsia="es-MX"/>
        </w:rPr>
        <w:t>tículo 51 de la Ley señala</w:t>
      </w:r>
      <w:r w:rsidR="00CC653F" w:rsidRPr="00564A73">
        <w:rPr>
          <w:sz w:val="22"/>
          <w:szCs w:val="22"/>
          <w:lang w:val="es-MX" w:eastAsia="es-MX"/>
        </w:rPr>
        <w:t xml:space="preserve"> </w:t>
      </w:r>
      <w:r w:rsidR="00A15FC8" w:rsidRPr="00564A73">
        <w:rPr>
          <w:sz w:val="22"/>
          <w:szCs w:val="22"/>
          <w:lang w:val="es-MX" w:eastAsia="es-MX"/>
        </w:rPr>
        <w:t>que,</w:t>
      </w:r>
      <w:r w:rsidR="00CC653F" w:rsidRPr="00564A73">
        <w:rPr>
          <w:sz w:val="22"/>
          <w:szCs w:val="22"/>
          <w:lang w:val="es-MX" w:eastAsia="es-MX"/>
        </w:rPr>
        <w:t xml:space="preserve"> para la emisión y modificación de reglas, lineamientos o disposiciones administrativas de carácte</w:t>
      </w:r>
      <w:r w:rsidR="00A15FC8" w:rsidRPr="00564A73">
        <w:rPr>
          <w:sz w:val="22"/>
          <w:szCs w:val="22"/>
          <w:lang w:val="es-MX" w:eastAsia="es-MX"/>
        </w:rPr>
        <w:t>r general, así como en cualquier</w:t>
      </w:r>
      <w:r w:rsidR="00CC653F" w:rsidRPr="00564A73">
        <w:rPr>
          <w:sz w:val="22"/>
          <w:szCs w:val="22"/>
          <w:lang w:val="es-MX" w:eastAsia="es-MX"/>
        </w:rPr>
        <w:t xml:space="preserve"> caso que determine el Pleno, el Inst</w:t>
      </w:r>
      <w:r w:rsidR="00A15FC8" w:rsidRPr="00564A73">
        <w:rPr>
          <w:sz w:val="22"/>
          <w:szCs w:val="22"/>
          <w:lang w:val="es-MX" w:eastAsia="es-MX"/>
        </w:rPr>
        <w:t xml:space="preserve">ituto deberá realizar consultas </w:t>
      </w:r>
      <w:r w:rsidR="00CC653F" w:rsidRPr="00564A73">
        <w:rPr>
          <w:sz w:val="22"/>
          <w:szCs w:val="22"/>
          <w:lang w:val="es-MX" w:eastAsia="es-MX"/>
        </w:rPr>
        <w:t xml:space="preserve">públicas bajo los principios de transparencia y participación </w:t>
      </w:r>
      <w:r w:rsidR="00A15FC8" w:rsidRPr="00883FBE">
        <w:rPr>
          <w:sz w:val="22"/>
          <w:szCs w:val="22"/>
          <w:lang w:val="es-MX" w:eastAsia="es-MX"/>
        </w:rPr>
        <w:t>ciudadana</w:t>
      </w:r>
      <w:r>
        <w:rPr>
          <w:sz w:val="22"/>
          <w:szCs w:val="22"/>
          <w:lang w:val="es-MX" w:eastAsia="es-MX"/>
        </w:rPr>
        <w:t>,</w:t>
      </w:r>
      <w:r w:rsidRPr="00883FBE">
        <w:rPr>
          <w:sz w:val="22"/>
          <w:szCs w:val="22"/>
          <w:lang w:val="es-MX" w:eastAsia="es-MX"/>
        </w:rPr>
        <w:t xml:space="preserve"> </w:t>
      </w:r>
      <w:r w:rsidRPr="00883FBE">
        <w:rPr>
          <w:sz w:val="22"/>
          <w:szCs w:val="22"/>
        </w:rPr>
        <w:t>salvo que la publicidad pudiera comprometer los efectos que se pretenden resolver o prevenir en una situación de emergencia</w:t>
      </w:r>
      <w:r w:rsidR="00CC653F" w:rsidRPr="00883FBE">
        <w:rPr>
          <w:sz w:val="22"/>
          <w:szCs w:val="22"/>
          <w:lang w:val="es-MX" w:eastAsia="es-MX"/>
        </w:rPr>
        <w:t xml:space="preserve">. </w:t>
      </w:r>
    </w:p>
    <w:p w14:paraId="34B069FE" w14:textId="5A3B2C8B" w:rsidR="00883FBE" w:rsidRPr="00883FBE" w:rsidRDefault="00883FBE" w:rsidP="00883FBE">
      <w:pPr>
        <w:pStyle w:val="Texto"/>
        <w:spacing w:after="0" w:line="276" w:lineRule="auto"/>
        <w:ind w:firstLine="0"/>
        <w:rPr>
          <w:sz w:val="22"/>
          <w:szCs w:val="22"/>
          <w:lang w:val="es-MX" w:eastAsia="es-MX"/>
        </w:rPr>
      </w:pPr>
    </w:p>
    <w:p w14:paraId="5030ED54" w14:textId="269FE972" w:rsidR="00883FBE" w:rsidRPr="00C26892" w:rsidRDefault="00883FBE" w:rsidP="00C26892">
      <w:pPr>
        <w:autoSpaceDE w:val="0"/>
        <w:autoSpaceDN w:val="0"/>
        <w:adjustRightInd w:val="0"/>
        <w:spacing w:line="276" w:lineRule="auto"/>
        <w:jc w:val="both"/>
        <w:rPr>
          <w:rFonts w:ascii="Arial" w:hAnsi="Arial" w:cs="Arial"/>
          <w:sz w:val="22"/>
          <w:szCs w:val="22"/>
        </w:rPr>
      </w:pPr>
      <w:r w:rsidRPr="00883FBE">
        <w:rPr>
          <w:rFonts w:ascii="Arial" w:eastAsiaTheme="minorHAnsi" w:hAnsi="Arial" w:cs="Arial"/>
          <w:sz w:val="22"/>
          <w:szCs w:val="22"/>
          <w:lang w:val="es-MX" w:eastAsia="en-US"/>
        </w:rPr>
        <w:t xml:space="preserve">Por su parte, los </w:t>
      </w:r>
      <w:r>
        <w:rPr>
          <w:rFonts w:ascii="Arial" w:eastAsiaTheme="minorHAnsi" w:hAnsi="Arial" w:cs="Arial"/>
          <w:sz w:val="22"/>
          <w:szCs w:val="22"/>
          <w:lang w:val="es-MX" w:eastAsia="en-US"/>
        </w:rPr>
        <w:t xml:space="preserve">Lineamientos de </w:t>
      </w:r>
      <w:r w:rsidRPr="00883FBE">
        <w:rPr>
          <w:rFonts w:ascii="Arial" w:eastAsiaTheme="minorHAnsi" w:hAnsi="Arial" w:cs="Arial"/>
          <w:sz w:val="22"/>
          <w:szCs w:val="22"/>
          <w:lang w:val="es-MX" w:eastAsia="en-US"/>
        </w:rPr>
        <w:t>Consulta Pública, precisan en su Lineamiento Tercero,</w:t>
      </w:r>
      <w:r>
        <w:rPr>
          <w:rFonts w:ascii="Arial" w:eastAsiaTheme="minorHAnsi" w:hAnsi="Arial" w:cs="Arial"/>
          <w:sz w:val="22"/>
          <w:szCs w:val="22"/>
          <w:lang w:val="es-MX" w:eastAsia="en-US"/>
        </w:rPr>
        <w:t xml:space="preserve"> </w:t>
      </w:r>
      <w:r w:rsidRPr="00883FBE">
        <w:rPr>
          <w:rFonts w:ascii="Arial" w:eastAsiaTheme="minorHAnsi" w:hAnsi="Arial" w:cs="Arial"/>
          <w:sz w:val="22"/>
          <w:szCs w:val="22"/>
          <w:lang w:val="es-MX" w:eastAsia="en-US"/>
        </w:rPr>
        <w:t xml:space="preserve">fracción </w:t>
      </w:r>
      <w:r>
        <w:rPr>
          <w:rFonts w:ascii="Arial" w:eastAsiaTheme="minorHAnsi" w:hAnsi="Arial" w:cs="Arial"/>
          <w:sz w:val="22"/>
          <w:szCs w:val="22"/>
          <w:lang w:val="es-MX" w:eastAsia="en-US"/>
        </w:rPr>
        <w:t>II</w:t>
      </w:r>
      <w:r w:rsidRPr="00883FB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la</w:t>
      </w:r>
      <w:r w:rsidRPr="00883FBE">
        <w:rPr>
          <w:rFonts w:ascii="Arial" w:eastAsiaTheme="minorHAnsi" w:hAnsi="Arial" w:cs="Arial"/>
          <w:sz w:val="22"/>
          <w:szCs w:val="22"/>
          <w:lang w:val="es-MX" w:eastAsia="en-US"/>
        </w:rPr>
        <w:t xml:space="preserve"> facult</w:t>
      </w:r>
      <w:r>
        <w:rPr>
          <w:rFonts w:ascii="Arial" w:eastAsiaTheme="minorHAnsi" w:hAnsi="Arial" w:cs="Arial"/>
          <w:sz w:val="22"/>
          <w:szCs w:val="22"/>
          <w:lang w:val="es-MX" w:eastAsia="en-US"/>
        </w:rPr>
        <w:t>ad del Instituto para realizar consultas p</w:t>
      </w:r>
      <w:r w:rsidRPr="00883FBE">
        <w:rPr>
          <w:rFonts w:ascii="Arial" w:eastAsiaTheme="minorHAnsi" w:hAnsi="Arial" w:cs="Arial"/>
          <w:sz w:val="22"/>
          <w:szCs w:val="22"/>
          <w:lang w:val="es-MX" w:eastAsia="en-US"/>
        </w:rPr>
        <w:t xml:space="preserve">úblicas de un </w:t>
      </w:r>
      <w:r>
        <w:rPr>
          <w:rFonts w:ascii="Arial" w:eastAsia="HiddenHorzOCR" w:hAnsi="Arial" w:cs="Arial"/>
          <w:sz w:val="22"/>
          <w:szCs w:val="22"/>
          <w:lang w:val="es-MX" w:eastAsia="en-US"/>
        </w:rPr>
        <w:t>antep</w:t>
      </w:r>
      <w:r w:rsidRPr="00883FBE">
        <w:rPr>
          <w:rFonts w:ascii="Arial" w:eastAsia="HiddenHorzOCR" w:hAnsi="Arial" w:cs="Arial"/>
          <w:sz w:val="22"/>
          <w:szCs w:val="22"/>
          <w:lang w:val="es-MX" w:eastAsia="en-US"/>
        </w:rPr>
        <w:t>royecto</w:t>
      </w:r>
      <w:r>
        <w:rPr>
          <w:rFonts w:ascii="Arial" w:eastAsia="HiddenHorzOCR" w:hAnsi="Arial" w:cs="Arial"/>
          <w:sz w:val="22"/>
          <w:szCs w:val="22"/>
          <w:lang w:val="es-MX" w:eastAsia="en-US"/>
        </w:rPr>
        <w:t xml:space="preserve"> </w:t>
      </w:r>
      <w:r>
        <w:rPr>
          <w:rFonts w:ascii="Arial" w:eastAsiaTheme="minorHAnsi" w:hAnsi="Arial" w:cs="Arial"/>
          <w:sz w:val="22"/>
          <w:szCs w:val="22"/>
          <w:lang w:val="es-MX" w:eastAsia="en-US"/>
        </w:rPr>
        <w:t>de regulació</w:t>
      </w:r>
      <w:r w:rsidRPr="00883FBE">
        <w:rPr>
          <w:rFonts w:ascii="Arial" w:eastAsiaTheme="minorHAnsi" w:hAnsi="Arial" w:cs="Arial"/>
          <w:sz w:val="22"/>
          <w:szCs w:val="22"/>
          <w:lang w:val="es-MX" w:eastAsia="en-US"/>
        </w:rPr>
        <w:t>n, acompañado de su respectivo Análisis de Impacto Regulatorio con la</w:t>
      </w:r>
      <w:r>
        <w:rPr>
          <w:rFonts w:ascii="Arial" w:eastAsiaTheme="minorHAnsi" w:hAnsi="Arial" w:cs="Arial"/>
          <w:sz w:val="22"/>
          <w:szCs w:val="22"/>
          <w:lang w:val="es-MX" w:eastAsia="en-US"/>
        </w:rPr>
        <w:t xml:space="preserve"> </w:t>
      </w:r>
      <w:r w:rsidRPr="00883FBE">
        <w:rPr>
          <w:rFonts w:ascii="Arial" w:eastAsiaTheme="minorHAnsi" w:hAnsi="Arial" w:cs="Arial"/>
          <w:sz w:val="22"/>
          <w:szCs w:val="22"/>
          <w:lang w:val="es-MX" w:eastAsia="en-US"/>
        </w:rPr>
        <w:t xml:space="preserve">finalidad de obtener </w:t>
      </w:r>
      <w:r w:rsidRPr="00C26892">
        <w:rPr>
          <w:rFonts w:ascii="Arial" w:eastAsiaTheme="minorHAnsi" w:hAnsi="Arial" w:cs="Arial"/>
          <w:sz w:val="22"/>
          <w:szCs w:val="22"/>
          <w:lang w:val="es-MX" w:eastAsia="en-US"/>
        </w:rPr>
        <w:t xml:space="preserve">información, comentarios, opiniones, aportaciones u otros elementos de análisis por parte de cualquier persona a efecto de enriquecer la calidad regulatoria de </w:t>
      </w:r>
      <w:r w:rsidRPr="00C26892">
        <w:rPr>
          <w:rFonts w:ascii="Arial" w:eastAsia="HiddenHorzOCR" w:hAnsi="Arial" w:cs="Arial"/>
          <w:sz w:val="22"/>
          <w:szCs w:val="22"/>
          <w:lang w:val="es-MX" w:eastAsia="en-US"/>
        </w:rPr>
        <w:t xml:space="preserve">dicho </w:t>
      </w:r>
      <w:r w:rsidRPr="00C26892">
        <w:rPr>
          <w:rFonts w:ascii="Arial" w:eastAsiaTheme="minorHAnsi" w:hAnsi="Arial" w:cs="Arial"/>
          <w:sz w:val="22"/>
          <w:szCs w:val="22"/>
          <w:lang w:val="es-MX" w:eastAsia="en-US"/>
        </w:rPr>
        <w:t xml:space="preserve">instrumento normativo. Asimismo, el Lineamiento Décimo Cuarto de los Lineamientos de Consulta Pública, establece que </w:t>
      </w:r>
      <w:r w:rsidR="00C26892">
        <w:rPr>
          <w:rFonts w:ascii="Arial" w:eastAsiaTheme="minorHAnsi" w:hAnsi="Arial" w:cs="Arial"/>
          <w:sz w:val="22"/>
          <w:szCs w:val="22"/>
          <w:lang w:val="es-MX" w:eastAsia="en-US"/>
        </w:rPr>
        <w:t xml:space="preserve">el </w:t>
      </w:r>
      <w:r w:rsidRPr="00C26892">
        <w:rPr>
          <w:rFonts w:ascii="Arial" w:eastAsiaTheme="minorHAnsi" w:hAnsi="Arial" w:cs="Arial"/>
          <w:sz w:val="22"/>
          <w:szCs w:val="22"/>
          <w:lang w:val="es-MX" w:eastAsia="en-US"/>
        </w:rPr>
        <w:t xml:space="preserve">Pleno del Instituto podrá exceptuar la realización de una consulta pública </w:t>
      </w:r>
      <w:r w:rsidRPr="00C26892">
        <w:rPr>
          <w:rFonts w:ascii="Arial" w:hAnsi="Arial" w:cs="Arial"/>
          <w:sz w:val="22"/>
          <w:szCs w:val="22"/>
        </w:rPr>
        <w:t>a bajo los siguientes supuestos:</w:t>
      </w:r>
    </w:p>
    <w:p w14:paraId="4973B685" w14:textId="77777777" w:rsidR="00C26892" w:rsidRPr="00C26892" w:rsidRDefault="00C26892" w:rsidP="00C26892">
      <w:pPr>
        <w:autoSpaceDE w:val="0"/>
        <w:autoSpaceDN w:val="0"/>
        <w:adjustRightInd w:val="0"/>
        <w:spacing w:line="276" w:lineRule="auto"/>
        <w:jc w:val="both"/>
        <w:rPr>
          <w:rFonts w:ascii="Arial" w:hAnsi="Arial" w:cs="Arial"/>
          <w:sz w:val="22"/>
          <w:szCs w:val="22"/>
        </w:rPr>
      </w:pPr>
    </w:p>
    <w:p w14:paraId="68C7F87F" w14:textId="5A951F24" w:rsidR="00C26892" w:rsidRPr="00C26892" w:rsidRDefault="00883FBE" w:rsidP="00C26892">
      <w:pPr>
        <w:pStyle w:val="Prrafodelista"/>
        <w:numPr>
          <w:ilvl w:val="0"/>
          <w:numId w:val="16"/>
        </w:numPr>
        <w:autoSpaceDE w:val="0"/>
        <w:autoSpaceDN w:val="0"/>
        <w:adjustRightInd w:val="0"/>
        <w:spacing w:line="276" w:lineRule="auto"/>
        <w:jc w:val="both"/>
        <w:rPr>
          <w:rFonts w:cs="Arial"/>
          <w:sz w:val="22"/>
          <w:szCs w:val="22"/>
        </w:rPr>
      </w:pPr>
      <w:r w:rsidRPr="00C26892">
        <w:rPr>
          <w:rFonts w:cs="Arial"/>
          <w:sz w:val="22"/>
          <w:szCs w:val="22"/>
        </w:rPr>
        <w:t xml:space="preserve">Que la publicidad del anteproyecto de regulación pudiera comprometer los efectos que se pretenden resolver o lograr con el mismo, o </w:t>
      </w:r>
    </w:p>
    <w:p w14:paraId="1702619F" w14:textId="77777777" w:rsidR="00C26892" w:rsidRPr="00C26892" w:rsidRDefault="00883FBE" w:rsidP="00C26892">
      <w:pPr>
        <w:pStyle w:val="Prrafodelista"/>
        <w:numPr>
          <w:ilvl w:val="0"/>
          <w:numId w:val="16"/>
        </w:numPr>
        <w:autoSpaceDE w:val="0"/>
        <w:autoSpaceDN w:val="0"/>
        <w:adjustRightInd w:val="0"/>
        <w:spacing w:line="276" w:lineRule="auto"/>
        <w:jc w:val="both"/>
        <w:rPr>
          <w:rFonts w:eastAsiaTheme="minorHAnsi" w:cs="Arial"/>
          <w:sz w:val="22"/>
          <w:szCs w:val="22"/>
        </w:rPr>
      </w:pPr>
      <w:r w:rsidRPr="00C26892">
        <w:rPr>
          <w:rFonts w:cs="Arial"/>
          <w:sz w:val="22"/>
          <w:szCs w:val="22"/>
        </w:rPr>
        <w:t xml:space="preserve">Que a través de éste se pretenda resolver una situación de emergencia. </w:t>
      </w:r>
    </w:p>
    <w:p w14:paraId="15EE5DAE" w14:textId="77777777" w:rsidR="00C26892" w:rsidRPr="00C26892" w:rsidRDefault="00C26892" w:rsidP="00C26892">
      <w:pPr>
        <w:pStyle w:val="Prrafodelista"/>
        <w:autoSpaceDE w:val="0"/>
        <w:autoSpaceDN w:val="0"/>
        <w:adjustRightInd w:val="0"/>
        <w:spacing w:line="276" w:lineRule="auto"/>
        <w:ind w:left="1080"/>
        <w:jc w:val="both"/>
        <w:rPr>
          <w:rFonts w:eastAsiaTheme="minorHAnsi" w:cs="Arial"/>
          <w:sz w:val="22"/>
          <w:szCs w:val="22"/>
        </w:rPr>
      </w:pPr>
    </w:p>
    <w:p w14:paraId="1C37BF00" w14:textId="77777777" w:rsidR="00C26892" w:rsidRDefault="00883FBE" w:rsidP="00C26892">
      <w:pPr>
        <w:autoSpaceDE w:val="0"/>
        <w:autoSpaceDN w:val="0"/>
        <w:adjustRightInd w:val="0"/>
        <w:spacing w:line="276" w:lineRule="auto"/>
        <w:jc w:val="both"/>
        <w:rPr>
          <w:rFonts w:ascii="Arial" w:hAnsi="Arial" w:cs="Arial"/>
          <w:sz w:val="22"/>
          <w:szCs w:val="22"/>
        </w:rPr>
      </w:pPr>
      <w:r w:rsidRPr="00C26892">
        <w:rPr>
          <w:rFonts w:ascii="Arial" w:hAnsi="Arial" w:cs="Arial"/>
          <w:sz w:val="22"/>
          <w:szCs w:val="22"/>
        </w:rPr>
        <w:t xml:space="preserve">En este sentido, el Pleno del Instituto estima que el Anteproyecto al 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 </w:t>
      </w:r>
    </w:p>
    <w:p w14:paraId="23CB0456" w14:textId="77777777" w:rsidR="00C26892" w:rsidRDefault="00C26892" w:rsidP="00C26892">
      <w:pPr>
        <w:autoSpaceDE w:val="0"/>
        <w:autoSpaceDN w:val="0"/>
        <w:adjustRightInd w:val="0"/>
        <w:spacing w:line="276" w:lineRule="auto"/>
        <w:jc w:val="both"/>
        <w:rPr>
          <w:rFonts w:ascii="Arial" w:hAnsi="Arial" w:cs="Arial"/>
          <w:sz w:val="22"/>
          <w:szCs w:val="22"/>
        </w:rPr>
      </w:pPr>
    </w:p>
    <w:p w14:paraId="2B28C8FB" w14:textId="3F889E63" w:rsidR="00883FBE" w:rsidRDefault="00883FBE" w:rsidP="00C26892">
      <w:pPr>
        <w:autoSpaceDE w:val="0"/>
        <w:autoSpaceDN w:val="0"/>
        <w:adjustRightInd w:val="0"/>
        <w:spacing w:line="276" w:lineRule="auto"/>
        <w:jc w:val="both"/>
        <w:rPr>
          <w:rFonts w:ascii="Arial" w:eastAsiaTheme="minorHAnsi" w:hAnsi="Arial" w:cs="Arial"/>
          <w:sz w:val="22"/>
          <w:szCs w:val="22"/>
          <w:lang w:val="es-MX" w:eastAsia="en-US"/>
        </w:rPr>
      </w:pPr>
      <w:r w:rsidRPr="00C26892">
        <w:rPr>
          <w:rFonts w:ascii="Arial" w:hAnsi="Arial" w:cs="Arial"/>
          <w:sz w:val="22"/>
          <w:szCs w:val="22"/>
        </w:rPr>
        <w:t>Asimismo, el Lineamiento Vigésimo Primero, último párrafo, de los Lineamientos de Consulta Pública refieren que, si a la entrada en vigor de un anteproyecto regulatorio no se generan nuevos costos de cumplimiento, éste deberá ir acompañado de un Análisis de Nulo Impacto Regulatorio (en lo sucesivo, el “ANIR”), siempre y cuando a la entrada en vigor de éste, no:</w:t>
      </w:r>
    </w:p>
    <w:p w14:paraId="773115BA" w14:textId="311B71A3" w:rsidR="00C26892" w:rsidRPr="00C26892" w:rsidRDefault="00C26892" w:rsidP="00C26892">
      <w:pPr>
        <w:autoSpaceDE w:val="0"/>
        <w:autoSpaceDN w:val="0"/>
        <w:adjustRightInd w:val="0"/>
        <w:spacing w:line="276" w:lineRule="auto"/>
        <w:jc w:val="both"/>
        <w:rPr>
          <w:rFonts w:ascii="Arial" w:eastAsiaTheme="minorHAnsi" w:hAnsi="Arial" w:cs="Arial"/>
          <w:sz w:val="22"/>
          <w:szCs w:val="22"/>
          <w:lang w:val="es-MX" w:eastAsia="en-US"/>
        </w:rPr>
      </w:pPr>
    </w:p>
    <w:p w14:paraId="0754853E" w14:textId="508847A8" w:rsidR="00C26892" w:rsidRPr="00C26892" w:rsidRDefault="00C26892" w:rsidP="00C26892">
      <w:pPr>
        <w:pStyle w:val="Prrafodelista"/>
        <w:numPr>
          <w:ilvl w:val="0"/>
          <w:numId w:val="17"/>
        </w:numPr>
        <w:autoSpaceDE w:val="0"/>
        <w:autoSpaceDN w:val="0"/>
        <w:adjustRightInd w:val="0"/>
        <w:spacing w:line="276" w:lineRule="auto"/>
        <w:jc w:val="both"/>
        <w:rPr>
          <w:sz w:val="22"/>
          <w:szCs w:val="22"/>
        </w:rPr>
      </w:pPr>
      <w:r w:rsidRPr="00C26892">
        <w:rPr>
          <w:sz w:val="22"/>
          <w:szCs w:val="22"/>
        </w:rPr>
        <w:lastRenderedPageBreak/>
        <w:t>Se crean nuevas obligaciones o se hagan más estrictas las obligaciones existentes;</w:t>
      </w:r>
    </w:p>
    <w:p w14:paraId="09C11714" w14:textId="2336F13B" w:rsidR="00C26892" w:rsidRPr="00C26892" w:rsidRDefault="00C26892" w:rsidP="00C26892">
      <w:pPr>
        <w:pStyle w:val="Prrafodelista"/>
        <w:numPr>
          <w:ilvl w:val="0"/>
          <w:numId w:val="17"/>
        </w:numPr>
        <w:autoSpaceDE w:val="0"/>
        <w:autoSpaceDN w:val="0"/>
        <w:adjustRightInd w:val="0"/>
        <w:spacing w:line="276" w:lineRule="auto"/>
        <w:jc w:val="both"/>
        <w:rPr>
          <w:rFonts w:eastAsiaTheme="minorHAnsi" w:cs="Arial"/>
          <w:sz w:val="22"/>
          <w:szCs w:val="22"/>
        </w:rPr>
      </w:pPr>
      <w:r w:rsidRPr="00C26892">
        <w:rPr>
          <w:sz w:val="22"/>
          <w:szCs w:val="22"/>
        </w:rPr>
        <w:t>Se crean o modifiquen trámites (excepto cuando la modificación simplifique y facilite su cumplimiento);</w:t>
      </w:r>
    </w:p>
    <w:p w14:paraId="3A6AF5F8" w14:textId="7F0E3DEA" w:rsidR="00C26892" w:rsidRPr="00C26892" w:rsidRDefault="00C26892" w:rsidP="00C26892">
      <w:pPr>
        <w:pStyle w:val="Prrafodelista"/>
        <w:numPr>
          <w:ilvl w:val="0"/>
          <w:numId w:val="17"/>
        </w:numPr>
        <w:autoSpaceDE w:val="0"/>
        <w:autoSpaceDN w:val="0"/>
        <w:adjustRightInd w:val="0"/>
        <w:spacing w:line="276" w:lineRule="auto"/>
        <w:jc w:val="both"/>
        <w:rPr>
          <w:rFonts w:eastAsiaTheme="minorHAnsi" w:cs="Arial"/>
          <w:sz w:val="22"/>
          <w:szCs w:val="22"/>
        </w:rPr>
      </w:pPr>
      <w:r w:rsidRPr="00C26892">
        <w:rPr>
          <w:sz w:val="22"/>
          <w:szCs w:val="22"/>
        </w:rPr>
        <w:t>Se reduzcan o restrinjan derechos o prestaciones, o</w:t>
      </w:r>
    </w:p>
    <w:p w14:paraId="04E357CE" w14:textId="6CC0A0C2" w:rsidR="00C26892" w:rsidRPr="00C26892" w:rsidRDefault="00C26892" w:rsidP="00C26892">
      <w:pPr>
        <w:pStyle w:val="Prrafodelista"/>
        <w:numPr>
          <w:ilvl w:val="0"/>
          <w:numId w:val="17"/>
        </w:numPr>
        <w:autoSpaceDE w:val="0"/>
        <w:autoSpaceDN w:val="0"/>
        <w:adjustRightInd w:val="0"/>
        <w:spacing w:line="276" w:lineRule="auto"/>
        <w:jc w:val="both"/>
        <w:rPr>
          <w:rFonts w:eastAsiaTheme="minorHAnsi" w:cs="Arial"/>
          <w:sz w:val="22"/>
          <w:szCs w:val="22"/>
        </w:rPr>
      </w:pPr>
      <w:r w:rsidRPr="00C26892">
        <w:rPr>
          <w:sz w:val="22"/>
          <w:szCs w:val="22"/>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3992072D" w14:textId="0EE1C46D" w:rsidR="00883FBE" w:rsidRPr="00C26892" w:rsidRDefault="00883FBE" w:rsidP="00C26892">
      <w:pPr>
        <w:pStyle w:val="Texto"/>
        <w:spacing w:after="0" w:line="276" w:lineRule="auto"/>
        <w:ind w:firstLine="0"/>
        <w:rPr>
          <w:sz w:val="22"/>
          <w:szCs w:val="22"/>
          <w:lang w:val="es-MX" w:eastAsia="es-MX"/>
        </w:rPr>
      </w:pPr>
    </w:p>
    <w:p w14:paraId="07EEBC46" w14:textId="16D78DE9" w:rsidR="00C26892" w:rsidRDefault="00C26892" w:rsidP="00C26892">
      <w:pPr>
        <w:autoSpaceDE w:val="0"/>
        <w:autoSpaceDN w:val="0"/>
        <w:adjustRightInd w:val="0"/>
        <w:spacing w:line="276" w:lineRule="auto"/>
        <w:jc w:val="both"/>
        <w:rPr>
          <w:rFonts w:ascii="Arial" w:eastAsiaTheme="minorHAnsi" w:hAnsi="Arial" w:cs="Arial"/>
          <w:sz w:val="22"/>
          <w:szCs w:val="22"/>
          <w:lang w:val="es-MX" w:eastAsia="en-US"/>
        </w:rPr>
      </w:pPr>
      <w:r w:rsidRPr="00C26892">
        <w:rPr>
          <w:rFonts w:ascii="Arial" w:eastAsiaTheme="minorHAnsi" w:hAnsi="Arial" w:cs="Arial"/>
          <w:sz w:val="22"/>
          <w:szCs w:val="22"/>
          <w:lang w:val="es-MX" w:eastAsia="en-US"/>
        </w:rPr>
        <w:t>En este sentido, el Pleno del Instituto</w:t>
      </w:r>
      <w:r>
        <w:rPr>
          <w:rFonts w:ascii="Arial" w:eastAsiaTheme="minorHAnsi" w:hAnsi="Arial" w:cs="Arial"/>
          <w:sz w:val="22"/>
          <w:szCs w:val="22"/>
          <w:lang w:val="es-MX" w:eastAsia="en-US"/>
        </w:rPr>
        <w:t xml:space="preserve"> </w:t>
      </w:r>
      <w:r>
        <w:rPr>
          <w:rFonts w:ascii="Arial" w:eastAsia="HiddenHorzOCR" w:hAnsi="Arial" w:cs="Arial"/>
          <w:sz w:val="22"/>
          <w:szCs w:val="22"/>
          <w:lang w:val="es-MX" w:eastAsia="en-US"/>
        </w:rPr>
        <w:t>estima</w:t>
      </w:r>
      <w:r w:rsidRPr="00C26892">
        <w:rPr>
          <w:rFonts w:ascii="Arial" w:eastAsia="HiddenHorzOCR" w:hAnsi="Arial" w:cs="Arial"/>
          <w:sz w:val="22"/>
          <w:szCs w:val="22"/>
          <w:lang w:val="es-MX" w:eastAsia="en-US"/>
        </w:rPr>
        <w:t xml:space="preserve"> </w:t>
      </w:r>
      <w:r w:rsidRPr="00C26892">
        <w:rPr>
          <w:rFonts w:ascii="Arial" w:eastAsiaTheme="minorHAnsi" w:hAnsi="Arial" w:cs="Arial"/>
          <w:sz w:val="22"/>
          <w:szCs w:val="22"/>
          <w:lang w:val="es-MX" w:eastAsia="en-US"/>
        </w:rPr>
        <w:t xml:space="preserve">que el anteproyecto de </w:t>
      </w:r>
      <w:r>
        <w:rPr>
          <w:rFonts w:ascii="Arial" w:eastAsiaTheme="minorHAnsi" w:hAnsi="Arial" w:cs="Arial"/>
          <w:sz w:val="22"/>
          <w:szCs w:val="22"/>
          <w:lang w:val="es-MX" w:eastAsia="en-US"/>
        </w:rPr>
        <w:t>“</w:t>
      </w:r>
      <w:r w:rsidR="00B26E4E" w:rsidRPr="00B26E4E">
        <w:rPr>
          <w:rFonts w:ascii="Arial" w:eastAsiaTheme="minorHAnsi" w:hAnsi="Arial" w:cs="Arial"/>
          <w:sz w:val="22"/>
          <w:szCs w:val="22"/>
          <w:lang w:val="es-MX" w:eastAsia="en-US"/>
        </w:rPr>
        <w:t>Acuerdo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r>
        <w:rPr>
          <w:rFonts w:ascii="Arial" w:eastAsiaTheme="minorHAnsi" w:hAnsi="Arial" w:cs="Arial"/>
          <w:sz w:val="22"/>
          <w:szCs w:val="22"/>
          <w:lang w:val="es-MX" w:eastAsia="en-US"/>
        </w:rPr>
        <w:t>”</w:t>
      </w:r>
      <w:r w:rsidRPr="00C26892">
        <w:rPr>
          <w:rFonts w:ascii="Arial" w:eastAsiaTheme="minorHAnsi" w:hAnsi="Arial" w:cs="Arial"/>
          <w:sz w:val="22"/>
          <w:szCs w:val="22"/>
          <w:lang w:val="es-MX" w:eastAsia="en-US"/>
        </w:rPr>
        <w:t>, al no actualizar ninguna de las causales de excepción, deberá estar</w:t>
      </w:r>
      <w:r>
        <w:rPr>
          <w:rFonts w:ascii="Arial" w:eastAsiaTheme="minorHAnsi" w:hAnsi="Arial" w:cs="Arial"/>
          <w:sz w:val="22"/>
          <w:szCs w:val="22"/>
          <w:lang w:val="es-MX" w:eastAsia="en-US"/>
        </w:rPr>
        <w:t xml:space="preserve"> </w:t>
      </w:r>
      <w:r w:rsidRPr="00C26892">
        <w:rPr>
          <w:rFonts w:ascii="Arial" w:eastAsiaTheme="minorHAnsi" w:hAnsi="Arial" w:cs="Arial"/>
          <w:sz w:val="22"/>
          <w:szCs w:val="22"/>
          <w:lang w:val="es-MX" w:eastAsia="en-US"/>
        </w:rPr>
        <w:t xml:space="preserve">sujeto al proceso de consulta pública referido tanto por la </w:t>
      </w:r>
      <w:r>
        <w:rPr>
          <w:rFonts w:ascii="Arial" w:eastAsiaTheme="minorHAnsi" w:hAnsi="Arial" w:cs="Arial"/>
          <w:sz w:val="22"/>
          <w:szCs w:val="22"/>
          <w:lang w:val="es-MX" w:eastAsia="en-US"/>
        </w:rPr>
        <w:t xml:space="preserve">Ley </w:t>
      </w:r>
      <w:r w:rsidRPr="00C26892">
        <w:rPr>
          <w:rFonts w:ascii="Arial" w:eastAsiaTheme="minorHAnsi" w:hAnsi="Arial" w:cs="Arial"/>
          <w:sz w:val="22"/>
          <w:szCs w:val="22"/>
          <w:lang w:val="es-MX" w:eastAsia="en-US"/>
        </w:rPr>
        <w:t>como por los</w:t>
      </w:r>
      <w:r>
        <w:rPr>
          <w:rFonts w:ascii="Arial" w:eastAsiaTheme="minorHAnsi" w:hAnsi="Arial" w:cs="Arial"/>
          <w:sz w:val="22"/>
          <w:szCs w:val="22"/>
          <w:lang w:val="es-MX" w:eastAsia="en-US"/>
        </w:rPr>
        <w:t xml:space="preserve"> </w:t>
      </w:r>
      <w:r w:rsidRPr="00C26892">
        <w:rPr>
          <w:rFonts w:ascii="Arial" w:eastAsiaTheme="minorHAnsi" w:hAnsi="Arial" w:cs="Arial"/>
          <w:sz w:val="22"/>
          <w:szCs w:val="22"/>
          <w:lang w:val="es-MX" w:eastAsia="en-US"/>
        </w:rPr>
        <w:t>Lineamient</w:t>
      </w:r>
      <w:r>
        <w:rPr>
          <w:rFonts w:ascii="Arial" w:eastAsiaTheme="minorHAnsi" w:hAnsi="Arial" w:cs="Arial"/>
          <w:sz w:val="22"/>
          <w:szCs w:val="22"/>
          <w:lang w:val="es-MX" w:eastAsia="en-US"/>
        </w:rPr>
        <w:t xml:space="preserve">os de Consulta Pública, por un </w:t>
      </w:r>
      <w:r w:rsidRPr="00C26892">
        <w:rPr>
          <w:rFonts w:ascii="Arial" w:eastAsiaTheme="minorHAnsi" w:hAnsi="Arial" w:cs="Arial"/>
          <w:sz w:val="22"/>
          <w:szCs w:val="22"/>
          <w:lang w:val="es-MX" w:eastAsia="en-US"/>
        </w:rPr>
        <w:t>periodo razonable a fin de transparentar y</w:t>
      </w:r>
      <w:r>
        <w:rPr>
          <w:rFonts w:ascii="Arial" w:eastAsiaTheme="minorHAnsi" w:hAnsi="Arial" w:cs="Arial"/>
          <w:sz w:val="22"/>
          <w:szCs w:val="22"/>
          <w:lang w:val="es-MX" w:eastAsia="en-US"/>
        </w:rPr>
        <w:t xml:space="preserve"> </w:t>
      </w:r>
      <w:r w:rsidRPr="00C26892">
        <w:rPr>
          <w:rFonts w:ascii="Arial" w:eastAsiaTheme="minorHAnsi" w:hAnsi="Arial" w:cs="Arial"/>
          <w:sz w:val="22"/>
          <w:szCs w:val="22"/>
          <w:lang w:val="es-MX" w:eastAsia="en-US"/>
        </w:rPr>
        <w:t>promover la participación ciud</w:t>
      </w:r>
      <w:r>
        <w:rPr>
          <w:rFonts w:ascii="Arial" w:eastAsiaTheme="minorHAnsi" w:hAnsi="Arial" w:cs="Arial"/>
          <w:sz w:val="22"/>
          <w:szCs w:val="22"/>
          <w:lang w:val="es-MX" w:eastAsia="en-US"/>
        </w:rPr>
        <w:t xml:space="preserve">adana en el proceso de emisión </w:t>
      </w:r>
      <w:r w:rsidRPr="00C26892">
        <w:rPr>
          <w:rFonts w:ascii="Arial" w:eastAsiaTheme="minorHAnsi" w:hAnsi="Arial" w:cs="Arial"/>
          <w:sz w:val="22"/>
          <w:szCs w:val="22"/>
          <w:lang w:val="es-MX" w:eastAsia="en-US"/>
        </w:rPr>
        <w:t>de disposiciones de</w:t>
      </w:r>
      <w:r>
        <w:rPr>
          <w:rFonts w:ascii="Arial" w:eastAsiaTheme="minorHAnsi" w:hAnsi="Arial" w:cs="Arial"/>
          <w:sz w:val="22"/>
          <w:szCs w:val="22"/>
          <w:lang w:val="es-MX" w:eastAsia="en-US"/>
        </w:rPr>
        <w:t xml:space="preserve"> carácter general </w:t>
      </w:r>
      <w:r w:rsidRPr="00C26892">
        <w:rPr>
          <w:rFonts w:ascii="Arial" w:eastAsiaTheme="minorHAnsi" w:hAnsi="Arial" w:cs="Arial"/>
          <w:sz w:val="22"/>
          <w:szCs w:val="22"/>
          <w:lang w:val="es-MX" w:eastAsia="en-US"/>
        </w:rPr>
        <w:t>a cargo del Instituto, a efecto de dar cabal c</w:t>
      </w:r>
      <w:r>
        <w:rPr>
          <w:rFonts w:ascii="Arial" w:eastAsiaTheme="minorHAnsi" w:hAnsi="Arial" w:cs="Arial"/>
          <w:sz w:val="22"/>
          <w:szCs w:val="22"/>
          <w:lang w:val="es-MX" w:eastAsia="en-US"/>
        </w:rPr>
        <w:t>umplimiento al marco jurídico aplicable.</w:t>
      </w:r>
    </w:p>
    <w:p w14:paraId="2468DDB7" w14:textId="77777777" w:rsidR="00C26892" w:rsidRPr="00C26892" w:rsidRDefault="00C26892" w:rsidP="00C26892">
      <w:pPr>
        <w:autoSpaceDE w:val="0"/>
        <w:autoSpaceDN w:val="0"/>
        <w:adjustRightInd w:val="0"/>
        <w:spacing w:line="276" w:lineRule="auto"/>
        <w:jc w:val="both"/>
        <w:rPr>
          <w:rFonts w:ascii="Arial" w:eastAsiaTheme="minorHAnsi" w:hAnsi="Arial" w:cs="Arial"/>
          <w:sz w:val="22"/>
          <w:szCs w:val="22"/>
          <w:lang w:val="es-MX" w:eastAsia="en-US"/>
        </w:rPr>
      </w:pPr>
    </w:p>
    <w:p w14:paraId="3BAF2862" w14:textId="53FF24AF" w:rsidR="00CC653F" w:rsidRDefault="00CC653F" w:rsidP="00564A73">
      <w:pPr>
        <w:pStyle w:val="Texto"/>
        <w:spacing w:after="0" w:line="276" w:lineRule="auto"/>
        <w:ind w:firstLine="0"/>
        <w:rPr>
          <w:sz w:val="22"/>
          <w:szCs w:val="22"/>
          <w:lang w:val="es-MX" w:eastAsia="es-MX"/>
        </w:rPr>
      </w:pPr>
      <w:r w:rsidRPr="00564A73">
        <w:rPr>
          <w:sz w:val="22"/>
          <w:szCs w:val="22"/>
          <w:lang w:val="es-MX" w:eastAsia="es-MX"/>
        </w:rPr>
        <w:t xml:space="preserve">De igual </w:t>
      </w:r>
      <w:r w:rsidR="00A15FC8" w:rsidRPr="00564A73">
        <w:rPr>
          <w:sz w:val="22"/>
          <w:szCs w:val="22"/>
          <w:lang w:val="es-MX" w:eastAsia="es-MX"/>
        </w:rPr>
        <w:t>manera</w:t>
      </w:r>
      <w:r w:rsidRPr="00564A73">
        <w:rPr>
          <w:sz w:val="22"/>
          <w:szCs w:val="22"/>
          <w:lang w:val="es-MX" w:eastAsia="es-MX"/>
        </w:rPr>
        <w:t xml:space="preserve">, la fracción </w:t>
      </w:r>
      <w:r w:rsidR="00A15FC8" w:rsidRPr="00564A73">
        <w:rPr>
          <w:sz w:val="22"/>
          <w:szCs w:val="22"/>
          <w:lang w:val="es-MX" w:eastAsia="es-MX"/>
        </w:rPr>
        <w:t xml:space="preserve">II </w:t>
      </w:r>
      <w:r w:rsidRPr="00564A73">
        <w:rPr>
          <w:sz w:val="22"/>
          <w:szCs w:val="22"/>
          <w:lang w:val="es-MX" w:eastAsia="es-MX"/>
        </w:rPr>
        <w:t>del numeral Terce</w:t>
      </w:r>
      <w:r w:rsidR="00A15FC8" w:rsidRPr="00564A73">
        <w:rPr>
          <w:sz w:val="22"/>
          <w:szCs w:val="22"/>
          <w:lang w:val="es-MX" w:eastAsia="es-MX"/>
        </w:rPr>
        <w:t>ro de los Lineamientos de Consu</w:t>
      </w:r>
      <w:r w:rsidRPr="00564A73">
        <w:rPr>
          <w:sz w:val="22"/>
          <w:szCs w:val="22"/>
          <w:lang w:val="es-MX" w:eastAsia="es-MX"/>
        </w:rPr>
        <w:t>lta Pública, precisa la facultad de Instituto de realizar</w:t>
      </w:r>
      <w:r w:rsidR="00A15FC8" w:rsidRPr="00564A73">
        <w:rPr>
          <w:sz w:val="22"/>
          <w:szCs w:val="22"/>
          <w:lang w:val="es-MX" w:eastAsia="es-MX"/>
        </w:rPr>
        <w:t xml:space="preserve"> Consultas Públicas del Antepro</w:t>
      </w:r>
      <w:r w:rsidRPr="00564A73">
        <w:rPr>
          <w:sz w:val="22"/>
          <w:szCs w:val="22"/>
          <w:lang w:val="es-MX" w:eastAsia="es-MX"/>
        </w:rPr>
        <w:t xml:space="preserve">yecto y su Análisis de Impacto </w:t>
      </w:r>
      <w:r w:rsidR="00A15FC8" w:rsidRPr="00564A73">
        <w:rPr>
          <w:sz w:val="22"/>
          <w:szCs w:val="22"/>
          <w:lang w:val="es-MX" w:eastAsia="es-MX"/>
        </w:rPr>
        <w:t xml:space="preserve">Regulatorio con la finalidad </w:t>
      </w:r>
      <w:r w:rsidRPr="00564A73">
        <w:rPr>
          <w:sz w:val="22"/>
          <w:szCs w:val="22"/>
          <w:lang w:val="es-MX" w:eastAsia="es-MX"/>
        </w:rPr>
        <w:t xml:space="preserve">de obtener información, comentarios, opiniones, </w:t>
      </w:r>
      <w:r w:rsidR="00A15FC8" w:rsidRPr="00564A73">
        <w:rPr>
          <w:sz w:val="22"/>
          <w:szCs w:val="22"/>
          <w:lang w:val="es-MX" w:eastAsia="es-MX"/>
        </w:rPr>
        <w:t>aportaciones u\</w:t>
      </w:r>
      <w:r w:rsidRPr="00564A73">
        <w:rPr>
          <w:sz w:val="22"/>
          <w:szCs w:val="22"/>
          <w:lang w:val="es-MX" w:eastAsia="es-MX"/>
        </w:rPr>
        <w:t>otros elementos de análisis por parte de cualquier persona.</w:t>
      </w:r>
    </w:p>
    <w:p w14:paraId="73A2BB01" w14:textId="77777777" w:rsidR="00564A73" w:rsidRPr="00564A73" w:rsidRDefault="00564A73" w:rsidP="00564A73">
      <w:pPr>
        <w:pStyle w:val="Texto"/>
        <w:spacing w:after="0" w:line="276" w:lineRule="auto"/>
        <w:ind w:firstLine="0"/>
        <w:rPr>
          <w:sz w:val="22"/>
          <w:szCs w:val="22"/>
          <w:lang w:val="es-MX" w:eastAsia="es-MX"/>
        </w:rPr>
      </w:pPr>
    </w:p>
    <w:p w14:paraId="1166E20E" w14:textId="091F078A" w:rsidR="00CC653F" w:rsidRPr="00564A73" w:rsidRDefault="00CC653F" w:rsidP="00564A73">
      <w:pPr>
        <w:pStyle w:val="Texto"/>
        <w:spacing w:after="0" w:line="276" w:lineRule="auto"/>
        <w:ind w:firstLine="0"/>
        <w:rPr>
          <w:sz w:val="22"/>
          <w:szCs w:val="22"/>
        </w:rPr>
      </w:pPr>
      <w:r w:rsidRPr="00564A73">
        <w:rPr>
          <w:sz w:val="22"/>
          <w:szCs w:val="22"/>
        </w:rPr>
        <w:t>En este sentido, el Pleno del Insti</w:t>
      </w:r>
      <w:r w:rsidR="00A15FC8" w:rsidRPr="00564A73">
        <w:rPr>
          <w:sz w:val="22"/>
          <w:szCs w:val="22"/>
        </w:rPr>
        <w:t>tuto estima conveniente somete</w:t>
      </w:r>
      <w:r w:rsidRPr="00564A73">
        <w:rPr>
          <w:sz w:val="22"/>
          <w:szCs w:val="22"/>
        </w:rPr>
        <w:t xml:space="preserve">r a consulta pública el proyecto </w:t>
      </w:r>
      <w:r w:rsidR="00A15FC8" w:rsidRPr="00564A73">
        <w:rPr>
          <w:sz w:val="22"/>
          <w:szCs w:val="22"/>
        </w:rPr>
        <w:t>d</w:t>
      </w:r>
      <w:r w:rsidRPr="00564A73">
        <w:rPr>
          <w:sz w:val="22"/>
          <w:szCs w:val="22"/>
        </w:rPr>
        <w:t xml:space="preserve">e </w:t>
      </w:r>
      <w:r w:rsidR="00B26E4E">
        <w:rPr>
          <w:sz w:val="22"/>
          <w:szCs w:val="22"/>
        </w:rPr>
        <w:t>“</w:t>
      </w:r>
      <w:r w:rsidR="00B26E4E" w:rsidRPr="00B26E4E">
        <w:rPr>
          <w:sz w:val="22"/>
          <w:szCs w:val="22"/>
        </w:rPr>
        <w:t>Acuerdo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r w:rsidR="00A15FC8" w:rsidRPr="00564A73">
        <w:rPr>
          <w:sz w:val="22"/>
          <w:szCs w:val="22"/>
        </w:rPr>
        <w:t>", mismo</w:t>
      </w:r>
      <w:r w:rsidRPr="00564A73">
        <w:rPr>
          <w:sz w:val="22"/>
          <w:szCs w:val="22"/>
        </w:rPr>
        <w:t xml:space="preserve"> que forma parte integral del presente acuerdo.</w:t>
      </w:r>
    </w:p>
    <w:p w14:paraId="691E021D" w14:textId="77777777" w:rsidR="00723678" w:rsidRPr="00564A73" w:rsidRDefault="00723678" w:rsidP="00564A73">
      <w:pPr>
        <w:pStyle w:val="Texto"/>
        <w:spacing w:after="0" w:line="276" w:lineRule="auto"/>
        <w:ind w:firstLine="0"/>
        <w:rPr>
          <w:sz w:val="22"/>
          <w:szCs w:val="22"/>
        </w:rPr>
      </w:pPr>
    </w:p>
    <w:p w14:paraId="50A52E28" w14:textId="75A57589" w:rsidR="00007525" w:rsidRPr="00564A73" w:rsidRDefault="00007525" w:rsidP="00564A73">
      <w:pPr>
        <w:pStyle w:val="Texto"/>
        <w:spacing w:after="0" w:line="276" w:lineRule="auto"/>
        <w:ind w:firstLine="0"/>
        <w:rPr>
          <w:sz w:val="22"/>
          <w:szCs w:val="22"/>
        </w:rPr>
      </w:pPr>
      <w:r w:rsidRPr="00564A73">
        <w:rPr>
          <w:sz w:val="22"/>
          <w:szCs w:val="22"/>
        </w:rPr>
        <w:t xml:space="preserve">Por las razones antes expuestas, con fundamento en lo dispuesto por los artículos 6° y 28, párrafo décimo quinto de la Constitución Política de los Estados Unidos Mexicanos; Cuarto Transitorio del Decreto por el que se reforman y adiciona diversas disposiciones de los artículos 60., 7o., 27, 28, 73, 78, 94 y 105 de la Constitución Política de los Estados Unidos Mexicanos, en materia de telecomunicaciones; 1, 2, 7, 15, fracciones </w:t>
      </w:r>
      <w:r w:rsidR="000A7A9B">
        <w:rPr>
          <w:sz w:val="22"/>
          <w:szCs w:val="22"/>
        </w:rPr>
        <w:t>I</w:t>
      </w:r>
      <w:r w:rsidRPr="00564A73">
        <w:rPr>
          <w:sz w:val="22"/>
          <w:szCs w:val="22"/>
        </w:rPr>
        <w:t>, LVI y LVII, 17 fracción 1, 51, 85, 86, segundo párrafo y 88 de la Ley Federal de Telecomunicaciones y Radiodifusión; 1, 4, fracción I y 6, fracciones I y XXXVII</w:t>
      </w:r>
      <w:r w:rsidR="000A7A9B">
        <w:rPr>
          <w:sz w:val="22"/>
          <w:szCs w:val="22"/>
        </w:rPr>
        <w:t>I</w:t>
      </w:r>
      <w:r w:rsidRPr="00564A73">
        <w:rPr>
          <w:sz w:val="22"/>
          <w:szCs w:val="22"/>
        </w:rPr>
        <w:t xml:space="preserve"> del Estatuto Orgánico del Instituto Federal de Telecomunicaciones y; numeral tercero fracción 11 de los Lineamientos de Consulta Pública y Análisis de Impacto Regulatorio del Instituto Federal de Telecomunicaciones se expide el siguiente:</w:t>
      </w:r>
    </w:p>
    <w:p w14:paraId="2C514ABB" w14:textId="77777777" w:rsidR="00723678" w:rsidRPr="00564A73" w:rsidRDefault="00723678" w:rsidP="00564A73">
      <w:pPr>
        <w:pStyle w:val="Texto"/>
        <w:spacing w:after="0" w:line="276" w:lineRule="auto"/>
        <w:rPr>
          <w:sz w:val="22"/>
          <w:szCs w:val="22"/>
        </w:rPr>
      </w:pPr>
    </w:p>
    <w:p w14:paraId="45ACA154" w14:textId="73FA459C" w:rsidR="00FB2B9E" w:rsidRPr="00564A73" w:rsidRDefault="00FB2B9E" w:rsidP="00564A73">
      <w:pPr>
        <w:pStyle w:val="ANOTACION"/>
        <w:spacing w:before="0" w:after="0" w:line="276" w:lineRule="auto"/>
        <w:rPr>
          <w:rFonts w:ascii="Arial" w:hAnsi="Arial" w:cs="Arial"/>
          <w:sz w:val="22"/>
          <w:szCs w:val="22"/>
        </w:rPr>
      </w:pPr>
      <w:r w:rsidRPr="00564A73">
        <w:rPr>
          <w:rFonts w:ascii="Arial" w:hAnsi="Arial" w:cs="Arial"/>
          <w:sz w:val="22"/>
          <w:szCs w:val="22"/>
        </w:rPr>
        <w:t>A</w:t>
      </w:r>
      <w:r w:rsidR="00564A73">
        <w:rPr>
          <w:rFonts w:ascii="Arial" w:hAnsi="Arial" w:cs="Arial"/>
          <w:sz w:val="22"/>
          <w:szCs w:val="22"/>
        </w:rPr>
        <w:t>cuerdo</w:t>
      </w:r>
    </w:p>
    <w:p w14:paraId="0AB5F29A" w14:textId="77777777" w:rsidR="00723678" w:rsidRPr="00564A73" w:rsidRDefault="00723678" w:rsidP="00564A73">
      <w:pPr>
        <w:pStyle w:val="ANOTACION"/>
        <w:spacing w:before="0" w:after="0" w:line="276" w:lineRule="auto"/>
        <w:rPr>
          <w:rFonts w:ascii="Arial" w:hAnsi="Arial" w:cs="Arial"/>
          <w:sz w:val="22"/>
          <w:szCs w:val="22"/>
        </w:rPr>
      </w:pPr>
    </w:p>
    <w:p w14:paraId="57F61B04" w14:textId="679AF1E4" w:rsidR="00FB2B9E" w:rsidRPr="00564A73" w:rsidRDefault="00564A73" w:rsidP="00503965">
      <w:pPr>
        <w:pStyle w:val="Texto"/>
        <w:spacing w:after="0" w:line="276" w:lineRule="auto"/>
        <w:ind w:firstLine="0"/>
        <w:rPr>
          <w:sz w:val="22"/>
          <w:szCs w:val="22"/>
        </w:rPr>
      </w:pPr>
      <w:r>
        <w:rPr>
          <w:b/>
          <w:sz w:val="22"/>
          <w:szCs w:val="22"/>
        </w:rPr>
        <w:t>Primero</w:t>
      </w:r>
      <w:r w:rsidR="00EA5E48" w:rsidRPr="00564A73">
        <w:rPr>
          <w:sz w:val="22"/>
          <w:szCs w:val="22"/>
        </w:rPr>
        <w:t xml:space="preserve">. </w:t>
      </w:r>
      <w:r w:rsidR="009C6D7F" w:rsidRPr="00564A73">
        <w:rPr>
          <w:sz w:val="22"/>
          <w:szCs w:val="22"/>
        </w:rPr>
        <w:t xml:space="preserve">Se determina someter a consulta pública, por un plazo de </w:t>
      </w:r>
      <w:r w:rsidR="00220145">
        <w:rPr>
          <w:sz w:val="22"/>
          <w:szCs w:val="22"/>
        </w:rPr>
        <w:t xml:space="preserve">20 </w:t>
      </w:r>
      <w:r w:rsidR="009C6D7F" w:rsidRPr="00564A73">
        <w:rPr>
          <w:sz w:val="22"/>
          <w:szCs w:val="22"/>
        </w:rPr>
        <w:t>(</w:t>
      </w:r>
      <w:r w:rsidR="00220145">
        <w:rPr>
          <w:sz w:val="22"/>
          <w:szCs w:val="22"/>
        </w:rPr>
        <w:t>veinte</w:t>
      </w:r>
      <w:r w:rsidR="009C6D7F" w:rsidRPr="00564A73">
        <w:rPr>
          <w:sz w:val="22"/>
          <w:szCs w:val="22"/>
        </w:rPr>
        <w:t xml:space="preserve">) días hábiles contados a partir del día hábil siguiente al de su publicación en el portal de Internet del Instituto </w:t>
      </w:r>
      <w:r w:rsidR="009C6D7F" w:rsidRPr="00564A73">
        <w:rPr>
          <w:sz w:val="22"/>
          <w:szCs w:val="22"/>
        </w:rPr>
        <w:lastRenderedPageBreak/>
        <w:t xml:space="preserve">Federal de Telecomunicaciones, el </w:t>
      </w:r>
      <w:r w:rsidR="00503965">
        <w:rPr>
          <w:sz w:val="22"/>
          <w:szCs w:val="22"/>
        </w:rPr>
        <w:t>“</w:t>
      </w:r>
      <w:r w:rsidR="009C6D7F" w:rsidRPr="00564A73">
        <w:rPr>
          <w:sz w:val="22"/>
          <w:szCs w:val="22"/>
        </w:rPr>
        <w:t xml:space="preserve">Anteproyecto de </w:t>
      </w:r>
      <w:r w:rsidR="00B26E4E" w:rsidRPr="00B26E4E">
        <w:rPr>
          <w:sz w:val="22"/>
          <w:szCs w:val="22"/>
        </w:rPr>
        <w:t>Acuerdo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r w:rsidR="009C6D7F" w:rsidRPr="00564A73">
        <w:rPr>
          <w:sz w:val="22"/>
          <w:szCs w:val="22"/>
        </w:rPr>
        <w:t xml:space="preserve">", </w:t>
      </w:r>
      <w:r w:rsidR="00503965" w:rsidRPr="00503965">
        <w:rPr>
          <w:sz w:val="22"/>
          <w:szCs w:val="22"/>
        </w:rPr>
        <w:t>mismo que se acompaña al presente como Anexo Único, junto con su respectivo ANIR</w:t>
      </w:r>
      <w:r w:rsidR="00503965">
        <w:t xml:space="preserve"> </w:t>
      </w:r>
      <w:r w:rsidR="009C6D7F" w:rsidRPr="00564A73">
        <w:rPr>
          <w:sz w:val="22"/>
          <w:szCs w:val="22"/>
        </w:rPr>
        <w:t>de</w:t>
      </w:r>
      <w:r w:rsidR="00B26E4E">
        <w:rPr>
          <w:sz w:val="22"/>
          <w:szCs w:val="22"/>
        </w:rPr>
        <w:t xml:space="preserve"> la </w:t>
      </w:r>
      <w:r w:rsidR="009C6D7F" w:rsidRPr="00564A73">
        <w:rPr>
          <w:sz w:val="22"/>
          <w:szCs w:val="22"/>
        </w:rPr>
        <w:t xml:space="preserve">presente </w:t>
      </w:r>
      <w:r w:rsidR="00B26E4E">
        <w:rPr>
          <w:sz w:val="22"/>
          <w:szCs w:val="22"/>
        </w:rPr>
        <w:t>determinación</w:t>
      </w:r>
      <w:r w:rsidR="00503965">
        <w:rPr>
          <w:sz w:val="22"/>
          <w:szCs w:val="22"/>
        </w:rPr>
        <w:t>,</w:t>
      </w:r>
      <w:r w:rsidR="009C6D7F" w:rsidRPr="00564A73">
        <w:rPr>
          <w:sz w:val="22"/>
          <w:szCs w:val="22"/>
        </w:rPr>
        <w:t xml:space="preserve"> a fin de que cualquier interesado presente comentarios, observaciones, propuestas y/o adiciones. </w:t>
      </w:r>
    </w:p>
    <w:p w14:paraId="589A9452" w14:textId="07EF67C4" w:rsidR="009C6D7F" w:rsidRPr="00564A73" w:rsidRDefault="009C6D7F" w:rsidP="00564A73">
      <w:pPr>
        <w:pStyle w:val="Texto"/>
        <w:spacing w:after="0" w:line="276" w:lineRule="auto"/>
        <w:ind w:firstLine="0"/>
        <w:rPr>
          <w:sz w:val="22"/>
          <w:szCs w:val="22"/>
        </w:rPr>
      </w:pPr>
    </w:p>
    <w:p w14:paraId="69C6D658" w14:textId="04E88B6A" w:rsidR="009C6D7F" w:rsidRDefault="00564A73" w:rsidP="00564A73">
      <w:pPr>
        <w:autoSpaceDE w:val="0"/>
        <w:autoSpaceDN w:val="0"/>
        <w:adjustRightInd w:val="0"/>
        <w:spacing w:line="276" w:lineRule="auto"/>
        <w:jc w:val="both"/>
        <w:rPr>
          <w:rFonts w:ascii="Arial" w:eastAsiaTheme="minorHAnsi" w:hAnsi="Arial" w:cs="Arial"/>
          <w:sz w:val="22"/>
          <w:szCs w:val="22"/>
          <w:lang w:val="es-MX" w:eastAsia="en-US"/>
        </w:rPr>
      </w:pPr>
      <w:r>
        <w:rPr>
          <w:rFonts w:ascii="Arial" w:eastAsiaTheme="minorHAnsi" w:hAnsi="Arial" w:cs="Arial"/>
          <w:b/>
          <w:bCs/>
          <w:sz w:val="22"/>
          <w:szCs w:val="22"/>
          <w:lang w:val="es-MX" w:eastAsia="en-US"/>
        </w:rPr>
        <w:t>Segundo.</w:t>
      </w:r>
      <w:r w:rsidR="009C6D7F" w:rsidRPr="00564A73">
        <w:rPr>
          <w:rFonts w:ascii="Arial" w:eastAsiaTheme="minorHAnsi" w:hAnsi="Arial" w:cs="Arial"/>
          <w:b/>
          <w:bCs/>
          <w:sz w:val="22"/>
          <w:szCs w:val="22"/>
          <w:lang w:val="es-MX" w:eastAsia="en-US"/>
        </w:rPr>
        <w:t xml:space="preserve"> </w:t>
      </w:r>
      <w:r w:rsidR="009C6D7F" w:rsidRPr="00564A73">
        <w:rPr>
          <w:rFonts w:ascii="Arial" w:hAnsi="Arial" w:cs="Arial"/>
          <w:sz w:val="22"/>
          <w:szCs w:val="22"/>
        </w:rPr>
        <w:t xml:space="preserve">Se instruye a la Unidad de Concesiones y Servicios a recibir y dar la atención que corresponda, en el ámbito de sus atribuciones, a las opiniones que sean vertidas en </w:t>
      </w:r>
      <w:r w:rsidR="009C6D7F" w:rsidRPr="00564A73">
        <w:rPr>
          <w:rFonts w:ascii="Arial" w:eastAsiaTheme="minorHAnsi" w:hAnsi="Arial" w:cs="Arial"/>
          <w:sz w:val="22"/>
          <w:szCs w:val="22"/>
          <w:lang w:val="es-MX" w:eastAsia="en-US"/>
        </w:rPr>
        <w:t xml:space="preserve">virtud de la consulta pública materia del presente Acuerdo. </w:t>
      </w:r>
    </w:p>
    <w:p w14:paraId="683920BF" w14:textId="77777777" w:rsidR="00564A73" w:rsidRPr="00564A73" w:rsidRDefault="00564A73" w:rsidP="00564A73">
      <w:pPr>
        <w:autoSpaceDE w:val="0"/>
        <w:autoSpaceDN w:val="0"/>
        <w:adjustRightInd w:val="0"/>
        <w:spacing w:line="276" w:lineRule="auto"/>
        <w:jc w:val="both"/>
        <w:rPr>
          <w:rFonts w:ascii="Arial" w:hAnsi="Arial" w:cs="Arial"/>
          <w:sz w:val="22"/>
          <w:szCs w:val="22"/>
        </w:rPr>
      </w:pPr>
    </w:p>
    <w:p w14:paraId="066C8361" w14:textId="3D266474" w:rsidR="009C6D7F" w:rsidRPr="00564A73" w:rsidRDefault="00564A73" w:rsidP="00564A73">
      <w:pPr>
        <w:autoSpaceDE w:val="0"/>
        <w:autoSpaceDN w:val="0"/>
        <w:adjustRightInd w:val="0"/>
        <w:spacing w:line="276" w:lineRule="auto"/>
        <w:jc w:val="both"/>
        <w:rPr>
          <w:rFonts w:ascii="Arial" w:eastAsiaTheme="minorHAnsi" w:hAnsi="Arial" w:cs="Arial"/>
          <w:sz w:val="22"/>
          <w:szCs w:val="22"/>
          <w:lang w:val="es-MX" w:eastAsia="en-US"/>
        </w:rPr>
      </w:pPr>
      <w:r>
        <w:rPr>
          <w:rFonts w:ascii="Arial" w:eastAsiaTheme="minorHAnsi" w:hAnsi="Arial" w:cs="Arial"/>
          <w:b/>
          <w:bCs/>
          <w:sz w:val="22"/>
          <w:szCs w:val="22"/>
          <w:lang w:val="es-MX" w:eastAsia="en-US"/>
        </w:rPr>
        <w:t>Tercero.</w:t>
      </w:r>
      <w:r w:rsidR="009C6D7F" w:rsidRPr="00564A73">
        <w:rPr>
          <w:rFonts w:ascii="Arial" w:eastAsiaTheme="minorHAnsi" w:hAnsi="Arial" w:cs="Arial"/>
          <w:b/>
          <w:bCs/>
          <w:sz w:val="22"/>
          <w:szCs w:val="22"/>
          <w:lang w:val="es-MX" w:eastAsia="en-US"/>
        </w:rPr>
        <w:t xml:space="preserve"> </w:t>
      </w:r>
      <w:r w:rsidR="009C6D7F" w:rsidRPr="00564A73">
        <w:rPr>
          <w:rFonts w:ascii="Arial" w:eastAsiaTheme="minorHAnsi" w:hAnsi="Arial" w:cs="Arial"/>
          <w:sz w:val="22"/>
          <w:szCs w:val="22"/>
          <w:lang w:val="es-MX" w:eastAsia="en-US"/>
        </w:rPr>
        <w:t>Publíquese en la página de Internet del Instituto Federal de Telecomunicaciones.</w:t>
      </w:r>
    </w:p>
    <w:p w14:paraId="0D5CD7B1" w14:textId="4C4D2F90" w:rsidR="009C6D7F" w:rsidRPr="00564A73" w:rsidRDefault="009C6D7F" w:rsidP="00564A73">
      <w:pPr>
        <w:pStyle w:val="Texto"/>
        <w:spacing w:after="0" w:line="276" w:lineRule="auto"/>
        <w:ind w:firstLine="0"/>
        <w:rPr>
          <w:sz w:val="22"/>
          <w:szCs w:val="22"/>
        </w:rPr>
      </w:pPr>
    </w:p>
    <w:p w14:paraId="482695FB" w14:textId="77777777" w:rsidR="009C6D7F" w:rsidRPr="00564A73" w:rsidRDefault="009C6D7F" w:rsidP="00564A73">
      <w:pPr>
        <w:pStyle w:val="Texto"/>
        <w:spacing w:after="0" w:line="276" w:lineRule="auto"/>
        <w:ind w:firstLine="0"/>
        <w:rPr>
          <w:sz w:val="22"/>
          <w:szCs w:val="22"/>
        </w:rPr>
      </w:pPr>
    </w:p>
    <w:p w14:paraId="1777534B" w14:textId="77777777" w:rsidR="00FB2B9E" w:rsidRPr="00564A73" w:rsidRDefault="00FB2B9E" w:rsidP="00564A73">
      <w:pPr>
        <w:pStyle w:val="Texto"/>
        <w:spacing w:after="0" w:line="276" w:lineRule="auto"/>
        <w:ind w:firstLine="0"/>
        <w:rPr>
          <w:sz w:val="22"/>
          <w:szCs w:val="22"/>
        </w:rPr>
      </w:pPr>
    </w:p>
    <w:sectPr w:rsidR="00FB2B9E" w:rsidRPr="00564A73" w:rsidSect="00201176">
      <w:footerReference w:type="default" r:id="rId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5CF67" w14:textId="77777777" w:rsidR="004C2B2A" w:rsidRDefault="004C2B2A" w:rsidP="00723678">
      <w:r>
        <w:separator/>
      </w:r>
    </w:p>
  </w:endnote>
  <w:endnote w:type="continuationSeparator" w:id="0">
    <w:p w14:paraId="688F3ACF" w14:textId="77777777" w:rsidR="004C2B2A" w:rsidRDefault="004C2B2A" w:rsidP="007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A042" w14:textId="0212C5C5" w:rsidR="005B5248" w:rsidRDefault="005B524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EA8A" w14:textId="77777777" w:rsidR="004C2B2A" w:rsidRDefault="004C2B2A" w:rsidP="00723678">
      <w:r>
        <w:separator/>
      </w:r>
    </w:p>
  </w:footnote>
  <w:footnote w:type="continuationSeparator" w:id="0">
    <w:p w14:paraId="6143C0CA" w14:textId="77777777" w:rsidR="004C2B2A" w:rsidRDefault="004C2B2A" w:rsidP="0072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F3B"/>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316D38"/>
    <w:multiLevelType w:val="hybridMultilevel"/>
    <w:tmpl w:val="A02E8E3A"/>
    <w:lvl w:ilvl="0" w:tplc="00E225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B6051"/>
    <w:multiLevelType w:val="hybridMultilevel"/>
    <w:tmpl w:val="4E186962"/>
    <w:lvl w:ilvl="0" w:tplc="F8DCC94E">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F113DB"/>
    <w:multiLevelType w:val="hybridMultilevel"/>
    <w:tmpl w:val="B6FEC7C0"/>
    <w:lvl w:ilvl="0" w:tplc="6B0AE43A">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D87D4C"/>
    <w:multiLevelType w:val="hybridMultilevel"/>
    <w:tmpl w:val="6D56F51A"/>
    <w:lvl w:ilvl="0" w:tplc="91D03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D603BC4"/>
    <w:multiLevelType w:val="hybridMultilevel"/>
    <w:tmpl w:val="95CC1738"/>
    <w:lvl w:ilvl="0" w:tplc="3E2817E6">
      <w:start w:val="6"/>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B10077"/>
    <w:multiLevelType w:val="hybridMultilevel"/>
    <w:tmpl w:val="1D9C53E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47E27030"/>
    <w:multiLevelType w:val="hybridMultilevel"/>
    <w:tmpl w:val="92E0058C"/>
    <w:lvl w:ilvl="0" w:tplc="498E4550">
      <w:start w:val="1"/>
      <w:numFmt w:val="upperRoman"/>
      <w:lvlText w:val="%1."/>
      <w:lvlJc w:val="left"/>
      <w:pPr>
        <w:ind w:left="1004"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DC07AC0"/>
    <w:multiLevelType w:val="hybridMultilevel"/>
    <w:tmpl w:val="E1C01C8C"/>
    <w:lvl w:ilvl="0" w:tplc="080A0017">
      <w:start w:val="1"/>
      <w:numFmt w:val="lowerLetter"/>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9E563E"/>
    <w:multiLevelType w:val="hybridMultilevel"/>
    <w:tmpl w:val="14CC58E0"/>
    <w:lvl w:ilvl="0" w:tplc="CBF4D94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F2A3714"/>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A852AC"/>
    <w:multiLevelType w:val="hybridMultilevel"/>
    <w:tmpl w:val="88FEF814"/>
    <w:lvl w:ilvl="0" w:tplc="550E565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DD455B6"/>
    <w:multiLevelType w:val="hybridMultilevel"/>
    <w:tmpl w:val="8A68335C"/>
    <w:lvl w:ilvl="0" w:tplc="62642A50">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221E20"/>
    <w:multiLevelType w:val="hybridMultilevel"/>
    <w:tmpl w:val="A7A01C9A"/>
    <w:lvl w:ilvl="0" w:tplc="20C47122">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6F7B13"/>
    <w:multiLevelType w:val="hybridMultilevel"/>
    <w:tmpl w:val="2F02CA72"/>
    <w:lvl w:ilvl="0" w:tplc="27540498">
      <w:start w:val="3"/>
      <w:numFmt w:val="lowerLetter"/>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DF4609"/>
    <w:multiLevelType w:val="hybridMultilevel"/>
    <w:tmpl w:val="4254FCC8"/>
    <w:lvl w:ilvl="0" w:tplc="B1685E4E">
      <w:start w:val="1"/>
      <w:numFmt w:val="lowerLetter"/>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16"/>
  </w:num>
  <w:num w:numId="2">
    <w:abstractNumId w:val="10"/>
  </w:num>
  <w:num w:numId="3">
    <w:abstractNumId w:val="15"/>
  </w:num>
  <w:num w:numId="4">
    <w:abstractNumId w:val="11"/>
  </w:num>
  <w:num w:numId="5">
    <w:abstractNumId w:val="9"/>
  </w:num>
  <w:num w:numId="6">
    <w:abstractNumId w:val="13"/>
  </w:num>
  <w:num w:numId="7">
    <w:abstractNumId w:val="12"/>
  </w:num>
  <w:num w:numId="8">
    <w:abstractNumId w:val="14"/>
  </w:num>
  <w:num w:numId="9">
    <w:abstractNumId w:val="2"/>
  </w:num>
  <w:num w:numId="10">
    <w:abstractNumId w:val="0"/>
  </w:num>
  <w:num w:numId="11">
    <w:abstractNumId w:val="7"/>
  </w:num>
  <w:num w:numId="12">
    <w:abstractNumId w:val="3"/>
  </w:num>
  <w:num w:numId="13">
    <w:abstractNumId w:val="8"/>
  </w:num>
  <w:num w:numId="14">
    <w:abstractNumId w:val="6"/>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9E"/>
    <w:rsid w:val="000033E5"/>
    <w:rsid w:val="000052C5"/>
    <w:rsid w:val="00007525"/>
    <w:rsid w:val="00012B80"/>
    <w:rsid w:val="000158A8"/>
    <w:rsid w:val="000779D6"/>
    <w:rsid w:val="000A1431"/>
    <w:rsid w:val="000A7A9B"/>
    <w:rsid w:val="00105833"/>
    <w:rsid w:val="00124F29"/>
    <w:rsid w:val="00170B22"/>
    <w:rsid w:val="001A1F89"/>
    <w:rsid w:val="001A7A35"/>
    <w:rsid w:val="001C7114"/>
    <w:rsid w:val="001D4A05"/>
    <w:rsid w:val="001F4A0C"/>
    <w:rsid w:val="001F5E19"/>
    <w:rsid w:val="00201176"/>
    <w:rsid w:val="00216832"/>
    <w:rsid w:val="00220145"/>
    <w:rsid w:val="00247FAF"/>
    <w:rsid w:val="00250558"/>
    <w:rsid w:val="0026103E"/>
    <w:rsid w:val="00265861"/>
    <w:rsid w:val="00283AF8"/>
    <w:rsid w:val="002B35C7"/>
    <w:rsid w:val="002C3179"/>
    <w:rsid w:val="00320223"/>
    <w:rsid w:val="00321755"/>
    <w:rsid w:val="003A34D1"/>
    <w:rsid w:val="003A708B"/>
    <w:rsid w:val="003C0742"/>
    <w:rsid w:val="003D2EF5"/>
    <w:rsid w:val="003D608C"/>
    <w:rsid w:val="003F6D04"/>
    <w:rsid w:val="00435FBA"/>
    <w:rsid w:val="004B193B"/>
    <w:rsid w:val="004C1094"/>
    <w:rsid w:val="004C1E03"/>
    <w:rsid w:val="004C2B2A"/>
    <w:rsid w:val="004E6336"/>
    <w:rsid w:val="004F0A0D"/>
    <w:rsid w:val="00503965"/>
    <w:rsid w:val="00535AF9"/>
    <w:rsid w:val="00542AE6"/>
    <w:rsid w:val="00564A73"/>
    <w:rsid w:val="00567D8D"/>
    <w:rsid w:val="00577058"/>
    <w:rsid w:val="00586B50"/>
    <w:rsid w:val="005871D1"/>
    <w:rsid w:val="00596518"/>
    <w:rsid w:val="005B256F"/>
    <w:rsid w:val="005B3E1A"/>
    <w:rsid w:val="005B5248"/>
    <w:rsid w:val="00662B5E"/>
    <w:rsid w:val="00681898"/>
    <w:rsid w:val="006A5CCF"/>
    <w:rsid w:val="006B59AA"/>
    <w:rsid w:val="006C6E72"/>
    <w:rsid w:val="006E6A56"/>
    <w:rsid w:val="006F6C85"/>
    <w:rsid w:val="00723678"/>
    <w:rsid w:val="007553FC"/>
    <w:rsid w:val="007706A2"/>
    <w:rsid w:val="00790D4B"/>
    <w:rsid w:val="007C4E5E"/>
    <w:rsid w:val="007C52E8"/>
    <w:rsid w:val="007D6A59"/>
    <w:rsid w:val="00883FBE"/>
    <w:rsid w:val="008C4ABF"/>
    <w:rsid w:val="008C6073"/>
    <w:rsid w:val="0091112D"/>
    <w:rsid w:val="00923A91"/>
    <w:rsid w:val="0097201D"/>
    <w:rsid w:val="00985E80"/>
    <w:rsid w:val="00986F30"/>
    <w:rsid w:val="0099042C"/>
    <w:rsid w:val="009A4887"/>
    <w:rsid w:val="009C6D7F"/>
    <w:rsid w:val="009C72B6"/>
    <w:rsid w:val="009F3D2A"/>
    <w:rsid w:val="00A03DDE"/>
    <w:rsid w:val="00A0427A"/>
    <w:rsid w:val="00A15FC8"/>
    <w:rsid w:val="00A36CAD"/>
    <w:rsid w:val="00A43B10"/>
    <w:rsid w:val="00A60CDD"/>
    <w:rsid w:val="00A82352"/>
    <w:rsid w:val="00AD5C08"/>
    <w:rsid w:val="00B00895"/>
    <w:rsid w:val="00B12FD4"/>
    <w:rsid w:val="00B24694"/>
    <w:rsid w:val="00B26E4E"/>
    <w:rsid w:val="00B522CD"/>
    <w:rsid w:val="00B730A1"/>
    <w:rsid w:val="00BC257E"/>
    <w:rsid w:val="00BF0E18"/>
    <w:rsid w:val="00C176CC"/>
    <w:rsid w:val="00C22C7B"/>
    <w:rsid w:val="00C26892"/>
    <w:rsid w:val="00C42340"/>
    <w:rsid w:val="00C45C41"/>
    <w:rsid w:val="00C532A5"/>
    <w:rsid w:val="00C80239"/>
    <w:rsid w:val="00CB5A07"/>
    <w:rsid w:val="00CC653F"/>
    <w:rsid w:val="00CC7124"/>
    <w:rsid w:val="00D84E87"/>
    <w:rsid w:val="00DB7225"/>
    <w:rsid w:val="00DC6BA8"/>
    <w:rsid w:val="00DE0B86"/>
    <w:rsid w:val="00E4705A"/>
    <w:rsid w:val="00E6358E"/>
    <w:rsid w:val="00E65A6E"/>
    <w:rsid w:val="00E93E68"/>
    <w:rsid w:val="00EA5E48"/>
    <w:rsid w:val="00ED237F"/>
    <w:rsid w:val="00ED7CF7"/>
    <w:rsid w:val="00F17E0A"/>
    <w:rsid w:val="00F23FB5"/>
    <w:rsid w:val="00F379D0"/>
    <w:rsid w:val="00FB2B9E"/>
    <w:rsid w:val="00FC539F"/>
    <w:rsid w:val="00FF5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DC48"/>
  <w15:chartTrackingRefBased/>
  <w15:docId w15:val="{601AA735-7180-449E-8A0B-4E4E227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B2B9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FB2B9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FB2B9E"/>
    <w:pPr>
      <w:spacing w:before="101" w:after="101" w:line="216" w:lineRule="atLeast"/>
      <w:jc w:val="center"/>
    </w:pPr>
    <w:rPr>
      <w:b/>
      <w:sz w:val="18"/>
      <w:szCs w:val="20"/>
      <w:lang w:val="es-ES_tradnl"/>
    </w:rPr>
  </w:style>
  <w:style w:type="paragraph" w:customStyle="1" w:styleId="Titulo1">
    <w:name w:val="Titulo 1"/>
    <w:basedOn w:val="Texto"/>
    <w:rsid w:val="00FB2B9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B2B9E"/>
    <w:pPr>
      <w:pBdr>
        <w:top w:val="double" w:sz="6" w:space="1" w:color="auto"/>
      </w:pBdr>
      <w:spacing w:line="240" w:lineRule="auto"/>
      <w:ind w:firstLine="0"/>
      <w:outlineLvl w:val="1"/>
    </w:pPr>
    <w:rPr>
      <w:lang w:val="es-MX"/>
    </w:rPr>
  </w:style>
  <w:style w:type="character" w:customStyle="1" w:styleId="TextoCar">
    <w:name w:val="Texto Car"/>
    <w:link w:val="Texto"/>
    <w:locked/>
    <w:rsid w:val="00FB2B9E"/>
    <w:rPr>
      <w:rFonts w:ascii="Arial" w:eastAsia="Times New Roman" w:hAnsi="Arial" w:cs="Arial"/>
      <w:sz w:val="18"/>
      <w:szCs w:val="20"/>
      <w:lang w:val="es-ES" w:eastAsia="es-ES"/>
    </w:rPr>
  </w:style>
  <w:style w:type="character" w:customStyle="1" w:styleId="ROMANOSCar">
    <w:name w:val="ROMANOS Car"/>
    <w:link w:val="ROMANOS"/>
    <w:locked/>
    <w:rsid w:val="00FB2B9E"/>
    <w:rPr>
      <w:rFonts w:ascii="Arial" w:eastAsia="Times New Roman" w:hAnsi="Arial" w:cs="Arial"/>
      <w:sz w:val="18"/>
      <w:szCs w:val="18"/>
      <w:lang w:val="es-ES" w:eastAsia="es-ES"/>
    </w:rPr>
  </w:style>
  <w:style w:type="character" w:customStyle="1" w:styleId="ANOTACIONCar">
    <w:name w:val="ANOTACION Car"/>
    <w:link w:val="ANOTACION"/>
    <w:locked/>
    <w:rsid w:val="00FB2B9E"/>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723678"/>
    <w:pPr>
      <w:tabs>
        <w:tab w:val="center" w:pos="4419"/>
        <w:tab w:val="right" w:pos="8838"/>
      </w:tabs>
    </w:pPr>
  </w:style>
  <w:style w:type="character" w:customStyle="1" w:styleId="EncabezadoCar">
    <w:name w:val="Encabezado Car"/>
    <w:basedOn w:val="Fuentedeprrafopredeter"/>
    <w:link w:val="Encabezado"/>
    <w:uiPriority w:val="99"/>
    <w:rsid w:val="007236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3678"/>
    <w:pPr>
      <w:tabs>
        <w:tab w:val="center" w:pos="4419"/>
        <w:tab w:val="right" w:pos="8838"/>
      </w:tabs>
    </w:pPr>
  </w:style>
  <w:style w:type="character" w:customStyle="1" w:styleId="PiedepginaCar">
    <w:name w:val="Pie de página Car"/>
    <w:basedOn w:val="Fuentedeprrafopredeter"/>
    <w:link w:val="Piedepgina"/>
    <w:uiPriority w:val="99"/>
    <w:rsid w:val="007236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E87"/>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F5E19"/>
    <w:rPr>
      <w:sz w:val="16"/>
      <w:szCs w:val="16"/>
    </w:rPr>
  </w:style>
  <w:style w:type="paragraph" w:styleId="Textocomentario">
    <w:name w:val="annotation text"/>
    <w:basedOn w:val="Normal"/>
    <w:link w:val="TextocomentarioCar"/>
    <w:uiPriority w:val="99"/>
    <w:semiHidden/>
    <w:unhideWhenUsed/>
    <w:rsid w:val="001F5E19"/>
    <w:rPr>
      <w:sz w:val="20"/>
      <w:szCs w:val="20"/>
    </w:rPr>
  </w:style>
  <w:style w:type="character" w:customStyle="1" w:styleId="TextocomentarioCar">
    <w:name w:val="Texto comentario Car"/>
    <w:basedOn w:val="Fuentedeprrafopredeter"/>
    <w:link w:val="Textocomentario"/>
    <w:uiPriority w:val="99"/>
    <w:semiHidden/>
    <w:rsid w:val="001F5E1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5E19"/>
    <w:rPr>
      <w:b/>
      <w:bCs/>
    </w:rPr>
  </w:style>
  <w:style w:type="character" w:customStyle="1" w:styleId="AsuntodelcomentarioCar">
    <w:name w:val="Asunto del comentario Car"/>
    <w:basedOn w:val="TextocomentarioCar"/>
    <w:link w:val="Asuntodelcomentario"/>
    <w:uiPriority w:val="99"/>
    <w:semiHidden/>
    <w:rsid w:val="001F5E19"/>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A60CD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60CDD"/>
    <w:rPr>
      <w:rFonts w:ascii="Times New Roman" w:eastAsia="Times New Roman" w:hAnsi="Times New Roman" w:cs="Times New Roman"/>
      <w:i/>
      <w:iCs/>
      <w:color w:val="404040" w:themeColor="text1" w:themeTint="BF"/>
      <w:sz w:val="24"/>
      <w:szCs w:val="24"/>
      <w:lang w:val="es-ES" w:eastAsia="es-ES"/>
    </w:rPr>
  </w:style>
  <w:style w:type="paragraph" w:styleId="Revisin">
    <w:name w:val="Revision"/>
    <w:hidden/>
    <w:uiPriority w:val="99"/>
    <w:semiHidden/>
    <w:rsid w:val="00A82352"/>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 general Car,lp1 Car"/>
    <w:link w:val="Prrafodelista"/>
    <w:uiPriority w:val="34"/>
    <w:locked/>
    <w:rsid w:val="006F6C85"/>
    <w:rPr>
      <w:rFonts w:ascii="Arial" w:eastAsia="Times New Roman" w:hAnsi="Arial" w:cs="Times New Roman"/>
      <w:sz w:val="24"/>
      <w:szCs w:val="20"/>
    </w:rPr>
  </w:style>
  <w:style w:type="paragraph" w:styleId="Prrafodelista">
    <w:name w:val="List Paragraph"/>
    <w:aliases w:val="4 Viñ 1nivel,Numeración 1,Cuadrícula media 1 - Énfasis 21,Bullet List,FooterText,numbered,List Paragraph1,Paragraphe de liste1,Bulletr List Paragraph,列出段落,列出段落1,Lista general,Listas,lp1"/>
    <w:basedOn w:val="Normal"/>
    <w:link w:val="PrrafodelistaCar"/>
    <w:uiPriority w:val="34"/>
    <w:qFormat/>
    <w:rsid w:val="006F6C85"/>
    <w:pPr>
      <w:ind w:left="708"/>
    </w:pPr>
    <w:rPr>
      <w:rFonts w:ascii="Arial" w:hAnsi="Arial"/>
      <w:szCs w:val="20"/>
      <w:lang w:val="es-MX" w:eastAsia="en-US"/>
    </w:rPr>
  </w:style>
  <w:style w:type="paragraph" w:customStyle="1" w:styleId="Default">
    <w:name w:val="Default"/>
    <w:rsid w:val="00124F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Álvaro Gúzman Gutierrez </cp:lastModifiedBy>
  <cp:revision>2</cp:revision>
  <dcterms:created xsi:type="dcterms:W3CDTF">2020-10-28T21:05:00Z</dcterms:created>
  <dcterms:modified xsi:type="dcterms:W3CDTF">2020-10-28T21:05:00Z</dcterms:modified>
</cp:coreProperties>
</file>