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2142" w14:textId="2EC759C1" w:rsidR="00A7774F" w:rsidRDefault="00A7774F" w:rsidP="00A7774F">
      <w:pPr>
        <w:spacing w:after="0" w:line="276" w:lineRule="auto"/>
        <w:jc w:val="both"/>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Pr>
          <w:rFonts w:ascii="ITC Avant Garde" w:eastAsia="Times New Roman" w:hAnsi="ITC Avant Garde"/>
          <w:b/>
          <w:i/>
          <w:sz w:val="24"/>
          <w:szCs w:val="24"/>
        </w:rPr>
        <w:t>ICACIONES APLICABLES AL AÑO 202</w:t>
      </w:r>
      <w:r w:rsidR="00726E55">
        <w:rPr>
          <w:rFonts w:ascii="ITC Avant Garde" w:eastAsia="Times New Roman" w:hAnsi="ITC Avant Garde"/>
          <w:b/>
          <w:i/>
          <w:sz w:val="24"/>
          <w:szCs w:val="24"/>
        </w:rPr>
        <w:t>1</w:t>
      </w:r>
      <w:r w:rsidRPr="0053503B">
        <w:rPr>
          <w:rFonts w:ascii="ITC Avant Garde" w:eastAsia="Times New Roman" w:hAnsi="ITC Avant Garde"/>
          <w:b/>
          <w:i/>
          <w:sz w:val="24"/>
          <w:szCs w:val="24"/>
        </w:rPr>
        <w:t>”.</w:t>
      </w:r>
    </w:p>
    <w:p w14:paraId="1141ACE2" w14:textId="77777777" w:rsidR="00A7774F" w:rsidRDefault="00A7774F" w:rsidP="00A7774F">
      <w:pPr>
        <w:spacing w:after="0" w:line="276" w:lineRule="auto"/>
        <w:jc w:val="both"/>
        <w:rPr>
          <w:rFonts w:ascii="ITC Avant Garde" w:eastAsia="Times New Roman" w:hAnsi="ITC Avant Garde"/>
          <w:b/>
          <w:i/>
          <w:sz w:val="24"/>
          <w:szCs w:val="24"/>
        </w:rPr>
      </w:pPr>
    </w:p>
    <w:p w14:paraId="1F920DA8" w14:textId="41121929" w:rsidR="00A7774F" w:rsidRPr="00E92CFC"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b/>
          <w:color w:val="000000"/>
        </w:rPr>
        <w:t xml:space="preserve">Fecha de Elaboración del Informe de Consideraciones sobre los comentarios, opiniones y aportaciones recibidos en relación a la presente Consulta Pública: </w:t>
      </w:r>
      <w:r w:rsidR="00DA6E58">
        <w:rPr>
          <w:rFonts w:ascii="ITC Avant Garde" w:hAnsi="ITC Avant Garde" w:cs="ITC Avant Garde"/>
          <w:color w:val="000000"/>
        </w:rPr>
        <w:t>19 de octubre</w:t>
      </w:r>
      <w:r w:rsidR="00977A10">
        <w:rPr>
          <w:rFonts w:ascii="ITC Avant Garde" w:hAnsi="ITC Avant Garde" w:cs="ITC Avant Garde"/>
          <w:color w:val="000000"/>
        </w:rPr>
        <w:t xml:space="preserve"> de </w:t>
      </w:r>
      <w:r>
        <w:rPr>
          <w:rFonts w:ascii="ITC Avant Garde" w:hAnsi="ITC Avant Garde" w:cs="ITC Avant Garde"/>
          <w:color w:val="000000"/>
        </w:rPr>
        <w:t>20</w:t>
      </w:r>
      <w:r w:rsidR="00DF582E">
        <w:rPr>
          <w:rFonts w:ascii="ITC Avant Garde" w:hAnsi="ITC Avant Garde" w:cs="ITC Avant Garde"/>
          <w:color w:val="000000"/>
        </w:rPr>
        <w:t>20</w:t>
      </w:r>
      <w:r w:rsidRPr="00E92CFC">
        <w:rPr>
          <w:rFonts w:ascii="ITC Avant Garde" w:hAnsi="ITC Avant Garde" w:cs="ITC Avant Garde"/>
          <w:color w:val="000000"/>
        </w:rPr>
        <w:t>.</w:t>
      </w:r>
    </w:p>
    <w:p w14:paraId="4122984F" w14:textId="77777777" w:rsidR="00A7774F" w:rsidRDefault="00A7774F" w:rsidP="00A7774F">
      <w:pPr>
        <w:spacing w:after="0" w:line="276" w:lineRule="auto"/>
        <w:jc w:val="both"/>
        <w:rPr>
          <w:rFonts w:ascii="ITC Avant Garde" w:eastAsia="Times New Roman" w:hAnsi="ITC Avant Garde"/>
          <w:b/>
          <w:i/>
          <w:sz w:val="24"/>
          <w:szCs w:val="24"/>
        </w:rPr>
      </w:pPr>
    </w:p>
    <w:p w14:paraId="6739E3F7" w14:textId="34477CE7" w:rsidR="00A7774F" w:rsidRDefault="00A7774F" w:rsidP="00A7774F">
      <w:pPr>
        <w:spacing w:after="0" w:line="276" w:lineRule="auto"/>
        <w:ind w:left="-6" w:hanging="11"/>
        <w:jc w:val="both"/>
        <w:rPr>
          <w:rFonts w:ascii="ITC Avant Garde" w:hAnsi="ITC Avant Garde" w:cs="ITC Avant Garde"/>
          <w:b/>
          <w:color w:val="000000"/>
        </w:rPr>
      </w:pPr>
      <w:r>
        <w:rPr>
          <w:rFonts w:ascii="ITC Avant Garde" w:hAnsi="ITC Avant Garde" w:cs="ITC Avant Garde"/>
          <w:b/>
          <w:color w:val="000000"/>
        </w:rPr>
        <w:t>Descripción de la Consulta Pública:</w:t>
      </w:r>
    </w:p>
    <w:p w14:paraId="358F7945" w14:textId="77777777" w:rsidR="00210E2A" w:rsidRPr="00210E2A" w:rsidRDefault="00210E2A" w:rsidP="00A7774F">
      <w:pPr>
        <w:spacing w:after="0" w:line="276" w:lineRule="auto"/>
        <w:ind w:left="-6" w:hanging="11"/>
        <w:jc w:val="both"/>
        <w:rPr>
          <w:rFonts w:ascii="ITC Avant Garde" w:hAnsi="ITC Avant Garde" w:cs="ITC Avant Garde"/>
          <w:color w:val="000000"/>
          <w:sz w:val="16"/>
          <w:szCs w:val="16"/>
        </w:rPr>
      </w:pPr>
    </w:p>
    <w:p w14:paraId="32EB6FB2" w14:textId="1E587FA9" w:rsidR="00A7774F"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Pr="007A5D7A">
        <w:rPr>
          <w:rFonts w:ascii="ITC Avant Garde" w:hAnsi="ITC Avant Garde" w:cs="ITC Avant Garde"/>
          <w:b/>
          <w:bCs/>
          <w:i/>
          <w:color w:val="000000"/>
        </w:rPr>
        <w:t xml:space="preserve">Propuestas de Convenio Marco de Interconexión presentado por el Agente Económico Preponderante en el </w:t>
      </w:r>
      <w:r w:rsidR="00016322">
        <w:rPr>
          <w:rFonts w:ascii="ITC Avant Garde" w:hAnsi="ITC Avant Garde" w:cs="ITC Avant Garde"/>
          <w:b/>
          <w:bCs/>
          <w:i/>
          <w:color w:val="000000"/>
        </w:rPr>
        <w:t>s</w:t>
      </w:r>
      <w:r w:rsidR="00016322" w:rsidRPr="007A5D7A">
        <w:rPr>
          <w:rFonts w:ascii="ITC Avant Garde" w:hAnsi="ITC Avant Garde" w:cs="ITC Avant Garde"/>
          <w:b/>
          <w:bCs/>
          <w:i/>
          <w:color w:val="000000"/>
        </w:rPr>
        <w:t xml:space="preserve">ector </w:t>
      </w:r>
      <w:r w:rsidRPr="007A5D7A">
        <w:rPr>
          <w:rFonts w:ascii="ITC Avant Garde" w:hAnsi="ITC Avant Garde" w:cs="ITC Avant Garde"/>
          <w:b/>
          <w:bCs/>
          <w:i/>
          <w:color w:val="000000"/>
        </w:rPr>
        <w:t xml:space="preserve">de las </w:t>
      </w:r>
      <w:r w:rsidR="00016322">
        <w:rPr>
          <w:rFonts w:ascii="ITC Avant Garde" w:hAnsi="ITC Avant Garde" w:cs="ITC Avant Garde"/>
          <w:b/>
          <w:bCs/>
          <w:i/>
          <w:color w:val="000000"/>
        </w:rPr>
        <w:t>t</w:t>
      </w:r>
      <w:r w:rsidR="00016322" w:rsidRPr="007A5D7A">
        <w:rPr>
          <w:rFonts w:ascii="ITC Avant Garde" w:hAnsi="ITC Avant Garde" w:cs="ITC Avant Garde"/>
          <w:b/>
          <w:bCs/>
          <w:i/>
          <w:color w:val="000000"/>
        </w:rPr>
        <w:t>elecomun</w:t>
      </w:r>
      <w:r w:rsidR="00016322">
        <w:rPr>
          <w:rFonts w:ascii="ITC Avant Garde" w:hAnsi="ITC Avant Garde" w:cs="ITC Avant Garde"/>
          <w:b/>
          <w:bCs/>
          <w:i/>
          <w:color w:val="000000"/>
        </w:rPr>
        <w:t xml:space="preserve">icaciones aplicables </w:t>
      </w:r>
      <w:r w:rsidR="00F06553">
        <w:rPr>
          <w:rFonts w:ascii="ITC Avant Garde" w:hAnsi="ITC Avant Garde" w:cs="ITC Avant Garde"/>
          <w:b/>
          <w:bCs/>
          <w:i/>
          <w:color w:val="000000"/>
        </w:rPr>
        <w:t xml:space="preserve">al </w:t>
      </w:r>
      <w:r w:rsidR="00016322">
        <w:rPr>
          <w:rFonts w:ascii="ITC Avant Garde" w:hAnsi="ITC Avant Garde" w:cs="ITC Avant Garde"/>
          <w:b/>
          <w:bCs/>
          <w:i/>
          <w:color w:val="000000"/>
        </w:rPr>
        <w:t xml:space="preserve">año </w:t>
      </w:r>
      <w:r w:rsidR="00F06553">
        <w:rPr>
          <w:rFonts w:ascii="ITC Avant Garde" w:hAnsi="ITC Avant Garde" w:cs="ITC Avant Garde"/>
          <w:b/>
          <w:bCs/>
          <w:i/>
          <w:color w:val="000000"/>
        </w:rPr>
        <w:t>202</w:t>
      </w:r>
      <w:r w:rsidR="00F1783D">
        <w:rPr>
          <w:rFonts w:ascii="ITC Avant Garde" w:hAnsi="ITC Avant Garde" w:cs="ITC Avant Garde"/>
          <w:b/>
          <w:bCs/>
          <w:i/>
          <w:color w:val="000000"/>
        </w:rPr>
        <w:t>1</w:t>
      </w:r>
      <w:r w:rsidRPr="007A5D7A">
        <w:rPr>
          <w:rFonts w:ascii="ITC Avant Garde" w:hAnsi="ITC Avant Garde" w:cs="ITC Avant Garde"/>
          <w:b/>
          <w:bCs/>
          <w:i/>
          <w:color w:val="000000"/>
        </w:rPr>
        <w:t>”</w:t>
      </w:r>
      <w:r w:rsidRPr="0053503B">
        <w:rPr>
          <w:rFonts w:ascii="ITC Avant Garde" w:hAnsi="ITC Avant Garde" w:cs="ITC Avant Garde"/>
          <w:b/>
          <w:bCs/>
          <w:color w:val="000000"/>
        </w:rPr>
        <w:t xml:space="preserve"> </w:t>
      </w:r>
      <w:r w:rsidRPr="0053503B">
        <w:rPr>
          <w:rFonts w:ascii="ITC Avant Garde" w:hAnsi="ITC Avant Garde" w:cs="ITC Avant Garde"/>
          <w:bCs/>
          <w:color w:val="000000"/>
        </w:rPr>
        <w:t xml:space="preserve">(en lo sucesivo, </w:t>
      </w:r>
      <w:r>
        <w:rPr>
          <w:rFonts w:ascii="ITC Avant Garde" w:hAnsi="ITC Avant Garde" w:cs="ITC Avant Garde"/>
          <w:bCs/>
          <w:color w:val="000000"/>
        </w:rPr>
        <w:t>el</w:t>
      </w:r>
      <w:r w:rsidRPr="0053503B">
        <w:rPr>
          <w:rFonts w:ascii="ITC Avant Garde" w:hAnsi="ITC Avant Garde" w:cs="ITC Avant Garde"/>
          <w:bCs/>
          <w:color w:val="000000"/>
        </w:rPr>
        <w:t xml:space="preserve"> </w:t>
      </w:r>
      <w:r>
        <w:rPr>
          <w:rFonts w:ascii="ITC Avant Garde" w:hAnsi="ITC Avant Garde" w:cs="ITC Avant Garde"/>
          <w:bCs/>
          <w:color w:val="000000"/>
        </w:rPr>
        <w:t>“</w:t>
      </w:r>
      <w:r w:rsidRPr="0053503B">
        <w:rPr>
          <w:rFonts w:ascii="ITC Avant Garde" w:hAnsi="ITC Avant Garde" w:cs="ITC Avant Garde"/>
          <w:bCs/>
          <w:color w:val="000000"/>
        </w:rPr>
        <w:t xml:space="preserve">CMI”) </w:t>
      </w:r>
      <w:r w:rsidRPr="0053503B">
        <w:rPr>
          <w:rFonts w:ascii="ITC Avant Garde" w:hAnsi="ITC Avant Garde" w:cs="ITC Avant Garde"/>
          <w:color w:val="000000"/>
        </w:rPr>
        <w:t>presentada</w:t>
      </w:r>
      <w:r>
        <w:rPr>
          <w:rFonts w:ascii="ITC Avant Garde" w:hAnsi="ITC Avant Garde" w:cs="ITC Avant Garde"/>
          <w:color w:val="000000"/>
        </w:rPr>
        <w:t>s por</w:t>
      </w:r>
      <w:r w:rsidRPr="00E16359">
        <w:rPr>
          <w:rFonts w:ascii="ITC Avant Garde" w:hAnsi="ITC Avant Garde"/>
        </w:rPr>
        <w:t xml:space="preserve"> Teléfonos de México, S.A.B. de C.V. y Teléfonos del Noroeste, S.A. de C.V. (en lo </w:t>
      </w:r>
      <w:r>
        <w:rPr>
          <w:rFonts w:ascii="ITC Avant Garde" w:hAnsi="ITC Avant Garde"/>
        </w:rPr>
        <w:t>sucesivo, conjuntamente “Telmex</w:t>
      </w:r>
      <w:r w:rsidR="003A0013">
        <w:rPr>
          <w:rFonts w:ascii="ITC Avant Garde" w:hAnsi="ITC Avant Garde"/>
        </w:rPr>
        <w:t>/Telnor</w:t>
      </w:r>
      <w:r>
        <w:rPr>
          <w:rFonts w:ascii="ITC Avant Garde" w:hAnsi="ITC Avant Garde"/>
        </w:rPr>
        <w:t>”</w:t>
      </w:r>
      <w:r w:rsidRPr="00E16359">
        <w:rPr>
          <w:rFonts w:ascii="ITC Avant Garde" w:hAnsi="ITC Avant Garde"/>
        </w:rPr>
        <w:t>)</w:t>
      </w:r>
      <w:r w:rsidRPr="0053503B">
        <w:rPr>
          <w:rFonts w:ascii="ITC Avant Garde" w:hAnsi="ITC Avant Garde" w:cs="ITC Avant Garde"/>
          <w:color w:val="000000"/>
        </w:rPr>
        <w:t xml:space="preserve"> materia de la consulta pública de mérito, recibidas durante el periodo comprendido </w:t>
      </w:r>
      <w:r w:rsidR="00F06553" w:rsidRPr="00F06553">
        <w:rPr>
          <w:rFonts w:ascii="ITC Avant Garde" w:hAnsi="ITC Avant Garde" w:cs="ITC Avant Garde"/>
          <w:color w:val="000000"/>
        </w:rPr>
        <w:t xml:space="preserve">del </w:t>
      </w:r>
      <w:r w:rsidR="00F1783D">
        <w:rPr>
          <w:rFonts w:ascii="ITC Avant Garde" w:hAnsi="ITC Avant Garde" w:cs="ITC Avant Garde"/>
          <w:color w:val="000000"/>
        </w:rPr>
        <w:t>01 de julio al 30 de julio de 2020</w:t>
      </w:r>
      <w:r>
        <w:rPr>
          <w:rFonts w:ascii="ITC Avant Garde" w:hAnsi="ITC Avant Garde" w:cs="ITC Avant Garde"/>
          <w:color w:val="000000"/>
        </w:rPr>
        <w:t xml:space="preserve"> a través de la</w:t>
      </w:r>
      <w:r w:rsidRPr="007A5D7A">
        <w:rPr>
          <w:rFonts w:ascii="ITC Avant Garde" w:hAnsi="ITC Avant Garde" w:cs="ITC Avant Garde"/>
          <w:color w:val="000000"/>
        </w:rPr>
        <w:t xml:space="preserve"> dirección de correo electrónico</w:t>
      </w:r>
      <w:r w:rsidR="00F437A7">
        <w:rPr>
          <w:rFonts w:ascii="ITC Avant Garde" w:hAnsi="ITC Avant Garde" w:cs="ITC Avant Garde"/>
          <w:color w:val="000000"/>
        </w:rPr>
        <w:t xml:space="preserve"> </w:t>
      </w:r>
      <w:hyperlink r:id="rId8" w:tgtFrame="_blank" w:tooltip="Envío de correo" w:history="1">
        <w:r w:rsidRPr="007A5D7A">
          <w:rPr>
            <w:rFonts w:ascii="ITC Avant Garde" w:hAnsi="ITC Avant Garde" w:cs="ITC Avant Garde"/>
            <w:color w:val="000000"/>
          </w:rPr>
          <w:t>cmi@ift.org.mx</w:t>
        </w:r>
      </w:hyperlink>
      <w:r w:rsidRPr="007A5D7A">
        <w:rPr>
          <w:rFonts w:ascii="ITC Avant Garde" w:hAnsi="ITC Avant Garde" w:cs="ITC Avant Garde"/>
          <w:color w:val="000000"/>
        </w:rPr>
        <w:t>,</w:t>
      </w:r>
      <w:r w:rsidR="00DA6E58">
        <w:rPr>
          <w:rFonts w:ascii="ITC Avant Garde" w:hAnsi="ITC Avant Garde" w:cs="ITC Avant Garde"/>
          <w:color w:val="000000"/>
        </w:rPr>
        <w:t xml:space="preserve"> </w:t>
      </w:r>
      <w:r w:rsidRPr="007A5D7A">
        <w:rPr>
          <w:rFonts w:ascii="ITC Avant Garde" w:hAnsi="ITC Avant Garde" w:cs="ITC Avant Garde"/>
          <w:color w:val="000000"/>
        </w:rPr>
        <w:t xml:space="preserve">o bien, mediante escrito presentado en la Oficialía de Partes Común del Instituto ubicada en Insurgentes Sur 1143, colonia Nochebuena, </w:t>
      </w:r>
      <w:r w:rsidR="00016322">
        <w:rPr>
          <w:rFonts w:ascii="ITC Avant Garde" w:hAnsi="ITC Avant Garde" w:cs="ITC Avant Garde"/>
          <w:color w:val="000000"/>
        </w:rPr>
        <w:t>Demarcación Territorial</w:t>
      </w:r>
      <w:r w:rsidR="00016322" w:rsidRPr="007A5D7A">
        <w:rPr>
          <w:rFonts w:ascii="ITC Avant Garde" w:hAnsi="ITC Avant Garde" w:cs="ITC Avant Garde"/>
          <w:color w:val="000000"/>
        </w:rPr>
        <w:t xml:space="preserve"> </w:t>
      </w:r>
      <w:r w:rsidRPr="007A5D7A">
        <w:rPr>
          <w:rFonts w:ascii="ITC Avant Garde" w:hAnsi="ITC Avant Garde" w:cs="ITC Avant Garde"/>
          <w:color w:val="000000"/>
        </w:rPr>
        <w:t>Benito J</w:t>
      </w:r>
      <w:bookmarkStart w:id="0" w:name="_GoBack"/>
      <w:bookmarkEnd w:id="0"/>
      <w:r w:rsidRPr="007A5D7A">
        <w:rPr>
          <w:rFonts w:ascii="ITC Avant Garde" w:hAnsi="ITC Avant Garde" w:cs="ITC Avant Garde"/>
          <w:color w:val="000000"/>
        </w:rPr>
        <w:t>uáre</w:t>
      </w:r>
      <w:r>
        <w:rPr>
          <w:rFonts w:ascii="ITC Avant Garde" w:hAnsi="ITC Avant Garde" w:cs="ITC Avant Garde"/>
          <w:color w:val="000000"/>
        </w:rPr>
        <w:t>z, C.P. 03720, Ciudad de México.</w:t>
      </w:r>
    </w:p>
    <w:p w14:paraId="0D28C7E6" w14:textId="77777777" w:rsidR="00A7774F" w:rsidRDefault="00A7774F" w:rsidP="00A7774F">
      <w:pPr>
        <w:spacing w:after="0" w:line="276" w:lineRule="auto"/>
        <w:ind w:left="-6" w:hanging="11"/>
        <w:jc w:val="both"/>
        <w:rPr>
          <w:rFonts w:ascii="ITC Avant Garde" w:hAnsi="ITC Avant Garde" w:cs="ITC Avant Garde"/>
          <w:color w:val="000000"/>
        </w:rPr>
      </w:pPr>
    </w:p>
    <w:p w14:paraId="708979ED" w14:textId="77777777" w:rsidR="00A7774F" w:rsidRDefault="00A7774F" w:rsidP="00A7774F">
      <w:pPr>
        <w:spacing w:after="3" w:line="276" w:lineRule="auto"/>
        <w:ind w:left="-5" w:hanging="10"/>
        <w:jc w:val="both"/>
        <w:rPr>
          <w:rFonts w:ascii="ITC Avant Garde" w:hAnsi="ITC Avant Garde" w:cs="ITC Avant Garde"/>
          <w:b/>
          <w:color w:val="000000"/>
        </w:rPr>
      </w:pPr>
      <w:r w:rsidRPr="003B63F4">
        <w:rPr>
          <w:rFonts w:ascii="ITC Avant Garde" w:hAnsi="ITC Avant Garde" w:cs="ITC Avant Garde"/>
          <w:b/>
          <w:color w:val="000000"/>
        </w:rPr>
        <w:t>Objetivo</w:t>
      </w:r>
      <w:r>
        <w:rPr>
          <w:rFonts w:ascii="ITC Avant Garde" w:hAnsi="ITC Avant Garde" w:cs="ITC Avant Garde"/>
          <w:b/>
          <w:color w:val="000000"/>
        </w:rPr>
        <w:t xml:space="preserve"> de la Consulta Pública:</w:t>
      </w:r>
    </w:p>
    <w:p w14:paraId="65175BDA" w14:textId="60C19134" w:rsidR="00A7774F"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las</w:t>
      </w:r>
      <w:r>
        <w:rPr>
          <w:rFonts w:ascii="ITC Avant Garde" w:hAnsi="ITC Avant Garde" w:cs="ITC Avant Garde"/>
          <w:color w:val="000000"/>
        </w:rPr>
        <w:t xml:space="preserve"> </w:t>
      </w:r>
      <w:r w:rsidR="00016322">
        <w:rPr>
          <w:rFonts w:ascii="ITC Avant Garde" w:hAnsi="ITC Avant Garde" w:cs="ITC Avant Garde"/>
          <w:bCs/>
          <w:color w:val="000000"/>
        </w:rPr>
        <w:t>p</w:t>
      </w:r>
      <w:r w:rsidR="00016322" w:rsidRPr="0053503B">
        <w:rPr>
          <w:rFonts w:ascii="ITC Avant Garde" w:hAnsi="ITC Avant Garde" w:cs="ITC Avant Garde"/>
          <w:bCs/>
          <w:color w:val="000000"/>
        </w:rPr>
        <w:t>ropuesta</w:t>
      </w:r>
      <w:r w:rsidR="00016322">
        <w:rPr>
          <w:rFonts w:ascii="ITC Avant Garde" w:hAnsi="ITC Avant Garde" w:cs="ITC Avant Garde"/>
          <w:bCs/>
          <w:color w:val="000000"/>
        </w:rPr>
        <w:t>s</w:t>
      </w:r>
      <w:r w:rsidR="00016322" w:rsidRPr="0053503B">
        <w:rPr>
          <w:rFonts w:ascii="ITC Avant Garde" w:hAnsi="ITC Avant Garde" w:cs="ITC Avant Garde"/>
          <w:bCs/>
          <w:color w:val="000000"/>
        </w:rPr>
        <w:t xml:space="preserve"> </w:t>
      </w:r>
      <w:r w:rsidRPr="0053503B">
        <w:rPr>
          <w:rFonts w:ascii="ITC Avant Garde" w:hAnsi="ITC Avant Garde" w:cs="ITC Avant Garde"/>
          <w:bCs/>
          <w:color w:val="000000"/>
        </w:rPr>
        <w:t xml:space="preserve">de </w:t>
      </w:r>
      <w:r>
        <w:rPr>
          <w:rFonts w:ascii="ITC Avant Garde" w:hAnsi="ITC Avant Garde" w:cs="ITC Avant Garde"/>
          <w:bCs/>
          <w:color w:val="000000"/>
        </w:rPr>
        <w:t>CMI</w:t>
      </w:r>
      <w:r w:rsidRPr="006F7ACA">
        <w:rPr>
          <w:rFonts w:ascii="ITC Avant Garde" w:hAnsi="ITC Avant Garde" w:cs="ITC Avant Garde"/>
          <w:bCs/>
        </w:rPr>
        <w:t>.</w:t>
      </w:r>
      <w:r>
        <w:rPr>
          <w:rFonts w:ascii="ITC Avant Garde" w:hAnsi="ITC Avant Garde" w:cs="ITC Avant Garde"/>
          <w:b/>
          <w:bCs/>
        </w:rPr>
        <w:t xml:space="preserve"> </w:t>
      </w:r>
      <w:r>
        <w:rPr>
          <w:rFonts w:ascii="ITC Avant Garde" w:hAnsi="ITC Avant Garde" w:cs="ITC Avant Garde"/>
          <w:color w:val="000000"/>
        </w:rPr>
        <w:t xml:space="preserve">Dichas propuestas se </w:t>
      </w:r>
      <w:r w:rsidR="00016322">
        <w:rPr>
          <w:rFonts w:ascii="ITC Avant Garde" w:hAnsi="ITC Avant Garde" w:cs="ITC Avant Garde"/>
          <w:color w:val="000000"/>
        </w:rPr>
        <w:t>sometieron</w:t>
      </w:r>
      <w:r w:rsidR="00016322" w:rsidRPr="003B63F4">
        <w:rPr>
          <w:rFonts w:ascii="ITC Avant Garde" w:hAnsi="ITC Avant Garde" w:cs="ITC Avant Garde"/>
          <w:color w:val="000000"/>
        </w:rPr>
        <w:t xml:space="preserve"> </w:t>
      </w:r>
      <w:r w:rsidRPr="003B63F4">
        <w:rPr>
          <w:rFonts w:ascii="ITC Avant Garde" w:hAnsi="ITC Avant Garde" w:cs="ITC Avant Garde"/>
          <w:color w:val="000000"/>
        </w:rPr>
        <w:t xml:space="preserve">a consulta pública con base en lo establecido en </w:t>
      </w:r>
      <w:r w:rsidR="00977A10" w:rsidRPr="00977A10">
        <w:rPr>
          <w:rFonts w:ascii="ITC Avant Garde" w:hAnsi="ITC Avant Garde" w:cs="ITC Avant Garde"/>
          <w:color w:val="000000"/>
        </w:rPr>
        <w:t>los artículos 1, 2, 7, 15, fracciones XL y LXIII, 51, 267, fracción I y 268 de la Ley Federal de Telecomunicaciones y Radiodifusión</w:t>
      </w:r>
      <w:r w:rsidR="00977A10">
        <w:rPr>
          <w:rFonts w:ascii="ITC Avant Garde" w:hAnsi="ITC Avant Garde" w:cs="ITC Avant Garde"/>
          <w:color w:val="000000"/>
        </w:rPr>
        <w:t xml:space="preserve"> </w:t>
      </w:r>
      <w:r w:rsidR="00977A10" w:rsidRPr="00E16359">
        <w:rPr>
          <w:rFonts w:ascii="ITC Avant Garde" w:hAnsi="ITC Avant Garde"/>
        </w:rPr>
        <w:t xml:space="preserve">(en lo </w:t>
      </w:r>
      <w:r w:rsidR="00977A10">
        <w:rPr>
          <w:rFonts w:ascii="ITC Avant Garde" w:hAnsi="ITC Avant Garde"/>
        </w:rPr>
        <w:t>sucesivo “LFTR”</w:t>
      </w:r>
      <w:r w:rsidR="00977A10" w:rsidRPr="00E16359">
        <w:rPr>
          <w:rFonts w:ascii="ITC Avant Garde" w:hAnsi="ITC Avant Garde"/>
        </w:rPr>
        <w:t>)</w:t>
      </w:r>
      <w:r w:rsidR="00977A10" w:rsidRPr="00977A10">
        <w:rPr>
          <w:rFonts w:ascii="ITC Avant Garde" w:hAnsi="ITC Avant Garde" w:cs="ITC Avant Garde"/>
          <w:color w:val="000000"/>
        </w:rPr>
        <w:t>; así como 1</w:t>
      </w:r>
      <w:r w:rsidR="00F1783D">
        <w:rPr>
          <w:rFonts w:ascii="ITC Avant Garde" w:hAnsi="ITC Avant Garde" w:cs="ITC Avant Garde"/>
          <w:color w:val="000000"/>
        </w:rPr>
        <w:t>°</w:t>
      </w:r>
      <w:r w:rsidR="00977A10" w:rsidRPr="00977A10">
        <w:rPr>
          <w:rFonts w:ascii="ITC Avant Garde" w:hAnsi="ITC Avant Garde" w:cs="ITC Avant Garde"/>
          <w:color w:val="000000"/>
        </w:rPr>
        <w:t>, 4, fracción I, 6, fracción XXXVIII y 25, fracción XI del Estatuto Orgánico del Instituto Federal de Telecomunicaciones</w:t>
      </w:r>
      <w:r w:rsidR="00977A10">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por lo </w:t>
      </w:r>
      <w:r w:rsidRPr="003B63F4">
        <w:rPr>
          <w:rFonts w:ascii="ITC Avant Garde" w:hAnsi="ITC Avant Garde" w:cs="ITC Avant Garde"/>
          <w:color w:val="000000"/>
        </w:rPr>
        <w:lastRenderedPageBreak/>
        <w:t xml:space="preserve">establecido en la </w:t>
      </w:r>
      <w:r w:rsidRPr="005D110C">
        <w:rPr>
          <w:rFonts w:ascii="ITC Avant Garde" w:hAnsi="ITC Avant Garde" w:cs="ITC Avant Garde"/>
          <w:i/>
          <w:color w:val="000000"/>
        </w:rPr>
        <w:t>“Resolución mediante la cual el Pleno del Instituto Federal de Telecomunicaciones suprime, modifica y adiciona las medidas impuestas al Agente Económico Preponderante en el sector de telecomunicaciones mediante resolución de fecha 6 de marzo de 2014”</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P/IFT/EXT/270217/119.</w:t>
      </w:r>
    </w:p>
    <w:p w14:paraId="4C2BA39E" w14:textId="77777777" w:rsidR="00977A10" w:rsidRDefault="00977A10" w:rsidP="00A7774F">
      <w:pPr>
        <w:spacing w:after="0" w:line="276" w:lineRule="auto"/>
        <w:ind w:left="-6" w:hanging="11"/>
        <w:jc w:val="both"/>
        <w:rPr>
          <w:rFonts w:ascii="ITC Avant Garde" w:hAnsi="ITC Avant Garde" w:cs="ITC Avant Garde"/>
          <w:color w:val="000000"/>
        </w:rPr>
      </w:pPr>
    </w:p>
    <w:p w14:paraId="4130D40B" w14:textId="77777777" w:rsidR="00A7774F" w:rsidRDefault="00A7774F" w:rsidP="00A7774F">
      <w:pPr>
        <w:spacing w:after="0" w:line="276" w:lineRule="auto"/>
        <w:ind w:left="-6" w:hanging="11"/>
        <w:jc w:val="both"/>
        <w:rPr>
          <w:rFonts w:ascii="ITC Avant Garde" w:hAnsi="ITC Avant Garde" w:cs="ITC Avant Garde"/>
          <w:color w:val="000000"/>
        </w:rPr>
      </w:pPr>
      <w:r w:rsidRPr="003B63F4">
        <w:rPr>
          <w:rFonts w:ascii="ITC Avant Garde" w:hAnsi="ITC Avant Garde" w:cs="ITC Avant Garde"/>
          <w:color w:val="000000"/>
        </w:rPr>
        <w:t xml:space="preserve">En virtud de lo anterior, la presente consulta pública tiene </w:t>
      </w:r>
      <w:r w:rsidR="00977A10">
        <w:rPr>
          <w:rFonts w:ascii="ITC Avant Garde" w:hAnsi="ITC Avant Garde" w:cs="ITC Avant Garde"/>
          <w:color w:val="000000"/>
        </w:rPr>
        <w:t xml:space="preserve">como </w:t>
      </w:r>
      <w:r w:rsidRPr="003B63F4">
        <w:rPr>
          <w:rFonts w:ascii="ITC Avant Garde" w:hAnsi="ITC Avant Garde" w:cs="ITC Avant Garde"/>
          <w:color w:val="000000"/>
        </w:rPr>
        <w:t>objetivo</w:t>
      </w:r>
      <w:r w:rsidR="00977A10">
        <w:rPr>
          <w:rFonts w:ascii="ITC Avant Garde" w:hAnsi="ITC Avant Garde" w:cs="ITC Avant Garde"/>
          <w:color w:val="000000"/>
        </w:rPr>
        <w:t>s</w:t>
      </w:r>
      <w:r w:rsidRPr="003B63F4">
        <w:rPr>
          <w:rFonts w:ascii="ITC Avant Garde" w:hAnsi="ITC Avant Garde" w:cs="ITC Avant Garde"/>
          <w:color w:val="000000"/>
        </w:rPr>
        <w:t xml:space="preserve"> </w:t>
      </w:r>
      <w:r w:rsidR="00977A10">
        <w:rPr>
          <w:rFonts w:ascii="ITC Avant Garde" w:hAnsi="ITC Avant Garde" w:cs="ITC Avant Garde"/>
          <w:color w:val="000000"/>
        </w:rPr>
        <w:t>el</w:t>
      </w:r>
      <w:r w:rsidR="00977A10" w:rsidRPr="003B63F4">
        <w:rPr>
          <w:rFonts w:ascii="ITC Avant Garde" w:hAnsi="ITC Avant Garde" w:cs="ITC Avant Garde"/>
          <w:color w:val="000000"/>
        </w:rPr>
        <w:t xml:space="preserve"> </w:t>
      </w:r>
      <w:r w:rsidR="00016322">
        <w:rPr>
          <w:rFonts w:ascii="ITC Avant Garde" w:hAnsi="ITC Avant Garde" w:cs="ITC Avant Garde"/>
          <w:color w:val="000000"/>
        </w:rPr>
        <w:t xml:space="preserve">i) </w:t>
      </w:r>
      <w:r w:rsidRPr="003B63F4">
        <w:rPr>
          <w:rFonts w:ascii="ITC Avant Garde" w:hAnsi="ITC Avant Garde" w:cs="ITC Avant Garde"/>
          <w:color w:val="000000"/>
        </w:rPr>
        <w:t>contar con mayores elementos que le permitan al Instituto determinar las condiciones bajo las cuales se deberán aprobar los Convenios Marco de Interconexión del Agente Económico Preponderante apl</w:t>
      </w:r>
      <w:r w:rsidR="001F436C">
        <w:rPr>
          <w:rFonts w:ascii="ITC Avant Garde" w:hAnsi="ITC Avant Garde" w:cs="ITC Avant Garde"/>
          <w:color w:val="000000"/>
        </w:rPr>
        <w:t>icables durante el año 2020</w:t>
      </w:r>
      <w:r w:rsidR="00977A10">
        <w:rPr>
          <w:rFonts w:ascii="ITC Avant Garde" w:hAnsi="ITC Avant Garde" w:cs="ITC Avant Garde"/>
          <w:color w:val="000000"/>
        </w:rPr>
        <w:t>;</w:t>
      </w:r>
      <w:r w:rsidR="00977A10" w:rsidRPr="003B63F4">
        <w:rPr>
          <w:rFonts w:ascii="ITC Avant Garde" w:hAnsi="ITC Avant Garde" w:cs="ITC Avant Garde"/>
          <w:color w:val="000000"/>
        </w:rPr>
        <w:t xml:space="preserve"> </w:t>
      </w:r>
      <w:r w:rsidR="00977A10">
        <w:rPr>
          <w:rFonts w:ascii="ITC Avant Garde" w:hAnsi="ITC Avant Garde" w:cs="ITC Avant Garde"/>
          <w:color w:val="000000"/>
        </w:rPr>
        <w:t xml:space="preserve">ii) favorecer la transparencia y participación ciudadana con el fin de recibir comentarios y opiniones de regulados, cámaras, usuarios y audiencias sobre los Convenios de Interconexión y iii) establecer las bases para aprobar o modificar los mismos. </w:t>
      </w:r>
    </w:p>
    <w:p w14:paraId="09437634" w14:textId="77777777" w:rsidR="00A7774F" w:rsidRDefault="00A7774F" w:rsidP="00A7774F">
      <w:pPr>
        <w:spacing w:after="0" w:line="276" w:lineRule="auto"/>
        <w:ind w:left="-6" w:hanging="11"/>
        <w:jc w:val="both"/>
        <w:rPr>
          <w:rFonts w:ascii="ITC Avant Garde" w:hAnsi="ITC Avant Garde" w:cs="ITC Avant Garde"/>
          <w:color w:val="000000"/>
        </w:rPr>
      </w:pPr>
    </w:p>
    <w:p w14:paraId="7C1A51F3" w14:textId="77777777" w:rsidR="00A7774F" w:rsidRDefault="00A7774F" w:rsidP="00A7774F">
      <w:pPr>
        <w:spacing w:after="3" w:line="276" w:lineRule="auto"/>
        <w:ind w:left="-6" w:hanging="11"/>
        <w:jc w:val="both"/>
        <w:rPr>
          <w:rFonts w:ascii="ITC Avant Garde" w:hAnsi="ITC Avant Garde" w:cs="ITC Avant Garde"/>
          <w:b/>
          <w:color w:val="000000"/>
        </w:rPr>
      </w:pPr>
      <w:r>
        <w:rPr>
          <w:rFonts w:ascii="ITC Avant Garde" w:hAnsi="ITC Avant Garde" w:cs="ITC Avant Garde"/>
          <w:b/>
          <w:color w:val="000000"/>
        </w:rPr>
        <w:t xml:space="preserve">Unidad Administrativa que promueve el proyecto: </w:t>
      </w:r>
      <w:r w:rsidRPr="00F7338C">
        <w:rPr>
          <w:rFonts w:ascii="ITC Avant Garde" w:hAnsi="ITC Avant Garde" w:cs="ITC Avant Garde"/>
          <w:color w:val="000000"/>
        </w:rPr>
        <w:t>Unidad de Política Regulatoria.</w:t>
      </w:r>
    </w:p>
    <w:p w14:paraId="18C6C5CD" w14:textId="77777777" w:rsidR="00A7774F" w:rsidRPr="0053503B" w:rsidRDefault="00A7774F" w:rsidP="00A7774F">
      <w:pPr>
        <w:spacing w:after="0" w:line="276" w:lineRule="auto"/>
        <w:jc w:val="both"/>
        <w:rPr>
          <w:rFonts w:ascii="ITC Avant Garde" w:eastAsia="Times New Roman" w:hAnsi="ITC Avant Garde"/>
          <w:b/>
          <w:i/>
          <w:sz w:val="24"/>
          <w:szCs w:val="24"/>
        </w:rPr>
      </w:pPr>
    </w:p>
    <w:p w14:paraId="1C9EF9F4" w14:textId="77777777" w:rsidR="00A7774F" w:rsidRPr="0053503B"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b/>
          <w:color w:val="000000"/>
        </w:rPr>
        <w:t>Participantes de la Consulta Pública:</w:t>
      </w:r>
    </w:p>
    <w:p w14:paraId="19E7CD20" w14:textId="77777777" w:rsidR="00A7774F" w:rsidRPr="00E16359" w:rsidRDefault="00A7774F" w:rsidP="00A7774F">
      <w:pPr>
        <w:spacing w:after="0" w:line="276" w:lineRule="auto"/>
        <w:ind w:left="-5"/>
        <w:jc w:val="both"/>
        <w:rPr>
          <w:rFonts w:ascii="ITC Avant Garde" w:hAnsi="ITC Avant Garde"/>
        </w:rPr>
      </w:pPr>
      <w:r w:rsidRPr="00E16359">
        <w:rPr>
          <w:rFonts w:ascii="ITC Avant Garde" w:hAnsi="ITC Avant Garde"/>
        </w:rPr>
        <w:t xml:space="preserve">Durante el periodo de la consulta pública de mérito, se recibieron </w:t>
      </w:r>
      <w:r w:rsidR="000316F1">
        <w:rPr>
          <w:rFonts w:ascii="ITC Avant Garde" w:hAnsi="ITC Avant Garde"/>
        </w:rPr>
        <w:t>6</w:t>
      </w:r>
      <w:r>
        <w:rPr>
          <w:rFonts w:ascii="ITC Avant Garde" w:hAnsi="ITC Avant Garde"/>
        </w:rPr>
        <w:t xml:space="preserve"> </w:t>
      </w:r>
      <w:r w:rsidRPr="00E16359">
        <w:rPr>
          <w:rFonts w:ascii="ITC Avant Garde" w:hAnsi="ITC Avant Garde"/>
        </w:rPr>
        <w:t>participaciones, por parte de las siguientes personas morales:</w:t>
      </w:r>
    </w:p>
    <w:p w14:paraId="6CB5030A" w14:textId="77777777" w:rsidR="00A7774F" w:rsidRPr="00E16359" w:rsidRDefault="00A7774F" w:rsidP="00A7774F">
      <w:pPr>
        <w:spacing w:after="0" w:line="276" w:lineRule="auto"/>
        <w:ind w:left="-5"/>
        <w:jc w:val="both"/>
        <w:rPr>
          <w:rFonts w:ascii="ITC Avant Garde" w:hAnsi="ITC Avant Garde"/>
        </w:rPr>
      </w:pPr>
    </w:p>
    <w:p w14:paraId="77427C3C" w14:textId="77777777" w:rsidR="00264C9D" w:rsidRPr="00B128E2" w:rsidRDefault="00264C9D" w:rsidP="00264C9D">
      <w:pPr>
        <w:pStyle w:val="Prrafodelista"/>
        <w:numPr>
          <w:ilvl w:val="0"/>
          <w:numId w:val="1"/>
        </w:numPr>
        <w:spacing w:after="0" w:line="276" w:lineRule="auto"/>
        <w:jc w:val="both"/>
        <w:rPr>
          <w:rFonts w:ascii="ITC Avant Garde" w:hAnsi="ITC Avant Garde"/>
        </w:rPr>
      </w:pPr>
      <w:r w:rsidRPr="00B128E2">
        <w:rPr>
          <w:rFonts w:ascii="ITC Avant Garde" w:hAnsi="ITC Avant Garde" w:cs="ITC Avant Garde"/>
        </w:rPr>
        <w:t>AT&amp;T Comunicaciones Digitales, S. de R.L. de C.V., Grupo AT&amp;T Celullar, S. de R.L. de C.V., AT&amp;T Norte, S. de R.L. de C.V., AT&amp;T Comercialización Móvil, S. de R.L. de C.V. y AT&amp;T Desarrollo en Comunicaciones de México, S. de R.L. de C.V. (en lo sucesivo, “Grupo AT&amp;T”);</w:t>
      </w:r>
    </w:p>
    <w:p w14:paraId="4CA4EF53" w14:textId="77777777" w:rsidR="00264C9D" w:rsidRPr="00B128E2" w:rsidRDefault="00264C9D" w:rsidP="00264C9D">
      <w:pPr>
        <w:pStyle w:val="Prrafodelista"/>
        <w:numPr>
          <w:ilvl w:val="0"/>
          <w:numId w:val="1"/>
        </w:numPr>
        <w:spacing w:after="0" w:line="276" w:lineRule="auto"/>
        <w:jc w:val="both"/>
        <w:rPr>
          <w:rFonts w:ascii="ITC Avant Garde" w:hAnsi="ITC Avant Garde"/>
        </w:rPr>
      </w:pPr>
      <w:r w:rsidRPr="00B128E2">
        <w:rPr>
          <w:rFonts w:ascii="ITC Avant Garde" w:hAnsi="ITC Avant Garde"/>
        </w:rPr>
        <w:t>Cámara Nacional de la Industria, Electrónica, de Telecomunicaciones y Tecnologías de la Información (en lo sucesivo, “CANIETI”)</w:t>
      </w:r>
    </w:p>
    <w:p w14:paraId="6E7E21C9" w14:textId="77777777" w:rsidR="00A7774F" w:rsidRPr="00B128E2" w:rsidRDefault="00A7774F" w:rsidP="00A7774F">
      <w:pPr>
        <w:pStyle w:val="Prrafodelista"/>
        <w:numPr>
          <w:ilvl w:val="0"/>
          <w:numId w:val="1"/>
        </w:numPr>
        <w:spacing w:after="0" w:line="276" w:lineRule="auto"/>
        <w:jc w:val="both"/>
        <w:rPr>
          <w:rFonts w:ascii="ITC Avant Garde" w:hAnsi="ITC Avant Garde"/>
        </w:rPr>
      </w:pPr>
      <w:r w:rsidRPr="00B128E2">
        <w:rPr>
          <w:rFonts w:ascii="ITC Avant Garde" w:hAnsi="ITC Avant Garde"/>
        </w:rPr>
        <w:t>Mega Cable, S.A. de C.V. (en lo sucesivo, “Mega Cable”)</w:t>
      </w:r>
    </w:p>
    <w:p w14:paraId="77E305AA" w14:textId="77777777" w:rsidR="00264C9D" w:rsidRPr="00B128E2" w:rsidRDefault="00264C9D" w:rsidP="00264C9D">
      <w:pPr>
        <w:pStyle w:val="Prrafodelista"/>
        <w:numPr>
          <w:ilvl w:val="0"/>
          <w:numId w:val="1"/>
        </w:numPr>
        <w:spacing w:after="0" w:line="276" w:lineRule="auto"/>
        <w:jc w:val="both"/>
        <w:rPr>
          <w:rFonts w:ascii="ITC Avant Garde" w:hAnsi="ITC Avant Garde"/>
        </w:rPr>
      </w:pPr>
      <w:r w:rsidRPr="00B128E2">
        <w:rPr>
          <w:rFonts w:ascii="ITC Avant Garde" w:hAnsi="ITC Avant Garde"/>
        </w:rPr>
        <w:t>Pegaso PCS, S.A. de C.V. (en lo sucesivo, “Telefónica”);</w:t>
      </w:r>
    </w:p>
    <w:p w14:paraId="5B5D4F74" w14:textId="77777777" w:rsidR="00A7774F" w:rsidRPr="00B128E2" w:rsidRDefault="00264C9D" w:rsidP="00A7774F">
      <w:pPr>
        <w:pStyle w:val="Prrafodelista"/>
        <w:numPr>
          <w:ilvl w:val="0"/>
          <w:numId w:val="1"/>
        </w:numPr>
        <w:autoSpaceDE w:val="0"/>
        <w:autoSpaceDN w:val="0"/>
        <w:adjustRightInd w:val="0"/>
        <w:spacing w:after="0" w:line="276" w:lineRule="auto"/>
        <w:jc w:val="both"/>
        <w:rPr>
          <w:rFonts w:ascii="ITC Avant Garde" w:hAnsi="ITC Avant Garde" w:cs="ITC Avant Garde"/>
        </w:rPr>
      </w:pPr>
      <w:r w:rsidRPr="00B128E2">
        <w:rPr>
          <w:rFonts w:ascii="ITC Avant Garde" w:hAnsi="ITC Avant Garde" w:cs="ITC Avant Garde"/>
        </w:rPr>
        <w:t xml:space="preserve">Cablevisión, S.A. de C.V., Operbes, S.A. de C.V, </w:t>
      </w:r>
      <w:r w:rsidR="00A7774F" w:rsidRPr="00B128E2">
        <w:rPr>
          <w:rFonts w:ascii="ITC Avant Garde" w:hAnsi="ITC Avant Garde" w:cs="ITC Avant Garde"/>
        </w:rPr>
        <w:t xml:space="preserve">Cable y Comunicación de Campeche, S.A. de C.V., </w:t>
      </w:r>
      <w:r w:rsidRPr="00B128E2">
        <w:rPr>
          <w:rFonts w:ascii="ITC Avant Garde" w:hAnsi="ITC Avant Garde" w:cs="ITC Avant Garde"/>
        </w:rPr>
        <w:t xml:space="preserve">Bestphone, S.A. de C.V., </w:t>
      </w:r>
      <w:r w:rsidR="00A7774F" w:rsidRPr="00B128E2">
        <w:rPr>
          <w:rFonts w:ascii="ITC Avant Garde" w:hAnsi="ITC Avant Garde" w:cs="ITC Avant Garde"/>
        </w:rPr>
        <w:t xml:space="preserve">Cablemás Telecomunicaciones, S.A. de C.V., </w:t>
      </w:r>
      <w:r w:rsidRPr="00B128E2">
        <w:rPr>
          <w:rFonts w:ascii="ITC Avant Garde" w:hAnsi="ITC Avant Garde" w:cs="ITC Avant Garde"/>
        </w:rPr>
        <w:t xml:space="preserve">Tele Azteca, S.A. de C.V., México Red de Telecomunicaciones, S. de R.L. de C.V., </w:t>
      </w:r>
      <w:r w:rsidR="00A7774F" w:rsidRPr="00B128E2">
        <w:rPr>
          <w:rFonts w:ascii="ITC Avant Garde" w:hAnsi="ITC Avant Garde" w:cs="ITC Avant Garde"/>
        </w:rPr>
        <w:t xml:space="preserve">Televisión Internacional, S.A. de C.V., </w:t>
      </w:r>
      <w:r w:rsidRPr="00B128E2">
        <w:rPr>
          <w:rFonts w:ascii="ITC Avant Garde" w:hAnsi="ITC Avant Garde" w:cs="ITC Avant Garde"/>
        </w:rPr>
        <w:t xml:space="preserve">Cablevisión Red, S.A. de C.V, </w:t>
      </w:r>
      <w:r w:rsidR="00A7774F" w:rsidRPr="00B128E2">
        <w:rPr>
          <w:rFonts w:ascii="ITC Avant Garde" w:hAnsi="ITC Avant Garde" w:cs="ITC Avant Garde"/>
        </w:rPr>
        <w:t>y TV Cable de Oriente, S.A. de C.V. (en lo sucesivo, “Grupo Televisa”).</w:t>
      </w:r>
    </w:p>
    <w:p w14:paraId="25BE095B" w14:textId="30C388D7" w:rsidR="00264C9D" w:rsidRPr="00B128E2" w:rsidRDefault="00264C9D" w:rsidP="00264C9D">
      <w:pPr>
        <w:pStyle w:val="Prrafodelista"/>
        <w:numPr>
          <w:ilvl w:val="0"/>
          <w:numId w:val="1"/>
        </w:numPr>
        <w:spacing w:after="0" w:line="276" w:lineRule="auto"/>
        <w:jc w:val="both"/>
        <w:rPr>
          <w:rFonts w:ascii="ITC Avant Garde" w:hAnsi="ITC Avant Garde"/>
        </w:rPr>
      </w:pPr>
      <w:r w:rsidRPr="00B128E2">
        <w:rPr>
          <w:rFonts w:ascii="ITC Avant Garde" w:hAnsi="ITC Avant Garde"/>
        </w:rPr>
        <w:t>Altán Redes, S.A.P.I. de C.V. (en lo sucesivo, “Altán”)</w:t>
      </w:r>
    </w:p>
    <w:p w14:paraId="5865711A" w14:textId="591FDB81" w:rsidR="00B50F6E" w:rsidRPr="00B128E2" w:rsidRDefault="00B50F6E" w:rsidP="00264C9D">
      <w:pPr>
        <w:pStyle w:val="Prrafodelista"/>
        <w:numPr>
          <w:ilvl w:val="0"/>
          <w:numId w:val="1"/>
        </w:numPr>
        <w:spacing w:after="0" w:line="276" w:lineRule="auto"/>
        <w:jc w:val="both"/>
        <w:rPr>
          <w:rFonts w:ascii="ITC Avant Garde" w:hAnsi="ITC Avant Garde"/>
        </w:rPr>
      </w:pPr>
      <w:r w:rsidRPr="00B128E2">
        <w:rPr>
          <w:rFonts w:ascii="ITC Avant Garde" w:hAnsi="ITC Avant Garde"/>
        </w:rPr>
        <w:t>UC Telecomunicaciones, S.A.P.I. de C.V.</w:t>
      </w:r>
      <w:r w:rsidR="00B128E2" w:rsidRPr="00B128E2">
        <w:rPr>
          <w:rFonts w:ascii="ITC Avant Garde" w:hAnsi="ITC Avant Garde"/>
        </w:rPr>
        <w:t xml:space="preserve"> (en lo sucesivo, “UC Telecom”)</w:t>
      </w:r>
    </w:p>
    <w:p w14:paraId="32AE0CD5" w14:textId="5C5C22BA" w:rsidR="00B50F6E" w:rsidRPr="00B128E2" w:rsidRDefault="00B50F6E" w:rsidP="00264C9D">
      <w:pPr>
        <w:pStyle w:val="Prrafodelista"/>
        <w:numPr>
          <w:ilvl w:val="0"/>
          <w:numId w:val="1"/>
        </w:numPr>
        <w:spacing w:after="0" w:line="276" w:lineRule="auto"/>
        <w:jc w:val="both"/>
        <w:rPr>
          <w:rFonts w:ascii="ITC Avant Garde" w:hAnsi="ITC Avant Garde"/>
        </w:rPr>
      </w:pPr>
      <w:r w:rsidRPr="00B128E2">
        <w:rPr>
          <w:rFonts w:ascii="ITC Avant Garde" w:hAnsi="ITC Avant Garde"/>
        </w:rPr>
        <w:t>Axtel, S.A.B. de C.V.</w:t>
      </w:r>
      <w:r w:rsidR="00B128E2" w:rsidRPr="00B128E2">
        <w:rPr>
          <w:rFonts w:ascii="ITC Avant Garde" w:hAnsi="ITC Avant Garde"/>
        </w:rPr>
        <w:t xml:space="preserve"> (en lo sucesivo, “Axtel”)</w:t>
      </w:r>
    </w:p>
    <w:p w14:paraId="0679B756" w14:textId="77777777" w:rsidR="00A7774F" w:rsidRPr="00E16359" w:rsidRDefault="00A7774F" w:rsidP="00A7774F">
      <w:pPr>
        <w:pStyle w:val="Prrafodelista"/>
        <w:spacing w:after="0" w:line="276" w:lineRule="auto"/>
        <w:jc w:val="both"/>
        <w:rPr>
          <w:rFonts w:ascii="ITC Avant Garde" w:hAnsi="ITC Avant Garde"/>
        </w:rPr>
      </w:pPr>
    </w:p>
    <w:p w14:paraId="067B1877" w14:textId="77777777" w:rsidR="00A7774F" w:rsidRPr="00D76852" w:rsidRDefault="00A7774F" w:rsidP="00A7774F">
      <w:pPr>
        <w:spacing w:after="0" w:line="276" w:lineRule="auto"/>
        <w:jc w:val="both"/>
        <w:rPr>
          <w:rFonts w:ascii="ITC Avant Garde" w:hAnsi="ITC Avant Garde"/>
        </w:rPr>
      </w:pPr>
      <w:r>
        <w:rPr>
          <w:rFonts w:ascii="ITC Avant Garde" w:hAnsi="ITC Avant Garde" w:cs="ITC Avant Garde"/>
          <w:b/>
          <w:color w:val="000000"/>
        </w:rPr>
        <w:t>Respuestas y posicionamientos por parte del Instituto:</w:t>
      </w:r>
    </w:p>
    <w:p w14:paraId="3B6645E0" w14:textId="77777777" w:rsidR="00A7774F" w:rsidRPr="00E16359" w:rsidRDefault="00A7774F" w:rsidP="00A7774F">
      <w:pPr>
        <w:spacing w:after="0" w:line="276" w:lineRule="auto"/>
        <w:ind w:left="-5"/>
        <w:jc w:val="both"/>
        <w:rPr>
          <w:rFonts w:ascii="ITC Avant Garde" w:hAnsi="ITC Avant Garde"/>
        </w:rPr>
      </w:pPr>
      <w:r>
        <w:rPr>
          <w:rFonts w:ascii="ITC Avant Garde" w:hAnsi="ITC Avant Garde"/>
        </w:rPr>
        <w:t>S</w:t>
      </w:r>
      <w:r w:rsidRPr="00E16359">
        <w:rPr>
          <w:rFonts w:ascii="ITC Avant Garde" w:hAnsi="ITC Avant Garde"/>
        </w:rPr>
        <w:t xml:space="preserve">e señala que las presentes Respuestas Generales atienden únicamente lo relacionado con las observaciones realizadas por los concesionarios en la Consulta Pública referente a los asuntos relacionados con la Propuesta de Convenio Marco de </w:t>
      </w:r>
      <w:r w:rsidRPr="00E16359">
        <w:rPr>
          <w:rFonts w:ascii="ITC Avant Garde" w:hAnsi="ITC Avant Garde"/>
        </w:rPr>
        <w:lastRenderedPageBreak/>
        <w:t>Interconexión</w:t>
      </w:r>
      <w:r>
        <w:rPr>
          <w:rFonts w:ascii="ITC Avant Garde" w:hAnsi="ITC Avant Garde"/>
        </w:rPr>
        <w:t xml:space="preserve"> </w:t>
      </w:r>
      <w:r w:rsidRPr="00E16359">
        <w:rPr>
          <w:rFonts w:ascii="ITC Avant Garde" w:hAnsi="ITC Avant Garde"/>
        </w:rPr>
        <w:t>presentada por el Agente Económico Preponderante en el Sector de las Telecomunicaciones Fijas (en lo sucesivo, el “AEP”).</w:t>
      </w:r>
    </w:p>
    <w:p w14:paraId="5D938880" w14:textId="77777777" w:rsidR="00A7774F" w:rsidRPr="00E16359" w:rsidRDefault="00A7774F" w:rsidP="00A7774F">
      <w:pPr>
        <w:spacing w:after="0" w:line="276" w:lineRule="auto"/>
        <w:ind w:left="-5"/>
        <w:jc w:val="both"/>
        <w:rPr>
          <w:rFonts w:ascii="ITC Avant Garde" w:hAnsi="ITC Avant Garde"/>
        </w:rPr>
      </w:pPr>
    </w:p>
    <w:p w14:paraId="7FE88670" w14:textId="77777777" w:rsidR="00A7774F" w:rsidRPr="00E16359" w:rsidRDefault="00A7774F" w:rsidP="00A7774F">
      <w:pPr>
        <w:spacing w:after="0" w:line="276" w:lineRule="auto"/>
        <w:ind w:left="-5"/>
        <w:jc w:val="both"/>
        <w:rPr>
          <w:rFonts w:ascii="ITC Avant Garde" w:hAnsi="ITC Avant Garde"/>
        </w:rPr>
      </w:pPr>
      <w:r w:rsidRPr="00E16359">
        <w:rPr>
          <w:rFonts w:ascii="ITC Avant Garde" w:hAnsi="ITC Avant Garde"/>
        </w:rPr>
        <w:t>Por lo anterior, el Instituto emite las siguientes respuestas y consideraciones para cada una de las participaciones recibidas.</w:t>
      </w:r>
    </w:p>
    <w:p w14:paraId="167A8521" w14:textId="77777777" w:rsidR="00A7774F" w:rsidRPr="00E16359" w:rsidRDefault="00A7774F" w:rsidP="00A7774F">
      <w:pPr>
        <w:spacing w:after="0" w:line="276" w:lineRule="auto"/>
        <w:ind w:left="-5"/>
        <w:jc w:val="both"/>
        <w:rPr>
          <w:rFonts w:ascii="ITC Avant Garde" w:hAnsi="ITC Avant Garde"/>
          <w:b/>
        </w:rPr>
      </w:pPr>
    </w:p>
    <w:p w14:paraId="75520200" w14:textId="77777777" w:rsidR="00A7774F" w:rsidRDefault="00A7774F" w:rsidP="00A7774F">
      <w:pPr>
        <w:spacing w:after="0" w:line="276" w:lineRule="auto"/>
        <w:ind w:left="-5"/>
        <w:jc w:val="both"/>
        <w:rPr>
          <w:rFonts w:ascii="ITC Avant Garde" w:hAnsi="ITC Avant Garde"/>
          <w:b/>
          <w:u w:val="single"/>
        </w:rPr>
      </w:pPr>
      <w:r w:rsidRPr="00E16359">
        <w:rPr>
          <w:rFonts w:ascii="ITC Avant Garde" w:hAnsi="ITC Avant Garde"/>
          <w:b/>
          <w:u w:val="single"/>
        </w:rPr>
        <w:t>COMENTARIOS EMITIDOS A LA PROPUESTA DEL CMI</w:t>
      </w:r>
    </w:p>
    <w:p w14:paraId="6623B0FC" w14:textId="77777777" w:rsidR="001401CB" w:rsidRDefault="001401CB" w:rsidP="00A7774F">
      <w:pPr>
        <w:spacing w:after="0" w:line="276" w:lineRule="auto"/>
        <w:ind w:left="-5"/>
        <w:jc w:val="both"/>
        <w:rPr>
          <w:rFonts w:ascii="ITC Avant Garde" w:hAnsi="ITC Avant Garde"/>
          <w:b/>
          <w:u w:val="single"/>
        </w:rPr>
      </w:pPr>
    </w:p>
    <w:p w14:paraId="02499E79" w14:textId="77777777" w:rsidR="001401CB" w:rsidRPr="00E16359" w:rsidRDefault="001401CB" w:rsidP="001401CB">
      <w:pPr>
        <w:spacing w:after="0" w:line="276" w:lineRule="auto"/>
        <w:ind w:left="-5"/>
        <w:jc w:val="both"/>
        <w:rPr>
          <w:rFonts w:ascii="ITC Avant Garde" w:hAnsi="ITC Avant Garde"/>
          <w:b/>
        </w:rPr>
      </w:pPr>
      <w:r w:rsidRPr="00E16359">
        <w:rPr>
          <w:rFonts w:ascii="ITC Avant Garde" w:hAnsi="ITC Avant Garde"/>
          <w:b/>
        </w:rPr>
        <w:t xml:space="preserve">Declaraciones </w:t>
      </w:r>
    </w:p>
    <w:p w14:paraId="5D514326" w14:textId="77777777" w:rsidR="001401CB" w:rsidRDefault="001401CB" w:rsidP="001401CB">
      <w:pPr>
        <w:spacing w:after="0" w:line="276" w:lineRule="auto"/>
        <w:jc w:val="both"/>
        <w:rPr>
          <w:rFonts w:ascii="ITC Avant Garde" w:hAnsi="ITC Avant Garde"/>
          <w:b/>
          <w:u w:val="single"/>
        </w:rPr>
      </w:pPr>
    </w:p>
    <w:p w14:paraId="1189F5AE" w14:textId="77777777" w:rsidR="001401CB" w:rsidRDefault="001401CB" w:rsidP="001401CB">
      <w:pPr>
        <w:spacing w:after="0" w:line="276" w:lineRule="auto"/>
        <w:ind w:left="-5"/>
        <w:jc w:val="both"/>
        <w:rPr>
          <w:rFonts w:ascii="ITC Avant Garde" w:hAnsi="ITC Avant Garde"/>
          <w:b/>
        </w:rPr>
      </w:pPr>
      <w:r w:rsidRPr="0062585F">
        <w:rPr>
          <w:rFonts w:ascii="ITC Avant Garde" w:hAnsi="ITC Avant Garde"/>
          <w:b/>
        </w:rPr>
        <w:t xml:space="preserve">CANIETI, </w:t>
      </w:r>
      <w:r w:rsidR="00145A6D" w:rsidRPr="0062585F">
        <w:rPr>
          <w:rFonts w:ascii="ITC Avant Garde" w:hAnsi="ITC Avant Garde"/>
          <w:b/>
        </w:rPr>
        <w:t xml:space="preserve">TELEFÓNICA, GRUPO </w:t>
      </w:r>
      <w:r w:rsidRPr="0062585F">
        <w:rPr>
          <w:rFonts w:ascii="ITC Avant Garde" w:hAnsi="ITC Avant Garde"/>
          <w:b/>
        </w:rPr>
        <w:t xml:space="preserve">TELEVISA Y </w:t>
      </w:r>
      <w:r w:rsidR="00145A6D" w:rsidRPr="0062585F">
        <w:rPr>
          <w:rFonts w:ascii="ITC Avant Garde" w:hAnsi="ITC Avant Garde"/>
          <w:b/>
        </w:rPr>
        <w:t>ALTÁN</w:t>
      </w:r>
    </w:p>
    <w:p w14:paraId="74A2DBC4" w14:textId="77777777" w:rsidR="007056A1" w:rsidRDefault="007056A1" w:rsidP="001401CB">
      <w:pPr>
        <w:spacing w:after="0" w:line="276" w:lineRule="auto"/>
        <w:ind w:left="-5"/>
        <w:jc w:val="both"/>
        <w:rPr>
          <w:rFonts w:ascii="ITC Avant Garde" w:hAnsi="ITC Avant Garde"/>
          <w:b/>
        </w:rPr>
      </w:pPr>
    </w:p>
    <w:p w14:paraId="26D5D9F4" w14:textId="4FACC0DF" w:rsidR="001401CB" w:rsidRPr="00E16359" w:rsidRDefault="002179DA" w:rsidP="001401CB">
      <w:pPr>
        <w:spacing w:after="0" w:line="276" w:lineRule="auto"/>
        <w:jc w:val="both"/>
        <w:rPr>
          <w:rFonts w:ascii="ITC Avant Garde" w:eastAsia="Times New Roman" w:hAnsi="ITC Avant Garde" w:cs="Calibri"/>
          <w:color w:val="000000"/>
          <w:lang w:eastAsia="es-MX"/>
        </w:rPr>
      </w:pPr>
      <w:r>
        <w:rPr>
          <w:rFonts w:ascii="ITC Avant Garde" w:hAnsi="ITC Avant Garde" w:cs="Calibri"/>
          <w:color w:val="000000"/>
        </w:rPr>
        <w:t>Solicitan</w:t>
      </w:r>
      <w:r w:rsidR="00CC2653" w:rsidRPr="00CC2653">
        <w:rPr>
          <w:rFonts w:ascii="ITC Avant Garde" w:hAnsi="ITC Avant Garde" w:cs="Calibri"/>
          <w:color w:val="000000"/>
        </w:rPr>
        <w:t xml:space="preserve"> la eliminación de la declaración C) del apartado</w:t>
      </w:r>
      <w:r w:rsidR="007056A1">
        <w:rPr>
          <w:rFonts w:ascii="ITC Avant Garde" w:hAnsi="ITC Avant Garde" w:cs="Calibri"/>
          <w:color w:val="000000"/>
        </w:rPr>
        <w:t xml:space="preserve"> III</w:t>
      </w:r>
      <w:r w:rsidR="001401CB" w:rsidRPr="00E16359">
        <w:rPr>
          <w:rFonts w:ascii="ITC Avant Garde" w:eastAsia="Times New Roman" w:hAnsi="ITC Avant Garde" w:cs="Calibri"/>
          <w:color w:val="000000"/>
          <w:lang w:eastAsia="es-MX"/>
        </w:rPr>
        <w:t xml:space="preserve"> </w:t>
      </w:r>
      <w:r w:rsidR="001401CB" w:rsidRPr="00E16359">
        <w:rPr>
          <w:rFonts w:ascii="ITC Avant Garde" w:eastAsia="Times New Roman" w:hAnsi="ITC Avant Garde" w:cs="Calibri"/>
          <w:i/>
          <w:color w:val="000000"/>
          <w:lang w:eastAsia="es-MX"/>
        </w:rPr>
        <w:t>“las partes declaran y convienen”,</w:t>
      </w:r>
      <w:r w:rsidR="001401CB" w:rsidRPr="00E16359">
        <w:rPr>
          <w:rFonts w:ascii="ITC Avant Garde" w:eastAsia="Times New Roman" w:hAnsi="ITC Avant Garde" w:cs="Calibri"/>
          <w:color w:val="000000"/>
          <w:lang w:eastAsia="es-MX"/>
        </w:rPr>
        <w:t xml:space="preserve"> toda vez que la misma pretende hacer caer en el error a los concesionarios solicitantes aceptando reservas de derechos y hechos o impugnaciones que en nada se relacionan con los concesionarios solicitantes y únicamente conciernen a </w:t>
      </w:r>
      <w:r w:rsidR="003A0013">
        <w:rPr>
          <w:rFonts w:ascii="ITC Avant Garde" w:eastAsia="Times New Roman" w:hAnsi="ITC Avant Garde" w:cs="Calibri"/>
          <w:color w:val="000000"/>
          <w:lang w:eastAsia="es-MX"/>
        </w:rPr>
        <w:t>Telmex/Telnor</w:t>
      </w:r>
      <w:r w:rsidR="001401CB" w:rsidRPr="00E16359">
        <w:rPr>
          <w:rFonts w:ascii="ITC Avant Garde" w:eastAsia="Times New Roman" w:hAnsi="ITC Avant Garde" w:cs="Calibri"/>
          <w:color w:val="000000"/>
          <w:lang w:eastAsia="es-MX"/>
        </w:rPr>
        <w:t xml:space="preserve">. </w:t>
      </w:r>
    </w:p>
    <w:p w14:paraId="751720E8" w14:textId="77777777" w:rsidR="001401CB" w:rsidRPr="00E16359" w:rsidRDefault="001401CB" w:rsidP="001401CB">
      <w:pPr>
        <w:spacing w:after="0" w:line="276" w:lineRule="auto"/>
        <w:jc w:val="both"/>
        <w:rPr>
          <w:rFonts w:ascii="ITC Avant Garde" w:eastAsia="Times New Roman" w:hAnsi="ITC Avant Garde" w:cs="Calibri"/>
          <w:color w:val="000000"/>
          <w:lang w:eastAsia="es-MX"/>
        </w:rPr>
      </w:pPr>
    </w:p>
    <w:p w14:paraId="13565820" w14:textId="77777777" w:rsidR="001401CB" w:rsidRPr="00E16359" w:rsidRDefault="001401CB" w:rsidP="001401CB">
      <w:pPr>
        <w:spacing w:after="0" w:line="276" w:lineRule="auto"/>
        <w:jc w:val="both"/>
        <w:rPr>
          <w:rFonts w:ascii="ITC Avant Garde" w:eastAsia="Times New Roman" w:hAnsi="ITC Avant Garde" w:cs="Calibri"/>
          <w:color w:val="000000"/>
          <w:lang w:eastAsia="es-MX"/>
        </w:rPr>
      </w:pPr>
      <w:r w:rsidRPr="00E16359">
        <w:rPr>
          <w:rFonts w:ascii="ITC Avant Garde" w:eastAsia="Times New Roman" w:hAnsi="ITC Avant Garde" w:cs="Calibri"/>
          <w:color w:val="000000"/>
          <w:lang w:eastAsia="es-MX"/>
        </w:rPr>
        <w:t xml:space="preserve">Por tanto, propusieron eliminar del numeral III, inciso </w:t>
      </w:r>
      <w:r w:rsidR="005C59B3">
        <w:rPr>
          <w:rFonts w:ascii="ITC Avant Garde" w:eastAsia="Times New Roman" w:hAnsi="ITC Avant Garde" w:cs="Calibri"/>
          <w:color w:val="000000"/>
          <w:lang w:eastAsia="es-MX"/>
        </w:rPr>
        <w:t>c</w:t>
      </w:r>
      <w:r w:rsidRPr="00E16359">
        <w:rPr>
          <w:rFonts w:ascii="ITC Avant Garde" w:eastAsia="Times New Roman" w:hAnsi="ITC Avant Garde" w:cs="Calibri"/>
          <w:color w:val="000000"/>
          <w:lang w:eastAsia="es-MX"/>
        </w:rPr>
        <w:t>) la parte que sigue:</w:t>
      </w:r>
    </w:p>
    <w:p w14:paraId="727F7034" w14:textId="77777777" w:rsidR="001401CB" w:rsidRPr="00E16359" w:rsidRDefault="001401CB" w:rsidP="001401CB">
      <w:pPr>
        <w:spacing w:after="0" w:line="276" w:lineRule="auto"/>
        <w:jc w:val="both"/>
        <w:rPr>
          <w:rFonts w:ascii="ITC Avant Garde" w:eastAsia="Times New Roman" w:hAnsi="ITC Avant Garde" w:cs="Calibri"/>
          <w:color w:val="000000"/>
          <w:lang w:eastAsia="es-MX"/>
        </w:rPr>
      </w:pPr>
    </w:p>
    <w:p w14:paraId="1E007E04" w14:textId="314F6AA1" w:rsidR="001401CB" w:rsidRPr="009B231E" w:rsidRDefault="001401CB" w:rsidP="001401CB">
      <w:pPr>
        <w:spacing w:after="0" w:line="276" w:lineRule="auto"/>
        <w:ind w:left="851" w:right="474"/>
        <w:jc w:val="both"/>
        <w:rPr>
          <w:rFonts w:ascii="ITC Avant Garde" w:hAnsi="ITC Avant Garde"/>
          <w:i/>
          <w:sz w:val="18"/>
          <w:szCs w:val="18"/>
        </w:rPr>
      </w:pPr>
      <w:r w:rsidRPr="009B231E">
        <w:rPr>
          <w:rFonts w:ascii="ITC Avant Garde" w:hAnsi="ITC Avant Garde"/>
          <w:i/>
          <w:sz w:val="18"/>
          <w:szCs w:val="18"/>
        </w:rPr>
        <w:t xml:space="preserve">“c) 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de ___ de interconexión local, __ de __ de ____ de interconexión de larga distancia y celebrar el presente Convenio por virtud del cual se establecen los términos y condiciones de interconexión entre la Red de [ __________ ] con la Red de </w:t>
      </w:r>
      <w:r w:rsidR="003A0013">
        <w:rPr>
          <w:rFonts w:ascii="ITC Avant Garde" w:hAnsi="ITC Avant Garde"/>
          <w:i/>
          <w:sz w:val="18"/>
          <w:szCs w:val="18"/>
        </w:rPr>
        <w:t>Telmex/Telnor</w:t>
      </w:r>
      <w:r w:rsidRPr="009B231E">
        <w:rPr>
          <w:rFonts w:ascii="ITC Avant Garde" w:hAnsi="ITC Avant Garde"/>
          <w:i/>
          <w:sz w:val="18"/>
          <w:szCs w:val="18"/>
        </w:rPr>
        <w:t xml:space="preserve">, </w:t>
      </w:r>
      <w:r w:rsidRPr="00182421">
        <w:rPr>
          <w:rFonts w:ascii="ITC Avant Garde" w:hAnsi="ITC Avant Garde"/>
          <w:i/>
          <w:strike/>
          <w:sz w:val="18"/>
          <w:szCs w:val="18"/>
        </w:rPr>
        <w:t>por lo que están de acuerdo con que el presente Convenio se rija por las Declaraciones precedentes y por las siguientes</w:t>
      </w:r>
      <w:r w:rsidRPr="009B231E">
        <w:rPr>
          <w:rFonts w:ascii="ITC Avant Garde" w:hAnsi="ITC Avant Garde"/>
          <w:i/>
          <w:sz w:val="18"/>
          <w:szCs w:val="18"/>
        </w:rPr>
        <w:t>”</w:t>
      </w:r>
    </w:p>
    <w:p w14:paraId="13EF3480" w14:textId="7E551749" w:rsidR="001401CB" w:rsidRPr="00E16359" w:rsidRDefault="001401CB" w:rsidP="001401CB">
      <w:pPr>
        <w:spacing w:after="0" w:line="276" w:lineRule="auto"/>
        <w:ind w:left="-5" w:right="567"/>
        <w:jc w:val="right"/>
        <w:rPr>
          <w:rFonts w:ascii="ITC Avant Garde" w:hAnsi="ITC Avant Garde"/>
          <w:i/>
          <w:sz w:val="18"/>
          <w:szCs w:val="18"/>
        </w:rPr>
      </w:pPr>
      <w:r w:rsidRPr="00E16359">
        <w:rPr>
          <w:rFonts w:ascii="ITC Avant Garde" w:hAnsi="ITC Avant Garde"/>
          <w:i/>
          <w:sz w:val="18"/>
          <w:szCs w:val="18"/>
        </w:rPr>
        <w:t xml:space="preserve"> </w:t>
      </w:r>
      <w:r w:rsidR="007C0E3E">
        <w:rPr>
          <w:rFonts w:ascii="ITC Avant Garde" w:hAnsi="ITC Avant Garde"/>
          <w:i/>
          <w:sz w:val="18"/>
          <w:szCs w:val="18"/>
        </w:rPr>
        <w:t>(É</w:t>
      </w:r>
      <w:r w:rsidRPr="00E16359">
        <w:rPr>
          <w:rFonts w:ascii="ITC Avant Garde" w:hAnsi="ITC Avant Garde"/>
          <w:i/>
          <w:sz w:val="18"/>
          <w:szCs w:val="18"/>
        </w:rPr>
        <w:t>nfasis añadido)</w:t>
      </w:r>
    </w:p>
    <w:p w14:paraId="5ABDCC32" w14:textId="77777777" w:rsidR="001401CB" w:rsidRDefault="001401CB" w:rsidP="007C0E3E">
      <w:pPr>
        <w:spacing w:after="0" w:line="276" w:lineRule="auto"/>
        <w:jc w:val="both"/>
        <w:rPr>
          <w:rFonts w:ascii="ITC Avant Garde" w:hAnsi="ITC Avant Garde"/>
          <w:b/>
        </w:rPr>
      </w:pPr>
    </w:p>
    <w:p w14:paraId="3E4F6EC2" w14:textId="77777777" w:rsidR="001401CB" w:rsidRDefault="001401CB" w:rsidP="001401CB">
      <w:pPr>
        <w:spacing w:line="276" w:lineRule="auto"/>
        <w:jc w:val="both"/>
        <w:rPr>
          <w:rFonts w:ascii="ITC Avant Garde" w:hAnsi="ITC Avant Garde"/>
          <w:b/>
        </w:rPr>
      </w:pPr>
      <w:r w:rsidRPr="00E16359">
        <w:rPr>
          <w:rFonts w:ascii="ITC Avant Garde" w:hAnsi="ITC Avant Garde"/>
          <w:b/>
        </w:rPr>
        <w:t xml:space="preserve">Consideraciones del Instituto </w:t>
      </w:r>
    </w:p>
    <w:p w14:paraId="0858E517" w14:textId="394F806C" w:rsidR="001401CB" w:rsidRDefault="004B30B9" w:rsidP="001401CB">
      <w:pPr>
        <w:spacing w:line="276" w:lineRule="auto"/>
        <w:jc w:val="both"/>
        <w:rPr>
          <w:rFonts w:ascii="ITC Avant Garde" w:hAnsi="ITC Avant Garde"/>
        </w:rPr>
      </w:pPr>
      <w:r>
        <w:rPr>
          <w:rFonts w:ascii="ITC Avant Garde" w:hAnsi="ITC Avant Garde"/>
        </w:rPr>
        <w:t>Al respecto, con el fin de evitar interpretaciones inadecuadas respecto a que el Convenio se rige por las cláusulas del mismo se eliminó el texto señalado.</w:t>
      </w:r>
    </w:p>
    <w:p w14:paraId="6A4153D9" w14:textId="5FFEB709" w:rsidR="004B30B9" w:rsidRPr="009B231E" w:rsidRDefault="004B30B9" w:rsidP="004B30B9">
      <w:pPr>
        <w:spacing w:after="0" w:line="276" w:lineRule="auto"/>
        <w:ind w:left="851" w:right="474"/>
        <w:jc w:val="both"/>
        <w:rPr>
          <w:rFonts w:ascii="ITC Avant Garde" w:hAnsi="ITC Avant Garde"/>
          <w:i/>
          <w:sz w:val="18"/>
          <w:szCs w:val="18"/>
        </w:rPr>
      </w:pPr>
      <w:r w:rsidRPr="009B231E">
        <w:rPr>
          <w:rFonts w:ascii="ITC Avant Garde" w:hAnsi="ITC Avant Garde"/>
          <w:i/>
          <w:sz w:val="18"/>
          <w:szCs w:val="18"/>
        </w:rPr>
        <w:t>“c) 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de ___ de interconexión local, __ de __ de ____ de interconexión de larga distancia y celebrar el presente Convenio por virtud del cual se establecen los términos y condiciones de interconexión entre la Red de [ __</w:t>
      </w:r>
      <w:r>
        <w:rPr>
          <w:rFonts w:ascii="ITC Avant Garde" w:hAnsi="ITC Avant Garde"/>
          <w:i/>
          <w:sz w:val="18"/>
          <w:szCs w:val="18"/>
        </w:rPr>
        <w:t>________ ] con la Red de Telmex/Telnor</w:t>
      </w:r>
      <w:r w:rsidRPr="009B231E">
        <w:rPr>
          <w:rFonts w:ascii="ITC Avant Garde" w:hAnsi="ITC Avant Garde"/>
          <w:i/>
          <w:sz w:val="18"/>
          <w:szCs w:val="18"/>
        </w:rPr>
        <w:t>”</w:t>
      </w:r>
    </w:p>
    <w:p w14:paraId="39FE8FBE" w14:textId="77777777" w:rsidR="004B30B9" w:rsidRDefault="004B30B9" w:rsidP="007C0E3E">
      <w:pPr>
        <w:spacing w:after="0" w:line="276" w:lineRule="auto"/>
        <w:jc w:val="both"/>
        <w:rPr>
          <w:rFonts w:ascii="ITC Avant Garde" w:hAnsi="ITC Avant Garde"/>
        </w:rPr>
      </w:pPr>
    </w:p>
    <w:p w14:paraId="55596A50" w14:textId="77777777" w:rsidR="001401CB" w:rsidRDefault="001401CB" w:rsidP="001401CB">
      <w:pPr>
        <w:spacing w:after="0" w:line="276" w:lineRule="auto"/>
        <w:ind w:left="-5"/>
        <w:jc w:val="both"/>
        <w:rPr>
          <w:rFonts w:ascii="ITC Avant Garde" w:hAnsi="ITC Avant Garde"/>
          <w:b/>
          <w:u w:val="single"/>
        </w:rPr>
      </w:pPr>
      <w:r w:rsidRPr="00E16359">
        <w:rPr>
          <w:rFonts w:ascii="ITC Avant Garde" w:hAnsi="ITC Avant Garde"/>
          <w:b/>
          <w:u w:val="single"/>
        </w:rPr>
        <w:lastRenderedPageBreak/>
        <w:t xml:space="preserve">Cláusula primera. Definiciones </w:t>
      </w:r>
    </w:p>
    <w:p w14:paraId="6250596D" w14:textId="77777777" w:rsidR="001401CB" w:rsidRDefault="001401CB" w:rsidP="001401CB">
      <w:pPr>
        <w:spacing w:after="0" w:line="276" w:lineRule="auto"/>
        <w:ind w:left="-5"/>
        <w:jc w:val="both"/>
        <w:rPr>
          <w:rFonts w:ascii="ITC Avant Garde" w:hAnsi="ITC Avant Garde"/>
          <w:b/>
          <w:u w:val="single"/>
        </w:rPr>
      </w:pPr>
    </w:p>
    <w:p w14:paraId="3F8386AF" w14:textId="4B9784B4" w:rsidR="001401CB" w:rsidRDefault="00F62B6C" w:rsidP="007C0E3E">
      <w:pPr>
        <w:spacing w:after="0" w:line="276" w:lineRule="auto"/>
        <w:jc w:val="both"/>
        <w:rPr>
          <w:rFonts w:ascii="ITC Avant Garde" w:hAnsi="ITC Avant Garde"/>
          <w:b/>
        </w:rPr>
      </w:pPr>
      <w:r w:rsidRPr="001401CB">
        <w:rPr>
          <w:rFonts w:ascii="ITC Avant Garde" w:hAnsi="ITC Avant Garde"/>
          <w:b/>
        </w:rPr>
        <w:t>TELEFÓNICA</w:t>
      </w:r>
      <w:r w:rsidR="001C2664">
        <w:rPr>
          <w:rFonts w:ascii="ITC Avant Garde" w:hAnsi="ITC Avant Garde"/>
          <w:b/>
        </w:rPr>
        <w:t xml:space="preserve"> Y</w:t>
      </w:r>
      <w:r>
        <w:rPr>
          <w:rFonts w:ascii="ITC Avant Garde" w:hAnsi="ITC Avant Garde"/>
          <w:b/>
        </w:rPr>
        <w:t xml:space="preserve"> GRUPO </w:t>
      </w:r>
      <w:r w:rsidRPr="001401CB">
        <w:rPr>
          <w:rFonts w:ascii="ITC Avant Garde" w:hAnsi="ITC Avant Garde"/>
          <w:b/>
        </w:rPr>
        <w:t>TELEVISA</w:t>
      </w:r>
      <w:r w:rsidR="001C2664">
        <w:rPr>
          <w:rFonts w:ascii="ITC Avant Garde" w:hAnsi="ITC Avant Garde"/>
          <w:b/>
        </w:rPr>
        <w:t xml:space="preserve"> </w:t>
      </w:r>
    </w:p>
    <w:p w14:paraId="33D2CA7B" w14:textId="77777777" w:rsidR="00570E9E" w:rsidRPr="00570E9E" w:rsidRDefault="00570E9E" w:rsidP="00570E9E">
      <w:pPr>
        <w:spacing w:after="0" w:line="276" w:lineRule="auto"/>
        <w:ind w:left="-5"/>
        <w:jc w:val="both"/>
        <w:rPr>
          <w:rFonts w:ascii="ITC Avant Garde" w:hAnsi="ITC Avant Garde"/>
          <w:b/>
        </w:rPr>
      </w:pPr>
    </w:p>
    <w:p w14:paraId="38AEA188" w14:textId="1D5FDE26" w:rsidR="001401CB" w:rsidRDefault="001401CB" w:rsidP="00835459">
      <w:pPr>
        <w:spacing w:after="0" w:line="276" w:lineRule="auto"/>
        <w:jc w:val="both"/>
        <w:rPr>
          <w:rFonts w:ascii="ITC Avant Garde" w:hAnsi="ITC Avant Garde"/>
        </w:rPr>
      </w:pPr>
      <w:r w:rsidRPr="00570E9E">
        <w:rPr>
          <w:rFonts w:ascii="ITC Avant Garde" w:hAnsi="ITC Avant Garde"/>
        </w:rPr>
        <w:t xml:space="preserve">Solicitan adicionar </w:t>
      </w:r>
      <w:r w:rsidR="00835459">
        <w:rPr>
          <w:rFonts w:ascii="ITC Avant Garde" w:hAnsi="ITC Avant Garde"/>
        </w:rPr>
        <w:t>dentro de la definición de “Servicios de Interconexión”</w:t>
      </w:r>
      <w:r w:rsidRPr="00570E9E">
        <w:rPr>
          <w:rFonts w:ascii="ITC Avant Garde" w:hAnsi="ITC Avant Garde"/>
        </w:rPr>
        <w:t>, el siguiente párrafo con el fin de armonizar con</w:t>
      </w:r>
      <w:r w:rsidR="000A43E5">
        <w:rPr>
          <w:rFonts w:ascii="ITC Avant Garde" w:hAnsi="ITC Avant Garde"/>
        </w:rPr>
        <w:t>forme al artículo 133 de la LFT</w:t>
      </w:r>
      <w:r w:rsidRPr="00570E9E">
        <w:rPr>
          <w:rFonts w:ascii="ITC Avant Garde" w:hAnsi="ITC Avant Garde"/>
        </w:rPr>
        <w:t>R:</w:t>
      </w:r>
    </w:p>
    <w:p w14:paraId="01DA2057" w14:textId="77777777" w:rsidR="00835459" w:rsidRPr="00570E9E" w:rsidRDefault="00835459" w:rsidP="00835459">
      <w:pPr>
        <w:spacing w:after="0" w:line="276" w:lineRule="auto"/>
        <w:jc w:val="both"/>
        <w:rPr>
          <w:rFonts w:ascii="ITC Avant Garde" w:hAnsi="ITC Avant Garde"/>
        </w:rPr>
      </w:pPr>
    </w:p>
    <w:p w14:paraId="1E77B7DF" w14:textId="2D53F2FC" w:rsidR="00BB1411" w:rsidRDefault="001401CB" w:rsidP="00835459">
      <w:pPr>
        <w:spacing w:after="0"/>
        <w:ind w:left="629" w:right="556" w:hanging="11"/>
        <w:jc w:val="both"/>
        <w:rPr>
          <w:rFonts w:ascii="ITC Avant Garde" w:hAnsi="ITC Avant Garde"/>
          <w:i/>
          <w:sz w:val="18"/>
          <w:szCs w:val="18"/>
        </w:rPr>
      </w:pPr>
      <w:r w:rsidRPr="001401CB">
        <w:rPr>
          <w:rFonts w:ascii="ITC Avant Garde" w:hAnsi="ITC Avant Garde"/>
          <w:i/>
          <w:sz w:val="18"/>
          <w:szCs w:val="18"/>
        </w:rPr>
        <w:t>“Todos los servicios de interconexión serán obligatorios para el agente económico preponderante, mientras que sólo los servicios de conducción de tráfico, enlaces de transmisión, puertos de acceso y señalización, serán obligatorios para el resto de los concesionarios”</w:t>
      </w:r>
    </w:p>
    <w:p w14:paraId="089D80B9" w14:textId="77777777" w:rsidR="00835459" w:rsidRDefault="00835459" w:rsidP="00835459">
      <w:pPr>
        <w:spacing w:after="0"/>
        <w:ind w:left="629" w:right="556" w:hanging="11"/>
        <w:jc w:val="both"/>
        <w:rPr>
          <w:rFonts w:ascii="ITC Avant Garde" w:hAnsi="ITC Avant Garde"/>
          <w:i/>
          <w:sz w:val="18"/>
          <w:szCs w:val="18"/>
        </w:rPr>
      </w:pPr>
    </w:p>
    <w:p w14:paraId="71D5BB34" w14:textId="77777777" w:rsidR="001401CB" w:rsidRDefault="001401CB" w:rsidP="009D7983">
      <w:pPr>
        <w:spacing w:line="276" w:lineRule="auto"/>
        <w:jc w:val="both"/>
        <w:rPr>
          <w:rFonts w:ascii="ITC Avant Garde" w:hAnsi="ITC Avant Garde"/>
          <w:b/>
        </w:rPr>
      </w:pPr>
      <w:r w:rsidRPr="00E16359">
        <w:rPr>
          <w:rFonts w:ascii="ITC Avant Garde" w:hAnsi="ITC Avant Garde"/>
          <w:b/>
        </w:rPr>
        <w:t xml:space="preserve">Consideraciones del Instituto </w:t>
      </w:r>
    </w:p>
    <w:p w14:paraId="2F7BA7E3" w14:textId="2BD571B0" w:rsidR="00DE08D7" w:rsidRDefault="004B30B9" w:rsidP="00DE08D7">
      <w:pPr>
        <w:spacing w:after="0" w:line="276" w:lineRule="auto"/>
        <w:jc w:val="both"/>
        <w:rPr>
          <w:rFonts w:ascii="ITC Avant Garde" w:hAnsi="ITC Avant Garde"/>
        </w:rPr>
      </w:pPr>
      <w:r>
        <w:rPr>
          <w:rFonts w:ascii="ITC Avant Garde" w:hAnsi="ITC Avant Garde"/>
        </w:rPr>
        <w:t>Dado que la definición de servicios de interconexión es consistente con el marco regulatorio vigente y las obligaciones del Agente Económico Preponderante están establecidas en la Ley Federal de Telecomunicaciones y Radiodifusión (LFTR) y las Medidas correspondientes no se considera necesario realizar la precisión solicitada.</w:t>
      </w:r>
    </w:p>
    <w:p w14:paraId="765054AB" w14:textId="77777777" w:rsidR="00210E2A" w:rsidRPr="00994096" w:rsidRDefault="00210E2A" w:rsidP="00DE08D7">
      <w:pPr>
        <w:spacing w:after="0" w:line="276" w:lineRule="auto"/>
        <w:jc w:val="both"/>
        <w:rPr>
          <w:rFonts w:ascii="ITC Avant Garde" w:hAnsi="ITC Avant Garde"/>
        </w:rPr>
      </w:pPr>
    </w:p>
    <w:p w14:paraId="31843C01" w14:textId="4780EC44" w:rsidR="00BD78E9" w:rsidRDefault="00D152D8" w:rsidP="00C84042">
      <w:pPr>
        <w:spacing w:after="0" w:line="276" w:lineRule="auto"/>
        <w:ind w:left="-5"/>
        <w:jc w:val="both"/>
        <w:rPr>
          <w:rFonts w:ascii="ITC Avant Garde" w:hAnsi="ITC Avant Garde"/>
          <w:b/>
        </w:rPr>
      </w:pPr>
      <w:r>
        <w:rPr>
          <w:rFonts w:ascii="ITC Avant Garde" w:hAnsi="ITC Avant Garde"/>
          <w:b/>
        </w:rPr>
        <w:t xml:space="preserve">MEGA CABLE, </w:t>
      </w:r>
      <w:r w:rsidR="00924F2A">
        <w:rPr>
          <w:rFonts w:ascii="ITC Avant Garde" w:hAnsi="ITC Avant Garde"/>
          <w:b/>
        </w:rPr>
        <w:t>TELEFÓNICA</w:t>
      </w:r>
      <w:r w:rsidR="00047008">
        <w:rPr>
          <w:rFonts w:ascii="ITC Avant Garde" w:hAnsi="ITC Avant Garde"/>
          <w:b/>
        </w:rPr>
        <w:t>, GRUPO TELEVISA</w:t>
      </w:r>
      <w:r>
        <w:rPr>
          <w:rFonts w:ascii="ITC Avant Garde" w:hAnsi="ITC Avant Garde"/>
          <w:b/>
        </w:rPr>
        <w:t>, GRUPO AT&amp;T, CANIETI</w:t>
      </w:r>
      <w:r w:rsidR="00BD78E9">
        <w:rPr>
          <w:rFonts w:ascii="ITC Avant Garde" w:hAnsi="ITC Avant Garde"/>
          <w:b/>
        </w:rPr>
        <w:t xml:space="preserve"> Y </w:t>
      </w:r>
      <w:r w:rsidR="00924F2A">
        <w:rPr>
          <w:rFonts w:ascii="ITC Avant Garde" w:hAnsi="ITC Avant Garde"/>
          <w:b/>
        </w:rPr>
        <w:t xml:space="preserve">ALTÁN </w:t>
      </w:r>
    </w:p>
    <w:p w14:paraId="22069767" w14:textId="77777777" w:rsidR="00BD78E9" w:rsidRPr="00C84042" w:rsidRDefault="00BD78E9" w:rsidP="00C84042">
      <w:pPr>
        <w:spacing w:after="0" w:line="276" w:lineRule="auto"/>
        <w:ind w:left="-5"/>
        <w:jc w:val="both"/>
        <w:rPr>
          <w:rFonts w:ascii="ITC Avant Garde" w:hAnsi="ITC Avant Garde"/>
          <w:b/>
        </w:rPr>
      </w:pPr>
    </w:p>
    <w:p w14:paraId="4D527CCC" w14:textId="60F2ADEE" w:rsidR="00AB53AF" w:rsidRDefault="00C84042" w:rsidP="00015626">
      <w:pPr>
        <w:spacing w:line="276" w:lineRule="auto"/>
        <w:jc w:val="both"/>
        <w:rPr>
          <w:rFonts w:ascii="ITC Avant Garde" w:hAnsi="ITC Avant Garde"/>
        </w:rPr>
      </w:pPr>
      <w:r w:rsidRPr="00C84042">
        <w:rPr>
          <w:rFonts w:ascii="ITC Avant Garde" w:hAnsi="ITC Avant Garde"/>
        </w:rPr>
        <w:t>Sugiere</w:t>
      </w:r>
      <w:r w:rsidR="00994096">
        <w:rPr>
          <w:rFonts w:ascii="ITC Avant Garde" w:hAnsi="ITC Avant Garde"/>
        </w:rPr>
        <w:t>n mantener las definiciones de “Interconexión” y “Punto de Interconexión”</w:t>
      </w:r>
      <w:r w:rsidRPr="00C84042">
        <w:rPr>
          <w:rFonts w:ascii="ITC Avant Garde" w:hAnsi="ITC Avant Garde"/>
        </w:rPr>
        <w:t xml:space="preserve"> del CMI vigente </w:t>
      </w:r>
      <w:r w:rsidR="004E4EAE">
        <w:rPr>
          <w:rFonts w:ascii="ITC Avant Garde" w:hAnsi="ITC Avant Garde"/>
        </w:rPr>
        <w:t>y</w:t>
      </w:r>
      <w:r w:rsidRPr="00C84042">
        <w:rPr>
          <w:rFonts w:ascii="ITC Avant Garde" w:hAnsi="ITC Avant Garde"/>
        </w:rPr>
        <w:t xml:space="preserve"> </w:t>
      </w:r>
      <w:r w:rsidR="00BE172A">
        <w:rPr>
          <w:rFonts w:ascii="ITC Avant Garde" w:hAnsi="ITC Avant Garde"/>
        </w:rPr>
        <w:t>acorde a las</w:t>
      </w:r>
      <w:r w:rsidR="004E4EAE">
        <w:rPr>
          <w:rFonts w:ascii="ITC Avant Garde" w:hAnsi="ITC Avant Garde"/>
        </w:rPr>
        <w:t xml:space="preserve"> definiciones</w:t>
      </w:r>
      <w:r w:rsidR="00BE172A">
        <w:rPr>
          <w:rFonts w:ascii="ITC Avant Garde" w:hAnsi="ITC Avant Garde"/>
        </w:rPr>
        <w:t xml:space="preserve"> previstas en la LFTR.</w:t>
      </w:r>
    </w:p>
    <w:p w14:paraId="708A759F" w14:textId="77777777" w:rsidR="00C84042" w:rsidRPr="00C84042" w:rsidRDefault="00C84042" w:rsidP="00C84042">
      <w:pPr>
        <w:spacing w:line="276" w:lineRule="auto"/>
        <w:jc w:val="both"/>
        <w:rPr>
          <w:rFonts w:ascii="ITC Avant Garde" w:hAnsi="ITC Avant Garde"/>
          <w:b/>
        </w:rPr>
      </w:pPr>
      <w:r w:rsidRPr="00E16359">
        <w:rPr>
          <w:rFonts w:ascii="ITC Avant Garde" w:hAnsi="ITC Avant Garde"/>
          <w:b/>
        </w:rPr>
        <w:t xml:space="preserve">Consideraciones del Instituto </w:t>
      </w:r>
    </w:p>
    <w:p w14:paraId="0ACF5AF6" w14:textId="76343800" w:rsidR="004E4EAE" w:rsidRPr="00E16359" w:rsidRDefault="004B30B9" w:rsidP="004E4EAE">
      <w:pPr>
        <w:spacing w:after="0" w:line="276" w:lineRule="auto"/>
        <w:jc w:val="both"/>
        <w:rPr>
          <w:rFonts w:ascii="ITC Avant Garde" w:eastAsia="Times New Roman" w:hAnsi="ITC Avant Garde" w:cs="Times New Roman"/>
        </w:rPr>
      </w:pPr>
      <w:r>
        <w:rPr>
          <w:rFonts w:ascii="ITC Avant Garde" w:eastAsia="Times New Roman" w:hAnsi="ITC Avant Garde" w:cs="Times New Roman"/>
        </w:rPr>
        <w:t>De conformidad con la LFTR se modificaron las definiciones de “Interconexión” y “Punto de Interconexión” en el siguiente sentido:</w:t>
      </w:r>
      <w:r w:rsidR="004E4EAE" w:rsidRPr="00E16359">
        <w:rPr>
          <w:rFonts w:ascii="ITC Avant Garde" w:eastAsia="Times New Roman" w:hAnsi="ITC Avant Garde" w:cs="Times New Roman"/>
        </w:rPr>
        <w:t xml:space="preserve"> </w:t>
      </w:r>
    </w:p>
    <w:p w14:paraId="11A594EF" w14:textId="712AA3A8" w:rsidR="00AB53AF" w:rsidRPr="00E16359" w:rsidRDefault="00AB53AF" w:rsidP="00AB53AF">
      <w:pPr>
        <w:spacing w:after="0" w:line="276" w:lineRule="auto"/>
        <w:jc w:val="both"/>
        <w:rPr>
          <w:rFonts w:ascii="ITC Avant Garde" w:eastAsia="Times New Roman" w:hAnsi="ITC Avant Garde" w:cs="Times New Roman"/>
        </w:rPr>
      </w:pPr>
      <w:r w:rsidRPr="00E16359">
        <w:rPr>
          <w:rFonts w:ascii="ITC Avant Garde" w:eastAsia="Times New Roman" w:hAnsi="ITC Avant Garde" w:cs="Times New Roman"/>
        </w:rPr>
        <w:t xml:space="preserve"> </w:t>
      </w:r>
    </w:p>
    <w:tbl>
      <w:tblPr>
        <w:tblW w:w="0" w:type="auto"/>
        <w:tblInd w:w="709" w:type="dxa"/>
        <w:tblCellMar>
          <w:top w:w="113" w:type="dxa"/>
          <w:bottom w:w="113" w:type="dxa"/>
        </w:tblCellMar>
        <w:tblLook w:val="01E0" w:firstRow="1" w:lastRow="1" w:firstColumn="1" w:lastColumn="1" w:noHBand="0" w:noVBand="0"/>
      </w:tblPr>
      <w:tblGrid>
        <w:gridCol w:w="1918"/>
        <w:gridCol w:w="5737"/>
      </w:tblGrid>
      <w:tr w:rsidR="00AB53AF" w:rsidRPr="00E16359" w14:paraId="3F2AC18F" w14:textId="77777777" w:rsidTr="00BB1411">
        <w:trPr>
          <w:trHeight w:val="2441"/>
        </w:trPr>
        <w:tc>
          <w:tcPr>
            <w:tcW w:w="1918" w:type="dxa"/>
          </w:tcPr>
          <w:p w14:paraId="184F568A" w14:textId="77777777" w:rsidR="00AB53AF" w:rsidRPr="00E16359" w:rsidRDefault="003F0A31" w:rsidP="00BB1411">
            <w:pPr>
              <w:autoSpaceDE w:val="0"/>
              <w:autoSpaceDN w:val="0"/>
              <w:adjustRightInd w:val="0"/>
              <w:spacing w:after="0"/>
              <w:jc w:val="both"/>
              <w:rPr>
                <w:rFonts w:ascii="ITC Avant Garde" w:hAnsi="ITC Avant Garde" w:cs="Arial"/>
                <w:i/>
                <w:sz w:val="18"/>
                <w:szCs w:val="18"/>
              </w:rPr>
            </w:pPr>
            <w:r>
              <w:rPr>
                <w:rFonts w:ascii="ITC Avant Garde" w:hAnsi="ITC Avant Garde" w:cs="Arial"/>
                <w:i/>
                <w:sz w:val="18"/>
                <w:szCs w:val="18"/>
              </w:rPr>
              <w:t>“</w:t>
            </w:r>
            <w:r w:rsidR="00AB53AF" w:rsidRPr="00E16359">
              <w:rPr>
                <w:rFonts w:ascii="ITC Avant Garde" w:hAnsi="ITC Avant Garde" w:cs="Arial"/>
                <w:i/>
                <w:sz w:val="18"/>
                <w:szCs w:val="18"/>
              </w:rPr>
              <w:t>Interconexión</w:t>
            </w:r>
          </w:p>
        </w:tc>
        <w:tc>
          <w:tcPr>
            <w:tcW w:w="5737" w:type="dxa"/>
          </w:tcPr>
          <w:p w14:paraId="36B7AB13" w14:textId="77777777" w:rsidR="00AB53AF" w:rsidRPr="00E16359" w:rsidRDefault="00AB53AF" w:rsidP="00BB1411">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 xml:space="preserve">Conexión física </w:t>
            </w:r>
            <w:r w:rsidRPr="00E16359">
              <w:rPr>
                <w:rFonts w:ascii="ITC Avant Garde" w:hAnsi="ITC Avant Garde" w:cs="Arial"/>
                <w:i/>
                <w:sz w:val="18"/>
                <w:szCs w:val="18"/>
                <w:u w:val="single"/>
              </w:rPr>
              <w:t>o virtual</w:t>
            </w:r>
            <w:r w:rsidRPr="00E16359">
              <w:rPr>
                <w:rFonts w:ascii="ITC Avant Garde" w:hAnsi="ITC Avant Garde" w:cs="Arial"/>
                <w:i/>
                <w:sz w:val="18"/>
                <w:szCs w:val="18"/>
              </w:rPr>
              <w:t xml:space="preserve">,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r w:rsidR="003F0A31">
              <w:rPr>
                <w:rFonts w:ascii="ITC Avant Garde" w:hAnsi="ITC Avant Garde" w:cs="Arial"/>
                <w:i/>
                <w:sz w:val="18"/>
                <w:szCs w:val="18"/>
              </w:rPr>
              <w:t>“</w:t>
            </w:r>
          </w:p>
        </w:tc>
      </w:tr>
      <w:tr w:rsidR="00AB53AF" w:rsidRPr="00E16359" w14:paraId="05161884" w14:textId="77777777" w:rsidTr="00BB1411">
        <w:tc>
          <w:tcPr>
            <w:tcW w:w="1918" w:type="dxa"/>
          </w:tcPr>
          <w:p w14:paraId="665053A1" w14:textId="77777777" w:rsidR="00AB53AF" w:rsidRPr="00E16359" w:rsidRDefault="003F0A31" w:rsidP="00BB1411">
            <w:pPr>
              <w:autoSpaceDE w:val="0"/>
              <w:autoSpaceDN w:val="0"/>
              <w:adjustRightInd w:val="0"/>
              <w:spacing w:after="0"/>
              <w:jc w:val="both"/>
              <w:rPr>
                <w:rFonts w:ascii="ITC Avant Garde" w:hAnsi="ITC Avant Garde" w:cs="Arial"/>
                <w:i/>
                <w:sz w:val="18"/>
                <w:szCs w:val="18"/>
              </w:rPr>
            </w:pPr>
            <w:r>
              <w:rPr>
                <w:rFonts w:ascii="ITC Avant Garde" w:hAnsi="ITC Avant Garde" w:cs="Arial"/>
                <w:i/>
                <w:sz w:val="18"/>
                <w:szCs w:val="18"/>
              </w:rPr>
              <w:t>“</w:t>
            </w:r>
            <w:r w:rsidR="00AB53AF" w:rsidRPr="00E16359">
              <w:rPr>
                <w:rFonts w:ascii="ITC Avant Garde" w:hAnsi="ITC Avant Garde" w:cs="Arial"/>
                <w:i/>
                <w:sz w:val="18"/>
                <w:szCs w:val="18"/>
              </w:rPr>
              <w:t>Punto de Interconexión</w:t>
            </w:r>
          </w:p>
        </w:tc>
        <w:tc>
          <w:tcPr>
            <w:tcW w:w="5737" w:type="dxa"/>
          </w:tcPr>
          <w:p w14:paraId="32A528AC" w14:textId="77777777" w:rsidR="00AB53AF" w:rsidRPr="00E16359" w:rsidRDefault="00AB53AF" w:rsidP="00BB1411">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 xml:space="preserve">Punto físico </w:t>
            </w:r>
            <w:r w:rsidRPr="00E16359">
              <w:rPr>
                <w:rFonts w:ascii="ITC Avant Garde" w:hAnsi="ITC Avant Garde" w:cs="Arial"/>
                <w:i/>
                <w:sz w:val="18"/>
                <w:szCs w:val="18"/>
                <w:u w:val="single"/>
              </w:rPr>
              <w:t>o virtual</w:t>
            </w:r>
            <w:r w:rsidRPr="00E16359">
              <w:rPr>
                <w:rFonts w:ascii="ITC Avant Garde" w:hAnsi="ITC Avant Garde" w:cs="Arial"/>
                <w:i/>
                <w:sz w:val="18"/>
                <w:szCs w:val="18"/>
              </w:rPr>
              <w:t xml:space="preserve"> donde se establece la Interconexión entre Redes Públicas de Telecomunicaciones para el intercambio de tráfico de interconexión o de tráfico de servicios mayoristas</w:t>
            </w:r>
            <w:r w:rsidR="003F0A31">
              <w:rPr>
                <w:rFonts w:ascii="ITC Avant Garde" w:hAnsi="ITC Avant Garde" w:cs="Arial"/>
                <w:i/>
                <w:sz w:val="18"/>
                <w:szCs w:val="18"/>
              </w:rPr>
              <w:t>”</w:t>
            </w:r>
          </w:p>
        </w:tc>
      </w:tr>
    </w:tbl>
    <w:p w14:paraId="3BB7451D" w14:textId="77777777" w:rsidR="00AB53AF" w:rsidRPr="00E16359" w:rsidRDefault="00AB53AF" w:rsidP="00AB53AF">
      <w:pPr>
        <w:spacing w:after="0" w:line="276" w:lineRule="auto"/>
        <w:ind w:right="567"/>
        <w:jc w:val="both"/>
        <w:rPr>
          <w:rFonts w:ascii="ITC Avant Garde" w:eastAsia="Times New Roman" w:hAnsi="ITC Avant Garde" w:cs="Arial"/>
          <w:iCs/>
          <w:sz w:val="18"/>
          <w:szCs w:val="18"/>
        </w:rPr>
      </w:pPr>
    </w:p>
    <w:p w14:paraId="00E3361E" w14:textId="77777777" w:rsidR="00C84042" w:rsidRPr="00276BD7" w:rsidRDefault="00AB53AF" w:rsidP="00AB53AF">
      <w:pPr>
        <w:spacing w:after="0" w:line="276" w:lineRule="auto"/>
        <w:ind w:right="567"/>
        <w:jc w:val="right"/>
        <w:rPr>
          <w:rFonts w:ascii="ITC Avant Garde" w:eastAsia="Times New Roman" w:hAnsi="ITC Avant Garde" w:cs="Arial"/>
          <w:iCs/>
          <w:sz w:val="18"/>
          <w:szCs w:val="18"/>
        </w:rPr>
      </w:pPr>
      <w:r w:rsidRPr="00276BD7">
        <w:rPr>
          <w:rFonts w:ascii="ITC Avant Garde" w:eastAsia="Times New Roman" w:hAnsi="ITC Avant Garde" w:cs="Arial"/>
          <w:iCs/>
          <w:sz w:val="18"/>
          <w:szCs w:val="18"/>
        </w:rPr>
        <w:t>(Énfasis añadido)</w:t>
      </w:r>
    </w:p>
    <w:p w14:paraId="5AE776D5" w14:textId="77777777" w:rsidR="00116E9B" w:rsidRDefault="00116E9B" w:rsidP="00D152D8">
      <w:pPr>
        <w:spacing w:after="0" w:line="276" w:lineRule="auto"/>
        <w:ind w:left="-5"/>
        <w:jc w:val="both"/>
        <w:rPr>
          <w:rFonts w:ascii="ITC Avant Garde" w:hAnsi="ITC Avant Garde"/>
          <w:b/>
        </w:rPr>
      </w:pPr>
    </w:p>
    <w:p w14:paraId="042B96EB" w14:textId="4DE164DE" w:rsidR="00D152D8" w:rsidRDefault="00D152D8" w:rsidP="00D152D8">
      <w:pPr>
        <w:spacing w:after="0" w:line="276" w:lineRule="auto"/>
        <w:ind w:left="-5"/>
        <w:jc w:val="both"/>
        <w:rPr>
          <w:rFonts w:ascii="ITC Avant Garde" w:hAnsi="ITC Avant Garde"/>
          <w:b/>
        </w:rPr>
      </w:pPr>
      <w:r>
        <w:rPr>
          <w:rFonts w:ascii="ITC Avant Garde" w:hAnsi="ITC Avant Garde"/>
          <w:b/>
        </w:rPr>
        <w:lastRenderedPageBreak/>
        <w:t>GRUPO AT&amp;T</w:t>
      </w:r>
    </w:p>
    <w:p w14:paraId="1D5D374E" w14:textId="77777777" w:rsidR="00D86298" w:rsidRPr="00C84042" w:rsidRDefault="00D86298" w:rsidP="00D86298">
      <w:pPr>
        <w:spacing w:after="0" w:line="276" w:lineRule="auto"/>
        <w:ind w:left="-5"/>
        <w:jc w:val="both"/>
        <w:rPr>
          <w:rFonts w:ascii="ITC Avant Garde" w:hAnsi="ITC Avant Garde"/>
          <w:b/>
        </w:rPr>
      </w:pPr>
    </w:p>
    <w:p w14:paraId="68CD1F7A" w14:textId="5FEABA98" w:rsidR="00D86298" w:rsidRDefault="00D86298" w:rsidP="00676A3F">
      <w:pPr>
        <w:spacing w:line="276" w:lineRule="auto"/>
        <w:jc w:val="both"/>
        <w:rPr>
          <w:rFonts w:ascii="ITC Avant Garde" w:hAnsi="ITC Avant Garde"/>
        </w:rPr>
      </w:pPr>
      <w:r>
        <w:rPr>
          <w:rFonts w:ascii="ITC Avant Garde" w:hAnsi="ITC Avant Garde"/>
        </w:rPr>
        <w:t>En cuanto a la d</w:t>
      </w:r>
      <w:r w:rsidRPr="00D86298">
        <w:rPr>
          <w:rFonts w:ascii="ITC Avant Garde" w:hAnsi="ITC Avant Garde"/>
        </w:rPr>
        <w:t>efinición de Interconexión Cruzada</w:t>
      </w:r>
      <w:r>
        <w:rPr>
          <w:rFonts w:ascii="ITC Avant Garde" w:hAnsi="ITC Avant Garde"/>
        </w:rPr>
        <w:t xml:space="preserve">, señalan que </w:t>
      </w:r>
      <w:r w:rsidR="00676A3F">
        <w:rPr>
          <w:rFonts w:ascii="ITC Avant Garde" w:hAnsi="ITC Avant Garde"/>
        </w:rPr>
        <w:t xml:space="preserve">se </w:t>
      </w:r>
      <w:r>
        <w:rPr>
          <w:rFonts w:ascii="ITC Avant Garde" w:hAnsi="ITC Avant Garde"/>
        </w:rPr>
        <w:t>d</w:t>
      </w:r>
      <w:r w:rsidRPr="00D86298">
        <w:rPr>
          <w:rFonts w:ascii="ITC Avant Garde" w:hAnsi="ITC Avant Garde"/>
        </w:rPr>
        <w:t>ebe</w:t>
      </w:r>
      <w:r w:rsidR="00676A3F">
        <w:rPr>
          <w:rFonts w:ascii="ITC Avant Garde" w:hAnsi="ITC Avant Garde"/>
        </w:rPr>
        <w:t xml:space="preserve"> conservar</w:t>
      </w:r>
      <w:r w:rsidRPr="00D86298">
        <w:rPr>
          <w:rFonts w:ascii="ITC Avant Garde" w:hAnsi="ITC Avant Garde"/>
        </w:rPr>
        <w:t xml:space="preserve"> la obligación de </w:t>
      </w:r>
      <w:r w:rsidR="003A0013">
        <w:rPr>
          <w:rFonts w:ascii="ITC Avant Garde" w:hAnsi="ITC Avant Garde"/>
        </w:rPr>
        <w:t>Telmex/Telnor</w:t>
      </w:r>
      <w:r w:rsidRPr="00D86298">
        <w:rPr>
          <w:rFonts w:ascii="ITC Avant Garde" w:hAnsi="ITC Avant Garde"/>
        </w:rPr>
        <w:t xml:space="preserve"> de permitir que la Red Nacional Última Milla realice esta actividad, puesto que las coubicaciones y probablemente los edificios en que éstas se ubican le seguirán perteneciendo. No debe quedar un vacío en cuanto a esta obligación</w:t>
      </w:r>
      <w:r>
        <w:rPr>
          <w:rFonts w:ascii="ITC Avant Garde" w:hAnsi="ITC Avant Garde"/>
        </w:rPr>
        <w:t>.</w:t>
      </w:r>
    </w:p>
    <w:p w14:paraId="203D6A42" w14:textId="77777777" w:rsidR="00D86298" w:rsidRPr="00C84042" w:rsidRDefault="00D86298" w:rsidP="00D86298">
      <w:pPr>
        <w:spacing w:line="276" w:lineRule="auto"/>
        <w:jc w:val="both"/>
        <w:rPr>
          <w:rFonts w:ascii="ITC Avant Garde" w:hAnsi="ITC Avant Garde"/>
          <w:b/>
        </w:rPr>
      </w:pPr>
      <w:r w:rsidRPr="00E16359">
        <w:rPr>
          <w:rFonts w:ascii="ITC Avant Garde" w:hAnsi="ITC Avant Garde"/>
          <w:b/>
        </w:rPr>
        <w:t xml:space="preserve">Consideraciones del Instituto </w:t>
      </w:r>
    </w:p>
    <w:p w14:paraId="30DB5863" w14:textId="5D170984" w:rsidR="00D152D8" w:rsidRDefault="00676A3F" w:rsidP="00570E9E">
      <w:pPr>
        <w:autoSpaceDE w:val="0"/>
        <w:autoSpaceDN w:val="0"/>
        <w:adjustRightInd w:val="0"/>
        <w:spacing w:line="276" w:lineRule="auto"/>
        <w:jc w:val="both"/>
        <w:rPr>
          <w:rFonts w:ascii="ITC Avant Garde" w:eastAsia="Times New Roman" w:hAnsi="ITC Avant Garde" w:cs="Times New Roman"/>
        </w:rPr>
      </w:pPr>
      <w:r>
        <w:rPr>
          <w:rFonts w:ascii="ITC Avant Garde" w:eastAsia="Times New Roman" w:hAnsi="ITC Avant Garde" w:cs="Times New Roman"/>
        </w:rPr>
        <w:t xml:space="preserve">Se realiza la precisión </w:t>
      </w:r>
      <w:r w:rsidRPr="00676A3F">
        <w:rPr>
          <w:rFonts w:ascii="ITC Avant Garde" w:eastAsia="Times New Roman" w:hAnsi="ITC Avant Garde" w:cs="Times New Roman"/>
        </w:rPr>
        <w:t>que el propietario de las instalaciones es quien debe proveer estructuras de soporte y medios de transmisión para la interconexión, mismos que pueden ser gestionados o no gestionados.</w:t>
      </w:r>
    </w:p>
    <w:tbl>
      <w:tblPr>
        <w:tblW w:w="0" w:type="auto"/>
        <w:tblInd w:w="709" w:type="dxa"/>
        <w:tblCellMar>
          <w:top w:w="113" w:type="dxa"/>
          <w:bottom w:w="113" w:type="dxa"/>
        </w:tblCellMar>
        <w:tblLook w:val="01E0" w:firstRow="1" w:lastRow="1" w:firstColumn="1" w:lastColumn="1" w:noHBand="0" w:noVBand="0"/>
      </w:tblPr>
      <w:tblGrid>
        <w:gridCol w:w="1918"/>
        <w:gridCol w:w="5737"/>
      </w:tblGrid>
      <w:tr w:rsidR="007A5ECB" w:rsidRPr="00E16359" w14:paraId="315456EE" w14:textId="77777777" w:rsidTr="0074082F">
        <w:tc>
          <w:tcPr>
            <w:tcW w:w="1918" w:type="dxa"/>
          </w:tcPr>
          <w:p w14:paraId="6825E9BD" w14:textId="3DA24831" w:rsidR="007A5ECB" w:rsidRPr="00E16359" w:rsidRDefault="007A5ECB" w:rsidP="007A5ECB">
            <w:pPr>
              <w:autoSpaceDE w:val="0"/>
              <w:autoSpaceDN w:val="0"/>
              <w:adjustRightInd w:val="0"/>
              <w:spacing w:after="0"/>
              <w:jc w:val="both"/>
              <w:rPr>
                <w:rFonts w:ascii="ITC Avant Garde" w:hAnsi="ITC Avant Garde" w:cs="Arial"/>
                <w:i/>
                <w:sz w:val="18"/>
                <w:szCs w:val="18"/>
              </w:rPr>
            </w:pPr>
            <w:r>
              <w:rPr>
                <w:rFonts w:ascii="ITC Avant Garde" w:hAnsi="ITC Avant Garde" w:cs="Arial"/>
                <w:i/>
                <w:sz w:val="18"/>
                <w:szCs w:val="18"/>
              </w:rPr>
              <w:t>“</w:t>
            </w:r>
            <w:r w:rsidRPr="00E16359">
              <w:rPr>
                <w:rFonts w:ascii="ITC Avant Garde" w:hAnsi="ITC Avant Garde" w:cs="Arial"/>
                <w:i/>
                <w:sz w:val="18"/>
                <w:szCs w:val="18"/>
              </w:rPr>
              <w:t>Interconexión</w:t>
            </w:r>
            <w:r>
              <w:rPr>
                <w:rFonts w:ascii="ITC Avant Garde" w:hAnsi="ITC Avant Garde" w:cs="Arial"/>
                <w:i/>
                <w:sz w:val="18"/>
                <w:szCs w:val="18"/>
              </w:rPr>
              <w:t xml:space="preserve"> Cruzada</w:t>
            </w:r>
          </w:p>
        </w:tc>
        <w:tc>
          <w:tcPr>
            <w:tcW w:w="5737" w:type="dxa"/>
          </w:tcPr>
          <w:p w14:paraId="1184DE64" w14:textId="4F307816" w:rsidR="007A5ECB" w:rsidRPr="00E16359" w:rsidRDefault="007A5ECB" w:rsidP="0074082F">
            <w:pPr>
              <w:autoSpaceDE w:val="0"/>
              <w:autoSpaceDN w:val="0"/>
              <w:adjustRightInd w:val="0"/>
              <w:spacing w:after="0"/>
              <w:jc w:val="both"/>
              <w:rPr>
                <w:rFonts w:ascii="ITC Avant Garde" w:hAnsi="ITC Avant Garde" w:cs="Arial"/>
                <w:i/>
                <w:sz w:val="18"/>
                <w:szCs w:val="18"/>
              </w:rPr>
            </w:pPr>
            <w:r w:rsidRPr="007A5ECB">
              <w:rPr>
                <w:rFonts w:ascii="ITC Avant Garde" w:hAnsi="ITC Avant Garde" w:cs="Arial"/>
                <w:i/>
                <w:sz w:val="18"/>
                <w:szCs w:val="18"/>
              </w:rPr>
              <w:t xml:space="preserve">Interconexión directa realizada entre concesionarios que tienen presencia y/o espacios de coubicación en el mismo punto de interconexión. </w:t>
            </w:r>
            <w:r w:rsidRPr="00085F72">
              <w:rPr>
                <w:rFonts w:ascii="ITC Avant Garde" w:hAnsi="ITC Avant Garde" w:cs="Arial"/>
                <w:i/>
                <w:sz w:val="18"/>
                <w:szCs w:val="18"/>
                <w:u w:val="single"/>
              </w:rPr>
              <w:t>Para lo cual el propietario de las instalaciones proveerá las estructuras de soporte y el medio de transmisión para dicha interconexión. Dicho medio de transmisión podrá ser gestionado o no gestionado.”</w:t>
            </w:r>
          </w:p>
        </w:tc>
      </w:tr>
    </w:tbl>
    <w:p w14:paraId="6D50A6E7" w14:textId="77777777" w:rsidR="00085F72" w:rsidRDefault="00085F72" w:rsidP="00085F72">
      <w:pPr>
        <w:autoSpaceDE w:val="0"/>
        <w:autoSpaceDN w:val="0"/>
        <w:adjustRightInd w:val="0"/>
        <w:spacing w:after="0" w:line="276" w:lineRule="auto"/>
        <w:jc w:val="both"/>
        <w:rPr>
          <w:rFonts w:ascii="ITC Avant Garde" w:eastAsia="Times New Roman" w:hAnsi="ITC Avant Garde" w:cs="Times New Roman"/>
        </w:rPr>
      </w:pPr>
    </w:p>
    <w:p w14:paraId="2EFDA2B3" w14:textId="2B6B65A8" w:rsidR="008E613D" w:rsidRPr="00085F72" w:rsidRDefault="00085F72" w:rsidP="00473BEF">
      <w:pPr>
        <w:spacing w:line="276" w:lineRule="auto"/>
        <w:jc w:val="both"/>
        <w:rPr>
          <w:rFonts w:ascii="ITC Avant Garde" w:eastAsia="Times New Roman" w:hAnsi="ITC Avant Garde" w:cs="Times New Roman"/>
        </w:rPr>
      </w:pPr>
      <w:r>
        <w:rPr>
          <w:rFonts w:ascii="ITC Avant Garde" w:eastAsia="Times New Roman" w:hAnsi="ITC Avant Garde" w:cs="Times New Roman"/>
        </w:rPr>
        <w:t xml:space="preserve">Asimismo, en el numeral 5.3 Interconexión entre otros concesionarios se precisa que el servicio de Interconexión Cruzada será prestado por </w:t>
      </w:r>
      <w:r w:rsidRPr="00085F72">
        <w:rPr>
          <w:rFonts w:ascii="ITC Avant Garde" w:eastAsia="Times New Roman" w:hAnsi="ITC Avant Garde" w:cs="Times New Roman"/>
        </w:rPr>
        <w:t xml:space="preserve">Red Nacional Última Milla, S.A.P.I. de C.V. y/o </w:t>
      </w:r>
      <w:r w:rsidRPr="00473BEF">
        <w:rPr>
          <w:rFonts w:ascii="ITC Avant Garde" w:hAnsi="ITC Avant Garde"/>
        </w:rPr>
        <w:t>Red</w:t>
      </w:r>
      <w:r w:rsidRPr="00085F72">
        <w:rPr>
          <w:rFonts w:ascii="ITC Avant Garde" w:eastAsia="Times New Roman" w:hAnsi="ITC Avant Garde" w:cs="Times New Roman"/>
        </w:rPr>
        <w:t xml:space="preserve"> Última Milla </w:t>
      </w:r>
      <w:r>
        <w:rPr>
          <w:rFonts w:ascii="ITC Avant Garde" w:eastAsia="Times New Roman" w:hAnsi="ITC Avant Garde" w:cs="Times New Roman"/>
        </w:rPr>
        <w:t>del Noroeste, S.A.P.I. de C.V. (en lo sucesivo, de forma conjunta “Red Última Milla”)</w:t>
      </w:r>
      <w:r w:rsidR="0074082F">
        <w:rPr>
          <w:rFonts w:ascii="ITC Avant Garde" w:eastAsia="Times New Roman" w:hAnsi="ITC Avant Garde" w:cs="Times New Roman"/>
        </w:rPr>
        <w:t>.</w:t>
      </w:r>
    </w:p>
    <w:p w14:paraId="60ACBB02" w14:textId="520BC4FB" w:rsidR="008E613D" w:rsidRDefault="008E613D" w:rsidP="008E613D">
      <w:pPr>
        <w:spacing w:after="0" w:line="276" w:lineRule="auto"/>
        <w:ind w:left="-5"/>
        <w:jc w:val="both"/>
        <w:rPr>
          <w:rFonts w:ascii="ITC Avant Garde" w:hAnsi="ITC Avant Garde"/>
          <w:b/>
        </w:rPr>
      </w:pPr>
      <w:r>
        <w:rPr>
          <w:rFonts w:ascii="ITC Avant Garde" w:hAnsi="ITC Avant Garde"/>
          <w:b/>
        </w:rPr>
        <w:t>GRUPO TELEVISA, GRUPO AT&amp;T, CANIETI Y ALTÁN</w:t>
      </w:r>
    </w:p>
    <w:p w14:paraId="4530D741" w14:textId="77777777" w:rsidR="00676A3F" w:rsidRPr="00C84042" w:rsidRDefault="00676A3F" w:rsidP="00676A3F">
      <w:pPr>
        <w:spacing w:after="0" w:line="276" w:lineRule="auto"/>
        <w:ind w:left="-5"/>
        <w:jc w:val="both"/>
        <w:rPr>
          <w:rFonts w:ascii="ITC Avant Garde" w:hAnsi="ITC Avant Garde"/>
          <w:b/>
        </w:rPr>
      </w:pPr>
    </w:p>
    <w:p w14:paraId="7DBEA470" w14:textId="26A63D05" w:rsidR="00676A3F" w:rsidRDefault="009312FE" w:rsidP="008E613D">
      <w:pPr>
        <w:spacing w:line="276" w:lineRule="auto"/>
        <w:jc w:val="both"/>
        <w:rPr>
          <w:rFonts w:ascii="ITC Avant Garde" w:hAnsi="ITC Avant Garde"/>
        </w:rPr>
      </w:pPr>
      <w:r>
        <w:rPr>
          <w:rFonts w:ascii="ITC Avant Garde" w:hAnsi="ITC Avant Garde"/>
        </w:rPr>
        <w:t xml:space="preserve">Con relación </w:t>
      </w:r>
      <w:r w:rsidR="008E613D">
        <w:rPr>
          <w:rFonts w:ascii="ITC Avant Garde" w:hAnsi="ITC Avant Garde"/>
        </w:rPr>
        <w:t>a la d</w:t>
      </w:r>
      <w:r w:rsidR="008E613D" w:rsidRPr="008E613D">
        <w:rPr>
          <w:rFonts w:ascii="ITC Avant Garde" w:hAnsi="ITC Avant Garde"/>
        </w:rPr>
        <w:t>efinición de Servicios No Conmutados de Interconexión</w:t>
      </w:r>
      <w:r>
        <w:rPr>
          <w:rFonts w:ascii="ITC Avant Garde" w:hAnsi="ITC Avant Garde"/>
        </w:rPr>
        <w:t>,</w:t>
      </w:r>
      <w:r w:rsidR="008E613D">
        <w:rPr>
          <w:rFonts w:ascii="ITC Avant Garde" w:hAnsi="ITC Avant Garde"/>
        </w:rPr>
        <w:t xml:space="preserve"> señalan</w:t>
      </w:r>
      <w:r w:rsidR="008E613D" w:rsidRPr="008E613D">
        <w:rPr>
          <w:rFonts w:ascii="ITC Avant Garde" w:hAnsi="ITC Avant Garde"/>
        </w:rPr>
        <w:t xml:space="preserve"> </w:t>
      </w:r>
      <w:r w:rsidR="008E613D">
        <w:rPr>
          <w:rFonts w:ascii="ITC Avant Garde" w:hAnsi="ITC Avant Garde"/>
        </w:rPr>
        <w:t xml:space="preserve">que </w:t>
      </w:r>
      <w:r w:rsidR="008E613D" w:rsidRPr="008E613D">
        <w:rPr>
          <w:rFonts w:ascii="ITC Avant Garde" w:hAnsi="ITC Avant Garde"/>
        </w:rPr>
        <w:t xml:space="preserve">es importante que se conserve la obligación de </w:t>
      </w:r>
      <w:r w:rsidR="003A0013">
        <w:rPr>
          <w:rFonts w:ascii="ITC Avant Garde" w:hAnsi="ITC Avant Garde"/>
        </w:rPr>
        <w:t>Telmex/Telnor</w:t>
      </w:r>
      <w:r>
        <w:rPr>
          <w:rFonts w:ascii="ITC Avant Garde" w:hAnsi="ITC Avant Garde"/>
        </w:rPr>
        <w:t xml:space="preserve"> más allá de quien lo provea</w:t>
      </w:r>
      <w:r w:rsidR="008E613D" w:rsidRPr="008E613D">
        <w:rPr>
          <w:rFonts w:ascii="ITC Avant Garde" w:hAnsi="ITC Avant Garde"/>
        </w:rPr>
        <w:t>.</w:t>
      </w:r>
      <w:r w:rsidR="0007653D">
        <w:rPr>
          <w:rFonts w:ascii="ITC Avant Garde" w:hAnsi="ITC Avant Garde"/>
        </w:rPr>
        <w:t xml:space="preserve"> </w:t>
      </w:r>
      <w:r w:rsidR="0007653D" w:rsidRPr="00BC19B5">
        <w:rPr>
          <w:rFonts w:ascii="ITC Avant Garde" w:hAnsi="ITC Avant Garde"/>
        </w:rPr>
        <w:t>Asimismo, señalan</w:t>
      </w:r>
      <w:r w:rsidR="008E613D" w:rsidRPr="00BC19B5">
        <w:rPr>
          <w:rFonts w:ascii="ITC Avant Garde" w:hAnsi="ITC Avant Garde"/>
        </w:rPr>
        <w:t xml:space="preserve"> que</w:t>
      </w:r>
      <w:r w:rsidR="0007653D" w:rsidRPr="00BC19B5">
        <w:rPr>
          <w:rFonts w:ascii="ITC Avant Garde" w:hAnsi="ITC Avant Garde"/>
        </w:rPr>
        <w:t xml:space="preserve"> dado que</w:t>
      </w:r>
      <w:r w:rsidR="008E613D" w:rsidRPr="00BC19B5">
        <w:rPr>
          <w:rFonts w:ascii="ITC Avant Garde" w:hAnsi="ITC Avant Garde"/>
        </w:rPr>
        <w:t xml:space="preserve"> actualmente Telmex-Telnor, continúan cobrando “Enlaces de Interconexión de larga distancia”, se recomienda incorporar en la definición de “Servicios no conmutados de interconexión”, los relativos </w:t>
      </w:r>
      <w:r w:rsidR="00B84DE6" w:rsidRPr="00BC19B5">
        <w:rPr>
          <w:rFonts w:ascii="ITC Avant Garde" w:hAnsi="ITC Avant Garde"/>
        </w:rPr>
        <w:t>a Enlaces</w:t>
      </w:r>
      <w:r w:rsidR="008E613D" w:rsidRPr="00BC19B5">
        <w:rPr>
          <w:rFonts w:ascii="ITC Avant Garde" w:hAnsi="ITC Avant Garde"/>
        </w:rPr>
        <w:t xml:space="preserve"> de Transmisión de Interconexión y Enlaces de Señalización</w:t>
      </w:r>
      <w:r w:rsidR="008E613D" w:rsidRPr="008E613D">
        <w:rPr>
          <w:rFonts w:ascii="ITC Avant Garde" w:hAnsi="ITC Avant Garde"/>
        </w:rPr>
        <w:t>.</w:t>
      </w:r>
    </w:p>
    <w:p w14:paraId="15B75600" w14:textId="50A6141C" w:rsidR="00676A3F" w:rsidRPr="00C84042" w:rsidRDefault="00676A3F" w:rsidP="00676A3F">
      <w:pPr>
        <w:spacing w:line="276" w:lineRule="auto"/>
        <w:jc w:val="both"/>
        <w:rPr>
          <w:rFonts w:ascii="ITC Avant Garde" w:hAnsi="ITC Avant Garde"/>
          <w:b/>
        </w:rPr>
      </w:pPr>
      <w:r w:rsidRPr="00E16359">
        <w:rPr>
          <w:rFonts w:ascii="ITC Avant Garde" w:hAnsi="ITC Avant Garde"/>
          <w:b/>
        </w:rPr>
        <w:t xml:space="preserve">Consideraciones del Instituto </w:t>
      </w:r>
    </w:p>
    <w:p w14:paraId="356AF479" w14:textId="0210742C" w:rsidR="00676A3F" w:rsidRDefault="00676A3F" w:rsidP="00676A3F">
      <w:pPr>
        <w:autoSpaceDE w:val="0"/>
        <w:autoSpaceDN w:val="0"/>
        <w:adjustRightInd w:val="0"/>
        <w:spacing w:line="276" w:lineRule="auto"/>
        <w:jc w:val="both"/>
        <w:rPr>
          <w:rFonts w:ascii="ITC Avant Garde" w:hAnsi="ITC Avant Garde"/>
        </w:rPr>
      </w:pPr>
      <w:r>
        <w:rPr>
          <w:rFonts w:ascii="ITC Avant Garde" w:eastAsia="Times New Roman" w:hAnsi="ITC Avant Garde" w:cs="Times New Roman"/>
        </w:rPr>
        <w:t xml:space="preserve">Se realiza la precisión </w:t>
      </w:r>
      <w:r w:rsidR="007C0E3E">
        <w:rPr>
          <w:rFonts w:ascii="ITC Avant Garde" w:eastAsia="Times New Roman" w:hAnsi="ITC Avant Garde" w:cs="Times New Roman"/>
        </w:rPr>
        <w:t>de que los Servicios n</w:t>
      </w:r>
      <w:r w:rsidR="00274EC1">
        <w:rPr>
          <w:rFonts w:ascii="ITC Avant Garde" w:eastAsia="Times New Roman" w:hAnsi="ITC Avant Garde" w:cs="Times New Roman"/>
        </w:rPr>
        <w:t xml:space="preserve">o Conmutados de Interconexión incluyen los relativos a </w:t>
      </w:r>
      <w:r w:rsidR="00274EC1" w:rsidRPr="008E613D">
        <w:rPr>
          <w:rFonts w:ascii="ITC Avant Garde" w:hAnsi="ITC Avant Garde"/>
        </w:rPr>
        <w:t>Enlaces de Transmisión de Interconexión y Enlaces de Señalización</w:t>
      </w:r>
      <w:r w:rsidR="00B84DE6">
        <w:rPr>
          <w:rFonts w:ascii="ITC Avant Garde" w:hAnsi="ITC Avant Garde"/>
        </w:rPr>
        <w:t xml:space="preserve"> conforme a los servicios de interconexión señalados en la LFTR.</w:t>
      </w:r>
    </w:p>
    <w:tbl>
      <w:tblPr>
        <w:tblW w:w="0" w:type="auto"/>
        <w:jc w:val="center"/>
        <w:tblCellMar>
          <w:top w:w="113" w:type="dxa"/>
          <w:bottom w:w="113" w:type="dxa"/>
        </w:tblCellMar>
        <w:tblLook w:val="01E0" w:firstRow="1" w:lastRow="1" w:firstColumn="1" w:lastColumn="1" w:noHBand="0" w:noVBand="0"/>
      </w:tblPr>
      <w:tblGrid>
        <w:gridCol w:w="2835"/>
        <w:gridCol w:w="4111"/>
      </w:tblGrid>
      <w:tr w:rsidR="00BD4265" w:rsidRPr="00DA4556" w14:paraId="3F46E607" w14:textId="77777777" w:rsidTr="007C0E3E">
        <w:trPr>
          <w:jc w:val="center"/>
        </w:trPr>
        <w:tc>
          <w:tcPr>
            <w:tcW w:w="2835" w:type="dxa"/>
          </w:tcPr>
          <w:p w14:paraId="50CF8CE3" w14:textId="77777777" w:rsidR="00BD4265" w:rsidRPr="00473BEF" w:rsidRDefault="00BD4265" w:rsidP="00473BEF">
            <w:pPr>
              <w:autoSpaceDE w:val="0"/>
              <w:autoSpaceDN w:val="0"/>
              <w:adjustRightInd w:val="0"/>
              <w:spacing w:after="0"/>
              <w:rPr>
                <w:rFonts w:ascii="ITC Avant Garde" w:hAnsi="ITC Avant Garde" w:cs="Arial"/>
                <w:i/>
                <w:sz w:val="18"/>
                <w:szCs w:val="18"/>
              </w:rPr>
            </w:pPr>
            <w:r w:rsidRPr="00473BEF">
              <w:rPr>
                <w:rFonts w:ascii="ITC Avant Garde" w:hAnsi="ITC Avant Garde" w:cs="Arial"/>
                <w:i/>
                <w:sz w:val="18"/>
                <w:szCs w:val="18"/>
              </w:rPr>
              <w:t>Servicios no Conmutados de Interconexión</w:t>
            </w:r>
          </w:p>
        </w:tc>
        <w:tc>
          <w:tcPr>
            <w:tcW w:w="4111" w:type="dxa"/>
          </w:tcPr>
          <w:p w14:paraId="455CB4E9" w14:textId="671D3339" w:rsidR="00BD4265" w:rsidRPr="00473BEF" w:rsidRDefault="00BD4265" w:rsidP="00473BEF">
            <w:pPr>
              <w:autoSpaceDE w:val="0"/>
              <w:autoSpaceDN w:val="0"/>
              <w:adjustRightInd w:val="0"/>
              <w:spacing w:after="0"/>
              <w:jc w:val="both"/>
              <w:rPr>
                <w:rFonts w:ascii="ITC Avant Garde" w:hAnsi="ITC Avant Garde" w:cs="Arial"/>
                <w:i/>
                <w:sz w:val="18"/>
                <w:szCs w:val="18"/>
              </w:rPr>
            </w:pPr>
            <w:r w:rsidRPr="00473BEF">
              <w:rPr>
                <w:rFonts w:ascii="ITC Avant Garde" w:hAnsi="ITC Avant Garde" w:cs="Arial"/>
                <w:i/>
                <w:sz w:val="18"/>
                <w:szCs w:val="18"/>
              </w:rPr>
              <w:t xml:space="preserve">Los servicios que consisten en: </w:t>
            </w:r>
          </w:p>
          <w:p w14:paraId="10951D53" w14:textId="77777777" w:rsidR="00BD4265" w:rsidRPr="00473BEF" w:rsidRDefault="00BD4265" w:rsidP="00473BEF">
            <w:pPr>
              <w:pStyle w:val="Prrafodelista1"/>
              <w:numPr>
                <w:ilvl w:val="0"/>
                <w:numId w:val="11"/>
              </w:numPr>
              <w:autoSpaceDE w:val="0"/>
              <w:autoSpaceDN w:val="0"/>
              <w:adjustRightInd w:val="0"/>
              <w:jc w:val="both"/>
              <w:rPr>
                <w:rFonts w:ascii="ITC Avant Garde" w:eastAsiaTheme="minorHAnsi" w:hAnsi="ITC Avant Garde" w:cs="Arial"/>
                <w:i/>
                <w:sz w:val="18"/>
                <w:szCs w:val="18"/>
                <w:lang w:val="es-MX" w:eastAsia="en-US"/>
              </w:rPr>
            </w:pPr>
            <w:r w:rsidRPr="00473BEF">
              <w:rPr>
                <w:rFonts w:ascii="ITC Avant Garde" w:eastAsiaTheme="minorHAnsi" w:hAnsi="ITC Avant Garde" w:cs="Arial"/>
                <w:i/>
                <w:sz w:val="18"/>
                <w:szCs w:val="18"/>
                <w:lang w:val="es-MX" w:eastAsia="en-US"/>
              </w:rPr>
              <w:t xml:space="preserve">Enlaces de Señalización Entre Localidades, </w:t>
            </w:r>
          </w:p>
          <w:p w14:paraId="4392A1FD" w14:textId="77777777" w:rsidR="00BD4265" w:rsidRPr="00473BEF" w:rsidRDefault="00BD4265" w:rsidP="00473BEF">
            <w:pPr>
              <w:pStyle w:val="Prrafodelista1"/>
              <w:numPr>
                <w:ilvl w:val="0"/>
                <w:numId w:val="11"/>
              </w:numPr>
              <w:autoSpaceDE w:val="0"/>
              <w:autoSpaceDN w:val="0"/>
              <w:adjustRightInd w:val="0"/>
              <w:jc w:val="both"/>
              <w:rPr>
                <w:rFonts w:ascii="ITC Avant Garde" w:eastAsiaTheme="minorHAnsi" w:hAnsi="ITC Avant Garde" w:cs="Arial"/>
                <w:i/>
                <w:sz w:val="18"/>
                <w:szCs w:val="18"/>
                <w:lang w:val="es-MX" w:eastAsia="en-US"/>
              </w:rPr>
            </w:pPr>
            <w:r w:rsidRPr="00473BEF">
              <w:rPr>
                <w:rFonts w:ascii="ITC Avant Garde" w:eastAsiaTheme="minorHAnsi" w:hAnsi="ITC Avant Garde" w:cs="Arial"/>
                <w:i/>
                <w:sz w:val="18"/>
                <w:szCs w:val="18"/>
                <w:lang w:val="es-MX" w:eastAsia="en-US"/>
              </w:rPr>
              <w:t xml:space="preserve">Puerto de Acceso, </w:t>
            </w:r>
          </w:p>
          <w:p w14:paraId="6B5D4086" w14:textId="77777777" w:rsidR="00BD4265" w:rsidRPr="00473BEF" w:rsidRDefault="00BD4265" w:rsidP="00473BEF">
            <w:pPr>
              <w:pStyle w:val="Prrafodelista1"/>
              <w:numPr>
                <w:ilvl w:val="0"/>
                <w:numId w:val="11"/>
              </w:numPr>
              <w:autoSpaceDE w:val="0"/>
              <w:autoSpaceDN w:val="0"/>
              <w:adjustRightInd w:val="0"/>
              <w:jc w:val="both"/>
              <w:rPr>
                <w:rFonts w:ascii="ITC Avant Garde" w:eastAsiaTheme="minorHAnsi" w:hAnsi="ITC Avant Garde" w:cs="Arial"/>
                <w:i/>
                <w:sz w:val="18"/>
                <w:szCs w:val="18"/>
                <w:lang w:val="es-MX" w:eastAsia="en-US"/>
              </w:rPr>
            </w:pPr>
            <w:r w:rsidRPr="00473BEF">
              <w:rPr>
                <w:rFonts w:ascii="ITC Avant Garde" w:eastAsiaTheme="minorHAnsi" w:hAnsi="ITC Avant Garde" w:cs="Arial"/>
                <w:i/>
                <w:sz w:val="18"/>
                <w:szCs w:val="18"/>
                <w:lang w:val="es-MX" w:eastAsia="en-US"/>
              </w:rPr>
              <w:t>Puerto de Señalización y</w:t>
            </w:r>
          </w:p>
          <w:p w14:paraId="738137CF" w14:textId="77777777" w:rsidR="00BD4265" w:rsidRPr="00473BEF" w:rsidRDefault="00BD4265" w:rsidP="00473BEF">
            <w:pPr>
              <w:pStyle w:val="Prrafodelista1"/>
              <w:numPr>
                <w:ilvl w:val="0"/>
                <w:numId w:val="11"/>
              </w:numPr>
              <w:autoSpaceDE w:val="0"/>
              <w:autoSpaceDN w:val="0"/>
              <w:adjustRightInd w:val="0"/>
              <w:jc w:val="both"/>
              <w:rPr>
                <w:rFonts w:ascii="ITC Avant Garde" w:eastAsiaTheme="minorHAnsi" w:hAnsi="ITC Avant Garde" w:cs="Arial"/>
                <w:i/>
                <w:sz w:val="18"/>
                <w:szCs w:val="18"/>
                <w:lang w:val="es-MX" w:eastAsia="en-US"/>
              </w:rPr>
            </w:pPr>
            <w:r w:rsidRPr="00473BEF">
              <w:rPr>
                <w:rFonts w:ascii="ITC Avant Garde" w:eastAsiaTheme="minorHAnsi" w:hAnsi="ITC Avant Garde" w:cs="Arial"/>
                <w:i/>
                <w:sz w:val="18"/>
                <w:szCs w:val="18"/>
                <w:lang w:val="es-MX" w:eastAsia="en-US"/>
              </w:rPr>
              <w:lastRenderedPageBreak/>
              <w:t>Coubicación.</w:t>
            </w:r>
          </w:p>
        </w:tc>
      </w:tr>
    </w:tbl>
    <w:p w14:paraId="522E8924" w14:textId="674E65A4" w:rsidR="00B84DE6" w:rsidRDefault="00B84DE6" w:rsidP="00B84DE6">
      <w:pPr>
        <w:spacing w:after="0" w:line="276" w:lineRule="auto"/>
        <w:ind w:left="-5"/>
        <w:jc w:val="both"/>
        <w:rPr>
          <w:rFonts w:ascii="ITC Avant Garde" w:hAnsi="ITC Avant Garde"/>
          <w:b/>
        </w:rPr>
      </w:pPr>
      <w:r>
        <w:rPr>
          <w:rFonts w:ascii="ITC Avant Garde" w:hAnsi="ITC Avant Garde"/>
          <w:b/>
        </w:rPr>
        <w:lastRenderedPageBreak/>
        <w:t>CANIETI Y ALTÁN</w:t>
      </w:r>
    </w:p>
    <w:p w14:paraId="118ED0D8" w14:textId="77777777" w:rsidR="00240383" w:rsidRPr="00C84042" w:rsidRDefault="00240383" w:rsidP="00240383">
      <w:pPr>
        <w:spacing w:after="0" w:line="276" w:lineRule="auto"/>
        <w:ind w:left="-5"/>
        <w:jc w:val="both"/>
        <w:rPr>
          <w:rFonts w:ascii="ITC Avant Garde" w:hAnsi="ITC Avant Garde"/>
          <w:b/>
        </w:rPr>
      </w:pPr>
    </w:p>
    <w:p w14:paraId="2625ECFB" w14:textId="63308B42" w:rsidR="00676A3F" w:rsidRPr="00240383" w:rsidRDefault="00240383" w:rsidP="00240383">
      <w:pPr>
        <w:autoSpaceDE w:val="0"/>
        <w:autoSpaceDN w:val="0"/>
        <w:adjustRightInd w:val="0"/>
        <w:spacing w:line="276" w:lineRule="auto"/>
        <w:jc w:val="both"/>
        <w:rPr>
          <w:rFonts w:ascii="ITC Avant Garde" w:eastAsia="Times New Roman" w:hAnsi="ITC Avant Garde" w:cs="Times New Roman"/>
        </w:rPr>
      </w:pPr>
      <w:r>
        <w:rPr>
          <w:rFonts w:ascii="ITC Avant Garde" w:eastAsia="Times New Roman" w:hAnsi="ITC Avant Garde" w:cs="Times New Roman"/>
        </w:rPr>
        <w:t>Observan que se debe</w:t>
      </w:r>
      <w:r w:rsidRPr="00240383">
        <w:rPr>
          <w:rFonts w:ascii="ITC Avant Garde" w:eastAsia="Times New Roman" w:hAnsi="ITC Avant Garde" w:cs="Times New Roman"/>
        </w:rPr>
        <w:t xml:space="preserve"> agregar la definición </w:t>
      </w:r>
      <w:r w:rsidR="007C0E3E">
        <w:rPr>
          <w:rFonts w:ascii="ITC Avant Garde" w:eastAsia="Times New Roman" w:hAnsi="ITC Avant Garde" w:cs="Times New Roman"/>
        </w:rPr>
        <w:t xml:space="preserve">de </w:t>
      </w:r>
      <w:r w:rsidRPr="00240383">
        <w:rPr>
          <w:rFonts w:ascii="ITC Avant Garde" w:eastAsia="Times New Roman" w:hAnsi="ITC Avant Garde" w:cs="Times New Roman"/>
        </w:rPr>
        <w:t>Plan de Implementación de Separación Funcional.</w:t>
      </w:r>
    </w:p>
    <w:p w14:paraId="5C4249E7" w14:textId="77777777" w:rsidR="00240383" w:rsidRPr="00C84042" w:rsidRDefault="00240383" w:rsidP="00240383">
      <w:pPr>
        <w:spacing w:line="276" w:lineRule="auto"/>
        <w:jc w:val="both"/>
        <w:rPr>
          <w:rFonts w:ascii="ITC Avant Garde" w:hAnsi="ITC Avant Garde"/>
          <w:b/>
        </w:rPr>
      </w:pPr>
      <w:r w:rsidRPr="00E16359">
        <w:rPr>
          <w:rFonts w:ascii="ITC Avant Garde" w:hAnsi="ITC Avant Garde"/>
          <w:b/>
        </w:rPr>
        <w:t xml:space="preserve">Consideraciones del Instituto </w:t>
      </w:r>
    </w:p>
    <w:p w14:paraId="7619F93B" w14:textId="2F6F9331" w:rsidR="00240383" w:rsidRDefault="00473BEF" w:rsidP="00240383">
      <w:pPr>
        <w:autoSpaceDE w:val="0"/>
        <w:autoSpaceDN w:val="0"/>
        <w:adjustRightInd w:val="0"/>
        <w:spacing w:line="276" w:lineRule="auto"/>
        <w:jc w:val="both"/>
        <w:rPr>
          <w:rFonts w:ascii="ITC Avant Garde" w:eastAsia="Times New Roman" w:hAnsi="ITC Avant Garde" w:cs="Times New Roman"/>
        </w:rPr>
      </w:pPr>
      <w:r>
        <w:rPr>
          <w:rFonts w:ascii="ITC Avant Garde" w:eastAsia="Times New Roman" w:hAnsi="ITC Avant Garde" w:cs="Times New Roman"/>
        </w:rPr>
        <w:t>Se adicionó la definición de “Plan de Separación Funcional” en el siguiente sentido:</w:t>
      </w:r>
    </w:p>
    <w:tbl>
      <w:tblPr>
        <w:tblW w:w="0" w:type="auto"/>
        <w:jc w:val="center"/>
        <w:tblCellMar>
          <w:top w:w="113" w:type="dxa"/>
          <w:bottom w:w="113" w:type="dxa"/>
        </w:tblCellMar>
        <w:tblLook w:val="01E0" w:firstRow="1" w:lastRow="1" w:firstColumn="1" w:lastColumn="1" w:noHBand="0" w:noVBand="0"/>
      </w:tblPr>
      <w:tblGrid>
        <w:gridCol w:w="1500"/>
        <w:gridCol w:w="6204"/>
      </w:tblGrid>
      <w:tr w:rsidR="00473BEF" w:rsidRPr="00DA4556" w14:paraId="1355F20C" w14:textId="77777777" w:rsidTr="00473BEF">
        <w:trPr>
          <w:jc w:val="center"/>
        </w:trPr>
        <w:tc>
          <w:tcPr>
            <w:tcW w:w="1500" w:type="dxa"/>
          </w:tcPr>
          <w:p w14:paraId="28583DAE" w14:textId="77777777" w:rsidR="00473BEF" w:rsidRPr="00473BEF" w:rsidRDefault="00473BEF" w:rsidP="00473BEF">
            <w:pPr>
              <w:autoSpaceDE w:val="0"/>
              <w:autoSpaceDN w:val="0"/>
              <w:adjustRightInd w:val="0"/>
              <w:spacing w:after="0"/>
              <w:rPr>
                <w:rFonts w:ascii="ITC Avant Garde" w:hAnsi="ITC Avant Garde" w:cs="Arial"/>
                <w:i/>
                <w:sz w:val="18"/>
                <w:szCs w:val="18"/>
              </w:rPr>
            </w:pPr>
            <w:r w:rsidRPr="00473BEF">
              <w:rPr>
                <w:rFonts w:ascii="ITC Avant Garde" w:hAnsi="ITC Avant Garde" w:cs="Arial"/>
                <w:i/>
                <w:sz w:val="18"/>
                <w:szCs w:val="18"/>
              </w:rPr>
              <w:t>Plan de Separación Funcional</w:t>
            </w:r>
          </w:p>
        </w:tc>
        <w:tc>
          <w:tcPr>
            <w:tcW w:w="6204" w:type="dxa"/>
          </w:tcPr>
          <w:p w14:paraId="5C430CFB" w14:textId="77777777" w:rsidR="00473BEF" w:rsidRPr="00473BEF" w:rsidRDefault="00473BEF" w:rsidP="00473BEF">
            <w:pPr>
              <w:autoSpaceDE w:val="0"/>
              <w:autoSpaceDN w:val="0"/>
              <w:adjustRightInd w:val="0"/>
              <w:spacing w:after="0"/>
              <w:jc w:val="both"/>
              <w:rPr>
                <w:rFonts w:ascii="ITC Avant Garde" w:hAnsi="ITC Avant Garde" w:cs="Arial"/>
                <w:i/>
                <w:sz w:val="18"/>
                <w:szCs w:val="18"/>
              </w:rPr>
            </w:pPr>
            <w:r w:rsidRPr="00473BEF">
              <w:rPr>
                <w:rFonts w:ascii="ITC Avant Garde" w:hAnsi="ITC Avant Garde" w:cs="Arial"/>
                <w:i/>
                <w:sz w:val="18"/>
                <w:szCs w:val="18"/>
              </w:rPr>
              <w:t>El “Acuerdo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establecidas mediante Acuerdo P/IFT/EXT/270217/119”.</w:t>
            </w:r>
          </w:p>
        </w:tc>
      </w:tr>
    </w:tbl>
    <w:p w14:paraId="7C6EF421" w14:textId="77777777" w:rsidR="00676A3F" w:rsidRPr="006363FB" w:rsidRDefault="00676A3F" w:rsidP="006363FB">
      <w:pPr>
        <w:spacing w:after="0" w:line="276" w:lineRule="auto"/>
        <w:ind w:left="-5"/>
        <w:jc w:val="both"/>
        <w:rPr>
          <w:rFonts w:ascii="ITC Avant Garde" w:hAnsi="ITC Avant Garde"/>
          <w:b/>
        </w:rPr>
      </w:pPr>
    </w:p>
    <w:p w14:paraId="279FC270" w14:textId="350C7386" w:rsidR="00290EFC" w:rsidRDefault="00473BEF" w:rsidP="00570E9E">
      <w:pPr>
        <w:autoSpaceDE w:val="0"/>
        <w:autoSpaceDN w:val="0"/>
        <w:adjustRightInd w:val="0"/>
        <w:spacing w:line="276" w:lineRule="auto"/>
        <w:jc w:val="both"/>
        <w:rPr>
          <w:rFonts w:ascii="ITC Avant Garde" w:hAnsi="ITC Avant Garde"/>
          <w:b/>
          <w:u w:val="single"/>
        </w:rPr>
      </w:pPr>
      <w:r>
        <w:rPr>
          <w:rFonts w:ascii="ITC Avant Garde" w:hAnsi="ITC Avant Garde"/>
          <w:b/>
          <w:u w:val="single"/>
        </w:rPr>
        <w:t>Cláusula Segunda</w:t>
      </w:r>
    </w:p>
    <w:p w14:paraId="2B20BBD9" w14:textId="027BEE95" w:rsidR="00982F0E" w:rsidRDefault="00982F0E" w:rsidP="00570E9E">
      <w:pPr>
        <w:autoSpaceDE w:val="0"/>
        <w:autoSpaceDN w:val="0"/>
        <w:adjustRightInd w:val="0"/>
        <w:spacing w:line="276" w:lineRule="auto"/>
        <w:jc w:val="both"/>
        <w:rPr>
          <w:rFonts w:ascii="ITC Avant Garde" w:hAnsi="ITC Avant Garde"/>
          <w:b/>
        </w:rPr>
      </w:pPr>
      <w:r>
        <w:rPr>
          <w:rFonts w:ascii="ITC Avant Garde" w:hAnsi="ITC Avant Garde"/>
          <w:b/>
        </w:rPr>
        <w:t>2.3 Servicios de Interconexión</w:t>
      </w:r>
    </w:p>
    <w:p w14:paraId="677C8625" w14:textId="4DCBCF73" w:rsidR="00982F0E" w:rsidRPr="00961FB8" w:rsidRDefault="00982F0E" w:rsidP="00961FB8">
      <w:pPr>
        <w:spacing w:after="0" w:line="276" w:lineRule="auto"/>
        <w:ind w:left="-5"/>
        <w:jc w:val="both"/>
        <w:rPr>
          <w:rFonts w:ascii="ITC Avant Garde" w:hAnsi="ITC Avant Garde"/>
          <w:b/>
          <w:caps/>
        </w:rPr>
      </w:pPr>
      <w:r w:rsidRPr="00961FB8">
        <w:rPr>
          <w:rFonts w:ascii="ITC Avant Garde" w:hAnsi="ITC Avant Garde"/>
          <w:b/>
          <w:caps/>
        </w:rPr>
        <w:t>Grupo AT&amp;T</w:t>
      </w:r>
    </w:p>
    <w:p w14:paraId="2C5B4B33" w14:textId="77777777" w:rsidR="00705167" w:rsidRPr="00C84042" w:rsidRDefault="00705167" w:rsidP="00705167">
      <w:pPr>
        <w:spacing w:after="0" w:line="276" w:lineRule="auto"/>
        <w:ind w:left="-5"/>
        <w:jc w:val="both"/>
        <w:rPr>
          <w:rFonts w:ascii="ITC Avant Garde" w:hAnsi="ITC Avant Garde"/>
          <w:b/>
        </w:rPr>
      </w:pPr>
    </w:p>
    <w:p w14:paraId="64BD40C1" w14:textId="09C31F90" w:rsidR="00982F0E" w:rsidRPr="007B6F52" w:rsidRDefault="00982F0E" w:rsidP="007B6F52">
      <w:pPr>
        <w:autoSpaceDE w:val="0"/>
        <w:autoSpaceDN w:val="0"/>
        <w:adjustRightInd w:val="0"/>
        <w:spacing w:line="276" w:lineRule="auto"/>
        <w:jc w:val="both"/>
        <w:rPr>
          <w:rFonts w:ascii="ITC Avant Garde" w:eastAsia="Times New Roman" w:hAnsi="ITC Avant Garde" w:cs="Times New Roman"/>
        </w:rPr>
      </w:pPr>
      <w:r w:rsidRPr="007B6F52">
        <w:rPr>
          <w:rFonts w:ascii="ITC Avant Garde" w:eastAsia="Times New Roman" w:hAnsi="ITC Avant Garde" w:cs="Times New Roman"/>
        </w:rPr>
        <w:t xml:space="preserve">Los servicios que incluye </w:t>
      </w:r>
      <w:r w:rsidR="00EC2974" w:rsidRPr="007B6F52">
        <w:rPr>
          <w:rFonts w:ascii="ITC Avant Garde" w:eastAsia="Times New Roman" w:hAnsi="ITC Avant Garde" w:cs="Times New Roman"/>
        </w:rPr>
        <w:t>el CMI</w:t>
      </w:r>
      <w:r w:rsidRPr="007B6F52">
        <w:rPr>
          <w:rFonts w:ascii="ITC Avant Garde" w:eastAsia="Times New Roman" w:hAnsi="ITC Avant Garde" w:cs="Times New Roman"/>
        </w:rPr>
        <w:t xml:space="preserve"> deben </w:t>
      </w:r>
      <w:r w:rsidR="00CB47F4">
        <w:rPr>
          <w:rFonts w:ascii="ITC Avant Garde" w:eastAsia="Times New Roman" w:hAnsi="ITC Avant Garde" w:cs="Times New Roman"/>
        </w:rPr>
        <w:t>señalarse</w:t>
      </w:r>
      <w:r w:rsidRPr="007B6F52">
        <w:rPr>
          <w:rFonts w:ascii="ITC Avant Garde" w:eastAsia="Times New Roman" w:hAnsi="ITC Avant Garde" w:cs="Times New Roman"/>
        </w:rPr>
        <w:t>, más allá de quién los provea, sigue siendo obligación de los concesionarios contratar al tercero que los proveerá.</w:t>
      </w:r>
      <w:r w:rsidR="00CB47F4">
        <w:rPr>
          <w:rFonts w:ascii="ITC Avant Garde" w:eastAsia="Times New Roman" w:hAnsi="ITC Avant Garde" w:cs="Times New Roman"/>
        </w:rPr>
        <w:t xml:space="preserve"> </w:t>
      </w:r>
      <w:r w:rsidR="003A0013">
        <w:rPr>
          <w:rFonts w:ascii="ITC Avant Garde" w:eastAsia="Times New Roman" w:hAnsi="ITC Avant Garde" w:cs="Times New Roman"/>
        </w:rPr>
        <w:t>Telmex/Telnor</w:t>
      </w:r>
      <w:r w:rsidRPr="007B6F52">
        <w:rPr>
          <w:rFonts w:ascii="ITC Avant Garde" w:eastAsia="Times New Roman" w:hAnsi="ITC Avant Garde" w:cs="Times New Roman"/>
        </w:rPr>
        <w:t xml:space="preserve"> mantiene la obligación de conectarse con los otros operadores y contratar, en su caso, los enlaces con quien desee.</w:t>
      </w:r>
    </w:p>
    <w:p w14:paraId="5D03BF6B" w14:textId="77777777" w:rsidR="00CB47F4" w:rsidRPr="00C84042" w:rsidRDefault="00CB47F4" w:rsidP="00CB47F4">
      <w:pPr>
        <w:spacing w:line="276" w:lineRule="auto"/>
        <w:jc w:val="both"/>
        <w:rPr>
          <w:rFonts w:ascii="ITC Avant Garde" w:hAnsi="ITC Avant Garde"/>
          <w:b/>
        </w:rPr>
      </w:pPr>
      <w:r w:rsidRPr="00E16359">
        <w:rPr>
          <w:rFonts w:ascii="ITC Avant Garde" w:hAnsi="ITC Avant Garde"/>
          <w:b/>
        </w:rPr>
        <w:t xml:space="preserve">Consideraciones del Instituto </w:t>
      </w:r>
    </w:p>
    <w:p w14:paraId="4E5038EA" w14:textId="77777777" w:rsidR="00CE2CFF" w:rsidRDefault="00705167" w:rsidP="00CB47F4">
      <w:pPr>
        <w:autoSpaceDE w:val="0"/>
        <w:autoSpaceDN w:val="0"/>
        <w:adjustRightInd w:val="0"/>
        <w:spacing w:line="276" w:lineRule="auto"/>
        <w:jc w:val="both"/>
        <w:rPr>
          <w:rFonts w:ascii="ITC Avant Garde" w:eastAsia="Times New Roman" w:hAnsi="ITC Avant Garde" w:cs="Times New Roman"/>
        </w:rPr>
      </w:pPr>
      <w:r>
        <w:rPr>
          <w:rFonts w:ascii="ITC Avant Garde" w:eastAsia="Times New Roman" w:hAnsi="ITC Avant Garde" w:cs="Times New Roman"/>
        </w:rPr>
        <w:t xml:space="preserve">Se </w:t>
      </w:r>
      <w:r w:rsidR="00CE2CFF">
        <w:rPr>
          <w:rFonts w:ascii="ITC Avant Garde" w:eastAsia="Times New Roman" w:hAnsi="ITC Avant Garde" w:cs="Times New Roman"/>
        </w:rPr>
        <w:t>modifica el numeral 2.3 Servicios de Interconexión a efecto de precisar los servicios que están contemplados en el Convenio:</w:t>
      </w:r>
    </w:p>
    <w:p w14:paraId="35F7BCDE" w14:textId="1A999D88" w:rsidR="00CE2CFF" w:rsidRPr="00CE2CFF" w:rsidRDefault="00CE2CFF" w:rsidP="00CE2CFF">
      <w:pPr>
        <w:autoSpaceDE w:val="0"/>
        <w:autoSpaceDN w:val="0"/>
        <w:adjustRightInd w:val="0"/>
        <w:ind w:left="567" w:right="565"/>
        <w:jc w:val="both"/>
        <w:rPr>
          <w:rFonts w:ascii="ITC Avant Garde" w:hAnsi="ITC Avant Garde"/>
          <w:i/>
          <w:sz w:val="18"/>
          <w:szCs w:val="18"/>
          <w:u w:val="single"/>
        </w:rPr>
      </w:pPr>
      <w:r>
        <w:rPr>
          <w:rFonts w:ascii="ITC Avant Garde" w:hAnsi="ITC Avant Garde"/>
          <w:i/>
          <w:sz w:val="18"/>
          <w:szCs w:val="18"/>
          <w:u w:val="single"/>
        </w:rPr>
        <w:t>“</w:t>
      </w:r>
      <w:r w:rsidRPr="00CE2CFF">
        <w:rPr>
          <w:rFonts w:ascii="ITC Avant Garde" w:hAnsi="ITC Avant Garde"/>
          <w:i/>
          <w:sz w:val="18"/>
          <w:szCs w:val="18"/>
          <w:u w:val="single"/>
        </w:rPr>
        <w:t>2.3 SERVICIOS DE INTERCONEXIÓN</w:t>
      </w:r>
    </w:p>
    <w:p w14:paraId="5C35D3FF"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Los servicios de Interconexión que están contemplados en este Convenio son los siguientes:</w:t>
      </w:r>
    </w:p>
    <w:p w14:paraId="217D1057"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2.3.1. Conducción de Tráfico, que incluye Originación y Terminación de Tráfico.</w:t>
      </w:r>
    </w:p>
    <w:p w14:paraId="562B6848"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2.3.2. Servicio de Tránsito.</w:t>
      </w:r>
    </w:p>
    <w:p w14:paraId="42BAD195"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2.3.3 Servicio de Señalización.</w:t>
      </w:r>
    </w:p>
    <w:p w14:paraId="6F4C31A5"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2.3.4. Enlaces de Transmisión de Interconexión entre Coubicaciones.</w:t>
      </w:r>
    </w:p>
    <w:p w14:paraId="3ED91C70"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2.3.5. Coubicación.</w:t>
      </w:r>
    </w:p>
    <w:p w14:paraId="5E989F4B"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2.3.6 Facturación y Cobranza.</w:t>
      </w:r>
    </w:p>
    <w:p w14:paraId="1EA27F6E" w14:textId="77777777"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t>2.3.7 Puerto de Acceso.</w:t>
      </w:r>
    </w:p>
    <w:p w14:paraId="0F9489AA" w14:textId="138FC84D" w:rsidR="00CE2CFF" w:rsidRPr="00CE2CFF" w:rsidRDefault="00CE2CFF" w:rsidP="00CE2CFF">
      <w:pPr>
        <w:autoSpaceDE w:val="0"/>
        <w:autoSpaceDN w:val="0"/>
        <w:adjustRightInd w:val="0"/>
        <w:ind w:left="567" w:right="565"/>
        <w:jc w:val="both"/>
        <w:rPr>
          <w:rFonts w:ascii="ITC Avant Garde" w:hAnsi="ITC Avant Garde"/>
          <w:i/>
          <w:sz w:val="18"/>
          <w:szCs w:val="18"/>
        </w:rPr>
      </w:pPr>
      <w:r w:rsidRPr="00CE2CFF">
        <w:rPr>
          <w:rFonts w:ascii="ITC Avant Garde" w:hAnsi="ITC Avant Garde"/>
          <w:i/>
          <w:sz w:val="18"/>
          <w:szCs w:val="18"/>
        </w:rPr>
        <w:lastRenderedPageBreak/>
        <w:t>2.3.8 Servicios Auxiliares Conexos.</w:t>
      </w:r>
      <w:r>
        <w:rPr>
          <w:rFonts w:ascii="ITC Avant Garde" w:hAnsi="ITC Avant Garde"/>
          <w:i/>
          <w:sz w:val="18"/>
          <w:szCs w:val="18"/>
        </w:rPr>
        <w:t>”</w:t>
      </w:r>
    </w:p>
    <w:p w14:paraId="1EE257E7" w14:textId="77777777" w:rsidR="00982F0E" w:rsidRDefault="00982F0E" w:rsidP="00021FA7">
      <w:pPr>
        <w:spacing w:after="0" w:line="276" w:lineRule="auto"/>
        <w:ind w:left="-5"/>
        <w:jc w:val="both"/>
        <w:rPr>
          <w:rFonts w:ascii="ITC Avant Garde" w:hAnsi="ITC Avant Garde"/>
          <w:b/>
        </w:rPr>
      </w:pPr>
    </w:p>
    <w:p w14:paraId="36F31C9A" w14:textId="240AA259" w:rsidR="00050267" w:rsidRDefault="00050267" w:rsidP="00570E9E">
      <w:pPr>
        <w:autoSpaceDE w:val="0"/>
        <w:autoSpaceDN w:val="0"/>
        <w:adjustRightInd w:val="0"/>
        <w:spacing w:line="276" w:lineRule="auto"/>
        <w:jc w:val="both"/>
        <w:rPr>
          <w:rFonts w:ascii="ITC Avant Garde" w:hAnsi="ITC Avant Garde"/>
          <w:b/>
        </w:rPr>
      </w:pPr>
      <w:r w:rsidRPr="00290EFC">
        <w:rPr>
          <w:rFonts w:ascii="ITC Avant Garde" w:hAnsi="ITC Avant Garde"/>
          <w:b/>
        </w:rPr>
        <w:t xml:space="preserve">2.4. </w:t>
      </w:r>
      <w:r w:rsidR="00290EFC">
        <w:rPr>
          <w:rFonts w:ascii="ITC Avant Garde" w:hAnsi="ITC Avant Garde"/>
          <w:b/>
        </w:rPr>
        <w:t>Solicitudes de S</w:t>
      </w:r>
      <w:r w:rsidR="00290EFC" w:rsidRPr="00290EFC">
        <w:rPr>
          <w:rFonts w:ascii="ITC Avant Garde" w:hAnsi="ITC Avant Garde"/>
          <w:b/>
        </w:rPr>
        <w:t>ervicio</w:t>
      </w:r>
      <w:r w:rsidR="00156559">
        <w:rPr>
          <w:rFonts w:ascii="ITC Avant Garde" w:hAnsi="ITC Avant Garde"/>
          <w:b/>
        </w:rPr>
        <w:t>,</w:t>
      </w:r>
      <w:r w:rsidR="00F74F60">
        <w:rPr>
          <w:rFonts w:ascii="ITC Avant Garde" w:hAnsi="ITC Avant Garde"/>
          <w:b/>
        </w:rPr>
        <w:t xml:space="preserve"> </w:t>
      </w:r>
      <w:r w:rsidR="00F74F60" w:rsidRPr="00F74F60">
        <w:rPr>
          <w:rFonts w:ascii="ITC Avant Garde" w:hAnsi="ITC Avant Garde"/>
          <w:b/>
        </w:rPr>
        <w:t>5.4 Puertos de Acceso</w:t>
      </w:r>
      <w:r w:rsidR="00156559">
        <w:rPr>
          <w:rFonts w:ascii="ITC Avant Garde" w:hAnsi="ITC Avant Garde"/>
          <w:b/>
        </w:rPr>
        <w:t xml:space="preserve"> y 6.2 Calidad de los Servicios de Interconexión</w:t>
      </w:r>
      <w:r w:rsidRPr="00290EFC">
        <w:rPr>
          <w:rFonts w:ascii="ITC Avant Garde" w:hAnsi="ITC Avant Garde"/>
          <w:b/>
        </w:rPr>
        <w:t>.</w:t>
      </w:r>
      <w:r w:rsidR="00993320">
        <w:rPr>
          <w:rFonts w:ascii="ITC Avant Garde" w:hAnsi="ITC Avant Garde"/>
          <w:b/>
        </w:rPr>
        <w:t xml:space="preserve"> </w:t>
      </w:r>
    </w:p>
    <w:p w14:paraId="7399E9FD" w14:textId="77777777" w:rsidR="00993320" w:rsidRPr="00DC1236" w:rsidRDefault="00993320" w:rsidP="00993320">
      <w:pPr>
        <w:spacing w:after="200" w:line="276" w:lineRule="auto"/>
        <w:jc w:val="both"/>
        <w:rPr>
          <w:rFonts w:ascii="ITC Avant Garde" w:hAnsi="ITC Avant Garde"/>
          <w:b/>
        </w:rPr>
      </w:pPr>
      <w:r w:rsidRPr="00DC1236">
        <w:rPr>
          <w:rFonts w:ascii="ITC Avant Garde" w:hAnsi="ITC Avant Garde"/>
          <w:b/>
        </w:rPr>
        <w:t>Redundancia y balanceo de Tráfico.</w:t>
      </w:r>
    </w:p>
    <w:p w14:paraId="70F1F7C5" w14:textId="77777777" w:rsidR="00B80E4E" w:rsidRDefault="00B80E4E" w:rsidP="00B80E4E">
      <w:pPr>
        <w:spacing w:line="276" w:lineRule="auto"/>
        <w:jc w:val="both"/>
        <w:rPr>
          <w:rFonts w:ascii="ITC Avant Garde" w:hAnsi="ITC Avant Garde"/>
        </w:rPr>
      </w:pPr>
      <w:r w:rsidRPr="001401CB">
        <w:rPr>
          <w:rFonts w:ascii="ITC Avant Garde" w:hAnsi="ITC Avant Garde"/>
          <w:b/>
        </w:rPr>
        <w:t>TELEFÓNICA</w:t>
      </w:r>
    </w:p>
    <w:p w14:paraId="3B8CEB9A" w14:textId="56C9DA50" w:rsidR="00116E9B" w:rsidRDefault="00B80E4E" w:rsidP="007C0E3E">
      <w:pPr>
        <w:spacing w:line="276" w:lineRule="auto"/>
        <w:jc w:val="both"/>
        <w:rPr>
          <w:rFonts w:ascii="ITC Avant Garde" w:hAnsi="ITC Avant Garde"/>
          <w:b/>
        </w:rPr>
      </w:pPr>
      <w:r>
        <w:rPr>
          <w:rFonts w:ascii="ITC Avant Garde" w:hAnsi="ITC Avant Garde"/>
        </w:rPr>
        <w:t>Señala que, p</w:t>
      </w:r>
      <w:r w:rsidRPr="00AC5651">
        <w:rPr>
          <w:rFonts w:ascii="ITC Avant Garde" w:hAnsi="ITC Avant Garde"/>
        </w:rPr>
        <w:t>ara los casos de Redundancia y Balanceo de Tráfico,</w:t>
      </w:r>
      <w:r w:rsidR="00596EA1">
        <w:rPr>
          <w:rFonts w:ascii="ITC Avant Garde" w:hAnsi="ITC Avant Garde"/>
        </w:rPr>
        <w:t xml:space="preserve"> el CMI establece que</w:t>
      </w:r>
      <w:r w:rsidRPr="00AC5651">
        <w:rPr>
          <w:rFonts w:ascii="ITC Avant Garde" w:hAnsi="ITC Avant Garde"/>
        </w:rPr>
        <w:t xml:space="preserve"> los enlaces deber</w:t>
      </w:r>
      <w:r>
        <w:rPr>
          <w:rFonts w:ascii="ITC Avant Garde" w:hAnsi="ITC Avant Garde"/>
        </w:rPr>
        <w:t>ían</w:t>
      </w:r>
      <w:r w:rsidRPr="00AC5651">
        <w:rPr>
          <w:rFonts w:ascii="ITC Avant Garde" w:hAnsi="ITC Avant Garde"/>
        </w:rPr>
        <w:t xml:space="preserve"> dimensionarse para soportar un máximo de 85% de carga. Sin embargo, </w:t>
      </w:r>
      <w:r w:rsidR="00596EA1">
        <w:rPr>
          <w:rFonts w:ascii="ITC Avant Garde" w:hAnsi="ITC Avant Garde"/>
        </w:rPr>
        <w:t>solicita</w:t>
      </w:r>
      <w:r w:rsidRPr="00AC5651">
        <w:rPr>
          <w:rFonts w:ascii="ITC Avant Garde" w:hAnsi="ITC Avant Garde"/>
        </w:rPr>
        <w:t xml:space="preserve"> que ese umbral disminuya al 50% debido a que ha sucedido que cuando hay una falla en un enlace y se requiere re enrutar el tráfico, no existe la capacidad suficiente en los enlaces para </w:t>
      </w:r>
      <w:r w:rsidRPr="00596EA1">
        <w:rPr>
          <w:rFonts w:ascii="ITC Avant Garde" w:hAnsi="ITC Avant Garde"/>
        </w:rPr>
        <w:t>hac</w:t>
      </w:r>
      <w:r w:rsidR="00596EA1" w:rsidRPr="007C0E3E">
        <w:rPr>
          <w:rFonts w:ascii="ITC Avant Garde" w:hAnsi="ITC Avant Garde"/>
        </w:rPr>
        <w:t>erlo.</w:t>
      </w:r>
    </w:p>
    <w:p w14:paraId="279D2417" w14:textId="676C29D0" w:rsidR="008142F4" w:rsidRDefault="00021FA7" w:rsidP="00570E9E">
      <w:pPr>
        <w:spacing w:after="0" w:line="276" w:lineRule="auto"/>
        <w:jc w:val="both"/>
        <w:rPr>
          <w:rFonts w:ascii="ITC Avant Garde" w:hAnsi="ITC Avant Garde"/>
          <w:b/>
        </w:rPr>
      </w:pPr>
      <w:r>
        <w:rPr>
          <w:rFonts w:ascii="ITC Avant Garde" w:hAnsi="ITC Avant Garde"/>
          <w:b/>
        </w:rPr>
        <w:t>MEGA CABLE,</w:t>
      </w:r>
      <w:r w:rsidRPr="001401CB">
        <w:rPr>
          <w:rFonts w:ascii="ITC Avant Garde" w:hAnsi="ITC Avant Garde"/>
          <w:b/>
        </w:rPr>
        <w:t xml:space="preserve"> </w:t>
      </w:r>
      <w:r w:rsidR="008142F4" w:rsidRPr="001401CB">
        <w:rPr>
          <w:rFonts w:ascii="ITC Avant Garde" w:hAnsi="ITC Avant Garde"/>
          <w:b/>
        </w:rPr>
        <w:t>CANIETI</w:t>
      </w:r>
      <w:r>
        <w:rPr>
          <w:rFonts w:ascii="ITC Avant Garde" w:hAnsi="ITC Avant Garde"/>
          <w:b/>
        </w:rPr>
        <w:t xml:space="preserve"> Y ALTÁN</w:t>
      </w:r>
      <w:r w:rsidR="006E1D2E">
        <w:rPr>
          <w:rFonts w:ascii="ITC Avant Garde" w:hAnsi="ITC Avant Garde"/>
          <w:b/>
        </w:rPr>
        <w:t xml:space="preserve"> </w:t>
      </w:r>
    </w:p>
    <w:p w14:paraId="527E43F2" w14:textId="788BDBE5" w:rsidR="008142F4" w:rsidRDefault="008142F4" w:rsidP="00570E9E">
      <w:pPr>
        <w:spacing w:after="0" w:line="276" w:lineRule="auto"/>
        <w:jc w:val="both"/>
        <w:rPr>
          <w:rFonts w:ascii="ITC Avant Garde" w:hAnsi="ITC Avant Garde"/>
          <w:b/>
        </w:rPr>
      </w:pPr>
    </w:p>
    <w:p w14:paraId="287FC5CC" w14:textId="3A463B22" w:rsidR="00A36BB2" w:rsidRPr="007C0E3E" w:rsidRDefault="00A36BB2" w:rsidP="00570E9E">
      <w:pPr>
        <w:spacing w:after="0" w:line="276" w:lineRule="auto"/>
        <w:jc w:val="both"/>
        <w:rPr>
          <w:rFonts w:ascii="ITC Avant Garde" w:hAnsi="ITC Avant Garde"/>
          <w:u w:val="single"/>
        </w:rPr>
      </w:pPr>
      <w:r w:rsidRPr="007C0E3E">
        <w:rPr>
          <w:rFonts w:ascii="ITC Avant Garde" w:hAnsi="ITC Avant Garde"/>
        </w:rPr>
        <w:t xml:space="preserve">CANIETI propone que los enlaces por sitio deban estar dimensionados para soportar el 85% de carga del </w:t>
      </w:r>
      <w:r w:rsidRPr="007C0E3E">
        <w:rPr>
          <w:rFonts w:ascii="ITC Avant Garde" w:hAnsi="ITC Avant Garde"/>
          <w:u w:val="single"/>
        </w:rPr>
        <w:t>total de tráfico cursado por todos los PDICs del concesionario interconectado, en cada PDIC.</w:t>
      </w:r>
    </w:p>
    <w:p w14:paraId="33576204" w14:textId="77777777" w:rsidR="007C0E3E" w:rsidRPr="007C0E3E" w:rsidRDefault="007C0E3E" w:rsidP="00570E9E">
      <w:pPr>
        <w:spacing w:after="0" w:line="276" w:lineRule="auto"/>
        <w:jc w:val="both"/>
        <w:rPr>
          <w:rFonts w:ascii="ITC Avant Garde" w:hAnsi="ITC Avant Garde"/>
          <w:u w:val="single"/>
        </w:rPr>
      </w:pPr>
    </w:p>
    <w:p w14:paraId="3A9DD1ED" w14:textId="29395AE4" w:rsidR="00F07036" w:rsidRPr="00E630BC" w:rsidRDefault="00A36BB2" w:rsidP="00E630BC">
      <w:pPr>
        <w:spacing w:line="276" w:lineRule="auto"/>
        <w:jc w:val="both"/>
        <w:rPr>
          <w:rFonts w:ascii="ITC Avant Garde" w:hAnsi="ITC Avant Garde"/>
        </w:rPr>
      </w:pPr>
      <w:r w:rsidRPr="007C0E3E">
        <w:rPr>
          <w:rFonts w:ascii="ITC Avant Garde" w:hAnsi="ITC Avant Garde"/>
        </w:rPr>
        <w:t>Lo anterior, toda vez que los PDICs interconectados con el AEP, se encuentran alrededor del 80% de su capacidad; esto implica que, si hay una falla en un PDIC, al momento de realizar la redundancia y pasar el trafico al siguiente PDIC, este no soportaría el tráfico que se estaría cursando, por lo que se debe de contemplar el escenario planteado para evitar afectaciones en el servicio.</w:t>
      </w:r>
    </w:p>
    <w:p w14:paraId="41AF0D5A" w14:textId="422CBBCB" w:rsidR="00BB1411" w:rsidRDefault="00C94C19" w:rsidP="00570E9E">
      <w:pPr>
        <w:spacing w:line="276" w:lineRule="auto"/>
        <w:jc w:val="both"/>
        <w:rPr>
          <w:rFonts w:ascii="ITC Avant Garde" w:hAnsi="ITC Avant Garde"/>
          <w:b/>
        </w:rPr>
      </w:pPr>
      <w:r>
        <w:rPr>
          <w:rFonts w:ascii="ITC Avant Garde" w:hAnsi="ITC Avant Garde"/>
          <w:b/>
        </w:rPr>
        <w:t>GRUPO AT&amp;T</w:t>
      </w:r>
    </w:p>
    <w:p w14:paraId="609C44C1" w14:textId="2612E07D" w:rsidR="0074082F" w:rsidRDefault="00B80E4E" w:rsidP="00570E9E">
      <w:pPr>
        <w:spacing w:line="276" w:lineRule="auto"/>
        <w:jc w:val="both"/>
        <w:rPr>
          <w:rFonts w:ascii="ITC Avant Garde" w:hAnsi="ITC Avant Garde"/>
          <w:i/>
          <w:sz w:val="18"/>
          <w:szCs w:val="18"/>
        </w:rPr>
      </w:pPr>
      <w:r w:rsidRPr="007C0E3E">
        <w:rPr>
          <w:rFonts w:ascii="ITC Avant Garde" w:hAnsi="ITC Avant Garde"/>
          <w:highlight w:val="yellow"/>
        </w:rPr>
        <w:t>Indica</w:t>
      </w:r>
      <w:r w:rsidR="003905B4" w:rsidRPr="007C0E3E">
        <w:rPr>
          <w:rFonts w:ascii="ITC Avant Garde" w:hAnsi="ITC Avant Garde"/>
          <w:highlight w:val="yellow"/>
        </w:rPr>
        <w:t xml:space="preserve"> que cuando existe redundancia, la capacidad máxima no debe rebasar del 40%, de modo que si existe una afectación el otro enlace (los enlaces redundantes operan ambos en paralelo con carga y no deben superar el 40% de ocupación para poder absorber el tráfico de ambos), el enlace redundante pueda absorber el tráfico de ambos</w:t>
      </w:r>
      <w:r w:rsidR="0074082F" w:rsidRPr="007C0E3E">
        <w:rPr>
          <w:rFonts w:ascii="ITC Avant Garde" w:hAnsi="ITC Avant Garde"/>
          <w:highlight w:val="yellow"/>
        </w:rPr>
        <w:t>, pretender que los enlaces operen al 85% deja sin efecto el propósito de tener redundancia.</w:t>
      </w:r>
    </w:p>
    <w:p w14:paraId="7CBC7CBD" w14:textId="77777777" w:rsidR="00055E52" w:rsidRPr="00C84042" w:rsidRDefault="00055E52" w:rsidP="00570E9E">
      <w:pPr>
        <w:spacing w:line="276" w:lineRule="auto"/>
        <w:jc w:val="both"/>
        <w:rPr>
          <w:rFonts w:ascii="ITC Avant Garde" w:hAnsi="ITC Avant Garde"/>
          <w:b/>
        </w:rPr>
      </w:pPr>
      <w:r w:rsidRPr="00E16359">
        <w:rPr>
          <w:rFonts w:ascii="ITC Avant Garde" w:hAnsi="ITC Avant Garde"/>
          <w:b/>
        </w:rPr>
        <w:t xml:space="preserve">Consideraciones del Instituto </w:t>
      </w:r>
    </w:p>
    <w:p w14:paraId="1C5016A1" w14:textId="6CF2096C" w:rsidR="00116E9B" w:rsidRPr="00E630BC" w:rsidRDefault="00ED5C9D" w:rsidP="00E630BC">
      <w:pPr>
        <w:spacing w:line="276" w:lineRule="auto"/>
        <w:jc w:val="both"/>
        <w:rPr>
          <w:rFonts w:ascii="ITC Avant Garde" w:hAnsi="ITC Avant Garde"/>
        </w:rPr>
      </w:pPr>
      <w:r>
        <w:rPr>
          <w:rFonts w:ascii="ITC Avant Garde" w:hAnsi="ITC Avant Garde"/>
        </w:rPr>
        <w:t>S</w:t>
      </w:r>
      <w:r w:rsidR="00362706" w:rsidRPr="00D64439">
        <w:rPr>
          <w:rFonts w:ascii="ITC Avant Garde" w:hAnsi="ITC Avant Garde"/>
        </w:rPr>
        <w:t>e considera que</w:t>
      </w:r>
      <w:r w:rsidR="001C1409" w:rsidRPr="00D64439">
        <w:rPr>
          <w:rFonts w:ascii="ITC Avant Garde" w:hAnsi="ITC Avant Garde"/>
        </w:rPr>
        <w:t xml:space="preserve"> el parámetro para disparar el crecimiento de los servicios debe ser la ocupación del 85% en hora pico de la capacidad de los enlaces por sitio, toda vez que</w:t>
      </w:r>
      <w:r w:rsidR="00BB5D66">
        <w:rPr>
          <w:rFonts w:ascii="ITC Avant Garde" w:hAnsi="ITC Avant Garde"/>
        </w:rPr>
        <w:t xml:space="preserve"> en caso de falla</w:t>
      </w:r>
      <w:r w:rsidR="001C1409" w:rsidRPr="00D64439">
        <w:rPr>
          <w:rFonts w:ascii="ITC Avant Garde" w:hAnsi="ITC Avant Garde"/>
        </w:rPr>
        <w:t xml:space="preserve"> dicho umbral de capacidad permitirá que se curse la totalidad del tráfico durante la hora de mayor demanda y </w:t>
      </w:r>
      <w:r w:rsidR="00BB5D66">
        <w:rPr>
          <w:rFonts w:ascii="ITC Avant Garde" w:hAnsi="ITC Avant Garde"/>
        </w:rPr>
        <w:t xml:space="preserve">un margen </w:t>
      </w:r>
      <w:r w:rsidR="001C1409" w:rsidRPr="00D64439">
        <w:rPr>
          <w:rFonts w:ascii="ITC Avant Garde" w:hAnsi="ITC Avant Garde"/>
        </w:rPr>
        <w:t>del 15% de capacidad</w:t>
      </w:r>
      <w:r w:rsidR="00BB5D66">
        <w:rPr>
          <w:rFonts w:ascii="ITC Avant Garde" w:hAnsi="ITC Avant Garde"/>
        </w:rPr>
        <w:t xml:space="preserve"> disponible</w:t>
      </w:r>
      <w:r w:rsidR="001C1409" w:rsidRPr="00D64439">
        <w:rPr>
          <w:rFonts w:ascii="ITC Avant Garde" w:hAnsi="ITC Avant Garde"/>
        </w:rPr>
        <w:t xml:space="preserve">, con la que se podrá </w:t>
      </w:r>
      <w:r w:rsidR="00BB5D66">
        <w:rPr>
          <w:rFonts w:ascii="ITC Avant Garde" w:hAnsi="ITC Avant Garde"/>
        </w:rPr>
        <w:t>cursar</w:t>
      </w:r>
      <w:r w:rsidR="001C1409" w:rsidRPr="00D64439">
        <w:rPr>
          <w:rFonts w:ascii="ITC Avant Garde" w:hAnsi="ITC Avant Garde"/>
        </w:rPr>
        <w:t xml:space="preserve"> 15% más de tráfico. </w:t>
      </w:r>
      <w:r w:rsidR="00BB5D66">
        <w:rPr>
          <w:rFonts w:ascii="ITC Avant Garde" w:hAnsi="ITC Avant Garde"/>
        </w:rPr>
        <w:t xml:space="preserve">Lo anterior, dado el carácter temporal y aleatorio de una falla, pues de mantener los enlaces con </w:t>
      </w:r>
      <w:r w:rsidR="00BB5D66">
        <w:rPr>
          <w:rFonts w:ascii="ITC Avant Garde" w:hAnsi="ITC Avant Garde"/>
        </w:rPr>
        <w:lastRenderedPageBreak/>
        <w:t>redundancia al 40% o 50% de su capacidad redunda en capacidad que no se utilizará la mayor parte del tiempo, solo en caso de presentarse una falla.</w:t>
      </w:r>
    </w:p>
    <w:p w14:paraId="2BC64AC3" w14:textId="07D89EC8" w:rsidR="00993320" w:rsidRDefault="00993320" w:rsidP="00561DEF">
      <w:pPr>
        <w:spacing w:after="0" w:line="276" w:lineRule="auto"/>
        <w:jc w:val="both"/>
        <w:rPr>
          <w:rFonts w:ascii="ITC Avant Garde" w:hAnsi="ITC Avant Garde"/>
          <w:b/>
        </w:rPr>
      </w:pPr>
      <w:r>
        <w:rPr>
          <w:rFonts w:ascii="ITC Avant Garde" w:hAnsi="ITC Avant Garde"/>
          <w:b/>
        </w:rPr>
        <w:t>GRUPO AT&amp;T</w:t>
      </w:r>
    </w:p>
    <w:p w14:paraId="0E52E569" w14:textId="77777777" w:rsidR="008B2733" w:rsidRPr="001401CB" w:rsidRDefault="008B2733" w:rsidP="008B2733">
      <w:pPr>
        <w:spacing w:after="0" w:line="276" w:lineRule="auto"/>
        <w:jc w:val="both"/>
        <w:rPr>
          <w:rFonts w:ascii="ITC Avant Garde" w:hAnsi="ITC Avant Garde"/>
          <w:b/>
        </w:rPr>
      </w:pPr>
    </w:p>
    <w:p w14:paraId="25203A34" w14:textId="099AB080" w:rsidR="008D21F2" w:rsidRDefault="005C072E" w:rsidP="00993320">
      <w:pPr>
        <w:spacing w:after="200" w:line="276" w:lineRule="auto"/>
        <w:jc w:val="both"/>
        <w:rPr>
          <w:rFonts w:ascii="ITC Avant Garde" w:hAnsi="ITC Avant Garde"/>
        </w:rPr>
      </w:pPr>
      <w:r>
        <w:rPr>
          <w:rFonts w:ascii="ITC Avant Garde" w:hAnsi="ITC Avant Garde"/>
        </w:rPr>
        <w:t>Indica</w:t>
      </w:r>
      <w:r w:rsidR="00993320">
        <w:rPr>
          <w:rFonts w:ascii="ITC Avant Garde" w:hAnsi="ITC Avant Garde"/>
        </w:rPr>
        <w:t xml:space="preserve"> que </w:t>
      </w:r>
      <w:r w:rsidR="003A0013">
        <w:rPr>
          <w:rFonts w:ascii="ITC Avant Garde" w:hAnsi="ITC Avant Garde"/>
        </w:rPr>
        <w:t>Telmex/Telnor</w:t>
      </w:r>
      <w:r w:rsidR="00993320" w:rsidRPr="00993320">
        <w:rPr>
          <w:rFonts w:ascii="ITC Avant Garde" w:hAnsi="ITC Avant Garde"/>
        </w:rPr>
        <w:t xml:space="preserve"> </w:t>
      </w:r>
      <w:r>
        <w:rPr>
          <w:rFonts w:ascii="ITC Avant Garde" w:hAnsi="ITC Avant Garde"/>
        </w:rPr>
        <w:t>debe tener</w:t>
      </w:r>
      <w:r w:rsidR="00993320" w:rsidRPr="00993320">
        <w:rPr>
          <w:rFonts w:ascii="ITC Avant Garde" w:hAnsi="ITC Avant Garde"/>
        </w:rPr>
        <w:t xml:space="preserve"> la obligación de intercambio de pronósticos de servicios, </w:t>
      </w:r>
      <w:r w:rsidR="00993320">
        <w:rPr>
          <w:rFonts w:ascii="ITC Avant Garde" w:hAnsi="ITC Avant Garde"/>
        </w:rPr>
        <w:t>destacando</w:t>
      </w:r>
      <w:r w:rsidR="00993320" w:rsidRPr="00993320">
        <w:rPr>
          <w:rFonts w:ascii="ITC Avant Garde" w:hAnsi="ITC Avant Garde"/>
        </w:rPr>
        <w:t xml:space="preserve"> que en la práctica </w:t>
      </w:r>
      <w:r w:rsidR="003A0013">
        <w:rPr>
          <w:rFonts w:ascii="ITC Avant Garde" w:hAnsi="ITC Avant Garde"/>
        </w:rPr>
        <w:t>Telmex/Telnor</w:t>
      </w:r>
      <w:r w:rsidR="00993320" w:rsidRPr="00993320">
        <w:rPr>
          <w:rFonts w:ascii="ITC Avant Garde" w:hAnsi="ITC Avant Garde"/>
        </w:rPr>
        <w:t xml:space="preserve"> jamás </w:t>
      </w:r>
      <w:r>
        <w:rPr>
          <w:rFonts w:ascii="ITC Avant Garde" w:hAnsi="ITC Avant Garde"/>
        </w:rPr>
        <w:t xml:space="preserve">los </w:t>
      </w:r>
      <w:r w:rsidR="00993320" w:rsidRPr="00993320">
        <w:rPr>
          <w:rFonts w:ascii="ITC Avant Garde" w:hAnsi="ITC Avant Garde"/>
        </w:rPr>
        <w:t xml:space="preserve">ha entregado </w:t>
      </w:r>
      <w:r>
        <w:rPr>
          <w:rFonts w:ascii="ITC Avant Garde" w:hAnsi="ITC Avant Garde"/>
        </w:rPr>
        <w:t xml:space="preserve">y </w:t>
      </w:r>
      <w:r w:rsidR="00993320" w:rsidRPr="00993320">
        <w:rPr>
          <w:rFonts w:ascii="ITC Avant Garde" w:hAnsi="ITC Avant Garde"/>
        </w:rPr>
        <w:t>propone</w:t>
      </w:r>
      <w:r w:rsidR="00993320">
        <w:rPr>
          <w:rFonts w:ascii="ITC Avant Garde" w:hAnsi="ITC Avant Garde"/>
        </w:rPr>
        <w:t>n</w:t>
      </w:r>
      <w:r w:rsidR="00993320" w:rsidRPr="00993320">
        <w:rPr>
          <w:rFonts w:ascii="ITC Avant Garde" w:hAnsi="ITC Avant Garde"/>
        </w:rPr>
        <w:t xml:space="preserve"> eliminar la obligación de entrega de pronósticos en la interconexi</w:t>
      </w:r>
      <w:r>
        <w:rPr>
          <w:rFonts w:ascii="ITC Avant Garde" w:hAnsi="ITC Avant Garde"/>
        </w:rPr>
        <w:t>ón puesto que no son necesarios pues y</w:t>
      </w:r>
      <w:r w:rsidR="00993320" w:rsidRPr="00993320">
        <w:rPr>
          <w:rFonts w:ascii="ITC Avant Garde" w:hAnsi="ITC Avant Garde"/>
        </w:rPr>
        <w:t xml:space="preserve">a existe un mecanismo establecido para definir cuándo se debe incrementar la capacidad. </w:t>
      </w:r>
      <w:r w:rsidR="00993320">
        <w:rPr>
          <w:rFonts w:ascii="ITC Avant Garde" w:hAnsi="ITC Avant Garde"/>
        </w:rPr>
        <w:t>Por lo que s</w:t>
      </w:r>
      <w:r w:rsidR="00993320" w:rsidRPr="00993320">
        <w:rPr>
          <w:rFonts w:ascii="ITC Avant Garde" w:hAnsi="ITC Avant Garde"/>
        </w:rPr>
        <w:t>ug</w:t>
      </w:r>
      <w:r w:rsidR="00993320">
        <w:rPr>
          <w:rFonts w:ascii="ITC Avant Garde" w:hAnsi="ITC Avant Garde"/>
        </w:rPr>
        <w:t xml:space="preserve">ieren </w:t>
      </w:r>
      <w:r w:rsidR="00993320" w:rsidRPr="00993320">
        <w:rPr>
          <w:rFonts w:ascii="ITC Avant Garde" w:hAnsi="ITC Avant Garde"/>
        </w:rPr>
        <w:t xml:space="preserve">eliminar los siguientes </w:t>
      </w:r>
      <w:r w:rsidR="00993320">
        <w:rPr>
          <w:rFonts w:ascii="ITC Avant Garde" w:hAnsi="ITC Avant Garde"/>
        </w:rPr>
        <w:t>los</w:t>
      </w:r>
      <w:r w:rsidR="00993320" w:rsidRPr="00993320">
        <w:rPr>
          <w:rFonts w:ascii="ITC Avant Garde" w:hAnsi="ITC Avant Garde"/>
        </w:rPr>
        <w:t xml:space="preserve"> párrafos que se refieren a los pronósticos</w:t>
      </w:r>
      <w:r w:rsidR="00993320">
        <w:rPr>
          <w:rFonts w:ascii="ITC Avant Garde" w:hAnsi="ITC Avant Garde"/>
        </w:rPr>
        <w:t xml:space="preserve"> en la sección de “Redundancia y balanceo de Tráfico”.</w:t>
      </w:r>
    </w:p>
    <w:p w14:paraId="05C6A9DA" w14:textId="77777777" w:rsidR="005B7945" w:rsidRPr="00C84042" w:rsidRDefault="005B7945" w:rsidP="005B7945">
      <w:pPr>
        <w:spacing w:line="276" w:lineRule="auto"/>
        <w:jc w:val="both"/>
        <w:rPr>
          <w:rFonts w:ascii="ITC Avant Garde" w:hAnsi="ITC Avant Garde"/>
          <w:b/>
        </w:rPr>
      </w:pPr>
      <w:r w:rsidRPr="00E16359">
        <w:rPr>
          <w:rFonts w:ascii="ITC Avant Garde" w:hAnsi="ITC Avant Garde"/>
          <w:b/>
        </w:rPr>
        <w:t xml:space="preserve">Consideraciones del Instituto </w:t>
      </w:r>
    </w:p>
    <w:p w14:paraId="3BD57C63" w14:textId="5E4C636C" w:rsidR="005B7945" w:rsidRDefault="00D20212" w:rsidP="005B7945">
      <w:pPr>
        <w:spacing w:after="200" w:line="276" w:lineRule="auto"/>
        <w:jc w:val="both"/>
        <w:rPr>
          <w:rFonts w:ascii="ITC Avant Garde" w:hAnsi="ITC Avant Garde"/>
        </w:rPr>
      </w:pPr>
      <w:r>
        <w:rPr>
          <w:rFonts w:ascii="ITC Avant Garde" w:hAnsi="ITC Avant Garde"/>
        </w:rPr>
        <w:t>Dado el carácter bidireccional en la prestación de los servicios de interconexión, se reitera la obligación de presentar el pronóstico de servicios por ambas partes.</w:t>
      </w:r>
    </w:p>
    <w:p w14:paraId="0928714D" w14:textId="77777777" w:rsidR="00220565" w:rsidRDefault="00220565" w:rsidP="00570E9E">
      <w:pPr>
        <w:spacing w:line="276" w:lineRule="auto"/>
        <w:jc w:val="both"/>
        <w:rPr>
          <w:rFonts w:ascii="ITC Avant Garde" w:hAnsi="ITC Avant Garde"/>
          <w:b/>
          <w:u w:val="single"/>
        </w:rPr>
      </w:pPr>
      <w:r w:rsidRPr="00220565">
        <w:rPr>
          <w:rFonts w:ascii="ITC Avant Garde" w:hAnsi="ITC Avant Garde"/>
          <w:b/>
          <w:u w:val="single"/>
        </w:rPr>
        <w:t>Cláusula Cuarta.  Contraprestaciones</w:t>
      </w:r>
    </w:p>
    <w:p w14:paraId="6F8F3BE9" w14:textId="77777777" w:rsidR="00220565" w:rsidRDefault="00220565" w:rsidP="00570E9E">
      <w:pPr>
        <w:spacing w:after="0" w:line="276" w:lineRule="auto"/>
        <w:jc w:val="both"/>
        <w:rPr>
          <w:rFonts w:ascii="ITC Avant Garde" w:hAnsi="ITC Avant Garde"/>
          <w:b/>
        </w:rPr>
      </w:pPr>
      <w:r>
        <w:rPr>
          <w:rFonts w:ascii="ITC Avant Garde" w:hAnsi="ITC Avant Garde"/>
          <w:b/>
        </w:rPr>
        <w:t xml:space="preserve">4.1 </w:t>
      </w:r>
      <w:r w:rsidRPr="00E16359">
        <w:rPr>
          <w:rFonts w:ascii="ITC Avant Garde" w:hAnsi="ITC Avant Garde"/>
          <w:b/>
        </w:rPr>
        <w:t>Tarifas y Formas de Pago</w:t>
      </w:r>
    </w:p>
    <w:p w14:paraId="64FA4889" w14:textId="77777777" w:rsidR="00F85E1A" w:rsidRDefault="00F85E1A" w:rsidP="00570E9E">
      <w:pPr>
        <w:spacing w:after="0" w:line="276" w:lineRule="auto"/>
        <w:jc w:val="both"/>
        <w:rPr>
          <w:rFonts w:ascii="ITC Avant Garde" w:hAnsi="ITC Avant Garde"/>
          <w:b/>
        </w:rPr>
      </w:pPr>
    </w:p>
    <w:p w14:paraId="70BDA960" w14:textId="07D1587E" w:rsidR="00025CD6" w:rsidRDefault="00766371" w:rsidP="00570E9E">
      <w:pPr>
        <w:spacing w:line="276" w:lineRule="auto"/>
        <w:jc w:val="both"/>
        <w:rPr>
          <w:rFonts w:ascii="ITC Avant Garde" w:hAnsi="ITC Avant Garde"/>
          <w:b/>
        </w:rPr>
      </w:pPr>
      <w:r>
        <w:rPr>
          <w:rFonts w:ascii="ITC Avant Garde" w:hAnsi="ITC Avant Garde"/>
          <w:b/>
        </w:rPr>
        <w:t xml:space="preserve">TELEFÓNICA </w:t>
      </w:r>
    </w:p>
    <w:p w14:paraId="1D37A3C5" w14:textId="77777777" w:rsidR="008B2733" w:rsidRPr="00561DEF" w:rsidRDefault="008B2733" w:rsidP="008B2733">
      <w:pPr>
        <w:spacing w:after="0" w:line="276" w:lineRule="auto"/>
        <w:jc w:val="both"/>
        <w:rPr>
          <w:rFonts w:ascii="ITC Avant Garde" w:hAnsi="ITC Avant Garde"/>
        </w:rPr>
      </w:pPr>
    </w:p>
    <w:p w14:paraId="1FBACE94" w14:textId="12E86E78" w:rsidR="00766371" w:rsidRDefault="00766371" w:rsidP="00570E9E">
      <w:pPr>
        <w:spacing w:line="276" w:lineRule="auto"/>
        <w:jc w:val="both"/>
        <w:rPr>
          <w:rFonts w:ascii="ITC Avant Garde" w:hAnsi="ITC Avant Garde"/>
        </w:rPr>
      </w:pPr>
      <w:r w:rsidRPr="00766371">
        <w:rPr>
          <w:rFonts w:ascii="ITC Avant Garde" w:hAnsi="ITC Avant Garde"/>
        </w:rPr>
        <w:t>Solicita eliminar el numeral</w:t>
      </w:r>
      <w:r w:rsidR="00FF4595">
        <w:rPr>
          <w:rFonts w:ascii="ITC Avant Garde" w:hAnsi="ITC Avant Garde"/>
        </w:rPr>
        <w:t xml:space="preserve"> 4.1,</w:t>
      </w:r>
      <w:r w:rsidRPr="00766371">
        <w:rPr>
          <w:rFonts w:ascii="ITC Avant Garde" w:hAnsi="ITC Avant Garde"/>
        </w:rPr>
        <w:t xml:space="preserve"> ya que, la determinación de las tarifas es facultad del Instituto por lo que se considera que, en un convenio no es necesario que las partes pacten principios referentes a las mismas en el entendido de que estos surgen de disposiciones legales.</w:t>
      </w:r>
    </w:p>
    <w:p w14:paraId="6529009E" w14:textId="77777777" w:rsidR="00F85E1A" w:rsidRDefault="00F85E1A" w:rsidP="00570E9E">
      <w:pPr>
        <w:spacing w:line="276" w:lineRule="auto"/>
        <w:jc w:val="both"/>
        <w:rPr>
          <w:rFonts w:ascii="ITC Avant Garde" w:hAnsi="ITC Avant Garde"/>
          <w:b/>
        </w:rPr>
      </w:pPr>
      <w:r w:rsidRPr="00E16359">
        <w:rPr>
          <w:rFonts w:ascii="ITC Avant Garde" w:hAnsi="ITC Avant Garde"/>
          <w:b/>
        </w:rPr>
        <w:t xml:space="preserve">Consideraciones del Instituto </w:t>
      </w:r>
    </w:p>
    <w:p w14:paraId="1D7C2C5B" w14:textId="1503E81A" w:rsidR="00853F0F" w:rsidRDefault="003D709B" w:rsidP="00D64439">
      <w:pPr>
        <w:spacing w:after="0" w:line="276" w:lineRule="auto"/>
        <w:jc w:val="both"/>
        <w:rPr>
          <w:rFonts w:ascii="ITC Avant Garde" w:hAnsi="ITC Avant Garde"/>
        </w:rPr>
      </w:pPr>
      <w:r>
        <w:rPr>
          <w:rFonts w:ascii="ITC Avant Garde" w:hAnsi="ITC Avant Garde"/>
        </w:rPr>
        <w:t>Al respecto se señala que el</w:t>
      </w:r>
      <w:r w:rsidRPr="00E16359">
        <w:rPr>
          <w:rFonts w:ascii="ITC Avant Garde" w:hAnsi="ITC Avant Garde"/>
        </w:rPr>
        <w:t xml:space="preserve"> contenido de dicha cláusula es acorde con la regulación vigente, ya que </w:t>
      </w:r>
      <w:r>
        <w:rPr>
          <w:rFonts w:ascii="ITC Avant Garde" w:hAnsi="ITC Avant Garde"/>
        </w:rPr>
        <w:t xml:space="preserve">de conformidad con la metodología de costos emitida por el Instituto </w:t>
      </w:r>
      <w:r w:rsidRPr="00E16359">
        <w:rPr>
          <w:rFonts w:ascii="ITC Avant Garde" w:hAnsi="ITC Avant Garde"/>
        </w:rPr>
        <w:t>las tarifas deben sujetarse a los principios</w:t>
      </w:r>
      <w:r>
        <w:rPr>
          <w:rFonts w:ascii="ITC Avant Garde" w:hAnsi="ITC Avant Garde"/>
        </w:rPr>
        <w:t xml:space="preserve"> establecidos en dicho numeral</w:t>
      </w:r>
      <w:r w:rsidRPr="00E16359">
        <w:rPr>
          <w:rFonts w:ascii="ITC Avant Garde" w:hAnsi="ITC Avant Garde"/>
        </w:rPr>
        <w:t>, por lo</w:t>
      </w:r>
      <w:r>
        <w:rPr>
          <w:rFonts w:ascii="ITC Avant Garde" w:hAnsi="ITC Avant Garde"/>
        </w:rPr>
        <w:t xml:space="preserve"> anterior no se consideran principios establecidos por el AEP sino que en dicho numeral únicamente se citan los principios aplicables en la determinación de tarifas.</w:t>
      </w:r>
    </w:p>
    <w:p w14:paraId="5189F98D" w14:textId="6F8F1A13" w:rsidR="004A11E6" w:rsidRPr="00561DEF" w:rsidRDefault="004A11E6" w:rsidP="00D64439">
      <w:pPr>
        <w:spacing w:after="0" w:line="276" w:lineRule="auto"/>
        <w:jc w:val="both"/>
        <w:rPr>
          <w:rFonts w:ascii="ITC Avant Garde" w:hAnsi="ITC Avant Garde"/>
        </w:rPr>
      </w:pPr>
    </w:p>
    <w:p w14:paraId="2DC6E579" w14:textId="77777777" w:rsidR="00F85E1A" w:rsidRDefault="00A130E5" w:rsidP="00570E9E">
      <w:pPr>
        <w:spacing w:line="276" w:lineRule="auto"/>
        <w:jc w:val="both"/>
        <w:rPr>
          <w:rFonts w:ascii="ITC Avant Garde" w:hAnsi="ITC Avant Garde"/>
          <w:b/>
        </w:rPr>
      </w:pPr>
      <w:r>
        <w:rPr>
          <w:rFonts w:ascii="ITC Avant Garde" w:hAnsi="ITC Avant Garde"/>
          <w:b/>
        </w:rPr>
        <w:t>4.1.2 Vigencia</w:t>
      </w:r>
    </w:p>
    <w:p w14:paraId="425E22AE" w14:textId="241095B4" w:rsidR="00A130E5" w:rsidRDefault="00B879CF" w:rsidP="00570E9E">
      <w:pPr>
        <w:spacing w:line="276" w:lineRule="auto"/>
        <w:jc w:val="both"/>
        <w:rPr>
          <w:rFonts w:ascii="ITC Avant Garde" w:hAnsi="ITC Avant Garde"/>
          <w:b/>
        </w:rPr>
      </w:pPr>
      <w:r>
        <w:rPr>
          <w:rFonts w:ascii="ITC Avant Garde" w:hAnsi="ITC Avant Garde"/>
          <w:b/>
        </w:rPr>
        <w:t>TELÉFONICA</w:t>
      </w:r>
    </w:p>
    <w:p w14:paraId="49981164" w14:textId="303EC318" w:rsidR="002E4945" w:rsidRDefault="00456113" w:rsidP="002E4945">
      <w:pPr>
        <w:spacing w:line="276" w:lineRule="auto"/>
        <w:jc w:val="both"/>
        <w:rPr>
          <w:rFonts w:ascii="ITC Avant Garde" w:hAnsi="ITC Avant Garde"/>
        </w:rPr>
      </w:pPr>
      <w:r w:rsidRPr="00A130E5">
        <w:rPr>
          <w:rFonts w:ascii="ITC Avant Garde" w:hAnsi="ITC Avant Garde"/>
        </w:rPr>
        <w:t>Solicitan eliminar el párrafo</w:t>
      </w:r>
      <w:r w:rsidR="0085724B">
        <w:rPr>
          <w:rFonts w:ascii="ITC Avant Garde" w:hAnsi="ITC Avant Garde"/>
        </w:rPr>
        <w:t xml:space="preserve"> que indica que una vez que se determinen las nuevas prestaciones surtirán efecto a partir de la conclusión de las anteriores, </w:t>
      </w:r>
      <w:r w:rsidRPr="00A130E5">
        <w:rPr>
          <w:rFonts w:ascii="ITC Avant Garde" w:hAnsi="ITC Avant Garde"/>
        </w:rPr>
        <w:t xml:space="preserve">debido </w:t>
      </w:r>
      <w:r>
        <w:rPr>
          <w:rFonts w:ascii="ITC Avant Garde" w:hAnsi="ITC Avant Garde"/>
        </w:rPr>
        <w:t xml:space="preserve">a que establece el principio de </w:t>
      </w:r>
      <w:r w:rsidRPr="00A130E5">
        <w:rPr>
          <w:rFonts w:ascii="ITC Avant Garde" w:hAnsi="ITC Avant Garde"/>
        </w:rPr>
        <w:t xml:space="preserve">retroactividad de las tarifas </w:t>
      </w:r>
      <w:r>
        <w:rPr>
          <w:rFonts w:ascii="ITC Avant Garde" w:hAnsi="ITC Avant Garde"/>
        </w:rPr>
        <w:t xml:space="preserve">de interconexión </w:t>
      </w:r>
      <w:r w:rsidRPr="00A130E5">
        <w:rPr>
          <w:rFonts w:ascii="ITC Avant Garde" w:hAnsi="ITC Avant Garde"/>
        </w:rPr>
        <w:t xml:space="preserve">hasta </w:t>
      </w:r>
      <w:r>
        <w:rPr>
          <w:rFonts w:ascii="ITC Avant Garde" w:hAnsi="ITC Avant Garde"/>
        </w:rPr>
        <w:t xml:space="preserve">en </w:t>
      </w:r>
      <w:r w:rsidRPr="00A130E5">
        <w:rPr>
          <w:rFonts w:ascii="ITC Avant Garde" w:hAnsi="ITC Avant Garde"/>
        </w:rPr>
        <w:t>la fecha en que perdieron vigen</w:t>
      </w:r>
      <w:r>
        <w:rPr>
          <w:rFonts w:ascii="ITC Avant Garde" w:hAnsi="ITC Avant Garde"/>
        </w:rPr>
        <w:t>cia las anteriormente pactadas.</w:t>
      </w:r>
      <w:r w:rsidR="002E4945" w:rsidRPr="002E4945">
        <w:rPr>
          <w:rFonts w:ascii="ITC Avant Garde" w:hAnsi="ITC Avant Garde"/>
        </w:rPr>
        <w:t xml:space="preserve"> </w:t>
      </w:r>
    </w:p>
    <w:p w14:paraId="2E79FC5F" w14:textId="10C4CEDC" w:rsidR="002E4945" w:rsidRDefault="0085724B" w:rsidP="002E4945">
      <w:pPr>
        <w:spacing w:line="276" w:lineRule="auto"/>
        <w:jc w:val="both"/>
        <w:rPr>
          <w:rFonts w:ascii="ITC Avant Garde" w:hAnsi="ITC Avant Garde"/>
        </w:rPr>
      </w:pPr>
      <w:r>
        <w:rPr>
          <w:rFonts w:ascii="ITC Avant Garde" w:hAnsi="ITC Avant Garde"/>
        </w:rPr>
        <w:lastRenderedPageBreak/>
        <w:t>Lo</w:t>
      </w:r>
      <w:r w:rsidR="0073289E">
        <w:rPr>
          <w:rFonts w:ascii="ITC Avant Garde" w:hAnsi="ITC Avant Garde"/>
        </w:rPr>
        <w:t xml:space="preserve"> anterior, </w:t>
      </w:r>
      <w:r>
        <w:rPr>
          <w:rFonts w:ascii="ITC Avant Garde" w:hAnsi="ITC Avant Garde"/>
        </w:rPr>
        <w:t>dado</w:t>
      </w:r>
      <w:r w:rsidRPr="002E4945">
        <w:rPr>
          <w:rFonts w:ascii="ITC Avant Garde" w:hAnsi="ITC Avant Garde"/>
        </w:rPr>
        <w:t xml:space="preserve"> </w:t>
      </w:r>
      <w:r w:rsidR="002E4945" w:rsidRPr="002E4945">
        <w:rPr>
          <w:rFonts w:ascii="ITC Avant Garde" w:hAnsi="ITC Avant Garde"/>
        </w:rPr>
        <w:t>que las tarifas de interconexión podrían surtir efectos ya sea, (i) a partir de la fecha que pacten las partes o (ii) a partir de la fecha específica que se determine en la resolución administrativa (Instituto) o judicial (en caso de impugnación) según corresponda.</w:t>
      </w:r>
    </w:p>
    <w:p w14:paraId="53EB626E" w14:textId="77777777" w:rsidR="00A130E5" w:rsidRDefault="00A130E5" w:rsidP="00570E9E">
      <w:pPr>
        <w:spacing w:line="276" w:lineRule="auto"/>
        <w:jc w:val="both"/>
        <w:rPr>
          <w:rFonts w:ascii="ITC Avant Garde" w:hAnsi="ITC Avant Garde"/>
          <w:b/>
        </w:rPr>
      </w:pPr>
      <w:r w:rsidRPr="00E16359">
        <w:rPr>
          <w:rFonts w:ascii="ITC Avant Garde" w:hAnsi="ITC Avant Garde"/>
          <w:b/>
        </w:rPr>
        <w:t xml:space="preserve">Consideraciones del Instituto </w:t>
      </w:r>
    </w:p>
    <w:p w14:paraId="082BF580" w14:textId="3371CEF8" w:rsidR="00A130E5" w:rsidRDefault="00A130E5" w:rsidP="00570E9E">
      <w:pPr>
        <w:spacing w:line="276" w:lineRule="auto"/>
        <w:jc w:val="both"/>
        <w:rPr>
          <w:rFonts w:ascii="ITC Avant Garde" w:hAnsi="ITC Avant Garde"/>
        </w:rPr>
      </w:pPr>
      <w:r w:rsidRPr="00D64439">
        <w:rPr>
          <w:rFonts w:ascii="ITC Avant Garde" w:hAnsi="ITC Avant Garde"/>
        </w:rPr>
        <w:t xml:space="preserve">Al respecto, </w:t>
      </w:r>
      <w:r w:rsidR="00E630BC">
        <w:rPr>
          <w:rFonts w:ascii="ITC Avant Garde" w:hAnsi="ITC Avant Garde"/>
        </w:rPr>
        <w:t xml:space="preserve">el </w:t>
      </w:r>
      <w:r w:rsidRPr="00D64439">
        <w:rPr>
          <w:rFonts w:ascii="ITC Avant Garde" w:hAnsi="ITC Avant Garde"/>
        </w:rPr>
        <w:t>numeral 4.1.2 del CMI ya considera la vigencia de las contraprestaciones por acuerdo entre las partes o por resolución administrativa</w:t>
      </w:r>
      <w:r w:rsidR="002C16CD">
        <w:rPr>
          <w:rFonts w:ascii="ITC Avant Garde" w:hAnsi="ITC Avant Garde"/>
        </w:rPr>
        <w:t>, por lo que no se considera necesario reiterarlo</w:t>
      </w:r>
      <w:r w:rsidRPr="00D64439">
        <w:rPr>
          <w:rFonts w:ascii="ITC Avant Garde" w:hAnsi="ITC Avant Garde"/>
        </w:rPr>
        <w:t>.</w:t>
      </w:r>
    </w:p>
    <w:p w14:paraId="1975D352" w14:textId="3D086FD3" w:rsidR="00B879CF" w:rsidRDefault="00B879CF" w:rsidP="00BA76FB">
      <w:pPr>
        <w:spacing w:line="276" w:lineRule="auto"/>
        <w:jc w:val="both"/>
        <w:rPr>
          <w:rFonts w:ascii="ITC Avant Garde" w:hAnsi="ITC Avant Garde"/>
          <w:b/>
        </w:rPr>
      </w:pPr>
      <w:r>
        <w:rPr>
          <w:rFonts w:ascii="ITC Avant Garde" w:hAnsi="ITC Avant Garde"/>
          <w:b/>
        </w:rPr>
        <w:t xml:space="preserve">4.1.4 </w:t>
      </w:r>
      <w:r w:rsidR="006221C8">
        <w:rPr>
          <w:rFonts w:ascii="ITC Avant Garde" w:hAnsi="ITC Avant Garde"/>
          <w:b/>
        </w:rPr>
        <w:t xml:space="preserve">Otras Contraprestaciones, </w:t>
      </w:r>
      <w:r w:rsidR="006221C8" w:rsidRPr="00F74F60">
        <w:rPr>
          <w:rFonts w:ascii="ITC Avant Garde" w:hAnsi="ITC Avant Garde"/>
          <w:b/>
        </w:rPr>
        <w:t>5.4 Puertos de Acceso y Anexo B. Precios y Tarifas</w:t>
      </w:r>
      <w:r w:rsidR="006221C8">
        <w:rPr>
          <w:rFonts w:ascii="ITC Avant Garde" w:hAnsi="ITC Avant Garde"/>
          <w:b/>
        </w:rPr>
        <w:t xml:space="preserve"> </w:t>
      </w:r>
    </w:p>
    <w:p w14:paraId="58389D85" w14:textId="4A42A623" w:rsidR="006221C8" w:rsidRDefault="006221C8" w:rsidP="00BA76FB">
      <w:pPr>
        <w:spacing w:line="276" w:lineRule="auto"/>
        <w:jc w:val="both"/>
        <w:rPr>
          <w:rFonts w:ascii="ITC Avant Garde" w:hAnsi="ITC Avant Garde"/>
          <w:b/>
        </w:rPr>
      </w:pPr>
      <w:r>
        <w:rPr>
          <w:rFonts w:ascii="ITC Avant Garde" w:hAnsi="ITC Avant Garde"/>
          <w:b/>
        </w:rPr>
        <w:t>TELÉFONICA</w:t>
      </w:r>
    </w:p>
    <w:p w14:paraId="2C6F50A3" w14:textId="59F9C0C5" w:rsidR="00DC653C" w:rsidRDefault="002C318B" w:rsidP="006221C8">
      <w:pPr>
        <w:spacing w:line="276" w:lineRule="auto"/>
        <w:jc w:val="both"/>
        <w:rPr>
          <w:rFonts w:ascii="ITC Avant Garde" w:hAnsi="ITC Avant Garde"/>
        </w:rPr>
      </w:pPr>
      <w:r w:rsidRPr="006221C8">
        <w:rPr>
          <w:rFonts w:ascii="ITC Avant Garde" w:hAnsi="ITC Avant Garde"/>
        </w:rPr>
        <w:t xml:space="preserve">Solicitan establecer </w:t>
      </w:r>
      <w:r w:rsidR="00853F0F" w:rsidRPr="006221C8">
        <w:rPr>
          <w:rFonts w:ascii="ITC Avant Garde" w:hAnsi="ITC Avant Garde"/>
        </w:rPr>
        <w:t xml:space="preserve">que </w:t>
      </w:r>
      <w:r w:rsidR="00853F0F" w:rsidRPr="00DC653C">
        <w:rPr>
          <w:rFonts w:ascii="ITC Avant Garde" w:hAnsi="ITC Avant Garde"/>
        </w:rPr>
        <w:t>los</w:t>
      </w:r>
      <w:r w:rsidR="00DC653C" w:rsidRPr="00DC653C">
        <w:rPr>
          <w:rFonts w:ascii="ITC Avant Garde" w:hAnsi="ITC Avant Garde"/>
        </w:rPr>
        <w:t xml:space="preserve"> puertos de interconexión son sin costo o bien, que el precio establecido ya incluye el costo de los mismos.</w:t>
      </w:r>
      <w:r w:rsidR="00730831">
        <w:rPr>
          <w:rFonts w:ascii="ITC Avant Garde" w:hAnsi="ITC Avant Garde"/>
        </w:rPr>
        <w:t xml:space="preserve"> </w:t>
      </w:r>
      <w:r w:rsidR="00DC653C" w:rsidRPr="00DC653C">
        <w:rPr>
          <w:rFonts w:ascii="ITC Avant Garde" w:hAnsi="ITC Avant Garde"/>
        </w:rPr>
        <w:t>Lo anterior</w:t>
      </w:r>
      <w:r w:rsidR="00123FFF">
        <w:rPr>
          <w:rFonts w:ascii="ITC Avant Garde" w:hAnsi="ITC Avant Garde"/>
        </w:rPr>
        <w:t>,</w:t>
      </w:r>
      <w:r w:rsidR="00DC653C" w:rsidRPr="00DC653C">
        <w:rPr>
          <w:rFonts w:ascii="ITC Avant Garde" w:hAnsi="ITC Avant Garde"/>
        </w:rPr>
        <w:t xml:space="preserve"> como estaba establecido en los convenios anteriores aprobados por el Instituto.</w:t>
      </w:r>
    </w:p>
    <w:p w14:paraId="098E801C" w14:textId="1A93A00A" w:rsidR="006221C8" w:rsidRDefault="006221C8" w:rsidP="006221C8">
      <w:pPr>
        <w:spacing w:line="276" w:lineRule="auto"/>
        <w:jc w:val="both"/>
        <w:rPr>
          <w:rFonts w:ascii="ITC Avant Garde" w:hAnsi="ITC Avant Garde"/>
          <w:b/>
        </w:rPr>
      </w:pPr>
      <w:r w:rsidRPr="00E16359">
        <w:rPr>
          <w:rFonts w:ascii="ITC Avant Garde" w:hAnsi="ITC Avant Garde"/>
          <w:b/>
        </w:rPr>
        <w:t xml:space="preserve">Consideraciones del Instituto </w:t>
      </w:r>
    </w:p>
    <w:p w14:paraId="3AD55EAE" w14:textId="051D6E70" w:rsidR="006221C8" w:rsidRPr="00E16359" w:rsidRDefault="00471470" w:rsidP="006221C8">
      <w:pPr>
        <w:spacing w:after="120"/>
        <w:jc w:val="both"/>
        <w:rPr>
          <w:rFonts w:ascii="ITC Avant Garde" w:hAnsi="ITC Avant Garde"/>
          <w:sz w:val="21"/>
          <w:szCs w:val="21"/>
        </w:rPr>
      </w:pPr>
      <w:r>
        <w:rPr>
          <w:rFonts w:ascii="ITC Avant Garde" w:hAnsi="ITC Avant Garde"/>
          <w:sz w:val="21"/>
          <w:szCs w:val="21"/>
        </w:rPr>
        <w:t xml:space="preserve">Se modifica </w:t>
      </w:r>
      <w:r w:rsidR="00113C8A">
        <w:rPr>
          <w:rFonts w:ascii="ITC Avant Garde" w:hAnsi="ITC Avant Garde"/>
          <w:sz w:val="21"/>
          <w:szCs w:val="21"/>
        </w:rPr>
        <w:t>el CMI a efecto de señalar que el costo de los puertos necesarios para la interconexión se encuentra incluido en la tarifa de los servicios correspondientes</w:t>
      </w:r>
      <w:r w:rsidR="006221C8" w:rsidRPr="00E16359">
        <w:rPr>
          <w:rFonts w:ascii="ITC Avant Garde" w:hAnsi="ITC Avant Garde"/>
          <w:sz w:val="21"/>
          <w:szCs w:val="21"/>
        </w:rPr>
        <w:t>:</w:t>
      </w:r>
    </w:p>
    <w:p w14:paraId="269E0F01" w14:textId="77777777" w:rsidR="006221C8" w:rsidRPr="00471470" w:rsidRDefault="006221C8" w:rsidP="00471470">
      <w:pPr>
        <w:spacing w:line="276" w:lineRule="auto"/>
        <w:ind w:left="629" w:right="556" w:hanging="11"/>
        <w:jc w:val="both"/>
        <w:rPr>
          <w:rFonts w:ascii="ITC Avant Garde" w:hAnsi="ITC Avant Garde"/>
          <w:b/>
          <w:i/>
          <w:sz w:val="18"/>
          <w:szCs w:val="18"/>
        </w:rPr>
      </w:pPr>
      <w:r w:rsidRPr="00E16359">
        <w:rPr>
          <w:rFonts w:ascii="ITC Avant Garde" w:hAnsi="ITC Avant Garde"/>
          <w:i/>
          <w:sz w:val="18"/>
          <w:szCs w:val="18"/>
        </w:rPr>
        <w:t>“</w:t>
      </w:r>
      <w:r w:rsidR="00471470" w:rsidRPr="00471470">
        <w:rPr>
          <w:rFonts w:ascii="ITC Avant Garde" w:hAnsi="ITC Avant Garde"/>
          <w:b/>
          <w:i/>
          <w:sz w:val="18"/>
          <w:szCs w:val="18"/>
        </w:rPr>
        <w:t>CAPÍTULO I</w:t>
      </w:r>
      <w:r w:rsidRPr="00471470">
        <w:rPr>
          <w:rFonts w:ascii="ITC Avant Garde" w:hAnsi="ITC Avant Garde"/>
          <w:b/>
          <w:i/>
          <w:sz w:val="18"/>
          <w:szCs w:val="18"/>
        </w:rPr>
        <w:t>V</w:t>
      </w:r>
    </w:p>
    <w:p w14:paraId="18B27261" w14:textId="77777777" w:rsidR="006221C8" w:rsidRPr="00471470" w:rsidRDefault="006221C8" w:rsidP="00471470">
      <w:pPr>
        <w:spacing w:line="276" w:lineRule="auto"/>
        <w:ind w:left="629" w:right="556" w:hanging="11"/>
        <w:jc w:val="both"/>
        <w:rPr>
          <w:rFonts w:ascii="ITC Avant Garde" w:hAnsi="ITC Avant Garde"/>
          <w:b/>
          <w:i/>
          <w:sz w:val="18"/>
          <w:szCs w:val="18"/>
        </w:rPr>
      </w:pPr>
      <w:r w:rsidRPr="00471470">
        <w:rPr>
          <w:rFonts w:ascii="ITC Avant Garde" w:hAnsi="ITC Avant Garde"/>
          <w:b/>
          <w:i/>
          <w:sz w:val="18"/>
          <w:szCs w:val="18"/>
        </w:rPr>
        <w:t>Tarifas de los Servicios de Interconexión Conmutados</w:t>
      </w:r>
    </w:p>
    <w:p w14:paraId="10DAC4FD" w14:textId="77777777" w:rsidR="006221C8" w:rsidRPr="00471470" w:rsidRDefault="006221C8" w:rsidP="00471470">
      <w:pPr>
        <w:spacing w:line="276" w:lineRule="auto"/>
        <w:ind w:left="629" w:right="556" w:hanging="11"/>
        <w:jc w:val="both"/>
        <w:rPr>
          <w:rFonts w:ascii="ITC Avant Garde" w:hAnsi="ITC Avant Garde"/>
          <w:i/>
          <w:sz w:val="18"/>
          <w:szCs w:val="18"/>
        </w:rPr>
      </w:pPr>
      <w:r w:rsidRPr="00471470">
        <w:rPr>
          <w:rFonts w:ascii="ITC Avant Garde" w:hAnsi="ITC Avant Garde"/>
          <w:i/>
          <w:sz w:val="18"/>
          <w:szCs w:val="18"/>
        </w:rPr>
        <w:t>(…)</w:t>
      </w:r>
    </w:p>
    <w:p w14:paraId="33C3D7E8" w14:textId="77777777" w:rsidR="006221C8" w:rsidRPr="00471470" w:rsidRDefault="006221C8" w:rsidP="00471470">
      <w:pPr>
        <w:spacing w:line="276" w:lineRule="auto"/>
        <w:ind w:left="629" w:right="556" w:hanging="11"/>
        <w:jc w:val="both"/>
        <w:rPr>
          <w:rFonts w:ascii="ITC Avant Garde" w:hAnsi="ITC Avant Garde"/>
          <w:i/>
          <w:sz w:val="18"/>
          <w:szCs w:val="18"/>
        </w:rPr>
      </w:pPr>
      <w:r w:rsidRPr="00471470">
        <w:rPr>
          <w:rFonts w:ascii="ITC Avant Garde" w:hAnsi="ITC Avant Garde"/>
          <w:i/>
          <w:sz w:val="18"/>
          <w:szCs w:val="18"/>
        </w:rPr>
        <w:t>Las tarifas anteriores ya incluyen el costo correspondiente a los puertos necesarios para la interconexión.”</w:t>
      </w:r>
    </w:p>
    <w:p w14:paraId="7B3EA962" w14:textId="77777777" w:rsidR="00471470" w:rsidRPr="00E16359" w:rsidRDefault="00471470" w:rsidP="00471470">
      <w:pPr>
        <w:spacing w:after="0" w:line="276" w:lineRule="auto"/>
        <w:jc w:val="both"/>
        <w:rPr>
          <w:shd w:val="clear" w:color="auto" w:fill="FFFFFF"/>
        </w:rPr>
      </w:pPr>
      <w:r>
        <w:rPr>
          <w:rFonts w:ascii="ITC Avant Garde" w:hAnsi="ITC Avant Garde"/>
        </w:rPr>
        <w:t>P</w:t>
      </w:r>
      <w:r w:rsidRPr="00E16359">
        <w:rPr>
          <w:rFonts w:ascii="ITC Avant Garde" w:hAnsi="ITC Avant Garde"/>
        </w:rPr>
        <w:t xml:space="preserve">or lo que se mantuvo </w:t>
      </w:r>
      <w:r w:rsidR="00281573">
        <w:rPr>
          <w:rFonts w:ascii="ITC Avant Garde" w:hAnsi="ITC Avant Garde"/>
        </w:rPr>
        <w:t xml:space="preserve">la redacción </w:t>
      </w:r>
      <w:r>
        <w:rPr>
          <w:rFonts w:ascii="ITC Avant Garde" w:hAnsi="ITC Avant Garde"/>
        </w:rPr>
        <w:t>en</w:t>
      </w:r>
      <w:r w:rsidRPr="00E16359">
        <w:rPr>
          <w:rFonts w:ascii="ITC Avant Garde" w:hAnsi="ITC Avant Garde"/>
        </w:rPr>
        <w:t xml:space="preserve"> dicho numeral </w:t>
      </w:r>
      <w:r>
        <w:rPr>
          <w:rFonts w:ascii="ITC Avant Garde" w:hAnsi="ITC Avant Garde"/>
        </w:rPr>
        <w:t>conforme a lo</w:t>
      </w:r>
      <w:r w:rsidRPr="00E16359">
        <w:rPr>
          <w:rFonts w:ascii="ITC Avant Garde" w:hAnsi="ITC Avant Garde"/>
        </w:rPr>
        <w:t xml:space="preserve"> siguiente:</w:t>
      </w:r>
    </w:p>
    <w:p w14:paraId="2DF50718" w14:textId="77777777" w:rsidR="00471470" w:rsidRPr="00E16359" w:rsidRDefault="00471470" w:rsidP="00471470">
      <w:pPr>
        <w:pStyle w:val="IFTnormal"/>
        <w:spacing w:after="0"/>
        <w:ind w:left="567" w:right="565"/>
        <w:rPr>
          <w:i/>
          <w:color w:val="auto"/>
          <w:sz w:val="18"/>
          <w:shd w:val="clear" w:color="auto" w:fill="FFFFFF"/>
        </w:rPr>
      </w:pPr>
    </w:p>
    <w:p w14:paraId="2C1DEC2D" w14:textId="77777777" w:rsidR="00471470" w:rsidRDefault="00471470" w:rsidP="00471470">
      <w:pPr>
        <w:autoSpaceDE w:val="0"/>
        <w:autoSpaceDN w:val="0"/>
        <w:adjustRightInd w:val="0"/>
        <w:spacing w:line="276" w:lineRule="auto"/>
        <w:ind w:left="567" w:right="565"/>
        <w:jc w:val="both"/>
        <w:rPr>
          <w:rFonts w:ascii="ITC Avant Garde" w:hAnsi="ITC Avant Garde"/>
          <w:i/>
          <w:sz w:val="18"/>
        </w:rPr>
      </w:pPr>
      <w:r w:rsidRPr="00E16359">
        <w:rPr>
          <w:rFonts w:ascii="ITC Avant Garde" w:hAnsi="ITC Avant Garde"/>
          <w:b/>
          <w:i/>
          <w:sz w:val="18"/>
          <w:u w:val="single"/>
        </w:rPr>
        <w:t>“</w:t>
      </w:r>
      <w:r>
        <w:rPr>
          <w:rFonts w:ascii="ITC Avant Garde" w:hAnsi="ITC Avant Garde"/>
          <w:b/>
          <w:i/>
          <w:sz w:val="18"/>
          <w:u w:val="single"/>
        </w:rPr>
        <w:t>5.4 PUERTOS DE ACCESO</w:t>
      </w:r>
      <w:r w:rsidRPr="00E16359">
        <w:rPr>
          <w:rFonts w:ascii="ITC Avant Garde" w:hAnsi="ITC Avant Garde"/>
          <w:i/>
          <w:sz w:val="18"/>
        </w:rPr>
        <w:t>.</w:t>
      </w:r>
    </w:p>
    <w:p w14:paraId="12FA46A1" w14:textId="77777777" w:rsidR="00471470" w:rsidRPr="00471470" w:rsidRDefault="00471470" w:rsidP="00471470">
      <w:pPr>
        <w:autoSpaceDE w:val="0"/>
        <w:autoSpaceDN w:val="0"/>
        <w:adjustRightInd w:val="0"/>
        <w:spacing w:line="276" w:lineRule="auto"/>
        <w:ind w:left="567" w:right="565"/>
        <w:jc w:val="both"/>
        <w:rPr>
          <w:rFonts w:ascii="ITC Avant Garde" w:hAnsi="ITC Avant Garde"/>
          <w:i/>
          <w:sz w:val="18"/>
        </w:rPr>
      </w:pPr>
      <w:r w:rsidRPr="00471470">
        <w:rPr>
          <w:rFonts w:ascii="ITC Avant Garde" w:hAnsi="ITC Avant Garde"/>
          <w:i/>
          <w:sz w:val="18"/>
          <w:u w:val="single"/>
        </w:rPr>
        <w:t>Los Puertos de Acceso no generarán un costo adicional pues éste ya está incluido en la tarifa de los Servicios Conmutados de Interconexión</w:t>
      </w:r>
      <w:r w:rsidRPr="00471470">
        <w:rPr>
          <w:rFonts w:ascii="ITC Avant Garde" w:hAnsi="ITC Avant Garde"/>
          <w:i/>
          <w:sz w:val="18"/>
        </w:rPr>
        <w:t>.</w:t>
      </w:r>
    </w:p>
    <w:p w14:paraId="26743E85" w14:textId="77777777" w:rsidR="00471470" w:rsidRPr="00E16359" w:rsidRDefault="00471470" w:rsidP="00471470">
      <w:pPr>
        <w:autoSpaceDE w:val="0"/>
        <w:autoSpaceDN w:val="0"/>
        <w:adjustRightInd w:val="0"/>
        <w:spacing w:line="276" w:lineRule="auto"/>
        <w:ind w:left="567" w:right="565"/>
        <w:jc w:val="both"/>
        <w:rPr>
          <w:rFonts w:ascii="ITC Avant Garde" w:hAnsi="ITC Avant Garde"/>
          <w:i/>
          <w:sz w:val="18"/>
        </w:rPr>
      </w:pPr>
      <w:r w:rsidRPr="00471470">
        <w:rPr>
          <w:rFonts w:ascii="ITC Avant Garde" w:hAnsi="ITC Avant Garde"/>
          <w:i/>
          <w:sz w:val="18"/>
          <w:u w:val="single"/>
        </w:rPr>
        <w:t>(</w:t>
      </w:r>
      <w:r>
        <w:rPr>
          <w:rFonts w:ascii="ITC Avant Garde" w:hAnsi="ITC Avant Garde"/>
          <w:i/>
          <w:sz w:val="18"/>
        </w:rPr>
        <w:t>…</w:t>
      </w:r>
      <w:r w:rsidR="00F93048">
        <w:rPr>
          <w:rFonts w:ascii="ITC Avant Garde" w:hAnsi="ITC Avant Garde"/>
          <w:i/>
          <w:sz w:val="18"/>
        </w:rPr>
        <w:t>)”</w:t>
      </w:r>
    </w:p>
    <w:p w14:paraId="548F385A" w14:textId="0266D8DB" w:rsidR="001F7A4A" w:rsidRDefault="001F7A4A" w:rsidP="00BA76FB">
      <w:pPr>
        <w:spacing w:line="276" w:lineRule="auto"/>
        <w:jc w:val="both"/>
        <w:rPr>
          <w:rFonts w:ascii="ITC Avant Garde" w:hAnsi="ITC Avant Garde"/>
          <w:b/>
        </w:rPr>
      </w:pPr>
      <w:r>
        <w:rPr>
          <w:rFonts w:ascii="ITC Avant Garde" w:hAnsi="ITC Avant Garde"/>
          <w:b/>
        </w:rPr>
        <w:t>4.4 Condiciones de Pago</w:t>
      </w:r>
    </w:p>
    <w:p w14:paraId="1571ABD7" w14:textId="77777777" w:rsidR="00673C4D" w:rsidRPr="00673C4D" w:rsidRDefault="00673C4D" w:rsidP="00BA76FB">
      <w:pPr>
        <w:spacing w:line="276" w:lineRule="auto"/>
        <w:jc w:val="both"/>
        <w:rPr>
          <w:rFonts w:ascii="ITC Avant Garde" w:eastAsia="Avant Garde" w:hAnsi="ITC Avant Garde" w:cs="Avant Garde"/>
          <w:color w:val="000000"/>
          <w:lang w:eastAsia="es-MX"/>
        </w:rPr>
      </w:pPr>
      <w:r>
        <w:rPr>
          <w:rFonts w:ascii="ITC Avant Garde" w:hAnsi="ITC Avant Garde"/>
          <w:b/>
        </w:rPr>
        <w:t>4.4.1 Facturas, 4.4.2 Época y Forma de Pago, 4.4.3 Facturas Obj</w:t>
      </w:r>
      <w:r w:rsidR="00243711">
        <w:rPr>
          <w:rFonts w:ascii="ITC Avant Garde" w:hAnsi="ITC Avant Garde"/>
          <w:b/>
        </w:rPr>
        <w:t xml:space="preserve">etadas y 4.4.5 Refacturación y </w:t>
      </w:r>
      <w:r>
        <w:rPr>
          <w:rFonts w:ascii="ITC Avant Garde" w:hAnsi="ITC Avant Garde"/>
          <w:b/>
        </w:rPr>
        <w:t>Ajustes</w:t>
      </w:r>
      <w:r w:rsidRPr="008C0ECE">
        <w:rPr>
          <w:rFonts w:ascii="ITC Avant Garde" w:hAnsi="ITC Avant Garde"/>
          <w:b/>
        </w:rPr>
        <w:t xml:space="preserve"> </w:t>
      </w:r>
    </w:p>
    <w:p w14:paraId="44DA1419" w14:textId="77777777" w:rsidR="00673C4D" w:rsidRPr="008C0ECE" w:rsidRDefault="001F7A4A" w:rsidP="00570E9E">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GRUPO </w:t>
      </w:r>
      <w:r w:rsidR="00673C4D" w:rsidRPr="008C0ECE">
        <w:rPr>
          <w:rFonts w:ascii="ITC Avant Garde" w:eastAsia="Avant Garde" w:hAnsi="ITC Avant Garde" w:cs="Avant Garde"/>
          <w:b/>
          <w:color w:val="000000"/>
          <w:lang w:eastAsia="es-MX"/>
        </w:rPr>
        <w:t>TELEVISA</w:t>
      </w:r>
    </w:p>
    <w:p w14:paraId="7D41D75F" w14:textId="1C2F6A26" w:rsidR="00673C4D" w:rsidRPr="00003018" w:rsidRDefault="00673C4D" w:rsidP="00624ADF">
      <w:pPr>
        <w:spacing w:line="276" w:lineRule="auto"/>
        <w:jc w:val="both"/>
        <w:rPr>
          <w:rFonts w:ascii="ITC Avant Garde" w:hAnsi="ITC Avant Garde"/>
        </w:rPr>
      </w:pPr>
      <w:r w:rsidRPr="00003018">
        <w:rPr>
          <w:rFonts w:ascii="ITC Avant Garde" w:hAnsi="ITC Avant Garde"/>
        </w:rPr>
        <w:t>Solicita ampliar el plazo de 18 a 30 días naturales</w:t>
      </w:r>
      <w:r w:rsidR="00BC19B5">
        <w:rPr>
          <w:rFonts w:ascii="ITC Avant Garde" w:hAnsi="ITC Avant Garde"/>
        </w:rPr>
        <w:t xml:space="preserve"> para el pago de las facturas correspondientes y, en su caso para la objeción de facturas </w:t>
      </w:r>
      <w:r w:rsidRPr="00003018">
        <w:rPr>
          <w:rFonts w:ascii="ITC Avant Garde" w:hAnsi="ITC Avant Garde"/>
        </w:rPr>
        <w:t xml:space="preserve">y que se reduzca el plazo </w:t>
      </w:r>
      <w:r w:rsidRPr="00003018">
        <w:rPr>
          <w:rFonts w:ascii="ITC Avant Garde" w:hAnsi="ITC Avant Garde"/>
        </w:rPr>
        <w:lastRenderedPageBreak/>
        <w:t>de 120 días a 90 días naturales,</w:t>
      </w:r>
      <w:r w:rsidR="00BC19B5">
        <w:rPr>
          <w:rFonts w:ascii="ITC Avant Garde" w:hAnsi="ITC Avant Garde"/>
        </w:rPr>
        <w:t xml:space="preserve"> para la presentación de facturas complementarias</w:t>
      </w:r>
      <w:r w:rsidRPr="00003018">
        <w:rPr>
          <w:rFonts w:ascii="ITC Avant Garde" w:hAnsi="ITC Avant Garde"/>
        </w:rPr>
        <w:t xml:space="preserve"> en los numerales referidos.</w:t>
      </w:r>
    </w:p>
    <w:p w14:paraId="61F064F9" w14:textId="77777777" w:rsidR="00673C4D" w:rsidRDefault="00673C4D" w:rsidP="00570E9E">
      <w:pPr>
        <w:spacing w:line="276" w:lineRule="auto"/>
        <w:rPr>
          <w:rFonts w:ascii="ITC Avant Garde" w:hAnsi="ITC Avant Garde"/>
          <w:b/>
        </w:rPr>
      </w:pPr>
      <w:r w:rsidRPr="008C0ECE">
        <w:rPr>
          <w:rFonts w:ascii="ITC Avant Garde" w:hAnsi="ITC Avant Garde"/>
          <w:b/>
        </w:rPr>
        <w:t xml:space="preserve">Consideraciones del Instituto </w:t>
      </w:r>
    </w:p>
    <w:p w14:paraId="5E5EA243" w14:textId="27CBF4F4" w:rsidR="001F7A4A" w:rsidRDefault="001F7A4A" w:rsidP="001F7A4A">
      <w:pPr>
        <w:spacing w:line="276" w:lineRule="auto"/>
        <w:ind w:right="51"/>
        <w:jc w:val="both"/>
        <w:rPr>
          <w:rFonts w:ascii="ITC Avant Garde" w:hAnsi="ITC Avant Garde"/>
        </w:rPr>
      </w:pPr>
      <w:r>
        <w:rPr>
          <w:rFonts w:ascii="ITC Avant Garde" w:hAnsi="ITC Avant Garde"/>
        </w:rPr>
        <w:t>S</w:t>
      </w:r>
      <w:r w:rsidRPr="00E16359">
        <w:rPr>
          <w:rFonts w:ascii="ITC Avant Garde" w:hAnsi="ITC Avant Garde"/>
        </w:rPr>
        <w:t xml:space="preserve">e considera que la finalidad de la cláusula en comento es agilizar el procedimiento de objeción de facturas </w:t>
      </w:r>
      <w:r w:rsidR="002C16CD">
        <w:rPr>
          <w:rFonts w:ascii="ITC Avant Garde" w:hAnsi="ITC Avant Garde"/>
        </w:rPr>
        <w:t xml:space="preserve">y el pago de los servicios prestados </w:t>
      </w:r>
      <w:r w:rsidRPr="00E16359">
        <w:rPr>
          <w:rFonts w:ascii="ITC Avant Garde" w:hAnsi="ITC Avant Garde"/>
        </w:rPr>
        <w:t>para ambas partes; asimismo, de una revisión de los convenios de interconexión que obran en el Registro Público de Concesiones, se observa que el plazo de 18 (dieciocho) días naturales para la objeción de facturas es una práctica común en la industria, por lo cual no se considera procedente la modificación del numeral en comento.</w:t>
      </w:r>
    </w:p>
    <w:p w14:paraId="66219EC5" w14:textId="11A3B242" w:rsidR="00181614" w:rsidRDefault="00181614" w:rsidP="001F7A4A">
      <w:pPr>
        <w:spacing w:line="276" w:lineRule="auto"/>
        <w:ind w:right="51"/>
        <w:jc w:val="both"/>
        <w:rPr>
          <w:rFonts w:ascii="ITC Avant Garde" w:hAnsi="ITC Avant Garde"/>
          <w:b/>
        </w:rPr>
      </w:pPr>
      <w:r>
        <w:rPr>
          <w:rFonts w:ascii="ITC Avant Garde" w:hAnsi="ITC Avant Garde"/>
          <w:b/>
        </w:rPr>
        <w:t>4.4.2 Época y Forma de Pago</w:t>
      </w:r>
      <w:r w:rsidR="006B5B6B">
        <w:rPr>
          <w:rFonts w:ascii="ITC Avant Garde" w:hAnsi="ITC Avant Garde"/>
          <w:b/>
        </w:rPr>
        <w:t xml:space="preserve"> y</w:t>
      </w:r>
      <w:r>
        <w:rPr>
          <w:rFonts w:ascii="ITC Avant Garde" w:hAnsi="ITC Avant Garde"/>
          <w:b/>
        </w:rPr>
        <w:t xml:space="preserve"> 4.4.3 Facturas Objetadas</w:t>
      </w:r>
    </w:p>
    <w:p w14:paraId="2C0A56E7" w14:textId="049F1628" w:rsidR="007A68E4" w:rsidRPr="007A68E4" w:rsidRDefault="007A68E4" w:rsidP="001F7A4A">
      <w:pPr>
        <w:spacing w:line="276" w:lineRule="auto"/>
        <w:ind w:right="51"/>
        <w:jc w:val="both"/>
        <w:rPr>
          <w:rFonts w:ascii="ITC Avant Garde" w:hAnsi="ITC Avant Garde"/>
          <w:b/>
        </w:rPr>
      </w:pPr>
      <w:r w:rsidRPr="007A68E4">
        <w:rPr>
          <w:rFonts w:ascii="ITC Avant Garde" w:hAnsi="ITC Avant Garde"/>
          <w:b/>
        </w:rPr>
        <w:t>UC TELECOM</w:t>
      </w:r>
    </w:p>
    <w:p w14:paraId="0634EB76" w14:textId="1269BBFF" w:rsidR="00C61635" w:rsidRDefault="00181614" w:rsidP="001F7A4A">
      <w:pPr>
        <w:spacing w:line="276" w:lineRule="auto"/>
        <w:ind w:right="51"/>
        <w:jc w:val="both"/>
        <w:rPr>
          <w:rFonts w:ascii="ITC Avant Garde" w:hAnsi="ITC Avant Garde"/>
        </w:rPr>
      </w:pPr>
      <w:r>
        <w:rPr>
          <w:rFonts w:ascii="ITC Avant Garde" w:hAnsi="ITC Avant Garde"/>
        </w:rPr>
        <w:t>Considera</w:t>
      </w:r>
      <w:r w:rsidR="00C61635">
        <w:rPr>
          <w:rFonts w:ascii="ITC Avant Garde" w:hAnsi="ITC Avant Garde"/>
        </w:rPr>
        <w:t xml:space="preserve"> </w:t>
      </w:r>
      <w:r w:rsidR="00C61635" w:rsidRPr="00C61635">
        <w:rPr>
          <w:rFonts w:ascii="ITC Avant Garde" w:hAnsi="ITC Avant Garde"/>
        </w:rPr>
        <w:t xml:space="preserve">poco eficiente y restrictivo que las objeciones se deban realizar únicamente por escrito. </w:t>
      </w:r>
      <w:r w:rsidR="00BD4265">
        <w:rPr>
          <w:rFonts w:ascii="ITC Avant Garde" w:hAnsi="ITC Avant Garde"/>
        </w:rPr>
        <w:t>Señala que s</w:t>
      </w:r>
      <w:r w:rsidR="00C61635" w:rsidRPr="00C61635">
        <w:rPr>
          <w:rFonts w:ascii="ITC Avant Garde" w:hAnsi="ITC Avant Garde"/>
        </w:rPr>
        <w:t>e debe incluir la posibilidad de poder objetar las contraprestaciones o facturas por medios electrónicos.</w:t>
      </w:r>
    </w:p>
    <w:p w14:paraId="7D5DD8F6" w14:textId="14188DDA" w:rsidR="00E35817" w:rsidRDefault="00E35817" w:rsidP="00E35817">
      <w:pPr>
        <w:spacing w:line="276" w:lineRule="auto"/>
        <w:jc w:val="both"/>
        <w:rPr>
          <w:rFonts w:ascii="ITC Avant Garde" w:hAnsi="ITC Avant Garde"/>
        </w:rPr>
      </w:pPr>
      <w:r>
        <w:rPr>
          <w:rFonts w:ascii="ITC Avant Garde" w:hAnsi="ITC Avant Garde"/>
        </w:rPr>
        <w:t>La procedencia de las objeciones debería incluir la posibilidad de presentar como evidencia del rechazo la comunicación por medios electrónicos.</w:t>
      </w:r>
    </w:p>
    <w:p w14:paraId="1E5B5DF5" w14:textId="719CCD69" w:rsidR="007A68E4" w:rsidRPr="007A68E4" w:rsidRDefault="007A68E4" w:rsidP="007A68E4">
      <w:pPr>
        <w:spacing w:line="276" w:lineRule="auto"/>
        <w:ind w:right="51"/>
        <w:jc w:val="both"/>
        <w:rPr>
          <w:rFonts w:ascii="ITC Avant Garde" w:hAnsi="ITC Avant Garde"/>
          <w:b/>
        </w:rPr>
      </w:pPr>
      <w:r w:rsidRPr="007A68E4">
        <w:rPr>
          <w:rFonts w:ascii="ITC Avant Garde" w:hAnsi="ITC Avant Garde"/>
          <w:b/>
        </w:rPr>
        <w:t>Consideraciones del Instituto</w:t>
      </w:r>
    </w:p>
    <w:p w14:paraId="64EF702D" w14:textId="4CCADC58" w:rsidR="005318CE" w:rsidRPr="00E16359" w:rsidRDefault="00137383" w:rsidP="001F7A4A">
      <w:pPr>
        <w:spacing w:line="276" w:lineRule="auto"/>
        <w:ind w:right="51"/>
        <w:jc w:val="both"/>
        <w:rPr>
          <w:rFonts w:ascii="ITC Avant Garde" w:hAnsi="ITC Avant Garde"/>
        </w:rPr>
      </w:pPr>
      <w:r>
        <w:rPr>
          <w:rFonts w:ascii="ITC Avant Garde" w:hAnsi="ITC Avant Garde"/>
          <w:sz w:val="21"/>
          <w:szCs w:val="21"/>
        </w:rPr>
        <w:t>Se modifica</w:t>
      </w:r>
      <w:r w:rsidR="003D709B">
        <w:rPr>
          <w:rFonts w:ascii="ITC Avant Garde" w:hAnsi="ITC Avant Garde"/>
          <w:sz w:val="21"/>
          <w:szCs w:val="21"/>
        </w:rPr>
        <w:t>ron</w:t>
      </w:r>
      <w:r>
        <w:rPr>
          <w:rFonts w:ascii="ITC Avant Garde" w:hAnsi="ITC Avant Garde"/>
          <w:sz w:val="21"/>
          <w:szCs w:val="21"/>
        </w:rPr>
        <w:t xml:space="preserve"> </w:t>
      </w:r>
      <w:r w:rsidRPr="00181614">
        <w:rPr>
          <w:rFonts w:ascii="ITC Avant Garde" w:hAnsi="ITC Avant Garde"/>
        </w:rPr>
        <w:t>los numerales 4.4.1 y 4.4.3</w:t>
      </w:r>
      <w:r>
        <w:rPr>
          <w:rFonts w:ascii="ITC Avant Garde" w:hAnsi="ITC Avant Garde"/>
        </w:rPr>
        <w:t xml:space="preserve"> d</w:t>
      </w:r>
      <w:r>
        <w:rPr>
          <w:rFonts w:ascii="ITC Avant Garde" w:hAnsi="ITC Avant Garde"/>
          <w:sz w:val="21"/>
          <w:szCs w:val="21"/>
        </w:rPr>
        <w:t>el CMI c</w:t>
      </w:r>
      <w:r w:rsidR="00181614" w:rsidRPr="00181614">
        <w:rPr>
          <w:rFonts w:ascii="ITC Avant Garde" w:hAnsi="ITC Avant Garde"/>
        </w:rPr>
        <w:t>on el propósito de ofrecer como un medio adicional para la presentación de objeción de facturas el correo electrónico, precisando que las facturas podrán objetarse a través de dicho medio.</w:t>
      </w:r>
    </w:p>
    <w:p w14:paraId="6F83BD34" w14:textId="0C005A7B" w:rsidR="00673C4D" w:rsidRPr="00243711" w:rsidRDefault="00243711" w:rsidP="00570E9E">
      <w:pPr>
        <w:spacing w:line="276" w:lineRule="auto"/>
        <w:jc w:val="both"/>
        <w:rPr>
          <w:rFonts w:ascii="ITC Avant Garde" w:hAnsi="ITC Avant Garde"/>
          <w:b/>
        </w:rPr>
      </w:pPr>
      <w:r>
        <w:rPr>
          <w:rFonts w:ascii="ITC Avant Garde" w:hAnsi="ITC Avant Garde"/>
          <w:b/>
        </w:rPr>
        <w:t>4.4.3.1 Facturas Objetadas</w:t>
      </w:r>
    </w:p>
    <w:p w14:paraId="2BFE5E11" w14:textId="67E80261" w:rsidR="00243711" w:rsidRPr="00243711" w:rsidRDefault="008A5FCD" w:rsidP="00570E9E">
      <w:pPr>
        <w:spacing w:line="276" w:lineRule="auto"/>
        <w:jc w:val="both"/>
        <w:rPr>
          <w:rFonts w:ascii="ITC Avant Garde" w:hAnsi="ITC Avant Garde"/>
          <w:b/>
        </w:rPr>
      </w:pPr>
      <w:r>
        <w:rPr>
          <w:rFonts w:ascii="ITC Avant Garde" w:hAnsi="ITC Avant Garde"/>
          <w:b/>
        </w:rPr>
        <w:t>TELÉFONICA</w:t>
      </w:r>
      <w:r w:rsidR="00243711">
        <w:rPr>
          <w:rFonts w:ascii="ITC Avant Garde" w:hAnsi="ITC Avant Garde"/>
        </w:rPr>
        <w:t xml:space="preserve"> </w:t>
      </w:r>
    </w:p>
    <w:p w14:paraId="586B747C" w14:textId="4D27AEB5" w:rsidR="00B42946" w:rsidRDefault="00624ADF" w:rsidP="00B42946">
      <w:pPr>
        <w:spacing w:line="276" w:lineRule="auto"/>
        <w:jc w:val="both"/>
        <w:rPr>
          <w:rFonts w:ascii="ITC Avant Garde" w:hAnsi="ITC Avant Garde"/>
        </w:rPr>
      </w:pPr>
      <w:r w:rsidRPr="00624ADF">
        <w:rPr>
          <w:rFonts w:ascii="ITC Avant Garde" w:hAnsi="ITC Avant Garde"/>
        </w:rPr>
        <w:t>Solicitan que en la sección de Facturas Objetadas se agregue un interés base y un interés alternativo con el fin de tener un tiempo de respuesta para la resolución de objeción.</w:t>
      </w:r>
      <w:r>
        <w:rPr>
          <w:rFonts w:ascii="ITC Avant Garde" w:hAnsi="ITC Avant Garde"/>
        </w:rPr>
        <w:t xml:space="preserve"> </w:t>
      </w:r>
    </w:p>
    <w:p w14:paraId="1C85052A" w14:textId="77777777" w:rsidR="00243711" w:rsidRDefault="00243711" w:rsidP="00570E9E">
      <w:pPr>
        <w:spacing w:line="276" w:lineRule="auto"/>
        <w:jc w:val="both"/>
        <w:rPr>
          <w:rFonts w:ascii="ITC Avant Garde" w:hAnsi="ITC Avant Garde"/>
          <w:b/>
        </w:rPr>
      </w:pPr>
      <w:r w:rsidRPr="008C0ECE">
        <w:rPr>
          <w:rFonts w:ascii="ITC Avant Garde" w:hAnsi="ITC Avant Garde"/>
          <w:b/>
        </w:rPr>
        <w:t>Consideraciones del Instituto</w:t>
      </w:r>
    </w:p>
    <w:p w14:paraId="3623E22B" w14:textId="77777777" w:rsidR="008502F4" w:rsidRDefault="008502F4" w:rsidP="00570E9E">
      <w:pPr>
        <w:spacing w:line="276" w:lineRule="auto"/>
        <w:jc w:val="both"/>
        <w:rPr>
          <w:rFonts w:ascii="ITC Avant Garde" w:hAnsi="ITC Avant Garde"/>
        </w:rPr>
      </w:pPr>
      <w:r w:rsidRPr="00E16359">
        <w:rPr>
          <w:rFonts w:ascii="ITC Avant Garde" w:hAnsi="ITC Avant Garde"/>
        </w:rPr>
        <w:t>Al respecto, es importante señalar que en el CMI vigente no existe el pago por facturas objetadas en el que se agregue el interés base e interés alternativo, ya que en dicho procedimiento no se considera aplicable el pago de intereses generados, dada la naturaleza recíproca de los servicios de interconexión y en virtud de que el procedimiento por facturas objetadas no deriva de la falta o negativa de pago por la prestación de los servicios, sino de la inconformidad en los consumos que se registraron en la facturación correspondiente.</w:t>
      </w:r>
    </w:p>
    <w:p w14:paraId="19A85128" w14:textId="77777777" w:rsidR="008A5FCD" w:rsidRDefault="008502F4" w:rsidP="008502F4">
      <w:pPr>
        <w:autoSpaceDE w:val="0"/>
        <w:autoSpaceDN w:val="0"/>
        <w:adjustRightInd w:val="0"/>
        <w:spacing w:after="0"/>
        <w:jc w:val="both"/>
        <w:rPr>
          <w:rFonts w:ascii="ITC Avant Garde" w:hAnsi="ITC Avant Garde"/>
        </w:rPr>
      </w:pPr>
      <w:r w:rsidRPr="00E16359">
        <w:rPr>
          <w:rFonts w:ascii="ITC Avant Garde" w:hAnsi="ITC Avant Garde"/>
        </w:rPr>
        <w:lastRenderedPageBreak/>
        <w:t>Es así que el CMI prevé, que la falta de pago de aquellas Facturas Objetadas en proceso de resolución no será considerada como incumplimiento a la obligación del pago de las contraprestaciones correspondientes, hasta en tanto se agote el procedimiento de conciliación de facturas establecido en el CMI, por tal motivo no resulta procedente establecer el pago de Interés base e interés alternativo</w:t>
      </w:r>
      <w:r w:rsidR="00370DD6">
        <w:rPr>
          <w:rFonts w:ascii="ITC Avant Garde" w:hAnsi="ITC Avant Garde"/>
        </w:rPr>
        <w:t xml:space="preserve"> al caso de facturas objetadas</w:t>
      </w:r>
      <w:r w:rsidR="008A5FCD">
        <w:rPr>
          <w:rFonts w:ascii="ITC Avant Garde" w:hAnsi="ITC Avant Garde"/>
        </w:rPr>
        <w:t>.</w:t>
      </w:r>
    </w:p>
    <w:p w14:paraId="10347FF5" w14:textId="77777777" w:rsidR="008502F4" w:rsidRDefault="008502F4" w:rsidP="008502F4">
      <w:pPr>
        <w:autoSpaceDE w:val="0"/>
        <w:autoSpaceDN w:val="0"/>
        <w:adjustRightInd w:val="0"/>
        <w:spacing w:after="0"/>
        <w:jc w:val="both"/>
        <w:rPr>
          <w:rFonts w:ascii="ITC Avant Garde" w:hAnsi="ITC Avant Garde"/>
        </w:rPr>
      </w:pPr>
    </w:p>
    <w:p w14:paraId="491DA109" w14:textId="679D2C48" w:rsidR="00243711" w:rsidRDefault="00243711" w:rsidP="00570E9E">
      <w:pPr>
        <w:spacing w:line="276" w:lineRule="auto"/>
        <w:jc w:val="both"/>
        <w:rPr>
          <w:rFonts w:ascii="ITC Avant Garde" w:hAnsi="ITC Avant Garde"/>
        </w:rPr>
      </w:pPr>
      <w:r>
        <w:rPr>
          <w:rFonts w:ascii="ITC Avant Garde" w:hAnsi="ITC Avant Garde"/>
          <w:b/>
        </w:rPr>
        <w:t>TELÉFONICA</w:t>
      </w:r>
    </w:p>
    <w:p w14:paraId="1777DBED" w14:textId="76564380" w:rsidR="00312DEE" w:rsidRDefault="003D709B" w:rsidP="002C16CD">
      <w:pPr>
        <w:spacing w:line="276" w:lineRule="auto"/>
        <w:jc w:val="both"/>
        <w:rPr>
          <w:rFonts w:ascii="ITC Avant Garde" w:hAnsi="ITC Avant Garde"/>
        </w:rPr>
      </w:pPr>
      <w:r>
        <w:rPr>
          <w:rFonts w:ascii="ITC Avant Garde" w:hAnsi="ITC Avant Garde"/>
        </w:rPr>
        <w:t>S</w:t>
      </w:r>
      <w:r w:rsidR="00243711" w:rsidRPr="004A0F2A">
        <w:rPr>
          <w:rFonts w:ascii="ITC Avant Garde" w:hAnsi="ITC Avant Garde"/>
        </w:rPr>
        <w:t>olicita la eliminación de</w:t>
      </w:r>
      <w:r w:rsidR="00312DEE" w:rsidRPr="004A0F2A">
        <w:rPr>
          <w:rFonts w:ascii="ITC Avant Garde" w:hAnsi="ITC Avant Garde"/>
        </w:rPr>
        <w:t xml:space="preserve">l párrafo </w:t>
      </w:r>
      <w:r w:rsidR="005F59DB">
        <w:rPr>
          <w:rFonts w:ascii="ITC Avant Garde" w:hAnsi="ITC Avant Garde"/>
        </w:rPr>
        <w:t>donde se establece que transcurridos los 60 días naturales sin que exista respuesta de la parte receptora, se entenderán como aceptados los términos de la objeción presentada pues, en</w:t>
      </w:r>
      <w:r w:rsidR="00243711" w:rsidRPr="004A0F2A">
        <w:rPr>
          <w:rFonts w:ascii="ITC Avant Garde" w:hAnsi="ITC Avant Garde"/>
        </w:rPr>
        <w:t xml:space="preserve"> la mayoría de las ocasiones debido al volumen de la información </w:t>
      </w:r>
      <w:r w:rsidR="005F59DB">
        <w:rPr>
          <w:rFonts w:ascii="ITC Avant Garde" w:hAnsi="ITC Avant Garde"/>
        </w:rPr>
        <w:t xml:space="preserve">se </w:t>
      </w:r>
      <w:r w:rsidR="00243711" w:rsidRPr="004A0F2A">
        <w:rPr>
          <w:rFonts w:ascii="ITC Avant Garde" w:hAnsi="ITC Avant Garde"/>
        </w:rPr>
        <w:t>requiere un mayor tiempo de análisis.</w:t>
      </w:r>
      <w:r w:rsidR="00312DEE" w:rsidRPr="004A0F2A">
        <w:rPr>
          <w:rFonts w:ascii="ITC Avant Garde" w:hAnsi="ITC Avant Garde"/>
        </w:rPr>
        <w:t xml:space="preserve"> Asimismo, la aceptación debe ser por acuerdo entre las partes.</w:t>
      </w:r>
    </w:p>
    <w:p w14:paraId="6C3CE07F" w14:textId="77777777" w:rsidR="00243711" w:rsidRDefault="00243711" w:rsidP="00570E9E">
      <w:pPr>
        <w:spacing w:line="276" w:lineRule="auto"/>
        <w:jc w:val="both"/>
        <w:rPr>
          <w:rFonts w:ascii="ITC Avant Garde" w:hAnsi="ITC Avant Garde"/>
          <w:b/>
        </w:rPr>
      </w:pPr>
      <w:r w:rsidRPr="008C0ECE">
        <w:rPr>
          <w:rFonts w:ascii="ITC Avant Garde" w:hAnsi="ITC Avant Garde"/>
          <w:b/>
        </w:rPr>
        <w:t>Consideraciones del Instituto</w:t>
      </w:r>
    </w:p>
    <w:p w14:paraId="767D5A53" w14:textId="110E04B4" w:rsidR="00F9099A" w:rsidRDefault="00E7764E" w:rsidP="00F9099A">
      <w:pPr>
        <w:spacing w:line="276" w:lineRule="auto"/>
        <w:jc w:val="both"/>
        <w:rPr>
          <w:rFonts w:ascii="ITC Avant Garde" w:hAnsi="ITC Avant Garde"/>
        </w:rPr>
      </w:pPr>
      <w:r>
        <w:rPr>
          <w:rFonts w:ascii="ITC Avant Garde" w:hAnsi="ITC Avant Garde"/>
        </w:rPr>
        <w:t>Dicho párrafo se establece como un incentivo para cumplir con los plazos de revisión de facturas objetadas,</w:t>
      </w:r>
      <w:r w:rsidR="003D709B">
        <w:rPr>
          <w:rFonts w:ascii="ITC Avant Garde" w:hAnsi="ITC Avant Garde"/>
        </w:rPr>
        <w:t xml:space="preserve"> de no con</w:t>
      </w:r>
      <w:r>
        <w:rPr>
          <w:rFonts w:ascii="ITC Avant Garde" w:hAnsi="ITC Avant Garde"/>
        </w:rPr>
        <w:t xml:space="preserve">tar con dicho incentivo para el cumplimiento de los plazos, el procedimiento de revisión de facturas objetadas se alargaría indeterminadamente generando incertidumbre al concesionario que objetó la factura. Por lo anterior, se mantiene el párrafo en sus términos. </w:t>
      </w:r>
    </w:p>
    <w:p w14:paraId="010ABB9A" w14:textId="553DE26B" w:rsidR="00732B1B" w:rsidRDefault="00732B1B" w:rsidP="00732B1B">
      <w:pPr>
        <w:spacing w:line="276" w:lineRule="auto"/>
        <w:jc w:val="both"/>
        <w:rPr>
          <w:rFonts w:ascii="ITC Avant Garde" w:hAnsi="ITC Avant Garde"/>
          <w:b/>
        </w:rPr>
      </w:pPr>
      <w:r w:rsidRPr="00A33406">
        <w:rPr>
          <w:rFonts w:ascii="ITC Avant Garde" w:hAnsi="ITC Avant Garde"/>
          <w:b/>
        </w:rPr>
        <w:t>AXTEL</w:t>
      </w:r>
    </w:p>
    <w:p w14:paraId="13CBBE97" w14:textId="7A401109" w:rsidR="00732B1B" w:rsidRDefault="00732B1B" w:rsidP="00732B1B">
      <w:pPr>
        <w:spacing w:line="276" w:lineRule="auto"/>
        <w:jc w:val="both"/>
        <w:rPr>
          <w:rFonts w:ascii="ITC Avant Garde" w:hAnsi="ITC Avant Garde"/>
        </w:rPr>
      </w:pPr>
      <w:r>
        <w:rPr>
          <w:rFonts w:ascii="ITC Avant Garde" w:hAnsi="ITC Avant Garde"/>
        </w:rPr>
        <w:t>S</w:t>
      </w:r>
      <w:r w:rsidRPr="00A33406">
        <w:rPr>
          <w:rFonts w:ascii="ITC Avant Garde" w:hAnsi="ITC Avant Garde"/>
        </w:rPr>
        <w:t>olicita</w:t>
      </w:r>
      <w:r>
        <w:rPr>
          <w:rFonts w:ascii="ITC Avant Garde" w:hAnsi="ITC Avant Garde"/>
        </w:rPr>
        <w:t>n</w:t>
      </w:r>
      <w:r w:rsidRPr="00A33406">
        <w:rPr>
          <w:rFonts w:ascii="ITC Avant Garde" w:hAnsi="ITC Avant Garde"/>
        </w:rPr>
        <w:t xml:space="preserve"> la modificación </w:t>
      </w:r>
      <w:r>
        <w:rPr>
          <w:rFonts w:ascii="ITC Avant Garde" w:hAnsi="ITC Avant Garde"/>
        </w:rPr>
        <w:t xml:space="preserve">del segundo párrafo </w:t>
      </w:r>
      <w:r w:rsidRPr="00A33406">
        <w:rPr>
          <w:rFonts w:ascii="ITC Avant Garde" w:hAnsi="ITC Avant Garde"/>
        </w:rPr>
        <w:t xml:space="preserve">de la cláusula 4.4.3.1 </w:t>
      </w:r>
      <w:r>
        <w:rPr>
          <w:rFonts w:ascii="ITC Avant Garde" w:hAnsi="ITC Avant Garde"/>
        </w:rPr>
        <w:t xml:space="preserve">con el fin de que </w:t>
      </w:r>
      <w:r w:rsidR="00E15EC2">
        <w:rPr>
          <w:rFonts w:ascii="ITC Avant Garde" w:hAnsi="ITC Avant Garde"/>
        </w:rPr>
        <w:t xml:space="preserve">incluya </w:t>
      </w:r>
      <w:r w:rsidR="00E15EC2" w:rsidRPr="00A33406">
        <w:rPr>
          <w:rFonts w:ascii="ITC Avant Garde" w:hAnsi="ITC Avant Garde"/>
        </w:rPr>
        <w:t>la</w:t>
      </w:r>
      <w:r>
        <w:rPr>
          <w:rFonts w:ascii="ITC Avant Garde" w:hAnsi="ITC Avant Garde"/>
        </w:rPr>
        <w:t xml:space="preserve"> posibilidad de que</w:t>
      </w:r>
      <w:r w:rsidRPr="00A33406">
        <w:rPr>
          <w:rFonts w:ascii="ITC Avant Garde" w:hAnsi="ITC Avant Garde"/>
        </w:rPr>
        <w:t xml:space="preserve"> las Partes p</w:t>
      </w:r>
      <w:r>
        <w:rPr>
          <w:rFonts w:ascii="ITC Avant Garde" w:hAnsi="ITC Avant Garde"/>
        </w:rPr>
        <w:t>ueda</w:t>
      </w:r>
      <w:r w:rsidRPr="00A33406">
        <w:rPr>
          <w:rFonts w:ascii="ITC Avant Garde" w:hAnsi="ITC Avant Garde"/>
        </w:rPr>
        <w:t xml:space="preserve">n resolver </w:t>
      </w:r>
      <w:r w:rsidR="00C37EAB">
        <w:rPr>
          <w:rFonts w:ascii="ITC Avant Garde" w:hAnsi="ITC Avant Garde"/>
        </w:rPr>
        <w:t xml:space="preserve">las objeciones de facturas </w:t>
      </w:r>
      <w:r w:rsidRPr="00A33406">
        <w:rPr>
          <w:rFonts w:ascii="ITC Avant Garde" w:hAnsi="ITC Avant Garde"/>
        </w:rPr>
        <w:t>a través de</w:t>
      </w:r>
      <w:r>
        <w:rPr>
          <w:rFonts w:ascii="ITC Avant Garde" w:hAnsi="ITC Avant Garde"/>
        </w:rPr>
        <w:t xml:space="preserve"> un</w:t>
      </w:r>
      <w:r w:rsidRPr="00A33406">
        <w:rPr>
          <w:rFonts w:ascii="ITC Avant Garde" w:hAnsi="ITC Avant Garde"/>
        </w:rPr>
        <w:t xml:space="preserve"> Procedimiento de Arreglo Amistoso de Diferencias</w:t>
      </w:r>
      <w:r w:rsidR="00C37EAB">
        <w:rPr>
          <w:rFonts w:ascii="ITC Avant Garde" w:hAnsi="ITC Avant Garde"/>
        </w:rPr>
        <w:t xml:space="preserve"> y señalar que </w:t>
      </w:r>
      <w:r w:rsidRPr="00A33406">
        <w:rPr>
          <w:rFonts w:ascii="ITC Avant Garde" w:hAnsi="ITC Avant Garde"/>
        </w:rPr>
        <w:t>en su caso cualquiera de las Partes tendrá sus derechos a salvo para solicitar la intervención del Instituto</w:t>
      </w:r>
      <w:r>
        <w:rPr>
          <w:rFonts w:ascii="ITC Avant Garde" w:hAnsi="ITC Avant Garde"/>
        </w:rPr>
        <w:t>.</w:t>
      </w:r>
    </w:p>
    <w:p w14:paraId="0A5B70D1" w14:textId="77777777" w:rsidR="00732B1B" w:rsidRDefault="00732B1B" w:rsidP="00732B1B">
      <w:pPr>
        <w:spacing w:line="276" w:lineRule="auto"/>
        <w:jc w:val="both"/>
        <w:rPr>
          <w:rFonts w:ascii="ITC Avant Garde" w:hAnsi="ITC Avant Garde"/>
          <w:b/>
        </w:rPr>
      </w:pPr>
      <w:r w:rsidRPr="008C0ECE">
        <w:rPr>
          <w:rFonts w:ascii="ITC Avant Garde" w:hAnsi="ITC Avant Garde"/>
          <w:b/>
        </w:rPr>
        <w:t>Consideraciones del Instituto</w:t>
      </w:r>
    </w:p>
    <w:p w14:paraId="7103A540" w14:textId="71AB6174" w:rsidR="00732B1B" w:rsidRDefault="00732B1B" w:rsidP="00732B1B">
      <w:pPr>
        <w:spacing w:line="276" w:lineRule="auto"/>
        <w:jc w:val="both"/>
        <w:rPr>
          <w:rFonts w:ascii="ITC Avant Garde" w:hAnsi="ITC Avant Garde"/>
        </w:rPr>
      </w:pPr>
      <w:r w:rsidRPr="000266DC">
        <w:rPr>
          <w:rFonts w:ascii="ITC Avant Garde" w:hAnsi="ITC Avant Garde"/>
        </w:rPr>
        <w:t>Se modifica e</w:t>
      </w:r>
      <w:r w:rsidRPr="00181614">
        <w:rPr>
          <w:rFonts w:ascii="ITC Avant Garde" w:hAnsi="ITC Avant Garde"/>
        </w:rPr>
        <w:t>l numeral 4.4.3</w:t>
      </w:r>
      <w:r>
        <w:rPr>
          <w:rFonts w:ascii="ITC Avant Garde" w:hAnsi="ITC Avant Garde"/>
        </w:rPr>
        <w:t>.1 d</w:t>
      </w:r>
      <w:r w:rsidRPr="000266DC">
        <w:rPr>
          <w:rFonts w:ascii="ITC Avant Garde" w:hAnsi="ITC Avant Garde"/>
        </w:rPr>
        <w:t>el CMI c</w:t>
      </w:r>
      <w:r w:rsidRPr="00181614">
        <w:rPr>
          <w:rFonts w:ascii="ITC Avant Garde" w:hAnsi="ITC Avant Garde"/>
        </w:rPr>
        <w:t>on el</w:t>
      </w:r>
      <w:r w:rsidR="00C37EAB">
        <w:rPr>
          <w:rFonts w:ascii="ITC Avant Garde" w:hAnsi="ITC Avant Garde"/>
        </w:rPr>
        <w:t xml:space="preserve"> fin</w:t>
      </w:r>
      <w:r w:rsidRPr="00181614">
        <w:rPr>
          <w:rFonts w:ascii="ITC Avant Garde" w:hAnsi="ITC Avant Garde"/>
        </w:rPr>
        <w:t xml:space="preserve"> </w:t>
      </w:r>
      <w:r w:rsidRPr="000266DC">
        <w:rPr>
          <w:rFonts w:ascii="ITC Avant Garde" w:hAnsi="ITC Avant Garde"/>
        </w:rPr>
        <w:t xml:space="preserve">de precisar la posibilidad de llevar a cabo </w:t>
      </w:r>
      <w:r>
        <w:rPr>
          <w:rFonts w:ascii="ITC Avant Garde" w:hAnsi="ITC Avant Garde"/>
        </w:rPr>
        <w:t>un</w:t>
      </w:r>
      <w:r w:rsidRPr="000266DC">
        <w:rPr>
          <w:rFonts w:ascii="ITC Avant Garde" w:hAnsi="ITC Avant Garde"/>
        </w:rPr>
        <w:t xml:space="preserve"> Arreglo Amistoso de Diferencias en caso de no alcanzar un acuerdo sobre la procedencia de las objeciones de facturas</w:t>
      </w:r>
      <w:r>
        <w:rPr>
          <w:rFonts w:ascii="ITC Avant Garde" w:hAnsi="ITC Avant Garde"/>
        </w:rPr>
        <w:t xml:space="preserve">. </w:t>
      </w:r>
    </w:p>
    <w:p w14:paraId="11DF54E8" w14:textId="09F3126A" w:rsidR="00BD4265" w:rsidRDefault="009B38A4" w:rsidP="00E35817">
      <w:pPr>
        <w:pStyle w:val="IFT1"/>
        <w:tabs>
          <w:tab w:val="left" w:pos="426"/>
        </w:tabs>
        <w:spacing w:before="240" w:after="0"/>
        <w:ind w:left="567" w:right="616"/>
        <w:rPr>
          <w:bCs/>
          <w:i/>
          <w:sz w:val="18"/>
          <w:szCs w:val="18"/>
        </w:rPr>
      </w:pPr>
      <w:r>
        <w:rPr>
          <w:bCs/>
          <w:i/>
          <w:sz w:val="18"/>
          <w:szCs w:val="18"/>
        </w:rPr>
        <w:t>“</w:t>
      </w:r>
      <w:r w:rsidRPr="009B38A4">
        <w:rPr>
          <w:bCs/>
          <w:i/>
          <w:sz w:val="18"/>
          <w:szCs w:val="18"/>
        </w:rPr>
        <w:t>Si al término de los 60 (sesenta) días naturales indicados en el párrafo anterior las Partes no alcanzan un acuerdo respecto de la procedencia/improcedencia de la objeción correspondiente las Partes podrán resolverlo a través del procedimiento de Arreglo Amistoso de Diferencias previsto en el presente Convenio.</w:t>
      </w:r>
      <w:r>
        <w:rPr>
          <w:bCs/>
          <w:i/>
          <w:sz w:val="18"/>
          <w:szCs w:val="18"/>
        </w:rPr>
        <w:t>”</w:t>
      </w:r>
    </w:p>
    <w:p w14:paraId="4D1630FE" w14:textId="77777777" w:rsidR="00E35817" w:rsidRPr="00E35817" w:rsidRDefault="00E35817" w:rsidP="00E35817">
      <w:pPr>
        <w:spacing w:after="0" w:line="276" w:lineRule="auto"/>
        <w:jc w:val="both"/>
        <w:rPr>
          <w:rFonts w:ascii="ITC Avant Garde" w:hAnsi="ITC Avant Garde"/>
        </w:rPr>
      </w:pPr>
    </w:p>
    <w:p w14:paraId="72CD5AB3" w14:textId="74417737" w:rsidR="00914599" w:rsidRDefault="00914599" w:rsidP="00570E9E">
      <w:pPr>
        <w:spacing w:line="276" w:lineRule="auto"/>
        <w:jc w:val="both"/>
        <w:rPr>
          <w:rFonts w:ascii="ITC Avant Garde" w:hAnsi="ITC Avant Garde"/>
          <w:b/>
        </w:rPr>
      </w:pPr>
      <w:r w:rsidRPr="00E15EC2">
        <w:rPr>
          <w:rFonts w:ascii="ITC Avant Garde" w:hAnsi="ITC Avant Garde"/>
          <w:b/>
        </w:rPr>
        <w:t>Numeral 4.4.4.2</w:t>
      </w:r>
      <w:r w:rsidR="007D16B8" w:rsidRPr="00E15EC2">
        <w:rPr>
          <w:rFonts w:ascii="ITC Avant Garde" w:hAnsi="ITC Avant Garde"/>
          <w:b/>
        </w:rPr>
        <w:t xml:space="preserve"> Intereses Moratorios</w:t>
      </w:r>
    </w:p>
    <w:p w14:paraId="4B1D8741" w14:textId="1C4738D4" w:rsidR="00914599" w:rsidRDefault="00841E51" w:rsidP="00570E9E">
      <w:pPr>
        <w:spacing w:line="276" w:lineRule="auto"/>
        <w:jc w:val="both"/>
        <w:rPr>
          <w:rFonts w:ascii="ITC Avant Garde" w:hAnsi="ITC Avant Garde"/>
          <w:b/>
        </w:rPr>
      </w:pPr>
      <w:r w:rsidRPr="00DB121D">
        <w:rPr>
          <w:rFonts w:ascii="ITC Avant Garde" w:hAnsi="ITC Avant Garde"/>
          <w:b/>
        </w:rPr>
        <w:t xml:space="preserve">GRUPO </w:t>
      </w:r>
      <w:r w:rsidR="00914599" w:rsidRPr="00DB121D">
        <w:rPr>
          <w:rFonts w:ascii="ITC Avant Garde" w:hAnsi="ITC Avant Garde"/>
          <w:b/>
        </w:rPr>
        <w:t>TELEVISA</w:t>
      </w:r>
      <w:r w:rsidR="008771AE">
        <w:rPr>
          <w:rFonts w:ascii="ITC Avant Garde" w:hAnsi="ITC Avant Garde"/>
          <w:b/>
        </w:rPr>
        <w:t>,</w:t>
      </w:r>
      <w:r w:rsidR="00DB121D">
        <w:rPr>
          <w:rFonts w:ascii="ITC Avant Garde" w:hAnsi="ITC Avant Garde"/>
          <w:b/>
        </w:rPr>
        <w:t xml:space="preserve"> </w:t>
      </w:r>
      <w:r w:rsidR="005F126A" w:rsidRPr="00DB121D">
        <w:rPr>
          <w:rFonts w:ascii="ITC Avant Garde" w:hAnsi="ITC Avant Garde"/>
          <w:b/>
        </w:rPr>
        <w:t>A</w:t>
      </w:r>
      <w:r w:rsidR="00674C84">
        <w:rPr>
          <w:rFonts w:ascii="ITC Avant Garde" w:hAnsi="ITC Avant Garde"/>
          <w:b/>
        </w:rPr>
        <w:t>XTEL</w:t>
      </w:r>
      <w:r w:rsidR="008771AE">
        <w:rPr>
          <w:rFonts w:ascii="ITC Avant Garde" w:hAnsi="ITC Avant Garde"/>
          <w:b/>
        </w:rPr>
        <w:t xml:space="preserve">, </w:t>
      </w:r>
      <w:r w:rsidR="008771AE" w:rsidRPr="00DB121D">
        <w:rPr>
          <w:rFonts w:ascii="ITC Avant Garde" w:hAnsi="ITC Avant Garde"/>
          <w:b/>
        </w:rPr>
        <w:t>CANIETI</w:t>
      </w:r>
      <w:r w:rsidR="008771AE">
        <w:rPr>
          <w:rFonts w:ascii="ITC Avant Garde" w:hAnsi="ITC Avant Garde"/>
          <w:b/>
        </w:rPr>
        <w:t xml:space="preserve"> Y ALTÁN</w:t>
      </w:r>
    </w:p>
    <w:p w14:paraId="46DA96C3" w14:textId="279735E4" w:rsidR="00914599" w:rsidRDefault="00914599" w:rsidP="00674C84">
      <w:pPr>
        <w:spacing w:line="276" w:lineRule="auto"/>
        <w:jc w:val="both"/>
        <w:rPr>
          <w:rFonts w:ascii="ITC Avant Garde" w:hAnsi="ITC Avant Garde"/>
        </w:rPr>
      </w:pPr>
      <w:r w:rsidRPr="00914599">
        <w:rPr>
          <w:rFonts w:ascii="ITC Avant Garde" w:hAnsi="ITC Avant Garde"/>
        </w:rPr>
        <w:lastRenderedPageBreak/>
        <w:t>Sugieren mantener la redacción del CMI vigente, ya que es práctica de la industria en diversos convenios que la tasa anual sea igual a la TIIE</w:t>
      </w:r>
      <w:r w:rsidR="008E2B2F">
        <w:rPr>
          <w:rFonts w:ascii="ITC Avant Garde" w:hAnsi="ITC Avant Garde"/>
        </w:rPr>
        <w:t xml:space="preserve"> </w:t>
      </w:r>
      <w:r w:rsidR="008E2B2F">
        <w:rPr>
          <w:rFonts w:ascii="ITC Avant Garde" w:eastAsia="Avant Garde" w:hAnsi="ITC Avant Garde" w:cs="Avant Garde"/>
          <w:color w:val="000000"/>
          <w:lang w:eastAsia="es-MX"/>
        </w:rPr>
        <w:t>(Tasa de Interés Interbancaria de Equilibrio)</w:t>
      </w:r>
      <w:r w:rsidRPr="00914599">
        <w:rPr>
          <w:rFonts w:ascii="ITC Avant Garde" w:hAnsi="ITC Avant Garde"/>
        </w:rPr>
        <w:t xml:space="preserve">.  </w:t>
      </w:r>
    </w:p>
    <w:p w14:paraId="4AD6A1FD" w14:textId="77777777" w:rsidR="00914599" w:rsidRDefault="00914599" w:rsidP="00570E9E">
      <w:pPr>
        <w:spacing w:line="276" w:lineRule="auto"/>
        <w:jc w:val="both"/>
        <w:rPr>
          <w:rFonts w:ascii="ITC Avant Garde" w:hAnsi="ITC Avant Garde"/>
          <w:b/>
        </w:rPr>
      </w:pPr>
      <w:r w:rsidRPr="008C0ECE">
        <w:rPr>
          <w:rFonts w:ascii="ITC Avant Garde" w:hAnsi="ITC Avant Garde"/>
          <w:b/>
        </w:rPr>
        <w:t>Consideraciones del Instituto</w:t>
      </w:r>
    </w:p>
    <w:p w14:paraId="27113703" w14:textId="510D9274" w:rsidR="00281573" w:rsidRPr="00E16359" w:rsidRDefault="00467F19" w:rsidP="00281573">
      <w:pPr>
        <w:spacing w:line="276" w:lineRule="auto"/>
        <w:jc w:val="both"/>
        <w:rPr>
          <w:shd w:val="clear" w:color="auto" w:fill="FFFFFF"/>
        </w:rPr>
      </w:pPr>
      <w:r w:rsidRPr="00281573">
        <w:rPr>
          <w:rFonts w:ascii="ITC Avant Garde" w:hAnsi="ITC Avant Garde"/>
        </w:rPr>
        <w:t>Se modifica el numeral en comento, señalando que la tas</w:t>
      </w:r>
      <w:r w:rsidR="009B38A4">
        <w:rPr>
          <w:rFonts w:ascii="ITC Avant Garde" w:hAnsi="ITC Avant Garde"/>
        </w:rPr>
        <w:t>a anual aplicable será la TIIE</w:t>
      </w:r>
      <w:r w:rsidR="004512CB">
        <w:rPr>
          <w:rFonts w:ascii="ITC Avant Garde" w:hAnsi="ITC Avant Garde"/>
        </w:rPr>
        <w:t xml:space="preserve">, </w:t>
      </w:r>
      <w:r w:rsidR="00281573">
        <w:rPr>
          <w:rFonts w:ascii="ITC Avant Garde" w:hAnsi="ITC Avant Garde"/>
        </w:rPr>
        <w:t>conforme a lo</w:t>
      </w:r>
      <w:r w:rsidR="00281573" w:rsidRPr="00E16359">
        <w:rPr>
          <w:rFonts w:ascii="ITC Avant Garde" w:hAnsi="ITC Avant Garde"/>
        </w:rPr>
        <w:t xml:space="preserve"> siguiente:</w:t>
      </w:r>
    </w:p>
    <w:p w14:paraId="5A78283C" w14:textId="77777777" w:rsidR="00281573" w:rsidRDefault="00281573" w:rsidP="00281573">
      <w:pPr>
        <w:autoSpaceDE w:val="0"/>
        <w:autoSpaceDN w:val="0"/>
        <w:adjustRightInd w:val="0"/>
        <w:spacing w:line="276" w:lineRule="auto"/>
        <w:ind w:left="567" w:right="565"/>
        <w:jc w:val="both"/>
        <w:rPr>
          <w:rFonts w:ascii="ITC Avant Garde" w:hAnsi="ITC Avant Garde"/>
          <w:i/>
          <w:sz w:val="18"/>
        </w:rPr>
      </w:pPr>
      <w:r w:rsidRPr="00E16359">
        <w:rPr>
          <w:rFonts w:ascii="ITC Avant Garde" w:hAnsi="ITC Avant Garde"/>
          <w:b/>
          <w:i/>
          <w:sz w:val="18"/>
          <w:u w:val="single"/>
        </w:rPr>
        <w:t>“</w:t>
      </w:r>
      <w:r w:rsidR="00C65065">
        <w:rPr>
          <w:rFonts w:ascii="ITC Avant Garde" w:hAnsi="ITC Avant Garde"/>
          <w:b/>
          <w:i/>
          <w:sz w:val="18"/>
          <w:u w:val="single"/>
        </w:rPr>
        <w:t>4.4.4.2</w:t>
      </w:r>
      <w:r w:rsidR="00C65065">
        <w:rPr>
          <w:rFonts w:ascii="ITC Avant Garde" w:hAnsi="ITC Avant Garde"/>
          <w:i/>
          <w:sz w:val="18"/>
        </w:rPr>
        <w:t>.- (…)</w:t>
      </w:r>
    </w:p>
    <w:p w14:paraId="4EAC5DD6" w14:textId="77777777" w:rsidR="00281573" w:rsidRPr="00471470" w:rsidRDefault="00C65065" w:rsidP="00281573">
      <w:pPr>
        <w:autoSpaceDE w:val="0"/>
        <w:autoSpaceDN w:val="0"/>
        <w:adjustRightInd w:val="0"/>
        <w:spacing w:line="276" w:lineRule="auto"/>
        <w:ind w:left="567" w:right="565"/>
        <w:jc w:val="both"/>
        <w:rPr>
          <w:rFonts w:ascii="ITC Avant Garde" w:hAnsi="ITC Avant Garde"/>
          <w:i/>
          <w:sz w:val="18"/>
        </w:rPr>
      </w:pPr>
      <w:r w:rsidRPr="003B4AF7">
        <w:rPr>
          <w:rFonts w:ascii="ITC Avant Garde" w:hAnsi="ITC Avant Garde"/>
          <w:i/>
          <w:sz w:val="18"/>
          <w:szCs w:val="18"/>
        </w:rPr>
        <w:t xml:space="preserve">En ambos casos, la Parte que incumplió pagará en adición a dichas contraprestaciones </w:t>
      </w:r>
      <w:r>
        <w:rPr>
          <w:rFonts w:ascii="ITC Avant Garde" w:hAnsi="ITC Avant Garde"/>
          <w:i/>
          <w:sz w:val="18"/>
          <w:szCs w:val="18"/>
        </w:rPr>
        <w:t xml:space="preserve">o reembolsos, en su caso, </w:t>
      </w:r>
      <w:r w:rsidRPr="003B4AF7">
        <w:rPr>
          <w:rFonts w:ascii="ITC Avant Garde" w:hAnsi="ITC Avant Garde"/>
          <w:i/>
          <w:sz w:val="18"/>
          <w:szCs w:val="18"/>
        </w:rPr>
        <w:t>y desde la fecha de vencimiento de las contraprestaciones</w:t>
      </w:r>
      <w:r>
        <w:rPr>
          <w:rFonts w:ascii="ITC Avant Garde" w:hAnsi="ITC Avant Garde"/>
          <w:i/>
          <w:sz w:val="18"/>
          <w:szCs w:val="18"/>
        </w:rPr>
        <w:t xml:space="preserve"> o reembolsos</w:t>
      </w:r>
      <w:r w:rsidRPr="003B4AF7">
        <w:rPr>
          <w:rFonts w:ascii="ITC Avant Garde" w:hAnsi="ITC Avant Garde"/>
          <w:i/>
          <w:sz w:val="18"/>
          <w:szCs w:val="18"/>
        </w:rPr>
        <w:t xml:space="preserve">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r w:rsidR="00281573" w:rsidRPr="00471470">
        <w:rPr>
          <w:rFonts w:ascii="ITC Avant Garde" w:hAnsi="ITC Avant Garde"/>
          <w:i/>
          <w:sz w:val="18"/>
        </w:rPr>
        <w:t>.</w:t>
      </w:r>
    </w:p>
    <w:p w14:paraId="10CA0D7B" w14:textId="2DEDC07F" w:rsidR="00467F19" w:rsidRDefault="00281573" w:rsidP="00D64439">
      <w:pPr>
        <w:autoSpaceDE w:val="0"/>
        <w:autoSpaceDN w:val="0"/>
        <w:adjustRightInd w:val="0"/>
        <w:spacing w:after="0" w:line="276" w:lineRule="auto"/>
        <w:ind w:left="567" w:right="567"/>
        <w:jc w:val="both"/>
        <w:rPr>
          <w:lang w:eastAsia="es-MX"/>
        </w:rPr>
      </w:pPr>
      <w:r w:rsidRPr="00471470">
        <w:rPr>
          <w:rFonts w:ascii="ITC Avant Garde" w:hAnsi="ITC Avant Garde"/>
          <w:i/>
          <w:sz w:val="18"/>
          <w:u w:val="single"/>
        </w:rPr>
        <w:t>(</w:t>
      </w:r>
      <w:r>
        <w:rPr>
          <w:rFonts w:ascii="ITC Avant Garde" w:hAnsi="ITC Avant Garde"/>
          <w:i/>
          <w:sz w:val="18"/>
        </w:rPr>
        <w:t>…)”</w:t>
      </w:r>
    </w:p>
    <w:p w14:paraId="3273ECEB" w14:textId="77777777" w:rsidR="00467F19" w:rsidRPr="00143D44" w:rsidRDefault="00467F19" w:rsidP="00467F19">
      <w:pPr>
        <w:pStyle w:val="IFT1"/>
        <w:tabs>
          <w:tab w:val="left" w:pos="426"/>
        </w:tabs>
        <w:spacing w:after="0"/>
        <w:rPr>
          <w:rFonts w:eastAsiaTheme="minorHAnsi" w:cstheme="minorBidi"/>
        </w:rPr>
      </w:pPr>
    </w:p>
    <w:p w14:paraId="6115E58B" w14:textId="77777777" w:rsidR="00EE275E" w:rsidRDefault="00EE275E" w:rsidP="00EE275E">
      <w:pPr>
        <w:spacing w:line="276" w:lineRule="auto"/>
        <w:jc w:val="both"/>
        <w:rPr>
          <w:rFonts w:ascii="ITC Avant Garde" w:hAnsi="ITC Avant Garde"/>
          <w:b/>
        </w:rPr>
      </w:pPr>
      <w:r>
        <w:rPr>
          <w:rFonts w:ascii="ITC Avant Garde" w:hAnsi="ITC Avant Garde"/>
          <w:b/>
        </w:rPr>
        <w:t>Numeral 4.4.5</w:t>
      </w:r>
    </w:p>
    <w:p w14:paraId="2013EF4C" w14:textId="73180A84" w:rsidR="00EE275E" w:rsidRDefault="00841E51" w:rsidP="00570E9E">
      <w:pPr>
        <w:spacing w:line="276" w:lineRule="auto"/>
        <w:jc w:val="both"/>
        <w:rPr>
          <w:rFonts w:ascii="ITC Avant Garde" w:hAnsi="ITC Avant Garde"/>
          <w:b/>
        </w:rPr>
      </w:pPr>
      <w:r w:rsidRPr="005B4C74">
        <w:rPr>
          <w:rFonts w:ascii="ITC Avant Garde" w:hAnsi="ITC Avant Garde"/>
          <w:b/>
        </w:rPr>
        <w:t xml:space="preserve">GRUPO </w:t>
      </w:r>
      <w:r w:rsidR="00EE275E" w:rsidRPr="005B4C74">
        <w:rPr>
          <w:rFonts w:ascii="ITC Avant Garde" w:hAnsi="ITC Avant Garde"/>
          <w:b/>
        </w:rPr>
        <w:t>TELEVISA</w:t>
      </w:r>
    </w:p>
    <w:p w14:paraId="37CFFC5E" w14:textId="77777777" w:rsidR="00F35870" w:rsidRPr="00F35870" w:rsidRDefault="00F35870" w:rsidP="00F35870">
      <w:pPr>
        <w:spacing w:line="276" w:lineRule="auto"/>
        <w:jc w:val="both"/>
        <w:rPr>
          <w:rFonts w:ascii="ITC Avant Garde" w:hAnsi="ITC Avant Garde"/>
        </w:rPr>
      </w:pPr>
      <w:r w:rsidRPr="00F35870">
        <w:rPr>
          <w:rFonts w:ascii="ITC Avant Garde" w:hAnsi="ITC Avant Garde"/>
        </w:rPr>
        <w:t xml:space="preserve">Señalan que se debe incluir un tercer párrafo que establezca lo siguiente: </w:t>
      </w:r>
    </w:p>
    <w:p w14:paraId="4111801C" w14:textId="77777777" w:rsidR="00F35870" w:rsidRDefault="00F35870" w:rsidP="00F35870">
      <w:pPr>
        <w:spacing w:line="276" w:lineRule="auto"/>
        <w:ind w:left="629" w:right="556" w:hanging="11"/>
        <w:jc w:val="both"/>
        <w:rPr>
          <w:rFonts w:ascii="ITC Avant Garde" w:hAnsi="ITC Avant Garde"/>
          <w:i/>
          <w:sz w:val="18"/>
          <w:szCs w:val="18"/>
        </w:rPr>
      </w:pPr>
      <w:r w:rsidRPr="00F35870">
        <w:rPr>
          <w:rFonts w:ascii="ITC Avant Garde" w:hAnsi="ITC Avant Garde"/>
        </w:rPr>
        <w:t>“</w:t>
      </w:r>
      <w:r w:rsidRPr="00F35870">
        <w:rPr>
          <w:rFonts w:ascii="ITC Avant Garde" w:hAnsi="ITC Avant Garde"/>
          <w:i/>
          <w:sz w:val="18"/>
          <w:szCs w:val="18"/>
        </w:rPr>
        <w:t>En caso de pagos en exceso realizado por la parte receptora no aplicará el pago de intereses a que hace referencia el párrafo anterior”</w:t>
      </w:r>
    </w:p>
    <w:p w14:paraId="576C8378" w14:textId="77777777" w:rsidR="00F35870" w:rsidRDefault="00F35870" w:rsidP="00F35870">
      <w:pPr>
        <w:spacing w:line="276" w:lineRule="auto"/>
        <w:ind w:right="556"/>
        <w:jc w:val="both"/>
        <w:rPr>
          <w:rFonts w:ascii="ITC Avant Garde" w:hAnsi="ITC Avant Garde"/>
          <w:b/>
        </w:rPr>
      </w:pPr>
      <w:r w:rsidRPr="008C0ECE">
        <w:rPr>
          <w:rFonts w:ascii="ITC Avant Garde" w:hAnsi="ITC Avant Garde"/>
          <w:b/>
        </w:rPr>
        <w:t>Consideraciones del Instituto</w:t>
      </w:r>
    </w:p>
    <w:p w14:paraId="78FC6F80" w14:textId="4F1D4586" w:rsidR="00F35870" w:rsidRDefault="009862B7" w:rsidP="003131E2">
      <w:pPr>
        <w:spacing w:line="276" w:lineRule="auto"/>
        <w:jc w:val="both"/>
        <w:rPr>
          <w:rFonts w:ascii="ITC Avant Garde" w:hAnsi="ITC Avant Garde"/>
        </w:rPr>
      </w:pPr>
      <w:r>
        <w:rPr>
          <w:rFonts w:ascii="ITC Avant Garde" w:hAnsi="ITC Avant Garde"/>
        </w:rPr>
        <w:t>El pago de intereses por el retraso en la devolución de pagos recibidos en exceso se aplican intereses ordinarios conforme a los días transcurridos para su devolución, esto con el fin de incentivar la rápida devolución de pagos recibidos en exceso por lo que se considera necesario el pago de dichos intereses.</w:t>
      </w:r>
      <w:r w:rsidR="008F3180">
        <w:rPr>
          <w:rFonts w:ascii="ITC Avant Garde" w:hAnsi="ITC Avant Garde"/>
        </w:rPr>
        <w:t xml:space="preserve"> </w:t>
      </w:r>
      <w:r w:rsidR="00264732">
        <w:rPr>
          <w:rFonts w:ascii="ITC Avant Garde" w:hAnsi="ITC Avant Garde"/>
        </w:rPr>
        <w:t>Además,</w:t>
      </w:r>
      <w:r w:rsidR="008F3180">
        <w:rPr>
          <w:rFonts w:ascii="ITC Avant Garde" w:hAnsi="ITC Avant Garde"/>
        </w:rPr>
        <w:t xml:space="preserve"> la propuesta de Grupo Televisa se contrapone a lo establecido en el párrafo anterior.</w:t>
      </w:r>
    </w:p>
    <w:p w14:paraId="03423D81" w14:textId="2A9EBDCC" w:rsidR="003A3B72" w:rsidRPr="00143D44" w:rsidRDefault="0021640A" w:rsidP="00D64439">
      <w:pPr>
        <w:spacing w:line="276" w:lineRule="auto"/>
        <w:jc w:val="both"/>
      </w:pPr>
      <w:r w:rsidRPr="00220565">
        <w:rPr>
          <w:rFonts w:ascii="ITC Avant Garde" w:hAnsi="ITC Avant Garde"/>
          <w:b/>
          <w:u w:val="single"/>
        </w:rPr>
        <w:t>Cláu</w:t>
      </w:r>
      <w:r>
        <w:rPr>
          <w:rFonts w:ascii="ITC Avant Garde" w:hAnsi="ITC Avant Garde"/>
          <w:b/>
          <w:u w:val="single"/>
        </w:rPr>
        <w:t>sula Quinta. Aspectos Técnicos.</w:t>
      </w:r>
    </w:p>
    <w:p w14:paraId="3135A275" w14:textId="70165200" w:rsidR="00A46B93" w:rsidRDefault="0070599E" w:rsidP="0021640A">
      <w:pPr>
        <w:spacing w:line="276" w:lineRule="auto"/>
        <w:jc w:val="both"/>
        <w:rPr>
          <w:rFonts w:ascii="ITC Avant Garde" w:hAnsi="ITC Avant Garde"/>
          <w:b/>
        </w:rPr>
      </w:pPr>
      <w:r>
        <w:rPr>
          <w:rFonts w:ascii="ITC Avant Garde" w:hAnsi="ITC Avant Garde"/>
          <w:b/>
        </w:rPr>
        <w:t xml:space="preserve">GRUPO TELEVISA, </w:t>
      </w:r>
      <w:r w:rsidR="00A46B93">
        <w:rPr>
          <w:rFonts w:ascii="ITC Avant Garde" w:hAnsi="ITC Avant Garde"/>
          <w:b/>
        </w:rPr>
        <w:t>MEGA CABLE</w:t>
      </w:r>
      <w:r>
        <w:rPr>
          <w:rFonts w:ascii="ITC Avant Garde" w:hAnsi="ITC Avant Garde"/>
          <w:b/>
        </w:rPr>
        <w:t xml:space="preserve">, </w:t>
      </w:r>
      <w:r w:rsidR="00A36BB2">
        <w:rPr>
          <w:rFonts w:ascii="ITC Avant Garde" w:hAnsi="ITC Avant Garde"/>
          <w:b/>
        </w:rPr>
        <w:t>CANIETI Y</w:t>
      </w:r>
      <w:r w:rsidR="00A46B93">
        <w:rPr>
          <w:rFonts w:ascii="ITC Avant Garde" w:hAnsi="ITC Avant Garde"/>
          <w:b/>
        </w:rPr>
        <w:t xml:space="preserve"> </w:t>
      </w:r>
      <w:r>
        <w:rPr>
          <w:rFonts w:ascii="ITC Avant Garde" w:hAnsi="ITC Avant Garde"/>
          <w:b/>
        </w:rPr>
        <w:t>ALTÁN</w:t>
      </w:r>
    </w:p>
    <w:p w14:paraId="3CE166CD" w14:textId="7F95CF10" w:rsidR="00A46B93" w:rsidRDefault="00A46B93" w:rsidP="0021640A">
      <w:pPr>
        <w:spacing w:line="276" w:lineRule="auto"/>
        <w:jc w:val="both"/>
        <w:rPr>
          <w:rFonts w:ascii="ITC Avant Garde" w:hAnsi="ITC Avant Garde"/>
          <w:b/>
        </w:rPr>
      </w:pPr>
      <w:r>
        <w:rPr>
          <w:rFonts w:ascii="ITC Avant Garde" w:hAnsi="ITC Avant Garde"/>
          <w:b/>
        </w:rPr>
        <w:t xml:space="preserve">Numeral 5.3 </w:t>
      </w:r>
      <w:r w:rsidRPr="00A46B93">
        <w:rPr>
          <w:rFonts w:ascii="ITC Avant Garde" w:hAnsi="ITC Avant Garde"/>
          <w:b/>
        </w:rPr>
        <w:t>INTERCONEXIÓN ENTRE OTROS CONCESIONARIOS.</w:t>
      </w:r>
    </w:p>
    <w:p w14:paraId="5802B60C" w14:textId="5F5F223C" w:rsidR="00A36BB2" w:rsidRDefault="00A36BB2" w:rsidP="0021640A">
      <w:pPr>
        <w:spacing w:line="276" w:lineRule="auto"/>
        <w:jc w:val="both"/>
        <w:rPr>
          <w:rFonts w:ascii="ITC Avant Garde" w:hAnsi="ITC Avant Garde"/>
        </w:rPr>
      </w:pPr>
      <w:r>
        <w:rPr>
          <w:rFonts w:ascii="ITC Avant Garde" w:hAnsi="ITC Avant Garde"/>
        </w:rPr>
        <w:t>CANIETI solicita que se especifique que el servicio de Interconexión Cruzada será proporcionado por Red Última Milla.</w:t>
      </w:r>
    </w:p>
    <w:p w14:paraId="4158A94E" w14:textId="065F8455" w:rsidR="00A46B93" w:rsidRPr="00A46B93" w:rsidRDefault="00264732" w:rsidP="0021640A">
      <w:pPr>
        <w:spacing w:line="276" w:lineRule="auto"/>
        <w:jc w:val="both"/>
        <w:rPr>
          <w:rFonts w:ascii="ITC Avant Garde" w:hAnsi="ITC Avant Garde"/>
        </w:rPr>
      </w:pPr>
      <w:r>
        <w:rPr>
          <w:rFonts w:ascii="ITC Avant Garde" w:hAnsi="ITC Avant Garde"/>
        </w:rPr>
        <w:t xml:space="preserve">Grupo Televisa menciona que, en el numeral 5.3 se </w:t>
      </w:r>
      <w:r w:rsidR="00626D48">
        <w:rPr>
          <w:rFonts w:ascii="ITC Avant Garde" w:hAnsi="ITC Avant Garde"/>
        </w:rPr>
        <w:t xml:space="preserve">señala que </w:t>
      </w:r>
      <w:r w:rsidR="00A46B93" w:rsidRPr="00A46B93">
        <w:rPr>
          <w:rFonts w:ascii="ITC Avant Garde" w:hAnsi="ITC Avant Garde"/>
        </w:rPr>
        <w:t xml:space="preserve">el servicio será proporcionado por un tercero, </w:t>
      </w:r>
      <w:r w:rsidR="00626D48">
        <w:rPr>
          <w:rFonts w:ascii="ITC Avant Garde" w:hAnsi="ITC Avant Garde"/>
        </w:rPr>
        <w:t>dicha</w:t>
      </w:r>
      <w:r w:rsidR="00A46B93" w:rsidRPr="00A46B93">
        <w:rPr>
          <w:rFonts w:ascii="ITC Avant Garde" w:hAnsi="ITC Avant Garde"/>
        </w:rPr>
        <w:t xml:space="preserve"> redacción da incertidumbre jurídica al no especificar quien es el que proporcionará el servicio</w:t>
      </w:r>
      <w:r w:rsidR="00626D48">
        <w:rPr>
          <w:rFonts w:ascii="ITC Avant Garde" w:hAnsi="ITC Avant Garde"/>
        </w:rPr>
        <w:t>,</w:t>
      </w:r>
      <w:r w:rsidR="00A46B93" w:rsidRPr="00A46B93">
        <w:rPr>
          <w:rFonts w:ascii="ITC Avant Garde" w:hAnsi="ITC Avant Garde"/>
        </w:rPr>
        <w:t xml:space="preserve"> </w:t>
      </w:r>
      <w:r w:rsidR="00626D48">
        <w:rPr>
          <w:rFonts w:ascii="ITC Avant Garde" w:hAnsi="ITC Avant Garde"/>
        </w:rPr>
        <w:t>s</w:t>
      </w:r>
      <w:r w:rsidR="00A46B93" w:rsidRPr="00A46B93">
        <w:rPr>
          <w:rFonts w:ascii="ITC Avant Garde" w:hAnsi="ITC Avant Garde"/>
        </w:rPr>
        <w:t xml:space="preserve">i es el caso de que sea una de </w:t>
      </w:r>
      <w:r w:rsidR="00A46B93" w:rsidRPr="00A46B93">
        <w:rPr>
          <w:rFonts w:ascii="ITC Avant Garde" w:hAnsi="ITC Avant Garde"/>
        </w:rPr>
        <w:lastRenderedPageBreak/>
        <w:t>las nuevas empresas del AEP que entraron en vigor con la separación funcional, se debe de especificar.</w:t>
      </w:r>
    </w:p>
    <w:p w14:paraId="6ED905AD" w14:textId="1FD4F30D" w:rsidR="00A46B93" w:rsidRPr="00A46B93" w:rsidRDefault="00626D48" w:rsidP="0021640A">
      <w:pPr>
        <w:spacing w:line="276" w:lineRule="auto"/>
        <w:jc w:val="both"/>
        <w:rPr>
          <w:rFonts w:ascii="ITC Avant Garde" w:hAnsi="ITC Avant Garde"/>
        </w:rPr>
      </w:pPr>
      <w:r>
        <w:rPr>
          <w:rFonts w:ascii="ITC Avant Garde" w:hAnsi="ITC Avant Garde"/>
        </w:rPr>
        <w:t>Asimismo en</w:t>
      </w:r>
      <w:r w:rsidR="00A46B93" w:rsidRPr="00A46B93">
        <w:rPr>
          <w:rFonts w:ascii="ITC Avant Garde" w:hAnsi="ITC Avant Garde"/>
        </w:rPr>
        <w:t xml:space="preserve"> </w:t>
      </w:r>
      <w:r>
        <w:rPr>
          <w:rFonts w:ascii="ITC Avant Garde" w:hAnsi="ITC Avant Garde"/>
        </w:rPr>
        <w:t>l</w:t>
      </w:r>
      <w:r w:rsidR="00A46B93" w:rsidRPr="00A46B93">
        <w:rPr>
          <w:rFonts w:ascii="ITC Avant Garde" w:hAnsi="ITC Avant Garde"/>
        </w:rPr>
        <w:t xml:space="preserve">a propuesta de convenio, se eliminaron anexos correspondientes a los servicios de Enlace de Transmisión de Interconexión Gestionado, y Enlace de Transmisión de Interconexión No Gestionado, </w:t>
      </w:r>
      <w:r>
        <w:rPr>
          <w:rFonts w:ascii="ITC Avant Garde" w:hAnsi="ITC Avant Garde"/>
        </w:rPr>
        <w:t>mismos que</w:t>
      </w:r>
      <w:r w:rsidR="00A46B93" w:rsidRPr="00A46B93">
        <w:rPr>
          <w:rFonts w:ascii="ITC Avant Garde" w:hAnsi="ITC Avant Garde"/>
        </w:rPr>
        <w:t xml:space="preserve"> considera</w:t>
      </w:r>
      <w:r>
        <w:rPr>
          <w:rFonts w:ascii="ITC Avant Garde" w:hAnsi="ITC Avant Garde"/>
        </w:rPr>
        <w:t>n</w:t>
      </w:r>
      <w:r w:rsidR="00A46B93" w:rsidRPr="00A46B93">
        <w:rPr>
          <w:rFonts w:ascii="ITC Avant Garde" w:hAnsi="ITC Avant Garde"/>
        </w:rPr>
        <w:t xml:space="preserve"> que no pueden ser eliminados, ya que en la actualidad se tiene la contratación de estos servicios con el AEP, por lo que se tiene que responsabilizar por la prestación de estos servicios, y de ser el caso de que se proporcione por un tercero, que se especifique </w:t>
      </w:r>
      <w:r w:rsidR="00070F24">
        <w:rPr>
          <w:rFonts w:ascii="ITC Avant Garde" w:hAnsi="ITC Avant Garde"/>
        </w:rPr>
        <w:t>q</w:t>
      </w:r>
      <w:r w:rsidR="00A46B93" w:rsidRPr="00A46B93">
        <w:rPr>
          <w:rFonts w:ascii="ITC Avant Garde" w:hAnsi="ITC Avant Garde"/>
        </w:rPr>
        <w:t>uién es, y que se respetarán los términos y condiciones ya pactados con el AEP.</w:t>
      </w:r>
    </w:p>
    <w:p w14:paraId="7F3877C8" w14:textId="3D898B04" w:rsidR="00A46B93" w:rsidRDefault="00A46B93" w:rsidP="0021640A">
      <w:pPr>
        <w:spacing w:line="276" w:lineRule="auto"/>
        <w:jc w:val="both"/>
        <w:rPr>
          <w:rFonts w:ascii="ITC Avant Garde" w:hAnsi="ITC Avant Garde"/>
          <w:b/>
        </w:rPr>
      </w:pPr>
      <w:r w:rsidRPr="00A46B93">
        <w:rPr>
          <w:rFonts w:ascii="ITC Avant Garde" w:hAnsi="ITC Avant Garde"/>
          <w:b/>
        </w:rPr>
        <w:t>Consideraciones del Instituto</w:t>
      </w:r>
    </w:p>
    <w:p w14:paraId="0989D758" w14:textId="7D535CF9" w:rsidR="00070F24" w:rsidRPr="000836F1" w:rsidRDefault="00070F24" w:rsidP="00070F24">
      <w:pPr>
        <w:spacing w:line="276" w:lineRule="auto"/>
        <w:jc w:val="both"/>
        <w:rPr>
          <w:rFonts w:ascii="ITC Avant Garde" w:hAnsi="ITC Avant Garde"/>
        </w:rPr>
      </w:pPr>
      <w:r w:rsidRPr="000266DC">
        <w:rPr>
          <w:rFonts w:ascii="ITC Avant Garde" w:hAnsi="ITC Avant Garde"/>
        </w:rPr>
        <w:t>Se modifica e</w:t>
      </w:r>
      <w:r w:rsidRPr="00181614">
        <w:rPr>
          <w:rFonts w:ascii="ITC Avant Garde" w:hAnsi="ITC Avant Garde"/>
        </w:rPr>
        <w:t xml:space="preserve">l numeral </w:t>
      </w:r>
      <w:r>
        <w:rPr>
          <w:rFonts w:ascii="ITC Avant Garde" w:hAnsi="ITC Avant Garde"/>
        </w:rPr>
        <w:t>5.</w:t>
      </w:r>
      <w:r w:rsidRPr="00181614">
        <w:rPr>
          <w:rFonts w:ascii="ITC Avant Garde" w:hAnsi="ITC Avant Garde"/>
        </w:rPr>
        <w:t>4</w:t>
      </w:r>
      <w:r>
        <w:rPr>
          <w:rFonts w:ascii="ITC Avant Garde" w:hAnsi="ITC Avant Garde"/>
        </w:rPr>
        <w:t xml:space="preserve"> d</w:t>
      </w:r>
      <w:r w:rsidRPr="000266DC">
        <w:rPr>
          <w:rFonts w:ascii="ITC Avant Garde" w:hAnsi="ITC Avant Garde"/>
        </w:rPr>
        <w:t xml:space="preserve">el CMI </w:t>
      </w:r>
      <w:r w:rsidR="00A025CB">
        <w:rPr>
          <w:rFonts w:ascii="ITC Avant Garde" w:hAnsi="ITC Avant Garde"/>
        </w:rPr>
        <w:t>precisando</w:t>
      </w:r>
      <w:r>
        <w:rPr>
          <w:rFonts w:ascii="ITC Avant Garde" w:hAnsi="ITC Avant Garde"/>
        </w:rPr>
        <w:t xml:space="preserve"> que la prestación de</w:t>
      </w:r>
      <w:r w:rsidR="00A025CB">
        <w:rPr>
          <w:rFonts w:ascii="ITC Avant Garde" w:hAnsi="ITC Avant Garde"/>
        </w:rPr>
        <w:t>l</w:t>
      </w:r>
      <w:r>
        <w:rPr>
          <w:rFonts w:ascii="ITC Avant Garde" w:hAnsi="ITC Avant Garde"/>
        </w:rPr>
        <w:t xml:space="preserve"> </w:t>
      </w:r>
      <w:r w:rsidR="00A025CB">
        <w:rPr>
          <w:rFonts w:ascii="ITC Avant Garde" w:hAnsi="ITC Avant Garde"/>
        </w:rPr>
        <w:t>servicio de</w:t>
      </w:r>
      <w:r>
        <w:rPr>
          <w:rFonts w:ascii="ITC Avant Garde" w:hAnsi="ITC Avant Garde"/>
        </w:rPr>
        <w:t xml:space="preserve"> </w:t>
      </w:r>
      <w:r w:rsidRPr="00DE15F6">
        <w:rPr>
          <w:rFonts w:ascii="ITC Avant Garde" w:hAnsi="ITC Avant Garde"/>
        </w:rPr>
        <w:t>Enlace de transmisión de Interconexión gestionado</w:t>
      </w:r>
      <w:r w:rsidR="00A025CB">
        <w:rPr>
          <w:rFonts w:ascii="ITC Avant Garde" w:hAnsi="ITC Avant Garde"/>
        </w:rPr>
        <w:t xml:space="preserve"> y no gestionado</w:t>
      </w:r>
      <w:r w:rsidRPr="00DE15F6">
        <w:rPr>
          <w:rFonts w:ascii="ITC Avant Garde" w:hAnsi="ITC Avant Garde"/>
        </w:rPr>
        <w:t xml:space="preserve"> ser</w:t>
      </w:r>
      <w:r>
        <w:rPr>
          <w:rFonts w:ascii="ITC Avant Garde" w:hAnsi="ITC Avant Garde"/>
        </w:rPr>
        <w:t>á</w:t>
      </w:r>
      <w:r w:rsidRPr="00DE15F6">
        <w:rPr>
          <w:rFonts w:ascii="ITC Avant Garde" w:hAnsi="ITC Avant Garde"/>
        </w:rPr>
        <w:t xml:space="preserve"> provisto </w:t>
      </w:r>
      <w:r w:rsidR="00A025CB">
        <w:rPr>
          <w:rFonts w:ascii="ITC Avant Garde" w:hAnsi="ITC Avant Garde"/>
        </w:rPr>
        <w:t>por Red Última Milla.</w:t>
      </w:r>
    </w:p>
    <w:p w14:paraId="3421A37E" w14:textId="579342F3" w:rsidR="00070F24" w:rsidRDefault="00070F24" w:rsidP="00070F24">
      <w:pPr>
        <w:spacing w:line="276" w:lineRule="auto"/>
        <w:jc w:val="both"/>
        <w:rPr>
          <w:rFonts w:ascii="ITC Avant Garde" w:hAnsi="ITC Avant Garde"/>
        </w:rPr>
      </w:pPr>
      <w:r>
        <w:rPr>
          <w:rFonts w:ascii="ITC Avant Garde" w:hAnsi="ITC Avant Garde"/>
        </w:rPr>
        <w:t>Respecto a</w:t>
      </w:r>
      <w:r w:rsidR="00A025CB">
        <w:rPr>
          <w:rFonts w:ascii="ITC Avant Garde" w:hAnsi="ITC Avant Garde"/>
        </w:rPr>
        <w:t>l Anexo de Enlace de Transmisión de Interconexión Gestionado, el mismo forma parte de la Oferta de Referencia de Enlaces Dedicados de RNUM</w:t>
      </w:r>
      <w:r w:rsidR="0070599E">
        <w:rPr>
          <w:rFonts w:ascii="ITC Avant Garde" w:hAnsi="ITC Avant Garde"/>
        </w:rPr>
        <w:t>.</w:t>
      </w:r>
      <w:r w:rsidR="00A025CB">
        <w:rPr>
          <w:rFonts w:ascii="ITC Avant Garde" w:hAnsi="ITC Avant Garde"/>
        </w:rPr>
        <w:t xml:space="preserve"> Finalmente, sobre que se especifique que se respetarán los términos y condiciones pactados con el AEP para la prestación de este servicio, se señala que lo correspondiente excede el alcance del CMI.</w:t>
      </w:r>
    </w:p>
    <w:p w14:paraId="35D5FBBD" w14:textId="48B6DD78" w:rsidR="00A46B93" w:rsidRDefault="00422537" w:rsidP="0021640A">
      <w:pPr>
        <w:spacing w:line="276" w:lineRule="auto"/>
        <w:jc w:val="both"/>
        <w:rPr>
          <w:rFonts w:ascii="ITC Avant Garde" w:hAnsi="ITC Avant Garde"/>
          <w:b/>
        </w:rPr>
      </w:pPr>
      <w:r>
        <w:rPr>
          <w:rFonts w:ascii="ITC Avant Garde" w:hAnsi="ITC Avant Garde"/>
          <w:b/>
        </w:rPr>
        <w:t>Numeral 5.4 Puertos de Acceso</w:t>
      </w:r>
    </w:p>
    <w:p w14:paraId="1F3E3443" w14:textId="34582D7E" w:rsidR="00364CF5" w:rsidRDefault="00364CF5" w:rsidP="0021640A">
      <w:pPr>
        <w:spacing w:line="276" w:lineRule="auto"/>
        <w:jc w:val="both"/>
        <w:rPr>
          <w:rFonts w:ascii="ITC Avant Garde" w:hAnsi="ITC Avant Garde"/>
        </w:rPr>
      </w:pPr>
      <w:r>
        <w:rPr>
          <w:rFonts w:ascii="ITC Avant Garde" w:hAnsi="ITC Avant Garde"/>
          <w:b/>
        </w:rPr>
        <w:t>TELÉFONICA</w:t>
      </w:r>
    </w:p>
    <w:p w14:paraId="3067C33D" w14:textId="77777777" w:rsidR="00364CF5" w:rsidRPr="00364CF5" w:rsidRDefault="00364CF5" w:rsidP="00364CF5">
      <w:pPr>
        <w:spacing w:line="276" w:lineRule="auto"/>
        <w:jc w:val="both"/>
        <w:rPr>
          <w:rFonts w:ascii="ITC Avant Garde" w:hAnsi="ITC Avant Garde"/>
        </w:rPr>
      </w:pPr>
      <w:r w:rsidRPr="00364CF5">
        <w:rPr>
          <w:rFonts w:ascii="ITC Avant Garde" w:hAnsi="ITC Avant Garde"/>
        </w:rPr>
        <w:t>Solicita que el primer párrafo del numeral 5.4 se modifique, ya que no es claro. Por lo cual propone la siguiente redacción.</w:t>
      </w:r>
    </w:p>
    <w:p w14:paraId="17B9BDED" w14:textId="4ABE9F98" w:rsidR="00364CF5" w:rsidRPr="00636791" w:rsidRDefault="00CF3E4C" w:rsidP="00636791">
      <w:pPr>
        <w:spacing w:line="276" w:lineRule="auto"/>
        <w:ind w:left="629" w:right="556" w:hanging="11"/>
        <w:jc w:val="both"/>
        <w:rPr>
          <w:rFonts w:ascii="ITC Avant Garde" w:hAnsi="ITC Avant Garde"/>
          <w:i/>
          <w:sz w:val="18"/>
          <w:szCs w:val="18"/>
        </w:rPr>
      </w:pPr>
      <w:r w:rsidRPr="00CF3E4C">
        <w:rPr>
          <w:rFonts w:ascii="ITC Avant Garde" w:hAnsi="ITC Avant Garde"/>
          <w:i/>
          <w:sz w:val="18"/>
          <w:szCs w:val="18"/>
        </w:rPr>
        <w:t>“…Los Puertos de Acceso que debe proporcionar Telnor deberán permitir la entrega de Tráfico de cualquier origen, de cualquier tipo (nacional, tránsito, móvil y fijo) y con terminación en cualquier destino nacional, incluyendo el tráfico que termine y</w:t>
      </w:r>
      <w:r w:rsidRPr="004C6845">
        <w:rPr>
          <w:rFonts w:ascii="ITC Avant Garde" w:hAnsi="ITC Avant Garde"/>
          <w:i/>
          <w:sz w:val="18"/>
          <w:szCs w:val="18"/>
          <w:u w:val="single"/>
        </w:rPr>
        <w:t>/o el Servicio de Tránsit</w:t>
      </w:r>
      <w:r w:rsidRPr="00CF3E4C">
        <w:rPr>
          <w:rFonts w:ascii="ITC Avant Garde" w:hAnsi="ITC Avant Garde"/>
          <w:i/>
          <w:sz w:val="18"/>
          <w:szCs w:val="18"/>
        </w:rPr>
        <w:t>o con destino en la red de Teléfonos del Noroeste, S.A. de C.V. Para clientes diferentes de Telnor la entrega se realizará mediante el Servicio de Tránsito para redes fijas y móviles…”</w:t>
      </w:r>
      <w:r>
        <w:rPr>
          <w:rFonts w:ascii="ITC Avant Garde" w:hAnsi="ITC Avant Garde"/>
          <w:i/>
          <w:sz w:val="18"/>
          <w:szCs w:val="18"/>
        </w:rPr>
        <w:t xml:space="preserve"> </w:t>
      </w:r>
    </w:p>
    <w:p w14:paraId="4BB7DA81" w14:textId="77777777" w:rsidR="00364CF5" w:rsidRPr="00364CF5" w:rsidRDefault="00364CF5" w:rsidP="00364CF5">
      <w:pPr>
        <w:spacing w:line="276" w:lineRule="auto"/>
        <w:jc w:val="both"/>
        <w:rPr>
          <w:rFonts w:ascii="ITC Avant Garde" w:hAnsi="ITC Avant Garde"/>
          <w:b/>
        </w:rPr>
      </w:pPr>
      <w:r w:rsidRPr="008C0ECE">
        <w:rPr>
          <w:rFonts w:ascii="ITC Avant Garde" w:hAnsi="ITC Avant Garde"/>
          <w:b/>
        </w:rPr>
        <w:t>Consideraciones del Instituto</w:t>
      </w:r>
    </w:p>
    <w:p w14:paraId="6EDDDBCE" w14:textId="3D411022" w:rsidR="00EB777E" w:rsidRDefault="004C6845" w:rsidP="00364CF5">
      <w:pPr>
        <w:spacing w:line="276" w:lineRule="auto"/>
        <w:jc w:val="both"/>
        <w:rPr>
          <w:rFonts w:ascii="ITC Avant Garde" w:hAnsi="ITC Avant Garde"/>
        </w:rPr>
      </w:pPr>
      <w:r>
        <w:rPr>
          <w:rFonts w:ascii="ITC Avant Garde" w:hAnsi="ITC Avant Garde"/>
        </w:rPr>
        <w:t>Telmex y</w:t>
      </w:r>
      <w:r w:rsidR="00364CF5" w:rsidRPr="00364CF5">
        <w:rPr>
          <w:rFonts w:ascii="ITC Avant Garde" w:hAnsi="ITC Avant Garde"/>
        </w:rPr>
        <w:t xml:space="preserve"> Telnor, como integrantes del AEP, se encuentran obligados a prestar el servicio de tránsito a los conc</w:t>
      </w:r>
      <w:r>
        <w:rPr>
          <w:rFonts w:ascii="ITC Avant Garde" w:hAnsi="ITC Avant Garde"/>
        </w:rPr>
        <w:t>esionarios que así lo soliciten</w:t>
      </w:r>
      <w:r w:rsidR="005F59DB">
        <w:rPr>
          <w:rFonts w:ascii="ITC Avant Garde" w:hAnsi="ITC Avant Garde"/>
        </w:rPr>
        <w:t>. S</w:t>
      </w:r>
      <w:r>
        <w:rPr>
          <w:rFonts w:ascii="ITC Avant Garde" w:hAnsi="ITC Avant Garde"/>
        </w:rPr>
        <w:t>in embargo no se entiende la pretensión de Telefónica con la precisión propuesta</w:t>
      </w:r>
      <w:r w:rsidR="005F59DB">
        <w:rPr>
          <w:rFonts w:ascii="ITC Avant Garde" w:hAnsi="ITC Avant Garde"/>
        </w:rPr>
        <w:t xml:space="preserve"> pues </w:t>
      </w:r>
      <w:r w:rsidR="003A0013">
        <w:rPr>
          <w:rFonts w:ascii="ITC Avant Garde" w:hAnsi="ITC Avant Garde"/>
        </w:rPr>
        <w:t>Telmex/Telnor</w:t>
      </w:r>
      <w:r w:rsidR="005F59DB">
        <w:rPr>
          <w:rFonts w:ascii="ITC Avant Garde" w:hAnsi="ITC Avant Garde"/>
        </w:rPr>
        <w:t xml:space="preserve"> debe prestar el servicio de tránsito para la terminación de tráfico en la red de Telnor, tal como se encuentra señalado en el numeral en comento.</w:t>
      </w:r>
    </w:p>
    <w:p w14:paraId="6840FB71" w14:textId="2C74AFDE" w:rsidR="00A96B0B" w:rsidRDefault="006A3EA1" w:rsidP="0085425A">
      <w:pPr>
        <w:spacing w:line="276" w:lineRule="auto"/>
        <w:jc w:val="both"/>
        <w:rPr>
          <w:rFonts w:ascii="ITC Avant Garde" w:hAnsi="ITC Avant Garde"/>
          <w:b/>
          <w:u w:val="single"/>
        </w:rPr>
      </w:pPr>
      <w:r w:rsidRPr="00220565">
        <w:rPr>
          <w:rFonts w:ascii="ITC Avant Garde" w:hAnsi="ITC Avant Garde"/>
          <w:b/>
          <w:u w:val="single"/>
        </w:rPr>
        <w:t>Cláu</w:t>
      </w:r>
      <w:r>
        <w:rPr>
          <w:rFonts w:ascii="ITC Avant Garde" w:hAnsi="ITC Avant Garde"/>
          <w:b/>
          <w:u w:val="single"/>
        </w:rPr>
        <w:t>sula Décimo N</w:t>
      </w:r>
      <w:r w:rsidR="0085425A">
        <w:rPr>
          <w:rFonts w:ascii="ITC Avant Garde" w:hAnsi="ITC Avant Garde"/>
          <w:b/>
          <w:u w:val="single"/>
        </w:rPr>
        <w:t>ovena. Condiciones Resolutorias</w:t>
      </w:r>
    </w:p>
    <w:p w14:paraId="63451245" w14:textId="6BDAC4F2" w:rsidR="00E964FA" w:rsidRDefault="0059247D" w:rsidP="00E964FA">
      <w:pPr>
        <w:autoSpaceDE w:val="0"/>
        <w:autoSpaceDN w:val="0"/>
        <w:adjustRightInd w:val="0"/>
        <w:spacing w:line="240" w:lineRule="exact"/>
        <w:jc w:val="both"/>
        <w:rPr>
          <w:rFonts w:ascii="ITC Avant Garde" w:hAnsi="ITC Avant Garde"/>
          <w:b/>
        </w:rPr>
      </w:pPr>
      <w:r>
        <w:rPr>
          <w:rFonts w:ascii="ITC Avant Garde" w:hAnsi="ITC Avant Garde"/>
          <w:b/>
        </w:rPr>
        <w:t xml:space="preserve">TELÉFONICA </w:t>
      </w:r>
    </w:p>
    <w:p w14:paraId="39116DDF" w14:textId="42A6B3F4" w:rsidR="00630131" w:rsidRPr="00D64439" w:rsidRDefault="00706841" w:rsidP="00297F30">
      <w:pPr>
        <w:spacing w:after="0" w:line="276" w:lineRule="auto"/>
        <w:jc w:val="both"/>
        <w:rPr>
          <w:rFonts w:ascii="ITC Avant Garde" w:hAnsi="ITC Avant Garde"/>
        </w:rPr>
      </w:pPr>
      <w:r>
        <w:rPr>
          <w:rFonts w:ascii="ITC Avant Garde" w:hAnsi="ITC Avant Garde"/>
        </w:rPr>
        <w:lastRenderedPageBreak/>
        <w:t xml:space="preserve">Solicita </w:t>
      </w:r>
      <w:r w:rsidR="00707B8C" w:rsidRPr="00707B8C">
        <w:rPr>
          <w:rFonts w:ascii="ITC Avant Garde" w:hAnsi="ITC Avant Garde"/>
        </w:rPr>
        <w:t xml:space="preserve">la eliminación de cláusula por las siguientes razones: </w:t>
      </w:r>
      <w:r w:rsidR="00333A4D">
        <w:rPr>
          <w:rFonts w:ascii="ITC Avant Garde" w:hAnsi="ITC Avant Garde"/>
        </w:rPr>
        <w:t>i) establecen que las Partes están de acuerdo con el CMI mientras el AEP tenga tal carácter, sin embargo, la misma pretende hacer caer en el error a los concesionarios para aceptar reservas de derechos que en nada se relacionan con ellos; ii) pretenden vincular a los concesionarios simulando un acuerdo de voluntades, por lo que no debe establecerse como cláusula sino como apartado de declaraciones de Telmex</w:t>
      </w:r>
      <w:r>
        <w:rPr>
          <w:rFonts w:ascii="ITC Avant Garde" w:hAnsi="ITC Avant Garde"/>
        </w:rPr>
        <w:t>/Tenor</w:t>
      </w:r>
      <w:r w:rsidR="00333A4D">
        <w:rPr>
          <w:rFonts w:ascii="ITC Avant Garde" w:hAnsi="ITC Avant Garde"/>
        </w:rPr>
        <w:t>.</w:t>
      </w:r>
    </w:p>
    <w:p w14:paraId="7EA03ADD" w14:textId="77777777" w:rsidR="00630131" w:rsidRPr="00D64439" w:rsidRDefault="00630131" w:rsidP="00D64439">
      <w:pPr>
        <w:spacing w:after="0" w:line="240" w:lineRule="auto"/>
        <w:jc w:val="both"/>
        <w:rPr>
          <w:rFonts w:ascii="ITC Avant Garde" w:hAnsi="ITC Avant Garde"/>
        </w:rPr>
      </w:pPr>
    </w:p>
    <w:p w14:paraId="22E8C4D1" w14:textId="77777777" w:rsidR="00675790" w:rsidRPr="00E16359" w:rsidRDefault="00675790" w:rsidP="00675790">
      <w:pPr>
        <w:autoSpaceDE w:val="0"/>
        <w:autoSpaceDN w:val="0"/>
        <w:adjustRightInd w:val="0"/>
        <w:spacing w:line="240" w:lineRule="exact"/>
        <w:jc w:val="both"/>
        <w:rPr>
          <w:rFonts w:ascii="ITC Avant Garde" w:hAnsi="ITC Avant Garde"/>
          <w:b/>
        </w:rPr>
      </w:pPr>
      <w:r w:rsidRPr="00E16359">
        <w:rPr>
          <w:rFonts w:ascii="ITC Avant Garde" w:hAnsi="ITC Avant Garde"/>
          <w:b/>
        </w:rPr>
        <w:t>GRUPO TELEVISA</w:t>
      </w:r>
    </w:p>
    <w:p w14:paraId="56D33940" w14:textId="2188D2F0" w:rsidR="00675790" w:rsidRPr="00707B8C" w:rsidRDefault="00675790" w:rsidP="00297F30">
      <w:pPr>
        <w:autoSpaceDE w:val="0"/>
        <w:autoSpaceDN w:val="0"/>
        <w:adjustRightInd w:val="0"/>
        <w:spacing w:line="276" w:lineRule="auto"/>
        <w:jc w:val="both"/>
        <w:rPr>
          <w:rFonts w:ascii="ITC Avant Garde" w:hAnsi="ITC Avant Garde"/>
        </w:rPr>
      </w:pPr>
      <w:r w:rsidRPr="00E16359">
        <w:rPr>
          <w:rFonts w:ascii="ITC Avant Garde" w:hAnsi="ITC Avant Garde"/>
        </w:rPr>
        <w:t>Solicitó eliminar la Cláusula Decimonovena y toda referencia dentro del texto en el Convenio donde se mencione que, en caso de que el AEP dejará de serlo, el Instituto impondrá un plan de transición, con sus correspondientes características técnicas y comerciales, en el que se garantice que se tienen en cuenta las inversiones realizadas y su plazo de recuperación, la existencia de alternativas a la infraestructura del AEP, y la continuidad en la prestación de los servicios a los usuarios finales.</w:t>
      </w:r>
    </w:p>
    <w:p w14:paraId="0048365A" w14:textId="77777777" w:rsidR="00707B8C" w:rsidRDefault="00707B8C" w:rsidP="00707B8C">
      <w:pPr>
        <w:spacing w:line="276" w:lineRule="auto"/>
        <w:jc w:val="both"/>
        <w:rPr>
          <w:rFonts w:ascii="ITC Avant Garde" w:hAnsi="ITC Avant Garde"/>
          <w:b/>
        </w:rPr>
      </w:pPr>
      <w:r w:rsidRPr="008C0ECE">
        <w:rPr>
          <w:rFonts w:ascii="ITC Avant Garde" w:hAnsi="ITC Avant Garde"/>
          <w:b/>
        </w:rPr>
        <w:t>Consideraciones del Instituto</w:t>
      </w:r>
    </w:p>
    <w:p w14:paraId="6D59D5F6" w14:textId="2C171BB7" w:rsidR="00554BBD" w:rsidRPr="00554BBD" w:rsidRDefault="00554BBD" w:rsidP="00554BBD">
      <w:pPr>
        <w:spacing w:line="276" w:lineRule="auto"/>
        <w:jc w:val="both"/>
        <w:rPr>
          <w:rFonts w:ascii="ITC Avant Garde" w:hAnsi="ITC Avant Garde"/>
        </w:rPr>
      </w:pPr>
      <w:r w:rsidRPr="00554BBD">
        <w:rPr>
          <w:rFonts w:ascii="ITC Avant Garde" w:hAnsi="ITC Avant Garde"/>
        </w:rPr>
        <w:t>Se modifica la cláusula decimonovena “Condiciones Resolutorias” y el numeral 9 del Anexo B precisando que el CMI y sus anexos estarán vigentes hasta que se modifiquen</w:t>
      </w:r>
      <w:r w:rsidR="00675790">
        <w:rPr>
          <w:rFonts w:ascii="ITC Avant Garde" w:hAnsi="ITC Avant Garde"/>
        </w:rPr>
        <w:t>, sustituyan</w:t>
      </w:r>
      <w:r w:rsidRPr="00554BBD">
        <w:rPr>
          <w:rFonts w:ascii="ITC Avant Garde" w:hAnsi="ITC Avant Garde"/>
        </w:rPr>
        <w:t xml:space="preserve"> o eliminen de forma parcial o total las medidas impuestas a través de la Resolución Bienal relacionadas con dicho CMI y sus Anexos, o bien </w:t>
      </w:r>
      <w:r w:rsidR="003A0013">
        <w:rPr>
          <w:rFonts w:ascii="ITC Avant Garde" w:hAnsi="ITC Avant Garde"/>
        </w:rPr>
        <w:t>Telmex/Telnor</w:t>
      </w:r>
      <w:r w:rsidRPr="00554BBD">
        <w:rPr>
          <w:rFonts w:ascii="ITC Avant Garde" w:hAnsi="ITC Avant Garde"/>
        </w:rPr>
        <w:t xml:space="preserve"> deje de tener el carácter de integrante del AEP. Lo anterior, a efecto de </w:t>
      </w:r>
      <w:r w:rsidR="0085425A">
        <w:rPr>
          <w:rFonts w:ascii="ITC Avant Garde" w:hAnsi="ITC Avant Garde"/>
        </w:rPr>
        <w:t>precisar</w:t>
      </w:r>
      <w:r w:rsidRPr="00554BBD">
        <w:rPr>
          <w:rFonts w:ascii="ITC Avant Garde" w:hAnsi="ITC Avant Garde"/>
        </w:rPr>
        <w:t xml:space="preserve"> las condiciones resolutorias por las que el CMI y sus Anexos podría dejar de tener efectos.</w:t>
      </w:r>
    </w:p>
    <w:p w14:paraId="796D1EB7" w14:textId="42911AB9" w:rsidR="00791D5A" w:rsidRPr="00791D5A" w:rsidRDefault="00554BBD" w:rsidP="00D64439">
      <w:pPr>
        <w:spacing w:line="276" w:lineRule="auto"/>
        <w:jc w:val="both"/>
        <w:rPr>
          <w:lang w:val="es-ES"/>
        </w:rPr>
      </w:pPr>
      <w:r>
        <w:rPr>
          <w:rFonts w:ascii="ITC Avant Garde" w:hAnsi="ITC Avant Garde"/>
        </w:rPr>
        <w:t>Por otra parte, e</w:t>
      </w:r>
      <w:r w:rsidR="00707B8C" w:rsidRPr="00707B8C">
        <w:rPr>
          <w:rFonts w:ascii="ITC Avant Garde" w:hAnsi="ITC Avant Garde"/>
        </w:rPr>
        <w:t xml:space="preserve">s importante señalar que el contenido de dicha cláusula cumple con lo establecido en la ley de la materia vigente, al señalar que una vez que </w:t>
      </w:r>
      <w:r w:rsidR="003A0013">
        <w:rPr>
          <w:rFonts w:ascii="ITC Avant Garde" w:hAnsi="ITC Avant Garde"/>
        </w:rPr>
        <w:t>Telmex/Telnor</w:t>
      </w:r>
      <w:r w:rsidR="00707B8C" w:rsidRPr="00707B8C">
        <w:rPr>
          <w:rFonts w:ascii="ITC Avant Garde" w:hAnsi="ITC Avant Garde"/>
        </w:rPr>
        <w:t xml:space="preserve"> deje de ser parte integrante del AEP, la negociación de términos, condiciones y tarifas para la prestación de los servicios de interconexión, se realizará de conformidad con lo establecido en el artículo 129 de la LFTR.</w:t>
      </w:r>
    </w:p>
    <w:p w14:paraId="6A403E00" w14:textId="22DBD1E4" w:rsidR="00EC22DB" w:rsidRDefault="00EC22DB" w:rsidP="00707B8C">
      <w:pPr>
        <w:spacing w:line="276" w:lineRule="auto"/>
        <w:jc w:val="both"/>
        <w:rPr>
          <w:rFonts w:ascii="ITC Avant Garde" w:hAnsi="ITC Avant Garde"/>
          <w:b/>
          <w:u w:val="single"/>
        </w:rPr>
      </w:pPr>
      <w:r w:rsidRPr="00A51976">
        <w:rPr>
          <w:rFonts w:ascii="ITC Avant Garde" w:hAnsi="ITC Avant Garde"/>
          <w:b/>
          <w:u w:val="single"/>
        </w:rPr>
        <w:t xml:space="preserve">Anexo A. Acuerdos Técnicos </w:t>
      </w:r>
    </w:p>
    <w:p w14:paraId="660FCE13" w14:textId="07F306CE" w:rsidR="004B006D" w:rsidRPr="00A51976" w:rsidRDefault="004B006D" w:rsidP="00707B8C">
      <w:pPr>
        <w:spacing w:line="276" w:lineRule="auto"/>
        <w:jc w:val="both"/>
        <w:rPr>
          <w:rFonts w:ascii="ITC Avant Garde" w:hAnsi="ITC Avant Garde"/>
          <w:b/>
          <w:u w:val="single"/>
        </w:rPr>
      </w:pPr>
      <w:r w:rsidRPr="0043626B">
        <w:rPr>
          <w:rFonts w:ascii="ITC Avant Garde" w:hAnsi="ITC Avant Garde"/>
          <w:b/>
          <w:u w:val="single"/>
        </w:rPr>
        <w:t>A.2. ACUERDOS TÉCNICOS DE INTERCONEXIÓN PARA SEÑALIZACIÓN SIP.</w:t>
      </w:r>
    </w:p>
    <w:p w14:paraId="0D98D206" w14:textId="77777777" w:rsidR="00120512" w:rsidRDefault="00967F19" w:rsidP="00364CF5">
      <w:pPr>
        <w:spacing w:line="276" w:lineRule="auto"/>
        <w:jc w:val="both"/>
        <w:rPr>
          <w:rFonts w:ascii="ITC Avant Garde" w:hAnsi="ITC Avant Garde"/>
          <w:b/>
        </w:rPr>
      </w:pPr>
      <w:r>
        <w:rPr>
          <w:rFonts w:ascii="ITC Avant Garde" w:hAnsi="ITC Avant Garde"/>
          <w:b/>
        </w:rPr>
        <w:t xml:space="preserve">Inciso </w:t>
      </w:r>
      <w:r w:rsidR="00120512" w:rsidRPr="00120512">
        <w:rPr>
          <w:rFonts w:ascii="ITC Avant Garde" w:hAnsi="ITC Avant Garde"/>
          <w:b/>
        </w:rPr>
        <w:t>2.1 Protocolo de Señalización</w:t>
      </w:r>
    </w:p>
    <w:p w14:paraId="7BF404A7" w14:textId="6DF2095F" w:rsidR="00D815DA" w:rsidRDefault="001E36C5" w:rsidP="00D815DA">
      <w:pPr>
        <w:spacing w:line="276" w:lineRule="auto"/>
        <w:jc w:val="both"/>
        <w:rPr>
          <w:rFonts w:ascii="ITC Avant Garde" w:hAnsi="ITC Avant Garde"/>
          <w:b/>
        </w:rPr>
      </w:pPr>
      <w:r>
        <w:rPr>
          <w:rFonts w:ascii="ITC Avant Garde" w:hAnsi="ITC Avant Garde"/>
          <w:b/>
        </w:rPr>
        <w:t xml:space="preserve">UC TELECOM </w:t>
      </w:r>
    </w:p>
    <w:p w14:paraId="1368AA0A" w14:textId="78C18467" w:rsidR="00662ED7" w:rsidRPr="00662ED7" w:rsidRDefault="00537CF3" w:rsidP="00662ED7">
      <w:pPr>
        <w:spacing w:line="276" w:lineRule="auto"/>
        <w:jc w:val="both"/>
        <w:rPr>
          <w:rFonts w:ascii="ITC Avant Garde" w:hAnsi="ITC Avant Garde"/>
        </w:rPr>
      </w:pPr>
      <w:r>
        <w:rPr>
          <w:rFonts w:ascii="ITC Avant Garde" w:hAnsi="ITC Avant Garde"/>
        </w:rPr>
        <w:t>S</w:t>
      </w:r>
      <w:r w:rsidR="00662ED7" w:rsidRPr="00662ED7">
        <w:rPr>
          <w:rFonts w:ascii="ITC Avant Garde" w:hAnsi="ITC Avant Garde"/>
        </w:rPr>
        <w:t xml:space="preserve">obre la negociación inicial SDP y los perfiles de codificación y comprensión de voz que deben ser enviados, </w:t>
      </w:r>
      <w:r>
        <w:rPr>
          <w:rFonts w:ascii="ITC Avant Garde" w:hAnsi="ITC Avant Garde"/>
        </w:rPr>
        <w:t>solicita que</w:t>
      </w:r>
      <w:r w:rsidR="00662ED7" w:rsidRPr="00662ED7">
        <w:rPr>
          <w:rFonts w:ascii="ITC Avant Garde" w:hAnsi="ITC Avant Garde"/>
        </w:rPr>
        <w:t xml:space="preserve"> los códecs AMR-NB Payload Type: 96-127 y AMR-WB Payload Type: 98 sean de carácter optativo y no obligatorio. </w:t>
      </w:r>
    </w:p>
    <w:p w14:paraId="31500EF6" w14:textId="77777777" w:rsidR="00662ED7" w:rsidRPr="00662ED7" w:rsidRDefault="00662ED7" w:rsidP="00662ED7">
      <w:pPr>
        <w:spacing w:line="276" w:lineRule="auto"/>
        <w:jc w:val="both"/>
        <w:rPr>
          <w:rFonts w:ascii="ITC Avant Garde" w:hAnsi="ITC Avant Garde"/>
        </w:rPr>
      </w:pPr>
      <w:r w:rsidRPr="00662ED7">
        <w:rPr>
          <w:rFonts w:ascii="ITC Avant Garde" w:hAnsi="ITC Avant Garde"/>
        </w:rPr>
        <w:t xml:space="preserve">Lo anterior responde a los importantes y significativos esfuerzos tanto tecnológicos como económicos para llevar a cabo la implementación de dichos códecs sobre </w:t>
      </w:r>
      <w:r w:rsidRPr="00662ED7">
        <w:rPr>
          <w:rFonts w:ascii="ITC Avant Garde" w:hAnsi="ITC Avant Garde"/>
        </w:rPr>
        <w:lastRenderedPageBreak/>
        <w:t xml:space="preserve">todas las llamadas, lo que finalmente se traduce en una desventaja para los operadores entrantes o con poca participación de mercado. </w:t>
      </w:r>
    </w:p>
    <w:p w14:paraId="675AC3BA" w14:textId="5728CF85" w:rsidR="00662ED7" w:rsidRPr="00662ED7" w:rsidRDefault="00537CF3" w:rsidP="00662ED7">
      <w:pPr>
        <w:spacing w:line="276" w:lineRule="auto"/>
        <w:jc w:val="both"/>
        <w:rPr>
          <w:rFonts w:ascii="ITC Avant Garde" w:hAnsi="ITC Avant Garde"/>
        </w:rPr>
      </w:pPr>
      <w:r>
        <w:rPr>
          <w:rFonts w:ascii="ITC Avant Garde" w:hAnsi="ITC Avant Garde"/>
        </w:rPr>
        <w:t>Menciona</w:t>
      </w:r>
      <w:r w:rsidR="00662ED7" w:rsidRPr="00662ED7">
        <w:rPr>
          <w:rFonts w:ascii="ITC Avant Garde" w:hAnsi="ITC Avant Garde"/>
        </w:rPr>
        <w:t xml:space="preserve"> que con los códecs G.729, G.729b y G.711 Ley A se puede tener acceso estable a las redes fijas y móviles, sin necesidad de recurrir al uso de los códecs AMR-NB Payload Type: 96- 127 y AMR-WB Payload Type: 98.</w:t>
      </w:r>
    </w:p>
    <w:p w14:paraId="1C4D679B" w14:textId="77777777" w:rsidR="00702107" w:rsidRPr="00702107" w:rsidRDefault="00702107" w:rsidP="00702107">
      <w:pPr>
        <w:spacing w:line="276" w:lineRule="auto"/>
        <w:jc w:val="both"/>
        <w:rPr>
          <w:rFonts w:ascii="ITC Avant Garde" w:hAnsi="ITC Avant Garde"/>
        </w:rPr>
      </w:pPr>
      <w:r w:rsidRPr="00702107">
        <w:rPr>
          <w:rFonts w:ascii="ITC Avant Garde" w:hAnsi="ITC Avant Garde"/>
        </w:rPr>
        <w:t>Respecto al modelo de oferta/contestación, con fundamento en las Condiciones Técnicas Mínimas de Interconexión vigentes, se debe reforzar en la redacción el uso del RFC 3261, ya que con su aplicación se podrían prevenir escenarios de falla relativos a la sección 14 “re-INVITE sin descripción de sesión (SDP)” durante la interacción entre redes.</w:t>
      </w:r>
    </w:p>
    <w:p w14:paraId="03C4C62F" w14:textId="54201BEA" w:rsidR="00702107" w:rsidRPr="00702107" w:rsidRDefault="00500002" w:rsidP="00D815DA">
      <w:pPr>
        <w:spacing w:line="276" w:lineRule="auto"/>
        <w:jc w:val="both"/>
        <w:rPr>
          <w:rFonts w:ascii="ITC Avant Garde" w:hAnsi="ITC Avant Garde"/>
        </w:rPr>
      </w:pPr>
      <w:r w:rsidRPr="002A14FC">
        <w:rPr>
          <w:rFonts w:ascii="ITC Avant Garde" w:hAnsi="ITC Avant Garde"/>
        </w:rPr>
        <w:t xml:space="preserve">Por otra </w:t>
      </w:r>
      <w:r w:rsidR="00E964FA" w:rsidRPr="002A14FC">
        <w:rPr>
          <w:rFonts w:ascii="ITC Avant Garde" w:hAnsi="ITC Avant Garde"/>
        </w:rPr>
        <w:t>parte,</w:t>
      </w:r>
      <w:r w:rsidRPr="002A14FC">
        <w:rPr>
          <w:rFonts w:ascii="ITC Avant Garde" w:hAnsi="ITC Avant Garde"/>
        </w:rPr>
        <w:t xml:space="preserve"> señala que </w:t>
      </w:r>
      <w:r>
        <w:rPr>
          <w:rFonts w:ascii="ITC Avant Garde" w:hAnsi="ITC Avant Garde"/>
        </w:rPr>
        <w:t>s</w:t>
      </w:r>
      <w:r w:rsidR="00702107" w:rsidRPr="00702107">
        <w:rPr>
          <w:rFonts w:ascii="ITC Avant Garde" w:hAnsi="ITC Avant Garde"/>
        </w:rPr>
        <w:t>i bien el documento en consulta pública prevé que la red de tránsito no realice procesos de transcodificación cuando las redes de origen y destino utilizan señalización IP; se podría incluir o integrar algún mecanismo de comprobación de dicho escenario.</w:t>
      </w:r>
    </w:p>
    <w:p w14:paraId="54075C37" w14:textId="7BF1A1D7" w:rsidR="00702107" w:rsidRPr="00702107" w:rsidRDefault="00500002" w:rsidP="00702107">
      <w:pPr>
        <w:spacing w:line="276" w:lineRule="auto"/>
        <w:jc w:val="both"/>
        <w:rPr>
          <w:rFonts w:ascii="ITC Avant Garde" w:hAnsi="ITC Avant Garde"/>
        </w:rPr>
      </w:pPr>
      <w:r>
        <w:rPr>
          <w:rFonts w:ascii="ITC Avant Garde" w:hAnsi="ITC Avant Garde"/>
        </w:rPr>
        <w:t xml:space="preserve">Por último, observan </w:t>
      </w:r>
      <w:r w:rsidR="00E964FA">
        <w:rPr>
          <w:rFonts w:ascii="ITC Avant Garde" w:hAnsi="ITC Avant Garde"/>
        </w:rPr>
        <w:t>que,</w:t>
      </w:r>
      <w:r>
        <w:rPr>
          <w:rFonts w:ascii="ITC Avant Garde" w:hAnsi="ITC Avant Garde"/>
        </w:rPr>
        <w:t xml:space="preserve"> p</w:t>
      </w:r>
      <w:r w:rsidR="00702107" w:rsidRPr="00702107">
        <w:rPr>
          <w:rFonts w:ascii="ITC Avant Garde" w:hAnsi="ITC Avant Garde"/>
        </w:rPr>
        <w:t>ara el escenario de retención de llamada, además del RFC 3264, la oferta del SDP debe soportar la modificación de la sesión basada en el RFC 3261 sección 14, relativa al re-INVITE sin descripción de sesión (SDP).</w:t>
      </w:r>
    </w:p>
    <w:p w14:paraId="094FD3CD" w14:textId="39B9221B" w:rsidR="001E36C5" w:rsidRPr="001E36C5" w:rsidRDefault="001E36C5" w:rsidP="00D815DA">
      <w:pPr>
        <w:spacing w:line="276" w:lineRule="auto"/>
        <w:jc w:val="both"/>
        <w:rPr>
          <w:rFonts w:ascii="ITC Avant Garde" w:hAnsi="ITC Avant Garde"/>
          <w:b/>
        </w:rPr>
      </w:pPr>
      <w:r w:rsidRPr="001E36C5">
        <w:rPr>
          <w:rFonts w:ascii="ITC Avant Garde" w:hAnsi="ITC Avant Garde"/>
          <w:b/>
        </w:rPr>
        <w:t>AXTEL</w:t>
      </w:r>
    </w:p>
    <w:p w14:paraId="77F6C30A" w14:textId="029D6049" w:rsidR="001E36C5" w:rsidRDefault="001E36C5" w:rsidP="001E36C5">
      <w:pPr>
        <w:spacing w:line="276" w:lineRule="auto"/>
        <w:jc w:val="both"/>
        <w:rPr>
          <w:rFonts w:ascii="ITC Avant Garde" w:hAnsi="ITC Avant Garde"/>
        </w:rPr>
      </w:pPr>
      <w:r w:rsidRPr="001E36C5">
        <w:rPr>
          <w:rFonts w:ascii="ITC Avant Garde" w:hAnsi="ITC Avant Garde"/>
        </w:rPr>
        <w:t>Sug</w:t>
      </w:r>
      <w:r w:rsidR="005338E3">
        <w:rPr>
          <w:rFonts w:ascii="ITC Avant Garde" w:hAnsi="ITC Avant Garde"/>
        </w:rPr>
        <w:t>ier</w:t>
      </w:r>
      <w:r w:rsidR="002A14FC">
        <w:rPr>
          <w:rFonts w:ascii="ITC Avant Garde" w:hAnsi="ITC Avant Garde"/>
        </w:rPr>
        <w:t>e</w:t>
      </w:r>
      <w:r w:rsidR="005338E3">
        <w:rPr>
          <w:rFonts w:ascii="ITC Avant Garde" w:hAnsi="ITC Avant Garde"/>
        </w:rPr>
        <w:t>n</w:t>
      </w:r>
      <w:r w:rsidRPr="001E36C5">
        <w:rPr>
          <w:rFonts w:ascii="ITC Avant Garde" w:hAnsi="ITC Avant Garde"/>
        </w:rPr>
        <w:t xml:space="preserve"> que se eli</w:t>
      </w:r>
      <w:r w:rsidR="00147EB0">
        <w:rPr>
          <w:rFonts w:ascii="ITC Avant Garde" w:hAnsi="ITC Avant Garde"/>
        </w:rPr>
        <w:t>mine la inclusión de los Codecs</w:t>
      </w:r>
      <w:r w:rsidR="004B006D">
        <w:rPr>
          <w:rFonts w:ascii="ITC Avant Garde" w:hAnsi="ITC Avant Garde"/>
        </w:rPr>
        <w:t xml:space="preserve"> </w:t>
      </w:r>
      <w:r w:rsidRPr="001E36C5">
        <w:rPr>
          <w:rFonts w:ascii="ITC Avant Garde" w:hAnsi="ITC Avant Garde"/>
        </w:rPr>
        <w:t>AMR en sus diferentes variables ya que no es soportado en el intercambio de tráfico entre fijos con operadores móviles.</w:t>
      </w:r>
    </w:p>
    <w:p w14:paraId="1C2E8FDD" w14:textId="77777777" w:rsidR="00D815DA" w:rsidRDefault="00D815DA" w:rsidP="00D815DA">
      <w:pPr>
        <w:spacing w:line="276" w:lineRule="auto"/>
        <w:jc w:val="both"/>
        <w:rPr>
          <w:rFonts w:ascii="ITC Avant Garde" w:hAnsi="ITC Avant Garde"/>
          <w:b/>
        </w:rPr>
      </w:pPr>
      <w:r w:rsidRPr="008C0ECE">
        <w:rPr>
          <w:rFonts w:ascii="ITC Avant Garde" w:hAnsi="ITC Avant Garde"/>
          <w:b/>
        </w:rPr>
        <w:t>Consideraciones del Instituto</w:t>
      </w:r>
    </w:p>
    <w:p w14:paraId="4151C091" w14:textId="77777777" w:rsidR="00DF5E40" w:rsidRDefault="00DF5E40" w:rsidP="003C5F12">
      <w:pPr>
        <w:spacing w:line="276" w:lineRule="auto"/>
        <w:jc w:val="both"/>
        <w:rPr>
          <w:rFonts w:ascii="ITC Avant Garde" w:hAnsi="ITC Avant Garde"/>
        </w:rPr>
      </w:pPr>
      <w:r w:rsidRPr="00AE27F5">
        <w:rPr>
          <w:rFonts w:ascii="ITC Avant Garde" w:hAnsi="ITC Avant Garde"/>
        </w:rPr>
        <w:t>Los códecs</w:t>
      </w:r>
      <w:r>
        <w:rPr>
          <w:rFonts w:ascii="ITC Avant Garde" w:hAnsi="ITC Avant Garde"/>
        </w:rPr>
        <w:t xml:space="preserve"> G.729 y G.711 Ley A</w:t>
      </w:r>
      <w:r w:rsidRPr="00AE27F5">
        <w:rPr>
          <w:rFonts w:ascii="ITC Avant Garde" w:hAnsi="ITC Avant Garde"/>
        </w:rPr>
        <w:t xml:space="preserve"> son utilizados normalmente por los </w:t>
      </w:r>
      <w:r w:rsidRPr="00DF5E40">
        <w:rPr>
          <w:rFonts w:ascii="ITC Avant Garde" w:hAnsi="ITC Avant Garde"/>
        </w:rPr>
        <w:t>concesionarios</w:t>
      </w:r>
      <w:r w:rsidRPr="00AE27F5">
        <w:rPr>
          <w:rFonts w:ascii="ITC Avant Garde" w:hAnsi="ITC Avant Garde"/>
        </w:rPr>
        <w:t xml:space="preserve"> fijos. </w:t>
      </w:r>
      <w:r>
        <w:rPr>
          <w:rFonts w:ascii="ITC Avant Garde" w:hAnsi="ITC Avant Garde"/>
        </w:rPr>
        <w:t>L</w:t>
      </w:r>
      <w:r w:rsidRPr="00AE27F5">
        <w:rPr>
          <w:rFonts w:ascii="ITC Avant Garde" w:hAnsi="ITC Avant Garde"/>
        </w:rPr>
        <w:t xml:space="preserve">os códecs AMR-NB y AMR-WB son usados normalmente por los </w:t>
      </w:r>
      <w:r w:rsidRPr="00DF5E40">
        <w:rPr>
          <w:rFonts w:ascii="ITC Avant Garde" w:hAnsi="ITC Avant Garde"/>
        </w:rPr>
        <w:t>concesionarios</w:t>
      </w:r>
      <w:r w:rsidRPr="00AE27F5">
        <w:rPr>
          <w:rFonts w:ascii="ITC Avant Garde" w:hAnsi="ITC Avant Garde"/>
        </w:rPr>
        <w:t xml:space="preserve"> móviles y son obligatorios según el PRD IR.95 de la GSMA</w:t>
      </w:r>
      <w:r>
        <w:rPr>
          <w:rFonts w:ascii="ITC Avant Garde" w:hAnsi="ITC Avant Garde"/>
        </w:rPr>
        <w:t xml:space="preserve"> (</w:t>
      </w:r>
      <w:r w:rsidRPr="00570E8F">
        <w:rPr>
          <w:rFonts w:ascii="ITC Avant Garde" w:hAnsi="ITC Avant Garde"/>
        </w:rPr>
        <w:t>GSM Association</w:t>
      </w:r>
      <w:r>
        <w:rPr>
          <w:rFonts w:ascii="ITC Avant Garde" w:hAnsi="ITC Avant Garde"/>
        </w:rPr>
        <w:t xml:space="preserve"> por sus siglas en inglés)</w:t>
      </w:r>
      <w:r w:rsidRPr="00AE27F5">
        <w:rPr>
          <w:rFonts w:ascii="ITC Avant Garde" w:hAnsi="ITC Avant Garde"/>
        </w:rPr>
        <w:t xml:space="preserve">. </w:t>
      </w:r>
    </w:p>
    <w:p w14:paraId="785545C0" w14:textId="30B8438E" w:rsidR="00DF5E40" w:rsidRDefault="00DF5E40" w:rsidP="00D64439">
      <w:pPr>
        <w:spacing w:after="0" w:line="276" w:lineRule="auto"/>
        <w:jc w:val="both"/>
        <w:rPr>
          <w:rFonts w:ascii="ITC Avant Garde" w:hAnsi="ITC Avant Garde"/>
        </w:rPr>
      </w:pPr>
      <w:r w:rsidRPr="00CE6F64">
        <w:rPr>
          <w:rFonts w:ascii="ITC Avant Garde" w:hAnsi="ITC Avant Garde"/>
        </w:rPr>
        <w:t>En este sentido, los códecs AMR- NB y AMR-WB son utilizados para la interconexión entre y hacia redes móviles, los cuales permiten codificar la voz a través de diferentes velocidades con base en las condiciones de la interface de aire mediante la adaptación del enlace o “Link Adaptation”.</w:t>
      </w:r>
      <w:r w:rsidR="00105CE2">
        <w:rPr>
          <w:rFonts w:ascii="ITC Avant Garde" w:hAnsi="ITC Avant Garde"/>
        </w:rPr>
        <w:t xml:space="preserve"> Es así que a efecto de permitir la interconexión entre redes fijas y redes móviles se requiere la utilización de ambos códecs. Asimismo, la determinación de los códecs a utilizar en la interconexión de redes fijas y móviles forma parte del Acuerdo de CTM y Tarifas </w:t>
      </w:r>
      <w:r w:rsidR="00147EB0">
        <w:rPr>
          <w:rFonts w:ascii="ITC Avant Garde" w:hAnsi="ITC Avant Garde"/>
        </w:rPr>
        <w:t>correspondiente</w:t>
      </w:r>
      <w:r w:rsidR="00105CE2">
        <w:rPr>
          <w:rFonts w:ascii="ITC Avant Garde" w:hAnsi="ITC Avant Garde"/>
        </w:rPr>
        <w:t>. P</w:t>
      </w:r>
      <w:r w:rsidR="00247FD3">
        <w:rPr>
          <w:rFonts w:ascii="ITC Avant Garde" w:hAnsi="ITC Avant Garde"/>
        </w:rPr>
        <w:t xml:space="preserve">or lo anterior, </w:t>
      </w:r>
      <w:r w:rsidR="00247FD3" w:rsidRPr="00F22F77">
        <w:rPr>
          <w:rFonts w:ascii="ITC Avant Garde" w:hAnsi="ITC Avant Garde"/>
        </w:rPr>
        <w:t>el contenido del CMI es acorde al marco regulatorio vigente.</w:t>
      </w:r>
    </w:p>
    <w:p w14:paraId="2804791A" w14:textId="4EA69E1B" w:rsidR="0074082F" w:rsidRDefault="0074082F" w:rsidP="00D64439">
      <w:pPr>
        <w:spacing w:after="0" w:line="276" w:lineRule="auto"/>
        <w:jc w:val="both"/>
        <w:rPr>
          <w:rFonts w:ascii="ITC Avant Garde" w:hAnsi="ITC Avant Garde"/>
        </w:rPr>
      </w:pPr>
    </w:p>
    <w:p w14:paraId="690C4C78" w14:textId="025EDA64" w:rsidR="0074082F" w:rsidRPr="008F66E6" w:rsidRDefault="008F66E6" w:rsidP="00D64439">
      <w:pPr>
        <w:spacing w:after="0" w:line="276" w:lineRule="auto"/>
        <w:jc w:val="both"/>
        <w:rPr>
          <w:rFonts w:ascii="ITC Avant Garde" w:hAnsi="ITC Avant Garde"/>
          <w:b/>
        </w:rPr>
      </w:pPr>
      <w:r w:rsidRPr="008F66E6">
        <w:rPr>
          <w:rFonts w:ascii="ITC Avant Garde" w:hAnsi="ITC Avant Garde"/>
          <w:b/>
        </w:rPr>
        <w:t>GRUPO AT&amp;T</w:t>
      </w:r>
    </w:p>
    <w:p w14:paraId="76267716" w14:textId="3CB3889E" w:rsidR="0074082F" w:rsidRDefault="0074082F" w:rsidP="00D64439">
      <w:pPr>
        <w:spacing w:after="0" w:line="276" w:lineRule="auto"/>
        <w:jc w:val="both"/>
        <w:rPr>
          <w:rFonts w:ascii="ITC Avant Garde" w:hAnsi="ITC Avant Garde"/>
        </w:rPr>
      </w:pPr>
    </w:p>
    <w:p w14:paraId="4E8CF887" w14:textId="497566C1" w:rsidR="0074082F" w:rsidRDefault="003A0013" w:rsidP="00D64439">
      <w:pPr>
        <w:spacing w:after="0" w:line="276" w:lineRule="auto"/>
        <w:jc w:val="both"/>
        <w:rPr>
          <w:rFonts w:ascii="ITC Avant Garde" w:hAnsi="ITC Avant Garde"/>
        </w:rPr>
      </w:pPr>
      <w:r>
        <w:rPr>
          <w:rFonts w:ascii="ITC Avant Garde" w:hAnsi="ITC Avant Garde"/>
        </w:rPr>
        <w:lastRenderedPageBreak/>
        <w:t>Telmex/Telnor</w:t>
      </w:r>
      <w:r w:rsidR="0074082F" w:rsidRPr="0085425A">
        <w:rPr>
          <w:rFonts w:ascii="ITC Avant Garde" w:hAnsi="ITC Avant Garde"/>
        </w:rPr>
        <w:t xml:space="preserve"> incluyó un nuevo mensaje de señalización SIP. o envía una respuesta SIP 503 (servicio no disponible), sug</w:t>
      </w:r>
      <w:r w:rsidR="0085425A">
        <w:rPr>
          <w:rFonts w:ascii="ITC Avant Garde" w:hAnsi="ITC Avant Garde"/>
        </w:rPr>
        <w:t>iere</w:t>
      </w:r>
      <w:r w:rsidR="0074082F" w:rsidRPr="0085425A">
        <w:rPr>
          <w:rFonts w:ascii="ITC Avant Garde" w:hAnsi="ITC Avant Garde"/>
        </w:rPr>
        <w:t xml:space="preserve"> eliminarlo.</w:t>
      </w:r>
    </w:p>
    <w:p w14:paraId="3F231A08" w14:textId="71E66FB3" w:rsidR="0085425A" w:rsidRDefault="0085425A" w:rsidP="00D64439">
      <w:pPr>
        <w:spacing w:after="0" w:line="276" w:lineRule="auto"/>
        <w:jc w:val="both"/>
        <w:rPr>
          <w:rFonts w:ascii="ITC Avant Garde" w:hAnsi="ITC Avant Garde"/>
        </w:rPr>
      </w:pPr>
    </w:p>
    <w:p w14:paraId="451A4CE8" w14:textId="77777777" w:rsidR="0085425A" w:rsidRDefault="0085425A" w:rsidP="0085425A">
      <w:pPr>
        <w:spacing w:line="276" w:lineRule="auto"/>
        <w:jc w:val="both"/>
        <w:rPr>
          <w:rFonts w:ascii="ITC Avant Garde" w:hAnsi="ITC Avant Garde"/>
          <w:b/>
        </w:rPr>
      </w:pPr>
      <w:r w:rsidRPr="008C0ECE">
        <w:rPr>
          <w:rFonts w:ascii="ITC Avant Garde" w:hAnsi="ITC Avant Garde"/>
          <w:b/>
        </w:rPr>
        <w:t>Consideraciones del Instituto</w:t>
      </w:r>
    </w:p>
    <w:p w14:paraId="30582CAD" w14:textId="76FD8709" w:rsidR="0085425A" w:rsidRDefault="0085425A" w:rsidP="00D64439">
      <w:pPr>
        <w:spacing w:after="0" w:line="276" w:lineRule="auto"/>
        <w:jc w:val="both"/>
        <w:rPr>
          <w:rFonts w:ascii="ITC Avant Garde" w:hAnsi="ITC Avant Garde"/>
        </w:rPr>
      </w:pPr>
      <w:r>
        <w:rPr>
          <w:rFonts w:ascii="ITC Avant Garde" w:hAnsi="ITC Avant Garde"/>
        </w:rPr>
        <w:t>La respuesta SIP 503 se encuentra contenido en el Acuerdo de Condiciones Técnicas Mínimas vigente.</w:t>
      </w:r>
    </w:p>
    <w:p w14:paraId="7A61D719" w14:textId="77777777" w:rsidR="00180274" w:rsidRPr="00180274" w:rsidRDefault="00180274" w:rsidP="00180274">
      <w:pPr>
        <w:tabs>
          <w:tab w:val="left" w:pos="8222"/>
        </w:tabs>
        <w:spacing w:after="0" w:line="276" w:lineRule="auto"/>
        <w:ind w:left="567" w:right="850" w:hanging="11"/>
        <w:jc w:val="right"/>
        <w:rPr>
          <w:rFonts w:ascii="ITC Avant Garde" w:hAnsi="ITC Avant Garde"/>
          <w:i/>
          <w:sz w:val="18"/>
          <w:szCs w:val="18"/>
        </w:rPr>
      </w:pPr>
    </w:p>
    <w:p w14:paraId="1685E022" w14:textId="77777777" w:rsidR="006625C5" w:rsidRPr="006625C5" w:rsidRDefault="00967F19" w:rsidP="006625C5">
      <w:pPr>
        <w:spacing w:line="276" w:lineRule="auto"/>
        <w:jc w:val="both"/>
        <w:rPr>
          <w:rFonts w:ascii="ITC Avant Garde" w:hAnsi="ITC Avant Garde"/>
          <w:b/>
        </w:rPr>
      </w:pPr>
      <w:r>
        <w:rPr>
          <w:rFonts w:ascii="ITC Avant Garde" w:hAnsi="ITC Avant Garde"/>
          <w:b/>
        </w:rPr>
        <w:t xml:space="preserve">Inciso </w:t>
      </w:r>
      <w:r w:rsidR="006625C5" w:rsidRPr="006625C5">
        <w:rPr>
          <w:rFonts w:ascii="ITC Avant Garde" w:hAnsi="ITC Avant Garde"/>
          <w:b/>
        </w:rPr>
        <w:t>2.3 Intercambio de Dígitos</w:t>
      </w:r>
    </w:p>
    <w:p w14:paraId="28F42A2E" w14:textId="7C7071C9" w:rsidR="006625C5" w:rsidRDefault="00247FD3" w:rsidP="006625C5">
      <w:pPr>
        <w:spacing w:line="276" w:lineRule="auto"/>
        <w:jc w:val="both"/>
        <w:rPr>
          <w:rFonts w:ascii="ITC Avant Garde" w:hAnsi="ITC Avant Garde"/>
          <w:b/>
        </w:rPr>
      </w:pPr>
      <w:r>
        <w:rPr>
          <w:rFonts w:ascii="ITC Avant Garde" w:hAnsi="ITC Avant Garde"/>
          <w:b/>
        </w:rPr>
        <w:t xml:space="preserve">GRUPO </w:t>
      </w:r>
      <w:r w:rsidR="00702107">
        <w:rPr>
          <w:rFonts w:ascii="ITC Avant Garde" w:hAnsi="ITC Avant Garde"/>
          <w:b/>
        </w:rPr>
        <w:t xml:space="preserve">TELEVISA </w:t>
      </w:r>
    </w:p>
    <w:p w14:paraId="4EC23426" w14:textId="51D517D9" w:rsidR="00702107" w:rsidRDefault="008F54E3" w:rsidP="00FD220F">
      <w:pPr>
        <w:spacing w:line="276" w:lineRule="auto"/>
        <w:jc w:val="both"/>
        <w:rPr>
          <w:rFonts w:ascii="ITC Avant Garde" w:hAnsi="ITC Avant Garde"/>
        </w:rPr>
      </w:pPr>
      <w:r>
        <w:rPr>
          <w:rFonts w:ascii="ITC Avant Garde" w:hAnsi="ITC Avant Garde"/>
        </w:rPr>
        <w:t>Propone agregar un párrafo para incluir en el encabezado From del método INVITE el código de operador origen y su modalidad, para permitir la facturación, la conciliación y el enrutamiento de llamadas de forma más efectiva, pues se tienen operadores de red con series numéricas como operador móvil y fijo.</w:t>
      </w:r>
    </w:p>
    <w:p w14:paraId="2C5CD248" w14:textId="77777777" w:rsidR="006625C5" w:rsidRDefault="006625C5" w:rsidP="006625C5">
      <w:pPr>
        <w:spacing w:line="276" w:lineRule="auto"/>
        <w:jc w:val="both"/>
        <w:rPr>
          <w:rFonts w:ascii="ITC Avant Garde" w:hAnsi="ITC Avant Garde"/>
          <w:b/>
        </w:rPr>
      </w:pPr>
      <w:r w:rsidRPr="008C0ECE">
        <w:rPr>
          <w:rFonts w:ascii="ITC Avant Garde" w:hAnsi="ITC Avant Garde"/>
          <w:b/>
        </w:rPr>
        <w:t>Consideraciones del Instituto</w:t>
      </w:r>
    </w:p>
    <w:p w14:paraId="74EA298C" w14:textId="281744D1" w:rsidR="00FD220F" w:rsidRDefault="001A17E7" w:rsidP="006625C5">
      <w:pPr>
        <w:spacing w:line="276" w:lineRule="auto"/>
        <w:jc w:val="both"/>
        <w:rPr>
          <w:rFonts w:ascii="ITC Avant Garde" w:hAnsi="ITC Avant Garde"/>
        </w:rPr>
      </w:pPr>
      <w:r>
        <w:rPr>
          <w:rFonts w:ascii="ITC Avant Garde" w:hAnsi="ITC Avant Garde"/>
        </w:rPr>
        <w:t>Al respecto,</w:t>
      </w:r>
      <w:r w:rsidR="00FB5565">
        <w:rPr>
          <w:rFonts w:ascii="ITC Avant Garde" w:hAnsi="ITC Avant Garde"/>
        </w:rPr>
        <w:t xml:space="preserve"> la interconexión a través de protocolo de Inicio de Sesión (SIP) se realiza de conformidad con el Acuerdo de Condiciones Técnicas Mínimas correspondiente, por lo que </w:t>
      </w:r>
      <w:r w:rsidR="008F54E3">
        <w:rPr>
          <w:rFonts w:ascii="ITC Avant Garde" w:hAnsi="ITC Avant Garde"/>
        </w:rPr>
        <w:t xml:space="preserve">la modificación o adición del encabezado From al método INVITE </w:t>
      </w:r>
      <w:r w:rsidR="00FB5565">
        <w:rPr>
          <w:rFonts w:ascii="ITC Avant Garde" w:hAnsi="ITC Avant Garde"/>
        </w:rPr>
        <w:t>se considera fuera del alcance del convenio marco de interconexión lo solicitado por Grupo Televisa.</w:t>
      </w:r>
    </w:p>
    <w:p w14:paraId="00C60D65" w14:textId="6C38855E" w:rsidR="004B006D" w:rsidRPr="004B006D" w:rsidRDefault="004B006D" w:rsidP="006625C5">
      <w:pPr>
        <w:spacing w:line="276" w:lineRule="auto"/>
        <w:jc w:val="both"/>
        <w:rPr>
          <w:rFonts w:ascii="ITC Avant Garde" w:hAnsi="ITC Avant Garde"/>
          <w:b/>
        </w:rPr>
      </w:pPr>
      <w:r w:rsidRPr="004B006D">
        <w:rPr>
          <w:rFonts w:ascii="ITC Avant Garde" w:hAnsi="ITC Avant Garde"/>
          <w:b/>
        </w:rPr>
        <w:t>AXTEL</w:t>
      </w:r>
    </w:p>
    <w:p w14:paraId="1FBFAC86" w14:textId="28D415F7" w:rsidR="008F66E6" w:rsidRDefault="004B006D" w:rsidP="008F66E6">
      <w:pPr>
        <w:spacing w:line="276" w:lineRule="auto"/>
        <w:jc w:val="both"/>
        <w:rPr>
          <w:rFonts w:ascii="ITC Avant Garde" w:hAnsi="ITC Avant Garde"/>
        </w:rPr>
      </w:pPr>
      <w:r w:rsidRPr="00147CB5">
        <w:rPr>
          <w:rFonts w:ascii="ITC Avant Garde" w:hAnsi="ITC Avant Garde"/>
        </w:rPr>
        <w:t>Menciona que para llamadas a destinos internacionales el concesionario origen debe considerar enviar el IDO e IDD los cuales son identificadores nacionales y son desconocidos por</w:t>
      </w:r>
      <w:r w:rsidR="00147CB5">
        <w:rPr>
          <w:rFonts w:ascii="ITC Avant Garde" w:hAnsi="ITC Avant Garde"/>
        </w:rPr>
        <w:t xml:space="preserve"> los operadores internacionales.</w:t>
      </w:r>
    </w:p>
    <w:p w14:paraId="78F17AB8" w14:textId="32DB3CFE" w:rsidR="008F66E6" w:rsidRDefault="008F66E6" w:rsidP="008F66E6">
      <w:pPr>
        <w:spacing w:line="276" w:lineRule="auto"/>
        <w:jc w:val="both"/>
        <w:rPr>
          <w:rFonts w:ascii="ITC Avant Garde" w:hAnsi="ITC Avant Garde"/>
          <w:b/>
        </w:rPr>
      </w:pPr>
      <w:r w:rsidRPr="008C0ECE">
        <w:rPr>
          <w:rFonts w:ascii="ITC Avant Garde" w:hAnsi="ITC Avant Garde"/>
          <w:b/>
        </w:rPr>
        <w:t>Consideraciones del Instituto</w:t>
      </w:r>
    </w:p>
    <w:p w14:paraId="28B84403" w14:textId="4E39D3B9" w:rsidR="004B006D" w:rsidRDefault="00147CB5" w:rsidP="004B006D">
      <w:pPr>
        <w:spacing w:line="276" w:lineRule="auto"/>
        <w:jc w:val="both"/>
        <w:rPr>
          <w:rFonts w:ascii="ITC Avant Garde" w:hAnsi="ITC Avant Garde"/>
        </w:rPr>
      </w:pPr>
      <w:r>
        <w:rPr>
          <w:rFonts w:ascii="ITC Avant Garde" w:hAnsi="ITC Avant Garde"/>
        </w:rPr>
        <w:t>El intercambio de dígitos establecido en el CMI es para llamadas entre operadores nacionales, por lo que si el escenario de intercambio de tráfico entre Axtel y Telmex/Telnor no se da para destinos internacionales no deberá utilizar tales códigos</w:t>
      </w:r>
    </w:p>
    <w:p w14:paraId="44CA361F" w14:textId="77777777" w:rsidR="004B006D" w:rsidRPr="007359F5" w:rsidRDefault="004B006D" w:rsidP="004B006D">
      <w:pPr>
        <w:autoSpaceDE w:val="0"/>
        <w:autoSpaceDN w:val="0"/>
        <w:adjustRightInd w:val="0"/>
        <w:jc w:val="both"/>
        <w:rPr>
          <w:rFonts w:ascii="ITC Avant Garde" w:hAnsi="ITC Avant Garde"/>
          <w:b/>
        </w:rPr>
      </w:pPr>
      <w:r w:rsidRPr="00DA4556">
        <w:rPr>
          <w:rFonts w:ascii="ITC Avant Garde" w:hAnsi="ITC Avant Garde"/>
          <w:b/>
        </w:rPr>
        <w:t>INCISO: 2.5 Especificación de Señalización.</w:t>
      </w:r>
    </w:p>
    <w:p w14:paraId="3304CC14" w14:textId="77777777" w:rsidR="004B006D" w:rsidRPr="004B006D" w:rsidRDefault="004B006D" w:rsidP="004B006D">
      <w:pPr>
        <w:spacing w:line="276" w:lineRule="auto"/>
        <w:jc w:val="both"/>
        <w:rPr>
          <w:rFonts w:ascii="ITC Avant Garde" w:hAnsi="ITC Avant Garde"/>
          <w:b/>
        </w:rPr>
      </w:pPr>
      <w:r w:rsidRPr="004B006D">
        <w:rPr>
          <w:rFonts w:ascii="ITC Avant Garde" w:hAnsi="ITC Avant Garde"/>
          <w:b/>
        </w:rPr>
        <w:t>AXTEL</w:t>
      </w:r>
    </w:p>
    <w:p w14:paraId="7CD5D978" w14:textId="239701E7" w:rsidR="004B006D" w:rsidRDefault="004B006D" w:rsidP="00A36BB2">
      <w:pPr>
        <w:spacing w:line="276" w:lineRule="auto"/>
        <w:jc w:val="both"/>
        <w:rPr>
          <w:rFonts w:ascii="ITC Avant Garde" w:hAnsi="ITC Avant Garde"/>
        </w:rPr>
      </w:pPr>
      <w:r w:rsidRPr="008F66E6">
        <w:rPr>
          <w:rFonts w:ascii="ITC Avant Garde" w:hAnsi="ITC Avant Garde"/>
        </w:rPr>
        <w:t xml:space="preserve">Solicita </w:t>
      </w:r>
      <w:r w:rsidR="00A36BB2" w:rsidRPr="008F66E6">
        <w:rPr>
          <w:rFonts w:ascii="ITC Avant Garde" w:hAnsi="ITC Avant Garde"/>
        </w:rPr>
        <w:t>la eliminaci</w:t>
      </w:r>
      <w:r w:rsidR="00A36BB2" w:rsidRPr="008F66E6">
        <w:rPr>
          <w:rFonts w:ascii="ITC Avant Garde" w:hAnsi="ITC Avant Garde" w:cs="Cambria"/>
        </w:rPr>
        <w:t>ó</w:t>
      </w:r>
      <w:r w:rsidR="00A36BB2" w:rsidRPr="008F66E6">
        <w:rPr>
          <w:rFonts w:ascii="ITC Avant Garde" w:hAnsi="ITC Avant Garde"/>
        </w:rPr>
        <w:t>n del numeral 2</w:t>
      </w:r>
      <w:r w:rsidR="008F66E6" w:rsidRPr="008F66E6">
        <w:rPr>
          <w:rFonts w:ascii="ITC Avant Garde" w:hAnsi="ITC Avant Garde"/>
        </w:rPr>
        <w:t xml:space="preserve"> que se</w:t>
      </w:r>
      <w:r w:rsidR="008F66E6" w:rsidRPr="008F66E6">
        <w:rPr>
          <w:rFonts w:ascii="ITC Avant Garde" w:hAnsi="ITC Avant Garde" w:cs="Cambria"/>
        </w:rPr>
        <w:t>ñ</w:t>
      </w:r>
      <w:r w:rsidR="008F66E6" w:rsidRPr="008F66E6">
        <w:rPr>
          <w:rFonts w:ascii="ITC Avant Garde" w:hAnsi="ITC Avant Garde"/>
        </w:rPr>
        <w:t>ala que e</w:t>
      </w:r>
      <w:r w:rsidR="00A36BB2" w:rsidRPr="008F66E6">
        <w:rPr>
          <w:rFonts w:ascii="ITC Avant Garde" w:hAnsi="ITC Avant Garde"/>
        </w:rPr>
        <w:t>n los casos en que la llamada sea de origen local o nacional se incluir</w:t>
      </w:r>
      <w:r w:rsidR="00A36BB2" w:rsidRPr="008F66E6">
        <w:rPr>
          <w:rFonts w:ascii="ITC Avant Garde" w:hAnsi="ITC Avant Garde" w:cs="Cambria"/>
        </w:rPr>
        <w:t>á</w:t>
      </w:r>
      <w:r w:rsidR="00A36BB2" w:rsidRPr="008F66E6">
        <w:rPr>
          <w:rFonts w:ascii="ITC Avant Garde" w:hAnsi="ITC Avant Garde"/>
        </w:rPr>
        <w:t xml:space="preserve"> el n</w:t>
      </w:r>
      <w:r w:rsidR="00A36BB2" w:rsidRPr="008F66E6">
        <w:rPr>
          <w:rFonts w:ascii="ITC Avant Garde" w:hAnsi="ITC Avant Garde" w:cs="Cambria"/>
        </w:rPr>
        <w:t>ú</w:t>
      </w:r>
      <w:r w:rsidR="00A36BB2" w:rsidRPr="008F66E6">
        <w:rPr>
          <w:rFonts w:ascii="ITC Avant Garde" w:hAnsi="ITC Avant Garde"/>
        </w:rPr>
        <w:t>mero origen de la llamada como n</w:t>
      </w:r>
      <w:r w:rsidR="00A36BB2" w:rsidRPr="008F66E6">
        <w:rPr>
          <w:rFonts w:ascii="ITC Avant Garde" w:hAnsi="ITC Avant Garde" w:cs="Cambria"/>
        </w:rPr>
        <w:t>ú</w:t>
      </w:r>
      <w:r w:rsidR="00A36BB2" w:rsidRPr="008F66E6">
        <w:rPr>
          <w:rFonts w:ascii="ITC Avant Garde" w:hAnsi="ITC Avant Garde"/>
        </w:rPr>
        <w:t>mero nacional dentro del mensaje inicial de direccionamiento (IAM por sus siglas en idioma ingl</w:t>
      </w:r>
      <w:r w:rsidR="00A36BB2" w:rsidRPr="008F66E6">
        <w:rPr>
          <w:rFonts w:ascii="ITC Avant Garde" w:hAnsi="ITC Avant Garde" w:cs="Cambria"/>
        </w:rPr>
        <w:t>é</w:t>
      </w:r>
      <w:r w:rsidR="00A36BB2" w:rsidRPr="008F66E6">
        <w:rPr>
          <w:rFonts w:ascii="ITC Avant Garde" w:hAnsi="ITC Avant Garde"/>
        </w:rPr>
        <w:t>s). En los casos que la llamada sea de origen internacional y cuando el n</w:t>
      </w:r>
      <w:r w:rsidR="00A36BB2" w:rsidRPr="008F66E6">
        <w:rPr>
          <w:rFonts w:ascii="ITC Avant Garde" w:hAnsi="ITC Avant Garde" w:cs="Cambria"/>
        </w:rPr>
        <w:t>ú</w:t>
      </w:r>
      <w:r w:rsidR="00A36BB2" w:rsidRPr="008F66E6">
        <w:rPr>
          <w:rFonts w:ascii="ITC Avant Garde" w:hAnsi="ITC Avant Garde"/>
        </w:rPr>
        <w:t>mero de "A" est</w:t>
      </w:r>
      <w:r w:rsidR="00A36BB2" w:rsidRPr="008F66E6">
        <w:rPr>
          <w:rFonts w:ascii="ITC Avant Garde" w:hAnsi="ITC Avant Garde" w:cs="Cambria"/>
        </w:rPr>
        <w:t>é</w:t>
      </w:r>
      <w:r w:rsidR="00A36BB2" w:rsidRPr="008F66E6">
        <w:rPr>
          <w:rFonts w:ascii="ITC Avant Garde" w:hAnsi="ITC Avant Garde"/>
        </w:rPr>
        <w:t xml:space="preserve"> disponible, se entregar</w:t>
      </w:r>
      <w:r w:rsidR="00A36BB2" w:rsidRPr="008F66E6">
        <w:rPr>
          <w:rFonts w:ascii="ITC Avant Garde" w:hAnsi="ITC Avant Garde" w:cs="Cambria"/>
        </w:rPr>
        <w:t>á</w:t>
      </w:r>
      <w:r w:rsidR="00A36BB2" w:rsidRPr="008F66E6">
        <w:rPr>
          <w:rFonts w:ascii="ITC Avant Garde" w:hAnsi="ITC Avant Garde"/>
        </w:rPr>
        <w:t xml:space="preserve"> a la red de destino en el siguiente</w:t>
      </w:r>
      <w:r w:rsidR="008F66E6" w:rsidRPr="008F66E6">
        <w:rPr>
          <w:rFonts w:ascii="ITC Avant Garde" w:hAnsi="ITC Avant Garde"/>
        </w:rPr>
        <w:t xml:space="preserve">, </w:t>
      </w:r>
      <w:r w:rsidR="006C2DEF">
        <w:rPr>
          <w:rFonts w:ascii="ITC Avant Garde" w:hAnsi="ITC Avant Garde"/>
        </w:rPr>
        <w:t>y</w:t>
      </w:r>
      <w:r w:rsidR="00A36BB2" w:rsidRPr="008F66E6">
        <w:rPr>
          <w:rFonts w:ascii="ITC Avant Garde" w:hAnsi="ITC Avant Garde"/>
        </w:rPr>
        <w:t>a que impacta en la longitud final presentada c</w:t>
      </w:r>
      <w:r w:rsidR="00A36BB2" w:rsidRPr="008F66E6">
        <w:rPr>
          <w:rFonts w:ascii="ITC Avant Garde" w:hAnsi="ITC Avant Garde" w:cs="Cambria"/>
        </w:rPr>
        <w:t>ó</w:t>
      </w:r>
      <w:r w:rsidR="00A36BB2" w:rsidRPr="008F66E6">
        <w:rPr>
          <w:rFonts w:ascii="ITC Avant Garde" w:hAnsi="ITC Avant Garde"/>
        </w:rPr>
        <w:t>mo n</w:t>
      </w:r>
      <w:r w:rsidR="00A36BB2" w:rsidRPr="008F66E6">
        <w:rPr>
          <w:rFonts w:ascii="ITC Avant Garde" w:hAnsi="ITC Avant Garde" w:cs="Cambria"/>
        </w:rPr>
        <w:t>ú</w:t>
      </w:r>
      <w:r w:rsidR="00A36BB2" w:rsidRPr="008F66E6">
        <w:rPr>
          <w:rFonts w:ascii="ITC Avant Garde" w:hAnsi="ITC Avant Garde"/>
        </w:rPr>
        <w:t>mero de Origen</w:t>
      </w:r>
    </w:p>
    <w:p w14:paraId="3E29779A" w14:textId="77777777" w:rsidR="006C2DEF" w:rsidRDefault="006C2DEF" w:rsidP="006C2DEF">
      <w:pPr>
        <w:spacing w:line="276" w:lineRule="auto"/>
        <w:jc w:val="both"/>
        <w:rPr>
          <w:rFonts w:ascii="ITC Avant Garde" w:hAnsi="ITC Avant Garde"/>
          <w:b/>
        </w:rPr>
      </w:pPr>
      <w:r w:rsidRPr="008C0ECE">
        <w:rPr>
          <w:rFonts w:ascii="ITC Avant Garde" w:hAnsi="ITC Avant Garde"/>
          <w:b/>
        </w:rPr>
        <w:lastRenderedPageBreak/>
        <w:t>Consideraciones del Instituto</w:t>
      </w:r>
    </w:p>
    <w:p w14:paraId="7330CD69" w14:textId="1DA15299" w:rsidR="006C2DEF" w:rsidRPr="008F66E6" w:rsidRDefault="006C2DEF" w:rsidP="00A36BB2">
      <w:pPr>
        <w:spacing w:line="276" w:lineRule="auto"/>
        <w:jc w:val="both"/>
        <w:rPr>
          <w:rFonts w:ascii="ITC Avant Garde" w:hAnsi="ITC Avant Garde"/>
        </w:rPr>
      </w:pPr>
      <w:r>
        <w:rPr>
          <w:rFonts w:ascii="ITC Avant Garde" w:hAnsi="ITC Avant Garde"/>
        </w:rPr>
        <w:t>Al respecto se señala que la modificación solicitada por Axtel excede el alcance del documento sometido a consulta pública.</w:t>
      </w:r>
    </w:p>
    <w:p w14:paraId="7C49EB73" w14:textId="7F680337" w:rsidR="00BF300D" w:rsidRDefault="00BF300D" w:rsidP="006625C5">
      <w:pPr>
        <w:spacing w:line="276" w:lineRule="auto"/>
        <w:jc w:val="both"/>
        <w:rPr>
          <w:rFonts w:ascii="ITC Avant Garde" w:hAnsi="ITC Avant Garde"/>
          <w:b/>
          <w:u w:val="single"/>
        </w:rPr>
      </w:pPr>
      <w:r>
        <w:rPr>
          <w:rFonts w:ascii="ITC Avant Garde" w:hAnsi="ITC Avant Garde"/>
          <w:b/>
          <w:u w:val="single"/>
        </w:rPr>
        <w:t xml:space="preserve">3.1 </w:t>
      </w:r>
      <w:r w:rsidRPr="00BF300D">
        <w:rPr>
          <w:rFonts w:ascii="ITC Avant Garde" w:hAnsi="ITC Avant Garde"/>
          <w:b/>
          <w:u w:val="single"/>
        </w:rPr>
        <w:t>REALIZACIÓN FÍSICA</w:t>
      </w:r>
      <w:r>
        <w:rPr>
          <w:rFonts w:ascii="ITC Avant Garde" w:hAnsi="ITC Avant Garde"/>
          <w:b/>
          <w:u w:val="single"/>
        </w:rPr>
        <w:t xml:space="preserve"> </w:t>
      </w:r>
    </w:p>
    <w:p w14:paraId="605B67AC" w14:textId="74A88764" w:rsidR="00BF300D" w:rsidRDefault="00BF300D" w:rsidP="006625C5">
      <w:pPr>
        <w:spacing w:line="276" w:lineRule="auto"/>
        <w:jc w:val="both"/>
        <w:rPr>
          <w:rFonts w:ascii="ITC Avant Garde" w:hAnsi="ITC Avant Garde"/>
          <w:b/>
          <w:u w:val="single"/>
        </w:rPr>
      </w:pPr>
      <w:r>
        <w:rPr>
          <w:rFonts w:ascii="ITC Avant Garde" w:hAnsi="ITC Avant Garde"/>
          <w:b/>
          <w:u w:val="single"/>
        </w:rPr>
        <w:t>MEGA CABLE</w:t>
      </w:r>
      <w:r w:rsidR="00FD5D01">
        <w:rPr>
          <w:rFonts w:ascii="ITC Avant Garde" w:hAnsi="ITC Avant Garde"/>
          <w:b/>
          <w:u w:val="single"/>
        </w:rPr>
        <w:t>,</w:t>
      </w:r>
      <w:r>
        <w:rPr>
          <w:rFonts w:ascii="ITC Avant Garde" w:hAnsi="ITC Avant Garde"/>
          <w:b/>
          <w:u w:val="single"/>
        </w:rPr>
        <w:t xml:space="preserve"> CANIETI</w:t>
      </w:r>
      <w:r w:rsidR="00E35817">
        <w:rPr>
          <w:rFonts w:ascii="ITC Avant Garde" w:hAnsi="ITC Avant Garde"/>
          <w:b/>
          <w:u w:val="single"/>
        </w:rPr>
        <w:t>, TELEFÓNICA</w:t>
      </w:r>
      <w:r w:rsidR="00FD5D01">
        <w:rPr>
          <w:rFonts w:ascii="ITC Avant Garde" w:hAnsi="ITC Avant Garde"/>
          <w:b/>
          <w:u w:val="single"/>
        </w:rPr>
        <w:t xml:space="preserve"> Y ALTÁN</w:t>
      </w:r>
    </w:p>
    <w:p w14:paraId="5A931C5E" w14:textId="7F36DDF1" w:rsidR="00E35817" w:rsidRDefault="00A36BB2" w:rsidP="00FD5D01">
      <w:pPr>
        <w:spacing w:line="276" w:lineRule="auto"/>
        <w:jc w:val="both"/>
        <w:rPr>
          <w:rFonts w:ascii="ITC Avant Garde" w:hAnsi="ITC Avant Garde"/>
        </w:rPr>
      </w:pPr>
      <w:r>
        <w:rPr>
          <w:rFonts w:ascii="ITC Avant Garde" w:hAnsi="ITC Avant Garde"/>
        </w:rPr>
        <w:t>Respecto a que</w:t>
      </w:r>
      <w:r w:rsidR="00BF300D" w:rsidRPr="00BF300D">
        <w:rPr>
          <w:rFonts w:ascii="ITC Avant Garde" w:hAnsi="ITC Avant Garde"/>
        </w:rPr>
        <w:t xml:space="preserve"> la interfaz activa se crecerá con incrementos de 10 Mbps o 100 Mbps</w:t>
      </w:r>
      <w:r>
        <w:rPr>
          <w:rFonts w:ascii="ITC Avant Garde" w:hAnsi="ITC Avant Garde"/>
        </w:rPr>
        <w:t xml:space="preserve">, </w:t>
      </w:r>
      <w:r w:rsidR="00BF300D" w:rsidRPr="00BF300D">
        <w:rPr>
          <w:rFonts w:ascii="ITC Avant Garde" w:hAnsi="ITC Avant Garde"/>
        </w:rPr>
        <w:t>propone</w:t>
      </w:r>
      <w:r w:rsidR="00FB5565">
        <w:rPr>
          <w:rFonts w:ascii="ITC Avant Garde" w:hAnsi="ITC Avant Garde"/>
        </w:rPr>
        <w:t>n</w:t>
      </w:r>
      <w:r w:rsidR="00BF300D" w:rsidRPr="00BF300D">
        <w:rPr>
          <w:rFonts w:ascii="ITC Avant Garde" w:hAnsi="ITC Avant Garde"/>
        </w:rPr>
        <w:t xml:space="preserve"> </w:t>
      </w:r>
      <w:r>
        <w:rPr>
          <w:rFonts w:ascii="ITC Avant Garde" w:hAnsi="ITC Avant Garde"/>
        </w:rPr>
        <w:t>que la interfaz activa sea de 1 Gbps y que los incrementos se realicen al llegar al 85% de ocupación.</w:t>
      </w:r>
    </w:p>
    <w:p w14:paraId="1756EA58" w14:textId="6D2181DA" w:rsidR="00E35817" w:rsidRPr="00E35817" w:rsidRDefault="00E35817" w:rsidP="00E35817">
      <w:pPr>
        <w:spacing w:line="276" w:lineRule="auto"/>
        <w:jc w:val="both"/>
        <w:rPr>
          <w:rFonts w:ascii="ITC Avant Garde" w:hAnsi="ITC Avant Garde"/>
        </w:rPr>
      </w:pPr>
      <w:r w:rsidRPr="00147CB5">
        <w:rPr>
          <w:rFonts w:ascii="ITC Avant Garde" w:hAnsi="ITC Avant Garde"/>
          <w:highlight w:val="yellow"/>
        </w:rPr>
        <w:t>Telefónica solicita que se modifique el último párrafo señalando que la interfaz activa se incrementará al 50% de su ocupación y que los incrementos serán conforme al volumen de tráfico histórico, debido a que se requiere que el umbral máximo disminuya al 50%, ya que ha sucedido que cuando hay una falla en un enlace y se requiere re enrutar el tráfico, no existe la capacidad suficiente en los enlaces para hacerlo.</w:t>
      </w:r>
      <w:r w:rsidRPr="00E35817">
        <w:rPr>
          <w:rFonts w:ascii="ITC Avant Garde" w:hAnsi="ITC Avant Garde"/>
        </w:rPr>
        <w:t xml:space="preserve"> </w:t>
      </w:r>
    </w:p>
    <w:p w14:paraId="2309F24A" w14:textId="63317C52" w:rsidR="00BF300D" w:rsidRDefault="00BF300D" w:rsidP="006625C5">
      <w:pPr>
        <w:spacing w:line="276" w:lineRule="auto"/>
        <w:jc w:val="both"/>
        <w:rPr>
          <w:rFonts w:ascii="ITC Avant Garde" w:hAnsi="ITC Avant Garde"/>
          <w:b/>
          <w:u w:val="single"/>
        </w:rPr>
      </w:pPr>
      <w:r w:rsidRPr="00BF300D">
        <w:rPr>
          <w:rFonts w:ascii="ITC Avant Garde" w:hAnsi="ITC Avant Garde"/>
          <w:b/>
          <w:u w:val="single"/>
        </w:rPr>
        <w:t>Consideraciones del Instituto</w:t>
      </w:r>
    </w:p>
    <w:p w14:paraId="32B08BC7" w14:textId="1A3F8158" w:rsidR="00C8759D" w:rsidRDefault="00C8759D" w:rsidP="00C8759D">
      <w:pPr>
        <w:spacing w:line="276" w:lineRule="auto"/>
        <w:jc w:val="both"/>
        <w:rPr>
          <w:rFonts w:ascii="ITC Avant Garde" w:hAnsi="ITC Avant Garde"/>
        </w:rPr>
      </w:pPr>
      <w:r>
        <w:rPr>
          <w:rFonts w:ascii="ITC Avant Garde" w:hAnsi="ITC Avant Garde"/>
        </w:rPr>
        <w:t xml:space="preserve">Respecto a la interfaz activa de manejo de tráfico solicitada </w:t>
      </w:r>
      <w:r w:rsidR="00FB5565">
        <w:rPr>
          <w:rFonts w:ascii="ITC Avant Garde" w:hAnsi="ITC Avant Garde"/>
        </w:rPr>
        <w:t>de</w:t>
      </w:r>
      <w:r>
        <w:rPr>
          <w:rFonts w:ascii="ITC Avant Garde" w:hAnsi="ITC Avant Garde"/>
        </w:rPr>
        <w:t xml:space="preserve"> 1 Gbps, se considera que los incrementos de capacidad de 10 Mbps o 100 Mbps deberán realizarse de acuerdo con el volumen de tráfico cursado, esto es, de acuerdo con la utilización de las interfaces por lo que, una interfaz de 1 Gbps significaría en algunos casos para algunos concesionarios la capacidad total requerida para cursar la totalidad de tráfico e incluso, en algunos casos capacidad excedente, por lo anterior no se considera necesaria la modificación solicitada.  </w:t>
      </w:r>
    </w:p>
    <w:p w14:paraId="544060AA" w14:textId="2C5D3D30" w:rsidR="006C2DEF" w:rsidRDefault="006C2DEF" w:rsidP="006C2DEF">
      <w:pPr>
        <w:spacing w:line="276" w:lineRule="auto"/>
        <w:jc w:val="both"/>
        <w:rPr>
          <w:rFonts w:ascii="ITC Avant Garde" w:hAnsi="ITC Avant Garde"/>
        </w:rPr>
      </w:pPr>
      <w:r>
        <w:rPr>
          <w:rFonts w:ascii="ITC Avant Garde" w:hAnsi="ITC Avant Garde"/>
        </w:rPr>
        <w:t>Sobre considerar el volumen de tráfico histórico, se señala que es responsabilidad de cada concesionario contar con la capacidad suficiente en los enlaces y en los puertos para recibir y entregar tráfico.</w:t>
      </w:r>
    </w:p>
    <w:p w14:paraId="42A40D23" w14:textId="7E5EB7FB" w:rsidR="0043626B" w:rsidRDefault="0043626B" w:rsidP="006625C5">
      <w:pPr>
        <w:spacing w:line="276" w:lineRule="auto"/>
        <w:jc w:val="both"/>
        <w:rPr>
          <w:rFonts w:ascii="ITC Avant Garde" w:hAnsi="ITC Avant Garde"/>
          <w:b/>
          <w:u w:val="single"/>
        </w:rPr>
      </w:pPr>
      <w:r w:rsidRPr="0043626B">
        <w:rPr>
          <w:rFonts w:ascii="ITC Avant Garde" w:hAnsi="ITC Avant Garde"/>
          <w:b/>
          <w:u w:val="single"/>
        </w:rPr>
        <w:t>TEMA 5. Operación y Mantenimiento.</w:t>
      </w:r>
    </w:p>
    <w:p w14:paraId="174F1C80" w14:textId="72E388BA" w:rsidR="0043626B" w:rsidRPr="00147CB5" w:rsidRDefault="0043626B" w:rsidP="006625C5">
      <w:pPr>
        <w:spacing w:line="276" w:lineRule="auto"/>
        <w:jc w:val="both"/>
        <w:rPr>
          <w:rFonts w:ascii="ITC Avant Garde" w:hAnsi="ITC Avant Garde"/>
          <w:b/>
        </w:rPr>
      </w:pPr>
      <w:r w:rsidRPr="00147CB5">
        <w:rPr>
          <w:rFonts w:ascii="ITC Avant Garde" w:hAnsi="ITC Avant Garde"/>
          <w:b/>
        </w:rPr>
        <w:t>GRUPO AT&amp;T</w:t>
      </w:r>
    </w:p>
    <w:p w14:paraId="417C0E78" w14:textId="20BDC1D0" w:rsidR="0043626B" w:rsidRPr="0043626B" w:rsidRDefault="00C8759D" w:rsidP="0043626B">
      <w:pPr>
        <w:spacing w:line="276" w:lineRule="auto"/>
        <w:jc w:val="both"/>
        <w:rPr>
          <w:rFonts w:ascii="ITC Avant Garde" w:hAnsi="ITC Avant Garde"/>
        </w:rPr>
      </w:pPr>
      <w:r>
        <w:rPr>
          <w:rFonts w:ascii="ITC Avant Garde" w:hAnsi="ITC Avant Garde"/>
        </w:rPr>
        <w:t>Observan que</w:t>
      </w:r>
      <w:r w:rsidR="0043626B" w:rsidRPr="0043626B">
        <w:rPr>
          <w:rFonts w:ascii="ITC Avant Garde" w:hAnsi="ITC Avant Garde"/>
        </w:rPr>
        <w:t xml:space="preserve"> </w:t>
      </w:r>
      <w:r>
        <w:rPr>
          <w:rFonts w:ascii="ITC Avant Garde" w:hAnsi="ITC Avant Garde"/>
        </w:rPr>
        <w:t>m</w:t>
      </w:r>
      <w:r w:rsidR="0043626B" w:rsidRPr="0043626B">
        <w:rPr>
          <w:rFonts w:ascii="ITC Avant Garde" w:hAnsi="ITC Avant Garde"/>
        </w:rPr>
        <w:t xml:space="preserve">ás allá de quién provea los enlaces, </w:t>
      </w:r>
      <w:r w:rsidR="003A0013">
        <w:rPr>
          <w:rFonts w:ascii="ITC Avant Garde" w:hAnsi="ITC Avant Garde"/>
        </w:rPr>
        <w:t>Telmex/Telnor</w:t>
      </w:r>
      <w:r w:rsidR="0043626B" w:rsidRPr="0043626B">
        <w:rPr>
          <w:rFonts w:ascii="ITC Avant Garde" w:hAnsi="ITC Avant Garde"/>
        </w:rPr>
        <w:t xml:space="preserve"> sigue siendo responsable cuando le corresponda contratar sus enlaces y ocuparse de que operen correctamente. </w:t>
      </w:r>
      <w:r w:rsidR="00730330">
        <w:rPr>
          <w:rFonts w:ascii="ITC Avant Garde" w:hAnsi="ITC Avant Garde"/>
        </w:rPr>
        <w:t>Por lo que sugieren</w:t>
      </w:r>
      <w:r w:rsidR="0043626B" w:rsidRPr="0043626B">
        <w:rPr>
          <w:rFonts w:ascii="ITC Avant Garde" w:hAnsi="ITC Avant Garde"/>
        </w:rPr>
        <w:t xml:space="preserve"> </w:t>
      </w:r>
      <w:r w:rsidR="00730330">
        <w:rPr>
          <w:rFonts w:ascii="ITC Avant Garde" w:hAnsi="ITC Avant Garde"/>
        </w:rPr>
        <w:t xml:space="preserve">que estos </w:t>
      </w:r>
      <w:r w:rsidR="0043626B" w:rsidRPr="0043626B">
        <w:rPr>
          <w:rFonts w:ascii="ITC Avant Garde" w:hAnsi="ITC Avant Garde"/>
        </w:rPr>
        <w:t xml:space="preserve">temas queden redactados como estaban en el convenio vigente de 2020. </w:t>
      </w:r>
    </w:p>
    <w:p w14:paraId="497D46EC" w14:textId="37CF5492" w:rsidR="0043626B" w:rsidRDefault="00FC794C" w:rsidP="006625C5">
      <w:pPr>
        <w:spacing w:line="276" w:lineRule="auto"/>
        <w:jc w:val="both"/>
        <w:rPr>
          <w:rFonts w:ascii="ITC Avant Garde" w:hAnsi="ITC Avant Garde"/>
          <w:b/>
          <w:u w:val="single"/>
        </w:rPr>
      </w:pPr>
      <w:r w:rsidRPr="00FC794C">
        <w:rPr>
          <w:rFonts w:ascii="ITC Avant Garde" w:hAnsi="ITC Avant Garde"/>
          <w:b/>
          <w:u w:val="single"/>
        </w:rPr>
        <w:t>Consideraciones del Instituto</w:t>
      </w:r>
    </w:p>
    <w:p w14:paraId="2E8F84E6" w14:textId="411A2473" w:rsidR="00131B7A" w:rsidRDefault="00147CB5" w:rsidP="00131B7A">
      <w:pPr>
        <w:spacing w:line="276" w:lineRule="auto"/>
        <w:jc w:val="both"/>
        <w:rPr>
          <w:rFonts w:ascii="ITC Avant Garde" w:hAnsi="ITC Avant Garde"/>
        </w:rPr>
      </w:pPr>
      <w:r>
        <w:rPr>
          <w:rFonts w:ascii="ITC Avant Garde" w:hAnsi="ITC Avant Garde"/>
        </w:rPr>
        <w:t>Conforme al Plan de Separación Funcional la prestación del servicio de enlaces es responsabilidad de la Red Última Milla, en este sentido, dichas condiciones de operación forman parte de las ofertas de referencia que al efecto se aprueben.</w:t>
      </w:r>
    </w:p>
    <w:p w14:paraId="5FC1A787" w14:textId="51050AD4" w:rsidR="007A26B2" w:rsidRDefault="009D48A6" w:rsidP="006625C5">
      <w:pPr>
        <w:spacing w:line="276" w:lineRule="auto"/>
        <w:jc w:val="both"/>
        <w:rPr>
          <w:rFonts w:ascii="ITC Avant Garde" w:hAnsi="ITC Avant Garde"/>
          <w:b/>
          <w:u w:val="single"/>
        </w:rPr>
      </w:pPr>
      <w:r>
        <w:rPr>
          <w:rFonts w:ascii="ITC Avant Garde" w:hAnsi="ITC Avant Garde"/>
          <w:b/>
          <w:u w:val="single"/>
        </w:rPr>
        <w:lastRenderedPageBreak/>
        <w:t>Anexo B Precios y T</w:t>
      </w:r>
      <w:r w:rsidRPr="009D48A6">
        <w:rPr>
          <w:rFonts w:ascii="ITC Avant Garde" w:hAnsi="ITC Avant Garde"/>
          <w:b/>
          <w:u w:val="single"/>
        </w:rPr>
        <w:t>arifas</w:t>
      </w:r>
    </w:p>
    <w:p w14:paraId="2344D863" w14:textId="695DD34C" w:rsidR="009D48A6" w:rsidRPr="00147CB5" w:rsidRDefault="00967182" w:rsidP="00147CB5">
      <w:pPr>
        <w:spacing w:line="276" w:lineRule="auto"/>
        <w:jc w:val="both"/>
        <w:rPr>
          <w:rFonts w:ascii="ITC Avant Garde" w:hAnsi="ITC Avant Garde"/>
          <w:b/>
        </w:rPr>
      </w:pPr>
      <w:r w:rsidRPr="00147CB5">
        <w:rPr>
          <w:rFonts w:ascii="ITC Avant Garde" w:hAnsi="ITC Avant Garde"/>
          <w:b/>
        </w:rPr>
        <w:t>Servicios Conmutados de Interconexión</w:t>
      </w:r>
    </w:p>
    <w:p w14:paraId="232E087C" w14:textId="58E0B75C" w:rsidR="00967182" w:rsidRDefault="00F4126F" w:rsidP="00967182">
      <w:pPr>
        <w:spacing w:line="276" w:lineRule="auto"/>
        <w:jc w:val="both"/>
        <w:rPr>
          <w:rFonts w:ascii="ITC Avant Garde" w:hAnsi="ITC Avant Garde"/>
          <w:b/>
        </w:rPr>
      </w:pPr>
      <w:r>
        <w:rPr>
          <w:rFonts w:ascii="ITC Avant Garde" w:hAnsi="ITC Avant Garde"/>
          <w:b/>
        </w:rPr>
        <w:t xml:space="preserve">TELEFÓNICA </w:t>
      </w:r>
    </w:p>
    <w:p w14:paraId="0176C0BB" w14:textId="5428ED0F" w:rsidR="00F4126F" w:rsidRPr="00F4126F" w:rsidRDefault="00F4126F" w:rsidP="00F4126F">
      <w:pPr>
        <w:spacing w:line="276" w:lineRule="auto"/>
        <w:jc w:val="both"/>
        <w:rPr>
          <w:rFonts w:ascii="ITC Avant Garde" w:hAnsi="ITC Avant Garde"/>
        </w:rPr>
      </w:pPr>
      <w:r w:rsidRPr="00F4126F">
        <w:rPr>
          <w:rFonts w:ascii="ITC Avant Garde" w:hAnsi="ITC Avant Garde"/>
        </w:rPr>
        <w:t>Solicita</w:t>
      </w:r>
      <w:r w:rsidR="00701B40">
        <w:rPr>
          <w:rFonts w:ascii="ITC Avant Garde" w:hAnsi="ITC Avant Garde"/>
        </w:rPr>
        <w:t>n</w:t>
      </w:r>
      <w:r w:rsidRPr="00F4126F">
        <w:rPr>
          <w:rFonts w:ascii="ITC Avant Garde" w:hAnsi="ITC Avant Garde"/>
        </w:rPr>
        <w:t xml:space="preserve"> que en el apartado de Servicios Conmutados de Interconexión en los numerales 1.2 y 1.3 se establezca por separado el monto que corresponde, como pago de Telnor hacia el operador, por concepto de servicios de terminación/originación del servicio local en usuarios fijos del concepto de servicios de terminación del servicio local en usuarios móviles.</w:t>
      </w:r>
    </w:p>
    <w:p w14:paraId="29D5E535" w14:textId="77777777" w:rsidR="00F4126F" w:rsidRDefault="00F4126F" w:rsidP="00F4126F">
      <w:pPr>
        <w:spacing w:line="276" w:lineRule="auto"/>
        <w:jc w:val="both"/>
        <w:rPr>
          <w:rFonts w:ascii="ITC Avant Garde" w:hAnsi="ITC Avant Garde"/>
        </w:rPr>
      </w:pPr>
      <w:r w:rsidRPr="00F4126F">
        <w:rPr>
          <w:rFonts w:ascii="ITC Avant Garde" w:hAnsi="ITC Avant Garde"/>
        </w:rPr>
        <w:t>Esto porque pareciera, por la redacción, que se tiene la misma tarifa para fijos y móviles, por lo que se pide que se separen las tarifas en incisos individuales, ya que no son tarifas iguales.</w:t>
      </w:r>
    </w:p>
    <w:p w14:paraId="492707A3" w14:textId="77777777" w:rsidR="00C86F96" w:rsidRDefault="00216FD9" w:rsidP="00967182">
      <w:pPr>
        <w:spacing w:line="276" w:lineRule="auto"/>
        <w:jc w:val="both"/>
        <w:rPr>
          <w:rFonts w:ascii="ITC Avant Garde" w:hAnsi="ITC Avant Garde"/>
          <w:b/>
        </w:rPr>
      </w:pPr>
      <w:r>
        <w:rPr>
          <w:rFonts w:ascii="ITC Avant Garde" w:hAnsi="ITC Avant Garde"/>
          <w:b/>
        </w:rPr>
        <w:t>Consideraciones del Instituto</w:t>
      </w:r>
    </w:p>
    <w:p w14:paraId="64377E64" w14:textId="6DF26FAB" w:rsidR="00E56C29" w:rsidRDefault="00E56C29" w:rsidP="00967182">
      <w:pPr>
        <w:spacing w:line="276" w:lineRule="auto"/>
        <w:jc w:val="both"/>
        <w:rPr>
          <w:rFonts w:ascii="ITC Avant Garde" w:hAnsi="ITC Avant Garde"/>
        </w:rPr>
      </w:pPr>
      <w:r w:rsidRPr="00E56C29">
        <w:rPr>
          <w:rFonts w:ascii="ITC Avant Garde" w:hAnsi="ITC Avant Garde"/>
        </w:rPr>
        <w:t>A la firma del convenio se precisa el tipo de red con el que se está suscribiendo, así como el monto de la tarifa, por lo que no se considera necesario hacer modificaciones.</w:t>
      </w:r>
    </w:p>
    <w:p w14:paraId="257739C1" w14:textId="4E3F1AE9" w:rsidR="00F4126F" w:rsidRDefault="00F4126F" w:rsidP="00967182">
      <w:pPr>
        <w:spacing w:line="276" w:lineRule="auto"/>
        <w:jc w:val="both"/>
        <w:rPr>
          <w:rFonts w:ascii="ITC Avant Garde" w:hAnsi="ITC Avant Garde"/>
          <w:b/>
        </w:rPr>
      </w:pPr>
      <w:r>
        <w:rPr>
          <w:rFonts w:ascii="ITC Avant Garde" w:hAnsi="ITC Avant Garde"/>
          <w:b/>
        </w:rPr>
        <w:t>Numeral 7</w:t>
      </w:r>
    </w:p>
    <w:p w14:paraId="65F82E8A" w14:textId="796A1FDF" w:rsidR="00F4126F" w:rsidRDefault="00F4126F" w:rsidP="00967182">
      <w:pPr>
        <w:spacing w:line="276" w:lineRule="auto"/>
        <w:jc w:val="both"/>
        <w:rPr>
          <w:rFonts w:ascii="ITC Avant Garde" w:hAnsi="ITC Avant Garde"/>
          <w:b/>
        </w:rPr>
      </w:pPr>
      <w:r>
        <w:rPr>
          <w:rFonts w:ascii="ITC Avant Garde" w:hAnsi="ITC Avant Garde"/>
          <w:b/>
        </w:rPr>
        <w:t>TELEFÓNICA Y GRUPO TELEVISA</w:t>
      </w:r>
    </w:p>
    <w:p w14:paraId="55A22BA8" w14:textId="32A6C87E" w:rsidR="00F4126F" w:rsidRDefault="00F07036" w:rsidP="00BC1BBA">
      <w:pPr>
        <w:spacing w:line="276" w:lineRule="auto"/>
        <w:jc w:val="both"/>
        <w:rPr>
          <w:rFonts w:ascii="ITC Avant Garde" w:hAnsi="ITC Avant Garde"/>
        </w:rPr>
      </w:pPr>
      <w:r>
        <w:rPr>
          <w:rFonts w:ascii="ITC Avant Garde" w:hAnsi="ITC Avant Garde"/>
        </w:rPr>
        <w:t>Grupo Televisa s</w:t>
      </w:r>
      <w:r w:rsidR="00BC1BBA" w:rsidRPr="00BC1BBA">
        <w:rPr>
          <w:rFonts w:ascii="ITC Avant Garde" w:hAnsi="ITC Avant Garde"/>
        </w:rPr>
        <w:t>ugiere eliminar toda referencia del Convenio Marco donde se mencione que, en caso de que el AEP dej</w:t>
      </w:r>
      <w:r w:rsidR="00A45ED3">
        <w:rPr>
          <w:rFonts w:ascii="ITC Avant Garde" w:hAnsi="ITC Avant Garde"/>
        </w:rPr>
        <w:t>e</w:t>
      </w:r>
      <w:r w:rsidR="00BC1BBA" w:rsidRPr="00BC1BBA">
        <w:rPr>
          <w:rFonts w:ascii="ITC Avant Garde" w:hAnsi="ITC Avant Garde"/>
        </w:rPr>
        <w:t xml:space="preserve"> de serlo, se tengan que negociar exclusivamente entre las partes. Adicionalmente, sugieren añadir cláusulas en las partes relevantes del Convenio (que sustituyan a las anteriores) que especifiquen que, en el caso de que el AEP dejara de serlo, el </w:t>
      </w:r>
      <w:r w:rsidR="00BC45FD">
        <w:rPr>
          <w:rFonts w:ascii="ITC Avant Garde" w:hAnsi="ITC Avant Garde"/>
        </w:rPr>
        <w:t>Instituto</w:t>
      </w:r>
      <w:r w:rsidR="00BC1BBA" w:rsidRPr="00BC1BBA">
        <w:rPr>
          <w:rFonts w:ascii="ITC Avant Garde" w:hAnsi="ITC Avant Garde"/>
        </w:rPr>
        <w:t xml:space="preserve"> impondrá un plan de transición, con sus correspondientes características técnicas y comerciales, en el que se garantice que se tienen en cuenta las inversiones realizadas y su plazo de recuperación, la existencia de alternativas a la infraestructura del AEP, y la continuada prestación de los servici</w:t>
      </w:r>
      <w:r w:rsidR="00BC45FD">
        <w:rPr>
          <w:rFonts w:ascii="ITC Avant Garde" w:hAnsi="ITC Avant Garde"/>
        </w:rPr>
        <w:t>os a los usuarios finales, etc.</w:t>
      </w:r>
    </w:p>
    <w:p w14:paraId="1281530C" w14:textId="24C18679" w:rsidR="007C1320" w:rsidRPr="007C1320" w:rsidRDefault="007C1320" w:rsidP="007C1320">
      <w:pPr>
        <w:spacing w:line="276" w:lineRule="auto"/>
        <w:jc w:val="both"/>
        <w:rPr>
          <w:rFonts w:ascii="ITC Avant Garde" w:hAnsi="ITC Avant Garde"/>
        </w:rPr>
      </w:pPr>
      <w:r>
        <w:rPr>
          <w:rFonts w:ascii="ITC Avant Garde" w:hAnsi="ITC Avant Garde"/>
        </w:rPr>
        <w:t xml:space="preserve">Telefónica señala que no </w:t>
      </w:r>
      <w:r w:rsidRPr="007C1320">
        <w:rPr>
          <w:rFonts w:ascii="ITC Avant Garde" w:hAnsi="ITC Avant Garde"/>
        </w:rPr>
        <w:t xml:space="preserve">se tiene sustento jurídico para que </w:t>
      </w:r>
      <w:r w:rsidR="003A0013">
        <w:rPr>
          <w:rFonts w:ascii="ITC Avant Garde" w:hAnsi="ITC Avant Garde"/>
        </w:rPr>
        <w:t>Telmex/Telnor</w:t>
      </w:r>
      <w:r w:rsidRPr="007C1320">
        <w:rPr>
          <w:rFonts w:ascii="ITC Avant Garde" w:hAnsi="ITC Avant Garde"/>
        </w:rPr>
        <w:t xml:space="preserve"> establezca y vincule a los concesionarios al resultado de sus litigios y a que cuando </w:t>
      </w:r>
      <w:r w:rsidR="003A0013">
        <w:rPr>
          <w:rFonts w:ascii="ITC Avant Garde" w:hAnsi="ITC Avant Garde"/>
        </w:rPr>
        <w:t>Telmex/Telnor</w:t>
      </w:r>
      <w:r w:rsidRPr="007C1320">
        <w:rPr>
          <w:rFonts w:ascii="ITC Avant Garde" w:hAnsi="ITC Avant Garde"/>
        </w:rPr>
        <w:t xml:space="preserve"> deje de tener el carácter de agente económico preponderante el Concesionario se obligue a negociar cualquier tipo de términos y condiciones. Debe recordarse que aun cuando dicho operador ya no tenga en carácter de agente económico preponderante esto no elimina de inmediato ni de facto la regulación asimétrica ya que puede ser considerado con poder sustancial o dominante en el mercado.</w:t>
      </w:r>
    </w:p>
    <w:p w14:paraId="6C9185B4" w14:textId="4C4E0664" w:rsidR="00F07036" w:rsidRPr="00BC1BBA" w:rsidRDefault="007C1320" w:rsidP="007C1320">
      <w:pPr>
        <w:spacing w:line="276" w:lineRule="auto"/>
        <w:jc w:val="both"/>
        <w:rPr>
          <w:rFonts w:ascii="ITC Avant Garde" w:hAnsi="ITC Avant Garde"/>
        </w:rPr>
      </w:pPr>
      <w:r w:rsidRPr="007C1320">
        <w:rPr>
          <w:rFonts w:ascii="ITC Avant Garde" w:hAnsi="ITC Avant Garde"/>
        </w:rPr>
        <w:t xml:space="preserve">Aunado a ello, vincula a los concesionarios solicitantes con sus impugnaciones cuando estos son hechos unilaterales de </w:t>
      </w:r>
      <w:r w:rsidR="003A0013">
        <w:rPr>
          <w:rFonts w:ascii="ITC Avant Garde" w:hAnsi="ITC Avant Garde"/>
        </w:rPr>
        <w:t>Telmex/Telnor</w:t>
      </w:r>
      <w:r w:rsidRPr="007C1320">
        <w:rPr>
          <w:rFonts w:ascii="ITC Avant Garde" w:hAnsi="ITC Avant Garde"/>
        </w:rPr>
        <w:t xml:space="preserve"> de los que se desconoce el alcance que tendrán y de donde en muchos casos los concesionarios ni siquiera son </w:t>
      </w:r>
      <w:r w:rsidRPr="007C1320">
        <w:rPr>
          <w:rFonts w:ascii="ITC Avant Garde" w:hAnsi="ITC Avant Garde"/>
        </w:rPr>
        <w:lastRenderedPageBreak/>
        <w:t xml:space="preserve">parte, esto no debe quedar a nivel anexo en su clausulado, sino en su caso como simples declaraciones de </w:t>
      </w:r>
      <w:r w:rsidR="003A0013">
        <w:rPr>
          <w:rFonts w:ascii="ITC Avant Garde" w:hAnsi="ITC Avant Garde"/>
        </w:rPr>
        <w:t>Telmex/Telnor</w:t>
      </w:r>
      <w:r w:rsidRPr="007C1320">
        <w:rPr>
          <w:rFonts w:ascii="ITC Avant Garde" w:hAnsi="ITC Avant Garde"/>
        </w:rPr>
        <w:t>.</w:t>
      </w:r>
    </w:p>
    <w:p w14:paraId="61671132" w14:textId="77777777" w:rsidR="00A33067" w:rsidRDefault="00A33067" w:rsidP="00A33067">
      <w:pPr>
        <w:spacing w:line="276" w:lineRule="auto"/>
        <w:jc w:val="both"/>
        <w:rPr>
          <w:rFonts w:ascii="ITC Avant Garde" w:hAnsi="ITC Avant Garde"/>
          <w:b/>
        </w:rPr>
      </w:pPr>
      <w:r>
        <w:rPr>
          <w:rFonts w:ascii="ITC Avant Garde" w:hAnsi="ITC Avant Garde"/>
          <w:b/>
        </w:rPr>
        <w:t>Consideraciones del Instituto</w:t>
      </w:r>
    </w:p>
    <w:p w14:paraId="2776B360" w14:textId="6EC90494" w:rsidR="00F4126F" w:rsidRDefault="00A33067" w:rsidP="0018613B">
      <w:pPr>
        <w:spacing w:line="276" w:lineRule="auto"/>
        <w:jc w:val="both"/>
        <w:rPr>
          <w:rFonts w:ascii="ITC Avant Garde" w:hAnsi="ITC Avant Garde"/>
          <w:b/>
        </w:rPr>
      </w:pPr>
      <w:r w:rsidRPr="0018613B">
        <w:rPr>
          <w:rFonts w:ascii="ITC Avant Garde" w:hAnsi="ITC Avant Garde"/>
          <w:lang w:val="es-ES_tradnl"/>
        </w:rPr>
        <w:t>Conforme a l</w:t>
      </w:r>
      <w:r w:rsidR="0018613B" w:rsidRPr="0018613B">
        <w:rPr>
          <w:rFonts w:ascii="ITC Avant Garde" w:hAnsi="ITC Avant Garde"/>
          <w:lang w:val="es-ES_tradnl"/>
        </w:rPr>
        <w:t>o señalado en la Cláusula Décimo</w:t>
      </w:r>
      <w:r w:rsidRPr="0018613B">
        <w:rPr>
          <w:rFonts w:ascii="ITC Avant Garde" w:hAnsi="ITC Avant Garde"/>
          <w:lang w:val="es-ES_tradnl"/>
        </w:rPr>
        <w:t xml:space="preserve"> Novena, </w:t>
      </w:r>
      <w:r w:rsidR="0018613B" w:rsidRPr="00DA4556">
        <w:rPr>
          <w:rFonts w:ascii="ITC Avant Garde" w:hAnsi="ITC Avant Garde"/>
          <w:lang w:val="es-ES_tradnl"/>
        </w:rPr>
        <w:t>las partes negociarán las nuevas condiciones, términos y tarifas de conformidad con lo dispuesto en el artículo 129 de la Ley</w:t>
      </w:r>
      <w:r w:rsidR="0018613B">
        <w:rPr>
          <w:rFonts w:ascii="ITC Avant Garde" w:hAnsi="ITC Avant Garde"/>
          <w:lang w:val="es-ES_tradnl"/>
        </w:rPr>
        <w:t xml:space="preserve">, y a su vez </w:t>
      </w:r>
      <w:r w:rsidR="0018613B" w:rsidRPr="00DA4556">
        <w:rPr>
          <w:rFonts w:ascii="ITC Avant Garde" w:hAnsi="ITC Avant Garde"/>
          <w:lang w:val="es-ES_tradnl"/>
        </w:rPr>
        <w:t>las partes se obligan a negociar los términos, condiciones y tarifas que modificarán</w:t>
      </w:r>
      <w:r w:rsidR="0018613B" w:rsidRPr="00DA4556" w:rsidDel="00AD30E2">
        <w:rPr>
          <w:rFonts w:ascii="ITC Avant Garde" w:hAnsi="ITC Avant Garde"/>
          <w:lang w:val="es-ES_tradnl"/>
        </w:rPr>
        <w:t xml:space="preserve"> </w:t>
      </w:r>
      <w:r w:rsidR="0018613B" w:rsidRPr="00DA4556">
        <w:rPr>
          <w:rFonts w:ascii="ITC Avant Garde" w:hAnsi="ITC Avant Garde"/>
          <w:lang w:val="es-ES_tradnl"/>
        </w:rPr>
        <w:t xml:space="preserve">el presente Convenio en todo lo que sea necesario, dentro de los 120 (ciento veinte) días naturales siguientes a la notificación de </w:t>
      </w:r>
      <w:r w:rsidR="0018613B">
        <w:rPr>
          <w:rFonts w:ascii="ITC Avant Garde" w:hAnsi="ITC Avant Garde"/>
          <w:lang w:val="es-ES_tradnl"/>
        </w:rPr>
        <w:t>que el AEP deje tener dicho carácter</w:t>
      </w:r>
      <w:r w:rsidR="0018613B" w:rsidRPr="00DA4556">
        <w:rPr>
          <w:rFonts w:ascii="ITC Avant Garde" w:hAnsi="ITC Avant Garde"/>
          <w:lang w:val="es-ES_tradnl"/>
        </w:rPr>
        <w:t>, obligándose a aplicar, las últimas tarifas, términos y demás condiciones suscritos entre las Partes.</w:t>
      </w:r>
    </w:p>
    <w:p w14:paraId="79D08ACC" w14:textId="4FC39E33" w:rsidR="00216FD9" w:rsidRDefault="00216FD9" w:rsidP="00967182">
      <w:pPr>
        <w:spacing w:line="276" w:lineRule="auto"/>
        <w:jc w:val="both"/>
        <w:rPr>
          <w:rFonts w:ascii="ITC Avant Garde" w:hAnsi="ITC Avant Garde"/>
          <w:b/>
        </w:rPr>
      </w:pPr>
      <w:r>
        <w:rPr>
          <w:rFonts w:ascii="ITC Avant Garde" w:hAnsi="ITC Avant Garde"/>
          <w:b/>
        </w:rPr>
        <w:t>Numeral</w:t>
      </w:r>
      <w:r w:rsidRPr="00216FD9">
        <w:rPr>
          <w:rFonts w:ascii="ITC Avant Garde" w:hAnsi="ITC Avant Garde"/>
          <w:b/>
        </w:rPr>
        <w:t xml:space="preserve"> </w:t>
      </w:r>
      <w:r w:rsidR="003C42A8">
        <w:rPr>
          <w:rFonts w:ascii="ITC Avant Garde" w:hAnsi="ITC Avant Garde"/>
          <w:b/>
        </w:rPr>
        <w:t>8</w:t>
      </w:r>
    </w:p>
    <w:p w14:paraId="5069A985" w14:textId="44DC98A0" w:rsidR="001F75AC" w:rsidRDefault="003C42A8" w:rsidP="00967182">
      <w:pPr>
        <w:spacing w:line="276" w:lineRule="auto"/>
        <w:jc w:val="both"/>
        <w:rPr>
          <w:rFonts w:ascii="ITC Avant Garde" w:hAnsi="ITC Avant Garde"/>
          <w:b/>
        </w:rPr>
      </w:pPr>
      <w:r>
        <w:rPr>
          <w:rFonts w:ascii="ITC Avant Garde" w:hAnsi="ITC Avant Garde"/>
          <w:b/>
        </w:rPr>
        <w:t xml:space="preserve">TELEFÓNICA </w:t>
      </w:r>
    </w:p>
    <w:p w14:paraId="6F724CE9" w14:textId="1F2E17A6" w:rsidR="00317CDC" w:rsidRDefault="00317CDC" w:rsidP="00317CDC">
      <w:pPr>
        <w:spacing w:line="276" w:lineRule="auto"/>
        <w:jc w:val="both"/>
        <w:rPr>
          <w:rFonts w:ascii="ITC Avant Garde" w:hAnsi="ITC Avant Garde"/>
        </w:rPr>
      </w:pPr>
      <w:r w:rsidRPr="001F75AC">
        <w:rPr>
          <w:rFonts w:ascii="ITC Avant Garde" w:hAnsi="ITC Avant Garde"/>
        </w:rPr>
        <w:t xml:space="preserve">Señalan que el numeral debe de ser claro en qué tipo </w:t>
      </w:r>
      <w:r w:rsidR="007C1320">
        <w:rPr>
          <w:rFonts w:ascii="ITC Avant Garde" w:hAnsi="ITC Avant Garde"/>
        </w:rPr>
        <w:t xml:space="preserve">de </w:t>
      </w:r>
      <w:r w:rsidRPr="001F75AC">
        <w:rPr>
          <w:rFonts w:ascii="ITC Avant Garde" w:hAnsi="ITC Avant Garde"/>
        </w:rPr>
        <w:t xml:space="preserve">capacidades </w:t>
      </w:r>
      <w:r>
        <w:rPr>
          <w:rFonts w:ascii="ITC Avant Garde" w:hAnsi="ITC Avant Garde"/>
        </w:rPr>
        <w:t xml:space="preserve">se consideran como adicional </w:t>
      </w:r>
      <w:r w:rsidRPr="001F75AC">
        <w:rPr>
          <w:rFonts w:ascii="ITC Avant Garde" w:hAnsi="ITC Avant Garde"/>
        </w:rPr>
        <w:t xml:space="preserve">de </w:t>
      </w:r>
      <w:r>
        <w:rPr>
          <w:rFonts w:ascii="ITC Avant Garde" w:hAnsi="ITC Avant Garde"/>
        </w:rPr>
        <w:t xml:space="preserve">los </w:t>
      </w:r>
      <w:r w:rsidRPr="001F75AC">
        <w:rPr>
          <w:rFonts w:ascii="ITC Avant Garde" w:hAnsi="ITC Avant Garde"/>
        </w:rPr>
        <w:t>servicios de Corriente Directa</w:t>
      </w:r>
      <w:r w:rsidR="007C1320">
        <w:rPr>
          <w:rFonts w:ascii="ITC Avant Garde" w:hAnsi="ITC Avant Garde"/>
        </w:rPr>
        <w:t>,</w:t>
      </w:r>
      <w:r w:rsidRPr="001F75AC">
        <w:rPr>
          <w:rFonts w:ascii="ITC Avant Garde" w:hAnsi="ITC Avant Garde"/>
        </w:rPr>
        <w:t xml:space="preserve"> Corriente Alterna </w:t>
      </w:r>
      <w:r w:rsidR="007C1320">
        <w:rPr>
          <w:rFonts w:ascii="ITC Avant Garde" w:hAnsi="ITC Avant Garde"/>
        </w:rPr>
        <w:t xml:space="preserve">o Clima </w:t>
      </w:r>
      <w:r>
        <w:rPr>
          <w:rFonts w:ascii="ITC Avant Garde" w:hAnsi="ITC Avant Garde"/>
        </w:rPr>
        <w:t xml:space="preserve">y cuál será su forma de cobro, ya que </w:t>
      </w:r>
      <w:r w:rsidR="007C1320">
        <w:rPr>
          <w:rFonts w:ascii="ITC Avant Garde" w:hAnsi="ITC Avant Garde"/>
        </w:rPr>
        <w:t xml:space="preserve">de </w:t>
      </w:r>
      <w:r>
        <w:rPr>
          <w:rFonts w:ascii="ITC Avant Garde" w:hAnsi="ITC Avant Garde"/>
        </w:rPr>
        <w:t>dejarlo abierto, Tel</w:t>
      </w:r>
      <w:r w:rsidR="007C1320">
        <w:rPr>
          <w:rFonts w:ascii="ITC Avant Garde" w:hAnsi="ITC Avant Garde"/>
        </w:rPr>
        <w:t>mex/Telnor</w:t>
      </w:r>
      <w:r>
        <w:rPr>
          <w:rFonts w:ascii="ITC Avant Garde" w:hAnsi="ITC Avant Garde"/>
        </w:rPr>
        <w:t xml:space="preserve"> podría</w:t>
      </w:r>
      <w:r w:rsidR="007C1320">
        <w:rPr>
          <w:rFonts w:ascii="ITC Avant Garde" w:hAnsi="ITC Avant Garde"/>
        </w:rPr>
        <w:t>n</w:t>
      </w:r>
      <w:r>
        <w:rPr>
          <w:rFonts w:ascii="ITC Avant Garde" w:hAnsi="ITC Avant Garde"/>
        </w:rPr>
        <w:t xml:space="preserve"> interpretarlo a su manera</w:t>
      </w:r>
      <w:r w:rsidRPr="001F75AC">
        <w:rPr>
          <w:rFonts w:ascii="ITC Avant Garde" w:hAnsi="ITC Avant Garde"/>
        </w:rPr>
        <w:t>.</w:t>
      </w:r>
    </w:p>
    <w:p w14:paraId="4EA23EEE" w14:textId="6B8EB7F1" w:rsidR="00317CDC" w:rsidRDefault="00317CDC" w:rsidP="00317CDC">
      <w:pPr>
        <w:spacing w:line="276" w:lineRule="auto"/>
        <w:jc w:val="both"/>
        <w:rPr>
          <w:rFonts w:ascii="ITC Avant Garde" w:hAnsi="ITC Avant Garde"/>
          <w:b/>
        </w:rPr>
      </w:pPr>
      <w:r>
        <w:rPr>
          <w:rFonts w:ascii="ITC Avant Garde" w:hAnsi="ITC Avant Garde"/>
          <w:b/>
        </w:rPr>
        <w:t>Consideraciones del Instituto</w:t>
      </w:r>
    </w:p>
    <w:p w14:paraId="41550581" w14:textId="77777777" w:rsidR="00317CDC" w:rsidRDefault="00317CDC" w:rsidP="00317CDC">
      <w:pPr>
        <w:spacing w:line="276" w:lineRule="auto"/>
        <w:jc w:val="both"/>
        <w:rPr>
          <w:rFonts w:ascii="ITC Avant Garde" w:hAnsi="ITC Avant Garde"/>
        </w:rPr>
      </w:pPr>
      <w:r w:rsidRPr="002E6085">
        <w:rPr>
          <w:rFonts w:ascii="ITC Avant Garde" w:hAnsi="ITC Avant Garde"/>
        </w:rPr>
        <w:t>Los servicios considerados dentro del servicio de interconexión se establecen en el Anexo A Tema 6 “Coubicaciones” en los cuales se mencionan las especificaciones con las que deben de contar cada espacio de Coubicación del AEP.</w:t>
      </w:r>
      <w:r>
        <w:rPr>
          <w:rFonts w:ascii="ITC Avant Garde" w:hAnsi="ITC Avant Garde"/>
        </w:rPr>
        <w:t xml:space="preserve"> </w:t>
      </w:r>
    </w:p>
    <w:p w14:paraId="75C105EB" w14:textId="5CEEDC19" w:rsidR="00317CDC" w:rsidRPr="001F75AC" w:rsidRDefault="00317CDC" w:rsidP="00317CDC">
      <w:pPr>
        <w:spacing w:line="276" w:lineRule="auto"/>
        <w:jc w:val="both"/>
        <w:rPr>
          <w:rFonts w:ascii="ITC Avant Garde" w:hAnsi="ITC Avant Garde"/>
        </w:rPr>
      </w:pPr>
      <w:r>
        <w:rPr>
          <w:rFonts w:ascii="ITC Avant Garde" w:hAnsi="ITC Avant Garde"/>
        </w:rPr>
        <w:t xml:space="preserve">Cabe señalar, que las tarifas de capacidades adicionales podrán ser acordadas libremente por las partes de conformidad con lo establecido en la LFTR, </w:t>
      </w:r>
      <w:r w:rsidR="00BC45FD">
        <w:rPr>
          <w:rFonts w:ascii="ITC Avant Garde" w:hAnsi="ITC Avant Garde"/>
        </w:rPr>
        <w:t>y</w:t>
      </w:r>
      <w:r>
        <w:rPr>
          <w:rFonts w:ascii="ITC Avant Garde" w:hAnsi="ITC Avant Garde"/>
        </w:rPr>
        <w:t xml:space="preserve"> en caso de existir desacuerdo </w:t>
      </w:r>
      <w:r w:rsidR="00BC45FD">
        <w:rPr>
          <w:rFonts w:ascii="ITC Avant Garde" w:hAnsi="ITC Avant Garde"/>
        </w:rPr>
        <w:t>se podrá</w:t>
      </w:r>
      <w:r>
        <w:rPr>
          <w:rFonts w:ascii="ITC Avant Garde" w:hAnsi="ITC Avant Garde"/>
        </w:rPr>
        <w:t xml:space="preserve"> solicitar al Instituto</w:t>
      </w:r>
      <w:r w:rsidR="00BC45FD">
        <w:rPr>
          <w:rFonts w:ascii="ITC Avant Garde" w:hAnsi="ITC Avant Garde"/>
        </w:rPr>
        <w:t xml:space="preserve"> se</w:t>
      </w:r>
      <w:r>
        <w:rPr>
          <w:rFonts w:ascii="ITC Avant Garde" w:hAnsi="ITC Avant Garde"/>
        </w:rPr>
        <w:t xml:space="preserve"> resuelvan las tarifas no acordadas.</w:t>
      </w:r>
    </w:p>
    <w:p w14:paraId="13097F4E" w14:textId="63821B47" w:rsidR="00216FD9" w:rsidRDefault="00216FD9" w:rsidP="00216FD9">
      <w:pPr>
        <w:spacing w:line="276" w:lineRule="auto"/>
        <w:jc w:val="both"/>
        <w:rPr>
          <w:rFonts w:ascii="ITC Avant Garde" w:hAnsi="ITC Avant Garde"/>
          <w:b/>
        </w:rPr>
      </w:pPr>
      <w:r>
        <w:rPr>
          <w:rFonts w:ascii="ITC Avant Garde" w:hAnsi="ITC Avant Garde"/>
          <w:b/>
        </w:rPr>
        <w:t>Numeral 10</w:t>
      </w:r>
    </w:p>
    <w:p w14:paraId="6E658DDB" w14:textId="2E55A669" w:rsidR="001F75AC" w:rsidRDefault="001F75AC" w:rsidP="00216FD9">
      <w:pPr>
        <w:spacing w:line="276" w:lineRule="auto"/>
        <w:jc w:val="both"/>
        <w:rPr>
          <w:rFonts w:ascii="ITC Avant Garde" w:hAnsi="ITC Avant Garde"/>
          <w:b/>
        </w:rPr>
      </w:pPr>
      <w:r>
        <w:rPr>
          <w:rFonts w:ascii="ITC Avant Garde" w:hAnsi="ITC Avant Garde"/>
          <w:b/>
        </w:rPr>
        <w:t>TELÉFONICA</w:t>
      </w:r>
    </w:p>
    <w:p w14:paraId="7C0DADBE" w14:textId="546FC646" w:rsidR="003C42A8" w:rsidRDefault="00581D09" w:rsidP="00216FD9">
      <w:pPr>
        <w:spacing w:line="276" w:lineRule="auto"/>
        <w:jc w:val="both"/>
        <w:rPr>
          <w:rFonts w:ascii="ITC Avant Garde" w:hAnsi="ITC Avant Garde"/>
        </w:rPr>
      </w:pPr>
      <w:r w:rsidRPr="00147CB5">
        <w:rPr>
          <w:rFonts w:ascii="ITC Avant Garde" w:hAnsi="ITC Avant Garde"/>
        </w:rPr>
        <w:t>Solicitar eliminar</w:t>
      </w:r>
      <w:r w:rsidR="003C42A8" w:rsidRPr="00147CB5">
        <w:rPr>
          <w:rFonts w:ascii="ITC Avant Garde" w:hAnsi="ITC Avant Garde"/>
        </w:rPr>
        <w:t xml:space="preserve"> el numeral </w:t>
      </w:r>
      <w:r w:rsidRPr="00147CB5">
        <w:rPr>
          <w:rFonts w:ascii="ITC Avant Garde" w:hAnsi="ITC Avant Garde"/>
        </w:rPr>
        <w:t xml:space="preserve">10 </w:t>
      </w:r>
      <w:r w:rsidR="003C42A8" w:rsidRPr="00147CB5">
        <w:rPr>
          <w:rFonts w:ascii="ITC Avant Garde" w:hAnsi="ITC Avant Garde"/>
        </w:rPr>
        <w:t>que establece que las tarifas aplicables a los Servicios de Interconexión prestados por Telnor se determinarán de conformidad a lo establecido en el Título V, Capítulo III “Del Acceso y la Interconexión” de la Ley Federal de Telecomunicaciones y Radiodifusión, o con la legislación que la sustituya o modifique; por lo que las tarifas que al efecto publique el Instituto de conformidad con el artículo 137, toda vez que los términos del artículo 137 de la LFTR no son per sé aplicables a Telnor, sino hasta en tanto el Instituto determine la procedencia de las mismas. Una redacción tan genérica da lugar a ambigüedades e interpretaciones que pueden dar lugar a errores como podría ser que Telnor interprete que las tarifas de los no preponderantes le son aplicables y, por tanto, las puede cobrar.</w:t>
      </w:r>
    </w:p>
    <w:p w14:paraId="1CD71419" w14:textId="7D57B5A1" w:rsidR="008563ED" w:rsidRDefault="008563ED" w:rsidP="00216FD9">
      <w:pPr>
        <w:spacing w:line="276" w:lineRule="auto"/>
        <w:jc w:val="both"/>
        <w:rPr>
          <w:rFonts w:ascii="ITC Avant Garde" w:hAnsi="ITC Avant Garde"/>
          <w:b/>
        </w:rPr>
      </w:pPr>
      <w:r>
        <w:rPr>
          <w:rFonts w:ascii="ITC Avant Garde" w:hAnsi="ITC Avant Garde"/>
          <w:b/>
        </w:rPr>
        <w:lastRenderedPageBreak/>
        <w:t>Consideraciones del Instituto</w:t>
      </w:r>
    </w:p>
    <w:p w14:paraId="4113586E" w14:textId="77777777" w:rsidR="00317CDC" w:rsidRDefault="00317CDC" w:rsidP="00317CDC">
      <w:pPr>
        <w:pStyle w:val="IFTnormal"/>
        <w:spacing w:after="0"/>
        <w:rPr>
          <w:iCs/>
          <w:lang w:val="es-ES"/>
        </w:rPr>
      </w:pPr>
      <w:r w:rsidRPr="002E6085">
        <w:rPr>
          <w:iCs/>
          <w:lang w:val="es-ES"/>
        </w:rPr>
        <w:t xml:space="preserve">Es importante señalar que el contenido de dicha cláusula cumple con lo establecido </w:t>
      </w:r>
      <w:r w:rsidRPr="00D64439">
        <w:rPr>
          <w:iCs/>
          <w:lang w:val="es-ES"/>
        </w:rPr>
        <w:t>en el marco regulatorio vigente.</w:t>
      </w:r>
    </w:p>
    <w:p w14:paraId="10906CAF" w14:textId="1379A7F5" w:rsidR="00F241D1" w:rsidRPr="00F241D1" w:rsidRDefault="00F241D1" w:rsidP="00F241D1">
      <w:pPr>
        <w:pStyle w:val="IFTnormal"/>
        <w:spacing w:after="0"/>
        <w:rPr>
          <w:iCs/>
          <w:lang w:val="es-ES"/>
        </w:rPr>
      </w:pPr>
    </w:p>
    <w:p w14:paraId="0FA62528" w14:textId="2751A82D" w:rsidR="00E50F5D" w:rsidRPr="00080DFC" w:rsidRDefault="00E50F5D" w:rsidP="00216FD9">
      <w:pPr>
        <w:spacing w:line="276" w:lineRule="auto"/>
        <w:jc w:val="both"/>
        <w:rPr>
          <w:rFonts w:ascii="ITC Avant Garde" w:hAnsi="ITC Avant Garde"/>
          <w:b/>
          <w:u w:val="single"/>
        </w:rPr>
      </w:pPr>
      <w:r w:rsidRPr="00080DFC">
        <w:rPr>
          <w:rFonts w:ascii="ITC Avant Garde" w:hAnsi="ITC Avant Garde"/>
          <w:b/>
          <w:u w:val="single"/>
        </w:rPr>
        <w:t xml:space="preserve">Anexo </w:t>
      </w:r>
      <w:r w:rsidR="00080DFC" w:rsidRPr="00080DFC">
        <w:rPr>
          <w:rFonts w:ascii="ITC Avant Garde" w:hAnsi="ITC Avant Garde"/>
          <w:b/>
          <w:u w:val="single"/>
        </w:rPr>
        <w:t>C</w:t>
      </w:r>
      <w:r w:rsidRPr="00080DFC">
        <w:rPr>
          <w:rFonts w:ascii="ITC Avant Garde" w:hAnsi="ITC Avant Garde"/>
          <w:b/>
          <w:u w:val="single"/>
        </w:rPr>
        <w:t xml:space="preserve"> Formato de Facturación</w:t>
      </w:r>
    </w:p>
    <w:p w14:paraId="73EC301E" w14:textId="14C8B083" w:rsidR="00E50F5D" w:rsidRPr="00BB7605" w:rsidRDefault="00BB7605" w:rsidP="00216FD9">
      <w:pPr>
        <w:spacing w:line="276" w:lineRule="auto"/>
        <w:jc w:val="both"/>
        <w:rPr>
          <w:rFonts w:ascii="ITC Avant Garde" w:hAnsi="ITC Avant Garde"/>
          <w:b/>
        </w:rPr>
      </w:pPr>
      <w:r>
        <w:rPr>
          <w:rFonts w:ascii="ITC Avant Garde" w:hAnsi="ITC Avant Garde"/>
          <w:b/>
        </w:rPr>
        <w:t xml:space="preserve">AXTEL </w:t>
      </w:r>
    </w:p>
    <w:p w14:paraId="7720A268" w14:textId="42BE472F" w:rsidR="00BB7605" w:rsidRDefault="00BB7605" w:rsidP="00216FD9">
      <w:pPr>
        <w:spacing w:line="276" w:lineRule="auto"/>
        <w:jc w:val="both"/>
        <w:rPr>
          <w:rFonts w:ascii="ITC Avant Garde" w:hAnsi="ITC Avant Garde"/>
        </w:rPr>
      </w:pPr>
      <w:r w:rsidRPr="00BB7605">
        <w:rPr>
          <w:rFonts w:ascii="ITC Avant Garde" w:hAnsi="ITC Avant Garde"/>
        </w:rPr>
        <w:t>Propone cambiar el uso de CIC como Clave de operador por IDD/IDO, puesto que las plataformas están homologadas con IDD/IDO y no habría necesidad de contar con un CIC.</w:t>
      </w:r>
    </w:p>
    <w:p w14:paraId="3F6CF0DE" w14:textId="01C83048" w:rsidR="00BB7605" w:rsidRDefault="00BB7605" w:rsidP="00BB7605">
      <w:pPr>
        <w:spacing w:line="276" w:lineRule="auto"/>
        <w:jc w:val="both"/>
        <w:rPr>
          <w:rFonts w:ascii="ITC Avant Garde" w:hAnsi="ITC Avant Garde"/>
        </w:rPr>
      </w:pPr>
      <w:r>
        <w:rPr>
          <w:rFonts w:ascii="ITC Avant Garde" w:hAnsi="ITC Avant Garde"/>
        </w:rPr>
        <w:t xml:space="preserve">Asimismo, </w:t>
      </w:r>
      <w:r w:rsidRPr="00BB7605">
        <w:rPr>
          <w:rFonts w:ascii="ITC Avant Garde" w:hAnsi="ITC Avant Garde"/>
        </w:rPr>
        <w:t>que se conserve el tipo de tráfico 02 que actualmente se maneja para el tráfico</w:t>
      </w:r>
      <w:r>
        <w:rPr>
          <w:rFonts w:ascii="ITC Avant Garde" w:hAnsi="ITC Avant Garde"/>
        </w:rPr>
        <w:t xml:space="preserve"> </w:t>
      </w:r>
      <w:r w:rsidRPr="00BB7605">
        <w:rPr>
          <w:rFonts w:ascii="ITC Avant Garde" w:hAnsi="ITC Avant Garde"/>
        </w:rPr>
        <w:t>de terminación fija y que no se encuentra en las opciones que actualmente muestran.</w:t>
      </w:r>
    </w:p>
    <w:p w14:paraId="3AB4E663" w14:textId="77777777" w:rsidR="00E50F5D" w:rsidRDefault="00E50F5D" w:rsidP="00E50F5D">
      <w:pPr>
        <w:spacing w:line="276" w:lineRule="auto"/>
        <w:jc w:val="both"/>
        <w:rPr>
          <w:rFonts w:ascii="ITC Avant Garde" w:hAnsi="ITC Avant Garde"/>
          <w:b/>
        </w:rPr>
      </w:pPr>
      <w:r>
        <w:rPr>
          <w:rFonts w:ascii="ITC Avant Garde" w:hAnsi="ITC Avant Garde"/>
          <w:b/>
        </w:rPr>
        <w:t>Consideraciones del Instituto</w:t>
      </w:r>
    </w:p>
    <w:p w14:paraId="48F72DFE" w14:textId="102F347E" w:rsidR="00E50F5D" w:rsidRDefault="00E50F5D" w:rsidP="00E50F5D">
      <w:pPr>
        <w:spacing w:line="276" w:lineRule="auto"/>
        <w:jc w:val="both"/>
        <w:rPr>
          <w:rFonts w:ascii="ITC Avant Garde" w:hAnsi="ITC Avant Garde"/>
        </w:rPr>
      </w:pPr>
      <w:r w:rsidRPr="00E50F5D">
        <w:rPr>
          <w:rFonts w:ascii="ITC Avant Garde" w:hAnsi="ITC Avant Garde"/>
        </w:rPr>
        <w:t xml:space="preserve">Dado que el código CIC es un código que ayuda para la facturación de los servicios prestados por ambas partes, </w:t>
      </w:r>
      <w:r w:rsidR="00BC1FC2">
        <w:rPr>
          <w:rFonts w:ascii="ITC Avant Garde" w:hAnsi="ITC Avant Garde"/>
        </w:rPr>
        <w:t xml:space="preserve">y dicho código no </w:t>
      </w:r>
      <w:r w:rsidR="009D7E45">
        <w:rPr>
          <w:rFonts w:ascii="ITC Avant Garde" w:hAnsi="ITC Avant Garde"/>
        </w:rPr>
        <w:t>e</w:t>
      </w:r>
      <w:r w:rsidR="00BC1FC2">
        <w:rPr>
          <w:rFonts w:ascii="ITC Avant Garde" w:hAnsi="ITC Avant Garde"/>
        </w:rPr>
        <w:t xml:space="preserve">s mandatorio en la facturación entre concesionarios por lo que no es necesario que </w:t>
      </w:r>
      <w:r w:rsidR="00E964FA">
        <w:rPr>
          <w:rFonts w:ascii="ITC Avant Garde" w:hAnsi="ITC Avant Garde"/>
        </w:rPr>
        <w:t>los concesionarios cuenten</w:t>
      </w:r>
      <w:r w:rsidR="00BC1FC2">
        <w:rPr>
          <w:rFonts w:ascii="ITC Avant Garde" w:hAnsi="ITC Avant Garde"/>
        </w:rPr>
        <w:t xml:space="preserve"> con </w:t>
      </w:r>
      <w:r w:rsidR="00E964FA">
        <w:rPr>
          <w:rFonts w:ascii="ITC Avant Garde" w:hAnsi="ITC Avant Garde"/>
        </w:rPr>
        <w:t>él</w:t>
      </w:r>
      <w:r w:rsidR="0089688D">
        <w:rPr>
          <w:rFonts w:ascii="ITC Avant Garde" w:hAnsi="ITC Avant Garde"/>
        </w:rPr>
        <w:t>.</w:t>
      </w:r>
    </w:p>
    <w:p w14:paraId="08F24EBC" w14:textId="2A3ED566" w:rsidR="009D7E45" w:rsidRPr="00E50F5D" w:rsidRDefault="009D7E45" w:rsidP="009D7E45">
      <w:pPr>
        <w:spacing w:line="276" w:lineRule="auto"/>
        <w:jc w:val="both"/>
        <w:rPr>
          <w:rFonts w:ascii="ITC Avant Garde" w:hAnsi="ITC Avant Garde"/>
        </w:rPr>
      </w:pPr>
      <w:r>
        <w:rPr>
          <w:rFonts w:ascii="ITC Avant Garde" w:hAnsi="ITC Avant Garde"/>
        </w:rPr>
        <w:t>Asimismo, l</w:t>
      </w:r>
      <w:r w:rsidR="00147CB5">
        <w:rPr>
          <w:rFonts w:ascii="ITC Avant Garde" w:hAnsi="ITC Avant Garde"/>
        </w:rPr>
        <w:t>as modificaciones al l</w:t>
      </w:r>
      <w:r w:rsidRPr="002E6085">
        <w:rPr>
          <w:rFonts w:ascii="ITC Avant Garde" w:hAnsi="ITC Avant Garde"/>
        </w:rPr>
        <w:t>ayout de Facturación será definido en el Grupo de Trabajo de Numeración y Señalización</w:t>
      </w:r>
      <w:r>
        <w:rPr>
          <w:rFonts w:ascii="ITC Avant Garde" w:hAnsi="ITC Avant Garde"/>
        </w:rPr>
        <w:t xml:space="preserve"> establecido por el Instituto</w:t>
      </w:r>
      <w:r w:rsidRPr="002E6085">
        <w:rPr>
          <w:rFonts w:ascii="ITC Avant Garde" w:hAnsi="ITC Avant Garde"/>
        </w:rPr>
        <w:t>.</w:t>
      </w:r>
    </w:p>
    <w:p w14:paraId="4DAC54CC" w14:textId="5C7593DF" w:rsidR="00255895" w:rsidRDefault="00BB7605" w:rsidP="00E50F5D">
      <w:pPr>
        <w:spacing w:line="276" w:lineRule="auto"/>
        <w:jc w:val="both"/>
        <w:rPr>
          <w:rFonts w:ascii="ITC Avant Garde" w:hAnsi="ITC Avant Garde"/>
        </w:rPr>
      </w:pPr>
      <w:r>
        <w:rPr>
          <w:rFonts w:ascii="ITC Avant Garde" w:hAnsi="ITC Avant Garde"/>
          <w:b/>
        </w:rPr>
        <w:t xml:space="preserve">GRUPO </w:t>
      </w:r>
      <w:r w:rsidR="00255895" w:rsidRPr="00967182">
        <w:rPr>
          <w:rFonts w:ascii="ITC Avant Garde" w:hAnsi="ITC Avant Garde"/>
          <w:b/>
        </w:rPr>
        <w:t>T</w:t>
      </w:r>
      <w:r w:rsidR="00255895">
        <w:rPr>
          <w:rFonts w:ascii="ITC Avant Garde" w:hAnsi="ITC Avant Garde"/>
          <w:b/>
        </w:rPr>
        <w:t>ELEVISA</w:t>
      </w:r>
    </w:p>
    <w:p w14:paraId="0F4CFEB3" w14:textId="702C8A1B" w:rsidR="00BB7605" w:rsidRDefault="00885AAD" w:rsidP="00BB7605">
      <w:pPr>
        <w:spacing w:line="276" w:lineRule="auto"/>
        <w:jc w:val="both"/>
        <w:rPr>
          <w:rFonts w:ascii="ITC Avant Garde" w:hAnsi="ITC Avant Garde"/>
        </w:rPr>
      </w:pPr>
      <w:r>
        <w:rPr>
          <w:rFonts w:ascii="ITC Avant Garde" w:hAnsi="ITC Avant Garde"/>
        </w:rPr>
        <w:t>S</w:t>
      </w:r>
      <w:r w:rsidR="00BB7605" w:rsidRPr="00BB7605">
        <w:rPr>
          <w:rFonts w:ascii="ITC Avant Garde" w:hAnsi="ITC Avant Garde"/>
        </w:rPr>
        <w:t>ugiere que se incluya la “Modalidad de uso” en el Formato de Facturación, el cual se</w:t>
      </w:r>
      <w:r w:rsidR="00BB7605">
        <w:rPr>
          <w:rFonts w:ascii="ITC Avant Garde" w:hAnsi="ITC Avant Garde"/>
        </w:rPr>
        <w:t xml:space="preserve"> </w:t>
      </w:r>
      <w:r w:rsidR="00BB7605" w:rsidRPr="00BB7605">
        <w:rPr>
          <w:rFonts w:ascii="ITC Avant Garde" w:hAnsi="ITC Avant Garde"/>
        </w:rPr>
        <w:t>adjunta al presente como Anexo I.</w:t>
      </w:r>
    </w:p>
    <w:p w14:paraId="35F144A9" w14:textId="07CD9A43" w:rsidR="00BB7605" w:rsidRDefault="00BB7605" w:rsidP="00216FD9">
      <w:pPr>
        <w:spacing w:line="276" w:lineRule="auto"/>
        <w:jc w:val="both"/>
        <w:rPr>
          <w:rFonts w:ascii="ITC Avant Garde" w:hAnsi="ITC Avant Garde"/>
          <w:b/>
          <w:u w:val="single"/>
        </w:rPr>
      </w:pPr>
      <w:r>
        <w:rPr>
          <w:rFonts w:ascii="ITC Avant Garde" w:hAnsi="ITC Avant Garde"/>
          <w:b/>
          <w:u w:val="single"/>
        </w:rPr>
        <w:t>UC TELECOM</w:t>
      </w:r>
    </w:p>
    <w:p w14:paraId="594460F5" w14:textId="77BB10C9" w:rsidR="00BB7605" w:rsidRPr="00BE4028" w:rsidRDefault="00BD4265" w:rsidP="00216FD9">
      <w:pPr>
        <w:spacing w:line="276" w:lineRule="auto"/>
        <w:jc w:val="both"/>
        <w:rPr>
          <w:rFonts w:ascii="ITC Avant Garde" w:hAnsi="ITC Avant Garde"/>
        </w:rPr>
      </w:pPr>
      <w:r>
        <w:rPr>
          <w:rFonts w:ascii="ITC Avant Garde" w:hAnsi="ITC Avant Garde"/>
        </w:rPr>
        <w:t>Solicita agregar los datos de UC TELECOM en la tabla de datos de operadores, menciona que s</w:t>
      </w:r>
      <w:r w:rsidR="00BB7605" w:rsidRPr="00BE4028">
        <w:rPr>
          <w:rFonts w:ascii="ITC Avant Garde" w:hAnsi="ITC Avant Garde"/>
        </w:rPr>
        <w:t>l uso del IDD e IDO resultan más adecuados para identificar al Operador de Origen y al Operador de Destino.</w:t>
      </w:r>
    </w:p>
    <w:p w14:paraId="75735D74" w14:textId="65D51B3B" w:rsidR="00BB7605" w:rsidRDefault="00BB7605" w:rsidP="00216FD9">
      <w:pPr>
        <w:spacing w:line="276" w:lineRule="auto"/>
        <w:jc w:val="both"/>
        <w:rPr>
          <w:rFonts w:ascii="ITC Avant Garde" w:hAnsi="ITC Avant Garde"/>
          <w:b/>
          <w:u w:val="single"/>
        </w:rPr>
      </w:pPr>
      <w:r>
        <w:rPr>
          <w:rFonts w:ascii="ITC Avant Garde" w:hAnsi="ITC Avant Garde"/>
          <w:b/>
        </w:rPr>
        <w:t>Consideraciones del Instituto</w:t>
      </w:r>
    </w:p>
    <w:p w14:paraId="025BA7EB" w14:textId="7C22C09B" w:rsidR="009D7E45" w:rsidRDefault="00A17C69" w:rsidP="00216FD9">
      <w:pPr>
        <w:spacing w:line="276" w:lineRule="auto"/>
        <w:jc w:val="both"/>
        <w:rPr>
          <w:rFonts w:ascii="ITC Avant Garde" w:hAnsi="ITC Avant Garde"/>
          <w:b/>
          <w:u w:val="single"/>
        </w:rPr>
      </w:pPr>
      <w:r>
        <w:rPr>
          <w:rFonts w:ascii="ITC Avant Garde" w:hAnsi="ITC Avant Garde"/>
        </w:rPr>
        <w:t>L</w:t>
      </w:r>
      <w:r w:rsidRPr="002E6085">
        <w:rPr>
          <w:rFonts w:ascii="ITC Avant Garde" w:hAnsi="ITC Avant Garde"/>
        </w:rPr>
        <w:t>as modificaciones al Layout de Facturación será definido en el Grupo de Trabajo de Numeración y Señalización</w:t>
      </w:r>
      <w:r>
        <w:rPr>
          <w:rFonts w:ascii="ITC Avant Garde" w:hAnsi="ITC Avant Garde"/>
        </w:rPr>
        <w:t xml:space="preserve"> establecido por el Instituto</w:t>
      </w:r>
      <w:r w:rsidRPr="002E6085">
        <w:rPr>
          <w:rFonts w:ascii="ITC Avant Garde" w:hAnsi="ITC Avant Garde"/>
        </w:rPr>
        <w:t>.</w:t>
      </w:r>
    </w:p>
    <w:p w14:paraId="1F5E4F75" w14:textId="026EA36A" w:rsidR="00E50F5D" w:rsidRDefault="000023FC" w:rsidP="00216FD9">
      <w:pPr>
        <w:spacing w:line="276" w:lineRule="auto"/>
        <w:jc w:val="both"/>
        <w:rPr>
          <w:rFonts w:ascii="ITC Avant Garde" w:hAnsi="ITC Avant Garde"/>
          <w:b/>
          <w:u w:val="single"/>
        </w:rPr>
      </w:pPr>
      <w:r>
        <w:rPr>
          <w:rFonts w:ascii="ITC Avant Garde" w:hAnsi="ITC Avant Garde"/>
          <w:b/>
          <w:u w:val="single"/>
        </w:rPr>
        <w:t xml:space="preserve">Anexo </w:t>
      </w:r>
      <w:r w:rsidR="008B3453">
        <w:rPr>
          <w:rFonts w:ascii="ITC Avant Garde" w:hAnsi="ITC Avant Garde"/>
          <w:b/>
          <w:u w:val="single"/>
        </w:rPr>
        <w:t>D</w:t>
      </w:r>
      <w:r>
        <w:rPr>
          <w:rFonts w:ascii="ITC Avant Garde" w:hAnsi="ITC Avant Garde"/>
          <w:b/>
          <w:u w:val="single"/>
        </w:rPr>
        <w:t xml:space="preserve"> Calidad</w:t>
      </w:r>
    </w:p>
    <w:p w14:paraId="3D61E72E" w14:textId="0E44AAA5" w:rsidR="00DD72E0" w:rsidRDefault="00DD72E0" w:rsidP="00224F08">
      <w:pPr>
        <w:spacing w:line="276" w:lineRule="auto"/>
        <w:jc w:val="both"/>
        <w:rPr>
          <w:rFonts w:ascii="ITC Avant Garde" w:hAnsi="ITC Avant Garde"/>
          <w:b/>
        </w:rPr>
      </w:pPr>
      <w:r>
        <w:rPr>
          <w:rFonts w:ascii="ITC Avant Garde" w:hAnsi="ITC Avant Garde"/>
          <w:b/>
        </w:rPr>
        <w:t>GRUPO AT&amp;T</w:t>
      </w:r>
    </w:p>
    <w:p w14:paraId="30C671D0" w14:textId="61479457" w:rsidR="00DD72E0" w:rsidRPr="00DD72E0" w:rsidRDefault="00DD72E0" w:rsidP="009615B6">
      <w:pPr>
        <w:spacing w:line="276" w:lineRule="auto"/>
        <w:jc w:val="both"/>
        <w:rPr>
          <w:rFonts w:ascii="ITC Avant Garde" w:hAnsi="ITC Avant Garde"/>
        </w:rPr>
      </w:pPr>
      <w:r w:rsidRPr="00DD72E0">
        <w:rPr>
          <w:rFonts w:ascii="ITC Avant Garde" w:hAnsi="ITC Avant Garde"/>
        </w:rPr>
        <w:t>Sug</w:t>
      </w:r>
      <w:r>
        <w:rPr>
          <w:rFonts w:ascii="ITC Avant Garde" w:hAnsi="ITC Avant Garde"/>
        </w:rPr>
        <w:t>iere s</w:t>
      </w:r>
      <w:r w:rsidRPr="00DD72E0">
        <w:rPr>
          <w:rFonts w:ascii="ITC Avant Garde" w:hAnsi="ITC Avant Garde"/>
        </w:rPr>
        <w:t xml:space="preserve">e corrija por completo, </w:t>
      </w:r>
      <w:r w:rsidR="00396711">
        <w:rPr>
          <w:rFonts w:ascii="ITC Avant Garde" w:hAnsi="ITC Avant Garde"/>
        </w:rPr>
        <w:t xml:space="preserve">señala </w:t>
      </w:r>
      <w:r w:rsidRPr="00DD72E0">
        <w:rPr>
          <w:rFonts w:ascii="ITC Avant Garde" w:hAnsi="ITC Avant Garde"/>
        </w:rPr>
        <w:t xml:space="preserve">los plazos máximos de </w:t>
      </w:r>
      <w:r w:rsidR="0074082F">
        <w:rPr>
          <w:rFonts w:ascii="ITC Avant Garde" w:hAnsi="ITC Avant Garde"/>
        </w:rPr>
        <w:t>entrega de servicios.</w:t>
      </w:r>
    </w:p>
    <w:p w14:paraId="4E1BC17C" w14:textId="77777777" w:rsidR="00DD72E0" w:rsidRPr="00DD72E0" w:rsidRDefault="00DD72E0" w:rsidP="00103E63">
      <w:pPr>
        <w:spacing w:after="0" w:line="276" w:lineRule="auto"/>
        <w:ind w:left="567" w:right="618"/>
        <w:jc w:val="center"/>
        <w:rPr>
          <w:rFonts w:ascii="ITC Avant Garde" w:eastAsia="Times New Roman" w:hAnsi="ITC Avant Garde" w:cs="Courier New"/>
          <w:i/>
          <w:sz w:val="18"/>
          <w:szCs w:val="20"/>
          <w:u w:val="single"/>
          <w:lang w:val="es-ES" w:eastAsia="es-ES"/>
        </w:rPr>
      </w:pPr>
    </w:p>
    <w:p w14:paraId="7692900F" w14:textId="77777777" w:rsidR="002B2806" w:rsidRDefault="002B2806" w:rsidP="002B2806">
      <w:pPr>
        <w:spacing w:line="276" w:lineRule="auto"/>
        <w:jc w:val="both"/>
        <w:rPr>
          <w:rFonts w:ascii="ITC Avant Garde" w:hAnsi="ITC Avant Garde"/>
          <w:b/>
        </w:rPr>
      </w:pPr>
      <w:r>
        <w:rPr>
          <w:rFonts w:ascii="ITC Avant Garde" w:hAnsi="ITC Avant Garde"/>
          <w:b/>
        </w:rPr>
        <w:t>3.2 Plazos M</w:t>
      </w:r>
      <w:r w:rsidRPr="002B2806">
        <w:rPr>
          <w:rFonts w:ascii="ITC Avant Garde" w:hAnsi="ITC Avant Garde"/>
          <w:b/>
        </w:rPr>
        <w:t>áx</w:t>
      </w:r>
      <w:r>
        <w:rPr>
          <w:rFonts w:ascii="ITC Avant Garde" w:hAnsi="ITC Avant Garde"/>
          <w:b/>
        </w:rPr>
        <w:t>imos para la Solución de Fallas</w:t>
      </w:r>
    </w:p>
    <w:p w14:paraId="6FAD9831" w14:textId="6B2CE81E" w:rsidR="006041A2" w:rsidRDefault="0082727E" w:rsidP="002B2806">
      <w:pPr>
        <w:spacing w:line="276" w:lineRule="auto"/>
        <w:jc w:val="both"/>
        <w:rPr>
          <w:rFonts w:ascii="ITC Avant Garde" w:hAnsi="ITC Avant Garde"/>
          <w:b/>
        </w:rPr>
      </w:pPr>
      <w:r>
        <w:rPr>
          <w:rFonts w:ascii="ITC Avant Garde" w:hAnsi="ITC Avant Garde"/>
          <w:b/>
        </w:rPr>
        <w:lastRenderedPageBreak/>
        <w:t xml:space="preserve">GRUPO TELEVISA </w:t>
      </w:r>
    </w:p>
    <w:p w14:paraId="4049A8D7" w14:textId="23296D26" w:rsidR="007D430D" w:rsidRDefault="007D430D" w:rsidP="007D430D">
      <w:pPr>
        <w:spacing w:after="0" w:line="276" w:lineRule="auto"/>
        <w:jc w:val="both"/>
        <w:rPr>
          <w:rFonts w:ascii="ITC Avant Garde" w:hAnsi="ITC Avant Garde"/>
        </w:rPr>
      </w:pPr>
      <w:r w:rsidRPr="007D430D">
        <w:rPr>
          <w:rFonts w:ascii="ITC Avant Garde" w:hAnsi="ITC Avant Garde"/>
        </w:rPr>
        <w:t>La propuesta de incrementar los plazos de solución de fallas, no es acorde con las Medidas</w:t>
      </w:r>
      <w:r w:rsidR="00A83EDF">
        <w:rPr>
          <w:rFonts w:ascii="ITC Avant Garde" w:hAnsi="ITC Avant Garde"/>
        </w:rPr>
        <w:t xml:space="preserve"> </w:t>
      </w:r>
      <w:r w:rsidRPr="007D430D">
        <w:rPr>
          <w:rFonts w:ascii="ITC Avant Garde" w:hAnsi="ITC Avant Garde"/>
        </w:rPr>
        <w:t>y con el CMI vigente, ya que en las medidas se establecen los</w:t>
      </w:r>
      <w:r>
        <w:rPr>
          <w:rFonts w:ascii="ITC Avant Garde" w:hAnsi="ITC Avant Garde"/>
        </w:rPr>
        <w:t xml:space="preserve"> </w:t>
      </w:r>
      <w:r w:rsidRPr="007D430D">
        <w:rPr>
          <w:rFonts w:ascii="ITC Avant Garde" w:hAnsi="ITC Avant Garde"/>
        </w:rPr>
        <w:t>parámetros que Telmex y Telnor deberán cumplir.</w:t>
      </w:r>
    </w:p>
    <w:p w14:paraId="5EFB9EB0" w14:textId="77777777" w:rsidR="007D430D" w:rsidRDefault="007D430D" w:rsidP="007D430D">
      <w:pPr>
        <w:spacing w:after="0" w:line="276" w:lineRule="auto"/>
        <w:jc w:val="both"/>
        <w:rPr>
          <w:rFonts w:ascii="ITC Avant Garde" w:hAnsi="ITC Avant Garde"/>
        </w:rPr>
      </w:pPr>
    </w:p>
    <w:p w14:paraId="46637AA3" w14:textId="4D71BF06" w:rsidR="0082727E" w:rsidRPr="00122FC9" w:rsidRDefault="0082727E" w:rsidP="00D64439">
      <w:pPr>
        <w:spacing w:after="0" w:line="276" w:lineRule="auto"/>
        <w:jc w:val="both"/>
        <w:rPr>
          <w:rFonts w:ascii="ITC Avant Garde" w:hAnsi="ITC Avant Garde"/>
          <w:b/>
        </w:rPr>
      </w:pPr>
      <w:r w:rsidRPr="00122FC9">
        <w:rPr>
          <w:rFonts w:ascii="ITC Avant Garde" w:hAnsi="ITC Avant Garde"/>
          <w:b/>
        </w:rPr>
        <w:t>TELEFÓNICA</w:t>
      </w:r>
      <w:r w:rsidR="00DD72E0">
        <w:rPr>
          <w:rFonts w:ascii="ITC Avant Garde" w:hAnsi="ITC Avant Garde"/>
          <w:b/>
        </w:rPr>
        <w:t xml:space="preserve"> Y GRUPO AT&amp;T</w:t>
      </w:r>
    </w:p>
    <w:p w14:paraId="3E2D7EC8" w14:textId="77777777" w:rsidR="0082727E" w:rsidRDefault="0082727E" w:rsidP="00D64439">
      <w:pPr>
        <w:spacing w:after="0" w:line="276" w:lineRule="auto"/>
        <w:jc w:val="both"/>
        <w:rPr>
          <w:rFonts w:ascii="ITC Avant Garde" w:hAnsi="ITC Avant Garde"/>
        </w:rPr>
      </w:pPr>
    </w:p>
    <w:p w14:paraId="166BDF88" w14:textId="0194D493" w:rsidR="0082727E" w:rsidRDefault="00396711" w:rsidP="00396711">
      <w:pPr>
        <w:spacing w:after="0" w:line="276" w:lineRule="auto"/>
        <w:jc w:val="both"/>
        <w:rPr>
          <w:rFonts w:ascii="ITC Avant Garde" w:hAnsi="ITC Avant Garde"/>
        </w:rPr>
      </w:pPr>
      <w:r>
        <w:rPr>
          <w:rFonts w:ascii="ITC Avant Garde" w:hAnsi="ITC Avant Garde"/>
        </w:rPr>
        <w:t>S</w:t>
      </w:r>
      <w:r w:rsidR="0082727E" w:rsidRPr="0082727E">
        <w:rPr>
          <w:rFonts w:ascii="ITC Avant Garde" w:hAnsi="ITC Avant Garde"/>
        </w:rPr>
        <w:t>olicita</w:t>
      </w:r>
      <w:r>
        <w:rPr>
          <w:rFonts w:ascii="ITC Avant Garde" w:hAnsi="ITC Avant Garde"/>
        </w:rPr>
        <w:t>n</w:t>
      </w:r>
      <w:r w:rsidR="0082727E" w:rsidRPr="0082727E">
        <w:rPr>
          <w:rFonts w:ascii="ITC Avant Garde" w:hAnsi="ITC Avant Garde"/>
        </w:rPr>
        <w:t xml:space="preserve"> la modificación de los tiempos de solución de fallas conforme a lo contenido en el CMI 2020</w:t>
      </w:r>
      <w:r>
        <w:rPr>
          <w:rFonts w:ascii="ITC Avant Garde" w:hAnsi="ITC Avant Garde"/>
        </w:rPr>
        <w:t>.</w:t>
      </w:r>
      <w:r w:rsidR="0082727E" w:rsidRPr="0082727E">
        <w:rPr>
          <w:rFonts w:ascii="ITC Avant Garde" w:hAnsi="ITC Avant Garde"/>
        </w:rPr>
        <w:t xml:space="preserve"> </w:t>
      </w:r>
    </w:p>
    <w:p w14:paraId="2CB41155" w14:textId="77777777" w:rsidR="003B6093" w:rsidRPr="00E16359" w:rsidRDefault="003B6093" w:rsidP="003B6093">
      <w:pPr>
        <w:spacing w:line="276" w:lineRule="auto"/>
        <w:jc w:val="both"/>
        <w:rPr>
          <w:rFonts w:ascii="ITC Avant Garde" w:hAnsi="ITC Avant Garde"/>
          <w:b/>
        </w:rPr>
      </w:pPr>
      <w:r w:rsidRPr="00E16359">
        <w:rPr>
          <w:rFonts w:ascii="ITC Avant Garde" w:hAnsi="ITC Avant Garde"/>
          <w:b/>
        </w:rPr>
        <w:t xml:space="preserve">Consideraciones del Instituto </w:t>
      </w:r>
    </w:p>
    <w:p w14:paraId="1309C0F3" w14:textId="6102E784" w:rsidR="003B6093" w:rsidRPr="00E16359" w:rsidRDefault="003B6093" w:rsidP="003B6093">
      <w:pPr>
        <w:spacing w:after="0" w:line="276" w:lineRule="auto"/>
        <w:jc w:val="both"/>
        <w:rPr>
          <w:rFonts w:ascii="ITC Avant Garde" w:hAnsi="ITC Avant Garde" w:cs="Times New Roman"/>
        </w:rPr>
      </w:pPr>
      <w:r w:rsidRPr="00E16359">
        <w:rPr>
          <w:rFonts w:ascii="ITC Avant Garde" w:hAnsi="ITC Avant Garde" w:cs="Times New Roman"/>
        </w:rPr>
        <w:t xml:space="preserve">Respecto a las propuestas anteriormente citadas, </w:t>
      </w:r>
      <w:r w:rsidRPr="00E16359">
        <w:rPr>
          <w:rFonts w:ascii="ITC Avant Garde" w:hAnsi="ITC Avant Garde"/>
        </w:rPr>
        <w:t>es necesario considerar que los plazos de entrega, los plazos de atención de fallas, los niveles de disponibilidad, entre otros, sean consistentes con lo es</w:t>
      </w:r>
      <w:r w:rsidR="00147CB5">
        <w:rPr>
          <w:rFonts w:ascii="ITC Avant Garde" w:hAnsi="ITC Avant Garde"/>
        </w:rPr>
        <w:t>tablecido en las Medidas Fijas</w:t>
      </w:r>
      <w:r w:rsidRPr="00E16359">
        <w:rPr>
          <w:rFonts w:ascii="ITC Avant Garde" w:hAnsi="ITC Avant Garde"/>
        </w:rPr>
        <w:t xml:space="preserve">, en este sentido, dicho anexo se modificó </w:t>
      </w:r>
      <w:r w:rsidRPr="00E16359">
        <w:rPr>
          <w:rFonts w:ascii="ITC Avant Garde" w:hAnsi="ITC Avant Garde" w:cs="Times New Roman"/>
        </w:rPr>
        <w:t xml:space="preserve">en el siguiente sentido: </w:t>
      </w:r>
    </w:p>
    <w:p w14:paraId="783BE04C" w14:textId="77777777" w:rsidR="003B6093" w:rsidRPr="00E16359" w:rsidRDefault="003B6093" w:rsidP="003B6093">
      <w:pPr>
        <w:spacing w:after="0" w:line="276" w:lineRule="auto"/>
        <w:jc w:val="both"/>
        <w:rPr>
          <w:rFonts w:ascii="ITC Avant Garde" w:hAnsi="ITC Avant Garde" w:cs="Times New Roman"/>
        </w:rPr>
      </w:pPr>
    </w:p>
    <w:p w14:paraId="2C18C264" w14:textId="77777777" w:rsidR="003B6093" w:rsidRPr="00E16359" w:rsidRDefault="003B6093" w:rsidP="00434008">
      <w:pPr>
        <w:pStyle w:val="Textosinformato"/>
        <w:spacing w:line="276" w:lineRule="auto"/>
        <w:ind w:left="567" w:right="618"/>
        <w:jc w:val="center"/>
        <w:rPr>
          <w:rFonts w:ascii="ITC Avant Garde" w:hAnsi="ITC Avant Garde"/>
          <w:i/>
          <w:sz w:val="18"/>
        </w:rPr>
      </w:pPr>
      <w:r w:rsidRPr="00E16359">
        <w:rPr>
          <w:rFonts w:ascii="ITC Avant Garde" w:hAnsi="ITC Avant Garde"/>
          <w:i/>
          <w:sz w:val="18"/>
        </w:rPr>
        <w:t>“Tabla 3</w:t>
      </w:r>
    </w:p>
    <w:p w14:paraId="36CCFF44" w14:textId="77777777" w:rsidR="003B6093" w:rsidRPr="00E16359" w:rsidRDefault="003B6093" w:rsidP="003B6093">
      <w:pPr>
        <w:pStyle w:val="Textosinformato"/>
        <w:spacing w:line="276" w:lineRule="auto"/>
        <w:ind w:left="567" w:right="618"/>
        <w:rPr>
          <w:rFonts w:ascii="ITC Avant Garde" w:hAnsi="ITC Avant Garde"/>
          <w:i/>
          <w:sz w:val="18"/>
          <w:u w:val="single"/>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65"/>
      </w:tblGrid>
      <w:tr w:rsidR="003B6093" w:rsidRPr="00E16359" w14:paraId="423E77CD" w14:textId="77777777" w:rsidTr="00BB1411">
        <w:tc>
          <w:tcPr>
            <w:tcW w:w="3686" w:type="dxa"/>
            <w:tcBorders>
              <w:top w:val="single" w:sz="4" w:space="0" w:color="auto"/>
              <w:left w:val="single" w:sz="4" w:space="0" w:color="auto"/>
              <w:bottom w:val="single" w:sz="4" w:space="0" w:color="auto"/>
              <w:right w:val="single" w:sz="4" w:space="0" w:color="auto"/>
            </w:tcBorders>
          </w:tcPr>
          <w:p w14:paraId="71699ACF" w14:textId="77777777" w:rsidR="003B6093" w:rsidRPr="00E16359" w:rsidRDefault="003B6093" w:rsidP="00BB1411">
            <w:pPr>
              <w:pStyle w:val="Textosinformato"/>
              <w:spacing w:line="276" w:lineRule="auto"/>
              <w:ind w:left="567" w:right="618"/>
              <w:rPr>
                <w:rFonts w:ascii="ITC Avant Garde" w:hAnsi="ITC Avant Garde"/>
                <w:i/>
                <w:sz w:val="18"/>
                <w:u w:val="single"/>
              </w:rPr>
            </w:pPr>
          </w:p>
          <w:p w14:paraId="7B64DF7F" w14:textId="77777777" w:rsidR="003B6093" w:rsidRPr="00E16359" w:rsidRDefault="003B6093" w:rsidP="00BB1411">
            <w:pPr>
              <w:pStyle w:val="Textosinformato"/>
              <w:spacing w:line="276" w:lineRule="auto"/>
              <w:ind w:left="567" w:right="618"/>
              <w:rPr>
                <w:rFonts w:ascii="ITC Avant Garde" w:hAnsi="ITC Avant Garde"/>
                <w:i/>
                <w:sz w:val="18"/>
                <w:u w:val="single"/>
              </w:rPr>
            </w:pPr>
          </w:p>
        </w:tc>
        <w:tc>
          <w:tcPr>
            <w:tcW w:w="1765" w:type="dxa"/>
            <w:tcBorders>
              <w:top w:val="single" w:sz="4" w:space="0" w:color="auto"/>
              <w:left w:val="single" w:sz="4" w:space="0" w:color="auto"/>
              <w:bottom w:val="single" w:sz="4" w:space="0" w:color="auto"/>
              <w:right w:val="single" w:sz="4" w:space="0" w:color="auto"/>
            </w:tcBorders>
            <w:hideMark/>
          </w:tcPr>
          <w:p w14:paraId="67DF0558" w14:textId="77777777" w:rsidR="003B6093" w:rsidRDefault="003B6093" w:rsidP="00BB1411">
            <w:pPr>
              <w:pStyle w:val="Textosinformato"/>
              <w:spacing w:line="276" w:lineRule="auto"/>
              <w:ind w:left="34"/>
              <w:jc w:val="center"/>
              <w:rPr>
                <w:rFonts w:ascii="ITC Avant Garde" w:hAnsi="ITC Avant Garde"/>
                <w:i/>
                <w:sz w:val="18"/>
                <w:u w:val="single"/>
              </w:rPr>
            </w:pPr>
            <w:r w:rsidRPr="00E16359">
              <w:rPr>
                <w:rFonts w:ascii="ITC Avant Garde" w:hAnsi="ITC Avant Garde"/>
                <w:i/>
                <w:sz w:val="18"/>
                <w:u w:val="single"/>
              </w:rPr>
              <w:t>Facilidad nueva</w:t>
            </w:r>
          </w:p>
          <w:p w14:paraId="71DCE4B2" w14:textId="77777777" w:rsidR="003B6093" w:rsidRPr="00E16359" w:rsidRDefault="003B6093" w:rsidP="00BB1411">
            <w:pPr>
              <w:pStyle w:val="Textosinformato"/>
              <w:spacing w:line="276" w:lineRule="auto"/>
              <w:ind w:left="34"/>
              <w:jc w:val="center"/>
              <w:rPr>
                <w:rFonts w:ascii="ITC Avant Garde" w:hAnsi="ITC Avant Garde"/>
                <w:i/>
                <w:sz w:val="18"/>
                <w:u w:val="single"/>
              </w:rPr>
            </w:pPr>
            <w:r w:rsidRPr="00E16359">
              <w:rPr>
                <w:rFonts w:ascii="ITC Avant Garde" w:hAnsi="ITC Avant Garde"/>
                <w:i/>
                <w:sz w:val="18"/>
                <w:u w:val="single"/>
              </w:rPr>
              <w:t>(Días hábiles)</w:t>
            </w:r>
          </w:p>
        </w:tc>
      </w:tr>
      <w:tr w:rsidR="003B6093" w:rsidRPr="00E16359" w14:paraId="62881B55"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7186C61E"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Puerto de Señalización (PAUSI-MX)</w:t>
            </w:r>
          </w:p>
        </w:tc>
        <w:tc>
          <w:tcPr>
            <w:tcW w:w="1765" w:type="dxa"/>
            <w:tcBorders>
              <w:top w:val="single" w:sz="4" w:space="0" w:color="auto"/>
              <w:left w:val="single" w:sz="4" w:space="0" w:color="auto"/>
              <w:bottom w:val="single" w:sz="4" w:space="0" w:color="auto"/>
              <w:right w:val="single" w:sz="4" w:space="0" w:color="auto"/>
            </w:tcBorders>
            <w:hideMark/>
          </w:tcPr>
          <w:p w14:paraId="5A6B5426"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328E5175"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1A8D6A71"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Puerto de Acceso IP</w:t>
            </w:r>
          </w:p>
        </w:tc>
        <w:tc>
          <w:tcPr>
            <w:tcW w:w="1765" w:type="dxa"/>
            <w:tcBorders>
              <w:top w:val="single" w:sz="4" w:space="0" w:color="auto"/>
              <w:left w:val="single" w:sz="4" w:space="0" w:color="auto"/>
              <w:bottom w:val="single" w:sz="4" w:space="0" w:color="auto"/>
              <w:right w:val="single" w:sz="4" w:space="0" w:color="auto"/>
            </w:tcBorders>
            <w:hideMark/>
          </w:tcPr>
          <w:p w14:paraId="3E392D5E"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7530B774"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18D7B4F9"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Coubicación</w:t>
            </w:r>
          </w:p>
        </w:tc>
        <w:tc>
          <w:tcPr>
            <w:tcW w:w="1765" w:type="dxa"/>
            <w:tcBorders>
              <w:top w:val="single" w:sz="4" w:space="0" w:color="auto"/>
              <w:left w:val="single" w:sz="4" w:space="0" w:color="auto"/>
              <w:bottom w:val="single" w:sz="4" w:space="0" w:color="auto"/>
              <w:right w:val="single" w:sz="4" w:space="0" w:color="auto"/>
            </w:tcBorders>
            <w:hideMark/>
          </w:tcPr>
          <w:p w14:paraId="2646622A"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129F8A69"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68FAC0F1"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Facturación</w:t>
            </w:r>
          </w:p>
        </w:tc>
        <w:tc>
          <w:tcPr>
            <w:tcW w:w="1765" w:type="dxa"/>
            <w:tcBorders>
              <w:top w:val="single" w:sz="4" w:space="0" w:color="auto"/>
              <w:left w:val="single" w:sz="4" w:space="0" w:color="auto"/>
              <w:bottom w:val="single" w:sz="4" w:space="0" w:color="auto"/>
              <w:right w:val="single" w:sz="4" w:space="0" w:color="auto"/>
            </w:tcBorders>
            <w:hideMark/>
          </w:tcPr>
          <w:p w14:paraId="76C8DBA7"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3F1F45B7"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0D8D91A0"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Tránsito</w:t>
            </w:r>
          </w:p>
        </w:tc>
        <w:tc>
          <w:tcPr>
            <w:tcW w:w="1765" w:type="dxa"/>
            <w:tcBorders>
              <w:top w:val="single" w:sz="4" w:space="0" w:color="auto"/>
              <w:left w:val="single" w:sz="4" w:space="0" w:color="auto"/>
              <w:bottom w:val="single" w:sz="4" w:space="0" w:color="auto"/>
              <w:right w:val="single" w:sz="4" w:space="0" w:color="auto"/>
            </w:tcBorders>
            <w:hideMark/>
          </w:tcPr>
          <w:p w14:paraId="0B185270"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7</w:t>
            </w:r>
          </w:p>
        </w:tc>
      </w:tr>
      <w:tr w:rsidR="003B6093" w:rsidRPr="00E16359" w14:paraId="396E8934"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2DC24BB5"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Enlace de Transmisión entre coubicaciones no gestionado</w:t>
            </w:r>
          </w:p>
        </w:tc>
        <w:tc>
          <w:tcPr>
            <w:tcW w:w="1765" w:type="dxa"/>
            <w:tcBorders>
              <w:top w:val="single" w:sz="4" w:space="0" w:color="auto"/>
              <w:left w:val="single" w:sz="4" w:space="0" w:color="auto"/>
              <w:bottom w:val="single" w:sz="4" w:space="0" w:color="auto"/>
              <w:right w:val="single" w:sz="4" w:space="0" w:color="auto"/>
            </w:tcBorders>
            <w:hideMark/>
          </w:tcPr>
          <w:p w14:paraId="11DF2A82"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bl>
    <w:p w14:paraId="609270C5" w14:textId="77777777" w:rsidR="003B6093" w:rsidRPr="00E16359" w:rsidRDefault="003B6093" w:rsidP="003B6093">
      <w:pPr>
        <w:pStyle w:val="Textosinformato"/>
        <w:spacing w:line="276" w:lineRule="auto"/>
        <w:ind w:left="567" w:right="618"/>
        <w:rPr>
          <w:rFonts w:ascii="ITC Avant Garde" w:hAnsi="ITC Avant Garde"/>
          <w:i/>
          <w:sz w:val="18"/>
          <w:u w:val="single"/>
          <w:lang w:val="es-ES"/>
        </w:rPr>
      </w:pPr>
    </w:p>
    <w:p w14:paraId="6CFD3072" w14:textId="77777777" w:rsidR="003B6093" w:rsidRPr="00E16359" w:rsidRDefault="003B6093" w:rsidP="00F74319">
      <w:pPr>
        <w:pStyle w:val="Textosinformato"/>
        <w:spacing w:line="276" w:lineRule="auto"/>
        <w:ind w:left="567" w:right="618"/>
        <w:jc w:val="both"/>
        <w:rPr>
          <w:rFonts w:ascii="ITC Avant Garde" w:hAnsi="ITC Avant Garde"/>
          <w:i/>
          <w:sz w:val="18"/>
          <w:u w:val="single"/>
          <w:lang w:val="es-ES"/>
        </w:rPr>
      </w:pPr>
    </w:p>
    <w:p w14:paraId="3AC9D763" w14:textId="3AA8DAC2" w:rsidR="003B6093" w:rsidRPr="00E16359" w:rsidRDefault="003B6093" w:rsidP="00F74319">
      <w:pPr>
        <w:pStyle w:val="Textosinformato"/>
        <w:spacing w:line="276" w:lineRule="auto"/>
        <w:ind w:left="567" w:right="618"/>
        <w:jc w:val="both"/>
        <w:rPr>
          <w:rFonts w:ascii="ITC Avant Garde" w:hAnsi="ITC Avant Garde"/>
          <w:i/>
          <w:sz w:val="18"/>
          <w:u w:val="single"/>
          <w:lang w:val="es-ES"/>
        </w:rPr>
      </w:pPr>
      <w:r w:rsidRPr="00E16359">
        <w:rPr>
          <w:rFonts w:ascii="ITC Avant Garde" w:hAnsi="ITC Avant Garde"/>
          <w:i/>
          <w:sz w:val="18"/>
          <w:u w:val="single"/>
          <w:lang w:val="es-ES"/>
        </w:rPr>
        <w:t>En caso de que los servicios</w:t>
      </w:r>
      <w:r w:rsidR="009805D5">
        <w:rPr>
          <w:rFonts w:ascii="ITC Avant Garde" w:hAnsi="ITC Avant Garde"/>
          <w:i/>
          <w:sz w:val="18"/>
          <w:u w:val="single"/>
          <w:lang w:val="es-ES"/>
        </w:rPr>
        <w:t xml:space="preserve"> </w:t>
      </w:r>
      <w:r w:rsidRPr="00E16359">
        <w:rPr>
          <w:rFonts w:ascii="ITC Avant Garde" w:hAnsi="ITC Avant Garde"/>
          <w:i/>
          <w:sz w:val="18"/>
          <w:u w:val="single"/>
          <w:lang w:val="es-ES"/>
        </w:rPr>
        <w:t xml:space="preserve">solicitados excedan un 20% o más de los pronosticados, los servicios excedentes serán instalados en un plazo definido por mutuo acuerdo bajo esquema de fecha compromiso (Due Date). Situación que será informada al Instituto, junto con las nuevas fechas de entrega. </w:t>
      </w:r>
    </w:p>
    <w:p w14:paraId="6C58D1EB" w14:textId="77777777" w:rsidR="003B6093" w:rsidRPr="00E16359" w:rsidRDefault="003B6093" w:rsidP="003B6093">
      <w:pPr>
        <w:pStyle w:val="Textosinformato"/>
        <w:spacing w:line="276" w:lineRule="auto"/>
        <w:ind w:left="567" w:right="618"/>
        <w:rPr>
          <w:rFonts w:ascii="ITC Avant Garde" w:hAnsi="ITC Avant Garde"/>
          <w:i/>
          <w:sz w:val="18"/>
          <w:u w:val="single"/>
          <w:lang w:val="es-ES"/>
        </w:rPr>
      </w:pPr>
    </w:p>
    <w:p w14:paraId="267A2639" w14:textId="77777777" w:rsidR="0097642E" w:rsidRDefault="003B6093" w:rsidP="00902C8C">
      <w:pPr>
        <w:pStyle w:val="Textosinformato"/>
        <w:spacing w:line="276" w:lineRule="auto"/>
        <w:ind w:left="567" w:right="618"/>
        <w:rPr>
          <w:rFonts w:ascii="ITC Avant Garde" w:hAnsi="ITC Avant Garde"/>
          <w:i/>
          <w:sz w:val="18"/>
          <w:lang w:val="es-ES"/>
        </w:rPr>
      </w:pPr>
      <w:r w:rsidRPr="00E16359">
        <w:rPr>
          <w:rFonts w:ascii="ITC Avant Garde" w:hAnsi="ITC Avant Garde"/>
          <w:i/>
          <w:sz w:val="18"/>
          <w:lang w:val="es-ES"/>
        </w:rPr>
        <w:t>Cualquier solicitud de servicio (…)”</w:t>
      </w:r>
    </w:p>
    <w:p w14:paraId="14060CFD" w14:textId="77777777" w:rsidR="006A1939" w:rsidRDefault="006A1939" w:rsidP="00E964FA">
      <w:pPr>
        <w:spacing w:after="0" w:line="276" w:lineRule="auto"/>
        <w:jc w:val="both"/>
        <w:rPr>
          <w:rFonts w:ascii="ITC Avant Garde" w:hAnsi="ITC Avant Garde"/>
          <w:b/>
        </w:rPr>
      </w:pPr>
    </w:p>
    <w:p w14:paraId="22E3EE17" w14:textId="425A5E3B" w:rsidR="006A1939" w:rsidRDefault="006A1939" w:rsidP="0097642E">
      <w:pPr>
        <w:spacing w:line="276" w:lineRule="auto"/>
        <w:jc w:val="both"/>
        <w:rPr>
          <w:rFonts w:ascii="ITC Avant Garde" w:hAnsi="ITC Avant Garde"/>
          <w:b/>
        </w:rPr>
      </w:pPr>
      <w:r>
        <w:rPr>
          <w:rFonts w:ascii="ITC Avant Garde" w:hAnsi="ITC Avant Garde"/>
          <w:b/>
        </w:rPr>
        <w:t>ANEXO E.</w:t>
      </w:r>
      <w:r w:rsidR="00026D43">
        <w:rPr>
          <w:rFonts w:ascii="ITC Avant Garde" w:hAnsi="ITC Avant Garde"/>
          <w:b/>
        </w:rPr>
        <w:t xml:space="preserve"> </w:t>
      </w:r>
      <w:r w:rsidRPr="006A1939">
        <w:rPr>
          <w:rFonts w:ascii="ITC Avant Garde" w:hAnsi="ITC Avant Garde"/>
          <w:b/>
        </w:rPr>
        <w:t>FORMATO DE PRONÓSTICOS DE PUERTOS Y COUBICACIONES</w:t>
      </w:r>
    </w:p>
    <w:p w14:paraId="1FBD564F" w14:textId="505E2E42" w:rsidR="006A1939" w:rsidRDefault="006A1939" w:rsidP="0097642E">
      <w:pPr>
        <w:spacing w:line="276" w:lineRule="auto"/>
        <w:jc w:val="both"/>
        <w:rPr>
          <w:rFonts w:ascii="ITC Avant Garde" w:hAnsi="ITC Avant Garde"/>
          <w:b/>
        </w:rPr>
      </w:pPr>
      <w:r>
        <w:rPr>
          <w:rFonts w:ascii="ITC Avant Garde" w:hAnsi="ITC Avant Garde"/>
          <w:b/>
        </w:rPr>
        <w:t>GRUPO AT&amp;T</w:t>
      </w:r>
    </w:p>
    <w:p w14:paraId="72ADB902" w14:textId="43936529" w:rsidR="006A1939" w:rsidRPr="00E964FA" w:rsidRDefault="006A1939" w:rsidP="0097642E">
      <w:pPr>
        <w:spacing w:line="276" w:lineRule="auto"/>
        <w:jc w:val="both"/>
        <w:rPr>
          <w:rFonts w:ascii="ITC Avant Garde" w:hAnsi="ITC Avant Garde"/>
        </w:rPr>
      </w:pPr>
      <w:r w:rsidRPr="00E964FA">
        <w:rPr>
          <w:rFonts w:ascii="ITC Avant Garde" w:hAnsi="ITC Avant Garde"/>
        </w:rPr>
        <w:t>Sugiere eliminar este Anexo, ya que no se requieren pronósticos.</w:t>
      </w:r>
    </w:p>
    <w:p w14:paraId="5C4ED7C4" w14:textId="53371201" w:rsidR="006A1939" w:rsidRPr="0019228E" w:rsidRDefault="0019228E" w:rsidP="0019228E">
      <w:pPr>
        <w:spacing w:line="276" w:lineRule="auto"/>
        <w:jc w:val="both"/>
        <w:rPr>
          <w:rFonts w:ascii="ITC Avant Garde" w:hAnsi="ITC Avant Garde"/>
          <w:b/>
        </w:rPr>
      </w:pPr>
      <w:r w:rsidRPr="0019228E">
        <w:rPr>
          <w:rFonts w:ascii="ITC Avant Garde" w:hAnsi="ITC Avant Garde"/>
          <w:b/>
        </w:rPr>
        <w:t>Consideraciones del Instituto</w:t>
      </w:r>
    </w:p>
    <w:p w14:paraId="35AA26C0" w14:textId="0A5641E9" w:rsidR="00164FA9" w:rsidRDefault="00BE4028" w:rsidP="00164FA9">
      <w:pPr>
        <w:spacing w:after="200" w:line="276" w:lineRule="auto"/>
        <w:jc w:val="both"/>
        <w:rPr>
          <w:rFonts w:ascii="ITC Avant Garde" w:hAnsi="ITC Avant Garde"/>
        </w:rPr>
      </w:pPr>
      <w:r>
        <w:rPr>
          <w:rFonts w:ascii="ITC Avant Garde" w:hAnsi="ITC Avant Garde"/>
        </w:rPr>
        <w:t>Para realizar el correcto dimensionamiento de las redes a efecto de soportar el tráfico cursado es necesario contar con los pronósticos de los servicios.</w:t>
      </w:r>
    </w:p>
    <w:p w14:paraId="1F6BF6E5" w14:textId="5BF4D353" w:rsidR="00BD1344" w:rsidRDefault="00BD1344" w:rsidP="00BD1344">
      <w:pPr>
        <w:spacing w:line="276" w:lineRule="auto"/>
        <w:jc w:val="both"/>
        <w:rPr>
          <w:rFonts w:ascii="ITC Avant Garde" w:hAnsi="ITC Avant Garde"/>
          <w:b/>
        </w:rPr>
      </w:pPr>
      <w:r>
        <w:rPr>
          <w:rFonts w:ascii="ITC Avant Garde" w:hAnsi="ITC Avant Garde"/>
          <w:b/>
        </w:rPr>
        <w:lastRenderedPageBreak/>
        <w:t xml:space="preserve">ANEXO G. </w:t>
      </w:r>
      <w:r w:rsidR="00F37EB2">
        <w:rPr>
          <w:rFonts w:ascii="ITC Avant Garde" w:hAnsi="ITC Avant Garde"/>
          <w:b/>
        </w:rPr>
        <w:t>ENLACES DEDICADOS DE INTERCONEXIÓN</w:t>
      </w:r>
    </w:p>
    <w:p w14:paraId="01AD5129" w14:textId="6F91122C" w:rsidR="00BD1344" w:rsidRDefault="00BD1344" w:rsidP="00BD1344">
      <w:pPr>
        <w:spacing w:line="276" w:lineRule="auto"/>
        <w:jc w:val="both"/>
        <w:rPr>
          <w:rFonts w:ascii="ITC Avant Garde" w:hAnsi="ITC Avant Garde"/>
          <w:b/>
        </w:rPr>
      </w:pPr>
      <w:r>
        <w:rPr>
          <w:rFonts w:ascii="ITC Avant Garde" w:hAnsi="ITC Avant Garde"/>
          <w:b/>
        </w:rPr>
        <w:t>GRUPO AT&amp;T</w:t>
      </w:r>
      <w:r w:rsidR="00A83EDF">
        <w:rPr>
          <w:rFonts w:ascii="ITC Avant Garde" w:hAnsi="ITC Avant Garde"/>
          <w:b/>
        </w:rPr>
        <w:t>, CANIETI Y GRUPO TELEVISA</w:t>
      </w:r>
    </w:p>
    <w:p w14:paraId="1F373425" w14:textId="130F3E05" w:rsidR="0097642E" w:rsidRPr="00F37EB2" w:rsidRDefault="00A83EDF" w:rsidP="00F37EB2">
      <w:pPr>
        <w:spacing w:after="200" w:line="276" w:lineRule="auto"/>
        <w:jc w:val="both"/>
        <w:rPr>
          <w:rFonts w:ascii="ITC Avant Garde" w:hAnsi="ITC Avant Garde"/>
        </w:rPr>
      </w:pPr>
      <w:r w:rsidRPr="00F37EB2">
        <w:rPr>
          <w:rFonts w:ascii="ITC Avant Garde" w:hAnsi="ITC Avant Garde"/>
        </w:rPr>
        <w:t xml:space="preserve">Grupo AT&amp;T señala que </w:t>
      </w:r>
      <w:r w:rsidR="003A0013">
        <w:rPr>
          <w:rFonts w:ascii="ITC Avant Garde" w:hAnsi="ITC Avant Garde"/>
        </w:rPr>
        <w:t>Telmex/Telnor</w:t>
      </w:r>
      <w:r w:rsidR="00BD1344" w:rsidRPr="00F37EB2">
        <w:rPr>
          <w:rFonts w:ascii="ITC Avant Garde" w:hAnsi="ITC Avant Garde"/>
        </w:rPr>
        <w:t xml:space="preserve"> propone eliminar por completo este anexo, consideramos que se requiere que se firme uno similar con la Red Nacional Última Milla para evitar interrumpir la contratación de nuevos servicios y afectar la operación de los actuales.</w:t>
      </w:r>
    </w:p>
    <w:p w14:paraId="252B7AE5" w14:textId="51578467" w:rsidR="00A83EDF" w:rsidRDefault="00A83EDF" w:rsidP="00F37EB2">
      <w:pPr>
        <w:spacing w:after="200" w:line="276" w:lineRule="auto"/>
        <w:jc w:val="both"/>
        <w:rPr>
          <w:rFonts w:ascii="ITC Avant Garde" w:hAnsi="ITC Avant Garde"/>
        </w:rPr>
      </w:pPr>
      <w:r w:rsidRPr="00F37EB2">
        <w:rPr>
          <w:rFonts w:ascii="ITC Avant Garde" w:hAnsi="ITC Avant Garde"/>
        </w:rPr>
        <w:t>CANIETI y Grupo Televisa, señalan que dado que actualmente Telmex</w:t>
      </w:r>
      <w:r w:rsidR="00F37EB2">
        <w:rPr>
          <w:rFonts w:ascii="ITC Avant Garde" w:hAnsi="ITC Avant Garde"/>
        </w:rPr>
        <w:t>/</w:t>
      </w:r>
      <w:r w:rsidRPr="00F37EB2">
        <w:rPr>
          <w:rFonts w:ascii="ITC Avant Garde" w:hAnsi="ITC Avant Garde"/>
        </w:rPr>
        <w:t>Telnor, continúan cobrando “Enlaces de Interconexión de larga distancia”, se recomienda incorporar el anexo relativo a enlaces de interconexión del CMI vigente”, los relativos a Enlaces de Transmisión de Interconexión y Enlaces de Señalización</w:t>
      </w:r>
      <w:r w:rsidRPr="008E613D">
        <w:rPr>
          <w:rFonts w:ascii="ITC Avant Garde" w:hAnsi="ITC Avant Garde"/>
        </w:rPr>
        <w:t>.</w:t>
      </w:r>
    </w:p>
    <w:p w14:paraId="69B42929" w14:textId="795BC505" w:rsidR="00F151E6" w:rsidRPr="00F37EB2" w:rsidRDefault="00F37EB2" w:rsidP="0097642E">
      <w:pPr>
        <w:spacing w:line="276" w:lineRule="auto"/>
        <w:jc w:val="both"/>
        <w:rPr>
          <w:rFonts w:ascii="ITC Avant Garde" w:hAnsi="ITC Avant Garde"/>
          <w:b/>
        </w:rPr>
      </w:pPr>
      <w:r w:rsidRPr="00F37EB2">
        <w:rPr>
          <w:rFonts w:ascii="ITC Avant Garde" w:hAnsi="ITC Avant Garde"/>
          <w:b/>
        </w:rPr>
        <w:t>Consideraciones del Instituto</w:t>
      </w:r>
    </w:p>
    <w:p w14:paraId="6567C63C" w14:textId="45ABC373" w:rsidR="00F37EB2" w:rsidRDefault="00F37EB2" w:rsidP="00F37EB2">
      <w:pPr>
        <w:spacing w:line="276" w:lineRule="auto"/>
        <w:jc w:val="both"/>
        <w:rPr>
          <w:rFonts w:ascii="ITC Avant Garde" w:hAnsi="ITC Avant Garde"/>
        </w:rPr>
      </w:pPr>
      <w:r>
        <w:rPr>
          <w:rFonts w:ascii="ITC Avant Garde" w:hAnsi="ITC Avant Garde"/>
        </w:rPr>
        <w:t xml:space="preserve">Conforme al Plan de Separación Funcional la prestación del servicio de enlaces de interconexión es responsabilidad de la Red Última Milla, en este sentido, </w:t>
      </w:r>
      <w:r w:rsidR="00103E63">
        <w:rPr>
          <w:rFonts w:ascii="ITC Avant Garde" w:hAnsi="ITC Avant Garde"/>
        </w:rPr>
        <w:t>las</w:t>
      </w:r>
      <w:r>
        <w:rPr>
          <w:rFonts w:ascii="ITC Avant Garde" w:hAnsi="ITC Avant Garde"/>
        </w:rPr>
        <w:t xml:space="preserve"> condiciones de operación</w:t>
      </w:r>
      <w:r w:rsidR="00103E63">
        <w:rPr>
          <w:rFonts w:ascii="ITC Avant Garde" w:hAnsi="ITC Avant Garde"/>
        </w:rPr>
        <w:t xml:space="preserve"> y prestación del servicio</w:t>
      </w:r>
      <w:r>
        <w:rPr>
          <w:rFonts w:ascii="ITC Avant Garde" w:hAnsi="ITC Avant Garde"/>
        </w:rPr>
        <w:t xml:space="preserve"> forman parte de las ofertas de referencia que al efecto se aprueben.</w:t>
      </w:r>
    </w:p>
    <w:p w14:paraId="0A01A695" w14:textId="09E965F9" w:rsidR="00103E63" w:rsidRDefault="00103E63" w:rsidP="00F37EB2">
      <w:pPr>
        <w:spacing w:line="276" w:lineRule="auto"/>
        <w:jc w:val="both"/>
        <w:rPr>
          <w:rFonts w:ascii="ITC Avant Garde" w:hAnsi="ITC Avant Garde"/>
        </w:rPr>
      </w:pPr>
      <w:r>
        <w:rPr>
          <w:rFonts w:ascii="ITC Avant Garde" w:hAnsi="ITC Avant Garde"/>
        </w:rPr>
        <w:t>De igual forma, las condiciones para la transferencia de servicios contratados a Telmex/Telnor previamente exceden el alcance del convenio marco de interconexión.</w:t>
      </w:r>
    </w:p>
    <w:p w14:paraId="50A2525E" w14:textId="77777777" w:rsidR="00F37EB2" w:rsidRPr="0097642E" w:rsidRDefault="00F37EB2" w:rsidP="0097642E">
      <w:pPr>
        <w:spacing w:line="276" w:lineRule="auto"/>
        <w:jc w:val="both"/>
        <w:rPr>
          <w:rFonts w:ascii="ITC Avant Garde" w:hAnsi="ITC Avant Garde"/>
        </w:rPr>
      </w:pPr>
    </w:p>
    <w:sectPr w:rsidR="00F37EB2" w:rsidRPr="0097642E" w:rsidSect="00A7774F">
      <w:pgSz w:w="12240" w:h="15840"/>
      <w:pgMar w:top="1418" w:right="1469"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764B2" w14:textId="77777777" w:rsidR="00EA2992" w:rsidRDefault="00EA2992" w:rsidP="00F045EE">
      <w:pPr>
        <w:spacing w:after="0" w:line="240" w:lineRule="auto"/>
      </w:pPr>
      <w:r>
        <w:separator/>
      </w:r>
    </w:p>
  </w:endnote>
  <w:endnote w:type="continuationSeparator" w:id="0">
    <w:p w14:paraId="59F9A747" w14:textId="77777777" w:rsidR="00EA2992" w:rsidRDefault="00EA2992" w:rsidP="00F0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ant Garde">
    <w:altName w:val="Century Gothic"/>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D58E9" w14:textId="77777777" w:rsidR="00EA2992" w:rsidRDefault="00EA2992" w:rsidP="00F045EE">
      <w:pPr>
        <w:spacing w:after="0" w:line="240" w:lineRule="auto"/>
      </w:pPr>
      <w:r>
        <w:separator/>
      </w:r>
    </w:p>
  </w:footnote>
  <w:footnote w:type="continuationSeparator" w:id="0">
    <w:p w14:paraId="241FB4BC" w14:textId="77777777" w:rsidR="00EA2992" w:rsidRDefault="00EA2992" w:rsidP="00F04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101F1D50"/>
    <w:multiLevelType w:val="multilevel"/>
    <w:tmpl w:val="C862100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24004C54"/>
    <w:multiLevelType w:val="hybridMultilevel"/>
    <w:tmpl w:val="8BACB198"/>
    <w:lvl w:ilvl="0" w:tplc="C268878C">
      <w:start w:val="1"/>
      <w:numFmt w:val="decimal"/>
      <w:lvlText w:val="%1)"/>
      <w:lvlJc w:val="left"/>
      <w:pPr>
        <w:ind w:left="978" w:hanging="360"/>
      </w:pPr>
      <w:rPr>
        <w:rFonts w:hint="default"/>
      </w:rPr>
    </w:lvl>
    <w:lvl w:ilvl="1" w:tplc="080A0019" w:tentative="1">
      <w:start w:val="1"/>
      <w:numFmt w:val="lowerLetter"/>
      <w:lvlText w:val="%2."/>
      <w:lvlJc w:val="left"/>
      <w:pPr>
        <w:ind w:left="1698" w:hanging="360"/>
      </w:pPr>
    </w:lvl>
    <w:lvl w:ilvl="2" w:tplc="080A001B" w:tentative="1">
      <w:start w:val="1"/>
      <w:numFmt w:val="lowerRoman"/>
      <w:lvlText w:val="%3."/>
      <w:lvlJc w:val="right"/>
      <w:pPr>
        <w:ind w:left="2418" w:hanging="180"/>
      </w:pPr>
    </w:lvl>
    <w:lvl w:ilvl="3" w:tplc="080A000F" w:tentative="1">
      <w:start w:val="1"/>
      <w:numFmt w:val="decimal"/>
      <w:lvlText w:val="%4."/>
      <w:lvlJc w:val="left"/>
      <w:pPr>
        <w:ind w:left="3138" w:hanging="360"/>
      </w:pPr>
    </w:lvl>
    <w:lvl w:ilvl="4" w:tplc="080A0019" w:tentative="1">
      <w:start w:val="1"/>
      <w:numFmt w:val="lowerLetter"/>
      <w:lvlText w:val="%5."/>
      <w:lvlJc w:val="left"/>
      <w:pPr>
        <w:ind w:left="3858" w:hanging="360"/>
      </w:pPr>
    </w:lvl>
    <w:lvl w:ilvl="5" w:tplc="080A001B" w:tentative="1">
      <w:start w:val="1"/>
      <w:numFmt w:val="lowerRoman"/>
      <w:lvlText w:val="%6."/>
      <w:lvlJc w:val="right"/>
      <w:pPr>
        <w:ind w:left="4578" w:hanging="180"/>
      </w:pPr>
    </w:lvl>
    <w:lvl w:ilvl="6" w:tplc="080A000F" w:tentative="1">
      <w:start w:val="1"/>
      <w:numFmt w:val="decimal"/>
      <w:lvlText w:val="%7."/>
      <w:lvlJc w:val="left"/>
      <w:pPr>
        <w:ind w:left="5298" w:hanging="360"/>
      </w:pPr>
    </w:lvl>
    <w:lvl w:ilvl="7" w:tplc="080A0019" w:tentative="1">
      <w:start w:val="1"/>
      <w:numFmt w:val="lowerLetter"/>
      <w:lvlText w:val="%8."/>
      <w:lvlJc w:val="left"/>
      <w:pPr>
        <w:ind w:left="6018" w:hanging="360"/>
      </w:pPr>
    </w:lvl>
    <w:lvl w:ilvl="8" w:tplc="080A001B" w:tentative="1">
      <w:start w:val="1"/>
      <w:numFmt w:val="lowerRoman"/>
      <w:lvlText w:val="%9."/>
      <w:lvlJc w:val="right"/>
      <w:pPr>
        <w:ind w:left="6738" w:hanging="180"/>
      </w:pPr>
    </w:lvl>
  </w:abstractNum>
  <w:abstractNum w:abstractNumId="4" w15:restartNumberingAfterBreak="0">
    <w:nsid w:val="27A51777"/>
    <w:multiLevelType w:val="hybridMultilevel"/>
    <w:tmpl w:val="E03C164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29ED2FA8"/>
    <w:multiLevelType w:val="hybridMultilevel"/>
    <w:tmpl w:val="D9923D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744991"/>
    <w:multiLevelType w:val="hybridMultilevel"/>
    <w:tmpl w:val="3C3EA06C"/>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14A6B"/>
    <w:multiLevelType w:val="hybridMultilevel"/>
    <w:tmpl w:val="30A6A176"/>
    <w:lvl w:ilvl="0" w:tplc="5544A862">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F7B7E"/>
    <w:multiLevelType w:val="hybridMultilevel"/>
    <w:tmpl w:val="49628E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9533CD"/>
    <w:multiLevelType w:val="hybridMultilevel"/>
    <w:tmpl w:val="7F8C9466"/>
    <w:lvl w:ilvl="0" w:tplc="C1A8C2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
  </w:num>
  <w:num w:numId="5">
    <w:abstractNumId w:val="7"/>
  </w:num>
  <w:num w:numId="6">
    <w:abstractNumId w:val="6"/>
  </w:num>
  <w:num w:numId="7">
    <w:abstractNumId w:val="4"/>
  </w:num>
  <w:num w:numId="8">
    <w:abstractNumId w:val="3"/>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4F"/>
    <w:rsid w:val="000023FC"/>
    <w:rsid w:val="00007390"/>
    <w:rsid w:val="00015626"/>
    <w:rsid w:val="00016322"/>
    <w:rsid w:val="00020A7A"/>
    <w:rsid w:val="00021FA7"/>
    <w:rsid w:val="000240BF"/>
    <w:rsid w:val="00024C42"/>
    <w:rsid w:val="00025557"/>
    <w:rsid w:val="00025CD6"/>
    <w:rsid w:val="000266DC"/>
    <w:rsid w:val="00026D43"/>
    <w:rsid w:val="000316F1"/>
    <w:rsid w:val="000330A0"/>
    <w:rsid w:val="00034F01"/>
    <w:rsid w:val="000378F7"/>
    <w:rsid w:val="00037C97"/>
    <w:rsid w:val="00041823"/>
    <w:rsid w:val="00047008"/>
    <w:rsid w:val="00050267"/>
    <w:rsid w:val="00053AA5"/>
    <w:rsid w:val="00054D05"/>
    <w:rsid w:val="00055E52"/>
    <w:rsid w:val="00070F24"/>
    <w:rsid w:val="0007653D"/>
    <w:rsid w:val="0007654C"/>
    <w:rsid w:val="00077D6B"/>
    <w:rsid w:val="00080DFC"/>
    <w:rsid w:val="00081FBA"/>
    <w:rsid w:val="00083281"/>
    <w:rsid w:val="00085F72"/>
    <w:rsid w:val="00090ED9"/>
    <w:rsid w:val="0009657B"/>
    <w:rsid w:val="000A43E5"/>
    <w:rsid w:val="000C5359"/>
    <w:rsid w:val="000D771F"/>
    <w:rsid w:val="000F4A47"/>
    <w:rsid w:val="000F4F77"/>
    <w:rsid w:val="00103E63"/>
    <w:rsid w:val="00105CE2"/>
    <w:rsid w:val="00110664"/>
    <w:rsid w:val="00113C8A"/>
    <w:rsid w:val="00114384"/>
    <w:rsid w:val="00116E9B"/>
    <w:rsid w:val="00120512"/>
    <w:rsid w:val="00121DF0"/>
    <w:rsid w:val="00122FC9"/>
    <w:rsid w:val="00123FFF"/>
    <w:rsid w:val="00131B7A"/>
    <w:rsid w:val="00137383"/>
    <w:rsid w:val="001401CB"/>
    <w:rsid w:val="00145A6D"/>
    <w:rsid w:val="00147CB5"/>
    <w:rsid w:val="00147EB0"/>
    <w:rsid w:val="001552B9"/>
    <w:rsid w:val="00156559"/>
    <w:rsid w:val="00164FA9"/>
    <w:rsid w:val="00167475"/>
    <w:rsid w:val="00171A64"/>
    <w:rsid w:val="00180187"/>
    <w:rsid w:val="00180274"/>
    <w:rsid w:val="00181614"/>
    <w:rsid w:val="00182421"/>
    <w:rsid w:val="0018613B"/>
    <w:rsid w:val="0019228E"/>
    <w:rsid w:val="00197A31"/>
    <w:rsid w:val="001A17E7"/>
    <w:rsid w:val="001B04EE"/>
    <w:rsid w:val="001C1409"/>
    <w:rsid w:val="001C2328"/>
    <w:rsid w:val="001C2664"/>
    <w:rsid w:val="001D0E5D"/>
    <w:rsid w:val="001E1EBE"/>
    <w:rsid w:val="001E36C5"/>
    <w:rsid w:val="001F105D"/>
    <w:rsid w:val="001F436C"/>
    <w:rsid w:val="001F744E"/>
    <w:rsid w:val="001F75AC"/>
    <w:rsid w:val="001F7A4A"/>
    <w:rsid w:val="002078DD"/>
    <w:rsid w:val="00210E2A"/>
    <w:rsid w:val="0021234C"/>
    <w:rsid w:val="00215904"/>
    <w:rsid w:val="0021640A"/>
    <w:rsid w:val="00216FD9"/>
    <w:rsid w:val="00217017"/>
    <w:rsid w:val="002179DA"/>
    <w:rsid w:val="00220412"/>
    <w:rsid w:val="00220565"/>
    <w:rsid w:val="00224035"/>
    <w:rsid w:val="00224F08"/>
    <w:rsid w:val="00240383"/>
    <w:rsid w:val="00243711"/>
    <w:rsid w:val="00247FD3"/>
    <w:rsid w:val="00255895"/>
    <w:rsid w:val="00260F7D"/>
    <w:rsid w:val="00264732"/>
    <w:rsid w:val="00264C9D"/>
    <w:rsid w:val="00274EC1"/>
    <w:rsid w:val="00276BD7"/>
    <w:rsid w:val="002801FE"/>
    <w:rsid w:val="00280C5F"/>
    <w:rsid w:val="00281573"/>
    <w:rsid w:val="0028496A"/>
    <w:rsid w:val="00285F53"/>
    <w:rsid w:val="00290EFC"/>
    <w:rsid w:val="00294287"/>
    <w:rsid w:val="00297F30"/>
    <w:rsid w:val="002A14FC"/>
    <w:rsid w:val="002B1208"/>
    <w:rsid w:val="002B2806"/>
    <w:rsid w:val="002B6A2F"/>
    <w:rsid w:val="002C16CD"/>
    <w:rsid w:val="002C318B"/>
    <w:rsid w:val="002C7073"/>
    <w:rsid w:val="002C7287"/>
    <w:rsid w:val="002D18F9"/>
    <w:rsid w:val="002E4945"/>
    <w:rsid w:val="002E6085"/>
    <w:rsid w:val="002E7BD9"/>
    <w:rsid w:val="002F130B"/>
    <w:rsid w:val="00303E6D"/>
    <w:rsid w:val="00306793"/>
    <w:rsid w:val="00312DEE"/>
    <w:rsid w:val="003131E2"/>
    <w:rsid w:val="00317CDC"/>
    <w:rsid w:val="003236E6"/>
    <w:rsid w:val="003238A4"/>
    <w:rsid w:val="00327CEF"/>
    <w:rsid w:val="00330FD4"/>
    <w:rsid w:val="00333246"/>
    <w:rsid w:val="00333A4D"/>
    <w:rsid w:val="00356526"/>
    <w:rsid w:val="00362706"/>
    <w:rsid w:val="00363655"/>
    <w:rsid w:val="003646FA"/>
    <w:rsid w:val="00364CF5"/>
    <w:rsid w:val="00370DD6"/>
    <w:rsid w:val="003905B4"/>
    <w:rsid w:val="003941E3"/>
    <w:rsid w:val="00396711"/>
    <w:rsid w:val="003A0013"/>
    <w:rsid w:val="003A28EF"/>
    <w:rsid w:val="003A3B72"/>
    <w:rsid w:val="003A5419"/>
    <w:rsid w:val="003B4AF7"/>
    <w:rsid w:val="003B5258"/>
    <w:rsid w:val="003B6093"/>
    <w:rsid w:val="003C42A8"/>
    <w:rsid w:val="003C5F12"/>
    <w:rsid w:val="003D709B"/>
    <w:rsid w:val="003F0A31"/>
    <w:rsid w:val="004139D5"/>
    <w:rsid w:val="004172A6"/>
    <w:rsid w:val="00422537"/>
    <w:rsid w:val="00434008"/>
    <w:rsid w:val="0043626B"/>
    <w:rsid w:val="004505B5"/>
    <w:rsid w:val="004512CB"/>
    <w:rsid w:val="004543E9"/>
    <w:rsid w:val="00454D54"/>
    <w:rsid w:val="00456113"/>
    <w:rsid w:val="00467F19"/>
    <w:rsid w:val="00471470"/>
    <w:rsid w:val="00473BEF"/>
    <w:rsid w:val="00473E60"/>
    <w:rsid w:val="0048002F"/>
    <w:rsid w:val="004A0BF3"/>
    <w:rsid w:val="004A0F2A"/>
    <w:rsid w:val="004A11E6"/>
    <w:rsid w:val="004A70EB"/>
    <w:rsid w:val="004B006D"/>
    <w:rsid w:val="004B30B9"/>
    <w:rsid w:val="004C6179"/>
    <w:rsid w:val="004C6845"/>
    <w:rsid w:val="004E3CFD"/>
    <w:rsid w:val="004E4EAE"/>
    <w:rsid w:val="004E7086"/>
    <w:rsid w:val="00500002"/>
    <w:rsid w:val="00507019"/>
    <w:rsid w:val="005263E3"/>
    <w:rsid w:val="00530914"/>
    <w:rsid w:val="005318CE"/>
    <w:rsid w:val="005338E3"/>
    <w:rsid w:val="00535C0C"/>
    <w:rsid w:val="00537CF3"/>
    <w:rsid w:val="005401AC"/>
    <w:rsid w:val="00554BBD"/>
    <w:rsid w:val="005562D4"/>
    <w:rsid w:val="00561DEF"/>
    <w:rsid w:val="005703EC"/>
    <w:rsid w:val="00570E9E"/>
    <w:rsid w:val="00574BEF"/>
    <w:rsid w:val="00581D09"/>
    <w:rsid w:val="00584095"/>
    <w:rsid w:val="00585C0A"/>
    <w:rsid w:val="00586693"/>
    <w:rsid w:val="0059247D"/>
    <w:rsid w:val="005924CF"/>
    <w:rsid w:val="00596EA1"/>
    <w:rsid w:val="0059776E"/>
    <w:rsid w:val="005A4BAF"/>
    <w:rsid w:val="005A6348"/>
    <w:rsid w:val="005B031F"/>
    <w:rsid w:val="005B4C74"/>
    <w:rsid w:val="005B7945"/>
    <w:rsid w:val="005C072E"/>
    <w:rsid w:val="005C092B"/>
    <w:rsid w:val="005C4EBF"/>
    <w:rsid w:val="005C59B3"/>
    <w:rsid w:val="005D0CF3"/>
    <w:rsid w:val="005D46F6"/>
    <w:rsid w:val="005D793A"/>
    <w:rsid w:val="005E3043"/>
    <w:rsid w:val="005F126A"/>
    <w:rsid w:val="005F1868"/>
    <w:rsid w:val="005F36E5"/>
    <w:rsid w:val="005F59DB"/>
    <w:rsid w:val="00600AD7"/>
    <w:rsid w:val="00602A45"/>
    <w:rsid w:val="006041A2"/>
    <w:rsid w:val="006215D9"/>
    <w:rsid w:val="006221C8"/>
    <w:rsid w:val="00624ADF"/>
    <w:rsid w:val="0062585F"/>
    <w:rsid w:val="00626D48"/>
    <w:rsid w:val="00630131"/>
    <w:rsid w:val="006363FB"/>
    <w:rsid w:val="00636791"/>
    <w:rsid w:val="006453DC"/>
    <w:rsid w:val="00653FDC"/>
    <w:rsid w:val="006625C5"/>
    <w:rsid w:val="00662ED7"/>
    <w:rsid w:val="00666C60"/>
    <w:rsid w:val="00670035"/>
    <w:rsid w:val="00671CAB"/>
    <w:rsid w:val="00672E3A"/>
    <w:rsid w:val="00673C4D"/>
    <w:rsid w:val="00674C84"/>
    <w:rsid w:val="00675790"/>
    <w:rsid w:val="00676A3F"/>
    <w:rsid w:val="00683410"/>
    <w:rsid w:val="0069255D"/>
    <w:rsid w:val="0069322C"/>
    <w:rsid w:val="00695211"/>
    <w:rsid w:val="00695A6A"/>
    <w:rsid w:val="006A1939"/>
    <w:rsid w:val="006A392A"/>
    <w:rsid w:val="006A3EA1"/>
    <w:rsid w:val="006B5B6B"/>
    <w:rsid w:val="006B6B53"/>
    <w:rsid w:val="006C0792"/>
    <w:rsid w:val="006C2DEF"/>
    <w:rsid w:val="006D788E"/>
    <w:rsid w:val="006E1D2E"/>
    <w:rsid w:val="006E7851"/>
    <w:rsid w:val="00701B40"/>
    <w:rsid w:val="00702107"/>
    <w:rsid w:val="00705167"/>
    <w:rsid w:val="007056A1"/>
    <w:rsid w:val="0070599E"/>
    <w:rsid w:val="00706841"/>
    <w:rsid w:val="00707B8C"/>
    <w:rsid w:val="00715A03"/>
    <w:rsid w:val="00720B87"/>
    <w:rsid w:val="007226D8"/>
    <w:rsid w:val="00722BAD"/>
    <w:rsid w:val="007268D9"/>
    <w:rsid w:val="00726E55"/>
    <w:rsid w:val="00730330"/>
    <w:rsid w:val="00730831"/>
    <w:rsid w:val="0073289E"/>
    <w:rsid w:val="00732B1B"/>
    <w:rsid w:val="0074082F"/>
    <w:rsid w:val="00745038"/>
    <w:rsid w:val="00750720"/>
    <w:rsid w:val="007571C3"/>
    <w:rsid w:val="00766371"/>
    <w:rsid w:val="00774106"/>
    <w:rsid w:val="00776CFD"/>
    <w:rsid w:val="007856B1"/>
    <w:rsid w:val="00785AE6"/>
    <w:rsid w:val="00786DB8"/>
    <w:rsid w:val="00790606"/>
    <w:rsid w:val="00791D5A"/>
    <w:rsid w:val="00794447"/>
    <w:rsid w:val="007A26B2"/>
    <w:rsid w:val="007A5ECB"/>
    <w:rsid w:val="007A68E4"/>
    <w:rsid w:val="007B6F52"/>
    <w:rsid w:val="007C0E3E"/>
    <w:rsid w:val="007C1320"/>
    <w:rsid w:val="007D16B8"/>
    <w:rsid w:val="007D430D"/>
    <w:rsid w:val="007D53E0"/>
    <w:rsid w:val="007E7005"/>
    <w:rsid w:val="007F174B"/>
    <w:rsid w:val="007F2620"/>
    <w:rsid w:val="008142F4"/>
    <w:rsid w:val="008157CD"/>
    <w:rsid w:val="0082727E"/>
    <w:rsid w:val="008312EA"/>
    <w:rsid w:val="00835459"/>
    <w:rsid w:val="00841E51"/>
    <w:rsid w:val="00843F6A"/>
    <w:rsid w:val="008502F4"/>
    <w:rsid w:val="00853F0F"/>
    <w:rsid w:val="0085425A"/>
    <w:rsid w:val="008563ED"/>
    <w:rsid w:val="0085724B"/>
    <w:rsid w:val="00865FCC"/>
    <w:rsid w:val="00872B34"/>
    <w:rsid w:val="008769FF"/>
    <w:rsid w:val="008771AE"/>
    <w:rsid w:val="0088172B"/>
    <w:rsid w:val="00885AAD"/>
    <w:rsid w:val="00887BE3"/>
    <w:rsid w:val="0089688D"/>
    <w:rsid w:val="008A5FCD"/>
    <w:rsid w:val="008B2733"/>
    <w:rsid w:val="008B3453"/>
    <w:rsid w:val="008B6EB5"/>
    <w:rsid w:val="008C18E5"/>
    <w:rsid w:val="008C7543"/>
    <w:rsid w:val="008D21F2"/>
    <w:rsid w:val="008D5068"/>
    <w:rsid w:val="008E2B2F"/>
    <w:rsid w:val="008E613D"/>
    <w:rsid w:val="008F3180"/>
    <w:rsid w:val="008F54E3"/>
    <w:rsid w:val="008F66E6"/>
    <w:rsid w:val="00902C8C"/>
    <w:rsid w:val="00914599"/>
    <w:rsid w:val="00921164"/>
    <w:rsid w:val="00924F2A"/>
    <w:rsid w:val="009312FE"/>
    <w:rsid w:val="00954585"/>
    <w:rsid w:val="00955ECA"/>
    <w:rsid w:val="00960E5A"/>
    <w:rsid w:val="009615B6"/>
    <w:rsid w:val="00961FB8"/>
    <w:rsid w:val="00962C40"/>
    <w:rsid w:val="00967182"/>
    <w:rsid w:val="0096733D"/>
    <w:rsid w:val="00967F19"/>
    <w:rsid w:val="009709FF"/>
    <w:rsid w:val="009714F0"/>
    <w:rsid w:val="00975548"/>
    <w:rsid w:val="0097642E"/>
    <w:rsid w:val="00977A10"/>
    <w:rsid w:val="009805D5"/>
    <w:rsid w:val="00982F0E"/>
    <w:rsid w:val="009862B7"/>
    <w:rsid w:val="00991C1B"/>
    <w:rsid w:val="00993320"/>
    <w:rsid w:val="00994096"/>
    <w:rsid w:val="009A23F0"/>
    <w:rsid w:val="009A79B9"/>
    <w:rsid w:val="009B231E"/>
    <w:rsid w:val="009B38A4"/>
    <w:rsid w:val="009B7752"/>
    <w:rsid w:val="009C3CAC"/>
    <w:rsid w:val="009D10A7"/>
    <w:rsid w:val="009D3AE0"/>
    <w:rsid w:val="009D473E"/>
    <w:rsid w:val="009D48A6"/>
    <w:rsid w:val="009D7983"/>
    <w:rsid w:val="009D7E45"/>
    <w:rsid w:val="009F0601"/>
    <w:rsid w:val="00A025CB"/>
    <w:rsid w:val="00A11753"/>
    <w:rsid w:val="00A130E5"/>
    <w:rsid w:val="00A13C4E"/>
    <w:rsid w:val="00A17C69"/>
    <w:rsid w:val="00A20C28"/>
    <w:rsid w:val="00A21235"/>
    <w:rsid w:val="00A30215"/>
    <w:rsid w:val="00A32325"/>
    <w:rsid w:val="00A33067"/>
    <w:rsid w:val="00A33406"/>
    <w:rsid w:val="00A36BB2"/>
    <w:rsid w:val="00A407C6"/>
    <w:rsid w:val="00A45ED3"/>
    <w:rsid w:val="00A46B93"/>
    <w:rsid w:val="00A51976"/>
    <w:rsid w:val="00A5301D"/>
    <w:rsid w:val="00A53939"/>
    <w:rsid w:val="00A61582"/>
    <w:rsid w:val="00A75DC3"/>
    <w:rsid w:val="00A7774F"/>
    <w:rsid w:val="00A83EDF"/>
    <w:rsid w:val="00A941E1"/>
    <w:rsid w:val="00A96B0B"/>
    <w:rsid w:val="00AB53AF"/>
    <w:rsid w:val="00AB6A61"/>
    <w:rsid w:val="00AC1D63"/>
    <w:rsid w:val="00AC5651"/>
    <w:rsid w:val="00AD4179"/>
    <w:rsid w:val="00AE00A6"/>
    <w:rsid w:val="00AE0F2F"/>
    <w:rsid w:val="00B00371"/>
    <w:rsid w:val="00B040C1"/>
    <w:rsid w:val="00B05567"/>
    <w:rsid w:val="00B06615"/>
    <w:rsid w:val="00B128E2"/>
    <w:rsid w:val="00B34CBB"/>
    <w:rsid w:val="00B37D7C"/>
    <w:rsid w:val="00B4262A"/>
    <w:rsid w:val="00B42946"/>
    <w:rsid w:val="00B4392B"/>
    <w:rsid w:val="00B50F6E"/>
    <w:rsid w:val="00B60244"/>
    <w:rsid w:val="00B654BA"/>
    <w:rsid w:val="00B74F21"/>
    <w:rsid w:val="00B76461"/>
    <w:rsid w:val="00B80E4E"/>
    <w:rsid w:val="00B81E6F"/>
    <w:rsid w:val="00B84DE6"/>
    <w:rsid w:val="00B879CF"/>
    <w:rsid w:val="00B87D96"/>
    <w:rsid w:val="00B936CF"/>
    <w:rsid w:val="00BA76FB"/>
    <w:rsid w:val="00BB1411"/>
    <w:rsid w:val="00BB4889"/>
    <w:rsid w:val="00BB5D66"/>
    <w:rsid w:val="00BB656E"/>
    <w:rsid w:val="00BB7605"/>
    <w:rsid w:val="00BC1577"/>
    <w:rsid w:val="00BC19B5"/>
    <w:rsid w:val="00BC1BBA"/>
    <w:rsid w:val="00BC1FC2"/>
    <w:rsid w:val="00BC3D47"/>
    <w:rsid w:val="00BC45FD"/>
    <w:rsid w:val="00BD1344"/>
    <w:rsid w:val="00BD4265"/>
    <w:rsid w:val="00BD78E9"/>
    <w:rsid w:val="00BE172A"/>
    <w:rsid w:val="00BE4028"/>
    <w:rsid w:val="00BE56C7"/>
    <w:rsid w:val="00BE7618"/>
    <w:rsid w:val="00BF29EC"/>
    <w:rsid w:val="00BF300D"/>
    <w:rsid w:val="00C00B71"/>
    <w:rsid w:val="00C37EAB"/>
    <w:rsid w:val="00C41728"/>
    <w:rsid w:val="00C4761B"/>
    <w:rsid w:val="00C47B67"/>
    <w:rsid w:val="00C50361"/>
    <w:rsid w:val="00C525E0"/>
    <w:rsid w:val="00C53D17"/>
    <w:rsid w:val="00C6123C"/>
    <w:rsid w:val="00C61635"/>
    <w:rsid w:val="00C6448E"/>
    <w:rsid w:val="00C65065"/>
    <w:rsid w:val="00C6673D"/>
    <w:rsid w:val="00C82253"/>
    <w:rsid w:val="00C84042"/>
    <w:rsid w:val="00C8516D"/>
    <w:rsid w:val="00C86F96"/>
    <w:rsid w:val="00C8759D"/>
    <w:rsid w:val="00C87D52"/>
    <w:rsid w:val="00C90592"/>
    <w:rsid w:val="00C94895"/>
    <w:rsid w:val="00C94C19"/>
    <w:rsid w:val="00CB255E"/>
    <w:rsid w:val="00CB47F4"/>
    <w:rsid w:val="00CB5D69"/>
    <w:rsid w:val="00CC2653"/>
    <w:rsid w:val="00CC2F0E"/>
    <w:rsid w:val="00CC30D9"/>
    <w:rsid w:val="00CC4AD0"/>
    <w:rsid w:val="00CE2CFF"/>
    <w:rsid w:val="00CF3B63"/>
    <w:rsid w:val="00CF3E4C"/>
    <w:rsid w:val="00CF47A4"/>
    <w:rsid w:val="00D058D2"/>
    <w:rsid w:val="00D10E25"/>
    <w:rsid w:val="00D152D8"/>
    <w:rsid w:val="00D20212"/>
    <w:rsid w:val="00D20E1D"/>
    <w:rsid w:val="00D2464A"/>
    <w:rsid w:val="00D25FD4"/>
    <w:rsid w:val="00D3079C"/>
    <w:rsid w:val="00D33A5C"/>
    <w:rsid w:val="00D34B3F"/>
    <w:rsid w:val="00D362A7"/>
    <w:rsid w:val="00D45747"/>
    <w:rsid w:val="00D537CE"/>
    <w:rsid w:val="00D60849"/>
    <w:rsid w:val="00D64439"/>
    <w:rsid w:val="00D71000"/>
    <w:rsid w:val="00D753CB"/>
    <w:rsid w:val="00D776AD"/>
    <w:rsid w:val="00D815DA"/>
    <w:rsid w:val="00D86298"/>
    <w:rsid w:val="00D95C3E"/>
    <w:rsid w:val="00DA2D76"/>
    <w:rsid w:val="00DA6E58"/>
    <w:rsid w:val="00DB121D"/>
    <w:rsid w:val="00DB1F36"/>
    <w:rsid w:val="00DB23FE"/>
    <w:rsid w:val="00DC1236"/>
    <w:rsid w:val="00DC4A7C"/>
    <w:rsid w:val="00DC63B9"/>
    <w:rsid w:val="00DC653C"/>
    <w:rsid w:val="00DD0A06"/>
    <w:rsid w:val="00DD517F"/>
    <w:rsid w:val="00DD695D"/>
    <w:rsid w:val="00DD72E0"/>
    <w:rsid w:val="00DE08D7"/>
    <w:rsid w:val="00DE0B57"/>
    <w:rsid w:val="00DE0C53"/>
    <w:rsid w:val="00DE3569"/>
    <w:rsid w:val="00DE47BF"/>
    <w:rsid w:val="00DF582E"/>
    <w:rsid w:val="00DF5E40"/>
    <w:rsid w:val="00E02E68"/>
    <w:rsid w:val="00E11E5A"/>
    <w:rsid w:val="00E13351"/>
    <w:rsid w:val="00E15EC2"/>
    <w:rsid w:val="00E350E5"/>
    <w:rsid w:val="00E35817"/>
    <w:rsid w:val="00E50F5D"/>
    <w:rsid w:val="00E51F9F"/>
    <w:rsid w:val="00E56C29"/>
    <w:rsid w:val="00E60BAD"/>
    <w:rsid w:val="00E61474"/>
    <w:rsid w:val="00E630BC"/>
    <w:rsid w:val="00E77476"/>
    <w:rsid w:val="00E7764E"/>
    <w:rsid w:val="00E8076F"/>
    <w:rsid w:val="00E964FA"/>
    <w:rsid w:val="00EA2992"/>
    <w:rsid w:val="00EB6A84"/>
    <w:rsid w:val="00EB777E"/>
    <w:rsid w:val="00EC22DB"/>
    <w:rsid w:val="00EC2974"/>
    <w:rsid w:val="00EC7497"/>
    <w:rsid w:val="00ED504B"/>
    <w:rsid w:val="00ED5C9D"/>
    <w:rsid w:val="00ED686B"/>
    <w:rsid w:val="00ED771E"/>
    <w:rsid w:val="00ED7EFA"/>
    <w:rsid w:val="00EE275E"/>
    <w:rsid w:val="00EF2A0B"/>
    <w:rsid w:val="00EF48BC"/>
    <w:rsid w:val="00F045EE"/>
    <w:rsid w:val="00F06553"/>
    <w:rsid w:val="00F07036"/>
    <w:rsid w:val="00F151E6"/>
    <w:rsid w:val="00F1783D"/>
    <w:rsid w:val="00F22F77"/>
    <w:rsid w:val="00F23071"/>
    <w:rsid w:val="00F241D1"/>
    <w:rsid w:val="00F2505E"/>
    <w:rsid w:val="00F25701"/>
    <w:rsid w:val="00F35870"/>
    <w:rsid w:val="00F371DA"/>
    <w:rsid w:val="00F374D8"/>
    <w:rsid w:val="00F37EB2"/>
    <w:rsid w:val="00F4126F"/>
    <w:rsid w:val="00F41340"/>
    <w:rsid w:val="00F437A7"/>
    <w:rsid w:val="00F4655D"/>
    <w:rsid w:val="00F50373"/>
    <w:rsid w:val="00F53669"/>
    <w:rsid w:val="00F62B6C"/>
    <w:rsid w:val="00F63D19"/>
    <w:rsid w:val="00F64FFE"/>
    <w:rsid w:val="00F67BEC"/>
    <w:rsid w:val="00F74319"/>
    <w:rsid w:val="00F74F60"/>
    <w:rsid w:val="00F85E1A"/>
    <w:rsid w:val="00F9099A"/>
    <w:rsid w:val="00F93048"/>
    <w:rsid w:val="00F96D97"/>
    <w:rsid w:val="00FA0FD0"/>
    <w:rsid w:val="00FA148A"/>
    <w:rsid w:val="00FA40BF"/>
    <w:rsid w:val="00FB0439"/>
    <w:rsid w:val="00FB1011"/>
    <w:rsid w:val="00FB151A"/>
    <w:rsid w:val="00FB5565"/>
    <w:rsid w:val="00FC2D49"/>
    <w:rsid w:val="00FC52A6"/>
    <w:rsid w:val="00FC794C"/>
    <w:rsid w:val="00FD220F"/>
    <w:rsid w:val="00FD22B3"/>
    <w:rsid w:val="00FD57A5"/>
    <w:rsid w:val="00FD5D01"/>
    <w:rsid w:val="00FE67EC"/>
    <w:rsid w:val="00FE7F6E"/>
    <w:rsid w:val="00FF4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A3AC"/>
  <w15:chartTrackingRefBased/>
  <w15:docId w15:val="{7CCF7728-178A-473E-9FD8-DCD322FD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2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Párrafo de tabla"/>
    <w:basedOn w:val="Normal"/>
    <w:link w:val="PrrafodelistaCar"/>
    <w:uiPriority w:val="34"/>
    <w:qFormat/>
    <w:rsid w:val="00A7774F"/>
    <w:pPr>
      <w:ind w:left="720"/>
      <w:contextualSpacing/>
    </w:p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A7774F"/>
  </w:style>
  <w:style w:type="paragraph" w:styleId="Textosinformato">
    <w:name w:val="Plain Text"/>
    <w:basedOn w:val="Normal"/>
    <w:link w:val="TextosinformatoCar"/>
    <w:rsid w:val="003B6093"/>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B6093"/>
    <w:rPr>
      <w:rFonts w:ascii="Courier New" w:eastAsia="Times New Roman" w:hAnsi="Courier New" w:cs="Courier New"/>
      <w:sz w:val="20"/>
      <w:szCs w:val="20"/>
      <w:lang w:eastAsia="es-ES"/>
    </w:rPr>
  </w:style>
  <w:style w:type="paragraph" w:customStyle="1" w:styleId="IFT1">
    <w:name w:val="IFT 1"/>
    <w:basedOn w:val="Normal"/>
    <w:link w:val="IFT1Car"/>
    <w:qFormat/>
    <w:rsid w:val="00312DEE"/>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312DEE"/>
    <w:rPr>
      <w:rFonts w:ascii="ITC Avant Garde" w:eastAsia="Times New Roman" w:hAnsi="ITC Avant Garde" w:cs="Times New Roman"/>
      <w:iCs/>
    </w:rPr>
  </w:style>
  <w:style w:type="character" w:styleId="Refdecomentario">
    <w:name w:val="annotation reference"/>
    <w:basedOn w:val="Fuentedeprrafopredeter"/>
    <w:semiHidden/>
    <w:unhideWhenUsed/>
    <w:rsid w:val="004A0F2A"/>
    <w:rPr>
      <w:sz w:val="16"/>
      <w:szCs w:val="16"/>
    </w:rPr>
  </w:style>
  <w:style w:type="paragraph" w:styleId="Textocomentario">
    <w:name w:val="annotation text"/>
    <w:basedOn w:val="Normal"/>
    <w:link w:val="TextocomentarioCar"/>
    <w:semiHidden/>
    <w:unhideWhenUsed/>
    <w:rsid w:val="004A0F2A"/>
    <w:pPr>
      <w:spacing w:line="240" w:lineRule="auto"/>
    </w:pPr>
    <w:rPr>
      <w:sz w:val="20"/>
      <w:szCs w:val="20"/>
    </w:rPr>
  </w:style>
  <w:style w:type="character" w:customStyle="1" w:styleId="TextocomentarioCar">
    <w:name w:val="Texto comentario Car"/>
    <w:basedOn w:val="Fuentedeprrafopredeter"/>
    <w:link w:val="Textocomentario"/>
    <w:semiHidden/>
    <w:rsid w:val="004A0F2A"/>
    <w:rPr>
      <w:sz w:val="20"/>
      <w:szCs w:val="20"/>
    </w:rPr>
  </w:style>
  <w:style w:type="paragraph" w:styleId="Asuntodelcomentario">
    <w:name w:val="annotation subject"/>
    <w:basedOn w:val="Textocomentario"/>
    <w:next w:val="Textocomentario"/>
    <w:link w:val="AsuntodelcomentarioCar"/>
    <w:uiPriority w:val="99"/>
    <w:semiHidden/>
    <w:unhideWhenUsed/>
    <w:rsid w:val="004A0F2A"/>
    <w:rPr>
      <w:b/>
      <w:bCs/>
    </w:rPr>
  </w:style>
  <w:style w:type="character" w:customStyle="1" w:styleId="AsuntodelcomentarioCar">
    <w:name w:val="Asunto del comentario Car"/>
    <w:basedOn w:val="TextocomentarioCar"/>
    <w:link w:val="Asuntodelcomentario"/>
    <w:uiPriority w:val="99"/>
    <w:semiHidden/>
    <w:rsid w:val="004A0F2A"/>
    <w:rPr>
      <w:b/>
      <w:bCs/>
      <w:sz w:val="20"/>
      <w:szCs w:val="20"/>
    </w:rPr>
  </w:style>
  <w:style w:type="paragraph" w:styleId="Textodeglobo">
    <w:name w:val="Balloon Text"/>
    <w:basedOn w:val="Normal"/>
    <w:link w:val="TextodegloboCar"/>
    <w:uiPriority w:val="99"/>
    <w:semiHidden/>
    <w:unhideWhenUsed/>
    <w:rsid w:val="004A0F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F2A"/>
    <w:rPr>
      <w:rFonts w:ascii="Segoe UI" w:hAnsi="Segoe UI" w:cs="Segoe UI"/>
      <w:sz w:val="18"/>
      <w:szCs w:val="18"/>
    </w:rPr>
  </w:style>
  <w:style w:type="paragraph" w:customStyle="1" w:styleId="IFTnormal">
    <w:name w:val="IFT normal"/>
    <w:basedOn w:val="Normal"/>
    <w:link w:val="IFTnormalCar"/>
    <w:qFormat/>
    <w:rsid w:val="00791D5A"/>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791D5A"/>
    <w:rPr>
      <w:rFonts w:ascii="ITC Avant Garde" w:eastAsia="Calibri" w:hAnsi="ITC Avant Garde" w:cs="Arial"/>
      <w:color w:val="00000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F045EE"/>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045EE"/>
    <w:rPr>
      <w:sz w:val="20"/>
      <w:szCs w:val="20"/>
    </w:rPr>
  </w:style>
  <w:style w:type="character" w:styleId="Refdenotaalpie">
    <w:name w:val="footnote reference"/>
    <w:basedOn w:val="Fuentedeprrafopredeter"/>
    <w:uiPriority w:val="99"/>
    <w:semiHidden/>
    <w:unhideWhenUsed/>
    <w:rsid w:val="00F045EE"/>
    <w:rPr>
      <w:vertAlign w:val="superscript"/>
    </w:rPr>
  </w:style>
  <w:style w:type="paragraph" w:styleId="Textoindependiente3">
    <w:name w:val="Body Text 3"/>
    <w:basedOn w:val="Normal"/>
    <w:link w:val="Textoindependiente3Car"/>
    <w:rsid w:val="00D2464A"/>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D2464A"/>
    <w:rPr>
      <w:rFonts w:ascii="Arial" w:eastAsia="Times New Roman" w:hAnsi="Arial" w:cs="Arial"/>
      <w:b/>
      <w:bCs/>
      <w:sz w:val="20"/>
      <w:szCs w:val="24"/>
      <w:lang w:val="es-ES" w:eastAsia="es-ES"/>
    </w:rPr>
  </w:style>
  <w:style w:type="character" w:styleId="Textoennegrita">
    <w:name w:val="Strong"/>
    <w:qFormat/>
    <w:rsid w:val="00D2464A"/>
    <w:rPr>
      <w:rFonts w:ascii="Arial" w:hAnsi="Arial" w:cs="Times New Roman"/>
      <w:b/>
    </w:rPr>
  </w:style>
  <w:style w:type="paragraph" w:customStyle="1" w:styleId="Texto">
    <w:name w:val="Texto"/>
    <w:basedOn w:val="Normal"/>
    <w:link w:val="TextoCar"/>
    <w:uiPriority w:val="99"/>
    <w:rsid w:val="006221C8"/>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uiPriority w:val="99"/>
    <w:locked/>
    <w:rsid w:val="006221C8"/>
    <w:rPr>
      <w:rFonts w:ascii="Arial" w:eastAsia="Times New Roman" w:hAnsi="Arial" w:cs="Times New Roman"/>
      <w:sz w:val="18"/>
      <w:szCs w:val="20"/>
      <w:lang w:val="es-ES" w:eastAsia="es-ES"/>
    </w:rPr>
  </w:style>
  <w:style w:type="paragraph" w:styleId="Revisin">
    <w:name w:val="Revision"/>
    <w:hidden/>
    <w:uiPriority w:val="99"/>
    <w:semiHidden/>
    <w:rsid w:val="00260F7D"/>
    <w:pPr>
      <w:spacing w:after="0" w:line="240" w:lineRule="auto"/>
    </w:pPr>
  </w:style>
  <w:style w:type="paragraph" w:styleId="Encabezado">
    <w:name w:val="header"/>
    <w:basedOn w:val="Normal"/>
    <w:link w:val="EncabezadoCar"/>
    <w:uiPriority w:val="99"/>
    <w:unhideWhenUsed/>
    <w:rsid w:val="006E7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851"/>
  </w:style>
  <w:style w:type="paragraph" w:styleId="Piedepgina">
    <w:name w:val="footer"/>
    <w:basedOn w:val="Normal"/>
    <w:link w:val="PiedepginaCar"/>
    <w:uiPriority w:val="99"/>
    <w:unhideWhenUsed/>
    <w:rsid w:val="006E78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851"/>
  </w:style>
  <w:style w:type="table" w:styleId="Tablaconcuadrcula">
    <w:name w:val="Table Grid"/>
    <w:basedOn w:val="Tablanormal"/>
    <w:uiPriority w:val="39"/>
    <w:rsid w:val="0082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473BEF"/>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3874-AF1D-4475-AF5B-B5217E88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22</Pages>
  <Words>7117</Words>
  <Characters>39145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David Andrade Zarco</dc:creator>
  <cp:keywords/>
  <dc:description/>
  <cp:lastModifiedBy>Adriana Williams Hernandez</cp:lastModifiedBy>
  <cp:revision>97</cp:revision>
  <dcterms:created xsi:type="dcterms:W3CDTF">2020-08-20T05:32:00Z</dcterms:created>
  <dcterms:modified xsi:type="dcterms:W3CDTF">2021-01-15T00:17:00Z</dcterms:modified>
</cp:coreProperties>
</file>