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0D5A" w:rsidRPr="00CB525E" w:rsidRDefault="0049058B" w:rsidP="00EB592C">
      <w:pPr>
        <w:spacing w:line="276" w:lineRule="auto"/>
        <w:jc w:val="both"/>
        <w:rPr>
          <w:rFonts w:ascii="ITC Avant Garde" w:hAnsi="ITC Avant Garde" w:cs="ITC Avant Garde"/>
          <w:b/>
          <w:sz w:val="20"/>
          <w:szCs w:val="20"/>
        </w:rPr>
      </w:pPr>
      <w:r w:rsidRPr="00CB525E">
        <w:rPr>
          <w:rFonts w:ascii="ITC Avant Garde" w:hAnsi="ITC Avant Garde" w:cs="ITC Avant Garde"/>
          <w:b/>
          <w:sz w:val="20"/>
          <w:szCs w:val="20"/>
        </w:rPr>
        <w:t xml:space="preserve">RESPUESTAS GENERALES QUE PROPORCIONA EL INSTITUTO FEDERAL DE TELECOMUNICACIONES A LAS </w:t>
      </w:r>
      <w:r w:rsidR="00BE5D3D" w:rsidRPr="00CB525E">
        <w:rPr>
          <w:rFonts w:ascii="ITC Avant Garde" w:hAnsi="ITC Avant Garde" w:cs="ITC Avant Garde"/>
          <w:b/>
          <w:sz w:val="20"/>
          <w:szCs w:val="20"/>
        </w:rPr>
        <w:t xml:space="preserve">MANIFESTACIONES, OPINIONES, COMENTARIOS Y PROPUESTAS PRESENTADAS DURANTE LA CONSULTA PÚBLICA DEL: </w:t>
      </w:r>
      <w:r w:rsidR="00BE5D3D" w:rsidRPr="00CB525E">
        <w:rPr>
          <w:rFonts w:ascii="ITC Avant Garde" w:hAnsi="ITC Avant Garde" w:cs="ITC Avant Garde"/>
          <w:b/>
          <w:i/>
          <w:sz w:val="20"/>
          <w:szCs w:val="20"/>
        </w:rPr>
        <w:t>“</w:t>
      </w:r>
      <w:r w:rsidR="00BE5D3D" w:rsidRPr="00BE5D3D">
        <w:rPr>
          <w:rFonts w:ascii="ITC Avant Garde" w:hAnsi="ITC Avant Garde" w:cs="ITC Avant Garde"/>
          <w:b/>
          <w:i/>
          <w:sz w:val="20"/>
          <w:szCs w:val="20"/>
        </w:rPr>
        <w:t>ANTEPROYECTO DE LINEAMIENTOS PARA LA AUTORIZACIÓN DE ORGANISMOS DE ACREDITACIÓN EN MATERIA DE TELECOMUNICACIONES Y RADIODIFUSIÓN.</w:t>
      </w:r>
      <w:r w:rsidR="00BE5D3D" w:rsidRPr="00CB525E">
        <w:rPr>
          <w:rFonts w:ascii="ITC Avant Garde" w:hAnsi="ITC Avant Garde" w:cs="ITC Avant Garde"/>
          <w:b/>
          <w:i/>
          <w:sz w:val="20"/>
          <w:szCs w:val="20"/>
        </w:rPr>
        <w:t>”.</w:t>
      </w:r>
    </w:p>
    <w:p w:rsidR="00B96E4E" w:rsidRPr="00CB525E" w:rsidRDefault="0049058B" w:rsidP="00EB592C">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color w:val="000000"/>
          <w:sz w:val="20"/>
          <w:szCs w:val="20"/>
        </w:rPr>
        <w:t xml:space="preserve">En relación con los comentarios, opiniones y propuestas concretas recibidas durante el periodo </w:t>
      </w:r>
      <w:r w:rsidR="00B77A93" w:rsidRPr="00CB525E">
        <w:rPr>
          <w:rFonts w:ascii="ITC Avant Garde" w:eastAsia="Times New Roman" w:hAnsi="ITC Avant Garde" w:cs="ITC Avant Garde"/>
          <w:color w:val="000000"/>
          <w:sz w:val="20"/>
          <w:szCs w:val="20"/>
        </w:rPr>
        <w:t xml:space="preserve">de consulta pública </w:t>
      </w:r>
      <w:r w:rsidRPr="00CB525E">
        <w:rPr>
          <w:rFonts w:ascii="ITC Avant Garde" w:eastAsia="Times New Roman" w:hAnsi="ITC Avant Garde" w:cs="ITC Avant Garde"/>
          <w:color w:val="000000"/>
          <w:sz w:val="20"/>
          <w:szCs w:val="20"/>
        </w:rPr>
        <w:t xml:space="preserve">comprendido del </w:t>
      </w:r>
      <w:r w:rsidR="00BE5D3D" w:rsidRPr="00BE5D3D">
        <w:rPr>
          <w:rFonts w:ascii="ITC Avant Garde" w:eastAsia="Times New Roman" w:hAnsi="ITC Avant Garde" w:cs="ITC Avant Garde"/>
          <w:color w:val="000000"/>
          <w:sz w:val="20"/>
          <w:szCs w:val="20"/>
        </w:rPr>
        <w:t xml:space="preserve">29 de </w:t>
      </w:r>
      <w:r w:rsidR="00BE5D3D">
        <w:rPr>
          <w:rFonts w:ascii="ITC Avant Garde" w:eastAsia="Times New Roman" w:hAnsi="ITC Avant Garde" w:cs="ITC Avant Garde"/>
          <w:color w:val="000000"/>
          <w:sz w:val="20"/>
          <w:szCs w:val="20"/>
        </w:rPr>
        <w:t>o</w:t>
      </w:r>
      <w:r w:rsidR="00BE5D3D" w:rsidRPr="00BE5D3D">
        <w:rPr>
          <w:rFonts w:ascii="ITC Avant Garde" w:eastAsia="Times New Roman" w:hAnsi="ITC Avant Garde" w:cs="ITC Avant Garde"/>
          <w:color w:val="000000"/>
          <w:sz w:val="20"/>
          <w:szCs w:val="20"/>
        </w:rPr>
        <w:t xml:space="preserve">ctubre de 2020 al 26 de </w:t>
      </w:r>
      <w:r w:rsidR="00BE5D3D">
        <w:rPr>
          <w:rFonts w:ascii="ITC Avant Garde" w:eastAsia="Times New Roman" w:hAnsi="ITC Avant Garde" w:cs="ITC Avant Garde"/>
          <w:color w:val="000000"/>
          <w:sz w:val="20"/>
          <w:szCs w:val="20"/>
        </w:rPr>
        <w:t>n</w:t>
      </w:r>
      <w:r w:rsidR="00BE5D3D" w:rsidRPr="00BE5D3D">
        <w:rPr>
          <w:rFonts w:ascii="ITC Avant Garde" w:eastAsia="Times New Roman" w:hAnsi="ITC Avant Garde" w:cs="ITC Avant Garde"/>
          <w:color w:val="000000"/>
          <w:sz w:val="20"/>
          <w:szCs w:val="20"/>
        </w:rPr>
        <w:t>oviembre de 2020</w:t>
      </w:r>
      <w:r w:rsidR="00BE5D3D">
        <w:rPr>
          <w:rFonts w:ascii="ITC Avant Garde" w:eastAsia="Times New Roman" w:hAnsi="ITC Avant Garde" w:cs="ITC Avant Garde"/>
          <w:color w:val="000000"/>
          <w:sz w:val="20"/>
          <w:szCs w:val="20"/>
        </w:rPr>
        <w:t xml:space="preserve"> </w:t>
      </w:r>
      <w:r w:rsidR="00BE5D3D" w:rsidRPr="00BE5D3D">
        <w:rPr>
          <w:rFonts w:ascii="ITC Avant Garde" w:eastAsia="Times New Roman" w:hAnsi="ITC Avant Garde" w:cs="ITC Avant Garde"/>
          <w:color w:val="000000"/>
          <w:sz w:val="20"/>
          <w:szCs w:val="20"/>
        </w:rPr>
        <w:t>(20 días hábiles)</w:t>
      </w:r>
      <w:r w:rsidRPr="00CB525E">
        <w:rPr>
          <w:rFonts w:ascii="ITC Avant Garde" w:eastAsia="Times New Roman" w:hAnsi="ITC Avant Garde" w:cs="ITC Avant Garde"/>
          <w:color w:val="000000"/>
          <w:sz w:val="20"/>
          <w:szCs w:val="20"/>
        </w:rPr>
        <w:t xml:space="preserve"> respecto al Anteproyecto</w:t>
      </w:r>
      <w:r w:rsidR="00B77A93" w:rsidRPr="00CB525E">
        <w:rPr>
          <w:rFonts w:ascii="ITC Avant Garde" w:eastAsia="Times New Roman" w:hAnsi="ITC Avant Garde" w:cs="ITC Avant Garde"/>
          <w:color w:val="000000"/>
          <w:sz w:val="20"/>
          <w:szCs w:val="20"/>
        </w:rPr>
        <w:t xml:space="preserve"> de mérito</w:t>
      </w:r>
      <w:r w:rsidRPr="00CB525E">
        <w:rPr>
          <w:rFonts w:ascii="ITC Avant Garde" w:eastAsia="Times New Roman" w:hAnsi="ITC Avant Garde" w:cs="ITC Avant Garde"/>
          <w:color w:val="000000"/>
          <w:sz w:val="20"/>
          <w:szCs w:val="20"/>
        </w:rPr>
        <w:t xml:space="preserve">, se informa que el Instituto Federal de Telecomunicaciones (en lo sucesivo, el “Instituto”) identificó diversos temas, por lo </w:t>
      </w:r>
      <w:r w:rsidR="0048098A" w:rsidRPr="00CB525E">
        <w:rPr>
          <w:rFonts w:ascii="ITC Avant Garde" w:eastAsia="Times New Roman" w:hAnsi="ITC Avant Garde" w:cs="ITC Avant Garde"/>
          <w:color w:val="000000"/>
          <w:sz w:val="20"/>
          <w:szCs w:val="20"/>
        </w:rPr>
        <w:t>que,</w:t>
      </w:r>
      <w:r w:rsidRPr="00CB525E">
        <w:rPr>
          <w:rFonts w:ascii="ITC Avant Garde" w:eastAsia="Times New Roman" w:hAnsi="ITC Avant Garde" w:cs="ITC Avant Garde"/>
          <w:color w:val="000000"/>
          <w:sz w:val="20"/>
          <w:szCs w:val="20"/>
        </w:rPr>
        <w:t xml:space="preserve"> para efectos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rsidR="0049058B" w:rsidRPr="00CB525E" w:rsidRDefault="0049058B" w:rsidP="00EB592C">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color w:val="000000"/>
          <w:sz w:val="20"/>
          <w:szCs w:val="20"/>
        </w:rPr>
        <w:t>Una vez concluido el plazo de consulta respectivo, se publicaron en el portal de Internet del Instituto todos y cada uno de los comentarios, opiniones y propuestas concretas recibidas respecto del Anteproyecto, las cuales se encuentran disponibles al público en general</w:t>
      </w:r>
      <w:r w:rsidR="00B96E4E" w:rsidRPr="00CB525E">
        <w:rPr>
          <w:rFonts w:ascii="ITC Avant Garde" w:eastAsia="Times New Roman" w:hAnsi="ITC Avant Garde" w:cs="ITC Avant Garde"/>
          <w:color w:val="000000"/>
          <w:sz w:val="20"/>
          <w:szCs w:val="20"/>
        </w:rPr>
        <w:t xml:space="preserve"> en el portal de Internet del Instituto</w:t>
      </w:r>
      <w:r w:rsidRPr="00CB525E">
        <w:rPr>
          <w:rFonts w:ascii="ITC Avant Garde" w:eastAsia="Times New Roman" w:hAnsi="ITC Avant Garde" w:cs="ITC Avant Garde"/>
          <w:color w:val="000000"/>
          <w:sz w:val="20"/>
          <w:szCs w:val="20"/>
        </w:rPr>
        <w:t xml:space="preserve">. </w:t>
      </w:r>
    </w:p>
    <w:p w:rsidR="0049058B" w:rsidRPr="00CB525E" w:rsidRDefault="0049058B" w:rsidP="00EB592C">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color w:val="000000"/>
          <w:sz w:val="20"/>
          <w:szCs w:val="20"/>
        </w:rPr>
        <w:t xml:space="preserve">Durante la consulta pública se </w:t>
      </w:r>
      <w:r w:rsidR="00BE5D3D">
        <w:rPr>
          <w:rFonts w:ascii="ITC Avant Garde" w:eastAsia="Times New Roman" w:hAnsi="ITC Avant Garde" w:cs="ITC Avant Garde"/>
          <w:color w:val="000000"/>
          <w:sz w:val="20"/>
          <w:szCs w:val="20"/>
        </w:rPr>
        <w:t>recibió</w:t>
      </w:r>
      <w:r w:rsidR="001F4E03" w:rsidRPr="00CB525E">
        <w:rPr>
          <w:rFonts w:ascii="ITC Avant Garde" w:eastAsia="Times New Roman" w:hAnsi="ITC Avant Garde" w:cs="ITC Avant Garde"/>
          <w:color w:val="000000"/>
          <w:sz w:val="20"/>
          <w:szCs w:val="20"/>
        </w:rPr>
        <w:t xml:space="preserve"> </w:t>
      </w:r>
      <w:r w:rsidR="00BE5D3D">
        <w:rPr>
          <w:rFonts w:ascii="ITC Avant Garde" w:eastAsia="Times New Roman" w:hAnsi="ITC Avant Garde" w:cs="ITC Avant Garde"/>
          <w:color w:val="000000"/>
          <w:sz w:val="20"/>
          <w:szCs w:val="20"/>
        </w:rPr>
        <w:t>Una</w:t>
      </w:r>
      <w:r w:rsidR="008A304B" w:rsidRPr="00CB525E">
        <w:rPr>
          <w:rFonts w:ascii="ITC Avant Garde" w:eastAsia="Times New Roman" w:hAnsi="ITC Avant Garde" w:cs="ITC Avant Garde"/>
          <w:color w:val="000000"/>
          <w:sz w:val="20"/>
          <w:szCs w:val="20"/>
        </w:rPr>
        <w:t xml:space="preserve"> </w:t>
      </w:r>
      <w:r w:rsidR="00BE5D3D">
        <w:rPr>
          <w:rFonts w:ascii="ITC Avant Garde" w:eastAsia="Times New Roman" w:hAnsi="ITC Avant Garde" w:cs="ITC Avant Garde"/>
          <w:color w:val="000000"/>
          <w:sz w:val="20"/>
          <w:szCs w:val="20"/>
        </w:rPr>
        <w:t>participación</w:t>
      </w:r>
      <w:r w:rsidR="001F4E03" w:rsidRPr="00CB525E">
        <w:rPr>
          <w:rFonts w:ascii="ITC Avant Garde" w:eastAsia="Times New Roman" w:hAnsi="ITC Avant Garde" w:cs="ITC Avant Garde"/>
          <w:color w:val="000000"/>
          <w:sz w:val="20"/>
          <w:szCs w:val="20"/>
        </w:rPr>
        <w:t xml:space="preserve"> de </w:t>
      </w:r>
      <w:r w:rsidR="00BE5D3D">
        <w:rPr>
          <w:rFonts w:ascii="ITC Avant Garde" w:eastAsia="Times New Roman" w:hAnsi="ITC Avant Garde" w:cs="ITC Avant Garde"/>
          <w:color w:val="000000"/>
          <w:sz w:val="20"/>
          <w:szCs w:val="20"/>
        </w:rPr>
        <w:t>una persona moral, la cual</w:t>
      </w:r>
      <w:r w:rsidR="00E26695" w:rsidRPr="00CB525E">
        <w:rPr>
          <w:rFonts w:ascii="ITC Avant Garde" w:eastAsia="Times New Roman" w:hAnsi="ITC Avant Garde" w:cs="ITC Avant Garde"/>
          <w:color w:val="000000"/>
          <w:sz w:val="20"/>
          <w:szCs w:val="20"/>
        </w:rPr>
        <w:t xml:space="preserve"> </w:t>
      </w:r>
      <w:r w:rsidR="00BE5D3D">
        <w:rPr>
          <w:rFonts w:ascii="ITC Avant Garde" w:eastAsia="Times New Roman" w:hAnsi="ITC Avant Garde" w:cs="ITC Avant Garde"/>
          <w:color w:val="000000"/>
          <w:sz w:val="20"/>
          <w:szCs w:val="20"/>
        </w:rPr>
        <w:t>se lista</w:t>
      </w:r>
      <w:r w:rsidR="001F4E03" w:rsidRPr="00CB525E">
        <w:rPr>
          <w:rFonts w:ascii="ITC Avant Garde" w:eastAsia="Times New Roman" w:hAnsi="ITC Avant Garde" w:cs="ITC Avant Garde"/>
          <w:color w:val="000000"/>
          <w:sz w:val="20"/>
          <w:szCs w:val="20"/>
        </w:rPr>
        <w:t xml:space="preserve"> a continuación:</w:t>
      </w:r>
    </w:p>
    <w:p w:rsidR="0091701F" w:rsidRPr="00CB525E" w:rsidRDefault="0091701F" w:rsidP="00EB592C">
      <w:pPr>
        <w:spacing w:line="276" w:lineRule="auto"/>
        <w:jc w:val="both"/>
        <w:rPr>
          <w:rFonts w:ascii="ITC Avant Garde" w:hAnsi="ITC Avant Garde" w:cs="ITC Avant Garde"/>
          <w:b/>
          <w:sz w:val="20"/>
          <w:szCs w:val="20"/>
        </w:rPr>
      </w:pPr>
    </w:p>
    <w:tbl>
      <w:tblPr>
        <w:tblW w:w="5000" w:type="pct"/>
        <w:tblLayout w:type="fixed"/>
        <w:tblCellMar>
          <w:left w:w="0" w:type="dxa"/>
          <w:right w:w="0" w:type="dxa"/>
        </w:tblCellMar>
        <w:tblLook w:val="04A0" w:firstRow="1" w:lastRow="0" w:firstColumn="1" w:lastColumn="0" w:noHBand="0" w:noVBand="1"/>
      </w:tblPr>
      <w:tblGrid>
        <w:gridCol w:w="1123"/>
        <w:gridCol w:w="7695"/>
      </w:tblGrid>
      <w:tr w:rsidR="0091701F" w:rsidRPr="00CB525E" w:rsidTr="0091701F">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rsidR="0091701F" w:rsidRPr="00CB525E" w:rsidRDefault="0091701F" w:rsidP="00EB592C">
            <w:pPr>
              <w:spacing w:line="276" w:lineRule="auto"/>
              <w:ind w:left="720" w:hanging="777"/>
              <w:jc w:val="center"/>
              <w:rPr>
                <w:rFonts w:ascii="ITC Avant Garde" w:eastAsia="Times New Roman" w:hAnsi="ITC Avant Garde" w:cs="ITC Avant Garde"/>
                <w:b/>
                <w:bCs/>
                <w:color w:val="000000"/>
                <w:sz w:val="20"/>
                <w:szCs w:val="20"/>
                <w:lang w:val="es-MX"/>
              </w:rPr>
            </w:pPr>
            <w:r w:rsidRPr="00CB525E">
              <w:rPr>
                <w:rFonts w:ascii="ITC Avant Garde" w:eastAsia="Times New Roman" w:hAnsi="ITC Avant Garde" w:cs="ITC Avant Garde"/>
                <w:b/>
                <w:bCs/>
                <w:color w:val="000000"/>
                <w:sz w:val="20"/>
                <w:szCs w:val="20"/>
                <w:lang w:val="es-MX"/>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rsidR="0091701F" w:rsidRPr="00CB525E" w:rsidRDefault="0091701F" w:rsidP="00EB592C">
            <w:pPr>
              <w:spacing w:line="276" w:lineRule="auto"/>
              <w:ind w:left="720"/>
              <w:jc w:val="center"/>
              <w:rPr>
                <w:rFonts w:ascii="ITC Avant Garde" w:eastAsia="Times New Roman" w:hAnsi="ITC Avant Garde" w:cs="ITC Avant Garde"/>
                <w:b/>
                <w:bCs/>
                <w:color w:val="000000"/>
                <w:sz w:val="20"/>
                <w:szCs w:val="20"/>
                <w:lang w:val="es-MX"/>
              </w:rPr>
            </w:pPr>
            <w:r w:rsidRPr="00CB525E">
              <w:rPr>
                <w:rFonts w:ascii="ITC Avant Garde" w:eastAsia="Times New Roman" w:hAnsi="ITC Avant Garde" w:cs="ITC Avant Garde"/>
                <w:b/>
                <w:bCs/>
                <w:color w:val="000000"/>
                <w:sz w:val="20"/>
                <w:szCs w:val="20"/>
                <w:lang w:val="es-MX"/>
              </w:rPr>
              <w:t>NOMBRE O  RAZÓN SOCIAL</w:t>
            </w:r>
          </w:p>
        </w:tc>
      </w:tr>
      <w:tr w:rsidR="0091701F" w:rsidRPr="00CB525E" w:rsidTr="0048098A">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rsidR="0091701F" w:rsidRPr="00CB525E" w:rsidRDefault="0091701F" w:rsidP="00EB592C">
            <w:pPr>
              <w:spacing w:line="276" w:lineRule="auto"/>
              <w:ind w:left="510"/>
              <w:rPr>
                <w:rFonts w:ascii="ITC Avant Garde" w:eastAsia="Times New Roman" w:hAnsi="ITC Avant Garde" w:cs="ITC Avant Garde"/>
                <w:b/>
                <w:bCs/>
                <w:color w:val="000000"/>
                <w:sz w:val="20"/>
                <w:szCs w:val="20"/>
                <w:lang w:val="es-MX"/>
              </w:rPr>
            </w:pPr>
            <w:r w:rsidRPr="00CB525E">
              <w:rPr>
                <w:rFonts w:ascii="ITC Avant Garde" w:eastAsia="Times New Roman" w:hAnsi="ITC Avant Garde" w:cs="ITC Avant Garde"/>
                <w:b/>
                <w:bCs/>
                <w:color w:val="000000"/>
                <w:sz w:val="20"/>
                <w:szCs w:val="20"/>
                <w:lang w:val="es-MX"/>
              </w:rPr>
              <w:t>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tcPr>
          <w:p w:rsidR="0091701F" w:rsidRPr="00CB525E" w:rsidRDefault="00BE5D3D" w:rsidP="00EB592C">
            <w:pPr>
              <w:spacing w:line="276" w:lineRule="auto"/>
              <w:ind w:left="248"/>
              <w:jc w:val="center"/>
              <w:rPr>
                <w:rFonts w:ascii="ITC Avant Garde" w:eastAsia="Times New Roman" w:hAnsi="ITC Avant Garde" w:cs="ITC Avant Garde"/>
                <w:b/>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tc>
      </w:tr>
    </w:tbl>
    <w:p w:rsidR="00900D5A" w:rsidRPr="00CB525E" w:rsidRDefault="00900D5A" w:rsidP="00EB592C">
      <w:pPr>
        <w:spacing w:line="276" w:lineRule="auto"/>
        <w:ind w:left="720"/>
        <w:jc w:val="both"/>
        <w:rPr>
          <w:rFonts w:ascii="ITC Avant Garde" w:eastAsia="Times New Roman" w:hAnsi="ITC Avant Garde" w:cs="ITC Avant Garde"/>
          <w:color w:val="000000"/>
          <w:sz w:val="20"/>
          <w:szCs w:val="20"/>
          <w:lang w:val="es-MX"/>
        </w:rPr>
      </w:pPr>
    </w:p>
    <w:p w:rsidR="00AE514D" w:rsidRPr="00CB525E" w:rsidRDefault="007B5DB5" w:rsidP="00EB592C">
      <w:pPr>
        <w:pStyle w:val="Prrafodelista1"/>
        <w:spacing w:line="276" w:lineRule="auto"/>
        <w:ind w:left="0"/>
        <w:jc w:val="both"/>
        <w:rPr>
          <w:rFonts w:ascii="ITC Avant Garde" w:hAnsi="ITC Avant Garde" w:cs="ITC Avant Garde"/>
          <w:b/>
          <w:sz w:val="20"/>
          <w:szCs w:val="20"/>
        </w:rPr>
      </w:pPr>
      <w:r w:rsidRPr="00CB525E">
        <w:rPr>
          <w:rFonts w:ascii="ITC Avant Garde" w:hAnsi="ITC Avant Garde" w:cs="ITC Avant Garde"/>
          <w:sz w:val="20"/>
          <w:szCs w:val="20"/>
        </w:rPr>
        <w:t>De acuerdo a los comentarios recibidos durante la Consulta Pública se</w:t>
      </w:r>
      <w:r w:rsidR="00AE514D" w:rsidRPr="00CB525E">
        <w:rPr>
          <w:rFonts w:ascii="ITC Avant Garde" w:hAnsi="ITC Avant Garde" w:cs="ITC Avant Garde"/>
          <w:sz w:val="20"/>
          <w:szCs w:val="20"/>
        </w:rPr>
        <w:t xml:space="preserve"> integra</w:t>
      </w:r>
      <w:r w:rsidRPr="00CB525E">
        <w:rPr>
          <w:rFonts w:ascii="ITC Avant Garde" w:hAnsi="ITC Avant Garde" w:cs="ITC Avant Garde"/>
          <w:sz w:val="20"/>
          <w:szCs w:val="20"/>
        </w:rPr>
        <w:t>ron</w:t>
      </w:r>
      <w:r w:rsidR="00B96E4E" w:rsidRPr="00CB525E">
        <w:rPr>
          <w:rFonts w:ascii="ITC Avant Garde" w:hAnsi="ITC Avant Garde" w:cs="ITC Avant Garde"/>
          <w:sz w:val="20"/>
          <w:szCs w:val="20"/>
        </w:rPr>
        <w:t>, modificaron</w:t>
      </w:r>
      <w:r w:rsidR="00AE514D" w:rsidRPr="00CB525E">
        <w:rPr>
          <w:rFonts w:ascii="ITC Avant Garde" w:hAnsi="ITC Avant Garde" w:cs="ITC Avant Garde"/>
          <w:sz w:val="20"/>
          <w:szCs w:val="20"/>
        </w:rPr>
        <w:t xml:space="preserve"> </w:t>
      </w:r>
      <w:r w:rsidR="00137D3B" w:rsidRPr="00CB525E">
        <w:rPr>
          <w:rFonts w:ascii="ITC Avant Garde" w:hAnsi="ITC Avant Garde" w:cs="ITC Avant Garde"/>
          <w:sz w:val="20"/>
          <w:szCs w:val="20"/>
        </w:rPr>
        <w:t>y/o elimina</w:t>
      </w:r>
      <w:r w:rsidRPr="00CB525E">
        <w:rPr>
          <w:rFonts w:ascii="ITC Avant Garde" w:hAnsi="ITC Avant Garde" w:cs="ITC Avant Garde"/>
          <w:sz w:val="20"/>
          <w:szCs w:val="20"/>
        </w:rPr>
        <w:t>ron</w:t>
      </w:r>
      <w:r w:rsidR="00AE514D" w:rsidRPr="00CB525E">
        <w:rPr>
          <w:rFonts w:ascii="ITC Avant Garde" w:hAnsi="ITC Avant Garde" w:cs="ITC Avant Garde"/>
          <w:sz w:val="20"/>
          <w:szCs w:val="20"/>
        </w:rPr>
        <w:t xml:space="preserve"> </w:t>
      </w:r>
      <w:r w:rsidR="00BE5D3D">
        <w:rPr>
          <w:rFonts w:ascii="ITC Avant Garde" w:hAnsi="ITC Avant Garde" w:cs="ITC Avant Garde"/>
          <w:sz w:val="20"/>
          <w:szCs w:val="20"/>
        </w:rPr>
        <w:t>capítulos, lineamientos</w:t>
      </w:r>
      <w:r w:rsidR="00AE514D" w:rsidRPr="00CB525E">
        <w:rPr>
          <w:rFonts w:ascii="ITC Avant Garde" w:hAnsi="ITC Avant Garde" w:cs="ITC Avant Garde"/>
          <w:sz w:val="20"/>
          <w:szCs w:val="20"/>
        </w:rPr>
        <w:t xml:space="preserve">, </w:t>
      </w:r>
      <w:r w:rsidR="00C9399E" w:rsidRPr="00CB525E">
        <w:rPr>
          <w:rFonts w:ascii="ITC Avant Garde" w:hAnsi="ITC Avant Garde" w:cs="ITC Avant Garde"/>
          <w:sz w:val="20"/>
          <w:szCs w:val="20"/>
        </w:rPr>
        <w:t xml:space="preserve">numerales </w:t>
      </w:r>
      <w:r w:rsidR="00137D3B" w:rsidRPr="00CB525E">
        <w:rPr>
          <w:rFonts w:ascii="ITC Avant Garde" w:hAnsi="ITC Avant Garde" w:cs="ITC Avant Garde"/>
          <w:sz w:val="20"/>
          <w:szCs w:val="20"/>
        </w:rPr>
        <w:t>y fracciones</w:t>
      </w:r>
      <w:r w:rsidR="009F7DD3" w:rsidRPr="00CB525E">
        <w:rPr>
          <w:rFonts w:ascii="ITC Avant Garde" w:hAnsi="ITC Avant Garde" w:cs="ITC Avant Garde"/>
          <w:sz w:val="20"/>
          <w:szCs w:val="20"/>
        </w:rPr>
        <w:t xml:space="preserve"> en</w:t>
      </w:r>
      <w:r w:rsidR="00137D3B" w:rsidRPr="00CB525E">
        <w:rPr>
          <w:rFonts w:ascii="ITC Avant Garde" w:hAnsi="ITC Avant Garde" w:cs="ITC Avant Garde"/>
          <w:sz w:val="20"/>
          <w:szCs w:val="20"/>
        </w:rPr>
        <w:t xml:space="preserve"> </w:t>
      </w:r>
      <w:r w:rsidR="009F7DD3" w:rsidRPr="00CB525E">
        <w:rPr>
          <w:rFonts w:ascii="ITC Avant Garde" w:hAnsi="ITC Avant Garde" w:cs="ITC Avant Garde"/>
          <w:sz w:val="20"/>
          <w:szCs w:val="20"/>
        </w:rPr>
        <w:t>el anteproyecto</w:t>
      </w:r>
      <w:r w:rsidR="00941E0C" w:rsidRPr="00CB525E">
        <w:rPr>
          <w:rFonts w:ascii="ITC Avant Garde" w:hAnsi="ITC Avant Garde" w:cs="ITC Avant Garde"/>
          <w:sz w:val="20"/>
          <w:szCs w:val="20"/>
        </w:rPr>
        <w:t xml:space="preserve"> original</w:t>
      </w:r>
      <w:r w:rsidR="009F7DD3" w:rsidRPr="00CB525E">
        <w:rPr>
          <w:rFonts w:ascii="ITC Avant Garde" w:hAnsi="ITC Avant Garde" w:cs="ITC Avant Garde"/>
          <w:sz w:val="20"/>
          <w:szCs w:val="20"/>
        </w:rPr>
        <w:t xml:space="preserve">, </w:t>
      </w:r>
      <w:r w:rsidR="00941E0C" w:rsidRPr="00CB525E">
        <w:rPr>
          <w:rFonts w:ascii="ITC Avant Garde" w:hAnsi="ITC Avant Garde" w:cs="ITC Avant Garde"/>
          <w:sz w:val="20"/>
          <w:szCs w:val="20"/>
        </w:rPr>
        <w:t xml:space="preserve">por lo </w:t>
      </w:r>
      <w:r w:rsidR="00152FA5" w:rsidRPr="00CB525E">
        <w:rPr>
          <w:rFonts w:ascii="ITC Avant Garde" w:hAnsi="ITC Avant Garde" w:cs="ITC Avant Garde"/>
          <w:sz w:val="20"/>
          <w:szCs w:val="20"/>
        </w:rPr>
        <w:t>tanto,</w:t>
      </w:r>
      <w:r w:rsidR="00941E0C" w:rsidRPr="00CB525E">
        <w:rPr>
          <w:rFonts w:ascii="ITC Avant Garde" w:hAnsi="ITC Avant Garde" w:cs="ITC Avant Garde"/>
          <w:sz w:val="20"/>
          <w:szCs w:val="20"/>
        </w:rPr>
        <w:t xml:space="preserve"> el proyecto que ahora nos ocupa </w:t>
      </w:r>
      <w:r w:rsidR="009F7DD3" w:rsidRPr="00CB525E">
        <w:rPr>
          <w:rFonts w:ascii="ITC Avant Garde" w:hAnsi="ITC Avant Garde" w:cs="ITC Avant Garde"/>
          <w:sz w:val="20"/>
          <w:szCs w:val="20"/>
        </w:rPr>
        <w:t>sufrió un</w:t>
      </w:r>
      <w:r w:rsidR="00137D3B" w:rsidRPr="00CB525E">
        <w:rPr>
          <w:rFonts w:ascii="ITC Avant Garde" w:hAnsi="ITC Avant Garde" w:cs="ITC Avant Garde"/>
          <w:sz w:val="20"/>
          <w:szCs w:val="20"/>
        </w:rPr>
        <w:t xml:space="preserve"> reordenamiento </w:t>
      </w:r>
      <w:r w:rsidR="00941E0C" w:rsidRPr="00CB525E">
        <w:rPr>
          <w:rFonts w:ascii="ITC Avant Garde" w:hAnsi="ITC Avant Garde" w:cs="ITC Avant Garde"/>
          <w:sz w:val="20"/>
          <w:szCs w:val="20"/>
        </w:rPr>
        <w:t xml:space="preserve">lo cual </w:t>
      </w:r>
      <w:r w:rsidR="00886182" w:rsidRPr="00CB525E">
        <w:rPr>
          <w:rFonts w:ascii="ITC Avant Garde" w:hAnsi="ITC Avant Garde" w:cs="ITC Avant Garde"/>
          <w:sz w:val="20"/>
          <w:szCs w:val="20"/>
        </w:rPr>
        <w:t>se</w:t>
      </w:r>
      <w:r w:rsidR="00137D3B" w:rsidRPr="00CB525E">
        <w:rPr>
          <w:rFonts w:ascii="ITC Avant Garde" w:hAnsi="ITC Avant Garde" w:cs="ITC Avant Garde"/>
          <w:sz w:val="20"/>
          <w:szCs w:val="20"/>
        </w:rPr>
        <w:t xml:space="preserve"> </w:t>
      </w:r>
      <w:r w:rsidR="00886182" w:rsidRPr="00CB525E">
        <w:rPr>
          <w:rFonts w:ascii="ITC Avant Garde" w:hAnsi="ITC Avant Garde" w:cs="ITC Avant Garde"/>
          <w:sz w:val="20"/>
          <w:szCs w:val="20"/>
        </w:rPr>
        <w:t>refleja</w:t>
      </w:r>
      <w:r w:rsidR="00941E0C" w:rsidRPr="00CB525E">
        <w:rPr>
          <w:rFonts w:ascii="ITC Avant Garde" w:hAnsi="ITC Avant Garde" w:cs="ITC Avant Garde"/>
          <w:sz w:val="20"/>
          <w:szCs w:val="20"/>
        </w:rPr>
        <w:t xml:space="preserve"> </w:t>
      </w:r>
      <w:r w:rsidR="00137D3B" w:rsidRPr="00CB525E">
        <w:rPr>
          <w:rFonts w:ascii="ITC Avant Garde" w:hAnsi="ITC Avant Garde" w:cs="ITC Avant Garde"/>
          <w:sz w:val="20"/>
          <w:szCs w:val="20"/>
        </w:rPr>
        <w:t>en el proyecto final</w:t>
      </w:r>
      <w:r w:rsidR="00137D3B" w:rsidRPr="00CB525E">
        <w:rPr>
          <w:rFonts w:ascii="ITC Avant Garde" w:hAnsi="ITC Avant Garde" w:cs="ITC Avant Garde"/>
          <w:b/>
          <w:sz w:val="20"/>
          <w:szCs w:val="20"/>
        </w:rPr>
        <w:t>.</w:t>
      </w:r>
    </w:p>
    <w:p w:rsidR="00152FA5" w:rsidRPr="00CB525E" w:rsidRDefault="00152FA5" w:rsidP="00EB592C">
      <w:pPr>
        <w:pStyle w:val="Prrafodelista1"/>
        <w:spacing w:line="276" w:lineRule="auto"/>
        <w:ind w:left="0"/>
        <w:jc w:val="both"/>
        <w:rPr>
          <w:rFonts w:ascii="ITC Avant Garde" w:hAnsi="ITC Avant Garde" w:cs="ITC Avant Garde"/>
          <w:b/>
          <w:sz w:val="20"/>
          <w:szCs w:val="20"/>
        </w:rPr>
      </w:pPr>
    </w:p>
    <w:p w:rsidR="0049058B" w:rsidRPr="00CB525E" w:rsidRDefault="00C5354F" w:rsidP="00EB592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Quinto, Fracción XIV</w:t>
      </w:r>
      <w:r w:rsidR="0014721F" w:rsidRPr="00CB525E">
        <w:rPr>
          <w:rFonts w:ascii="ITC Avant Garde" w:hAnsi="ITC Avant Garde" w:cs="ITC Avant Garde"/>
          <w:b/>
          <w:sz w:val="20"/>
          <w:szCs w:val="20"/>
        </w:rPr>
        <w:t>.</w:t>
      </w:r>
    </w:p>
    <w:p w:rsidR="0049058B" w:rsidRPr="00CB525E" w:rsidRDefault="00C5354F" w:rsidP="00EB592C">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0049058B" w:rsidRPr="00CB525E">
        <w:rPr>
          <w:rFonts w:ascii="ITC Avant Garde" w:hAnsi="ITC Avant Garde" w:cs="ITC Avant Garde"/>
          <w:b/>
          <w:sz w:val="20"/>
          <w:szCs w:val="20"/>
        </w:rPr>
        <w:t>:</w:t>
      </w:r>
    </w:p>
    <w:p w:rsidR="0048098A" w:rsidRPr="00CB525E" w:rsidRDefault="00C5354F" w:rsidP="00EB592C">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49058B" w:rsidRPr="00CB525E" w:rsidRDefault="0049058B" w:rsidP="00EB592C">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152FA5" w:rsidRPr="00CB525E" w:rsidRDefault="00C5354F" w:rsidP="00C5354F">
      <w:pPr>
        <w:spacing w:line="276" w:lineRule="auto"/>
        <w:jc w:val="both"/>
        <w:rPr>
          <w:rFonts w:ascii="ITC Avant Garde" w:eastAsia="Times New Roman" w:hAnsi="ITC Avant Garde" w:cs="ITC Avant Garde"/>
          <w:b/>
          <w:color w:val="000000"/>
          <w:sz w:val="20"/>
          <w:szCs w:val="20"/>
        </w:rPr>
      </w:pPr>
      <w:r w:rsidRPr="00C5354F">
        <w:rPr>
          <w:rFonts w:ascii="ITC Avant Garde" w:hAnsi="ITC Avant Garde"/>
          <w:sz w:val="20"/>
          <w:szCs w:val="20"/>
        </w:rPr>
        <w:t>Agregar que un solo evaluador puede realizar la evaluación a los</w:t>
      </w:r>
      <w:r>
        <w:rPr>
          <w:rFonts w:ascii="ITC Avant Garde" w:hAnsi="ITC Avant Garde"/>
          <w:sz w:val="20"/>
          <w:szCs w:val="20"/>
        </w:rPr>
        <w:t xml:space="preserve"> </w:t>
      </w:r>
      <w:r w:rsidRPr="00C5354F">
        <w:rPr>
          <w:rFonts w:ascii="ITC Avant Garde" w:hAnsi="ITC Avant Garde"/>
          <w:sz w:val="20"/>
          <w:szCs w:val="20"/>
        </w:rPr>
        <w:t>organismos de evaluación de la conformidad, siempre y cuando cumpla</w:t>
      </w:r>
      <w:r>
        <w:rPr>
          <w:rFonts w:ascii="ITC Avant Garde" w:hAnsi="ITC Avant Garde"/>
          <w:sz w:val="20"/>
          <w:szCs w:val="20"/>
        </w:rPr>
        <w:t xml:space="preserve"> </w:t>
      </w:r>
      <w:r w:rsidRPr="00C5354F">
        <w:rPr>
          <w:rFonts w:ascii="ITC Avant Garde" w:hAnsi="ITC Avant Garde"/>
          <w:sz w:val="20"/>
          <w:szCs w:val="20"/>
        </w:rPr>
        <w:t>también con los requisitos de experto técnico.</w:t>
      </w:r>
    </w:p>
    <w:p w:rsidR="00152FA5" w:rsidRPr="00CB525E" w:rsidRDefault="00152FA5" w:rsidP="00A1590F">
      <w:pPr>
        <w:tabs>
          <w:tab w:val="left" w:pos="6657"/>
        </w:tabs>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bookmarkStart w:id="0" w:name="_GoBack"/>
      <w:bookmarkEnd w:id="0"/>
      <w:r w:rsidR="00A1590F">
        <w:rPr>
          <w:rFonts w:ascii="ITC Avant Garde" w:eastAsia="Times New Roman" w:hAnsi="ITC Avant Garde" w:cs="ITC Avant Garde"/>
          <w:b/>
          <w:color w:val="000000"/>
          <w:sz w:val="20"/>
          <w:szCs w:val="20"/>
        </w:rPr>
        <w:tab/>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lastRenderedPageBreak/>
        <w:t>No se considera</w:t>
      </w:r>
    </w:p>
    <w:p w:rsidR="0048098A"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En virtud que, el evaluador al tener múltiples tareas, podría descuidar o incluso ser laxo al momento de conducir la Evaluación al OEC.</w:t>
      </w:r>
    </w:p>
    <w:p w:rsidR="006523C3" w:rsidRPr="00CB525E" w:rsidRDefault="006523C3" w:rsidP="00EB592C">
      <w:pPr>
        <w:pStyle w:val="Prrafodelista1"/>
        <w:tabs>
          <w:tab w:val="left" w:pos="-708"/>
        </w:tabs>
        <w:spacing w:line="276" w:lineRule="auto"/>
        <w:ind w:left="12"/>
        <w:jc w:val="both"/>
        <w:rPr>
          <w:rFonts w:ascii="ITC Avant Garde" w:hAnsi="ITC Avant Garde" w:cs="ITC Avant Garde"/>
          <w:b/>
          <w:sz w:val="20"/>
          <w:szCs w:val="20"/>
        </w:rPr>
      </w:pPr>
    </w:p>
    <w:p w:rsidR="00C5354F" w:rsidRPr="00CB525E" w:rsidRDefault="00C5354F" w:rsidP="00C5354F">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Quinto, Fracción XXVIII</w:t>
      </w:r>
      <w:r w:rsidRPr="00CB525E">
        <w:rPr>
          <w:rFonts w:ascii="ITC Avant Garde" w:hAnsi="ITC Avant Garde" w:cs="ITC Avant Garde"/>
          <w:b/>
          <w:sz w:val="20"/>
          <w:szCs w:val="20"/>
        </w:rPr>
        <w:t>.</w:t>
      </w:r>
    </w:p>
    <w:p w:rsidR="00C5354F" w:rsidRPr="00CB525E" w:rsidRDefault="00C5354F" w:rsidP="00C5354F">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C5354F" w:rsidRPr="00CB525E" w:rsidRDefault="00C5354F" w:rsidP="00C5354F">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C5354F" w:rsidRPr="00CB525E" w:rsidRDefault="00C5354F" w:rsidP="00C5354F">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El hecho de que en la definición se considere al propio Instituto fungir</w:t>
      </w:r>
      <w:r>
        <w:rPr>
          <w:rFonts w:ascii="ITC Avant Garde" w:hAnsi="ITC Avant Garde"/>
          <w:sz w:val="20"/>
          <w:szCs w:val="20"/>
        </w:rPr>
        <w:t xml:space="preserve"> </w:t>
      </w:r>
      <w:r w:rsidRPr="00C5354F">
        <w:rPr>
          <w:rFonts w:ascii="ITC Avant Garde" w:hAnsi="ITC Avant Garde"/>
          <w:sz w:val="20"/>
          <w:szCs w:val="20"/>
        </w:rPr>
        <w:t>como Organismo de Evaluación de la Conformidad, impide cumplir con</w:t>
      </w:r>
      <w:r>
        <w:rPr>
          <w:rFonts w:ascii="ITC Avant Garde" w:hAnsi="ITC Avant Garde"/>
          <w:sz w:val="20"/>
          <w:szCs w:val="20"/>
        </w:rPr>
        <w:t xml:space="preserve"> </w:t>
      </w:r>
      <w:r w:rsidRPr="00C5354F">
        <w:rPr>
          <w:rFonts w:ascii="ITC Avant Garde" w:hAnsi="ITC Avant Garde"/>
          <w:sz w:val="20"/>
          <w:szCs w:val="20"/>
        </w:rPr>
        <w:t>la norma ISO/IEC 17011, ya que se convierte en juez y parte.</w:t>
      </w:r>
      <w:r>
        <w:rPr>
          <w:rFonts w:ascii="ITC Avant Garde" w:hAnsi="ITC Avant Garde"/>
          <w:sz w:val="20"/>
          <w:szCs w:val="20"/>
        </w:rPr>
        <w:t xml:space="preserve"> </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En su caso, no queda claro que en el supuesto que exista una Entidad</w:t>
      </w:r>
      <w:r>
        <w:rPr>
          <w:rFonts w:ascii="ITC Avant Garde" w:hAnsi="ITC Avant Garde"/>
          <w:sz w:val="20"/>
          <w:szCs w:val="20"/>
        </w:rPr>
        <w:t xml:space="preserve"> </w:t>
      </w:r>
      <w:r w:rsidRPr="00C5354F">
        <w:rPr>
          <w:rFonts w:ascii="ITC Avant Garde" w:hAnsi="ITC Avant Garde"/>
          <w:sz w:val="20"/>
          <w:szCs w:val="20"/>
        </w:rPr>
        <w:t>de Acreditación autorizada, el Instituto para fungir como Organismo de</w:t>
      </w:r>
      <w:r>
        <w:rPr>
          <w:rFonts w:ascii="ITC Avant Garde" w:hAnsi="ITC Avant Garde"/>
          <w:sz w:val="20"/>
          <w:szCs w:val="20"/>
        </w:rPr>
        <w:t xml:space="preserve"> </w:t>
      </w:r>
      <w:r w:rsidRPr="00C5354F">
        <w:rPr>
          <w:rFonts w:ascii="ITC Avant Garde" w:hAnsi="ITC Avant Garde"/>
          <w:sz w:val="20"/>
          <w:szCs w:val="20"/>
        </w:rPr>
        <w:t>Evaluación de la conformidad, debe estar acreditado.</w:t>
      </w:r>
    </w:p>
    <w:p w:rsidR="00C5354F" w:rsidRPr="00CB525E" w:rsidRDefault="00C5354F" w:rsidP="00C5354F">
      <w:pPr>
        <w:spacing w:line="276" w:lineRule="auto"/>
        <w:jc w:val="both"/>
        <w:rPr>
          <w:rFonts w:ascii="ITC Avant Garde" w:eastAsia="Times New Roman" w:hAnsi="ITC Avant Garde" w:cs="ITC Avant Garde"/>
          <w:b/>
          <w:color w:val="000000"/>
          <w:sz w:val="20"/>
          <w:szCs w:val="20"/>
        </w:rPr>
      </w:pPr>
      <w:r w:rsidRPr="00C5354F">
        <w:rPr>
          <w:rFonts w:ascii="ITC Avant Garde" w:hAnsi="ITC Avant Garde"/>
          <w:sz w:val="20"/>
          <w:szCs w:val="20"/>
        </w:rPr>
        <w:t>Se recomienda omitir esta parte y determinar que el Instituto puede hacer</w:t>
      </w:r>
      <w:r>
        <w:rPr>
          <w:rFonts w:ascii="ITC Avant Garde" w:hAnsi="ITC Avant Garde"/>
          <w:sz w:val="20"/>
          <w:szCs w:val="20"/>
        </w:rPr>
        <w:t xml:space="preserve"> </w:t>
      </w:r>
      <w:r w:rsidRPr="00C5354F">
        <w:rPr>
          <w:rFonts w:ascii="ITC Avant Garde" w:hAnsi="ITC Avant Garde"/>
          <w:sz w:val="20"/>
          <w:szCs w:val="20"/>
        </w:rPr>
        <w:t>la evaluación de la conformidad en tanto no exista ningún organismo de</w:t>
      </w:r>
      <w:r>
        <w:rPr>
          <w:rFonts w:ascii="ITC Avant Garde" w:hAnsi="ITC Avant Garde"/>
          <w:sz w:val="20"/>
          <w:szCs w:val="20"/>
        </w:rPr>
        <w:t xml:space="preserve"> </w:t>
      </w:r>
      <w:r w:rsidRPr="00C5354F">
        <w:rPr>
          <w:rFonts w:ascii="ITC Avant Garde" w:hAnsi="ITC Avant Garde"/>
          <w:sz w:val="20"/>
          <w:szCs w:val="20"/>
        </w:rPr>
        <w:t>evaluación de la conformidad especifico (laboratorio, organismo de</w:t>
      </w:r>
      <w:r>
        <w:rPr>
          <w:rFonts w:ascii="ITC Avant Garde" w:hAnsi="ITC Avant Garde"/>
          <w:sz w:val="20"/>
          <w:szCs w:val="20"/>
        </w:rPr>
        <w:t xml:space="preserve"> </w:t>
      </w:r>
      <w:r w:rsidRPr="00C5354F">
        <w:rPr>
          <w:rFonts w:ascii="ITC Avant Garde" w:hAnsi="ITC Avant Garde"/>
          <w:sz w:val="20"/>
          <w:szCs w:val="20"/>
        </w:rPr>
        <w:t>certificación, unida de verificación /inspección) acreditado.</w:t>
      </w:r>
    </w:p>
    <w:p w:rsidR="00C5354F" w:rsidRPr="00CB525E" w:rsidRDefault="00C5354F" w:rsidP="00C5354F">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 xml:space="preserve">No se considera </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En virtud que el Estatuto Orgánico del Instituto Federal de Telecomunicaciones en su artículo 234, fracción XXVIII, establece lo siguiente:</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“Proponer al Pleno los lineamientos para la autorización de organismos de acreditación, así como para la actuación del Instituto, en caso de que funja como organismo de acreditación;”.</w:t>
      </w:r>
    </w:p>
    <w:p w:rsidR="004D11BF" w:rsidRDefault="004D11BF" w:rsidP="00EB592C">
      <w:pPr>
        <w:pStyle w:val="Textocomentario"/>
        <w:spacing w:line="276" w:lineRule="auto"/>
        <w:jc w:val="both"/>
        <w:rPr>
          <w:rFonts w:ascii="ITC Avant Garde" w:eastAsia="Times New Roman" w:hAnsi="ITC Avant Garde" w:cs="ITC Avant Garde"/>
          <w:color w:val="000000"/>
        </w:rPr>
      </w:pPr>
    </w:p>
    <w:p w:rsidR="00C5354F" w:rsidRPr="00CB525E" w:rsidRDefault="00C5354F" w:rsidP="00C5354F">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Quinto, Fracción XLVIII y XLIX</w:t>
      </w:r>
      <w:r w:rsidRPr="00CB525E">
        <w:rPr>
          <w:rFonts w:ascii="ITC Avant Garde" w:hAnsi="ITC Avant Garde" w:cs="ITC Avant Garde"/>
          <w:b/>
          <w:sz w:val="20"/>
          <w:szCs w:val="20"/>
        </w:rPr>
        <w:t>.</w:t>
      </w:r>
    </w:p>
    <w:p w:rsidR="00C5354F" w:rsidRPr="00CB525E" w:rsidRDefault="00C5354F" w:rsidP="00C5354F">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C5354F" w:rsidRPr="00CB525E" w:rsidRDefault="00C5354F" w:rsidP="00C5354F">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C5354F" w:rsidRPr="00CB525E" w:rsidRDefault="00C5354F" w:rsidP="00C5354F">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La definición de unidad de verificación debería adecuarse a las</w:t>
      </w:r>
      <w:r>
        <w:rPr>
          <w:rFonts w:ascii="ITC Avant Garde" w:hAnsi="ITC Avant Garde"/>
          <w:sz w:val="20"/>
          <w:szCs w:val="20"/>
        </w:rPr>
        <w:t xml:space="preserve"> </w:t>
      </w:r>
      <w:r w:rsidRPr="00C5354F">
        <w:rPr>
          <w:rFonts w:ascii="ITC Avant Garde" w:hAnsi="ITC Avant Garde"/>
          <w:sz w:val="20"/>
          <w:szCs w:val="20"/>
        </w:rPr>
        <w:t>definiciones de la Ley de la Infraestructura de la Calidad y nombrarse</w:t>
      </w:r>
      <w:r>
        <w:rPr>
          <w:rFonts w:ascii="ITC Avant Garde" w:hAnsi="ITC Avant Garde"/>
          <w:sz w:val="20"/>
          <w:szCs w:val="20"/>
        </w:rPr>
        <w:t xml:space="preserve"> </w:t>
      </w:r>
      <w:r w:rsidRPr="00C5354F">
        <w:rPr>
          <w:rFonts w:ascii="ITC Avant Garde" w:hAnsi="ITC Avant Garde"/>
          <w:sz w:val="20"/>
          <w:szCs w:val="20"/>
        </w:rPr>
        <w:t>como Unidad de Inspección o, en su caso, considerar el término</w:t>
      </w:r>
      <w:r>
        <w:rPr>
          <w:rFonts w:ascii="ITC Avant Garde" w:hAnsi="ITC Avant Garde"/>
          <w:sz w:val="20"/>
          <w:szCs w:val="20"/>
        </w:rPr>
        <w:t xml:space="preserve"> </w:t>
      </w:r>
      <w:r w:rsidRPr="00C5354F">
        <w:rPr>
          <w:rFonts w:ascii="ITC Avant Garde" w:hAnsi="ITC Avant Garde"/>
          <w:sz w:val="20"/>
          <w:szCs w:val="20"/>
        </w:rPr>
        <w:t>internacional de Organismo de Inspección.</w:t>
      </w:r>
    </w:p>
    <w:p w:rsidR="00C5354F" w:rsidRPr="00CB525E" w:rsidRDefault="00C5354F" w:rsidP="00C5354F">
      <w:pPr>
        <w:spacing w:line="276" w:lineRule="auto"/>
        <w:jc w:val="both"/>
        <w:rPr>
          <w:rFonts w:ascii="ITC Avant Garde" w:eastAsia="Times New Roman" w:hAnsi="ITC Avant Garde" w:cs="ITC Avant Garde"/>
          <w:b/>
          <w:color w:val="000000"/>
          <w:sz w:val="20"/>
          <w:szCs w:val="20"/>
        </w:rPr>
      </w:pPr>
      <w:r w:rsidRPr="00C5354F">
        <w:rPr>
          <w:rFonts w:ascii="ITC Avant Garde" w:hAnsi="ITC Avant Garde"/>
          <w:sz w:val="20"/>
          <w:szCs w:val="20"/>
        </w:rPr>
        <w:lastRenderedPageBreak/>
        <w:t>Lo mismo con la definición de verificación, ya que este término es</w:t>
      </w:r>
      <w:r>
        <w:rPr>
          <w:rFonts w:ascii="ITC Avant Garde" w:hAnsi="ITC Avant Garde"/>
          <w:sz w:val="20"/>
          <w:szCs w:val="20"/>
        </w:rPr>
        <w:t xml:space="preserve"> </w:t>
      </w:r>
      <w:r w:rsidRPr="00C5354F">
        <w:rPr>
          <w:rFonts w:ascii="ITC Avant Garde" w:hAnsi="ITC Avant Garde"/>
          <w:sz w:val="20"/>
          <w:szCs w:val="20"/>
        </w:rPr>
        <w:t>utilizado en la Ley de la Infraestructura de la Calidad como un acto de la</w:t>
      </w:r>
      <w:r>
        <w:rPr>
          <w:rFonts w:ascii="ITC Avant Garde" w:hAnsi="ITC Avant Garde"/>
          <w:sz w:val="20"/>
          <w:szCs w:val="20"/>
        </w:rPr>
        <w:t xml:space="preserve"> </w:t>
      </w:r>
      <w:r w:rsidRPr="00C5354F">
        <w:rPr>
          <w:rFonts w:ascii="ITC Avant Garde" w:hAnsi="ITC Avant Garde"/>
          <w:sz w:val="20"/>
          <w:szCs w:val="20"/>
        </w:rPr>
        <w:t>Autoridad para vigilar el cumplimiento con las normas oficiales</w:t>
      </w:r>
      <w:r>
        <w:rPr>
          <w:rFonts w:ascii="ITC Avant Garde" w:hAnsi="ITC Avant Garde"/>
          <w:sz w:val="20"/>
          <w:szCs w:val="20"/>
        </w:rPr>
        <w:t xml:space="preserve"> </w:t>
      </w:r>
      <w:r w:rsidRPr="00C5354F">
        <w:rPr>
          <w:rFonts w:ascii="ITC Avant Garde" w:hAnsi="ITC Avant Garde"/>
          <w:sz w:val="20"/>
          <w:szCs w:val="20"/>
        </w:rPr>
        <w:t>mexicanas.</w:t>
      </w:r>
    </w:p>
    <w:p w:rsidR="00C5354F" w:rsidRPr="00CB525E" w:rsidRDefault="00C5354F" w:rsidP="00C5354F">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No se considera</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En virtud que el artículo 15, fracción XXVI de la LFTR establece el término “unidades de verificación”, que a la letra dice:</w:t>
      </w:r>
    </w:p>
    <w:p w:rsidR="00C5354F" w:rsidRPr="003E378D" w:rsidRDefault="00C5354F" w:rsidP="00C5354F">
      <w:pPr>
        <w:spacing w:line="276" w:lineRule="auto"/>
        <w:ind w:left="567"/>
        <w:jc w:val="both"/>
        <w:rPr>
          <w:rFonts w:ascii="ITC Avant Garde" w:hAnsi="ITC Avant Garde"/>
          <w:i/>
          <w:sz w:val="20"/>
          <w:szCs w:val="20"/>
        </w:rPr>
      </w:pPr>
      <w:r w:rsidRPr="003E378D">
        <w:rPr>
          <w:rFonts w:ascii="ITC Avant Garde" w:hAnsi="ITC Avant Garde"/>
          <w:i/>
          <w:sz w:val="20"/>
          <w:szCs w:val="20"/>
        </w:rPr>
        <w:t>“</w:t>
      </w:r>
      <w:r w:rsidRPr="003E378D">
        <w:rPr>
          <w:rFonts w:ascii="ITC Avant Garde" w:hAnsi="ITC Avant Garde"/>
          <w:b/>
          <w:i/>
          <w:sz w:val="20"/>
          <w:szCs w:val="20"/>
        </w:rPr>
        <w:t>XXVI.</w:t>
      </w:r>
      <w:r w:rsidRPr="003E378D">
        <w:rPr>
          <w:rFonts w:ascii="ITC Avant Garde" w:hAnsi="ITC Avant Garde"/>
          <w:i/>
          <w:sz w:val="20"/>
          <w:szCs w:val="20"/>
        </w:rPr>
        <w:t xml:space="preserve"> Autorizar a terceros para que emitan certificación de evaluación de la conformidad y acreditar peritos y unidades de verificación en materia de telecomunicaciones y radiodifusión;”</w:t>
      </w:r>
    </w:p>
    <w:p w:rsidR="00C5354F" w:rsidRPr="00C5354F" w:rsidRDefault="00C5354F" w:rsidP="00C5354F">
      <w:pPr>
        <w:spacing w:line="276" w:lineRule="auto"/>
        <w:jc w:val="both"/>
        <w:rPr>
          <w:rFonts w:ascii="ITC Avant Garde" w:hAnsi="ITC Avant Garde"/>
          <w:sz w:val="20"/>
          <w:szCs w:val="20"/>
        </w:rPr>
      </w:pPr>
      <w:r w:rsidRPr="00C5354F">
        <w:rPr>
          <w:rFonts w:ascii="ITC Avant Garde" w:hAnsi="ITC Avant Garde"/>
          <w:sz w:val="20"/>
          <w:szCs w:val="20"/>
        </w:rPr>
        <w:t>En el mismo sentido, el “ACUERDO mediante el cual el Pleno del Instituto Federal de Telecomunicaciones expide los Lineamientos para la Acreditación y Autorización de Unidades de Verificación.”, publicado en el DOF el 6/02/2020; en su lineamiento Cuarto, fracción XIX, establece lo siguiente:</w:t>
      </w:r>
    </w:p>
    <w:p w:rsidR="00C5354F" w:rsidRPr="003E378D" w:rsidRDefault="00C5354F" w:rsidP="00C5354F">
      <w:pPr>
        <w:spacing w:line="276" w:lineRule="auto"/>
        <w:ind w:left="567"/>
        <w:jc w:val="both"/>
        <w:rPr>
          <w:rFonts w:ascii="ITC Avant Garde" w:hAnsi="ITC Avant Garde"/>
          <w:i/>
          <w:sz w:val="20"/>
          <w:szCs w:val="20"/>
        </w:rPr>
      </w:pPr>
      <w:r w:rsidRPr="003E378D">
        <w:rPr>
          <w:rFonts w:ascii="ITC Avant Garde" w:hAnsi="ITC Avant Garde"/>
          <w:i/>
          <w:sz w:val="20"/>
          <w:szCs w:val="20"/>
        </w:rPr>
        <w:t>“</w:t>
      </w:r>
      <w:r w:rsidRPr="003E378D">
        <w:rPr>
          <w:rFonts w:ascii="ITC Avant Garde" w:hAnsi="ITC Avant Garde"/>
          <w:b/>
          <w:i/>
          <w:sz w:val="20"/>
          <w:szCs w:val="20"/>
        </w:rPr>
        <w:t>Unidad de Verificación (UV):</w:t>
      </w:r>
      <w:r w:rsidRPr="003E378D">
        <w:rPr>
          <w:rFonts w:ascii="ITC Avant Garde" w:hAnsi="ITC Avant Garde"/>
          <w:i/>
          <w:sz w:val="20"/>
          <w:szCs w:val="20"/>
        </w:rPr>
        <w:t xml:space="preserve"> Organismo de Evaluación de la Conformidad de tercera parte acreditada y autorizada, es una persona moral formalmente constituida conforme a la legislación mexicana y con domicilio en los Estados Unidos Mexicanos de acuerdo con las disposiciones legales aplicables, para dictaminación o desarrollar tareas de inspección establecidas en las Disposiciones Técnicas, y que está acreditado respecto de la Norma ISO/IEC 17020: "Evaluación de la conformidad - Requisitos para el funcionamiento de diferentes tipos de unidades (organismos) que realizan la verificación (inspección)";”.</w:t>
      </w:r>
    </w:p>
    <w:p w:rsidR="00C5354F" w:rsidRDefault="00C5354F" w:rsidP="00EB592C">
      <w:pPr>
        <w:pStyle w:val="Textocomentario"/>
        <w:spacing w:line="276" w:lineRule="auto"/>
        <w:jc w:val="both"/>
        <w:rPr>
          <w:rFonts w:ascii="ITC Avant Garde" w:eastAsia="Times New Roman" w:hAnsi="ITC Avant Garde" w:cs="ITC Avant Garde"/>
          <w:color w:val="000000"/>
        </w:rPr>
      </w:pPr>
    </w:p>
    <w:p w:rsidR="00881301" w:rsidRPr="00CB525E" w:rsidRDefault="00881301" w:rsidP="0088130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Abreviaturas</w:t>
      </w:r>
      <w:r w:rsidRPr="00CB525E">
        <w:rPr>
          <w:rFonts w:ascii="ITC Avant Garde" w:hAnsi="ITC Avant Garde" w:cs="ITC Avant Garde"/>
          <w:b/>
          <w:sz w:val="20"/>
          <w:szCs w:val="20"/>
        </w:rPr>
        <w:t>.</w:t>
      </w:r>
    </w:p>
    <w:p w:rsidR="00881301" w:rsidRPr="00CB525E" w:rsidRDefault="00881301" w:rsidP="00881301">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881301" w:rsidRPr="00CB525E" w:rsidRDefault="00881301" w:rsidP="00881301">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881301" w:rsidRPr="00CB525E" w:rsidRDefault="00881301" w:rsidP="00881301">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881301" w:rsidRPr="00CB525E" w:rsidRDefault="00881301" w:rsidP="00881301">
      <w:pPr>
        <w:spacing w:line="276" w:lineRule="auto"/>
        <w:jc w:val="both"/>
        <w:rPr>
          <w:rFonts w:ascii="ITC Avant Garde" w:eastAsia="Times New Roman" w:hAnsi="ITC Avant Garde" w:cs="ITC Avant Garde"/>
          <w:b/>
          <w:color w:val="000000"/>
          <w:sz w:val="20"/>
          <w:szCs w:val="20"/>
        </w:rPr>
      </w:pPr>
      <w:r w:rsidRPr="00881301">
        <w:rPr>
          <w:rFonts w:ascii="ITC Avant Garde" w:hAnsi="ITC Avant Garde"/>
          <w:sz w:val="20"/>
          <w:szCs w:val="20"/>
        </w:rPr>
        <w:t>Cambiar UV por UI o en su caso OI, de acuerdo con el comentario</w:t>
      </w:r>
      <w:r>
        <w:rPr>
          <w:rFonts w:ascii="ITC Avant Garde" w:hAnsi="ITC Avant Garde"/>
          <w:sz w:val="20"/>
          <w:szCs w:val="20"/>
        </w:rPr>
        <w:t xml:space="preserve"> </w:t>
      </w:r>
      <w:r w:rsidRPr="00881301">
        <w:rPr>
          <w:rFonts w:ascii="ITC Avant Garde" w:hAnsi="ITC Avant Garde"/>
          <w:sz w:val="20"/>
          <w:szCs w:val="20"/>
        </w:rPr>
        <w:t>anterior.</w:t>
      </w:r>
    </w:p>
    <w:p w:rsidR="00881301" w:rsidRPr="00CB525E" w:rsidRDefault="00881301" w:rsidP="00881301">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881301" w:rsidRPr="00C5354F" w:rsidRDefault="00881301" w:rsidP="00881301">
      <w:pPr>
        <w:spacing w:line="276" w:lineRule="auto"/>
        <w:jc w:val="both"/>
        <w:rPr>
          <w:rFonts w:ascii="ITC Avant Garde" w:hAnsi="ITC Avant Garde"/>
          <w:sz w:val="20"/>
          <w:szCs w:val="20"/>
        </w:rPr>
      </w:pPr>
      <w:r w:rsidRPr="00C5354F">
        <w:rPr>
          <w:rFonts w:ascii="ITC Avant Garde" w:hAnsi="ITC Avant Garde"/>
          <w:sz w:val="20"/>
          <w:szCs w:val="20"/>
        </w:rPr>
        <w:t>No se considera</w:t>
      </w:r>
    </w:p>
    <w:p w:rsidR="00881301" w:rsidRPr="00C5354F" w:rsidRDefault="00881301" w:rsidP="00881301">
      <w:pPr>
        <w:spacing w:line="276" w:lineRule="auto"/>
        <w:jc w:val="both"/>
        <w:rPr>
          <w:rFonts w:ascii="ITC Avant Garde" w:hAnsi="ITC Avant Garde"/>
          <w:sz w:val="20"/>
          <w:szCs w:val="20"/>
        </w:rPr>
      </w:pPr>
      <w:r w:rsidRPr="00C5354F">
        <w:rPr>
          <w:rFonts w:ascii="ITC Avant Garde" w:hAnsi="ITC Avant Garde"/>
          <w:sz w:val="20"/>
          <w:szCs w:val="20"/>
        </w:rPr>
        <w:t>En virtud que el artículo 15, fracción XXVI de la LFTR establece el término “unidades de verificación”, que a la letra dice:</w:t>
      </w:r>
    </w:p>
    <w:p w:rsidR="00881301" w:rsidRPr="003E378D" w:rsidRDefault="00881301" w:rsidP="00881301">
      <w:pPr>
        <w:spacing w:line="276" w:lineRule="auto"/>
        <w:ind w:left="567"/>
        <w:jc w:val="both"/>
        <w:rPr>
          <w:rFonts w:ascii="ITC Avant Garde" w:hAnsi="ITC Avant Garde"/>
          <w:i/>
          <w:sz w:val="20"/>
          <w:szCs w:val="20"/>
        </w:rPr>
      </w:pPr>
      <w:r w:rsidRPr="003E378D">
        <w:rPr>
          <w:rFonts w:ascii="ITC Avant Garde" w:hAnsi="ITC Avant Garde"/>
          <w:i/>
          <w:sz w:val="20"/>
          <w:szCs w:val="20"/>
        </w:rPr>
        <w:t>“</w:t>
      </w:r>
      <w:r w:rsidRPr="003E378D">
        <w:rPr>
          <w:rFonts w:ascii="ITC Avant Garde" w:hAnsi="ITC Avant Garde"/>
          <w:b/>
          <w:i/>
          <w:sz w:val="20"/>
          <w:szCs w:val="20"/>
        </w:rPr>
        <w:t>XXVI.</w:t>
      </w:r>
      <w:r w:rsidRPr="003E378D">
        <w:rPr>
          <w:rFonts w:ascii="ITC Avant Garde" w:hAnsi="ITC Avant Garde"/>
          <w:i/>
          <w:sz w:val="20"/>
          <w:szCs w:val="20"/>
        </w:rPr>
        <w:t xml:space="preserve"> Autorizar a terceros para que emitan certificación de evaluación de la conformidad y acreditar peritos y unidades de verificación en materia de telecomunicaciones y radiodifusión;”</w:t>
      </w:r>
    </w:p>
    <w:p w:rsidR="00881301" w:rsidRPr="00C5354F" w:rsidRDefault="00881301" w:rsidP="00881301">
      <w:pPr>
        <w:spacing w:line="276" w:lineRule="auto"/>
        <w:jc w:val="both"/>
        <w:rPr>
          <w:rFonts w:ascii="ITC Avant Garde" w:hAnsi="ITC Avant Garde"/>
          <w:sz w:val="20"/>
          <w:szCs w:val="20"/>
        </w:rPr>
      </w:pPr>
      <w:r w:rsidRPr="00C5354F">
        <w:rPr>
          <w:rFonts w:ascii="ITC Avant Garde" w:hAnsi="ITC Avant Garde"/>
          <w:sz w:val="20"/>
          <w:szCs w:val="20"/>
        </w:rPr>
        <w:lastRenderedPageBreak/>
        <w:t>En el mismo sentido, el “ACUERDO mediante el cual el Pleno del Instituto Federal de Telecomunicaciones expide los Lineamientos para la Acreditación y Autorización de Unidades de Verificación.”, publicado en el DOF el 6/02/2020; en su lineamiento Cuarto, fracción XIX, establece lo siguiente:</w:t>
      </w:r>
    </w:p>
    <w:p w:rsidR="00881301" w:rsidRPr="003E378D" w:rsidRDefault="00881301" w:rsidP="00881301">
      <w:pPr>
        <w:spacing w:line="276" w:lineRule="auto"/>
        <w:ind w:left="567"/>
        <w:jc w:val="both"/>
        <w:rPr>
          <w:rFonts w:ascii="ITC Avant Garde" w:hAnsi="ITC Avant Garde"/>
          <w:i/>
          <w:sz w:val="20"/>
          <w:szCs w:val="20"/>
        </w:rPr>
      </w:pPr>
      <w:r w:rsidRPr="003E378D">
        <w:rPr>
          <w:rFonts w:ascii="ITC Avant Garde" w:hAnsi="ITC Avant Garde"/>
          <w:i/>
          <w:sz w:val="20"/>
          <w:szCs w:val="20"/>
        </w:rPr>
        <w:t>“</w:t>
      </w:r>
      <w:r w:rsidRPr="003E378D">
        <w:rPr>
          <w:rFonts w:ascii="ITC Avant Garde" w:hAnsi="ITC Avant Garde"/>
          <w:b/>
          <w:i/>
          <w:sz w:val="20"/>
          <w:szCs w:val="20"/>
        </w:rPr>
        <w:t>Unidad de Verificación (UV):</w:t>
      </w:r>
      <w:r w:rsidRPr="003E378D">
        <w:rPr>
          <w:rFonts w:ascii="ITC Avant Garde" w:hAnsi="ITC Avant Garde"/>
          <w:i/>
          <w:sz w:val="20"/>
          <w:szCs w:val="20"/>
        </w:rPr>
        <w:t xml:space="preserve"> Organismo de Evaluación de la Conformidad de tercera parte acreditada y autorizada, es una persona moral formalmente constituida conforme a la legislación mexicana y con domicilio en los Estados Unidos Mexicanos de acuerdo con las disposiciones legales aplicables, para dictaminación o desarrollar tareas de inspección establecidas en las Disposiciones Técnicas, y que está acreditado respecto de la Norma ISO/IEC 17020: "Evaluación de la conformidad - Requisitos para el funcionamiento de diferentes tipos de unidades (organismos) que realizan la verificación (inspección)";”.</w:t>
      </w:r>
    </w:p>
    <w:p w:rsidR="00881301" w:rsidRDefault="00881301" w:rsidP="00EB592C">
      <w:pPr>
        <w:pStyle w:val="Textocomentario"/>
        <w:spacing w:line="276" w:lineRule="auto"/>
        <w:jc w:val="both"/>
        <w:rPr>
          <w:rFonts w:ascii="ITC Avant Garde" w:eastAsia="Times New Roman" w:hAnsi="ITC Avant Garde" w:cs="ITC Avant Garde"/>
          <w:color w:val="000000"/>
        </w:rPr>
      </w:pPr>
    </w:p>
    <w:p w:rsidR="00881301" w:rsidRPr="00CB525E" w:rsidRDefault="00881301" w:rsidP="0088130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Lineamiento </w:t>
      </w:r>
      <w:r w:rsidR="0033050B">
        <w:rPr>
          <w:rFonts w:ascii="ITC Avant Garde" w:hAnsi="ITC Avant Garde" w:cs="ITC Avant Garde"/>
          <w:b/>
          <w:sz w:val="20"/>
          <w:szCs w:val="20"/>
        </w:rPr>
        <w:t>Sexto</w:t>
      </w:r>
      <w:r w:rsidRPr="00CB525E">
        <w:rPr>
          <w:rFonts w:ascii="ITC Avant Garde" w:hAnsi="ITC Avant Garde" w:cs="ITC Avant Garde"/>
          <w:b/>
          <w:sz w:val="20"/>
          <w:szCs w:val="20"/>
        </w:rPr>
        <w:t>.</w:t>
      </w:r>
    </w:p>
    <w:p w:rsidR="00881301" w:rsidRPr="00CB525E" w:rsidRDefault="00881301" w:rsidP="00881301">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881301" w:rsidRPr="00CB525E" w:rsidRDefault="00881301" w:rsidP="00881301">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881301" w:rsidRPr="00CB525E" w:rsidRDefault="00881301" w:rsidP="00881301">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881301" w:rsidRPr="00CB525E" w:rsidRDefault="0033050B" w:rsidP="00881301">
      <w:pPr>
        <w:spacing w:line="276" w:lineRule="auto"/>
        <w:jc w:val="both"/>
        <w:rPr>
          <w:rFonts w:ascii="ITC Avant Garde" w:eastAsia="Times New Roman" w:hAnsi="ITC Avant Garde" w:cs="ITC Avant Garde"/>
          <w:b/>
          <w:color w:val="000000"/>
          <w:sz w:val="20"/>
          <w:szCs w:val="20"/>
        </w:rPr>
      </w:pPr>
      <w:r w:rsidRPr="0033050B">
        <w:rPr>
          <w:rFonts w:ascii="ITC Avant Garde" w:hAnsi="ITC Avant Garde"/>
          <w:sz w:val="20"/>
          <w:szCs w:val="20"/>
        </w:rPr>
        <w:t>Corregir palabra Aacreditación</w:t>
      </w:r>
      <w:r w:rsidR="00881301" w:rsidRPr="00881301">
        <w:rPr>
          <w:rFonts w:ascii="ITC Avant Garde" w:hAnsi="ITC Avant Garde"/>
          <w:sz w:val="20"/>
          <w:szCs w:val="20"/>
        </w:rPr>
        <w:t>.</w:t>
      </w:r>
    </w:p>
    <w:p w:rsidR="00881301" w:rsidRDefault="00881301" w:rsidP="00881301">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881301" w:rsidRPr="00881301" w:rsidRDefault="00881301" w:rsidP="00881301">
      <w:pPr>
        <w:spacing w:line="276" w:lineRule="auto"/>
        <w:jc w:val="both"/>
        <w:rPr>
          <w:rFonts w:ascii="ITC Avant Garde" w:eastAsia="Times New Roman" w:hAnsi="ITC Avant Garde" w:cs="ITC Avant Garde"/>
          <w:color w:val="000000"/>
          <w:sz w:val="20"/>
          <w:szCs w:val="20"/>
        </w:rPr>
      </w:pPr>
      <w:r w:rsidRPr="00881301">
        <w:rPr>
          <w:rFonts w:ascii="ITC Avant Garde" w:eastAsia="Times New Roman" w:hAnsi="ITC Avant Garde" w:cs="ITC Avant Garde"/>
          <w:color w:val="000000"/>
          <w:sz w:val="20"/>
          <w:szCs w:val="20"/>
        </w:rPr>
        <w:t>Se considera</w:t>
      </w:r>
    </w:p>
    <w:p w:rsidR="00881301" w:rsidRDefault="00881301" w:rsidP="00EB592C">
      <w:pPr>
        <w:pStyle w:val="Textocomentario"/>
        <w:spacing w:line="276" w:lineRule="auto"/>
        <w:jc w:val="both"/>
        <w:rPr>
          <w:rFonts w:ascii="ITC Avant Garde" w:eastAsia="Times New Roman" w:hAnsi="ITC Avant Garde" w:cs="ITC Avant Garde"/>
          <w:color w:val="000000"/>
        </w:rPr>
      </w:pPr>
    </w:p>
    <w:p w:rsidR="0033050B" w:rsidRPr="00CB525E" w:rsidRDefault="0033050B" w:rsidP="0033050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Vigésimo</w:t>
      </w:r>
      <w:r w:rsidRPr="00CB525E">
        <w:rPr>
          <w:rFonts w:ascii="ITC Avant Garde" w:hAnsi="ITC Avant Garde" w:cs="ITC Avant Garde"/>
          <w:b/>
          <w:sz w:val="20"/>
          <w:szCs w:val="20"/>
        </w:rPr>
        <w:t>.</w:t>
      </w:r>
    </w:p>
    <w:p w:rsidR="0033050B" w:rsidRPr="00CB525E" w:rsidRDefault="0033050B" w:rsidP="0033050B">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33050B" w:rsidRPr="00CB525E" w:rsidRDefault="0033050B" w:rsidP="0033050B">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33050B" w:rsidRPr="00CB525E" w:rsidRDefault="0033050B" w:rsidP="0033050B">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33050B" w:rsidRPr="00CB525E" w:rsidRDefault="0033050B" w:rsidP="0033050B">
      <w:pPr>
        <w:spacing w:line="276" w:lineRule="auto"/>
        <w:jc w:val="both"/>
        <w:rPr>
          <w:rFonts w:ascii="ITC Avant Garde" w:eastAsia="Times New Roman" w:hAnsi="ITC Avant Garde" w:cs="ITC Avant Garde"/>
          <w:b/>
          <w:color w:val="000000"/>
          <w:sz w:val="20"/>
          <w:szCs w:val="20"/>
        </w:rPr>
      </w:pPr>
      <w:r w:rsidRPr="00881301">
        <w:rPr>
          <w:rFonts w:ascii="ITC Avant Garde" w:hAnsi="ITC Avant Garde"/>
          <w:sz w:val="20"/>
          <w:szCs w:val="20"/>
        </w:rPr>
        <w:t>Agregar un inciso c), en el que se establezca que se debe realizar la</w:t>
      </w:r>
      <w:r>
        <w:rPr>
          <w:rFonts w:ascii="ITC Avant Garde" w:hAnsi="ITC Avant Garde"/>
          <w:sz w:val="20"/>
          <w:szCs w:val="20"/>
        </w:rPr>
        <w:t xml:space="preserve"> </w:t>
      </w:r>
      <w:r w:rsidRPr="00881301">
        <w:rPr>
          <w:rFonts w:ascii="ITC Avant Garde" w:hAnsi="ITC Avant Garde"/>
          <w:sz w:val="20"/>
          <w:szCs w:val="20"/>
        </w:rPr>
        <w:t>invitación a participar en el equipo de evaluación al Centro Nacional de</w:t>
      </w:r>
      <w:r>
        <w:rPr>
          <w:rFonts w:ascii="ITC Avant Garde" w:hAnsi="ITC Avant Garde"/>
          <w:sz w:val="20"/>
          <w:szCs w:val="20"/>
        </w:rPr>
        <w:t xml:space="preserve"> </w:t>
      </w:r>
      <w:r w:rsidRPr="00881301">
        <w:rPr>
          <w:rFonts w:ascii="ITC Avant Garde" w:hAnsi="ITC Avant Garde"/>
          <w:sz w:val="20"/>
          <w:szCs w:val="20"/>
        </w:rPr>
        <w:t>Metrología (CENAM). En su caso el CENAM decidirá su participación.</w:t>
      </w:r>
    </w:p>
    <w:p w:rsidR="0033050B" w:rsidRDefault="0033050B" w:rsidP="0033050B">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33050B" w:rsidRPr="00881301" w:rsidRDefault="0033050B" w:rsidP="0033050B">
      <w:pPr>
        <w:spacing w:line="276" w:lineRule="auto"/>
        <w:jc w:val="both"/>
        <w:rPr>
          <w:rFonts w:ascii="ITC Avant Garde" w:eastAsia="Times New Roman" w:hAnsi="ITC Avant Garde" w:cs="ITC Avant Garde"/>
          <w:color w:val="000000"/>
          <w:sz w:val="20"/>
          <w:szCs w:val="20"/>
        </w:rPr>
      </w:pPr>
      <w:r w:rsidRPr="00881301">
        <w:rPr>
          <w:rFonts w:ascii="ITC Avant Garde" w:eastAsia="Times New Roman" w:hAnsi="ITC Avant Garde" w:cs="ITC Avant Garde"/>
          <w:color w:val="000000"/>
          <w:sz w:val="20"/>
          <w:szCs w:val="20"/>
        </w:rPr>
        <w:t>Se considera</w:t>
      </w:r>
    </w:p>
    <w:p w:rsidR="0033050B" w:rsidRPr="00881301" w:rsidRDefault="0033050B" w:rsidP="0033050B">
      <w:pPr>
        <w:spacing w:line="276" w:lineRule="auto"/>
        <w:jc w:val="both"/>
        <w:rPr>
          <w:rFonts w:ascii="ITC Avant Garde" w:eastAsia="Times New Roman" w:hAnsi="ITC Avant Garde" w:cs="ITC Avant Garde"/>
          <w:color w:val="000000"/>
          <w:sz w:val="20"/>
          <w:szCs w:val="20"/>
        </w:rPr>
      </w:pPr>
      <w:r w:rsidRPr="00881301">
        <w:rPr>
          <w:rFonts w:ascii="ITC Avant Garde" w:eastAsia="Times New Roman" w:hAnsi="ITC Avant Garde" w:cs="ITC Avant Garde"/>
          <w:color w:val="000000"/>
          <w:sz w:val="20"/>
          <w:szCs w:val="20"/>
        </w:rPr>
        <w:t>Se adiciona inciso c, tomando como referencia el lineamiento Sexto del “ACUERDO mediante el cual el Pleno del Instituto Federal de Telecomunicaciones expide los Lineamientos para la acreditación, autorización, designación y reconocimiento de laboratorios de prueba.”, publicado en el DOF el 2016/03/07.</w:t>
      </w:r>
    </w:p>
    <w:p w:rsidR="0033050B" w:rsidRDefault="0033050B" w:rsidP="00EB592C">
      <w:pPr>
        <w:pStyle w:val="Textocomentario"/>
        <w:spacing w:line="276" w:lineRule="auto"/>
        <w:jc w:val="both"/>
        <w:rPr>
          <w:rFonts w:ascii="ITC Avant Garde" w:eastAsia="Times New Roman" w:hAnsi="ITC Avant Garde" w:cs="ITC Avant Garde"/>
          <w:color w:val="000000"/>
        </w:rPr>
      </w:pPr>
    </w:p>
    <w:p w:rsidR="0033050B" w:rsidRPr="00CB525E" w:rsidRDefault="0033050B" w:rsidP="0033050B">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lastRenderedPageBreak/>
        <w:t>Lineamiento Vigésimo Tercero</w:t>
      </w:r>
      <w:r w:rsidRPr="00CB525E">
        <w:rPr>
          <w:rFonts w:ascii="ITC Avant Garde" w:hAnsi="ITC Avant Garde" w:cs="ITC Avant Garde"/>
          <w:b/>
          <w:sz w:val="20"/>
          <w:szCs w:val="20"/>
        </w:rPr>
        <w:t>.</w:t>
      </w:r>
    </w:p>
    <w:p w:rsidR="0033050B" w:rsidRPr="00CB525E" w:rsidRDefault="0033050B" w:rsidP="0033050B">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33050B" w:rsidRPr="00CB525E" w:rsidRDefault="0033050B" w:rsidP="0033050B">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33050B" w:rsidRPr="00CB525E" w:rsidRDefault="0033050B" w:rsidP="0033050B">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33050B" w:rsidRPr="00CB525E" w:rsidRDefault="0033050B" w:rsidP="0033050B">
      <w:pPr>
        <w:spacing w:line="276" w:lineRule="auto"/>
        <w:jc w:val="both"/>
        <w:rPr>
          <w:rFonts w:ascii="ITC Avant Garde" w:eastAsia="Times New Roman" w:hAnsi="ITC Avant Garde" w:cs="ITC Avant Garde"/>
          <w:b/>
          <w:color w:val="000000"/>
          <w:sz w:val="20"/>
          <w:szCs w:val="20"/>
        </w:rPr>
      </w:pPr>
      <w:r w:rsidRPr="0033050B">
        <w:rPr>
          <w:rFonts w:ascii="ITC Avant Garde" w:hAnsi="ITC Avant Garde"/>
          <w:sz w:val="20"/>
          <w:szCs w:val="20"/>
        </w:rPr>
        <w:t>Para la toma de decisión de la acreditación, no menciona un</w:t>
      </w:r>
      <w:r>
        <w:rPr>
          <w:rFonts w:ascii="ITC Avant Garde" w:hAnsi="ITC Avant Garde"/>
          <w:sz w:val="20"/>
          <w:szCs w:val="20"/>
        </w:rPr>
        <w:t xml:space="preserve"> </w:t>
      </w:r>
      <w:r w:rsidRPr="0033050B">
        <w:rPr>
          <w:rFonts w:ascii="ITC Avant Garde" w:hAnsi="ITC Avant Garde"/>
          <w:sz w:val="20"/>
          <w:szCs w:val="20"/>
        </w:rPr>
        <w:t>requerimiento de la norma ISO/IEC 17011:2017, referente a que la</w:t>
      </w:r>
      <w:r>
        <w:rPr>
          <w:rFonts w:ascii="ITC Avant Garde" w:hAnsi="ITC Avant Garde"/>
          <w:sz w:val="20"/>
          <w:szCs w:val="20"/>
        </w:rPr>
        <w:t xml:space="preserve"> </w:t>
      </w:r>
      <w:r w:rsidRPr="0033050B">
        <w:rPr>
          <w:rFonts w:ascii="ITC Avant Garde" w:hAnsi="ITC Avant Garde"/>
          <w:sz w:val="20"/>
          <w:szCs w:val="20"/>
        </w:rPr>
        <w:t>persona que tome la decisión debe ser diferente a las personas que</w:t>
      </w:r>
      <w:r>
        <w:rPr>
          <w:rFonts w:ascii="ITC Avant Garde" w:hAnsi="ITC Avant Garde"/>
          <w:sz w:val="20"/>
          <w:szCs w:val="20"/>
        </w:rPr>
        <w:t xml:space="preserve"> </w:t>
      </w:r>
      <w:r w:rsidRPr="0033050B">
        <w:rPr>
          <w:rFonts w:ascii="ITC Avant Garde" w:hAnsi="ITC Avant Garde"/>
          <w:sz w:val="20"/>
          <w:szCs w:val="20"/>
        </w:rPr>
        <w:t>realizaron la evaluación en nombre del Instituto.</w:t>
      </w:r>
    </w:p>
    <w:p w:rsidR="0033050B" w:rsidRDefault="0033050B" w:rsidP="0033050B">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D47309" w:rsidRPr="00D47309" w:rsidRDefault="00D47309" w:rsidP="00D47309">
      <w:pPr>
        <w:spacing w:line="276" w:lineRule="auto"/>
        <w:jc w:val="both"/>
        <w:rPr>
          <w:rFonts w:ascii="ITC Avant Garde" w:eastAsia="Times New Roman" w:hAnsi="ITC Avant Garde" w:cs="ITC Avant Garde"/>
          <w:color w:val="000000"/>
          <w:sz w:val="20"/>
          <w:szCs w:val="20"/>
        </w:rPr>
      </w:pPr>
      <w:r w:rsidRPr="00D47309">
        <w:rPr>
          <w:rFonts w:ascii="ITC Avant Garde" w:eastAsia="Times New Roman" w:hAnsi="ITC Avant Garde" w:cs="ITC Avant Garde"/>
          <w:color w:val="000000"/>
          <w:sz w:val="20"/>
          <w:szCs w:val="20"/>
        </w:rPr>
        <w:t>Se considera</w:t>
      </w:r>
    </w:p>
    <w:p w:rsidR="0033050B" w:rsidRPr="00881301" w:rsidRDefault="00D47309" w:rsidP="00D47309">
      <w:pPr>
        <w:spacing w:line="276" w:lineRule="auto"/>
        <w:jc w:val="both"/>
        <w:rPr>
          <w:rFonts w:ascii="ITC Avant Garde" w:eastAsia="Times New Roman" w:hAnsi="ITC Avant Garde" w:cs="ITC Avant Garde"/>
          <w:color w:val="000000"/>
          <w:sz w:val="20"/>
          <w:szCs w:val="20"/>
        </w:rPr>
      </w:pPr>
      <w:r w:rsidRPr="00D47309">
        <w:rPr>
          <w:rFonts w:ascii="ITC Avant Garde" w:eastAsia="Times New Roman" w:hAnsi="ITC Avant Garde" w:cs="ITC Avant Garde"/>
          <w:color w:val="000000"/>
          <w:sz w:val="20"/>
          <w:szCs w:val="20"/>
        </w:rPr>
        <w:t>Se adiciona propuesta, tomando como referencia, lo establecido en 7.7.2 de la ISO/IEC</w:t>
      </w:r>
      <w:r>
        <w:rPr>
          <w:rFonts w:ascii="ITC Avant Garde" w:eastAsia="Times New Roman" w:hAnsi="ITC Avant Garde" w:cs="ITC Avant Garde"/>
          <w:color w:val="000000"/>
          <w:sz w:val="20"/>
          <w:szCs w:val="20"/>
        </w:rPr>
        <w:t> </w:t>
      </w:r>
      <w:r w:rsidRPr="00D47309">
        <w:rPr>
          <w:rFonts w:ascii="ITC Avant Garde" w:eastAsia="Times New Roman" w:hAnsi="ITC Avant Garde" w:cs="ITC Avant Garde"/>
          <w:color w:val="000000"/>
          <w:sz w:val="20"/>
          <w:szCs w:val="20"/>
        </w:rPr>
        <w:t>17011: 2017.</w:t>
      </w:r>
    </w:p>
    <w:p w:rsidR="0033050B" w:rsidRDefault="0033050B" w:rsidP="00EB592C">
      <w:pPr>
        <w:pStyle w:val="Textocomentario"/>
        <w:spacing w:line="276" w:lineRule="auto"/>
        <w:jc w:val="both"/>
        <w:rPr>
          <w:rFonts w:ascii="ITC Avant Garde" w:eastAsia="Times New Roman" w:hAnsi="ITC Avant Garde" w:cs="ITC Avant Garde"/>
          <w:color w:val="000000"/>
        </w:rPr>
      </w:pPr>
    </w:p>
    <w:p w:rsidR="00D47309" w:rsidRPr="00D47309" w:rsidRDefault="00D47309" w:rsidP="00D47309">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Lineamiento Vigésimo </w:t>
      </w:r>
      <w:r w:rsidRPr="00D47309">
        <w:rPr>
          <w:rFonts w:ascii="ITC Avant Garde" w:hAnsi="ITC Avant Garde" w:cs="ITC Avant Garde"/>
          <w:b/>
          <w:sz w:val="20"/>
          <w:szCs w:val="20"/>
        </w:rPr>
        <w:t>Cuarto fracción</w:t>
      </w:r>
      <w:r>
        <w:rPr>
          <w:rFonts w:ascii="ITC Avant Garde" w:hAnsi="ITC Avant Garde" w:cs="ITC Avant Garde"/>
          <w:b/>
          <w:sz w:val="20"/>
          <w:szCs w:val="20"/>
        </w:rPr>
        <w:t xml:space="preserve"> </w:t>
      </w:r>
      <w:r w:rsidRPr="00D47309">
        <w:rPr>
          <w:rFonts w:ascii="ITC Avant Garde" w:hAnsi="ITC Avant Garde" w:cs="ITC Avant Garde"/>
          <w:b/>
          <w:sz w:val="20"/>
          <w:szCs w:val="20"/>
        </w:rPr>
        <w:t>III, subfracciones a. 3, b. 4 y c. 4, así como vigésimo quinto fracción III.</w:t>
      </w:r>
    </w:p>
    <w:p w:rsidR="00D47309" w:rsidRPr="00CB525E" w:rsidRDefault="00D47309" w:rsidP="00D47309">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D47309" w:rsidRPr="00CB525E" w:rsidRDefault="00D47309" w:rsidP="00D47309">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D47309" w:rsidRPr="00CB525E" w:rsidRDefault="00D47309" w:rsidP="00D47309">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D47309" w:rsidRPr="00D47309" w:rsidRDefault="00D47309" w:rsidP="00D47309">
      <w:pPr>
        <w:spacing w:line="276" w:lineRule="auto"/>
        <w:jc w:val="both"/>
        <w:rPr>
          <w:rFonts w:ascii="ITC Avant Garde" w:hAnsi="ITC Avant Garde"/>
          <w:sz w:val="20"/>
          <w:szCs w:val="20"/>
        </w:rPr>
      </w:pPr>
      <w:r w:rsidRPr="00D47309">
        <w:rPr>
          <w:rFonts w:ascii="ITC Avant Garde" w:hAnsi="ITC Avant Garde"/>
          <w:sz w:val="20"/>
          <w:szCs w:val="20"/>
        </w:rPr>
        <w:t>En el alcance de la acreditación, menciona que se puede otorgar la</w:t>
      </w:r>
      <w:r>
        <w:rPr>
          <w:rFonts w:ascii="ITC Avant Garde" w:hAnsi="ITC Avant Garde"/>
          <w:sz w:val="20"/>
          <w:szCs w:val="20"/>
        </w:rPr>
        <w:t xml:space="preserve"> </w:t>
      </w:r>
      <w:r w:rsidRPr="00D47309">
        <w:rPr>
          <w:rFonts w:ascii="ITC Avant Garde" w:hAnsi="ITC Avant Garde"/>
          <w:sz w:val="20"/>
          <w:szCs w:val="20"/>
        </w:rPr>
        <w:t>acreditación en Normas Oficiales Mexicanas complementarias que</w:t>
      </w:r>
      <w:r>
        <w:rPr>
          <w:rFonts w:ascii="ITC Avant Garde" w:hAnsi="ITC Avant Garde"/>
          <w:sz w:val="20"/>
          <w:szCs w:val="20"/>
        </w:rPr>
        <w:t xml:space="preserve"> </w:t>
      </w:r>
      <w:r w:rsidRPr="00D47309">
        <w:rPr>
          <w:rFonts w:ascii="ITC Avant Garde" w:hAnsi="ITC Avant Garde"/>
          <w:sz w:val="20"/>
          <w:szCs w:val="20"/>
        </w:rPr>
        <w:t>hagan referencia a las disposiciones técnicas, para lo cual el Instituto</w:t>
      </w:r>
      <w:r>
        <w:rPr>
          <w:rFonts w:ascii="ITC Avant Garde" w:hAnsi="ITC Avant Garde"/>
          <w:sz w:val="20"/>
          <w:szCs w:val="20"/>
        </w:rPr>
        <w:t xml:space="preserve"> </w:t>
      </w:r>
      <w:r w:rsidRPr="00D47309">
        <w:rPr>
          <w:rFonts w:ascii="ITC Avant Garde" w:hAnsi="ITC Avant Garde"/>
          <w:sz w:val="20"/>
          <w:szCs w:val="20"/>
        </w:rPr>
        <w:t>debería estar reconocido explícitamente por algún medio como Autoridad</w:t>
      </w:r>
      <w:r>
        <w:rPr>
          <w:rFonts w:ascii="ITC Avant Garde" w:hAnsi="ITC Avant Garde"/>
          <w:sz w:val="20"/>
          <w:szCs w:val="20"/>
        </w:rPr>
        <w:t xml:space="preserve"> </w:t>
      </w:r>
      <w:r w:rsidRPr="00D47309">
        <w:rPr>
          <w:rFonts w:ascii="ITC Avant Garde" w:hAnsi="ITC Avant Garde"/>
          <w:sz w:val="20"/>
          <w:szCs w:val="20"/>
        </w:rPr>
        <w:t>Normalizadora para poder realizar la evaluación de la conformidad de</w:t>
      </w:r>
      <w:r>
        <w:rPr>
          <w:rFonts w:ascii="ITC Avant Garde" w:hAnsi="ITC Avant Garde"/>
          <w:sz w:val="20"/>
          <w:szCs w:val="20"/>
        </w:rPr>
        <w:t xml:space="preserve"> </w:t>
      </w:r>
      <w:r w:rsidRPr="00D47309">
        <w:rPr>
          <w:rFonts w:ascii="ITC Avant Garde" w:hAnsi="ITC Avant Garde"/>
          <w:sz w:val="20"/>
          <w:szCs w:val="20"/>
        </w:rPr>
        <w:t>normas oficiales mexicanas.</w:t>
      </w:r>
    </w:p>
    <w:p w:rsidR="00D47309" w:rsidRPr="00D47309" w:rsidRDefault="00D47309" w:rsidP="00D47309">
      <w:pPr>
        <w:spacing w:line="276" w:lineRule="auto"/>
        <w:jc w:val="both"/>
        <w:rPr>
          <w:rFonts w:ascii="ITC Avant Garde" w:hAnsi="ITC Avant Garde"/>
          <w:sz w:val="20"/>
          <w:szCs w:val="20"/>
        </w:rPr>
      </w:pPr>
      <w:r w:rsidRPr="00D47309">
        <w:rPr>
          <w:rFonts w:ascii="ITC Avant Garde" w:hAnsi="ITC Avant Garde"/>
          <w:sz w:val="20"/>
          <w:szCs w:val="20"/>
        </w:rPr>
        <w:t>De conformidad con lo establecido en la Ley de la Infraestructura de la</w:t>
      </w:r>
      <w:r>
        <w:rPr>
          <w:rFonts w:ascii="ITC Avant Garde" w:hAnsi="ITC Avant Garde"/>
          <w:sz w:val="20"/>
          <w:szCs w:val="20"/>
        </w:rPr>
        <w:t xml:space="preserve"> </w:t>
      </w:r>
      <w:r w:rsidRPr="00D47309">
        <w:rPr>
          <w:rFonts w:ascii="ITC Avant Garde" w:hAnsi="ITC Avant Garde"/>
          <w:sz w:val="20"/>
          <w:szCs w:val="20"/>
        </w:rPr>
        <w:t>calidad, la única autoridad normalizadora que puede acreditar en normas</w:t>
      </w:r>
      <w:r>
        <w:rPr>
          <w:rFonts w:ascii="ITC Avant Garde" w:hAnsi="ITC Avant Garde"/>
          <w:sz w:val="20"/>
          <w:szCs w:val="20"/>
        </w:rPr>
        <w:t xml:space="preserve"> </w:t>
      </w:r>
      <w:r w:rsidRPr="00D47309">
        <w:rPr>
          <w:rFonts w:ascii="ITC Avant Garde" w:hAnsi="ITC Avant Garde"/>
          <w:sz w:val="20"/>
          <w:szCs w:val="20"/>
        </w:rPr>
        <w:t>de la Secretaría de Economía es la propia Secretarías, y esto se siempre</w:t>
      </w:r>
      <w:r>
        <w:rPr>
          <w:rFonts w:ascii="ITC Avant Garde" w:hAnsi="ITC Avant Garde"/>
          <w:sz w:val="20"/>
          <w:szCs w:val="20"/>
        </w:rPr>
        <w:t xml:space="preserve"> </w:t>
      </w:r>
      <w:r w:rsidRPr="00D47309">
        <w:rPr>
          <w:rFonts w:ascii="ITC Avant Garde" w:hAnsi="ITC Avant Garde"/>
          <w:sz w:val="20"/>
          <w:szCs w:val="20"/>
        </w:rPr>
        <w:t>y cuando no exista organismos de evaluación de la conformidad privados</w:t>
      </w:r>
      <w:r>
        <w:rPr>
          <w:rFonts w:ascii="ITC Avant Garde" w:hAnsi="ITC Avant Garde"/>
          <w:sz w:val="20"/>
          <w:szCs w:val="20"/>
        </w:rPr>
        <w:t xml:space="preserve"> </w:t>
      </w:r>
      <w:r w:rsidRPr="00D47309">
        <w:rPr>
          <w:rFonts w:ascii="ITC Avant Garde" w:hAnsi="ITC Avant Garde"/>
          <w:sz w:val="20"/>
          <w:szCs w:val="20"/>
        </w:rPr>
        <w:t>acreditados, además de que la Comisión Nacional de la Infraestructura</w:t>
      </w:r>
      <w:r>
        <w:rPr>
          <w:rFonts w:ascii="ITC Avant Garde" w:hAnsi="ITC Avant Garde"/>
          <w:sz w:val="20"/>
          <w:szCs w:val="20"/>
        </w:rPr>
        <w:t xml:space="preserve"> </w:t>
      </w:r>
      <w:r w:rsidRPr="00D47309">
        <w:rPr>
          <w:rFonts w:ascii="ITC Avant Garde" w:hAnsi="ITC Avant Garde"/>
          <w:sz w:val="20"/>
          <w:szCs w:val="20"/>
        </w:rPr>
        <w:t>de la Calidad se lo autorice.</w:t>
      </w:r>
    </w:p>
    <w:p w:rsidR="00D47309" w:rsidRPr="00D47309" w:rsidRDefault="00D47309" w:rsidP="00D47309">
      <w:pPr>
        <w:spacing w:line="276" w:lineRule="auto"/>
        <w:jc w:val="both"/>
        <w:rPr>
          <w:rFonts w:ascii="ITC Avant Garde" w:hAnsi="ITC Avant Garde"/>
          <w:sz w:val="20"/>
          <w:szCs w:val="20"/>
        </w:rPr>
      </w:pPr>
      <w:r w:rsidRPr="00D47309">
        <w:rPr>
          <w:rFonts w:ascii="ITC Avant Garde" w:hAnsi="ITC Avant Garde"/>
          <w:sz w:val="20"/>
          <w:szCs w:val="20"/>
        </w:rPr>
        <w:t>Este artículo puede generar confusiones en el mercado sobre la</w:t>
      </w:r>
      <w:r w:rsidR="000B76EE">
        <w:rPr>
          <w:rFonts w:ascii="ITC Avant Garde" w:hAnsi="ITC Avant Garde"/>
          <w:sz w:val="20"/>
          <w:szCs w:val="20"/>
        </w:rPr>
        <w:t xml:space="preserve"> </w:t>
      </w:r>
      <w:r w:rsidRPr="00D47309">
        <w:rPr>
          <w:rFonts w:ascii="ITC Avant Garde" w:hAnsi="ITC Avant Garde"/>
          <w:sz w:val="20"/>
          <w:szCs w:val="20"/>
        </w:rPr>
        <w:t>autoridad que tiene el Instituto para acreditar en normas oficiales</w:t>
      </w:r>
      <w:r w:rsidR="000B76EE">
        <w:rPr>
          <w:rFonts w:ascii="ITC Avant Garde" w:hAnsi="ITC Avant Garde"/>
          <w:sz w:val="20"/>
          <w:szCs w:val="20"/>
        </w:rPr>
        <w:t xml:space="preserve"> </w:t>
      </w:r>
      <w:r w:rsidRPr="00D47309">
        <w:rPr>
          <w:rFonts w:ascii="ITC Avant Garde" w:hAnsi="ITC Avant Garde"/>
          <w:sz w:val="20"/>
          <w:szCs w:val="20"/>
        </w:rPr>
        <w:t>mexicanas que hagan referencia a las Especificaciones Técnicas.</w:t>
      </w:r>
    </w:p>
    <w:p w:rsidR="00D47309" w:rsidRPr="00D47309" w:rsidRDefault="00D47309" w:rsidP="00D47309">
      <w:pPr>
        <w:spacing w:line="276" w:lineRule="auto"/>
        <w:jc w:val="both"/>
        <w:rPr>
          <w:rFonts w:ascii="ITC Avant Garde" w:hAnsi="ITC Avant Garde"/>
          <w:sz w:val="20"/>
          <w:szCs w:val="20"/>
        </w:rPr>
      </w:pPr>
      <w:r w:rsidRPr="00D47309">
        <w:rPr>
          <w:rFonts w:ascii="ITC Avant Garde" w:hAnsi="ITC Avant Garde"/>
          <w:sz w:val="20"/>
          <w:szCs w:val="20"/>
        </w:rPr>
        <w:t>Adicionalmente, en el caso de que el Instituto estuviera reconocido como</w:t>
      </w:r>
      <w:r w:rsidR="000B76EE">
        <w:rPr>
          <w:rFonts w:ascii="ITC Avant Garde" w:hAnsi="ITC Avant Garde"/>
          <w:sz w:val="20"/>
          <w:szCs w:val="20"/>
        </w:rPr>
        <w:t xml:space="preserve"> </w:t>
      </w:r>
      <w:r w:rsidRPr="00D47309">
        <w:rPr>
          <w:rFonts w:ascii="ITC Avant Garde" w:hAnsi="ITC Avant Garde"/>
          <w:sz w:val="20"/>
          <w:szCs w:val="20"/>
        </w:rPr>
        <w:t>una Autoridad Normalizadora en términos de la Ley de la Infraestructura</w:t>
      </w:r>
      <w:r w:rsidR="000B76EE">
        <w:rPr>
          <w:rFonts w:ascii="ITC Avant Garde" w:hAnsi="ITC Avant Garde"/>
          <w:sz w:val="20"/>
          <w:szCs w:val="20"/>
        </w:rPr>
        <w:t xml:space="preserve"> </w:t>
      </w:r>
      <w:r w:rsidRPr="00D47309">
        <w:rPr>
          <w:rFonts w:ascii="ITC Avant Garde" w:hAnsi="ITC Avant Garde"/>
          <w:sz w:val="20"/>
          <w:szCs w:val="20"/>
        </w:rPr>
        <w:t>de la Calidad, entonces esto llevaría a la conjetura de que las</w:t>
      </w:r>
      <w:r w:rsidR="000B76EE">
        <w:rPr>
          <w:rFonts w:ascii="ITC Avant Garde" w:hAnsi="ITC Avant Garde"/>
          <w:sz w:val="20"/>
          <w:szCs w:val="20"/>
        </w:rPr>
        <w:t xml:space="preserve"> </w:t>
      </w:r>
      <w:r w:rsidRPr="00D47309">
        <w:rPr>
          <w:rFonts w:ascii="ITC Avant Garde" w:hAnsi="ITC Avant Garde"/>
          <w:sz w:val="20"/>
          <w:szCs w:val="20"/>
        </w:rPr>
        <w:t>Especificaciones Técnicas deberían ser publicadas como Normas</w:t>
      </w:r>
      <w:r w:rsidR="000B76EE">
        <w:rPr>
          <w:rFonts w:ascii="ITC Avant Garde" w:hAnsi="ITC Avant Garde"/>
          <w:sz w:val="20"/>
          <w:szCs w:val="20"/>
        </w:rPr>
        <w:t xml:space="preserve"> </w:t>
      </w:r>
      <w:r w:rsidRPr="00D47309">
        <w:rPr>
          <w:rFonts w:ascii="ITC Avant Garde" w:hAnsi="ITC Avant Garde"/>
          <w:sz w:val="20"/>
          <w:szCs w:val="20"/>
        </w:rPr>
        <w:t>Oficiales Mexicanas y seguir el proceso de Normalización establecido en</w:t>
      </w:r>
      <w:r w:rsidR="000B76EE">
        <w:rPr>
          <w:rFonts w:ascii="ITC Avant Garde" w:hAnsi="ITC Avant Garde"/>
          <w:sz w:val="20"/>
          <w:szCs w:val="20"/>
        </w:rPr>
        <w:t xml:space="preserve"> </w:t>
      </w:r>
      <w:r w:rsidRPr="00D47309">
        <w:rPr>
          <w:rFonts w:ascii="ITC Avant Garde" w:hAnsi="ITC Avant Garde"/>
          <w:sz w:val="20"/>
          <w:szCs w:val="20"/>
        </w:rPr>
        <w:t>esta Ley.</w:t>
      </w:r>
    </w:p>
    <w:p w:rsidR="00D47309" w:rsidRPr="00D47309" w:rsidRDefault="00D47309" w:rsidP="00D47309">
      <w:pPr>
        <w:spacing w:line="276" w:lineRule="auto"/>
        <w:jc w:val="both"/>
        <w:rPr>
          <w:rFonts w:ascii="ITC Avant Garde" w:hAnsi="ITC Avant Garde"/>
          <w:sz w:val="20"/>
          <w:szCs w:val="20"/>
        </w:rPr>
      </w:pPr>
      <w:r w:rsidRPr="00D47309">
        <w:rPr>
          <w:rFonts w:ascii="ITC Avant Garde" w:hAnsi="ITC Avant Garde"/>
          <w:sz w:val="20"/>
          <w:szCs w:val="20"/>
        </w:rPr>
        <w:t>Se cita a la Ley de Infraestructura de la Calidad en su artículo 16 fracción</w:t>
      </w:r>
      <w:r w:rsidR="000B76EE">
        <w:rPr>
          <w:rFonts w:ascii="ITC Avant Garde" w:hAnsi="ITC Avant Garde"/>
          <w:sz w:val="20"/>
          <w:szCs w:val="20"/>
        </w:rPr>
        <w:t xml:space="preserve"> </w:t>
      </w:r>
      <w:r w:rsidRPr="00D47309">
        <w:rPr>
          <w:rFonts w:ascii="ITC Avant Garde" w:hAnsi="ITC Avant Garde"/>
          <w:sz w:val="20"/>
          <w:szCs w:val="20"/>
        </w:rPr>
        <w:t>II, para pronta referencia, con énfasis resaltado</w:t>
      </w:r>
    </w:p>
    <w:p w:rsidR="00D47309" w:rsidRPr="00CB525E" w:rsidRDefault="00D47309" w:rsidP="000B76EE">
      <w:pPr>
        <w:spacing w:line="276" w:lineRule="auto"/>
        <w:jc w:val="both"/>
        <w:rPr>
          <w:rFonts w:ascii="ITC Avant Garde" w:eastAsia="Times New Roman" w:hAnsi="ITC Avant Garde" w:cs="ITC Avant Garde"/>
          <w:b/>
          <w:color w:val="000000"/>
          <w:sz w:val="20"/>
          <w:szCs w:val="20"/>
        </w:rPr>
      </w:pPr>
      <w:r w:rsidRPr="00D47309">
        <w:rPr>
          <w:rFonts w:ascii="ITC Avant Garde" w:hAnsi="ITC Avant Garde"/>
          <w:sz w:val="20"/>
          <w:szCs w:val="20"/>
        </w:rPr>
        <w:lastRenderedPageBreak/>
        <w:t>“ II. Las personas que presidan la Comisión Reguladora de Energía,</w:t>
      </w:r>
      <w:r w:rsidR="000B76EE">
        <w:rPr>
          <w:rFonts w:ascii="ITC Avant Garde" w:hAnsi="ITC Avant Garde"/>
          <w:sz w:val="20"/>
          <w:szCs w:val="20"/>
        </w:rPr>
        <w:t xml:space="preserve"> </w:t>
      </w:r>
      <w:r w:rsidRPr="00D47309">
        <w:rPr>
          <w:rFonts w:ascii="ITC Avant Garde" w:hAnsi="ITC Avant Garde"/>
          <w:sz w:val="20"/>
          <w:szCs w:val="20"/>
        </w:rPr>
        <w:t>la Comisión Nacional de Hidrocarburos, la Agencia Nacional de</w:t>
      </w:r>
      <w:r w:rsidR="000B76EE">
        <w:rPr>
          <w:rFonts w:ascii="ITC Avant Garde" w:hAnsi="ITC Avant Garde"/>
          <w:sz w:val="20"/>
          <w:szCs w:val="20"/>
        </w:rPr>
        <w:t xml:space="preserve"> </w:t>
      </w:r>
      <w:r w:rsidRPr="00D47309">
        <w:rPr>
          <w:rFonts w:ascii="ITC Avant Garde" w:hAnsi="ITC Avant Garde"/>
          <w:sz w:val="20"/>
          <w:szCs w:val="20"/>
        </w:rPr>
        <w:t>Seguridad Industrial y de Protección al Medio Ambiente del Sector</w:t>
      </w:r>
      <w:r w:rsidR="000B76EE">
        <w:rPr>
          <w:rFonts w:ascii="ITC Avant Garde" w:hAnsi="ITC Avant Garde"/>
          <w:sz w:val="20"/>
          <w:szCs w:val="20"/>
        </w:rPr>
        <w:t xml:space="preserve"> </w:t>
      </w:r>
      <w:r w:rsidR="000B76EE" w:rsidRPr="000B76EE">
        <w:rPr>
          <w:rFonts w:ascii="ITC Avant Garde" w:hAnsi="ITC Avant Garde"/>
          <w:sz w:val="20"/>
          <w:szCs w:val="20"/>
        </w:rPr>
        <w:t>Hidrocarburos, la Comisión Federal para la Protección contra Riesgos</w:t>
      </w:r>
      <w:r w:rsidR="000B76EE">
        <w:rPr>
          <w:rFonts w:ascii="ITC Avant Garde" w:hAnsi="ITC Avant Garde"/>
          <w:sz w:val="20"/>
          <w:szCs w:val="20"/>
        </w:rPr>
        <w:t xml:space="preserve"> </w:t>
      </w:r>
      <w:r w:rsidR="000B76EE" w:rsidRPr="000B76EE">
        <w:rPr>
          <w:rFonts w:ascii="ITC Avant Garde" w:hAnsi="ITC Avant Garde"/>
          <w:sz w:val="20"/>
          <w:szCs w:val="20"/>
        </w:rPr>
        <w:t>Sanitarios, el Servicio Nacional de Sanidad, Inocuidad y Calidad</w:t>
      </w:r>
      <w:r w:rsidR="000B76EE">
        <w:rPr>
          <w:rFonts w:ascii="ITC Avant Garde" w:hAnsi="ITC Avant Garde"/>
          <w:sz w:val="20"/>
          <w:szCs w:val="20"/>
        </w:rPr>
        <w:t xml:space="preserve"> </w:t>
      </w:r>
      <w:r w:rsidR="000B76EE" w:rsidRPr="000B76EE">
        <w:rPr>
          <w:rFonts w:ascii="ITC Avant Garde" w:hAnsi="ITC Avant Garde"/>
          <w:sz w:val="20"/>
          <w:szCs w:val="20"/>
        </w:rPr>
        <w:t>Agroalimentaria, la Procuraduría Federal del Consumidor, la</w:t>
      </w:r>
      <w:r w:rsidR="000B76EE">
        <w:rPr>
          <w:rFonts w:ascii="ITC Avant Garde" w:hAnsi="ITC Avant Garde"/>
          <w:sz w:val="20"/>
          <w:szCs w:val="20"/>
        </w:rPr>
        <w:t xml:space="preserve"> </w:t>
      </w:r>
      <w:r w:rsidR="000B76EE" w:rsidRPr="000B76EE">
        <w:rPr>
          <w:rFonts w:ascii="ITC Avant Garde" w:hAnsi="ITC Avant Garde"/>
          <w:sz w:val="20"/>
          <w:szCs w:val="20"/>
        </w:rPr>
        <w:t>Procuraduría Federal de Protección al Ambiente, la Comisión Nacional</w:t>
      </w:r>
      <w:r w:rsidR="000B76EE">
        <w:rPr>
          <w:rFonts w:ascii="ITC Avant Garde" w:hAnsi="ITC Avant Garde"/>
          <w:sz w:val="20"/>
          <w:szCs w:val="20"/>
        </w:rPr>
        <w:t xml:space="preserve"> </w:t>
      </w:r>
      <w:r w:rsidR="000B76EE" w:rsidRPr="000B76EE">
        <w:rPr>
          <w:rFonts w:ascii="ITC Avant Garde" w:hAnsi="ITC Avant Garde"/>
          <w:sz w:val="20"/>
          <w:szCs w:val="20"/>
        </w:rPr>
        <w:t>del Agua, la Agencia Federal de Aviación Civil, la Agencia Reguladora</w:t>
      </w:r>
      <w:r w:rsidR="000B76EE">
        <w:rPr>
          <w:rFonts w:ascii="ITC Avant Garde" w:hAnsi="ITC Avant Garde"/>
          <w:sz w:val="20"/>
          <w:szCs w:val="20"/>
        </w:rPr>
        <w:t xml:space="preserve"> </w:t>
      </w:r>
      <w:r w:rsidR="000B76EE" w:rsidRPr="000B76EE">
        <w:rPr>
          <w:rFonts w:ascii="ITC Avant Garde" w:hAnsi="ITC Avant Garde"/>
          <w:sz w:val="20"/>
          <w:szCs w:val="20"/>
        </w:rPr>
        <w:t>de Transporte Ferroviario, la Comisión Nacional de Seguridad Nuclear y</w:t>
      </w:r>
      <w:r w:rsidR="000B76EE">
        <w:rPr>
          <w:rFonts w:ascii="ITC Avant Garde" w:hAnsi="ITC Avant Garde"/>
          <w:sz w:val="20"/>
          <w:szCs w:val="20"/>
        </w:rPr>
        <w:t xml:space="preserve"> </w:t>
      </w:r>
      <w:r w:rsidR="000B76EE" w:rsidRPr="000B76EE">
        <w:rPr>
          <w:rFonts w:ascii="ITC Avant Garde" w:hAnsi="ITC Avant Garde"/>
          <w:sz w:val="20"/>
          <w:szCs w:val="20"/>
        </w:rPr>
        <w:t>Salvaguardias, al Comisión Nacional para el Uso Eficiente de la Energía,</w:t>
      </w:r>
      <w:r w:rsidR="000B76EE">
        <w:rPr>
          <w:rFonts w:ascii="ITC Avant Garde" w:hAnsi="ITC Avant Garde"/>
          <w:sz w:val="20"/>
          <w:szCs w:val="20"/>
        </w:rPr>
        <w:t xml:space="preserve"> </w:t>
      </w:r>
      <w:r w:rsidR="000B76EE" w:rsidRPr="000B76EE">
        <w:rPr>
          <w:rFonts w:ascii="ITC Avant Garde" w:hAnsi="ITC Avant Garde"/>
          <w:sz w:val="20"/>
          <w:szCs w:val="20"/>
        </w:rPr>
        <w:t>el Secretariado Ejecutivo del Sistema Nacional de Seguridad Pública, el</w:t>
      </w:r>
      <w:r w:rsidR="000B76EE">
        <w:rPr>
          <w:rFonts w:ascii="ITC Avant Garde" w:hAnsi="ITC Avant Garde"/>
          <w:sz w:val="20"/>
          <w:szCs w:val="20"/>
        </w:rPr>
        <w:t xml:space="preserve"> </w:t>
      </w:r>
      <w:r w:rsidR="000B76EE" w:rsidRPr="000B76EE">
        <w:rPr>
          <w:rFonts w:ascii="ITC Avant Garde" w:hAnsi="ITC Avant Garde"/>
          <w:sz w:val="20"/>
          <w:szCs w:val="20"/>
        </w:rPr>
        <w:t>Consejo Nacional de Normalización y Certificación de Competencias</w:t>
      </w:r>
      <w:r w:rsidR="000B76EE">
        <w:rPr>
          <w:rFonts w:ascii="ITC Avant Garde" w:hAnsi="ITC Avant Garde"/>
          <w:sz w:val="20"/>
          <w:szCs w:val="20"/>
        </w:rPr>
        <w:t xml:space="preserve"> </w:t>
      </w:r>
      <w:r w:rsidR="000B76EE" w:rsidRPr="000B76EE">
        <w:rPr>
          <w:rFonts w:ascii="ITC Avant Garde" w:hAnsi="ITC Avant Garde"/>
          <w:sz w:val="20"/>
          <w:szCs w:val="20"/>
        </w:rPr>
        <w:t>Laborales, o las que las sustituyan, así como de otros organismos que</w:t>
      </w:r>
      <w:r w:rsidR="000B76EE">
        <w:rPr>
          <w:rFonts w:ascii="ITC Avant Garde" w:hAnsi="ITC Avant Garde"/>
          <w:sz w:val="20"/>
          <w:szCs w:val="20"/>
        </w:rPr>
        <w:t xml:space="preserve"> </w:t>
      </w:r>
      <w:r w:rsidR="000B76EE" w:rsidRPr="000B76EE">
        <w:rPr>
          <w:rFonts w:ascii="ITC Avant Garde" w:hAnsi="ITC Avant Garde"/>
          <w:sz w:val="20"/>
          <w:szCs w:val="20"/>
        </w:rPr>
        <w:t>tengan competencia en materia de normalización, según esa</w:t>
      </w:r>
      <w:r w:rsidR="000B76EE">
        <w:rPr>
          <w:rFonts w:ascii="ITC Avant Garde" w:hAnsi="ITC Avant Garde"/>
          <w:sz w:val="20"/>
          <w:szCs w:val="20"/>
        </w:rPr>
        <w:t xml:space="preserve"> </w:t>
      </w:r>
      <w:r w:rsidR="000B76EE" w:rsidRPr="000B76EE">
        <w:rPr>
          <w:rFonts w:ascii="ITC Avant Garde" w:hAnsi="ITC Avant Garde"/>
          <w:sz w:val="20"/>
          <w:szCs w:val="20"/>
        </w:rPr>
        <w:t>competencia sea reconocida por la propia Comisión;”</w:t>
      </w:r>
      <w:r w:rsidR="000B76EE">
        <w:rPr>
          <w:rFonts w:ascii="ITC Avant Garde" w:hAnsi="ITC Avant Garde"/>
          <w:sz w:val="20"/>
          <w:szCs w:val="20"/>
        </w:rPr>
        <w:t xml:space="preserve"> </w:t>
      </w:r>
    </w:p>
    <w:p w:rsidR="00D47309" w:rsidRDefault="00D47309" w:rsidP="00D47309">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C92DDC" w:rsidRPr="00C92DDC" w:rsidRDefault="00C92DDC" w:rsidP="00C92DDC">
      <w:pPr>
        <w:spacing w:line="276" w:lineRule="auto"/>
        <w:jc w:val="both"/>
        <w:rPr>
          <w:rFonts w:ascii="ITC Avant Garde" w:eastAsia="Times New Roman" w:hAnsi="ITC Avant Garde" w:cs="ITC Avant Garde"/>
          <w:color w:val="000000"/>
          <w:sz w:val="20"/>
          <w:szCs w:val="20"/>
        </w:rPr>
      </w:pPr>
      <w:r w:rsidRPr="00C92DDC">
        <w:rPr>
          <w:rFonts w:ascii="ITC Avant Garde" w:eastAsia="Times New Roman" w:hAnsi="ITC Avant Garde" w:cs="ITC Avant Garde"/>
          <w:color w:val="000000"/>
          <w:sz w:val="20"/>
          <w:szCs w:val="20"/>
        </w:rPr>
        <w:t>No se considera</w:t>
      </w:r>
    </w:p>
    <w:p w:rsidR="00C92DDC" w:rsidRPr="00C92DDC" w:rsidRDefault="00C92DDC" w:rsidP="00C92DDC">
      <w:pPr>
        <w:spacing w:line="276" w:lineRule="auto"/>
        <w:jc w:val="both"/>
        <w:rPr>
          <w:rFonts w:ascii="ITC Avant Garde" w:eastAsia="Times New Roman" w:hAnsi="ITC Avant Garde" w:cs="ITC Avant Garde"/>
          <w:color w:val="000000"/>
          <w:sz w:val="20"/>
          <w:szCs w:val="20"/>
        </w:rPr>
      </w:pPr>
      <w:r w:rsidRPr="00C92DDC">
        <w:rPr>
          <w:rFonts w:ascii="ITC Avant Garde" w:eastAsia="Times New Roman" w:hAnsi="ITC Avant Garde" w:cs="ITC Avant Garde"/>
          <w:color w:val="000000"/>
          <w:sz w:val="20"/>
          <w:szCs w:val="20"/>
        </w:rPr>
        <w:t>En virtud que el Instituto al ser un órgano constitucional autónomo, no le aplica la citada Ley de la Infraestructura de la calidad, tal como lo establece en su artículo 8, mismo que a la letra dice:</w:t>
      </w:r>
    </w:p>
    <w:p w:rsidR="00D47309" w:rsidRPr="00C92DDC" w:rsidRDefault="00C92DDC" w:rsidP="00C92DDC">
      <w:pPr>
        <w:spacing w:line="276" w:lineRule="auto"/>
        <w:ind w:left="567"/>
        <w:jc w:val="both"/>
        <w:rPr>
          <w:rFonts w:ascii="ITC Avant Garde" w:eastAsia="Times New Roman" w:hAnsi="ITC Avant Garde" w:cs="ITC Avant Garde"/>
          <w:i/>
          <w:color w:val="000000"/>
          <w:sz w:val="20"/>
          <w:szCs w:val="20"/>
        </w:rPr>
      </w:pPr>
      <w:r w:rsidRPr="00C92DDC">
        <w:rPr>
          <w:rFonts w:ascii="ITC Avant Garde" w:eastAsia="Times New Roman" w:hAnsi="ITC Avant Garde" w:cs="ITC Avant Garde"/>
          <w:i/>
          <w:color w:val="000000"/>
          <w:sz w:val="20"/>
          <w:szCs w:val="20"/>
        </w:rPr>
        <w:t>“</w:t>
      </w:r>
      <w:r w:rsidRPr="00C92DDC">
        <w:rPr>
          <w:rFonts w:ascii="ITC Avant Garde" w:eastAsia="Times New Roman" w:hAnsi="ITC Avant Garde" w:cs="ITC Avant Garde"/>
          <w:b/>
          <w:i/>
          <w:color w:val="000000"/>
          <w:sz w:val="20"/>
          <w:szCs w:val="20"/>
        </w:rPr>
        <w:t>Artículo 8.</w:t>
      </w:r>
      <w:r w:rsidRPr="00C92DDC">
        <w:rPr>
          <w:rFonts w:ascii="ITC Avant Garde" w:eastAsia="Times New Roman" w:hAnsi="ITC Avant Garde" w:cs="ITC Avant Garde"/>
          <w:i/>
          <w:color w:val="000000"/>
          <w:sz w:val="20"/>
          <w:szCs w:val="20"/>
        </w:rPr>
        <w:t xml:space="preserve"> Este ordenamiento no es aplicable a las materias reguladas por los órganos constitucionales autónomos previstos en la Constitución Política de los Estados Unidos Mexicanos. Las regulaciones que éstos emitan procurarán tomar en cuenta los principios y procedimientos contemplados en esta Ley.”</w:t>
      </w:r>
      <w:r w:rsidR="00D47309" w:rsidRPr="00C92DDC">
        <w:rPr>
          <w:rFonts w:ascii="ITC Avant Garde" w:eastAsia="Times New Roman" w:hAnsi="ITC Avant Garde" w:cs="ITC Avant Garde"/>
          <w:i/>
          <w:color w:val="000000"/>
          <w:sz w:val="20"/>
          <w:szCs w:val="20"/>
        </w:rPr>
        <w:t>.</w:t>
      </w:r>
    </w:p>
    <w:p w:rsidR="00D47309" w:rsidRDefault="00D47309" w:rsidP="00EB592C">
      <w:pPr>
        <w:pStyle w:val="Textocomentario"/>
        <w:spacing w:line="276" w:lineRule="auto"/>
        <w:jc w:val="both"/>
        <w:rPr>
          <w:rFonts w:ascii="ITC Avant Garde" w:eastAsia="Times New Roman" w:hAnsi="ITC Avant Garde" w:cs="ITC Avant Garde"/>
          <w:color w:val="000000"/>
        </w:rPr>
      </w:pPr>
    </w:p>
    <w:p w:rsidR="00E04FBD" w:rsidRPr="00D47309" w:rsidRDefault="00E04FBD" w:rsidP="00E04FB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Lineamiento Vigésimo </w:t>
      </w:r>
      <w:r w:rsidRPr="00D47309">
        <w:rPr>
          <w:rFonts w:ascii="ITC Avant Garde" w:hAnsi="ITC Avant Garde" w:cs="ITC Avant Garde"/>
          <w:b/>
          <w:sz w:val="20"/>
          <w:szCs w:val="20"/>
        </w:rPr>
        <w:t>Cuarto fracción</w:t>
      </w:r>
      <w:r>
        <w:rPr>
          <w:rFonts w:ascii="ITC Avant Garde" w:hAnsi="ITC Avant Garde" w:cs="ITC Avant Garde"/>
          <w:b/>
          <w:sz w:val="20"/>
          <w:szCs w:val="20"/>
        </w:rPr>
        <w:t xml:space="preserve"> </w:t>
      </w:r>
      <w:r w:rsidRPr="00D47309">
        <w:rPr>
          <w:rFonts w:ascii="ITC Avant Garde" w:hAnsi="ITC Avant Garde" w:cs="ITC Avant Garde"/>
          <w:b/>
          <w:sz w:val="20"/>
          <w:szCs w:val="20"/>
        </w:rPr>
        <w:t>III.</w:t>
      </w:r>
    </w:p>
    <w:p w:rsidR="00E04FBD" w:rsidRPr="00CB525E" w:rsidRDefault="00E04FBD" w:rsidP="00E04FBD">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E04FBD" w:rsidRPr="00CB525E" w:rsidRDefault="00E04FBD" w:rsidP="00E04FBD">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E04FBD" w:rsidRPr="00CB525E" w:rsidRDefault="00E04FBD" w:rsidP="00E04FBD">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E04FBD" w:rsidRPr="00E04FBD" w:rsidRDefault="00E04FBD" w:rsidP="00E04FBD">
      <w:pPr>
        <w:spacing w:line="276" w:lineRule="auto"/>
        <w:jc w:val="both"/>
        <w:rPr>
          <w:rFonts w:ascii="ITC Avant Garde" w:hAnsi="ITC Avant Garde"/>
          <w:sz w:val="20"/>
          <w:szCs w:val="20"/>
        </w:rPr>
      </w:pPr>
      <w:r w:rsidRPr="00E04FBD">
        <w:rPr>
          <w:rFonts w:ascii="ITC Avant Garde" w:hAnsi="ITC Avant Garde"/>
          <w:sz w:val="20"/>
          <w:szCs w:val="20"/>
        </w:rPr>
        <w:t>Adicional a los comentarios anteriores se agregan las siguientes al</w:t>
      </w:r>
      <w:r>
        <w:rPr>
          <w:rFonts w:ascii="ITC Avant Garde" w:hAnsi="ITC Avant Garde"/>
          <w:sz w:val="20"/>
          <w:szCs w:val="20"/>
        </w:rPr>
        <w:t xml:space="preserve"> </w:t>
      </w:r>
      <w:r w:rsidRPr="00E04FBD">
        <w:rPr>
          <w:rFonts w:ascii="ITC Avant Garde" w:hAnsi="ITC Avant Garde"/>
          <w:sz w:val="20"/>
          <w:szCs w:val="20"/>
        </w:rPr>
        <w:t>artículo Vigésimo Cuarto en los incisos:</w:t>
      </w:r>
    </w:p>
    <w:p w:rsidR="00E04FBD" w:rsidRPr="00E04FBD" w:rsidRDefault="00E04FBD" w:rsidP="00E04FBD">
      <w:pPr>
        <w:tabs>
          <w:tab w:val="left" w:pos="709"/>
        </w:tabs>
        <w:spacing w:line="276" w:lineRule="auto"/>
        <w:ind w:left="709" w:hanging="425"/>
        <w:jc w:val="both"/>
        <w:rPr>
          <w:rFonts w:ascii="ITC Avant Garde" w:hAnsi="ITC Avant Garde"/>
          <w:sz w:val="20"/>
          <w:szCs w:val="20"/>
        </w:rPr>
      </w:pPr>
      <w:r w:rsidRPr="00E04FBD">
        <w:rPr>
          <w:rFonts w:ascii="ITC Avant Garde" w:hAnsi="ITC Avant Garde"/>
          <w:sz w:val="20"/>
          <w:szCs w:val="20"/>
        </w:rPr>
        <w:t xml:space="preserve">a) </w:t>
      </w:r>
      <w:r>
        <w:rPr>
          <w:rFonts w:ascii="ITC Avant Garde" w:hAnsi="ITC Avant Garde"/>
          <w:sz w:val="20"/>
          <w:szCs w:val="20"/>
        </w:rPr>
        <w:tab/>
      </w:r>
      <w:r w:rsidRPr="00E04FBD">
        <w:rPr>
          <w:rFonts w:ascii="ITC Avant Garde" w:hAnsi="ITC Avant Garde"/>
          <w:sz w:val="20"/>
          <w:szCs w:val="20"/>
        </w:rPr>
        <w:t>Agregar en el alcance de la acreditación para organismos de</w:t>
      </w:r>
      <w:r>
        <w:rPr>
          <w:rFonts w:ascii="ITC Avant Garde" w:hAnsi="ITC Avant Garde"/>
          <w:sz w:val="20"/>
          <w:szCs w:val="20"/>
        </w:rPr>
        <w:t xml:space="preserve"> </w:t>
      </w:r>
      <w:r w:rsidRPr="00E04FBD">
        <w:rPr>
          <w:rFonts w:ascii="ITC Avant Garde" w:hAnsi="ITC Avant Garde"/>
          <w:sz w:val="20"/>
          <w:szCs w:val="20"/>
        </w:rPr>
        <w:t>certificación el nombre de las personas pertenecientes al OEC</w:t>
      </w:r>
      <w:r>
        <w:rPr>
          <w:rFonts w:ascii="ITC Avant Garde" w:hAnsi="ITC Avant Garde"/>
          <w:sz w:val="20"/>
          <w:szCs w:val="20"/>
        </w:rPr>
        <w:t xml:space="preserve"> </w:t>
      </w:r>
      <w:r w:rsidRPr="00E04FBD">
        <w:rPr>
          <w:rFonts w:ascii="ITC Avant Garde" w:hAnsi="ITC Avant Garde"/>
          <w:sz w:val="20"/>
          <w:szCs w:val="20"/>
        </w:rPr>
        <w:t>facultado para la toma de decisión de la certificación.</w:t>
      </w:r>
    </w:p>
    <w:p w:rsidR="00E04FBD" w:rsidRPr="00E04FBD" w:rsidRDefault="00E04FBD" w:rsidP="00E04FBD">
      <w:pPr>
        <w:tabs>
          <w:tab w:val="left" w:pos="709"/>
        </w:tabs>
        <w:spacing w:line="276" w:lineRule="auto"/>
        <w:ind w:left="709" w:hanging="425"/>
        <w:jc w:val="both"/>
        <w:rPr>
          <w:rFonts w:ascii="ITC Avant Garde" w:hAnsi="ITC Avant Garde"/>
          <w:sz w:val="20"/>
          <w:szCs w:val="20"/>
        </w:rPr>
      </w:pPr>
      <w:r w:rsidRPr="00E04FBD">
        <w:rPr>
          <w:rFonts w:ascii="ITC Avant Garde" w:hAnsi="ITC Avant Garde"/>
          <w:sz w:val="20"/>
          <w:szCs w:val="20"/>
        </w:rPr>
        <w:t xml:space="preserve">b) </w:t>
      </w:r>
      <w:r>
        <w:rPr>
          <w:rFonts w:ascii="ITC Avant Garde" w:hAnsi="ITC Avant Garde"/>
          <w:sz w:val="20"/>
          <w:szCs w:val="20"/>
        </w:rPr>
        <w:tab/>
      </w:r>
      <w:r w:rsidRPr="00E04FBD">
        <w:rPr>
          <w:rFonts w:ascii="ITC Avant Garde" w:hAnsi="ITC Avant Garde"/>
          <w:sz w:val="20"/>
          <w:szCs w:val="20"/>
        </w:rPr>
        <w:t>Agregar en el alcance de la acreditación para unidades de</w:t>
      </w:r>
      <w:r>
        <w:rPr>
          <w:rFonts w:ascii="ITC Avant Garde" w:hAnsi="ITC Avant Garde"/>
          <w:sz w:val="20"/>
          <w:szCs w:val="20"/>
        </w:rPr>
        <w:t xml:space="preserve"> </w:t>
      </w:r>
      <w:r w:rsidRPr="00E04FBD">
        <w:rPr>
          <w:rFonts w:ascii="ITC Avant Garde" w:hAnsi="ITC Avant Garde"/>
          <w:sz w:val="20"/>
          <w:szCs w:val="20"/>
        </w:rPr>
        <w:t>verificación el nombre de los verificadores y gerentes técnicos</w:t>
      </w:r>
      <w:r>
        <w:rPr>
          <w:rFonts w:ascii="ITC Avant Garde" w:hAnsi="ITC Avant Garde"/>
          <w:sz w:val="20"/>
          <w:szCs w:val="20"/>
        </w:rPr>
        <w:t xml:space="preserve"> </w:t>
      </w:r>
      <w:r w:rsidRPr="00E04FBD">
        <w:rPr>
          <w:rFonts w:ascii="ITC Avant Garde" w:hAnsi="ITC Avant Garde"/>
          <w:sz w:val="20"/>
          <w:szCs w:val="20"/>
        </w:rPr>
        <w:t>acreditados en base a la 17020.</w:t>
      </w:r>
    </w:p>
    <w:p w:rsidR="00E04FBD" w:rsidRPr="00E04FBD" w:rsidRDefault="00E04FBD" w:rsidP="00E04FBD">
      <w:pPr>
        <w:tabs>
          <w:tab w:val="left" w:pos="709"/>
        </w:tabs>
        <w:spacing w:line="276" w:lineRule="auto"/>
        <w:ind w:left="709" w:hanging="425"/>
        <w:jc w:val="both"/>
        <w:rPr>
          <w:rFonts w:ascii="ITC Avant Garde" w:hAnsi="ITC Avant Garde"/>
          <w:sz w:val="20"/>
          <w:szCs w:val="20"/>
        </w:rPr>
      </w:pPr>
      <w:r w:rsidRPr="00E04FBD">
        <w:rPr>
          <w:rFonts w:ascii="ITC Avant Garde" w:hAnsi="ITC Avant Garde"/>
          <w:sz w:val="20"/>
          <w:szCs w:val="20"/>
        </w:rPr>
        <w:t xml:space="preserve">c) </w:t>
      </w:r>
      <w:r>
        <w:rPr>
          <w:rFonts w:ascii="ITC Avant Garde" w:hAnsi="ITC Avant Garde"/>
          <w:sz w:val="20"/>
          <w:szCs w:val="20"/>
        </w:rPr>
        <w:tab/>
      </w:r>
      <w:r w:rsidRPr="00E04FBD">
        <w:rPr>
          <w:rFonts w:ascii="ITC Avant Garde" w:hAnsi="ITC Avant Garde"/>
          <w:sz w:val="20"/>
          <w:szCs w:val="20"/>
        </w:rPr>
        <w:t>Agregar en el alcance de la acreditación para laboratorios el</w:t>
      </w:r>
      <w:r>
        <w:rPr>
          <w:rFonts w:ascii="ITC Avant Garde" w:hAnsi="ITC Avant Garde"/>
          <w:sz w:val="20"/>
          <w:szCs w:val="20"/>
        </w:rPr>
        <w:t xml:space="preserve"> </w:t>
      </w:r>
      <w:r w:rsidRPr="00E04FBD">
        <w:rPr>
          <w:rFonts w:ascii="ITC Avant Garde" w:hAnsi="ITC Avant Garde"/>
          <w:sz w:val="20"/>
          <w:szCs w:val="20"/>
        </w:rPr>
        <w:t>nombre de los signatarios acreditados en base a la 17025.</w:t>
      </w:r>
    </w:p>
    <w:p w:rsidR="00E04FBD" w:rsidRPr="00CB525E" w:rsidRDefault="00E04FBD" w:rsidP="00E04FBD">
      <w:pPr>
        <w:spacing w:line="276" w:lineRule="auto"/>
        <w:jc w:val="both"/>
        <w:rPr>
          <w:rFonts w:ascii="ITC Avant Garde" w:eastAsia="Times New Roman" w:hAnsi="ITC Avant Garde" w:cs="ITC Avant Garde"/>
          <w:b/>
          <w:color w:val="000000"/>
          <w:sz w:val="20"/>
          <w:szCs w:val="20"/>
        </w:rPr>
      </w:pPr>
      <w:r w:rsidRPr="00E04FBD">
        <w:rPr>
          <w:rFonts w:ascii="ITC Avant Garde" w:hAnsi="ITC Avant Garde"/>
          <w:sz w:val="20"/>
          <w:szCs w:val="20"/>
        </w:rPr>
        <w:t>En caso de existir, agregar limitantes o rango de alcance en las pruebas</w:t>
      </w:r>
      <w:r>
        <w:rPr>
          <w:rFonts w:ascii="ITC Avant Garde" w:hAnsi="ITC Avant Garde"/>
          <w:sz w:val="20"/>
          <w:szCs w:val="20"/>
        </w:rPr>
        <w:t xml:space="preserve"> </w:t>
      </w:r>
      <w:r w:rsidRPr="00E04FBD">
        <w:rPr>
          <w:rFonts w:ascii="ITC Avant Garde" w:hAnsi="ITC Avant Garde"/>
          <w:sz w:val="20"/>
          <w:szCs w:val="20"/>
        </w:rPr>
        <w:t>acreditadas.</w:t>
      </w:r>
      <w:r>
        <w:rPr>
          <w:rFonts w:ascii="ITC Avant Garde" w:hAnsi="ITC Avant Garde"/>
          <w:sz w:val="20"/>
          <w:szCs w:val="20"/>
        </w:rPr>
        <w:t xml:space="preserve"> </w:t>
      </w:r>
    </w:p>
    <w:p w:rsidR="00E04FBD" w:rsidRDefault="00E04FBD" w:rsidP="007C55BA">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7C55BA" w:rsidRPr="007C55BA" w:rsidRDefault="007C55BA" w:rsidP="007C55BA">
      <w:pPr>
        <w:spacing w:line="276" w:lineRule="auto"/>
        <w:jc w:val="both"/>
        <w:rPr>
          <w:rFonts w:ascii="ITC Avant Garde" w:eastAsia="Times New Roman" w:hAnsi="ITC Avant Garde" w:cs="ITC Avant Garde"/>
          <w:color w:val="000000"/>
          <w:sz w:val="20"/>
          <w:szCs w:val="20"/>
        </w:rPr>
      </w:pPr>
      <w:r w:rsidRPr="007C55BA">
        <w:rPr>
          <w:rFonts w:ascii="ITC Avant Garde" w:eastAsia="Times New Roman" w:hAnsi="ITC Avant Garde" w:cs="ITC Avant Garde"/>
          <w:color w:val="000000"/>
          <w:sz w:val="20"/>
          <w:szCs w:val="20"/>
        </w:rPr>
        <w:lastRenderedPageBreak/>
        <w:t xml:space="preserve">Se considera parcialmente </w:t>
      </w:r>
    </w:p>
    <w:p w:rsidR="007C55BA" w:rsidRPr="007C55BA" w:rsidRDefault="007C55BA" w:rsidP="007C55BA">
      <w:pPr>
        <w:spacing w:line="276" w:lineRule="auto"/>
        <w:jc w:val="both"/>
        <w:rPr>
          <w:rFonts w:ascii="ITC Avant Garde" w:eastAsia="Times New Roman" w:hAnsi="ITC Avant Garde" w:cs="ITC Avant Garde"/>
          <w:color w:val="000000"/>
          <w:sz w:val="20"/>
          <w:szCs w:val="20"/>
        </w:rPr>
      </w:pPr>
      <w:r w:rsidRPr="007C55BA">
        <w:rPr>
          <w:rFonts w:ascii="ITC Avant Garde" w:eastAsia="Times New Roman" w:hAnsi="ITC Avant Garde" w:cs="ITC Avant Garde"/>
          <w:color w:val="000000"/>
          <w:sz w:val="20"/>
          <w:szCs w:val="20"/>
        </w:rPr>
        <w:t>Se adicionan los incisos correspondientes para incluir los nombres de las personas, puestos y alcance de acreditación en el que pueden realizar sus funciones las referidas personas, tomando en cuenta lo establecido en Anexo C y Anexo E del “ACUERDO mediante el cual el Pleno del Instituto Federal de Telecomunicaciones expide el Procedimiento de evaluación de la conformidad en materia de telecomunicaciones y radiodifusión.”, publicado en el DOF el 2020/02/25.</w:t>
      </w:r>
    </w:p>
    <w:p w:rsidR="00E04FBD" w:rsidRDefault="00E04FBD" w:rsidP="00EB592C">
      <w:pPr>
        <w:pStyle w:val="Textocomentario"/>
        <w:spacing w:line="276" w:lineRule="auto"/>
        <w:jc w:val="both"/>
        <w:rPr>
          <w:rFonts w:ascii="ITC Avant Garde" w:eastAsia="Times New Roman" w:hAnsi="ITC Avant Garde" w:cs="ITC Avant Garde"/>
          <w:color w:val="000000"/>
        </w:rPr>
      </w:pPr>
    </w:p>
    <w:p w:rsidR="00966144" w:rsidRPr="00D47309" w:rsidRDefault="00966144" w:rsidP="00966144">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Vigésimo Octavo</w:t>
      </w:r>
      <w:r w:rsidRPr="00D47309">
        <w:rPr>
          <w:rFonts w:ascii="ITC Avant Garde" w:hAnsi="ITC Avant Garde" w:cs="ITC Avant Garde"/>
          <w:b/>
          <w:sz w:val="20"/>
          <w:szCs w:val="20"/>
        </w:rPr>
        <w:t>.</w:t>
      </w:r>
    </w:p>
    <w:p w:rsidR="00966144" w:rsidRPr="00CB525E" w:rsidRDefault="00966144" w:rsidP="00966144">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966144" w:rsidRPr="00CB525E" w:rsidRDefault="00966144" w:rsidP="00966144">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966144" w:rsidRPr="00CB525E" w:rsidRDefault="00966144" w:rsidP="00966144">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966144" w:rsidRPr="00966144" w:rsidRDefault="00966144" w:rsidP="00966144">
      <w:pPr>
        <w:spacing w:line="276" w:lineRule="auto"/>
        <w:jc w:val="both"/>
        <w:rPr>
          <w:rFonts w:ascii="ITC Avant Garde" w:hAnsi="ITC Avant Garde"/>
          <w:sz w:val="20"/>
          <w:szCs w:val="20"/>
        </w:rPr>
      </w:pPr>
      <w:r w:rsidRPr="00966144">
        <w:rPr>
          <w:rFonts w:ascii="ITC Avant Garde" w:hAnsi="ITC Avant Garde"/>
          <w:sz w:val="20"/>
          <w:szCs w:val="20"/>
        </w:rPr>
        <w:t>No se consideran las apelaciones en este proceso, solo consideran</w:t>
      </w:r>
      <w:r>
        <w:rPr>
          <w:rFonts w:ascii="ITC Avant Garde" w:hAnsi="ITC Avant Garde"/>
          <w:sz w:val="20"/>
          <w:szCs w:val="20"/>
        </w:rPr>
        <w:t xml:space="preserve"> </w:t>
      </w:r>
      <w:r w:rsidRPr="00966144">
        <w:rPr>
          <w:rFonts w:ascii="ITC Avant Garde" w:hAnsi="ITC Avant Garde"/>
          <w:sz w:val="20"/>
          <w:szCs w:val="20"/>
        </w:rPr>
        <w:t>quejas.</w:t>
      </w:r>
    </w:p>
    <w:p w:rsidR="00966144" w:rsidRPr="00966144" w:rsidRDefault="00966144" w:rsidP="00966144">
      <w:pPr>
        <w:spacing w:line="276" w:lineRule="auto"/>
        <w:jc w:val="both"/>
        <w:rPr>
          <w:rFonts w:ascii="ITC Avant Garde" w:hAnsi="ITC Avant Garde"/>
          <w:sz w:val="20"/>
          <w:szCs w:val="20"/>
        </w:rPr>
      </w:pPr>
      <w:r w:rsidRPr="00966144">
        <w:rPr>
          <w:rFonts w:ascii="ITC Avant Garde" w:hAnsi="ITC Avant Garde"/>
          <w:sz w:val="20"/>
          <w:szCs w:val="20"/>
        </w:rPr>
        <w:t>Las apelaciones son un acto establecido en la norma ISO/IEC 17011</w:t>
      </w:r>
      <w:r>
        <w:rPr>
          <w:rFonts w:ascii="ITC Avant Garde" w:hAnsi="ITC Avant Garde"/>
          <w:sz w:val="20"/>
          <w:szCs w:val="20"/>
        </w:rPr>
        <w:t xml:space="preserve"> </w:t>
      </w:r>
      <w:r w:rsidRPr="00966144">
        <w:rPr>
          <w:rFonts w:ascii="ITC Avant Garde" w:hAnsi="ITC Avant Garde"/>
          <w:sz w:val="20"/>
          <w:szCs w:val="20"/>
        </w:rPr>
        <w:t>como el derecho del Organismo de Evaluación de la Conformidad sobre</w:t>
      </w:r>
      <w:r>
        <w:rPr>
          <w:rFonts w:ascii="ITC Avant Garde" w:hAnsi="ITC Avant Garde"/>
          <w:sz w:val="20"/>
          <w:szCs w:val="20"/>
        </w:rPr>
        <w:t xml:space="preserve"> </w:t>
      </w:r>
      <w:r w:rsidRPr="00966144">
        <w:rPr>
          <w:rFonts w:ascii="ITC Avant Garde" w:hAnsi="ITC Avant Garde"/>
          <w:sz w:val="20"/>
          <w:szCs w:val="20"/>
        </w:rPr>
        <w:t>la decisión del Organismo de Acreditación respecto a su estado de</w:t>
      </w:r>
      <w:r>
        <w:rPr>
          <w:rFonts w:ascii="ITC Avant Garde" w:hAnsi="ITC Avant Garde"/>
          <w:sz w:val="20"/>
          <w:szCs w:val="20"/>
        </w:rPr>
        <w:t xml:space="preserve"> </w:t>
      </w:r>
      <w:r w:rsidRPr="00966144">
        <w:rPr>
          <w:rFonts w:ascii="ITC Avant Garde" w:hAnsi="ITC Avant Garde"/>
          <w:sz w:val="20"/>
          <w:szCs w:val="20"/>
        </w:rPr>
        <w:t>Acreditación.</w:t>
      </w:r>
    </w:p>
    <w:p w:rsidR="00966144" w:rsidRPr="00CB525E" w:rsidRDefault="00966144" w:rsidP="00966144">
      <w:pPr>
        <w:spacing w:line="276" w:lineRule="auto"/>
        <w:jc w:val="both"/>
        <w:rPr>
          <w:rFonts w:ascii="ITC Avant Garde" w:eastAsia="Times New Roman" w:hAnsi="ITC Avant Garde" w:cs="ITC Avant Garde"/>
          <w:b/>
          <w:color w:val="000000"/>
          <w:sz w:val="20"/>
          <w:szCs w:val="20"/>
        </w:rPr>
      </w:pPr>
      <w:r w:rsidRPr="00966144">
        <w:rPr>
          <w:rFonts w:ascii="ITC Avant Garde" w:hAnsi="ITC Avant Garde"/>
          <w:sz w:val="20"/>
          <w:szCs w:val="20"/>
        </w:rPr>
        <w:t>El no tener este proceso disponible deja en indefensión a los Organismos</w:t>
      </w:r>
      <w:r>
        <w:rPr>
          <w:rFonts w:ascii="ITC Avant Garde" w:hAnsi="ITC Avant Garde"/>
          <w:sz w:val="20"/>
          <w:szCs w:val="20"/>
        </w:rPr>
        <w:t xml:space="preserve"> </w:t>
      </w:r>
      <w:r w:rsidRPr="00966144">
        <w:rPr>
          <w:rFonts w:ascii="ITC Avant Garde" w:hAnsi="ITC Avant Garde"/>
          <w:sz w:val="20"/>
          <w:szCs w:val="20"/>
        </w:rPr>
        <w:t>de Evaluación de la Conformidad acreditados por el Instituto.</w:t>
      </w:r>
    </w:p>
    <w:p w:rsidR="00966144" w:rsidRDefault="00966144" w:rsidP="00966144">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966144" w:rsidRPr="00966144" w:rsidRDefault="00966144" w:rsidP="00966144">
      <w:pPr>
        <w:spacing w:line="276" w:lineRule="auto"/>
        <w:jc w:val="both"/>
        <w:rPr>
          <w:rFonts w:ascii="ITC Avant Garde" w:eastAsia="Times New Roman" w:hAnsi="ITC Avant Garde" w:cs="ITC Avant Garde"/>
          <w:color w:val="000000"/>
          <w:sz w:val="20"/>
          <w:szCs w:val="20"/>
        </w:rPr>
      </w:pPr>
      <w:r w:rsidRPr="00966144">
        <w:rPr>
          <w:rFonts w:ascii="ITC Avant Garde" w:eastAsia="Times New Roman" w:hAnsi="ITC Avant Garde" w:cs="ITC Avant Garde"/>
          <w:color w:val="000000"/>
          <w:sz w:val="20"/>
          <w:szCs w:val="20"/>
        </w:rPr>
        <w:t>No se considera</w:t>
      </w:r>
    </w:p>
    <w:p w:rsidR="00966144" w:rsidRPr="007C55BA" w:rsidRDefault="00966144" w:rsidP="00966144">
      <w:pPr>
        <w:spacing w:line="276" w:lineRule="auto"/>
        <w:jc w:val="both"/>
        <w:rPr>
          <w:rFonts w:ascii="ITC Avant Garde" w:eastAsia="Times New Roman" w:hAnsi="ITC Avant Garde" w:cs="ITC Avant Garde"/>
          <w:color w:val="000000"/>
          <w:sz w:val="20"/>
          <w:szCs w:val="20"/>
        </w:rPr>
      </w:pPr>
      <w:r w:rsidRPr="00966144">
        <w:rPr>
          <w:rFonts w:ascii="ITC Avant Garde" w:eastAsia="Times New Roman" w:hAnsi="ITC Avant Garde" w:cs="ITC Avant Garde"/>
          <w:color w:val="000000"/>
          <w:sz w:val="20"/>
          <w:szCs w:val="20"/>
        </w:rPr>
        <w:t xml:space="preserve">En virtud que la actuación del Instituto </w:t>
      </w:r>
      <w:r>
        <w:rPr>
          <w:rFonts w:ascii="ITC Avant Garde" w:eastAsia="Times New Roman" w:hAnsi="ITC Avant Garde" w:cs="ITC Avant Garde"/>
          <w:color w:val="000000"/>
          <w:sz w:val="20"/>
          <w:szCs w:val="20"/>
        </w:rPr>
        <w:t>únicamente puede ser impugnado</w:t>
      </w:r>
      <w:r w:rsidRPr="00966144">
        <w:rPr>
          <w:rFonts w:ascii="ITC Avant Garde" w:eastAsia="Times New Roman" w:hAnsi="ITC Avant Garde" w:cs="ITC Avant Garde"/>
          <w:color w:val="000000"/>
          <w:sz w:val="20"/>
          <w:szCs w:val="20"/>
        </w:rPr>
        <w:t xml:space="preserve"> mediante el juicio de amparo indirecto y no serán objeto de suspensión; tal como se establece en el TÍTULO DÉCIMO SEXTO de la LFTR.</w:t>
      </w:r>
    </w:p>
    <w:p w:rsidR="00966144" w:rsidRDefault="00966144" w:rsidP="00EB592C">
      <w:pPr>
        <w:pStyle w:val="Textocomentario"/>
        <w:spacing w:line="276" w:lineRule="auto"/>
        <w:jc w:val="both"/>
        <w:rPr>
          <w:rFonts w:ascii="ITC Avant Garde" w:eastAsia="Times New Roman" w:hAnsi="ITC Avant Garde" w:cs="ITC Avant Garde"/>
          <w:color w:val="000000"/>
        </w:rPr>
      </w:pPr>
    </w:p>
    <w:p w:rsidR="00430009" w:rsidRPr="00D47309" w:rsidRDefault="00430009" w:rsidP="00430009">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Lineamiento </w:t>
      </w:r>
      <w:r w:rsidR="00E06BD7">
        <w:rPr>
          <w:rFonts w:ascii="ITC Avant Garde" w:hAnsi="ITC Avant Garde" w:cs="ITC Avant Garde"/>
          <w:b/>
          <w:sz w:val="20"/>
          <w:szCs w:val="20"/>
        </w:rPr>
        <w:t>Cuadragésimo Tercero, Fracción II</w:t>
      </w:r>
      <w:r w:rsidRPr="00D47309">
        <w:rPr>
          <w:rFonts w:ascii="ITC Avant Garde" w:hAnsi="ITC Avant Garde" w:cs="ITC Avant Garde"/>
          <w:b/>
          <w:sz w:val="20"/>
          <w:szCs w:val="20"/>
        </w:rPr>
        <w:t>.</w:t>
      </w:r>
    </w:p>
    <w:p w:rsidR="00430009" w:rsidRPr="00CB525E" w:rsidRDefault="00430009" w:rsidP="00430009">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430009" w:rsidRPr="00CB525E" w:rsidRDefault="00430009" w:rsidP="00430009">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430009" w:rsidRPr="00CB525E" w:rsidRDefault="00430009" w:rsidP="00430009">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E06BD7" w:rsidRPr="00E06BD7" w:rsidRDefault="00E06BD7" w:rsidP="00E06BD7">
      <w:pPr>
        <w:spacing w:line="276" w:lineRule="auto"/>
        <w:jc w:val="both"/>
        <w:rPr>
          <w:rFonts w:ascii="ITC Avant Garde" w:hAnsi="ITC Avant Garde"/>
          <w:sz w:val="20"/>
          <w:szCs w:val="20"/>
        </w:rPr>
      </w:pPr>
      <w:r w:rsidRPr="00E06BD7">
        <w:rPr>
          <w:rFonts w:ascii="ITC Avant Garde" w:hAnsi="ITC Avant Garde"/>
          <w:sz w:val="20"/>
          <w:szCs w:val="20"/>
        </w:rPr>
        <w:t>No queda claro si el Comité que menciona en esta fracción puede decidir</w:t>
      </w:r>
      <w:r>
        <w:rPr>
          <w:rFonts w:ascii="ITC Avant Garde" w:hAnsi="ITC Avant Garde"/>
          <w:sz w:val="20"/>
          <w:szCs w:val="20"/>
        </w:rPr>
        <w:t xml:space="preserve"> </w:t>
      </w:r>
      <w:r w:rsidRPr="00E06BD7">
        <w:rPr>
          <w:rFonts w:ascii="ITC Avant Garde" w:hAnsi="ITC Avant Garde"/>
          <w:sz w:val="20"/>
          <w:szCs w:val="20"/>
        </w:rPr>
        <w:t>sobre temas de laboratorios, unidades de verificación/inspección y</w:t>
      </w:r>
      <w:r>
        <w:rPr>
          <w:rFonts w:ascii="ITC Avant Garde" w:hAnsi="ITC Avant Garde"/>
          <w:sz w:val="20"/>
          <w:szCs w:val="20"/>
        </w:rPr>
        <w:t xml:space="preserve"> </w:t>
      </w:r>
      <w:r w:rsidRPr="00E06BD7">
        <w:rPr>
          <w:rFonts w:ascii="ITC Avant Garde" w:hAnsi="ITC Avant Garde"/>
          <w:sz w:val="20"/>
          <w:szCs w:val="20"/>
        </w:rPr>
        <w:t>organismos de certificación.</w:t>
      </w:r>
    </w:p>
    <w:p w:rsidR="00E06BD7" w:rsidRPr="00E06BD7" w:rsidRDefault="00E06BD7" w:rsidP="00E06BD7">
      <w:pPr>
        <w:spacing w:line="276" w:lineRule="auto"/>
        <w:jc w:val="both"/>
        <w:rPr>
          <w:rFonts w:ascii="ITC Avant Garde" w:hAnsi="ITC Avant Garde"/>
          <w:sz w:val="20"/>
          <w:szCs w:val="20"/>
        </w:rPr>
      </w:pPr>
      <w:r w:rsidRPr="00E06BD7">
        <w:rPr>
          <w:rFonts w:ascii="ITC Avant Garde" w:hAnsi="ITC Avant Garde"/>
          <w:sz w:val="20"/>
          <w:szCs w:val="20"/>
        </w:rPr>
        <w:t>Además de que no queda claro para que se requiere una comisión de</w:t>
      </w:r>
      <w:r>
        <w:rPr>
          <w:rFonts w:ascii="ITC Avant Garde" w:hAnsi="ITC Avant Garde"/>
          <w:sz w:val="20"/>
          <w:szCs w:val="20"/>
        </w:rPr>
        <w:t xml:space="preserve"> </w:t>
      </w:r>
      <w:r w:rsidRPr="00E06BD7">
        <w:rPr>
          <w:rFonts w:ascii="ITC Avant Garde" w:hAnsi="ITC Avant Garde"/>
          <w:sz w:val="20"/>
          <w:szCs w:val="20"/>
        </w:rPr>
        <w:t>acreditación adicional a este comité.</w:t>
      </w:r>
    </w:p>
    <w:p w:rsidR="00430009" w:rsidRPr="00CB525E" w:rsidRDefault="00E06BD7" w:rsidP="00E06BD7">
      <w:pPr>
        <w:spacing w:line="276" w:lineRule="auto"/>
        <w:jc w:val="both"/>
        <w:rPr>
          <w:rFonts w:ascii="ITC Avant Garde" w:eastAsia="Times New Roman" w:hAnsi="ITC Avant Garde" w:cs="ITC Avant Garde"/>
          <w:b/>
          <w:color w:val="000000"/>
          <w:sz w:val="20"/>
          <w:szCs w:val="20"/>
        </w:rPr>
      </w:pPr>
      <w:r w:rsidRPr="00E06BD7">
        <w:rPr>
          <w:rFonts w:ascii="ITC Avant Garde" w:hAnsi="ITC Avant Garde"/>
          <w:sz w:val="20"/>
          <w:szCs w:val="20"/>
        </w:rPr>
        <w:lastRenderedPageBreak/>
        <w:t>Si fueran varios comités por tipo de servicio de evaluación de la</w:t>
      </w:r>
      <w:r>
        <w:rPr>
          <w:rFonts w:ascii="ITC Avant Garde" w:hAnsi="ITC Avant Garde"/>
          <w:sz w:val="20"/>
          <w:szCs w:val="20"/>
        </w:rPr>
        <w:t xml:space="preserve"> </w:t>
      </w:r>
      <w:r w:rsidRPr="00E06BD7">
        <w:rPr>
          <w:rFonts w:ascii="ITC Avant Garde" w:hAnsi="ITC Avant Garde"/>
          <w:sz w:val="20"/>
          <w:szCs w:val="20"/>
        </w:rPr>
        <w:t>conformidad, entonces la función de la Comisión de Acreditación tendría</w:t>
      </w:r>
      <w:r>
        <w:rPr>
          <w:rFonts w:ascii="ITC Avant Garde" w:hAnsi="ITC Avant Garde"/>
          <w:sz w:val="20"/>
          <w:szCs w:val="20"/>
        </w:rPr>
        <w:t xml:space="preserve"> </w:t>
      </w:r>
      <w:r w:rsidRPr="00E06BD7">
        <w:rPr>
          <w:rFonts w:ascii="ITC Avant Garde" w:hAnsi="ITC Avant Garde"/>
          <w:sz w:val="20"/>
          <w:szCs w:val="20"/>
        </w:rPr>
        <w:t>razón de existir para coordinar y armonizar la aplicación de la norma</w:t>
      </w:r>
      <w:r>
        <w:rPr>
          <w:rFonts w:ascii="ITC Avant Garde" w:hAnsi="ITC Avant Garde"/>
          <w:sz w:val="20"/>
          <w:szCs w:val="20"/>
        </w:rPr>
        <w:t xml:space="preserve"> </w:t>
      </w:r>
      <w:r w:rsidRPr="00E06BD7">
        <w:rPr>
          <w:rFonts w:ascii="ITC Avant Garde" w:hAnsi="ITC Avant Garde"/>
          <w:sz w:val="20"/>
          <w:szCs w:val="20"/>
        </w:rPr>
        <w:t>ISO/IEC 17011 en los diferentes alcances.</w:t>
      </w:r>
    </w:p>
    <w:p w:rsidR="00430009" w:rsidRDefault="00430009" w:rsidP="00430009">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E06BD7" w:rsidRPr="00E06BD7" w:rsidRDefault="00E06BD7" w:rsidP="00E06BD7">
      <w:pPr>
        <w:spacing w:line="276" w:lineRule="auto"/>
        <w:jc w:val="both"/>
        <w:rPr>
          <w:rFonts w:ascii="ITC Avant Garde" w:eastAsia="Times New Roman" w:hAnsi="ITC Avant Garde" w:cs="ITC Avant Garde"/>
          <w:color w:val="000000"/>
          <w:sz w:val="20"/>
          <w:szCs w:val="20"/>
        </w:rPr>
      </w:pPr>
      <w:r w:rsidRPr="00E06BD7">
        <w:rPr>
          <w:rFonts w:ascii="ITC Avant Garde" w:eastAsia="Times New Roman" w:hAnsi="ITC Avant Garde" w:cs="ITC Avant Garde"/>
          <w:color w:val="000000"/>
          <w:sz w:val="20"/>
          <w:szCs w:val="20"/>
        </w:rPr>
        <w:t>Se considera parcialmente.</w:t>
      </w:r>
    </w:p>
    <w:p w:rsidR="00E06BD7" w:rsidRPr="00E06BD7" w:rsidRDefault="00E06BD7" w:rsidP="00E06BD7">
      <w:pPr>
        <w:spacing w:line="276" w:lineRule="auto"/>
        <w:jc w:val="both"/>
        <w:rPr>
          <w:rFonts w:ascii="ITC Avant Garde" w:eastAsia="Times New Roman" w:hAnsi="ITC Avant Garde" w:cs="ITC Avant Garde"/>
          <w:color w:val="000000"/>
          <w:sz w:val="20"/>
          <w:szCs w:val="20"/>
        </w:rPr>
      </w:pPr>
      <w:r w:rsidRPr="00E06BD7">
        <w:rPr>
          <w:rFonts w:ascii="ITC Avant Garde" w:eastAsia="Times New Roman" w:hAnsi="ITC Avant Garde" w:cs="ITC Avant Garde"/>
          <w:color w:val="000000"/>
          <w:sz w:val="20"/>
          <w:szCs w:val="20"/>
        </w:rPr>
        <w:t>En virtud que ya existen OA autorizados por el Instituto, obviamos sobre su funcionamiento, no obstante, a efecto de evitar dudas de otros OEA, se clarifica adicionando el texto “por tipo de Organismo de Evaluación de la Conformidad”.</w:t>
      </w:r>
    </w:p>
    <w:p w:rsidR="00E06BD7" w:rsidRPr="00E06BD7" w:rsidRDefault="00E06BD7" w:rsidP="00E06BD7">
      <w:pPr>
        <w:spacing w:line="276" w:lineRule="auto"/>
        <w:jc w:val="both"/>
        <w:rPr>
          <w:rFonts w:ascii="ITC Avant Garde" w:eastAsia="Times New Roman" w:hAnsi="ITC Avant Garde" w:cs="ITC Avant Garde"/>
          <w:color w:val="000000"/>
          <w:sz w:val="20"/>
          <w:szCs w:val="20"/>
        </w:rPr>
      </w:pPr>
      <w:r w:rsidRPr="00E06BD7">
        <w:rPr>
          <w:rFonts w:ascii="ITC Avant Garde" w:eastAsia="Times New Roman" w:hAnsi="ITC Avant Garde" w:cs="ITC Avant Garde"/>
          <w:color w:val="000000"/>
          <w:sz w:val="20"/>
          <w:szCs w:val="20"/>
        </w:rPr>
        <w:t>Sin embargo, en caso de duda respecto de la aplicación de los presentes lineamientos los OA deberán apegarse a lo establecido en el lineamiento Cuarto, que dice:</w:t>
      </w:r>
    </w:p>
    <w:p w:rsidR="00430009" w:rsidRPr="00E06BD7" w:rsidRDefault="00E06BD7" w:rsidP="00E06BD7">
      <w:pPr>
        <w:spacing w:line="276" w:lineRule="auto"/>
        <w:ind w:left="567"/>
        <w:jc w:val="both"/>
        <w:rPr>
          <w:rFonts w:ascii="ITC Avant Garde" w:eastAsia="Times New Roman" w:hAnsi="ITC Avant Garde" w:cs="ITC Avant Garde"/>
          <w:i/>
          <w:color w:val="000000"/>
          <w:sz w:val="20"/>
          <w:szCs w:val="20"/>
        </w:rPr>
      </w:pPr>
      <w:r w:rsidRPr="00E06BD7">
        <w:rPr>
          <w:rFonts w:ascii="ITC Avant Garde" w:eastAsia="Times New Roman" w:hAnsi="ITC Avant Garde" w:cs="ITC Avant Garde"/>
          <w:i/>
          <w:color w:val="000000"/>
          <w:sz w:val="20"/>
          <w:szCs w:val="20"/>
        </w:rPr>
        <w:t>“</w:t>
      </w:r>
      <w:r w:rsidRPr="00E06BD7">
        <w:rPr>
          <w:rFonts w:ascii="ITC Avant Garde" w:eastAsia="Times New Roman" w:hAnsi="ITC Avant Garde" w:cs="ITC Avant Garde"/>
          <w:b/>
          <w:i/>
          <w:color w:val="000000"/>
          <w:sz w:val="20"/>
          <w:szCs w:val="20"/>
        </w:rPr>
        <w:t>CUARTO.</w:t>
      </w:r>
      <w:r w:rsidRPr="00E06BD7">
        <w:rPr>
          <w:rFonts w:ascii="ITC Avant Garde" w:eastAsia="Times New Roman" w:hAnsi="ITC Avant Garde" w:cs="ITC Avant Garde"/>
          <w:i/>
          <w:color w:val="000000"/>
          <w:sz w:val="20"/>
          <w:szCs w:val="20"/>
        </w:rPr>
        <w:t xml:space="preserve"> La interpretación de los presentes Lineamientos, la atención y resolución de los casos no previstos en los mismos, así como el establecimiento de criterios de aplicación corresponderán al Instituto Federal de Telecomunicaciones.”</w:t>
      </w:r>
      <w:r w:rsidR="00430009" w:rsidRPr="00E06BD7">
        <w:rPr>
          <w:rFonts w:ascii="ITC Avant Garde" w:eastAsia="Times New Roman" w:hAnsi="ITC Avant Garde" w:cs="ITC Avant Garde"/>
          <w:i/>
          <w:color w:val="000000"/>
          <w:sz w:val="20"/>
          <w:szCs w:val="20"/>
        </w:rPr>
        <w:t>.</w:t>
      </w:r>
    </w:p>
    <w:p w:rsidR="00430009" w:rsidRDefault="00430009" w:rsidP="00EB592C">
      <w:pPr>
        <w:pStyle w:val="Textocomentario"/>
        <w:spacing w:line="276" w:lineRule="auto"/>
        <w:jc w:val="both"/>
        <w:rPr>
          <w:rFonts w:ascii="ITC Avant Garde" w:eastAsia="Times New Roman" w:hAnsi="ITC Avant Garde" w:cs="ITC Avant Garde"/>
          <w:color w:val="000000"/>
        </w:rPr>
      </w:pPr>
    </w:p>
    <w:p w:rsidR="00B35A1C" w:rsidRPr="00D47309" w:rsidRDefault="00B35A1C" w:rsidP="00B35A1C">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 Tercero, Fracción III</w:t>
      </w:r>
      <w:r w:rsidRPr="00D47309">
        <w:rPr>
          <w:rFonts w:ascii="ITC Avant Garde" w:hAnsi="ITC Avant Garde" w:cs="ITC Avant Garde"/>
          <w:b/>
          <w:sz w:val="20"/>
          <w:szCs w:val="20"/>
        </w:rPr>
        <w:t>.</w:t>
      </w:r>
    </w:p>
    <w:p w:rsidR="00B35A1C" w:rsidRPr="00CB525E" w:rsidRDefault="00B35A1C" w:rsidP="00B35A1C">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B35A1C" w:rsidRPr="00CB525E" w:rsidRDefault="00B35A1C" w:rsidP="00B35A1C">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B35A1C" w:rsidRPr="00CB525E" w:rsidRDefault="00B35A1C" w:rsidP="00B35A1C">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B35A1C" w:rsidRPr="00CB525E" w:rsidRDefault="00B35A1C" w:rsidP="00B35A1C">
      <w:pPr>
        <w:spacing w:line="276" w:lineRule="auto"/>
        <w:jc w:val="both"/>
        <w:rPr>
          <w:rFonts w:ascii="ITC Avant Garde" w:eastAsia="Times New Roman" w:hAnsi="ITC Avant Garde" w:cs="ITC Avant Garde"/>
          <w:b/>
          <w:color w:val="000000"/>
          <w:sz w:val="20"/>
          <w:szCs w:val="20"/>
        </w:rPr>
      </w:pPr>
      <w:r w:rsidRPr="00B35A1C">
        <w:rPr>
          <w:rFonts w:ascii="ITC Avant Garde" w:hAnsi="ITC Avant Garde"/>
          <w:sz w:val="20"/>
          <w:szCs w:val="20"/>
        </w:rPr>
        <w:t>Hay que aclarar que estos requisitos son a partir de obtener la</w:t>
      </w:r>
      <w:r>
        <w:rPr>
          <w:rFonts w:ascii="ITC Avant Garde" w:hAnsi="ITC Avant Garde"/>
          <w:sz w:val="20"/>
          <w:szCs w:val="20"/>
        </w:rPr>
        <w:t xml:space="preserve"> </w:t>
      </w:r>
      <w:r w:rsidRPr="00B35A1C">
        <w:rPr>
          <w:rFonts w:ascii="ITC Avant Garde" w:hAnsi="ITC Avant Garde"/>
          <w:sz w:val="20"/>
          <w:szCs w:val="20"/>
        </w:rPr>
        <w:t>autorización como OA y no como requisito previo para obtener la</w:t>
      </w:r>
      <w:r>
        <w:rPr>
          <w:rFonts w:ascii="ITC Avant Garde" w:hAnsi="ITC Avant Garde"/>
          <w:sz w:val="20"/>
          <w:szCs w:val="20"/>
        </w:rPr>
        <w:t xml:space="preserve"> </w:t>
      </w:r>
      <w:r w:rsidRPr="00B35A1C">
        <w:rPr>
          <w:rFonts w:ascii="ITC Avant Garde" w:hAnsi="ITC Avant Garde"/>
          <w:sz w:val="20"/>
          <w:szCs w:val="20"/>
        </w:rPr>
        <w:t>autorización.</w:t>
      </w:r>
    </w:p>
    <w:p w:rsidR="00B35A1C" w:rsidRDefault="00B35A1C" w:rsidP="00B35A1C">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B35A1C" w:rsidRPr="00B35A1C" w:rsidRDefault="00B35A1C" w:rsidP="00B35A1C">
      <w:pPr>
        <w:spacing w:line="276" w:lineRule="auto"/>
        <w:jc w:val="both"/>
        <w:rPr>
          <w:rFonts w:ascii="ITC Avant Garde" w:eastAsia="Times New Roman" w:hAnsi="ITC Avant Garde" w:cs="ITC Avant Garde"/>
          <w:color w:val="000000"/>
          <w:sz w:val="20"/>
          <w:szCs w:val="20"/>
        </w:rPr>
      </w:pPr>
      <w:r w:rsidRPr="00B35A1C">
        <w:rPr>
          <w:rFonts w:ascii="ITC Avant Garde" w:eastAsia="Times New Roman" w:hAnsi="ITC Avant Garde" w:cs="ITC Avant Garde"/>
          <w:color w:val="000000"/>
          <w:sz w:val="20"/>
          <w:szCs w:val="20"/>
        </w:rPr>
        <w:t xml:space="preserve">No se considera </w:t>
      </w:r>
    </w:p>
    <w:p w:rsidR="00B35A1C" w:rsidRPr="00B35A1C" w:rsidRDefault="00B35A1C" w:rsidP="00B35A1C">
      <w:pPr>
        <w:spacing w:line="276" w:lineRule="auto"/>
        <w:jc w:val="both"/>
        <w:rPr>
          <w:rFonts w:ascii="ITC Avant Garde" w:eastAsia="Times New Roman" w:hAnsi="ITC Avant Garde" w:cs="ITC Avant Garde"/>
          <w:color w:val="000000"/>
          <w:sz w:val="20"/>
          <w:szCs w:val="20"/>
        </w:rPr>
      </w:pPr>
      <w:r w:rsidRPr="00B35A1C">
        <w:rPr>
          <w:rFonts w:ascii="ITC Avant Garde" w:eastAsia="Times New Roman" w:hAnsi="ITC Avant Garde" w:cs="ITC Avant Garde"/>
          <w:color w:val="000000"/>
          <w:sz w:val="20"/>
          <w:szCs w:val="20"/>
        </w:rPr>
        <w:t>En virtud que el lineamiento CUADRAGÉSIMO TERCERO, establece claramente lo siguiente:</w:t>
      </w:r>
    </w:p>
    <w:p w:rsidR="00B35A1C" w:rsidRPr="00B35A1C" w:rsidRDefault="00B35A1C" w:rsidP="00B35A1C">
      <w:pPr>
        <w:spacing w:line="276" w:lineRule="auto"/>
        <w:ind w:left="567"/>
        <w:jc w:val="both"/>
        <w:rPr>
          <w:rFonts w:ascii="ITC Avant Garde" w:eastAsia="Times New Roman" w:hAnsi="ITC Avant Garde" w:cs="ITC Avant Garde"/>
          <w:i/>
          <w:color w:val="000000"/>
          <w:sz w:val="20"/>
          <w:szCs w:val="20"/>
        </w:rPr>
      </w:pPr>
      <w:r w:rsidRPr="00B35A1C">
        <w:rPr>
          <w:rFonts w:ascii="ITC Avant Garde" w:eastAsia="Times New Roman" w:hAnsi="ITC Avant Garde" w:cs="ITC Avant Garde"/>
          <w:i/>
          <w:color w:val="000000"/>
          <w:sz w:val="20"/>
          <w:szCs w:val="20"/>
        </w:rPr>
        <w:t xml:space="preserve">“A efecto de que el Instituto autorice a un OA para desarrollar tareas de Acreditación de OEC de tercera parte nacionales en el ámbito de las telecomunicaciones y radiodifusión, </w:t>
      </w:r>
      <w:r w:rsidRPr="0025724B">
        <w:rPr>
          <w:rFonts w:ascii="ITC Avant Garde" w:eastAsia="Times New Roman" w:hAnsi="ITC Avant Garde" w:cs="ITC Avant Garde"/>
          <w:b/>
          <w:i/>
          <w:color w:val="000000"/>
          <w:sz w:val="20"/>
          <w:szCs w:val="20"/>
        </w:rPr>
        <w:t>éste debe cumplir con los requisitos siguientes:</w:t>
      </w:r>
      <w:r w:rsidRPr="00B35A1C">
        <w:rPr>
          <w:rFonts w:ascii="ITC Avant Garde" w:eastAsia="Times New Roman" w:hAnsi="ITC Avant Garde" w:cs="ITC Avant Garde"/>
          <w:i/>
          <w:color w:val="000000"/>
          <w:sz w:val="20"/>
          <w:szCs w:val="20"/>
        </w:rPr>
        <w:t xml:space="preserve"> …”.</w:t>
      </w:r>
    </w:p>
    <w:p w:rsidR="00D41FB7" w:rsidRDefault="00D41FB7" w:rsidP="00D41FB7">
      <w:pPr>
        <w:pStyle w:val="Textocomentario"/>
        <w:spacing w:line="276" w:lineRule="auto"/>
        <w:jc w:val="both"/>
        <w:rPr>
          <w:rFonts w:ascii="ITC Avant Garde" w:eastAsia="Times New Roman" w:hAnsi="ITC Avant Garde" w:cs="ITC Avant Garde"/>
          <w:color w:val="000000"/>
        </w:rPr>
      </w:pPr>
    </w:p>
    <w:p w:rsidR="00D41FB7" w:rsidRPr="00D47309" w:rsidRDefault="00D41FB7" w:rsidP="00D41FB7">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 Cuarto</w:t>
      </w:r>
      <w:r w:rsidRPr="00D47309">
        <w:rPr>
          <w:rFonts w:ascii="ITC Avant Garde" w:hAnsi="ITC Avant Garde" w:cs="ITC Avant Garde"/>
          <w:b/>
          <w:sz w:val="20"/>
          <w:szCs w:val="20"/>
        </w:rPr>
        <w:t>.</w:t>
      </w:r>
    </w:p>
    <w:p w:rsidR="00D41FB7" w:rsidRPr="00CB525E" w:rsidRDefault="00D41FB7" w:rsidP="00D41FB7">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D41FB7" w:rsidRPr="00CB525E" w:rsidRDefault="00D41FB7" w:rsidP="00D41FB7">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D41FB7" w:rsidRPr="00CB525E" w:rsidRDefault="00D41FB7" w:rsidP="00D41FB7">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Se hace mención que en todas las auditorías deben participar</w:t>
      </w:r>
      <w:r>
        <w:rPr>
          <w:rFonts w:ascii="ITC Avant Garde" w:hAnsi="ITC Avant Garde"/>
          <w:sz w:val="20"/>
          <w:szCs w:val="20"/>
        </w:rPr>
        <w:t xml:space="preserve"> </w:t>
      </w:r>
      <w:r w:rsidRPr="00D41FB7">
        <w:rPr>
          <w:rFonts w:ascii="ITC Avant Garde" w:hAnsi="ITC Avant Garde"/>
          <w:sz w:val="20"/>
          <w:szCs w:val="20"/>
        </w:rPr>
        <w:t>representantes del Instituto y que dicha participación es preponderante</w:t>
      </w:r>
      <w:r>
        <w:rPr>
          <w:rFonts w:ascii="ITC Avant Garde" w:hAnsi="ITC Avant Garde"/>
          <w:sz w:val="20"/>
          <w:szCs w:val="20"/>
        </w:rPr>
        <w:t xml:space="preserve"> </w:t>
      </w:r>
      <w:r w:rsidRPr="00D41FB7">
        <w:rPr>
          <w:rFonts w:ascii="ITC Avant Garde" w:hAnsi="ITC Avant Garde"/>
          <w:sz w:val="20"/>
          <w:szCs w:val="20"/>
        </w:rPr>
        <w:t>e incluso decisiva durante las auditorías.</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lastRenderedPageBreak/>
        <w:t>En este aspecto se debe considerar los siguiente:</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Primero. El término técnico correcto para utilizar es Evaluación y no</w:t>
      </w:r>
      <w:r>
        <w:rPr>
          <w:rFonts w:ascii="ITC Avant Garde" w:hAnsi="ITC Avant Garde"/>
          <w:sz w:val="20"/>
          <w:szCs w:val="20"/>
        </w:rPr>
        <w:t xml:space="preserve"> </w:t>
      </w:r>
      <w:r w:rsidRPr="00D41FB7">
        <w:rPr>
          <w:rFonts w:ascii="ITC Avant Garde" w:hAnsi="ITC Avant Garde"/>
          <w:sz w:val="20"/>
          <w:szCs w:val="20"/>
        </w:rPr>
        <w:t>auditoría.</w:t>
      </w:r>
    </w:p>
    <w:p w:rsid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Segundo. La participación del personal del Instituto no es clara respecto</w:t>
      </w:r>
      <w:r>
        <w:rPr>
          <w:rFonts w:ascii="ITC Avant Garde" w:hAnsi="ITC Avant Garde"/>
          <w:sz w:val="20"/>
          <w:szCs w:val="20"/>
        </w:rPr>
        <w:t xml:space="preserve"> </w:t>
      </w:r>
      <w:r w:rsidRPr="00D41FB7">
        <w:rPr>
          <w:rFonts w:ascii="ITC Avant Garde" w:hAnsi="ITC Avant Garde"/>
          <w:sz w:val="20"/>
          <w:szCs w:val="20"/>
        </w:rPr>
        <w:t>a si participa como experto técnico o como observador.</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En caso de que participe como experto técnico, la Entidad de</w:t>
      </w:r>
      <w:r>
        <w:rPr>
          <w:rFonts w:ascii="ITC Avant Garde" w:hAnsi="ITC Avant Garde"/>
          <w:sz w:val="20"/>
          <w:szCs w:val="20"/>
        </w:rPr>
        <w:t xml:space="preserve"> </w:t>
      </w:r>
      <w:r w:rsidRPr="00D41FB7">
        <w:rPr>
          <w:rFonts w:ascii="ITC Avant Garde" w:hAnsi="ITC Avant Garde"/>
          <w:sz w:val="20"/>
          <w:szCs w:val="20"/>
        </w:rPr>
        <w:t>Acreditación debe asegurar que dicho personal firme los acuerdos para</w:t>
      </w:r>
      <w:r>
        <w:rPr>
          <w:rFonts w:ascii="ITC Avant Garde" w:hAnsi="ITC Avant Garde"/>
          <w:sz w:val="20"/>
          <w:szCs w:val="20"/>
        </w:rPr>
        <w:t xml:space="preserve"> </w:t>
      </w:r>
      <w:r w:rsidRPr="00D41FB7">
        <w:rPr>
          <w:rFonts w:ascii="ITC Avant Garde" w:hAnsi="ITC Avant Garde"/>
          <w:sz w:val="20"/>
          <w:szCs w:val="20"/>
        </w:rPr>
        <w:t>sujetarse a las condiciones de acreditación y evaluación de la Entidad de</w:t>
      </w:r>
      <w:r>
        <w:rPr>
          <w:rFonts w:ascii="ITC Avant Garde" w:hAnsi="ITC Avant Garde"/>
          <w:sz w:val="20"/>
          <w:szCs w:val="20"/>
        </w:rPr>
        <w:t xml:space="preserve"> </w:t>
      </w:r>
      <w:r w:rsidRPr="00D41FB7">
        <w:rPr>
          <w:rFonts w:ascii="ITC Avant Garde" w:hAnsi="ITC Avant Garde"/>
          <w:sz w:val="20"/>
          <w:szCs w:val="20"/>
        </w:rPr>
        <w:t>Acreditación.</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De acuerdo con las estructuras orgánicas que tienen algunas</w:t>
      </w:r>
      <w:r>
        <w:rPr>
          <w:rFonts w:ascii="ITC Avant Garde" w:hAnsi="ITC Avant Garde"/>
          <w:sz w:val="20"/>
          <w:szCs w:val="20"/>
        </w:rPr>
        <w:t xml:space="preserve"> </w:t>
      </w:r>
      <w:r w:rsidRPr="00D41FB7">
        <w:rPr>
          <w:rFonts w:ascii="ITC Avant Garde" w:hAnsi="ITC Avant Garde"/>
          <w:sz w:val="20"/>
          <w:szCs w:val="20"/>
        </w:rPr>
        <w:t>instituciones como el instituto, no permite al personal de dicha institución</w:t>
      </w:r>
      <w:r>
        <w:rPr>
          <w:rFonts w:ascii="ITC Avant Garde" w:hAnsi="ITC Avant Garde"/>
          <w:sz w:val="20"/>
          <w:szCs w:val="20"/>
        </w:rPr>
        <w:t xml:space="preserve"> </w:t>
      </w:r>
      <w:r w:rsidRPr="00D41FB7">
        <w:rPr>
          <w:rFonts w:ascii="ITC Avant Garde" w:hAnsi="ITC Avant Garde"/>
          <w:sz w:val="20"/>
          <w:szCs w:val="20"/>
        </w:rPr>
        <w:t>firmar este tipo de acuerdos. Esto ya ocurrió con el Centro Nacional de</w:t>
      </w:r>
      <w:r>
        <w:rPr>
          <w:rFonts w:ascii="ITC Avant Garde" w:hAnsi="ITC Avant Garde"/>
          <w:sz w:val="20"/>
          <w:szCs w:val="20"/>
        </w:rPr>
        <w:t xml:space="preserve"> </w:t>
      </w:r>
      <w:r w:rsidRPr="00D41FB7">
        <w:rPr>
          <w:rFonts w:ascii="ITC Avant Garde" w:hAnsi="ITC Avant Garde"/>
          <w:sz w:val="20"/>
          <w:szCs w:val="20"/>
        </w:rPr>
        <w:t>Metrología en el pasado.</w:t>
      </w:r>
    </w:p>
    <w:p w:rsidR="00D41FB7" w:rsidRPr="00D41FB7" w:rsidRDefault="00D41FB7" w:rsidP="00D41FB7">
      <w:pPr>
        <w:spacing w:line="276" w:lineRule="auto"/>
        <w:jc w:val="both"/>
        <w:rPr>
          <w:rFonts w:ascii="ITC Avant Garde" w:hAnsi="ITC Avant Garde"/>
          <w:sz w:val="20"/>
          <w:szCs w:val="20"/>
        </w:rPr>
      </w:pPr>
      <w:r w:rsidRPr="00D41FB7">
        <w:rPr>
          <w:rFonts w:ascii="ITC Avant Garde" w:hAnsi="ITC Avant Garde"/>
          <w:sz w:val="20"/>
          <w:szCs w:val="20"/>
        </w:rPr>
        <w:t>Es necesario aclarar en condición de qué participa.</w:t>
      </w:r>
    </w:p>
    <w:p w:rsidR="00D41FB7" w:rsidRPr="00CB525E" w:rsidRDefault="00D41FB7" w:rsidP="00D41FB7">
      <w:pPr>
        <w:spacing w:line="276" w:lineRule="auto"/>
        <w:jc w:val="both"/>
        <w:rPr>
          <w:rFonts w:ascii="ITC Avant Garde" w:eastAsia="Times New Roman" w:hAnsi="ITC Avant Garde" w:cs="ITC Avant Garde"/>
          <w:b/>
          <w:color w:val="000000"/>
          <w:sz w:val="20"/>
          <w:szCs w:val="20"/>
        </w:rPr>
      </w:pPr>
      <w:r w:rsidRPr="00D41FB7">
        <w:rPr>
          <w:rFonts w:ascii="ITC Avant Garde" w:hAnsi="ITC Avant Garde"/>
          <w:sz w:val="20"/>
          <w:szCs w:val="20"/>
        </w:rPr>
        <w:t>Por otro lado, esto impediría la firma de un ARM, ya que no le daría la</w:t>
      </w:r>
      <w:r>
        <w:rPr>
          <w:rFonts w:ascii="ITC Avant Garde" w:hAnsi="ITC Avant Garde"/>
          <w:sz w:val="20"/>
          <w:szCs w:val="20"/>
        </w:rPr>
        <w:t xml:space="preserve"> </w:t>
      </w:r>
      <w:r w:rsidRPr="00D41FB7">
        <w:rPr>
          <w:rFonts w:ascii="ITC Avant Garde" w:hAnsi="ITC Avant Garde"/>
          <w:sz w:val="20"/>
          <w:szCs w:val="20"/>
        </w:rPr>
        <w:t>Autonomía que solicita la norma ISO/IEC 17011 a la Entidad de</w:t>
      </w:r>
      <w:r>
        <w:rPr>
          <w:rFonts w:ascii="ITC Avant Garde" w:hAnsi="ITC Avant Garde"/>
          <w:sz w:val="20"/>
          <w:szCs w:val="20"/>
        </w:rPr>
        <w:t xml:space="preserve"> </w:t>
      </w:r>
      <w:r w:rsidRPr="00D41FB7">
        <w:rPr>
          <w:rFonts w:ascii="ITC Avant Garde" w:hAnsi="ITC Avant Garde"/>
          <w:sz w:val="20"/>
          <w:szCs w:val="20"/>
        </w:rPr>
        <w:t>Acreditación y da pie a pensar que los resultados están condicionados a</w:t>
      </w:r>
      <w:r>
        <w:rPr>
          <w:rFonts w:ascii="ITC Avant Garde" w:hAnsi="ITC Avant Garde"/>
          <w:sz w:val="20"/>
          <w:szCs w:val="20"/>
        </w:rPr>
        <w:t xml:space="preserve"> </w:t>
      </w:r>
      <w:r w:rsidRPr="00D41FB7">
        <w:rPr>
          <w:rFonts w:ascii="ITC Avant Garde" w:hAnsi="ITC Avant Garde"/>
          <w:sz w:val="20"/>
          <w:szCs w:val="20"/>
        </w:rPr>
        <w:t>la participación de este personal en las evaluaciones. Esto incluye el</w:t>
      </w:r>
      <w:r>
        <w:rPr>
          <w:rFonts w:ascii="ITC Avant Garde" w:hAnsi="ITC Avant Garde"/>
          <w:sz w:val="20"/>
          <w:szCs w:val="20"/>
        </w:rPr>
        <w:t xml:space="preserve"> </w:t>
      </w:r>
      <w:r w:rsidRPr="00D41FB7">
        <w:rPr>
          <w:rFonts w:ascii="ITC Avant Garde" w:hAnsi="ITC Avant Garde"/>
          <w:sz w:val="20"/>
          <w:szCs w:val="20"/>
        </w:rPr>
        <w:t>seguimiento a la acreditación (ordinarias o extraordinarias)</w:t>
      </w:r>
      <w:r w:rsidRPr="00B35A1C">
        <w:rPr>
          <w:rFonts w:ascii="ITC Avant Garde" w:hAnsi="ITC Avant Garde"/>
          <w:sz w:val="20"/>
          <w:szCs w:val="20"/>
        </w:rPr>
        <w:t>.</w:t>
      </w:r>
    </w:p>
    <w:p w:rsidR="00D41FB7" w:rsidRDefault="00D41FB7" w:rsidP="00A87C05">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A87C05" w:rsidRPr="00A87C05" w:rsidRDefault="00A87C05" w:rsidP="00A87C05">
      <w:pPr>
        <w:spacing w:line="276" w:lineRule="auto"/>
        <w:jc w:val="both"/>
        <w:rPr>
          <w:rFonts w:ascii="ITC Avant Garde" w:eastAsia="Times New Roman" w:hAnsi="ITC Avant Garde" w:cs="ITC Avant Garde"/>
          <w:color w:val="000000"/>
          <w:sz w:val="20"/>
          <w:szCs w:val="20"/>
        </w:rPr>
      </w:pPr>
      <w:r w:rsidRPr="00A87C05">
        <w:rPr>
          <w:rFonts w:ascii="ITC Avant Garde" w:eastAsia="Times New Roman" w:hAnsi="ITC Avant Garde" w:cs="ITC Avant Garde"/>
          <w:color w:val="000000"/>
          <w:sz w:val="20"/>
          <w:szCs w:val="20"/>
        </w:rPr>
        <w:t>Se considera parcialmente</w:t>
      </w:r>
    </w:p>
    <w:p w:rsidR="00A87C05" w:rsidRPr="00A87C05" w:rsidRDefault="00A87C05" w:rsidP="00A87C05">
      <w:pPr>
        <w:spacing w:line="276" w:lineRule="auto"/>
        <w:jc w:val="both"/>
        <w:rPr>
          <w:rFonts w:ascii="ITC Avant Garde" w:eastAsia="Times New Roman" w:hAnsi="ITC Avant Garde" w:cs="ITC Avant Garde"/>
          <w:color w:val="000000"/>
          <w:sz w:val="20"/>
          <w:szCs w:val="20"/>
        </w:rPr>
      </w:pPr>
      <w:r w:rsidRPr="00A87C05">
        <w:rPr>
          <w:rFonts w:ascii="ITC Avant Garde" w:eastAsia="Times New Roman" w:hAnsi="ITC Avant Garde" w:cs="ITC Avant Garde"/>
          <w:color w:val="000000"/>
          <w:sz w:val="20"/>
          <w:szCs w:val="20"/>
        </w:rPr>
        <w:t>Se reemplaza “auditorias” por “Evaluaciones”, a efecto de ser congruentes con lo definido en el lineamiento Quinto, fracción XIII.</w:t>
      </w:r>
    </w:p>
    <w:p w:rsidR="00A87C05" w:rsidRPr="00A87C05" w:rsidRDefault="00A87C05" w:rsidP="00A87C05">
      <w:pPr>
        <w:spacing w:line="276" w:lineRule="auto"/>
        <w:jc w:val="both"/>
        <w:rPr>
          <w:rFonts w:ascii="ITC Avant Garde" w:eastAsia="Times New Roman" w:hAnsi="ITC Avant Garde" w:cs="ITC Avant Garde"/>
          <w:color w:val="000000"/>
          <w:sz w:val="20"/>
          <w:szCs w:val="20"/>
        </w:rPr>
      </w:pPr>
      <w:r w:rsidRPr="00A87C05">
        <w:rPr>
          <w:rFonts w:ascii="ITC Avant Garde" w:eastAsia="Times New Roman" w:hAnsi="ITC Avant Garde" w:cs="ITC Avant Garde"/>
          <w:color w:val="000000"/>
          <w:sz w:val="20"/>
          <w:szCs w:val="20"/>
        </w:rPr>
        <w:t xml:space="preserve">Así mismo es </w:t>
      </w:r>
      <w:r>
        <w:rPr>
          <w:rFonts w:ascii="ITC Avant Garde" w:eastAsia="Times New Roman" w:hAnsi="ITC Avant Garde" w:cs="ITC Avant Garde"/>
          <w:color w:val="000000"/>
          <w:sz w:val="20"/>
          <w:szCs w:val="20"/>
        </w:rPr>
        <w:t>preciso reiterar</w:t>
      </w:r>
      <w:r w:rsidRPr="00A87C05">
        <w:rPr>
          <w:rFonts w:ascii="ITC Avant Garde" w:eastAsia="Times New Roman" w:hAnsi="ITC Avant Garde" w:cs="ITC Avant Garde"/>
          <w:color w:val="000000"/>
          <w:sz w:val="20"/>
          <w:szCs w:val="20"/>
        </w:rPr>
        <w:t xml:space="preserve"> lo </w:t>
      </w:r>
      <w:r>
        <w:rPr>
          <w:rFonts w:ascii="ITC Avant Garde" w:eastAsia="Times New Roman" w:hAnsi="ITC Avant Garde" w:cs="ITC Avant Garde"/>
          <w:color w:val="000000"/>
          <w:sz w:val="20"/>
          <w:szCs w:val="20"/>
        </w:rPr>
        <w:t>establecido en</w:t>
      </w:r>
      <w:r w:rsidRPr="00A87C05">
        <w:rPr>
          <w:rFonts w:ascii="ITC Avant Garde" w:eastAsia="Times New Roman" w:hAnsi="ITC Avant Garde" w:cs="ITC Avant Garde"/>
          <w:color w:val="000000"/>
          <w:sz w:val="20"/>
          <w:szCs w:val="20"/>
        </w:rPr>
        <w:t xml:space="preserve"> el artículo 7 de la LFTR:</w:t>
      </w:r>
    </w:p>
    <w:p w:rsidR="00A87C05" w:rsidRPr="00A87C05" w:rsidRDefault="00A87C05" w:rsidP="00A87C05">
      <w:pPr>
        <w:spacing w:line="276" w:lineRule="auto"/>
        <w:ind w:left="567"/>
        <w:jc w:val="both"/>
        <w:rPr>
          <w:rFonts w:ascii="ITC Avant Garde" w:eastAsia="Times New Roman" w:hAnsi="ITC Avant Garde" w:cs="ITC Avant Garde"/>
          <w:i/>
          <w:color w:val="000000"/>
          <w:sz w:val="20"/>
          <w:szCs w:val="20"/>
        </w:rPr>
      </w:pPr>
      <w:r w:rsidRPr="00A87C05">
        <w:rPr>
          <w:rFonts w:ascii="ITC Avant Garde" w:eastAsia="Times New Roman" w:hAnsi="ITC Avant Garde" w:cs="ITC Avant Garde"/>
          <w:i/>
          <w:color w:val="000000"/>
          <w:sz w:val="20"/>
          <w:szCs w:val="20"/>
        </w:rPr>
        <w:t xml:space="preserve">“El Instituto es la autoridad en materia de lineamientos técnicos relativos a la infraestructura y los equipos que se conecten a las redes de telecomunicaciones, así como en materia de homologación y evaluación de la conformidad de dicha infraestructura y equipos. </w:t>
      </w:r>
    </w:p>
    <w:p w:rsidR="00A87C05" w:rsidRPr="00A87C05" w:rsidRDefault="00A87C05" w:rsidP="00A87C05">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Adicionalmente, l</w:t>
      </w:r>
      <w:r w:rsidRPr="00A87C05">
        <w:rPr>
          <w:rFonts w:ascii="ITC Avant Garde" w:eastAsia="Times New Roman" w:hAnsi="ITC Avant Garde" w:cs="ITC Avant Garde"/>
          <w:color w:val="000000"/>
          <w:sz w:val="20"/>
          <w:szCs w:val="20"/>
        </w:rPr>
        <w:t xml:space="preserve">os funcionarios del Instituto deberán guiarse por los principios de autonomía, legalidad, objetividad, imparcialidad, certeza, eficiencia, eficacia, transparencia y rendición de cuentas. Desempeñarán su función con autonomía y probidad.” </w:t>
      </w:r>
    </w:p>
    <w:p w:rsidR="00A87C05" w:rsidRPr="00A87C05" w:rsidRDefault="00A87C05" w:rsidP="00A87C05">
      <w:pPr>
        <w:spacing w:line="276" w:lineRule="auto"/>
        <w:jc w:val="both"/>
        <w:rPr>
          <w:rFonts w:ascii="ITC Avant Garde" w:eastAsia="Times New Roman" w:hAnsi="ITC Avant Garde" w:cs="ITC Avant Garde"/>
          <w:color w:val="000000"/>
          <w:sz w:val="20"/>
          <w:szCs w:val="20"/>
        </w:rPr>
      </w:pPr>
      <w:r w:rsidRPr="00A87C05">
        <w:rPr>
          <w:rFonts w:ascii="ITC Avant Garde" w:eastAsia="Times New Roman" w:hAnsi="ITC Avant Garde" w:cs="ITC Avant Garde"/>
          <w:color w:val="000000"/>
          <w:sz w:val="20"/>
          <w:szCs w:val="20"/>
        </w:rPr>
        <w:t>Actualmente la</w:t>
      </w:r>
      <w:r w:rsidR="004400FC">
        <w:rPr>
          <w:rFonts w:ascii="ITC Avant Garde" w:eastAsia="Times New Roman" w:hAnsi="ITC Avant Garde" w:cs="ITC Avant Garde"/>
          <w:color w:val="000000"/>
          <w:sz w:val="20"/>
          <w:szCs w:val="20"/>
        </w:rPr>
        <w:t>s participaciones</w:t>
      </w:r>
      <w:r w:rsidRPr="00A87C05">
        <w:rPr>
          <w:rFonts w:ascii="ITC Avant Garde" w:eastAsia="Times New Roman" w:hAnsi="ITC Avant Garde" w:cs="ITC Avant Garde"/>
          <w:color w:val="000000"/>
          <w:sz w:val="20"/>
          <w:szCs w:val="20"/>
        </w:rPr>
        <w:t xml:space="preserve"> de los representantes del Instituto no han tenido la preponderancia necesaria por lo cual es del interés del Instituto que esta condición cambie en beneficio de Evaluaciones más apegadas al marco legal de la LFTR y los demás instrumentos legales que de ella emanan.</w:t>
      </w:r>
    </w:p>
    <w:p w:rsidR="00D41FB7" w:rsidRDefault="00D41FB7" w:rsidP="00EB592C">
      <w:pPr>
        <w:pStyle w:val="Textocomentario"/>
        <w:spacing w:line="276" w:lineRule="auto"/>
        <w:jc w:val="both"/>
        <w:rPr>
          <w:rFonts w:ascii="ITC Avant Garde" w:eastAsia="Times New Roman" w:hAnsi="ITC Avant Garde" w:cs="ITC Avant Garde"/>
          <w:color w:val="000000"/>
        </w:rPr>
      </w:pPr>
    </w:p>
    <w:p w:rsidR="00DA1C93" w:rsidRPr="00DA1C93" w:rsidRDefault="00DA1C93" w:rsidP="00DA1C93">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w:t>
      </w:r>
      <w:r w:rsidRPr="00DA1C93">
        <w:rPr>
          <w:rFonts w:ascii="ITC Avant Garde" w:hAnsi="ITC Avant Garde" w:cs="ITC Avant Garde"/>
          <w:b/>
          <w:sz w:val="20"/>
          <w:szCs w:val="20"/>
        </w:rPr>
        <w:t xml:space="preserve"> Quinto,</w:t>
      </w:r>
      <w:r>
        <w:rPr>
          <w:rFonts w:ascii="ITC Avant Garde" w:hAnsi="ITC Avant Garde" w:cs="ITC Avant Garde"/>
          <w:b/>
          <w:sz w:val="20"/>
          <w:szCs w:val="20"/>
        </w:rPr>
        <w:t xml:space="preserve"> </w:t>
      </w:r>
      <w:r w:rsidRPr="00DA1C93">
        <w:rPr>
          <w:rFonts w:ascii="ITC Avant Garde" w:hAnsi="ITC Avant Garde" w:cs="ITC Avant Garde"/>
          <w:b/>
          <w:sz w:val="20"/>
          <w:szCs w:val="20"/>
        </w:rPr>
        <w:t>numeral</w:t>
      </w:r>
      <w:r>
        <w:rPr>
          <w:rFonts w:ascii="ITC Avant Garde" w:hAnsi="ITC Avant Garde" w:cs="ITC Avant Garde"/>
          <w:b/>
          <w:sz w:val="20"/>
          <w:szCs w:val="20"/>
        </w:rPr>
        <w:t xml:space="preserve"> </w:t>
      </w:r>
      <w:r w:rsidRPr="00DA1C93">
        <w:rPr>
          <w:rFonts w:ascii="ITC Avant Garde" w:hAnsi="ITC Avant Garde" w:cs="ITC Avant Garde"/>
          <w:b/>
          <w:sz w:val="20"/>
          <w:szCs w:val="20"/>
        </w:rPr>
        <w:t>iii. c).</w:t>
      </w:r>
    </w:p>
    <w:p w:rsidR="00DA1C93" w:rsidRPr="00CB525E" w:rsidRDefault="00DA1C93" w:rsidP="00DA1C93">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DA1C93" w:rsidRPr="00CB525E" w:rsidRDefault="00DA1C93" w:rsidP="00DA1C93">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DA1C93" w:rsidRPr="00CB525E" w:rsidRDefault="00DA1C93" w:rsidP="00DA1C93">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lastRenderedPageBreak/>
        <w:t>Propuesta:</w:t>
      </w:r>
    </w:p>
    <w:p w:rsidR="00DA1C93" w:rsidRPr="00DA1C93" w:rsidRDefault="00DA1C93" w:rsidP="00DA1C93">
      <w:pPr>
        <w:spacing w:line="276" w:lineRule="auto"/>
        <w:jc w:val="both"/>
        <w:rPr>
          <w:rFonts w:ascii="ITC Avant Garde" w:eastAsia="Times New Roman" w:hAnsi="ITC Avant Garde" w:cs="ITC Avant Garde"/>
          <w:color w:val="000000"/>
          <w:sz w:val="20"/>
          <w:szCs w:val="20"/>
        </w:rPr>
      </w:pPr>
      <w:r w:rsidRPr="00DA1C93">
        <w:rPr>
          <w:rFonts w:ascii="ITC Avant Garde" w:eastAsia="Times New Roman" w:hAnsi="ITC Avant Garde" w:cs="ITC Avant Garde"/>
          <w:color w:val="000000"/>
          <w:sz w:val="20"/>
          <w:szCs w:val="20"/>
        </w:rPr>
        <w:t>En los organismos de acreditación, la asamblea general y del consejo</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directivo no deben participar en el proceso de acreditación, con la</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intención de salvaguardar la imparcialidad de la operación del servicio de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acreditación.</w:t>
      </w:r>
    </w:p>
    <w:p w:rsidR="00DA1C93" w:rsidRDefault="00DA1C93" w:rsidP="00DA1C93">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DA1C93" w:rsidRPr="00A87C05" w:rsidRDefault="00DA1C93" w:rsidP="00DA1C93">
      <w:pPr>
        <w:spacing w:line="276" w:lineRule="auto"/>
        <w:jc w:val="both"/>
        <w:rPr>
          <w:rFonts w:ascii="ITC Avant Garde" w:eastAsia="Times New Roman" w:hAnsi="ITC Avant Garde" w:cs="ITC Avant Garde"/>
          <w:color w:val="000000"/>
          <w:sz w:val="20"/>
          <w:szCs w:val="20"/>
        </w:rPr>
      </w:pPr>
      <w:r w:rsidRPr="00A87C05">
        <w:rPr>
          <w:rFonts w:ascii="ITC Avant Garde" w:eastAsia="Times New Roman" w:hAnsi="ITC Avant Garde" w:cs="ITC Avant Garde"/>
          <w:color w:val="000000"/>
          <w:sz w:val="20"/>
          <w:szCs w:val="20"/>
        </w:rPr>
        <w:t xml:space="preserve">Se considera </w:t>
      </w:r>
    </w:p>
    <w:p w:rsidR="00DA1C93" w:rsidRPr="00A87C05" w:rsidRDefault="00DA1C93" w:rsidP="00DA1C93">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Se elimina “</w:t>
      </w:r>
      <w:r w:rsidRPr="00DA1C93">
        <w:rPr>
          <w:rFonts w:ascii="ITC Avant Garde" w:eastAsia="Times New Roman" w:hAnsi="ITC Avant Garde" w:cs="ITC Avant Garde"/>
          <w:color w:val="000000"/>
          <w:sz w:val="20"/>
          <w:szCs w:val="20"/>
        </w:rPr>
        <w:t>en el proceso de acreditación</w:t>
      </w:r>
      <w:r>
        <w:rPr>
          <w:rFonts w:ascii="ITC Avant Garde" w:eastAsia="Times New Roman" w:hAnsi="ITC Avant Garde" w:cs="ITC Avant Garde"/>
          <w:color w:val="000000"/>
          <w:sz w:val="20"/>
          <w:szCs w:val="20"/>
        </w:rPr>
        <w:t>”</w:t>
      </w:r>
      <w:r w:rsidRPr="00A87C05">
        <w:rPr>
          <w:rFonts w:ascii="ITC Avant Garde" w:eastAsia="Times New Roman" w:hAnsi="ITC Avant Garde" w:cs="ITC Avant Garde"/>
          <w:color w:val="000000"/>
          <w:sz w:val="20"/>
          <w:szCs w:val="20"/>
        </w:rPr>
        <w:t>.</w:t>
      </w:r>
    </w:p>
    <w:p w:rsidR="00DA1C93" w:rsidRDefault="00DA1C93" w:rsidP="00EB592C">
      <w:pPr>
        <w:pStyle w:val="Textocomentario"/>
        <w:spacing w:line="276" w:lineRule="auto"/>
        <w:jc w:val="both"/>
        <w:rPr>
          <w:rFonts w:ascii="ITC Avant Garde" w:eastAsia="Times New Roman" w:hAnsi="ITC Avant Garde" w:cs="ITC Avant Garde"/>
          <w:color w:val="000000"/>
        </w:rPr>
      </w:pPr>
    </w:p>
    <w:p w:rsidR="00DA1C93" w:rsidRPr="00DA1C93" w:rsidRDefault="00DA1C93" w:rsidP="00DA1C93">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w:t>
      </w:r>
      <w:r w:rsidRPr="00DA1C93">
        <w:rPr>
          <w:rFonts w:ascii="ITC Avant Garde" w:hAnsi="ITC Avant Garde" w:cs="ITC Avant Garde"/>
          <w:b/>
          <w:sz w:val="20"/>
          <w:szCs w:val="20"/>
        </w:rPr>
        <w:t xml:space="preserve"> Quinto,</w:t>
      </w:r>
      <w:r>
        <w:rPr>
          <w:rFonts w:ascii="ITC Avant Garde" w:hAnsi="ITC Avant Garde" w:cs="ITC Avant Garde"/>
          <w:b/>
          <w:sz w:val="20"/>
          <w:szCs w:val="20"/>
        </w:rPr>
        <w:t xml:space="preserve"> </w:t>
      </w:r>
      <w:r w:rsidRPr="00DA1C93">
        <w:rPr>
          <w:rFonts w:ascii="ITC Avant Garde" w:hAnsi="ITC Avant Garde" w:cs="ITC Avant Garde"/>
          <w:b/>
          <w:sz w:val="20"/>
          <w:szCs w:val="20"/>
        </w:rPr>
        <w:t>numeral</w:t>
      </w:r>
      <w:r>
        <w:rPr>
          <w:rFonts w:ascii="ITC Avant Garde" w:hAnsi="ITC Avant Garde" w:cs="ITC Avant Garde"/>
          <w:b/>
          <w:sz w:val="20"/>
          <w:szCs w:val="20"/>
        </w:rPr>
        <w:t xml:space="preserve"> 3</w:t>
      </w:r>
      <w:r w:rsidRPr="00DA1C93">
        <w:rPr>
          <w:rFonts w:ascii="ITC Avant Garde" w:hAnsi="ITC Avant Garde" w:cs="ITC Avant Garde"/>
          <w:b/>
          <w:sz w:val="20"/>
          <w:szCs w:val="20"/>
        </w:rPr>
        <w:t xml:space="preserve"> </w:t>
      </w:r>
      <w:r>
        <w:rPr>
          <w:rFonts w:ascii="ITC Avant Garde" w:hAnsi="ITC Avant Garde" w:cs="ITC Avant Garde"/>
          <w:b/>
          <w:sz w:val="20"/>
          <w:szCs w:val="20"/>
        </w:rPr>
        <w:t>a</w:t>
      </w:r>
      <w:r w:rsidRPr="00DA1C93">
        <w:rPr>
          <w:rFonts w:ascii="ITC Avant Garde" w:hAnsi="ITC Avant Garde" w:cs="ITC Avant Garde"/>
          <w:b/>
          <w:sz w:val="20"/>
          <w:szCs w:val="20"/>
        </w:rPr>
        <w:t>).</w:t>
      </w:r>
    </w:p>
    <w:p w:rsidR="00DA1C93" w:rsidRPr="00CB525E" w:rsidRDefault="00DA1C93" w:rsidP="00DA1C93">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DA1C93" w:rsidRPr="00CB525E" w:rsidRDefault="00DA1C93" w:rsidP="00DA1C93">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DA1C93" w:rsidRPr="00CB525E" w:rsidRDefault="00DA1C93" w:rsidP="00DA1C93">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DA1C93" w:rsidRPr="00DA1C93" w:rsidRDefault="00DA1C93" w:rsidP="00DA1C93">
      <w:pPr>
        <w:spacing w:line="276" w:lineRule="auto"/>
        <w:jc w:val="both"/>
        <w:rPr>
          <w:rFonts w:ascii="ITC Avant Garde" w:eastAsia="Times New Roman" w:hAnsi="ITC Avant Garde" w:cs="ITC Avant Garde"/>
          <w:color w:val="000000"/>
          <w:sz w:val="20"/>
          <w:szCs w:val="20"/>
        </w:rPr>
      </w:pPr>
      <w:r w:rsidRPr="00DA1C93">
        <w:rPr>
          <w:rFonts w:ascii="ITC Avant Garde" w:eastAsia="Times New Roman" w:hAnsi="ITC Avant Garde" w:cs="ITC Avant Garde"/>
          <w:color w:val="000000"/>
          <w:sz w:val="20"/>
          <w:szCs w:val="20"/>
        </w:rPr>
        <w:t>Este requisito solamente puede ser aplicable a organismos de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acreditación que ya estén operando y que hayan recibido una evaluación</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de pares. En específico, en México es la Entidad Mexicana de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Acreditación, A.C., ya que tiene más de 22 años de operación y ha</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recibido múltiples evaluaciones de pares. En el caso de la Entidad de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Acreditación denominada “Mexicana de Acreditación A.C.”, no es posible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que haya recibido una Evaluación de Pares aún, ya que es un requisito</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inicial para operar como Organismo de Acreditación, ser evaluado por</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una cooperación regional con un grupo de Pares.</w:t>
      </w:r>
    </w:p>
    <w:p w:rsidR="00DA1C93" w:rsidRDefault="00DA1C93" w:rsidP="00DA1C93">
      <w:pPr>
        <w:spacing w:line="276" w:lineRule="auto"/>
        <w:jc w:val="both"/>
        <w:rPr>
          <w:rFonts w:ascii="ITC Avant Garde" w:eastAsia="Times New Roman" w:hAnsi="ITC Avant Garde" w:cs="ITC Avant Garde"/>
          <w:color w:val="000000"/>
          <w:sz w:val="20"/>
          <w:szCs w:val="20"/>
        </w:rPr>
      </w:pPr>
      <w:r w:rsidRPr="00DA1C93">
        <w:rPr>
          <w:rFonts w:ascii="ITC Avant Garde" w:eastAsia="Times New Roman" w:hAnsi="ITC Avant Garde" w:cs="ITC Avant Garde"/>
          <w:color w:val="000000"/>
          <w:sz w:val="20"/>
          <w:szCs w:val="20"/>
        </w:rPr>
        <w:t>Quizá es necesario reconsiderar este requisito y/o cambiarlo por una</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evaluación realizada por evaluadores que tengan o hayan tenido de</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manera demostrable el reconocimiento de evaluador por parte de una</w:t>
      </w:r>
      <w:r>
        <w:rPr>
          <w:rFonts w:ascii="ITC Avant Garde" w:eastAsia="Times New Roman" w:hAnsi="ITC Avant Garde" w:cs="ITC Avant Garde"/>
          <w:color w:val="000000"/>
          <w:sz w:val="20"/>
          <w:szCs w:val="20"/>
        </w:rPr>
        <w:t xml:space="preserve"> </w:t>
      </w:r>
      <w:r w:rsidRPr="00DA1C93">
        <w:rPr>
          <w:rFonts w:ascii="ITC Avant Garde" w:eastAsia="Times New Roman" w:hAnsi="ITC Avant Garde" w:cs="ITC Avant Garde"/>
          <w:color w:val="000000"/>
          <w:sz w:val="20"/>
          <w:szCs w:val="20"/>
        </w:rPr>
        <w:t>Cooperación Regional o Internacional de Acreditación.</w:t>
      </w:r>
    </w:p>
    <w:p w:rsidR="00382C0A" w:rsidRPr="00382C0A" w:rsidRDefault="00382C0A" w:rsidP="00382C0A">
      <w:pPr>
        <w:spacing w:line="276" w:lineRule="auto"/>
        <w:jc w:val="both"/>
        <w:rPr>
          <w:rFonts w:ascii="ITC Avant Garde" w:eastAsia="Times New Roman" w:hAnsi="ITC Avant Garde" w:cs="ITC Avant Garde"/>
          <w:color w:val="000000"/>
          <w:sz w:val="20"/>
          <w:szCs w:val="20"/>
        </w:rPr>
      </w:pPr>
      <w:r w:rsidRPr="00382C0A">
        <w:rPr>
          <w:rFonts w:ascii="ITC Avant Garde" w:eastAsia="Times New Roman" w:hAnsi="ITC Avant Garde" w:cs="ITC Avant Garde"/>
          <w:color w:val="000000"/>
          <w:sz w:val="20"/>
          <w:szCs w:val="20"/>
        </w:rPr>
        <w:t>Las evaluaciones de pares realizadas por las Cooperaciones Regionales</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o Internacionales son realizadas por evaluadores que tienen</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conocimiento general sobre la operación de un organismo de</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acreditación y no en un sector específico.</w:t>
      </w:r>
    </w:p>
    <w:p w:rsidR="00382C0A" w:rsidRPr="00382C0A" w:rsidRDefault="00382C0A" w:rsidP="00382C0A">
      <w:pPr>
        <w:spacing w:line="276" w:lineRule="auto"/>
        <w:jc w:val="both"/>
        <w:rPr>
          <w:rFonts w:ascii="ITC Avant Garde" w:eastAsia="Times New Roman" w:hAnsi="ITC Avant Garde" w:cs="ITC Avant Garde"/>
          <w:color w:val="000000"/>
          <w:sz w:val="20"/>
          <w:szCs w:val="20"/>
        </w:rPr>
      </w:pPr>
      <w:r w:rsidRPr="00382C0A">
        <w:rPr>
          <w:rFonts w:ascii="ITC Avant Garde" w:eastAsia="Times New Roman" w:hAnsi="ITC Avant Garde" w:cs="ITC Avant Garde"/>
          <w:color w:val="000000"/>
          <w:sz w:val="20"/>
          <w:szCs w:val="20"/>
        </w:rPr>
        <w:t>El solicitar una evaluación de pares específica en materia de</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telecomunicaciones, sería tener un requisito que no se podrá cumplir por</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ninguna de las Entidades de Acreditación reconocidas actualmente en</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México.</w:t>
      </w:r>
    </w:p>
    <w:p w:rsidR="00382C0A" w:rsidRPr="00382C0A" w:rsidRDefault="00382C0A" w:rsidP="00382C0A">
      <w:pPr>
        <w:spacing w:line="276" w:lineRule="auto"/>
        <w:jc w:val="both"/>
        <w:rPr>
          <w:rFonts w:ascii="ITC Avant Garde" w:eastAsia="Times New Roman" w:hAnsi="ITC Avant Garde" w:cs="ITC Avant Garde"/>
          <w:color w:val="000000"/>
          <w:sz w:val="20"/>
          <w:szCs w:val="20"/>
        </w:rPr>
      </w:pPr>
      <w:r w:rsidRPr="00382C0A">
        <w:rPr>
          <w:rFonts w:ascii="ITC Avant Garde" w:eastAsia="Times New Roman" w:hAnsi="ITC Avant Garde" w:cs="ITC Avant Garde"/>
          <w:color w:val="000000"/>
          <w:sz w:val="20"/>
          <w:szCs w:val="20"/>
        </w:rPr>
        <w:t>Asimismo, el solicitar una evaluación de pares específica representaría</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un costo alto para la organización que está iniciando su operación y que</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busca el reconocimiento en los términos de los presentes Lineamientos.</w:t>
      </w:r>
    </w:p>
    <w:p w:rsidR="00382C0A" w:rsidRPr="00DA1C93" w:rsidRDefault="00382C0A" w:rsidP="00382C0A">
      <w:pPr>
        <w:spacing w:line="276" w:lineRule="auto"/>
        <w:jc w:val="both"/>
        <w:rPr>
          <w:rFonts w:ascii="ITC Avant Garde" w:eastAsia="Times New Roman" w:hAnsi="ITC Avant Garde" w:cs="ITC Avant Garde"/>
          <w:color w:val="000000"/>
          <w:sz w:val="20"/>
          <w:szCs w:val="20"/>
        </w:rPr>
      </w:pPr>
      <w:r w:rsidRPr="00382C0A">
        <w:rPr>
          <w:rFonts w:ascii="ITC Avant Garde" w:eastAsia="Times New Roman" w:hAnsi="ITC Avant Garde" w:cs="ITC Avant Garde"/>
          <w:color w:val="000000"/>
          <w:sz w:val="20"/>
          <w:szCs w:val="20"/>
        </w:rPr>
        <w:t>Podría cambiarse este requisito por una evaluación conducida por</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evaluadores que tengan o hayan tenido un reconocimiento regional o</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internacional como evaluadores de pares con apoyo de expertos</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técnicos del Instituto y con esto ayudaría a simplificar el proceso de</w:t>
      </w:r>
      <w:r>
        <w:rPr>
          <w:rFonts w:ascii="ITC Avant Garde" w:eastAsia="Times New Roman" w:hAnsi="ITC Avant Garde" w:cs="ITC Avant Garde"/>
          <w:color w:val="000000"/>
          <w:sz w:val="20"/>
          <w:szCs w:val="20"/>
        </w:rPr>
        <w:t xml:space="preserve"> </w:t>
      </w:r>
      <w:r w:rsidRPr="00382C0A">
        <w:rPr>
          <w:rFonts w:ascii="ITC Avant Garde" w:eastAsia="Times New Roman" w:hAnsi="ITC Avant Garde" w:cs="ITC Avant Garde"/>
          <w:color w:val="000000"/>
          <w:sz w:val="20"/>
          <w:szCs w:val="20"/>
        </w:rPr>
        <w:t>autorización y/o reconocimiento bajo estos Lineamientos.</w:t>
      </w:r>
    </w:p>
    <w:p w:rsidR="00DA1C93" w:rsidRDefault="00DA1C93" w:rsidP="00DA1C93">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E27412" w:rsidRPr="00E27412" w:rsidRDefault="00E27412" w:rsidP="00E27412">
      <w:pPr>
        <w:spacing w:line="276" w:lineRule="auto"/>
        <w:jc w:val="both"/>
        <w:rPr>
          <w:rFonts w:ascii="ITC Avant Garde" w:eastAsia="Times New Roman" w:hAnsi="ITC Avant Garde" w:cs="ITC Avant Garde"/>
          <w:color w:val="000000"/>
          <w:sz w:val="20"/>
          <w:szCs w:val="20"/>
        </w:rPr>
      </w:pPr>
      <w:r w:rsidRPr="00E27412">
        <w:rPr>
          <w:rFonts w:ascii="ITC Avant Garde" w:eastAsia="Times New Roman" w:hAnsi="ITC Avant Garde" w:cs="ITC Avant Garde"/>
          <w:color w:val="000000"/>
          <w:sz w:val="20"/>
          <w:szCs w:val="20"/>
        </w:rPr>
        <w:lastRenderedPageBreak/>
        <w:t>No se considera</w:t>
      </w:r>
    </w:p>
    <w:p w:rsidR="00344E23" w:rsidRDefault="00344E23" w:rsidP="00E27412">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En virtud que los presentes lineamientos aplican a OA que soliciten la Autorización del Instituto para acreditar OEC, por lo que se considera que dichos OA ya son OA, tal como lo indica el lineamiento primero que a la letra dice:</w:t>
      </w:r>
    </w:p>
    <w:p w:rsidR="00344E23" w:rsidRPr="00344E23" w:rsidRDefault="00344E23" w:rsidP="00E27412">
      <w:pPr>
        <w:spacing w:line="276" w:lineRule="auto"/>
        <w:jc w:val="both"/>
        <w:rPr>
          <w:rFonts w:ascii="ITC Avant Garde" w:eastAsia="Times New Roman" w:hAnsi="ITC Avant Garde" w:cs="ITC Avant Garde"/>
          <w:i/>
          <w:color w:val="000000"/>
          <w:sz w:val="20"/>
          <w:szCs w:val="20"/>
        </w:rPr>
      </w:pPr>
      <w:r>
        <w:rPr>
          <w:rFonts w:ascii="ITC Avant Garde" w:eastAsia="Times New Roman" w:hAnsi="ITC Avant Garde" w:cs="ITC Avant Garde"/>
          <w:color w:val="000000"/>
          <w:sz w:val="20"/>
          <w:szCs w:val="20"/>
        </w:rPr>
        <w:tab/>
      </w:r>
      <w:r w:rsidRPr="00344E23">
        <w:rPr>
          <w:rFonts w:ascii="ITC Avant Garde" w:eastAsia="Times New Roman" w:hAnsi="ITC Avant Garde" w:cs="ITC Avant Garde"/>
          <w:i/>
          <w:color w:val="000000"/>
          <w:sz w:val="20"/>
          <w:szCs w:val="20"/>
        </w:rPr>
        <w:t xml:space="preserve">“PRIMERO. Los presentes lineamientos tienen por objeto establecer los </w:t>
      </w:r>
      <w:r w:rsidRPr="00344E23">
        <w:rPr>
          <w:rFonts w:ascii="ITC Avant Garde" w:eastAsia="Times New Roman" w:hAnsi="ITC Avant Garde" w:cs="ITC Avant Garde"/>
          <w:i/>
          <w:color w:val="000000"/>
          <w:sz w:val="20"/>
          <w:szCs w:val="20"/>
        </w:rPr>
        <w:tab/>
        <w:t xml:space="preserve">procedimientos y requisitos de observancia obligatoria para obtener la autorización </w:t>
      </w:r>
      <w:r w:rsidRPr="00344E23">
        <w:rPr>
          <w:rFonts w:ascii="ITC Avant Garde" w:eastAsia="Times New Roman" w:hAnsi="ITC Avant Garde" w:cs="ITC Avant Garde"/>
          <w:i/>
          <w:color w:val="000000"/>
          <w:sz w:val="20"/>
          <w:szCs w:val="20"/>
        </w:rPr>
        <w:tab/>
        <w:t xml:space="preserve">del Instituto, para que los Organismos de Acreditación otorguen la acreditación </w:t>
      </w:r>
      <w:r w:rsidRPr="00344E23">
        <w:rPr>
          <w:rFonts w:ascii="ITC Avant Garde" w:eastAsia="Times New Roman" w:hAnsi="ITC Avant Garde" w:cs="ITC Avant Garde"/>
          <w:i/>
          <w:color w:val="000000"/>
          <w:sz w:val="20"/>
          <w:szCs w:val="20"/>
        </w:rPr>
        <w:tab/>
        <w:t xml:space="preserve">respectiva a los Organismos de Evaluación de la Conformidad en materia de </w:t>
      </w:r>
      <w:r w:rsidRPr="00344E23">
        <w:rPr>
          <w:rFonts w:ascii="ITC Avant Garde" w:eastAsia="Times New Roman" w:hAnsi="ITC Avant Garde" w:cs="ITC Avant Garde"/>
          <w:i/>
          <w:color w:val="000000"/>
          <w:sz w:val="20"/>
          <w:szCs w:val="20"/>
        </w:rPr>
        <w:tab/>
        <w:t xml:space="preserve">telecomunicaciones y radiodifusión; así como los requisitos que el Instituto deberá </w:t>
      </w:r>
      <w:r w:rsidRPr="00344E23">
        <w:rPr>
          <w:rFonts w:ascii="ITC Avant Garde" w:eastAsia="Times New Roman" w:hAnsi="ITC Avant Garde" w:cs="ITC Avant Garde"/>
          <w:i/>
          <w:color w:val="000000"/>
          <w:sz w:val="20"/>
          <w:szCs w:val="20"/>
        </w:rPr>
        <w:tab/>
        <w:t>observar, en caso de que funja como Organismo de Acreditación.”</w:t>
      </w:r>
    </w:p>
    <w:p w:rsidR="00DA1C93" w:rsidRPr="00A87C05" w:rsidRDefault="00344E23" w:rsidP="00E27412">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Adicionalmente, es</w:t>
      </w:r>
      <w:r w:rsidR="00E27412" w:rsidRPr="00E27412">
        <w:rPr>
          <w:rFonts w:ascii="ITC Avant Garde" w:eastAsia="Times New Roman" w:hAnsi="ITC Avant Garde" w:cs="ITC Avant Garde"/>
          <w:color w:val="000000"/>
          <w:sz w:val="20"/>
          <w:szCs w:val="20"/>
        </w:rPr>
        <w:t xml:space="preserve"> del interés del Instituto que los OA </w:t>
      </w:r>
      <w:r>
        <w:rPr>
          <w:rFonts w:ascii="ITC Avant Garde" w:eastAsia="Times New Roman" w:hAnsi="ITC Avant Garde" w:cs="ITC Avant Garde"/>
          <w:color w:val="000000"/>
          <w:sz w:val="20"/>
          <w:szCs w:val="20"/>
        </w:rPr>
        <w:t xml:space="preserve">Autorizados </w:t>
      </w:r>
      <w:r w:rsidR="00E27412" w:rsidRPr="00E27412">
        <w:rPr>
          <w:rFonts w:ascii="ITC Avant Garde" w:eastAsia="Times New Roman" w:hAnsi="ITC Avant Garde" w:cs="ITC Avant Garde"/>
          <w:color w:val="000000"/>
          <w:sz w:val="20"/>
          <w:szCs w:val="20"/>
        </w:rPr>
        <w:t>tengan al menos una evaluación entre pares en materia de telecomunicaciones y/o radiodifusión</w:t>
      </w:r>
      <w:r w:rsidR="00382C0A">
        <w:rPr>
          <w:rFonts w:ascii="ITC Avant Garde" w:eastAsia="Times New Roman" w:hAnsi="ITC Avant Garde" w:cs="ITC Avant Garde"/>
          <w:color w:val="000000"/>
          <w:sz w:val="20"/>
          <w:szCs w:val="20"/>
        </w:rPr>
        <w:t xml:space="preserve">, </w:t>
      </w:r>
      <w:r w:rsidR="00804844">
        <w:rPr>
          <w:rFonts w:ascii="ITC Avant Garde" w:eastAsia="Times New Roman" w:hAnsi="ITC Avant Garde" w:cs="ITC Avant Garde"/>
          <w:color w:val="000000"/>
          <w:sz w:val="20"/>
          <w:szCs w:val="20"/>
        </w:rPr>
        <w:t>por lo que los OA nacionales podrán contactar a los OA de tercera parte designados por el NIST de los EUA (</w:t>
      </w:r>
      <w:hyperlink r:id="rId8" w:history="1">
        <w:r w:rsidR="00804844" w:rsidRPr="00FF4E8C">
          <w:rPr>
            <w:rStyle w:val="Hipervnculo"/>
            <w:rFonts w:ascii="ITC Avant Garde" w:eastAsia="Times New Roman" w:hAnsi="ITC Avant Garde" w:cs="ITC Avant Garde"/>
            <w:sz w:val="20"/>
            <w:szCs w:val="20"/>
          </w:rPr>
          <w:t>https://www.nist.gov/standardsgov/accreditation-bodies-mras</w:t>
        </w:r>
      </w:hyperlink>
      <w:r w:rsidR="00804844">
        <w:rPr>
          <w:rFonts w:ascii="ITC Avant Garde" w:eastAsia="Times New Roman" w:hAnsi="ITC Avant Garde" w:cs="ITC Avant Garde"/>
          <w:color w:val="000000"/>
          <w:sz w:val="20"/>
          <w:szCs w:val="20"/>
        </w:rPr>
        <w:t>) para tales efectos</w:t>
      </w:r>
      <w:r w:rsidR="00804844" w:rsidRPr="00E27412">
        <w:rPr>
          <w:rFonts w:ascii="ITC Avant Garde" w:eastAsia="Times New Roman" w:hAnsi="ITC Avant Garde" w:cs="ITC Avant Garde"/>
          <w:color w:val="000000"/>
          <w:sz w:val="20"/>
          <w:szCs w:val="20"/>
        </w:rPr>
        <w:t>, de conformidad con la ISO/IEC</w:t>
      </w:r>
      <w:r w:rsidR="00804844">
        <w:rPr>
          <w:rFonts w:ascii="ITC Avant Garde" w:eastAsia="Times New Roman" w:hAnsi="ITC Avant Garde" w:cs="ITC Avant Garde"/>
          <w:color w:val="000000"/>
          <w:sz w:val="20"/>
          <w:szCs w:val="20"/>
        </w:rPr>
        <w:t> </w:t>
      </w:r>
      <w:r w:rsidR="00804844" w:rsidRPr="00E27412">
        <w:rPr>
          <w:rFonts w:ascii="ITC Avant Garde" w:eastAsia="Times New Roman" w:hAnsi="ITC Avant Garde" w:cs="ITC Avant Garde"/>
          <w:color w:val="000000"/>
          <w:sz w:val="20"/>
          <w:szCs w:val="20"/>
        </w:rPr>
        <w:t>17011 vigente</w:t>
      </w:r>
      <w:r w:rsidR="00E27412" w:rsidRPr="00E27412">
        <w:rPr>
          <w:rFonts w:ascii="ITC Avant Garde" w:eastAsia="Times New Roman" w:hAnsi="ITC Avant Garde" w:cs="ITC Avant Garde"/>
          <w:color w:val="000000"/>
          <w:sz w:val="20"/>
          <w:szCs w:val="20"/>
        </w:rPr>
        <w:t xml:space="preserve">. A efecto de que demuestren competencia en estas </w:t>
      </w:r>
      <w:r w:rsidR="00D1727B" w:rsidRPr="00E27412">
        <w:rPr>
          <w:rFonts w:ascii="ITC Avant Garde" w:eastAsia="Times New Roman" w:hAnsi="ITC Avant Garde" w:cs="ITC Avant Garde"/>
          <w:color w:val="000000"/>
          <w:sz w:val="20"/>
          <w:szCs w:val="20"/>
        </w:rPr>
        <w:t>materias,</w:t>
      </w:r>
      <w:r w:rsidR="00D1727B">
        <w:rPr>
          <w:rFonts w:ascii="ITC Avant Garde" w:eastAsia="Times New Roman" w:hAnsi="ITC Avant Garde" w:cs="ITC Avant Garde"/>
          <w:color w:val="000000"/>
          <w:sz w:val="20"/>
          <w:szCs w:val="20"/>
        </w:rPr>
        <w:t xml:space="preserve"> así como en el marco de los Acuerdo de Reconocimiento Mutuo signados entre gobiernos</w:t>
      </w:r>
      <w:r w:rsidR="00E27412" w:rsidRPr="00E27412">
        <w:rPr>
          <w:rFonts w:ascii="ITC Avant Garde" w:eastAsia="Times New Roman" w:hAnsi="ITC Avant Garde" w:cs="ITC Avant Garde"/>
          <w:color w:val="000000"/>
          <w:sz w:val="20"/>
          <w:szCs w:val="20"/>
        </w:rPr>
        <w:t>.</w:t>
      </w:r>
    </w:p>
    <w:p w:rsidR="00DA1C93" w:rsidRDefault="00DA1C93" w:rsidP="00EB592C">
      <w:pPr>
        <w:pStyle w:val="Textocomentario"/>
        <w:spacing w:line="276" w:lineRule="auto"/>
        <w:jc w:val="both"/>
        <w:rPr>
          <w:rFonts w:ascii="ITC Avant Garde" w:eastAsia="Times New Roman" w:hAnsi="ITC Avant Garde" w:cs="ITC Avant Garde"/>
          <w:color w:val="000000"/>
        </w:rPr>
      </w:pPr>
    </w:p>
    <w:p w:rsidR="00921E7F" w:rsidRPr="00921E7F" w:rsidRDefault="00382C0A" w:rsidP="00382C0A">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w:t>
      </w:r>
      <w:r w:rsidRPr="00DA1C93">
        <w:rPr>
          <w:rFonts w:ascii="ITC Avant Garde" w:hAnsi="ITC Avant Garde" w:cs="ITC Avant Garde"/>
          <w:b/>
          <w:sz w:val="20"/>
          <w:szCs w:val="20"/>
        </w:rPr>
        <w:t xml:space="preserve"> Quinto,</w:t>
      </w:r>
      <w:r>
        <w:rPr>
          <w:rFonts w:ascii="ITC Avant Garde" w:hAnsi="ITC Avant Garde" w:cs="ITC Avant Garde"/>
          <w:b/>
          <w:sz w:val="20"/>
          <w:szCs w:val="20"/>
        </w:rPr>
        <w:t xml:space="preserve"> </w:t>
      </w:r>
      <w:r w:rsidR="00921E7F" w:rsidRPr="00921E7F">
        <w:rPr>
          <w:rFonts w:ascii="ITC Avant Garde" w:hAnsi="ITC Avant Garde" w:cs="ITC Avant Garde"/>
          <w:b/>
          <w:sz w:val="20"/>
          <w:szCs w:val="20"/>
        </w:rPr>
        <w:t>numeral 4 i) y ii)</w:t>
      </w:r>
    </w:p>
    <w:p w:rsidR="00382C0A" w:rsidRPr="00CB525E" w:rsidRDefault="00382C0A" w:rsidP="00382C0A">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382C0A" w:rsidRPr="00CB525E" w:rsidRDefault="00382C0A" w:rsidP="00382C0A">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382C0A" w:rsidRPr="00CB525E" w:rsidRDefault="00382C0A" w:rsidP="00382C0A">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921E7F" w:rsidRPr="00921E7F" w:rsidRDefault="00921E7F" w:rsidP="00921E7F">
      <w:pPr>
        <w:spacing w:line="276" w:lineRule="auto"/>
        <w:jc w:val="both"/>
        <w:rPr>
          <w:rFonts w:ascii="ITC Avant Garde" w:eastAsia="Times New Roman" w:hAnsi="ITC Avant Garde" w:cs="ITC Avant Garde"/>
          <w:color w:val="000000"/>
          <w:sz w:val="20"/>
          <w:szCs w:val="20"/>
        </w:rPr>
      </w:pPr>
      <w:r w:rsidRPr="00921E7F">
        <w:rPr>
          <w:rFonts w:ascii="ITC Avant Garde" w:eastAsia="Times New Roman" w:hAnsi="ITC Avant Garde" w:cs="ITC Avant Garde"/>
          <w:color w:val="000000"/>
          <w:sz w:val="20"/>
          <w:szCs w:val="20"/>
        </w:rPr>
        <w:t>Este requisito solamente puede ser aplicable a organismos de</w:t>
      </w:r>
      <w:r>
        <w:rPr>
          <w:rFonts w:ascii="ITC Avant Garde" w:eastAsia="Times New Roman" w:hAnsi="ITC Avant Garde" w:cs="ITC Avant Garde"/>
          <w:color w:val="000000"/>
          <w:sz w:val="20"/>
          <w:szCs w:val="20"/>
        </w:rPr>
        <w:t xml:space="preserve"> </w:t>
      </w:r>
      <w:r w:rsidRPr="00921E7F">
        <w:rPr>
          <w:rFonts w:ascii="ITC Avant Garde" w:eastAsia="Times New Roman" w:hAnsi="ITC Avant Garde" w:cs="ITC Avant Garde"/>
          <w:color w:val="000000"/>
          <w:sz w:val="20"/>
          <w:szCs w:val="20"/>
        </w:rPr>
        <w:t>acreditación que ya estén operando y que hayan sido aceptados por un</w:t>
      </w:r>
      <w:r>
        <w:rPr>
          <w:rFonts w:ascii="ITC Avant Garde" w:eastAsia="Times New Roman" w:hAnsi="ITC Avant Garde" w:cs="ITC Avant Garde"/>
          <w:color w:val="000000"/>
          <w:sz w:val="20"/>
          <w:szCs w:val="20"/>
        </w:rPr>
        <w:t xml:space="preserve"> </w:t>
      </w:r>
      <w:r w:rsidRPr="00921E7F">
        <w:rPr>
          <w:rFonts w:ascii="ITC Avant Garde" w:eastAsia="Times New Roman" w:hAnsi="ITC Avant Garde" w:cs="ITC Avant Garde"/>
          <w:color w:val="000000"/>
          <w:sz w:val="20"/>
          <w:szCs w:val="20"/>
        </w:rPr>
        <w:t>Organismo Regional o Internacional de Acreditación.</w:t>
      </w:r>
    </w:p>
    <w:p w:rsidR="00382C0A" w:rsidRPr="00DA1C93" w:rsidRDefault="00921E7F" w:rsidP="00921E7F">
      <w:pPr>
        <w:spacing w:line="276" w:lineRule="auto"/>
        <w:jc w:val="both"/>
        <w:rPr>
          <w:rFonts w:ascii="ITC Avant Garde" w:eastAsia="Times New Roman" w:hAnsi="ITC Avant Garde" w:cs="ITC Avant Garde"/>
          <w:color w:val="000000"/>
          <w:sz w:val="20"/>
          <w:szCs w:val="20"/>
        </w:rPr>
      </w:pPr>
      <w:r w:rsidRPr="00921E7F">
        <w:rPr>
          <w:rFonts w:ascii="ITC Avant Garde" w:eastAsia="Times New Roman" w:hAnsi="ITC Avant Garde" w:cs="ITC Avant Garde"/>
          <w:color w:val="000000"/>
          <w:sz w:val="20"/>
          <w:szCs w:val="20"/>
        </w:rPr>
        <w:t>En el caso de las Cooperaciones Regionales o Internacionales de</w:t>
      </w:r>
      <w:r>
        <w:rPr>
          <w:rFonts w:ascii="ITC Avant Garde" w:eastAsia="Times New Roman" w:hAnsi="ITC Avant Garde" w:cs="ITC Avant Garde"/>
          <w:color w:val="000000"/>
          <w:sz w:val="20"/>
          <w:szCs w:val="20"/>
        </w:rPr>
        <w:t xml:space="preserve"> </w:t>
      </w:r>
      <w:r w:rsidRPr="00921E7F">
        <w:rPr>
          <w:rFonts w:ascii="ITC Avant Garde" w:eastAsia="Times New Roman" w:hAnsi="ITC Avant Garde" w:cs="ITC Avant Garde"/>
          <w:color w:val="000000"/>
          <w:sz w:val="20"/>
          <w:szCs w:val="20"/>
        </w:rPr>
        <w:t>Acreditación, para ser aceptado como miembro asociado y no puede ser</w:t>
      </w:r>
      <w:r>
        <w:rPr>
          <w:rFonts w:ascii="ITC Avant Garde" w:eastAsia="Times New Roman" w:hAnsi="ITC Avant Garde" w:cs="ITC Avant Garde"/>
          <w:color w:val="000000"/>
          <w:sz w:val="20"/>
          <w:szCs w:val="20"/>
        </w:rPr>
        <w:t xml:space="preserve"> </w:t>
      </w:r>
      <w:r w:rsidRPr="00921E7F">
        <w:rPr>
          <w:rFonts w:ascii="ITC Avant Garde" w:eastAsia="Times New Roman" w:hAnsi="ITC Avant Garde" w:cs="ITC Avant Garde"/>
          <w:color w:val="000000"/>
          <w:sz w:val="20"/>
          <w:szCs w:val="20"/>
        </w:rPr>
        <w:t>aceptado como miembro pleno hasta que haya sido evaluado y firme un</w:t>
      </w:r>
      <w:r>
        <w:rPr>
          <w:rFonts w:ascii="ITC Avant Garde" w:eastAsia="Times New Roman" w:hAnsi="ITC Avant Garde" w:cs="ITC Avant Garde"/>
          <w:color w:val="000000"/>
          <w:sz w:val="20"/>
          <w:szCs w:val="20"/>
        </w:rPr>
        <w:t xml:space="preserve"> </w:t>
      </w:r>
      <w:r w:rsidRPr="00921E7F">
        <w:rPr>
          <w:rFonts w:ascii="ITC Avant Garde" w:eastAsia="Times New Roman" w:hAnsi="ITC Avant Garde" w:cs="ITC Avant Garde"/>
          <w:color w:val="000000"/>
          <w:sz w:val="20"/>
          <w:szCs w:val="20"/>
        </w:rPr>
        <w:t>ARM</w:t>
      </w:r>
      <w:r w:rsidR="00382C0A" w:rsidRPr="00DA1C93">
        <w:rPr>
          <w:rFonts w:ascii="ITC Avant Garde" w:eastAsia="Times New Roman" w:hAnsi="ITC Avant Garde" w:cs="ITC Avant Garde"/>
          <w:color w:val="000000"/>
          <w:sz w:val="20"/>
          <w:szCs w:val="20"/>
        </w:rPr>
        <w:t>.</w:t>
      </w:r>
    </w:p>
    <w:p w:rsidR="00382C0A" w:rsidRDefault="00382C0A" w:rsidP="00382C0A">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921E7F" w:rsidRPr="00921E7F" w:rsidRDefault="00921E7F" w:rsidP="00921E7F">
      <w:pPr>
        <w:spacing w:line="276" w:lineRule="auto"/>
        <w:jc w:val="both"/>
        <w:rPr>
          <w:rFonts w:ascii="ITC Avant Garde" w:eastAsia="Times New Roman" w:hAnsi="ITC Avant Garde" w:cs="ITC Avant Garde"/>
          <w:color w:val="000000"/>
          <w:sz w:val="20"/>
          <w:szCs w:val="20"/>
        </w:rPr>
      </w:pPr>
      <w:r w:rsidRPr="00921E7F">
        <w:rPr>
          <w:rFonts w:ascii="ITC Avant Garde" w:eastAsia="Times New Roman" w:hAnsi="ITC Avant Garde" w:cs="ITC Avant Garde"/>
          <w:color w:val="000000"/>
          <w:sz w:val="20"/>
          <w:szCs w:val="20"/>
        </w:rPr>
        <w:t>Se toma nota</w:t>
      </w:r>
    </w:p>
    <w:p w:rsidR="00382C0A" w:rsidRDefault="00921E7F" w:rsidP="00921E7F">
      <w:pPr>
        <w:spacing w:line="276" w:lineRule="auto"/>
        <w:jc w:val="both"/>
        <w:rPr>
          <w:rFonts w:ascii="ITC Avant Garde" w:eastAsia="Times New Roman" w:hAnsi="ITC Avant Garde" w:cs="ITC Avant Garde"/>
          <w:color w:val="000000"/>
          <w:sz w:val="20"/>
          <w:szCs w:val="20"/>
        </w:rPr>
      </w:pPr>
      <w:r w:rsidRPr="00921E7F">
        <w:rPr>
          <w:rFonts w:ascii="ITC Avant Garde" w:eastAsia="Times New Roman" w:hAnsi="ITC Avant Garde" w:cs="ITC Avant Garde"/>
          <w:color w:val="000000"/>
          <w:sz w:val="20"/>
          <w:szCs w:val="20"/>
        </w:rPr>
        <w:t xml:space="preserve">Sin embargo, se </w:t>
      </w:r>
      <w:r>
        <w:rPr>
          <w:rFonts w:ascii="ITC Avant Garde" w:eastAsia="Times New Roman" w:hAnsi="ITC Avant Garde" w:cs="ITC Avant Garde"/>
          <w:color w:val="000000"/>
          <w:sz w:val="20"/>
          <w:szCs w:val="20"/>
        </w:rPr>
        <w:t>reitera</w:t>
      </w:r>
      <w:r w:rsidRPr="00921E7F">
        <w:rPr>
          <w:rFonts w:ascii="ITC Avant Garde" w:eastAsia="Times New Roman" w:hAnsi="ITC Avant Garde" w:cs="ITC Avant Garde"/>
          <w:color w:val="000000"/>
          <w:sz w:val="20"/>
          <w:szCs w:val="20"/>
        </w:rPr>
        <w:t xml:space="preserve"> que los requisitos </w:t>
      </w:r>
      <w:r>
        <w:rPr>
          <w:rFonts w:ascii="ITC Avant Garde" w:eastAsia="Times New Roman" w:hAnsi="ITC Avant Garde" w:cs="ITC Avant Garde"/>
          <w:color w:val="000000"/>
          <w:sz w:val="20"/>
          <w:szCs w:val="20"/>
        </w:rPr>
        <w:t xml:space="preserve">de los Lineamientos de mérito </w:t>
      </w:r>
      <w:r w:rsidRPr="00921E7F">
        <w:rPr>
          <w:rFonts w:ascii="ITC Avant Garde" w:eastAsia="Times New Roman" w:hAnsi="ITC Avant Garde" w:cs="ITC Avant Garde"/>
          <w:color w:val="000000"/>
          <w:sz w:val="20"/>
          <w:szCs w:val="20"/>
        </w:rPr>
        <w:t>deberán ser presentados por los solicitantes que tengan interés de ser designados, por el Instituto en su calidad de autoridad designadora, como OA en el marco de los ARM signados entre gobiernos</w:t>
      </w:r>
      <w:r>
        <w:rPr>
          <w:rFonts w:ascii="ITC Avant Garde" w:eastAsia="Times New Roman" w:hAnsi="ITC Avant Garde" w:cs="ITC Avant Garde"/>
          <w:color w:val="000000"/>
          <w:sz w:val="20"/>
          <w:szCs w:val="20"/>
        </w:rPr>
        <w:t>.</w:t>
      </w:r>
    </w:p>
    <w:p w:rsidR="00921E7F" w:rsidRPr="00A87C05" w:rsidRDefault="00921E7F" w:rsidP="00921E7F">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No se omite indicar, que es</w:t>
      </w:r>
      <w:r w:rsidRPr="00E27412">
        <w:rPr>
          <w:rFonts w:ascii="ITC Avant Garde" w:eastAsia="Times New Roman" w:hAnsi="ITC Avant Garde" w:cs="ITC Avant Garde"/>
          <w:color w:val="000000"/>
          <w:sz w:val="20"/>
          <w:szCs w:val="20"/>
        </w:rPr>
        <w:t xml:space="preserve"> del interés del Instituto que los OA </w:t>
      </w:r>
      <w:r>
        <w:rPr>
          <w:rFonts w:ascii="ITC Avant Garde" w:eastAsia="Times New Roman" w:hAnsi="ITC Avant Garde" w:cs="ITC Avant Garde"/>
          <w:color w:val="000000"/>
          <w:sz w:val="20"/>
          <w:szCs w:val="20"/>
        </w:rPr>
        <w:t xml:space="preserve">Autorizados y designados en el marco de un ARM signado entre gobiernos, </w:t>
      </w:r>
      <w:r w:rsidRPr="00E27412">
        <w:rPr>
          <w:rFonts w:ascii="ITC Avant Garde" w:eastAsia="Times New Roman" w:hAnsi="ITC Avant Garde" w:cs="ITC Avant Garde"/>
          <w:color w:val="000000"/>
          <w:sz w:val="20"/>
          <w:szCs w:val="20"/>
        </w:rPr>
        <w:t>tengan al menos una evaluación entre pares en materia de telecomunicaciones y/o radiodifusión</w:t>
      </w:r>
      <w:r>
        <w:rPr>
          <w:rFonts w:ascii="ITC Avant Garde" w:eastAsia="Times New Roman" w:hAnsi="ITC Avant Garde" w:cs="ITC Avant Garde"/>
          <w:color w:val="000000"/>
          <w:sz w:val="20"/>
          <w:szCs w:val="20"/>
        </w:rPr>
        <w:t xml:space="preserve">, </w:t>
      </w:r>
      <w:r w:rsidR="00804844">
        <w:rPr>
          <w:rFonts w:ascii="ITC Avant Garde" w:eastAsia="Times New Roman" w:hAnsi="ITC Avant Garde" w:cs="ITC Avant Garde"/>
          <w:color w:val="000000"/>
          <w:sz w:val="20"/>
          <w:szCs w:val="20"/>
        </w:rPr>
        <w:t xml:space="preserve">por lo que los OA nacionales podrán </w:t>
      </w:r>
      <w:r w:rsidR="00804844">
        <w:rPr>
          <w:rFonts w:ascii="ITC Avant Garde" w:eastAsia="Times New Roman" w:hAnsi="ITC Avant Garde" w:cs="ITC Avant Garde"/>
          <w:color w:val="000000"/>
          <w:sz w:val="20"/>
          <w:szCs w:val="20"/>
        </w:rPr>
        <w:lastRenderedPageBreak/>
        <w:t>contactar a los OA de tercera parte designados por el NIST de los EUA (</w:t>
      </w:r>
      <w:hyperlink r:id="rId9" w:history="1">
        <w:r w:rsidR="00804844" w:rsidRPr="00FF4E8C">
          <w:rPr>
            <w:rStyle w:val="Hipervnculo"/>
            <w:rFonts w:ascii="ITC Avant Garde" w:eastAsia="Times New Roman" w:hAnsi="ITC Avant Garde" w:cs="ITC Avant Garde"/>
            <w:sz w:val="20"/>
            <w:szCs w:val="20"/>
          </w:rPr>
          <w:t>https://www.nist.gov/standardsgov/accreditation-bodies-mras</w:t>
        </w:r>
      </w:hyperlink>
      <w:r w:rsidR="00804844">
        <w:rPr>
          <w:rFonts w:ascii="ITC Avant Garde" w:eastAsia="Times New Roman" w:hAnsi="ITC Avant Garde" w:cs="ITC Avant Garde"/>
          <w:color w:val="000000"/>
          <w:sz w:val="20"/>
          <w:szCs w:val="20"/>
        </w:rPr>
        <w:t>) para tales efectos</w:t>
      </w:r>
      <w:r w:rsidR="00804844" w:rsidRPr="00E27412">
        <w:rPr>
          <w:rFonts w:ascii="ITC Avant Garde" w:eastAsia="Times New Roman" w:hAnsi="ITC Avant Garde" w:cs="ITC Avant Garde"/>
          <w:color w:val="000000"/>
          <w:sz w:val="20"/>
          <w:szCs w:val="20"/>
        </w:rPr>
        <w:t>, de conformidad con la ISO/IEC</w:t>
      </w:r>
      <w:r w:rsidR="00804844">
        <w:rPr>
          <w:rFonts w:ascii="ITC Avant Garde" w:eastAsia="Times New Roman" w:hAnsi="ITC Avant Garde" w:cs="ITC Avant Garde"/>
          <w:color w:val="000000"/>
          <w:sz w:val="20"/>
          <w:szCs w:val="20"/>
        </w:rPr>
        <w:t> </w:t>
      </w:r>
      <w:r w:rsidR="00804844" w:rsidRPr="00E27412">
        <w:rPr>
          <w:rFonts w:ascii="ITC Avant Garde" w:eastAsia="Times New Roman" w:hAnsi="ITC Avant Garde" w:cs="ITC Avant Garde"/>
          <w:color w:val="000000"/>
          <w:sz w:val="20"/>
          <w:szCs w:val="20"/>
        </w:rPr>
        <w:t>17011 vigente</w:t>
      </w:r>
      <w:r w:rsidRPr="00E27412">
        <w:rPr>
          <w:rFonts w:ascii="ITC Avant Garde" w:eastAsia="Times New Roman" w:hAnsi="ITC Avant Garde" w:cs="ITC Avant Garde"/>
          <w:color w:val="000000"/>
          <w:sz w:val="20"/>
          <w:szCs w:val="20"/>
        </w:rPr>
        <w:t>. A efecto de que demuestren competencia en materia</w:t>
      </w:r>
      <w:r>
        <w:rPr>
          <w:rFonts w:ascii="ITC Avant Garde" w:eastAsia="Times New Roman" w:hAnsi="ITC Avant Garde" w:cs="ITC Avant Garde"/>
          <w:color w:val="000000"/>
          <w:sz w:val="20"/>
          <w:szCs w:val="20"/>
        </w:rPr>
        <w:t xml:space="preserve"> de telecomunicaciones y radiodifusión</w:t>
      </w:r>
      <w:r w:rsidRPr="00E27412">
        <w:rPr>
          <w:rFonts w:ascii="ITC Avant Garde" w:eastAsia="Times New Roman" w:hAnsi="ITC Avant Garde" w:cs="ITC Avant Garde"/>
          <w:color w:val="000000"/>
          <w:sz w:val="20"/>
          <w:szCs w:val="20"/>
        </w:rPr>
        <w:t>.</w:t>
      </w:r>
    </w:p>
    <w:p w:rsidR="00382C0A" w:rsidRDefault="00382C0A" w:rsidP="00EB592C">
      <w:pPr>
        <w:pStyle w:val="Textocomentario"/>
        <w:spacing w:line="276" w:lineRule="auto"/>
        <w:jc w:val="both"/>
        <w:rPr>
          <w:rFonts w:ascii="ITC Avant Garde" w:eastAsia="Times New Roman" w:hAnsi="ITC Avant Garde" w:cs="ITC Avant Garde"/>
          <w:color w:val="000000"/>
        </w:rPr>
      </w:pPr>
    </w:p>
    <w:p w:rsidR="00804844" w:rsidRPr="00804844" w:rsidRDefault="00804844" w:rsidP="00804844">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w:t>
      </w:r>
      <w:r w:rsidRPr="00DA1C93">
        <w:rPr>
          <w:rFonts w:ascii="ITC Avant Garde" w:hAnsi="ITC Avant Garde" w:cs="ITC Avant Garde"/>
          <w:b/>
          <w:sz w:val="20"/>
          <w:szCs w:val="20"/>
        </w:rPr>
        <w:t xml:space="preserve"> Quinto,</w:t>
      </w:r>
      <w:r>
        <w:rPr>
          <w:rFonts w:ascii="ITC Avant Garde" w:hAnsi="ITC Avant Garde" w:cs="ITC Avant Garde"/>
          <w:b/>
          <w:sz w:val="20"/>
          <w:szCs w:val="20"/>
        </w:rPr>
        <w:t xml:space="preserve"> </w:t>
      </w:r>
      <w:r w:rsidRPr="00804844">
        <w:rPr>
          <w:rFonts w:ascii="ITC Avant Garde" w:hAnsi="ITC Avant Garde" w:cs="ITC Avant Garde"/>
          <w:b/>
          <w:sz w:val="20"/>
          <w:szCs w:val="20"/>
        </w:rPr>
        <w:t>numeral 4 iii)</w:t>
      </w:r>
    </w:p>
    <w:p w:rsidR="00804844" w:rsidRPr="00CB525E" w:rsidRDefault="00804844" w:rsidP="00804844">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804844" w:rsidRPr="00CB525E" w:rsidRDefault="00804844" w:rsidP="00804844">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804844" w:rsidRPr="00CB525E" w:rsidRDefault="00804844" w:rsidP="00804844">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804844" w:rsidRPr="00DA1C93" w:rsidRDefault="00804844" w:rsidP="00804844">
      <w:pPr>
        <w:spacing w:line="276" w:lineRule="auto"/>
        <w:jc w:val="both"/>
        <w:rPr>
          <w:rFonts w:ascii="ITC Avant Garde" w:eastAsia="Times New Roman" w:hAnsi="ITC Avant Garde" w:cs="ITC Avant Garde"/>
          <w:color w:val="000000"/>
          <w:sz w:val="20"/>
          <w:szCs w:val="20"/>
        </w:rPr>
      </w:pPr>
      <w:r w:rsidRPr="00804844">
        <w:rPr>
          <w:rFonts w:ascii="ITC Avant Garde" w:eastAsia="Times New Roman" w:hAnsi="ITC Avant Garde" w:cs="ITC Avant Garde"/>
          <w:color w:val="000000"/>
          <w:sz w:val="20"/>
          <w:szCs w:val="20"/>
        </w:rPr>
        <w:t>Este requisito no es posible cumplirlo por ningún organismo de</w:t>
      </w:r>
      <w:r>
        <w:rPr>
          <w:rFonts w:ascii="ITC Avant Garde" w:eastAsia="Times New Roman" w:hAnsi="ITC Avant Garde" w:cs="ITC Avant Garde"/>
          <w:color w:val="000000"/>
          <w:sz w:val="20"/>
          <w:szCs w:val="20"/>
        </w:rPr>
        <w:t xml:space="preserve"> </w:t>
      </w:r>
      <w:r w:rsidRPr="00804844">
        <w:rPr>
          <w:rFonts w:ascii="ITC Avant Garde" w:eastAsia="Times New Roman" w:hAnsi="ITC Avant Garde" w:cs="ITC Avant Garde"/>
          <w:color w:val="000000"/>
          <w:sz w:val="20"/>
          <w:szCs w:val="20"/>
        </w:rPr>
        <w:t>acreditación (Entidad de Acreditación), ya que ninguna ha sido evaluada</w:t>
      </w:r>
      <w:r>
        <w:rPr>
          <w:rFonts w:ascii="ITC Avant Garde" w:eastAsia="Times New Roman" w:hAnsi="ITC Avant Garde" w:cs="ITC Avant Garde"/>
          <w:color w:val="000000"/>
          <w:sz w:val="20"/>
          <w:szCs w:val="20"/>
        </w:rPr>
        <w:t xml:space="preserve"> </w:t>
      </w:r>
      <w:r w:rsidRPr="00804844">
        <w:rPr>
          <w:rFonts w:ascii="ITC Avant Garde" w:eastAsia="Times New Roman" w:hAnsi="ITC Avant Garde" w:cs="ITC Avant Garde"/>
          <w:color w:val="000000"/>
          <w:sz w:val="20"/>
          <w:szCs w:val="20"/>
        </w:rPr>
        <w:t>en materia de telecomunicaciones y/o radiodifusión, de conformidad con</w:t>
      </w:r>
      <w:r>
        <w:rPr>
          <w:rFonts w:ascii="ITC Avant Garde" w:eastAsia="Times New Roman" w:hAnsi="ITC Avant Garde" w:cs="ITC Avant Garde"/>
          <w:color w:val="000000"/>
          <w:sz w:val="20"/>
          <w:szCs w:val="20"/>
        </w:rPr>
        <w:t xml:space="preserve"> </w:t>
      </w:r>
      <w:r w:rsidRPr="00804844">
        <w:rPr>
          <w:rFonts w:ascii="ITC Avant Garde" w:eastAsia="Times New Roman" w:hAnsi="ITC Avant Garde" w:cs="ITC Avant Garde"/>
          <w:color w:val="000000"/>
          <w:sz w:val="20"/>
          <w:szCs w:val="20"/>
        </w:rPr>
        <w:t>la ISO/IEC 17011 vigente.</w:t>
      </w:r>
    </w:p>
    <w:p w:rsidR="00804844" w:rsidRDefault="00804844" w:rsidP="00804844">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804844" w:rsidRPr="00804844" w:rsidRDefault="00804844" w:rsidP="00804844">
      <w:pPr>
        <w:spacing w:line="276" w:lineRule="auto"/>
        <w:jc w:val="both"/>
        <w:rPr>
          <w:rFonts w:ascii="ITC Avant Garde" w:eastAsia="Times New Roman" w:hAnsi="ITC Avant Garde" w:cs="ITC Avant Garde"/>
          <w:color w:val="000000"/>
          <w:sz w:val="20"/>
          <w:szCs w:val="20"/>
        </w:rPr>
      </w:pPr>
      <w:r w:rsidRPr="00804844">
        <w:rPr>
          <w:rFonts w:ascii="ITC Avant Garde" w:eastAsia="Times New Roman" w:hAnsi="ITC Avant Garde" w:cs="ITC Avant Garde"/>
          <w:color w:val="000000"/>
          <w:sz w:val="20"/>
          <w:szCs w:val="20"/>
        </w:rPr>
        <w:t>Se toma nota.</w:t>
      </w:r>
    </w:p>
    <w:p w:rsidR="00804844" w:rsidRDefault="00804844" w:rsidP="00804844">
      <w:pPr>
        <w:spacing w:line="276" w:lineRule="auto"/>
        <w:jc w:val="both"/>
        <w:rPr>
          <w:rFonts w:ascii="ITC Avant Garde" w:eastAsia="Times New Roman" w:hAnsi="ITC Avant Garde" w:cs="ITC Avant Garde"/>
          <w:color w:val="000000"/>
          <w:sz w:val="20"/>
          <w:szCs w:val="20"/>
        </w:rPr>
      </w:pPr>
      <w:r w:rsidRPr="00804844">
        <w:rPr>
          <w:rFonts w:ascii="ITC Avant Garde" w:eastAsia="Times New Roman" w:hAnsi="ITC Avant Garde" w:cs="ITC Avant Garde"/>
          <w:color w:val="000000"/>
          <w:sz w:val="20"/>
          <w:szCs w:val="20"/>
        </w:rPr>
        <w:t xml:space="preserve">Sin embargo, </w:t>
      </w:r>
      <w:r>
        <w:rPr>
          <w:rFonts w:ascii="ITC Avant Garde" w:eastAsia="Times New Roman" w:hAnsi="ITC Avant Garde" w:cs="ITC Avant Garde"/>
          <w:color w:val="000000"/>
          <w:sz w:val="20"/>
          <w:szCs w:val="20"/>
        </w:rPr>
        <w:t>el</w:t>
      </w:r>
      <w:r w:rsidRPr="00804844">
        <w:rPr>
          <w:rFonts w:ascii="ITC Avant Garde" w:eastAsia="Times New Roman" w:hAnsi="ITC Avant Garde" w:cs="ITC Avant Garde"/>
          <w:color w:val="000000"/>
          <w:sz w:val="20"/>
          <w:szCs w:val="20"/>
        </w:rPr>
        <w:t xml:space="preserve"> OA </w:t>
      </w:r>
      <w:r>
        <w:rPr>
          <w:rFonts w:ascii="ITC Avant Garde" w:eastAsia="Times New Roman" w:hAnsi="ITC Avant Garde" w:cs="ITC Avant Garde"/>
          <w:color w:val="000000"/>
          <w:sz w:val="20"/>
          <w:szCs w:val="20"/>
        </w:rPr>
        <w:t>actualmente Autorizado tendrá</w:t>
      </w:r>
      <w:r w:rsidRPr="00804844">
        <w:rPr>
          <w:rFonts w:ascii="ITC Avant Garde" w:eastAsia="Times New Roman" w:hAnsi="ITC Avant Garde" w:cs="ITC Avant Garde"/>
          <w:color w:val="000000"/>
          <w:sz w:val="20"/>
          <w:szCs w:val="20"/>
        </w:rPr>
        <w:t xml:space="preserve"> un año para dar cumplimiento a este requisito de conformidad con lo establecido en </w:t>
      </w:r>
      <w:r>
        <w:rPr>
          <w:rFonts w:ascii="ITC Avant Garde" w:eastAsia="Times New Roman" w:hAnsi="ITC Avant Garde" w:cs="ITC Avant Garde"/>
          <w:color w:val="000000"/>
          <w:sz w:val="20"/>
          <w:szCs w:val="20"/>
        </w:rPr>
        <w:t>los</w:t>
      </w:r>
      <w:r w:rsidRPr="00804844">
        <w:rPr>
          <w:rFonts w:ascii="ITC Avant Garde" w:eastAsia="Times New Roman" w:hAnsi="ITC Avant Garde" w:cs="ITC Avant Garde"/>
          <w:color w:val="000000"/>
          <w:sz w:val="20"/>
          <w:szCs w:val="20"/>
        </w:rPr>
        <w:t xml:space="preserve"> Transitorio</w:t>
      </w:r>
      <w:r>
        <w:rPr>
          <w:rFonts w:ascii="ITC Avant Garde" w:eastAsia="Times New Roman" w:hAnsi="ITC Avant Garde" w:cs="ITC Avant Garde"/>
          <w:color w:val="000000"/>
          <w:sz w:val="20"/>
          <w:szCs w:val="20"/>
        </w:rPr>
        <w:t>s</w:t>
      </w:r>
      <w:r w:rsidRPr="00804844">
        <w:rPr>
          <w:rFonts w:ascii="ITC Avant Garde" w:eastAsia="Times New Roman" w:hAnsi="ITC Avant Garde" w:cs="ITC Avant Garde"/>
          <w:color w:val="000000"/>
          <w:sz w:val="20"/>
          <w:szCs w:val="20"/>
        </w:rPr>
        <w:t xml:space="preserve"> primero </w:t>
      </w:r>
      <w:r>
        <w:rPr>
          <w:rFonts w:ascii="ITC Avant Garde" w:eastAsia="Times New Roman" w:hAnsi="ITC Avant Garde" w:cs="ITC Avant Garde"/>
          <w:color w:val="000000"/>
          <w:sz w:val="20"/>
          <w:szCs w:val="20"/>
        </w:rPr>
        <w:t xml:space="preserve">y sexto </w:t>
      </w:r>
      <w:r w:rsidRPr="00804844">
        <w:rPr>
          <w:rFonts w:ascii="ITC Avant Garde" w:eastAsia="Times New Roman" w:hAnsi="ITC Avant Garde" w:cs="ITC Avant Garde"/>
          <w:color w:val="000000"/>
          <w:sz w:val="20"/>
          <w:szCs w:val="20"/>
        </w:rPr>
        <w:t>de los lineamientos</w:t>
      </w:r>
      <w:r>
        <w:rPr>
          <w:rFonts w:ascii="ITC Avant Garde" w:eastAsia="Times New Roman" w:hAnsi="ITC Avant Garde" w:cs="ITC Avant Garde"/>
          <w:color w:val="000000"/>
          <w:sz w:val="20"/>
          <w:szCs w:val="20"/>
        </w:rPr>
        <w:t xml:space="preserve"> de mérito, que a la letra dicen</w:t>
      </w:r>
      <w:r w:rsidRPr="00804844">
        <w:rPr>
          <w:rFonts w:ascii="ITC Avant Garde" w:eastAsia="Times New Roman" w:hAnsi="ITC Avant Garde" w:cs="ITC Avant Garde"/>
          <w:color w:val="000000"/>
          <w:sz w:val="20"/>
          <w:szCs w:val="20"/>
        </w:rPr>
        <w:t>.</w:t>
      </w:r>
    </w:p>
    <w:p w:rsidR="00804844" w:rsidRDefault="00804844" w:rsidP="00804844">
      <w:pPr>
        <w:spacing w:line="276" w:lineRule="auto"/>
        <w:ind w:left="567"/>
        <w:jc w:val="both"/>
        <w:rPr>
          <w:rFonts w:ascii="ITC Avant Garde" w:eastAsia="Times New Roman" w:hAnsi="ITC Avant Garde" w:cs="ITC Avant Garde"/>
          <w:i/>
          <w:color w:val="000000"/>
          <w:sz w:val="20"/>
          <w:szCs w:val="20"/>
        </w:rPr>
      </w:pPr>
      <w:r w:rsidRPr="00804844">
        <w:rPr>
          <w:rFonts w:ascii="ITC Avant Garde" w:eastAsia="Times New Roman" w:hAnsi="ITC Avant Garde" w:cs="ITC Avant Garde"/>
          <w:i/>
          <w:color w:val="000000"/>
          <w:sz w:val="20"/>
          <w:szCs w:val="20"/>
        </w:rPr>
        <w:t>“</w:t>
      </w:r>
      <w:r w:rsidRPr="00804844">
        <w:rPr>
          <w:rFonts w:ascii="ITC Avant Garde" w:eastAsia="Times New Roman" w:hAnsi="ITC Avant Garde" w:cs="ITC Avant Garde"/>
          <w:b/>
          <w:i/>
          <w:color w:val="000000"/>
          <w:sz w:val="20"/>
          <w:szCs w:val="20"/>
        </w:rPr>
        <w:t>PRIMERO.-</w:t>
      </w:r>
      <w:r w:rsidRPr="00804844">
        <w:rPr>
          <w:rFonts w:ascii="ITC Avant Garde" w:eastAsia="Times New Roman" w:hAnsi="ITC Avant Garde" w:cs="ITC Avant Garde"/>
          <w:i/>
          <w:color w:val="000000"/>
          <w:sz w:val="20"/>
          <w:szCs w:val="20"/>
        </w:rPr>
        <w:t xml:space="preserve"> Los presentes Lineamientos para la autorización de Organismos de Acreditación en materia de telecomunicaciones y radiodifusión entrarán en vigor a los trecientos sesenta y cinco días naturales contados a partir de su publicación en el Diario Oficial de la Federación, y serán revisadas por el Instituto por lo menos a los 5 años contados a partir de su entrada en vigor, salvo disposición en contrario conforme a lo establecido en los artículos transitorios siguientes. ...”</w:t>
      </w:r>
    </w:p>
    <w:p w:rsidR="00804844" w:rsidRPr="00804844" w:rsidRDefault="00804844" w:rsidP="00804844">
      <w:pPr>
        <w:spacing w:line="276" w:lineRule="auto"/>
        <w:ind w:left="567"/>
        <w:jc w:val="both"/>
        <w:rPr>
          <w:rFonts w:ascii="ITC Avant Garde" w:eastAsia="Times New Roman" w:hAnsi="ITC Avant Garde" w:cs="ITC Avant Garde"/>
          <w:i/>
          <w:color w:val="000000"/>
          <w:sz w:val="20"/>
          <w:szCs w:val="20"/>
        </w:rPr>
      </w:pPr>
      <w:r w:rsidRPr="00804844">
        <w:rPr>
          <w:rFonts w:ascii="ITC Avant Garde" w:eastAsia="Times New Roman" w:hAnsi="ITC Avant Garde" w:cs="ITC Avant Garde"/>
          <w:i/>
          <w:color w:val="000000"/>
          <w:sz w:val="20"/>
          <w:szCs w:val="20"/>
        </w:rPr>
        <w:t>“</w:t>
      </w:r>
      <w:r w:rsidRPr="00804844">
        <w:rPr>
          <w:rFonts w:ascii="ITC Avant Garde" w:eastAsia="Times New Roman" w:hAnsi="ITC Avant Garde" w:cs="ITC Avant Garde"/>
          <w:b/>
          <w:i/>
          <w:color w:val="000000"/>
          <w:sz w:val="20"/>
          <w:szCs w:val="20"/>
        </w:rPr>
        <w:t>SEXTO.-</w:t>
      </w:r>
      <w:r w:rsidRPr="00804844">
        <w:rPr>
          <w:rFonts w:ascii="ITC Avant Garde" w:eastAsia="Times New Roman" w:hAnsi="ITC Avant Garde" w:cs="ITC Avant Garde"/>
          <w:i/>
          <w:color w:val="000000"/>
          <w:sz w:val="20"/>
          <w:szCs w:val="20"/>
        </w:rPr>
        <w:t xml:space="preserve"> Los Organismos de Acreditación podrán iniciar los trámites de Autorización, tal como la Evaluación entre pares en materia de telecomunicaciones y radiodifusión, previstos en los presentes Lineamientos a partir del día siguiente a su publicación en el Diario Oficial de la Federación.”</w:t>
      </w:r>
    </w:p>
    <w:p w:rsidR="00804844" w:rsidRPr="00A87C05" w:rsidRDefault="00804844" w:rsidP="00804844">
      <w:pPr>
        <w:spacing w:line="276" w:lineRule="auto"/>
        <w:jc w:val="both"/>
        <w:rPr>
          <w:rFonts w:ascii="ITC Avant Garde" w:eastAsia="Times New Roman" w:hAnsi="ITC Avant Garde" w:cs="ITC Avant Garde"/>
          <w:color w:val="000000"/>
          <w:sz w:val="20"/>
          <w:szCs w:val="20"/>
        </w:rPr>
      </w:pPr>
      <w:r>
        <w:rPr>
          <w:rFonts w:ascii="ITC Avant Garde" w:eastAsia="Times New Roman" w:hAnsi="ITC Avant Garde" w:cs="ITC Avant Garde"/>
          <w:color w:val="000000"/>
          <w:sz w:val="20"/>
          <w:szCs w:val="20"/>
        </w:rPr>
        <w:t>No se omite reiterar, que es</w:t>
      </w:r>
      <w:r w:rsidRPr="00E27412">
        <w:rPr>
          <w:rFonts w:ascii="ITC Avant Garde" w:eastAsia="Times New Roman" w:hAnsi="ITC Avant Garde" w:cs="ITC Avant Garde"/>
          <w:color w:val="000000"/>
          <w:sz w:val="20"/>
          <w:szCs w:val="20"/>
        </w:rPr>
        <w:t xml:space="preserve"> </w:t>
      </w:r>
      <w:r>
        <w:rPr>
          <w:rFonts w:ascii="ITC Avant Garde" w:eastAsia="Times New Roman" w:hAnsi="ITC Avant Garde" w:cs="ITC Avant Garde"/>
          <w:color w:val="000000"/>
          <w:sz w:val="20"/>
          <w:szCs w:val="20"/>
        </w:rPr>
        <w:t>suma importancia e</w:t>
      </w:r>
      <w:r w:rsidRPr="00E27412">
        <w:rPr>
          <w:rFonts w:ascii="ITC Avant Garde" w:eastAsia="Times New Roman" w:hAnsi="ITC Avant Garde" w:cs="ITC Avant Garde"/>
          <w:color w:val="000000"/>
          <w:sz w:val="20"/>
          <w:szCs w:val="20"/>
        </w:rPr>
        <w:t xml:space="preserve"> interés del Instituto que los OA </w:t>
      </w:r>
      <w:r>
        <w:rPr>
          <w:rFonts w:ascii="ITC Avant Garde" w:eastAsia="Times New Roman" w:hAnsi="ITC Avant Garde" w:cs="ITC Avant Garde"/>
          <w:color w:val="000000"/>
          <w:sz w:val="20"/>
          <w:szCs w:val="20"/>
        </w:rPr>
        <w:t xml:space="preserve">Autorizados y designados en el marco de un ARM signado entre gobiernos, </w:t>
      </w:r>
      <w:r w:rsidRPr="00E27412">
        <w:rPr>
          <w:rFonts w:ascii="ITC Avant Garde" w:eastAsia="Times New Roman" w:hAnsi="ITC Avant Garde" w:cs="ITC Avant Garde"/>
          <w:color w:val="000000"/>
          <w:sz w:val="20"/>
          <w:szCs w:val="20"/>
        </w:rPr>
        <w:t>tengan al menos una evaluación entre pares en materia de telecomunicaciones y/o radiodifusión</w:t>
      </w:r>
      <w:r>
        <w:rPr>
          <w:rFonts w:ascii="ITC Avant Garde" w:eastAsia="Times New Roman" w:hAnsi="ITC Avant Garde" w:cs="ITC Avant Garde"/>
          <w:color w:val="000000"/>
          <w:sz w:val="20"/>
          <w:szCs w:val="20"/>
        </w:rPr>
        <w:t>, por lo que los OA nacionales podrán contactar a los OA de tercera parte designados por el NIST de los EUA (</w:t>
      </w:r>
      <w:hyperlink r:id="rId10" w:history="1">
        <w:r w:rsidRPr="00FF4E8C">
          <w:rPr>
            <w:rStyle w:val="Hipervnculo"/>
            <w:rFonts w:ascii="ITC Avant Garde" w:eastAsia="Times New Roman" w:hAnsi="ITC Avant Garde" w:cs="ITC Avant Garde"/>
            <w:sz w:val="20"/>
            <w:szCs w:val="20"/>
          </w:rPr>
          <w:t>https://www.nist.gov/standardsgov/accreditation-bodies-mras</w:t>
        </w:r>
      </w:hyperlink>
      <w:r>
        <w:rPr>
          <w:rFonts w:ascii="ITC Avant Garde" w:eastAsia="Times New Roman" w:hAnsi="ITC Avant Garde" w:cs="ITC Avant Garde"/>
          <w:color w:val="000000"/>
          <w:sz w:val="20"/>
          <w:szCs w:val="20"/>
        </w:rPr>
        <w:t>) para tales efectos</w:t>
      </w:r>
      <w:r w:rsidRPr="00E27412">
        <w:rPr>
          <w:rFonts w:ascii="ITC Avant Garde" w:eastAsia="Times New Roman" w:hAnsi="ITC Avant Garde" w:cs="ITC Avant Garde"/>
          <w:color w:val="000000"/>
          <w:sz w:val="20"/>
          <w:szCs w:val="20"/>
        </w:rPr>
        <w:t>, de conformidad con la ISO/IEC</w:t>
      </w:r>
      <w:r>
        <w:rPr>
          <w:rFonts w:ascii="ITC Avant Garde" w:eastAsia="Times New Roman" w:hAnsi="ITC Avant Garde" w:cs="ITC Avant Garde"/>
          <w:color w:val="000000"/>
          <w:sz w:val="20"/>
          <w:szCs w:val="20"/>
        </w:rPr>
        <w:t> </w:t>
      </w:r>
      <w:r w:rsidRPr="00E27412">
        <w:rPr>
          <w:rFonts w:ascii="ITC Avant Garde" w:eastAsia="Times New Roman" w:hAnsi="ITC Avant Garde" w:cs="ITC Avant Garde"/>
          <w:color w:val="000000"/>
          <w:sz w:val="20"/>
          <w:szCs w:val="20"/>
        </w:rPr>
        <w:t>17011 vigente. A efecto de que demuestren competencia en materia</w:t>
      </w:r>
      <w:r>
        <w:rPr>
          <w:rFonts w:ascii="ITC Avant Garde" w:eastAsia="Times New Roman" w:hAnsi="ITC Avant Garde" w:cs="ITC Avant Garde"/>
          <w:color w:val="000000"/>
          <w:sz w:val="20"/>
          <w:szCs w:val="20"/>
        </w:rPr>
        <w:t xml:space="preserve"> de telecomunicaciones y radiodifusión</w:t>
      </w:r>
      <w:r w:rsidRPr="00E27412">
        <w:rPr>
          <w:rFonts w:ascii="ITC Avant Garde" w:eastAsia="Times New Roman" w:hAnsi="ITC Avant Garde" w:cs="ITC Avant Garde"/>
          <w:color w:val="000000"/>
          <w:sz w:val="20"/>
          <w:szCs w:val="20"/>
        </w:rPr>
        <w:t>.</w:t>
      </w:r>
    </w:p>
    <w:p w:rsidR="00804844" w:rsidRDefault="00804844" w:rsidP="00EB592C">
      <w:pPr>
        <w:pStyle w:val="Textocomentario"/>
        <w:spacing w:line="276" w:lineRule="auto"/>
        <w:jc w:val="both"/>
        <w:rPr>
          <w:rFonts w:ascii="ITC Avant Garde" w:eastAsia="Times New Roman" w:hAnsi="ITC Avant Garde" w:cs="ITC Avant Garde"/>
          <w:color w:val="000000"/>
        </w:rPr>
      </w:pPr>
    </w:p>
    <w:p w:rsidR="00511C9D" w:rsidRPr="00804844" w:rsidRDefault="00511C9D" w:rsidP="00511C9D">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Pr>
          <w:rFonts w:ascii="ITC Avant Garde" w:hAnsi="ITC Avant Garde" w:cs="ITC Avant Garde"/>
          <w:b/>
          <w:sz w:val="20"/>
          <w:szCs w:val="20"/>
        </w:rPr>
        <w:t>Lineamiento Cuadragésimo</w:t>
      </w:r>
      <w:r w:rsidRPr="00DA1C93">
        <w:rPr>
          <w:rFonts w:ascii="ITC Avant Garde" w:hAnsi="ITC Avant Garde" w:cs="ITC Avant Garde"/>
          <w:b/>
          <w:sz w:val="20"/>
          <w:szCs w:val="20"/>
        </w:rPr>
        <w:t xml:space="preserve"> </w:t>
      </w:r>
      <w:r>
        <w:rPr>
          <w:rFonts w:ascii="ITC Avant Garde" w:hAnsi="ITC Avant Garde" w:cs="ITC Avant Garde"/>
          <w:b/>
          <w:sz w:val="20"/>
          <w:szCs w:val="20"/>
        </w:rPr>
        <w:t>Séptimo</w:t>
      </w:r>
    </w:p>
    <w:p w:rsidR="00511C9D" w:rsidRPr="00CB525E" w:rsidRDefault="00511C9D" w:rsidP="00511C9D">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511C9D" w:rsidRPr="00CB525E" w:rsidRDefault="00511C9D" w:rsidP="00511C9D">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lastRenderedPageBreak/>
        <w:t>Asociación de Normalización y Certificación, A.C.</w:t>
      </w:r>
    </w:p>
    <w:p w:rsidR="00511C9D" w:rsidRPr="00CB525E" w:rsidRDefault="00511C9D" w:rsidP="00511C9D">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511C9D" w:rsidRPr="00511C9D" w:rsidRDefault="00511C9D" w:rsidP="00511C9D">
      <w:pPr>
        <w:spacing w:line="276" w:lineRule="auto"/>
        <w:jc w:val="both"/>
        <w:rPr>
          <w:rFonts w:ascii="ITC Avant Garde" w:eastAsia="Times New Roman" w:hAnsi="ITC Avant Garde" w:cs="ITC Avant Garde"/>
          <w:color w:val="000000"/>
          <w:sz w:val="20"/>
          <w:szCs w:val="20"/>
        </w:rPr>
      </w:pPr>
      <w:r w:rsidRPr="00511C9D">
        <w:rPr>
          <w:rFonts w:ascii="ITC Avant Garde" w:eastAsia="Times New Roman" w:hAnsi="ITC Avant Garde" w:cs="ITC Avant Garde"/>
          <w:color w:val="000000"/>
          <w:sz w:val="20"/>
          <w:szCs w:val="20"/>
        </w:rPr>
        <w:t>Agregar la siguiente obligación:</w:t>
      </w:r>
    </w:p>
    <w:p w:rsidR="00511C9D" w:rsidRPr="00DA1C93" w:rsidRDefault="00511C9D" w:rsidP="00511C9D">
      <w:pPr>
        <w:spacing w:line="276" w:lineRule="auto"/>
        <w:jc w:val="both"/>
        <w:rPr>
          <w:rFonts w:ascii="ITC Avant Garde" w:eastAsia="Times New Roman" w:hAnsi="ITC Avant Garde" w:cs="ITC Avant Garde"/>
          <w:color w:val="000000"/>
          <w:sz w:val="20"/>
          <w:szCs w:val="20"/>
        </w:rPr>
      </w:pPr>
      <w:r w:rsidRPr="00511C9D">
        <w:rPr>
          <w:rFonts w:ascii="ITC Avant Garde" w:eastAsia="Times New Roman" w:hAnsi="ITC Avant Garde" w:cs="ITC Avant Garde"/>
          <w:color w:val="000000"/>
          <w:sz w:val="20"/>
          <w:szCs w:val="20"/>
        </w:rPr>
        <w:t>Invitar en cada evaluación a un representante del Centro Nacional de</w:t>
      </w:r>
      <w:r>
        <w:rPr>
          <w:rFonts w:ascii="ITC Avant Garde" w:eastAsia="Times New Roman" w:hAnsi="ITC Avant Garde" w:cs="ITC Avant Garde"/>
          <w:color w:val="000000"/>
          <w:sz w:val="20"/>
          <w:szCs w:val="20"/>
        </w:rPr>
        <w:t xml:space="preserve"> </w:t>
      </w:r>
      <w:r w:rsidRPr="00511C9D">
        <w:rPr>
          <w:rFonts w:ascii="ITC Avant Garde" w:eastAsia="Times New Roman" w:hAnsi="ITC Avant Garde" w:cs="ITC Avant Garde"/>
          <w:color w:val="000000"/>
          <w:sz w:val="20"/>
          <w:szCs w:val="20"/>
        </w:rPr>
        <w:t>Metrología</w:t>
      </w:r>
      <w:r w:rsidRPr="00804844">
        <w:rPr>
          <w:rFonts w:ascii="ITC Avant Garde" w:eastAsia="Times New Roman" w:hAnsi="ITC Avant Garde" w:cs="ITC Avant Garde"/>
          <w:color w:val="000000"/>
          <w:sz w:val="20"/>
          <w:szCs w:val="20"/>
        </w:rPr>
        <w:t>.</w:t>
      </w:r>
    </w:p>
    <w:p w:rsidR="00511C9D" w:rsidRDefault="00511C9D" w:rsidP="00511C9D">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511C9D" w:rsidRPr="00511C9D" w:rsidRDefault="00511C9D" w:rsidP="00511C9D">
      <w:pPr>
        <w:spacing w:line="276" w:lineRule="auto"/>
        <w:jc w:val="both"/>
        <w:rPr>
          <w:rFonts w:ascii="ITC Avant Garde" w:eastAsia="Times New Roman" w:hAnsi="ITC Avant Garde" w:cs="ITC Avant Garde"/>
          <w:color w:val="000000"/>
          <w:sz w:val="20"/>
          <w:szCs w:val="20"/>
        </w:rPr>
      </w:pPr>
      <w:r w:rsidRPr="00511C9D">
        <w:rPr>
          <w:rFonts w:ascii="ITC Avant Garde" w:eastAsia="Times New Roman" w:hAnsi="ITC Avant Garde" w:cs="ITC Avant Garde"/>
          <w:color w:val="000000"/>
          <w:sz w:val="20"/>
          <w:szCs w:val="20"/>
        </w:rPr>
        <w:t>Se considera parcialmente</w:t>
      </w:r>
    </w:p>
    <w:p w:rsidR="00511C9D" w:rsidRPr="00A87C05" w:rsidRDefault="00511C9D" w:rsidP="00511C9D">
      <w:pPr>
        <w:spacing w:line="276" w:lineRule="auto"/>
        <w:jc w:val="both"/>
        <w:rPr>
          <w:rFonts w:ascii="ITC Avant Garde" w:eastAsia="Times New Roman" w:hAnsi="ITC Avant Garde" w:cs="ITC Avant Garde"/>
          <w:color w:val="000000"/>
          <w:sz w:val="20"/>
          <w:szCs w:val="20"/>
        </w:rPr>
      </w:pPr>
      <w:r w:rsidRPr="00511C9D">
        <w:rPr>
          <w:rFonts w:ascii="ITC Avant Garde" w:eastAsia="Times New Roman" w:hAnsi="ITC Avant Garde" w:cs="ITC Avant Garde"/>
          <w:color w:val="000000"/>
          <w:sz w:val="20"/>
          <w:szCs w:val="20"/>
        </w:rPr>
        <w:t>Se adiciona en el lineamiento Cuadragésimo Cuarto, que el OA podrá solicitar al CENAM su participación en las Evaluaciones, tomando como referencia el lineamiento Sexto del “ACUERDO mediante el cual el Pleno del Instituto Federal de Telecomunicaciones expide los Lineamientos para la acreditación, autorización, designación y reconocimiento de laboratorios de prueba.”, publicado en el DOF el 2016/03/07.</w:t>
      </w:r>
    </w:p>
    <w:p w:rsidR="00511C9D" w:rsidRDefault="00511C9D" w:rsidP="00EB592C">
      <w:pPr>
        <w:pStyle w:val="Textocomentario"/>
        <w:spacing w:line="276" w:lineRule="auto"/>
        <w:jc w:val="both"/>
        <w:rPr>
          <w:rFonts w:ascii="ITC Avant Garde" w:eastAsia="Times New Roman" w:hAnsi="ITC Avant Garde" w:cs="ITC Avant Garde"/>
          <w:color w:val="000000"/>
        </w:rPr>
      </w:pPr>
    </w:p>
    <w:p w:rsidR="00DC1D37" w:rsidRPr="00DC1D37" w:rsidRDefault="00DC1D37" w:rsidP="00DC1D37">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DC1D37">
        <w:rPr>
          <w:rFonts w:ascii="ITC Avant Garde" w:hAnsi="ITC Avant Garde" w:cs="ITC Avant Garde"/>
          <w:b/>
          <w:sz w:val="20"/>
          <w:szCs w:val="20"/>
        </w:rPr>
        <w:t>Capítulo VI</w:t>
      </w:r>
    </w:p>
    <w:p w:rsidR="00DC1D37" w:rsidRPr="00CB525E" w:rsidRDefault="00DC1D37" w:rsidP="00DC1D37">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DC1D37" w:rsidRPr="00CB525E" w:rsidRDefault="00DC1D37" w:rsidP="00DC1D37">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DC1D37" w:rsidRPr="00CB525E" w:rsidRDefault="00DC1D37" w:rsidP="00DC1D37">
      <w:pPr>
        <w:spacing w:line="276" w:lineRule="auto"/>
        <w:jc w:val="both"/>
        <w:rPr>
          <w:rFonts w:ascii="ITC Avant Garde" w:eastAsia="Times New Roman" w:hAnsi="ITC Avant Garde" w:cs="ITC Avant Garde"/>
          <w:b/>
          <w:color w:val="000000"/>
          <w:sz w:val="20"/>
          <w:szCs w:val="20"/>
        </w:rPr>
      </w:pPr>
      <w:r w:rsidRPr="00CB525E">
        <w:rPr>
          <w:rFonts w:ascii="ITC Avant Garde" w:eastAsia="Times New Roman" w:hAnsi="ITC Avant Garde" w:cs="ITC Avant Garde"/>
          <w:b/>
          <w:color w:val="000000"/>
          <w:sz w:val="20"/>
          <w:szCs w:val="20"/>
        </w:rPr>
        <w:t>Propuesta:</w:t>
      </w:r>
    </w:p>
    <w:p w:rsidR="00DC1D37" w:rsidRPr="00DA1C93" w:rsidRDefault="00DC1D37" w:rsidP="00DC1D37">
      <w:pPr>
        <w:spacing w:line="276" w:lineRule="auto"/>
        <w:jc w:val="both"/>
        <w:rPr>
          <w:rFonts w:ascii="ITC Avant Garde" w:eastAsia="Times New Roman" w:hAnsi="ITC Avant Garde" w:cs="ITC Avant Garde"/>
          <w:color w:val="000000"/>
          <w:sz w:val="20"/>
          <w:szCs w:val="20"/>
        </w:rPr>
      </w:pPr>
      <w:r w:rsidRPr="00DC1D37">
        <w:rPr>
          <w:rFonts w:ascii="ITC Avant Garde" w:eastAsia="Times New Roman" w:hAnsi="ITC Avant Garde" w:cs="ITC Avant Garde"/>
          <w:color w:val="000000"/>
          <w:sz w:val="20"/>
          <w:szCs w:val="20"/>
        </w:rPr>
        <w:t>Habla de las visitas de verificación, suspensión y revocación de la</w:t>
      </w:r>
      <w:r>
        <w:rPr>
          <w:rFonts w:ascii="ITC Avant Garde" w:eastAsia="Times New Roman" w:hAnsi="ITC Avant Garde" w:cs="ITC Avant Garde"/>
          <w:color w:val="000000"/>
          <w:sz w:val="20"/>
          <w:szCs w:val="20"/>
        </w:rPr>
        <w:t xml:space="preserve"> </w:t>
      </w:r>
      <w:r w:rsidRPr="00DC1D37">
        <w:rPr>
          <w:rFonts w:ascii="ITC Avant Garde" w:eastAsia="Times New Roman" w:hAnsi="ITC Avant Garde" w:cs="ITC Avant Garde"/>
          <w:color w:val="000000"/>
          <w:sz w:val="20"/>
          <w:szCs w:val="20"/>
        </w:rPr>
        <w:t>autorización, debería usarse la misma terminología que la Ley de la</w:t>
      </w:r>
      <w:r>
        <w:rPr>
          <w:rFonts w:ascii="ITC Avant Garde" w:eastAsia="Times New Roman" w:hAnsi="ITC Avant Garde" w:cs="ITC Avant Garde"/>
          <w:color w:val="000000"/>
          <w:sz w:val="20"/>
          <w:szCs w:val="20"/>
        </w:rPr>
        <w:t xml:space="preserve"> </w:t>
      </w:r>
      <w:r w:rsidRPr="00DC1D37">
        <w:rPr>
          <w:rFonts w:ascii="ITC Avant Garde" w:eastAsia="Times New Roman" w:hAnsi="ITC Avant Garde" w:cs="ITC Avant Garde"/>
          <w:color w:val="000000"/>
          <w:sz w:val="20"/>
          <w:szCs w:val="20"/>
        </w:rPr>
        <w:t>Infraestructura de la Calidad en cuanto a la vigilancia, ya que el acto de</w:t>
      </w:r>
      <w:r>
        <w:rPr>
          <w:rFonts w:ascii="ITC Avant Garde" w:eastAsia="Times New Roman" w:hAnsi="ITC Avant Garde" w:cs="ITC Avant Garde"/>
          <w:color w:val="000000"/>
          <w:sz w:val="20"/>
          <w:szCs w:val="20"/>
        </w:rPr>
        <w:t xml:space="preserve"> </w:t>
      </w:r>
      <w:r w:rsidRPr="00DC1D37">
        <w:rPr>
          <w:rFonts w:ascii="ITC Avant Garde" w:eastAsia="Times New Roman" w:hAnsi="ITC Avant Garde" w:cs="ITC Avant Garde"/>
          <w:color w:val="000000"/>
          <w:sz w:val="20"/>
          <w:szCs w:val="20"/>
        </w:rPr>
        <w:t>verificación tiene otros fines.</w:t>
      </w:r>
    </w:p>
    <w:p w:rsidR="00DC1D37" w:rsidRDefault="00DC1D37" w:rsidP="00DC1D37">
      <w:pPr>
        <w:spacing w:line="276" w:lineRule="auto"/>
        <w:jc w:val="both"/>
        <w:rPr>
          <w:rFonts w:ascii="ITC Avant Garde" w:eastAsia="Times New Roman" w:hAnsi="ITC Avant Garde" w:cs="ITC Avant Garde"/>
          <w:color w:val="000000"/>
          <w:sz w:val="20"/>
          <w:szCs w:val="20"/>
        </w:rPr>
      </w:pPr>
      <w:r w:rsidRPr="00CB525E">
        <w:rPr>
          <w:rFonts w:ascii="ITC Avant Garde" w:eastAsia="Times New Roman" w:hAnsi="ITC Avant Garde" w:cs="ITC Avant Garde"/>
          <w:b/>
          <w:color w:val="000000"/>
          <w:sz w:val="20"/>
          <w:szCs w:val="20"/>
        </w:rPr>
        <w:t>Respuesta:</w:t>
      </w:r>
    </w:p>
    <w:p w:rsidR="00DC1D37" w:rsidRPr="00DC1D37" w:rsidRDefault="00DC1D37" w:rsidP="00DC1D37">
      <w:pPr>
        <w:spacing w:line="276" w:lineRule="auto"/>
        <w:jc w:val="both"/>
        <w:rPr>
          <w:rFonts w:ascii="ITC Avant Garde" w:eastAsia="Times New Roman" w:hAnsi="ITC Avant Garde" w:cs="ITC Avant Garde"/>
          <w:color w:val="000000"/>
          <w:sz w:val="20"/>
          <w:szCs w:val="20"/>
        </w:rPr>
      </w:pPr>
      <w:r w:rsidRPr="00DC1D37">
        <w:rPr>
          <w:rFonts w:ascii="ITC Avant Garde" w:eastAsia="Times New Roman" w:hAnsi="ITC Avant Garde" w:cs="ITC Avant Garde"/>
          <w:color w:val="000000"/>
          <w:sz w:val="20"/>
          <w:szCs w:val="20"/>
        </w:rPr>
        <w:t>No se considera</w:t>
      </w:r>
    </w:p>
    <w:p w:rsidR="00DC1D37" w:rsidRPr="00DC1D37" w:rsidRDefault="00DC1D37" w:rsidP="00DC1D37">
      <w:pPr>
        <w:spacing w:line="276" w:lineRule="auto"/>
        <w:jc w:val="both"/>
        <w:rPr>
          <w:rFonts w:ascii="ITC Avant Garde" w:eastAsia="Times New Roman" w:hAnsi="ITC Avant Garde" w:cs="ITC Avant Garde"/>
          <w:color w:val="000000"/>
          <w:sz w:val="20"/>
          <w:szCs w:val="20"/>
        </w:rPr>
      </w:pPr>
      <w:r w:rsidRPr="00DC1D37">
        <w:rPr>
          <w:rFonts w:ascii="ITC Avant Garde" w:eastAsia="Times New Roman" w:hAnsi="ITC Avant Garde" w:cs="ITC Avant Garde"/>
          <w:color w:val="000000"/>
          <w:sz w:val="20"/>
          <w:szCs w:val="20"/>
        </w:rPr>
        <w:t>En virtud que el TÍTULO DÉCIMO CUARTO de la LFTR, particularmente el Artículo 291, establece lo siguiente:</w:t>
      </w:r>
    </w:p>
    <w:p w:rsidR="00DC1D37" w:rsidRPr="00DC1D37" w:rsidRDefault="00DC1D37" w:rsidP="00DC1D37">
      <w:pPr>
        <w:spacing w:line="276" w:lineRule="auto"/>
        <w:ind w:left="567"/>
        <w:jc w:val="both"/>
        <w:rPr>
          <w:rFonts w:ascii="ITC Avant Garde" w:eastAsia="Times New Roman" w:hAnsi="ITC Avant Garde" w:cs="ITC Avant Garde"/>
          <w:i/>
          <w:color w:val="000000"/>
          <w:sz w:val="20"/>
          <w:szCs w:val="20"/>
        </w:rPr>
      </w:pPr>
      <w:r w:rsidRPr="00DC1D37">
        <w:rPr>
          <w:rFonts w:ascii="ITC Avant Garde" w:eastAsia="Times New Roman" w:hAnsi="ITC Avant Garde" w:cs="ITC Avant Garde"/>
          <w:i/>
          <w:color w:val="000000"/>
          <w:sz w:val="20"/>
          <w:szCs w:val="20"/>
        </w:rPr>
        <w:t>“El Instituto verificará y supervisará, en el ámbito de su competencia, el cumplimiento de esta Ley, las disposiciones que deriven de ella, así como de las condiciones y obligaciones establecidas en las concesiones, autorizaciones y demás disposiciones aplicables.”.</w:t>
      </w:r>
    </w:p>
    <w:p w:rsidR="00DC1D37" w:rsidRPr="00C5354F" w:rsidRDefault="00DC1D37" w:rsidP="00EB592C">
      <w:pPr>
        <w:pStyle w:val="Textocomentario"/>
        <w:spacing w:line="276" w:lineRule="auto"/>
        <w:jc w:val="both"/>
        <w:rPr>
          <w:rFonts w:ascii="ITC Avant Garde" w:eastAsia="Times New Roman" w:hAnsi="ITC Avant Garde" w:cs="ITC Avant Garde"/>
          <w:color w:val="000000"/>
        </w:rPr>
      </w:pPr>
    </w:p>
    <w:p w:rsidR="00463C61" w:rsidRPr="00463C61" w:rsidRDefault="00463C61" w:rsidP="00463C61">
      <w:pPr>
        <w:pStyle w:val="Prrafodelista1"/>
        <w:numPr>
          <w:ilvl w:val="0"/>
          <w:numId w:val="1"/>
        </w:numPr>
        <w:tabs>
          <w:tab w:val="left" w:pos="-708"/>
        </w:tabs>
        <w:spacing w:line="276" w:lineRule="auto"/>
        <w:ind w:left="12"/>
        <w:jc w:val="both"/>
        <w:rPr>
          <w:rFonts w:ascii="ITC Avant Garde" w:hAnsi="ITC Avant Garde" w:cs="ITC Avant Garde"/>
          <w:b/>
          <w:sz w:val="20"/>
          <w:szCs w:val="20"/>
        </w:rPr>
      </w:pPr>
      <w:r w:rsidRPr="00463C61">
        <w:rPr>
          <w:rFonts w:ascii="ITC Avant Garde" w:eastAsia="Times New Roman" w:hAnsi="ITC Avant Garde" w:cs="ITC Avant Garde"/>
          <w:b/>
          <w:color w:val="000000"/>
          <w:lang w:val="es-MX"/>
        </w:rPr>
        <w:t>Comentarios, opiniones y aportaciones generales del participante sobre el asunto en consulta pública</w:t>
      </w:r>
    </w:p>
    <w:p w:rsidR="00463C61" w:rsidRPr="00CB525E" w:rsidRDefault="00463C61" w:rsidP="00463C61">
      <w:pPr>
        <w:spacing w:line="276" w:lineRule="auto"/>
        <w:jc w:val="both"/>
        <w:rPr>
          <w:rFonts w:ascii="ITC Avant Garde" w:eastAsia="Times New Roman" w:hAnsi="ITC Avant Garde" w:cs="ITC Avant Garde"/>
          <w:color w:val="000000"/>
          <w:sz w:val="20"/>
          <w:szCs w:val="20"/>
          <w:lang w:val="es-MX"/>
        </w:rPr>
      </w:pPr>
      <w:r>
        <w:rPr>
          <w:rFonts w:ascii="ITC Avant Garde" w:hAnsi="ITC Avant Garde" w:cs="ITC Avant Garde"/>
          <w:b/>
          <w:sz w:val="20"/>
          <w:szCs w:val="20"/>
        </w:rPr>
        <w:t>Participante</w:t>
      </w:r>
      <w:r w:rsidRPr="00CB525E">
        <w:rPr>
          <w:rFonts w:ascii="ITC Avant Garde" w:hAnsi="ITC Avant Garde" w:cs="ITC Avant Garde"/>
          <w:b/>
          <w:sz w:val="20"/>
          <w:szCs w:val="20"/>
        </w:rPr>
        <w:t>:</w:t>
      </w:r>
    </w:p>
    <w:p w:rsidR="00463C61" w:rsidRPr="00CB525E" w:rsidRDefault="00463C61" w:rsidP="00463C61">
      <w:pPr>
        <w:spacing w:line="276" w:lineRule="auto"/>
        <w:jc w:val="both"/>
        <w:rPr>
          <w:rFonts w:ascii="ITC Avant Garde" w:eastAsia="Times New Roman" w:hAnsi="ITC Avant Garde" w:cs="ITC Avant Garde"/>
          <w:bCs/>
          <w:color w:val="000000"/>
          <w:sz w:val="20"/>
          <w:szCs w:val="20"/>
          <w:lang w:val="es-MX"/>
        </w:rPr>
      </w:pPr>
      <w:r w:rsidRPr="00BE5D3D">
        <w:rPr>
          <w:rFonts w:ascii="ITC Avant Garde" w:eastAsia="Times New Roman" w:hAnsi="ITC Avant Garde" w:cs="ITC Avant Garde"/>
          <w:b/>
          <w:bCs/>
          <w:color w:val="000000"/>
          <w:sz w:val="20"/>
          <w:szCs w:val="20"/>
          <w:lang w:val="es-MX"/>
        </w:rPr>
        <w:t>Asociación de Normalización y Certificación, A.C.</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lastRenderedPageBreak/>
        <w:t>A continuación, se agregan comentarios que no cuentan con un apartado</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o artículo específico en el Anteproyecto o que su enfoque es amplio en</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el contexto legal y no técnico. Se solicita sean considerados como parte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de los comentarios a atender en la presente consulta pública:</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I. Análisis del Anteproyecto a la luz de la legislación nacional</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1. En primera instancia, se realiza la aclaración que, debido a que el IFT es un</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órgano constitucionalmente público autónomo, independiente de sus decisiones y</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funcionamiento</w:t>
      </w:r>
      <w:r>
        <w:rPr>
          <w:rStyle w:val="Refdenotaalpie"/>
          <w:rFonts w:ascii="ITC Avant Garde" w:eastAsia="Times New Roman" w:hAnsi="ITC Avant Garde" w:cs="ITC Avant Garde"/>
          <w:color w:val="000000"/>
          <w:lang w:val="es-MX"/>
        </w:rPr>
        <w:footnoteReference w:id="1"/>
      </w:r>
      <w:r w:rsidRPr="00463C61">
        <w:rPr>
          <w:rFonts w:ascii="ITC Avant Garde" w:eastAsia="Times New Roman" w:hAnsi="ITC Avant Garde" w:cs="ITC Avant Garde"/>
          <w:color w:val="000000"/>
          <w:lang w:val="es-MX"/>
        </w:rPr>
        <w:t>, y derivado de que la Ley de Infraestructura de la Calidad (LIC) y</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la Ley General de Mejora Regulatoria (LGMR) son ordenamientos jurídicos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aplicables a la Administración Pública Federal y que establecen en su contenido</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que no son aplicables a las materias reguladas por los órganos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constitucionalmente autónomos, son señalados en los presentes comentarios por</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ser una referencia en cuanto a su contenido y por proporcionar una orientación de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sus principios y procedimientos.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2. Los Lineamientos del Anteproyecto tienen por objeto el “establecer los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lineamientos y requisitos de observancia obligatoria para obtener la autorización</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del IFT para fungir como Organismo de Acreditación a efecto de que estos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otorguen la acreditación respectiva a los Organismos de Evaluación de la</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Conformidad en materia de telecomunicaciones y radiodifusión. Así como para la</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actuación del IFT, en caso de que funja como Organismo de Acreditación.”</w:t>
      </w:r>
      <w:r>
        <w:rPr>
          <w:rStyle w:val="Refdenotaalpie"/>
          <w:rFonts w:ascii="ITC Avant Garde" w:eastAsia="Times New Roman" w:hAnsi="ITC Avant Garde" w:cs="ITC Avant Garde"/>
          <w:color w:val="000000"/>
          <w:lang w:val="es-MX"/>
        </w:rPr>
        <w:footnoteReference w:id="2"/>
      </w:r>
      <w:r w:rsidRPr="00463C61">
        <w:rPr>
          <w:rFonts w:ascii="ITC Avant Garde" w:eastAsia="Times New Roman" w:hAnsi="ITC Avant Garde" w:cs="ITC Avant Garde"/>
          <w:color w:val="000000"/>
          <w:lang w:val="es-MX"/>
        </w:rPr>
        <w:t xml:space="preserve"> A este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respecto, la LIC regula a las Entidades de Acreditación y a los Organismos de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Evaluación de la Conformidad (OEC)</w:t>
      </w:r>
      <w:r>
        <w:rPr>
          <w:rStyle w:val="Refdenotaalpie"/>
          <w:rFonts w:ascii="ITC Avant Garde" w:eastAsia="Times New Roman" w:hAnsi="ITC Avant Garde" w:cs="ITC Avant Garde"/>
          <w:color w:val="000000"/>
          <w:lang w:val="es-MX"/>
        </w:rPr>
        <w:footnoteReference w:id="3"/>
      </w:r>
      <w:r w:rsidRPr="00463C61">
        <w:rPr>
          <w:rFonts w:ascii="ITC Avant Garde" w:eastAsia="Times New Roman" w:hAnsi="ITC Avant Garde" w:cs="ITC Avant Garde"/>
          <w:color w:val="000000"/>
          <w:lang w:val="es-MX"/>
        </w:rPr>
        <w:t>, así como todos los requisitos que éstos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deben cumplir, por lo que contempla un lenguaje que podría ser considerado de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utilidad para el Anteproyecto para tener una alineación regulatoria con otros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ordenamientos.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3. Con el propósito de mantener un enfoque uniforme y congruente entre el</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Anteproyecto y los principios y definiciones de la LIC, se sugiere incorporar en las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definiciones del Anteproyecto las definiciones de: Arreglos de Reconocimiento</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Mutuo, Entidades de Acreditación, Infraestructura de la Calidad, Norma</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Internacional, Sistema internacional de evaluación de la conformidad,</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establecidos en el artículo 4 de la LIC. Adicionalmente, las definiciones del artículo</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quinto deberían ser coincidentes con las definiciones establecidas en la LIC, como</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lo sería para: Acreditación, Evaluación de la Conformidad, Organismos de</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Evaluación de la Conformidad, y cualquier otro que sea procedente y de utilidad</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en el Anteproyecto. Estas definiciones a su vez deberían estar en conformidad</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con las disposiciones de los Acuerdos Comerciale</w:t>
      </w:r>
      <w:r>
        <w:rPr>
          <w:rFonts w:ascii="ITC Avant Garde" w:eastAsia="Times New Roman" w:hAnsi="ITC Avant Garde" w:cs="ITC Avant Garde"/>
          <w:color w:val="000000"/>
          <w:lang w:val="es-MX"/>
        </w:rPr>
        <w:t xml:space="preserve">s internacionales de los que el </w:t>
      </w:r>
      <w:r w:rsidRPr="00463C61">
        <w:rPr>
          <w:rFonts w:ascii="ITC Avant Garde" w:eastAsia="Times New Roman" w:hAnsi="ITC Avant Garde" w:cs="ITC Avant Garde"/>
          <w:color w:val="000000"/>
          <w:lang w:val="es-MX"/>
        </w:rPr>
        <w:t>E</w:t>
      </w:r>
      <w:r>
        <w:rPr>
          <w:rFonts w:ascii="ITC Avant Garde" w:eastAsia="Times New Roman" w:hAnsi="ITC Avant Garde" w:cs="ITC Avant Garde"/>
          <w:color w:val="000000"/>
          <w:lang w:val="es-MX"/>
        </w:rPr>
        <w:t>stado mexicano es parte.</w:t>
      </w:r>
      <w:r>
        <w:rPr>
          <w:rStyle w:val="Refdenotaalpie"/>
          <w:rFonts w:ascii="ITC Avant Garde" w:eastAsia="Times New Roman" w:hAnsi="ITC Avant Garde" w:cs="ITC Avant Garde"/>
          <w:color w:val="000000"/>
          <w:lang w:val="es-MX"/>
        </w:rPr>
        <w:footnoteReference w:id="4"/>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4. La sección de Definiciones del Anteproyecto, p</w:t>
      </w:r>
      <w:r>
        <w:rPr>
          <w:rFonts w:ascii="ITC Avant Garde" w:eastAsia="Times New Roman" w:hAnsi="ITC Avant Garde" w:cs="ITC Avant Garde"/>
          <w:color w:val="000000"/>
          <w:lang w:val="es-MX"/>
        </w:rPr>
        <w:t xml:space="preserve">articularmente la definición de </w:t>
      </w:r>
      <w:r w:rsidRPr="00463C61">
        <w:rPr>
          <w:rFonts w:ascii="ITC Avant Garde" w:eastAsia="Times New Roman" w:hAnsi="ITC Avant Garde" w:cs="ITC Avant Garde"/>
          <w:color w:val="000000"/>
          <w:lang w:val="es-MX"/>
        </w:rPr>
        <w:t>Acreditación no recoge la relevancia de las normas internacionales para la labor</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 xml:space="preserve">de las </w:t>
      </w:r>
      <w:r w:rsidRPr="00463C61">
        <w:rPr>
          <w:rFonts w:ascii="ITC Avant Garde" w:eastAsia="Times New Roman" w:hAnsi="ITC Avant Garde" w:cs="ITC Avant Garde"/>
          <w:color w:val="000000"/>
          <w:lang w:val="es-MX"/>
        </w:rPr>
        <w:lastRenderedPageBreak/>
        <w:t>Entidades de Acreditación, situación que se aparta del artícu</w:t>
      </w:r>
      <w:r>
        <w:rPr>
          <w:rFonts w:ascii="ITC Avant Garde" w:eastAsia="Times New Roman" w:hAnsi="ITC Avant Garde" w:cs="ITC Avant Garde"/>
          <w:color w:val="000000"/>
          <w:lang w:val="es-MX"/>
        </w:rPr>
        <w:t xml:space="preserve">lo 50, fracción </w:t>
      </w:r>
      <w:r w:rsidRPr="00463C61">
        <w:rPr>
          <w:rFonts w:ascii="ITC Avant Garde" w:eastAsia="Times New Roman" w:hAnsi="ITC Avant Garde" w:cs="ITC Avant Garde"/>
          <w:color w:val="000000"/>
          <w:lang w:val="es-MX"/>
        </w:rPr>
        <w:t>XV de la LIC, por lo que se sugiere que el Antepr</w:t>
      </w:r>
      <w:r>
        <w:rPr>
          <w:rFonts w:ascii="ITC Avant Garde" w:eastAsia="Times New Roman" w:hAnsi="ITC Avant Garde" w:cs="ITC Avant Garde"/>
          <w:color w:val="000000"/>
          <w:lang w:val="es-MX"/>
        </w:rPr>
        <w:t xml:space="preserve">oyecto incorpore este aspecto a </w:t>
      </w:r>
      <w:r w:rsidRPr="00463C61">
        <w:rPr>
          <w:rFonts w:ascii="ITC Avant Garde" w:eastAsia="Times New Roman" w:hAnsi="ITC Avant Garde" w:cs="ITC Avant Garde"/>
          <w:color w:val="000000"/>
          <w:lang w:val="es-MX"/>
        </w:rPr>
        <w:t>fin de mantener coherencia regulatoria con la citada Ley.</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5. El Anteproyecto incorpora el térm</w:t>
      </w:r>
      <w:r>
        <w:rPr>
          <w:rFonts w:ascii="ITC Avant Garde" w:eastAsia="Times New Roman" w:hAnsi="ITC Avant Garde" w:cs="ITC Avant Garde"/>
          <w:color w:val="000000"/>
          <w:lang w:val="es-MX"/>
        </w:rPr>
        <w:t xml:space="preserve">ino “Normas Oficiales Mexicanas </w:t>
      </w:r>
      <w:r w:rsidRPr="00463C61">
        <w:rPr>
          <w:rFonts w:ascii="ITC Avant Garde" w:eastAsia="Times New Roman" w:hAnsi="ITC Avant Garde" w:cs="ITC Avant Garde"/>
          <w:color w:val="000000"/>
          <w:lang w:val="es-MX"/>
        </w:rPr>
        <w:t>complementarias”, el cual no se encuentra en la LI</w:t>
      </w:r>
      <w:r>
        <w:rPr>
          <w:rFonts w:ascii="ITC Avant Garde" w:eastAsia="Times New Roman" w:hAnsi="ITC Avant Garde" w:cs="ITC Avant Garde"/>
          <w:color w:val="000000"/>
          <w:lang w:val="es-MX"/>
        </w:rPr>
        <w:t xml:space="preserve">C ni en ningún otro instrumento </w:t>
      </w:r>
      <w:r w:rsidRPr="00463C61">
        <w:rPr>
          <w:rFonts w:ascii="ITC Avant Garde" w:eastAsia="Times New Roman" w:hAnsi="ITC Avant Garde" w:cs="ITC Avant Garde"/>
          <w:color w:val="000000"/>
          <w:lang w:val="es-MX"/>
        </w:rPr>
        <w:t>de la legislación mexicana, y por tanto podría causar</w:t>
      </w:r>
      <w:r>
        <w:rPr>
          <w:rFonts w:ascii="ITC Avant Garde" w:eastAsia="Times New Roman" w:hAnsi="ITC Avant Garde" w:cs="ITC Avant Garde"/>
          <w:color w:val="000000"/>
          <w:lang w:val="es-MX"/>
        </w:rPr>
        <w:t xml:space="preserve"> confusión en la interpretación </w:t>
      </w:r>
      <w:r w:rsidRPr="00463C61">
        <w:rPr>
          <w:rFonts w:ascii="ITC Avant Garde" w:eastAsia="Times New Roman" w:hAnsi="ITC Avant Garde" w:cs="ITC Avant Garde"/>
          <w:color w:val="000000"/>
          <w:lang w:val="es-MX"/>
        </w:rPr>
        <w:t xml:space="preserve">y aplicación de normas oficiales mexicanas </w:t>
      </w:r>
      <w:r>
        <w:rPr>
          <w:rFonts w:ascii="ITC Avant Garde" w:eastAsia="Times New Roman" w:hAnsi="ITC Avant Garde" w:cs="ITC Avant Garde"/>
          <w:color w:val="000000"/>
          <w:lang w:val="es-MX"/>
        </w:rPr>
        <w:t xml:space="preserve">pertinentes en los procesos que </w:t>
      </w:r>
      <w:r w:rsidRPr="00463C61">
        <w:rPr>
          <w:rFonts w:ascii="ITC Avant Garde" w:eastAsia="Times New Roman" w:hAnsi="ITC Avant Garde" w:cs="ITC Avant Garde"/>
          <w:color w:val="000000"/>
          <w:lang w:val="es-MX"/>
        </w:rPr>
        <w:t>norman el Anteproyecto. Se sugiere ajustar este</w:t>
      </w:r>
      <w:r>
        <w:rPr>
          <w:rFonts w:ascii="ITC Avant Garde" w:eastAsia="Times New Roman" w:hAnsi="ITC Avant Garde" w:cs="ITC Avant Garde"/>
          <w:color w:val="000000"/>
          <w:lang w:val="es-MX"/>
        </w:rPr>
        <w:t xml:space="preserve"> término a la luz de la LIC, es </w:t>
      </w:r>
      <w:r w:rsidRPr="00463C61">
        <w:rPr>
          <w:rFonts w:ascii="ITC Avant Garde" w:eastAsia="Times New Roman" w:hAnsi="ITC Avant Garde" w:cs="ITC Avant Garde"/>
          <w:color w:val="000000"/>
          <w:lang w:val="es-MX"/>
        </w:rPr>
        <w:t>decir, referir únicamente a “Normas Oficiales Mexicanas”.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6. Las visitas de verificación, suspensión y r</w:t>
      </w:r>
      <w:r>
        <w:rPr>
          <w:rFonts w:ascii="ITC Avant Garde" w:eastAsia="Times New Roman" w:hAnsi="ITC Avant Garde" w:cs="ITC Avant Garde"/>
          <w:color w:val="000000"/>
          <w:lang w:val="es-MX"/>
        </w:rPr>
        <w:t xml:space="preserve">evocación de la autorización de </w:t>
      </w:r>
      <w:r w:rsidRPr="00463C61">
        <w:rPr>
          <w:rFonts w:ascii="ITC Avant Garde" w:eastAsia="Times New Roman" w:hAnsi="ITC Avant Garde" w:cs="ITC Avant Garde"/>
          <w:color w:val="000000"/>
          <w:lang w:val="es-MX"/>
        </w:rPr>
        <w:t>organismos de acreditación autorizados que prev</w:t>
      </w:r>
      <w:r>
        <w:rPr>
          <w:rFonts w:ascii="ITC Avant Garde" w:eastAsia="Times New Roman" w:hAnsi="ITC Avant Garde" w:cs="ITC Avant Garde"/>
          <w:color w:val="000000"/>
          <w:lang w:val="es-MX"/>
        </w:rPr>
        <w:t xml:space="preserve">é el Anteproyecto se centran en </w:t>
      </w:r>
      <w:r w:rsidRPr="00463C61">
        <w:rPr>
          <w:rFonts w:ascii="ITC Avant Garde" w:eastAsia="Times New Roman" w:hAnsi="ITC Avant Garde" w:cs="ITC Avant Garde"/>
          <w:color w:val="000000"/>
          <w:lang w:val="es-MX"/>
        </w:rPr>
        <w:t>la utilización de Actas Circunstanciadas, sin emba</w:t>
      </w:r>
      <w:r>
        <w:rPr>
          <w:rFonts w:ascii="ITC Avant Garde" w:eastAsia="Times New Roman" w:hAnsi="ITC Avant Garde" w:cs="ITC Avant Garde"/>
          <w:color w:val="000000"/>
          <w:lang w:val="es-MX"/>
        </w:rPr>
        <w:t xml:space="preserve">rgo, no existen indicadores que </w:t>
      </w:r>
      <w:r w:rsidRPr="00463C61">
        <w:rPr>
          <w:rFonts w:ascii="ITC Avant Garde" w:eastAsia="Times New Roman" w:hAnsi="ITC Avant Garde" w:cs="ITC Avant Garde"/>
          <w:color w:val="000000"/>
          <w:lang w:val="es-MX"/>
        </w:rPr>
        <w:t>garanticen el adecuado uso de estas. En ese sen</w:t>
      </w:r>
      <w:r>
        <w:rPr>
          <w:rFonts w:ascii="ITC Avant Garde" w:eastAsia="Times New Roman" w:hAnsi="ITC Avant Garde" w:cs="ITC Avant Garde"/>
          <w:color w:val="000000"/>
          <w:lang w:val="es-MX"/>
        </w:rPr>
        <w:t xml:space="preserve">tido, se sugiere incorporar los </w:t>
      </w:r>
      <w:r w:rsidRPr="00463C61">
        <w:rPr>
          <w:rFonts w:ascii="ITC Avant Garde" w:eastAsia="Times New Roman" w:hAnsi="ITC Avant Garde" w:cs="ITC Avant Garde"/>
          <w:color w:val="000000"/>
          <w:lang w:val="es-MX"/>
        </w:rPr>
        <w:t>siguientes indicadores: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a) Datos de la persona a quien se practicó el acto de verificación.</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b) Hora, día, mes y año en que inicie y en que concluya la diligencia.</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c) Calle, número, población o colonia, munici</w:t>
      </w:r>
      <w:r>
        <w:rPr>
          <w:rFonts w:ascii="ITC Avant Garde" w:eastAsia="Times New Roman" w:hAnsi="ITC Avant Garde" w:cs="ITC Avant Garde"/>
          <w:color w:val="000000"/>
          <w:lang w:val="es-MX"/>
        </w:rPr>
        <w:t xml:space="preserve">pio o alcaldía, código postal y </w:t>
      </w:r>
      <w:r w:rsidRPr="00463C61">
        <w:rPr>
          <w:rFonts w:ascii="ITC Avant Garde" w:eastAsia="Times New Roman" w:hAnsi="ITC Avant Garde" w:cs="ITC Avant Garde"/>
          <w:color w:val="000000"/>
          <w:lang w:val="es-MX"/>
        </w:rPr>
        <w:t>entidad federativa en que se encuentre ubica</w:t>
      </w:r>
      <w:r>
        <w:rPr>
          <w:rFonts w:ascii="ITC Avant Garde" w:eastAsia="Times New Roman" w:hAnsi="ITC Avant Garde" w:cs="ITC Avant Garde"/>
          <w:color w:val="000000"/>
          <w:lang w:val="es-MX"/>
        </w:rPr>
        <w:t xml:space="preserve">do el lugar en que se practique </w:t>
      </w:r>
      <w:r w:rsidRPr="00463C61">
        <w:rPr>
          <w:rFonts w:ascii="ITC Avant Garde" w:eastAsia="Times New Roman" w:hAnsi="ITC Avant Garde" w:cs="ITC Avant Garde"/>
          <w:color w:val="000000"/>
          <w:lang w:val="es-MX"/>
        </w:rPr>
        <w:t>el acto de verificación.</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d) Número y fecha del oficio del IFT que motivó la verificación.</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e) Nombre y cargo de la persona con quien se entendió la diligencia.</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f) En su caso, nombre y domicilio de las personas que fungieron como testigos.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g) Datos relativos a la actuación, incluyendo: el mét</w:t>
      </w:r>
      <w:r>
        <w:rPr>
          <w:rFonts w:ascii="ITC Avant Garde" w:eastAsia="Times New Roman" w:hAnsi="ITC Avant Garde" w:cs="ITC Avant Garde"/>
          <w:color w:val="000000"/>
          <w:lang w:val="es-MX"/>
        </w:rPr>
        <w:t xml:space="preserve">odo o procedimiento </w:t>
      </w:r>
      <w:r w:rsidRPr="00463C61">
        <w:rPr>
          <w:rFonts w:ascii="ITC Avant Garde" w:eastAsia="Times New Roman" w:hAnsi="ITC Avant Garde" w:cs="ITC Avant Garde"/>
          <w:color w:val="000000"/>
          <w:lang w:val="es-MX"/>
        </w:rPr>
        <w:t>empleado.</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 xml:space="preserve">h) El resultado de la verificación y los demás </w:t>
      </w:r>
      <w:r>
        <w:rPr>
          <w:rFonts w:ascii="ITC Avant Garde" w:eastAsia="Times New Roman" w:hAnsi="ITC Avant Garde" w:cs="ITC Avant Garde"/>
          <w:color w:val="000000"/>
          <w:lang w:val="es-MX"/>
        </w:rPr>
        <w:t xml:space="preserve">que el IFT considere relevantes </w:t>
      </w:r>
      <w:r w:rsidRPr="00463C61">
        <w:rPr>
          <w:rFonts w:ascii="ITC Avant Garde" w:eastAsia="Times New Roman" w:hAnsi="ITC Avant Garde" w:cs="ITC Avant Garde"/>
          <w:color w:val="000000"/>
          <w:lang w:val="es-MX"/>
        </w:rPr>
        <w:t>agregar.</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i) Declaración y, en su caso, manifestaciones d</w:t>
      </w:r>
      <w:r>
        <w:rPr>
          <w:rFonts w:ascii="ITC Avant Garde" w:eastAsia="Times New Roman" w:hAnsi="ITC Avant Garde" w:cs="ITC Avant Garde"/>
          <w:color w:val="000000"/>
          <w:lang w:val="es-MX"/>
        </w:rPr>
        <w:t xml:space="preserve">e la persona a quien se efectúe </w:t>
      </w:r>
      <w:r w:rsidRPr="00463C61">
        <w:rPr>
          <w:rFonts w:ascii="ITC Avant Garde" w:eastAsia="Times New Roman" w:hAnsi="ITC Avant Garde" w:cs="ITC Avant Garde"/>
          <w:color w:val="000000"/>
          <w:lang w:val="es-MX"/>
        </w:rPr>
        <w:t>la verificación, si se encuentra presente y quisiera hacerla.</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j) Nombre y firma de quienes intervinieron en la diligencia, incluyendo los datos</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 identificación de quien la llevó a cabo.</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 xml:space="preserve">Los indicadores anteriormente citados corresponden </w:t>
      </w:r>
      <w:r>
        <w:rPr>
          <w:rFonts w:ascii="ITC Avant Garde" w:eastAsia="Times New Roman" w:hAnsi="ITC Avant Garde" w:cs="ITC Avant Garde"/>
          <w:color w:val="000000"/>
          <w:lang w:val="es-MX"/>
        </w:rPr>
        <w:t xml:space="preserve">a los previstos por el artículo </w:t>
      </w:r>
      <w:r w:rsidRPr="00463C61">
        <w:rPr>
          <w:rFonts w:ascii="ITC Avant Garde" w:eastAsia="Times New Roman" w:hAnsi="ITC Avant Garde" w:cs="ITC Avant Garde"/>
          <w:color w:val="000000"/>
          <w:lang w:val="es-MX"/>
        </w:rPr>
        <w:t>143 de la LIC, por lo tanto, servirían de orientación para el Anteproyecto.</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7. Por otro lado, el Anteproyecto requiere de</w:t>
      </w:r>
      <w:r>
        <w:rPr>
          <w:rFonts w:ascii="ITC Avant Garde" w:eastAsia="Times New Roman" w:hAnsi="ITC Avant Garde" w:cs="ITC Avant Garde"/>
          <w:color w:val="000000"/>
          <w:lang w:val="es-MX"/>
        </w:rPr>
        <w:t xml:space="preserve"> un examen de idoneidad (DÉCIMO </w:t>
      </w:r>
      <w:r w:rsidRPr="00463C61">
        <w:rPr>
          <w:rFonts w:ascii="ITC Avant Garde" w:eastAsia="Times New Roman" w:hAnsi="ITC Avant Garde" w:cs="ITC Avant Garde"/>
          <w:color w:val="000000"/>
          <w:lang w:val="es-MX"/>
        </w:rPr>
        <w:t>OCTAVO, fracción III) que no se prevé para procesos similares de acreditación,</w:t>
      </w:r>
      <w:r w:rsidR="00597D0A" w:rsidRPr="00CB525E">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otorgando al IFT de un margen de discrecionalida</w:t>
      </w:r>
      <w:r>
        <w:rPr>
          <w:rFonts w:ascii="ITC Avant Garde" w:eastAsia="Times New Roman" w:hAnsi="ITC Avant Garde" w:cs="ITC Avant Garde"/>
          <w:color w:val="000000"/>
          <w:lang w:val="es-MX"/>
        </w:rPr>
        <w:t xml:space="preserve">d con motivo de la acreditación </w:t>
      </w:r>
      <w:r w:rsidRPr="00463C61">
        <w:rPr>
          <w:rFonts w:ascii="ITC Avant Garde" w:eastAsia="Times New Roman" w:hAnsi="ITC Avant Garde" w:cs="ITC Avant Garde"/>
          <w:color w:val="000000"/>
          <w:lang w:val="es-MX"/>
        </w:rPr>
        <w:t>de organismos de evaluación de la c</w:t>
      </w:r>
      <w:r>
        <w:rPr>
          <w:rFonts w:ascii="ITC Avant Garde" w:eastAsia="Times New Roman" w:hAnsi="ITC Avant Garde" w:cs="ITC Avant Garde"/>
          <w:color w:val="000000"/>
          <w:lang w:val="es-MX"/>
        </w:rPr>
        <w:t xml:space="preserve">onformidad. Cabe señalar que el </w:t>
      </w:r>
      <w:r w:rsidRPr="00463C61">
        <w:rPr>
          <w:rFonts w:ascii="ITC Avant Garde" w:eastAsia="Times New Roman" w:hAnsi="ITC Avant Garde" w:cs="ITC Avant Garde"/>
          <w:color w:val="000000"/>
          <w:lang w:val="es-MX"/>
        </w:rPr>
        <w:t>Anteproyecto no determina qué aspectos adicional</w:t>
      </w:r>
      <w:r>
        <w:rPr>
          <w:rFonts w:ascii="ITC Avant Garde" w:eastAsia="Times New Roman" w:hAnsi="ITC Avant Garde" w:cs="ITC Avant Garde"/>
          <w:color w:val="000000"/>
          <w:lang w:val="es-MX"/>
        </w:rPr>
        <w:t xml:space="preserve">es se requieren para que el IFT </w:t>
      </w:r>
      <w:r w:rsidRPr="00463C61">
        <w:rPr>
          <w:rFonts w:ascii="ITC Avant Garde" w:eastAsia="Times New Roman" w:hAnsi="ITC Avant Garde" w:cs="ITC Avant Garde"/>
          <w:color w:val="000000"/>
          <w:lang w:val="es-MX"/>
        </w:rPr>
        <w:t>considere como idónea la solicitud de acreditaci</w:t>
      </w:r>
      <w:r>
        <w:rPr>
          <w:rFonts w:ascii="ITC Avant Garde" w:eastAsia="Times New Roman" w:hAnsi="ITC Avant Garde" w:cs="ITC Avant Garde"/>
          <w:color w:val="000000"/>
          <w:lang w:val="es-MX"/>
        </w:rPr>
        <w:t xml:space="preserve">ón como OEC cuando los </w:t>
      </w:r>
      <w:r w:rsidRPr="00463C61">
        <w:rPr>
          <w:rFonts w:ascii="ITC Avant Garde" w:eastAsia="Times New Roman" w:hAnsi="ITC Avant Garde" w:cs="ITC Avant Garde"/>
          <w:color w:val="000000"/>
          <w:lang w:val="es-MX"/>
        </w:rPr>
        <w:t>solicitantes han dado cumplimiento cabal a los r</w:t>
      </w:r>
      <w:r>
        <w:rPr>
          <w:rFonts w:ascii="ITC Avant Garde" w:eastAsia="Times New Roman" w:hAnsi="ITC Avant Garde" w:cs="ITC Avant Garde"/>
          <w:color w:val="000000"/>
          <w:lang w:val="es-MX"/>
        </w:rPr>
        <w:t xml:space="preserve">equisitos que se consigan en el </w:t>
      </w:r>
      <w:r w:rsidRPr="00463C61">
        <w:rPr>
          <w:rFonts w:ascii="ITC Avant Garde" w:eastAsia="Times New Roman" w:hAnsi="ITC Avant Garde" w:cs="ITC Avant Garde"/>
          <w:color w:val="000000"/>
          <w:lang w:val="es-MX"/>
        </w:rPr>
        <w:t>Anteproyecto, situación que podría dejar en estado</w:t>
      </w:r>
      <w:r>
        <w:rPr>
          <w:rFonts w:ascii="ITC Avant Garde" w:eastAsia="Times New Roman" w:hAnsi="ITC Avant Garde" w:cs="ITC Avant Garde"/>
          <w:color w:val="000000"/>
          <w:lang w:val="es-MX"/>
        </w:rPr>
        <w:t xml:space="preserve"> de indefensión al solicitante, </w:t>
      </w:r>
      <w:r w:rsidRPr="00463C61">
        <w:rPr>
          <w:rFonts w:ascii="ITC Avant Garde" w:eastAsia="Times New Roman" w:hAnsi="ITC Avant Garde" w:cs="ITC Avant Garde"/>
          <w:color w:val="000000"/>
          <w:lang w:val="es-MX"/>
        </w:rPr>
        <w:t>aunado a la falta de certidumbre y previsibilidad jurídica de los solicitantes. En</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este sentido, se recomienda adoptar la redacción del</w:t>
      </w:r>
      <w:r>
        <w:rPr>
          <w:rFonts w:ascii="ITC Avant Garde" w:eastAsia="Times New Roman" w:hAnsi="ITC Avant Garde" w:cs="ITC Avant Garde"/>
          <w:color w:val="000000"/>
          <w:lang w:val="es-MX"/>
        </w:rPr>
        <w:t xml:space="preserve"> artículo 45 de la LIC, </w:t>
      </w:r>
      <w:r>
        <w:rPr>
          <w:rFonts w:ascii="ITC Avant Garde" w:eastAsia="Times New Roman" w:hAnsi="ITC Avant Garde" w:cs="ITC Avant Garde"/>
          <w:color w:val="000000"/>
          <w:lang w:val="es-MX"/>
        </w:rPr>
        <w:lastRenderedPageBreak/>
        <w:t xml:space="preserve">el cual </w:t>
      </w:r>
      <w:r w:rsidRPr="00463C61">
        <w:rPr>
          <w:rFonts w:ascii="ITC Avant Garde" w:eastAsia="Times New Roman" w:hAnsi="ITC Avant Garde" w:cs="ITC Avant Garde"/>
          <w:color w:val="000000"/>
          <w:lang w:val="es-MX"/>
        </w:rPr>
        <w:t>establece los documentos que deben acompañar l</w:t>
      </w:r>
      <w:r>
        <w:rPr>
          <w:rFonts w:ascii="ITC Avant Garde" w:eastAsia="Times New Roman" w:hAnsi="ITC Avant Garde" w:cs="ITC Avant Garde"/>
          <w:color w:val="000000"/>
          <w:lang w:val="es-MX"/>
        </w:rPr>
        <w:t xml:space="preserve">a solicitud de acreditación que </w:t>
      </w:r>
      <w:r w:rsidRPr="00463C61">
        <w:rPr>
          <w:rFonts w:ascii="ITC Avant Garde" w:eastAsia="Times New Roman" w:hAnsi="ITC Avant Garde" w:cs="ITC Avant Garde"/>
          <w:color w:val="000000"/>
          <w:lang w:val="es-MX"/>
        </w:rPr>
        <w:t>presenten los Organismos de Evaluación de la</w:t>
      </w:r>
      <w:r>
        <w:rPr>
          <w:rFonts w:ascii="ITC Avant Garde" w:eastAsia="Times New Roman" w:hAnsi="ITC Avant Garde" w:cs="ITC Avant Garde"/>
          <w:color w:val="000000"/>
          <w:lang w:val="es-MX"/>
        </w:rPr>
        <w:t xml:space="preserve"> Conformidad ante la Entidad de </w:t>
      </w:r>
      <w:r w:rsidRPr="00463C61">
        <w:rPr>
          <w:rFonts w:ascii="ITC Avant Garde" w:eastAsia="Times New Roman" w:hAnsi="ITC Avant Garde" w:cs="ITC Avant Garde"/>
          <w:color w:val="000000"/>
          <w:lang w:val="es-MX"/>
        </w:rPr>
        <w:t>Acreditación.</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8. Finalmente, con motivo de los requisitos estructurales del IFT señalados en el</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 xml:space="preserve">Anteproyecto, se recomienda adoptar el enfoque </w:t>
      </w:r>
      <w:r>
        <w:rPr>
          <w:rFonts w:ascii="ITC Avant Garde" w:eastAsia="Times New Roman" w:hAnsi="ITC Avant Garde" w:cs="ITC Avant Garde"/>
          <w:color w:val="000000"/>
          <w:lang w:val="es-MX"/>
        </w:rPr>
        <w:t xml:space="preserve">de capacidad jurídica, técnica, </w:t>
      </w:r>
      <w:r w:rsidRPr="00463C61">
        <w:rPr>
          <w:rFonts w:ascii="ITC Avant Garde" w:eastAsia="Times New Roman" w:hAnsi="ITC Avant Garde" w:cs="ITC Avant Garde"/>
          <w:color w:val="000000"/>
          <w:lang w:val="es-MX"/>
        </w:rPr>
        <w:t>administrativa y financiera, así como los demás requisitos con los que deben</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cumplir los interesados en operar como Entidad</w:t>
      </w:r>
      <w:r>
        <w:rPr>
          <w:rFonts w:ascii="ITC Avant Garde" w:eastAsia="Times New Roman" w:hAnsi="ITC Avant Garde" w:cs="ITC Avant Garde"/>
          <w:color w:val="000000"/>
          <w:lang w:val="es-MX"/>
        </w:rPr>
        <w:t xml:space="preserve"> de Acreditación, los cuales se </w:t>
      </w:r>
      <w:r w:rsidRPr="00463C61">
        <w:rPr>
          <w:rFonts w:ascii="ITC Avant Garde" w:eastAsia="Times New Roman" w:hAnsi="ITC Avant Garde" w:cs="ITC Avant Garde"/>
          <w:color w:val="000000"/>
          <w:lang w:val="es-MX"/>
        </w:rPr>
        <w:t>establece en el artículo 49 de la LIC. Destaca enf</w:t>
      </w:r>
      <w:r>
        <w:rPr>
          <w:rFonts w:ascii="ITC Avant Garde" w:eastAsia="Times New Roman" w:hAnsi="ITC Avant Garde" w:cs="ITC Avant Garde"/>
          <w:color w:val="000000"/>
          <w:lang w:val="es-MX"/>
        </w:rPr>
        <w:t xml:space="preserve">atizar que el IFT cuente con la </w:t>
      </w:r>
      <w:r w:rsidRPr="00463C61">
        <w:rPr>
          <w:rFonts w:ascii="ITC Avant Garde" w:eastAsia="Times New Roman" w:hAnsi="ITC Avant Garde" w:cs="ITC Avant Garde"/>
          <w:color w:val="000000"/>
          <w:lang w:val="es-MX"/>
        </w:rPr>
        <w:t>capacidad instalada (infraestructura como recu</w:t>
      </w:r>
      <w:r>
        <w:rPr>
          <w:rFonts w:ascii="ITC Avant Garde" w:eastAsia="Times New Roman" w:hAnsi="ITC Avant Garde" w:cs="ITC Avant Garde"/>
          <w:color w:val="000000"/>
          <w:lang w:val="es-MX"/>
        </w:rPr>
        <w:t xml:space="preserve">rsos humanos y materiales) para </w:t>
      </w:r>
      <w:r w:rsidRPr="00463C61">
        <w:rPr>
          <w:rFonts w:ascii="ITC Avant Garde" w:eastAsia="Times New Roman" w:hAnsi="ITC Avant Garde" w:cs="ITC Avant Garde"/>
          <w:color w:val="000000"/>
          <w:lang w:val="es-MX"/>
        </w:rPr>
        <w:t>alcanzar adecuadamente con el mandato del A</w:t>
      </w:r>
      <w:r>
        <w:rPr>
          <w:rFonts w:ascii="ITC Avant Garde" w:eastAsia="Times New Roman" w:hAnsi="ITC Avant Garde" w:cs="ITC Avant Garde"/>
          <w:color w:val="000000"/>
          <w:lang w:val="es-MX"/>
        </w:rPr>
        <w:t xml:space="preserve">nteproyecto. Para efectos de lo </w:t>
      </w:r>
      <w:r w:rsidRPr="00463C61">
        <w:rPr>
          <w:rFonts w:ascii="ITC Avant Garde" w:eastAsia="Times New Roman" w:hAnsi="ITC Avant Garde" w:cs="ITC Avant Garde"/>
          <w:color w:val="000000"/>
          <w:lang w:val="es-MX"/>
        </w:rPr>
        <w:t>anterior, se sugiere incluir una disposición que es</w:t>
      </w:r>
      <w:r>
        <w:rPr>
          <w:rFonts w:ascii="ITC Avant Garde" w:eastAsia="Times New Roman" w:hAnsi="ITC Avant Garde" w:cs="ITC Avant Garde"/>
          <w:color w:val="000000"/>
          <w:lang w:val="es-MX"/>
        </w:rPr>
        <w:t xml:space="preserve">tablezca que la organización de </w:t>
      </w:r>
      <w:r w:rsidRPr="00463C61">
        <w:rPr>
          <w:rFonts w:ascii="ITC Avant Garde" w:eastAsia="Times New Roman" w:hAnsi="ITC Avant Garde" w:cs="ITC Avant Garde"/>
          <w:color w:val="000000"/>
          <w:lang w:val="es-MX"/>
        </w:rPr>
        <w:t>la estructura esté de acuerdo con las normas o lin</w:t>
      </w:r>
      <w:r>
        <w:rPr>
          <w:rFonts w:ascii="ITC Avant Garde" w:eastAsia="Times New Roman" w:hAnsi="ITC Avant Garde" w:cs="ITC Avant Garde"/>
          <w:color w:val="000000"/>
          <w:lang w:val="es-MX"/>
        </w:rPr>
        <w:t xml:space="preserve">eamientos internacionales sobre </w:t>
      </w:r>
      <w:r w:rsidRPr="00463C61">
        <w:rPr>
          <w:rFonts w:ascii="ITC Avant Garde" w:eastAsia="Times New Roman" w:hAnsi="ITC Avant Garde" w:cs="ITC Avant Garde"/>
          <w:color w:val="000000"/>
          <w:lang w:val="es-MX"/>
        </w:rPr>
        <w:t>acreditación, tal y como lo establece el artículo 71,</w:t>
      </w:r>
      <w:r>
        <w:rPr>
          <w:rFonts w:ascii="ITC Avant Garde" w:eastAsia="Times New Roman" w:hAnsi="ITC Avant Garde" w:cs="ITC Avant Garde"/>
          <w:color w:val="000000"/>
          <w:lang w:val="es-MX"/>
        </w:rPr>
        <w:t xml:space="preserve"> fracción III del Reglamento de </w:t>
      </w:r>
      <w:r w:rsidRPr="00463C61">
        <w:rPr>
          <w:rFonts w:ascii="ITC Avant Garde" w:eastAsia="Times New Roman" w:hAnsi="ITC Avant Garde" w:cs="ITC Avant Garde"/>
          <w:color w:val="000000"/>
          <w:lang w:val="es-MX"/>
        </w:rPr>
        <w:t>la Ley Federal sobre Metrología y Normalización (“RLFMN”).</w:t>
      </w:r>
    </w:p>
    <w:p w:rsidR="00463C61" w:rsidRPr="00463C61" w:rsidRDefault="00463C61" w:rsidP="00463C61">
      <w:pPr>
        <w:pStyle w:val="Textocomentario"/>
        <w:spacing w:line="276" w:lineRule="auto"/>
        <w:jc w:val="both"/>
        <w:rPr>
          <w:rFonts w:ascii="ITC Avant Garde" w:eastAsia="Times New Roman" w:hAnsi="ITC Avant Garde" w:cs="ITC Avant Garde"/>
          <w:b/>
          <w:color w:val="000000"/>
          <w:lang w:val="es-MX"/>
        </w:rPr>
      </w:pPr>
      <w:r w:rsidRPr="00463C61">
        <w:rPr>
          <w:rFonts w:ascii="ITC Avant Garde" w:eastAsia="Times New Roman" w:hAnsi="ITC Avant Garde" w:cs="ITC Avant Garde"/>
          <w:b/>
          <w:color w:val="000000"/>
          <w:lang w:val="es-MX"/>
        </w:rPr>
        <w:t xml:space="preserve">II. Análisis del Anteproyecto a </w:t>
      </w:r>
      <w:r>
        <w:rPr>
          <w:rFonts w:ascii="ITC Avant Garde" w:eastAsia="Times New Roman" w:hAnsi="ITC Avant Garde" w:cs="ITC Avant Garde"/>
          <w:b/>
          <w:color w:val="000000"/>
          <w:lang w:val="es-MX"/>
        </w:rPr>
        <w:t xml:space="preserve">la luz los Acuerdos Comerciales </w:t>
      </w:r>
      <w:r w:rsidRPr="00463C61">
        <w:rPr>
          <w:rFonts w:ascii="ITC Avant Garde" w:eastAsia="Times New Roman" w:hAnsi="ITC Avant Garde" w:cs="ITC Avant Garde"/>
          <w:b/>
          <w:color w:val="000000"/>
          <w:lang w:val="es-MX"/>
        </w:rPr>
        <w:t>Internacionales</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9. En opinión de la ANCE, la implementación de l</w:t>
      </w:r>
      <w:r>
        <w:rPr>
          <w:rFonts w:ascii="ITC Avant Garde" w:eastAsia="Times New Roman" w:hAnsi="ITC Avant Garde" w:cs="ITC Avant Garde"/>
          <w:color w:val="000000"/>
          <w:lang w:val="es-MX"/>
        </w:rPr>
        <w:t xml:space="preserve">as prácticas regulatorias debe </w:t>
      </w:r>
      <w:r w:rsidRPr="00463C61">
        <w:rPr>
          <w:rFonts w:ascii="ITC Avant Garde" w:eastAsia="Times New Roman" w:hAnsi="ITC Avant Garde" w:cs="ITC Avant Garde"/>
          <w:color w:val="000000"/>
          <w:lang w:val="es-MX"/>
        </w:rPr>
        <w:t>conducirse con transparencia, análisis objetivo y predic</w:t>
      </w:r>
      <w:r>
        <w:rPr>
          <w:rFonts w:ascii="ITC Avant Garde" w:eastAsia="Times New Roman" w:hAnsi="ITC Avant Garde" w:cs="ITC Avant Garde"/>
          <w:color w:val="000000"/>
          <w:lang w:val="es-MX"/>
        </w:rPr>
        <w:t xml:space="preserve">tibilidad a fin de facilitar el </w:t>
      </w:r>
      <w:r w:rsidRPr="00463C61">
        <w:rPr>
          <w:rFonts w:ascii="ITC Avant Garde" w:eastAsia="Times New Roman" w:hAnsi="ITC Avant Garde" w:cs="ITC Avant Garde"/>
          <w:color w:val="000000"/>
          <w:lang w:val="es-MX"/>
        </w:rPr>
        <w:t>comercio internacional, la inversión y el cre</w:t>
      </w:r>
      <w:r>
        <w:rPr>
          <w:rFonts w:ascii="ITC Avant Garde" w:eastAsia="Times New Roman" w:hAnsi="ITC Avant Garde" w:cs="ITC Avant Garde"/>
          <w:color w:val="000000"/>
          <w:lang w:val="es-MX"/>
        </w:rPr>
        <w:t xml:space="preserve">cimiento económico, tal como lo </w:t>
      </w:r>
      <w:r w:rsidRPr="00463C61">
        <w:rPr>
          <w:rFonts w:ascii="ITC Avant Garde" w:eastAsia="Times New Roman" w:hAnsi="ITC Avant Garde" w:cs="ITC Avant Garde"/>
          <w:color w:val="000000"/>
          <w:lang w:val="es-MX"/>
        </w:rPr>
        <w:t>dispone el artículo 28.2 del T-MEC, y el 8.2 del TIPAT. Esto</w:t>
      </w:r>
      <w:r>
        <w:rPr>
          <w:rFonts w:ascii="ITC Avant Garde" w:eastAsia="Times New Roman" w:hAnsi="ITC Avant Garde" w:cs="ITC Avant Garde"/>
          <w:color w:val="000000"/>
          <w:lang w:val="es-MX"/>
        </w:rPr>
        <w:t xml:space="preserve"> es, que los </w:t>
      </w:r>
      <w:r w:rsidRPr="00463C61">
        <w:rPr>
          <w:rFonts w:ascii="ITC Avant Garde" w:eastAsia="Times New Roman" w:hAnsi="ITC Avant Garde" w:cs="ITC Avant Garde"/>
          <w:color w:val="000000"/>
          <w:lang w:val="es-MX"/>
        </w:rPr>
        <w:t>Lineamientos contenidos en el Ante</w:t>
      </w:r>
      <w:r>
        <w:rPr>
          <w:rFonts w:ascii="ITC Avant Garde" w:eastAsia="Times New Roman" w:hAnsi="ITC Avant Garde" w:cs="ITC Avant Garde"/>
          <w:color w:val="000000"/>
          <w:lang w:val="es-MX"/>
        </w:rPr>
        <w:t xml:space="preserve">proyecto se encuentren libre de </w:t>
      </w:r>
      <w:r w:rsidRPr="00463C61">
        <w:rPr>
          <w:rFonts w:ascii="ITC Avant Garde" w:eastAsia="Times New Roman" w:hAnsi="ITC Avant Garde" w:cs="ITC Avant Garde"/>
          <w:color w:val="000000"/>
          <w:lang w:val="es-MX"/>
        </w:rPr>
        <w:t>ambigüedades, que cuente un adecuado anális</w:t>
      </w:r>
      <w:r>
        <w:rPr>
          <w:rFonts w:ascii="ITC Avant Garde" w:eastAsia="Times New Roman" w:hAnsi="ITC Avant Garde" w:cs="ITC Avant Garde"/>
          <w:color w:val="000000"/>
          <w:lang w:val="es-MX"/>
        </w:rPr>
        <w:t xml:space="preserve">is de impacto regulatorio (como </w:t>
      </w:r>
      <w:r w:rsidRPr="00463C61">
        <w:rPr>
          <w:rFonts w:ascii="ITC Avant Garde" w:eastAsia="Times New Roman" w:hAnsi="ITC Avant Garde" w:cs="ITC Avant Garde"/>
          <w:color w:val="000000"/>
          <w:lang w:val="es-MX"/>
        </w:rPr>
        <w:t>más adelante se detalla), las resoluciones del</w:t>
      </w:r>
      <w:r>
        <w:rPr>
          <w:rFonts w:ascii="ITC Avant Garde" w:eastAsia="Times New Roman" w:hAnsi="ITC Avant Garde" w:cs="ITC Avant Garde"/>
          <w:color w:val="000000"/>
          <w:lang w:val="es-MX"/>
        </w:rPr>
        <w:t xml:space="preserve"> IFT sean imparciales y que los </w:t>
      </w:r>
      <w:r w:rsidRPr="00463C61">
        <w:rPr>
          <w:rFonts w:ascii="ITC Avant Garde" w:eastAsia="Times New Roman" w:hAnsi="ITC Avant Garde" w:cs="ITC Avant Garde"/>
          <w:color w:val="000000"/>
          <w:lang w:val="es-MX"/>
        </w:rPr>
        <w:t>Lineamiento sean coherentes con el marco regulatorio nacional.</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10. El texto del Anteproyecto se acompaña de una eva</w:t>
      </w:r>
      <w:r>
        <w:rPr>
          <w:rFonts w:ascii="ITC Avant Garde" w:eastAsia="Times New Roman" w:hAnsi="ITC Avant Garde" w:cs="ITC Avant Garde"/>
          <w:color w:val="000000"/>
          <w:lang w:val="es-MX"/>
        </w:rPr>
        <w:t xml:space="preserve">luación de impacto regulatorio, </w:t>
      </w:r>
      <w:r w:rsidRPr="00463C61">
        <w:rPr>
          <w:rFonts w:ascii="ITC Avant Garde" w:eastAsia="Times New Roman" w:hAnsi="ITC Avant Garde" w:cs="ITC Avant Garde"/>
          <w:color w:val="000000"/>
          <w:lang w:val="es-MX"/>
        </w:rPr>
        <w:t>la cual determina que la presente disposición admin</w:t>
      </w:r>
      <w:r>
        <w:rPr>
          <w:rFonts w:ascii="ITC Avant Garde" w:eastAsia="Times New Roman" w:hAnsi="ITC Avant Garde" w:cs="ITC Avant Garde"/>
          <w:color w:val="000000"/>
          <w:lang w:val="es-MX"/>
        </w:rPr>
        <w:t xml:space="preserve">istrativa resulta idónea y útil </w:t>
      </w:r>
      <w:r w:rsidRPr="00463C61">
        <w:rPr>
          <w:rFonts w:ascii="ITC Avant Garde" w:eastAsia="Times New Roman" w:hAnsi="ITC Avant Garde" w:cs="ITC Avant Garde"/>
          <w:color w:val="000000"/>
          <w:lang w:val="es-MX"/>
        </w:rPr>
        <w:t>para simplificar la evaluación de la conformidad d</w:t>
      </w:r>
      <w:r>
        <w:rPr>
          <w:rFonts w:ascii="ITC Avant Garde" w:eastAsia="Times New Roman" w:hAnsi="ITC Avant Garde" w:cs="ITC Avant Garde"/>
          <w:color w:val="000000"/>
          <w:lang w:val="es-MX"/>
        </w:rPr>
        <w:t xml:space="preserve">e los equipos de </w:t>
      </w:r>
      <w:r w:rsidRPr="00463C61">
        <w:rPr>
          <w:rFonts w:ascii="ITC Avant Garde" w:eastAsia="Times New Roman" w:hAnsi="ITC Avant Garde" w:cs="ITC Avant Garde"/>
          <w:color w:val="000000"/>
          <w:lang w:val="es-MX"/>
        </w:rPr>
        <w:t>telecomunicaciones y radiodifusión, al mismo tiempo</w:t>
      </w:r>
      <w:r>
        <w:rPr>
          <w:rFonts w:ascii="ITC Avant Garde" w:eastAsia="Times New Roman" w:hAnsi="ITC Avant Garde" w:cs="ITC Avant Garde"/>
          <w:color w:val="000000"/>
          <w:lang w:val="es-MX"/>
        </w:rPr>
        <w:t xml:space="preserve"> que facilita el comercio entre </w:t>
      </w:r>
      <w:r w:rsidRPr="00463C61">
        <w:rPr>
          <w:rFonts w:ascii="ITC Avant Garde" w:eastAsia="Times New Roman" w:hAnsi="ITC Avant Garde" w:cs="ITC Avant Garde"/>
          <w:color w:val="000000"/>
          <w:lang w:val="es-MX"/>
        </w:rPr>
        <w:t>México, los Estados Unidos de América y Cana</w:t>
      </w:r>
      <w:r>
        <w:rPr>
          <w:rFonts w:ascii="ITC Avant Garde" w:eastAsia="Times New Roman" w:hAnsi="ITC Avant Garde" w:cs="ITC Avant Garde"/>
          <w:color w:val="000000"/>
          <w:lang w:val="es-MX"/>
        </w:rPr>
        <w:t xml:space="preserve">dá. No obstante, el AIR adolece </w:t>
      </w:r>
      <w:r w:rsidRPr="00463C61">
        <w:rPr>
          <w:rFonts w:ascii="ITC Avant Garde" w:eastAsia="Times New Roman" w:hAnsi="ITC Avant Garde" w:cs="ITC Avant Garde"/>
          <w:color w:val="000000"/>
          <w:lang w:val="es-MX"/>
        </w:rPr>
        <w:t>de una evaluación costo/ beneficio, toda vez qu</w:t>
      </w:r>
      <w:r>
        <w:rPr>
          <w:rFonts w:ascii="ITC Avant Garde" w:eastAsia="Times New Roman" w:hAnsi="ITC Avant Garde" w:cs="ITC Avant Garde"/>
          <w:color w:val="000000"/>
          <w:lang w:val="es-MX"/>
        </w:rPr>
        <w:t xml:space="preserve">e únicamente se cuantifican los </w:t>
      </w:r>
      <w:r w:rsidRPr="00463C61">
        <w:rPr>
          <w:rFonts w:ascii="ITC Avant Garde" w:eastAsia="Times New Roman" w:hAnsi="ITC Avant Garde" w:cs="ITC Avant Garde"/>
          <w:color w:val="000000"/>
          <w:lang w:val="es-MX"/>
        </w:rPr>
        <w:t>costos en los que incurrirán los agentes econó</w:t>
      </w:r>
      <w:r>
        <w:rPr>
          <w:rFonts w:ascii="ITC Avant Garde" w:eastAsia="Times New Roman" w:hAnsi="ITC Avant Garde" w:cs="ITC Avant Garde"/>
          <w:color w:val="000000"/>
          <w:lang w:val="es-MX"/>
        </w:rPr>
        <w:t xml:space="preserve">micos con razón de los trámites </w:t>
      </w:r>
      <w:r w:rsidRPr="00463C61">
        <w:rPr>
          <w:rFonts w:ascii="ITC Avant Garde" w:eastAsia="Times New Roman" w:hAnsi="ITC Avant Garde" w:cs="ITC Avant Garde"/>
          <w:color w:val="000000"/>
          <w:lang w:val="es-MX"/>
        </w:rPr>
        <w:t>previstos en el Anteproyecto, y no así</w:t>
      </w:r>
      <w:r>
        <w:rPr>
          <w:rFonts w:ascii="ITC Avant Garde" w:eastAsia="Times New Roman" w:hAnsi="ITC Avant Garde" w:cs="ITC Avant Garde"/>
          <w:color w:val="000000"/>
          <w:lang w:val="es-MX"/>
        </w:rPr>
        <w:t xml:space="preserve"> los beneficios que generará su </w:t>
      </w:r>
      <w:r w:rsidRPr="00463C61">
        <w:rPr>
          <w:rFonts w:ascii="ITC Avant Garde" w:eastAsia="Times New Roman" w:hAnsi="ITC Avant Garde" w:cs="ITC Avant Garde"/>
          <w:color w:val="000000"/>
          <w:lang w:val="es-MX"/>
        </w:rPr>
        <w:t>implementación. Por consiguiente, tant</w:t>
      </w:r>
      <w:r>
        <w:rPr>
          <w:rFonts w:ascii="ITC Avant Garde" w:eastAsia="Times New Roman" w:hAnsi="ITC Avant Garde" w:cs="ITC Avant Garde"/>
          <w:color w:val="000000"/>
          <w:lang w:val="es-MX"/>
        </w:rPr>
        <w:t xml:space="preserve">o el Anteproyecto, como el AIR, </w:t>
      </w:r>
      <w:r w:rsidRPr="00463C61">
        <w:rPr>
          <w:rFonts w:ascii="ITC Avant Garde" w:eastAsia="Times New Roman" w:hAnsi="ITC Avant Garde" w:cs="ITC Avant Garde"/>
          <w:color w:val="000000"/>
          <w:lang w:val="es-MX"/>
        </w:rPr>
        <w:t>contravienen lo dispuesto los considera</w:t>
      </w:r>
      <w:r>
        <w:rPr>
          <w:rFonts w:ascii="ITC Avant Garde" w:eastAsia="Times New Roman" w:hAnsi="ITC Avant Garde" w:cs="ITC Avant Garde"/>
          <w:color w:val="000000"/>
          <w:lang w:val="es-MX"/>
        </w:rPr>
        <w:t xml:space="preserve">ndos segundo y tercero de los </w:t>
      </w:r>
      <w:r w:rsidRPr="00463C61">
        <w:rPr>
          <w:rFonts w:ascii="ITC Avant Garde" w:eastAsia="Times New Roman" w:hAnsi="ITC Avant Garde" w:cs="ITC Avant Garde"/>
          <w:color w:val="000000"/>
          <w:lang w:val="es-MX"/>
        </w:rPr>
        <w:t>Lineamientos de Consulta Pública y Análisis de Impacto Regulatorio del Instituto</w:t>
      </w:r>
      <w:r w:rsidR="00597D0A" w:rsidRPr="00CB525E">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Federal de Telecomunicaciones</w:t>
      </w:r>
      <w:r w:rsidR="001A20DC">
        <w:rPr>
          <w:rStyle w:val="Refdenotaalpie"/>
          <w:rFonts w:ascii="ITC Avant Garde" w:eastAsia="Times New Roman" w:hAnsi="ITC Avant Garde" w:cs="ITC Avant Garde"/>
          <w:color w:val="000000"/>
          <w:lang w:val="es-MX"/>
        </w:rPr>
        <w:footnoteReference w:id="5"/>
      </w:r>
      <w:r w:rsidRPr="00463C61">
        <w:rPr>
          <w:rFonts w:ascii="ITC Avant Garde" w:eastAsia="Times New Roman" w:hAnsi="ITC Avant Garde" w:cs="ITC Avant Garde"/>
          <w:color w:val="000000"/>
          <w:lang w:val="es-MX"/>
        </w:rPr>
        <w:t>, así como las</w:t>
      </w:r>
      <w:r>
        <w:rPr>
          <w:rFonts w:ascii="ITC Avant Garde" w:eastAsia="Times New Roman" w:hAnsi="ITC Avant Garde" w:cs="ITC Avant Garde"/>
          <w:color w:val="000000"/>
          <w:lang w:val="es-MX"/>
        </w:rPr>
        <w:t xml:space="preserve"> recomendaciones realizadas por </w:t>
      </w:r>
      <w:r w:rsidRPr="00463C61">
        <w:rPr>
          <w:rFonts w:ascii="ITC Avant Garde" w:eastAsia="Times New Roman" w:hAnsi="ITC Avant Garde" w:cs="ITC Avant Garde"/>
          <w:color w:val="000000"/>
          <w:lang w:val="es-MX"/>
        </w:rPr>
        <w:t>la OCDE en 2008</w:t>
      </w:r>
      <w:r w:rsidR="001A20DC">
        <w:rPr>
          <w:rStyle w:val="Refdenotaalpie"/>
          <w:rFonts w:ascii="ITC Avant Garde" w:eastAsia="Times New Roman" w:hAnsi="ITC Avant Garde" w:cs="ITC Avant Garde"/>
          <w:color w:val="000000"/>
          <w:lang w:val="es-MX"/>
        </w:rPr>
        <w:footnoteReference w:id="6"/>
      </w:r>
      <w:r w:rsidRPr="00463C61">
        <w:rPr>
          <w:rFonts w:ascii="ITC Avant Garde" w:eastAsia="Times New Roman" w:hAnsi="ITC Avant Garde" w:cs="ITC Avant Garde"/>
          <w:color w:val="000000"/>
          <w:lang w:val="es-MX"/>
        </w:rPr>
        <w:t>, toda vez que no existe informació</w:t>
      </w:r>
      <w:r>
        <w:rPr>
          <w:rFonts w:ascii="ITC Avant Garde" w:eastAsia="Times New Roman" w:hAnsi="ITC Avant Garde" w:cs="ITC Avant Garde"/>
          <w:color w:val="000000"/>
          <w:lang w:val="es-MX"/>
        </w:rPr>
        <w:t xml:space="preserve">n suficiente que demuestre </w:t>
      </w:r>
      <w:r w:rsidRPr="00463C61">
        <w:rPr>
          <w:rFonts w:ascii="ITC Avant Garde" w:eastAsia="Times New Roman" w:hAnsi="ITC Avant Garde" w:cs="ITC Avant Garde"/>
          <w:color w:val="000000"/>
          <w:lang w:val="es-MX"/>
        </w:rPr>
        <w:t>que el Anteproyecto cumple la finalidad de gene</w:t>
      </w:r>
      <w:r>
        <w:rPr>
          <w:rFonts w:ascii="ITC Avant Garde" w:eastAsia="Times New Roman" w:hAnsi="ITC Avant Garde" w:cs="ITC Avant Garde"/>
          <w:color w:val="000000"/>
          <w:lang w:val="es-MX"/>
        </w:rPr>
        <w:t xml:space="preserve">rar el máximo beneficio para la </w:t>
      </w:r>
      <w:r w:rsidRPr="00463C61">
        <w:rPr>
          <w:rFonts w:ascii="ITC Avant Garde" w:eastAsia="Times New Roman" w:hAnsi="ITC Avant Garde" w:cs="ITC Avant Garde"/>
          <w:color w:val="000000"/>
          <w:lang w:val="es-MX"/>
        </w:rPr>
        <w:t>sociedad al menor costo posible. En es</w:t>
      </w:r>
      <w:r>
        <w:rPr>
          <w:rFonts w:ascii="ITC Avant Garde" w:eastAsia="Times New Roman" w:hAnsi="ITC Avant Garde" w:cs="ITC Avant Garde"/>
          <w:color w:val="000000"/>
          <w:lang w:val="es-MX"/>
        </w:rPr>
        <w:t xml:space="preserve">te sentido, de igual manera, el </w:t>
      </w:r>
      <w:r w:rsidRPr="00463C61">
        <w:rPr>
          <w:rFonts w:ascii="ITC Avant Garde" w:eastAsia="Times New Roman" w:hAnsi="ITC Avant Garde" w:cs="ITC Avant Garde"/>
          <w:color w:val="000000"/>
          <w:lang w:val="es-MX"/>
        </w:rPr>
        <w:t>Anteproyecto incumple con las obligaciones establecidas en los artículos 28.11.1</w:t>
      </w:r>
      <w:r>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28.11.2. inciso del T-MEC, y 25.5.2 incisos b) y c) del TIPAT.</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lastRenderedPageBreak/>
        <w:t>11. Del mismo modo, es necesario que el Anteproye</w:t>
      </w:r>
      <w:r w:rsidR="001A20DC">
        <w:rPr>
          <w:rFonts w:ascii="ITC Avant Garde" w:eastAsia="Times New Roman" w:hAnsi="ITC Avant Garde" w:cs="ITC Avant Garde"/>
          <w:color w:val="000000"/>
          <w:lang w:val="es-MX"/>
        </w:rPr>
        <w:t xml:space="preserve">cto incorpore un reconocimiento </w:t>
      </w:r>
      <w:r w:rsidRPr="00463C61">
        <w:rPr>
          <w:rFonts w:ascii="ITC Avant Garde" w:eastAsia="Times New Roman" w:hAnsi="ITC Avant Garde" w:cs="ITC Avant Garde"/>
          <w:color w:val="000000"/>
          <w:lang w:val="es-MX"/>
        </w:rPr>
        <w:t>expreso a los tratados internacionales y acuerdos comerciales de los que el</w:t>
      </w:r>
      <w:r w:rsidR="001A20DC">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Estado mexicano es parte, a fin de estar en confo</w:t>
      </w:r>
      <w:r w:rsidR="001A20DC">
        <w:rPr>
          <w:rFonts w:ascii="ITC Avant Garde" w:eastAsia="Times New Roman" w:hAnsi="ITC Avant Garde" w:cs="ITC Avant Garde"/>
          <w:color w:val="000000"/>
          <w:lang w:val="es-MX"/>
        </w:rPr>
        <w:t xml:space="preserve">rmidad con los principios de la </w:t>
      </w:r>
      <w:r w:rsidRPr="00463C61">
        <w:rPr>
          <w:rFonts w:ascii="ITC Avant Garde" w:eastAsia="Times New Roman" w:hAnsi="ITC Avant Garde" w:cs="ITC Avant Garde"/>
          <w:color w:val="000000"/>
          <w:lang w:val="es-MX"/>
        </w:rPr>
        <w:t xml:space="preserve">LIC estipulados en su artículo 5, concretamente con </w:t>
      </w:r>
      <w:r w:rsidR="001A20DC">
        <w:rPr>
          <w:rFonts w:ascii="ITC Avant Garde" w:eastAsia="Times New Roman" w:hAnsi="ITC Avant Garde" w:cs="ITC Avant Garde"/>
          <w:color w:val="000000"/>
          <w:lang w:val="es-MX"/>
        </w:rPr>
        <w:t xml:space="preserve">los previstos en las fracciones </w:t>
      </w:r>
      <w:r w:rsidRPr="00463C61">
        <w:rPr>
          <w:rFonts w:ascii="ITC Avant Garde" w:eastAsia="Times New Roman" w:hAnsi="ITC Avant Garde" w:cs="ITC Avant Garde"/>
          <w:color w:val="000000"/>
          <w:lang w:val="es-MX"/>
        </w:rPr>
        <w:t>VIII y X. Asimismo, con esta deficiencia omite el i</w:t>
      </w:r>
      <w:r w:rsidR="001A20DC">
        <w:rPr>
          <w:rFonts w:ascii="ITC Avant Garde" w:eastAsia="Times New Roman" w:hAnsi="ITC Avant Garde" w:cs="ITC Avant Garde"/>
          <w:color w:val="000000"/>
          <w:lang w:val="es-MX"/>
        </w:rPr>
        <w:t xml:space="preserve">mportante papel que las normas, </w:t>
      </w:r>
      <w:r w:rsidRPr="00463C61">
        <w:rPr>
          <w:rFonts w:ascii="ITC Avant Garde" w:eastAsia="Times New Roman" w:hAnsi="ITC Avant Garde" w:cs="ITC Avant Garde"/>
          <w:color w:val="000000"/>
          <w:lang w:val="es-MX"/>
        </w:rPr>
        <w:t>guías y recomendaciones internacionales pueden desempeñar para apoyar una</w:t>
      </w:r>
      <w:r w:rsidR="001A20DC">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mayor alineación regulatoria y buenas prácticas regulatorias y en la reducción de</w:t>
      </w:r>
      <w:r w:rsidR="001A20DC">
        <w:rPr>
          <w:rFonts w:ascii="ITC Avant Garde" w:eastAsia="Times New Roman" w:hAnsi="ITC Avant Garde" w:cs="ITC Avant Garde"/>
          <w:color w:val="000000"/>
          <w:lang w:val="es-MX"/>
        </w:rPr>
        <w:t xml:space="preserve"> </w:t>
      </w:r>
      <w:r w:rsidRPr="00463C61">
        <w:rPr>
          <w:rFonts w:ascii="ITC Avant Garde" w:eastAsia="Times New Roman" w:hAnsi="ITC Avant Garde" w:cs="ITC Avant Garde"/>
          <w:color w:val="000000"/>
          <w:lang w:val="es-MX"/>
        </w:rPr>
        <w:t xml:space="preserve">obstáculos innecesarios al comercio, contrariando </w:t>
      </w:r>
      <w:r w:rsidR="001A20DC">
        <w:rPr>
          <w:rFonts w:ascii="ITC Avant Garde" w:eastAsia="Times New Roman" w:hAnsi="ITC Avant Garde" w:cs="ITC Avant Garde"/>
          <w:color w:val="000000"/>
          <w:lang w:val="es-MX"/>
        </w:rPr>
        <w:t xml:space="preserve">los principios de armonización, </w:t>
      </w:r>
      <w:r w:rsidRPr="00463C61">
        <w:rPr>
          <w:rFonts w:ascii="ITC Avant Garde" w:eastAsia="Times New Roman" w:hAnsi="ITC Avant Garde" w:cs="ITC Avant Garde"/>
          <w:color w:val="000000"/>
          <w:lang w:val="es-MX"/>
        </w:rPr>
        <w:t>compatibilidad y cooperación regulatoria previstos e</w:t>
      </w:r>
      <w:r w:rsidR="001A20DC">
        <w:rPr>
          <w:rFonts w:ascii="ITC Avant Garde" w:eastAsia="Times New Roman" w:hAnsi="ITC Avant Garde" w:cs="ITC Avant Garde"/>
          <w:color w:val="000000"/>
          <w:lang w:val="es-MX"/>
        </w:rPr>
        <w:t xml:space="preserve">n los artículos 2.2, 2.4, 2.6 y </w:t>
      </w:r>
      <w:r w:rsidRPr="00463C61">
        <w:rPr>
          <w:rFonts w:ascii="ITC Avant Garde" w:eastAsia="Times New Roman" w:hAnsi="ITC Avant Garde" w:cs="ITC Avant Garde"/>
          <w:color w:val="000000"/>
          <w:lang w:val="es-MX"/>
        </w:rPr>
        <w:t>6.1.1 del Acuerdo OTC, 11.4.1,11.5.3, 28.17.2 y 28.</w:t>
      </w:r>
      <w:r w:rsidR="001A20DC">
        <w:rPr>
          <w:rFonts w:ascii="ITC Avant Garde" w:eastAsia="Times New Roman" w:hAnsi="ITC Avant Garde" w:cs="ITC Avant Garde"/>
          <w:color w:val="000000"/>
          <w:lang w:val="es-MX"/>
        </w:rPr>
        <w:t xml:space="preserve">17.3 del T-MEC, y 8.5.1, 8.9.2, </w:t>
      </w:r>
      <w:r w:rsidRPr="00463C61">
        <w:rPr>
          <w:rFonts w:ascii="ITC Avant Garde" w:eastAsia="Times New Roman" w:hAnsi="ITC Avant Garde" w:cs="ITC Avant Garde"/>
          <w:color w:val="000000"/>
          <w:lang w:val="es-MX"/>
        </w:rPr>
        <w:t>incisos b y c, 25.2.1 y 25.7 del TIPAT.</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12. El Anteproyecto incorpora aspectos limitados a</w:t>
      </w:r>
      <w:r w:rsidR="001A20DC">
        <w:rPr>
          <w:rFonts w:ascii="ITC Avant Garde" w:eastAsia="Times New Roman" w:hAnsi="ITC Avant Garde" w:cs="ITC Avant Garde"/>
          <w:color w:val="000000"/>
          <w:lang w:val="es-MX"/>
        </w:rPr>
        <w:t xml:space="preserve">cerca del uso de la información </w:t>
      </w:r>
      <w:r w:rsidRPr="00463C61">
        <w:rPr>
          <w:rFonts w:ascii="ITC Avant Garde" w:eastAsia="Times New Roman" w:hAnsi="ITC Avant Garde" w:cs="ITC Avant Garde"/>
          <w:color w:val="000000"/>
          <w:lang w:val="es-MX"/>
        </w:rPr>
        <w:t>confidencial que el IFT realiza como organismo</w:t>
      </w:r>
      <w:r w:rsidR="001A20DC">
        <w:rPr>
          <w:rFonts w:ascii="ITC Avant Garde" w:eastAsia="Times New Roman" w:hAnsi="ITC Avant Garde" w:cs="ITC Avant Garde"/>
          <w:color w:val="000000"/>
          <w:lang w:val="es-MX"/>
        </w:rPr>
        <w:t xml:space="preserve"> de acreditación, por lo que se </w:t>
      </w:r>
      <w:r w:rsidRPr="00463C61">
        <w:rPr>
          <w:rFonts w:ascii="ITC Avant Garde" w:eastAsia="Times New Roman" w:hAnsi="ITC Avant Garde" w:cs="ITC Avant Garde"/>
          <w:color w:val="000000"/>
          <w:lang w:val="es-MX"/>
        </w:rPr>
        <w:t xml:space="preserve">sugiere que la información y documentación que </w:t>
      </w:r>
      <w:r w:rsidR="001A20DC">
        <w:rPr>
          <w:rFonts w:ascii="ITC Avant Garde" w:eastAsia="Times New Roman" w:hAnsi="ITC Avant Garde" w:cs="ITC Avant Garde"/>
          <w:color w:val="000000"/>
          <w:lang w:val="es-MX"/>
        </w:rPr>
        <w:t xml:space="preserve">se allegue al IFT con motivo de </w:t>
      </w:r>
      <w:r w:rsidRPr="00463C61">
        <w:rPr>
          <w:rFonts w:ascii="ITC Avant Garde" w:eastAsia="Times New Roman" w:hAnsi="ITC Avant Garde" w:cs="ITC Avant Garde"/>
          <w:color w:val="000000"/>
          <w:lang w:val="es-MX"/>
        </w:rPr>
        <w:t>cualquiera de los procedimientos que regul</w:t>
      </w:r>
      <w:r w:rsidR="001A20DC">
        <w:rPr>
          <w:rFonts w:ascii="ITC Avant Garde" w:eastAsia="Times New Roman" w:hAnsi="ITC Avant Garde" w:cs="ITC Avant Garde"/>
          <w:color w:val="000000"/>
          <w:lang w:val="es-MX"/>
        </w:rPr>
        <w:t xml:space="preserve">ará este Anteproyecto se emplee </w:t>
      </w:r>
      <w:r w:rsidRPr="00463C61">
        <w:rPr>
          <w:rFonts w:ascii="ITC Avant Garde" w:eastAsia="Times New Roman" w:hAnsi="ITC Avant Garde" w:cs="ITC Avant Garde"/>
          <w:color w:val="000000"/>
          <w:lang w:val="es-MX"/>
        </w:rPr>
        <w:t>exclusivamente para tales fines, y cuando l</w:t>
      </w:r>
      <w:r w:rsidR="001A20DC">
        <w:rPr>
          <w:rFonts w:ascii="ITC Avant Garde" w:eastAsia="Times New Roman" w:hAnsi="ITC Avant Garde" w:cs="ITC Avant Garde"/>
          <w:color w:val="000000"/>
          <w:lang w:val="es-MX"/>
        </w:rPr>
        <w:t xml:space="preserve">a confidencialidad de esta esté </w:t>
      </w:r>
      <w:r w:rsidRPr="00463C61">
        <w:rPr>
          <w:rFonts w:ascii="ITC Avant Garde" w:eastAsia="Times New Roman" w:hAnsi="ITC Avant Garde" w:cs="ITC Avant Garde"/>
          <w:color w:val="000000"/>
          <w:lang w:val="es-MX"/>
        </w:rPr>
        <w:t>protegida por la legislación aplicable, el intere</w:t>
      </w:r>
      <w:r w:rsidR="001A20DC">
        <w:rPr>
          <w:rFonts w:ascii="ITC Avant Garde" w:eastAsia="Times New Roman" w:hAnsi="ITC Avant Garde" w:cs="ITC Avant Garde"/>
          <w:color w:val="000000"/>
          <w:lang w:val="es-MX"/>
        </w:rPr>
        <w:t xml:space="preserve">sado deberá autorizar su uso. A </w:t>
      </w:r>
      <w:r w:rsidRPr="00463C61">
        <w:rPr>
          <w:rFonts w:ascii="ITC Avant Garde" w:eastAsia="Times New Roman" w:hAnsi="ITC Avant Garde" w:cs="ITC Avant Garde"/>
          <w:color w:val="000000"/>
          <w:lang w:val="es-MX"/>
        </w:rPr>
        <w:t>solicitud expresa del interesado, tendrá el car</w:t>
      </w:r>
      <w:r w:rsidR="001A20DC">
        <w:rPr>
          <w:rFonts w:ascii="ITC Avant Garde" w:eastAsia="Times New Roman" w:hAnsi="ITC Avant Garde" w:cs="ITC Avant Garde"/>
          <w:color w:val="000000"/>
          <w:lang w:val="es-MX"/>
        </w:rPr>
        <w:t xml:space="preserve">ácter de confidencial y no será </w:t>
      </w:r>
      <w:r w:rsidRPr="00463C61">
        <w:rPr>
          <w:rFonts w:ascii="ITC Avant Garde" w:eastAsia="Times New Roman" w:hAnsi="ITC Avant Garde" w:cs="ITC Avant Garde"/>
          <w:color w:val="000000"/>
          <w:lang w:val="es-MX"/>
        </w:rPr>
        <w:t>divulgada, gozando también de la protección establ</w:t>
      </w:r>
      <w:r w:rsidR="001A20DC">
        <w:rPr>
          <w:rFonts w:ascii="ITC Avant Garde" w:eastAsia="Times New Roman" w:hAnsi="ITC Avant Garde" w:cs="ITC Avant Garde"/>
          <w:color w:val="000000"/>
          <w:lang w:val="es-MX"/>
        </w:rPr>
        <w:t xml:space="preserve">ecida en materia de propiedad </w:t>
      </w:r>
      <w:r w:rsidRPr="00463C61">
        <w:rPr>
          <w:rFonts w:ascii="ITC Avant Garde" w:eastAsia="Times New Roman" w:hAnsi="ITC Avant Garde" w:cs="ITC Avant Garde"/>
          <w:color w:val="000000"/>
          <w:lang w:val="es-MX"/>
        </w:rPr>
        <w:t>industrial y no únicamente en términos de la legisl</w:t>
      </w:r>
      <w:r w:rsidR="001A20DC">
        <w:rPr>
          <w:rFonts w:ascii="ITC Avant Garde" w:eastAsia="Times New Roman" w:hAnsi="ITC Avant Garde" w:cs="ITC Avant Garde"/>
          <w:color w:val="000000"/>
          <w:lang w:val="es-MX"/>
        </w:rPr>
        <w:t xml:space="preserve">ación en materia de acceso a la </w:t>
      </w:r>
      <w:r w:rsidRPr="00463C61">
        <w:rPr>
          <w:rFonts w:ascii="ITC Avant Garde" w:eastAsia="Times New Roman" w:hAnsi="ITC Avant Garde" w:cs="ITC Avant Garde"/>
          <w:color w:val="000000"/>
          <w:lang w:val="es-MX"/>
        </w:rPr>
        <w:t>información y protección de datos personales. Po</w:t>
      </w:r>
      <w:r w:rsidR="001A20DC">
        <w:rPr>
          <w:rFonts w:ascii="ITC Avant Garde" w:eastAsia="Times New Roman" w:hAnsi="ITC Avant Garde" w:cs="ITC Avant Garde"/>
          <w:color w:val="000000"/>
          <w:lang w:val="es-MX"/>
        </w:rPr>
        <w:t xml:space="preserve">r consiguiente, el Anteproyecto </w:t>
      </w:r>
      <w:r w:rsidRPr="00463C61">
        <w:rPr>
          <w:rFonts w:ascii="ITC Avant Garde" w:eastAsia="Times New Roman" w:hAnsi="ITC Avant Garde" w:cs="ITC Avant Garde"/>
          <w:color w:val="000000"/>
          <w:lang w:val="es-MX"/>
        </w:rPr>
        <w:t>al omitir la protección de la información comercial contraviene</w:t>
      </w:r>
      <w:r w:rsidR="001A20DC">
        <w:rPr>
          <w:rFonts w:ascii="ITC Avant Garde" w:eastAsia="Times New Roman" w:hAnsi="ITC Avant Garde" w:cs="ITC Avant Garde"/>
          <w:color w:val="000000"/>
          <w:lang w:val="es-MX"/>
        </w:rPr>
        <w:t xml:space="preserve"> al artículo 11.6.3 </w:t>
      </w:r>
      <w:r w:rsidRPr="00463C61">
        <w:rPr>
          <w:rFonts w:ascii="ITC Avant Garde" w:eastAsia="Times New Roman" w:hAnsi="ITC Avant Garde" w:cs="ITC Avant Garde"/>
          <w:color w:val="000000"/>
          <w:lang w:val="es-MX"/>
        </w:rPr>
        <w:t>del T-MEC y, de igual manera, al artículo 8.6.4 del TIPAT.</w:t>
      </w:r>
    </w:p>
    <w:p w:rsidR="00463C61" w:rsidRPr="00463C61" w:rsidRDefault="00463C61" w:rsidP="00463C61">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13. El Anteproyecto carece de un proceso para reci</w:t>
      </w:r>
      <w:r w:rsidR="001A20DC">
        <w:rPr>
          <w:rFonts w:ascii="ITC Avant Garde" w:eastAsia="Times New Roman" w:hAnsi="ITC Avant Garde" w:cs="ITC Avant Garde"/>
          <w:color w:val="000000"/>
          <w:lang w:val="es-MX"/>
        </w:rPr>
        <w:t xml:space="preserve">bir, evaluar y tomar decisiones </w:t>
      </w:r>
      <w:r w:rsidRPr="00463C61">
        <w:rPr>
          <w:rFonts w:ascii="ITC Avant Garde" w:eastAsia="Times New Roman" w:hAnsi="ITC Avant Garde" w:cs="ITC Avant Garde"/>
          <w:color w:val="000000"/>
          <w:lang w:val="es-MX"/>
        </w:rPr>
        <w:t>sobre las quejas que se le formulen dura</w:t>
      </w:r>
      <w:r w:rsidR="001A20DC">
        <w:rPr>
          <w:rFonts w:ascii="ITC Avant Garde" w:eastAsia="Times New Roman" w:hAnsi="ITC Avant Garde" w:cs="ITC Avant Garde"/>
          <w:color w:val="000000"/>
          <w:lang w:val="es-MX"/>
        </w:rPr>
        <w:t xml:space="preserve">nte y con motivo del proceso de </w:t>
      </w:r>
      <w:r w:rsidRPr="00463C61">
        <w:rPr>
          <w:rFonts w:ascii="ITC Avant Garde" w:eastAsia="Times New Roman" w:hAnsi="ITC Avant Garde" w:cs="ITC Avant Garde"/>
          <w:color w:val="000000"/>
          <w:lang w:val="es-MX"/>
        </w:rPr>
        <w:t>acreditación, toda vez que el apartado del Ante</w:t>
      </w:r>
      <w:r w:rsidR="001A20DC">
        <w:rPr>
          <w:rFonts w:ascii="ITC Avant Garde" w:eastAsia="Times New Roman" w:hAnsi="ITC Avant Garde" w:cs="ITC Avant Garde"/>
          <w:color w:val="000000"/>
          <w:lang w:val="es-MX"/>
        </w:rPr>
        <w:t xml:space="preserve">proyecto establece este aspecto </w:t>
      </w:r>
      <w:r w:rsidRPr="00463C61">
        <w:rPr>
          <w:rFonts w:ascii="ITC Avant Garde" w:eastAsia="Times New Roman" w:hAnsi="ITC Avant Garde" w:cs="ITC Avant Garde"/>
          <w:color w:val="000000"/>
          <w:lang w:val="es-MX"/>
        </w:rPr>
        <w:t>como programático, lo cual se encuentra en co</w:t>
      </w:r>
      <w:r w:rsidR="001A20DC">
        <w:rPr>
          <w:rFonts w:ascii="ITC Avant Garde" w:eastAsia="Times New Roman" w:hAnsi="ITC Avant Garde" w:cs="ITC Avant Garde"/>
          <w:color w:val="000000"/>
          <w:lang w:val="es-MX"/>
        </w:rPr>
        <w:t xml:space="preserve">ntravención de las obligaciones </w:t>
      </w:r>
      <w:r w:rsidRPr="00463C61">
        <w:rPr>
          <w:rFonts w:ascii="ITC Avant Garde" w:eastAsia="Times New Roman" w:hAnsi="ITC Avant Garde" w:cs="ITC Avant Garde"/>
          <w:color w:val="000000"/>
          <w:lang w:val="es-MX"/>
        </w:rPr>
        <w:t>establecidas en los artículos 11.10.1, 11.10.2 y</w:t>
      </w:r>
      <w:r w:rsidR="001A20DC">
        <w:rPr>
          <w:rFonts w:ascii="ITC Avant Garde" w:eastAsia="Times New Roman" w:hAnsi="ITC Avant Garde" w:cs="ITC Avant Garde"/>
          <w:color w:val="000000"/>
          <w:lang w:val="es-MX"/>
        </w:rPr>
        <w:t xml:space="preserve"> 11.10.3 del T-MEC, así como en </w:t>
      </w:r>
      <w:r w:rsidRPr="00463C61">
        <w:rPr>
          <w:rFonts w:ascii="ITC Avant Garde" w:eastAsia="Times New Roman" w:hAnsi="ITC Avant Garde" w:cs="ITC Avant Garde"/>
          <w:color w:val="000000"/>
          <w:lang w:val="es-MX"/>
        </w:rPr>
        <w:t>los artículos 8.12.1, 8.12.2, y 8.12.3 del TIPAT.</w:t>
      </w:r>
    </w:p>
    <w:p w:rsidR="00597D0A" w:rsidRPr="00CB525E" w:rsidRDefault="00463C61" w:rsidP="001A20DC">
      <w:pPr>
        <w:pStyle w:val="Textocomentario"/>
        <w:spacing w:line="276" w:lineRule="auto"/>
        <w:jc w:val="both"/>
        <w:rPr>
          <w:rFonts w:ascii="ITC Avant Garde" w:eastAsia="Times New Roman" w:hAnsi="ITC Avant Garde" w:cs="ITC Avant Garde"/>
          <w:color w:val="000000"/>
          <w:lang w:val="es-MX"/>
        </w:rPr>
      </w:pPr>
      <w:r w:rsidRPr="00463C61">
        <w:rPr>
          <w:rFonts w:ascii="ITC Avant Garde" w:eastAsia="Times New Roman" w:hAnsi="ITC Avant Garde" w:cs="ITC Avant Garde"/>
          <w:color w:val="000000"/>
          <w:lang w:val="es-MX"/>
        </w:rPr>
        <w:t>14. Finalmente, el texto del Anteproyecto contiene va</w:t>
      </w:r>
      <w:r w:rsidR="001A20DC">
        <w:rPr>
          <w:rFonts w:ascii="ITC Avant Garde" w:eastAsia="Times New Roman" w:hAnsi="ITC Avant Garde" w:cs="ITC Avant Garde"/>
          <w:color w:val="000000"/>
          <w:lang w:val="es-MX"/>
        </w:rPr>
        <w:t xml:space="preserve">rias inconsistencias con el uso </w:t>
      </w:r>
      <w:r w:rsidRPr="00463C61">
        <w:rPr>
          <w:rFonts w:ascii="ITC Avant Garde" w:eastAsia="Times New Roman" w:hAnsi="ITC Avant Garde" w:cs="ITC Avant Garde"/>
          <w:color w:val="000000"/>
          <w:lang w:val="es-MX"/>
        </w:rPr>
        <w:t>de siglas y abreviaciones, así como errores de ortografía a lo largo de todo el</w:t>
      </w:r>
      <w:r w:rsidR="001A20DC">
        <w:rPr>
          <w:rFonts w:ascii="ITC Avant Garde" w:eastAsia="Times New Roman" w:hAnsi="ITC Avant Garde" w:cs="ITC Avant Garde"/>
          <w:color w:val="000000"/>
          <w:lang w:val="es-MX"/>
        </w:rPr>
        <w:t xml:space="preserve"> </w:t>
      </w:r>
      <w:r w:rsidR="001A20DC" w:rsidRPr="001A20DC">
        <w:rPr>
          <w:rFonts w:ascii="ITC Avant Garde" w:eastAsia="Times New Roman" w:hAnsi="ITC Avant Garde" w:cs="ITC Avant Garde"/>
          <w:color w:val="000000"/>
          <w:lang w:val="es-MX"/>
        </w:rPr>
        <w:t>documento, por lo que deberán ser corregidos en s</w:t>
      </w:r>
      <w:r w:rsidR="001A20DC">
        <w:rPr>
          <w:rFonts w:ascii="ITC Avant Garde" w:eastAsia="Times New Roman" w:hAnsi="ITC Avant Garde" w:cs="ITC Avant Garde"/>
          <w:color w:val="000000"/>
          <w:lang w:val="es-MX"/>
        </w:rPr>
        <w:t xml:space="preserve">u totalidad antes de su emisión </w:t>
      </w:r>
      <w:r w:rsidR="001A20DC" w:rsidRPr="001A20DC">
        <w:rPr>
          <w:rFonts w:ascii="ITC Avant Garde" w:eastAsia="Times New Roman" w:hAnsi="ITC Avant Garde" w:cs="ITC Avant Garde"/>
          <w:color w:val="000000"/>
          <w:lang w:val="es-MX"/>
        </w:rPr>
        <w:t>final.</w:t>
      </w:r>
    </w:p>
    <w:p w:rsidR="00597D0A" w:rsidRDefault="00597D0A" w:rsidP="00EB592C">
      <w:pPr>
        <w:pStyle w:val="Textocomentario"/>
        <w:spacing w:line="276" w:lineRule="auto"/>
        <w:jc w:val="both"/>
        <w:rPr>
          <w:rFonts w:ascii="ITC Avant Garde" w:eastAsia="Times New Roman" w:hAnsi="ITC Avant Garde" w:cs="ITC Avant Garde"/>
          <w:b/>
          <w:color w:val="000000"/>
          <w:lang w:val="es-MX"/>
        </w:rPr>
      </w:pPr>
      <w:r w:rsidRPr="00CB525E">
        <w:rPr>
          <w:rFonts w:ascii="ITC Avant Garde" w:eastAsia="Times New Roman" w:hAnsi="ITC Avant Garde" w:cs="ITC Avant Garde"/>
          <w:b/>
          <w:color w:val="000000"/>
          <w:lang w:val="es-MX"/>
        </w:rPr>
        <w:t>Respuesta:</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Se toma nota</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Sin embargo</w:t>
      </w:r>
      <w:r>
        <w:rPr>
          <w:rFonts w:ascii="ITC Avant Garde" w:eastAsia="Times New Roman" w:hAnsi="ITC Avant Garde" w:cs="ITC Avant Garde"/>
          <w:color w:val="000000"/>
        </w:rPr>
        <w:t>,</w:t>
      </w:r>
      <w:r w:rsidRPr="001A20DC">
        <w:rPr>
          <w:rFonts w:ascii="ITC Avant Garde" w:eastAsia="Times New Roman" w:hAnsi="ITC Avant Garde" w:cs="ITC Avant Garde"/>
          <w:color w:val="000000"/>
        </w:rPr>
        <w:t xml:space="preserve"> se </w:t>
      </w:r>
      <w:r>
        <w:rPr>
          <w:rFonts w:ascii="ITC Avant Garde" w:eastAsia="Times New Roman" w:hAnsi="ITC Avant Garde" w:cs="ITC Avant Garde"/>
          <w:color w:val="000000"/>
        </w:rPr>
        <w:t>reitera</w:t>
      </w:r>
      <w:r w:rsidRPr="001A20DC">
        <w:rPr>
          <w:rFonts w:ascii="ITC Avant Garde" w:eastAsia="Times New Roman" w:hAnsi="ITC Avant Garde" w:cs="ITC Avant Garde"/>
          <w:color w:val="000000"/>
        </w:rPr>
        <w:t xml:space="preserve"> lo siguiente:</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 xml:space="preserve">El artículo 7, párrafo cuarto, de la Ley Federal de Telecomunicaciones y Radiodifusión (LFTR), establece que el Instituto es la autoridad en materia de lineamientos técnicos relativos a la infraestructura y los equipos que se conecten a las redes de telecomunicaciones, así como en materia de homologación y evaluación de la conformidad de dicha infraestructura y equipos. </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 xml:space="preserve">Por su parte, el artículo 15, fracción I, de la LFTR, dispone que, para el ejercicio de sus atribuciones corresponde al Instituto, entre otras cosas, expedir disposiciones administrativas de carácter general, lineamientos, procedimientos de evaluación de la conformidad, procedimientos de homologación y certificación y ordenamientos técnicos en materia de </w:t>
      </w:r>
      <w:r w:rsidRPr="001A20DC">
        <w:rPr>
          <w:rFonts w:ascii="ITC Avant Garde" w:eastAsia="Times New Roman" w:hAnsi="ITC Avant Garde" w:cs="ITC Avant Garde"/>
          <w:color w:val="000000"/>
        </w:rPr>
        <w:lastRenderedPageBreak/>
        <w:t xml:space="preserve">telecomunicaciones y radiodifusión; así como demás disposiciones para el cumplimiento de lo dispuesto en la LFTR. </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Asimismo, la fracción XXVI del referido artículo 15, de la LFTR, dispone que es atribución del Instituto, autorizar a terceros para que emitan certificación de evaluación de la conformidad y acreditar peritos y unidades de verificación en materia de telecomunicaciones y radiodifusión.</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 xml:space="preserve">Ahora bien, la Ley Orgánica de la Administración Pública Federal establece en su artículo 34, fracción II, que corresponde a la Secretaría de Economía, regular, promover y vigilar la comercialización, distribución y consumo de los bienes y servicios. </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Aunado a lo anterior, el artículo 22, fracciones I y IX, del Reglamento Interior de la Secretaría de Economía, dispone que corresponde a la Dirección General de Normas, ejercer las atribuciones conferidas a la Secretaría de Economía, entre otras, en la LFTR, los reglamentos y demás disposiciones aplicables en materia de normalización, metrología y evaluación de la conformidad. Así como elaborar, expedir, revisar, modificar, cancelar y difundir las normas oficiales mexicanas y normas mexicanas en el ámbito de competencia de esa Secretaría y coordinarse con otras dependencias para la elaboración conjunta de normas oficiales mexicanas.</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De acuerdo con la normatividad previamente señalada, a la fecha se han expedido diversas Normas Oficiales Mexicanas (NOM’s) complementarias a las Disposiciones Técnicas emitidas por el Instituto, a efecto de que tanto este, como la Secretaría de Economía, puedan ejercer sus atribuciones de manera coordinada.</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 xml:space="preserve">Para tales efectos, las NOM’s complementarias establecen que, para la importación, comercialización y/o distribución de los equipos de que se trate, dentro del territorio de los Estados Unidos Mexicanos y que puedan hacer uso del espectro radioeléctrico o ser conectados a redes de telecomunicaciones, estos deberán cumplir con las especificaciones y requerimientos técnicos que establezca la Disposición Técnica aplicable a los equipos a los que se refiere la NOM. </w:t>
      </w:r>
    </w:p>
    <w:p w:rsidR="001A20DC" w:rsidRPr="001A20DC" w:rsidRDefault="001A20DC" w:rsidP="001A20DC">
      <w:pPr>
        <w:pStyle w:val="Textocomentario"/>
        <w:spacing w:line="276" w:lineRule="auto"/>
        <w:jc w:val="both"/>
        <w:rPr>
          <w:rFonts w:ascii="ITC Avant Garde" w:eastAsia="Times New Roman" w:hAnsi="ITC Avant Garde" w:cs="ITC Avant Garde"/>
          <w:color w:val="000000"/>
        </w:rPr>
      </w:pPr>
      <w:r w:rsidRPr="001A20DC">
        <w:rPr>
          <w:rFonts w:ascii="ITC Avant Garde" w:eastAsia="Times New Roman" w:hAnsi="ITC Avant Garde" w:cs="ITC Avant Garde"/>
          <w:color w:val="000000"/>
        </w:rPr>
        <w:t>Asimismo, por lo que hace a los métodos de prueba y la evaluación de la conformidad, las NOM’s complementarias remiten a lo que se encuentre previsto por la Disposición Técnica correspondiente.</w:t>
      </w:r>
    </w:p>
    <w:sectPr w:rsidR="001A20DC" w:rsidRPr="001A20DC">
      <w:footerReference w:type="default" r:id="rId11"/>
      <w:pgSz w:w="12240" w:h="15840"/>
      <w:pgMar w:top="1417" w:right="1701" w:bottom="1417" w:left="1701"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4E" w:rsidRDefault="00DC504E">
      <w:pPr>
        <w:spacing w:after="0" w:line="240" w:lineRule="auto"/>
      </w:pPr>
      <w:r>
        <w:separator/>
      </w:r>
    </w:p>
  </w:endnote>
  <w:endnote w:type="continuationSeparator" w:id="0">
    <w:p w:rsidR="00DC504E" w:rsidRDefault="00DC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61" w:rsidRDefault="00463C61">
    <w:pPr>
      <w:pStyle w:val="Piedepgina"/>
      <w:jc w:val="right"/>
    </w:pPr>
    <w:r>
      <w:rPr>
        <w:rFonts w:ascii="ITC Avant Garde" w:hAnsi="ITC Avant Garde" w:cs="ITC Avant Garde"/>
        <w:sz w:val="18"/>
        <w:szCs w:val="18"/>
      </w:rPr>
      <w:t xml:space="preserve">Página </w:t>
    </w:r>
    <w:r>
      <w:fldChar w:fldCharType="begin"/>
    </w:r>
    <w:r>
      <w:instrText xml:space="preserve"> PAGE </w:instrText>
    </w:r>
    <w:r>
      <w:fldChar w:fldCharType="separate"/>
    </w:r>
    <w:r w:rsidR="00A1590F">
      <w:rPr>
        <w:noProof/>
      </w:rPr>
      <w:t>1</w:t>
    </w:r>
    <w:r>
      <w:fldChar w:fldCharType="end"/>
    </w:r>
    <w:r>
      <w:rPr>
        <w:rFonts w:ascii="ITC Avant Garde" w:hAnsi="ITC Avant Garde" w:cs="ITC Avant Garde"/>
        <w:sz w:val="18"/>
        <w:szCs w:val="18"/>
      </w:rPr>
      <w:t xml:space="preserve"> de </w:t>
    </w:r>
    <w:r>
      <w:fldChar w:fldCharType="begin"/>
    </w:r>
    <w:r>
      <w:instrText xml:space="preserve"> NUMPAGES \*Arabic </w:instrText>
    </w:r>
    <w:r>
      <w:fldChar w:fldCharType="separate"/>
    </w:r>
    <w:r w:rsidR="00A1590F">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4E" w:rsidRDefault="00DC504E">
      <w:pPr>
        <w:spacing w:after="0" w:line="240" w:lineRule="auto"/>
      </w:pPr>
      <w:r>
        <w:separator/>
      </w:r>
    </w:p>
  </w:footnote>
  <w:footnote w:type="continuationSeparator" w:id="0">
    <w:p w:rsidR="00DC504E" w:rsidRDefault="00DC504E">
      <w:pPr>
        <w:spacing w:after="0" w:line="240" w:lineRule="auto"/>
      </w:pPr>
      <w:r>
        <w:continuationSeparator/>
      </w:r>
    </w:p>
  </w:footnote>
  <w:footnote w:id="1">
    <w:p w:rsidR="00463C61" w:rsidRPr="00463C61" w:rsidRDefault="00463C61">
      <w:pPr>
        <w:pStyle w:val="Textonotapie"/>
        <w:rPr>
          <w:sz w:val="16"/>
          <w:szCs w:val="16"/>
          <w:lang w:val="es-MX"/>
        </w:rPr>
      </w:pPr>
      <w:r w:rsidRPr="00463C61">
        <w:rPr>
          <w:rStyle w:val="Refdenotaalpie"/>
          <w:sz w:val="16"/>
          <w:szCs w:val="16"/>
        </w:rPr>
        <w:footnoteRef/>
      </w:r>
      <w:r w:rsidRPr="00463C61">
        <w:rPr>
          <w:sz w:val="16"/>
          <w:szCs w:val="16"/>
        </w:rPr>
        <w:t xml:space="preserve"> Ver artículos 7 de la LFTR y 28 de la CPEUM.</w:t>
      </w:r>
    </w:p>
  </w:footnote>
  <w:footnote w:id="2">
    <w:p w:rsidR="00463C61" w:rsidRPr="00463C61" w:rsidRDefault="00463C61">
      <w:pPr>
        <w:pStyle w:val="Textonotapie"/>
        <w:rPr>
          <w:sz w:val="16"/>
          <w:szCs w:val="16"/>
          <w:lang w:val="es-MX"/>
        </w:rPr>
      </w:pPr>
      <w:r w:rsidRPr="00463C61">
        <w:rPr>
          <w:rStyle w:val="Refdenotaalpie"/>
          <w:sz w:val="16"/>
          <w:szCs w:val="16"/>
        </w:rPr>
        <w:footnoteRef/>
      </w:r>
      <w:r w:rsidRPr="00463C61">
        <w:rPr>
          <w:sz w:val="16"/>
          <w:szCs w:val="16"/>
        </w:rPr>
        <w:t xml:space="preserve"> Disposiciones Generales, artículo primero, Anteproyecto.</w:t>
      </w:r>
    </w:p>
  </w:footnote>
  <w:footnote w:id="3">
    <w:p w:rsidR="00463C61" w:rsidRPr="00463C61" w:rsidRDefault="00463C61">
      <w:pPr>
        <w:pStyle w:val="Textonotapie"/>
        <w:rPr>
          <w:sz w:val="16"/>
          <w:szCs w:val="16"/>
          <w:lang w:val="es-MX"/>
        </w:rPr>
      </w:pPr>
      <w:r w:rsidRPr="00463C61">
        <w:rPr>
          <w:rStyle w:val="Refdenotaalpie"/>
          <w:sz w:val="16"/>
          <w:szCs w:val="16"/>
        </w:rPr>
        <w:footnoteRef/>
      </w:r>
      <w:r w:rsidRPr="00463C61">
        <w:rPr>
          <w:sz w:val="16"/>
          <w:szCs w:val="16"/>
        </w:rPr>
        <w:t xml:space="preserve"> Artículo 4, fracción IX de la LIC.</w:t>
      </w:r>
    </w:p>
  </w:footnote>
  <w:footnote w:id="4">
    <w:p w:rsidR="00463C61" w:rsidRPr="00463C61" w:rsidRDefault="00463C61" w:rsidP="00463C61">
      <w:pPr>
        <w:pStyle w:val="Textonotapie"/>
        <w:rPr>
          <w:lang w:val="es-MX"/>
        </w:rPr>
      </w:pPr>
      <w:r w:rsidRPr="00463C61">
        <w:rPr>
          <w:rStyle w:val="Refdenotaalpie"/>
          <w:sz w:val="16"/>
          <w:szCs w:val="16"/>
        </w:rPr>
        <w:footnoteRef/>
      </w:r>
      <w:r w:rsidRPr="00463C61">
        <w:rPr>
          <w:sz w:val="16"/>
          <w:szCs w:val="16"/>
        </w:rPr>
        <w:t xml:space="preserve"> Ver definiciones contempladas en los artículos 11.1 del T-MEC, 8.1 del TIPAT y Anexo 1 del Acuerdo</w:t>
      </w:r>
      <w:r>
        <w:rPr>
          <w:sz w:val="16"/>
          <w:szCs w:val="16"/>
        </w:rPr>
        <w:t xml:space="preserve"> </w:t>
      </w:r>
      <w:r w:rsidRPr="00463C61">
        <w:rPr>
          <w:sz w:val="16"/>
          <w:szCs w:val="16"/>
        </w:rPr>
        <w:t>OTC.</w:t>
      </w:r>
    </w:p>
  </w:footnote>
  <w:footnote w:id="5">
    <w:p w:rsidR="001A20DC" w:rsidRPr="001A20DC" w:rsidRDefault="001A20DC" w:rsidP="001A20DC">
      <w:pPr>
        <w:pStyle w:val="Textonotapie"/>
        <w:spacing w:after="0"/>
        <w:jc w:val="both"/>
        <w:rPr>
          <w:lang w:val="es-MX"/>
        </w:rPr>
      </w:pPr>
      <w:r w:rsidRPr="001A20DC">
        <w:rPr>
          <w:rStyle w:val="Refdenotaalpie"/>
          <w:sz w:val="16"/>
          <w:szCs w:val="16"/>
        </w:rPr>
        <w:footnoteRef/>
      </w:r>
      <w:r w:rsidRPr="001A20DC">
        <w:rPr>
          <w:sz w:val="16"/>
          <w:szCs w:val="16"/>
        </w:rPr>
        <w:t xml:space="preserve"> </w:t>
      </w:r>
      <w:r>
        <w:rPr>
          <w:sz w:val="16"/>
          <w:szCs w:val="16"/>
        </w:rPr>
        <w:tab/>
      </w:r>
      <w:r w:rsidRPr="001A20DC">
        <w:rPr>
          <w:sz w:val="16"/>
          <w:szCs w:val="16"/>
        </w:rPr>
        <w:t>Ver Acuerdo mediante el cual el Pleno del Instituto Federal de Telecomunicaciones aprueba y emite</w:t>
      </w:r>
      <w:r>
        <w:rPr>
          <w:sz w:val="16"/>
          <w:szCs w:val="16"/>
        </w:rPr>
        <w:t xml:space="preserve"> </w:t>
      </w:r>
      <w:r w:rsidRPr="001A20DC">
        <w:rPr>
          <w:sz w:val="16"/>
          <w:szCs w:val="16"/>
        </w:rPr>
        <w:t>los Lineamientos de Consulta Pública y Análisis de Impacto Regulatoria del Instituto Federal de</w:t>
      </w:r>
      <w:r>
        <w:rPr>
          <w:sz w:val="16"/>
          <w:szCs w:val="16"/>
        </w:rPr>
        <w:t xml:space="preserve"> </w:t>
      </w:r>
      <w:r w:rsidRPr="001A20DC">
        <w:rPr>
          <w:sz w:val="16"/>
          <w:szCs w:val="16"/>
        </w:rPr>
        <w:t>Telecomunicaciones, publicado en el Diario Oficial de la Federación el 8 de noviembre de 2017.</w:t>
      </w:r>
    </w:p>
  </w:footnote>
  <w:footnote w:id="6">
    <w:p w:rsidR="001A20DC" w:rsidRPr="001A20DC" w:rsidRDefault="001A20DC" w:rsidP="001A20DC">
      <w:pPr>
        <w:pStyle w:val="Textonotapie"/>
        <w:rPr>
          <w:lang w:val="es-MX"/>
        </w:rPr>
      </w:pPr>
      <w:r>
        <w:rPr>
          <w:rStyle w:val="Refdenotaalpie"/>
        </w:rPr>
        <w:footnoteRef/>
      </w:r>
      <w:r>
        <w:t xml:space="preserve"> </w:t>
      </w:r>
      <w:r>
        <w:tab/>
      </w:r>
      <w:r w:rsidRPr="001A20DC">
        <w:rPr>
          <w:sz w:val="16"/>
          <w:szCs w:val="16"/>
        </w:rPr>
        <w:t>Ver Organización para la Cooperación y el Desarrollo Económicos (OCDE), “Introductory Handbook</w:t>
      </w:r>
      <w:r>
        <w:rPr>
          <w:sz w:val="16"/>
          <w:szCs w:val="16"/>
        </w:rPr>
        <w:t xml:space="preserve"> </w:t>
      </w:r>
      <w:r w:rsidRPr="001A20DC">
        <w:rPr>
          <w:sz w:val="16"/>
          <w:szCs w:val="16"/>
          <w:lang w:val="es-MX"/>
        </w:rPr>
        <w:t>for Undertaking Regulatory Impact Analysis (RIA)”, pp. 9-17.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ITC Avant Garde" w:eastAsia="Times New Roman" w:hAnsi="ITC Avant Garde" w:cs="Arial"/>
        <w:color w:val="000000"/>
        <w:lang w:val="es-MX"/>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ITC Avant Garde" w:eastAsia="Times New Roman" w:hAnsi="ITC Avant Garde" w:cs="Arial"/>
        <w:color w:val="000000"/>
      </w:rPr>
    </w:lvl>
  </w:abstractNum>
  <w:abstractNum w:abstractNumId="4" w15:restartNumberingAfterBreak="0">
    <w:nsid w:val="00000005"/>
    <w:multiLevelType w:val="multilevel"/>
    <w:tmpl w:val="29BA3392"/>
    <w:name w:val="WW8Num5"/>
    <w:lvl w:ilvl="0">
      <w:start w:val="1"/>
      <w:numFmt w:val="upperRoman"/>
      <w:lvlText w:val="%1."/>
      <w:lvlJc w:val="left"/>
      <w:pPr>
        <w:tabs>
          <w:tab w:val="num" w:pos="0"/>
        </w:tabs>
        <w:ind w:left="1080" w:hanging="72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multilevel"/>
    <w:tmpl w:val="00000006"/>
    <w:name w:val="WWNum61"/>
    <w:lvl w:ilvl="0">
      <w:start w:val="1"/>
      <w:numFmt w:val="upperRoman"/>
      <w:lvlText w:val="%1."/>
      <w:lvlJc w:val="right"/>
      <w:pPr>
        <w:tabs>
          <w:tab w:val="num" w:pos="0"/>
        </w:tabs>
        <w:ind w:left="1080" w:hanging="360"/>
      </w:pPr>
      <w:rPr>
        <w:rFonts w:cs="Courier New"/>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2"/>
    <w:lvl w:ilvl="0">
      <w:start w:val="1"/>
      <w:numFmt w:val="upperRoman"/>
      <w:lvlText w:val="%1."/>
      <w:lvlJc w:val="right"/>
      <w:pPr>
        <w:tabs>
          <w:tab w:val="num" w:pos="64"/>
        </w:tabs>
        <w:ind w:left="1068" w:hanging="360"/>
      </w:pPr>
    </w:lvl>
    <w:lvl w:ilvl="1">
      <w:start w:val="1"/>
      <w:numFmt w:val="lowerLetter"/>
      <w:lvlText w:val="%2."/>
      <w:lvlJc w:val="left"/>
      <w:pPr>
        <w:tabs>
          <w:tab w:val="num" w:pos="64"/>
        </w:tabs>
        <w:ind w:left="1788" w:hanging="360"/>
      </w:pPr>
    </w:lvl>
    <w:lvl w:ilvl="2">
      <w:start w:val="1"/>
      <w:numFmt w:val="lowerRoman"/>
      <w:lvlText w:val="%2.%3."/>
      <w:lvlJc w:val="right"/>
      <w:pPr>
        <w:tabs>
          <w:tab w:val="num" w:pos="64"/>
        </w:tabs>
        <w:ind w:left="2508" w:hanging="180"/>
      </w:pPr>
    </w:lvl>
    <w:lvl w:ilvl="3">
      <w:start w:val="1"/>
      <w:numFmt w:val="decimal"/>
      <w:lvlText w:val="%2.%3.%4."/>
      <w:lvlJc w:val="left"/>
      <w:pPr>
        <w:tabs>
          <w:tab w:val="num" w:pos="64"/>
        </w:tabs>
        <w:ind w:left="3228" w:hanging="360"/>
      </w:pPr>
    </w:lvl>
    <w:lvl w:ilvl="4">
      <w:start w:val="1"/>
      <w:numFmt w:val="lowerLetter"/>
      <w:lvlText w:val="%2.%3.%4.%5."/>
      <w:lvlJc w:val="left"/>
      <w:pPr>
        <w:tabs>
          <w:tab w:val="num" w:pos="64"/>
        </w:tabs>
        <w:ind w:left="3948" w:hanging="360"/>
      </w:pPr>
    </w:lvl>
    <w:lvl w:ilvl="5">
      <w:start w:val="1"/>
      <w:numFmt w:val="lowerRoman"/>
      <w:lvlText w:val="%2.%3.%4.%5.%6."/>
      <w:lvlJc w:val="right"/>
      <w:pPr>
        <w:tabs>
          <w:tab w:val="num" w:pos="64"/>
        </w:tabs>
        <w:ind w:left="4668" w:hanging="180"/>
      </w:pPr>
    </w:lvl>
    <w:lvl w:ilvl="6">
      <w:start w:val="1"/>
      <w:numFmt w:val="decimal"/>
      <w:lvlText w:val="%2.%3.%4.%5.%6.%7."/>
      <w:lvlJc w:val="left"/>
      <w:pPr>
        <w:tabs>
          <w:tab w:val="num" w:pos="64"/>
        </w:tabs>
        <w:ind w:left="5388" w:hanging="360"/>
      </w:pPr>
    </w:lvl>
    <w:lvl w:ilvl="7">
      <w:start w:val="1"/>
      <w:numFmt w:val="lowerLetter"/>
      <w:lvlText w:val="%2.%3.%4.%5.%6.%7.%8."/>
      <w:lvlJc w:val="left"/>
      <w:pPr>
        <w:tabs>
          <w:tab w:val="num" w:pos="64"/>
        </w:tabs>
        <w:ind w:left="6108" w:hanging="360"/>
      </w:pPr>
    </w:lvl>
    <w:lvl w:ilvl="8">
      <w:start w:val="1"/>
      <w:numFmt w:val="lowerRoman"/>
      <w:lvlText w:val="%2.%3.%4.%5.%6.%7.%8.%9."/>
      <w:lvlJc w:val="right"/>
      <w:pPr>
        <w:tabs>
          <w:tab w:val="num" w:pos="64"/>
        </w:tabs>
        <w:ind w:left="6828" w:hanging="180"/>
      </w:pPr>
    </w:lvl>
  </w:abstractNum>
  <w:abstractNum w:abstractNumId="7" w15:restartNumberingAfterBreak="0">
    <w:nsid w:val="00000008"/>
    <w:multiLevelType w:val="multilevel"/>
    <w:tmpl w:val="00000008"/>
    <w:name w:val="WWNum88"/>
    <w:lvl w:ilvl="0">
      <w:start w:val="1"/>
      <w:numFmt w:val="upperRoman"/>
      <w:lvlText w:val="%1."/>
      <w:lvlJc w:val="righ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8D49B0"/>
    <w:multiLevelType w:val="hybridMultilevel"/>
    <w:tmpl w:val="4DE49FB4"/>
    <w:lvl w:ilvl="0" w:tplc="080A0013">
      <w:start w:val="1"/>
      <w:numFmt w:val="upperRoman"/>
      <w:lvlText w:val="%1."/>
      <w:lvlJc w:val="righ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 w15:restartNumberingAfterBreak="0">
    <w:nsid w:val="04E97D10"/>
    <w:multiLevelType w:val="hybridMultilevel"/>
    <w:tmpl w:val="2FD8D6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4F67904"/>
    <w:multiLevelType w:val="hybridMultilevel"/>
    <w:tmpl w:val="DDDCBD4A"/>
    <w:lvl w:ilvl="0" w:tplc="C41C05D4">
      <w:start w:val="1"/>
      <w:numFmt w:val="upperRoman"/>
      <w:lvlText w:val="%1."/>
      <w:lvlJc w:val="left"/>
      <w:pPr>
        <w:ind w:left="3000" w:hanging="720"/>
      </w:pPr>
      <w:rPr>
        <w:rFonts w:asciiTheme="minorHAnsi" w:eastAsiaTheme="minorHAnsi" w:hAnsiTheme="minorHAnsi" w:cstheme="minorBidi" w:hint="default"/>
        <w:i/>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0848692D"/>
    <w:multiLevelType w:val="hybridMultilevel"/>
    <w:tmpl w:val="F766A814"/>
    <w:lvl w:ilvl="0" w:tplc="080A000F">
      <w:start w:val="1"/>
      <w:numFmt w:val="decimal"/>
      <w:lvlText w:val="%1."/>
      <w:lvlJc w:val="left"/>
      <w:pPr>
        <w:ind w:left="1008" w:hanging="360"/>
      </w:pPr>
    </w:lvl>
    <w:lvl w:ilvl="1" w:tplc="A09C338C">
      <w:start w:val="1"/>
      <w:numFmt w:val="decimal"/>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0A7D1C35"/>
    <w:multiLevelType w:val="hybridMultilevel"/>
    <w:tmpl w:val="CC603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4C1517"/>
    <w:multiLevelType w:val="hybridMultilevel"/>
    <w:tmpl w:val="131A3D8E"/>
    <w:lvl w:ilvl="0" w:tplc="080A000F">
      <w:start w:val="1"/>
      <w:numFmt w:val="decimal"/>
      <w:lvlText w:val="%1."/>
      <w:lvlJc w:val="left"/>
      <w:pPr>
        <w:ind w:left="720" w:hanging="360"/>
      </w:pPr>
      <w:rPr>
        <w:rFonts w:hint="default"/>
      </w:rPr>
    </w:lvl>
    <w:lvl w:ilvl="1" w:tplc="F006D41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B52B3"/>
    <w:multiLevelType w:val="hybridMultilevel"/>
    <w:tmpl w:val="C2C820E4"/>
    <w:lvl w:ilvl="0" w:tplc="72ACB5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FB623C"/>
    <w:multiLevelType w:val="hybridMultilevel"/>
    <w:tmpl w:val="C2E082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410840"/>
    <w:multiLevelType w:val="hybridMultilevel"/>
    <w:tmpl w:val="10725D52"/>
    <w:lvl w:ilvl="0" w:tplc="41C46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DA1964"/>
    <w:multiLevelType w:val="hybridMultilevel"/>
    <w:tmpl w:val="79F66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4870CC"/>
    <w:multiLevelType w:val="hybridMultilevel"/>
    <w:tmpl w:val="FD649A1C"/>
    <w:lvl w:ilvl="0" w:tplc="080A0017">
      <w:start w:val="1"/>
      <w:numFmt w:val="lowerLetter"/>
      <w:lvlText w:val="%1)"/>
      <w:lvlJc w:val="left"/>
      <w:pPr>
        <w:ind w:left="1713" w:hanging="360"/>
      </w:pPr>
    </w:lvl>
    <w:lvl w:ilvl="1" w:tplc="080A0017">
      <w:start w:val="1"/>
      <w:numFmt w:val="lowerLetter"/>
      <w:lvlText w:val="%2)"/>
      <w:lvlJc w:val="left"/>
      <w:pPr>
        <w:ind w:left="2433" w:hanging="360"/>
      </w:pPr>
      <w:rPr>
        <w:b/>
      </w:r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9" w15:restartNumberingAfterBreak="0">
    <w:nsid w:val="47530342"/>
    <w:multiLevelType w:val="hybridMultilevel"/>
    <w:tmpl w:val="C896CB7C"/>
    <w:lvl w:ilvl="0" w:tplc="7EF614F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7B2333B"/>
    <w:multiLevelType w:val="hybridMultilevel"/>
    <w:tmpl w:val="34643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C4CB1"/>
    <w:multiLevelType w:val="hybridMultilevel"/>
    <w:tmpl w:val="E1E0D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7171C4"/>
    <w:multiLevelType w:val="hybridMultilevel"/>
    <w:tmpl w:val="D4CC3694"/>
    <w:lvl w:ilvl="0" w:tplc="080A0011">
      <w:start w:val="1"/>
      <w:numFmt w:val="decimal"/>
      <w:lvlText w:val="%1)"/>
      <w:lvlJc w:val="left"/>
      <w:pPr>
        <w:ind w:left="1080" w:hanging="360"/>
      </w:pPr>
    </w:lvl>
    <w:lvl w:ilvl="1" w:tplc="3F58A37C">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0383683"/>
    <w:multiLevelType w:val="hybridMultilevel"/>
    <w:tmpl w:val="EB12C7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F61E1"/>
    <w:multiLevelType w:val="hybridMultilevel"/>
    <w:tmpl w:val="7C7C1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6C596A"/>
    <w:multiLevelType w:val="hybridMultilevel"/>
    <w:tmpl w:val="EE388A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89A36F1"/>
    <w:multiLevelType w:val="hybridMultilevel"/>
    <w:tmpl w:val="747E8048"/>
    <w:lvl w:ilvl="0" w:tplc="D242E8A2">
      <w:start w:val="1"/>
      <w:numFmt w:val="lowerLetter"/>
      <w:lvlText w:val="%1)"/>
      <w:lvlJc w:val="lef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num w:numId="1">
    <w:abstractNumId w:val="0"/>
  </w:num>
  <w:num w:numId="2">
    <w:abstractNumId w:val="1"/>
  </w:num>
  <w:num w:numId="3">
    <w:abstractNumId w:val="14"/>
  </w:num>
  <w:num w:numId="4">
    <w:abstractNumId w:val="17"/>
  </w:num>
  <w:num w:numId="5">
    <w:abstractNumId w:val="21"/>
  </w:num>
  <w:num w:numId="6">
    <w:abstractNumId w:val="24"/>
  </w:num>
  <w:num w:numId="7">
    <w:abstractNumId w:val="22"/>
  </w:num>
  <w:num w:numId="8">
    <w:abstractNumId w:val="18"/>
  </w:num>
  <w:num w:numId="9">
    <w:abstractNumId w:val="8"/>
  </w:num>
  <w:num w:numId="10">
    <w:abstractNumId w:val="15"/>
  </w:num>
  <w:num w:numId="11">
    <w:abstractNumId w:val="20"/>
  </w:num>
  <w:num w:numId="12">
    <w:abstractNumId w:val="25"/>
  </w:num>
  <w:num w:numId="13">
    <w:abstractNumId w:val="13"/>
  </w:num>
  <w:num w:numId="14">
    <w:abstractNumId w:val="11"/>
  </w:num>
  <w:num w:numId="15">
    <w:abstractNumId w:val="23"/>
  </w:num>
  <w:num w:numId="16">
    <w:abstractNumId w:val="9"/>
  </w:num>
  <w:num w:numId="17">
    <w:abstractNumId w:val="26"/>
  </w:num>
  <w:num w:numId="18">
    <w:abstractNumId w:val="16"/>
  </w:num>
  <w:num w:numId="19">
    <w:abstractNumId w:val="10"/>
  </w:num>
  <w:num w:numId="20">
    <w:abstractNumId w:val="12"/>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4"/>
    <w:rsid w:val="00001DDB"/>
    <w:rsid w:val="00002923"/>
    <w:rsid w:val="00003BCD"/>
    <w:rsid w:val="00003CBA"/>
    <w:rsid w:val="00004040"/>
    <w:rsid w:val="000054D8"/>
    <w:rsid w:val="00012AA7"/>
    <w:rsid w:val="000137F9"/>
    <w:rsid w:val="0002189A"/>
    <w:rsid w:val="00024B79"/>
    <w:rsid w:val="00025E90"/>
    <w:rsid w:val="00026A2D"/>
    <w:rsid w:val="00034D81"/>
    <w:rsid w:val="000353CC"/>
    <w:rsid w:val="000364D9"/>
    <w:rsid w:val="00043AB3"/>
    <w:rsid w:val="00045C13"/>
    <w:rsid w:val="00071AD2"/>
    <w:rsid w:val="000752A9"/>
    <w:rsid w:val="00075346"/>
    <w:rsid w:val="00076C35"/>
    <w:rsid w:val="000773F8"/>
    <w:rsid w:val="00080304"/>
    <w:rsid w:val="00081DE9"/>
    <w:rsid w:val="0008237F"/>
    <w:rsid w:val="00084989"/>
    <w:rsid w:val="000902B4"/>
    <w:rsid w:val="0009065A"/>
    <w:rsid w:val="00092068"/>
    <w:rsid w:val="0009283F"/>
    <w:rsid w:val="000968E9"/>
    <w:rsid w:val="00096BDB"/>
    <w:rsid w:val="00097E70"/>
    <w:rsid w:val="000A1411"/>
    <w:rsid w:val="000A5ED4"/>
    <w:rsid w:val="000A6041"/>
    <w:rsid w:val="000A6A86"/>
    <w:rsid w:val="000A6B4A"/>
    <w:rsid w:val="000A6ED0"/>
    <w:rsid w:val="000B1376"/>
    <w:rsid w:val="000B28C3"/>
    <w:rsid w:val="000B5E82"/>
    <w:rsid w:val="000B76EE"/>
    <w:rsid w:val="000C1B7D"/>
    <w:rsid w:val="000D175B"/>
    <w:rsid w:val="000D275A"/>
    <w:rsid w:val="000D3E15"/>
    <w:rsid w:val="000D53BA"/>
    <w:rsid w:val="000D57F8"/>
    <w:rsid w:val="000D6C46"/>
    <w:rsid w:val="000E3ECF"/>
    <w:rsid w:val="000F1AE9"/>
    <w:rsid w:val="000F2DB9"/>
    <w:rsid w:val="000F4287"/>
    <w:rsid w:val="000F674C"/>
    <w:rsid w:val="000F7AB8"/>
    <w:rsid w:val="00114795"/>
    <w:rsid w:val="001204B2"/>
    <w:rsid w:val="00121AB4"/>
    <w:rsid w:val="0013603B"/>
    <w:rsid w:val="00136289"/>
    <w:rsid w:val="0013656B"/>
    <w:rsid w:val="00137D3B"/>
    <w:rsid w:val="00143DDB"/>
    <w:rsid w:val="00144AFE"/>
    <w:rsid w:val="0014721F"/>
    <w:rsid w:val="0015229E"/>
    <w:rsid w:val="0015245C"/>
    <w:rsid w:val="00152FA5"/>
    <w:rsid w:val="0015321F"/>
    <w:rsid w:val="00153844"/>
    <w:rsid w:val="0016335E"/>
    <w:rsid w:val="00167A58"/>
    <w:rsid w:val="00170CFC"/>
    <w:rsid w:val="00174D76"/>
    <w:rsid w:val="00181744"/>
    <w:rsid w:val="001828A4"/>
    <w:rsid w:val="00195A93"/>
    <w:rsid w:val="001972E2"/>
    <w:rsid w:val="001A20DC"/>
    <w:rsid w:val="001A3267"/>
    <w:rsid w:val="001A419A"/>
    <w:rsid w:val="001A4E11"/>
    <w:rsid w:val="001A6461"/>
    <w:rsid w:val="001A6D4F"/>
    <w:rsid w:val="001A71F4"/>
    <w:rsid w:val="001A79E5"/>
    <w:rsid w:val="001A7D26"/>
    <w:rsid w:val="001B0D23"/>
    <w:rsid w:val="001B11B7"/>
    <w:rsid w:val="001B1410"/>
    <w:rsid w:val="001B1580"/>
    <w:rsid w:val="001B2E99"/>
    <w:rsid w:val="001B3A69"/>
    <w:rsid w:val="001B4DA4"/>
    <w:rsid w:val="001B4F38"/>
    <w:rsid w:val="001C02EF"/>
    <w:rsid w:val="001C2C80"/>
    <w:rsid w:val="001C3F42"/>
    <w:rsid w:val="001C4CDE"/>
    <w:rsid w:val="001D04A3"/>
    <w:rsid w:val="001D04D0"/>
    <w:rsid w:val="001D2B7C"/>
    <w:rsid w:val="001D3E79"/>
    <w:rsid w:val="001D42DF"/>
    <w:rsid w:val="001D5D92"/>
    <w:rsid w:val="001E2B2D"/>
    <w:rsid w:val="001E5EB0"/>
    <w:rsid w:val="001E6D05"/>
    <w:rsid w:val="001F1FE6"/>
    <w:rsid w:val="001F4E03"/>
    <w:rsid w:val="001F62F0"/>
    <w:rsid w:val="001F6900"/>
    <w:rsid w:val="001F7380"/>
    <w:rsid w:val="002079C3"/>
    <w:rsid w:val="00207E2C"/>
    <w:rsid w:val="002117E5"/>
    <w:rsid w:val="002125F7"/>
    <w:rsid w:val="00213483"/>
    <w:rsid w:val="00217BB8"/>
    <w:rsid w:val="0022373F"/>
    <w:rsid w:val="002247D6"/>
    <w:rsid w:val="002249AE"/>
    <w:rsid w:val="0022551C"/>
    <w:rsid w:val="00230E39"/>
    <w:rsid w:val="002319E3"/>
    <w:rsid w:val="0023214A"/>
    <w:rsid w:val="0023373E"/>
    <w:rsid w:val="0023622D"/>
    <w:rsid w:val="00236FF1"/>
    <w:rsid w:val="002376C1"/>
    <w:rsid w:val="0024013D"/>
    <w:rsid w:val="00240334"/>
    <w:rsid w:val="00240BF3"/>
    <w:rsid w:val="00241572"/>
    <w:rsid w:val="00241A92"/>
    <w:rsid w:val="00242FBD"/>
    <w:rsid w:val="0024610B"/>
    <w:rsid w:val="00252A3E"/>
    <w:rsid w:val="002534C8"/>
    <w:rsid w:val="002538FC"/>
    <w:rsid w:val="002557CD"/>
    <w:rsid w:val="0025724B"/>
    <w:rsid w:val="002575D2"/>
    <w:rsid w:val="00257B7C"/>
    <w:rsid w:val="00265025"/>
    <w:rsid w:val="00265B06"/>
    <w:rsid w:val="00273686"/>
    <w:rsid w:val="00274576"/>
    <w:rsid w:val="00274B22"/>
    <w:rsid w:val="00275F0E"/>
    <w:rsid w:val="0028107D"/>
    <w:rsid w:val="002811FD"/>
    <w:rsid w:val="00281501"/>
    <w:rsid w:val="00286C56"/>
    <w:rsid w:val="00294A29"/>
    <w:rsid w:val="0029571F"/>
    <w:rsid w:val="00296EC5"/>
    <w:rsid w:val="00297930"/>
    <w:rsid w:val="002A0896"/>
    <w:rsid w:val="002A3F95"/>
    <w:rsid w:val="002A4833"/>
    <w:rsid w:val="002A62BA"/>
    <w:rsid w:val="002A671E"/>
    <w:rsid w:val="002A6EAD"/>
    <w:rsid w:val="002B0BED"/>
    <w:rsid w:val="002B24DD"/>
    <w:rsid w:val="002B42BE"/>
    <w:rsid w:val="002B681F"/>
    <w:rsid w:val="002B7FAC"/>
    <w:rsid w:val="002C06B4"/>
    <w:rsid w:val="002C1A21"/>
    <w:rsid w:val="002C2745"/>
    <w:rsid w:val="002C2777"/>
    <w:rsid w:val="002C3B75"/>
    <w:rsid w:val="002C404B"/>
    <w:rsid w:val="002C5326"/>
    <w:rsid w:val="002C6528"/>
    <w:rsid w:val="002C69C5"/>
    <w:rsid w:val="002C78D2"/>
    <w:rsid w:val="002C7998"/>
    <w:rsid w:val="002C7EBF"/>
    <w:rsid w:val="002D05C8"/>
    <w:rsid w:val="002D09E1"/>
    <w:rsid w:val="002D0B92"/>
    <w:rsid w:val="002D5B4B"/>
    <w:rsid w:val="002D6518"/>
    <w:rsid w:val="002E27EA"/>
    <w:rsid w:val="002E2873"/>
    <w:rsid w:val="002E4181"/>
    <w:rsid w:val="002E4AC8"/>
    <w:rsid w:val="002F0C95"/>
    <w:rsid w:val="002F0D3E"/>
    <w:rsid w:val="002F37CD"/>
    <w:rsid w:val="002F3EEA"/>
    <w:rsid w:val="002F4337"/>
    <w:rsid w:val="002F4366"/>
    <w:rsid w:val="00301143"/>
    <w:rsid w:val="003018EE"/>
    <w:rsid w:val="00306228"/>
    <w:rsid w:val="00313D03"/>
    <w:rsid w:val="0031435E"/>
    <w:rsid w:val="00314390"/>
    <w:rsid w:val="00316B96"/>
    <w:rsid w:val="003171ED"/>
    <w:rsid w:val="0031760B"/>
    <w:rsid w:val="003220FB"/>
    <w:rsid w:val="0032221F"/>
    <w:rsid w:val="00324DCF"/>
    <w:rsid w:val="0033033F"/>
    <w:rsid w:val="0033050B"/>
    <w:rsid w:val="003336CD"/>
    <w:rsid w:val="003354C6"/>
    <w:rsid w:val="0033781A"/>
    <w:rsid w:val="003416CA"/>
    <w:rsid w:val="00342856"/>
    <w:rsid w:val="00344E23"/>
    <w:rsid w:val="003451F9"/>
    <w:rsid w:val="0034562B"/>
    <w:rsid w:val="00354BD8"/>
    <w:rsid w:val="003556E4"/>
    <w:rsid w:val="00356869"/>
    <w:rsid w:val="003576CD"/>
    <w:rsid w:val="0035774D"/>
    <w:rsid w:val="0035794F"/>
    <w:rsid w:val="00357E07"/>
    <w:rsid w:val="003610A4"/>
    <w:rsid w:val="003613AE"/>
    <w:rsid w:val="003621E8"/>
    <w:rsid w:val="00362C0C"/>
    <w:rsid w:val="003671DE"/>
    <w:rsid w:val="00367210"/>
    <w:rsid w:val="00370B26"/>
    <w:rsid w:val="00371802"/>
    <w:rsid w:val="00372484"/>
    <w:rsid w:val="003736F8"/>
    <w:rsid w:val="00374860"/>
    <w:rsid w:val="00382C0A"/>
    <w:rsid w:val="003903F6"/>
    <w:rsid w:val="003908BA"/>
    <w:rsid w:val="00393769"/>
    <w:rsid w:val="00396197"/>
    <w:rsid w:val="003A0B7C"/>
    <w:rsid w:val="003A57DC"/>
    <w:rsid w:val="003B02CD"/>
    <w:rsid w:val="003B19D1"/>
    <w:rsid w:val="003B3220"/>
    <w:rsid w:val="003B3973"/>
    <w:rsid w:val="003B5376"/>
    <w:rsid w:val="003B59E0"/>
    <w:rsid w:val="003C2661"/>
    <w:rsid w:val="003C2B26"/>
    <w:rsid w:val="003C3212"/>
    <w:rsid w:val="003D1059"/>
    <w:rsid w:val="003D3BE9"/>
    <w:rsid w:val="003D7D59"/>
    <w:rsid w:val="003E1732"/>
    <w:rsid w:val="003E23AD"/>
    <w:rsid w:val="003E378D"/>
    <w:rsid w:val="003E7A96"/>
    <w:rsid w:val="003F43EC"/>
    <w:rsid w:val="003F4942"/>
    <w:rsid w:val="003F52D7"/>
    <w:rsid w:val="003F5DD1"/>
    <w:rsid w:val="003F5E8C"/>
    <w:rsid w:val="003F60DE"/>
    <w:rsid w:val="004024B7"/>
    <w:rsid w:val="00402A08"/>
    <w:rsid w:val="00405ABF"/>
    <w:rsid w:val="0041127D"/>
    <w:rsid w:val="004132FD"/>
    <w:rsid w:val="00415242"/>
    <w:rsid w:val="00415689"/>
    <w:rsid w:val="004176D0"/>
    <w:rsid w:val="00417C4C"/>
    <w:rsid w:val="004205E8"/>
    <w:rsid w:val="0042385E"/>
    <w:rsid w:val="0042427B"/>
    <w:rsid w:val="00427B7E"/>
    <w:rsid w:val="00427E26"/>
    <w:rsid w:val="00430009"/>
    <w:rsid w:val="00433934"/>
    <w:rsid w:val="0043649B"/>
    <w:rsid w:val="00437EEC"/>
    <w:rsid w:val="004400FC"/>
    <w:rsid w:val="00441B83"/>
    <w:rsid w:val="0044376B"/>
    <w:rsid w:val="00444B61"/>
    <w:rsid w:val="00446B5E"/>
    <w:rsid w:val="00450589"/>
    <w:rsid w:val="004512B0"/>
    <w:rsid w:val="00451F75"/>
    <w:rsid w:val="00452233"/>
    <w:rsid w:val="00452F1C"/>
    <w:rsid w:val="0045662B"/>
    <w:rsid w:val="00457EBA"/>
    <w:rsid w:val="0046272A"/>
    <w:rsid w:val="004632CD"/>
    <w:rsid w:val="00463C61"/>
    <w:rsid w:val="004649E4"/>
    <w:rsid w:val="0046677E"/>
    <w:rsid w:val="00470AAD"/>
    <w:rsid w:val="00470F0D"/>
    <w:rsid w:val="00472738"/>
    <w:rsid w:val="00473020"/>
    <w:rsid w:val="004747C2"/>
    <w:rsid w:val="00476975"/>
    <w:rsid w:val="0048098A"/>
    <w:rsid w:val="00480D23"/>
    <w:rsid w:val="00485F82"/>
    <w:rsid w:val="0049058B"/>
    <w:rsid w:val="0049377A"/>
    <w:rsid w:val="00494BB9"/>
    <w:rsid w:val="00495190"/>
    <w:rsid w:val="00495FB6"/>
    <w:rsid w:val="00496427"/>
    <w:rsid w:val="004A085D"/>
    <w:rsid w:val="004A1ADE"/>
    <w:rsid w:val="004A2AFA"/>
    <w:rsid w:val="004A7A26"/>
    <w:rsid w:val="004A7BA8"/>
    <w:rsid w:val="004A7FD7"/>
    <w:rsid w:val="004B0124"/>
    <w:rsid w:val="004B1111"/>
    <w:rsid w:val="004B40A1"/>
    <w:rsid w:val="004B4189"/>
    <w:rsid w:val="004B5C33"/>
    <w:rsid w:val="004B6606"/>
    <w:rsid w:val="004B6972"/>
    <w:rsid w:val="004B70AA"/>
    <w:rsid w:val="004B71D7"/>
    <w:rsid w:val="004B7AEA"/>
    <w:rsid w:val="004C3ECF"/>
    <w:rsid w:val="004C3FDC"/>
    <w:rsid w:val="004C4525"/>
    <w:rsid w:val="004C4E6C"/>
    <w:rsid w:val="004C655F"/>
    <w:rsid w:val="004C6EF8"/>
    <w:rsid w:val="004C6EFA"/>
    <w:rsid w:val="004D11BF"/>
    <w:rsid w:val="004D2CA3"/>
    <w:rsid w:val="004D66E4"/>
    <w:rsid w:val="004D7678"/>
    <w:rsid w:val="004E296C"/>
    <w:rsid w:val="004E6190"/>
    <w:rsid w:val="004F0EEE"/>
    <w:rsid w:val="004F3637"/>
    <w:rsid w:val="004F449E"/>
    <w:rsid w:val="004F6F5D"/>
    <w:rsid w:val="004F71B0"/>
    <w:rsid w:val="00502121"/>
    <w:rsid w:val="0050428E"/>
    <w:rsid w:val="005045EE"/>
    <w:rsid w:val="00506A57"/>
    <w:rsid w:val="00510058"/>
    <w:rsid w:val="0051082C"/>
    <w:rsid w:val="00511C9D"/>
    <w:rsid w:val="0051293D"/>
    <w:rsid w:val="00513EE0"/>
    <w:rsid w:val="005205A8"/>
    <w:rsid w:val="00525FA7"/>
    <w:rsid w:val="005268BC"/>
    <w:rsid w:val="00527828"/>
    <w:rsid w:val="00534E65"/>
    <w:rsid w:val="0053692B"/>
    <w:rsid w:val="0054012C"/>
    <w:rsid w:val="00541525"/>
    <w:rsid w:val="005427DD"/>
    <w:rsid w:val="00546DBF"/>
    <w:rsid w:val="00550E12"/>
    <w:rsid w:val="00551674"/>
    <w:rsid w:val="005523C3"/>
    <w:rsid w:val="0056046C"/>
    <w:rsid w:val="00562FE2"/>
    <w:rsid w:val="00563B73"/>
    <w:rsid w:val="00564DD8"/>
    <w:rsid w:val="00567694"/>
    <w:rsid w:val="005707F6"/>
    <w:rsid w:val="00573AE9"/>
    <w:rsid w:val="005764F9"/>
    <w:rsid w:val="005779F2"/>
    <w:rsid w:val="00581DE9"/>
    <w:rsid w:val="00583547"/>
    <w:rsid w:val="005848CC"/>
    <w:rsid w:val="00587165"/>
    <w:rsid w:val="00590B91"/>
    <w:rsid w:val="00595EAD"/>
    <w:rsid w:val="00597D0A"/>
    <w:rsid w:val="005A48F8"/>
    <w:rsid w:val="005A561F"/>
    <w:rsid w:val="005B0B6B"/>
    <w:rsid w:val="005B3825"/>
    <w:rsid w:val="005B588A"/>
    <w:rsid w:val="005C488A"/>
    <w:rsid w:val="005C6C38"/>
    <w:rsid w:val="005C735D"/>
    <w:rsid w:val="005D0D92"/>
    <w:rsid w:val="005D230E"/>
    <w:rsid w:val="005D525F"/>
    <w:rsid w:val="005D55C8"/>
    <w:rsid w:val="005D760E"/>
    <w:rsid w:val="005E2710"/>
    <w:rsid w:val="005E2809"/>
    <w:rsid w:val="005E2874"/>
    <w:rsid w:val="005E29C0"/>
    <w:rsid w:val="005E347E"/>
    <w:rsid w:val="005E352F"/>
    <w:rsid w:val="005F4C48"/>
    <w:rsid w:val="005F4D25"/>
    <w:rsid w:val="005F5BF8"/>
    <w:rsid w:val="005F7210"/>
    <w:rsid w:val="00600E62"/>
    <w:rsid w:val="0060208D"/>
    <w:rsid w:val="00602404"/>
    <w:rsid w:val="00602EFD"/>
    <w:rsid w:val="006071F0"/>
    <w:rsid w:val="00610924"/>
    <w:rsid w:val="006167B2"/>
    <w:rsid w:val="0061688B"/>
    <w:rsid w:val="00620F92"/>
    <w:rsid w:val="00620FBF"/>
    <w:rsid w:val="0062239E"/>
    <w:rsid w:val="006231F7"/>
    <w:rsid w:val="006250A8"/>
    <w:rsid w:val="00625ACE"/>
    <w:rsid w:val="00625F90"/>
    <w:rsid w:val="0063073A"/>
    <w:rsid w:val="00631E65"/>
    <w:rsid w:val="00644BC3"/>
    <w:rsid w:val="0064594A"/>
    <w:rsid w:val="00647552"/>
    <w:rsid w:val="0065040C"/>
    <w:rsid w:val="00650A97"/>
    <w:rsid w:val="00651AC5"/>
    <w:rsid w:val="006523C3"/>
    <w:rsid w:val="00661F09"/>
    <w:rsid w:val="00662F62"/>
    <w:rsid w:val="00663847"/>
    <w:rsid w:val="0066392B"/>
    <w:rsid w:val="00666CF5"/>
    <w:rsid w:val="00670935"/>
    <w:rsid w:val="006734FC"/>
    <w:rsid w:val="006736D6"/>
    <w:rsid w:val="006769FE"/>
    <w:rsid w:val="00676E9A"/>
    <w:rsid w:val="00680497"/>
    <w:rsid w:val="006836B1"/>
    <w:rsid w:val="00684253"/>
    <w:rsid w:val="00684E98"/>
    <w:rsid w:val="0068520E"/>
    <w:rsid w:val="00687D32"/>
    <w:rsid w:val="006904F4"/>
    <w:rsid w:val="006909FF"/>
    <w:rsid w:val="00691FB7"/>
    <w:rsid w:val="00695A13"/>
    <w:rsid w:val="00695AFF"/>
    <w:rsid w:val="00696546"/>
    <w:rsid w:val="006A260A"/>
    <w:rsid w:val="006A3D5A"/>
    <w:rsid w:val="006A6316"/>
    <w:rsid w:val="006A7BE8"/>
    <w:rsid w:val="006B0852"/>
    <w:rsid w:val="006B1A29"/>
    <w:rsid w:val="006B694E"/>
    <w:rsid w:val="006B74C2"/>
    <w:rsid w:val="006C0703"/>
    <w:rsid w:val="006C0B93"/>
    <w:rsid w:val="006C1068"/>
    <w:rsid w:val="006C262A"/>
    <w:rsid w:val="006C2BF8"/>
    <w:rsid w:val="006C3AB3"/>
    <w:rsid w:val="006C43E7"/>
    <w:rsid w:val="006C573F"/>
    <w:rsid w:val="006D0A34"/>
    <w:rsid w:val="006D1CE8"/>
    <w:rsid w:val="006D2C42"/>
    <w:rsid w:val="006D3F7E"/>
    <w:rsid w:val="006D77E7"/>
    <w:rsid w:val="006E04A4"/>
    <w:rsid w:val="006E2871"/>
    <w:rsid w:val="006E4893"/>
    <w:rsid w:val="006E7D91"/>
    <w:rsid w:val="006F6F7C"/>
    <w:rsid w:val="006F711E"/>
    <w:rsid w:val="00700EB4"/>
    <w:rsid w:val="00701957"/>
    <w:rsid w:val="00703EF8"/>
    <w:rsid w:val="00705E79"/>
    <w:rsid w:val="00706A78"/>
    <w:rsid w:val="00706E34"/>
    <w:rsid w:val="007114AF"/>
    <w:rsid w:val="00712232"/>
    <w:rsid w:val="00713CA9"/>
    <w:rsid w:val="00715CFC"/>
    <w:rsid w:val="00715E0D"/>
    <w:rsid w:val="007202B2"/>
    <w:rsid w:val="00720DAA"/>
    <w:rsid w:val="00722F2E"/>
    <w:rsid w:val="00734FF9"/>
    <w:rsid w:val="00737CED"/>
    <w:rsid w:val="0074153A"/>
    <w:rsid w:val="007416F6"/>
    <w:rsid w:val="00746A2F"/>
    <w:rsid w:val="00747FCA"/>
    <w:rsid w:val="0075315D"/>
    <w:rsid w:val="007534BF"/>
    <w:rsid w:val="0075392A"/>
    <w:rsid w:val="0075739A"/>
    <w:rsid w:val="0076030B"/>
    <w:rsid w:val="00762947"/>
    <w:rsid w:val="00762CDF"/>
    <w:rsid w:val="007708B1"/>
    <w:rsid w:val="007734E4"/>
    <w:rsid w:val="007738FC"/>
    <w:rsid w:val="00777451"/>
    <w:rsid w:val="0078166D"/>
    <w:rsid w:val="0078453B"/>
    <w:rsid w:val="0079319C"/>
    <w:rsid w:val="00793E6B"/>
    <w:rsid w:val="007940DE"/>
    <w:rsid w:val="00795E27"/>
    <w:rsid w:val="00797CBE"/>
    <w:rsid w:val="007B1710"/>
    <w:rsid w:val="007B24D7"/>
    <w:rsid w:val="007B45D0"/>
    <w:rsid w:val="007B5DB5"/>
    <w:rsid w:val="007B66EF"/>
    <w:rsid w:val="007C06C6"/>
    <w:rsid w:val="007C23D5"/>
    <w:rsid w:val="007C2537"/>
    <w:rsid w:val="007C2FB0"/>
    <w:rsid w:val="007C3751"/>
    <w:rsid w:val="007C49CD"/>
    <w:rsid w:val="007C4D23"/>
    <w:rsid w:val="007C55BA"/>
    <w:rsid w:val="007D311A"/>
    <w:rsid w:val="007D419D"/>
    <w:rsid w:val="007E2ADB"/>
    <w:rsid w:val="007E34CD"/>
    <w:rsid w:val="007E58CF"/>
    <w:rsid w:val="007E6C31"/>
    <w:rsid w:val="007F0762"/>
    <w:rsid w:val="007F21EE"/>
    <w:rsid w:val="007F234F"/>
    <w:rsid w:val="007F38A0"/>
    <w:rsid w:val="007F5611"/>
    <w:rsid w:val="007F75CF"/>
    <w:rsid w:val="0080056E"/>
    <w:rsid w:val="00801631"/>
    <w:rsid w:val="0080221A"/>
    <w:rsid w:val="00804844"/>
    <w:rsid w:val="00804B27"/>
    <w:rsid w:val="00804EF0"/>
    <w:rsid w:val="00805C93"/>
    <w:rsid w:val="00806C31"/>
    <w:rsid w:val="008113F0"/>
    <w:rsid w:val="00811A7E"/>
    <w:rsid w:val="00813468"/>
    <w:rsid w:val="00813939"/>
    <w:rsid w:val="0081638A"/>
    <w:rsid w:val="00816E6A"/>
    <w:rsid w:val="0082048B"/>
    <w:rsid w:val="008206BC"/>
    <w:rsid w:val="00822262"/>
    <w:rsid w:val="008232CE"/>
    <w:rsid w:val="00823C33"/>
    <w:rsid w:val="00825EB5"/>
    <w:rsid w:val="00827F95"/>
    <w:rsid w:val="00830BDF"/>
    <w:rsid w:val="00831C76"/>
    <w:rsid w:val="0083314B"/>
    <w:rsid w:val="008341BF"/>
    <w:rsid w:val="00835D0C"/>
    <w:rsid w:val="00842D87"/>
    <w:rsid w:val="00846110"/>
    <w:rsid w:val="00854F76"/>
    <w:rsid w:val="00855EF9"/>
    <w:rsid w:val="00860EC1"/>
    <w:rsid w:val="00862332"/>
    <w:rsid w:val="008658B2"/>
    <w:rsid w:val="0087046C"/>
    <w:rsid w:val="00872C82"/>
    <w:rsid w:val="00873711"/>
    <w:rsid w:val="008738D3"/>
    <w:rsid w:val="008758B1"/>
    <w:rsid w:val="008759E1"/>
    <w:rsid w:val="008771E8"/>
    <w:rsid w:val="00881301"/>
    <w:rsid w:val="00886182"/>
    <w:rsid w:val="008865B7"/>
    <w:rsid w:val="00892197"/>
    <w:rsid w:val="00892BD2"/>
    <w:rsid w:val="008970C0"/>
    <w:rsid w:val="00897148"/>
    <w:rsid w:val="008A0315"/>
    <w:rsid w:val="008A2164"/>
    <w:rsid w:val="008A304B"/>
    <w:rsid w:val="008A67C7"/>
    <w:rsid w:val="008A6AD8"/>
    <w:rsid w:val="008A7300"/>
    <w:rsid w:val="008A7B2B"/>
    <w:rsid w:val="008B332A"/>
    <w:rsid w:val="008B3504"/>
    <w:rsid w:val="008B7676"/>
    <w:rsid w:val="008C1132"/>
    <w:rsid w:val="008C1190"/>
    <w:rsid w:val="008C4482"/>
    <w:rsid w:val="008C49FE"/>
    <w:rsid w:val="008C5B86"/>
    <w:rsid w:val="008C6DEC"/>
    <w:rsid w:val="008D3688"/>
    <w:rsid w:val="008D40E6"/>
    <w:rsid w:val="008D4E6B"/>
    <w:rsid w:val="008E05CD"/>
    <w:rsid w:val="008E0D53"/>
    <w:rsid w:val="008E1C86"/>
    <w:rsid w:val="008E6C8F"/>
    <w:rsid w:val="008E7E49"/>
    <w:rsid w:val="008F111B"/>
    <w:rsid w:val="008F387A"/>
    <w:rsid w:val="008F442A"/>
    <w:rsid w:val="008F7BA9"/>
    <w:rsid w:val="008F7EBC"/>
    <w:rsid w:val="00900D5A"/>
    <w:rsid w:val="0090322B"/>
    <w:rsid w:val="00903719"/>
    <w:rsid w:val="009054AB"/>
    <w:rsid w:val="00910410"/>
    <w:rsid w:val="0091328F"/>
    <w:rsid w:val="009147E1"/>
    <w:rsid w:val="00914D39"/>
    <w:rsid w:val="00915F87"/>
    <w:rsid w:val="00916D27"/>
    <w:rsid w:val="0091701F"/>
    <w:rsid w:val="00921E7F"/>
    <w:rsid w:val="0092309F"/>
    <w:rsid w:val="00926DB8"/>
    <w:rsid w:val="0093563E"/>
    <w:rsid w:val="00940E48"/>
    <w:rsid w:val="00941E0C"/>
    <w:rsid w:val="009427F2"/>
    <w:rsid w:val="00945AB2"/>
    <w:rsid w:val="00946378"/>
    <w:rsid w:val="009464B3"/>
    <w:rsid w:val="009465DA"/>
    <w:rsid w:val="00950275"/>
    <w:rsid w:val="00951540"/>
    <w:rsid w:val="00951B74"/>
    <w:rsid w:val="00953CBB"/>
    <w:rsid w:val="00956ABE"/>
    <w:rsid w:val="009576D4"/>
    <w:rsid w:val="00961022"/>
    <w:rsid w:val="0096287B"/>
    <w:rsid w:val="00962930"/>
    <w:rsid w:val="0096342B"/>
    <w:rsid w:val="00966144"/>
    <w:rsid w:val="00971C99"/>
    <w:rsid w:val="00975E7E"/>
    <w:rsid w:val="00976ED1"/>
    <w:rsid w:val="00976F03"/>
    <w:rsid w:val="00980850"/>
    <w:rsid w:val="00982C23"/>
    <w:rsid w:val="009853C6"/>
    <w:rsid w:val="00991055"/>
    <w:rsid w:val="00991561"/>
    <w:rsid w:val="00995EF4"/>
    <w:rsid w:val="00997061"/>
    <w:rsid w:val="009974A6"/>
    <w:rsid w:val="009A033B"/>
    <w:rsid w:val="009A1398"/>
    <w:rsid w:val="009A308B"/>
    <w:rsid w:val="009A4E96"/>
    <w:rsid w:val="009A4EA9"/>
    <w:rsid w:val="009A5FC8"/>
    <w:rsid w:val="009A70AE"/>
    <w:rsid w:val="009A7124"/>
    <w:rsid w:val="009B165A"/>
    <w:rsid w:val="009B465D"/>
    <w:rsid w:val="009B5E42"/>
    <w:rsid w:val="009B7A0A"/>
    <w:rsid w:val="009C0066"/>
    <w:rsid w:val="009C0728"/>
    <w:rsid w:val="009C24E1"/>
    <w:rsid w:val="009C2649"/>
    <w:rsid w:val="009C4029"/>
    <w:rsid w:val="009C59E9"/>
    <w:rsid w:val="009D02A4"/>
    <w:rsid w:val="009D05D5"/>
    <w:rsid w:val="009D11A9"/>
    <w:rsid w:val="009D2FDF"/>
    <w:rsid w:val="009D5EFD"/>
    <w:rsid w:val="009E5330"/>
    <w:rsid w:val="009E61BF"/>
    <w:rsid w:val="009E668D"/>
    <w:rsid w:val="009E78B4"/>
    <w:rsid w:val="009F0575"/>
    <w:rsid w:val="009F070E"/>
    <w:rsid w:val="009F07F7"/>
    <w:rsid w:val="009F1198"/>
    <w:rsid w:val="009F44FD"/>
    <w:rsid w:val="009F66E7"/>
    <w:rsid w:val="009F6EE7"/>
    <w:rsid w:val="009F7B18"/>
    <w:rsid w:val="009F7DD3"/>
    <w:rsid w:val="00A02E89"/>
    <w:rsid w:val="00A03EC6"/>
    <w:rsid w:val="00A07304"/>
    <w:rsid w:val="00A10661"/>
    <w:rsid w:val="00A13C9D"/>
    <w:rsid w:val="00A1559D"/>
    <w:rsid w:val="00A1590F"/>
    <w:rsid w:val="00A16AEC"/>
    <w:rsid w:val="00A17DD4"/>
    <w:rsid w:val="00A208F4"/>
    <w:rsid w:val="00A21FB4"/>
    <w:rsid w:val="00A261B0"/>
    <w:rsid w:val="00A26A6F"/>
    <w:rsid w:val="00A2711D"/>
    <w:rsid w:val="00A27B7F"/>
    <w:rsid w:val="00A30648"/>
    <w:rsid w:val="00A320EB"/>
    <w:rsid w:val="00A3345A"/>
    <w:rsid w:val="00A34DAA"/>
    <w:rsid w:val="00A40805"/>
    <w:rsid w:val="00A45E57"/>
    <w:rsid w:val="00A51804"/>
    <w:rsid w:val="00A54272"/>
    <w:rsid w:val="00A54FE8"/>
    <w:rsid w:val="00A550B5"/>
    <w:rsid w:val="00A5776C"/>
    <w:rsid w:val="00A6124C"/>
    <w:rsid w:val="00A62C86"/>
    <w:rsid w:val="00A6376B"/>
    <w:rsid w:val="00A63A0B"/>
    <w:rsid w:val="00A6739B"/>
    <w:rsid w:val="00A70DA4"/>
    <w:rsid w:val="00A73171"/>
    <w:rsid w:val="00A73954"/>
    <w:rsid w:val="00A82851"/>
    <w:rsid w:val="00A84183"/>
    <w:rsid w:val="00A87C05"/>
    <w:rsid w:val="00A93D59"/>
    <w:rsid w:val="00A945CB"/>
    <w:rsid w:val="00A94D0E"/>
    <w:rsid w:val="00A97054"/>
    <w:rsid w:val="00A9767F"/>
    <w:rsid w:val="00AA0122"/>
    <w:rsid w:val="00AA0636"/>
    <w:rsid w:val="00AA27AA"/>
    <w:rsid w:val="00AA27E6"/>
    <w:rsid w:val="00AA2AD2"/>
    <w:rsid w:val="00AA2F43"/>
    <w:rsid w:val="00AA40C5"/>
    <w:rsid w:val="00AA442A"/>
    <w:rsid w:val="00AA4F55"/>
    <w:rsid w:val="00AA6311"/>
    <w:rsid w:val="00AB0905"/>
    <w:rsid w:val="00AB101D"/>
    <w:rsid w:val="00AB144C"/>
    <w:rsid w:val="00AB1494"/>
    <w:rsid w:val="00AB3055"/>
    <w:rsid w:val="00AC07F1"/>
    <w:rsid w:val="00AC0C33"/>
    <w:rsid w:val="00AC1797"/>
    <w:rsid w:val="00AD0FCE"/>
    <w:rsid w:val="00AD4099"/>
    <w:rsid w:val="00AD473B"/>
    <w:rsid w:val="00AE1C04"/>
    <w:rsid w:val="00AE290F"/>
    <w:rsid w:val="00AE514D"/>
    <w:rsid w:val="00AF2D4E"/>
    <w:rsid w:val="00AF3293"/>
    <w:rsid w:val="00AF4905"/>
    <w:rsid w:val="00B008B1"/>
    <w:rsid w:val="00B029AD"/>
    <w:rsid w:val="00B0494B"/>
    <w:rsid w:val="00B04CE2"/>
    <w:rsid w:val="00B06866"/>
    <w:rsid w:val="00B078F9"/>
    <w:rsid w:val="00B122F3"/>
    <w:rsid w:val="00B16C0D"/>
    <w:rsid w:val="00B21885"/>
    <w:rsid w:val="00B24525"/>
    <w:rsid w:val="00B24C02"/>
    <w:rsid w:val="00B251E5"/>
    <w:rsid w:val="00B256BD"/>
    <w:rsid w:val="00B26521"/>
    <w:rsid w:val="00B314E4"/>
    <w:rsid w:val="00B325CB"/>
    <w:rsid w:val="00B3282E"/>
    <w:rsid w:val="00B35A1C"/>
    <w:rsid w:val="00B372B2"/>
    <w:rsid w:val="00B40658"/>
    <w:rsid w:val="00B42550"/>
    <w:rsid w:val="00B45694"/>
    <w:rsid w:val="00B474A6"/>
    <w:rsid w:val="00B52CFF"/>
    <w:rsid w:val="00B53DD1"/>
    <w:rsid w:val="00B5688C"/>
    <w:rsid w:val="00B6055A"/>
    <w:rsid w:val="00B608D8"/>
    <w:rsid w:val="00B60FC9"/>
    <w:rsid w:val="00B61D17"/>
    <w:rsid w:val="00B62A65"/>
    <w:rsid w:val="00B64FAC"/>
    <w:rsid w:val="00B65489"/>
    <w:rsid w:val="00B65A6D"/>
    <w:rsid w:val="00B675E2"/>
    <w:rsid w:val="00B730B5"/>
    <w:rsid w:val="00B75981"/>
    <w:rsid w:val="00B75B2B"/>
    <w:rsid w:val="00B77A93"/>
    <w:rsid w:val="00B8288E"/>
    <w:rsid w:val="00B83F74"/>
    <w:rsid w:val="00B854EF"/>
    <w:rsid w:val="00B8624B"/>
    <w:rsid w:val="00B87ADB"/>
    <w:rsid w:val="00B9067C"/>
    <w:rsid w:val="00B928A6"/>
    <w:rsid w:val="00B92F91"/>
    <w:rsid w:val="00B956A2"/>
    <w:rsid w:val="00B96BAD"/>
    <w:rsid w:val="00B96E4E"/>
    <w:rsid w:val="00B9788E"/>
    <w:rsid w:val="00BA0A2D"/>
    <w:rsid w:val="00BA25DA"/>
    <w:rsid w:val="00BA2C73"/>
    <w:rsid w:val="00BA31D7"/>
    <w:rsid w:val="00BB68D0"/>
    <w:rsid w:val="00BB7576"/>
    <w:rsid w:val="00BB7787"/>
    <w:rsid w:val="00BC1F34"/>
    <w:rsid w:val="00BC2588"/>
    <w:rsid w:val="00BC2ED2"/>
    <w:rsid w:val="00BC3768"/>
    <w:rsid w:val="00BC3F2B"/>
    <w:rsid w:val="00BC406C"/>
    <w:rsid w:val="00BC4F49"/>
    <w:rsid w:val="00BC52C1"/>
    <w:rsid w:val="00BC5B87"/>
    <w:rsid w:val="00BC5EC7"/>
    <w:rsid w:val="00BC7B05"/>
    <w:rsid w:val="00BD44F5"/>
    <w:rsid w:val="00BD5C15"/>
    <w:rsid w:val="00BD7CD4"/>
    <w:rsid w:val="00BE2698"/>
    <w:rsid w:val="00BE3C35"/>
    <w:rsid w:val="00BE43B0"/>
    <w:rsid w:val="00BE5D3D"/>
    <w:rsid w:val="00BF049F"/>
    <w:rsid w:val="00BF312E"/>
    <w:rsid w:val="00BF31B5"/>
    <w:rsid w:val="00BF6871"/>
    <w:rsid w:val="00C00FC8"/>
    <w:rsid w:val="00C02586"/>
    <w:rsid w:val="00C03541"/>
    <w:rsid w:val="00C03BE0"/>
    <w:rsid w:val="00C0407A"/>
    <w:rsid w:val="00C066A4"/>
    <w:rsid w:val="00C07A24"/>
    <w:rsid w:val="00C11019"/>
    <w:rsid w:val="00C11501"/>
    <w:rsid w:val="00C1708E"/>
    <w:rsid w:val="00C17B8A"/>
    <w:rsid w:val="00C200B6"/>
    <w:rsid w:val="00C22E6A"/>
    <w:rsid w:val="00C22FE5"/>
    <w:rsid w:val="00C24539"/>
    <w:rsid w:val="00C254F6"/>
    <w:rsid w:val="00C25C9A"/>
    <w:rsid w:val="00C25E4B"/>
    <w:rsid w:val="00C32B60"/>
    <w:rsid w:val="00C32DCC"/>
    <w:rsid w:val="00C3373F"/>
    <w:rsid w:val="00C42418"/>
    <w:rsid w:val="00C45039"/>
    <w:rsid w:val="00C45EA1"/>
    <w:rsid w:val="00C5354F"/>
    <w:rsid w:val="00C53831"/>
    <w:rsid w:val="00C53A1A"/>
    <w:rsid w:val="00C62358"/>
    <w:rsid w:val="00C664DF"/>
    <w:rsid w:val="00C66AF5"/>
    <w:rsid w:val="00C67F6E"/>
    <w:rsid w:val="00C703A7"/>
    <w:rsid w:val="00C70495"/>
    <w:rsid w:val="00C71AAA"/>
    <w:rsid w:val="00C72A95"/>
    <w:rsid w:val="00C74EEF"/>
    <w:rsid w:val="00C75F76"/>
    <w:rsid w:val="00C77727"/>
    <w:rsid w:val="00C803CA"/>
    <w:rsid w:val="00C81EE8"/>
    <w:rsid w:val="00C823D4"/>
    <w:rsid w:val="00C82C3F"/>
    <w:rsid w:val="00C834A8"/>
    <w:rsid w:val="00C84FA4"/>
    <w:rsid w:val="00C87342"/>
    <w:rsid w:val="00C92335"/>
    <w:rsid w:val="00C92AB7"/>
    <w:rsid w:val="00C92DDC"/>
    <w:rsid w:val="00C934B6"/>
    <w:rsid w:val="00C9399E"/>
    <w:rsid w:val="00C940A2"/>
    <w:rsid w:val="00C94809"/>
    <w:rsid w:val="00C973EC"/>
    <w:rsid w:val="00C9743C"/>
    <w:rsid w:val="00CA0BA3"/>
    <w:rsid w:val="00CA121B"/>
    <w:rsid w:val="00CA3248"/>
    <w:rsid w:val="00CA3A18"/>
    <w:rsid w:val="00CA6ECA"/>
    <w:rsid w:val="00CB00D4"/>
    <w:rsid w:val="00CB0385"/>
    <w:rsid w:val="00CB0D61"/>
    <w:rsid w:val="00CB12FF"/>
    <w:rsid w:val="00CB525E"/>
    <w:rsid w:val="00CB78CF"/>
    <w:rsid w:val="00CC4523"/>
    <w:rsid w:val="00CC5BB9"/>
    <w:rsid w:val="00CD1649"/>
    <w:rsid w:val="00CD3E61"/>
    <w:rsid w:val="00CD7FCA"/>
    <w:rsid w:val="00CE0B0B"/>
    <w:rsid w:val="00CE1D1B"/>
    <w:rsid w:val="00CE3B80"/>
    <w:rsid w:val="00CE4656"/>
    <w:rsid w:val="00CE5965"/>
    <w:rsid w:val="00CE616F"/>
    <w:rsid w:val="00CE7B91"/>
    <w:rsid w:val="00CE7E58"/>
    <w:rsid w:val="00CF0508"/>
    <w:rsid w:val="00CF1ABC"/>
    <w:rsid w:val="00CF1FA4"/>
    <w:rsid w:val="00CF4EE2"/>
    <w:rsid w:val="00CF522D"/>
    <w:rsid w:val="00D00FB1"/>
    <w:rsid w:val="00D026A1"/>
    <w:rsid w:val="00D044D5"/>
    <w:rsid w:val="00D05737"/>
    <w:rsid w:val="00D0600B"/>
    <w:rsid w:val="00D11EE3"/>
    <w:rsid w:val="00D13504"/>
    <w:rsid w:val="00D13C8E"/>
    <w:rsid w:val="00D1727B"/>
    <w:rsid w:val="00D205AC"/>
    <w:rsid w:val="00D20872"/>
    <w:rsid w:val="00D21AD6"/>
    <w:rsid w:val="00D242B2"/>
    <w:rsid w:val="00D26570"/>
    <w:rsid w:val="00D32503"/>
    <w:rsid w:val="00D32EDB"/>
    <w:rsid w:val="00D33299"/>
    <w:rsid w:val="00D3408A"/>
    <w:rsid w:val="00D34108"/>
    <w:rsid w:val="00D36B02"/>
    <w:rsid w:val="00D371AD"/>
    <w:rsid w:val="00D40CFA"/>
    <w:rsid w:val="00D41525"/>
    <w:rsid w:val="00D41FB7"/>
    <w:rsid w:val="00D44EF5"/>
    <w:rsid w:val="00D472F8"/>
    <w:rsid w:val="00D47309"/>
    <w:rsid w:val="00D47F93"/>
    <w:rsid w:val="00D52E58"/>
    <w:rsid w:val="00D535B0"/>
    <w:rsid w:val="00D54792"/>
    <w:rsid w:val="00D54D57"/>
    <w:rsid w:val="00D578DF"/>
    <w:rsid w:val="00D6094F"/>
    <w:rsid w:val="00D609C0"/>
    <w:rsid w:val="00D61F54"/>
    <w:rsid w:val="00D62053"/>
    <w:rsid w:val="00D64104"/>
    <w:rsid w:val="00D65FA7"/>
    <w:rsid w:val="00D66C13"/>
    <w:rsid w:val="00D70D3D"/>
    <w:rsid w:val="00D72CCF"/>
    <w:rsid w:val="00D72CD6"/>
    <w:rsid w:val="00D73764"/>
    <w:rsid w:val="00D746A3"/>
    <w:rsid w:val="00D770BD"/>
    <w:rsid w:val="00D77F4B"/>
    <w:rsid w:val="00D805BE"/>
    <w:rsid w:val="00D82D33"/>
    <w:rsid w:val="00D92E0D"/>
    <w:rsid w:val="00D94D92"/>
    <w:rsid w:val="00D96618"/>
    <w:rsid w:val="00D97034"/>
    <w:rsid w:val="00D97F58"/>
    <w:rsid w:val="00DA1C93"/>
    <w:rsid w:val="00DA2D74"/>
    <w:rsid w:val="00DB02FD"/>
    <w:rsid w:val="00DB07A3"/>
    <w:rsid w:val="00DB27B4"/>
    <w:rsid w:val="00DB34AB"/>
    <w:rsid w:val="00DB54AE"/>
    <w:rsid w:val="00DB5666"/>
    <w:rsid w:val="00DB65E3"/>
    <w:rsid w:val="00DB684A"/>
    <w:rsid w:val="00DC1D37"/>
    <w:rsid w:val="00DC2799"/>
    <w:rsid w:val="00DC2AA2"/>
    <w:rsid w:val="00DC2B21"/>
    <w:rsid w:val="00DC30F1"/>
    <w:rsid w:val="00DC3789"/>
    <w:rsid w:val="00DC431A"/>
    <w:rsid w:val="00DC504E"/>
    <w:rsid w:val="00DC7CF6"/>
    <w:rsid w:val="00DD0C95"/>
    <w:rsid w:val="00DD0D69"/>
    <w:rsid w:val="00DD5CC3"/>
    <w:rsid w:val="00DE020D"/>
    <w:rsid w:val="00DE1A6B"/>
    <w:rsid w:val="00DE1D0B"/>
    <w:rsid w:val="00DE301E"/>
    <w:rsid w:val="00DE3FDC"/>
    <w:rsid w:val="00DE5E06"/>
    <w:rsid w:val="00DF0786"/>
    <w:rsid w:val="00DF1650"/>
    <w:rsid w:val="00DF2107"/>
    <w:rsid w:val="00DF2914"/>
    <w:rsid w:val="00DF310A"/>
    <w:rsid w:val="00DF4DDC"/>
    <w:rsid w:val="00DF6BD5"/>
    <w:rsid w:val="00DF7B6E"/>
    <w:rsid w:val="00E01A99"/>
    <w:rsid w:val="00E01D91"/>
    <w:rsid w:val="00E04FBD"/>
    <w:rsid w:val="00E06BD7"/>
    <w:rsid w:val="00E07376"/>
    <w:rsid w:val="00E1268E"/>
    <w:rsid w:val="00E132B8"/>
    <w:rsid w:val="00E16082"/>
    <w:rsid w:val="00E21C0F"/>
    <w:rsid w:val="00E22BC6"/>
    <w:rsid w:val="00E2353C"/>
    <w:rsid w:val="00E26695"/>
    <w:rsid w:val="00E27412"/>
    <w:rsid w:val="00E315AA"/>
    <w:rsid w:val="00E3276A"/>
    <w:rsid w:val="00E34A53"/>
    <w:rsid w:val="00E37727"/>
    <w:rsid w:val="00E41A8F"/>
    <w:rsid w:val="00E46429"/>
    <w:rsid w:val="00E46BDA"/>
    <w:rsid w:val="00E4759D"/>
    <w:rsid w:val="00E5201B"/>
    <w:rsid w:val="00E5661D"/>
    <w:rsid w:val="00E60462"/>
    <w:rsid w:val="00E610DE"/>
    <w:rsid w:val="00E66BDC"/>
    <w:rsid w:val="00E72369"/>
    <w:rsid w:val="00E745ED"/>
    <w:rsid w:val="00E75F11"/>
    <w:rsid w:val="00E90FD0"/>
    <w:rsid w:val="00E94752"/>
    <w:rsid w:val="00E959D0"/>
    <w:rsid w:val="00EA2BBD"/>
    <w:rsid w:val="00EB0EEF"/>
    <w:rsid w:val="00EB1E42"/>
    <w:rsid w:val="00EB225D"/>
    <w:rsid w:val="00EB2686"/>
    <w:rsid w:val="00EB2E1E"/>
    <w:rsid w:val="00EB3EE4"/>
    <w:rsid w:val="00EB592C"/>
    <w:rsid w:val="00EB6C4C"/>
    <w:rsid w:val="00EB7DBC"/>
    <w:rsid w:val="00EC244B"/>
    <w:rsid w:val="00EC3BF1"/>
    <w:rsid w:val="00EC3E93"/>
    <w:rsid w:val="00EC4A02"/>
    <w:rsid w:val="00EC73A5"/>
    <w:rsid w:val="00ED3008"/>
    <w:rsid w:val="00EE272A"/>
    <w:rsid w:val="00EE6EC9"/>
    <w:rsid w:val="00EF0A66"/>
    <w:rsid w:val="00EF7669"/>
    <w:rsid w:val="00F007C9"/>
    <w:rsid w:val="00F02817"/>
    <w:rsid w:val="00F04079"/>
    <w:rsid w:val="00F04082"/>
    <w:rsid w:val="00F04D32"/>
    <w:rsid w:val="00F11689"/>
    <w:rsid w:val="00F12B28"/>
    <w:rsid w:val="00F13316"/>
    <w:rsid w:val="00F13A74"/>
    <w:rsid w:val="00F14994"/>
    <w:rsid w:val="00F1538F"/>
    <w:rsid w:val="00F15D0C"/>
    <w:rsid w:val="00F16655"/>
    <w:rsid w:val="00F167A5"/>
    <w:rsid w:val="00F17086"/>
    <w:rsid w:val="00F17A97"/>
    <w:rsid w:val="00F2473F"/>
    <w:rsid w:val="00F25380"/>
    <w:rsid w:val="00F25C84"/>
    <w:rsid w:val="00F260F9"/>
    <w:rsid w:val="00F302AD"/>
    <w:rsid w:val="00F31E3C"/>
    <w:rsid w:val="00F32792"/>
    <w:rsid w:val="00F36E3D"/>
    <w:rsid w:val="00F373C9"/>
    <w:rsid w:val="00F444C1"/>
    <w:rsid w:val="00F46131"/>
    <w:rsid w:val="00F46738"/>
    <w:rsid w:val="00F47018"/>
    <w:rsid w:val="00F546A6"/>
    <w:rsid w:val="00F55824"/>
    <w:rsid w:val="00F60265"/>
    <w:rsid w:val="00F72485"/>
    <w:rsid w:val="00F73236"/>
    <w:rsid w:val="00F73402"/>
    <w:rsid w:val="00F739CD"/>
    <w:rsid w:val="00F74365"/>
    <w:rsid w:val="00F8017A"/>
    <w:rsid w:val="00F8195F"/>
    <w:rsid w:val="00F81F5F"/>
    <w:rsid w:val="00F82D0B"/>
    <w:rsid w:val="00F85998"/>
    <w:rsid w:val="00F85C75"/>
    <w:rsid w:val="00F87813"/>
    <w:rsid w:val="00F903E2"/>
    <w:rsid w:val="00F91536"/>
    <w:rsid w:val="00F932DF"/>
    <w:rsid w:val="00F9438A"/>
    <w:rsid w:val="00F9471E"/>
    <w:rsid w:val="00F94989"/>
    <w:rsid w:val="00F950E6"/>
    <w:rsid w:val="00FA6A0D"/>
    <w:rsid w:val="00FA6F54"/>
    <w:rsid w:val="00FA7753"/>
    <w:rsid w:val="00FB071B"/>
    <w:rsid w:val="00FB413D"/>
    <w:rsid w:val="00FB6DE9"/>
    <w:rsid w:val="00FB7E17"/>
    <w:rsid w:val="00FC15C9"/>
    <w:rsid w:val="00FC499C"/>
    <w:rsid w:val="00FC5D73"/>
    <w:rsid w:val="00FD17EC"/>
    <w:rsid w:val="00FD47E2"/>
    <w:rsid w:val="00FD4C07"/>
    <w:rsid w:val="00FD775D"/>
    <w:rsid w:val="00FE4B79"/>
    <w:rsid w:val="00FE5422"/>
    <w:rsid w:val="00FF0437"/>
    <w:rsid w:val="00FF5D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C9EE1FB6-F629-44CC-9B75-2E49EF2D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65"/>
    <w:pPr>
      <w:suppressAutoHyphens/>
      <w:spacing w:after="160" w:line="252" w:lineRule="auto"/>
    </w:pPr>
    <w:rPr>
      <w:rFonts w:ascii="Calibri" w:eastAsia="SimSun" w:hAnsi="Calibri" w:cs="Tahoma"/>
      <w:sz w:val="22"/>
      <w:szCs w:val="22"/>
      <w:lang w:val="es-ES" w:eastAsia="ar-SA"/>
    </w:rPr>
  </w:style>
  <w:style w:type="paragraph" w:styleId="Ttulo2">
    <w:name w:val="heading 2"/>
    <w:basedOn w:val="Normal"/>
    <w:next w:val="Normal"/>
    <w:link w:val="Ttulo2Car"/>
    <w:uiPriority w:val="9"/>
    <w:unhideWhenUsed/>
    <w:qFormat/>
    <w:rsid w:val="00CC4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12A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lang w:val="es-MX"/>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cs="Arial"/>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TC Avant Garde" w:eastAsia="Times New Roman" w:hAnsi="ITC Avant Garde" w:cs="Arial"/>
      <w:color w:val="000000"/>
      <w:lang w:val="es-MX"/>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ITC Avant Garde" w:eastAsia="Times New Roman" w:hAnsi="ITC Avant Garde" w:cs="Arial"/>
      <w:color w:val="000000"/>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ITC Avant Garde" w:hAnsi="ITC Avant Garde" w:cs="ITC Avant Garde" w:hint="default"/>
      <w:b/>
      <w:i/>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customStyle="1" w:styleId="Fuentedeprrafopredeter2">
    <w:name w:val="Fuente de párrafo predeter.2"/>
  </w:style>
  <w:style w:type="character" w:customStyle="1" w:styleId="Refdecomentario1">
    <w:name w:val="Ref. de comentario1"/>
    <w:rPr>
      <w:rFonts w:cs="Times New Roman"/>
      <w:sz w:val="16"/>
    </w:rPr>
  </w:style>
  <w:style w:type="character" w:customStyle="1" w:styleId="TextocomentarioCar">
    <w:name w:val="Texto comentario Car"/>
    <w:uiPriority w:val="99"/>
    <w:rPr>
      <w:rFonts w:ascii="Arial" w:eastAsia="Calibri" w:hAnsi="Arial" w:cs="Times New Roman"/>
      <w:sz w:val="20"/>
      <w:szCs w:val="20"/>
      <w:lang w:val="en-US"/>
    </w:rPr>
  </w:style>
  <w:style w:type="character" w:customStyle="1" w:styleId="TextodegloboCar">
    <w:name w:val="Texto de globo Car"/>
    <w:rPr>
      <w:rFonts w:ascii="Segoe UI" w:hAnsi="Segoe UI" w:cs="Segoe UI"/>
      <w:sz w:val="18"/>
      <w:szCs w:val="18"/>
    </w:rPr>
  </w:style>
  <w:style w:type="character" w:customStyle="1" w:styleId="PrrafodelistaCar">
    <w:name w:val="Párrafo de lista Car"/>
    <w:uiPriority w:val="99"/>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extoCar">
    <w:name w:val="Texto Car"/>
    <w:rPr>
      <w:rFonts w:ascii="Arial" w:eastAsia="Times New Roman" w:hAnsi="Arial" w:cs="Arial"/>
      <w:sz w:val="18"/>
      <w:szCs w:val="20"/>
    </w:rPr>
  </w:style>
  <w:style w:type="character" w:customStyle="1" w:styleId="TextonotapieCar">
    <w:name w:val="Texto nota pie Car"/>
    <w:rPr>
      <w:rFonts w:ascii="Calibri" w:eastAsia="Calibri" w:hAnsi="Calibri" w:cs="Times New Roman"/>
      <w:sz w:val="20"/>
      <w:szCs w:val="20"/>
    </w:rPr>
  </w:style>
  <w:style w:type="character" w:customStyle="1" w:styleId="Refdenotaalpie1">
    <w:name w:val="Ref. de nota al pie1"/>
    <w:rPr>
      <w:vertAlign w:val="superscript"/>
    </w:rPr>
  </w:style>
  <w:style w:type="character" w:customStyle="1" w:styleId="AsuntodelcomentarioCar">
    <w:name w:val="Asunto del comentario Car"/>
    <w:rPr>
      <w:rFonts w:ascii="Arial" w:eastAsia="Calibri" w:hAnsi="Arial" w:cs="Times New Roman"/>
      <w:b/>
      <w:bCs/>
      <w:sz w:val="20"/>
      <w:szCs w:val="20"/>
      <w:lang w:val="en-US"/>
    </w:rPr>
  </w:style>
  <w:style w:type="character" w:customStyle="1" w:styleId="ROMANOSCar">
    <w:name w:val="ROMANOS Car"/>
    <w:rPr>
      <w:rFonts w:ascii="Arial" w:eastAsia="Times New Roman" w:hAnsi="Arial" w:cs="Arial"/>
      <w:sz w:val="18"/>
      <w:szCs w:val="18"/>
      <w:lang w:val="es-ES"/>
    </w:rPr>
  </w:style>
  <w:style w:type="character" w:customStyle="1" w:styleId="ListLabel1">
    <w:name w:val="ListLabel 1"/>
    <w:rPr>
      <w:rFonts w:cs="Times New Roman"/>
      <w:b/>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rFonts w:eastAsia="Times New Roman" w:cs="Arial"/>
      <w:color w:val="000000"/>
    </w:rPr>
  </w:style>
  <w:style w:type="character" w:customStyle="1" w:styleId="ListLabel5">
    <w:name w:val="ListLabel 5"/>
    <w:rPr>
      <w:b/>
      <w:sz w:val="22"/>
      <w:szCs w:val="22"/>
    </w:rPr>
  </w:style>
  <w:style w:type="character" w:customStyle="1" w:styleId="ListLabel6">
    <w:name w:val="ListLabel 6"/>
    <w:rPr>
      <w:rFonts w:cs="Arial"/>
      <w:b/>
      <w:i w:val="0"/>
      <w:sz w:val="22"/>
      <w:szCs w:val="22"/>
    </w:rPr>
  </w:style>
  <w:style w:type="character" w:customStyle="1" w:styleId="ListLabel7">
    <w:name w:val="ListLabel 7"/>
    <w:rPr>
      <w:b/>
      <w:sz w:val="20"/>
      <w:szCs w:val="20"/>
    </w:rPr>
  </w:style>
  <w:style w:type="character" w:customStyle="1" w:styleId="Caracteresdenotaalpie">
    <w:name w:val="Caracteres de nota al pie"/>
  </w:style>
  <w:style w:type="character" w:customStyle="1" w:styleId="Refdenotaalpie10">
    <w:name w:val="Ref. de nota al pie1"/>
    <w:rPr>
      <w:vertAlign w:val="superscript"/>
    </w:rPr>
  </w:style>
  <w:style w:type="character" w:customStyle="1" w:styleId="Smbolosdenumeracin">
    <w:name w:val="Símbolos de numeración"/>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TextodegloboCar1">
    <w:name w:val="Texto de globo Car1"/>
    <w:rPr>
      <w:rFonts w:ascii="Segoe UI" w:eastAsia="SimSun" w:hAnsi="Segoe UI" w:cs="Segoe UI"/>
      <w:sz w:val="18"/>
      <w:szCs w:val="18"/>
      <w:lang w:val="es-ES"/>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customStyle="1" w:styleId="Prrafodelista1">
    <w:name w:val="Párrafo de lista1"/>
    <w:basedOn w:val="Normal"/>
    <w:pPr>
      <w:ind w:left="720"/>
    </w:pPr>
  </w:style>
  <w:style w:type="paragraph" w:customStyle="1" w:styleId="Textocomentario1">
    <w:name w:val="Texto comentario1"/>
    <w:basedOn w:val="Normal"/>
    <w:pPr>
      <w:spacing w:after="0" w:line="100" w:lineRule="atLeast"/>
      <w:jc w:val="both"/>
    </w:pPr>
    <w:rPr>
      <w:rFonts w:ascii="Arial" w:eastAsia="Calibri" w:hAnsi="Arial" w:cs="Times New Roman"/>
      <w:sz w:val="20"/>
      <w:szCs w:val="20"/>
      <w:lang w:val="en-US"/>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customStyle="1" w:styleId="Default">
    <w:name w:val="Default"/>
    <w:pPr>
      <w:suppressAutoHyphens/>
      <w:spacing w:line="100" w:lineRule="atLeast"/>
    </w:pPr>
    <w:rPr>
      <w:rFonts w:ascii="Arial" w:eastAsia="Calibri" w:hAnsi="Arial" w:cs="Arial"/>
      <w:color w:val="000000"/>
      <w:sz w:val="24"/>
      <w:szCs w:val="24"/>
      <w:lang w:eastAsia="ar-SA"/>
    </w:rPr>
  </w:style>
  <w:style w:type="paragraph" w:customStyle="1" w:styleId="Revisin1">
    <w:name w:val="Revisión1"/>
    <w:pPr>
      <w:suppressAutoHyphens/>
      <w:spacing w:line="100" w:lineRule="atLeast"/>
    </w:pPr>
    <w:rPr>
      <w:rFonts w:ascii="Calibri" w:eastAsia="SimSun" w:hAnsi="Calibri" w:cs="Tahoma"/>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Texto">
    <w:name w:val="Texto"/>
    <w:basedOn w:val="Normal"/>
    <w:pPr>
      <w:spacing w:after="101" w:line="216" w:lineRule="exact"/>
      <w:ind w:firstLine="288"/>
      <w:jc w:val="both"/>
    </w:pPr>
    <w:rPr>
      <w:rFonts w:ascii="Arial" w:eastAsia="Times New Roman" w:hAnsi="Arial" w:cs="Arial"/>
      <w:sz w:val="18"/>
      <w:szCs w:val="20"/>
    </w:rPr>
  </w:style>
  <w:style w:type="paragraph" w:customStyle="1" w:styleId="Textonotapie1">
    <w:name w:val="Texto nota pie1"/>
    <w:basedOn w:val="Normal"/>
    <w:pPr>
      <w:spacing w:after="0" w:line="100" w:lineRule="atLeast"/>
    </w:pPr>
    <w:rPr>
      <w:rFonts w:eastAsia="Calibri" w:cs="Times New Roman"/>
      <w:sz w:val="20"/>
      <w:szCs w:val="20"/>
    </w:rPr>
  </w:style>
  <w:style w:type="paragraph" w:customStyle="1" w:styleId="Asuntodelcomentario1">
    <w:name w:val="Asunto del comentario1"/>
    <w:basedOn w:val="Textocomentario1"/>
    <w:pPr>
      <w:spacing w:after="160"/>
      <w:jc w:val="left"/>
    </w:pPr>
    <w:rPr>
      <w:rFonts w:ascii="Calibri" w:hAnsi="Calibri" w:cs="Calibri"/>
      <w:b/>
      <w:bCs/>
      <w:lang w:val="es-MX"/>
    </w:rPr>
  </w:style>
  <w:style w:type="paragraph" w:customStyle="1" w:styleId="ROMANOS">
    <w:name w:val="ROMANOS"/>
    <w:basedOn w:val="Texto"/>
    <w:pPr>
      <w:tabs>
        <w:tab w:val="left" w:pos="720"/>
      </w:tabs>
      <w:ind w:left="720" w:hanging="432"/>
    </w:pPr>
    <w:rPr>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lang w:val="es-MX"/>
    </w:rPr>
  </w:style>
  <w:style w:type="paragraph" w:styleId="Textonotapie">
    <w:name w:val="footnote text"/>
    <w:basedOn w:val="Normal"/>
    <w:pPr>
      <w:suppressLineNumbers/>
      <w:ind w:left="283" w:hanging="283"/>
    </w:pPr>
    <w:rPr>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pPr>
      <w:suppressAutoHyphens w:val="0"/>
      <w:ind w:left="720"/>
    </w:pPr>
    <w:rPr>
      <w:rFonts w:ascii="Times New Roman" w:eastAsia="Times New Roman" w:hAnsi="Times New Roman" w:cs="Times New Roman"/>
      <w:sz w:val="20"/>
      <w:szCs w:val="20"/>
      <w:lang w:val="es-MX"/>
    </w:rPr>
  </w:style>
  <w:style w:type="paragraph" w:customStyle="1" w:styleId="Descripcin1">
    <w:name w:val="Descripción1"/>
    <w:basedOn w:val="Normal"/>
    <w:next w:val="Normal"/>
    <w:pPr>
      <w:suppressAutoHyphens w:val="0"/>
      <w:spacing w:line="240" w:lineRule="auto"/>
    </w:pPr>
    <w:rPr>
      <w:rFonts w:eastAsia="MS Mincho" w:cs="Times New Roman"/>
      <w:b/>
      <w:bCs/>
      <w:smallCaps/>
      <w:color w:val="44546A"/>
      <w:lang w:val="es-MX"/>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Textoindependiente"/>
  </w:style>
  <w:style w:type="paragraph" w:customStyle="1" w:styleId="Descripcin2">
    <w:name w:val="Descripción2"/>
    <w:basedOn w:val="Normal"/>
    <w:pPr>
      <w:spacing w:line="100" w:lineRule="atLeast"/>
    </w:pPr>
    <w:rPr>
      <w:b/>
      <w:bCs/>
      <w:smallCaps/>
      <w:color w:val="44546A"/>
    </w:rPr>
  </w:style>
  <w:style w:type="character" w:styleId="Refdecomentario">
    <w:name w:val="annotation reference"/>
    <w:uiPriority w:val="99"/>
    <w:unhideWhenUsed/>
    <w:rsid w:val="00C75F76"/>
    <w:rPr>
      <w:sz w:val="16"/>
      <w:szCs w:val="16"/>
    </w:rPr>
  </w:style>
  <w:style w:type="paragraph" w:styleId="Textocomentario">
    <w:name w:val="annotation text"/>
    <w:basedOn w:val="Normal"/>
    <w:link w:val="TextocomentarioCar1"/>
    <w:uiPriority w:val="99"/>
    <w:unhideWhenUsed/>
    <w:rsid w:val="00A84183"/>
    <w:rPr>
      <w:sz w:val="20"/>
      <w:szCs w:val="20"/>
    </w:rPr>
  </w:style>
  <w:style w:type="character" w:customStyle="1" w:styleId="TextocomentarioCar1">
    <w:name w:val="Texto comentario Car1"/>
    <w:link w:val="Textocomentario"/>
    <w:uiPriority w:val="99"/>
    <w:rsid w:val="00A84183"/>
    <w:rPr>
      <w:rFonts w:ascii="Calibri" w:eastAsia="SimSun" w:hAnsi="Calibri" w:cs="Tahoma"/>
      <w:lang w:val="es-ES" w:eastAsia="ar-SA"/>
    </w:rPr>
  </w:style>
  <w:style w:type="paragraph" w:styleId="Asuntodelcomentario">
    <w:name w:val="annotation subject"/>
    <w:basedOn w:val="Textocomentario"/>
    <w:next w:val="Textocomentario"/>
    <w:link w:val="AsuntodelcomentarioCar1"/>
    <w:uiPriority w:val="99"/>
    <w:semiHidden/>
    <w:unhideWhenUsed/>
    <w:rsid w:val="00A84183"/>
    <w:rPr>
      <w:b/>
      <w:bCs/>
    </w:rPr>
  </w:style>
  <w:style w:type="character" w:customStyle="1" w:styleId="AsuntodelcomentarioCar1">
    <w:name w:val="Asunto del comentario Car1"/>
    <w:link w:val="Asuntodelcomentario"/>
    <w:uiPriority w:val="99"/>
    <w:semiHidden/>
    <w:rsid w:val="00A84183"/>
    <w:rPr>
      <w:rFonts w:ascii="Calibri" w:eastAsia="SimSun" w:hAnsi="Calibri" w:cs="Tahoma"/>
      <w:b/>
      <w:bCs/>
      <w:lang w:val="es-ES" w:eastAsia="ar-SA"/>
    </w:rPr>
  </w:style>
  <w:style w:type="paragraph" w:styleId="Revisin">
    <w:name w:val="Revision"/>
    <w:hidden/>
    <w:uiPriority w:val="99"/>
    <w:semiHidden/>
    <w:rsid w:val="00B62A65"/>
    <w:rPr>
      <w:rFonts w:ascii="Calibri" w:eastAsia="SimSun" w:hAnsi="Calibri" w:cs="Tahoma"/>
      <w:sz w:val="22"/>
      <w:szCs w:val="22"/>
      <w:lang w:val="es-ES" w:eastAsia="ar-SA"/>
    </w:rPr>
  </w:style>
  <w:style w:type="table" w:styleId="Tablaconcuadrcula">
    <w:name w:val="Table Grid"/>
    <w:basedOn w:val="Tablanormal"/>
    <w:uiPriority w:val="39"/>
    <w:rsid w:val="005D0D92"/>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D0D92"/>
    <w:pPr>
      <w:suppressAutoHyphens w:val="0"/>
      <w:spacing w:line="240" w:lineRule="auto"/>
    </w:pPr>
    <w:rPr>
      <w:rFonts w:eastAsia="MS Mincho" w:cs="Times New Roman"/>
      <w:b/>
      <w:bCs/>
      <w:smallCaps/>
      <w:color w:val="44546A"/>
      <w:lang w:val="es-MX" w:eastAsia="en-US"/>
    </w:rPr>
  </w:style>
  <w:style w:type="table" w:customStyle="1" w:styleId="Tabladecuadrcula4-nfasis11">
    <w:name w:val="Tabla de cuadrícula 4 - Énfasis 11"/>
    <w:basedOn w:val="Tablanormal"/>
    <w:uiPriority w:val="49"/>
    <w:rsid w:val="00945AB2"/>
    <w:rPr>
      <w:rFonts w:asciiTheme="minorHAnsi" w:eastAsiaTheme="minorEastAsia"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C934B6"/>
    <w:rPr>
      <w:color w:val="0563C1" w:themeColor="hyperlink"/>
      <w:u w:val="single"/>
    </w:rPr>
  </w:style>
  <w:style w:type="character" w:customStyle="1" w:styleId="Ttulo2Car">
    <w:name w:val="Título 2 Car"/>
    <w:basedOn w:val="Fuentedeprrafopredeter"/>
    <w:link w:val="Ttulo2"/>
    <w:uiPriority w:val="9"/>
    <w:rsid w:val="00CC4523"/>
    <w:rPr>
      <w:rFonts w:asciiTheme="majorHAnsi" w:eastAsiaTheme="majorEastAsia" w:hAnsiTheme="majorHAnsi" w:cstheme="majorBidi"/>
      <w:color w:val="2E74B5" w:themeColor="accent1" w:themeShade="BF"/>
      <w:sz w:val="26"/>
      <w:szCs w:val="26"/>
      <w:lang w:val="es-ES" w:eastAsia="ar-SA"/>
    </w:rPr>
  </w:style>
  <w:style w:type="paragraph" w:customStyle="1" w:styleId="SUBIN">
    <w:name w:val="SUBIN"/>
    <w:basedOn w:val="Texto"/>
    <w:rsid w:val="00680497"/>
    <w:pPr>
      <w:suppressAutoHyphens w:val="0"/>
      <w:ind w:left="1987" w:hanging="720"/>
    </w:pPr>
    <w:rPr>
      <w:lang w:val="es-MX" w:eastAsia="es-ES"/>
    </w:rPr>
  </w:style>
  <w:style w:type="character" w:customStyle="1" w:styleId="Ttulo4Car">
    <w:name w:val="Título 4 Car"/>
    <w:basedOn w:val="Fuentedeprrafopredeter"/>
    <w:link w:val="Ttulo4"/>
    <w:uiPriority w:val="9"/>
    <w:semiHidden/>
    <w:rsid w:val="00012AA7"/>
    <w:rPr>
      <w:rFonts w:asciiTheme="majorHAnsi" w:eastAsiaTheme="majorEastAsia" w:hAnsiTheme="majorHAnsi" w:cstheme="majorBidi"/>
      <w:i/>
      <w:iCs/>
      <w:color w:val="2E74B5" w:themeColor="accent1" w:themeShade="BF"/>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62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47">
          <w:marLeft w:val="0"/>
          <w:marRight w:val="0"/>
          <w:marTop w:val="0"/>
          <w:marBottom w:val="101"/>
          <w:divBdr>
            <w:top w:val="none" w:sz="0" w:space="0" w:color="auto"/>
            <w:left w:val="none" w:sz="0" w:space="0" w:color="auto"/>
            <w:bottom w:val="none" w:sz="0" w:space="0" w:color="auto"/>
            <w:right w:val="none" w:sz="0" w:space="0" w:color="auto"/>
          </w:divBdr>
        </w:div>
        <w:div w:id="69541775">
          <w:marLeft w:val="720"/>
          <w:marRight w:val="0"/>
          <w:marTop w:val="0"/>
          <w:marBottom w:val="101"/>
          <w:divBdr>
            <w:top w:val="none" w:sz="0" w:space="0" w:color="auto"/>
            <w:left w:val="none" w:sz="0" w:space="0" w:color="auto"/>
            <w:bottom w:val="none" w:sz="0" w:space="0" w:color="auto"/>
            <w:right w:val="none" w:sz="0" w:space="0" w:color="auto"/>
          </w:divBdr>
        </w:div>
        <w:div w:id="1203439211">
          <w:marLeft w:val="720"/>
          <w:marRight w:val="0"/>
          <w:marTop w:val="0"/>
          <w:marBottom w:val="101"/>
          <w:divBdr>
            <w:top w:val="none" w:sz="0" w:space="0" w:color="auto"/>
            <w:left w:val="none" w:sz="0" w:space="0" w:color="auto"/>
            <w:bottom w:val="none" w:sz="0" w:space="0" w:color="auto"/>
            <w:right w:val="none" w:sz="0" w:space="0" w:color="auto"/>
          </w:divBdr>
        </w:div>
        <w:div w:id="770468754">
          <w:marLeft w:val="720"/>
          <w:marRight w:val="0"/>
          <w:marTop w:val="0"/>
          <w:marBottom w:val="101"/>
          <w:divBdr>
            <w:top w:val="none" w:sz="0" w:space="0" w:color="auto"/>
            <w:left w:val="none" w:sz="0" w:space="0" w:color="auto"/>
            <w:bottom w:val="none" w:sz="0" w:space="0" w:color="auto"/>
            <w:right w:val="none" w:sz="0" w:space="0" w:color="auto"/>
          </w:divBdr>
        </w:div>
        <w:div w:id="1592930524">
          <w:marLeft w:val="0"/>
          <w:marRight w:val="0"/>
          <w:marTop w:val="0"/>
          <w:marBottom w:val="101"/>
          <w:divBdr>
            <w:top w:val="none" w:sz="0" w:space="0" w:color="auto"/>
            <w:left w:val="none" w:sz="0" w:space="0" w:color="auto"/>
            <w:bottom w:val="none" w:sz="0" w:space="0" w:color="auto"/>
            <w:right w:val="none" w:sz="0" w:space="0" w:color="auto"/>
          </w:divBdr>
        </w:div>
        <w:div w:id="2008245980">
          <w:marLeft w:val="0"/>
          <w:marRight w:val="0"/>
          <w:marTop w:val="0"/>
          <w:marBottom w:val="101"/>
          <w:divBdr>
            <w:top w:val="none" w:sz="0" w:space="0" w:color="auto"/>
            <w:left w:val="none" w:sz="0" w:space="0" w:color="auto"/>
            <w:bottom w:val="none" w:sz="0" w:space="0" w:color="auto"/>
            <w:right w:val="none" w:sz="0" w:space="0" w:color="auto"/>
          </w:divBdr>
        </w:div>
        <w:div w:id="669454941">
          <w:marLeft w:val="0"/>
          <w:marRight w:val="0"/>
          <w:marTop w:val="0"/>
          <w:marBottom w:val="101"/>
          <w:divBdr>
            <w:top w:val="none" w:sz="0" w:space="0" w:color="auto"/>
            <w:left w:val="none" w:sz="0" w:space="0" w:color="auto"/>
            <w:bottom w:val="none" w:sz="0" w:space="0" w:color="auto"/>
            <w:right w:val="none" w:sz="0" w:space="0" w:color="auto"/>
          </w:divBdr>
        </w:div>
        <w:div w:id="2085028435">
          <w:marLeft w:val="0"/>
          <w:marRight w:val="0"/>
          <w:marTop w:val="0"/>
          <w:marBottom w:val="101"/>
          <w:divBdr>
            <w:top w:val="none" w:sz="0" w:space="0" w:color="auto"/>
            <w:left w:val="none" w:sz="0" w:space="0" w:color="auto"/>
            <w:bottom w:val="none" w:sz="0" w:space="0" w:color="auto"/>
            <w:right w:val="none" w:sz="0" w:space="0" w:color="auto"/>
          </w:divBdr>
        </w:div>
        <w:div w:id="1128360387">
          <w:marLeft w:val="0"/>
          <w:marRight w:val="0"/>
          <w:marTop w:val="0"/>
          <w:marBottom w:val="101"/>
          <w:divBdr>
            <w:top w:val="none" w:sz="0" w:space="0" w:color="auto"/>
            <w:left w:val="none" w:sz="0" w:space="0" w:color="auto"/>
            <w:bottom w:val="none" w:sz="0" w:space="0" w:color="auto"/>
            <w:right w:val="none" w:sz="0" w:space="0" w:color="auto"/>
          </w:divBdr>
        </w:div>
      </w:divsChild>
    </w:div>
    <w:div w:id="365297838">
      <w:bodyDiv w:val="1"/>
      <w:marLeft w:val="0"/>
      <w:marRight w:val="0"/>
      <w:marTop w:val="0"/>
      <w:marBottom w:val="0"/>
      <w:divBdr>
        <w:top w:val="none" w:sz="0" w:space="0" w:color="auto"/>
        <w:left w:val="none" w:sz="0" w:space="0" w:color="auto"/>
        <w:bottom w:val="none" w:sz="0" w:space="0" w:color="auto"/>
        <w:right w:val="none" w:sz="0" w:space="0" w:color="auto"/>
      </w:divBdr>
    </w:div>
    <w:div w:id="504512220">
      <w:bodyDiv w:val="1"/>
      <w:marLeft w:val="0"/>
      <w:marRight w:val="0"/>
      <w:marTop w:val="0"/>
      <w:marBottom w:val="0"/>
      <w:divBdr>
        <w:top w:val="none" w:sz="0" w:space="0" w:color="auto"/>
        <w:left w:val="none" w:sz="0" w:space="0" w:color="auto"/>
        <w:bottom w:val="none" w:sz="0" w:space="0" w:color="auto"/>
        <w:right w:val="none" w:sz="0" w:space="0" w:color="auto"/>
      </w:divBdr>
    </w:div>
    <w:div w:id="516820007">
      <w:bodyDiv w:val="1"/>
      <w:marLeft w:val="0"/>
      <w:marRight w:val="0"/>
      <w:marTop w:val="0"/>
      <w:marBottom w:val="0"/>
      <w:divBdr>
        <w:top w:val="none" w:sz="0" w:space="0" w:color="auto"/>
        <w:left w:val="none" w:sz="0" w:space="0" w:color="auto"/>
        <w:bottom w:val="none" w:sz="0" w:space="0" w:color="auto"/>
        <w:right w:val="none" w:sz="0" w:space="0" w:color="auto"/>
      </w:divBdr>
    </w:div>
    <w:div w:id="614142367">
      <w:bodyDiv w:val="1"/>
      <w:marLeft w:val="0"/>
      <w:marRight w:val="0"/>
      <w:marTop w:val="0"/>
      <w:marBottom w:val="0"/>
      <w:divBdr>
        <w:top w:val="none" w:sz="0" w:space="0" w:color="auto"/>
        <w:left w:val="none" w:sz="0" w:space="0" w:color="auto"/>
        <w:bottom w:val="none" w:sz="0" w:space="0" w:color="auto"/>
        <w:right w:val="none" w:sz="0" w:space="0" w:color="auto"/>
      </w:divBdr>
    </w:div>
    <w:div w:id="632295585">
      <w:bodyDiv w:val="1"/>
      <w:marLeft w:val="0"/>
      <w:marRight w:val="0"/>
      <w:marTop w:val="0"/>
      <w:marBottom w:val="0"/>
      <w:divBdr>
        <w:top w:val="none" w:sz="0" w:space="0" w:color="auto"/>
        <w:left w:val="none" w:sz="0" w:space="0" w:color="auto"/>
        <w:bottom w:val="none" w:sz="0" w:space="0" w:color="auto"/>
        <w:right w:val="none" w:sz="0" w:space="0" w:color="auto"/>
      </w:divBdr>
    </w:div>
    <w:div w:id="1687899926">
      <w:bodyDiv w:val="1"/>
      <w:marLeft w:val="0"/>
      <w:marRight w:val="0"/>
      <w:marTop w:val="0"/>
      <w:marBottom w:val="0"/>
      <w:divBdr>
        <w:top w:val="none" w:sz="0" w:space="0" w:color="auto"/>
        <w:left w:val="none" w:sz="0" w:space="0" w:color="auto"/>
        <w:bottom w:val="none" w:sz="0" w:space="0" w:color="auto"/>
        <w:right w:val="none" w:sz="0" w:space="0" w:color="auto"/>
      </w:divBdr>
    </w:div>
    <w:div w:id="18814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standardsgov/accreditation-bodies-mr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st.gov/standardsgov/accreditation-bodies-mras" TargetMode="External"/><Relationship Id="rId4" Type="http://schemas.openxmlformats.org/officeDocument/2006/relationships/settings" Target="settings.xml"/><Relationship Id="rId9" Type="http://schemas.openxmlformats.org/officeDocument/2006/relationships/hyperlink" Target="https://www.nist.gov/standardsgov/accreditation-bodies-m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695B7BC5-9DFF-41AC-8588-CA363255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1</Pages>
  <Words>6221</Words>
  <Characters>34218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Villalobos Tlatempa</dc:creator>
  <cp:keywords/>
  <cp:lastModifiedBy>Josue Teoyotl Calderon</cp:lastModifiedBy>
  <cp:revision>102</cp:revision>
  <cp:lastPrinted>2021-06-23T01:31:00Z</cp:lastPrinted>
  <dcterms:created xsi:type="dcterms:W3CDTF">2018-01-29T16:44:00Z</dcterms:created>
  <dcterms:modified xsi:type="dcterms:W3CDTF">2021-06-23T01:31:00Z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