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0AAA9" w14:textId="77777777" w:rsidR="007E78CE" w:rsidRPr="00823CC4" w:rsidRDefault="007E78CE" w:rsidP="0027631D">
      <w:pPr>
        <w:pStyle w:val="Ttulo2"/>
        <w:rPr>
          <w:b w:val="0"/>
        </w:rPr>
      </w:pPr>
      <w:r w:rsidRPr="00823CC4">
        <w:t xml:space="preserve">Acuerdo mediante el cual el Pleno del Instituto Federal de Telecomunicaciones establece </w:t>
      </w:r>
      <w:r w:rsidR="00BB67C5">
        <w:t xml:space="preserve">las </w:t>
      </w:r>
      <w:r w:rsidR="003E5D7B">
        <w:t xml:space="preserve">nuevas </w:t>
      </w:r>
      <w:r w:rsidRPr="00823CC4">
        <w:t xml:space="preserve">condiciones </w:t>
      </w:r>
      <w:r w:rsidRPr="0046186C">
        <w:t>técnicas de operación</w:t>
      </w:r>
      <w:r w:rsidR="003E5D7B">
        <w:t xml:space="preserve"> de </w:t>
      </w:r>
      <w:r w:rsidR="003E5D7B" w:rsidRPr="00823CC4">
        <w:t>la banda de frecuencias 240</w:t>
      </w:r>
      <w:bookmarkStart w:id="0" w:name="_GoBack"/>
      <w:bookmarkEnd w:id="0"/>
      <w:r w:rsidR="003E5D7B" w:rsidRPr="00823CC4">
        <w:t>0 - 2483.5 MHz</w:t>
      </w:r>
      <w:r w:rsidR="003E5D7B">
        <w:t xml:space="preserve">, </w:t>
      </w:r>
      <w:r w:rsidR="003E5D7B" w:rsidRPr="00823CC4">
        <w:t>clasifica</w:t>
      </w:r>
      <w:r w:rsidR="003E5D7B">
        <w:t>da</w:t>
      </w:r>
      <w:r w:rsidR="003E5D7B" w:rsidRPr="00823CC4">
        <w:t xml:space="preserve"> como espectro libre</w:t>
      </w:r>
      <w:r w:rsidRPr="00823CC4">
        <w:rPr>
          <w:b w:val="0"/>
        </w:rPr>
        <w:t>.</w:t>
      </w:r>
    </w:p>
    <w:p w14:paraId="675FF3F4" w14:textId="77777777" w:rsidR="007E78CE" w:rsidRPr="0027631D" w:rsidRDefault="007E78CE" w:rsidP="0027631D">
      <w:pPr>
        <w:spacing w:after="0" w:line="23" w:lineRule="atLeast"/>
        <w:contextualSpacing/>
        <w:jc w:val="center"/>
        <w:rPr>
          <w:rFonts w:ascii="Arial" w:hAnsi="Arial" w:cs="Arial"/>
          <w:b/>
          <w:bCs/>
          <w:color w:val="000000"/>
          <w:lang w:eastAsia="es-MX"/>
        </w:rPr>
      </w:pPr>
    </w:p>
    <w:p w14:paraId="671EBA52" w14:textId="77777777" w:rsidR="00697E95" w:rsidRPr="0027631D" w:rsidRDefault="001763B8" w:rsidP="0027631D">
      <w:pPr>
        <w:pStyle w:val="Ttulo3"/>
      </w:pPr>
      <w:r w:rsidRPr="0027631D">
        <w:t>Antecedentes</w:t>
      </w:r>
    </w:p>
    <w:p w14:paraId="20DEBE19" w14:textId="77777777" w:rsidR="00697E95" w:rsidRPr="0027631D" w:rsidRDefault="00697E95" w:rsidP="0027631D">
      <w:pPr>
        <w:spacing w:after="0" w:line="23" w:lineRule="atLeast"/>
        <w:contextualSpacing/>
        <w:jc w:val="center"/>
        <w:rPr>
          <w:rFonts w:ascii="Arial" w:hAnsi="Arial" w:cs="Arial"/>
          <w:b/>
        </w:rPr>
      </w:pPr>
    </w:p>
    <w:p w14:paraId="1C2F848C" w14:textId="788E5CAA" w:rsidR="0071506E" w:rsidRPr="0027631D" w:rsidRDefault="0071506E" w:rsidP="0027631D">
      <w:pPr>
        <w:pStyle w:val="Prrafodelista"/>
        <w:numPr>
          <w:ilvl w:val="0"/>
          <w:numId w:val="1"/>
        </w:numPr>
        <w:suppressAutoHyphens/>
        <w:spacing w:line="23" w:lineRule="atLeast"/>
        <w:ind w:left="0" w:right="49" w:firstLine="0"/>
        <w:contextualSpacing/>
        <w:jc w:val="both"/>
        <w:rPr>
          <w:rFonts w:cs="Arial"/>
          <w:color w:val="000000" w:themeColor="text1"/>
          <w:kern w:val="1"/>
          <w:sz w:val="22"/>
          <w:szCs w:val="22"/>
          <w:lang w:eastAsia="ar-SA"/>
        </w:rPr>
      </w:pPr>
      <w:r w:rsidRPr="0027631D">
        <w:rPr>
          <w:rFonts w:cs="Arial"/>
          <w:color w:val="000000" w:themeColor="text1"/>
          <w:kern w:val="1"/>
          <w:sz w:val="22"/>
          <w:szCs w:val="22"/>
          <w:lang w:eastAsia="ar-SA"/>
        </w:rPr>
        <w:t>El 13 de marzo de 2006</w:t>
      </w:r>
      <w:r w:rsidR="001C112A">
        <w:rPr>
          <w:rFonts w:cs="Arial"/>
          <w:color w:val="000000" w:themeColor="text1"/>
          <w:kern w:val="1"/>
          <w:sz w:val="22"/>
          <w:szCs w:val="22"/>
          <w:lang w:eastAsia="ar-SA"/>
        </w:rPr>
        <w:t>,</w:t>
      </w:r>
      <w:r w:rsidRPr="0027631D">
        <w:rPr>
          <w:rFonts w:cs="Arial"/>
          <w:color w:val="000000" w:themeColor="text1"/>
          <w:kern w:val="1"/>
          <w:sz w:val="22"/>
          <w:szCs w:val="22"/>
          <w:lang w:eastAsia="ar-SA"/>
        </w:rPr>
        <w:t xml:space="preserve"> se publicó en el Diario Oficial de la Federación (</w:t>
      </w:r>
      <w:r w:rsidR="00AE27B2" w:rsidRPr="0027631D">
        <w:rPr>
          <w:rFonts w:cs="Arial"/>
          <w:color w:val="000000" w:themeColor="text1"/>
          <w:kern w:val="1"/>
          <w:sz w:val="22"/>
          <w:szCs w:val="22"/>
          <w:lang w:eastAsia="ar-SA"/>
        </w:rPr>
        <w:t>“</w:t>
      </w:r>
      <w:r w:rsidRPr="0027631D">
        <w:rPr>
          <w:rFonts w:cs="Arial"/>
          <w:color w:val="000000" w:themeColor="text1"/>
          <w:kern w:val="1"/>
          <w:sz w:val="22"/>
          <w:szCs w:val="22"/>
          <w:lang w:eastAsia="ar-SA"/>
        </w:rPr>
        <w:t>DOF</w:t>
      </w:r>
      <w:r w:rsidR="00AE27B2" w:rsidRPr="0027631D">
        <w:rPr>
          <w:rFonts w:cs="Arial"/>
          <w:color w:val="000000" w:themeColor="text1"/>
          <w:kern w:val="1"/>
          <w:sz w:val="22"/>
          <w:szCs w:val="22"/>
          <w:lang w:eastAsia="ar-SA"/>
        </w:rPr>
        <w:t>”</w:t>
      </w:r>
      <w:r w:rsidRPr="0027631D">
        <w:rPr>
          <w:rFonts w:cs="Arial"/>
          <w:color w:val="000000" w:themeColor="text1"/>
          <w:kern w:val="1"/>
          <w:sz w:val="22"/>
          <w:szCs w:val="22"/>
          <w:lang w:eastAsia="ar-SA"/>
        </w:rPr>
        <w:t xml:space="preserve">) el </w:t>
      </w:r>
      <w:r w:rsidR="0017566E" w:rsidRPr="001C112A">
        <w:rPr>
          <w:rFonts w:cs="Arial"/>
          <w:color w:val="000000" w:themeColor="text1"/>
          <w:kern w:val="1"/>
          <w:sz w:val="22"/>
          <w:szCs w:val="22"/>
          <w:lang w:eastAsia="ar-SA"/>
        </w:rPr>
        <w:t>“</w:t>
      </w:r>
      <w:r w:rsidRPr="003117F8">
        <w:rPr>
          <w:rFonts w:cs="Arial"/>
          <w:color w:val="000000" w:themeColor="text1"/>
          <w:kern w:val="1"/>
          <w:sz w:val="22"/>
          <w:szCs w:val="22"/>
          <w:lang w:eastAsia="ar-SA"/>
        </w:rPr>
        <w:t>ACUERDO por el que se establece la política para servicios de banda ancha y otras aplicaciones en las bandas de frecuencias del espectro radioeléctrico 902 a 928 MHz; 2,400 a 2,483.5 MHz; 3,600 a 3</w:t>
      </w:r>
      <w:r w:rsidR="0032502B" w:rsidRPr="003117F8">
        <w:rPr>
          <w:rFonts w:cs="Arial"/>
          <w:color w:val="000000" w:themeColor="text1"/>
          <w:kern w:val="1"/>
          <w:sz w:val="22"/>
          <w:szCs w:val="22"/>
          <w:lang w:eastAsia="ar-SA"/>
        </w:rPr>
        <w:t>,</w:t>
      </w:r>
      <w:r w:rsidRPr="003117F8">
        <w:rPr>
          <w:rFonts w:cs="Arial"/>
          <w:color w:val="000000" w:themeColor="text1"/>
          <w:kern w:val="1"/>
          <w:sz w:val="22"/>
          <w:szCs w:val="22"/>
          <w:lang w:eastAsia="ar-SA"/>
        </w:rPr>
        <w:t>700 MHz; 5,150 a 5,250 MHz; 5,250 a 5,350 MHz; 5,470 a 5,725 MHz y 5,725 a 5,850 MHz</w:t>
      </w:r>
      <w:r w:rsidR="0017566E" w:rsidRPr="003117F8">
        <w:rPr>
          <w:rFonts w:cs="Arial"/>
          <w:color w:val="000000" w:themeColor="text1"/>
          <w:kern w:val="1"/>
          <w:sz w:val="22"/>
          <w:szCs w:val="22"/>
          <w:lang w:eastAsia="ar-SA"/>
        </w:rPr>
        <w:t>”</w:t>
      </w:r>
      <w:r w:rsidR="001178FF">
        <w:rPr>
          <w:rFonts w:cs="Arial"/>
          <w:color w:val="000000" w:themeColor="text1"/>
          <w:kern w:val="1"/>
          <w:sz w:val="22"/>
          <w:szCs w:val="22"/>
          <w:lang w:eastAsia="ar-SA"/>
        </w:rPr>
        <w:t xml:space="preserve"> (“Acuerdo 2006”)</w:t>
      </w:r>
      <w:r w:rsidRPr="0027631D">
        <w:rPr>
          <w:rFonts w:cs="Arial"/>
          <w:color w:val="000000" w:themeColor="text1"/>
          <w:kern w:val="1"/>
          <w:sz w:val="22"/>
          <w:szCs w:val="22"/>
          <w:lang w:eastAsia="ar-SA"/>
        </w:rPr>
        <w:t>,</w:t>
      </w:r>
      <w:r w:rsidR="0008154F" w:rsidRPr="0027631D">
        <w:rPr>
          <w:rFonts w:cs="Arial"/>
          <w:color w:val="000000" w:themeColor="text1"/>
          <w:kern w:val="1"/>
          <w:sz w:val="22"/>
          <w:szCs w:val="22"/>
          <w:lang w:eastAsia="ar-SA"/>
        </w:rPr>
        <w:t xml:space="preserve"> </w:t>
      </w:r>
      <w:r w:rsidR="004845B0" w:rsidRPr="0027631D">
        <w:rPr>
          <w:rFonts w:cs="Arial"/>
          <w:kern w:val="1"/>
          <w:sz w:val="22"/>
          <w:szCs w:val="22"/>
          <w:lang w:eastAsia="ar-SA"/>
        </w:rPr>
        <w:t>el cual entró en vigor el 14 de marzo de 2006.</w:t>
      </w:r>
    </w:p>
    <w:p w14:paraId="65FCC2ED" w14:textId="77777777" w:rsidR="004845B0" w:rsidRPr="0027631D" w:rsidRDefault="004845B0" w:rsidP="0027631D">
      <w:pPr>
        <w:pStyle w:val="Prrafodelista"/>
        <w:suppressAutoHyphens/>
        <w:spacing w:line="23" w:lineRule="atLeast"/>
        <w:ind w:left="0" w:right="49"/>
        <w:contextualSpacing/>
        <w:jc w:val="both"/>
        <w:rPr>
          <w:rFonts w:cs="Arial"/>
          <w:color w:val="000000" w:themeColor="text1"/>
          <w:kern w:val="1"/>
          <w:sz w:val="22"/>
          <w:szCs w:val="22"/>
          <w:lang w:eastAsia="ar-SA"/>
        </w:rPr>
      </w:pPr>
    </w:p>
    <w:p w14:paraId="2CCEF6A9" w14:textId="77777777" w:rsidR="00B366D7" w:rsidRPr="0027631D" w:rsidRDefault="00B366D7" w:rsidP="0027631D">
      <w:pPr>
        <w:pStyle w:val="Prrafodelista"/>
        <w:numPr>
          <w:ilvl w:val="0"/>
          <w:numId w:val="1"/>
        </w:numPr>
        <w:suppressAutoHyphens/>
        <w:spacing w:line="23" w:lineRule="atLeast"/>
        <w:ind w:left="0" w:right="49" w:firstLine="0"/>
        <w:contextualSpacing/>
        <w:jc w:val="both"/>
        <w:rPr>
          <w:rFonts w:cs="Arial"/>
          <w:color w:val="000000" w:themeColor="text1"/>
          <w:kern w:val="1"/>
          <w:sz w:val="22"/>
          <w:szCs w:val="22"/>
          <w:lang w:eastAsia="ar-SA"/>
        </w:rPr>
      </w:pPr>
      <w:r w:rsidRPr="0027631D">
        <w:rPr>
          <w:rFonts w:cs="Arial"/>
          <w:color w:val="000000" w:themeColor="text1"/>
          <w:kern w:val="1"/>
          <w:sz w:val="22"/>
          <w:szCs w:val="22"/>
          <w:lang w:eastAsia="ar-SA"/>
        </w:rPr>
        <w:t>El 11 de junio de 2013</w:t>
      </w:r>
      <w:r w:rsidR="001C112A">
        <w:rPr>
          <w:rFonts w:cs="Arial"/>
          <w:color w:val="000000" w:themeColor="text1"/>
          <w:kern w:val="1"/>
          <w:sz w:val="22"/>
          <w:szCs w:val="22"/>
          <w:lang w:eastAsia="ar-SA"/>
        </w:rPr>
        <w:t>,</w:t>
      </w:r>
      <w:r w:rsidRPr="0027631D">
        <w:rPr>
          <w:rFonts w:cs="Arial"/>
          <w:color w:val="000000" w:themeColor="text1"/>
          <w:kern w:val="1"/>
          <w:sz w:val="22"/>
          <w:szCs w:val="22"/>
          <w:lang w:eastAsia="ar-SA"/>
        </w:rPr>
        <w:t xml:space="preserve"> se publicó en el </w:t>
      </w:r>
      <w:r w:rsidR="0071506E" w:rsidRPr="0027631D">
        <w:rPr>
          <w:rFonts w:cs="Arial"/>
          <w:color w:val="000000" w:themeColor="text1"/>
          <w:kern w:val="1"/>
          <w:sz w:val="22"/>
          <w:szCs w:val="22"/>
          <w:lang w:eastAsia="ar-SA"/>
        </w:rPr>
        <w:t>DOF</w:t>
      </w:r>
      <w:r w:rsidRPr="0027631D">
        <w:rPr>
          <w:rFonts w:cs="Arial"/>
          <w:color w:val="000000" w:themeColor="text1"/>
          <w:kern w:val="1"/>
          <w:sz w:val="22"/>
          <w:szCs w:val="22"/>
          <w:lang w:eastAsia="ar-SA"/>
        </w:rPr>
        <w:t xml:space="preserve"> el </w:t>
      </w:r>
      <w:r w:rsidR="001C112A" w:rsidRPr="001C112A">
        <w:rPr>
          <w:rFonts w:cs="Arial"/>
          <w:color w:val="000000" w:themeColor="text1"/>
          <w:kern w:val="1"/>
          <w:sz w:val="22"/>
          <w:szCs w:val="22"/>
          <w:lang w:eastAsia="ar-SA"/>
        </w:rPr>
        <w:t>“</w:t>
      </w:r>
      <w:r w:rsidRPr="003117F8">
        <w:rPr>
          <w:rFonts w:cs="Arial"/>
          <w:color w:val="000000" w:themeColor="text1"/>
          <w:kern w:val="1"/>
          <w:sz w:val="22"/>
          <w:szCs w:val="22"/>
          <w:lang w:eastAsia="ar-SA"/>
        </w:rPr>
        <w:t>DECRETO por el que se reforman y adicionan diversas disposiciones de los artículos 6o., 7o., 27, 28, 73, 78, 94 y 105 de la Constitución Política de los Estados Unidos Mexicanos, en materia de telecomunicaciones</w:t>
      </w:r>
      <w:r w:rsidR="001C112A">
        <w:rPr>
          <w:rFonts w:cs="Arial"/>
          <w:color w:val="000000" w:themeColor="text1"/>
          <w:kern w:val="1"/>
          <w:sz w:val="22"/>
          <w:szCs w:val="22"/>
          <w:lang w:eastAsia="ar-SA"/>
        </w:rPr>
        <w:t>”</w:t>
      </w:r>
      <w:r w:rsidRPr="001C112A">
        <w:rPr>
          <w:rFonts w:cs="Arial"/>
          <w:color w:val="000000" w:themeColor="text1"/>
          <w:kern w:val="1"/>
          <w:sz w:val="22"/>
          <w:szCs w:val="22"/>
          <w:lang w:eastAsia="ar-SA"/>
        </w:rPr>
        <w:t>,</w:t>
      </w:r>
      <w:r w:rsidRPr="0027631D">
        <w:rPr>
          <w:rFonts w:cs="Arial"/>
          <w:color w:val="000000" w:themeColor="text1"/>
          <w:kern w:val="1"/>
          <w:sz w:val="22"/>
          <w:szCs w:val="22"/>
          <w:lang w:eastAsia="ar-SA"/>
        </w:rPr>
        <w:t xml:space="preserve"> mediante el cual se creó al Instituto Federal de Telecomunicaciones (</w:t>
      </w:r>
      <w:r w:rsidR="00774A4C" w:rsidRPr="0027631D">
        <w:rPr>
          <w:rFonts w:cs="Arial"/>
          <w:color w:val="000000" w:themeColor="text1"/>
          <w:kern w:val="1"/>
          <w:sz w:val="22"/>
          <w:szCs w:val="22"/>
          <w:lang w:eastAsia="ar-SA"/>
        </w:rPr>
        <w:t>“</w:t>
      </w:r>
      <w:r w:rsidRPr="0027631D">
        <w:rPr>
          <w:rFonts w:cs="Arial"/>
          <w:color w:val="000000" w:themeColor="text1"/>
          <w:kern w:val="1"/>
          <w:sz w:val="22"/>
          <w:szCs w:val="22"/>
          <w:lang w:eastAsia="ar-SA"/>
        </w:rPr>
        <w:t>Instituto</w:t>
      </w:r>
      <w:r w:rsidR="00774A4C" w:rsidRPr="0027631D">
        <w:rPr>
          <w:rFonts w:cs="Arial"/>
          <w:color w:val="000000" w:themeColor="text1"/>
          <w:kern w:val="1"/>
          <w:sz w:val="22"/>
          <w:szCs w:val="22"/>
          <w:lang w:eastAsia="ar-SA"/>
        </w:rPr>
        <w:t>”</w:t>
      </w:r>
      <w:r w:rsidRPr="0027631D">
        <w:rPr>
          <w:rFonts w:cs="Arial"/>
          <w:color w:val="000000" w:themeColor="text1"/>
          <w:kern w:val="1"/>
          <w:sz w:val="22"/>
          <w:szCs w:val="22"/>
          <w:lang w:eastAsia="ar-SA"/>
        </w:rPr>
        <w:t>) como un órgano autónomo, con personalidad jurídica y patrimonio propio.</w:t>
      </w:r>
    </w:p>
    <w:p w14:paraId="1AD96ED7" w14:textId="77777777" w:rsidR="00B366D7" w:rsidRPr="0027631D" w:rsidRDefault="00B366D7" w:rsidP="0027631D">
      <w:pPr>
        <w:pStyle w:val="Prrafodelista"/>
        <w:suppressAutoHyphens/>
        <w:spacing w:line="23" w:lineRule="atLeast"/>
        <w:ind w:left="0" w:right="49"/>
        <w:contextualSpacing/>
        <w:jc w:val="both"/>
        <w:rPr>
          <w:rFonts w:cs="Arial"/>
          <w:color w:val="000000" w:themeColor="text1"/>
          <w:kern w:val="1"/>
          <w:sz w:val="22"/>
          <w:szCs w:val="22"/>
          <w:lang w:eastAsia="ar-SA"/>
        </w:rPr>
      </w:pPr>
    </w:p>
    <w:p w14:paraId="227DDF7C" w14:textId="77777777" w:rsidR="00B366D7" w:rsidRPr="0027631D" w:rsidRDefault="00B366D7" w:rsidP="0027631D">
      <w:pPr>
        <w:pStyle w:val="Prrafodelista"/>
        <w:numPr>
          <w:ilvl w:val="0"/>
          <w:numId w:val="1"/>
        </w:numPr>
        <w:suppressAutoHyphens/>
        <w:spacing w:line="23" w:lineRule="atLeast"/>
        <w:ind w:left="0" w:right="49" w:firstLine="0"/>
        <w:contextualSpacing/>
        <w:jc w:val="both"/>
        <w:rPr>
          <w:rFonts w:cs="Arial"/>
          <w:color w:val="000000" w:themeColor="text1"/>
          <w:kern w:val="1"/>
          <w:sz w:val="22"/>
          <w:szCs w:val="22"/>
          <w:lang w:eastAsia="ar-SA"/>
        </w:rPr>
      </w:pPr>
      <w:r w:rsidRPr="0027631D">
        <w:rPr>
          <w:rFonts w:cs="Arial"/>
          <w:color w:val="000000" w:themeColor="text1"/>
          <w:kern w:val="1"/>
          <w:sz w:val="22"/>
          <w:szCs w:val="22"/>
          <w:lang w:eastAsia="ar-SA"/>
        </w:rPr>
        <w:t>El 14 de julio de 2014</w:t>
      </w:r>
      <w:r w:rsidR="001C112A">
        <w:rPr>
          <w:rFonts w:cs="Arial"/>
          <w:color w:val="000000" w:themeColor="text1"/>
          <w:kern w:val="1"/>
          <w:sz w:val="22"/>
          <w:szCs w:val="22"/>
          <w:lang w:eastAsia="ar-SA"/>
        </w:rPr>
        <w:t>,</w:t>
      </w:r>
      <w:r w:rsidRPr="0027631D">
        <w:rPr>
          <w:rFonts w:cs="Arial"/>
          <w:color w:val="000000" w:themeColor="text1"/>
          <w:kern w:val="1"/>
          <w:sz w:val="22"/>
          <w:szCs w:val="22"/>
          <w:lang w:eastAsia="ar-SA"/>
        </w:rPr>
        <w:t xml:space="preserve"> se publicó en el DOF el </w:t>
      </w:r>
      <w:r w:rsidR="001C112A">
        <w:rPr>
          <w:rFonts w:cs="Arial"/>
          <w:color w:val="000000" w:themeColor="text1"/>
          <w:kern w:val="1"/>
          <w:sz w:val="22"/>
          <w:szCs w:val="22"/>
          <w:lang w:eastAsia="ar-SA"/>
        </w:rPr>
        <w:t>“</w:t>
      </w:r>
      <w:r w:rsidRPr="003117F8">
        <w:rPr>
          <w:rFonts w:cs="Arial"/>
          <w:color w:val="000000" w:themeColor="text1"/>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1C112A">
        <w:rPr>
          <w:rFonts w:cs="Arial"/>
          <w:color w:val="000000" w:themeColor="text1"/>
          <w:kern w:val="1"/>
          <w:sz w:val="22"/>
          <w:szCs w:val="22"/>
          <w:lang w:eastAsia="ar-SA"/>
        </w:rPr>
        <w:t>”</w:t>
      </w:r>
      <w:r w:rsidRPr="0027631D">
        <w:rPr>
          <w:rFonts w:cs="Arial"/>
          <w:color w:val="000000" w:themeColor="text1"/>
          <w:kern w:val="1"/>
          <w:sz w:val="22"/>
          <w:szCs w:val="22"/>
          <w:lang w:eastAsia="ar-SA"/>
        </w:rPr>
        <w:t>, entrando en vigor la Ley Federal de Telecomunicaciones y Radiodifusión (</w:t>
      </w:r>
      <w:r w:rsidR="00774A4C" w:rsidRPr="0027631D">
        <w:rPr>
          <w:rFonts w:cs="Arial"/>
          <w:color w:val="000000" w:themeColor="text1"/>
          <w:kern w:val="1"/>
          <w:sz w:val="22"/>
          <w:szCs w:val="22"/>
          <w:lang w:eastAsia="ar-SA"/>
        </w:rPr>
        <w:t>“</w:t>
      </w:r>
      <w:r w:rsidRPr="0027631D">
        <w:rPr>
          <w:rFonts w:cs="Arial"/>
          <w:color w:val="000000" w:themeColor="text1"/>
          <w:kern w:val="1"/>
          <w:sz w:val="22"/>
          <w:szCs w:val="22"/>
          <w:lang w:eastAsia="ar-SA"/>
        </w:rPr>
        <w:t>Ley</w:t>
      </w:r>
      <w:r w:rsidR="00774A4C" w:rsidRPr="0027631D">
        <w:rPr>
          <w:rFonts w:cs="Arial"/>
          <w:color w:val="000000" w:themeColor="text1"/>
          <w:kern w:val="1"/>
          <w:sz w:val="22"/>
          <w:szCs w:val="22"/>
          <w:lang w:eastAsia="ar-SA"/>
        </w:rPr>
        <w:t>”</w:t>
      </w:r>
      <w:r w:rsidRPr="0027631D">
        <w:rPr>
          <w:rFonts w:cs="Arial"/>
          <w:color w:val="000000" w:themeColor="text1"/>
          <w:kern w:val="1"/>
          <w:sz w:val="22"/>
          <w:szCs w:val="22"/>
          <w:lang w:eastAsia="ar-SA"/>
        </w:rPr>
        <w:t>) el 13 de agosto de 2014.</w:t>
      </w:r>
    </w:p>
    <w:p w14:paraId="51F3666C" w14:textId="77777777" w:rsidR="00B366D7" w:rsidRPr="0027631D" w:rsidRDefault="00B366D7" w:rsidP="0027631D">
      <w:pPr>
        <w:pStyle w:val="Prrafodelista"/>
        <w:suppressAutoHyphens/>
        <w:spacing w:line="23" w:lineRule="atLeast"/>
        <w:ind w:left="0" w:right="49"/>
        <w:contextualSpacing/>
        <w:jc w:val="both"/>
        <w:rPr>
          <w:rFonts w:cs="Arial"/>
          <w:color w:val="000000" w:themeColor="text1"/>
          <w:kern w:val="1"/>
          <w:sz w:val="22"/>
          <w:szCs w:val="22"/>
          <w:lang w:eastAsia="ar-SA"/>
        </w:rPr>
      </w:pPr>
    </w:p>
    <w:p w14:paraId="01AD16ED" w14:textId="77777777" w:rsidR="00B366D7" w:rsidRPr="0027631D" w:rsidRDefault="00B366D7" w:rsidP="0027631D">
      <w:pPr>
        <w:pStyle w:val="Prrafodelista"/>
        <w:numPr>
          <w:ilvl w:val="0"/>
          <w:numId w:val="1"/>
        </w:numPr>
        <w:suppressAutoHyphens/>
        <w:spacing w:line="23" w:lineRule="atLeast"/>
        <w:ind w:left="0" w:right="49" w:firstLine="0"/>
        <w:contextualSpacing/>
        <w:jc w:val="both"/>
        <w:rPr>
          <w:rFonts w:cs="Arial"/>
          <w:color w:val="000000" w:themeColor="text1"/>
          <w:kern w:val="1"/>
          <w:sz w:val="22"/>
          <w:szCs w:val="22"/>
          <w:lang w:eastAsia="ar-SA"/>
        </w:rPr>
      </w:pPr>
      <w:r w:rsidRPr="0027631D">
        <w:rPr>
          <w:rFonts w:eastAsia="Calibri" w:cs="Arial"/>
          <w:color w:val="000000" w:themeColor="text1"/>
          <w:sz w:val="22"/>
          <w:szCs w:val="22"/>
          <w:lang w:eastAsia="es-MX"/>
        </w:rPr>
        <w:t>El 4 de septiembre de 2014</w:t>
      </w:r>
      <w:r w:rsidR="001C112A">
        <w:rPr>
          <w:rFonts w:eastAsia="Calibri" w:cs="Arial"/>
          <w:color w:val="000000" w:themeColor="text1"/>
          <w:sz w:val="22"/>
          <w:szCs w:val="22"/>
          <w:lang w:eastAsia="es-MX"/>
        </w:rPr>
        <w:t>,</w:t>
      </w:r>
      <w:r w:rsidRPr="0027631D">
        <w:rPr>
          <w:rFonts w:eastAsia="Calibri" w:cs="Arial"/>
          <w:color w:val="000000" w:themeColor="text1"/>
          <w:sz w:val="22"/>
          <w:szCs w:val="22"/>
          <w:lang w:eastAsia="es-MX"/>
        </w:rPr>
        <w:t xml:space="preserve"> se publicó en el DOF el </w:t>
      </w:r>
      <w:r w:rsidRPr="003117F8">
        <w:rPr>
          <w:rFonts w:eastAsia="Calibri" w:cs="Arial"/>
          <w:color w:val="000000" w:themeColor="text1"/>
          <w:sz w:val="22"/>
          <w:szCs w:val="22"/>
          <w:lang w:eastAsia="es-MX"/>
        </w:rPr>
        <w:t>Estatuto Orgánico del Instituto Federal de Telecomunicaciones</w:t>
      </w:r>
      <w:r w:rsidRPr="001C112A">
        <w:rPr>
          <w:rFonts w:eastAsia="Calibri" w:cs="Arial"/>
          <w:color w:val="000000" w:themeColor="text1"/>
          <w:sz w:val="22"/>
          <w:szCs w:val="22"/>
          <w:lang w:eastAsia="es-MX"/>
        </w:rPr>
        <w:t xml:space="preserve"> </w:t>
      </w:r>
      <w:r w:rsidRPr="0027631D">
        <w:rPr>
          <w:rFonts w:eastAsia="Calibri" w:cs="Arial"/>
          <w:color w:val="000000" w:themeColor="text1"/>
          <w:sz w:val="22"/>
          <w:szCs w:val="22"/>
          <w:lang w:eastAsia="es-MX"/>
        </w:rPr>
        <w:t>(</w:t>
      </w:r>
      <w:r w:rsidR="00774A4C" w:rsidRPr="0027631D">
        <w:rPr>
          <w:rFonts w:eastAsia="Calibri" w:cs="Arial"/>
          <w:color w:val="000000" w:themeColor="text1"/>
          <w:sz w:val="22"/>
          <w:szCs w:val="22"/>
          <w:lang w:eastAsia="es-MX"/>
        </w:rPr>
        <w:t>“</w:t>
      </w:r>
      <w:r w:rsidRPr="0027631D">
        <w:rPr>
          <w:rFonts w:eastAsia="Calibri" w:cs="Arial"/>
          <w:color w:val="000000" w:themeColor="text1"/>
          <w:sz w:val="22"/>
          <w:szCs w:val="22"/>
          <w:lang w:eastAsia="es-MX"/>
        </w:rPr>
        <w:t>Estatuto Orgánico</w:t>
      </w:r>
      <w:r w:rsidR="00774A4C" w:rsidRPr="0027631D">
        <w:rPr>
          <w:rFonts w:eastAsia="Calibri" w:cs="Arial"/>
          <w:color w:val="000000" w:themeColor="text1"/>
          <w:sz w:val="22"/>
          <w:szCs w:val="22"/>
          <w:lang w:eastAsia="es-MX"/>
        </w:rPr>
        <w:t>”</w:t>
      </w:r>
      <w:r w:rsidRPr="0027631D">
        <w:rPr>
          <w:rFonts w:eastAsia="Calibri" w:cs="Arial"/>
          <w:color w:val="000000" w:themeColor="text1"/>
          <w:sz w:val="22"/>
          <w:szCs w:val="22"/>
          <w:lang w:eastAsia="es-MX"/>
        </w:rPr>
        <w:t>), el cual entró en vigor el 26 de septiembre de 2014.</w:t>
      </w:r>
    </w:p>
    <w:p w14:paraId="685545D5" w14:textId="77777777" w:rsidR="00B366D7" w:rsidRPr="0027631D" w:rsidRDefault="00B366D7" w:rsidP="0027631D">
      <w:pPr>
        <w:pStyle w:val="Prrafodelista"/>
        <w:suppressAutoHyphens/>
        <w:spacing w:line="23" w:lineRule="atLeast"/>
        <w:ind w:left="0" w:right="49"/>
        <w:contextualSpacing/>
        <w:jc w:val="both"/>
        <w:rPr>
          <w:rFonts w:cs="Arial"/>
          <w:color w:val="000000" w:themeColor="text1"/>
          <w:kern w:val="1"/>
          <w:sz w:val="22"/>
          <w:szCs w:val="22"/>
          <w:lang w:eastAsia="ar-SA"/>
        </w:rPr>
      </w:pPr>
    </w:p>
    <w:p w14:paraId="2A64DE04" w14:textId="77777777" w:rsidR="00C24CFF" w:rsidRPr="0027631D" w:rsidRDefault="00C24CFF" w:rsidP="0027631D">
      <w:pPr>
        <w:pStyle w:val="Prrafodelista"/>
        <w:numPr>
          <w:ilvl w:val="0"/>
          <w:numId w:val="1"/>
        </w:numPr>
        <w:suppressAutoHyphens/>
        <w:spacing w:line="23" w:lineRule="atLeast"/>
        <w:ind w:left="0" w:right="49" w:firstLine="0"/>
        <w:contextualSpacing/>
        <w:jc w:val="both"/>
        <w:rPr>
          <w:rFonts w:cs="Arial"/>
          <w:color w:val="000000" w:themeColor="text1"/>
          <w:kern w:val="1"/>
          <w:sz w:val="22"/>
          <w:szCs w:val="22"/>
          <w:lang w:eastAsia="ar-SA"/>
        </w:rPr>
      </w:pPr>
      <w:r w:rsidRPr="0027631D">
        <w:rPr>
          <w:rFonts w:cs="Arial"/>
          <w:kern w:val="1"/>
          <w:sz w:val="22"/>
          <w:szCs w:val="22"/>
          <w:lang w:eastAsia="ar-SA"/>
        </w:rPr>
        <w:t>El 20 de octubre de 2015</w:t>
      </w:r>
      <w:r w:rsidR="005116FD">
        <w:rPr>
          <w:rFonts w:cs="Arial"/>
          <w:kern w:val="1"/>
          <w:sz w:val="22"/>
          <w:szCs w:val="22"/>
          <w:lang w:eastAsia="ar-SA"/>
        </w:rPr>
        <w:t>,</w:t>
      </w:r>
      <w:r w:rsidRPr="0027631D">
        <w:rPr>
          <w:rFonts w:cs="Arial"/>
          <w:kern w:val="1"/>
          <w:sz w:val="22"/>
          <w:szCs w:val="22"/>
          <w:lang w:eastAsia="ar-SA"/>
        </w:rPr>
        <w:t xml:space="preserve"> se publicó en el DOF el </w:t>
      </w:r>
      <w:r w:rsidR="005116FD">
        <w:rPr>
          <w:rFonts w:cs="Arial"/>
          <w:kern w:val="1"/>
          <w:sz w:val="22"/>
          <w:szCs w:val="22"/>
          <w:lang w:eastAsia="ar-SA"/>
        </w:rPr>
        <w:t>“</w:t>
      </w:r>
      <w:r w:rsidRPr="003117F8">
        <w:rPr>
          <w:rFonts w:cs="Arial"/>
          <w:kern w:val="1"/>
          <w:sz w:val="22"/>
          <w:szCs w:val="22"/>
          <w:lang w:eastAsia="ar-SA"/>
        </w:rPr>
        <w:t>ACUERDO mediante el cual el Pleno del Instituto Federal de Telecomunicaciones aprueba el Cuadro Nacional de Atribución de Frecuencias</w:t>
      </w:r>
      <w:r w:rsidR="005116FD">
        <w:rPr>
          <w:rFonts w:cs="Arial"/>
          <w:kern w:val="1"/>
          <w:sz w:val="22"/>
          <w:szCs w:val="22"/>
          <w:lang w:eastAsia="ar-SA"/>
        </w:rPr>
        <w:t>”</w:t>
      </w:r>
      <w:r w:rsidRPr="0027631D">
        <w:rPr>
          <w:rFonts w:cs="Arial"/>
          <w:kern w:val="1"/>
          <w:sz w:val="22"/>
          <w:szCs w:val="22"/>
          <w:lang w:eastAsia="ar-SA"/>
        </w:rPr>
        <w:t xml:space="preserve"> </w:t>
      </w:r>
      <w:r w:rsidR="005510E7">
        <w:rPr>
          <w:rFonts w:cs="Arial"/>
          <w:kern w:val="1"/>
          <w:sz w:val="22"/>
          <w:szCs w:val="22"/>
          <w:lang w:eastAsia="ar-SA"/>
        </w:rPr>
        <w:t xml:space="preserve">(“CNAF”), </w:t>
      </w:r>
      <w:r w:rsidRPr="0027631D">
        <w:rPr>
          <w:rFonts w:cs="Arial"/>
          <w:kern w:val="1"/>
          <w:sz w:val="22"/>
          <w:szCs w:val="22"/>
          <w:lang w:eastAsia="ar-SA"/>
        </w:rPr>
        <w:t>el cual entró en vigor el 20 de octubre de 2015 y cuya última actualización fue publica</w:t>
      </w:r>
      <w:r w:rsidR="007312EC" w:rsidRPr="0027631D">
        <w:rPr>
          <w:rFonts w:cs="Arial"/>
          <w:kern w:val="1"/>
          <w:sz w:val="22"/>
          <w:szCs w:val="22"/>
          <w:lang w:eastAsia="ar-SA"/>
        </w:rPr>
        <w:t>da</w:t>
      </w:r>
      <w:r w:rsidRPr="0027631D">
        <w:rPr>
          <w:rFonts w:cs="Arial"/>
          <w:kern w:val="1"/>
          <w:sz w:val="22"/>
          <w:szCs w:val="22"/>
          <w:lang w:eastAsia="ar-SA"/>
        </w:rPr>
        <w:t xml:space="preserve"> en el medio de difusión citado el 1 de octubre de 2018.</w:t>
      </w:r>
    </w:p>
    <w:p w14:paraId="7AA5FD91" w14:textId="77777777" w:rsidR="00B366D7" w:rsidRPr="0027631D" w:rsidRDefault="00B366D7" w:rsidP="0027631D">
      <w:pPr>
        <w:pStyle w:val="Prrafodelista"/>
        <w:suppressAutoHyphens/>
        <w:spacing w:line="23" w:lineRule="atLeast"/>
        <w:ind w:left="0" w:right="49"/>
        <w:contextualSpacing/>
        <w:jc w:val="both"/>
        <w:rPr>
          <w:rFonts w:cs="Arial"/>
          <w:color w:val="000000" w:themeColor="text1"/>
          <w:kern w:val="1"/>
          <w:sz w:val="22"/>
          <w:szCs w:val="22"/>
          <w:lang w:eastAsia="ar-SA"/>
        </w:rPr>
      </w:pPr>
    </w:p>
    <w:p w14:paraId="4CFD93C5" w14:textId="77777777" w:rsidR="00B366D7" w:rsidRPr="0027631D" w:rsidRDefault="0071506E" w:rsidP="0027631D">
      <w:pPr>
        <w:pStyle w:val="Prrafodelista"/>
        <w:numPr>
          <w:ilvl w:val="0"/>
          <w:numId w:val="1"/>
        </w:numPr>
        <w:suppressAutoHyphens/>
        <w:spacing w:line="23" w:lineRule="atLeast"/>
        <w:ind w:left="0" w:right="49" w:firstLine="0"/>
        <w:contextualSpacing/>
        <w:jc w:val="both"/>
        <w:rPr>
          <w:rFonts w:cs="Arial"/>
          <w:color w:val="000000" w:themeColor="text1"/>
          <w:kern w:val="1"/>
          <w:sz w:val="22"/>
          <w:szCs w:val="22"/>
          <w:lang w:eastAsia="ar-SA"/>
        </w:rPr>
      </w:pPr>
      <w:r w:rsidRPr="0027631D">
        <w:rPr>
          <w:rFonts w:cs="Arial"/>
          <w:color w:val="000000" w:themeColor="text1"/>
          <w:kern w:val="1"/>
          <w:sz w:val="22"/>
          <w:szCs w:val="22"/>
          <w:lang w:eastAsia="ar-SA"/>
        </w:rPr>
        <w:t>El 29 de enero de 2020</w:t>
      </w:r>
      <w:r w:rsidR="005116FD">
        <w:rPr>
          <w:rFonts w:cs="Arial"/>
          <w:color w:val="000000" w:themeColor="text1"/>
          <w:kern w:val="1"/>
          <w:sz w:val="22"/>
          <w:szCs w:val="22"/>
          <w:lang w:eastAsia="ar-SA"/>
        </w:rPr>
        <w:t>,</w:t>
      </w:r>
      <w:r w:rsidRPr="0027631D">
        <w:rPr>
          <w:rFonts w:cs="Arial"/>
          <w:color w:val="000000" w:themeColor="text1"/>
          <w:kern w:val="1"/>
          <w:sz w:val="22"/>
          <w:szCs w:val="22"/>
          <w:lang w:eastAsia="ar-SA"/>
        </w:rPr>
        <w:t xml:space="preserve"> </w:t>
      </w:r>
      <w:r w:rsidR="00321063" w:rsidRPr="0027631D">
        <w:rPr>
          <w:rFonts w:cs="Arial"/>
          <w:color w:val="000000" w:themeColor="text1"/>
          <w:kern w:val="1"/>
          <w:sz w:val="22"/>
          <w:szCs w:val="22"/>
          <w:lang w:eastAsia="ar-SA"/>
        </w:rPr>
        <w:t xml:space="preserve">se aprobó el </w:t>
      </w:r>
      <w:r w:rsidR="00DD7F90" w:rsidRPr="003117F8">
        <w:rPr>
          <w:rFonts w:cs="Arial"/>
          <w:color w:val="000000" w:themeColor="text1"/>
          <w:kern w:val="1"/>
          <w:sz w:val="22"/>
          <w:szCs w:val="22"/>
          <w:lang w:eastAsia="ar-SA"/>
        </w:rPr>
        <w:t>“</w:t>
      </w:r>
      <w:r w:rsidR="00321063" w:rsidRPr="003117F8">
        <w:rPr>
          <w:rFonts w:cs="Arial"/>
          <w:color w:val="000000" w:themeColor="text1"/>
          <w:kern w:val="1"/>
          <w:sz w:val="22"/>
          <w:szCs w:val="22"/>
          <w:lang w:eastAsia="ar-SA"/>
        </w:rPr>
        <w:t>Acuerdo mediante el cual el Pleno del Instituto Federal de Telecomunicaciones aprueba el Programa Anual de Trabajo correspondiente al año 2020 que presenta el Comisionado Presidente</w:t>
      </w:r>
      <w:r w:rsidR="00DD7F90" w:rsidRPr="003117F8">
        <w:rPr>
          <w:rFonts w:cs="Arial"/>
          <w:color w:val="000000" w:themeColor="text1"/>
          <w:kern w:val="1"/>
          <w:sz w:val="22"/>
          <w:szCs w:val="22"/>
          <w:lang w:eastAsia="ar-SA"/>
        </w:rPr>
        <w:t>”</w:t>
      </w:r>
      <w:r w:rsidR="00321063" w:rsidRPr="0027631D">
        <w:rPr>
          <w:rFonts w:cs="Arial"/>
          <w:color w:val="000000" w:themeColor="text1"/>
          <w:kern w:val="1"/>
          <w:sz w:val="22"/>
          <w:szCs w:val="22"/>
          <w:lang w:eastAsia="ar-SA"/>
        </w:rPr>
        <w:t xml:space="preserve">, en el que se incluye el proyecto </w:t>
      </w:r>
      <w:r w:rsidR="00321063" w:rsidRPr="005116FD">
        <w:rPr>
          <w:rFonts w:cs="Arial"/>
          <w:color w:val="000000" w:themeColor="text1"/>
          <w:kern w:val="1"/>
          <w:sz w:val="22"/>
          <w:szCs w:val="22"/>
          <w:lang w:eastAsia="ar-SA"/>
        </w:rPr>
        <w:t>“</w:t>
      </w:r>
      <w:r w:rsidR="00321063" w:rsidRPr="003117F8">
        <w:rPr>
          <w:rFonts w:cs="Arial"/>
          <w:color w:val="000000" w:themeColor="text1"/>
          <w:kern w:val="1"/>
          <w:sz w:val="22"/>
          <w:szCs w:val="22"/>
          <w:lang w:eastAsia="ar-SA"/>
        </w:rPr>
        <w:t>Revisión de los parámetros técnicos y de operación de la banda de frecuencias 2.4 GHz, clasificada como espectro libre</w:t>
      </w:r>
      <w:r w:rsidR="00321063" w:rsidRPr="005116FD">
        <w:rPr>
          <w:rFonts w:cs="Arial"/>
          <w:color w:val="000000" w:themeColor="text1"/>
          <w:kern w:val="1"/>
          <w:sz w:val="22"/>
          <w:szCs w:val="22"/>
          <w:lang w:eastAsia="ar-SA"/>
        </w:rPr>
        <w:t>”.</w:t>
      </w:r>
    </w:p>
    <w:p w14:paraId="371ABC37" w14:textId="77777777" w:rsidR="00AA028E" w:rsidRPr="00900BF1" w:rsidRDefault="00AA028E" w:rsidP="00900BF1">
      <w:pPr>
        <w:pStyle w:val="Prrafodelista"/>
        <w:suppressAutoHyphens/>
        <w:spacing w:line="23" w:lineRule="atLeast"/>
        <w:ind w:left="0" w:right="49"/>
        <w:contextualSpacing/>
        <w:jc w:val="both"/>
        <w:rPr>
          <w:rFonts w:cs="Arial"/>
          <w:kern w:val="1"/>
          <w:sz w:val="22"/>
          <w:szCs w:val="22"/>
          <w:lang w:eastAsia="ar-SA"/>
        </w:rPr>
      </w:pPr>
    </w:p>
    <w:p w14:paraId="17B3670B" w14:textId="1C1A2F0D" w:rsidR="00AA028E" w:rsidRPr="0027631D" w:rsidRDefault="00AA028E" w:rsidP="0027631D">
      <w:pPr>
        <w:pStyle w:val="Prrafodelista"/>
        <w:numPr>
          <w:ilvl w:val="0"/>
          <w:numId w:val="1"/>
        </w:numPr>
        <w:suppressAutoHyphens/>
        <w:spacing w:line="23" w:lineRule="atLeast"/>
        <w:ind w:left="0" w:right="49" w:firstLine="0"/>
        <w:contextualSpacing/>
        <w:jc w:val="both"/>
        <w:rPr>
          <w:rFonts w:cs="Arial"/>
          <w:kern w:val="1"/>
          <w:sz w:val="22"/>
          <w:szCs w:val="22"/>
          <w:lang w:eastAsia="ar-SA"/>
        </w:rPr>
      </w:pPr>
      <w:r w:rsidRPr="0027631D">
        <w:rPr>
          <w:rFonts w:cs="Arial"/>
          <w:kern w:val="1"/>
          <w:sz w:val="22"/>
          <w:szCs w:val="22"/>
          <w:lang w:eastAsia="ar-SA"/>
        </w:rPr>
        <w:t xml:space="preserve">El </w:t>
      </w:r>
      <w:r w:rsidR="005105DF">
        <w:rPr>
          <w:rFonts w:cs="Arial"/>
          <w:kern w:val="1"/>
          <w:sz w:val="22"/>
          <w:szCs w:val="22"/>
          <w:lang w:eastAsia="ar-SA"/>
        </w:rPr>
        <w:t>5</w:t>
      </w:r>
      <w:r w:rsidR="005105DF" w:rsidRPr="0027631D">
        <w:rPr>
          <w:rFonts w:cs="Arial"/>
          <w:kern w:val="1"/>
          <w:sz w:val="22"/>
          <w:szCs w:val="22"/>
          <w:lang w:eastAsia="ar-SA"/>
        </w:rPr>
        <w:t xml:space="preserve"> </w:t>
      </w:r>
      <w:r w:rsidRPr="0027631D">
        <w:rPr>
          <w:rFonts w:cs="Arial"/>
          <w:kern w:val="1"/>
          <w:sz w:val="22"/>
          <w:szCs w:val="22"/>
          <w:lang w:eastAsia="ar-SA"/>
        </w:rPr>
        <w:t xml:space="preserve">de </w:t>
      </w:r>
      <w:r w:rsidR="005105DF">
        <w:rPr>
          <w:rFonts w:cs="Arial"/>
          <w:kern w:val="1"/>
          <w:sz w:val="22"/>
          <w:szCs w:val="22"/>
          <w:lang w:eastAsia="ar-SA"/>
        </w:rPr>
        <w:t>agosto</w:t>
      </w:r>
      <w:r w:rsidRPr="0027631D">
        <w:rPr>
          <w:rFonts w:cs="Arial"/>
          <w:kern w:val="1"/>
          <w:sz w:val="22"/>
          <w:szCs w:val="22"/>
          <w:lang w:eastAsia="ar-SA"/>
        </w:rPr>
        <w:t xml:space="preserve"> de 2020, el Pleno del Instituto determinó someter a consulta pública por un per</w:t>
      </w:r>
      <w:r w:rsidR="005116FD">
        <w:rPr>
          <w:rFonts w:cs="Arial"/>
          <w:kern w:val="1"/>
          <w:sz w:val="22"/>
          <w:szCs w:val="22"/>
          <w:lang w:eastAsia="ar-SA"/>
        </w:rPr>
        <w:t>i</w:t>
      </w:r>
      <w:r w:rsidRPr="0027631D">
        <w:rPr>
          <w:rFonts w:cs="Arial"/>
          <w:kern w:val="1"/>
          <w:sz w:val="22"/>
          <w:szCs w:val="22"/>
          <w:lang w:eastAsia="ar-SA"/>
        </w:rPr>
        <w:t xml:space="preserve">odo de 20 días hábiles el </w:t>
      </w:r>
      <w:r w:rsidR="005116FD" w:rsidRPr="005116FD">
        <w:rPr>
          <w:rFonts w:cs="Arial"/>
          <w:kern w:val="1"/>
          <w:sz w:val="22"/>
          <w:szCs w:val="22"/>
          <w:lang w:eastAsia="ar-SA"/>
        </w:rPr>
        <w:t>“</w:t>
      </w:r>
      <w:r w:rsidRPr="003117F8">
        <w:rPr>
          <w:rFonts w:cs="Arial"/>
          <w:kern w:val="2"/>
          <w:sz w:val="22"/>
          <w:szCs w:val="22"/>
          <w:lang w:val="es-ES_tradnl" w:eastAsia="ar-SA"/>
        </w:rPr>
        <w:t xml:space="preserve">Anteproyecto de </w:t>
      </w:r>
      <w:r w:rsidRPr="005116FD">
        <w:rPr>
          <w:rFonts w:cs="Arial"/>
          <w:b/>
          <w:sz w:val="22"/>
          <w:szCs w:val="22"/>
          <w:lang w:val="es-ES_tradnl" w:eastAsia="es-MX"/>
        </w:rPr>
        <w:t>“</w:t>
      </w:r>
      <w:r w:rsidR="007E78CE" w:rsidRPr="003117F8">
        <w:rPr>
          <w:rFonts w:cs="Arial"/>
          <w:kern w:val="1"/>
          <w:sz w:val="22"/>
          <w:szCs w:val="22"/>
          <w:lang w:eastAsia="ar-SA"/>
        </w:rPr>
        <w:t xml:space="preserve">Acuerdo mediante el cual el Pleno del Instituto Federal de Telecomunicaciones establece </w:t>
      </w:r>
      <w:r w:rsidR="00BB67C5" w:rsidRPr="003117F8">
        <w:rPr>
          <w:rFonts w:cs="Arial"/>
          <w:kern w:val="1"/>
          <w:sz w:val="22"/>
          <w:szCs w:val="22"/>
          <w:lang w:eastAsia="ar-SA"/>
        </w:rPr>
        <w:t xml:space="preserve">las </w:t>
      </w:r>
      <w:r w:rsidR="003E5D7B" w:rsidRPr="003117F8">
        <w:rPr>
          <w:rFonts w:cs="Arial"/>
          <w:kern w:val="1"/>
          <w:sz w:val="22"/>
          <w:szCs w:val="22"/>
          <w:lang w:eastAsia="ar-SA"/>
        </w:rPr>
        <w:t xml:space="preserve">nuevas </w:t>
      </w:r>
      <w:r w:rsidR="007E78CE" w:rsidRPr="003117F8">
        <w:rPr>
          <w:rFonts w:cs="Arial"/>
          <w:kern w:val="1"/>
          <w:sz w:val="22"/>
          <w:szCs w:val="22"/>
          <w:lang w:eastAsia="ar-SA"/>
        </w:rPr>
        <w:t>condiciones técnicas de operación</w:t>
      </w:r>
      <w:r w:rsidR="003E5D7B" w:rsidRPr="003117F8">
        <w:rPr>
          <w:rFonts w:cs="Arial"/>
          <w:kern w:val="1"/>
          <w:sz w:val="22"/>
          <w:szCs w:val="22"/>
          <w:lang w:eastAsia="ar-SA"/>
        </w:rPr>
        <w:t xml:space="preserve"> de la banda de frecuencias 2400 - 2483.5 MHz</w:t>
      </w:r>
      <w:r w:rsidR="00D970E6" w:rsidRPr="003117F8">
        <w:rPr>
          <w:rFonts w:cs="Arial"/>
          <w:kern w:val="1"/>
          <w:sz w:val="22"/>
          <w:szCs w:val="22"/>
          <w:lang w:eastAsia="ar-SA"/>
        </w:rPr>
        <w:t>, clasificada</w:t>
      </w:r>
      <w:r w:rsidR="003E5D7B" w:rsidRPr="003117F8">
        <w:rPr>
          <w:rFonts w:cs="Arial"/>
          <w:kern w:val="1"/>
          <w:sz w:val="22"/>
          <w:szCs w:val="22"/>
          <w:lang w:eastAsia="ar-SA"/>
        </w:rPr>
        <w:t xml:space="preserve"> como espectro libre</w:t>
      </w:r>
      <w:r w:rsidRPr="0027631D">
        <w:rPr>
          <w:rFonts w:cs="Arial"/>
          <w:i/>
          <w:kern w:val="2"/>
          <w:sz w:val="22"/>
          <w:szCs w:val="22"/>
          <w:lang w:val="es-ES_tradnl" w:eastAsia="ar-SA"/>
        </w:rPr>
        <w:t>”</w:t>
      </w:r>
      <w:r w:rsidRPr="0027631D">
        <w:rPr>
          <w:rFonts w:cs="Arial"/>
          <w:sz w:val="22"/>
          <w:szCs w:val="22"/>
        </w:rPr>
        <w:t xml:space="preserve">, </w:t>
      </w:r>
      <w:r w:rsidRPr="0027631D">
        <w:rPr>
          <w:rFonts w:cs="Arial"/>
          <w:kern w:val="1"/>
          <w:sz w:val="22"/>
          <w:szCs w:val="22"/>
          <w:lang w:eastAsia="ar-SA"/>
        </w:rPr>
        <w:t>mediante Acuerdo P/IFT/</w:t>
      </w:r>
      <w:r w:rsidR="005105DF">
        <w:rPr>
          <w:rFonts w:cs="Arial"/>
          <w:kern w:val="1"/>
          <w:sz w:val="22"/>
          <w:szCs w:val="22"/>
          <w:lang w:eastAsia="ar-SA"/>
        </w:rPr>
        <w:t>050820</w:t>
      </w:r>
      <w:r w:rsidRPr="0027631D">
        <w:rPr>
          <w:rFonts w:cs="Arial"/>
          <w:kern w:val="1"/>
          <w:sz w:val="22"/>
          <w:szCs w:val="22"/>
          <w:lang w:eastAsia="ar-SA"/>
        </w:rPr>
        <w:t>/</w:t>
      </w:r>
      <w:r w:rsidR="005105DF">
        <w:rPr>
          <w:rFonts w:cs="Arial"/>
          <w:kern w:val="1"/>
          <w:sz w:val="22"/>
          <w:szCs w:val="22"/>
          <w:lang w:eastAsia="ar-SA"/>
        </w:rPr>
        <w:t>19</w:t>
      </w:r>
      <w:r w:rsidR="000A3D7F">
        <w:rPr>
          <w:rFonts w:cs="Arial"/>
          <w:kern w:val="1"/>
          <w:sz w:val="22"/>
          <w:szCs w:val="22"/>
          <w:lang w:eastAsia="ar-SA"/>
        </w:rPr>
        <w:t>1</w:t>
      </w:r>
      <w:r w:rsidRPr="0027631D">
        <w:rPr>
          <w:rFonts w:cs="Arial"/>
          <w:kern w:val="1"/>
          <w:sz w:val="22"/>
          <w:szCs w:val="22"/>
          <w:lang w:eastAsia="ar-SA"/>
        </w:rPr>
        <w:t xml:space="preserve">, aprobado en su </w:t>
      </w:r>
      <w:r w:rsidR="005105DF">
        <w:rPr>
          <w:rFonts w:cs="Arial"/>
          <w:kern w:val="1"/>
          <w:sz w:val="22"/>
          <w:szCs w:val="22"/>
          <w:lang w:eastAsia="ar-SA"/>
        </w:rPr>
        <w:t>XV</w:t>
      </w:r>
      <w:r w:rsidRPr="0027631D">
        <w:rPr>
          <w:rFonts w:cs="Arial"/>
          <w:kern w:val="1"/>
          <w:sz w:val="22"/>
          <w:szCs w:val="22"/>
          <w:lang w:eastAsia="ar-SA"/>
        </w:rPr>
        <w:t xml:space="preserve"> Sesión </w:t>
      </w:r>
      <w:r w:rsidR="005105DF">
        <w:rPr>
          <w:rFonts w:cs="Arial"/>
          <w:kern w:val="1"/>
          <w:sz w:val="22"/>
          <w:szCs w:val="22"/>
          <w:lang w:eastAsia="ar-SA"/>
        </w:rPr>
        <w:t>Ordinaria</w:t>
      </w:r>
      <w:r w:rsidRPr="0027631D">
        <w:rPr>
          <w:rFonts w:cs="Arial"/>
          <w:kern w:val="1"/>
          <w:sz w:val="22"/>
          <w:szCs w:val="22"/>
          <w:lang w:eastAsia="ar-SA"/>
        </w:rPr>
        <w:t xml:space="preserve">, celebrada el </w:t>
      </w:r>
      <w:r w:rsidR="005105DF">
        <w:rPr>
          <w:rFonts w:cs="Arial"/>
          <w:kern w:val="1"/>
          <w:sz w:val="22"/>
          <w:szCs w:val="22"/>
          <w:lang w:eastAsia="ar-SA"/>
        </w:rPr>
        <w:t>5</w:t>
      </w:r>
      <w:r w:rsidRPr="0027631D">
        <w:rPr>
          <w:rFonts w:cs="Arial"/>
          <w:kern w:val="1"/>
          <w:sz w:val="22"/>
          <w:szCs w:val="22"/>
          <w:lang w:eastAsia="ar-SA"/>
        </w:rPr>
        <w:t xml:space="preserve"> de </w:t>
      </w:r>
      <w:r w:rsidR="005105DF">
        <w:rPr>
          <w:rFonts w:cs="Arial"/>
          <w:kern w:val="1"/>
          <w:sz w:val="22"/>
          <w:szCs w:val="22"/>
          <w:lang w:eastAsia="ar-SA"/>
        </w:rPr>
        <w:t>agosto</w:t>
      </w:r>
      <w:r w:rsidRPr="0027631D">
        <w:rPr>
          <w:rFonts w:cs="Arial"/>
          <w:kern w:val="1"/>
          <w:sz w:val="22"/>
          <w:szCs w:val="22"/>
          <w:lang w:eastAsia="ar-SA"/>
        </w:rPr>
        <w:t xml:space="preserve"> de 2020. </w:t>
      </w:r>
    </w:p>
    <w:p w14:paraId="5884DB66" w14:textId="77777777" w:rsidR="00AA028E" w:rsidRPr="0027631D" w:rsidRDefault="00AA028E" w:rsidP="0027631D">
      <w:pPr>
        <w:pStyle w:val="Prrafodelista"/>
        <w:suppressAutoHyphens/>
        <w:spacing w:line="23" w:lineRule="atLeast"/>
        <w:ind w:left="0" w:right="49"/>
        <w:contextualSpacing/>
        <w:jc w:val="both"/>
        <w:rPr>
          <w:rFonts w:cs="Arial"/>
          <w:kern w:val="1"/>
          <w:sz w:val="22"/>
          <w:szCs w:val="22"/>
          <w:lang w:eastAsia="ar-SA"/>
        </w:rPr>
      </w:pPr>
    </w:p>
    <w:p w14:paraId="7BE1C00D" w14:textId="6D31C2DB" w:rsidR="00AA028E" w:rsidRPr="0027631D" w:rsidRDefault="00AA028E" w:rsidP="0027631D">
      <w:pPr>
        <w:pStyle w:val="Prrafodelista"/>
        <w:numPr>
          <w:ilvl w:val="0"/>
          <w:numId w:val="1"/>
        </w:numPr>
        <w:suppressAutoHyphens/>
        <w:spacing w:line="23" w:lineRule="atLeast"/>
        <w:ind w:left="0" w:right="49" w:firstLine="0"/>
        <w:contextualSpacing/>
        <w:jc w:val="both"/>
        <w:rPr>
          <w:rFonts w:cs="Arial"/>
          <w:kern w:val="1"/>
          <w:sz w:val="22"/>
          <w:szCs w:val="22"/>
          <w:lang w:eastAsia="ar-SA"/>
        </w:rPr>
      </w:pPr>
      <w:r w:rsidRPr="0027631D">
        <w:rPr>
          <w:rFonts w:cs="Arial"/>
          <w:kern w:val="1"/>
          <w:sz w:val="22"/>
          <w:szCs w:val="22"/>
          <w:lang w:eastAsia="ar-SA"/>
        </w:rPr>
        <w:t xml:space="preserve">Del </w:t>
      </w:r>
      <w:r w:rsidR="005105DF">
        <w:rPr>
          <w:rFonts w:cs="Arial"/>
          <w:kern w:val="1"/>
          <w:sz w:val="22"/>
          <w:szCs w:val="22"/>
          <w:lang w:eastAsia="ar-SA"/>
        </w:rPr>
        <w:t>10</w:t>
      </w:r>
      <w:r w:rsidRPr="0027631D">
        <w:rPr>
          <w:rFonts w:cs="Arial"/>
          <w:kern w:val="1"/>
          <w:sz w:val="22"/>
          <w:szCs w:val="22"/>
          <w:lang w:eastAsia="ar-SA"/>
        </w:rPr>
        <w:t xml:space="preserve"> de </w:t>
      </w:r>
      <w:r w:rsidR="005105DF">
        <w:rPr>
          <w:rFonts w:cs="Arial"/>
          <w:kern w:val="1"/>
          <w:sz w:val="22"/>
          <w:szCs w:val="22"/>
          <w:lang w:eastAsia="ar-SA"/>
        </w:rPr>
        <w:t>agosto</w:t>
      </w:r>
      <w:r w:rsidRPr="0027631D">
        <w:rPr>
          <w:rFonts w:cs="Arial"/>
          <w:kern w:val="1"/>
          <w:sz w:val="22"/>
          <w:szCs w:val="22"/>
          <w:lang w:eastAsia="ar-SA"/>
        </w:rPr>
        <w:t xml:space="preserve"> al </w:t>
      </w:r>
      <w:r w:rsidR="005105DF">
        <w:rPr>
          <w:rFonts w:cs="Arial"/>
          <w:kern w:val="1"/>
          <w:sz w:val="22"/>
          <w:szCs w:val="22"/>
          <w:lang w:eastAsia="ar-SA"/>
        </w:rPr>
        <w:t>4</w:t>
      </w:r>
      <w:r w:rsidRPr="0027631D">
        <w:rPr>
          <w:rFonts w:cs="Arial"/>
          <w:kern w:val="1"/>
          <w:sz w:val="22"/>
          <w:szCs w:val="22"/>
          <w:lang w:eastAsia="ar-SA"/>
        </w:rPr>
        <w:t xml:space="preserve"> de </w:t>
      </w:r>
      <w:r w:rsidR="002119C5">
        <w:rPr>
          <w:rFonts w:cs="Arial"/>
          <w:kern w:val="1"/>
          <w:sz w:val="22"/>
          <w:szCs w:val="22"/>
          <w:lang w:eastAsia="ar-SA"/>
        </w:rPr>
        <w:t>septiembre</w:t>
      </w:r>
      <w:r w:rsidR="002119C5" w:rsidRPr="0027631D">
        <w:rPr>
          <w:rFonts w:cs="Arial"/>
          <w:kern w:val="1"/>
          <w:sz w:val="22"/>
          <w:szCs w:val="22"/>
          <w:lang w:eastAsia="ar-SA"/>
        </w:rPr>
        <w:t xml:space="preserve"> </w:t>
      </w:r>
      <w:r w:rsidRPr="0027631D">
        <w:rPr>
          <w:rFonts w:cs="Arial"/>
          <w:kern w:val="1"/>
          <w:sz w:val="22"/>
          <w:szCs w:val="22"/>
          <w:lang w:eastAsia="ar-SA"/>
        </w:rPr>
        <w:t xml:space="preserve">de </w:t>
      </w:r>
      <w:r w:rsidR="00025932">
        <w:rPr>
          <w:rFonts w:cs="Arial"/>
          <w:kern w:val="1"/>
          <w:sz w:val="22"/>
          <w:szCs w:val="22"/>
          <w:lang w:eastAsia="ar-SA"/>
        </w:rPr>
        <w:t>2020</w:t>
      </w:r>
      <w:r w:rsidRPr="0027631D">
        <w:rPr>
          <w:rFonts w:cs="Arial"/>
          <w:kern w:val="1"/>
          <w:sz w:val="22"/>
          <w:szCs w:val="22"/>
          <w:lang w:eastAsia="ar-SA"/>
        </w:rPr>
        <w:t xml:space="preserve"> se llevó a cabo el proceso de consulta pública, respecto del </w:t>
      </w:r>
      <w:r w:rsidRPr="003117F8">
        <w:rPr>
          <w:rFonts w:cs="Arial"/>
          <w:kern w:val="2"/>
          <w:sz w:val="22"/>
          <w:szCs w:val="22"/>
          <w:lang w:val="es-ES_tradnl" w:eastAsia="ar-SA"/>
        </w:rPr>
        <w:t>Anteproyecto</w:t>
      </w:r>
      <w:r w:rsidR="002119C5">
        <w:rPr>
          <w:rFonts w:cs="Arial"/>
          <w:kern w:val="2"/>
          <w:sz w:val="22"/>
          <w:szCs w:val="22"/>
          <w:lang w:val="es-ES_tradnl" w:eastAsia="ar-SA"/>
        </w:rPr>
        <w:t xml:space="preserve"> de</w:t>
      </w:r>
      <w:r w:rsidRPr="003117F8">
        <w:rPr>
          <w:rFonts w:cs="Arial"/>
          <w:kern w:val="2"/>
          <w:sz w:val="22"/>
          <w:szCs w:val="22"/>
          <w:lang w:val="es-ES_tradnl" w:eastAsia="ar-SA"/>
        </w:rPr>
        <w:t xml:space="preserve"> </w:t>
      </w:r>
      <w:r w:rsidRPr="005116FD">
        <w:rPr>
          <w:rFonts w:cs="Arial"/>
          <w:b/>
          <w:sz w:val="22"/>
          <w:szCs w:val="22"/>
          <w:lang w:val="es-ES_tradnl" w:eastAsia="es-MX"/>
        </w:rPr>
        <w:t>“</w:t>
      </w:r>
      <w:r w:rsidR="00B75CD3" w:rsidRPr="003117F8">
        <w:rPr>
          <w:rFonts w:cs="Arial"/>
          <w:kern w:val="1"/>
          <w:sz w:val="22"/>
          <w:szCs w:val="22"/>
          <w:lang w:eastAsia="ar-SA"/>
        </w:rPr>
        <w:t xml:space="preserve">Acuerdo mediante el cual el Pleno del Instituto Federal </w:t>
      </w:r>
      <w:r w:rsidR="00B75CD3" w:rsidRPr="003117F8">
        <w:rPr>
          <w:rFonts w:cs="Arial"/>
          <w:kern w:val="1"/>
          <w:sz w:val="22"/>
          <w:szCs w:val="22"/>
          <w:lang w:eastAsia="ar-SA"/>
        </w:rPr>
        <w:lastRenderedPageBreak/>
        <w:t xml:space="preserve">de Telecomunicaciones </w:t>
      </w:r>
      <w:r w:rsidR="003641AF" w:rsidRPr="003117F8">
        <w:rPr>
          <w:rFonts w:cs="Arial"/>
          <w:kern w:val="1"/>
          <w:sz w:val="22"/>
          <w:szCs w:val="22"/>
          <w:lang w:eastAsia="ar-SA"/>
        </w:rPr>
        <w:t>establece las nuevas condiciones técnicas de operación de la banda de frecuencias 2400 - 2483.5 MHz, clasificada como espectro libre</w:t>
      </w:r>
      <w:r w:rsidRPr="003117F8">
        <w:rPr>
          <w:rFonts w:cs="Arial"/>
          <w:kern w:val="2"/>
          <w:sz w:val="22"/>
          <w:szCs w:val="22"/>
          <w:lang w:val="es-ES_tradnl" w:eastAsia="ar-SA"/>
        </w:rPr>
        <w:t>”</w:t>
      </w:r>
      <w:r w:rsidRPr="0027631D">
        <w:rPr>
          <w:rFonts w:cs="Arial"/>
          <w:sz w:val="22"/>
          <w:szCs w:val="22"/>
        </w:rPr>
        <w:t xml:space="preserve">, </w:t>
      </w:r>
      <w:r w:rsidRPr="0027631D">
        <w:rPr>
          <w:rFonts w:cs="Arial"/>
          <w:kern w:val="1"/>
          <w:sz w:val="22"/>
          <w:szCs w:val="22"/>
          <w:lang w:eastAsia="ar-SA"/>
        </w:rPr>
        <w:t>con el objeto de transparentar y dar a conocer la propuesta regulatoria del Instituto.</w:t>
      </w:r>
    </w:p>
    <w:p w14:paraId="1E91B76C" w14:textId="77777777" w:rsidR="00AA028E" w:rsidRPr="0027631D" w:rsidRDefault="00AA028E" w:rsidP="0027631D">
      <w:pPr>
        <w:pStyle w:val="Prrafodelista"/>
        <w:suppressAutoHyphens/>
        <w:spacing w:line="23" w:lineRule="atLeast"/>
        <w:ind w:left="0" w:right="49"/>
        <w:contextualSpacing/>
        <w:jc w:val="both"/>
        <w:rPr>
          <w:rFonts w:cs="Arial"/>
          <w:kern w:val="1"/>
          <w:sz w:val="22"/>
          <w:szCs w:val="22"/>
          <w:lang w:eastAsia="ar-SA"/>
        </w:rPr>
      </w:pPr>
    </w:p>
    <w:p w14:paraId="57367815" w14:textId="5DDF2451" w:rsidR="00AA028E" w:rsidRPr="0027631D" w:rsidRDefault="00AA028E" w:rsidP="0027631D">
      <w:pPr>
        <w:pStyle w:val="Prrafodelista"/>
        <w:suppressAutoHyphens/>
        <w:spacing w:line="23" w:lineRule="atLeast"/>
        <w:ind w:left="0" w:right="49"/>
        <w:contextualSpacing/>
        <w:jc w:val="both"/>
        <w:rPr>
          <w:rFonts w:cs="Arial"/>
          <w:kern w:val="1"/>
          <w:sz w:val="22"/>
          <w:szCs w:val="22"/>
          <w:lang w:eastAsia="ar-SA"/>
        </w:rPr>
      </w:pPr>
      <w:r w:rsidRPr="0027631D">
        <w:rPr>
          <w:rFonts w:cs="Arial"/>
          <w:kern w:val="1"/>
          <w:sz w:val="22"/>
          <w:szCs w:val="22"/>
          <w:lang w:eastAsia="ar-SA"/>
        </w:rPr>
        <w:t>Durante dicho per</w:t>
      </w:r>
      <w:r w:rsidR="005116FD">
        <w:rPr>
          <w:rFonts w:cs="Arial"/>
          <w:kern w:val="1"/>
          <w:sz w:val="22"/>
          <w:szCs w:val="22"/>
          <w:lang w:eastAsia="ar-SA"/>
        </w:rPr>
        <w:t>i</w:t>
      </w:r>
      <w:r w:rsidRPr="0027631D">
        <w:rPr>
          <w:rFonts w:cs="Arial"/>
          <w:kern w:val="1"/>
          <w:sz w:val="22"/>
          <w:szCs w:val="22"/>
          <w:lang w:eastAsia="ar-SA"/>
        </w:rPr>
        <w:t xml:space="preserve">odo fueron recibidos </w:t>
      </w:r>
      <w:r w:rsidR="005105DF">
        <w:rPr>
          <w:rFonts w:cs="Arial"/>
          <w:kern w:val="1"/>
          <w:sz w:val="22"/>
          <w:szCs w:val="22"/>
          <w:lang w:eastAsia="ar-SA"/>
        </w:rPr>
        <w:t>7</w:t>
      </w:r>
      <w:r w:rsidRPr="0027631D">
        <w:rPr>
          <w:rFonts w:cs="Arial"/>
          <w:kern w:val="1"/>
          <w:sz w:val="22"/>
          <w:szCs w:val="22"/>
          <w:lang w:eastAsia="ar-SA"/>
        </w:rPr>
        <w:t xml:space="preserve"> escritos con comentarios, información, opiniones, aportaciones </w:t>
      </w:r>
      <w:r w:rsidR="005116FD">
        <w:rPr>
          <w:rFonts w:cs="Arial"/>
          <w:kern w:val="1"/>
          <w:sz w:val="22"/>
          <w:szCs w:val="22"/>
          <w:lang w:eastAsia="ar-SA"/>
        </w:rPr>
        <w:t>y</w:t>
      </w:r>
      <w:r w:rsidRPr="0027631D">
        <w:rPr>
          <w:rFonts w:cs="Arial"/>
          <w:kern w:val="1"/>
          <w:sz w:val="22"/>
          <w:szCs w:val="22"/>
          <w:lang w:eastAsia="ar-SA"/>
        </w:rPr>
        <w:t xml:space="preserve"> otros elementos de análisis, mismos que fueron analizados y tomados en consideración en la elaboración de la presente disposición administrativa de carácter general.</w:t>
      </w:r>
    </w:p>
    <w:p w14:paraId="5FA9B344" w14:textId="77777777" w:rsidR="00AA028E" w:rsidRPr="0027631D" w:rsidRDefault="00AA028E" w:rsidP="0027631D">
      <w:pPr>
        <w:pStyle w:val="Prrafodelista"/>
        <w:suppressAutoHyphens/>
        <w:spacing w:line="23" w:lineRule="atLeast"/>
        <w:ind w:left="0" w:right="49"/>
        <w:contextualSpacing/>
        <w:jc w:val="both"/>
        <w:rPr>
          <w:rFonts w:cs="Arial"/>
          <w:kern w:val="1"/>
          <w:sz w:val="22"/>
          <w:szCs w:val="22"/>
          <w:lang w:eastAsia="ar-SA"/>
        </w:rPr>
      </w:pPr>
    </w:p>
    <w:p w14:paraId="0C4F184A" w14:textId="77777777" w:rsidR="00AA028E" w:rsidRPr="0027631D" w:rsidRDefault="00AA028E" w:rsidP="0027631D">
      <w:pPr>
        <w:pStyle w:val="Prrafodelista"/>
        <w:numPr>
          <w:ilvl w:val="0"/>
          <w:numId w:val="1"/>
        </w:numPr>
        <w:suppressAutoHyphens/>
        <w:spacing w:line="23" w:lineRule="atLeast"/>
        <w:ind w:left="0" w:right="49" w:firstLine="0"/>
        <w:contextualSpacing/>
        <w:jc w:val="both"/>
        <w:rPr>
          <w:rFonts w:cs="Arial"/>
          <w:kern w:val="1"/>
          <w:sz w:val="22"/>
          <w:szCs w:val="22"/>
          <w:lang w:eastAsia="ar-SA"/>
        </w:rPr>
      </w:pPr>
      <w:r w:rsidRPr="0027631D">
        <w:rPr>
          <w:rFonts w:cs="Arial"/>
          <w:kern w:val="1"/>
          <w:sz w:val="22"/>
          <w:szCs w:val="22"/>
          <w:lang w:eastAsia="ar-SA"/>
        </w:rPr>
        <w:t>Mediante oficio IFT/222/UER/</w:t>
      </w:r>
      <w:r w:rsidR="005E2FAB">
        <w:rPr>
          <w:rFonts w:cs="Arial"/>
          <w:kern w:val="1"/>
          <w:sz w:val="22"/>
          <w:szCs w:val="22"/>
          <w:lang w:eastAsia="ar-SA"/>
        </w:rPr>
        <w:t>109</w:t>
      </w:r>
      <w:r w:rsidRPr="0027631D">
        <w:rPr>
          <w:rFonts w:cs="Arial"/>
          <w:kern w:val="1"/>
          <w:sz w:val="22"/>
          <w:szCs w:val="22"/>
          <w:lang w:eastAsia="ar-SA"/>
        </w:rPr>
        <w:t>/</w:t>
      </w:r>
      <w:r w:rsidR="005E2FAB">
        <w:rPr>
          <w:rFonts w:cs="Arial"/>
          <w:kern w:val="1"/>
          <w:sz w:val="22"/>
          <w:szCs w:val="22"/>
          <w:lang w:eastAsia="ar-SA"/>
        </w:rPr>
        <w:t>2020</w:t>
      </w:r>
      <w:r w:rsidRPr="0027631D">
        <w:rPr>
          <w:rFonts w:cs="Arial"/>
          <w:kern w:val="1"/>
          <w:sz w:val="22"/>
          <w:szCs w:val="22"/>
          <w:lang w:eastAsia="ar-SA"/>
        </w:rPr>
        <w:t xml:space="preserve">, de fecha </w:t>
      </w:r>
      <w:r w:rsidR="005E2FAB">
        <w:rPr>
          <w:rFonts w:cs="Arial"/>
          <w:kern w:val="1"/>
          <w:sz w:val="22"/>
          <w:szCs w:val="22"/>
          <w:lang w:eastAsia="ar-SA"/>
        </w:rPr>
        <w:t>09</w:t>
      </w:r>
      <w:r w:rsidRPr="0027631D">
        <w:rPr>
          <w:rFonts w:cs="Arial"/>
          <w:kern w:val="1"/>
          <w:sz w:val="22"/>
          <w:szCs w:val="22"/>
          <w:lang w:eastAsia="ar-SA"/>
        </w:rPr>
        <w:t xml:space="preserve"> de </w:t>
      </w:r>
      <w:r w:rsidR="005E2FAB">
        <w:rPr>
          <w:rFonts w:cs="Arial"/>
          <w:kern w:val="1"/>
          <w:sz w:val="22"/>
          <w:szCs w:val="22"/>
          <w:lang w:eastAsia="ar-SA"/>
        </w:rPr>
        <w:t xml:space="preserve">noviembre </w:t>
      </w:r>
      <w:r w:rsidRPr="0027631D">
        <w:rPr>
          <w:rFonts w:cs="Arial"/>
          <w:kern w:val="1"/>
          <w:sz w:val="22"/>
          <w:szCs w:val="22"/>
          <w:lang w:eastAsia="ar-SA"/>
        </w:rPr>
        <w:t xml:space="preserve">de </w:t>
      </w:r>
      <w:r w:rsidR="005E2FAB">
        <w:rPr>
          <w:rFonts w:cs="Arial"/>
          <w:kern w:val="1"/>
          <w:sz w:val="22"/>
          <w:szCs w:val="22"/>
          <w:lang w:eastAsia="ar-SA"/>
        </w:rPr>
        <w:t>2020</w:t>
      </w:r>
      <w:r w:rsidRPr="0027631D">
        <w:rPr>
          <w:rFonts w:cs="Arial"/>
          <w:kern w:val="1"/>
          <w:sz w:val="22"/>
          <w:szCs w:val="22"/>
          <w:lang w:eastAsia="ar-SA"/>
        </w:rPr>
        <w:t xml:space="preserve">, la Unidad de Espectro Radioeléctrico (UER) remitió a la Coordinación General de Mejora Regulatoria (CGMR) de este Instituto, el Análisis de Impacto Regulatorio respecto al </w:t>
      </w:r>
      <w:r w:rsidRPr="003117F8">
        <w:rPr>
          <w:rFonts w:cs="Arial"/>
          <w:kern w:val="2"/>
          <w:sz w:val="22"/>
          <w:szCs w:val="22"/>
          <w:lang w:val="es-ES_tradnl" w:eastAsia="ar-SA"/>
        </w:rPr>
        <w:t xml:space="preserve">Anteproyecto de </w:t>
      </w:r>
      <w:r w:rsidRPr="005116FD">
        <w:rPr>
          <w:rFonts w:cs="Arial"/>
          <w:b/>
          <w:sz w:val="22"/>
          <w:szCs w:val="22"/>
          <w:lang w:val="es-ES_tradnl" w:eastAsia="es-MX"/>
        </w:rPr>
        <w:t>“</w:t>
      </w:r>
      <w:r w:rsidR="00B75CD3" w:rsidRPr="003117F8">
        <w:rPr>
          <w:rFonts w:cs="Arial"/>
          <w:kern w:val="1"/>
          <w:sz w:val="22"/>
          <w:szCs w:val="22"/>
          <w:lang w:eastAsia="ar-SA"/>
        </w:rPr>
        <w:t xml:space="preserve">Acuerdo mediante el cual el Pleno del Instituto Federal de Telecomunicaciones </w:t>
      </w:r>
      <w:r w:rsidR="003641AF" w:rsidRPr="003117F8">
        <w:rPr>
          <w:rFonts w:cs="Arial"/>
          <w:kern w:val="1"/>
          <w:sz w:val="22"/>
          <w:szCs w:val="22"/>
          <w:lang w:eastAsia="ar-SA"/>
        </w:rPr>
        <w:t>establece las nuevas condiciones técnicas de operación de la banda de frecuencias 2400 - 2483.5 MHz, clasificada como espectro libre</w:t>
      </w:r>
      <w:r w:rsidRPr="003117F8">
        <w:rPr>
          <w:rFonts w:cs="Arial"/>
          <w:kern w:val="2"/>
          <w:sz w:val="22"/>
          <w:szCs w:val="22"/>
          <w:lang w:val="es-ES_tradnl" w:eastAsia="ar-SA"/>
        </w:rPr>
        <w:t>”</w:t>
      </w:r>
      <w:r w:rsidRPr="0027631D">
        <w:rPr>
          <w:rFonts w:cs="Arial"/>
          <w:kern w:val="1"/>
          <w:sz w:val="22"/>
          <w:szCs w:val="22"/>
          <w:lang w:eastAsia="ar-SA"/>
        </w:rPr>
        <w:t>, para que la CGMR emitiera su opinión no vinculante, con relación a dicho documento.</w:t>
      </w:r>
    </w:p>
    <w:p w14:paraId="51638787" w14:textId="77777777" w:rsidR="00AA028E" w:rsidRPr="0027631D" w:rsidRDefault="00AA028E" w:rsidP="0027631D">
      <w:pPr>
        <w:pStyle w:val="Prrafodelista"/>
        <w:suppressAutoHyphens/>
        <w:spacing w:line="23" w:lineRule="atLeast"/>
        <w:ind w:left="0" w:right="49"/>
        <w:contextualSpacing/>
        <w:jc w:val="both"/>
        <w:rPr>
          <w:rFonts w:cs="Arial"/>
          <w:kern w:val="1"/>
          <w:sz w:val="22"/>
          <w:szCs w:val="22"/>
          <w:lang w:eastAsia="ar-SA"/>
        </w:rPr>
      </w:pPr>
    </w:p>
    <w:p w14:paraId="72532C2B" w14:textId="2CED5B68" w:rsidR="00AA028E" w:rsidRPr="005116FD" w:rsidRDefault="00AA028E" w:rsidP="0027631D">
      <w:pPr>
        <w:pStyle w:val="Prrafodelista"/>
        <w:numPr>
          <w:ilvl w:val="0"/>
          <w:numId w:val="1"/>
        </w:numPr>
        <w:suppressAutoHyphens/>
        <w:spacing w:line="23" w:lineRule="atLeast"/>
        <w:ind w:left="0" w:right="49" w:firstLine="0"/>
        <w:contextualSpacing/>
        <w:jc w:val="both"/>
        <w:rPr>
          <w:rFonts w:cs="Arial"/>
          <w:kern w:val="1"/>
          <w:sz w:val="22"/>
          <w:szCs w:val="22"/>
          <w:lang w:eastAsia="ar-SA"/>
        </w:rPr>
      </w:pPr>
      <w:r w:rsidRPr="0027631D">
        <w:rPr>
          <w:rFonts w:cs="Arial"/>
          <w:kern w:val="1"/>
          <w:sz w:val="22"/>
          <w:szCs w:val="22"/>
          <w:lang w:eastAsia="ar-SA"/>
        </w:rPr>
        <w:t xml:space="preserve">Con </w:t>
      </w:r>
      <w:r w:rsidRPr="0027631D">
        <w:rPr>
          <w:rFonts w:cs="Arial"/>
          <w:sz w:val="22"/>
          <w:szCs w:val="22"/>
        </w:rPr>
        <w:t>oficio</w:t>
      </w:r>
      <w:r w:rsidRPr="0027631D">
        <w:rPr>
          <w:rFonts w:cs="Arial"/>
          <w:kern w:val="1"/>
          <w:sz w:val="22"/>
          <w:szCs w:val="22"/>
          <w:lang w:eastAsia="ar-SA"/>
        </w:rPr>
        <w:t xml:space="preserve"> IFT/211/CGMR/</w:t>
      </w:r>
      <w:r w:rsidR="009A6B22">
        <w:rPr>
          <w:rFonts w:cs="Arial"/>
          <w:kern w:val="1"/>
          <w:sz w:val="22"/>
          <w:szCs w:val="22"/>
          <w:lang w:eastAsia="ar-SA"/>
        </w:rPr>
        <w:t>476</w:t>
      </w:r>
      <w:r w:rsidRPr="0027631D">
        <w:rPr>
          <w:rFonts w:cs="Arial"/>
          <w:kern w:val="1"/>
          <w:sz w:val="22"/>
          <w:szCs w:val="22"/>
          <w:lang w:eastAsia="ar-SA"/>
        </w:rPr>
        <w:t>/</w:t>
      </w:r>
      <w:r w:rsidR="009A6B22">
        <w:rPr>
          <w:rFonts w:cs="Arial"/>
          <w:kern w:val="1"/>
          <w:sz w:val="22"/>
          <w:szCs w:val="22"/>
          <w:lang w:eastAsia="ar-SA"/>
        </w:rPr>
        <w:t>2020</w:t>
      </w:r>
      <w:r w:rsidRPr="0027631D">
        <w:rPr>
          <w:rFonts w:cs="Arial"/>
          <w:kern w:val="1"/>
          <w:sz w:val="22"/>
          <w:szCs w:val="22"/>
          <w:lang w:eastAsia="ar-SA"/>
        </w:rPr>
        <w:t xml:space="preserve">, de fecha </w:t>
      </w:r>
      <w:r w:rsidR="009A6B22">
        <w:rPr>
          <w:rFonts w:cs="Arial"/>
          <w:kern w:val="1"/>
          <w:sz w:val="22"/>
          <w:szCs w:val="22"/>
          <w:lang w:eastAsia="ar-SA"/>
        </w:rPr>
        <w:t>23</w:t>
      </w:r>
      <w:r w:rsidR="009A6B22" w:rsidRPr="0027631D">
        <w:rPr>
          <w:rFonts w:cs="Arial"/>
          <w:kern w:val="1"/>
          <w:sz w:val="22"/>
          <w:szCs w:val="22"/>
          <w:lang w:eastAsia="ar-SA"/>
        </w:rPr>
        <w:t xml:space="preserve"> </w:t>
      </w:r>
      <w:r w:rsidRPr="0027631D">
        <w:rPr>
          <w:rFonts w:cs="Arial"/>
          <w:kern w:val="1"/>
          <w:sz w:val="22"/>
          <w:szCs w:val="22"/>
          <w:lang w:eastAsia="ar-SA"/>
        </w:rPr>
        <w:t xml:space="preserve">de </w:t>
      </w:r>
      <w:r w:rsidR="009A6B22">
        <w:rPr>
          <w:rFonts w:cs="Arial"/>
          <w:kern w:val="1"/>
          <w:sz w:val="22"/>
          <w:szCs w:val="22"/>
          <w:lang w:eastAsia="ar-SA"/>
        </w:rPr>
        <w:t>noviembre</w:t>
      </w:r>
      <w:r w:rsidR="009A6B22" w:rsidRPr="0027631D">
        <w:rPr>
          <w:rFonts w:cs="Arial"/>
          <w:kern w:val="1"/>
          <w:sz w:val="22"/>
          <w:szCs w:val="22"/>
          <w:lang w:eastAsia="ar-SA"/>
        </w:rPr>
        <w:t xml:space="preserve"> </w:t>
      </w:r>
      <w:r w:rsidRPr="0027631D">
        <w:rPr>
          <w:rFonts w:cs="Arial"/>
          <w:kern w:val="1"/>
          <w:sz w:val="22"/>
          <w:szCs w:val="22"/>
          <w:lang w:eastAsia="ar-SA"/>
        </w:rPr>
        <w:t xml:space="preserve">de </w:t>
      </w:r>
      <w:r w:rsidR="009A6B22">
        <w:rPr>
          <w:rFonts w:cs="Arial"/>
          <w:kern w:val="1"/>
          <w:sz w:val="22"/>
          <w:szCs w:val="22"/>
          <w:lang w:eastAsia="ar-SA"/>
        </w:rPr>
        <w:t>2020</w:t>
      </w:r>
      <w:r w:rsidR="009A6B22" w:rsidRPr="0027631D">
        <w:rPr>
          <w:rFonts w:cs="Arial"/>
          <w:kern w:val="1"/>
          <w:sz w:val="22"/>
          <w:szCs w:val="22"/>
          <w:lang w:eastAsia="ar-SA"/>
        </w:rPr>
        <w:t xml:space="preserve">, </w:t>
      </w:r>
      <w:r w:rsidRPr="0027631D">
        <w:rPr>
          <w:rFonts w:cs="Arial"/>
          <w:kern w:val="1"/>
          <w:sz w:val="22"/>
          <w:szCs w:val="22"/>
          <w:lang w:eastAsia="ar-SA"/>
        </w:rPr>
        <w:t xml:space="preserve">la CGMR emitió opinión no vinculante, en relación con el Análisis de Impacto Regulatorio del </w:t>
      </w:r>
      <w:r w:rsidRPr="003117F8">
        <w:rPr>
          <w:rFonts w:cs="Arial"/>
          <w:kern w:val="2"/>
          <w:sz w:val="22"/>
          <w:szCs w:val="22"/>
          <w:lang w:val="es-ES_tradnl" w:eastAsia="ar-SA"/>
        </w:rPr>
        <w:t xml:space="preserve">Anteproyecto de </w:t>
      </w:r>
      <w:r w:rsidRPr="005116FD">
        <w:rPr>
          <w:rFonts w:cs="Arial"/>
          <w:b/>
          <w:sz w:val="22"/>
          <w:szCs w:val="22"/>
          <w:lang w:val="es-ES_tradnl" w:eastAsia="es-MX"/>
        </w:rPr>
        <w:t>“</w:t>
      </w:r>
      <w:r w:rsidR="00B75CD3" w:rsidRPr="003117F8">
        <w:rPr>
          <w:rFonts w:cs="Arial"/>
          <w:kern w:val="1"/>
          <w:sz w:val="22"/>
          <w:szCs w:val="22"/>
          <w:lang w:eastAsia="ar-SA"/>
        </w:rPr>
        <w:t xml:space="preserve">Acuerdo mediante el cual el Pleno del Instituto Federal de Telecomunicaciones </w:t>
      </w:r>
      <w:r w:rsidR="003641AF" w:rsidRPr="003117F8">
        <w:rPr>
          <w:rFonts w:cs="Arial"/>
          <w:kern w:val="1"/>
          <w:sz w:val="22"/>
          <w:szCs w:val="22"/>
          <w:lang w:eastAsia="ar-SA"/>
        </w:rPr>
        <w:t>establece las nuevas condiciones técnicas de operación de la banda de frecuencias 2400 - 2483.5 MHz, clasificada como espectro libre</w:t>
      </w:r>
      <w:r w:rsidRPr="003117F8">
        <w:rPr>
          <w:rFonts w:cs="Arial"/>
          <w:kern w:val="2"/>
          <w:sz w:val="22"/>
          <w:szCs w:val="22"/>
          <w:lang w:val="es-ES_tradnl" w:eastAsia="ar-SA"/>
        </w:rPr>
        <w:t>”</w:t>
      </w:r>
      <w:r w:rsidRPr="005116FD">
        <w:rPr>
          <w:rFonts w:cs="Arial"/>
          <w:kern w:val="1"/>
          <w:sz w:val="22"/>
          <w:szCs w:val="22"/>
          <w:lang w:eastAsia="ar-SA"/>
        </w:rPr>
        <w:t>.</w:t>
      </w:r>
    </w:p>
    <w:p w14:paraId="20DEF060" w14:textId="00E3F69A" w:rsidR="00B366D7" w:rsidRPr="0027631D" w:rsidRDefault="00B366D7" w:rsidP="0027631D">
      <w:pPr>
        <w:pStyle w:val="Prrafodelista"/>
        <w:suppressAutoHyphens/>
        <w:spacing w:line="23" w:lineRule="atLeast"/>
        <w:ind w:left="0" w:right="49"/>
        <w:contextualSpacing/>
        <w:jc w:val="both"/>
        <w:rPr>
          <w:rFonts w:cs="Arial"/>
          <w:color w:val="000000" w:themeColor="text1"/>
          <w:kern w:val="1"/>
          <w:sz w:val="22"/>
          <w:szCs w:val="22"/>
          <w:lang w:eastAsia="ar-SA"/>
        </w:rPr>
      </w:pPr>
    </w:p>
    <w:p w14:paraId="23B85856" w14:textId="77777777" w:rsidR="00B366D7" w:rsidRPr="0027631D" w:rsidRDefault="00B366D7" w:rsidP="0027631D">
      <w:pPr>
        <w:pStyle w:val="Default"/>
        <w:tabs>
          <w:tab w:val="left" w:pos="0"/>
        </w:tabs>
        <w:spacing w:line="23" w:lineRule="atLeast"/>
        <w:ind w:left="426" w:hanging="426"/>
        <w:contextualSpacing/>
        <w:rPr>
          <w:sz w:val="22"/>
          <w:szCs w:val="22"/>
        </w:rPr>
      </w:pPr>
      <w:r w:rsidRPr="0027631D">
        <w:rPr>
          <w:sz w:val="22"/>
          <w:szCs w:val="22"/>
        </w:rPr>
        <w:t xml:space="preserve">En virtud de los antecedentes señalados, y </w:t>
      </w:r>
    </w:p>
    <w:p w14:paraId="72219D54" w14:textId="77777777" w:rsidR="001763B8" w:rsidRPr="0027631D" w:rsidRDefault="001763B8" w:rsidP="0027631D">
      <w:pPr>
        <w:spacing w:after="0" w:line="23" w:lineRule="atLeast"/>
        <w:contextualSpacing/>
        <w:jc w:val="center"/>
        <w:rPr>
          <w:rFonts w:ascii="Arial" w:hAnsi="Arial" w:cs="Arial"/>
          <w:kern w:val="1"/>
          <w:lang w:eastAsia="ar-SA"/>
        </w:rPr>
      </w:pPr>
    </w:p>
    <w:p w14:paraId="0E9D814D" w14:textId="77777777" w:rsidR="0049765B" w:rsidRPr="0027631D" w:rsidRDefault="0049765B" w:rsidP="0027631D">
      <w:pPr>
        <w:spacing w:after="0" w:line="23" w:lineRule="atLeast"/>
        <w:contextualSpacing/>
        <w:jc w:val="center"/>
        <w:rPr>
          <w:rFonts w:ascii="Arial" w:hAnsi="Arial" w:cs="Arial"/>
          <w:kern w:val="1"/>
          <w:lang w:eastAsia="ar-SA"/>
        </w:rPr>
      </w:pPr>
    </w:p>
    <w:p w14:paraId="4B761C19" w14:textId="77777777" w:rsidR="00B57912" w:rsidRPr="0027631D" w:rsidRDefault="001763B8" w:rsidP="0027631D">
      <w:pPr>
        <w:pStyle w:val="Ttulo3"/>
      </w:pPr>
      <w:r w:rsidRPr="0027631D">
        <w:t>Considerando</w:t>
      </w:r>
    </w:p>
    <w:p w14:paraId="0D20BC9C" w14:textId="77777777" w:rsidR="00321063" w:rsidRPr="0027631D" w:rsidRDefault="00321063" w:rsidP="0027631D">
      <w:pPr>
        <w:pStyle w:val="ANOTACION"/>
        <w:spacing w:before="0" w:after="0" w:line="23" w:lineRule="atLeast"/>
        <w:contextualSpacing/>
        <w:jc w:val="both"/>
        <w:rPr>
          <w:rFonts w:ascii="Arial" w:hAnsi="Arial" w:cs="Arial"/>
          <w:b w:val="0"/>
          <w:bCs/>
          <w:sz w:val="22"/>
          <w:szCs w:val="22"/>
          <w:lang w:eastAsia="es-MX"/>
        </w:rPr>
      </w:pPr>
    </w:p>
    <w:p w14:paraId="3BF051C3" w14:textId="45D5FB99" w:rsidR="00321063" w:rsidRPr="00BB26B6" w:rsidRDefault="00321063" w:rsidP="00BB26B6">
      <w:pPr>
        <w:pStyle w:val="Ttulo4"/>
        <w:ind w:left="0" w:firstLine="0"/>
      </w:pPr>
      <w:bookmarkStart w:id="1" w:name="_Toc413840356"/>
      <w:bookmarkStart w:id="2" w:name="_Toc413918669"/>
      <w:r w:rsidRPr="00BB26B6">
        <w:t>Competencia del Instituto.</w:t>
      </w:r>
      <w:bookmarkEnd w:id="1"/>
      <w:bookmarkEnd w:id="2"/>
      <w:r w:rsidRPr="00BB26B6">
        <w:t xml:space="preserve"> </w:t>
      </w:r>
      <w:r w:rsidRPr="00BB26B6">
        <w:rPr>
          <w:b w:val="0"/>
        </w:rPr>
        <w:t>De conformidad con lo dispuesto en los artículos 28, párrafos décimo quinto</w:t>
      </w:r>
      <w:r w:rsidR="00870D30" w:rsidRPr="00BB26B6">
        <w:rPr>
          <w:b w:val="0"/>
        </w:rPr>
        <w:t xml:space="preserve"> y</w:t>
      </w:r>
      <w:r w:rsidRPr="00BB26B6">
        <w:rPr>
          <w:b w:val="0"/>
        </w:rPr>
        <w:t xml:space="preserve"> décimo sexto de la Constitución Política de los Estados Unidos Mexicanos</w:t>
      </w:r>
      <w:r w:rsidR="00E66BF0" w:rsidRPr="00BB26B6">
        <w:rPr>
          <w:b w:val="0"/>
        </w:rPr>
        <w:t xml:space="preserve"> (</w:t>
      </w:r>
      <w:r w:rsidR="00870D30" w:rsidRPr="00BB26B6">
        <w:rPr>
          <w:b w:val="0"/>
        </w:rPr>
        <w:t>“</w:t>
      </w:r>
      <w:r w:rsidR="00E66BF0" w:rsidRPr="00BB26B6">
        <w:rPr>
          <w:b w:val="0"/>
        </w:rPr>
        <w:t>Constitución</w:t>
      </w:r>
      <w:r w:rsidR="00870D30" w:rsidRPr="00BB26B6">
        <w:rPr>
          <w:b w:val="0"/>
        </w:rPr>
        <w:t>”</w:t>
      </w:r>
      <w:r w:rsidR="00E66BF0" w:rsidRPr="00BB26B6">
        <w:rPr>
          <w:b w:val="0"/>
        </w:rPr>
        <w:t>)</w:t>
      </w:r>
      <w:r w:rsidRPr="00BB26B6">
        <w:rPr>
          <w:b w:val="0"/>
        </w:rPr>
        <w:t>; y 1, 2, 7, 15 fracci</w:t>
      </w:r>
      <w:r w:rsidR="007E5777">
        <w:rPr>
          <w:b w:val="0"/>
        </w:rPr>
        <w:t>ón</w:t>
      </w:r>
      <w:r w:rsidR="00A92C87" w:rsidRPr="00BB26B6">
        <w:rPr>
          <w:b w:val="0"/>
        </w:rPr>
        <w:t xml:space="preserve"> I, 54, 55, fracción II, 56 y 64</w:t>
      </w:r>
      <w:r w:rsidRPr="00BB26B6">
        <w:rPr>
          <w:b w:val="0"/>
        </w:rPr>
        <w:t xml:space="preserve"> de la Ley, el Instituto es un órgano autónomo con personalidad jurídica y patrimonio propio que tiene por objeto el desarrollo eficiente de la radiodifusión y las telecomunicaciones, además de ser también la autoridad en materia de competencia económica de los sectores de radiodifusión y telecomunicaciones.</w:t>
      </w:r>
    </w:p>
    <w:p w14:paraId="0D7D7C4F" w14:textId="77777777" w:rsidR="00321063" w:rsidRPr="0027631D" w:rsidRDefault="00321063" w:rsidP="0027631D">
      <w:pPr>
        <w:pStyle w:val="ANOTACION"/>
        <w:spacing w:before="0" w:after="0" w:line="23" w:lineRule="atLeast"/>
        <w:contextualSpacing/>
        <w:jc w:val="both"/>
        <w:rPr>
          <w:rFonts w:ascii="Arial" w:hAnsi="Arial" w:cs="Arial"/>
          <w:b w:val="0"/>
          <w:sz w:val="22"/>
          <w:szCs w:val="22"/>
          <w:lang w:eastAsia="es-MX"/>
        </w:rPr>
      </w:pPr>
    </w:p>
    <w:p w14:paraId="2216ADB4" w14:textId="45DC0B52" w:rsidR="00321063" w:rsidRPr="0027631D" w:rsidRDefault="00321063" w:rsidP="0027631D">
      <w:pPr>
        <w:pStyle w:val="ANOTACION"/>
        <w:spacing w:before="0" w:after="0" w:line="23" w:lineRule="atLeast"/>
        <w:contextualSpacing/>
        <w:jc w:val="both"/>
        <w:rPr>
          <w:rFonts w:ascii="Arial" w:hAnsi="Arial" w:cs="Arial"/>
          <w:b w:val="0"/>
          <w:sz w:val="22"/>
          <w:szCs w:val="22"/>
          <w:lang w:eastAsia="es-MX"/>
        </w:rPr>
      </w:pPr>
      <w:r w:rsidRPr="0027631D">
        <w:rPr>
          <w:rFonts w:ascii="Arial" w:hAnsi="Arial" w:cs="Arial"/>
          <w:b w:val="0"/>
          <w:sz w:val="22"/>
          <w:szCs w:val="22"/>
          <w:lang w:eastAsia="es-MX"/>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r w:rsidR="007E5777">
        <w:rPr>
          <w:rFonts w:ascii="Arial" w:hAnsi="Arial" w:cs="Arial"/>
          <w:b w:val="0"/>
          <w:sz w:val="22"/>
          <w:szCs w:val="22"/>
          <w:lang w:eastAsia="es-MX"/>
        </w:rPr>
        <w:t xml:space="preserve"> Asimismo, le corresponde al Instituto </w:t>
      </w:r>
      <w:r w:rsidR="00A7238C">
        <w:rPr>
          <w:rFonts w:ascii="Arial" w:hAnsi="Arial" w:cs="Arial"/>
          <w:b w:val="0"/>
          <w:sz w:val="22"/>
          <w:szCs w:val="22"/>
          <w:lang w:eastAsia="es-MX"/>
        </w:rPr>
        <w:t>expedir</w:t>
      </w:r>
      <w:r w:rsidR="007E5777" w:rsidRPr="007E5777">
        <w:rPr>
          <w:rFonts w:ascii="Arial" w:hAnsi="Arial" w:cs="Arial"/>
          <w:b w:val="0"/>
          <w:sz w:val="22"/>
          <w:szCs w:val="22"/>
          <w:lang w:val="es-MX" w:eastAsia="es-MX"/>
        </w:rPr>
        <w:t xml:space="preserve">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w:t>
      </w:r>
      <w:r w:rsidR="007E5777">
        <w:rPr>
          <w:rFonts w:ascii="Arial" w:hAnsi="Arial" w:cs="Arial"/>
          <w:b w:val="0"/>
          <w:sz w:val="22"/>
          <w:szCs w:val="22"/>
          <w:lang w:val="es-MX" w:eastAsia="es-MX"/>
        </w:rPr>
        <w:t>la</w:t>
      </w:r>
      <w:r w:rsidR="007E5777" w:rsidRPr="007E5777">
        <w:rPr>
          <w:rFonts w:ascii="Arial" w:hAnsi="Arial" w:cs="Arial"/>
          <w:b w:val="0"/>
          <w:sz w:val="22"/>
          <w:szCs w:val="22"/>
          <w:lang w:val="es-MX" w:eastAsia="es-MX"/>
        </w:rPr>
        <w:t xml:space="preserve"> Ley</w:t>
      </w:r>
      <w:r w:rsidR="007E5777">
        <w:rPr>
          <w:rFonts w:ascii="Arial" w:hAnsi="Arial" w:cs="Arial"/>
          <w:b w:val="0"/>
          <w:sz w:val="22"/>
          <w:szCs w:val="22"/>
          <w:lang w:val="es-MX" w:eastAsia="es-MX"/>
        </w:rPr>
        <w:t>.</w:t>
      </w:r>
    </w:p>
    <w:p w14:paraId="5B12A569" w14:textId="77777777" w:rsidR="00321063" w:rsidRPr="0027631D" w:rsidRDefault="00321063" w:rsidP="0027631D">
      <w:pPr>
        <w:pStyle w:val="ANOTACION"/>
        <w:spacing w:before="0" w:after="0" w:line="23" w:lineRule="atLeast"/>
        <w:contextualSpacing/>
        <w:jc w:val="both"/>
        <w:rPr>
          <w:rFonts w:ascii="Arial" w:hAnsi="Arial" w:cs="Arial"/>
          <w:b w:val="0"/>
          <w:sz w:val="22"/>
          <w:szCs w:val="22"/>
          <w:lang w:eastAsia="es-MX"/>
        </w:rPr>
      </w:pPr>
    </w:p>
    <w:p w14:paraId="756090DF" w14:textId="7B1DB8B3" w:rsidR="00321063" w:rsidRPr="0027631D" w:rsidRDefault="00321063" w:rsidP="0027631D">
      <w:pPr>
        <w:pStyle w:val="ANOTACION"/>
        <w:spacing w:before="0" w:after="0" w:line="23" w:lineRule="atLeast"/>
        <w:contextualSpacing/>
        <w:jc w:val="both"/>
        <w:rPr>
          <w:rFonts w:ascii="Arial" w:hAnsi="Arial" w:cs="Arial"/>
          <w:b w:val="0"/>
          <w:sz w:val="22"/>
          <w:szCs w:val="22"/>
          <w:lang w:eastAsia="es-MX"/>
        </w:rPr>
      </w:pPr>
      <w:r w:rsidRPr="0027631D">
        <w:rPr>
          <w:rFonts w:ascii="Arial" w:hAnsi="Arial" w:cs="Arial"/>
          <w:b w:val="0"/>
          <w:sz w:val="22"/>
          <w:szCs w:val="22"/>
          <w:lang w:eastAsia="es-MX"/>
        </w:rPr>
        <w:t>En ese sentido, el Pleno del Instituto, como órgano máximo de gobierno del Instituto, es competente para emitir el presente Acuerdo, con fundamento en los artículos 16 y 17 fracción I de la Ley, y</w:t>
      </w:r>
      <w:r w:rsidRPr="0027631D" w:rsidDel="00422A84">
        <w:rPr>
          <w:rFonts w:ascii="Arial" w:hAnsi="Arial" w:cs="Arial"/>
          <w:b w:val="0"/>
          <w:sz w:val="22"/>
          <w:szCs w:val="22"/>
          <w:lang w:eastAsia="es-MX"/>
        </w:rPr>
        <w:t xml:space="preserve"> 4 fracción I y 6</w:t>
      </w:r>
      <w:r w:rsidRPr="0027631D">
        <w:rPr>
          <w:rFonts w:ascii="Arial" w:hAnsi="Arial" w:cs="Arial"/>
          <w:b w:val="0"/>
          <w:sz w:val="22"/>
          <w:szCs w:val="22"/>
          <w:lang w:eastAsia="es-MX"/>
        </w:rPr>
        <w:t xml:space="preserve"> fracci</w:t>
      </w:r>
      <w:r w:rsidR="00A92353">
        <w:rPr>
          <w:rFonts w:ascii="Arial" w:hAnsi="Arial" w:cs="Arial"/>
          <w:b w:val="0"/>
          <w:sz w:val="22"/>
          <w:szCs w:val="22"/>
          <w:lang w:eastAsia="es-MX"/>
        </w:rPr>
        <w:t>ón</w:t>
      </w:r>
      <w:r w:rsidRPr="0027631D">
        <w:rPr>
          <w:rFonts w:ascii="Arial" w:hAnsi="Arial" w:cs="Arial"/>
          <w:b w:val="0"/>
          <w:sz w:val="22"/>
          <w:szCs w:val="22"/>
          <w:lang w:eastAsia="es-MX"/>
        </w:rPr>
        <w:t xml:space="preserve"> I </w:t>
      </w:r>
      <w:r w:rsidRPr="0027631D" w:rsidDel="00422A84">
        <w:rPr>
          <w:rFonts w:ascii="Arial" w:hAnsi="Arial" w:cs="Arial"/>
          <w:b w:val="0"/>
          <w:sz w:val="22"/>
          <w:szCs w:val="22"/>
          <w:lang w:eastAsia="es-MX"/>
        </w:rPr>
        <w:t>del Estatuto Orgánico</w:t>
      </w:r>
      <w:r w:rsidRPr="0027631D">
        <w:rPr>
          <w:rFonts w:ascii="Arial" w:hAnsi="Arial" w:cs="Arial"/>
          <w:b w:val="0"/>
          <w:sz w:val="22"/>
          <w:szCs w:val="22"/>
          <w:lang w:eastAsia="es-MX"/>
        </w:rPr>
        <w:t>.</w:t>
      </w:r>
    </w:p>
    <w:p w14:paraId="14A2B227" w14:textId="77777777" w:rsidR="00321063" w:rsidRPr="0027631D" w:rsidRDefault="00321063" w:rsidP="0027631D">
      <w:pPr>
        <w:pStyle w:val="ANOTACION"/>
        <w:spacing w:before="0" w:after="0" w:line="23" w:lineRule="atLeast"/>
        <w:contextualSpacing/>
        <w:jc w:val="both"/>
        <w:rPr>
          <w:rFonts w:ascii="Arial" w:hAnsi="Arial" w:cs="Arial"/>
          <w:b w:val="0"/>
          <w:sz w:val="22"/>
          <w:szCs w:val="22"/>
          <w:lang w:eastAsia="es-MX"/>
        </w:rPr>
      </w:pPr>
    </w:p>
    <w:p w14:paraId="40992E73" w14:textId="515B1177" w:rsidR="00492F7C" w:rsidRPr="004467E9" w:rsidRDefault="00CF471E" w:rsidP="004467E9">
      <w:pPr>
        <w:pStyle w:val="Ttulo4"/>
        <w:ind w:left="0" w:firstLine="0"/>
      </w:pPr>
      <w:r w:rsidRPr="004467E9">
        <w:lastRenderedPageBreak/>
        <w:t xml:space="preserve">Espectro libre. </w:t>
      </w:r>
      <w:r w:rsidR="00492F7C" w:rsidRPr="004467E9">
        <w:rPr>
          <w:b w:val="0"/>
        </w:rPr>
        <w:t>El artículo 27</w:t>
      </w:r>
      <w:r w:rsidR="006F550F" w:rsidRPr="004467E9">
        <w:rPr>
          <w:b w:val="0"/>
        </w:rPr>
        <w:t>, párrafo</w:t>
      </w:r>
      <w:r w:rsidR="0034042C">
        <w:rPr>
          <w:b w:val="0"/>
        </w:rPr>
        <w:t>s</w:t>
      </w:r>
      <w:r w:rsidR="006F550F" w:rsidRPr="004467E9">
        <w:rPr>
          <w:b w:val="0"/>
        </w:rPr>
        <w:t xml:space="preserve"> </w:t>
      </w:r>
      <w:r w:rsidR="0034042C">
        <w:rPr>
          <w:b w:val="0"/>
        </w:rPr>
        <w:t xml:space="preserve">cuarto y </w:t>
      </w:r>
      <w:r w:rsidR="006F550F" w:rsidRPr="004467E9">
        <w:rPr>
          <w:b w:val="0"/>
        </w:rPr>
        <w:t>sexto</w:t>
      </w:r>
      <w:r w:rsidR="00492F7C" w:rsidRPr="004467E9">
        <w:rPr>
          <w:b w:val="0"/>
        </w:rPr>
        <w:t xml:space="preserve"> de la Constitución establece que corresponde a la Nación el dominio directo</w:t>
      </w:r>
      <w:r w:rsidR="00870D30" w:rsidRPr="004467E9">
        <w:rPr>
          <w:b w:val="0"/>
        </w:rPr>
        <w:t>, entre otros bienes,</w:t>
      </w:r>
      <w:r w:rsidR="00492F7C" w:rsidRPr="004467E9">
        <w:rPr>
          <w:b w:val="0"/>
        </w:rPr>
        <w:t xml:space="preserve"> del espacio situado sobre el territorio nacional, </w:t>
      </w:r>
      <w:r w:rsidR="00870D30" w:rsidRPr="004467E9">
        <w:rPr>
          <w:rStyle w:val="Ttulo3Car"/>
          <w:rFonts w:eastAsia="Arial Unicode MS"/>
          <w:sz w:val="22"/>
          <w:szCs w:val="22"/>
        </w:rPr>
        <w:t>en la extensión y términos que fije el derecho internacional. De tal forma que el dominio que ejerce la Nación sobre este bien es inalienable e imprescriptible y</w:t>
      </w:r>
      <w:r w:rsidR="00492F7C" w:rsidRPr="004467E9">
        <w:rPr>
          <w:b w:val="0"/>
        </w:rPr>
        <w:t xml:space="preserve"> su explotación, uso y aprovechamiento por los particulares no podrá realizarse sino mediante concesiones otorgadas por el Instituto.</w:t>
      </w:r>
    </w:p>
    <w:p w14:paraId="4F97D907" w14:textId="77777777" w:rsidR="00492F7C" w:rsidRPr="0027631D" w:rsidRDefault="00492F7C" w:rsidP="0027631D">
      <w:pPr>
        <w:spacing w:after="0" w:line="23" w:lineRule="atLeast"/>
        <w:contextualSpacing/>
        <w:jc w:val="both"/>
        <w:rPr>
          <w:rFonts w:ascii="Arial" w:hAnsi="Arial" w:cs="Arial"/>
        </w:rPr>
      </w:pPr>
    </w:p>
    <w:p w14:paraId="0F6DC6ED" w14:textId="0E62A91F" w:rsidR="00492F7C" w:rsidRPr="0027631D" w:rsidRDefault="00492F7C" w:rsidP="0027631D">
      <w:pPr>
        <w:suppressAutoHyphens/>
        <w:spacing w:after="0" w:line="23" w:lineRule="atLeast"/>
        <w:ind w:right="51"/>
        <w:contextualSpacing/>
        <w:jc w:val="both"/>
        <w:rPr>
          <w:rFonts w:ascii="Arial" w:eastAsia="Times New Roman" w:hAnsi="Arial" w:cs="Arial"/>
          <w:kern w:val="1"/>
          <w:lang w:eastAsia="ar-SA"/>
        </w:rPr>
      </w:pPr>
      <w:r w:rsidRPr="0027631D">
        <w:rPr>
          <w:rFonts w:ascii="Arial" w:eastAsia="Times New Roman" w:hAnsi="Arial" w:cs="Arial"/>
          <w:kern w:val="1"/>
          <w:lang w:eastAsia="ar-SA"/>
        </w:rPr>
        <w:t xml:space="preserve">Es así que, en cumplimiento a lo que establece la Constitución, </w:t>
      </w:r>
      <w:r w:rsidR="00870D30" w:rsidRPr="0027631D">
        <w:rPr>
          <w:rFonts w:ascii="Arial" w:hAnsi="Arial" w:cs="Arial"/>
          <w:kern w:val="2"/>
          <w:lang w:val="es-ES" w:eastAsia="ar-SA"/>
        </w:rPr>
        <w:t xml:space="preserve">los artículos 2, cuarto párrafo </w:t>
      </w:r>
      <w:r w:rsidR="00B95C3E">
        <w:rPr>
          <w:rFonts w:ascii="Arial" w:hAnsi="Arial" w:cs="Arial"/>
          <w:kern w:val="2"/>
          <w:lang w:val="es-ES" w:eastAsia="ar-SA"/>
        </w:rPr>
        <w:t>4</w:t>
      </w:r>
      <w:r w:rsidR="00870D30" w:rsidRPr="0027631D">
        <w:rPr>
          <w:rFonts w:ascii="Arial" w:hAnsi="Arial" w:cs="Arial"/>
          <w:kern w:val="2"/>
          <w:lang w:val="es-ES" w:eastAsia="ar-SA"/>
        </w:rPr>
        <w:t xml:space="preserve"> de </w:t>
      </w:r>
      <w:r w:rsidRPr="0027631D">
        <w:rPr>
          <w:rFonts w:ascii="Arial" w:eastAsia="Times New Roman" w:hAnsi="Arial" w:cs="Arial"/>
          <w:kern w:val="1"/>
          <w:lang w:eastAsia="ar-SA"/>
        </w:rPr>
        <w:t>la Ley dispone</w:t>
      </w:r>
      <w:r w:rsidR="00870D30" w:rsidRPr="0027631D">
        <w:rPr>
          <w:rFonts w:ascii="Arial" w:eastAsia="Times New Roman" w:hAnsi="Arial" w:cs="Arial"/>
          <w:kern w:val="1"/>
          <w:lang w:eastAsia="ar-SA"/>
        </w:rPr>
        <w:t>n</w:t>
      </w:r>
      <w:r w:rsidRPr="0027631D">
        <w:rPr>
          <w:rFonts w:ascii="Arial" w:eastAsia="Times New Roman" w:hAnsi="Arial" w:cs="Arial"/>
          <w:kern w:val="1"/>
          <w:lang w:eastAsia="ar-SA"/>
        </w:rPr>
        <w:t xml:space="preserve"> que en todo momento el Estado mantendrá el dominio originario, inalienable e imprescriptible sobre el espectro radioeléctrico, otorgándole a este bien el carácter de vías generales de comunicación.</w:t>
      </w:r>
    </w:p>
    <w:p w14:paraId="01751C5D" w14:textId="77777777" w:rsidR="00492F7C" w:rsidRPr="0027631D" w:rsidRDefault="00492F7C" w:rsidP="0027631D">
      <w:pPr>
        <w:suppressAutoHyphens/>
        <w:spacing w:after="0" w:line="23" w:lineRule="atLeast"/>
        <w:ind w:right="51"/>
        <w:contextualSpacing/>
        <w:jc w:val="both"/>
        <w:rPr>
          <w:rFonts w:ascii="Arial" w:eastAsia="Times New Roman" w:hAnsi="Arial" w:cs="Arial"/>
          <w:kern w:val="1"/>
          <w:lang w:eastAsia="ar-SA"/>
        </w:rPr>
      </w:pPr>
    </w:p>
    <w:p w14:paraId="04CDB9FC" w14:textId="77777777" w:rsidR="00CF471E" w:rsidRPr="0027631D" w:rsidRDefault="00492F7C" w:rsidP="0027631D">
      <w:pPr>
        <w:pStyle w:val="Prrafodelista"/>
        <w:suppressAutoHyphens/>
        <w:spacing w:line="23" w:lineRule="atLeast"/>
        <w:ind w:left="0" w:right="48"/>
        <w:contextualSpacing/>
        <w:jc w:val="both"/>
        <w:rPr>
          <w:rFonts w:cs="Arial"/>
          <w:color w:val="000000" w:themeColor="text1"/>
          <w:sz w:val="22"/>
          <w:szCs w:val="22"/>
        </w:rPr>
      </w:pPr>
      <w:r w:rsidRPr="0027631D">
        <w:rPr>
          <w:rFonts w:cs="Arial"/>
          <w:kern w:val="1"/>
          <w:sz w:val="22"/>
          <w:szCs w:val="22"/>
          <w:lang w:eastAsia="ar-SA"/>
        </w:rPr>
        <w:t>Por su parte, el</w:t>
      </w:r>
      <w:r w:rsidR="00CF471E" w:rsidRPr="0027631D">
        <w:rPr>
          <w:rFonts w:cs="Arial"/>
          <w:color w:val="000000" w:themeColor="text1"/>
          <w:sz w:val="22"/>
          <w:szCs w:val="22"/>
        </w:rPr>
        <w:t xml:space="preserve"> artículo 3, fracción XXI de la Ley, define espectro radioeléctrico como:</w:t>
      </w:r>
    </w:p>
    <w:p w14:paraId="6364B3BD" w14:textId="77777777" w:rsidR="00CF471E" w:rsidRPr="0027631D" w:rsidRDefault="00CF471E" w:rsidP="0027631D">
      <w:pPr>
        <w:pStyle w:val="Texto"/>
        <w:spacing w:after="0" w:line="23" w:lineRule="atLeast"/>
        <w:ind w:right="1182" w:firstLine="0"/>
        <w:contextualSpacing/>
        <w:rPr>
          <w:i/>
          <w:color w:val="000000" w:themeColor="text1"/>
          <w:sz w:val="22"/>
          <w:szCs w:val="22"/>
        </w:rPr>
      </w:pPr>
    </w:p>
    <w:p w14:paraId="29505208" w14:textId="77777777" w:rsidR="00CF471E" w:rsidRPr="003117F8" w:rsidRDefault="00CF471E" w:rsidP="0027631D">
      <w:pPr>
        <w:pStyle w:val="Texto"/>
        <w:spacing w:after="0" w:line="23" w:lineRule="atLeast"/>
        <w:ind w:left="1134" w:right="900" w:firstLine="0"/>
        <w:contextualSpacing/>
        <w:rPr>
          <w:color w:val="000000" w:themeColor="text1"/>
          <w:sz w:val="22"/>
          <w:szCs w:val="22"/>
        </w:rPr>
      </w:pPr>
      <w:r w:rsidRPr="003117F8">
        <w:rPr>
          <w:color w:val="000000" w:themeColor="text1"/>
          <w:sz w:val="22"/>
          <w:szCs w:val="22"/>
        </w:rPr>
        <w:t>“</w:t>
      </w:r>
      <w:r w:rsidRPr="003117F8">
        <w:rPr>
          <w:b/>
          <w:color w:val="000000" w:themeColor="text1"/>
          <w:sz w:val="22"/>
          <w:szCs w:val="22"/>
        </w:rPr>
        <w:t>Artículo 3</w:t>
      </w:r>
      <w:r w:rsidRPr="003117F8">
        <w:rPr>
          <w:color w:val="000000" w:themeColor="text1"/>
          <w:sz w:val="22"/>
          <w:szCs w:val="22"/>
        </w:rPr>
        <w:t>. Para los efectos de esta Ley se entenderá por:</w:t>
      </w:r>
    </w:p>
    <w:p w14:paraId="0967B482" w14:textId="77777777" w:rsidR="00870D30" w:rsidRPr="003117F8" w:rsidRDefault="00870D30" w:rsidP="0027631D">
      <w:pPr>
        <w:pStyle w:val="Texto"/>
        <w:spacing w:after="0" w:line="23" w:lineRule="atLeast"/>
        <w:ind w:left="1134" w:right="900" w:firstLine="0"/>
        <w:contextualSpacing/>
        <w:rPr>
          <w:color w:val="000000" w:themeColor="text1"/>
          <w:sz w:val="22"/>
          <w:szCs w:val="22"/>
        </w:rPr>
      </w:pPr>
    </w:p>
    <w:p w14:paraId="6A848A29" w14:textId="77777777" w:rsidR="00CF471E" w:rsidRPr="003117F8" w:rsidRDefault="00CF471E" w:rsidP="0027631D">
      <w:pPr>
        <w:pStyle w:val="Texto"/>
        <w:spacing w:after="0" w:line="23" w:lineRule="atLeast"/>
        <w:ind w:left="1134" w:right="900" w:firstLine="0"/>
        <w:contextualSpacing/>
        <w:rPr>
          <w:color w:val="000000" w:themeColor="text1"/>
          <w:sz w:val="22"/>
          <w:szCs w:val="22"/>
        </w:rPr>
      </w:pPr>
      <w:r w:rsidRPr="003117F8">
        <w:rPr>
          <w:color w:val="000000" w:themeColor="text1"/>
          <w:sz w:val="22"/>
          <w:szCs w:val="22"/>
        </w:rPr>
        <w:t>(…)</w:t>
      </w:r>
    </w:p>
    <w:p w14:paraId="79B523CD" w14:textId="77777777" w:rsidR="00870D30" w:rsidRPr="003117F8" w:rsidRDefault="00870D30" w:rsidP="0027631D">
      <w:pPr>
        <w:pStyle w:val="Texto"/>
        <w:spacing w:after="0" w:line="23" w:lineRule="atLeast"/>
        <w:ind w:left="1134" w:right="900" w:firstLine="0"/>
        <w:contextualSpacing/>
        <w:rPr>
          <w:color w:val="000000" w:themeColor="text1"/>
          <w:sz w:val="22"/>
          <w:szCs w:val="22"/>
        </w:rPr>
      </w:pPr>
    </w:p>
    <w:p w14:paraId="352B78AB" w14:textId="77777777" w:rsidR="00CF471E" w:rsidRPr="003117F8" w:rsidRDefault="00CF471E" w:rsidP="0027631D">
      <w:pPr>
        <w:pStyle w:val="Texto"/>
        <w:spacing w:after="0" w:line="23" w:lineRule="atLeast"/>
        <w:ind w:left="1134" w:right="900" w:firstLine="0"/>
        <w:contextualSpacing/>
        <w:rPr>
          <w:color w:val="000000" w:themeColor="text1"/>
          <w:sz w:val="22"/>
          <w:szCs w:val="22"/>
        </w:rPr>
      </w:pPr>
      <w:r w:rsidRPr="003117F8">
        <w:rPr>
          <w:b/>
          <w:color w:val="000000" w:themeColor="text1"/>
          <w:sz w:val="22"/>
          <w:szCs w:val="22"/>
        </w:rPr>
        <w:t>XXI.</w:t>
      </w:r>
      <w:r w:rsidRPr="003117F8">
        <w:rPr>
          <w:color w:val="000000" w:themeColor="text1"/>
          <w:sz w:val="22"/>
          <w:szCs w:val="22"/>
        </w:rPr>
        <w:t xml:space="preserve"> </w:t>
      </w:r>
      <w:r w:rsidRPr="003117F8">
        <w:rPr>
          <w:b/>
          <w:color w:val="000000" w:themeColor="text1"/>
          <w:sz w:val="22"/>
          <w:szCs w:val="22"/>
        </w:rPr>
        <w:t>Espectro radioeléctrico:</w:t>
      </w:r>
      <w:r w:rsidRPr="003117F8">
        <w:rPr>
          <w:color w:val="000000" w:themeColor="text1"/>
          <w:sz w:val="22"/>
          <w:szCs w:val="22"/>
        </w:rPr>
        <w:t xml:space="preserve"> Espacio que permite la propagación, sin guía artificial, de ondas electromagnéticas cuyas bandas de frecuencias se fijan convencionalmente por debajo de los 3,000 gigahertz;</w:t>
      </w:r>
    </w:p>
    <w:p w14:paraId="5FC10213" w14:textId="77777777" w:rsidR="00870D30" w:rsidRPr="003117F8" w:rsidRDefault="00870D30" w:rsidP="0027631D">
      <w:pPr>
        <w:pStyle w:val="Texto"/>
        <w:spacing w:after="0" w:line="23" w:lineRule="atLeast"/>
        <w:ind w:left="1134" w:right="900" w:firstLine="0"/>
        <w:contextualSpacing/>
        <w:rPr>
          <w:color w:val="000000" w:themeColor="text1"/>
          <w:sz w:val="22"/>
          <w:szCs w:val="22"/>
        </w:rPr>
      </w:pPr>
    </w:p>
    <w:p w14:paraId="0A797776" w14:textId="77777777" w:rsidR="00CF471E" w:rsidRPr="003117F8" w:rsidRDefault="00CF471E" w:rsidP="0027631D">
      <w:pPr>
        <w:pStyle w:val="Texto"/>
        <w:spacing w:after="0" w:line="23" w:lineRule="atLeast"/>
        <w:ind w:left="1134" w:right="900" w:firstLine="0"/>
        <w:contextualSpacing/>
        <w:rPr>
          <w:color w:val="000000" w:themeColor="text1"/>
          <w:sz w:val="22"/>
          <w:szCs w:val="22"/>
        </w:rPr>
      </w:pPr>
      <w:r w:rsidRPr="003117F8">
        <w:rPr>
          <w:color w:val="000000" w:themeColor="text1"/>
          <w:sz w:val="22"/>
          <w:szCs w:val="22"/>
        </w:rPr>
        <w:t>(…)”</w:t>
      </w:r>
    </w:p>
    <w:p w14:paraId="70E89433" w14:textId="77777777" w:rsidR="00CF471E" w:rsidRPr="0027631D" w:rsidRDefault="00CF471E" w:rsidP="0027631D">
      <w:pPr>
        <w:pStyle w:val="Texto"/>
        <w:spacing w:after="0" w:line="23" w:lineRule="atLeast"/>
        <w:ind w:right="1182" w:firstLine="0"/>
        <w:contextualSpacing/>
        <w:rPr>
          <w:i/>
          <w:color w:val="000000" w:themeColor="text1"/>
          <w:sz w:val="22"/>
          <w:szCs w:val="22"/>
        </w:rPr>
      </w:pPr>
    </w:p>
    <w:p w14:paraId="258A5A6C" w14:textId="77777777" w:rsidR="00CF471E" w:rsidRPr="0027631D" w:rsidRDefault="00870D30" w:rsidP="0027631D">
      <w:pPr>
        <w:pStyle w:val="Texto"/>
        <w:spacing w:after="0" w:line="23" w:lineRule="atLeast"/>
        <w:ind w:right="48" w:firstLine="0"/>
        <w:contextualSpacing/>
        <w:rPr>
          <w:rStyle w:val="Ttulo3Car"/>
          <w:b w:val="0"/>
          <w:sz w:val="22"/>
          <w:szCs w:val="22"/>
        </w:rPr>
      </w:pPr>
      <w:r w:rsidRPr="0027631D">
        <w:rPr>
          <w:kern w:val="2"/>
          <w:sz w:val="22"/>
          <w:szCs w:val="22"/>
          <w:lang w:eastAsia="ar-SA"/>
        </w:rPr>
        <w:t xml:space="preserve">En esta tesitura, debe considerarse </w:t>
      </w:r>
      <w:r w:rsidR="007A2F75" w:rsidRPr="0027631D">
        <w:rPr>
          <w:rFonts w:eastAsiaTheme="minorHAnsi"/>
          <w:sz w:val="22"/>
          <w:szCs w:val="22"/>
          <w:lang w:val="es-MX"/>
        </w:rPr>
        <w:t xml:space="preserve">que </w:t>
      </w:r>
      <w:r w:rsidR="00CF471E" w:rsidRPr="0027631D">
        <w:rPr>
          <w:rFonts w:eastAsiaTheme="minorHAnsi"/>
          <w:sz w:val="22"/>
          <w:szCs w:val="22"/>
          <w:lang w:val="es-MX"/>
        </w:rPr>
        <w:t>el espectro radioeléctrico es un bien finito, pero reutilizable</w:t>
      </w:r>
      <w:r w:rsidR="008807A1" w:rsidRPr="0027631D">
        <w:rPr>
          <w:rFonts w:eastAsiaTheme="minorHAnsi"/>
          <w:sz w:val="22"/>
          <w:szCs w:val="22"/>
          <w:lang w:val="es-MX"/>
        </w:rPr>
        <w:t>,</w:t>
      </w:r>
      <w:r w:rsidR="00CF471E" w:rsidRPr="0027631D">
        <w:rPr>
          <w:rFonts w:eastAsiaTheme="minorHAnsi"/>
          <w:sz w:val="22"/>
          <w:szCs w:val="22"/>
          <w:lang w:val="es-MX"/>
        </w:rPr>
        <w:t xml:space="preserve"> </w:t>
      </w:r>
      <w:r w:rsidR="008807A1" w:rsidRPr="0027631D">
        <w:rPr>
          <w:sz w:val="22"/>
          <w:szCs w:val="22"/>
        </w:rPr>
        <w:t>p</w:t>
      </w:r>
      <w:r w:rsidR="00CF471E" w:rsidRPr="0027631D">
        <w:rPr>
          <w:sz w:val="22"/>
          <w:szCs w:val="22"/>
        </w:rPr>
        <w:t xml:space="preserve">or lo que, </w:t>
      </w:r>
      <w:r w:rsidR="008807A1" w:rsidRPr="0027631D">
        <w:rPr>
          <w:kern w:val="2"/>
          <w:sz w:val="22"/>
          <w:szCs w:val="22"/>
          <w:lang w:eastAsia="ar-SA"/>
        </w:rPr>
        <w:t xml:space="preserve">desde la iniciativa de la Ley, presentada por el Ejecutivo Federal ante la Cámara de Senadores y, que posteriormente fue aprobada por el Congreso de la Unión, se consideró que </w:t>
      </w:r>
      <w:r w:rsidR="00CF471E" w:rsidRPr="0027631D">
        <w:rPr>
          <w:sz w:val="22"/>
          <w:szCs w:val="22"/>
        </w:rPr>
        <w:t>la planificación del espectro radioeléctrico constituye una de las tareas más relevantes del Estado en materia de telecomunicaciones</w:t>
      </w:r>
      <w:r w:rsidR="007A2F75" w:rsidRPr="0027631D">
        <w:rPr>
          <w:sz w:val="22"/>
          <w:szCs w:val="22"/>
        </w:rPr>
        <w:t xml:space="preserve"> y radiodifusión</w:t>
      </w:r>
      <w:r w:rsidR="00CF471E" w:rsidRPr="0027631D">
        <w:rPr>
          <w:sz w:val="22"/>
          <w:szCs w:val="22"/>
        </w:rPr>
        <w:t>, toda vez que este recurso es el elemento primario e indispensable de las comunicaciones inalámbricas, por lo que se convierte en un recurso extremadamente escaso y de gran valor</w:t>
      </w:r>
      <w:r w:rsidR="00CF471E" w:rsidRPr="0027631D">
        <w:rPr>
          <w:rStyle w:val="Refdenotaalpie"/>
          <w:color w:val="000000" w:themeColor="text1"/>
          <w:sz w:val="22"/>
          <w:szCs w:val="22"/>
        </w:rPr>
        <w:footnoteReference w:id="2"/>
      </w:r>
      <w:r w:rsidR="00CF471E" w:rsidRPr="0027631D">
        <w:rPr>
          <w:rStyle w:val="Ttulo3Car"/>
          <w:rFonts w:eastAsia="Arial Unicode MS"/>
          <w:sz w:val="22"/>
          <w:szCs w:val="22"/>
        </w:rPr>
        <w:t>.</w:t>
      </w:r>
    </w:p>
    <w:p w14:paraId="47BB984E" w14:textId="77777777" w:rsidR="00CF471E" w:rsidRPr="0027631D" w:rsidRDefault="00CF471E" w:rsidP="0027631D">
      <w:pPr>
        <w:pStyle w:val="Prrafodelista"/>
        <w:spacing w:line="23" w:lineRule="atLeast"/>
        <w:ind w:left="0"/>
        <w:contextualSpacing/>
        <w:jc w:val="both"/>
        <w:rPr>
          <w:rStyle w:val="Ttulo3Car"/>
          <w:rFonts w:eastAsia="Arial Unicode MS"/>
          <w:sz w:val="22"/>
          <w:szCs w:val="22"/>
        </w:rPr>
      </w:pPr>
    </w:p>
    <w:p w14:paraId="02CED596" w14:textId="454045CC" w:rsidR="00CF471E" w:rsidRPr="0027631D" w:rsidRDefault="00CF471E" w:rsidP="0027631D">
      <w:pPr>
        <w:pStyle w:val="Prrafodelista"/>
        <w:spacing w:line="23" w:lineRule="atLeast"/>
        <w:ind w:left="0"/>
        <w:contextualSpacing/>
        <w:jc w:val="both"/>
        <w:rPr>
          <w:rFonts w:cs="Arial"/>
          <w:sz w:val="22"/>
          <w:szCs w:val="22"/>
        </w:rPr>
      </w:pPr>
      <w:r w:rsidRPr="0027631D">
        <w:rPr>
          <w:rFonts w:cs="Arial"/>
          <w:sz w:val="22"/>
          <w:szCs w:val="22"/>
        </w:rPr>
        <w:t xml:space="preserve">Además, </w:t>
      </w:r>
      <w:r w:rsidR="008807A1" w:rsidRPr="0027631D">
        <w:rPr>
          <w:rFonts w:cs="Arial"/>
          <w:sz w:val="22"/>
          <w:szCs w:val="22"/>
        </w:rPr>
        <w:t xml:space="preserve">se previó que </w:t>
      </w:r>
      <w:r w:rsidRPr="0027631D">
        <w:rPr>
          <w:rFonts w:cs="Arial"/>
          <w:sz w:val="22"/>
          <w:szCs w:val="22"/>
        </w:rPr>
        <w:t>el espectro radioeléctrico</w:t>
      </w:r>
      <w:r w:rsidR="00E93DA1">
        <w:rPr>
          <w:rFonts w:cs="Arial"/>
          <w:sz w:val="22"/>
          <w:szCs w:val="22"/>
        </w:rPr>
        <w:t>,</w:t>
      </w:r>
      <w:r w:rsidRPr="0027631D">
        <w:rPr>
          <w:rFonts w:cs="Arial"/>
          <w:sz w:val="22"/>
          <w:szCs w:val="22"/>
        </w:rPr>
        <w:t xml:space="preserve"> como un bien de dominio público de la Nación y de naturaleza limitada, se debe aprovechar al máximo a través de una regulación eficiente e idónea, que permita el uso, aprovechamiento y explotación de dicho bien, en beneficio de la </w:t>
      </w:r>
      <w:r w:rsidR="008807A1" w:rsidRPr="0027631D">
        <w:rPr>
          <w:rFonts w:cs="Arial"/>
          <w:sz w:val="22"/>
          <w:szCs w:val="22"/>
        </w:rPr>
        <w:t>sociedad</w:t>
      </w:r>
      <w:r w:rsidRPr="0027631D">
        <w:rPr>
          <w:rFonts w:cs="Arial"/>
          <w:sz w:val="22"/>
          <w:szCs w:val="22"/>
        </w:rPr>
        <w:t xml:space="preserve">. </w:t>
      </w:r>
    </w:p>
    <w:p w14:paraId="53E48886" w14:textId="77777777" w:rsidR="00CF471E" w:rsidRPr="0027631D" w:rsidRDefault="00CF471E" w:rsidP="0027631D">
      <w:pPr>
        <w:pStyle w:val="Prrafodelista"/>
        <w:spacing w:line="23" w:lineRule="atLeast"/>
        <w:ind w:left="0"/>
        <w:contextualSpacing/>
        <w:jc w:val="both"/>
        <w:rPr>
          <w:rStyle w:val="Ttulo3Car"/>
          <w:rFonts w:eastAsia="Arial Unicode MS"/>
          <w:b w:val="0"/>
          <w:sz w:val="22"/>
          <w:szCs w:val="22"/>
        </w:rPr>
      </w:pPr>
    </w:p>
    <w:p w14:paraId="01565CE5" w14:textId="487B25ED" w:rsidR="00CF471E" w:rsidRPr="0027631D" w:rsidRDefault="00CF471E" w:rsidP="0027631D">
      <w:pPr>
        <w:pStyle w:val="Prrafodelista"/>
        <w:spacing w:line="23" w:lineRule="atLeast"/>
        <w:ind w:left="0"/>
        <w:contextualSpacing/>
        <w:jc w:val="both"/>
        <w:rPr>
          <w:rFonts w:cs="Arial"/>
          <w:sz w:val="22"/>
          <w:szCs w:val="22"/>
        </w:rPr>
      </w:pPr>
      <w:r w:rsidRPr="0027631D">
        <w:rPr>
          <w:rFonts w:cs="Arial"/>
          <w:sz w:val="22"/>
          <w:szCs w:val="22"/>
        </w:rPr>
        <w:t>Por tanto, los artículos 54</w:t>
      </w:r>
      <w:r w:rsidR="008807A1" w:rsidRPr="0027631D">
        <w:rPr>
          <w:rFonts w:cs="Arial"/>
          <w:sz w:val="22"/>
          <w:szCs w:val="22"/>
        </w:rPr>
        <w:t>,</w:t>
      </w:r>
      <w:r w:rsidRPr="0027631D">
        <w:rPr>
          <w:rFonts w:cs="Arial"/>
          <w:sz w:val="22"/>
          <w:szCs w:val="22"/>
        </w:rPr>
        <w:t xml:space="preserve"> 55, fracción II </w:t>
      </w:r>
      <w:r w:rsidR="008807A1" w:rsidRPr="0027631D">
        <w:rPr>
          <w:rFonts w:cs="Arial"/>
          <w:sz w:val="22"/>
          <w:szCs w:val="22"/>
        </w:rPr>
        <w:t xml:space="preserve">y 56 </w:t>
      </w:r>
      <w:r w:rsidRPr="0027631D">
        <w:rPr>
          <w:rFonts w:cs="Arial"/>
          <w:sz w:val="22"/>
          <w:szCs w:val="22"/>
        </w:rPr>
        <w:t xml:space="preserve">de la Ley, en la parte </w:t>
      </w:r>
      <w:r w:rsidR="004B756F">
        <w:rPr>
          <w:rFonts w:cs="Arial"/>
          <w:sz w:val="22"/>
          <w:szCs w:val="22"/>
        </w:rPr>
        <w:t>aplicable</w:t>
      </w:r>
      <w:r w:rsidRPr="0027631D">
        <w:rPr>
          <w:rFonts w:cs="Arial"/>
          <w:sz w:val="22"/>
          <w:szCs w:val="22"/>
        </w:rPr>
        <w:t>, indican</w:t>
      </w:r>
      <w:r w:rsidR="008807A1" w:rsidRPr="0027631D">
        <w:rPr>
          <w:rFonts w:cs="Arial"/>
          <w:sz w:val="22"/>
          <w:szCs w:val="22"/>
        </w:rPr>
        <w:t xml:space="preserve"> lo siguiente</w:t>
      </w:r>
      <w:r w:rsidRPr="0027631D">
        <w:rPr>
          <w:rFonts w:cs="Arial"/>
          <w:sz w:val="22"/>
          <w:szCs w:val="22"/>
        </w:rPr>
        <w:t xml:space="preserve">: </w:t>
      </w:r>
    </w:p>
    <w:p w14:paraId="693669FF" w14:textId="77777777" w:rsidR="00CF471E" w:rsidRPr="0027631D" w:rsidRDefault="00CF471E" w:rsidP="0027631D">
      <w:pPr>
        <w:pStyle w:val="Texto"/>
        <w:spacing w:after="0" w:line="23" w:lineRule="atLeast"/>
        <w:ind w:firstLine="0"/>
        <w:contextualSpacing/>
        <w:rPr>
          <w:sz w:val="22"/>
          <w:szCs w:val="22"/>
        </w:rPr>
      </w:pPr>
    </w:p>
    <w:p w14:paraId="678D4D4D" w14:textId="77777777" w:rsidR="00CF471E" w:rsidRPr="00641A3B" w:rsidRDefault="00CF471E" w:rsidP="0027631D">
      <w:pPr>
        <w:pStyle w:val="Prrafodelista"/>
        <w:spacing w:line="23" w:lineRule="atLeast"/>
        <w:ind w:left="709" w:right="1324"/>
        <w:contextualSpacing/>
        <w:jc w:val="both"/>
        <w:rPr>
          <w:rStyle w:val="Ttulo3Car"/>
          <w:rFonts w:eastAsia="Arial Unicode MS"/>
          <w:b w:val="0"/>
          <w:sz w:val="22"/>
          <w:szCs w:val="22"/>
        </w:rPr>
      </w:pPr>
      <w:r w:rsidRPr="00641A3B">
        <w:rPr>
          <w:rStyle w:val="Ttulo3Car"/>
          <w:rFonts w:eastAsia="Arial Unicode MS"/>
          <w:sz w:val="22"/>
          <w:szCs w:val="22"/>
        </w:rPr>
        <w:t xml:space="preserve">“Artículo 54. </w:t>
      </w:r>
      <w:r w:rsidRPr="00641A3B">
        <w:rPr>
          <w:rStyle w:val="Ttulo3Car"/>
          <w:rFonts w:eastAsia="Arial Unicode MS"/>
          <w:b w:val="0"/>
          <w:sz w:val="22"/>
          <w:szCs w:val="22"/>
        </w:rPr>
        <w:t>El espectro radioeléctrico y los recursos orbitales son bienes del dominio público de la Nación, cuya titularidad y administración corresponden al Estado.</w:t>
      </w:r>
    </w:p>
    <w:p w14:paraId="32DB7D55" w14:textId="77777777" w:rsidR="00CF471E" w:rsidRPr="00641A3B" w:rsidRDefault="00CF471E" w:rsidP="0027631D">
      <w:pPr>
        <w:pStyle w:val="Prrafodelista"/>
        <w:spacing w:line="23" w:lineRule="atLeast"/>
        <w:ind w:left="709" w:right="1324"/>
        <w:contextualSpacing/>
        <w:jc w:val="both"/>
        <w:rPr>
          <w:rStyle w:val="Ttulo3Car"/>
          <w:rFonts w:eastAsia="Arial Unicode MS"/>
          <w:b w:val="0"/>
          <w:sz w:val="22"/>
          <w:szCs w:val="22"/>
        </w:rPr>
      </w:pPr>
    </w:p>
    <w:p w14:paraId="2963F11C" w14:textId="77777777" w:rsidR="00CF471E" w:rsidRPr="00641A3B" w:rsidRDefault="00CF471E" w:rsidP="0027631D">
      <w:pPr>
        <w:pStyle w:val="Prrafodelista"/>
        <w:spacing w:line="23" w:lineRule="atLeast"/>
        <w:ind w:left="709" w:right="1324"/>
        <w:contextualSpacing/>
        <w:jc w:val="both"/>
        <w:rPr>
          <w:rStyle w:val="Ttulo3Car"/>
          <w:rFonts w:eastAsia="Arial Unicode MS"/>
          <w:b w:val="0"/>
          <w:sz w:val="22"/>
          <w:szCs w:val="22"/>
        </w:rPr>
      </w:pPr>
      <w:r w:rsidRPr="00641A3B">
        <w:rPr>
          <w:rStyle w:val="Ttulo3Car"/>
          <w:rFonts w:eastAsia="Arial Unicode MS"/>
          <w:b w:val="0"/>
          <w:sz w:val="22"/>
          <w:szCs w:val="22"/>
        </w:rPr>
        <w:t xml:space="preserve">Dicha administración se ejercerá por el Instituto en el ejercicio de sus funciones según lo dispuesto por la Constitución, en esta Ley, en los tratados y acuerdos internacionales firmados por México y, en lo aplicable, siguiendo </w:t>
      </w:r>
      <w:r w:rsidRPr="00641A3B">
        <w:rPr>
          <w:rStyle w:val="Ttulo3Car"/>
          <w:rFonts w:eastAsia="Arial Unicode MS"/>
          <w:b w:val="0"/>
          <w:sz w:val="22"/>
          <w:szCs w:val="22"/>
        </w:rPr>
        <w:lastRenderedPageBreak/>
        <w:t>las recomendaciones de la Unión Internacional de Telecomunicaciones y otros organismos internacionales.</w:t>
      </w:r>
    </w:p>
    <w:p w14:paraId="7A2580BB" w14:textId="77777777" w:rsidR="00CF471E" w:rsidRPr="00641A3B" w:rsidRDefault="00CF471E" w:rsidP="0027631D">
      <w:pPr>
        <w:pStyle w:val="Prrafodelista"/>
        <w:spacing w:line="23" w:lineRule="atLeast"/>
        <w:ind w:left="709" w:right="1324"/>
        <w:contextualSpacing/>
        <w:jc w:val="both"/>
        <w:rPr>
          <w:rStyle w:val="Ttulo3Car"/>
          <w:rFonts w:eastAsia="Arial Unicode MS"/>
          <w:b w:val="0"/>
          <w:sz w:val="22"/>
          <w:szCs w:val="22"/>
        </w:rPr>
      </w:pPr>
    </w:p>
    <w:p w14:paraId="0BC883AB" w14:textId="77777777" w:rsidR="00CF471E" w:rsidRPr="00641A3B" w:rsidRDefault="00CF471E" w:rsidP="0027631D">
      <w:pPr>
        <w:pStyle w:val="Prrafodelista"/>
        <w:spacing w:line="23" w:lineRule="atLeast"/>
        <w:ind w:left="709" w:right="1324"/>
        <w:contextualSpacing/>
        <w:jc w:val="both"/>
        <w:rPr>
          <w:rStyle w:val="Ttulo3Car"/>
          <w:rFonts w:eastAsia="Arial Unicode MS"/>
          <w:b w:val="0"/>
          <w:sz w:val="22"/>
          <w:szCs w:val="22"/>
        </w:rPr>
      </w:pPr>
      <w:r w:rsidRPr="00641A3B">
        <w:rPr>
          <w:rStyle w:val="Ttulo3Car"/>
          <w:rFonts w:eastAsia="Arial Unicode MS"/>
          <w:sz w:val="22"/>
          <w:szCs w:val="22"/>
        </w:rPr>
        <w:t xml:space="preserve">La administración incluye la </w:t>
      </w:r>
      <w:r w:rsidRPr="00641A3B">
        <w:rPr>
          <w:rStyle w:val="Ttulo3Car"/>
          <w:rFonts w:eastAsia="Arial Unicode MS"/>
          <w:b w:val="0"/>
          <w:sz w:val="22"/>
          <w:szCs w:val="22"/>
        </w:rPr>
        <w:t>elaboración y aprobación de planes y programas de uso,</w:t>
      </w:r>
      <w:r w:rsidRPr="00641A3B">
        <w:rPr>
          <w:rStyle w:val="Ttulo3Car"/>
          <w:rFonts w:eastAsia="Arial Unicode MS"/>
          <w:sz w:val="22"/>
          <w:szCs w:val="22"/>
        </w:rPr>
        <w:t xml:space="preserve"> el establecimiento de las condiciones para la atribución de una banda de frecuencias</w:t>
      </w:r>
      <w:r w:rsidRPr="00641A3B">
        <w:rPr>
          <w:rStyle w:val="Ttulo3Car"/>
          <w:rFonts w:eastAsia="Arial Unicode MS"/>
          <w:b w:val="0"/>
          <w:sz w:val="22"/>
          <w:szCs w:val="22"/>
        </w:rPr>
        <w:t>, el otorgamiento de las concesiones, la supervisión de las emisiones radioeléctricas y la aplicación del régimen de sanciones, sin menoscabo de las atribuciones que corresponden al Ejecutivo Federal.</w:t>
      </w:r>
    </w:p>
    <w:p w14:paraId="266FE2CE" w14:textId="77777777" w:rsidR="00CF471E" w:rsidRPr="00641A3B" w:rsidRDefault="00CF471E" w:rsidP="0027631D">
      <w:pPr>
        <w:pStyle w:val="Prrafodelista"/>
        <w:spacing w:line="23" w:lineRule="atLeast"/>
        <w:ind w:left="709" w:right="1324"/>
        <w:contextualSpacing/>
        <w:jc w:val="both"/>
        <w:rPr>
          <w:rStyle w:val="Ttulo3Car"/>
          <w:rFonts w:eastAsia="Arial Unicode MS"/>
          <w:b w:val="0"/>
          <w:sz w:val="22"/>
          <w:szCs w:val="22"/>
        </w:rPr>
      </w:pPr>
    </w:p>
    <w:p w14:paraId="2D5CCEB5" w14:textId="77777777" w:rsidR="00CF471E" w:rsidRPr="00641A3B" w:rsidRDefault="00CF471E" w:rsidP="0027631D">
      <w:pPr>
        <w:pStyle w:val="Prrafodelista"/>
        <w:spacing w:line="23" w:lineRule="atLeast"/>
        <w:ind w:left="709" w:right="1324"/>
        <w:contextualSpacing/>
        <w:jc w:val="both"/>
        <w:rPr>
          <w:rStyle w:val="Ttulo3Car"/>
          <w:rFonts w:eastAsia="Arial Unicode MS"/>
          <w:b w:val="0"/>
          <w:sz w:val="22"/>
          <w:szCs w:val="22"/>
        </w:rPr>
      </w:pPr>
      <w:r w:rsidRPr="00641A3B">
        <w:rPr>
          <w:rStyle w:val="Ttulo3Car"/>
          <w:rFonts w:eastAsia="Arial Unicode MS"/>
          <w:b w:val="0"/>
          <w:sz w:val="22"/>
          <w:szCs w:val="22"/>
        </w:rPr>
        <w:t>Al administrar el espectro, el Instituto perseguirá los siguientes objetivos generales en beneficio de los usuarios:</w:t>
      </w:r>
    </w:p>
    <w:p w14:paraId="5C72AF5F" w14:textId="77777777" w:rsidR="00CF471E" w:rsidRPr="00641A3B" w:rsidRDefault="00CF471E" w:rsidP="0027631D">
      <w:pPr>
        <w:pStyle w:val="Prrafodelista"/>
        <w:spacing w:line="23" w:lineRule="atLeast"/>
        <w:ind w:left="709" w:right="1324"/>
        <w:contextualSpacing/>
        <w:jc w:val="both"/>
        <w:rPr>
          <w:rStyle w:val="Ttulo3Car"/>
          <w:rFonts w:eastAsia="Arial Unicode MS"/>
          <w:b w:val="0"/>
          <w:sz w:val="22"/>
          <w:szCs w:val="22"/>
        </w:rPr>
      </w:pPr>
    </w:p>
    <w:p w14:paraId="36BEC380" w14:textId="77777777" w:rsidR="00CF471E" w:rsidRPr="00641A3B" w:rsidRDefault="00CF471E" w:rsidP="00E36991">
      <w:pPr>
        <w:pStyle w:val="Prrafodelista"/>
        <w:numPr>
          <w:ilvl w:val="0"/>
          <w:numId w:val="2"/>
        </w:numPr>
        <w:pBdr>
          <w:top w:val="nil"/>
          <w:left w:val="nil"/>
          <w:bottom w:val="nil"/>
          <w:right w:val="nil"/>
          <w:between w:val="nil"/>
          <w:bar w:val="nil"/>
        </w:pBdr>
        <w:tabs>
          <w:tab w:val="left" w:pos="1134"/>
        </w:tabs>
        <w:spacing w:line="23" w:lineRule="atLeast"/>
        <w:ind w:left="709" w:right="1324" w:firstLine="0"/>
        <w:contextualSpacing/>
        <w:jc w:val="both"/>
        <w:rPr>
          <w:rStyle w:val="Ttulo3Car"/>
          <w:rFonts w:eastAsia="Arial Unicode MS"/>
          <w:b w:val="0"/>
          <w:sz w:val="22"/>
          <w:szCs w:val="22"/>
        </w:rPr>
      </w:pPr>
      <w:r w:rsidRPr="00641A3B">
        <w:rPr>
          <w:rStyle w:val="Ttulo3Car"/>
          <w:rFonts w:eastAsia="Arial Unicode MS"/>
          <w:b w:val="0"/>
          <w:sz w:val="22"/>
          <w:szCs w:val="22"/>
        </w:rPr>
        <w:t>La seguridad de la vida;</w:t>
      </w:r>
    </w:p>
    <w:p w14:paraId="4F5EE63B" w14:textId="77777777" w:rsidR="00112B16" w:rsidRPr="00641A3B" w:rsidRDefault="00112B16" w:rsidP="0027631D">
      <w:pPr>
        <w:pStyle w:val="Prrafodelista"/>
        <w:pBdr>
          <w:top w:val="nil"/>
          <w:left w:val="nil"/>
          <w:bottom w:val="nil"/>
          <w:right w:val="nil"/>
          <w:between w:val="nil"/>
          <w:bar w:val="nil"/>
        </w:pBdr>
        <w:tabs>
          <w:tab w:val="left" w:pos="1134"/>
        </w:tabs>
        <w:spacing w:line="23" w:lineRule="atLeast"/>
        <w:ind w:left="709" w:right="1324"/>
        <w:contextualSpacing/>
        <w:jc w:val="both"/>
        <w:rPr>
          <w:rStyle w:val="Ttulo3Car"/>
          <w:rFonts w:eastAsia="Arial Unicode MS"/>
          <w:b w:val="0"/>
          <w:sz w:val="22"/>
          <w:szCs w:val="22"/>
        </w:rPr>
      </w:pPr>
    </w:p>
    <w:p w14:paraId="06B35262" w14:textId="77777777" w:rsidR="00CF471E" w:rsidRPr="00641A3B" w:rsidRDefault="00CF471E" w:rsidP="00E36991">
      <w:pPr>
        <w:pStyle w:val="Prrafodelista"/>
        <w:numPr>
          <w:ilvl w:val="0"/>
          <w:numId w:val="2"/>
        </w:numPr>
        <w:pBdr>
          <w:top w:val="nil"/>
          <w:left w:val="nil"/>
          <w:bottom w:val="nil"/>
          <w:right w:val="nil"/>
          <w:between w:val="nil"/>
          <w:bar w:val="nil"/>
        </w:pBdr>
        <w:tabs>
          <w:tab w:val="left" w:pos="1134"/>
        </w:tabs>
        <w:spacing w:line="23" w:lineRule="atLeast"/>
        <w:ind w:left="709" w:right="1324" w:firstLine="0"/>
        <w:contextualSpacing/>
        <w:jc w:val="both"/>
        <w:rPr>
          <w:rStyle w:val="Ttulo3Car"/>
          <w:rFonts w:eastAsia="Arial Unicode MS"/>
          <w:b w:val="0"/>
          <w:sz w:val="22"/>
          <w:szCs w:val="22"/>
        </w:rPr>
      </w:pPr>
      <w:r w:rsidRPr="00641A3B">
        <w:rPr>
          <w:rStyle w:val="Ttulo3Car"/>
          <w:rFonts w:eastAsia="Arial Unicode MS"/>
          <w:b w:val="0"/>
          <w:sz w:val="22"/>
          <w:szCs w:val="22"/>
        </w:rPr>
        <w:t>La promoción de la cohesión social, regional o territorial;</w:t>
      </w:r>
    </w:p>
    <w:p w14:paraId="286C3120" w14:textId="77777777" w:rsidR="00112B16" w:rsidRPr="00641A3B" w:rsidRDefault="00112B16" w:rsidP="0027631D">
      <w:pPr>
        <w:pStyle w:val="Prrafodelista"/>
        <w:spacing w:line="23" w:lineRule="atLeast"/>
        <w:contextualSpacing/>
        <w:rPr>
          <w:rStyle w:val="Ttulo3Car"/>
          <w:rFonts w:eastAsia="Arial Unicode MS"/>
          <w:b w:val="0"/>
          <w:sz w:val="22"/>
          <w:szCs w:val="22"/>
        </w:rPr>
      </w:pPr>
    </w:p>
    <w:p w14:paraId="59A562F4" w14:textId="77777777" w:rsidR="00CF471E" w:rsidRPr="00641A3B" w:rsidRDefault="00CF471E" w:rsidP="00E36991">
      <w:pPr>
        <w:pStyle w:val="Prrafodelista"/>
        <w:numPr>
          <w:ilvl w:val="0"/>
          <w:numId w:val="2"/>
        </w:numPr>
        <w:tabs>
          <w:tab w:val="left" w:pos="1134"/>
        </w:tabs>
        <w:spacing w:line="23" w:lineRule="atLeast"/>
        <w:ind w:left="1134" w:right="1324" w:hanging="425"/>
        <w:contextualSpacing/>
        <w:jc w:val="both"/>
        <w:rPr>
          <w:rStyle w:val="Ttulo3Car"/>
          <w:rFonts w:eastAsia="Arial Unicode MS"/>
          <w:b w:val="0"/>
          <w:sz w:val="22"/>
          <w:szCs w:val="22"/>
        </w:rPr>
      </w:pPr>
      <w:r w:rsidRPr="00641A3B">
        <w:rPr>
          <w:rStyle w:val="Ttulo3Car"/>
          <w:rFonts w:eastAsia="Arial Unicode MS"/>
          <w:b w:val="0"/>
          <w:sz w:val="22"/>
          <w:szCs w:val="22"/>
        </w:rPr>
        <w:t>La competencia efectiva en los mercados convergentes de los sectores de telecomunicaciones y radiodifusión;</w:t>
      </w:r>
    </w:p>
    <w:p w14:paraId="38D20BAC" w14:textId="77777777" w:rsidR="00112B16" w:rsidRPr="00641A3B" w:rsidRDefault="00112B16" w:rsidP="0027631D">
      <w:pPr>
        <w:pStyle w:val="Prrafodelista"/>
        <w:spacing w:line="23" w:lineRule="atLeast"/>
        <w:contextualSpacing/>
        <w:rPr>
          <w:rStyle w:val="Ttulo3Car"/>
          <w:rFonts w:eastAsia="Arial Unicode MS"/>
          <w:b w:val="0"/>
          <w:sz w:val="22"/>
          <w:szCs w:val="22"/>
        </w:rPr>
      </w:pPr>
    </w:p>
    <w:p w14:paraId="6D16A7F0" w14:textId="77777777" w:rsidR="00CF471E" w:rsidRPr="00641A3B" w:rsidRDefault="00CF471E" w:rsidP="00E36991">
      <w:pPr>
        <w:pStyle w:val="Prrafodelista"/>
        <w:numPr>
          <w:ilvl w:val="0"/>
          <w:numId w:val="2"/>
        </w:numPr>
        <w:tabs>
          <w:tab w:val="left" w:pos="1134"/>
        </w:tabs>
        <w:spacing w:line="23" w:lineRule="atLeast"/>
        <w:ind w:left="1134" w:right="1324" w:hanging="425"/>
        <w:contextualSpacing/>
        <w:jc w:val="both"/>
        <w:rPr>
          <w:rStyle w:val="Ttulo3Car"/>
          <w:rFonts w:eastAsia="Arial Unicode MS"/>
          <w:sz w:val="22"/>
          <w:szCs w:val="22"/>
        </w:rPr>
      </w:pPr>
      <w:r w:rsidRPr="00641A3B">
        <w:rPr>
          <w:rStyle w:val="Ttulo3Car"/>
          <w:rFonts w:eastAsia="Arial Unicode MS"/>
          <w:sz w:val="22"/>
          <w:szCs w:val="22"/>
        </w:rPr>
        <w:t>El uso eficaz del espectro y su protección;</w:t>
      </w:r>
    </w:p>
    <w:p w14:paraId="193595F4" w14:textId="77777777" w:rsidR="00112B16" w:rsidRPr="00641A3B" w:rsidRDefault="00112B16" w:rsidP="0027631D">
      <w:pPr>
        <w:pStyle w:val="Prrafodelista"/>
        <w:spacing w:line="23" w:lineRule="atLeast"/>
        <w:contextualSpacing/>
        <w:rPr>
          <w:rStyle w:val="Ttulo3Car"/>
          <w:rFonts w:eastAsia="Arial Unicode MS"/>
          <w:sz w:val="22"/>
          <w:szCs w:val="22"/>
        </w:rPr>
      </w:pPr>
    </w:p>
    <w:p w14:paraId="37C67D8B" w14:textId="77777777" w:rsidR="00CF471E" w:rsidRPr="00641A3B" w:rsidRDefault="00CF471E" w:rsidP="00E36991">
      <w:pPr>
        <w:pStyle w:val="Prrafodelista"/>
        <w:numPr>
          <w:ilvl w:val="0"/>
          <w:numId w:val="2"/>
        </w:numPr>
        <w:tabs>
          <w:tab w:val="left" w:pos="1134"/>
        </w:tabs>
        <w:spacing w:line="23" w:lineRule="atLeast"/>
        <w:ind w:left="1134" w:right="1324" w:hanging="425"/>
        <w:contextualSpacing/>
        <w:jc w:val="both"/>
        <w:rPr>
          <w:rStyle w:val="Ttulo3Car"/>
          <w:rFonts w:eastAsia="Arial Unicode MS"/>
          <w:b w:val="0"/>
          <w:sz w:val="22"/>
          <w:szCs w:val="22"/>
        </w:rPr>
      </w:pPr>
      <w:r w:rsidRPr="00641A3B">
        <w:rPr>
          <w:rStyle w:val="Ttulo3Car"/>
          <w:rFonts w:eastAsia="Arial Unicode MS"/>
          <w:b w:val="0"/>
          <w:sz w:val="22"/>
          <w:szCs w:val="22"/>
        </w:rPr>
        <w:t>La garantía del espectro necesario para los fines y funciones del Ejecutivo Federal;</w:t>
      </w:r>
    </w:p>
    <w:p w14:paraId="54CB1769" w14:textId="77777777" w:rsidR="00112B16" w:rsidRPr="00641A3B" w:rsidRDefault="00112B16" w:rsidP="0027631D">
      <w:pPr>
        <w:pStyle w:val="Prrafodelista"/>
        <w:spacing w:line="23" w:lineRule="atLeast"/>
        <w:contextualSpacing/>
        <w:rPr>
          <w:rStyle w:val="Ttulo3Car"/>
          <w:rFonts w:eastAsia="Arial Unicode MS"/>
          <w:b w:val="0"/>
          <w:sz w:val="22"/>
          <w:szCs w:val="22"/>
        </w:rPr>
      </w:pPr>
    </w:p>
    <w:p w14:paraId="0E4DEFCA" w14:textId="77777777" w:rsidR="00CF471E" w:rsidRPr="00641A3B" w:rsidRDefault="00CF471E" w:rsidP="00E36991">
      <w:pPr>
        <w:pStyle w:val="Prrafodelista"/>
        <w:numPr>
          <w:ilvl w:val="0"/>
          <w:numId w:val="2"/>
        </w:numPr>
        <w:tabs>
          <w:tab w:val="left" w:pos="1134"/>
        </w:tabs>
        <w:spacing w:line="23" w:lineRule="atLeast"/>
        <w:ind w:left="1134" w:right="1324" w:hanging="425"/>
        <w:contextualSpacing/>
        <w:jc w:val="both"/>
        <w:rPr>
          <w:rStyle w:val="Ttulo3Car"/>
          <w:rFonts w:eastAsia="Arial Unicode MS"/>
          <w:sz w:val="22"/>
          <w:szCs w:val="22"/>
        </w:rPr>
      </w:pPr>
      <w:r w:rsidRPr="00641A3B">
        <w:rPr>
          <w:rStyle w:val="Ttulo3Car"/>
          <w:rFonts w:eastAsia="Arial Unicode MS"/>
          <w:b w:val="0"/>
          <w:sz w:val="22"/>
          <w:szCs w:val="22"/>
        </w:rPr>
        <w:t>La inversión eficiente en infraestructuras, la innovación y el desarrollo de la industria de productos y servicios convergentes;</w:t>
      </w:r>
    </w:p>
    <w:p w14:paraId="5EF4C749" w14:textId="77777777" w:rsidR="00112B16" w:rsidRPr="00641A3B" w:rsidRDefault="00112B16" w:rsidP="0027631D">
      <w:pPr>
        <w:pStyle w:val="Prrafodelista"/>
        <w:spacing w:line="23" w:lineRule="atLeast"/>
        <w:contextualSpacing/>
        <w:rPr>
          <w:rStyle w:val="Ttulo3Car"/>
          <w:rFonts w:eastAsia="Arial Unicode MS"/>
          <w:sz w:val="22"/>
          <w:szCs w:val="22"/>
        </w:rPr>
      </w:pPr>
    </w:p>
    <w:p w14:paraId="6F8E307B" w14:textId="77777777" w:rsidR="00CF471E" w:rsidRPr="00641A3B" w:rsidRDefault="00CF471E" w:rsidP="00E36991">
      <w:pPr>
        <w:pStyle w:val="Prrafodelista"/>
        <w:numPr>
          <w:ilvl w:val="0"/>
          <w:numId w:val="2"/>
        </w:numPr>
        <w:tabs>
          <w:tab w:val="left" w:pos="1134"/>
        </w:tabs>
        <w:spacing w:line="23" w:lineRule="atLeast"/>
        <w:ind w:left="1134" w:right="1324" w:hanging="425"/>
        <w:contextualSpacing/>
        <w:jc w:val="both"/>
        <w:rPr>
          <w:rStyle w:val="Ttulo3Car"/>
          <w:rFonts w:eastAsia="Arial Unicode MS"/>
          <w:sz w:val="22"/>
          <w:szCs w:val="22"/>
        </w:rPr>
      </w:pPr>
      <w:r w:rsidRPr="00641A3B">
        <w:rPr>
          <w:rStyle w:val="Ttulo3Car"/>
          <w:rFonts w:eastAsia="Arial Unicode MS"/>
          <w:sz w:val="22"/>
          <w:szCs w:val="22"/>
        </w:rPr>
        <w:t>El fomento de la neutralidad tecnológica, y</w:t>
      </w:r>
    </w:p>
    <w:p w14:paraId="3CE6CD47" w14:textId="77777777" w:rsidR="00112B16" w:rsidRPr="00641A3B" w:rsidRDefault="00112B16" w:rsidP="0027631D">
      <w:pPr>
        <w:pStyle w:val="Prrafodelista"/>
        <w:spacing w:line="23" w:lineRule="atLeast"/>
        <w:contextualSpacing/>
        <w:rPr>
          <w:rStyle w:val="Ttulo3Car"/>
          <w:rFonts w:eastAsia="Arial Unicode MS"/>
          <w:sz w:val="22"/>
          <w:szCs w:val="22"/>
        </w:rPr>
      </w:pPr>
    </w:p>
    <w:p w14:paraId="7D5DFA86" w14:textId="77777777" w:rsidR="00CF471E" w:rsidRPr="00641A3B" w:rsidRDefault="00CF471E" w:rsidP="00E36991">
      <w:pPr>
        <w:pStyle w:val="Prrafodelista"/>
        <w:numPr>
          <w:ilvl w:val="0"/>
          <w:numId w:val="2"/>
        </w:numPr>
        <w:tabs>
          <w:tab w:val="left" w:pos="1134"/>
        </w:tabs>
        <w:spacing w:line="23" w:lineRule="atLeast"/>
        <w:ind w:left="1134" w:right="1324" w:hanging="425"/>
        <w:contextualSpacing/>
        <w:jc w:val="both"/>
        <w:rPr>
          <w:rStyle w:val="Ttulo3Car"/>
          <w:rFonts w:eastAsia="Arial Unicode MS"/>
          <w:sz w:val="22"/>
          <w:szCs w:val="22"/>
        </w:rPr>
      </w:pPr>
      <w:r w:rsidRPr="00641A3B">
        <w:rPr>
          <w:rStyle w:val="Ttulo3Car"/>
          <w:rFonts w:eastAsia="Arial Unicode MS"/>
          <w:sz w:val="22"/>
          <w:szCs w:val="22"/>
        </w:rPr>
        <w:t>El cumplimiento de lo dispuesto por los artículos 2o., 6o., 7o. y 28 de la Constitución.</w:t>
      </w:r>
    </w:p>
    <w:p w14:paraId="1960EFCD" w14:textId="77777777" w:rsidR="00CF471E" w:rsidRPr="00641A3B" w:rsidRDefault="00CF471E" w:rsidP="0027631D">
      <w:pPr>
        <w:pStyle w:val="Prrafodelista"/>
        <w:spacing w:line="23" w:lineRule="atLeast"/>
        <w:ind w:left="709" w:right="1324"/>
        <w:contextualSpacing/>
        <w:jc w:val="both"/>
        <w:rPr>
          <w:rStyle w:val="Ttulo3Car"/>
          <w:rFonts w:eastAsia="Arial Unicode MS"/>
          <w:b w:val="0"/>
          <w:sz w:val="22"/>
          <w:szCs w:val="22"/>
        </w:rPr>
      </w:pPr>
    </w:p>
    <w:p w14:paraId="36DC4E89" w14:textId="77777777" w:rsidR="00CF471E" w:rsidRPr="00641A3B" w:rsidRDefault="00CF471E" w:rsidP="0027631D">
      <w:pPr>
        <w:pStyle w:val="Prrafodelista"/>
        <w:spacing w:line="23" w:lineRule="atLeast"/>
        <w:ind w:left="709" w:right="1324"/>
        <w:contextualSpacing/>
        <w:jc w:val="both"/>
        <w:rPr>
          <w:rStyle w:val="Ttulo3Car"/>
          <w:rFonts w:eastAsia="Arial Unicode MS"/>
          <w:b w:val="0"/>
          <w:sz w:val="22"/>
          <w:szCs w:val="22"/>
        </w:rPr>
      </w:pPr>
      <w:r w:rsidRPr="00641A3B">
        <w:rPr>
          <w:rStyle w:val="Ttulo3Car"/>
          <w:rFonts w:eastAsia="Arial Unicode MS"/>
          <w:b w:val="0"/>
          <w:sz w:val="22"/>
          <w:szCs w:val="22"/>
        </w:rPr>
        <w:t>Para la atribución de una banda de frecuencias y la concesión del espectro y recursos orbitales, el Instituto se basará en criterios objetivos, transparentes, no discriminatorios y proporcionales.”</w:t>
      </w:r>
    </w:p>
    <w:p w14:paraId="3CBDA70D" w14:textId="77777777" w:rsidR="00CF471E" w:rsidRPr="005510E7" w:rsidRDefault="00CF471E" w:rsidP="0027631D">
      <w:pPr>
        <w:pStyle w:val="Prrafodelista"/>
        <w:spacing w:line="23" w:lineRule="atLeast"/>
        <w:ind w:left="709" w:right="1324"/>
        <w:contextualSpacing/>
        <w:jc w:val="both"/>
        <w:rPr>
          <w:rStyle w:val="Ttulo3Car"/>
          <w:rFonts w:eastAsia="Arial Unicode MS"/>
          <w:b w:val="0"/>
          <w:sz w:val="22"/>
          <w:szCs w:val="22"/>
          <w:lang w:val="es-ES_tradnl"/>
        </w:rPr>
      </w:pPr>
    </w:p>
    <w:p w14:paraId="52BE69ED" w14:textId="77777777" w:rsidR="00CF471E" w:rsidRPr="00641A3B" w:rsidRDefault="00CF471E" w:rsidP="0027631D">
      <w:pPr>
        <w:pStyle w:val="Texto"/>
        <w:spacing w:after="0" w:line="23" w:lineRule="atLeast"/>
        <w:ind w:left="709" w:right="1324" w:firstLine="0"/>
        <w:contextualSpacing/>
        <w:rPr>
          <w:rStyle w:val="Ttulo3Car"/>
          <w:b w:val="0"/>
          <w:sz w:val="22"/>
          <w:szCs w:val="22"/>
        </w:rPr>
      </w:pPr>
      <w:r w:rsidRPr="00641A3B">
        <w:rPr>
          <w:rStyle w:val="Ttulo3Car"/>
          <w:sz w:val="22"/>
          <w:szCs w:val="22"/>
        </w:rPr>
        <w:t xml:space="preserve">“Artículo 55. </w:t>
      </w:r>
      <w:r w:rsidRPr="00641A3B">
        <w:rPr>
          <w:rStyle w:val="Ttulo3Car"/>
          <w:b w:val="0"/>
          <w:sz w:val="22"/>
          <w:szCs w:val="22"/>
        </w:rPr>
        <w:t>Las bandas de frecuencia del espectro radioeléctrico se clasificarán de acuerdo con lo siguiente:</w:t>
      </w:r>
    </w:p>
    <w:p w14:paraId="6DF27885" w14:textId="77777777" w:rsidR="00112B16" w:rsidRPr="00641A3B" w:rsidRDefault="00112B16" w:rsidP="0027631D">
      <w:pPr>
        <w:pStyle w:val="Texto"/>
        <w:spacing w:after="0" w:line="23" w:lineRule="atLeast"/>
        <w:ind w:left="709" w:right="1324" w:firstLine="0"/>
        <w:contextualSpacing/>
        <w:rPr>
          <w:rStyle w:val="Ttulo3Car"/>
          <w:b w:val="0"/>
          <w:sz w:val="22"/>
          <w:szCs w:val="22"/>
        </w:rPr>
      </w:pPr>
    </w:p>
    <w:p w14:paraId="0A0674D7" w14:textId="77777777" w:rsidR="00CF471E" w:rsidRPr="00641A3B" w:rsidRDefault="00CF471E" w:rsidP="0027631D">
      <w:pPr>
        <w:pStyle w:val="Texto"/>
        <w:spacing w:after="0" w:line="23" w:lineRule="atLeast"/>
        <w:ind w:left="709" w:right="1324" w:firstLine="0"/>
        <w:contextualSpacing/>
        <w:rPr>
          <w:rStyle w:val="Ttulo3Car"/>
          <w:b w:val="0"/>
          <w:sz w:val="22"/>
          <w:szCs w:val="22"/>
        </w:rPr>
      </w:pPr>
      <w:r w:rsidRPr="00641A3B">
        <w:rPr>
          <w:rStyle w:val="Ttulo3Car"/>
          <w:b w:val="0"/>
          <w:sz w:val="22"/>
          <w:szCs w:val="22"/>
        </w:rPr>
        <w:t>(…)</w:t>
      </w:r>
    </w:p>
    <w:p w14:paraId="34BD0C96" w14:textId="77777777" w:rsidR="00112B16" w:rsidRPr="00641A3B" w:rsidRDefault="00112B16" w:rsidP="0027631D">
      <w:pPr>
        <w:pStyle w:val="Texto"/>
        <w:spacing w:after="0" w:line="23" w:lineRule="atLeast"/>
        <w:ind w:left="709" w:right="1324" w:firstLine="0"/>
        <w:contextualSpacing/>
        <w:rPr>
          <w:rStyle w:val="Ttulo3Car"/>
          <w:b w:val="0"/>
          <w:sz w:val="22"/>
          <w:szCs w:val="22"/>
        </w:rPr>
      </w:pPr>
    </w:p>
    <w:p w14:paraId="53989DF9" w14:textId="77777777" w:rsidR="00CF471E" w:rsidRPr="00641A3B" w:rsidRDefault="00CF471E" w:rsidP="00E36991">
      <w:pPr>
        <w:pStyle w:val="Prrafodelista"/>
        <w:numPr>
          <w:ilvl w:val="0"/>
          <w:numId w:val="3"/>
        </w:numPr>
        <w:pBdr>
          <w:top w:val="nil"/>
          <w:left w:val="nil"/>
          <w:bottom w:val="nil"/>
          <w:right w:val="nil"/>
          <w:between w:val="nil"/>
          <w:bar w:val="nil"/>
        </w:pBdr>
        <w:spacing w:line="23" w:lineRule="atLeast"/>
        <w:ind w:left="709" w:right="1324" w:firstLine="0"/>
        <w:contextualSpacing/>
        <w:jc w:val="both"/>
        <w:rPr>
          <w:rStyle w:val="Ttulo3Car"/>
          <w:rFonts w:eastAsia="Arial Unicode MS"/>
          <w:sz w:val="22"/>
          <w:szCs w:val="22"/>
        </w:rPr>
      </w:pPr>
      <w:r w:rsidRPr="00641A3B">
        <w:rPr>
          <w:rStyle w:val="Ttulo3Car"/>
          <w:rFonts w:eastAsia="Arial Unicode MS"/>
          <w:sz w:val="22"/>
          <w:szCs w:val="22"/>
        </w:rPr>
        <w:t>Espectro libre: Son aquellas bandas de frecuencia de acceso libre, que pueden ser utilizadas por el público en general, bajo los lineamientos o especificaciones que establezca el Instituto, sin necesidad de concesión o autorización;</w:t>
      </w:r>
    </w:p>
    <w:p w14:paraId="20F13E3D" w14:textId="77777777" w:rsidR="00112B16" w:rsidRPr="00641A3B" w:rsidRDefault="00112B16" w:rsidP="0027631D">
      <w:pPr>
        <w:pStyle w:val="Texto"/>
        <w:spacing w:after="0" w:line="23" w:lineRule="atLeast"/>
        <w:ind w:left="709" w:right="1324" w:firstLine="0"/>
        <w:contextualSpacing/>
        <w:rPr>
          <w:rStyle w:val="Ttulo3Car"/>
          <w:b w:val="0"/>
          <w:sz w:val="22"/>
          <w:szCs w:val="22"/>
        </w:rPr>
      </w:pPr>
    </w:p>
    <w:p w14:paraId="61ED6966" w14:textId="77777777" w:rsidR="00CF471E" w:rsidRPr="00641A3B" w:rsidRDefault="00CF471E" w:rsidP="0027631D">
      <w:pPr>
        <w:pStyle w:val="Texto"/>
        <w:spacing w:after="0" w:line="23" w:lineRule="atLeast"/>
        <w:ind w:left="709" w:right="1324" w:firstLine="0"/>
        <w:contextualSpacing/>
        <w:rPr>
          <w:rStyle w:val="Ttulo3Car"/>
          <w:b w:val="0"/>
          <w:sz w:val="22"/>
          <w:szCs w:val="22"/>
        </w:rPr>
      </w:pPr>
      <w:r w:rsidRPr="00641A3B">
        <w:rPr>
          <w:rStyle w:val="Ttulo3Car"/>
          <w:b w:val="0"/>
          <w:sz w:val="22"/>
          <w:szCs w:val="22"/>
        </w:rPr>
        <w:t>(…)”</w:t>
      </w:r>
    </w:p>
    <w:p w14:paraId="6BF15395" w14:textId="77777777" w:rsidR="001E4BB7" w:rsidRPr="00641A3B" w:rsidRDefault="001E4BB7" w:rsidP="0027631D">
      <w:pPr>
        <w:tabs>
          <w:tab w:val="left" w:pos="8080"/>
        </w:tabs>
        <w:spacing w:after="0" w:line="23" w:lineRule="atLeast"/>
        <w:ind w:left="709" w:right="1324"/>
        <w:contextualSpacing/>
        <w:jc w:val="both"/>
        <w:rPr>
          <w:rFonts w:ascii="Arial" w:hAnsi="Arial" w:cs="Arial"/>
        </w:rPr>
      </w:pPr>
    </w:p>
    <w:p w14:paraId="242059B1" w14:textId="77777777" w:rsidR="001E4BB7" w:rsidRPr="00641A3B" w:rsidRDefault="001E4BB7" w:rsidP="0027631D">
      <w:pPr>
        <w:tabs>
          <w:tab w:val="left" w:pos="8080"/>
        </w:tabs>
        <w:spacing w:after="0" w:line="23" w:lineRule="atLeast"/>
        <w:ind w:left="709" w:right="1324"/>
        <w:contextualSpacing/>
        <w:jc w:val="both"/>
        <w:rPr>
          <w:rFonts w:ascii="Arial" w:hAnsi="Arial" w:cs="Arial"/>
        </w:rPr>
      </w:pPr>
      <w:r w:rsidRPr="00641A3B">
        <w:rPr>
          <w:rFonts w:ascii="Arial" w:hAnsi="Arial" w:cs="Arial"/>
        </w:rPr>
        <w:lastRenderedPageBreak/>
        <w:t>“</w:t>
      </w:r>
      <w:r w:rsidRPr="00641A3B">
        <w:rPr>
          <w:rFonts w:ascii="Arial" w:hAnsi="Arial" w:cs="Arial"/>
          <w:b/>
        </w:rPr>
        <w:t>Artículo 56</w:t>
      </w:r>
      <w:r w:rsidRPr="00641A3B">
        <w:rPr>
          <w:rFonts w:ascii="Arial" w:hAnsi="Arial" w:cs="Arial"/>
        </w:rPr>
        <w:t>.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p>
    <w:p w14:paraId="081D97C6" w14:textId="77777777" w:rsidR="00112B16" w:rsidRPr="00641A3B" w:rsidRDefault="00112B16" w:rsidP="0027631D">
      <w:pPr>
        <w:tabs>
          <w:tab w:val="left" w:pos="8080"/>
        </w:tabs>
        <w:spacing w:after="0" w:line="23" w:lineRule="atLeast"/>
        <w:ind w:left="709" w:right="1324"/>
        <w:contextualSpacing/>
        <w:jc w:val="both"/>
        <w:rPr>
          <w:rFonts w:ascii="Arial" w:hAnsi="Arial" w:cs="Arial"/>
        </w:rPr>
      </w:pPr>
    </w:p>
    <w:p w14:paraId="72542A71" w14:textId="77777777" w:rsidR="001E4BB7" w:rsidRPr="00641A3B" w:rsidRDefault="001E4BB7" w:rsidP="0027631D">
      <w:pPr>
        <w:tabs>
          <w:tab w:val="left" w:pos="8080"/>
        </w:tabs>
        <w:spacing w:after="0" w:line="23" w:lineRule="atLeast"/>
        <w:ind w:left="709" w:right="1324"/>
        <w:contextualSpacing/>
        <w:jc w:val="both"/>
        <w:rPr>
          <w:rFonts w:ascii="Arial" w:hAnsi="Arial" w:cs="Arial"/>
        </w:rPr>
      </w:pPr>
      <w:r w:rsidRPr="00641A3B">
        <w:rPr>
          <w:rFonts w:ascii="Arial" w:hAnsi="Arial" w:cs="Arial"/>
        </w:rPr>
        <w:t>(...)</w:t>
      </w:r>
    </w:p>
    <w:p w14:paraId="21ED3500" w14:textId="77777777" w:rsidR="00112B16" w:rsidRPr="00641A3B" w:rsidRDefault="00112B16" w:rsidP="0027631D">
      <w:pPr>
        <w:tabs>
          <w:tab w:val="left" w:pos="8080"/>
        </w:tabs>
        <w:spacing w:after="0" w:line="23" w:lineRule="atLeast"/>
        <w:ind w:left="709" w:right="1324"/>
        <w:contextualSpacing/>
        <w:jc w:val="both"/>
        <w:rPr>
          <w:rFonts w:ascii="Arial" w:hAnsi="Arial" w:cs="Arial"/>
        </w:rPr>
      </w:pPr>
    </w:p>
    <w:p w14:paraId="241715E5" w14:textId="77777777" w:rsidR="001E4BB7" w:rsidRPr="00641A3B" w:rsidRDefault="001E4BB7" w:rsidP="0027631D">
      <w:pPr>
        <w:tabs>
          <w:tab w:val="left" w:pos="8080"/>
        </w:tabs>
        <w:spacing w:after="0" w:line="23" w:lineRule="atLeast"/>
        <w:ind w:left="709" w:right="1324"/>
        <w:contextualSpacing/>
        <w:jc w:val="both"/>
        <w:rPr>
          <w:rFonts w:ascii="Arial" w:hAnsi="Arial" w:cs="Arial"/>
        </w:rPr>
      </w:pPr>
      <w:r w:rsidRPr="00641A3B">
        <w:rPr>
          <w:rFonts w:ascii="Arial" w:hAnsi="Arial" w:cs="Arial"/>
        </w:rPr>
        <w:t>Todo uso, aprovechamiento o explotación de bandas de frecuencias deberá realizarse de conformidad con lo establecido en el Cuadro Nacional de Atribución de Frecuencias y demás disposiciones aplicables.”</w:t>
      </w:r>
    </w:p>
    <w:p w14:paraId="24AFC451" w14:textId="77777777" w:rsidR="007A2F75" w:rsidRPr="0027631D" w:rsidRDefault="007A2F75" w:rsidP="0027631D">
      <w:pPr>
        <w:pStyle w:val="ANOTACION"/>
        <w:spacing w:before="0" w:after="0" w:line="23" w:lineRule="atLeast"/>
        <w:contextualSpacing/>
        <w:jc w:val="both"/>
        <w:rPr>
          <w:rFonts w:ascii="Arial" w:hAnsi="Arial" w:cs="Arial"/>
          <w:b w:val="0"/>
          <w:bCs/>
          <w:sz w:val="22"/>
          <w:szCs w:val="22"/>
          <w:lang w:eastAsia="es-MX"/>
        </w:rPr>
      </w:pPr>
    </w:p>
    <w:p w14:paraId="060B0DE7" w14:textId="77777777" w:rsidR="001E4BB7" w:rsidRPr="0027631D" w:rsidRDefault="001E4BB7" w:rsidP="0027631D">
      <w:pPr>
        <w:pStyle w:val="ANOTACION"/>
        <w:spacing w:before="0" w:after="0" w:line="23" w:lineRule="atLeast"/>
        <w:contextualSpacing/>
        <w:jc w:val="both"/>
        <w:rPr>
          <w:rFonts w:ascii="Arial" w:hAnsi="Arial" w:cs="Arial"/>
          <w:b w:val="0"/>
          <w:kern w:val="2"/>
          <w:sz w:val="22"/>
          <w:szCs w:val="22"/>
          <w:lang w:val="es-ES" w:eastAsia="ar-SA"/>
        </w:rPr>
      </w:pPr>
      <w:r w:rsidRPr="0027631D">
        <w:rPr>
          <w:rFonts w:ascii="Arial" w:hAnsi="Arial" w:cs="Arial"/>
          <w:b w:val="0"/>
          <w:kern w:val="2"/>
          <w:sz w:val="22"/>
          <w:szCs w:val="22"/>
          <w:lang w:val="es-ES" w:eastAsia="ar-SA"/>
        </w:rPr>
        <w:t>De lo anterior, se advierte con claridad, en cuanto a la administración del espectro radioeléctrico, lo siguiente:</w:t>
      </w:r>
    </w:p>
    <w:p w14:paraId="71210C6A" w14:textId="77777777" w:rsidR="001E4BB7" w:rsidRPr="0027631D" w:rsidRDefault="001E4BB7" w:rsidP="0027631D">
      <w:pPr>
        <w:spacing w:after="0" w:line="23" w:lineRule="atLeast"/>
        <w:contextualSpacing/>
        <w:rPr>
          <w:rFonts w:ascii="Arial" w:hAnsi="Arial" w:cs="Arial"/>
          <w:lang w:val="es-ES" w:eastAsia="ar-SA"/>
        </w:rPr>
      </w:pPr>
    </w:p>
    <w:p w14:paraId="1BE632E0" w14:textId="128E38F5" w:rsidR="001E4BB7" w:rsidRPr="0027631D" w:rsidRDefault="001E4BB7" w:rsidP="00E36991">
      <w:pPr>
        <w:pStyle w:val="Prrafodelista"/>
        <w:numPr>
          <w:ilvl w:val="0"/>
          <w:numId w:val="7"/>
        </w:numPr>
        <w:spacing w:line="23" w:lineRule="atLeast"/>
        <w:contextualSpacing/>
        <w:jc w:val="both"/>
        <w:rPr>
          <w:rFonts w:cs="Arial"/>
          <w:sz w:val="22"/>
          <w:szCs w:val="22"/>
        </w:rPr>
      </w:pPr>
      <w:r w:rsidRPr="0027631D">
        <w:rPr>
          <w:rFonts w:cs="Arial"/>
          <w:sz w:val="22"/>
          <w:szCs w:val="22"/>
        </w:rPr>
        <w:t>La administración del espectro radioeléctrico como bien de dominio público de la Nación se ejercerá por el Instituto, según lo dispuesto por la Constitución, la Ley, los tratados y acuerdos internacionales firmados por México y, en lo aplicable</w:t>
      </w:r>
      <w:r w:rsidR="000F734F">
        <w:rPr>
          <w:rFonts w:cs="Arial"/>
          <w:sz w:val="22"/>
          <w:szCs w:val="22"/>
        </w:rPr>
        <w:t>,</w:t>
      </w:r>
      <w:r w:rsidRPr="0027631D">
        <w:rPr>
          <w:rFonts w:cs="Arial"/>
          <w:sz w:val="22"/>
          <w:szCs w:val="22"/>
        </w:rPr>
        <w:t xml:space="preserve"> siguiendo las recomendaciones de la UIT y otros organismos internacionales</w:t>
      </w:r>
      <w:r w:rsidR="000F734F">
        <w:rPr>
          <w:rFonts w:cs="Arial"/>
          <w:sz w:val="22"/>
          <w:szCs w:val="22"/>
        </w:rPr>
        <w:t>;</w:t>
      </w:r>
    </w:p>
    <w:p w14:paraId="693A724C" w14:textId="77777777" w:rsidR="001E4BB7" w:rsidRPr="0027631D" w:rsidRDefault="001E4BB7" w:rsidP="0027631D">
      <w:pPr>
        <w:spacing w:after="0" w:line="23" w:lineRule="atLeast"/>
        <w:contextualSpacing/>
        <w:jc w:val="both"/>
        <w:rPr>
          <w:rFonts w:ascii="Arial" w:hAnsi="Arial" w:cs="Arial"/>
        </w:rPr>
      </w:pPr>
    </w:p>
    <w:p w14:paraId="023FACEC" w14:textId="6BCB8530" w:rsidR="001E4BB7" w:rsidRPr="0027631D" w:rsidRDefault="00AF512F" w:rsidP="00E36991">
      <w:pPr>
        <w:pStyle w:val="Prrafodelista"/>
        <w:numPr>
          <w:ilvl w:val="0"/>
          <w:numId w:val="7"/>
        </w:numPr>
        <w:spacing w:line="23" w:lineRule="atLeast"/>
        <w:contextualSpacing/>
        <w:jc w:val="both"/>
        <w:rPr>
          <w:rFonts w:cs="Arial"/>
          <w:sz w:val="22"/>
          <w:szCs w:val="22"/>
        </w:rPr>
      </w:pPr>
      <w:r w:rsidRPr="0027631D">
        <w:rPr>
          <w:rFonts w:cs="Arial"/>
          <w:sz w:val="22"/>
          <w:szCs w:val="22"/>
        </w:rPr>
        <w:t xml:space="preserve">Dicha </w:t>
      </w:r>
      <w:r w:rsidR="001E4BB7" w:rsidRPr="0027631D">
        <w:rPr>
          <w:rFonts w:cs="Arial"/>
          <w:sz w:val="22"/>
          <w:szCs w:val="22"/>
        </w:rPr>
        <w:t xml:space="preserve">administración comprende la elaboración y aprobación de planes y programas de su uso, </w:t>
      </w:r>
      <w:r w:rsidR="001E4BB7" w:rsidRPr="0027631D">
        <w:rPr>
          <w:rFonts w:cs="Arial"/>
          <w:b/>
          <w:sz w:val="22"/>
          <w:szCs w:val="22"/>
        </w:rPr>
        <w:t>el establecimiento de las condiciones para la atribución de una banda de frecuencias</w:t>
      </w:r>
      <w:r w:rsidR="001E4BB7" w:rsidRPr="0027631D">
        <w:rPr>
          <w:rFonts w:cs="Arial"/>
          <w:sz w:val="22"/>
          <w:szCs w:val="22"/>
        </w:rPr>
        <w:t>, el otorgamiento de las concesiones, la supervisión de las emisiones radioeléctricas y la aplicación del régimen de sanciones, sin menoscabo de las atribuciones que corresponden al Ejecutivo Federal</w:t>
      </w:r>
      <w:r w:rsidR="000F734F">
        <w:rPr>
          <w:rFonts w:cs="Arial"/>
          <w:sz w:val="22"/>
          <w:szCs w:val="22"/>
        </w:rPr>
        <w:t>;</w:t>
      </w:r>
    </w:p>
    <w:p w14:paraId="5FD98F02" w14:textId="77777777" w:rsidR="001E4BB7" w:rsidRPr="0027631D" w:rsidRDefault="001E4BB7" w:rsidP="0027631D">
      <w:pPr>
        <w:spacing w:after="0" w:line="23" w:lineRule="atLeast"/>
        <w:contextualSpacing/>
        <w:jc w:val="both"/>
        <w:rPr>
          <w:rFonts w:ascii="Arial" w:hAnsi="Arial" w:cs="Arial"/>
        </w:rPr>
      </w:pPr>
    </w:p>
    <w:p w14:paraId="38501F30" w14:textId="020295A1" w:rsidR="001E4BB7" w:rsidRPr="0027631D" w:rsidRDefault="001E4BB7" w:rsidP="00E36991">
      <w:pPr>
        <w:pStyle w:val="Prrafodelista"/>
        <w:numPr>
          <w:ilvl w:val="0"/>
          <w:numId w:val="7"/>
        </w:numPr>
        <w:spacing w:line="23" w:lineRule="atLeast"/>
        <w:contextualSpacing/>
        <w:jc w:val="both"/>
        <w:rPr>
          <w:rFonts w:cs="Arial"/>
          <w:sz w:val="22"/>
          <w:szCs w:val="22"/>
        </w:rPr>
      </w:pPr>
      <w:r w:rsidRPr="0027631D">
        <w:rPr>
          <w:rFonts w:cs="Arial"/>
          <w:sz w:val="22"/>
          <w:szCs w:val="22"/>
        </w:rPr>
        <w:t>El Instituto debe perseguir diversos objetivos generales en beneficio de los usuarios</w:t>
      </w:r>
      <w:r w:rsidR="00AF512F" w:rsidRPr="0027631D">
        <w:rPr>
          <w:rFonts w:cs="Arial"/>
          <w:sz w:val="22"/>
          <w:szCs w:val="22"/>
        </w:rPr>
        <w:t xml:space="preserve"> de servicios de telecomunicaciones</w:t>
      </w:r>
      <w:r w:rsidR="006F550F" w:rsidRPr="0027631D">
        <w:rPr>
          <w:rFonts w:cs="Arial"/>
          <w:sz w:val="22"/>
          <w:szCs w:val="22"/>
        </w:rPr>
        <w:t>.</w:t>
      </w:r>
      <w:r w:rsidR="006F550F" w:rsidRPr="0027631D">
        <w:rPr>
          <w:rFonts w:cs="Arial"/>
          <w:kern w:val="2"/>
          <w:sz w:val="22"/>
          <w:szCs w:val="22"/>
          <w:lang w:val="es-ES" w:eastAsia="ar-SA"/>
        </w:rPr>
        <w:t xml:space="preserve"> Para el caso de la </w:t>
      </w:r>
      <w:r w:rsidR="006F550F" w:rsidRPr="0027631D">
        <w:rPr>
          <w:rFonts w:cs="Arial"/>
          <w:bCs/>
          <w:kern w:val="1"/>
          <w:sz w:val="22"/>
          <w:szCs w:val="22"/>
          <w:lang w:eastAsia="ar-SA"/>
        </w:rPr>
        <w:t xml:space="preserve">modificación de las condiciones técnicas de operación de </w:t>
      </w:r>
      <w:r w:rsidR="005548AB" w:rsidRPr="0027631D">
        <w:rPr>
          <w:rFonts w:cs="Arial"/>
          <w:bCs/>
          <w:kern w:val="1"/>
          <w:sz w:val="22"/>
          <w:szCs w:val="22"/>
          <w:lang w:eastAsia="ar-SA"/>
        </w:rPr>
        <w:t xml:space="preserve">alguna </w:t>
      </w:r>
      <w:r w:rsidR="006F550F" w:rsidRPr="0027631D">
        <w:rPr>
          <w:rFonts w:cs="Arial"/>
          <w:bCs/>
          <w:kern w:val="1"/>
          <w:sz w:val="22"/>
          <w:szCs w:val="22"/>
          <w:lang w:eastAsia="ar-SA"/>
        </w:rPr>
        <w:t>banda de frecuencias clasificada como espectro libre</w:t>
      </w:r>
      <w:r w:rsidR="005548AB" w:rsidRPr="0027631D">
        <w:rPr>
          <w:rFonts w:cs="Arial"/>
          <w:bCs/>
          <w:kern w:val="1"/>
          <w:sz w:val="22"/>
          <w:szCs w:val="22"/>
          <w:lang w:eastAsia="ar-SA"/>
        </w:rPr>
        <w:t>,</w:t>
      </w:r>
      <w:r w:rsidR="006F550F" w:rsidRPr="0027631D">
        <w:rPr>
          <w:rFonts w:cs="Arial"/>
          <w:kern w:val="2"/>
          <w:sz w:val="22"/>
          <w:szCs w:val="22"/>
          <w:lang w:val="es-ES" w:eastAsia="ar-SA"/>
        </w:rPr>
        <w:t xml:space="preserve"> resultan aplicables: el uso eficaz del espectro radioeléctrico y su protección y el cumplimiento de lo dispuesto por los artículos 2o., 6o., 7o., y 28 de la Constitución</w:t>
      </w:r>
      <w:r w:rsidR="000F734F">
        <w:rPr>
          <w:rFonts w:cs="Arial"/>
          <w:kern w:val="2"/>
          <w:sz w:val="22"/>
          <w:szCs w:val="22"/>
          <w:lang w:val="es-ES" w:eastAsia="ar-SA"/>
        </w:rPr>
        <w:t>;</w:t>
      </w:r>
    </w:p>
    <w:p w14:paraId="74C94EA6" w14:textId="77777777" w:rsidR="001E4BB7" w:rsidRPr="0027631D" w:rsidRDefault="001E4BB7" w:rsidP="0027631D">
      <w:pPr>
        <w:spacing w:after="0" w:line="23" w:lineRule="atLeast"/>
        <w:contextualSpacing/>
        <w:jc w:val="both"/>
        <w:rPr>
          <w:rFonts w:ascii="Arial" w:hAnsi="Arial" w:cs="Arial"/>
        </w:rPr>
      </w:pPr>
    </w:p>
    <w:p w14:paraId="69DB2AD1" w14:textId="4E515858" w:rsidR="001E4BB7" w:rsidRPr="0027631D" w:rsidRDefault="001E4BB7" w:rsidP="00E36991">
      <w:pPr>
        <w:pStyle w:val="Prrafodelista"/>
        <w:numPr>
          <w:ilvl w:val="0"/>
          <w:numId w:val="7"/>
        </w:numPr>
        <w:spacing w:line="23" w:lineRule="atLeast"/>
        <w:contextualSpacing/>
        <w:jc w:val="both"/>
        <w:rPr>
          <w:rFonts w:cs="Arial"/>
          <w:sz w:val="22"/>
          <w:szCs w:val="22"/>
        </w:rPr>
      </w:pPr>
      <w:r w:rsidRPr="0027631D">
        <w:rPr>
          <w:rFonts w:cs="Arial"/>
          <w:sz w:val="22"/>
          <w:szCs w:val="22"/>
        </w:rPr>
        <w:t xml:space="preserve">Para una mejor administración y aprovechamiento del uso del espectro radioeléctrico, las bandas de frecuencias, atenderán la clasificación establecida en la Ley, ya sea como espectro determinado, </w:t>
      </w:r>
      <w:r w:rsidRPr="0027631D">
        <w:rPr>
          <w:rFonts w:cs="Arial"/>
          <w:b/>
          <w:sz w:val="22"/>
          <w:szCs w:val="22"/>
        </w:rPr>
        <w:t>espectro libre</w:t>
      </w:r>
      <w:r w:rsidRPr="0027631D">
        <w:rPr>
          <w:rFonts w:cs="Arial"/>
          <w:sz w:val="22"/>
          <w:szCs w:val="22"/>
        </w:rPr>
        <w:t>, espectro protegido o espectro reservado</w:t>
      </w:r>
      <w:r w:rsidR="000F734F">
        <w:rPr>
          <w:rFonts w:cs="Arial"/>
          <w:sz w:val="22"/>
          <w:szCs w:val="22"/>
        </w:rPr>
        <w:t>,</w:t>
      </w:r>
      <w:r w:rsidRPr="0027631D">
        <w:rPr>
          <w:rFonts w:cs="Arial"/>
          <w:sz w:val="22"/>
          <w:szCs w:val="22"/>
        </w:rPr>
        <w:t xml:space="preserve"> y</w:t>
      </w:r>
    </w:p>
    <w:p w14:paraId="18067F27" w14:textId="77777777" w:rsidR="001E4BB7" w:rsidRPr="0027631D" w:rsidRDefault="001E4BB7" w:rsidP="0027631D">
      <w:pPr>
        <w:spacing w:after="0" w:line="23" w:lineRule="atLeast"/>
        <w:contextualSpacing/>
        <w:jc w:val="both"/>
        <w:rPr>
          <w:rFonts w:ascii="Arial" w:hAnsi="Arial" w:cs="Arial"/>
        </w:rPr>
      </w:pPr>
    </w:p>
    <w:p w14:paraId="4C48ABDF" w14:textId="77777777" w:rsidR="001E4BB7" w:rsidRPr="0027631D" w:rsidRDefault="001E4BB7" w:rsidP="00E36991">
      <w:pPr>
        <w:pStyle w:val="Prrafodelista"/>
        <w:numPr>
          <w:ilvl w:val="0"/>
          <w:numId w:val="7"/>
        </w:numPr>
        <w:spacing w:line="23" w:lineRule="atLeast"/>
        <w:contextualSpacing/>
        <w:jc w:val="both"/>
        <w:rPr>
          <w:rFonts w:cs="Arial"/>
          <w:sz w:val="22"/>
          <w:szCs w:val="22"/>
        </w:rPr>
      </w:pPr>
      <w:r w:rsidRPr="0027631D">
        <w:rPr>
          <w:rFonts w:cs="Arial"/>
          <w:sz w:val="22"/>
          <w:szCs w:val="22"/>
        </w:rPr>
        <w:t xml:space="preserve">Las </w:t>
      </w:r>
      <w:r w:rsidRPr="0027631D" w:rsidDel="00253A08">
        <w:rPr>
          <w:rFonts w:cs="Arial"/>
          <w:sz w:val="22"/>
          <w:szCs w:val="22"/>
        </w:rPr>
        <w:t>bandas de frecuencias</w:t>
      </w:r>
      <w:r w:rsidRPr="0027631D">
        <w:rPr>
          <w:rFonts w:cs="Arial"/>
          <w:sz w:val="22"/>
          <w:szCs w:val="22"/>
        </w:rPr>
        <w:t xml:space="preserve"> clasificadas como espectro </w:t>
      </w:r>
      <w:r w:rsidR="00CA15B1" w:rsidRPr="0027631D">
        <w:rPr>
          <w:rFonts w:cs="Arial"/>
          <w:sz w:val="22"/>
          <w:szCs w:val="22"/>
        </w:rPr>
        <w:t>libre</w:t>
      </w:r>
      <w:r w:rsidRPr="0027631D">
        <w:rPr>
          <w:rFonts w:cs="Arial"/>
          <w:sz w:val="22"/>
          <w:szCs w:val="22"/>
        </w:rPr>
        <w:t xml:space="preserve"> s</w:t>
      </w:r>
      <w:r w:rsidR="00CA15B1" w:rsidRPr="0027631D">
        <w:rPr>
          <w:rFonts w:cs="Arial"/>
          <w:sz w:val="22"/>
          <w:szCs w:val="22"/>
        </w:rPr>
        <w:t>on</w:t>
      </w:r>
      <w:r w:rsidRPr="0027631D">
        <w:rPr>
          <w:rFonts w:cs="Arial"/>
          <w:sz w:val="22"/>
          <w:szCs w:val="22"/>
        </w:rPr>
        <w:t xml:space="preserve"> aquellas bandas de frecuencias</w:t>
      </w:r>
      <w:r w:rsidR="00CA15B1" w:rsidRPr="0027631D">
        <w:rPr>
          <w:rFonts w:cs="Arial"/>
          <w:sz w:val="22"/>
          <w:szCs w:val="22"/>
        </w:rPr>
        <w:t xml:space="preserve"> que pueden ser empleadas por cualquier persona, siempre y cuando se atiendan las condiciones establecidas </w:t>
      </w:r>
      <w:r w:rsidR="00AF512F" w:rsidRPr="0027631D">
        <w:rPr>
          <w:rFonts w:cs="Arial"/>
          <w:sz w:val="22"/>
          <w:szCs w:val="22"/>
        </w:rPr>
        <w:t xml:space="preserve">por el Instituto </w:t>
      </w:r>
      <w:r w:rsidR="00CA15B1" w:rsidRPr="0027631D">
        <w:rPr>
          <w:rFonts w:cs="Arial"/>
          <w:sz w:val="22"/>
          <w:szCs w:val="22"/>
        </w:rPr>
        <w:t>para el uso de la misma</w:t>
      </w:r>
      <w:r w:rsidRPr="0027631D">
        <w:rPr>
          <w:rFonts w:cs="Arial"/>
          <w:sz w:val="22"/>
          <w:szCs w:val="22"/>
        </w:rPr>
        <w:t xml:space="preserve">. </w:t>
      </w:r>
    </w:p>
    <w:p w14:paraId="1AF66667" w14:textId="77777777" w:rsidR="001E4BB7" w:rsidRPr="0027631D" w:rsidRDefault="001E4BB7" w:rsidP="0027631D">
      <w:pPr>
        <w:spacing w:after="0" w:line="23" w:lineRule="atLeast"/>
        <w:contextualSpacing/>
        <w:rPr>
          <w:rFonts w:ascii="Arial" w:hAnsi="Arial" w:cs="Arial"/>
          <w:lang w:eastAsia="es-MX"/>
        </w:rPr>
      </w:pPr>
    </w:p>
    <w:p w14:paraId="79C32F78" w14:textId="2C283AB3" w:rsidR="00AF512F" w:rsidRDefault="00AF512F" w:rsidP="0027631D">
      <w:pPr>
        <w:pStyle w:val="ANOTACION"/>
        <w:spacing w:before="0" w:after="0" w:line="23" w:lineRule="atLeast"/>
        <w:contextualSpacing/>
        <w:jc w:val="both"/>
        <w:rPr>
          <w:rFonts w:ascii="Arial" w:hAnsi="Arial" w:cs="Arial"/>
          <w:b w:val="0"/>
          <w:kern w:val="2"/>
          <w:sz w:val="22"/>
          <w:szCs w:val="22"/>
          <w:lang w:val="es-ES" w:eastAsia="ar-SA"/>
        </w:rPr>
      </w:pPr>
      <w:r w:rsidRPr="0027631D">
        <w:rPr>
          <w:rFonts w:ascii="Arial" w:hAnsi="Arial" w:cs="Arial"/>
          <w:b w:val="0"/>
          <w:kern w:val="2"/>
          <w:sz w:val="22"/>
          <w:szCs w:val="22"/>
          <w:lang w:val="es-ES" w:eastAsia="ar-SA"/>
        </w:rPr>
        <w:t>De ahí que el Instituto</w:t>
      </w:r>
      <w:r w:rsidR="006D62C7">
        <w:rPr>
          <w:rFonts w:ascii="Arial" w:hAnsi="Arial" w:cs="Arial"/>
          <w:b w:val="0"/>
          <w:kern w:val="2"/>
          <w:sz w:val="22"/>
          <w:szCs w:val="22"/>
          <w:lang w:val="es-ES" w:eastAsia="ar-SA"/>
        </w:rPr>
        <w:t>,</w:t>
      </w:r>
      <w:r w:rsidRPr="0027631D">
        <w:rPr>
          <w:rFonts w:ascii="Arial" w:hAnsi="Arial" w:cs="Arial"/>
          <w:b w:val="0"/>
          <w:kern w:val="2"/>
          <w:sz w:val="22"/>
          <w:szCs w:val="22"/>
          <w:lang w:val="es-ES" w:eastAsia="ar-SA"/>
        </w:rPr>
        <w:t xml:space="preserve"> </w:t>
      </w:r>
      <w:r w:rsidR="00CA49ED">
        <w:rPr>
          <w:rFonts w:ascii="Arial" w:hAnsi="Arial" w:cs="Arial"/>
          <w:b w:val="0"/>
          <w:kern w:val="2"/>
          <w:sz w:val="22"/>
          <w:szCs w:val="22"/>
          <w:lang w:val="es-ES" w:eastAsia="ar-SA"/>
        </w:rPr>
        <w:t>cuyo objeto es regular y promover el</w:t>
      </w:r>
      <w:r w:rsidRPr="0027631D">
        <w:rPr>
          <w:rFonts w:ascii="Arial" w:hAnsi="Arial" w:cs="Arial"/>
          <w:b w:val="0"/>
          <w:kern w:val="2"/>
          <w:sz w:val="22"/>
          <w:szCs w:val="22"/>
          <w:lang w:val="es-ES" w:eastAsia="ar-SA"/>
        </w:rPr>
        <w:t xml:space="preserve"> desarrollo </w:t>
      </w:r>
      <w:r w:rsidR="00CA49ED">
        <w:rPr>
          <w:rFonts w:ascii="Arial" w:hAnsi="Arial" w:cs="Arial"/>
          <w:b w:val="0"/>
          <w:kern w:val="2"/>
          <w:sz w:val="22"/>
          <w:szCs w:val="22"/>
          <w:lang w:val="es-ES" w:eastAsia="ar-SA"/>
        </w:rPr>
        <w:t>eficiente</w:t>
      </w:r>
      <w:r w:rsidR="00CA49ED" w:rsidRPr="0027631D">
        <w:rPr>
          <w:rFonts w:ascii="Arial" w:hAnsi="Arial" w:cs="Arial"/>
          <w:b w:val="0"/>
          <w:kern w:val="2"/>
          <w:sz w:val="22"/>
          <w:szCs w:val="22"/>
          <w:lang w:val="es-ES" w:eastAsia="ar-SA"/>
        </w:rPr>
        <w:t xml:space="preserve"> </w:t>
      </w:r>
      <w:r w:rsidRPr="0027631D">
        <w:rPr>
          <w:rFonts w:ascii="Arial" w:hAnsi="Arial" w:cs="Arial"/>
          <w:b w:val="0"/>
          <w:kern w:val="2"/>
          <w:sz w:val="22"/>
          <w:szCs w:val="22"/>
          <w:lang w:val="es-ES" w:eastAsia="ar-SA"/>
        </w:rPr>
        <w:t xml:space="preserve">de las telecomunicaciones y </w:t>
      </w:r>
      <w:r w:rsidR="006D62C7">
        <w:rPr>
          <w:rFonts w:ascii="Arial" w:hAnsi="Arial" w:cs="Arial"/>
          <w:b w:val="0"/>
          <w:kern w:val="2"/>
          <w:sz w:val="22"/>
          <w:szCs w:val="22"/>
          <w:lang w:val="es-ES" w:eastAsia="ar-SA"/>
        </w:rPr>
        <w:t xml:space="preserve">la </w:t>
      </w:r>
      <w:r w:rsidRPr="0027631D">
        <w:rPr>
          <w:rFonts w:ascii="Arial" w:hAnsi="Arial" w:cs="Arial"/>
          <w:b w:val="0"/>
          <w:kern w:val="2"/>
          <w:sz w:val="22"/>
          <w:szCs w:val="22"/>
          <w:lang w:val="es-ES" w:eastAsia="ar-SA"/>
        </w:rPr>
        <w:t>radiodifusión, al observar los elementos vertidos con anterioridad, instituirá una regulación eficiente y ordenada que tenga como finalidad el aprovechamiento máximo del espectro radioeléctrico</w:t>
      </w:r>
      <w:r w:rsidR="000F734F">
        <w:rPr>
          <w:rFonts w:ascii="Arial" w:hAnsi="Arial" w:cs="Arial"/>
          <w:b w:val="0"/>
          <w:kern w:val="2"/>
          <w:sz w:val="22"/>
          <w:szCs w:val="22"/>
          <w:lang w:val="es-ES" w:eastAsia="ar-SA"/>
        </w:rPr>
        <w:t>,</w:t>
      </w:r>
      <w:r w:rsidRPr="0027631D">
        <w:rPr>
          <w:rFonts w:ascii="Arial" w:hAnsi="Arial" w:cs="Arial"/>
          <w:b w:val="0"/>
          <w:kern w:val="2"/>
          <w:sz w:val="22"/>
          <w:szCs w:val="22"/>
          <w:lang w:val="es-ES" w:eastAsia="ar-SA"/>
        </w:rPr>
        <w:t xml:space="preserve"> considerando su naturaleza de recurso finito.</w:t>
      </w:r>
    </w:p>
    <w:p w14:paraId="7B049404" w14:textId="77777777" w:rsidR="00D9027F" w:rsidRDefault="00D9027F" w:rsidP="0027631D">
      <w:pPr>
        <w:pStyle w:val="ANOTACION"/>
        <w:spacing w:before="0" w:after="0" w:line="23" w:lineRule="atLeast"/>
        <w:contextualSpacing/>
        <w:jc w:val="both"/>
        <w:rPr>
          <w:rFonts w:ascii="Arial" w:hAnsi="Arial" w:cs="Arial"/>
          <w:b w:val="0"/>
          <w:kern w:val="2"/>
          <w:sz w:val="22"/>
          <w:szCs w:val="22"/>
          <w:lang w:val="es-ES" w:eastAsia="ar-SA"/>
        </w:rPr>
      </w:pPr>
    </w:p>
    <w:p w14:paraId="4FD025D4" w14:textId="77777777" w:rsidR="006162C7" w:rsidRPr="0027631D" w:rsidRDefault="006162C7" w:rsidP="0027631D">
      <w:pPr>
        <w:pStyle w:val="ANOTACION"/>
        <w:spacing w:before="0" w:after="0" w:line="23" w:lineRule="atLeast"/>
        <w:contextualSpacing/>
        <w:jc w:val="both"/>
        <w:rPr>
          <w:rFonts w:ascii="Arial" w:hAnsi="Arial" w:cs="Arial"/>
          <w:b w:val="0"/>
          <w:sz w:val="22"/>
          <w:szCs w:val="22"/>
          <w:lang w:eastAsia="es-MX"/>
        </w:rPr>
      </w:pPr>
      <w:r w:rsidRPr="0027631D">
        <w:rPr>
          <w:rFonts w:ascii="Arial" w:hAnsi="Arial" w:cs="Arial"/>
          <w:b w:val="0"/>
          <w:sz w:val="22"/>
          <w:szCs w:val="22"/>
          <w:lang w:eastAsia="es-MX"/>
        </w:rPr>
        <w:lastRenderedPageBreak/>
        <w:t xml:space="preserve">Ahora bien, en el ámbito internacional, </w:t>
      </w:r>
      <w:r w:rsidR="00800DD3" w:rsidRPr="0027631D">
        <w:rPr>
          <w:rFonts w:ascii="Arial" w:hAnsi="Arial" w:cs="Arial"/>
          <w:b w:val="0"/>
          <w:sz w:val="22"/>
          <w:szCs w:val="22"/>
          <w:lang w:eastAsia="es-MX"/>
        </w:rPr>
        <w:t xml:space="preserve">el sector de Radiocomunicaciones de </w:t>
      </w:r>
      <w:r w:rsidRPr="0027631D">
        <w:rPr>
          <w:rFonts w:ascii="Arial" w:hAnsi="Arial" w:cs="Arial"/>
          <w:b w:val="0"/>
          <w:sz w:val="22"/>
          <w:szCs w:val="22"/>
          <w:lang w:eastAsia="es-MX"/>
        </w:rPr>
        <w:t xml:space="preserve">la UIT </w:t>
      </w:r>
      <w:r w:rsidR="00800DD3" w:rsidRPr="0027631D">
        <w:rPr>
          <w:rFonts w:ascii="Arial" w:hAnsi="Arial" w:cs="Arial"/>
          <w:b w:val="0"/>
          <w:sz w:val="22"/>
          <w:szCs w:val="22"/>
          <w:lang w:eastAsia="es-MX"/>
        </w:rPr>
        <w:t>(UIT-R)</w:t>
      </w:r>
      <w:r w:rsidR="000F734F">
        <w:rPr>
          <w:rFonts w:ascii="Arial" w:hAnsi="Arial" w:cs="Arial"/>
          <w:b w:val="0"/>
          <w:sz w:val="22"/>
          <w:szCs w:val="22"/>
          <w:lang w:eastAsia="es-MX"/>
        </w:rPr>
        <w:t>,</w:t>
      </w:r>
      <w:r w:rsidR="00800DD3" w:rsidRPr="0027631D">
        <w:rPr>
          <w:rFonts w:ascii="Arial" w:hAnsi="Arial" w:cs="Arial"/>
          <w:b w:val="0"/>
          <w:sz w:val="22"/>
          <w:szCs w:val="22"/>
          <w:lang w:eastAsia="es-MX"/>
        </w:rPr>
        <w:t xml:space="preserve"> </w:t>
      </w:r>
      <w:r w:rsidRPr="0027631D">
        <w:rPr>
          <w:rFonts w:ascii="Arial" w:hAnsi="Arial" w:cs="Arial"/>
          <w:b w:val="0"/>
          <w:sz w:val="22"/>
          <w:szCs w:val="22"/>
          <w:lang w:eastAsia="es-MX"/>
        </w:rPr>
        <w:t>a través de su Manual sobre la Gestión nacional del espectro</w:t>
      </w:r>
      <w:r w:rsidR="00800DD3" w:rsidRPr="0027631D">
        <w:rPr>
          <w:rFonts w:ascii="Arial" w:hAnsi="Arial" w:cs="Arial"/>
          <w:b w:val="0"/>
          <w:sz w:val="22"/>
          <w:szCs w:val="22"/>
          <w:lang w:eastAsia="es-MX"/>
        </w:rPr>
        <w:t>,</w:t>
      </w:r>
      <w:r w:rsidRPr="0027631D">
        <w:rPr>
          <w:rFonts w:ascii="Arial" w:hAnsi="Arial" w:cs="Arial"/>
          <w:b w:val="0"/>
          <w:sz w:val="22"/>
          <w:szCs w:val="22"/>
          <w:lang w:eastAsia="es-MX"/>
        </w:rPr>
        <w:t xml:space="preserve"> </w:t>
      </w:r>
      <w:r w:rsidR="00800DD3" w:rsidRPr="0027631D">
        <w:rPr>
          <w:rFonts w:ascii="Arial" w:hAnsi="Arial" w:cs="Arial"/>
          <w:b w:val="0"/>
          <w:sz w:val="22"/>
          <w:szCs w:val="22"/>
          <w:lang w:eastAsia="es-MX"/>
        </w:rPr>
        <w:t>edición</w:t>
      </w:r>
      <w:r w:rsidRPr="0027631D">
        <w:rPr>
          <w:rFonts w:ascii="Arial" w:hAnsi="Arial" w:cs="Arial"/>
          <w:b w:val="0"/>
          <w:sz w:val="22"/>
          <w:szCs w:val="22"/>
          <w:lang w:eastAsia="es-MX"/>
        </w:rPr>
        <w:t xml:space="preserve"> 2015</w:t>
      </w:r>
      <w:r w:rsidRPr="0027631D">
        <w:rPr>
          <w:rStyle w:val="Refdenotaalpie"/>
          <w:rFonts w:ascii="Arial" w:hAnsi="Arial" w:cs="Arial"/>
          <w:b w:val="0"/>
          <w:sz w:val="22"/>
          <w:szCs w:val="22"/>
          <w:lang w:eastAsia="es-MX"/>
        </w:rPr>
        <w:footnoteReference w:id="3"/>
      </w:r>
      <w:r w:rsidRPr="0027631D">
        <w:rPr>
          <w:rFonts w:ascii="Arial" w:hAnsi="Arial" w:cs="Arial"/>
          <w:b w:val="0"/>
          <w:sz w:val="22"/>
          <w:szCs w:val="22"/>
          <w:lang w:eastAsia="es-MX"/>
        </w:rPr>
        <w:t xml:space="preserve">, particularmente, en la Introducción del Capítulo 3, </w:t>
      </w:r>
      <w:r w:rsidRPr="005510E7">
        <w:rPr>
          <w:rFonts w:ascii="Arial" w:hAnsi="Arial" w:cs="Arial"/>
          <w:b w:val="0"/>
          <w:sz w:val="22"/>
          <w:szCs w:val="22"/>
          <w:lang w:eastAsia="es-MX"/>
        </w:rPr>
        <w:t>“</w:t>
      </w:r>
      <w:r w:rsidRPr="000A317A">
        <w:rPr>
          <w:rFonts w:ascii="Arial" w:hAnsi="Arial" w:cs="Arial"/>
          <w:b w:val="0"/>
          <w:sz w:val="22"/>
          <w:szCs w:val="22"/>
          <w:lang w:eastAsia="es-MX"/>
        </w:rPr>
        <w:t>Concesión de licencias y asignaciones de frecuencias</w:t>
      </w:r>
      <w:r w:rsidRPr="005510E7">
        <w:rPr>
          <w:rFonts w:ascii="Arial" w:hAnsi="Arial" w:cs="Arial"/>
          <w:b w:val="0"/>
          <w:sz w:val="22"/>
          <w:szCs w:val="22"/>
          <w:lang w:eastAsia="es-MX"/>
        </w:rPr>
        <w:t>”</w:t>
      </w:r>
      <w:r w:rsidR="000F734F">
        <w:rPr>
          <w:rFonts w:ascii="Arial" w:hAnsi="Arial" w:cs="Arial"/>
          <w:b w:val="0"/>
          <w:sz w:val="22"/>
          <w:szCs w:val="22"/>
          <w:lang w:eastAsia="es-MX"/>
        </w:rPr>
        <w:t>,</w:t>
      </w:r>
      <w:r w:rsidRPr="0027631D">
        <w:rPr>
          <w:rFonts w:ascii="Arial" w:hAnsi="Arial" w:cs="Arial"/>
          <w:b w:val="0"/>
          <w:sz w:val="22"/>
          <w:szCs w:val="22"/>
          <w:lang w:eastAsia="es-MX"/>
        </w:rPr>
        <w:t xml:space="preserve"> se indica lo siguiente:</w:t>
      </w:r>
    </w:p>
    <w:p w14:paraId="7F480416" w14:textId="77777777" w:rsidR="006162C7" w:rsidRPr="0027631D" w:rsidRDefault="006162C7" w:rsidP="0027631D">
      <w:pPr>
        <w:pStyle w:val="ANOTACION"/>
        <w:spacing w:before="0" w:after="0" w:line="23" w:lineRule="atLeast"/>
        <w:contextualSpacing/>
        <w:jc w:val="both"/>
        <w:rPr>
          <w:rFonts w:ascii="Arial" w:hAnsi="Arial" w:cs="Arial"/>
          <w:b w:val="0"/>
          <w:bCs/>
          <w:sz w:val="22"/>
          <w:szCs w:val="22"/>
          <w:lang w:eastAsia="es-MX"/>
        </w:rPr>
      </w:pPr>
    </w:p>
    <w:p w14:paraId="08D1CA8A" w14:textId="77777777" w:rsidR="006162C7" w:rsidRPr="000A317A" w:rsidRDefault="006162C7" w:rsidP="00900BF1">
      <w:pPr>
        <w:pStyle w:val="ANOTACION"/>
        <w:spacing w:before="0" w:after="0" w:line="23" w:lineRule="atLeast"/>
        <w:ind w:left="851" w:right="1324"/>
        <w:contextualSpacing/>
        <w:jc w:val="both"/>
        <w:rPr>
          <w:rFonts w:ascii="Arial" w:hAnsi="Arial" w:cs="Arial"/>
          <w:b w:val="0"/>
          <w:bCs/>
          <w:sz w:val="22"/>
          <w:szCs w:val="22"/>
          <w:lang w:eastAsia="es-MX"/>
        </w:rPr>
      </w:pPr>
      <w:r w:rsidRPr="000A317A">
        <w:rPr>
          <w:rFonts w:ascii="Arial" w:hAnsi="Arial" w:cs="Arial"/>
          <w:b w:val="0"/>
          <w:bCs/>
          <w:sz w:val="22"/>
          <w:szCs w:val="22"/>
          <w:lang w:eastAsia="es-MX"/>
        </w:rPr>
        <w:t xml:space="preserve">"Además de los procedimientos para la concesión de licencias y asignación de frecuencias descritos en este Capítulo, en algunos casos </w:t>
      </w:r>
      <w:r w:rsidRPr="000A317A">
        <w:rPr>
          <w:rFonts w:ascii="Arial" w:hAnsi="Arial" w:cs="Arial"/>
          <w:bCs/>
          <w:sz w:val="22"/>
          <w:szCs w:val="22"/>
          <w:u w:val="single"/>
          <w:lang w:eastAsia="es-MX"/>
        </w:rPr>
        <w:t xml:space="preserve">los responsables de la gestión del espectro podrían adoptar procedimientos exentos de licencias </w:t>
      </w:r>
      <w:r w:rsidRPr="000A317A">
        <w:rPr>
          <w:rFonts w:ascii="Arial" w:hAnsi="Arial" w:cs="Arial"/>
          <w:b w:val="0"/>
          <w:bCs/>
          <w:sz w:val="22"/>
          <w:szCs w:val="22"/>
          <w:lang w:eastAsia="es-MX"/>
        </w:rPr>
        <w:t>para algunas tecnologías, como por ejemplo Wi-Fi, Wi-Max, RFID, ultra banda ancha (UWB) y otros sistemas de corto alcance."</w:t>
      </w:r>
    </w:p>
    <w:p w14:paraId="7353BE10" w14:textId="77777777" w:rsidR="006162C7" w:rsidRPr="0027631D" w:rsidRDefault="006162C7" w:rsidP="0027631D">
      <w:pPr>
        <w:pStyle w:val="ANOTACION"/>
        <w:spacing w:before="0" w:after="0" w:line="23" w:lineRule="atLeast"/>
        <w:contextualSpacing/>
        <w:jc w:val="both"/>
        <w:rPr>
          <w:rFonts w:ascii="Arial" w:hAnsi="Arial" w:cs="Arial"/>
          <w:b w:val="0"/>
          <w:bCs/>
          <w:sz w:val="22"/>
          <w:szCs w:val="22"/>
          <w:lang w:eastAsia="es-MX"/>
        </w:rPr>
      </w:pPr>
    </w:p>
    <w:p w14:paraId="6EAF52E9" w14:textId="77777777" w:rsidR="006162C7" w:rsidRPr="0027631D" w:rsidRDefault="006162C7" w:rsidP="0027631D">
      <w:pPr>
        <w:pStyle w:val="ANOTACION"/>
        <w:spacing w:before="0" w:after="0" w:line="23" w:lineRule="atLeast"/>
        <w:contextualSpacing/>
        <w:jc w:val="both"/>
        <w:rPr>
          <w:rFonts w:ascii="Arial" w:hAnsi="Arial" w:cs="Arial"/>
          <w:b w:val="0"/>
          <w:sz w:val="22"/>
          <w:szCs w:val="22"/>
          <w:lang w:eastAsia="es-MX"/>
        </w:rPr>
      </w:pPr>
      <w:r w:rsidRPr="0027631D">
        <w:rPr>
          <w:rFonts w:ascii="Arial" w:hAnsi="Arial" w:cs="Arial"/>
          <w:b w:val="0"/>
          <w:sz w:val="22"/>
          <w:szCs w:val="22"/>
          <w:lang w:eastAsia="es-MX"/>
        </w:rPr>
        <w:t xml:space="preserve">Adicionalmente, </w:t>
      </w:r>
      <w:r w:rsidR="00896444" w:rsidRPr="0027631D">
        <w:rPr>
          <w:rFonts w:ascii="Arial" w:hAnsi="Arial" w:cs="Arial"/>
          <w:b w:val="0"/>
          <w:sz w:val="22"/>
          <w:szCs w:val="22"/>
          <w:lang w:eastAsia="es-MX"/>
        </w:rPr>
        <w:t>en el mismo Manual, específicamente</w:t>
      </w:r>
      <w:r w:rsidR="009D7C4E" w:rsidRPr="0027631D">
        <w:rPr>
          <w:rFonts w:ascii="Arial" w:hAnsi="Arial" w:cs="Arial"/>
          <w:b w:val="0"/>
          <w:sz w:val="22"/>
          <w:szCs w:val="22"/>
          <w:lang w:eastAsia="es-MX"/>
        </w:rPr>
        <w:t>,</w:t>
      </w:r>
      <w:r w:rsidR="00896444" w:rsidRPr="0027631D">
        <w:rPr>
          <w:rFonts w:ascii="Arial" w:hAnsi="Arial" w:cs="Arial"/>
          <w:b w:val="0"/>
          <w:sz w:val="22"/>
          <w:szCs w:val="22"/>
          <w:lang w:eastAsia="es-MX"/>
        </w:rPr>
        <w:t xml:space="preserve"> </w:t>
      </w:r>
      <w:r w:rsidRPr="0027631D">
        <w:rPr>
          <w:rFonts w:ascii="Arial" w:hAnsi="Arial" w:cs="Arial"/>
          <w:b w:val="0"/>
          <w:sz w:val="22"/>
          <w:szCs w:val="22"/>
          <w:lang w:eastAsia="es-MX"/>
        </w:rPr>
        <w:t xml:space="preserve">en la sección Parámetros técnicos </w:t>
      </w:r>
      <w:r w:rsidR="00896444" w:rsidRPr="0027631D">
        <w:rPr>
          <w:rFonts w:ascii="Arial" w:hAnsi="Arial" w:cs="Arial"/>
          <w:b w:val="0"/>
          <w:sz w:val="22"/>
          <w:szCs w:val="22"/>
          <w:lang w:eastAsia="es-MX"/>
        </w:rPr>
        <w:t>del Capítulo 5, “Práctica de la ingeniería del espectro”, se encuentra lo siguiente:</w:t>
      </w:r>
    </w:p>
    <w:p w14:paraId="570CB273" w14:textId="77777777" w:rsidR="006162C7" w:rsidRPr="0027631D" w:rsidRDefault="006162C7" w:rsidP="0027631D">
      <w:pPr>
        <w:pStyle w:val="ANOTACION"/>
        <w:spacing w:before="0" w:after="0" w:line="23" w:lineRule="atLeast"/>
        <w:contextualSpacing/>
        <w:jc w:val="both"/>
        <w:rPr>
          <w:rFonts w:ascii="Arial" w:hAnsi="Arial" w:cs="Arial"/>
          <w:b w:val="0"/>
          <w:bCs/>
          <w:sz w:val="22"/>
          <w:szCs w:val="22"/>
          <w:lang w:eastAsia="es-MX"/>
        </w:rPr>
      </w:pPr>
    </w:p>
    <w:p w14:paraId="1D26BEB8" w14:textId="77777777" w:rsidR="006162C7" w:rsidRPr="000A317A" w:rsidRDefault="00047E6A" w:rsidP="00900BF1">
      <w:pPr>
        <w:pStyle w:val="ANOTACION"/>
        <w:spacing w:before="0" w:after="0" w:line="23" w:lineRule="atLeast"/>
        <w:ind w:left="851" w:right="1324"/>
        <w:contextualSpacing/>
        <w:jc w:val="both"/>
        <w:rPr>
          <w:rFonts w:ascii="Arial" w:hAnsi="Arial" w:cs="Arial"/>
          <w:b w:val="0"/>
          <w:bCs/>
          <w:sz w:val="22"/>
          <w:szCs w:val="22"/>
          <w:lang w:eastAsia="es-MX"/>
        </w:rPr>
      </w:pPr>
      <w:r w:rsidRPr="000A317A">
        <w:rPr>
          <w:rFonts w:ascii="Arial" w:hAnsi="Arial" w:cs="Arial"/>
          <w:bCs/>
          <w:sz w:val="22"/>
          <w:szCs w:val="22"/>
          <w:u w:val="single"/>
          <w:lang w:eastAsia="es-MX"/>
        </w:rPr>
        <w:t xml:space="preserve">“(…) </w:t>
      </w:r>
      <w:r w:rsidR="006162C7" w:rsidRPr="000A317A">
        <w:rPr>
          <w:rFonts w:ascii="Arial" w:hAnsi="Arial" w:cs="Arial"/>
          <w:bCs/>
          <w:sz w:val="22"/>
          <w:szCs w:val="22"/>
          <w:u w:val="single"/>
          <w:lang w:eastAsia="es-MX"/>
        </w:rPr>
        <w:t>Hay dos categorías de especificaciones de equipos</w:t>
      </w:r>
      <w:r w:rsidR="006162C7" w:rsidRPr="000A317A">
        <w:rPr>
          <w:rFonts w:ascii="Arial" w:hAnsi="Arial" w:cs="Arial"/>
          <w:b w:val="0"/>
          <w:bCs/>
          <w:sz w:val="22"/>
          <w:szCs w:val="22"/>
          <w:lang w:eastAsia="es-MX"/>
        </w:rPr>
        <w:t xml:space="preserve">. La primera corresponde a las estaciones radioeléctricas con licencia, mientras que </w:t>
      </w:r>
      <w:r w:rsidR="006162C7" w:rsidRPr="000A317A">
        <w:rPr>
          <w:rFonts w:ascii="Arial" w:hAnsi="Arial" w:cs="Arial"/>
          <w:bCs/>
          <w:sz w:val="22"/>
          <w:szCs w:val="22"/>
          <w:u w:val="single"/>
          <w:lang w:eastAsia="es-MX"/>
        </w:rPr>
        <w:t>la segunda corresponde a los equipos radioeléctricos exentos de licencia</w:t>
      </w:r>
      <w:r w:rsidR="006162C7" w:rsidRPr="000A317A">
        <w:rPr>
          <w:rFonts w:ascii="Arial" w:hAnsi="Arial" w:cs="Arial"/>
          <w:b w:val="0"/>
          <w:bCs/>
          <w:sz w:val="22"/>
          <w:szCs w:val="22"/>
          <w:lang w:eastAsia="es-MX"/>
        </w:rPr>
        <w:t>. Las especificaciones de equipos se refieren casi exclusivamente a los parámetros técnicos mínimos que deben satisfacer estrictamente los equipos desde el punto de vista de la utilización eficaz del espectro y de la reducción de la interferencia en transmisores y receptores. Normalmente no guardan relación con la calidad de servicio, ya que ésta se deja a discreción del usuario, lo que da pie a que exista una diversidad de calidades de equipos para satisfacer las distintas necesidades.</w:t>
      </w:r>
    </w:p>
    <w:p w14:paraId="726F639F" w14:textId="77777777" w:rsidR="00896444" w:rsidRPr="000A317A" w:rsidRDefault="00896444" w:rsidP="00900BF1">
      <w:pPr>
        <w:pStyle w:val="ANOTACION"/>
        <w:spacing w:before="0" w:after="0" w:line="23" w:lineRule="atLeast"/>
        <w:ind w:left="851" w:right="1324"/>
        <w:contextualSpacing/>
        <w:jc w:val="both"/>
        <w:rPr>
          <w:rFonts w:ascii="Arial" w:hAnsi="Arial" w:cs="Arial"/>
          <w:b w:val="0"/>
          <w:bCs/>
          <w:sz w:val="22"/>
          <w:szCs w:val="22"/>
          <w:lang w:eastAsia="es-MX"/>
        </w:rPr>
      </w:pPr>
    </w:p>
    <w:p w14:paraId="364DAF3E" w14:textId="77777777" w:rsidR="006162C7" w:rsidRPr="000A317A" w:rsidRDefault="006162C7" w:rsidP="00900BF1">
      <w:pPr>
        <w:pStyle w:val="ANOTACION"/>
        <w:spacing w:before="0" w:after="0" w:line="23" w:lineRule="atLeast"/>
        <w:ind w:left="851" w:right="1324"/>
        <w:contextualSpacing/>
        <w:jc w:val="both"/>
        <w:rPr>
          <w:rFonts w:ascii="Arial" w:hAnsi="Arial" w:cs="Arial"/>
          <w:b w:val="0"/>
          <w:bCs/>
          <w:sz w:val="22"/>
          <w:szCs w:val="22"/>
          <w:lang w:eastAsia="es-MX"/>
        </w:rPr>
      </w:pPr>
      <w:r w:rsidRPr="000A317A">
        <w:rPr>
          <w:rFonts w:ascii="Arial" w:hAnsi="Arial" w:cs="Arial"/>
          <w:bCs/>
          <w:sz w:val="22"/>
          <w:szCs w:val="22"/>
          <w:u w:val="single"/>
          <w:lang w:eastAsia="es-MX"/>
        </w:rPr>
        <w:t>La segunda categoría de especificaciones de equipos suele relacionarse con los equipos de baja potencia exentos de licencia por lo limitado de su alcance. El funcionamiento de estos equipos se permite en determinadas bandas de frecuencias.</w:t>
      </w:r>
      <w:r w:rsidRPr="000A317A">
        <w:rPr>
          <w:rFonts w:ascii="Arial" w:hAnsi="Arial" w:cs="Arial"/>
          <w:b w:val="0"/>
          <w:bCs/>
          <w:sz w:val="22"/>
          <w:szCs w:val="22"/>
          <w:lang w:eastAsia="es-MX"/>
        </w:rPr>
        <w:t xml:space="preserve"> Además de los dispositivos de apertura de puertas de garajes, de los dispositivos de alarma y control de los juguetes y de los teléfonos inalámbricos, hay muchos otros ejemplos de este tipo de equipos que se utilizan cada vez más en el sector comercial, por ejemplo</w:t>
      </w:r>
      <w:r w:rsidR="00896444" w:rsidRPr="000A317A">
        <w:rPr>
          <w:rFonts w:ascii="Arial" w:hAnsi="Arial" w:cs="Arial"/>
          <w:b w:val="0"/>
          <w:bCs/>
          <w:sz w:val="22"/>
          <w:szCs w:val="22"/>
          <w:lang w:eastAsia="es-MX"/>
        </w:rPr>
        <w:t>:</w:t>
      </w:r>
      <w:r w:rsidRPr="000A317A">
        <w:rPr>
          <w:rFonts w:ascii="Arial" w:hAnsi="Arial" w:cs="Arial"/>
          <w:b w:val="0"/>
          <w:bCs/>
          <w:sz w:val="22"/>
          <w:szCs w:val="22"/>
          <w:lang w:eastAsia="es-MX"/>
        </w:rPr>
        <w:t xml:space="preserve"> las redes radioeléctricas de área local (RLAN) y los sistemas de identificación de radiofrecuencia (RFID). Esta categoría de especificaciones de equipos afecta exclusivamente a características de los transmisores tales como la potencia máxima, los niveles armónicos admisibles y la estabilidad, y no recibe protección contra la interferencia.</w:t>
      </w:r>
      <w:r w:rsidR="00047E6A" w:rsidRPr="000A317A">
        <w:rPr>
          <w:rFonts w:ascii="Arial" w:hAnsi="Arial" w:cs="Arial"/>
          <w:b w:val="0"/>
          <w:bCs/>
          <w:sz w:val="22"/>
          <w:szCs w:val="22"/>
          <w:lang w:eastAsia="es-MX"/>
        </w:rPr>
        <w:t>”</w:t>
      </w:r>
    </w:p>
    <w:p w14:paraId="5D48A754" w14:textId="77777777" w:rsidR="00896444" w:rsidRPr="0027631D" w:rsidRDefault="00896444" w:rsidP="0027631D">
      <w:pPr>
        <w:pStyle w:val="Prrafodelista"/>
        <w:spacing w:line="23" w:lineRule="atLeast"/>
        <w:contextualSpacing/>
        <w:jc w:val="both"/>
        <w:rPr>
          <w:rFonts w:cs="Arial"/>
          <w:sz w:val="22"/>
          <w:szCs w:val="22"/>
          <w:lang w:val="es-ES" w:eastAsia="ar-SA"/>
        </w:rPr>
      </w:pPr>
    </w:p>
    <w:p w14:paraId="47481822" w14:textId="0194BCE1" w:rsidR="007A2F75" w:rsidRPr="0027631D" w:rsidRDefault="00896444" w:rsidP="0027631D">
      <w:pPr>
        <w:pStyle w:val="ANOTACION"/>
        <w:spacing w:before="0" w:after="0" w:line="23" w:lineRule="atLeast"/>
        <w:contextualSpacing/>
        <w:jc w:val="both"/>
        <w:rPr>
          <w:rFonts w:ascii="Arial" w:hAnsi="Arial" w:cs="Arial"/>
          <w:b w:val="0"/>
          <w:sz w:val="22"/>
          <w:szCs w:val="22"/>
          <w:lang w:eastAsia="es-MX"/>
        </w:rPr>
      </w:pPr>
      <w:r w:rsidRPr="0027631D">
        <w:rPr>
          <w:rFonts w:ascii="Arial" w:hAnsi="Arial" w:cs="Arial"/>
          <w:b w:val="0"/>
          <w:sz w:val="22"/>
          <w:szCs w:val="22"/>
          <w:lang w:eastAsia="es-MX"/>
        </w:rPr>
        <w:t>De lo anterior se observa que, como parte de la administración del espectro radioeléctrico, una buena práctica es la habilitación de ciertas bandas de frecuencias para su uso sin concesión y el establecimiento de parámetros técnicos para reducir la posibilidad de recibir interferencias perjudiciales.</w:t>
      </w:r>
    </w:p>
    <w:p w14:paraId="33D2A94B" w14:textId="77777777" w:rsidR="00204E79" w:rsidRPr="0027631D" w:rsidRDefault="00204E79" w:rsidP="0027631D">
      <w:pPr>
        <w:pStyle w:val="ANOTACION"/>
        <w:spacing w:before="0" w:after="0" w:line="23" w:lineRule="atLeast"/>
        <w:contextualSpacing/>
        <w:jc w:val="both"/>
        <w:rPr>
          <w:rFonts w:ascii="Arial" w:hAnsi="Arial" w:cs="Arial"/>
          <w:b w:val="0"/>
          <w:sz w:val="22"/>
          <w:szCs w:val="22"/>
          <w:lang w:eastAsia="es-MX"/>
        </w:rPr>
      </w:pPr>
    </w:p>
    <w:p w14:paraId="33B56D07" w14:textId="77777777" w:rsidR="005E1EC6" w:rsidRPr="0027631D" w:rsidRDefault="005E1EC6" w:rsidP="0027631D">
      <w:pPr>
        <w:spacing w:after="0" w:line="23" w:lineRule="atLeast"/>
        <w:contextualSpacing/>
        <w:jc w:val="both"/>
        <w:rPr>
          <w:rFonts w:ascii="Arial" w:hAnsi="Arial" w:cs="Arial"/>
          <w:lang w:eastAsia="es-MX"/>
        </w:rPr>
      </w:pPr>
      <w:r w:rsidRPr="0027631D">
        <w:rPr>
          <w:rFonts w:ascii="Arial" w:hAnsi="Arial" w:cs="Arial"/>
          <w:lang w:eastAsia="es-MX"/>
        </w:rPr>
        <w:lastRenderedPageBreak/>
        <w:t>Por otro lado, el UIT-R se ha enfocado en establecer las reglas o directrices que permitan categorizar a los</w:t>
      </w:r>
      <w:r w:rsidR="00047E6A" w:rsidRPr="0027631D">
        <w:rPr>
          <w:rFonts w:ascii="Arial" w:hAnsi="Arial" w:cs="Arial"/>
          <w:lang w:eastAsia="es-MX"/>
        </w:rPr>
        <w:t xml:space="preserve"> </w:t>
      </w:r>
      <w:r w:rsidR="00003AEA" w:rsidRPr="0027631D">
        <w:rPr>
          <w:rFonts w:ascii="Arial" w:hAnsi="Arial" w:cs="Arial"/>
          <w:lang w:eastAsia="es-MX"/>
        </w:rPr>
        <w:t>d</w:t>
      </w:r>
      <w:r w:rsidR="00047E6A" w:rsidRPr="0027631D">
        <w:rPr>
          <w:rFonts w:ascii="Arial" w:hAnsi="Arial" w:cs="Arial"/>
          <w:lang w:eastAsia="es-MX"/>
        </w:rPr>
        <w:t xml:space="preserve">ispositivos de </w:t>
      </w:r>
      <w:r w:rsidR="00003AEA" w:rsidRPr="0027631D">
        <w:rPr>
          <w:rFonts w:ascii="Arial" w:hAnsi="Arial" w:cs="Arial"/>
          <w:lang w:eastAsia="es-MX"/>
        </w:rPr>
        <w:t>r</w:t>
      </w:r>
      <w:r w:rsidR="00047E6A" w:rsidRPr="0027631D">
        <w:rPr>
          <w:rFonts w:ascii="Arial" w:hAnsi="Arial" w:cs="Arial"/>
          <w:lang w:eastAsia="es-MX"/>
        </w:rPr>
        <w:t xml:space="preserve">adiocomunicaciones de </w:t>
      </w:r>
      <w:r w:rsidR="00003AEA" w:rsidRPr="0027631D">
        <w:rPr>
          <w:rFonts w:ascii="Arial" w:hAnsi="Arial" w:cs="Arial"/>
          <w:lang w:eastAsia="es-MX"/>
        </w:rPr>
        <w:t>c</w:t>
      </w:r>
      <w:r w:rsidR="00047E6A" w:rsidRPr="0027631D">
        <w:rPr>
          <w:rFonts w:ascii="Arial" w:hAnsi="Arial" w:cs="Arial"/>
          <w:lang w:eastAsia="es-MX"/>
        </w:rPr>
        <w:t>orto Alcance</w:t>
      </w:r>
      <w:r w:rsidRPr="0027631D">
        <w:rPr>
          <w:rFonts w:ascii="Arial" w:hAnsi="Arial" w:cs="Arial"/>
          <w:lang w:eastAsia="es-MX"/>
        </w:rPr>
        <w:t xml:space="preserve"> </w:t>
      </w:r>
      <w:r w:rsidR="00FF46DF" w:rsidRPr="0027631D">
        <w:rPr>
          <w:rFonts w:ascii="Arial" w:hAnsi="Arial" w:cs="Arial"/>
          <w:lang w:eastAsia="es-MX"/>
        </w:rPr>
        <w:t>(“</w:t>
      </w:r>
      <w:r w:rsidRPr="0027631D">
        <w:rPr>
          <w:rFonts w:ascii="Arial" w:hAnsi="Arial" w:cs="Arial"/>
          <w:lang w:eastAsia="es-MX"/>
        </w:rPr>
        <w:t>DRCA</w:t>
      </w:r>
      <w:r w:rsidR="00FF46DF" w:rsidRPr="0027631D">
        <w:rPr>
          <w:rFonts w:ascii="Arial" w:hAnsi="Arial" w:cs="Arial"/>
          <w:lang w:eastAsia="es-MX"/>
        </w:rPr>
        <w:t>”)</w:t>
      </w:r>
      <w:r w:rsidRPr="0027631D">
        <w:rPr>
          <w:rFonts w:ascii="Arial" w:hAnsi="Arial" w:cs="Arial"/>
          <w:lang w:eastAsia="es-MX"/>
        </w:rPr>
        <w:t xml:space="preserve">, con el objeto de alcanzar un mayor grado de armonización de este tipo de dispositivos a nivel mundial. Es así que, a través de la Recomendación </w:t>
      </w:r>
      <w:r w:rsidR="001877D4" w:rsidRPr="0027631D">
        <w:rPr>
          <w:rFonts w:ascii="Arial" w:hAnsi="Arial" w:cs="Arial"/>
          <w:lang w:eastAsia="es-MX"/>
        </w:rPr>
        <w:t xml:space="preserve">UIT-R </w:t>
      </w:r>
      <w:r w:rsidRPr="0027631D">
        <w:rPr>
          <w:rFonts w:ascii="Arial" w:hAnsi="Arial" w:cs="Arial"/>
          <w:lang w:eastAsia="es-MX"/>
        </w:rPr>
        <w:t xml:space="preserve">SM-2103-0 </w:t>
      </w:r>
      <w:r w:rsidRPr="000A317A">
        <w:rPr>
          <w:rFonts w:ascii="Arial" w:hAnsi="Arial" w:cs="Arial"/>
          <w:lang w:eastAsia="es-MX"/>
        </w:rPr>
        <w:t>“Armonización mundial de categorías de dispositivos de corto alcance”</w:t>
      </w:r>
      <w:r w:rsidRPr="005510E7">
        <w:rPr>
          <w:rFonts w:ascii="Arial" w:hAnsi="Arial" w:cs="Arial"/>
          <w:vertAlign w:val="superscript"/>
          <w:lang w:eastAsia="es-MX"/>
        </w:rPr>
        <w:footnoteReference w:id="4"/>
      </w:r>
      <w:r w:rsidRPr="0027631D">
        <w:rPr>
          <w:rFonts w:ascii="Arial" w:hAnsi="Arial" w:cs="Arial"/>
          <w:lang w:eastAsia="es-MX"/>
        </w:rPr>
        <w:t xml:space="preserve"> se muestran diversas categorías de DRCA, aplicaciones, y normas técnicas implementadas en diversos países y regiones a nivel mundial. Esto con el fin de orientar a otros países respecto de la armonización de las categorías, reglamentación y las bandas de frecuencias empleadas para equipos DRCA.</w:t>
      </w:r>
    </w:p>
    <w:p w14:paraId="522463A8" w14:textId="77777777" w:rsidR="005E1EC6" w:rsidRPr="0027631D" w:rsidRDefault="005E1EC6" w:rsidP="0027631D">
      <w:pPr>
        <w:spacing w:after="0" w:line="23" w:lineRule="atLeast"/>
        <w:contextualSpacing/>
        <w:jc w:val="both"/>
        <w:rPr>
          <w:rFonts w:ascii="Arial" w:hAnsi="Arial" w:cs="Arial"/>
          <w:lang w:eastAsia="es-MX"/>
        </w:rPr>
      </w:pPr>
    </w:p>
    <w:p w14:paraId="5910141F" w14:textId="77777777" w:rsidR="005E1EC6" w:rsidRPr="0027631D" w:rsidRDefault="005E1EC6" w:rsidP="0027631D">
      <w:pPr>
        <w:spacing w:after="0" w:line="23" w:lineRule="atLeast"/>
        <w:contextualSpacing/>
        <w:jc w:val="both"/>
        <w:rPr>
          <w:rFonts w:ascii="Arial" w:hAnsi="Arial" w:cs="Arial"/>
          <w:lang w:eastAsia="es-MX"/>
        </w:rPr>
      </w:pPr>
      <w:r w:rsidRPr="0027631D">
        <w:rPr>
          <w:rFonts w:ascii="Arial" w:hAnsi="Arial" w:cs="Arial"/>
          <w:lang w:eastAsia="es-MX"/>
        </w:rPr>
        <w:t xml:space="preserve">A este respecto, el Informe </w:t>
      </w:r>
      <w:r w:rsidR="00853B50" w:rsidRPr="0027631D">
        <w:rPr>
          <w:rFonts w:ascii="Arial" w:hAnsi="Arial" w:cs="Arial"/>
          <w:lang w:eastAsia="es-MX"/>
        </w:rPr>
        <w:t xml:space="preserve">UIT-R </w:t>
      </w:r>
      <w:r w:rsidRPr="0027631D">
        <w:rPr>
          <w:rFonts w:ascii="Arial" w:hAnsi="Arial" w:cs="Arial"/>
          <w:lang w:eastAsia="es-MX"/>
        </w:rPr>
        <w:t xml:space="preserve">SM-2153-7 </w:t>
      </w:r>
      <w:r w:rsidRPr="000A317A">
        <w:rPr>
          <w:rFonts w:ascii="Arial" w:hAnsi="Arial" w:cs="Arial"/>
          <w:lang w:eastAsia="es-MX"/>
        </w:rPr>
        <w:t>“Parámetros técnicos y de funcionamiento de los dispositivos de radiocomunicaciones de corto alcance y utilización del espectro por los mismos”</w:t>
      </w:r>
      <w:r w:rsidRPr="000A317A">
        <w:rPr>
          <w:rFonts w:ascii="Arial" w:hAnsi="Arial" w:cs="Arial"/>
          <w:vertAlign w:val="superscript"/>
          <w:lang w:eastAsia="es-MX"/>
        </w:rPr>
        <w:footnoteReference w:id="5"/>
      </w:r>
      <w:r w:rsidRPr="0027631D">
        <w:rPr>
          <w:rFonts w:ascii="Arial" w:hAnsi="Arial" w:cs="Arial"/>
          <w:lang w:eastAsia="es-MX"/>
        </w:rPr>
        <w:t xml:space="preserve">, se observa que </w:t>
      </w:r>
      <w:r w:rsidR="00CC00D4" w:rsidRPr="0027631D">
        <w:rPr>
          <w:rFonts w:ascii="Arial" w:hAnsi="Arial" w:cs="Arial"/>
          <w:lang w:eastAsia="es-MX"/>
        </w:rPr>
        <w:t>existen bandas de frecuencias</w:t>
      </w:r>
      <w:r w:rsidRPr="0027631D">
        <w:rPr>
          <w:rFonts w:ascii="Arial" w:hAnsi="Arial" w:cs="Arial"/>
          <w:lang w:eastAsia="es-MX"/>
        </w:rPr>
        <w:t xml:space="preserve"> armonizada</w:t>
      </w:r>
      <w:r w:rsidR="00CC00D4" w:rsidRPr="0027631D">
        <w:rPr>
          <w:rFonts w:ascii="Arial" w:hAnsi="Arial" w:cs="Arial"/>
          <w:lang w:eastAsia="es-MX"/>
        </w:rPr>
        <w:t>s</w:t>
      </w:r>
      <w:r w:rsidRPr="0027631D">
        <w:rPr>
          <w:rFonts w:ascii="Arial" w:hAnsi="Arial" w:cs="Arial"/>
          <w:lang w:eastAsia="es-MX"/>
        </w:rPr>
        <w:t xml:space="preserve"> y recomendada</w:t>
      </w:r>
      <w:r w:rsidR="00CC00D4" w:rsidRPr="0027631D">
        <w:rPr>
          <w:rFonts w:ascii="Arial" w:hAnsi="Arial" w:cs="Arial"/>
          <w:lang w:eastAsia="es-MX"/>
        </w:rPr>
        <w:t>s</w:t>
      </w:r>
      <w:r w:rsidRPr="0027631D">
        <w:rPr>
          <w:rFonts w:ascii="Arial" w:hAnsi="Arial" w:cs="Arial"/>
          <w:lang w:eastAsia="es-MX"/>
        </w:rPr>
        <w:t xml:space="preserve"> para el despliegue de los DRCA, no obstante, para admitir su funcionamiento, se deben cumplir ciertos parámetros técnicos y de utilización del espectro radioeléctrico, los cuales forman parte de las normas y la reglamentación técnica emitida y adoptada a nivel nacional por cada país, o bien, a nivel regional por parte de los grupos, comisiones u organizaciones particulares. Los nombres de las categorías de DRCA pueden variar en los diferentes países o </w:t>
      </w:r>
      <w:r w:rsidR="00853B50" w:rsidRPr="0027631D">
        <w:rPr>
          <w:rFonts w:ascii="Arial" w:hAnsi="Arial" w:cs="Arial"/>
          <w:lang w:eastAsia="es-MX"/>
        </w:rPr>
        <w:t>r</w:t>
      </w:r>
      <w:r w:rsidRPr="0027631D">
        <w:rPr>
          <w:rFonts w:ascii="Arial" w:hAnsi="Arial" w:cs="Arial"/>
          <w:lang w:eastAsia="es-MX"/>
        </w:rPr>
        <w:t>egiones, no obstante, todos refieren al mismo tipo de DRCA.</w:t>
      </w:r>
    </w:p>
    <w:p w14:paraId="58E0DF46" w14:textId="77777777" w:rsidR="005E1EC6" w:rsidRPr="0027631D" w:rsidRDefault="005E1EC6" w:rsidP="0027631D">
      <w:pPr>
        <w:spacing w:after="0" w:line="23" w:lineRule="atLeast"/>
        <w:contextualSpacing/>
        <w:jc w:val="both"/>
        <w:rPr>
          <w:rFonts w:ascii="Arial" w:hAnsi="Arial" w:cs="Arial"/>
          <w:lang w:eastAsia="es-MX"/>
        </w:rPr>
      </w:pPr>
    </w:p>
    <w:p w14:paraId="45E25D7E" w14:textId="3CD43173" w:rsidR="005E1EC6" w:rsidRPr="0027631D" w:rsidRDefault="005E1EC6" w:rsidP="0027631D">
      <w:pPr>
        <w:spacing w:after="0" w:line="23" w:lineRule="atLeast"/>
        <w:contextualSpacing/>
        <w:jc w:val="both"/>
        <w:rPr>
          <w:rFonts w:ascii="Arial" w:hAnsi="Arial" w:cs="Arial"/>
          <w:lang w:eastAsia="es-MX"/>
        </w:rPr>
      </w:pPr>
      <w:r w:rsidRPr="0027631D">
        <w:rPr>
          <w:rFonts w:ascii="Arial" w:hAnsi="Arial" w:cs="Arial"/>
          <w:lang w:eastAsia="es-MX"/>
        </w:rPr>
        <w:t xml:space="preserve">Finalmente, la UIT-R en su proyecto de revisión de </w:t>
      </w:r>
      <w:r w:rsidR="001877D4" w:rsidRPr="0027631D">
        <w:rPr>
          <w:rFonts w:ascii="Arial" w:hAnsi="Arial" w:cs="Arial"/>
          <w:lang w:eastAsia="es-MX"/>
        </w:rPr>
        <w:t xml:space="preserve">la </w:t>
      </w:r>
      <w:r w:rsidRPr="0027631D">
        <w:rPr>
          <w:rFonts w:ascii="Arial" w:hAnsi="Arial" w:cs="Arial"/>
          <w:lang w:eastAsia="es-MX"/>
        </w:rPr>
        <w:t xml:space="preserve">Resolución UIT-R 54 </w:t>
      </w:r>
      <w:r w:rsidRPr="000A317A">
        <w:rPr>
          <w:rFonts w:ascii="Arial" w:hAnsi="Arial" w:cs="Arial"/>
          <w:lang w:eastAsia="es-MX"/>
        </w:rPr>
        <w:t>“Estudios para lograr la armonización de los dispositivos de corto alcance”</w:t>
      </w:r>
      <w:r w:rsidRPr="000A317A">
        <w:rPr>
          <w:rFonts w:ascii="Arial" w:hAnsi="Arial" w:cs="Arial"/>
          <w:vertAlign w:val="superscript"/>
          <w:lang w:eastAsia="es-MX"/>
        </w:rPr>
        <w:footnoteReference w:id="6"/>
      </w:r>
      <w:r w:rsidRPr="005510E7">
        <w:rPr>
          <w:rFonts w:ascii="Arial" w:hAnsi="Arial" w:cs="Arial"/>
          <w:lang w:eastAsia="es-MX"/>
        </w:rPr>
        <w:t>,</w:t>
      </w:r>
      <w:r w:rsidRPr="0027631D">
        <w:rPr>
          <w:rFonts w:ascii="Arial" w:hAnsi="Arial" w:cs="Arial"/>
          <w:lang w:eastAsia="es-MX"/>
        </w:rPr>
        <w:t xml:space="preserve"> reconoce, entre otras cosas, que las ventajas de la armonización del espectro podrían materializarse en: i) mayores posibilidades de interoperabilidad entre equipos</w:t>
      </w:r>
      <w:r w:rsidR="005510E7">
        <w:rPr>
          <w:rFonts w:ascii="Arial" w:hAnsi="Arial" w:cs="Arial"/>
          <w:lang w:eastAsia="es-MX"/>
        </w:rPr>
        <w:t>;</w:t>
      </w:r>
      <w:r w:rsidRPr="0027631D">
        <w:rPr>
          <w:rFonts w:ascii="Arial" w:hAnsi="Arial" w:cs="Arial"/>
          <w:lang w:eastAsia="es-MX"/>
        </w:rPr>
        <w:t xml:space="preserve"> ii) economías de escala y una disponibilidad más amplia de equipos</w:t>
      </w:r>
      <w:r w:rsidR="005510E7">
        <w:rPr>
          <w:rFonts w:ascii="Arial" w:hAnsi="Arial" w:cs="Arial"/>
          <w:lang w:eastAsia="es-MX"/>
        </w:rPr>
        <w:t>;</w:t>
      </w:r>
      <w:r w:rsidRPr="0027631D">
        <w:rPr>
          <w:rFonts w:ascii="Arial" w:hAnsi="Arial" w:cs="Arial"/>
          <w:lang w:eastAsia="es-MX"/>
        </w:rPr>
        <w:t xml:space="preserve"> iii) una mejor gestión del espectro</w:t>
      </w:r>
      <w:r w:rsidR="005510E7">
        <w:rPr>
          <w:rFonts w:ascii="Arial" w:hAnsi="Arial" w:cs="Arial"/>
          <w:lang w:eastAsia="es-MX"/>
        </w:rPr>
        <w:t>,</w:t>
      </w:r>
      <w:r w:rsidRPr="0027631D">
        <w:rPr>
          <w:rFonts w:ascii="Arial" w:hAnsi="Arial" w:cs="Arial"/>
          <w:lang w:eastAsia="es-MX"/>
        </w:rPr>
        <w:t xml:space="preserve"> y iv) una mejora en la circulación de equipos en los diversos países.</w:t>
      </w:r>
    </w:p>
    <w:p w14:paraId="1829752E" w14:textId="77777777" w:rsidR="00896444" w:rsidRPr="0027631D" w:rsidRDefault="00896444" w:rsidP="0027631D">
      <w:pPr>
        <w:pStyle w:val="ANOTACION"/>
        <w:spacing w:before="0" w:after="0" w:line="23" w:lineRule="atLeast"/>
        <w:contextualSpacing/>
        <w:jc w:val="both"/>
        <w:rPr>
          <w:rFonts w:ascii="Arial" w:hAnsi="Arial" w:cs="Arial"/>
          <w:b w:val="0"/>
          <w:bCs/>
          <w:sz w:val="22"/>
          <w:szCs w:val="22"/>
          <w:lang w:eastAsia="es-MX"/>
        </w:rPr>
      </w:pPr>
    </w:p>
    <w:p w14:paraId="0981275A" w14:textId="1BA1790A" w:rsidR="00776392" w:rsidRPr="008010AD" w:rsidRDefault="00776392" w:rsidP="004467E9">
      <w:pPr>
        <w:pStyle w:val="Ttulo4"/>
        <w:ind w:left="0" w:firstLine="0"/>
        <w:rPr>
          <w:b w:val="0"/>
        </w:rPr>
      </w:pPr>
      <w:r w:rsidRPr="0027631D">
        <w:t xml:space="preserve">Banda de frecuencias 2400-2483.5 MHz. </w:t>
      </w:r>
      <w:r w:rsidRPr="008010AD">
        <w:rPr>
          <w:b w:val="0"/>
        </w:rPr>
        <w:t xml:space="preserve">En la actualidad, la demanda sobre el uso del espectro radioeléctrico se ha incrementado considerablemente, debido a la evolución de las </w:t>
      </w:r>
      <w:r w:rsidR="005510E7">
        <w:rPr>
          <w:b w:val="0"/>
        </w:rPr>
        <w:t>t</w:t>
      </w:r>
      <w:r w:rsidR="006940D6" w:rsidRPr="008010AD">
        <w:rPr>
          <w:b w:val="0"/>
        </w:rPr>
        <w:t>ecnología</w:t>
      </w:r>
      <w:r w:rsidR="005510E7">
        <w:rPr>
          <w:b w:val="0"/>
        </w:rPr>
        <w:t>s</w:t>
      </w:r>
      <w:r w:rsidR="006940D6" w:rsidRPr="008010AD">
        <w:rPr>
          <w:b w:val="0"/>
        </w:rPr>
        <w:t xml:space="preserve"> de la información y la comunicación (</w:t>
      </w:r>
      <w:r w:rsidR="005510E7">
        <w:rPr>
          <w:b w:val="0"/>
        </w:rPr>
        <w:t>“</w:t>
      </w:r>
      <w:r w:rsidRPr="008010AD">
        <w:rPr>
          <w:b w:val="0"/>
        </w:rPr>
        <w:t>TIC</w:t>
      </w:r>
      <w:r w:rsidR="005510E7">
        <w:rPr>
          <w:b w:val="0"/>
        </w:rPr>
        <w:t>”</w:t>
      </w:r>
      <w:r w:rsidR="006940D6" w:rsidRPr="008010AD">
        <w:rPr>
          <w:b w:val="0"/>
        </w:rPr>
        <w:t>)</w:t>
      </w:r>
      <w:r w:rsidRPr="008010AD">
        <w:rPr>
          <w:b w:val="0"/>
        </w:rPr>
        <w:t xml:space="preserve"> y al aumento de la población mundial</w:t>
      </w:r>
      <w:r w:rsidR="005510E7">
        <w:rPr>
          <w:b w:val="0"/>
        </w:rPr>
        <w:t>,</w:t>
      </w:r>
      <w:r w:rsidRPr="008010AD">
        <w:rPr>
          <w:b w:val="0"/>
        </w:rPr>
        <w:t xml:space="preserve"> </w:t>
      </w:r>
      <w:r w:rsidR="00831163">
        <w:rPr>
          <w:b w:val="0"/>
        </w:rPr>
        <w:t>la cual</w:t>
      </w:r>
      <w:r w:rsidR="00831163" w:rsidRPr="008010AD">
        <w:rPr>
          <w:b w:val="0"/>
        </w:rPr>
        <w:t xml:space="preserve"> </w:t>
      </w:r>
      <w:r w:rsidRPr="008010AD">
        <w:rPr>
          <w:b w:val="0"/>
        </w:rPr>
        <w:t>exige cada vez más contar con acceso a Internet. En particular, las redes locales inalámbricas privadas han contribuido de cierta forma a contrarrestar la demanda actual sobre el uso del espectro radioeléctrico, debido a que estas redes han operado en bandas de frecuencias clasificadas como espectro libre.</w:t>
      </w:r>
    </w:p>
    <w:p w14:paraId="3ACF5FAB" w14:textId="77777777" w:rsidR="00872295" w:rsidRPr="0027631D" w:rsidRDefault="00872295" w:rsidP="004467E9">
      <w:pPr>
        <w:pStyle w:val="Prrafodelista"/>
        <w:suppressAutoHyphens/>
        <w:spacing w:line="23" w:lineRule="atLeast"/>
        <w:ind w:left="0" w:right="49"/>
        <w:contextualSpacing/>
        <w:jc w:val="both"/>
        <w:rPr>
          <w:rFonts w:cs="Arial"/>
          <w:color w:val="000000" w:themeColor="text1"/>
          <w:kern w:val="1"/>
          <w:sz w:val="22"/>
          <w:szCs w:val="22"/>
          <w:lang w:eastAsia="ar-SA"/>
        </w:rPr>
      </w:pPr>
    </w:p>
    <w:p w14:paraId="4095F0E6" w14:textId="628BF4CA" w:rsidR="00776392" w:rsidRPr="0027631D" w:rsidRDefault="00872295" w:rsidP="0027631D">
      <w:pPr>
        <w:pStyle w:val="Prrafodelista"/>
        <w:suppressAutoHyphens/>
        <w:spacing w:line="23" w:lineRule="atLeast"/>
        <w:ind w:left="0" w:right="49"/>
        <w:contextualSpacing/>
        <w:jc w:val="both"/>
        <w:rPr>
          <w:rFonts w:cs="Arial"/>
          <w:color w:val="000000" w:themeColor="text1"/>
          <w:kern w:val="1"/>
          <w:sz w:val="22"/>
          <w:szCs w:val="22"/>
          <w:lang w:eastAsia="ar-SA"/>
        </w:rPr>
      </w:pPr>
      <w:r w:rsidRPr="0027631D">
        <w:rPr>
          <w:rFonts w:cs="Arial"/>
          <w:color w:val="000000" w:themeColor="text1"/>
          <w:kern w:val="1"/>
          <w:sz w:val="22"/>
          <w:szCs w:val="22"/>
          <w:lang w:eastAsia="ar-SA"/>
        </w:rPr>
        <w:t>Específicamente</w:t>
      </w:r>
      <w:r w:rsidR="00776392" w:rsidRPr="0027631D">
        <w:rPr>
          <w:rFonts w:cs="Arial"/>
          <w:color w:val="000000" w:themeColor="text1"/>
          <w:kern w:val="1"/>
          <w:sz w:val="22"/>
          <w:szCs w:val="22"/>
          <w:lang w:eastAsia="ar-SA"/>
        </w:rPr>
        <w:t>, en el caso de la banda de frecuencias 2400-2483.5 MHz (</w:t>
      </w:r>
      <w:r w:rsidR="00CC00D4" w:rsidRPr="0027631D">
        <w:rPr>
          <w:rFonts w:cs="Arial"/>
          <w:color w:val="000000" w:themeColor="text1"/>
          <w:kern w:val="1"/>
          <w:sz w:val="22"/>
          <w:szCs w:val="22"/>
          <w:lang w:eastAsia="ar-SA"/>
        </w:rPr>
        <w:t>“</w:t>
      </w:r>
      <w:r w:rsidR="00776392" w:rsidRPr="0027631D">
        <w:rPr>
          <w:rFonts w:cs="Arial"/>
          <w:color w:val="000000" w:themeColor="text1"/>
          <w:kern w:val="1"/>
          <w:sz w:val="22"/>
          <w:szCs w:val="22"/>
          <w:lang w:eastAsia="ar-SA"/>
        </w:rPr>
        <w:t>banda 2.4 GHz</w:t>
      </w:r>
      <w:r w:rsidR="00CC00D4" w:rsidRPr="0027631D">
        <w:rPr>
          <w:rFonts w:cs="Arial"/>
          <w:color w:val="000000" w:themeColor="text1"/>
          <w:kern w:val="1"/>
          <w:sz w:val="22"/>
          <w:szCs w:val="22"/>
          <w:lang w:eastAsia="ar-SA"/>
        </w:rPr>
        <w:t>”</w:t>
      </w:r>
      <w:r w:rsidR="00776392" w:rsidRPr="0027631D">
        <w:rPr>
          <w:rFonts w:cs="Arial"/>
          <w:color w:val="000000" w:themeColor="text1"/>
          <w:kern w:val="1"/>
          <w:sz w:val="22"/>
          <w:szCs w:val="22"/>
          <w:lang w:eastAsia="ar-SA"/>
        </w:rPr>
        <w:t xml:space="preserve">), </w:t>
      </w:r>
      <w:r w:rsidRPr="0027631D">
        <w:rPr>
          <w:rFonts w:cs="Arial"/>
          <w:color w:val="000000" w:themeColor="text1"/>
          <w:kern w:val="1"/>
          <w:sz w:val="22"/>
          <w:szCs w:val="22"/>
          <w:lang w:eastAsia="ar-SA"/>
        </w:rPr>
        <w:t>fue</w:t>
      </w:r>
      <w:r w:rsidR="00776392" w:rsidRPr="0027631D">
        <w:rPr>
          <w:rFonts w:cs="Arial"/>
          <w:color w:val="000000" w:themeColor="text1"/>
          <w:kern w:val="1"/>
          <w:sz w:val="22"/>
          <w:szCs w:val="22"/>
          <w:lang w:eastAsia="ar-SA"/>
        </w:rPr>
        <w:t xml:space="preserve"> rápida</w:t>
      </w:r>
      <w:r w:rsidRPr="0027631D">
        <w:rPr>
          <w:rFonts w:cs="Arial"/>
          <w:color w:val="000000" w:themeColor="text1"/>
          <w:kern w:val="1"/>
          <w:sz w:val="22"/>
          <w:szCs w:val="22"/>
          <w:lang w:eastAsia="ar-SA"/>
        </w:rPr>
        <w:t>mente adoptada y comercializada</w:t>
      </w:r>
      <w:r w:rsidR="00776392" w:rsidRPr="0027631D">
        <w:rPr>
          <w:rFonts w:cs="Arial"/>
          <w:color w:val="000000" w:themeColor="text1"/>
          <w:kern w:val="1"/>
          <w:sz w:val="22"/>
          <w:szCs w:val="22"/>
          <w:lang w:eastAsia="ar-SA"/>
        </w:rPr>
        <w:t xml:space="preserve"> a nivel nacional </w:t>
      </w:r>
      <w:r w:rsidR="002E2D11" w:rsidRPr="0027631D">
        <w:rPr>
          <w:rFonts w:cs="Arial"/>
          <w:color w:val="000000" w:themeColor="text1"/>
          <w:kern w:val="1"/>
          <w:sz w:val="22"/>
          <w:szCs w:val="22"/>
          <w:lang w:eastAsia="ar-SA"/>
        </w:rPr>
        <w:t>e internacional</w:t>
      </w:r>
      <w:r w:rsidR="005510E7">
        <w:rPr>
          <w:rFonts w:cs="Arial"/>
          <w:color w:val="000000" w:themeColor="text1"/>
          <w:kern w:val="1"/>
          <w:sz w:val="22"/>
          <w:szCs w:val="22"/>
          <w:lang w:eastAsia="ar-SA"/>
        </w:rPr>
        <w:t>,</w:t>
      </w:r>
      <w:r w:rsidR="002E2D11" w:rsidRPr="0027631D">
        <w:rPr>
          <w:rFonts w:cs="Arial"/>
          <w:color w:val="000000" w:themeColor="text1"/>
          <w:kern w:val="1"/>
          <w:sz w:val="22"/>
          <w:szCs w:val="22"/>
          <w:lang w:eastAsia="ar-SA"/>
        </w:rPr>
        <w:t xml:space="preserve"> </w:t>
      </w:r>
      <w:r w:rsidR="00776392" w:rsidRPr="0027631D">
        <w:rPr>
          <w:rFonts w:cs="Arial"/>
          <w:color w:val="000000" w:themeColor="text1"/>
          <w:kern w:val="1"/>
          <w:sz w:val="22"/>
          <w:szCs w:val="22"/>
          <w:lang w:eastAsia="ar-SA"/>
        </w:rPr>
        <w:t xml:space="preserve">tanto </w:t>
      </w:r>
      <w:r w:rsidR="00831163">
        <w:rPr>
          <w:rFonts w:cs="Arial"/>
          <w:color w:val="000000" w:themeColor="text1"/>
          <w:kern w:val="1"/>
          <w:sz w:val="22"/>
          <w:szCs w:val="22"/>
          <w:lang w:eastAsia="ar-SA"/>
        </w:rPr>
        <w:t>para</w:t>
      </w:r>
      <w:r w:rsidR="00831163" w:rsidRPr="0027631D">
        <w:rPr>
          <w:rFonts w:cs="Arial"/>
          <w:color w:val="000000" w:themeColor="text1"/>
          <w:kern w:val="1"/>
          <w:sz w:val="22"/>
          <w:szCs w:val="22"/>
          <w:lang w:eastAsia="ar-SA"/>
        </w:rPr>
        <w:t xml:space="preserve"> </w:t>
      </w:r>
      <w:r w:rsidR="00776392" w:rsidRPr="0027631D">
        <w:rPr>
          <w:rFonts w:cs="Arial"/>
          <w:color w:val="000000" w:themeColor="text1"/>
          <w:kern w:val="1"/>
          <w:sz w:val="22"/>
          <w:szCs w:val="22"/>
          <w:lang w:eastAsia="ar-SA"/>
        </w:rPr>
        <w:t>dispositivos inalámbricos como lo es Wi-Fi (</w:t>
      </w:r>
      <w:r w:rsidR="007B3169" w:rsidRPr="0027631D">
        <w:rPr>
          <w:rFonts w:cs="Arial"/>
          <w:color w:val="000000" w:themeColor="text1"/>
          <w:kern w:val="1"/>
          <w:sz w:val="22"/>
          <w:szCs w:val="22"/>
          <w:lang w:eastAsia="ar-SA"/>
        </w:rPr>
        <w:t xml:space="preserve">perteneciente a redes </w:t>
      </w:r>
      <w:r w:rsidR="00776392" w:rsidRPr="0027631D">
        <w:rPr>
          <w:rFonts w:cs="Arial"/>
          <w:color w:val="000000" w:themeColor="text1"/>
          <w:kern w:val="1"/>
          <w:sz w:val="22"/>
          <w:szCs w:val="22"/>
          <w:lang w:eastAsia="ar-SA"/>
        </w:rPr>
        <w:t>WLAN) o Bluetooth (</w:t>
      </w:r>
      <w:r w:rsidR="007B3169" w:rsidRPr="0027631D">
        <w:rPr>
          <w:rFonts w:cs="Arial"/>
          <w:color w:val="000000" w:themeColor="text1"/>
          <w:kern w:val="1"/>
          <w:sz w:val="22"/>
          <w:szCs w:val="22"/>
          <w:lang w:eastAsia="ar-SA"/>
        </w:rPr>
        <w:t xml:space="preserve">perteneciente a redes </w:t>
      </w:r>
      <w:r w:rsidR="00776392" w:rsidRPr="0027631D">
        <w:rPr>
          <w:rFonts w:cs="Arial"/>
          <w:color w:val="000000" w:themeColor="text1"/>
          <w:kern w:val="1"/>
          <w:sz w:val="22"/>
          <w:szCs w:val="22"/>
          <w:lang w:eastAsia="ar-SA"/>
        </w:rPr>
        <w:t xml:space="preserve">WPAN), </w:t>
      </w:r>
      <w:r w:rsidRPr="0027631D">
        <w:rPr>
          <w:rFonts w:cs="Arial"/>
          <w:color w:val="000000" w:themeColor="text1"/>
          <w:kern w:val="1"/>
          <w:sz w:val="22"/>
          <w:szCs w:val="22"/>
          <w:lang w:eastAsia="ar-SA"/>
        </w:rPr>
        <w:t>aunado a sistemas de transporte inalámbrico</w:t>
      </w:r>
      <w:r w:rsidR="00776392" w:rsidRPr="0027631D">
        <w:rPr>
          <w:rFonts w:cs="Arial"/>
          <w:color w:val="000000" w:themeColor="text1"/>
          <w:kern w:val="1"/>
          <w:sz w:val="22"/>
          <w:szCs w:val="22"/>
          <w:lang w:eastAsia="ar-SA"/>
        </w:rPr>
        <w:t xml:space="preserve">, así como dispositivos destinados a aplicaciones industriales, científicas y médicas (ICM), </w:t>
      </w:r>
      <w:r w:rsidR="00831163">
        <w:rPr>
          <w:rFonts w:cs="Arial"/>
          <w:color w:val="000000" w:themeColor="text1"/>
          <w:kern w:val="1"/>
          <w:sz w:val="22"/>
          <w:szCs w:val="22"/>
          <w:lang w:eastAsia="ar-SA"/>
        </w:rPr>
        <w:t>los cuales</w:t>
      </w:r>
      <w:r w:rsidR="00831163" w:rsidRPr="0027631D">
        <w:rPr>
          <w:rFonts w:cs="Arial"/>
          <w:color w:val="000000" w:themeColor="text1"/>
          <w:kern w:val="1"/>
          <w:sz w:val="22"/>
          <w:szCs w:val="22"/>
          <w:lang w:eastAsia="ar-SA"/>
        </w:rPr>
        <w:t xml:space="preserve"> </w:t>
      </w:r>
      <w:r w:rsidRPr="0027631D">
        <w:rPr>
          <w:rFonts w:cs="Arial"/>
          <w:color w:val="000000" w:themeColor="text1"/>
          <w:kern w:val="1"/>
          <w:sz w:val="22"/>
          <w:szCs w:val="22"/>
          <w:lang w:eastAsia="ar-SA"/>
        </w:rPr>
        <w:t xml:space="preserve">han operado </w:t>
      </w:r>
      <w:r w:rsidR="00776392" w:rsidRPr="0027631D">
        <w:rPr>
          <w:rFonts w:cs="Arial"/>
          <w:color w:val="000000" w:themeColor="text1"/>
          <w:kern w:val="1"/>
          <w:sz w:val="22"/>
          <w:szCs w:val="22"/>
          <w:lang w:eastAsia="ar-SA"/>
        </w:rPr>
        <w:t>de forma compartida en la banda 2.4 GHz.</w:t>
      </w:r>
    </w:p>
    <w:p w14:paraId="53476FDC" w14:textId="77777777" w:rsidR="00872295" w:rsidRPr="0027631D" w:rsidRDefault="00872295" w:rsidP="0027631D">
      <w:pPr>
        <w:pStyle w:val="Prrafodelista"/>
        <w:suppressAutoHyphens/>
        <w:spacing w:line="23" w:lineRule="atLeast"/>
        <w:ind w:left="0" w:right="49"/>
        <w:contextualSpacing/>
        <w:jc w:val="both"/>
        <w:rPr>
          <w:rFonts w:cs="Arial"/>
          <w:color w:val="000000" w:themeColor="text1"/>
          <w:kern w:val="1"/>
          <w:sz w:val="22"/>
          <w:szCs w:val="22"/>
          <w:lang w:eastAsia="ar-SA"/>
        </w:rPr>
      </w:pPr>
    </w:p>
    <w:p w14:paraId="769B2F9F" w14:textId="0E0B01CE" w:rsidR="005E1EC6" w:rsidRPr="0027631D" w:rsidRDefault="00872295" w:rsidP="0027631D">
      <w:pPr>
        <w:pStyle w:val="Prrafodelista"/>
        <w:suppressAutoHyphens/>
        <w:spacing w:line="23" w:lineRule="atLeast"/>
        <w:ind w:left="0" w:right="49"/>
        <w:contextualSpacing/>
        <w:jc w:val="both"/>
        <w:rPr>
          <w:rFonts w:cs="Arial"/>
          <w:color w:val="000000" w:themeColor="text1"/>
          <w:kern w:val="1"/>
          <w:sz w:val="22"/>
          <w:szCs w:val="22"/>
          <w:lang w:eastAsia="ar-SA"/>
        </w:rPr>
      </w:pPr>
      <w:r w:rsidRPr="0027631D">
        <w:rPr>
          <w:rFonts w:cs="Arial"/>
          <w:color w:val="000000" w:themeColor="text1"/>
          <w:kern w:val="1"/>
          <w:sz w:val="22"/>
          <w:szCs w:val="22"/>
          <w:lang w:eastAsia="ar-SA"/>
        </w:rPr>
        <w:t xml:space="preserve">En el ámbito nacional, </w:t>
      </w:r>
      <w:r w:rsidR="005E1EC6" w:rsidRPr="0027631D">
        <w:rPr>
          <w:rFonts w:cs="Arial"/>
          <w:color w:val="000000" w:themeColor="text1"/>
          <w:kern w:val="1"/>
          <w:sz w:val="22"/>
          <w:szCs w:val="22"/>
          <w:lang w:eastAsia="ar-SA"/>
        </w:rPr>
        <w:t>el</w:t>
      </w:r>
      <w:r w:rsidR="005510E7" w:rsidRPr="005510E7">
        <w:rPr>
          <w:rFonts w:cs="Arial"/>
          <w:color w:val="000000" w:themeColor="text1"/>
          <w:kern w:val="1"/>
          <w:sz w:val="22"/>
          <w:szCs w:val="22"/>
          <w:lang w:eastAsia="ar-SA"/>
        </w:rPr>
        <w:t xml:space="preserve"> </w:t>
      </w:r>
      <w:r w:rsidR="005510E7" w:rsidRPr="0027631D">
        <w:rPr>
          <w:rFonts w:cs="Arial"/>
          <w:color w:val="000000" w:themeColor="text1"/>
          <w:kern w:val="1"/>
          <w:sz w:val="22"/>
          <w:szCs w:val="22"/>
          <w:lang w:eastAsia="ar-SA"/>
        </w:rPr>
        <w:t>CNAF</w:t>
      </w:r>
      <w:r w:rsidR="005510E7" w:rsidRPr="0027631D">
        <w:rPr>
          <w:rFonts w:cs="Arial"/>
          <w:color w:val="000000" w:themeColor="text1"/>
          <w:kern w:val="1"/>
          <w:sz w:val="22"/>
          <w:szCs w:val="22"/>
          <w:vertAlign w:val="superscript"/>
          <w:lang w:eastAsia="ar-SA"/>
        </w:rPr>
        <w:t xml:space="preserve"> </w:t>
      </w:r>
      <w:r w:rsidR="005E1EC6" w:rsidRPr="0027631D">
        <w:rPr>
          <w:rFonts w:cs="Arial"/>
          <w:color w:val="000000" w:themeColor="text1"/>
          <w:kern w:val="1"/>
          <w:sz w:val="22"/>
          <w:szCs w:val="22"/>
          <w:vertAlign w:val="superscript"/>
          <w:lang w:eastAsia="ar-SA"/>
        </w:rPr>
        <w:footnoteReference w:id="7"/>
      </w:r>
      <w:r w:rsidR="005E1EC6" w:rsidRPr="0027631D">
        <w:rPr>
          <w:rFonts w:cs="Arial"/>
          <w:color w:val="000000" w:themeColor="text1"/>
          <w:kern w:val="1"/>
          <w:sz w:val="22"/>
          <w:szCs w:val="22"/>
          <w:lang w:eastAsia="ar-SA"/>
        </w:rPr>
        <w:t xml:space="preserve">, es una disposición administrativa que indica el servicio o servicios de radiocomunicaciones a los que se encuentra atribuida una determinada banda de frecuencias del espectro radioeléctrico en México, así como información adicional sobre el uso y </w:t>
      </w:r>
      <w:r w:rsidR="005E1EC6" w:rsidRPr="0027631D">
        <w:rPr>
          <w:rFonts w:cs="Arial"/>
          <w:color w:val="000000" w:themeColor="text1"/>
          <w:kern w:val="1"/>
          <w:sz w:val="22"/>
          <w:szCs w:val="22"/>
          <w:lang w:eastAsia="ar-SA"/>
        </w:rPr>
        <w:lastRenderedPageBreak/>
        <w:t>planificación de determinadas bandas de frecuencias</w:t>
      </w:r>
      <w:r w:rsidR="005E1EC6" w:rsidRPr="0027631D">
        <w:rPr>
          <w:rFonts w:cs="Arial"/>
          <w:color w:val="000000" w:themeColor="text1"/>
          <w:kern w:val="1"/>
          <w:sz w:val="22"/>
          <w:szCs w:val="22"/>
          <w:vertAlign w:val="superscript"/>
          <w:lang w:eastAsia="ar-SA"/>
        </w:rPr>
        <w:footnoteReference w:id="8"/>
      </w:r>
      <w:r w:rsidR="005E1EC6" w:rsidRPr="0027631D">
        <w:rPr>
          <w:rFonts w:cs="Arial"/>
          <w:color w:val="000000" w:themeColor="text1"/>
          <w:kern w:val="1"/>
          <w:sz w:val="22"/>
          <w:szCs w:val="22"/>
          <w:lang w:eastAsia="ar-SA"/>
        </w:rPr>
        <w:t>. Así, el CNAF contempla para la banda 2.4 GHz lo siguiente:</w:t>
      </w:r>
    </w:p>
    <w:p w14:paraId="3A7EEBC3" w14:textId="77777777" w:rsidR="005E1EC6" w:rsidRPr="0027631D" w:rsidRDefault="005E1EC6" w:rsidP="0027631D">
      <w:pPr>
        <w:spacing w:after="0" w:line="23" w:lineRule="atLeast"/>
        <w:contextualSpacing/>
        <w:rPr>
          <w:rFonts w:ascii="Arial" w:hAnsi="Arial" w:cs="Arial"/>
          <w:color w:val="000000"/>
        </w:rPr>
      </w:pPr>
    </w:p>
    <w:tbl>
      <w:tblPr>
        <w:tblStyle w:val="Tablaconcuadrcula"/>
        <w:tblW w:w="4248" w:type="dxa"/>
        <w:jc w:val="center"/>
        <w:tblLook w:val="04A0" w:firstRow="1" w:lastRow="0" w:firstColumn="1" w:lastColumn="0" w:noHBand="0" w:noVBand="1"/>
      </w:tblPr>
      <w:tblGrid>
        <w:gridCol w:w="4248"/>
      </w:tblGrid>
      <w:tr w:rsidR="00506800" w:rsidRPr="0027631D" w14:paraId="2AE298AF" w14:textId="77777777" w:rsidTr="00506800">
        <w:trPr>
          <w:tblHeader/>
          <w:jc w:val="center"/>
        </w:trPr>
        <w:tc>
          <w:tcPr>
            <w:tcW w:w="4248" w:type="dxa"/>
            <w:shd w:val="clear" w:color="auto" w:fill="D9D9D9" w:themeFill="background1" w:themeFillShade="D9"/>
            <w:vAlign w:val="center"/>
          </w:tcPr>
          <w:p w14:paraId="32275B34" w14:textId="77777777" w:rsidR="005E1EC6" w:rsidRPr="0027631D" w:rsidRDefault="005E1EC6" w:rsidP="0027631D">
            <w:pPr>
              <w:spacing w:after="0" w:line="23" w:lineRule="atLeast"/>
              <w:contextualSpacing/>
              <w:jc w:val="center"/>
              <w:rPr>
                <w:rFonts w:ascii="Arial" w:hAnsi="Arial" w:cs="Arial"/>
                <w:b/>
              </w:rPr>
            </w:pPr>
            <w:r w:rsidRPr="0027631D">
              <w:rPr>
                <w:rFonts w:ascii="Arial" w:hAnsi="Arial" w:cs="Arial"/>
                <w:b/>
              </w:rPr>
              <w:t>CNAF</w:t>
            </w:r>
          </w:p>
        </w:tc>
      </w:tr>
      <w:tr w:rsidR="00506800" w:rsidRPr="0027631D" w14:paraId="1EBE672C" w14:textId="77777777" w:rsidTr="00506800">
        <w:trPr>
          <w:tblHeader/>
          <w:jc w:val="center"/>
        </w:trPr>
        <w:tc>
          <w:tcPr>
            <w:tcW w:w="4248" w:type="dxa"/>
            <w:shd w:val="clear" w:color="auto" w:fill="D9D9D9" w:themeFill="background1" w:themeFillShade="D9"/>
          </w:tcPr>
          <w:p w14:paraId="52082D4B" w14:textId="77777777" w:rsidR="005E1EC6" w:rsidRPr="0027631D" w:rsidRDefault="005E1EC6" w:rsidP="0027631D">
            <w:pPr>
              <w:spacing w:after="0" w:line="23" w:lineRule="atLeast"/>
              <w:contextualSpacing/>
              <w:jc w:val="center"/>
              <w:rPr>
                <w:rFonts w:ascii="Arial" w:hAnsi="Arial" w:cs="Arial"/>
                <w:b/>
              </w:rPr>
            </w:pPr>
            <w:r w:rsidRPr="0027631D">
              <w:rPr>
                <w:rFonts w:ascii="Arial" w:hAnsi="Arial" w:cs="Arial"/>
                <w:b/>
              </w:rPr>
              <w:t>MHz</w:t>
            </w:r>
          </w:p>
        </w:tc>
      </w:tr>
      <w:tr w:rsidR="00506800" w:rsidRPr="0027631D" w14:paraId="50DCC75C" w14:textId="77777777" w:rsidTr="00506800">
        <w:trPr>
          <w:trHeight w:val="537"/>
          <w:jc w:val="center"/>
        </w:trPr>
        <w:tc>
          <w:tcPr>
            <w:tcW w:w="4248" w:type="dxa"/>
            <w:shd w:val="clear" w:color="auto" w:fill="auto"/>
          </w:tcPr>
          <w:p w14:paraId="0988BD0F" w14:textId="77777777" w:rsidR="005E1EC6" w:rsidRPr="0027631D" w:rsidRDefault="005E1EC6" w:rsidP="0027631D">
            <w:pPr>
              <w:spacing w:after="0" w:line="23" w:lineRule="atLeast"/>
              <w:contextualSpacing/>
              <w:rPr>
                <w:rFonts w:ascii="Arial" w:hAnsi="Arial" w:cs="Arial"/>
                <w:b/>
              </w:rPr>
            </w:pPr>
            <w:r w:rsidRPr="0027631D">
              <w:rPr>
                <w:rFonts w:ascii="Arial" w:hAnsi="Arial" w:cs="Arial"/>
                <w:b/>
              </w:rPr>
              <w:t>2400 – 2450</w:t>
            </w:r>
          </w:p>
          <w:p w14:paraId="5DC99328" w14:textId="77777777" w:rsidR="005E1EC6" w:rsidRPr="0027631D" w:rsidRDefault="005E1EC6" w:rsidP="0027631D">
            <w:pPr>
              <w:spacing w:after="0" w:line="23" w:lineRule="atLeast"/>
              <w:contextualSpacing/>
              <w:rPr>
                <w:rFonts w:ascii="Arial" w:hAnsi="Arial" w:cs="Arial"/>
              </w:rPr>
            </w:pPr>
            <w:r w:rsidRPr="0027631D">
              <w:rPr>
                <w:rFonts w:ascii="Arial" w:hAnsi="Arial" w:cs="Arial"/>
              </w:rPr>
              <w:t>FIJO</w:t>
            </w:r>
          </w:p>
          <w:p w14:paraId="191F53E7" w14:textId="77777777" w:rsidR="005E1EC6" w:rsidRPr="0027631D" w:rsidRDefault="005E1EC6" w:rsidP="0027631D">
            <w:pPr>
              <w:spacing w:after="0" w:line="23" w:lineRule="atLeast"/>
              <w:contextualSpacing/>
              <w:rPr>
                <w:rFonts w:ascii="Arial" w:hAnsi="Arial" w:cs="Arial"/>
              </w:rPr>
            </w:pPr>
            <w:r w:rsidRPr="0027631D">
              <w:rPr>
                <w:rFonts w:ascii="Arial" w:hAnsi="Arial" w:cs="Arial"/>
              </w:rPr>
              <w:t>MÓVIL</w:t>
            </w:r>
          </w:p>
          <w:p w14:paraId="61E28DBF" w14:textId="77777777" w:rsidR="005E1EC6" w:rsidRPr="0027631D" w:rsidRDefault="005E1EC6" w:rsidP="0027631D">
            <w:pPr>
              <w:spacing w:after="0" w:line="23" w:lineRule="atLeast"/>
              <w:contextualSpacing/>
              <w:rPr>
                <w:rFonts w:ascii="Arial" w:hAnsi="Arial" w:cs="Arial"/>
              </w:rPr>
            </w:pPr>
            <w:r w:rsidRPr="0027631D">
              <w:rPr>
                <w:rFonts w:ascii="Arial" w:hAnsi="Arial" w:cs="Arial"/>
              </w:rPr>
              <w:t>Aficionados</w:t>
            </w:r>
          </w:p>
          <w:p w14:paraId="4B64C781" w14:textId="77777777" w:rsidR="005E1EC6" w:rsidRPr="0027631D" w:rsidRDefault="005E1EC6" w:rsidP="0027631D">
            <w:pPr>
              <w:spacing w:after="0" w:line="23" w:lineRule="atLeast"/>
              <w:contextualSpacing/>
              <w:rPr>
                <w:rFonts w:ascii="Arial" w:hAnsi="Arial" w:cs="Arial"/>
              </w:rPr>
            </w:pPr>
            <w:r w:rsidRPr="0027631D">
              <w:rPr>
                <w:rFonts w:ascii="Arial" w:hAnsi="Arial" w:cs="Arial"/>
              </w:rPr>
              <w:t>Radiolocalización</w:t>
            </w:r>
          </w:p>
          <w:p w14:paraId="74468803" w14:textId="77777777" w:rsidR="005E1EC6" w:rsidRPr="0027631D" w:rsidRDefault="005E1EC6" w:rsidP="0027631D">
            <w:pPr>
              <w:spacing w:after="0" w:line="23" w:lineRule="atLeast"/>
              <w:contextualSpacing/>
              <w:jc w:val="right"/>
              <w:rPr>
                <w:rFonts w:ascii="Arial" w:hAnsi="Arial" w:cs="Arial"/>
              </w:rPr>
            </w:pPr>
            <w:r w:rsidRPr="0027631D">
              <w:rPr>
                <w:rFonts w:ascii="Arial" w:hAnsi="Arial" w:cs="Arial"/>
              </w:rPr>
              <w:t xml:space="preserve">MX68 MX159 MX160 MX204 </w:t>
            </w:r>
          </w:p>
        </w:tc>
      </w:tr>
      <w:tr w:rsidR="00506800" w:rsidRPr="0027631D" w14:paraId="1A5EFC65" w14:textId="77777777" w:rsidTr="00506800">
        <w:trPr>
          <w:trHeight w:val="537"/>
          <w:jc w:val="center"/>
        </w:trPr>
        <w:tc>
          <w:tcPr>
            <w:tcW w:w="4248" w:type="dxa"/>
            <w:shd w:val="clear" w:color="auto" w:fill="auto"/>
          </w:tcPr>
          <w:p w14:paraId="40D90065" w14:textId="77777777" w:rsidR="005E1EC6" w:rsidRPr="0027631D" w:rsidRDefault="005E1EC6" w:rsidP="0027631D">
            <w:pPr>
              <w:spacing w:after="0" w:line="23" w:lineRule="atLeast"/>
              <w:contextualSpacing/>
              <w:rPr>
                <w:rFonts w:ascii="Arial" w:hAnsi="Arial" w:cs="Arial"/>
                <w:b/>
              </w:rPr>
            </w:pPr>
            <w:r w:rsidRPr="0027631D">
              <w:rPr>
                <w:rFonts w:ascii="Arial" w:hAnsi="Arial" w:cs="Arial"/>
                <w:b/>
              </w:rPr>
              <w:t>2450 – 2483.5</w:t>
            </w:r>
          </w:p>
          <w:p w14:paraId="5FF0F2B7" w14:textId="77777777" w:rsidR="005E1EC6" w:rsidRPr="0027631D" w:rsidRDefault="005E1EC6" w:rsidP="0027631D">
            <w:pPr>
              <w:spacing w:after="0" w:line="23" w:lineRule="atLeast"/>
              <w:contextualSpacing/>
              <w:rPr>
                <w:rFonts w:ascii="Arial" w:hAnsi="Arial" w:cs="Arial"/>
              </w:rPr>
            </w:pPr>
            <w:r w:rsidRPr="0027631D">
              <w:rPr>
                <w:rFonts w:ascii="Arial" w:hAnsi="Arial" w:cs="Arial"/>
              </w:rPr>
              <w:t>FIJO</w:t>
            </w:r>
          </w:p>
          <w:p w14:paraId="399C3005" w14:textId="77777777" w:rsidR="005E1EC6" w:rsidRPr="0027631D" w:rsidRDefault="005E1EC6" w:rsidP="0027631D">
            <w:pPr>
              <w:spacing w:after="0" w:line="23" w:lineRule="atLeast"/>
              <w:contextualSpacing/>
              <w:rPr>
                <w:rFonts w:ascii="Arial" w:hAnsi="Arial" w:cs="Arial"/>
              </w:rPr>
            </w:pPr>
            <w:r w:rsidRPr="0027631D">
              <w:rPr>
                <w:rFonts w:ascii="Arial" w:hAnsi="Arial" w:cs="Arial"/>
              </w:rPr>
              <w:t>MÓVIL</w:t>
            </w:r>
          </w:p>
          <w:p w14:paraId="37EB0BFB" w14:textId="77777777" w:rsidR="005E1EC6" w:rsidRPr="0027631D" w:rsidRDefault="005E1EC6" w:rsidP="0027631D">
            <w:pPr>
              <w:spacing w:after="0" w:line="23" w:lineRule="atLeast"/>
              <w:contextualSpacing/>
              <w:rPr>
                <w:rFonts w:ascii="Arial" w:hAnsi="Arial" w:cs="Arial"/>
              </w:rPr>
            </w:pPr>
            <w:r w:rsidRPr="0027631D">
              <w:rPr>
                <w:rFonts w:ascii="Arial" w:hAnsi="Arial" w:cs="Arial"/>
              </w:rPr>
              <w:t>Radiolocalización</w:t>
            </w:r>
          </w:p>
          <w:p w14:paraId="4F375FB2" w14:textId="77777777" w:rsidR="005E1EC6" w:rsidRPr="0027631D" w:rsidRDefault="005E1EC6" w:rsidP="0027631D">
            <w:pPr>
              <w:spacing w:after="0" w:line="23" w:lineRule="atLeast"/>
              <w:contextualSpacing/>
              <w:jc w:val="right"/>
              <w:rPr>
                <w:rFonts w:ascii="Arial" w:hAnsi="Arial" w:cs="Arial"/>
              </w:rPr>
            </w:pPr>
            <w:r w:rsidRPr="0027631D">
              <w:rPr>
                <w:rFonts w:ascii="Arial" w:hAnsi="Arial" w:cs="Arial"/>
              </w:rPr>
              <w:t>MX68 MX159 MX160 MX204</w:t>
            </w:r>
          </w:p>
        </w:tc>
      </w:tr>
    </w:tbl>
    <w:p w14:paraId="4905622B" w14:textId="3566AAF8" w:rsidR="005E1EC6" w:rsidRPr="000A317A" w:rsidRDefault="005E1EC6" w:rsidP="0027631D">
      <w:pPr>
        <w:pStyle w:val="Descripcin"/>
        <w:contextualSpacing/>
        <w:rPr>
          <w:i w:val="0"/>
          <w:sz w:val="22"/>
          <w:szCs w:val="22"/>
        </w:rPr>
      </w:pPr>
      <w:bookmarkStart w:id="3" w:name="_Toc44669650"/>
      <w:bookmarkStart w:id="4" w:name="_Toc44946861"/>
      <w:bookmarkStart w:id="5" w:name="_Toc45105823"/>
      <w:bookmarkStart w:id="6" w:name="_Toc45105922"/>
      <w:bookmarkStart w:id="7" w:name="_Toc45112628"/>
      <w:bookmarkStart w:id="8" w:name="_Toc45115141"/>
      <w:bookmarkStart w:id="9" w:name="_Toc45119716"/>
      <w:bookmarkStart w:id="10" w:name="_Toc45217364"/>
      <w:bookmarkStart w:id="11" w:name="_Toc45226570"/>
      <w:bookmarkStart w:id="12" w:name="_Toc45226686"/>
      <w:bookmarkStart w:id="13" w:name="_Toc45274882"/>
      <w:bookmarkStart w:id="14" w:name="_Toc45279199"/>
      <w:bookmarkStart w:id="15" w:name="_Toc45305723"/>
      <w:bookmarkStart w:id="16" w:name="_Toc45364855"/>
      <w:bookmarkStart w:id="17" w:name="_Toc45381210"/>
      <w:bookmarkStart w:id="18" w:name="_Toc45452812"/>
      <w:bookmarkStart w:id="19" w:name="_Toc45452921"/>
      <w:r w:rsidRPr="000A317A">
        <w:rPr>
          <w:i w:val="0"/>
          <w:sz w:val="22"/>
          <w:szCs w:val="22"/>
        </w:rPr>
        <w:t xml:space="preserve">Tabla </w:t>
      </w:r>
      <w:r w:rsidR="008010AD" w:rsidRPr="000A317A">
        <w:rPr>
          <w:i w:val="0"/>
          <w:sz w:val="22"/>
          <w:szCs w:val="22"/>
        </w:rPr>
        <w:fldChar w:fldCharType="begin"/>
      </w:r>
      <w:r w:rsidR="008010AD" w:rsidRPr="000A317A">
        <w:rPr>
          <w:i w:val="0"/>
          <w:sz w:val="22"/>
          <w:szCs w:val="22"/>
        </w:rPr>
        <w:instrText xml:space="preserve"> SEQ Tabla \* ARABIC </w:instrText>
      </w:r>
      <w:r w:rsidR="008010AD" w:rsidRPr="000A317A">
        <w:rPr>
          <w:i w:val="0"/>
          <w:sz w:val="22"/>
          <w:szCs w:val="22"/>
        </w:rPr>
        <w:fldChar w:fldCharType="separate"/>
      </w:r>
      <w:r w:rsidR="004F1EA3">
        <w:rPr>
          <w:i w:val="0"/>
          <w:noProof/>
          <w:sz w:val="22"/>
          <w:szCs w:val="22"/>
        </w:rPr>
        <w:t>1</w:t>
      </w:r>
      <w:r w:rsidR="008010AD" w:rsidRPr="000A317A">
        <w:rPr>
          <w:i w:val="0"/>
          <w:sz w:val="22"/>
          <w:szCs w:val="22"/>
        </w:rPr>
        <w:fldChar w:fldCharType="end"/>
      </w:r>
      <w:r w:rsidRPr="000A317A">
        <w:rPr>
          <w:i w:val="0"/>
          <w:sz w:val="22"/>
          <w:szCs w:val="22"/>
        </w:rPr>
        <w:t>. Atribución de bandas de frecuencias de acuerdo al CNAF</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6E93DD4A" w14:textId="77777777" w:rsidR="005E1EC6" w:rsidRPr="0027631D" w:rsidRDefault="005E1EC6" w:rsidP="0027631D">
      <w:pPr>
        <w:spacing w:after="0" w:line="23" w:lineRule="atLeast"/>
        <w:ind w:left="709"/>
        <w:contextualSpacing/>
        <w:jc w:val="center"/>
        <w:rPr>
          <w:rFonts w:ascii="Arial" w:hAnsi="Arial" w:cs="Arial"/>
          <w:color w:val="000000"/>
        </w:rPr>
      </w:pPr>
    </w:p>
    <w:p w14:paraId="399D5FA3" w14:textId="77777777" w:rsidR="005E1EC6" w:rsidRPr="0027631D" w:rsidRDefault="005E1EC6" w:rsidP="0027631D">
      <w:pPr>
        <w:pStyle w:val="Prrafodelista"/>
        <w:suppressAutoHyphens/>
        <w:spacing w:line="23" w:lineRule="atLeast"/>
        <w:ind w:left="0" w:right="49"/>
        <w:contextualSpacing/>
        <w:jc w:val="both"/>
        <w:rPr>
          <w:rFonts w:cs="Arial"/>
          <w:color w:val="000000" w:themeColor="text1"/>
          <w:kern w:val="1"/>
          <w:sz w:val="22"/>
          <w:szCs w:val="22"/>
          <w:lang w:eastAsia="ar-SA"/>
        </w:rPr>
      </w:pPr>
      <w:r w:rsidRPr="0027631D">
        <w:rPr>
          <w:rFonts w:cs="Arial"/>
          <w:color w:val="000000" w:themeColor="text1"/>
          <w:kern w:val="1"/>
          <w:sz w:val="22"/>
          <w:szCs w:val="22"/>
          <w:lang w:eastAsia="ar-SA"/>
        </w:rPr>
        <w:t xml:space="preserve">Por su parte, las Notas Nacionales MX68, MX159, MX160 y MX204, señalan: </w:t>
      </w:r>
    </w:p>
    <w:p w14:paraId="656ABE83" w14:textId="77777777" w:rsidR="005E1EC6" w:rsidRPr="0027631D" w:rsidRDefault="005E1EC6" w:rsidP="0027631D">
      <w:pPr>
        <w:spacing w:after="0" w:line="23" w:lineRule="atLeast"/>
        <w:ind w:left="709"/>
        <w:contextualSpacing/>
        <w:rPr>
          <w:rFonts w:ascii="Arial" w:hAnsi="Arial" w:cs="Arial"/>
          <w:color w:val="000000"/>
        </w:rPr>
      </w:pPr>
    </w:p>
    <w:p w14:paraId="4B1BA0AC" w14:textId="77777777" w:rsidR="005E1EC6" w:rsidRPr="000A317A" w:rsidRDefault="005E1EC6" w:rsidP="0027631D">
      <w:pPr>
        <w:pStyle w:val="Cita"/>
        <w:spacing w:line="23" w:lineRule="atLeast"/>
        <w:ind w:left="1134" w:right="616"/>
        <w:contextualSpacing/>
        <w:rPr>
          <w:rFonts w:ascii="Arial" w:hAnsi="Arial" w:cs="Arial"/>
          <w:i w:val="0"/>
          <w:sz w:val="22"/>
          <w:szCs w:val="22"/>
        </w:rPr>
      </w:pPr>
      <w:r w:rsidRPr="000A317A">
        <w:rPr>
          <w:rFonts w:ascii="Arial" w:hAnsi="Arial" w:cs="Arial"/>
          <w:i w:val="0"/>
          <w:sz w:val="22"/>
          <w:szCs w:val="22"/>
        </w:rPr>
        <w:t>“</w:t>
      </w:r>
      <w:r w:rsidRPr="000A317A">
        <w:rPr>
          <w:rFonts w:ascii="Arial" w:hAnsi="Arial" w:cs="Arial"/>
          <w:b/>
          <w:i w:val="0"/>
          <w:sz w:val="22"/>
          <w:szCs w:val="22"/>
        </w:rPr>
        <w:t>MX68</w:t>
      </w:r>
      <w:r w:rsidRPr="000A317A">
        <w:rPr>
          <w:rFonts w:ascii="Arial" w:hAnsi="Arial" w:cs="Arial"/>
          <w:i w:val="0"/>
          <w:sz w:val="22"/>
          <w:szCs w:val="22"/>
        </w:rPr>
        <w:t>. Las bandas de frecuencias que se enlistan a continuación se encuentran designadas para aplicaciones industriales, científicas y médicas (ICM):</w:t>
      </w:r>
    </w:p>
    <w:tbl>
      <w:tblPr>
        <w:tblW w:w="6884" w:type="dxa"/>
        <w:jc w:val="center"/>
        <w:tblLayout w:type="fixed"/>
        <w:tblCellMar>
          <w:left w:w="72" w:type="dxa"/>
          <w:right w:w="72" w:type="dxa"/>
        </w:tblCellMar>
        <w:tblLook w:val="0000" w:firstRow="0" w:lastRow="0" w:firstColumn="0" w:lastColumn="0" w:noHBand="0" w:noVBand="0"/>
      </w:tblPr>
      <w:tblGrid>
        <w:gridCol w:w="2693"/>
        <w:gridCol w:w="2410"/>
        <w:gridCol w:w="1781"/>
      </w:tblGrid>
      <w:tr w:rsidR="005E1EC6" w:rsidRPr="00E82CFB" w14:paraId="7AD5F9AE" w14:textId="77777777" w:rsidTr="009F027A">
        <w:trPr>
          <w:trHeight w:val="20"/>
          <w:jc w:val="center"/>
        </w:trPr>
        <w:tc>
          <w:tcPr>
            <w:tcW w:w="2693" w:type="dxa"/>
            <w:noWrap/>
          </w:tcPr>
          <w:p w14:paraId="7DEFD4B3" w14:textId="77777777" w:rsidR="005E1EC6" w:rsidRPr="000A317A" w:rsidRDefault="005E1EC6" w:rsidP="0027631D">
            <w:pPr>
              <w:pStyle w:val="Texto"/>
              <w:spacing w:after="0" w:line="23" w:lineRule="atLeast"/>
              <w:ind w:left="74" w:firstLine="0"/>
              <w:contextualSpacing/>
              <w:jc w:val="center"/>
              <w:rPr>
                <w:sz w:val="22"/>
                <w:szCs w:val="22"/>
              </w:rPr>
            </w:pPr>
            <w:r w:rsidRPr="000A317A">
              <w:rPr>
                <w:sz w:val="22"/>
                <w:szCs w:val="22"/>
              </w:rPr>
              <w:t>13.553 - 13.567 MHz</w:t>
            </w:r>
          </w:p>
          <w:p w14:paraId="74BFDEA5" w14:textId="77777777" w:rsidR="005E1EC6" w:rsidRPr="000A317A" w:rsidRDefault="005E1EC6" w:rsidP="0027631D">
            <w:pPr>
              <w:pStyle w:val="Texto"/>
              <w:spacing w:after="0" w:line="23" w:lineRule="atLeast"/>
              <w:ind w:left="74" w:firstLine="0"/>
              <w:contextualSpacing/>
              <w:jc w:val="center"/>
              <w:rPr>
                <w:sz w:val="22"/>
                <w:szCs w:val="22"/>
              </w:rPr>
            </w:pPr>
            <w:r w:rsidRPr="000A317A">
              <w:rPr>
                <w:sz w:val="22"/>
                <w:szCs w:val="22"/>
              </w:rPr>
              <w:t>26.957 - 27.283 MHz</w:t>
            </w:r>
          </w:p>
          <w:p w14:paraId="7FCD5773" w14:textId="77777777" w:rsidR="005E1EC6" w:rsidRPr="000A317A" w:rsidRDefault="005E1EC6" w:rsidP="0027631D">
            <w:pPr>
              <w:pStyle w:val="Texto"/>
              <w:spacing w:after="0" w:line="23" w:lineRule="atLeast"/>
              <w:ind w:left="74" w:firstLine="0"/>
              <w:contextualSpacing/>
              <w:jc w:val="center"/>
              <w:rPr>
                <w:sz w:val="22"/>
                <w:szCs w:val="22"/>
              </w:rPr>
            </w:pPr>
            <w:r w:rsidRPr="000A317A">
              <w:rPr>
                <w:sz w:val="22"/>
                <w:szCs w:val="22"/>
              </w:rPr>
              <w:t>40.66 - 40.70 MHz</w:t>
            </w:r>
          </w:p>
        </w:tc>
        <w:tc>
          <w:tcPr>
            <w:tcW w:w="2410" w:type="dxa"/>
          </w:tcPr>
          <w:p w14:paraId="03A0CC32" w14:textId="77777777" w:rsidR="005E1EC6" w:rsidRPr="000A317A" w:rsidRDefault="005E1EC6" w:rsidP="0027631D">
            <w:pPr>
              <w:pStyle w:val="Texto"/>
              <w:spacing w:after="0" w:line="23" w:lineRule="atLeast"/>
              <w:ind w:left="74" w:firstLine="0"/>
              <w:contextualSpacing/>
              <w:jc w:val="center"/>
              <w:rPr>
                <w:sz w:val="22"/>
                <w:szCs w:val="22"/>
              </w:rPr>
            </w:pPr>
            <w:r w:rsidRPr="000A317A">
              <w:rPr>
                <w:sz w:val="22"/>
                <w:szCs w:val="22"/>
              </w:rPr>
              <w:t>902 - 928 MHz</w:t>
            </w:r>
          </w:p>
          <w:p w14:paraId="4AC63F8E" w14:textId="77777777" w:rsidR="005E1EC6" w:rsidRPr="000A317A" w:rsidRDefault="005E1EC6" w:rsidP="0027631D">
            <w:pPr>
              <w:pStyle w:val="Texto"/>
              <w:spacing w:after="0" w:line="23" w:lineRule="atLeast"/>
              <w:ind w:left="74" w:firstLine="0"/>
              <w:contextualSpacing/>
              <w:jc w:val="center"/>
              <w:rPr>
                <w:sz w:val="22"/>
                <w:szCs w:val="22"/>
              </w:rPr>
            </w:pPr>
            <w:r w:rsidRPr="000A317A">
              <w:rPr>
                <w:sz w:val="22"/>
                <w:szCs w:val="22"/>
              </w:rPr>
              <w:t>2400 - 2500 MHz</w:t>
            </w:r>
          </w:p>
          <w:p w14:paraId="3280F690" w14:textId="77777777" w:rsidR="005E1EC6" w:rsidRPr="000A317A" w:rsidRDefault="005E1EC6" w:rsidP="0027631D">
            <w:pPr>
              <w:pStyle w:val="Texto"/>
              <w:spacing w:after="0" w:line="23" w:lineRule="atLeast"/>
              <w:ind w:left="74" w:firstLine="0"/>
              <w:contextualSpacing/>
              <w:jc w:val="center"/>
              <w:rPr>
                <w:sz w:val="22"/>
                <w:szCs w:val="22"/>
              </w:rPr>
            </w:pPr>
            <w:r w:rsidRPr="000A317A">
              <w:rPr>
                <w:sz w:val="22"/>
                <w:szCs w:val="22"/>
              </w:rPr>
              <w:t>5.725 - 5.875 GHz</w:t>
            </w:r>
          </w:p>
        </w:tc>
        <w:tc>
          <w:tcPr>
            <w:tcW w:w="1781" w:type="dxa"/>
          </w:tcPr>
          <w:p w14:paraId="187FD333" w14:textId="77777777" w:rsidR="005E1EC6" w:rsidRPr="000A317A" w:rsidRDefault="005E1EC6" w:rsidP="0027631D">
            <w:pPr>
              <w:pStyle w:val="Texto"/>
              <w:spacing w:after="0" w:line="23" w:lineRule="atLeast"/>
              <w:ind w:left="74" w:firstLine="0"/>
              <w:contextualSpacing/>
              <w:jc w:val="center"/>
              <w:rPr>
                <w:sz w:val="22"/>
                <w:szCs w:val="22"/>
              </w:rPr>
            </w:pPr>
            <w:r w:rsidRPr="000A317A">
              <w:rPr>
                <w:sz w:val="22"/>
                <w:szCs w:val="22"/>
              </w:rPr>
              <w:t>24 - 24.25 GHz</w:t>
            </w:r>
          </w:p>
        </w:tc>
      </w:tr>
    </w:tbl>
    <w:p w14:paraId="7DD88437" w14:textId="77777777" w:rsidR="005E1EC6" w:rsidRPr="000A317A" w:rsidRDefault="005E1EC6" w:rsidP="0027631D">
      <w:pPr>
        <w:pStyle w:val="Cita"/>
        <w:spacing w:line="23" w:lineRule="atLeast"/>
        <w:ind w:left="1134" w:right="618"/>
        <w:contextualSpacing/>
        <w:rPr>
          <w:rFonts w:ascii="Arial" w:hAnsi="Arial" w:cs="Arial"/>
          <w:b/>
          <w:i w:val="0"/>
          <w:iCs w:val="0"/>
          <w:sz w:val="22"/>
          <w:szCs w:val="22"/>
        </w:rPr>
      </w:pPr>
    </w:p>
    <w:p w14:paraId="7655237E" w14:textId="77777777" w:rsidR="005E1EC6" w:rsidRPr="000A317A" w:rsidRDefault="005E1EC6" w:rsidP="0027631D">
      <w:pPr>
        <w:pStyle w:val="Cita"/>
        <w:spacing w:line="23" w:lineRule="atLeast"/>
        <w:ind w:left="1134" w:right="616"/>
        <w:contextualSpacing/>
        <w:rPr>
          <w:rFonts w:ascii="Arial" w:hAnsi="Arial" w:cs="Arial"/>
          <w:i w:val="0"/>
          <w:iCs w:val="0"/>
          <w:sz w:val="22"/>
          <w:szCs w:val="22"/>
        </w:rPr>
      </w:pPr>
      <w:r w:rsidRPr="000A317A">
        <w:rPr>
          <w:rFonts w:ascii="Arial" w:hAnsi="Arial" w:cs="Arial"/>
          <w:b/>
          <w:i w:val="0"/>
          <w:iCs w:val="0"/>
          <w:sz w:val="22"/>
          <w:szCs w:val="22"/>
        </w:rPr>
        <w:t>MX159</w:t>
      </w:r>
      <w:r w:rsidRPr="000A317A">
        <w:rPr>
          <w:rFonts w:ascii="Arial" w:hAnsi="Arial" w:cs="Arial"/>
          <w:i w:val="0"/>
          <w:iCs w:val="0"/>
          <w:sz w:val="22"/>
          <w:szCs w:val="22"/>
        </w:rPr>
        <w:t>. El 7 de marzo de 2006 se emitió el Acuerdo por el que se clasifican como espectro libre las bandas de frecuencias que se enlistan a continuación:</w:t>
      </w:r>
    </w:p>
    <w:tbl>
      <w:tblPr>
        <w:tblW w:w="6945" w:type="dxa"/>
        <w:jc w:val="center"/>
        <w:tblLayout w:type="fixed"/>
        <w:tblCellMar>
          <w:left w:w="72" w:type="dxa"/>
          <w:right w:w="72" w:type="dxa"/>
        </w:tblCellMar>
        <w:tblLook w:val="0000" w:firstRow="0" w:lastRow="0" w:firstColumn="0" w:lastColumn="0" w:noHBand="0" w:noVBand="0"/>
      </w:tblPr>
      <w:tblGrid>
        <w:gridCol w:w="2693"/>
        <w:gridCol w:w="2410"/>
        <w:gridCol w:w="1842"/>
      </w:tblGrid>
      <w:tr w:rsidR="005E1EC6" w:rsidRPr="00E82CFB" w14:paraId="43646A65" w14:textId="77777777" w:rsidTr="009F027A">
        <w:trPr>
          <w:trHeight w:val="20"/>
          <w:jc w:val="center"/>
        </w:trPr>
        <w:tc>
          <w:tcPr>
            <w:tcW w:w="2693" w:type="dxa"/>
            <w:noWrap/>
          </w:tcPr>
          <w:p w14:paraId="3B3FA02B" w14:textId="77777777" w:rsidR="005E1EC6" w:rsidRPr="000A317A" w:rsidRDefault="005E1EC6" w:rsidP="0027631D">
            <w:pPr>
              <w:pStyle w:val="Texto"/>
              <w:spacing w:after="0" w:line="23" w:lineRule="atLeast"/>
              <w:ind w:firstLine="0"/>
              <w:contextualSpacing/>
              <w:jc w:val="center"/>
              <w:rPr>
                <w:sz w:val="22"/>
                <w:szCs w:val="22"/>
              </w:rPr>
            </w:pPr>
            <w:r w:rsidRPr="000A317A">
              <w:rPr>
                <w:sz w:val="22"/>
                <w:szCs w:val="22"/>
              </w:rPr>
              <w:t>902 - 928 MHz</w:t>
            </w:r>
          </w:p>
          <w:p w14:paraId="12F07428" w14:textId="77777777" w:rsidR="005E1EC6" w:rsidRPr="000A317A" w:rsidRDefault="005E1EC6" w:rsidP="0027631D">
            <w:pPr>
              <w:pStyle w:val="Texto"/>
              <w:spacing w:after="0" w:line="23" w:lineRule="atLeast"/>
              <w:ind w:firstLine="0"/>
              <w:contextualSpacing/>
              <w:jc w:val="center"/>
              <w:rPr>
                <w:sz w:val="22"/>
                <w:szCs w:val="22"/>
              </w:rPr>
            </w:pPr>
            <w:r w:rsidRPr="000A317A">
              <w:rPr>
                <w:sz w:val="22"/>
                <w:szCs w:val="22"/>
              </w:rPr>
              <w:t>2400 - 2500 MHz</w:t>
            </w:r>
          </w:p>
        </w:tc>
        <w:tc>
          <w:tcPr>
            <w:tcW w:w="2410" w:type="dxa"/>
          </w:tcPr>
          <w:p w14:paraId="2DA4D08A" w14:textId="77777777" w:rsidR="005E1EC6" w:rsidRPr="000A317A" w:rsidRDefault="005E1EC6" w:rsidP="0027631D">
            <w:pPr>
              <w:pStyle w:val="Texto"/>
              <w:spacing w:after="0" w:line="23" w:lineRule="atLeast"/>
              <w:ind w:firstLine="0"/>
              <w:contextualSpacing/>
              <w:jc w:val="center"/>
              <w:rPr>
                <w:sz w:val="22"/>
                <w:szCs w:val="22"/>
              </w:rPr>
            </w:pPr>
            <w:r w:rsidRPr="000A317A">
              <w:rPr>
                <w:sz w:val="22"/>
                <w:szCs w:val="22"/>
              </w:rPr>
              <w:t>5.15 - 5.25 GHz</w:t>
            </w:r>
          </w:p>
          <w:p w14:paraId="26E105D7" w14:textId="77777777" w:rsidR="005E1EC6" w:rsidRPr="000A317A" w:rsidRDefault="005E1EC6" w:rsidP="0027631D">
            <w:pPr>
              <w:pStyle w:val="Texto"/>
              <w:spacing w:after="0" w:line="23" w:lineRule="atLeast"/>
              <w:ind w:firstLine="0"/>
              <w:contextualSpacing/>
              <w:jc w:val="center"/>
              <w:rPr>
                <w:sz w:val="22"/>
                <w:szCs w:val="22"/>
              </w:rPr>
            </w:pPr>
            <w:r w:rsidRPr="000A317A">
              <w:rPr>
                <w:sz w:val="22"/>
                <w:szCs w:val="22"/>
              </w:rPr>
              <w:t>5.25 – 5.35 GHz</w:t>
            </w:r>
          </w:p>
        </w:tc>
        <w:tc>
          <w:tcPr>
            <w:tcW w:w="1842" w:type="dxa"/>
          </w:tcPr>
          <w:p w14:paraId="21A9DC6E" w14:textId="77777777" w:rsidR="005E1EC6" w:rsidRPr="000A317A" w:rsidRDefault="005E1EC6" w:rsidP="0027631D">
            <w:pPr>
              <w:pStyle w:val="Texto"/>
              <w:spacing w:after="0" w:line="23" w:lineRule="atLeast"/>
              <w:ind w:firstLine="0"/>
              <w:contextualSpacing/>
              <w:jc w:val="center"/>
              <w:rPr>
                <w:sz w:val="22"/>
                <w:szCs w:val="22"/>
              </w:rPr>
            </w:pPr>
            <w:r w:rsidRPr="000A317A">
              <w:rPr>
                <w:sz w:val="22"/>
                <w:szCs w:val="22"/>
              </w:rPr>
              <w:t>5.725 – 5.85 GHz</w:t>
            </w:r>
          </w:p>
          <w:p w14:paraId="0C7A1AD7" w14:textId="77777777" w:rsidR="005510E7" w:rsidRPr="000A317A" w:rsidRDefault="005510E7" w:rsidP="0027631D">
            <w:pPr>
              <w:pStyle w:val="Texto"/>
              <w:spacing w:after="0" w:line="23" w:lineRule="atLeast"/>
              <w:ind w:firstLine="0"/>
              <w:contextualSpacing/>
              <w:jc w:val="center"/>
              <w:rPr>
                <w:sz w:val="22"/>
                <w:szCs w:val="22"/>
              </w:rPr>
            </w:pPr>
          </w:p>
        </w:tc>
      </w:tr>
    </w:tbl>
    <w:p w14:paraId="7E5278AF" w14:textId="77777777" w:rsidR="005E1EC6" w:rsidRPr="000A317A" w:rsidRDefault="005E1EC6" w:rsidP="0027631D">
      <w:pPr>
        <w:pStyle w:val="Cita"/>
        <w:spacing w:line="23" w:lineRule="atLeast"/>
        <w:ind w:left="1134" w:right="616"/>
        <w:contextualSpacing/>
        <w:rPr>
          <w:rFonts w:ascii="Arial" w:hAnsi="Arial" w:cs="Arial"/>
          <w:i w:val="0"/>
          <w:sz w:val="22"/>
          <w:szCs w:val="22"/>
        </w:rPr>
      </w:pPr>
      <w:r w:rsidRPr="000A317A">
        <w:rPr>
          <w:rFonts w:ascii="Arial" w:hAnsi="Arial" w:cs="Arial"/>
          <w:i w:val="0"/>
          <w:sz w:val="22"/>
          <w:szCs w:val="22"/>
        </w:rPr>
        <w:t>Dicho Acuerdo fue publicado en el DOF el 13 de marzo de 2006.</w:t>
      </w:r>
    </w:p>
    <w:p w14:paraId="3CECC32B" w14:textId="77777777" w:rsidR="005E1EC6" w:rsidRPr="000A317A" w:rsidRDefault="005E1EC6" w:rsidP="0027631D">
      <w:pPr>
        <w:pStyle w:val="Cita"/>
        <w:spacing w:line="23" w:lineRule="atLeast"/>
        <w:ind w:left="1134" w:right="616"/>
        <w:contextualSpacing/>
        <w:rPr>
          <w:rFonts w:ascii="Arial" w:hAnsi="Arial" w:cs="Arial"/>
          <w:b/>
          <w:i w:val="0"/>
          <w:iCs w:val="0"/>
          <w:sz w:val="22"/>
          <w:szCs w:val="22"/>
        </w:rPr>
      </w:pPr>
    </w:p>
    <w:p w14:paraId="62080A2E" w14:textId="77777777" w:rsidR="005E1EC6" w:rsidRPr="000A317A" w:rsidRDefault="005E1EC6" w:rsidP="0027631D">
      <w:pPr>
        <w:pStyle w:val="Cita"/>
        <w:spacing w:line="23" w:lineRule="atLeast"/>
        <w:ind w:left="1134" w:right="618"/>
        <w:contextualSpacing/>
        <w:rPr>
          <w:rFonts w:ascii="Arial" w:hAnsi="Arial" w:cs="Arial"/>
          <w:i w:val="0"/>
          <w:iCs w:val="0"/>
          <w:sz w:val="22"/>
          <w:szCs w:val="22"/>
        </w:rPr>
      </w:pPr>
      <w:r w:rsidRPr="000A317A">
        <w:rPr>
          <w:rFonts w:ascii="Arial" w:hAnsi="Arial" w:cs="Arial"/>
          <w:b/>
          <w:i w:val="0"/>
          <w:iCs w:val="0"/>
          <w:sz w:val="22"/>
          <w:szCs w:val="22"/>
        </w:rPr>
        <w:t xml:space="preserve">MX160. </w:t>
      </w:r>
      <w:r w:rsidRPr="000A317A">
        <w:rPr>
          <w:rFonts w:ascii="Arial" w:hAnsi="Arial" w:cs="Arial"/>
          <w:i w:val="0"/>
          <w:iCs w:val="0"/>
          <w:sz w:val="22"/>
          <w:szCs w:val="22"/>
        </w:rPr>
        <w:t>El 19 de octubre de 2015 se publicó en el DOF el Acuerdo por el que el Pleno del Instituto Federal de Telecomunicaciones expide la Disposición Técnica IFT-008-2015: Sistemas de radiocomunicación que emplean la técnica de espectro disperso -Equipos de radiocomunicación por salto de frecuencia y por modulación digital a operar en las bandas 902 - 928 MHz, 2400 - 2483.5 MHz y 5725 - 5850 MHz- Especificaciones, límites y métodos de prueba</w:t>
      </w:r>
    </w:p>
    <w:p w14:paraId="697B8470" w14:textId="77777777" w:rsidR="005E1EC6" w:rsidRPr="000A317A" w:rsidRDefault="005E1EC6" w:rsidP="0027631D">
      <w:pPr>
        <w:pStyle w:val="Cita"/>
        <w:spacing w:line="23" w:lineRule="atLeast"/>
        <w:ind w:left="1134" w:right="618"/>
        <w:contextualSpacing/>
        <w:rPr>
          <w:rFonts w:ascii="Arial" w:hAnsi="Arial" w:cs="Arial"/>
          <w:b/>
          <w:i w:val="0"/>
          <w:iCs w:val="0"/>
          <w:sz w:val="22"/>
          <w:szCs w:val="22"/>
        </w:rPr>
      </w:pPr>
    </w:p>
    <w:p w14:paraId="4294B4F3" w14:textId="77777777" w:rsidR="005E1EC6" w:rsidRPr="000A317A" w:rsidRDefault="005E1EC6" w:rsidP="0027631D">
      <w:pPr>
        <w:pStyle w:val="Cita"/>
        <w:spacing w:line="23" w:lineRule="atLeast"/>
        <w:ind w:left="1134" w:right="618"/>
        <w:contextualSpacing/>
        <w:rPr>
          <w:rFonts w:ascii="Arial" w:hAnsi="Arial" w:cs="Arial"/>
          <w:i w:val="0"/>
          <w:iCs w:val="0"/>
          <w:sz w:val="22"/>
          <w:szCs w:val="22"/>
        </w:rPr>
      </w:pPr>
      <w:r w:rsidRPr="000A317A">
        <w:rPr>
          <w:rFonts w:ascii="Arial" w:hAnsi="Arial" w:cs="Arial"/>
          <w:b/>
          <w:i w:val="0"/>
          <w:iCs w:val="0"/>
          <w:sz w:val="22"/>
          <w:szCs w:val="22"/>
        </w:rPr>
        <w:t>MX</w:t>
      </w:r>
      <w:r w:rsidR="00D60217" w:rsidRPr="000A317A">
        <w:rPr>
          <w:rFonts w:ascii="Arial" w:hAnsi="Arial" w:cs="Arial"/>
          <w:b/>
          <w:i w:val="0"/>
          <w:iCs w:val="0"/>
          <w:sz w:val="22"/>
          <w:szCs w:val="22"/>
        </w:rPr>
        <w:t>2</w:t>
      </w:r>
      <w:r w:rsidRPr="000A317A">
        <w:rPr>
          <w:rFonts w:ascii="Arial" w:hAnsi="Arial" w:cs="Arial"/>
          <w:b/>
          <w:i w:val="0"/>
          <w:iCs w:val="0"/>
          <w:sz w:val="22"/>
          <w:szCs w:val="22"/>
        </w:rPr>
        <w:t>0</w:t>
      </w:r>
      <w:r w:rsidR="00D60217" w:rsidRPr="000A317A">
        <w:rPr>
          <w:rFonts w:ascii="Arial" w:hAnsi="Arial" w:cs="Arial"/>
          <w:b/>
          <w:i w:val="0"/>
          <w:iCs w:val="0"/>
          <w:sz w:val="22"/>
          <w:szCs w:val="22"/>
        </w:rPr>
        <w:t>4</w:t>
      </w:r>
      <w:r w:rsidRPr="000A317A">
        <w:rPr>
          <w:rFonts w:ascii="Arial" w:hAnsi="Arial" w:cs="Arial"/>
          <w:b/>
          <w:i w:val="0"/>
          <w:iCs w:val="0"/>
          <w:sz w:val="22"/>
          <w:szCs w:val="22"/>
        </w:rPr>
        <w:t xml:space="preserve">. </w:t>
      </w:r>
      <w:r w:rsidRPr="000A317A">
        <w:rPr>
          <w:rFonts w:ascii="Arial" w:hAnsi="Arial" w:cs="Arial"/>
          <w:i w:val="0"/>
          <w:iCs w:val="0"/>
          <w:sz w:val="22"/>
          <w:szCs w:val="22"/>
        </w:rPr>
        <w:t>El 7 de octubre de 2005 se emitió la Resolución mediante la que se modifican las condiciones técnicas de operación de la banda 2400 - 2483.5 MHz, identificada como espectro libre”</w:t>
      </w:r>
    </w:p>
    <w:p w14:paraId="5DEE9635" w14:textId="77777777" w:rsidR="005E1EC6" w:rsidRPr="0027631D" w:rsidRDefault="005E1EC6" w:rsidP="0027631D">
      <w:pPr>
        <w:pStyle w:val="Prrafodelista"/>
        <w:suppressAutoHyphens/>
        <w:spacing w:line="23" w:lineRule="atLeast"/>
        <w:ind w:left="0" w:right="49"/>
        <w:contextualSpacing/>
        <w:jc w:val="both"/>
        <w:rPr>
          <w:rFonts w:cs="Arial"/>
          <w:color w:val="000000" w:themeColor="text1"/>
          <w:kern w:val="1"/>
          <w:sz w:val="22"/>
          <w:szCs w:val="22"/>
          <w:lang w:eastAsia="ar-SA"/>
        </w:rPr>
      </w:pPr>
    </w:p>
    <w:p w14:paraId="2505577B" w14:textId="77777777" w:rsidR="00AD6BDB" w:rsidRPr="0027631D" w:rsidRDefault="005E1EC6" w:rsidP="0027631D">
      <w:pPr>
        <w:pStyle w:val="Prrafodelista"/>
        <w:suppressAutoHyphens/>
        <w:spacing w:line="23" w:lineRule="atLeast"/>
        <w:ind w:left="0" w:right="49"/>
        <w:contextualSpacing/>
        <w:jc w:val="both"/>
        <w:rPr>
          <w:rFonts w:cs="Arial"/>
          <w:color w:val="000000" w:themeColor="text1"/>
          <w:kern w:val="1"/>
          <w:sz w:val="22"/>
          <w:szCs w:val="22"/>
          <w:lang w:eastAsia="ar-SA"/>
        </w:rPr>
      </w:pPr>
      <w:r w:rsidRPr="0027631D">
        <w:rPr>
          <w:rFonts w:cs="Arial"/>
          <w:color w:val="000000" w:themeColor="text1"/>
          <w:kern w:val="1"/>
          <w:sz w:val="22"/>
          <w:szCs w:val="22"/>
          <w:lang w:eastAsia="ar-SA"/>
        </w:rPr>
        <w:t xml:space="preserve">Adicionalmente, </w:t>
      </w:r>
      <w:r w:rsidR="00872295" w:rsidRPr="0027631D">
        <w:rPr>
          <w:rFonts w:cs="Arial"/>
          <w:color w:val="000000" w:themeColor="text1"/>
          <w:kern w:val="1"/>
          <w:sz w:val="22"/>
          <w:szCs w:val="22"/>
          <w:lang w:eastAsia="ar-SA"/>
        </w:rPr>
        <w:t>el 13 de marzo de 2006 se</w:t>
      </w:r>
      <w:r w:rsidR="00573968" w:rsidRPr="0027631D">
        <w:rPr>
          <w:rFonts w:cs="Arial"/>
          <w:color w:val="000000" w:themeColor="text1"/>
          <w:kern w:val="1"/>
          <w:sz w:val="22"/>
          <w:szCs w:val="22"/>
          <w:lang w:eastAsia="ar-SA"/>
        </w:rPr>
        <w:t xml:space="preserve"> clasificó la </w:t>
      </w:r>
      <w:r w:rsidR="00872295" w:rsidRPr="0027631D">
        <w:rPr>
          <w:rFonts w:cs="Arial"/>
          <w:color w:val="000000" w:themeColor="text1"/>
          <w:kern w:val="1"/>
          <w:sz w:val="22"/>
          <w:szCs w:val="22"/>
          <w:lang w:eastAsia="ar-SA"/>
        </w:rPr>
        <w:t xml:space="preserve">banda </w:t>
      </w:r>
      <w:r w:rsidR="00115A4B" w:rsidRPr="0027631D">
        <w:rPr>
          <w:rFonts w:cs="Arial"/>
          <w:color w:val="000000" w:themeColor="text1"/>
          <w:kern w:val="1"/>
          <w:sz w:val="22"/>
          <w:szCs w:val="22"/>
          <w:lang w:eastAsia="ar-SA"/>
        </w:rPr>
        <w:t>2.4</w:t>
      </w:r>
      <w:r w:rsidR="00872295" w:rsidRPr="0027631D">
        <w:rPr>
          <w:rFonts w:cs="Arial"/>
          <w:color w:val="000000" w:themeColor="text1"/>
          <w:kern w:val="1"/>
          <w:sz w:val="22"/>
          <w:szCs w:val="22"/>
          <w:lang w:eastAsia="ar-SA"/>
        </w:rPr>
        <w:t xml:space="preserve"> </w:t>
      </w:r>
      <w:r w:rsidR="00115A4B" w:rsidRPr="0027631D">
        <w:rPr>
          <w:rFonts w:cs="Arial"/>
          <w:color w:val="000000" w:themeColor="text1"/>
          <w:kern w:val="1"/>
          <w:sz w:val="22"/>
          <w:szCs w:val="22"/>
          <w:lang w:eastAsia="ar-SA"/>
        </w:rPr>
        <w:t>G</w:t>
      </w:r>
      <w:r w:rsidR="00872295" w:rsidRPr="0027631D">
        <w:rPr>
          <w:rFonts w:cs="Arial"/>
          <w:color w:val="000000" w:themeColor="text1"/>
          <w:kern w:val="1"/>
          <w:sz w:val="22"/>
          <w:szCs w:val="22"/>
          <w:lang w:eastAsia="ar-SA"/>
        </w:rPr>
        <w:t xml:space="preserve">Hz como espectro </w:t>
      </w:r>
      <w:r w:rsidR="001A11B3" w:rsidRPr="0027631D">
        <w:rPr>
          <w:rFonts w:cs="Arial"/>
          <w:color w:val="000000" w:themeColor="text1"/>
          <w:kern w:val="1"/>
          <w:sz w:val="22"/>
          <w:szCs w:val="22"/>
          <w:lang w:eastAsia="ar-SA"/>
        </w:rPr>
        <w:t xml:space="preserve">de uso </w:t>
      </w:r>
      <w:r w:rsidR="00872295" w:rsidRPr="0027631D">
        <w:rPr>
          <w:rFonts w:cs="Arial"/>
          <w:color w:val="000000" w:themeColor="text1"/>
          <w:kern w:val="1"/>
          <w:sz w:val="22"/>
          <w:szCs w:val="22"/>
          <w:lang w:eastAsia="ar-SA"/>
        </w:rPr>
        <w:t>libre</w:t>
      </w:r>
      <w:r w:rsidR="00573968" w:rsidRPr="0027631D">
        <w:rPr>
          <w:rFonts w:cs="Arial"/>
          <w:color w:val="000000" w:themeColor="text1"/>
          <w:kern w:val="1"/>
          <w:sz w:val="22"/>
          <w:szCs w:val="22"/>
          <w:lang w:eastAsia="ar-SA"/>
        </w:rPr>
        <w:t>, como quedó indicado en el Antecedente Primero.</w:t>
      </w:r>
      <w:r w:rsidR="00115A4B" w:rsidRPr="0027631D">
        <w:rPr>
          <w:rFonts w:cs="Arial"/>
          <w:color w:val="000000" w:themeColor="text1"/>
          <w:kern w:val="1"/>
          <w:sz w:val="22"/>
          <w:szCs w:val="22"/>
          <w:lang w:eastAsia="ar-SA"/>
        </w:rPr>
        <w:t xml:space="preserve"> </w:t>
      </w:r>
      <w:r w:rsidR="00AD6BDB" w:rsidRPr="0027631D">
        <w:rPr>
          <w:rFonts w:cs="Arial"/>
          <w:color w:val="000000"/>
          <w:sz w:val="22"/>
          <w:szCs w:val="22"/>
        </w:rPr>
        <w:t xml:space="preserve">A continuación, se incluye un resumen </w:t>
      </w:r>
      <w:r w:rsidR="00AD6BDB" w:rsidRPr="0027631D">
        <w:rPr>
          <w:rFonts w:cs="Arial"/>
          <w:color w:val="000000"/>
          <w:sz w:val="22"/>
          <w:szCs w:val="22"/>
        </w:rPr>
        <w:lastRenderedPageBreak/>
        <w:t>de las condiciones de operación establecidas para los sistemas de radiocomunicación que pueden operar en la banda 2.4 GHz:</w:t>
      </w:r>
    </w:p>
    <w:p w14:paraId="58F9D68F" w14:textId="77777777" w:rsidR="00AD6BDB" w:rsidRPr="0027631D" w:rsidRDefault="00AD6BDB" w:rsidP="0027631D">
      <w:pPr>
        <w:spacing w:after="0" w:line="23" w:lineRule="atLeast"/>
        <w:contextualSpacing/>
        <w:jc w:val="both"/>
        <w:rPr>
          <w:rFonts w:ascii="Arial" w:hAnsi="Arial" w:cs="Arial"/>
          <w:color w:val="000000"/>
        </w:rPr>
      </w:pPr>
    </w:p>
    <w:tbl>
      <w:tblPr>
        <w:tblStyle w:val="Tabladecuadrcula1clara-nfasis6"/>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553"/>
        <w:gridCol w:w="2551"/>
        <w:gridCol w:w="2027"/>
      </w:tblGrid>
      <w:tr w:rsidR="00506800" w:rsidRPr="0027631D" w14:paraId="7DC2C93E" w14:textId="77777777" w:rsidTr="00506800">
        <w:trPr>
          <w:cnfStyle w:val="100000000000" w:firstRow="1" w:lastRow="0" w:firstColumn="0" w:lastColumn="0" w:oddVBand="0" w:evenVBand="0" w:oddHBand="0" w:evenHBand="0" w:firstRowFirstColumn="0" w:firstRowLastColumn="0" w:lastRowFirstColumn="0" w:lastRowLastColumn="0"/>
          <w:trHeight w:val="555"/>
          <w:tblHeader/>
          <w:jc w:val="center"/>
        </w:trPr>
        <w:tc>
          <w:tcPr>
            <w:cnfStyle w:val="001000000000" w:firstRow="0" w:lastRow="0" w:firstColumn="1" w:lastColumn="0" w:oddVBand="0" w:evenVBand="0" w:oddHBand="0" w:evenHBand="0" w:firstRowFirstColumn="0" w:firstRowLastColumn="0" w:lastRowFirstColumn="0" w:lastRowLastColumn="0"/>
            <w:tcW w:w="1204" w:type="pct"/>
            <w:tcBorders>
              <w:bottom w:val="none" w:sz="0" w:space="0" w:color="auto"/>
            </w:tcBorders>
            <w:shd w:val="clear" w:color="auto" w:fill="D9D9D9" w:themeFill="background1" w:themeFillShade="D9"/>
            <w:vAlign w:val="center"/>
          </w:tcPr>
          <w:p w14:paraId="03A913BB" w14:textId="77777777" w:rsidR="00AD6BDB" w:rsidRPr="0027631D" w:rsidRDefault="00AD6BDB"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xml:space="preserve">Tipo de sistema </w:t>
            </w:r>
          </w:p>
        </w:tc>
        <w:tc>
          <w:tcPr>
            <w:tcW w:w="1359" w:type="pct"/>
            <w:tcBorders>
              <w:bottom w:val="none" w:sz="0" w:space="0" w:color="auto"/>
            </w:tcBorders>
            <w:shd w:val="clear" w:color="auto" w:fill="D9D9D9" w:themeFill="background1" w:themeFillShade="D9"/>
            <w:vAlign w:val="center"/>
          </w:tcPr>
          <w:p w14:paraId="08669001" w14:textId="77777777" w:rsidR="00AD6BDB" w:rsidRPr="0027631D" w:rsidRDefault="00AD6BDB" w:rsidP="0027631D">
            <w:pPr>
              <w:spacing w:after="0" w:line="23" w:lineRule="atLeast"/>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lang w:val="es-ES" w:eastAsia="es-MX"/>
              </w:rPr>
            </w:pPr>
            <w:r w:rsidRPr="0027631D">
              <w:rPr>
                <w:rFonts w:ascii="Arial" w:hAnsi="Arial" w:cs="Arial"/>
                <w:lang w:val="es-ES" w:eastAsia="es-MX"/>
              </w:rPr>
              <w:t>Potencia máxima de transmisión entregada a las antenas</w:t>
            </w:r>
          </w:p>
        </w:tc>
        <w:tc>
          <w:tcPr>
            <w:tcW w:w="1358" w:type="pct"/>
            <w:tcBorders>
              <w:bottom w:val="none" w:sz="0" w:space="0" w:color="auto"/>
            </w:tcBorders>
            <w:shd w:val="clear" w:color="auto" w:fill="D9D9D9" w:themeFill="background1" w:themeFillShade="D9"/>
            <w:vAlign w:val="center"/>
          </w:tcPr>
          <w:p w14:paraId="61AF2A23" w14:textId="77777777" w:rsidR="00AD6BDB" w:rsidRPr="0027631D" w:rsidRDefault="00AD6BDB" w:rsidP="0027631D">
            <w:pPr>
              <w:spacing w:after="0" w:line="23" w:lineRule="atLeast"/>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lang w:val="es-ES" w:eastAsia="es-MX"/>
              </w:rPr>
            </w:pPr>
            <w:r w:rsidRPr="0027631D">
              <w:rPr>
                <w:rFonts w:ascii="Arial" w:hAnsi="Arial" w:cs="Arial"/>
                <w:lang w:val="es-ES" w:eastAsia="es-MX"/>
              </w:rPr>
              <w:t>Ganancia máxima de la antena</w:t>
            </w:r>
          </w:p>
        </w:tc>
        <w:tc>
          <w:tcPr>
            <w:tcW w:w="1079" w:type="pct"/>
            <w:tcBorders>
              <w:bottom w:val="none" w:sz="0" w:space="0" w:color="auto"/>
            </w:tcBorders>
            <w:shd w:val="clear" w:color="auto" w:fill="D9D9D9" w:themeFill="background1" w:themeFillShade="D9"/>
            <w:vAlign w:val="center"/>
          </w:tcPr>
          <w:p w14:paraId="17F06E43" w14:textId="77777777" w:rsidR="00AD6BDB" w:rsidRPr="0027631D" w:rsidRDefault="00AD6BDB" w:rsidP="0027631D">
            <w:pPr>
              <w:spacing w:after="0" w:line="23" w:lineRule="atLeast"/>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lang w:val="es-ES" w:eastAsia="es-MX"/>
              </w:rPr>
            </w:pPr>
            <w:r w:rsidRPr="0027631D">
              <w:rPr>
                <w:rFonts w:ascii="Arial" w:hAnsi="Arial" w:cs="Arial"/>
                <w:lang w:val="es-MX" w:eastAsia="es-MX"/>
              </w:rPr>
              <w:t>P</w:t>
            </w:r>
            <w:r w:rsidR="00F92784" w:rsidRPr="0027631D">
              <w:rPr>
                <w:rFonts w:ascii="Arial" w:hAnsi="Arial" w:cs="Arial"/>
                <w:lang w:val="es-MX" w:eastAsia="es-MX"/>
              </w:rPr>
              <w:t xml:space="preserve">otencia </w:t>
            </w:r>
            <w:r w:rsidRPr="0027631D">
              <w:rPr>
                <w:rFonts w:ascii="Arial" w:hAnsi="Arial" w:cs="Arial"/>
                <w:lang w:val="es-MX" w:eastAsia="es-MX"/>
              </w:rPr>
              <w:t>I</w:t>
            </w:r>
            <w:r w:rsidR="00F92784" w:rsidRPr="0027631D">
              <w:rPr>
                <w:rFonts w:ascii="Arial" w:hAnsi="Arial" w:cs="Arial"/>
                <w:lang w:val="es-MX" w:eastAsia="es-MX"/>
              </w:rPr>
              <w:t>s</w:t>
            </w:r>
            <w:r w:rsidR="00115A4B" w:rsidRPr="0027631D">
              <w:rPr>
                <w:rFonts w:ascii="Arial" w:hAnsi="Arial" w:cs="Arial"/>
                <w:lang w:val="es-MX" w:eastAsia="es-MX"/>
              </w:rPr>
              <w:t>ó</w:t>
            </w:r>
            <w:r w:rsidR="00F92784" w:rsidRPr="0027631D">
              <w:rPr>
                <w:rFonts w:ascii="Arial" w:hAnsi="Arial" w:cs="Arial"/>
                <w:lang w:val="es-MX" w:eastAsia="es-MX"/>
              </w:rPr>
              <w:t>tr</w:t>
            </w:r>
            <w:r w:rsidR="00115A4B" w:rsidRPr="0027631D">
              <w:rPr>
                <w:rFonts w:ascii="Arial" w:hAnsi="Arial" w:cs="Arial"/>
                <w:lang w:val="es-MX" w:eastAsia="es-MX"/>
              </w:rPr>
              <w:t>o</w:t>
            </w:r>
            <w:r w:rsidR="00F92784" w:rsidRPr="0027631D">
              <w:rPr>
                <w:rFonts w:ascii="Arial" w:hAnsi="Arial" w:cs="Arial"/>
                <w:lang w:val="es-MX" w:eastAsia="es-MX"/>
              </w:rPr>
              <w:t xml:space="preserve">pa </w:t>
            </w:r>
            <w:r w:rsidRPr="0027631D">
              <w:rPr>
                <w:rFonts w:ascii="Arial" w:hAnsi="Arial" w:cs="Arial"/>
                <w:lang w:val="es-MX" w:eastAsia="es-MX"/>
              </w:rPr>
              <w:t>R</w:t>
            </w:r>
            <w:r w:rsidR="00F92784" w:rsidRPr="0027631D">
              <w:rPr>
                <w:rFonts w:ascii="Arial" w:hAnsi="Arial" w:cs="Arial"/>
                <w:lang w:val="es-MX" w:eastAsia="es-MX"/>
              </w:rPr>
              <w:t xml:space="preserve">adiada </w:t>
            </w:r>
            <w:r w:rsidRPr="0027631D">
              <w:rPr>
                <w:rFonts w:ascii="Arial" w:hAnsi="Arial" w:cs="Arial"/>
                <w:lang w:val="es-MX" w:eastAsia="es-MX"/>
              </w:rPr>
              <w:t>E</w:t>
            </w:r>
            <w:r w:rsidR="00F92784" w:rsidRPr="0027631D">
              <w:rPr>
                <w:rFonts w:ascii="Arial" w:hAnsi="Arial" w:cs="Arial"/>
                <w:lang w:val="es-MX" w:eastAsia="es-MX"/>
              </w:rPr>
              <w:t>quivalente (PIRE)</w:t>
            </w:r>
            <w:r w:rsidRPr="0027631D">
              <w:rPr>
                <w:rFonts w:ascii="Arial" w:hAnsi="Arial" w:cs="Arial"/>
                <w:lang w:val="es-ES" w:eastAsia="es-MX"/>
              </w:rPr>
              <w:t xml:space="preserve"> máxima</w:t>
            </w:r>
          </w:p>
        </w:tc>
      </w:tr>
      <w:tr w:rsidR="00506800" w:rsidRPr="0027631D" w14:paraId="71F6A8BB" w14:textId="77777777" w:rsidTr="00FF5B8A">
        <w:trPr>
          <w:trHeight w:val="424"/>
          <w:jc w:val="center"/>
        </w:trPr>
        <w:tc>
          <w:tcPr>
            <w:cnfStyle w:val="001000000000" w:firstRow="0" w:lastRow="0" w:firstColumn="1" w:lastColumn="0" w:oddVBand="0" w:evenVBand="0" w:oddHBand="0" w:evenHBand="0" w:firstRowFirstColumn="0" w:firstRowLastColumn="0" w:lastRowFirstColumn="0" w:lastRowLastColumn="0"/>
            <w:tcW w:w="1204" w:type="pct"/>
            <w:shd w:val="clear" w:color="auto" w:fill="D9D9D9" w:themeFill="background1" w:themeFillShade="D9"/>
            <w:vAlign w:val="center"/>
          </w:tcPr>
          <w:p w14:paraId="34AF459D" w14:textId="77777777" w:rsidR="00AD6BDB" w:rsidRPr="0027631D" w:rsidRDefault="00AD6BDB"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xml:space="preserve">Sistemas Fijos – </w:t>
            </w:r>
            <w:r w:rsidR="00F92784" w:rsidRPr="0027631D">
              <w:rPr>
                <w:rFonts w:ascii="Arial" w:hAnsi="Arial" w:cs="Arial"/>
                <w:lang w:val="es-ES" w:eastAsia="es-MX"/>
              </w:rPr>
              <w:t>Punto a Punto (</w:t>
            </w:r>
            <w:r w:rsidRPr="0027631D">
              <w:rPr>
                <w:rFonts w:ascii="Arial" w:hAnsi="Arial" w:cs="Arial"/>
                <w:lang w:val="es-ES" w:eastAsia="es-MX"/>
              </w:rPr>
              <w:t>PaP</w:t>
            </w:r>
            <w:r w:rsidR="00F92784" w:rsidRPr="0027631D">
              <w:rPr>
                <w:rFonts w:ascii="Arial" w:hAnsi="Arial" w:cs="Arial"/>
                <w:lang w:val="es-ES" w:eastAsia="es-MX"/>
              </w:rPr>
              <w:t>)</w:t>
            </w:r>
          </w:p>
        </w:tc>
        <w:tc>
          <w:tcPr>
            <w:tcW w:w="1359" w:type="pct"/>
            <w:shd w:val="clear" w:color="auto" w:fill="auto"/>
            <w:vAlign w:val="center"/>
          </w:tcPr>
          <w:p w14:paraId="430E55B4" w14:textId="77777777" w:rsidR="00AD6BDB" w:rsidRPr="0027631D" w:rsidRDefault="00AD6BDB" w:rsidP="0027631D">
            <w:pPr>
              <w:spacing w:after="0" w:line="23" w:lineRule="atLeast"/>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 w:eastAsia="es-MX"/>
              </w:rPr>
            </w:pPr>
            <w:r w:rsidRPr="0027631D">
              <w:rPr>
                <w:rFonts w:ascii="Arial" w:hAnsi="Arial" w:cs="Arial"/>
                <w:lang w:val="es-ES" w:eastAsia="es-MX"/>
              </w:rPr>
              <w:t>500 mW</w:t>
            </w:r>
          </w:p>
        </w:tc>
        <w:tc>
          <w:tcPr>
            <w:tcW w:w="1358" w:type="pct"/>
            <w:shd w:val="clear" w:color="auto" w:fill="auto"/>
            <w:vAlign w:val="center"/>
          </w:tcPr>
          <w:p w14:paraId="17FAA0AD" w14:textId="77777777" w:rsidR="00AD6BDB" w:rsidRPr="0027631D" w:rsidRDefault="00AD6BDB" w:rsidP="0027631D">
            <w:pPr>
              <w:spacing w:after="0" w:line="23" w:lineRule="atLeast"/>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 w:eastAsia="es-MX"/>
              </w:rPr>
            </w:pPr>
            <w:r w:rsidRPr="0027631D">
              <w:rPr>
                <w:rFonts w:ascii="Arial" w:hAnsi="Arial" w:cs="Arial"/>
                <w:lang w:val="es-ES" w:eastAsia="es-MX"/>
              </w:rPr>
              <w:t>≤ 6 dBi</w:t>
            </w:r>
          </w:p>
        </w:tc>
        <w:tc>
          <w:tcPr>
            <w:tcW w:w="1079" w:type="pct"/>
            <w:shd w:val="clear" w:color="auto" w:fill="auto"/>
            <w:vAlign w:val="center"/>
          </w:tcPr>
          <w:p w14:paraId="04F2CEDD" w14:textId="77777777" w:rsidR="00AD6BDB" w:rsidRPr="0027631D" w:rsidRDefault="00AD6BDB" w:rsidP="0027631D">
            <w:pPr>
              <w:spacing w:after="0" w:line="23" w:lineRule="atLeast"/>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 w:eastAsia="es-MX"/>
              </w:rPr>
            </w:pPr>
            <w:r w:rsidRPr="0027631D">
              <w:rPr>
                <w:rFonts w:ascii="Arial" w:hAnsi="Arial" w:cs="Arial"/>
                <w:lang w:val="es-ES" w:eastAsia="es-MX"/>
              </w:rPr>
              <w:t>2 W</w:t>
            </w:r>
          </w:p>
        </w:tc>
      </w:tr>
      <w:tr w:rsidR="00506800" w:rsidRPr="0027631D" w14:paraId="3BF5EE43" w14:textId="77777777" w:rsidTr="00FF5B8A">
        <w:trPr>
          <w:trHeight w:val="422"/>
          <w:jc w:val="center"/>
        </w:trPr>
        <w:tc>
          <w:tcPr>
            <w:cnfStyle w:val="001000000000" w:firstRow="0" w:lastRow="0" w:firstColumn="1" w:lastColumn="0" w:oddVBand="0" w:evenVBand="0" w:oddHBand="0" w:evenHBand="0" w:firstRowFirstColumn="0" w:firstRowLastColumn="0" w:lastRowFirstColumn="0" w:lastRowLastColumn="0"/>
            <w:tcW w:w="1204" w:type="pct"/>
            <w:shd w:val="clear" w:color="auto" w:fill="D9D9D9" w:themeFill="background1" w:themeFillShade="D9"/>
            <w:vAlign w:val="center"/>
          </w:tcPr>
          <w:p w14:paraId="1EB413D5" w14:textId="77777777" w:rsidR="00AD6BDB" w:rsidRPr="0027631D" w:rsidRDefault="00AD6BDB"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xml:space="preserve">Sistemas </w:t>
            </w:r>
            <w:r w:rsidR="00F92784" w:rsidRPr="0027631D">
              <w:rPr>
                <w:rFonts w:ascii="Arial" w:hAnsi="Arial" w:cs="Arial"/>
                <w:lang w:val="es-ES" w:eastAsia="es-MX"/>
              </w:rPr>
              <w:t>Punto a Multipunto (</w:t>
            </w:r>
            <w:r w:rsidRPr="0027631D">
              <w:rPr>
                <w:rFonts w:ascii="Arial" w:hAnsi="Arial" w:cs="Arial"/>
                <w:lang w:val="es-ES" w:eastAsia="es-MX"/>
              </w:rPr>
              <w:t>PaM</w:t>
            </w:r>
            <w:r w:rsidR="00F92784" w:rsidRPr="0027631D">
              <w:rPr>
                <w:rFonts w:ascii="Arial" w:hAnsi="Arial" w:cs="Arial"/>
                <w:lang w:val="es-ES" w:eastAsia="es-MX"/>
              </w:rPr>
              <w:t>)</w:t>
            </w:r>
          </w:p>
        </w:tc>
        <w:tc>
          <w:tcPr>
            <w:tcW w:w="1359" w:type="pct"/>
            <w:shd w:val="clear" w:color="auto" w:fill="auto"/>
            <w:vAlign w:val="center"/>
          </w:tcPr>
          <w:p w14:paraId="7D699CA1" w14:textId="77777777" w:rsidR="00AD6BDB" w:rsidRPr="0027631D" w:rsidRDefault="00AD6BDB" w:rsidP="0027631D">
            <w:pPr>
              <w:spacing w:after="0" w:line="23" w:lineRule="atLeast"/>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 w:eastAsia="es-MX"/>
              </w:rPr>
            </w:pPr>
            <w:r w:rsidRPr="0027631D">
              <w:rPr>
                <w:rFonts w:ascii="Arial" w:hAnsi="Arial" w:cs="Arial"/>
                <w:lang w:val="es-ES" w:eastAsia="es-MX"/>
              </w:rPr>
              <w:t>250 mW</w:t>
            </w:r>
          </w:p>
        </w:tc>
        <w:tc>
          <w:tcPr>
            <w:tcW w:w="1358" w:type="pct"/>
            <w:shd w:val="clear" w:color="auto" w:fill="auto"/>
            <w:vAlign w:val="center"/>
          </w:tcPr>
          <w:p w14:paraId="57AACCEA" w14:textId="77777777" w:rsidR="00AD6BDB" w:rsidRPr="0027631D" w:rsidRDefault="00AD6BDB" w:rsidP="0027631D">
            <w:pPr>
              <w:spacing w:after="0" w:line="23" w:lineRule="atLeast"/>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 w:eastAsia="es-MX"/>
              </w:rPr>
            </w:pPr>
            <w:r w:rsidRPr="0027631D">
              <w:rPr>
                <w:rFonts w:ascii="Arial" w:hAnsi="Arial" w:cs="Arial"/>
                <w:lang w:val="es-ES" w:eastAsia="es-MX"/>
              </w:rPr>
              <w:t>≤ 6 dBi</w:t>
            </w:r>
          </w:p>
        </w:tc>
        <w:tc>
          <w:tcPr>
            <w:tcW w:w="1079" w:type="pct"/>
            <w:shd w:val="clear" w:color="auto" w:fill="auto"/>
            <w:vAlign w:val="center"/>
          </w:tcPr>
          <w:p w14:paraId="4E8413BC" w14:textId="77777777" w:rsidR="00AD6BDB" w:rsidRPr="0027631D" w:rsidRDefault="00AD6BDB" w:rsidP="0027631D">
            <w:pPr>
              <w:spacing w:after="0" w:line="23" w:lineRule="atLeast"/>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 w:eastAsia="es-MX"/>
              </w:rPr>
            </w:pPr>
            <w:r w:rsidRPr="0027631D">
              <w:rPr>
                <w:rFonts w:ascii="Arial" w:hAnsi="Arial" w:cs="Arial"/>
                <w:lang w:val="es-ES" w:eastAsia="es-MX"/>
              </w:rPr>
              <w:t>1 W</w:t>
            </w:r>
          </w:p>
        </w:tc>
      </w:tr>
    </w:tbl>
    <w:p w14:paraId="64C24772" w14:textId="20185A36" w:rsidR="00AD6BDB" w:rsidRPr="000A317A" w:rsidRDefault="00AD6BDB" w:rsidP="0027631D">
      <w:pPr>
        <w:pStyle w:val="Descripcin"/>
        <w:contextualSpacing/>
        <w:rPr>
          <w:i w:val="0"/>
          <w:sz w:val="22"/>
          <w:szCs w:val="22"/>
          <w:lang w:val="es-ES" w:eastAsia="es-MX"/>
        </w:rPr>
      </w:pPr>
      <w:bookmarkStart w:id="20" w:name="_Toc44669651"/>
      <w:bookmarkStart w:id="21" w:name="_Toc44946862"/>
      <w:bookmarkStart w:id="22" w:name="_Toc45105824"/>
      <w:bookmarkStart w:id="23" w:name="_Toc45105923"/>
      <w:bookmarkStart w:id="24" w:name="_Toc45112629"/>
      <w:bookmarkStart w:id="25" w:name="_Toc45115142"/>
      <w:bookmarkStart w:id="26" w:name="_Toc45119717"/>
      <w:bookmarkStart w:id="27" w:name="_Toc45217365"/>
      <w:bookmarkStart w:id="28" w:name="_Toc45226571"/>
      <w:bookmarkStart w:id="29" w:name="_Toc45226687"/>
      <w:bookmarkStart w:id="30" w:name="_Toc45274883"/>
      <w:bookmarkStart w:id="31" w:name="_Toc45279200"/>
      <w:bookmarkStart w:id="32" w:name="_Toc45305724"/>
      <w:bookmarkStart w:id="33" w:name="_Toc45364856"/>
      <w:bookmarkStart w:id="34" w:name="_Toc45381211"/>
      <w:bookmarkStart w:id="35" w:name="_Toc45452813"/>
      <w:bookmarkStart w:id="36" w:name="_Toc45452922"/>
      <w:r w:rsidRPr="000A317A">
        <w:rPr>
          <w:i w:val="0"/>
          <w:sz w:val="22"/>
          <w:szCs w:val="22"/>
        </w:rPr>
        <w:t xml:space="preserve">Tabla </w:t>
      </w:r>
      <w:r w:rsidR="008010AD" w:rsidRPr="000A317A">
        <w:rPr>
          <w:i w:val="0"/>
          <w:sz w:val="22"/>
          <w:szCs w:val="22"/>
        </w:rPr>
        <w:fldChar w:fldCharType="begin"/>
      </w:r>
      <w:r w:rsidR="008010AD" w:rsidRPr="000A317A">
        <w:rPr>
          <w:i w:val="0"/>
          <w:sz w:val="22"/>
          <w:szCs w:val="22"/>
        </w:rPr>
        <w:instrText xml:space="preserve"> SEQ Tabla \* ARABIC </w:instrText>
      </w:r>
      <w:r w:rsidR="008010AD" w:rsidRPr="000A317A">
        <w:rPr>
          <w:i w:val="0"/>
          <w:sz w:val="22"/>
          <w:szCs w:val="22"/>
        </w:rPr>
        <w:fldChar w:fldCharType="separate"/>
      </w:r>
      <w:r w:rsidR="004F1EA3">
        <w:rPr>
          <w:i w:val="0"/>
          <w:noProof/>
          <w:sz w:val="22"/>
          <w:szCs w:val="22"/>
        </w:rPr>
        <w:t>2</w:t>
      </w:r>
      <w:r w:rsidR="008010AD" w:rsidRPr="000A317A">
        <w:rPr>
          <w:i w:val="0"/>
          <w:noProof/>
          <w:sz w:val="22"/>
          <w:szCs w:val="22"/>
        </w:rPr>
        <w:fldChar w:fldCharType="end"/>
      </w:r>
      <w:r w:rsidRPr="000A317A">
        <w:rPr>
          <w:i w:val="0"/>
          <w:sz w:val="22"/>
          <w:szCs w:val="22"/>
        </w:rPr>
        <w:t>.</w:t>
      </w:r>
      <w:r w:rsidRPr="000A317A">
        <w:rPr>
          <w:i w:val="0"/>
          <w:sz w:val="22"/>
          <w:szCs w:val="22"/>
          <w:lang w:val="es-ES" w:eastAsia="es-MX"/>
        </w:rPr>
        <w:t xml:space="preserve"> Condiciones de operación establecidas en el Acuerdo</w:t>
      </w:r>
      <w:r w:rsidR="001178FF">
        <w:rPr>
          <w:i w:val="0"/>
          <w:sz w:val="22"/>
          <w:szCs w:val="22"/>
          <w:lang w:val="es-ES" w:eastAsia="es-MX"/>
        </w:rPr>
        <w:t xml:space="preserve"> 2006</w:t>
      </w:r>
      <w:r w:rsidRPr="000A317A">
        <w:rPr>
          <w:i w:val="0"/>
          <w:sz w:val="22"/>
          <w:szCs w:val="22"/>
          <w:lang w:val="es-ES" w:eastAsia="es-MX"/>
        </w:rPr>
        <w:t xml:space="preserve"> para los sistemas de radiocomunicación en la banda 2.4 GHz</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0C3BC8B8" w14:textId="77777777" w:rsidR="00AD6BDB" w:rsidRPr="008C637A" w:rsidRDefault="00AD6BDB" w:rsidP="0027631D">
      <w:pPr>
        <w:spacing w:after="0" w:line="23" w:lineRule="atLeast"/>
        <w:contextualSpacing/>
        <w:rPr>
          <w:rFonts w:ascii="Arial" w:hAnsi="Arial" w:cs="Arial"/>
          <w:color w:val="000000"/>
        </w:rPr>
      </w:pPr>
    </w:p>
    <w:p w14:paraId="6C8FE853" w14:textId="77777777" w:rsidR="00AD6BDB" w:rsidRPr="0027631D" w:rsidRDefault="00AD6BDB" w:rsidP="0027631D">
      <w:pPr>
        <w:spacing w:after="0" w:line="23" w:lineRule="atLeast"/>
        <w:contextualSpacing/>
        <w:jc w:val="both"/>
        <w:rPr>
          <w:rFonts w:ascii="Arial" w:hAnsi="Arial" w:cs="Arial"/>
          <w:color w:val="000000"/>
        </w:rPr>
      </w:pPr>
      <w:r w:rsidRPr="0027631D">
        <w:rPr>
          <w:rFonts w:ascii="Arial" w:hAnsi="Arial" w:cs="Arial"/>
          <w:color w:val="000000"/>
        </w:rPr>
        <w:t>En el caso de que se utilicen en los Sistemas fijos PaP y</w:t>
      </w:r>
      <w:r w:rsidR="00F92784" w:rsidRPr="0027631D">
        <w:rPr>
          <w:rFonts w:ascii="Arial" w:hAnsi="Arial" w:cs="Arial"/>
          <w:color w:val="000000"/>
        </w:rPr>
        <w:t xml:space="preserve"> Sistemas</w:t>
      </w:r>
      <w:r w:rsidRPr="0027631D">
        <w:rPr>
          <w:rFonts w:ascii="Arial" w:hAnsi="Arial" w:cs="Arial"/>
          <w:color w:val="000000"/>
        </w:rPr>
        <w:t xml:space="preserve"> PaM, antenas </w:t>
      </w:r>
      <w:r w:rsidR="007E6E5C">
        <w:rPr>
          <w:rFonts w:ascii="Arial" w:hAnsi="Arial" w:cs="Arial"/>
          <w:color w:val="000000"/>
        </w:rPr>
        <w:t xml:space="preserve">direccionales </w:t>
      </w:r>
      <w:r w:rsidRPr="0027631D">
        <w:rPr>
          <w:rFonts w:ascii="Arial" w:hAnsi="Arial" w:cs="Arial"/>
          <w:color w:val="000000"/>
        </w:rPr>
        <w:t xml:space="preserve">de ganancia mayor a 6 dBi, la potencia máxima de transmisión entregada a las mismas deberá ser reducida en la misma cantidad que la ganancia exceda de 6 dBi. </w:t>
      </w:r>
    </w:p>
    <w:p w14:paraId="67D09BCE" w14:textId="77777777" w:rsidR="00AD6BDB" w:rsidRPr="0027631D" w:rsidRDefault="00AD6BDB" w:rsidP="0027631D">
      <w:pPr>
        <w:spacing w:after="0" w:line="23" w:lineRule="atLeast"/>
        <w:contextualSpacing/>
        <w:rPr>
          <w:rFonts w:ascii="Arial" w:hAnsi="Arial" w:cs="Arial"/>
          <w:color w:val="000000"/>
        </w:rPr>
      </w:pPr>
    </w:p>
    <w:tbl>
      <w:tblPr>
        <w:tblStyle w:val="Tablaconcuadrcula"/>
        <w:tblW w:w="5000" w:type="pct"/>
        <w:jc w:val="center"/>
        <w:tblLook w:val="04A0" w:firstRow="1" w:lastRow="0" w:firstColumn="1" w:lastColumn="0" w:noHBand="0" w:noVBand="1"/>
      </w:tblPr>
      <w:tblGrid>
        <w:gridCol w:w="3539"/>
        <w:gridCol w:w="4111"/>
        <w:gridCol w:w="1744"/>
      </w:tblGrid>
      <w:tr w:rsidR="00506800" w:rsidRPr="0027631D" w14:paraId="45FF86CF" w14:textId="77777777" w:rsidTr="00506800">
        <w:trPr>
          <w:jc w:val="center"/>
        </w:trPr>
        <w:tc>
          <w:tcPr>
            <w:tcW w:w="1884" w:type="pct"/>
            <w:shd w:val="clear" w:color="auto" w:fill="D9D9D9" w:themeFill="background1" w:themeFillShade="D9"/>
            <w:vAlign w:val="center"/>
          </w:tcPr>
          <w:p w14:paraId="48F61E27" w14:textId="77777777" w:rsidR="00AD6BDB" w:rsidRPr="0027631D" w:rsidRDefault="00AD6BDB" w:rsidP="0027631D">
            <w:pPr>
              <w:spacing w:after="0" w:line="23" w:lineRule="atLeast"/>
              <w:contextualSpacing/>
              <w:jc w:val="center"/>
              <w:rPr>
                <w:rFonts w:ascii="Arial" w:hAnsi="Arial" w:cs="Arial"/>
                <w:b/>
              </w:rPr>
            </w:pPr>
            <w:r w:rsidRPr="0027631D">
              <w:rPr>
                <w:rFonts w:ascii="Arial" w:hAnsi="Arial" w:cs="Arial"/>
                <w:b/>
                <w:lang w:val="es-ES" w:eastAsia="es-MX"/>
              </w:rPr>
              <w:t>Tipo de dispositivo</w:t>
            </w:r>
          </w:p>
        </w:tc>
        <w:tc>
          <w:tcPr>
            <w:tcW w:w="2188" w:type="pct"/>
            <w:shd w:val="clear" w:color="auto" w:fill="D9D9D9" w:themeFill="background1" w:themeFillShade="D9"/>
            <w:vAlign w:val="center"/>
          </w:tcPr>
          <w:p w14:paraId="24EFA2B9" w14:textId="77777777" w:rsidR="00AD6BDB" w:rsidRPr="0027631D" w:rsidRDefault="00AD6BDB" w:rsidP="0027631D">
            <w:pPr>
              <w:spacing w:after="0" w:line="23" w:lineRule="atLeast"/>
              <w:contextualSpacing/>
              <w:jc w:val="center"/>
              <w:rPr>
                <w:rFonts w:ascii="Arial" w:hAnsi="Arial" w:cs="Arial"/>
                <w:b/>
              </w:rPr>
            </w:pPr>
            <w:r w:rsidRPr="0027631D">
              <w:rPr>
                <w:rFonts w:ascii="Arial" w:hAnsi="Arial" w:cs="Arial"/>
                <w:b/>
              </w:rPr>
              <w:t>Tipo de antena transmisora</w:t>
            </w:r>
          </w:p>
        </w:tc>
        <w:tc>
          <w:tcPr>
            <w:tcW w:w="928" w:type="pct"/>
            <w:shd w:val="clear" w:color="auto" w:fill="D9D9D9" w:themeFill="background1" w:themeFillShade="D9"/>
            <w:vAlign w:val="center"/>
          </w:tcPr>
          <w:p w14:paraId="184263E8" w14:textId="77777777" w:rsidR="00AD6BDB" w:rsidRPr="0027631D" w:rsidRDefault="00AD6BDB" w:rsidP="0027631D">
            <w:pPr>
              <w:spacing w:after="0" w:line="23" w:lineRule="atLeast"/>
              <w:contextualSpacing/>
              <w:jc w:val="center"/>
              <w:rPr>
                <w:rFonts w:ascii="Arial" w:hAnsi="Arial" w:cs="Arial"/>
                <w:b/>
              </w:rPr>
            </w:pPr>
            <w:r w:rsidRPr="0027631D">
              <w:rPr>
                <w:rFonts w:ascii="Arial" w:hAnsi="Arial" w:cs="Arial"/>
                <w:b/>
              </w:rPr>
              <w:t>Intensidad de campo eléctrico</w:t>
            </w:r>
          </w:p>
        </w:tc>
      </w:tr>
      <w:tr w:rsidR="00506800" w:rsidRPr="0027631D" w14:paraId="0A2A0B2E" w14:textId="77777777" w:rsidTr="00FF5B8A">
        <w:trPr>
          <w:trHeight w:val="1427"/>
          <w:jc w:val="center"/>
        </w:trPr>
        <w:tc>
          <w:tcPr>
            <w:tcW w:w="1884" w:type="pct"/>
            <w:shd w:val="clear" w:color="auto" w:fill="auto"/>
            <w:vAlign w:val="center"/>
          </w:tcPr>
          <w:p w14:paraId="76E390A2" w14:textId="77777777" w:rsidR="00AD6BDB" w:rsidRPr="0027631D" w:rsidRDefault="00AD6BDB" w:rsidP="0027631D">
            <w:pPr>
              <w:spacing w:after="0" w:line="23" w:lineRule="atLeast"/>
              <w:contextualSpacing/>
              <w:jc w:val="center"/>
              <w:rPr>
                <w:rFonts w:ascii="Arial" w:hAnsi="Arial" w:cs="Arial"/>
              </w:rPr>
            </w:pPr>
            <w:r w:rsidRPr="0027631D">
              <w:rPr>
                <w:rFonts w:ascii="Arial" w:hAnsi="Arial" w:cs="Arial"/>
                <w:b/>
                <w:lang w:val="es-ES" w:eastAsia="es-MX"/>
              </w:rPr>
              <w:t>D</w:t>
            </w:r>
            <w:r w:rsidR="006503AB" w:rsidRPr="0027631D">
              <w:rPr>
                <w:rFonts w:ascii="Arial" w:hAnsi="Arial" w:cs="Arial"/>
                <w:b/>
                <w:lang w:val="es-ES" w:eastAsia="es-MX"/>
              </w:rPr>
              <w:t>RCA</w:t>
            </w:r>
            <w:r w:rsidRPr="0027631D">
              <w:rPr>
                <w:rStyle w:val="Refdenotaalpie"/>
                <w:rFonts w:ascii="Arial" w:hAnsi="Arial" w:cs="Arial"/>
                <w:lang w:val="es-ES" w:eastAsia="es-MX"/>
              </w:rPr>
              <w:footnoteReference w:id="9"/>
            </w:r>
            <w:r w:rsidRPr="0027631D">
              <w:rPr>
                <w:rFonts w:ascii="Arial" w:hAnsi="Arial" w:cs="Arial"/>
                <w:lang w:val="es-ES" w:eastAsia="es-MX"/>
              </w:rPr>
              <w:t xml:space="preserve"> </w:t>
            </w:r>
            <w:r w:rsidRPr="0027631D">
              <w:rPr>
                <w:rFonts w:ascii="Arial" w:hAnsi="Arial" w:cs="Arial"/>
                <w:b/>
                <w:lang w:val="es-ES" w:eastAsia="es-MX"/>
              </w:rPr>
              <w:t xml:space="preserve">- Otras aplicaciones </w:t>
            </w:r>
            <w:r w:rsidRPr="0027631D">
              <w:rPr>
                <w:rFonts w:ascii="Arial" w:hAnsi="Arial" w:cs="Arial"/>
                <w:lang w:val="es-ES" w:eastAsia="es-MX"/>
              </w:rPr>
              <w:t>(teléfonos inalámbricos, lectores de códigos de barras, sistemas de alarma remota, dispositivos de telemedición, aparatos de control remoto y micrófonos inalámbricos)</w:t>
            </w:r>
          </w:p>
        </w:tc>
        <w:tc>
          <w:tcPr>
            <w:tcW w:w="2188" w:type="pct"/>
            <w:shd w:val="clear" w:color="auto" w:fill="auto"/>
            <w:vAlign w:val="center"/>
          </w:tcPr>
          <w:p w14:paraId="1330841A" w14:textId="77777777" w:rsidR="00AD6BDB" w:rsidRPr="0027631D" w:rsidRDefault="00AD6BDB" w:rsidP="00E36991">
            <w:pPr>
              <w:pStyle w:val="Prrafodelista"/>
              <w:numPr>
                <w:ilvl w:val="0"/>
                <w:numId w:val="16"/>
              </w:numPr>
              <w:spacing w:line="23" w:lineRule="atLeast"/>
              <w:ind w:left="316" w:hanging="262"/>
              <w:contextualSpacing/>
              <w:jc w:val="center"/>
              <w:rPr>
                <w:rFonts w:eastAsia="Calibri" w:cs="Arial"/>
                <w:sz w:val="22"/>
                <w:szCs w:val="22"/>
                <w:lang w:val="es-ES" w:eastAsia="es-MX"/>
              </w:rPr>
            </w:pPr>
            <w:r w:rsidRPr="0027631D">
              <w:rPr>
                <w:rFonts w:eastAsia="Calibri" w:cs="Arial"/>
                <w:sz w:val="22"/>
                <w:szCs w:val="22"/>
                <w:lang w:val="es-ES" w:eastAsia="es-MX"/>
              </w:rPr>
              <w:t>Integradas (sin conector de antena externo)</w:t>
            </w:r>
          </w:p>
          <w:p w14:paraId="474886A1" w14:textId="77777777" w:rsidR="00AD6BDB" w:rsidRPr="0027631D" w:rsidRDefault="00AD6BDB" w:rsidP="00E36991">
            <w:pPr>
              <w:pStyle w:val="Prrafodelista"/>
              <w:numPr>
                <w:ilvl w:val="0"/>
                <w:numId w:val="16"/>
              </w:numPr>
              <w:spacing w:line="23" w:lineRule="atLeast"/>
              <w:ind w:left="316" w:hanging="262"/>
              <w:contextualSpacing/>
              <w:jc w:val="center"/>
              <w:rPr>
                <w:rFonts w:eastAsia="Calibri" w:cs="Arial"/>
                <w:sz w:val="22"/>
                <w:szCs w:val="22"/>
                <w:lang w:val="es-ES" w:eastAsia="es-MX"/>
              </w:rPr>
            </w:pPr>
            <w:r w:rsidRPr="0027631D">
              <w:rPr>
                <w:rFonts w:eastAsia="Calibri" w:cs="Arial"/>
                <w:sz w:val="22"/>
                <w:szCs w:val="22"/>
                <w:lang w:val="es-ES" w:eastAsia="es-MX"/>
              </w:rPr>
              <w:t>Específicas (homologadas con el equipo)</w:t>
            </w:r>
          </w:p>
          <w:p w14:paraId="44619645" w14:textId="77777777" w:rsidR="00AD6BDB" w:rsidRPr="0027631D" w:rsidRDefault="00AD6BDB" w:rsidP="00E36991">
            <w:pPr>
              <w:pStyle w:val="Prrafodelista"/>
              <w:numPr>
                <w:ilvl w:val="0"/>
                <w:numId w:val="16"/>
              </w:numPr>
              <w:spacing w:line="23" w:lineRule="atLeast"/>
              <w:ind w:left="316" w:hanging="262"/>
              <w:contextualSpacing/>
              <w:jc w:val="center"/>
              <w:rPr>
                <w:rFonts w:cs="Arial"/>
                <w:sz w:val="22"/>
                <w:szCs w:val="22"/>
              </w:rPr>
            </w:pPr>
            <w:r w:rsidRPr="0027631D">
              <w:rPr>
                <w:rFonts w:eastAsia="Calibri" w:cs="Arial"/>
                <w:sz w:val="22"/>
                <w:szCs w:val="22"/>
                <w:lang w:val="es-ES" w:eastAsia="es-MX"/>
              </w:rPr>
              <w:t>Externas (equipo homologado sin antena)</w:t>
            </w:r>
          </w:p>
        </w:tc>
        <w:tc>
          <w:tcPr>
            <w:tcW w:w="928" w:type="pct"/>
            <w:shd w:val="clear" w:color="auto" w:fill="auto"/>
            <w:vAlign w:val="center"/>
          </w:tcPr>
          <w:p w14:paraId="6ECEAF5A" w14:textId="77777777" w:rsidR="00AD6BDB" w:rsidRPr="0027631D" w:rsidRDefault="00AD6BDB" w:rsidP="0027631D">
            <w:pPr>
              <w:spacing w:after="0" w:line="23" w:lineRule="atLeast"/>
              <w:contextualSpacing/>
              <w:jc w:val="center"/>
              <w:rPr>
                <w:rFonts w:ascii="Arial" w:hAnsi="Arial" w:cs="Arial"/>
              </w:rPr>
            </w:pPr>
            <w:r w:rsidRPr="0027631D">
              <w:rPr>
                <w:rFonts w:ascii="Arial" w:hAnsi="Arial" w:cs="Arial"/>
                <w:lang w:val="es-ES" w:eastAsia="es-MX"/>
              </w:rPr>
              <w:t>&lt; 200 µV/m, medida a una distancia de 3 metros</w:t>
            </w:r>
          </w:p>
        </w:tc>
      </w:tr>
    </w:tbl>
    <w:p w14:paraId="09FBA461" w14:textId="224A408E" w:rsidR="00AD6BDB" w:rsidRPr="000A317A" w:rsidRDefault="00AD6BDB" w:rsidP="0027631D">
      <w:pPr>
        <w:pStyle w:val="Descripcin"/>
        <w:contextualSpacing/>
        <w:rPr>
          <w:i w:val="0"/>
          <w:color w:val="000000"/>
          <w:sz w:val="22"/>
          <w:szCs w:val="22"/>
        </w:rPr>
      </w:pPr>
      <w:bookmarkStart w:id="37" w:name="_Toc44946863"/>
      <w:bookmarkStart w:id="38" w:name="_Toc45105825"/>
      <w:bookmarkStart w:id="39" w:name="_Toc45105924"/>
      <w:bookmarkStart w:id="40" w:name="_Toc45112630"/>
      <w:bookmarkStart w:id="41" w:name="_Toc45115143"/>
      <w:bookmarkStart w:id="42" w:name="_Toc45119718"/>
      <w:bookmarkStart w:id="43" w:name="_Toc45217366"/>
      <w:bookmarkStart w:id="44" w:name="_Toc45226572"/>
      <w:bookmarkStart w:id="45" w:name="_Toc45226688"/>
      <w:bookmarkStart w:id="46" w:name="_Toc45274884"/>
      <w:bookmarkStart w:id="47" w:name="_Toc45279201"/>
      <w:bookmarkStart w:id="48" w:name="_Toc45305725"/>
      <w:bookmarkStart w:id="49" w:name="_Toc45364857"/>
      <w:bookmarkStart w:id="50" w:name="_Toc45381212"/>
      <w:bookmarkStart w:id="51" w:name="_Toc45452814"/>
      <w:bookmarkStart w:id="52" w:name="_Toc45452923"/>
      <w:r w:rsidRPr="000A317A">
        <w:rPr>
          <w:i w:val="0"/>
          <w:sz w:val="22"/>
          <w:szCs w:val="22"/>
        </w:rPr>
        <w:t xml:space="preserve">Tabla </w:t>
      </w:r>
      <w:r w:rsidR="008010AD" w:rsidRPr="000A317A">
        <w:rPr>
          <w:i w:val="0"/>
          <w:sz w:val="22"/>
          <w:szCs w:val="22"/>
        </w:rPr>
        <w:fldChar w:fldCharType="begin"/>
      </w:r>
      <w:r w:rsidR="008010AD" w:rsidRPr="000A317A">
        <w:rPr>
          <w:i w:val="0"/>
          <w:sz w:val="22"/>
          <w:szCs w:val="22"/>
        </w:rPr>
        <w:instrText xml:space="preserve"> SEQ Tabla \* ARABIC </w:instrText>
      </w:r>
      <w:r w:rsidR="008010AD" w:rsidRPr="000A317A">
        <w:rPr>
          <w:i w:val="0"/>
          <w:sz w:val="22"/>
          <w:szCs w:val="22"/>
        </w:rPr>
        <w:fldChar w:fldCharType="separate"/>
      </w:r>
      <w:r w:rsidR="004F1EA3">
        <w:rPr>
          <w:i w:val="0"/>
          <w:noProof/>
          <w:sz w:val="22"/>
          <w:szCs w:val="22"/>
        </w:rPr>
        <w:t>3</w:t>
      </w:r>
      <w:r w:rsidR="008010AD" w:rsidRPr="000A317A">
        <w:rPr>
          <w:i w:val="0"/>
          <w:noProof/>
          <w:sz w:val="22"/>
          <w:szCs w:val="22"/>
        </w:rPr>
        <w:fldChar w:fldCharType="end"/>
      </w:r>
      <w:r w:rsidRPr="000A317A">
        <w:rPr>
          <w:i w:val="0"/>
          <w:sz w:val="22"/>
          <w:szCs w:val="22"/>
        </w:rPr>
        <w:t>. Condiciones de operación establecidas en el Acuerdo</w:t>
      </w:r>
      <w:r w:rsidR="00FB301E">
        <w:rPr>
          <w:i w:val="0"/>
          <w:sz w:val="22"/>
          <w:szCs w:val="22"/>
        </w:rPr>
        <w:t xml:space="preserve"> 2006</w:t>
      </w:r>
      <w:r w:rsidRPr="000A317A">
        <w:rPr>
          <w:i w:val="0"/>
          <w:sz w:val="22"/>
          <w:szCs w:val="22"/>
        </w:rPr>
        <w:t xml:space="preserve"> para los DRCA en la banda 2.4 GHz</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15DDC75A" w14:textId="77777777" w:rsidR="00AD6BDB" w:rsidRPr="0027631D" w:rsidRDefault="00AD6BDB" w:rsidP="0027631D">
      <w:pPr>
        <w:spacing w:after="0" w:line="23" w:lineRule="atLeast"/>
        <w:contextualSpacing/>
        <w:rPr>
          <w:rFonts w:ascii="Arial" w:hAnsi="Arial" w:cs="Arial"/>
          <w:color w:val="000000"/>
        </w:rPr>
      </w:pPr>
    </w:p>
    <w:p w14:paraId="78357E51" w14:textId="77777777" w:rsidR="00AD6BDB" w:rsidRPr="0027631D" w:rsidRDefault="00AD6BDB" w:rsidP="0027631D">
      <w:pPr>
        <w:spacing w:after="0" w:line="23" w:lineRule="atLeast"/>
        <w:contextualSpacing/>
        <w:jc w:val="both"/>
        <w:rPr>
          <w:rFonts w:ascii="Arial" w:hAnsi="Arial" w:cs="Arial"/>
          <w:color w:val="000000" w:themeColor="text1"/>
          <w:kern w:val="1"/>
          <w:lang w:eastAsia="ar-SA"/>
        </w:rPr>
      </w:pPr>
      <w:r w:rsidRPr="0027631D">
        <w:rPr>
          <w:rFonts w:ascii="Arial" w:hAnsi="Arial" w:cs="Arial"/>
          <w:color w:val="000000"/>
        </w:rPr>
        <w:t xml:space="preserve">Es de subrayar que </w:t>
      </w:r>
      <w:r w:rsidRPr="0027631D">
        <w:rPr>
          <w:rFonts w:ascii="Arial" w:hAnsi="Arial" w:cs="Arial"/>
          <w:color w:val="000000" w:themeColor="text1"/>
          <w:kern w:val="1"/>
          <w:lang w:eastAsia="ar-SA"/>
        </w:rPr>
        <w:t>para la clasificación de esta banda como espectro</w:t>
      </w:r>
      <w:r w:rsidR="007E78CE" w:rsidRPr="0027631D">
        <w:rPr>
          <w:rFonts w:ascii="Arial" w:hAnsi="Arial" w:cs="Arial"/>
          <w:color w:val="000000" w:themeColor="text1"/>
          <w:kern w:val="1"/>
          <w:lang w:eastAsia="ar-SA"/>
        </w:rPr>
        <w:t xml:space="preserve"> de uso</w:t>
      </w:r>
      <w:r w:rsidRPr="0027631D">
        <w:rPr>
          <w:rFonts w:ascii="Arial" w:hAnsi="Arial" w:cs="Arial"/>
          <w:color w:val="000000" w:themeColor="text1"/>
          <w:kern w:val="1"/>
          <w:lang w:eastAsia="ar-SA"/>
        </w:rPr>
        <w:t xml:space="preserve"> libre se utilizó la Recomendación UIT-R SM. 1538-1</w:t>
      </w:r>
      <w:r w:rsidR="00CA28A0" w:rsidRPr="0027631D">
        <w:rPr>
          <w:rFonts w:ascii="Arial" w:hAnsi="Arial" w:cs="Arial"/>
          <w:color w:val="000000" w:themeColor="text1"/>
          <w:kern w:val="1"/>
          <w:lang w:eastAsia="ar-SA"/>
        </w:rPr>
        <w:t xml:space="preserve"> </w:t>
      </w:r>
      <w:r w:rsidR="00CA28A0" w:rsidRPr="008C637A">
        <w:rPr>
          <w:rFonts w:ascii="Arial" w:hAnsi="Arial" w:cs="Arial"/>
          <w:color w:val="000000" w:themeColor="text1"/>
          <w:kern w:val="1"/>
          <w:lang w:eastAsia="ar-SA"/>
        </w:rPr>
        <w:t>“</w:t>
      </w:r>
      <w:r w:rsidR="00CA28A0" w:rsidRPr="000A317A">
        <w:rPr>
          <w:rFonts w:ascii="Arial" w:hAnsi="Arial" w:cs="Arial"/>
          <w:color w:val="000000" w:themeColor="text1"/>
          <w:kern w:val="1"/>
          <w:lang w:eastAsia="ar-SA"/>
        </w:rPr>
        <w:t>Parámetros técnicos y de explotación y requisitos de espectro para los dispositivos de radiocomunicaciones de corto alcance”</w:t>
      </w:r>
      <w:r w:rsidRPr="0027631D">
        <w:rPr>
          <w:rFonts w:ascii="Arial" w:hAnsi="Arial" w:cs="Arial"/>
          <w:color w:val="000000" w:themeColor="text1"/>
          <w:kern w:val="1"/>
          <w:lang w:eastAsia="ar-SA"/>
        </w:rPr>
        <w:t xml:space="preserve">, la cual </w:t>
      </w:r>
      <w:r w:rsidR="0092217A" w:rsidRPr="0027631D">
        <w:rPr>
          <w:rFonts w:ascii="Arial" w:hAnsi="Arial" w:cs="Arial"/>
          <w:color w:val="000000" w:themeColor="text1"/>
          <w:kern w:val="1"/>
          <w:lang w:eastAsia="ar-SA"/>
        </w:rPr>
        <w:t>fue</w:t>
      </w:r>
      <w:r w:rsidRPr="0027631D">
        <w:rPr>
          <w:rFonts w:ascii="Arial" w:hAnsi="Arial" w:cs="Arial"/>
          <w:color w:val="000000" w:themeColor="text1"/>
          <w:kern w:val="1"/>
          <w:lang w:eastAsia="ar-SA"/>
        </w:rPr>
        <w:t xml:space="preserve"> sustituida por el Informe UIT-R SM. 2153-0 </w:t>
      </w:r>
      <w:r w:rsidRPr="008C637A">
        <w:rPr>
          <w:rFonts w:ascii="Arial" w:hAnsi="Arial" w:cs="Arial"/>
          <w:color w:val="000000" w:themeColor="text1"/>
          <w:kern w:val="1"/>
          <w:lang w:eastAsia="ar-SA"/>
        </w:rPr>
        <w:t>“</w:t>
      </w:r>
      <w:r w:rsidRPr="000A317A">
        <w:rPr>
          <w:rFonts w:ascii="Arial" w:hAnsi="Arial" w:cs="Arial"/>
          <w:color w:val="000000" w:themeColor="text1"/>
          <w:kern w:val="1"/>
          <w:lang w:eastAsia="ar-SA"/>
        </w:rPr>
        <w:t>Parámetros técnicos y de funcionamiento de los dispositivos de radiocomunicaciones de corto alcance y utilización del espectro por los mismos</w:t>
      </w:r>
      <w:r w:rsidRPr="008C637A">
        <w:rPr>
          <w:rFonts w:ascii="Arial" w:hAnsi="Arial" w:cs="Arial"/>
          <w:color w:val="000000" w:themeColor="text1"/>
          <w:kern w:val="1"/>
          <w:lang w:eastAsia="ar-SA"/>
        </w:rPr>
        <w:t>”</w:t>
      </w:r>
      <w:r w:rsidRPr="008C637A">
        <w:rPr>
          <w:rFonts w:ascii="Arial" w:hAnsi="Arial" w:cs="Arial"/>
          <w:color w:val="000000" w:themeColor="text1"/>
          <w:kern w:val="1"/>
          <w:vertAlign w:val="superscript"/>
          <w:lang w:eastAsia="ar-SA"/>
        </w:rPr>
        <w:footnoteReference w:id="10"/>
      </w:r>
      <w:r w:rsidRPr="008C637A">
        <w:rPr>
          <w:rFonts w:ascii="Arial" w:hAnsi="Arial" w:cs="Arial"/>
          <w:color w:val="000000" w:themeColor="text1"/>
          <w:kern w:val="1"/>
          <w:vertAlign w:val="superscript"/>
          <w:lang w:eastAsia="ar-SA"/>
        </w:rPr>
        <w:t>.</w:t>
      </w:r>
      <w:r w:rsidRPr="0027631D">
        <w:rPr>
          <w:rFonts w:ascii="Arial" w:hAnsi="Arial" w:cs="Arial"/>
          <w:color w:val="000000" w:themeColor="text1"/>
          <w:kern w:val="1"/>
          <w:lang w:eastAsia="ar-SA"/>
        </w:rPr>
        <w:t xml:space="preserve"> En esta Recomendación de la UIT se establecía que el término de DRCA, incluye transmisores radioeléctricos utilizados para comunicaciones unidireccionales o bidireccionales, y que cuentan con baja capacidad de producir interferencia a otros equipos radioeléctricos, debido a los valores de baja potencia radiada o intensidad de campo eléctrico necesarios para su correcto funcionamiento.</w:t>
      </w:r>
    </w:p>
    <w:p w14:paraId="373BD33A" w14:textId="77777777" w:rsidR="009F027A" w:rsidRPr="0027631D" w:rsidRDefault="009F027A" w:rsidP="0027631D">
      <w:pPr>
        <w:pStyle w:val="Prrafodelista"/>
        <w:suppressAutoHyphens/>
        <w:spacing w:line="23" w:lineRule="atLeast"/>
        <w:ind w:left="0" w:right="49"/>
        <w:contextualSpacing/>
        <w:jc w:val="both"/>
        <w:rPr>
          <w:rFonts w:cs="Arial"/>
          <w:color w:val="000000" w:themeColor="text1"/>
          <w:kern w:val="1"/>
          <w:sz w:val="22"/>
          <w:szCs w:val="22"/>
          <w:lang w:eastAsia="ar-SA"/>
        </w:rPr>
      </w:pPr>
    </w:p>
    <w:p w14:paraId="0D231DD5" w14:textId="77777777" w:rsidR="00872295" w:rsidRPr="0027631D" w:rsidRDefault="00872295" w:rsidP="0027631D">
      <w:pPr>
        <w:pStyle w:val="Prrafodelista"/>
        <w:suppressAutoHyphens/>
        <w:spacing w:line="23" w:lineRule="atLeast"/>
        <w:ind w:left="0" w:right="49"/>
        <w:contextualSpacing/>
        <w:jc w:val="both"/>
        <w:rPr>
          <w:rFonts w:eastAsia="Calibri" w:cs="Arial"/>
          <w:sz w:val="22"/>
          <w:szCs w:val="22"/>
          <w:lang w:val="es-ES" w:eastAsia="es-MX"/>
        </w:rPr>
      </w:pPr>
      <w:r w:rsidRPr="0027631D">
        <w:rPr>
          <w:rFonts w:cs="Arial"/>
          <w:color w:val="000000" w:themeColor="text1"/>
          <w:kern w:val="1"/>
          <w:sz w:val="22"/>
          <w:szCs w:val="22"/>
          <w:lang w:eastAsia="ar-SA"/>
        </w:rPr>
        <w:t xml:space="preserve">Posteriormente, </w:t>
      </w:r>
      <w:r w:rsidRPr="0027631D">
        <w:rPr>
          <w:rFonts w:eastAsia="Calibri" w:cs="Arial"/>
          <w:sz w:val="22"/>
          <w:szCs w:val="22"/>
          <w:lang w:val="es-ES" w:eastAsia="es-MX"/>
        </w:rPr>
        <w:t>el 21 de junio del 2010 fue publicada en el DOF, la Norma Oficial Mexicana NOM-121-SCT1-2009,</w:t>
      </w:r>
      <w:r w:rsidR="008C637A">
        <w:rPr>
          <w:rFonts w:eastAsia="Calibri" w:cs="Arial"/>
          <w:sz w:val="22"/>
          <w:szCs w:val="22"/>
          <w:lang w:val="es-ES" w:eastAsia="es-MX"/>
        </w:rPr>
        <w:t xml:space="preserve"> </w:t>
      </w:r>
      <w:r w:rsidRPr="000A317A">
        <w:rPr>
          <w:rFonts w:eastAsia="Calibri" w:cs="Arial"/>
          <w:sz w:val="22"/>
          <w:szCs w:val="22"/>
          <w:lang w:val="es-ES" w:eastAsia="es-MX"/>
        </w:rPr>
        <w:t xml:space="preserve">“Telecomunicaciones – Radiocomunicación - Sistemas de </w:t>
      </w:r>
      <w:r w:rsidRPr="000A317A">
        <w:rPr>
          <w:rFonts w:eastAsia="Calibri" w:cs="Arial"/>
          <w:sz w:val="22"/>
          <w:szCs w:val="22"/>
          <w:lang w:val="es-ES" w:eastAsia="es-MX"/>
        </w:rPr>
        <w:lastRenderedPageBreak/>
        <w:t>radiocomunicación que emplean la técnica de espectro disperso - Equipos de radiocomunicación por salto de frecuencia y por modulación digital a operar en las bandas 902-928 MHz, 2400-2483.5 MHz y 5725-5850 MHz-Especificaciones, límites y métodos de prueba”</w:t>
      </w:r>
      <w:r w:rsidRPr="000A317A">
        <w:rPr>
          <w:rStyle w:val="Refdenotaalpie"/>
          <w:rFonts w:eastAsia="Calibri" w:cs="Arial"/>
          <w:sz w:val="22"/>
          <w:szCs w:val="22"/>
          <w:lang w:val="es-ES" w:eastAsia="es-MX"/>
        </w:rPr>
        <w:footnoteReference w:id="11"/>
      </w:r>
      <w:r w:rsidRPr="008C637A">
        <w:rPr>
          <w:rFonts w:eastAsia="Calibri" w:cs="Arial"/>
          <w:sz w:val="22"/>
          <w:szCs w:val="22"/>
          <w:lang w:val="es-ES" w:eastAsia="es-MX"/>
        </w:rPr>
        <w:t>,</w:t>
      </w:r>
      <w:r w:rsidRPr="0027631D">
        <w:rPr>
          <w:rFonts w:eastAsia="Calibri" w:cs="Arial"/>
          <w:sz w:val="22"/>
          <w:szCs w:val="22"/>
          <w:lang w:val="es-ES" w:eastAsia="es-MX"/>
        </w:rPr>
        <w:t xml:space="preserve"> la cual era aplicable a todos </w:t>
      </w:r>
      <w:r w:rsidR="00121481" w:rsidRPr="0027631D">
        <w:rPr>
          <w:rFonts w:eastAsia="Calibri" w:cs="Arial"/>
          <w:sz w:val="22"/>
          <w:szCs w:val="22"/>
          <w:lang w:val="es-ES" w:eastAsia="es-MX"/>
        </w:rPr>
        <w:t>los</w:t>
      </w:r>
      <w:r w:rsidRPr="0027631D">
        <w:rPr>
          <w:rFonts w:eastAsia="Calibri" w:cs="Arial"/>
          <w:sz w:val="22"/>
          <w:szCs w:val="22"/>
          <w:lang w:val="es-ES" w:eastAsia="es-MX"/>
        </w:rPr>
        <w:t xml:space="preserve"> equipos de radiocomunicación que utilizaran espectro disperso </w:t>
      </w:r>
      <w:r w:rsidR="00A71F03" w:rsidRPr="0027631D">
        <w:rPr>
          <w:rFonts w:eastAsia="Calibri" w:cs="Arial"/>
          <w:sz w:val="22"/>
          <w:szCs w:val="22"/>
          <w:lang w:val="es-ES" w:eastAsia="es-MX"/>
        </w:rPr>
        <w:t>en la banda</w:t>
      </w:r>
      <w:r w:rsidRPr="0027631D">
        <w:rPr>
          <w:rFonts w:eastAsia="Calibri" w:cs="Arial"/>
          <w:sz w:val="22"/>
          <w:szCs w:val="22"/>
          <w:lang w:val="es-ES" w:eastAsia="es-MX"/>
        </w:rPr>
        <w:t xml:space="preserve"> 2</w:t>
      </w:r>
      <w:r w:rsidR="00A71F03" w:rsidRPr="0027631D">
        <w:rPr>
          <w:rFonts w:eastAsia="Calibri" w:cs="Arial"/>
          <w:sz w:val="22"/>
          <w:szCs w:val="22"/>
          <w:lang w:val="es-ES" w:eastAsia="es-MX"/>
        </w:rPr>
        <w:t>.</w:t>
      </w:r>
      <w:r w:rsidRPr="0027631D">
        <w:rPr>
          <w:rFonts w:eastAsia="Calibri" w:cs="Arial"/>
          <w:sz w:val="22"/>
          <w:szCs w:val="22"/>
          <w:lang w:val="es-ES" w:eastAsia="es-MX"/>
        </w:rPr>
        <w:t>4</w:t>
      </w:r>
      <w:r w:rsidR="00A71F03" w:rsidRPr="0027631D">
        <w:rPr>
          <w:rFonts w:eastAsia="Calibri" w:cs="Arial"/>
          <w:sz w:val="22"/>
          <w:szCs w:val="22"/>
          <w:lang w:val="es-ES" w:eastAsia="es-MX"/>
        </w:rPr>
        <w:t xml:space="preserve"> G</w:t>
      </w:r>
      <w:r w:rsidRPr="0027631D">
        <w:rPr>
          <w:rFonts w:eastAsia="Calibri" w:cs="Arial"/>
          <w:sz w:val="22"/>
          <w:szCs w:val="22"/>
          <w:lang w:val="es-ES" w:eastAsia="es-MX"/>
        </w:rPr>
        <w:t>Hz, sobre una base de coexistencia con otros equipos, redes y servicios autorizados.</w:t>
      </w:r>
    </w:p>
    <w:p w14:paraId="173C2BFB" w14:textId="77777777" w:rsidR="00872295" w:rsidRPr="0027631D" w:rsidRDefault="00872295" w:rsidP="0027631D">
      <w:pPr>
        <w:pStyle w:val="Prrafodelista"/>
        <w:suppressAutoHyphens/>
        <w:spacing w:line="23" w:lineRule="atLeast"/>
        <w:ind w:left="0" w:right="49"/>
        <w:contextualSpacing/>
        <w:jc w:val="both"/>
        <w:rPr>
          <w:rFonts w:eastAsia="Calibri" w:cs="Arial"/>
          <w:sz w:val="22"/>
          <w:szCs w:val="22"/>
          <w:lang w:val="es-ES" w:eastAsia="es-MX"/>
        </w:rPr>
      </w:pPr>
    </w:p>
    <w:p w14:paraId="7A6FE71D" w14:textId="3A406E09" w:rsidR="00453978" w:rsidRPr="0027631D" w:rsidRDefault="00453978" w:rsidP="0027631D">
      <w:pPr>
        <w:spacing w:after="0" w:line="23" w:lineRule="atLeast"/>
        <w:contextualSpacing/>
        <w:jc w:val="both"/>
        <w:rPr>
          <w:rFonts w:ascii="Arial" w:hAnsi="Arial" w:cs="Arial"/>
          <w:color w:val="000000"/>
        </w:rPr>
      </w:pPr>
      <w:r w:rsidRPr="0027631D">
        <w:rPr>
          <w:rFonts w:ascii="Arial" w:hAnsi="Arial" w:cs="Arial"/>
          <w:color w:val="000000"/>
        </w:rPr>
        <w:t>Sin embargo, de acuerdo con el artículo 51 de la Ley Federal sobre Metrología y Normalización</w:t>
      </w:r>
      <w:r w:rsidRPr="0027631D">
        <w:rPr>
          <w:rFonts w:ascii="Arial" w:hAnsi="Arial" w:cs="Arial"/>
          <w:color w:val="000000"/>
          <w:vertAlign w:val="superscript"/>
        </w:rPr>
        <w:footnoteReference w:id="12"/>
      </w:r>
      <w:r w:rsidRPr="0027631D">
        <w:rPr>
          <w:rFonts w:ascii="Arial" w:hAnsi="Arial" w:cs="Arial"/>
          <w:color w:val="000000"/>
        </w:rPr>
        <w:t>, el cual indica que las normas oficiales mexicanas deberán ser revisadas cada cinco años a partir de la fecha de entrada en vigor, el Instituto realizó un proceso de consulta pública en el año 2015 para llevar a cabo una actualización de la misma. El proceso de consulta pública referido</w:t>
      </w:r>
      <w:r w:rsidRPr="0027631D">
        <w:rPr>
          <w:rStyle w:val="Refdenotaalpie"/>
          <w:rFonts w:ascii="Arial" w:hAnsi="Arial" w:cs="Arial"/>
          <w:color w:val="000000"/>
        </w:rPr>
        <w:footnoteReference w:id="13"/>
      </w:r>
      <w:r w:rsidRPr="0027631D">
        <w:rPr>
          <w:rFonts w:ascii="Arial" w:hAnsi="Arial" w:cs="Arial"/>
          <w:color w:val="000000"/>
        </w:rPr>
        <w:t xml:space="preserve"> derivó en la emisión y publicación de la Disposición Técnica IFT-008-2015 en el DOF el 19 de octubre de 2015</w:t>
      </w:r>
      <w:r w:rsidRPr="0027631D">
        <w:rPr>
          <w:rStyle w:val="Refdenotaalpie"/>
          <w:rFonts w:ascii="Arial" w:hAnsi="Arial" w:cs="Arial"/>
          <w:color w:val="000000"/>
        </w:rPr>
        <w:footnoteReference w:id="14"/>
      </w:r>
      <w:r w:rsidRPr="0027631D">
        <w:rPr>
          <w:rFonts w:ascii="Arial" w:hAnsi="Arial" w:cs="Arial"/>
          <w:color w:val="000000"/>
        </w:rPr>
        <w:t xml:space="preserve">, en </w:t>
      </w:r>
      <w:r w:rsidR="00FB301E">
        <w:rPr>
          <w:rFonts w:ascii="Arial" w:hAnsi="Arial" w:cs="Arial"/>
          <w:color w:val="000000"/>
        </w:rPr>
        <w:t>sustitución</w:t>
      </w:r>
      <w:r w:rsidR="00FB301E" w:rsidRPr="0027631D">
        <w:rPr>
          <w:rFonts w:ascii="Arial" w:hAnsi="Arial" w:cs="Arial"/>
          <w:color w:val="000000"/>
        </w:rPr>
        <w:t xml:space="preserve"> </w:t>
      </w:r>
      <w:r w:rsidRPr="0027631D">
        <w:rPr>
          <w:rFonts w:ascii="Arial" w:hAnsi="Arial" w:cs="Arial"/>
          <w:color w:val="000000"/>
        </w:rPr>
        <w:t>de la NOM-121-SCT1-2009, gracias a los comentarios recibidos por parte de asociaciones de la industria de telecomunicaciones, organizaciones encargadas en la verificación de equipos y laboratorios de ensayos, entre otros.</w:t>
      </w:r>
    </w:p>
    <w:p w14:paraId="320246D0" w14:textId="77777777" w:rsidR="00453978" w:rsidRPr="0027631D" w:rsidRDefault="00453978" w:rsidP="0027631D">
      <w:pPr>
        <w:spacing w:after="0" w:line="23" w:lineRule="atLeast"/>
        <w:contextualSpacing/>
        <w:jc w:val="both"/>
        <w:rPr>
          <w:rFonts w:ascii="Arial" w:hAnsi="Arial" w:cs="Arial"/>
          <w:color w:val="000000"/>
        </w:rPr>
      </w:pPr>
    </w:p>
    <w:p w14:paraId="1C635608" w14:textId="77777777" w:rsidR="00453978" w:rsidRPr="0027631D" w:rsidRDefault="00453978" w:rsidP="0027631D">
      <w:pPr>
        <w:spacing w:after="0" w:line="23" w:lineRule="atLeast"/>
        <w:contextualSpacing/>
        <w:jc w:val="both"/>
        <w:rPr>
          <w:rFonts w:ascii="Arial" w:hAnsi="Arial" w:cs="Arial"/>
          <w:color w:val="000000"/>
        </w:rPr>
      </w:pPr>
      <w:r w:rsidRPr="0027631D">
        <w:rPr>
          <w:rFonts w:ascii="Arial" w:hAnsi="Arial" w:cs="Arial"/>
          <w:color w:val="000000"/>
        </w:rPr>
        <w:t xml:space="preserve">Es así que, la hoy vigente DT IFT-008-2015 </w:t>
      </w:r>
      <w:r w:rsidRPr="00CC72E5">
        <w:rPr>
          <w:rFonts w:ascii="Arial" w:hAnsi="Arial" w:cs="Arial"/>
          <w:color w:val="000000"/>
        </w:rPr>
        <w:t>“</w:t>
      </w:r>
      <w:r w:rsidRPr="000A317A">
        <w:rPr>
          <w:rFonts w:ascii="Arial" w:hAnsi="Arial" w:cs="Arial"/>
          <w:color w:val="000000"/>
        </w:rPr>
        <w:t>Sistemas de radiocomunicación que emplean la técnica de espectro disperso-Equipos de radiocomunicación por salto de frecuencia y por modulación digital a operar en las bandas 902-928 MHz, 2400-2483.5 MHz y 5725-5850 MHz-Especificaciones, límites y métodos de prueba</w:t>
      </w:r>
      <w:r w:rsidRPr="00CC72E5">
        <w:rPr>
          <w:rFonts w:ascii="Arial" w:hAnsi="Arial" w:cs="Arial"/>
          <w:color w:val="000000"/>
        </w:rPr>
        <w:t>”,</w:t>
      </w:r>
      <w:r w:rsidRPr="0027631D">
        <w:rPr>
          <w:rFonts w:ascii="Arial" w:hAnsi="Arial" w:cs="Arial"/>
          <w:color w:val="000000"/>
        </w:rPr>
        <w:t xml:space="preserve"> establece especificaciones mínimas y límites que deben cumplir los equipos de radiocomunicación que utilicen técnicas de transmisión</w:t>
      </w:r>
      <w:r w:rsidRPr="0027631D" w:rsidDel="00D66B72">
        <w:rPr>
          <w:rFonts w:ascii="Arial" w:hAnsi="Arial" w:cs="Arial"/>
          <w:color w:val="000000"/>
        </w:rPr>
        <w:t xml:space="preserve"> </w:t>
      </w:r>
      <w:r w:rsidRPr="0027631D">
        <w:rPr>
          <w:rFonts w:ascii="Arial" w:hAnsi="Arial" w:cs="Arial"/>
          <w:color w:val="000000"/>
        </w:rPr>
        <w:t>de espectro disperso por salto de frecuencia, modulación digital e híbrido, incluyendo los métodos de prueba necesarios para la comprobación del cumplimiento de las especificaciones y los límites de PIRE máxima establecidos en el Acuerdo antes mencionado, para que puedan operar en las bandas de frecuencias 902 MHz a 928 MHz, 2400 MHz a 2483.5 MHz, y 57525 MHz a 5850 MHz.</w:t>
      </w:r>
    </w:p>
    <w:p w14:paraId="29E83ACA" w14:textId="77777777" w:rsidR="00453978" w:rsidRPr="0027631D" w:rsidRDefault="00453978" w:rsidP="0027631D">
      <w:pPr>
        <w:spacing w:after="0" w:line="23" w:lineRule="atLeast"/>
        <w:contextualSpacing/>
        <w:jc w:val="both"/>
        <w:rPr>
          <w:rFonts w:ascii="Arial" w:hAnsi="Arial" w:cs="Arial"/>
          <w:color w:val="000000"/>
        </w:rPr>
      </w:pPr>
    </w:p>
    <w:p w14:paraId="4D240E9B" w14:textId="77777777" w:rsidR="00453978" w:rsidRPr="0027631D" w:rsidRDefault="00453978" w:rsidP="0027631D">
      <w:pPr>
        <w:spacing w:after="0" w:line="23" w:lineRule="atLeast"/>
        <w:contextualSpacing/>
        <w:jc w:val="both"/>
        <w:rPr>
          <w:rFonts w:ascii="Arial" w:hAnsi="Arial" w:cs="Arial"/>
          <w:color w:val="000000"/>
        </w:rPr>
      </w:pPr>
      <w:r w:rsidRPr="003101A9">
        <w:rPr>
          <w:rFonts w:ascii="Arial" w:hAnsi="Arial" w:cs="Arial"/>
          <w:color w:val="000000"/>
        </w:rPr>
        <w:t>A continuación, se indican los límites de PIRE máxima y especificaciones que deben cumplir los equipos de radiocomunicación que utilizan técnicas de transmisión de espectro disperso, para determinar la evaluación de conformidad y homologación correspondiente.</w:t>
      </w:r>
    </w:p>
    <w:p w14:paraId="7B512520" w14:textId="77777777" w:rsidR="00453978" w:rsidRPr="0027631D" w:rsidRDefault="00453978" w:rsidP="0027631D">
      <w:pPr>
        <w:spacing w:after="0" w:line="23" w:lineRule="atLeast"/>
        <w:contextualSpacing/>
        <w:jc w:val="both"/>
        <w:rPr>
          <w:rFonts w:ascii="Arial" w:hAnsi="Arial" w:cs="Arial"/>
          <w:color w:val="000000"/>
        </w:rPr>
      </w:pPr>
    </w:p>
    <w:tbl>
      <w:tblPr>
        <w:tblStyle w:val="Tablaconcuadrcula"/>
        <w:tblW w:w="5000" w:type="pct"/>
        <w:jc w:val="right"/>
        <w:tblLook w:val="04A0" w:firstRow="1" w:lastRow="0" w:firstColumn="1" w:lastColumn="0" w:noHBand="0" w:noVBand="1"/>
      </w:tblPr>
      <w:tblGrid>
        <w:gridCol w:w="2559"/>
        <w:gridCol w:w="4795"/>
        <w:gridCol w:w="2040"/>
      </w:tblGrid>
      <w:tr w:rsidR="00506800" w:rsidRPr="0027631D" w14:paraId="0F7DEDC3" w14:textId="77777777" w:rsidTr="00506800">
        <w:trPr>
          <w:jc w:val="right"/>
        </w:trPr>
        <w:tc>
          <w:tcPr>
            <w:tcW w:w="1362" w:type="pct"/>
            <w:shd w:val="clear" w:color="auto" w:fill="D9D9D9" w:themeFill="background1" w:themeFillShade="D9"/>
            <w:vAlign w:val="center"/>
          </w:tcPr>
          <w:p w14:paraId="730A2E23" w14:textId="77777777" w:rsidR="00453978" w:rsidRPr="0027631D" w:rsidRDefault="00453978"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Banda de frecuencias</w:t>
            </w:r>
          </w:p>
        </w:tc>
        <w:tc>
          <w:tcPr>
            <w:tcW w:w="2552" w:type="pct"/>
            <w:shd w:val="clear" w:color="auto" w:fill="D9D9D9" w:themeFill="background1" w:themeFillShade="D9"/>
            <w:vAlign w:val="center"/>
          </w:tcPr>
          <w:p w14:paraId="6898FC1C" w14:textId="77777777" w:rsidR="00453978" w:rsidRPr="0027631D" w:rsidRDefault="00453978"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Tipo</w:t>
            </w:r>
            <w:r w:rsidRPr="0027631D" w:rsidDel="00A76DF0">
              <w:rPr>
                <w:rFonts w:ascii="Arial" w:hAnsi="Arial" w:cs="Arial"/>
                <w:b/>
                <w:lang w:val="es-ES" w:eastAsia="es-MX"/>
              </w:rPr>
              <w:t xml:space="preserve"> de </w:t>
            </w:r>
            <w:r w:rsidRPr="0027631D">
              <w:rPr>
                <w:rFonts w:ascii="Arial" w:hAnsi="Arial" w:cs="Arial"/>
                <w:b/>
                <w:lang w:val="es-ES" w:eastAsia="es-MX"/>
              </w:rPr>
              <w:t>sistema de radiocomunicación</w:t>
            </w:r>
          </w:p>
        </w:tc>
        <w:tc>
          <w:tcPr>
            <w:tcW w:w="1086" w:type="pct"/>
            <w:shd w:val="clear" w:color="auto" w:fill="D9D9D9" w:themeFill="background1" w:themeFillShade="D9"/>
            <w:vAlign w:val="center"/>
          </w:tcPr>
          <w:p w14:paraId="500CA0B4" w14:textId="77777777" w:rsidR="00453978" w:rsidRPr="0027631D" w:rsidRDefault="00453978" w:rsidP="0027631D">
            <w:pPr>
              <w:spacing w:after="0" w:line="23" w:lineRule="atLeast"/>
              <w:contextualSpacing/>
              <w:jc w:val="center"/>
              <w:rPr>
                <w:rFonts w:ascii="Arial" w:hAnsi="Arial" w:cs="Arial"/>
                <w:b/>
                <w:lang w:val="es-ES" w:eastAsia="es-MX"/>
              </w:rPr>
            </w:pPr>
            <w:r w:rsidRPr="0027631D">
              <w:rPr>
                <w:rFonts w:ascii="Arial" w:hAnsi="Arial" w:cs="Arial"/>
                <w:b/>
                <w:lang w:eastAsia="es-MX"/>
              </w:rPr>
              <w:t>PIRE</w:t>
            </w:r>
            <w:r w:rsidRPr="0027631D">
              <w:rPr>
                <w:rFonts w:ascii="Arial" w:hAnsi="Arial" w:cs="Arial"/>
                <w:b/>
                <w:lang w:val="es-ES" w:eastAsia="es-MX"/>
              </w:rPr>
              <w:t xml:space="preserve"> máxima</w:t>
            </w:r>
          </w:p>
        </w:tc>
      </w:tr>
      <w:tr w:rsidR="00506800" w:rsidRPr="0027631D" w14:paraId="1C0734EE" w14:textId="77777777" w:rsidTr="00506800">
        <w:trPr>
          <w:jc w:val="right"/>
        </w:trPr>
        <w:tc>
          <w:tcPr>
            <w:tcW w:w="1362" w:type="pct"/>
            <w:vMerge w:val="restart"/>
            <w:shd w:val="clear" w:color="auto" w:fill="auto"/>
            <w:vAlign w:val="center"/>
          </w:tcPr>
          <w:p w14:paraId="6D17198B" w14:textId="77777777" w:rsidR="00453978" w:rsidRPr="0027631D" w:rsidRDefault="00453978"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2400 - 2483.5 MHz</w:t>
            </w:r>
          </w:p>
        </w:tc>
        <w:tc>
          <w:tcPr>
            <w:tcW w:w="2552" w:type="pct"/>
            <w:shd w:val="clear" w:color="auto" w:fill="auto"/>
            <w:vAlign w:val="center"/>
          </w:tcPr>
          <w:p w14:paraId="2A3BE32E" w14:textId="77777777" w:rsidR="00453978" w:rsidRPr="0027631D" w:rsidRDefault="00453978"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Fijos – PaP</w:t>
            </w:r>
          </w:p>
        </w:tc>
        <w:tc>
          <w:tcPr>
            <w:tcW w:w="1086" w:type="pct"/>
            <w:shd w:val="clear" w:color="auto" w:fill="auto"/>
            <w:vAlign w:val="center"/>
          </w:tcPr>
          <w:p w14:paraId="568734F3" w14:textId="77777777" w:rsidR="00453978" w:rsidRPr="0027631D" w:rsidRDefault="00453978"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2 W</w:t>
            </w:r>
          </w:p>
        </w:tc>
      </w:tr>
      <w:tr w:rsidR="00506800" w:rsidRPr="0027631D" w14:paraId="337FFD4A" w14:textId="77777777" w:rsidTr="00506800">
        <w:trPr>
          <w:jc w:val="right"/>
        </w:trPr>
        <w:tc>
          <w:tcPr>
            <w:tcW w:w="1362" w:type="pct"/>
            <w:vMerge/>
            <w:shd w:val="clear" w:color="auto" w:fill="auto"/>
            <w:vAlign w:val="center"/>
          </w:tcPr>
          <w:p w14:paraId="5B866274" w14:textId="77777777" w:rsidR="00453978" w:rsidRPr="0027631D" w:rsidRDefault="00453978" w:rsidP="0027631D">
            <w:pPr>
              <w:spacing w:after="0" w:line="23" w:lineRule="atLeast"/>
              <w:contextualSpacing/>
              <w:jc w:val="center"/>
              <w:rPr>
                <w:rFonts w:ascii="Arial" w:hAnsi="Arial" w:cs="Arial"/>
                <w:lang w:val="es-ES" w:eastAsia="es-MX"/>
              </w:rPr>
            </w:pPr>
          </w:p>
        </w:tc>
        <w:tc>
          <w:tcPr>
            <w:tcW w:w="2552" w:type="pct"/>
            <w:shd w:val="clear" w:color="auto" w:fill="auto"/>
            <w:vAlign w:val="center"/>
          </w:tcPr>
          <w:p w14:paraId="4D7BEDBB" w14:textId="77777777" w:rsidR="00453978" w:rsidRPr="0027631D" w:rsidRDefault="00453978"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PaM</w:t>
            </w:r>
          </w:p>
        </w:tc>
        <w:tc>
          <w:tcPr>
            <w:tcW w:w="1086" w:type="pct"/>
            <w:shd w:val="clear" w:color="auto" w:fill="auto"/>
            <w:vAlign w:val="center"/>
          </w:tcPr>
          <w:p w14:paraId="265C06DC" w14:textId="77777777" w:rsidR="00453978" w:rsidRPr="0027631D" w:rsidRDefault="00453978"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1 W</w:t>
            </w:r>
          </w:p>
        </w:tc>
      </w:tr>
    </w:tbl>
    <w:p w14:paraId="5024D1C7" w14:textId="36490DEC" w:rsidR="00453978" w:rsidRPr="000A317A" w:rsidRDefault="00453978" w:rsidP="0027631D">
      <w:pPr>
        <w:pStyle w:val="Descripcin"/>
        <w:contextualSpacing/>
        <w:rPr>
          <w:i w:val="0"/>
          <w:sz w:val="22"/>
          <w:szCs w:val="22"/>
          <w:lang w:val="es-ES" w:eastAsia="es-MX"/>
        </w:rPr>
      </w:pPr>
      <w:bookmarkStart w:id="53" w:name="_Ref44585540"/>
      <w:bookmarkStart w:id="54" w:name="_Ref45071689"/>
      <w:bookmarkStart w:id="55" w:name="_Toc44669652"/>
      <w:bookmarkStart w:id="56" w:name="_Toc44946864"/>
      <w:bookmarkStart w:id="57" w:name="_Toc45105826"/>
      <w:bookmarkStart w:id="58" w:name="_Toc45105925"/>
      <w:bookmarkStart w:id="59" w:name="_Toc45112631"/>
      <w:bookmarkStart w:id="60" w:name="_Toc45115144"/>
      <w:bookmarkStart w:id="61" w:name="_Toc45119719"/>
      <w:bookmarkStart w:id="62" w:name="_Toc45217367"/>
      <w:bookmarkStart w:id="63" w:name="_Toc45226573"/>
      <w:bookmarkStart w:id="64" w:name="_Toc45226689"/>
      <w:bookmarkStart w:id="65" w:name="_Toc45274885"/>
      <w:bookmarkStart w:id="66" w:name="_Toc45279202"/>
      <w:bookmarkStart w:id="67" w:name="_Toc45305726"/>
      <w:bookmarkStart w:id="68" w:name="_Toc45364858"/>
      <w:bookmarkStart w:id="69" w:name="_Toc45381213"/>
      <w:bookmarkStart w:id="70" w:name="_Toc45452815"/>
      <w:bookmarkStart w:id="71" w:name="_Toc45452924"/>
      <w:bookmarkEnd w:id="53"/>
      <w:r w:rsidRPr="000A317A">
        <w:rPr>
          <w:i w:val="0"/>
          <w:sz w:val="22"/>
          <w:szCs w:val="22"/>
        </w:rPr>
        <w:t xml:space="preserve">Tabla </w:t>
      </w:r>
      <w:r w:rsidR="008010AD" w:rsidRPr="000A317A">
        <w:rPr>
          <w:i w:val="0"/>
          <w:sz w:val="22"/>
          <w:szCs w:val="22"/>
        </w:rPr>
        <w:fldChar w:fldCharType="begin"/>
      </w:r>
      <w:r w:rsidR="008010AD" w:rsidRPr="000A317A">
        <w:rPr>
          <w:i w:val="0"/>
          <w:sz w:val="22"/>
          <w:szCs w:val="22"/>
        </w:rPr>
        <w:instrText xml:space="preserve"> SEQ Tabla \* ARABIC </w:instrText>
      </w:r>
      <w:r w:rsidR="008010AD" w:rsidRPr="000A317A">
        <w:rPr>
          <w:i w:val="0"/>
          <w:sz w:val="22"/>
          <w:szCs w:val="22"/>
        </w:rPr>
        <w:fldChar w:fldCharType="separate"/>
      </w:r>
      <w:r w:rsidR="004F1EA3">
        <w:rPr>
          <w:i w:val="0"/>
          <w:noProof/>
          <w:sz w:val="22"/>
          <w:szCs w:val="22"/>
        </w:rPr>
        <w:t>4</w:t>
      </w:r>
      <w:r w:rsidR="008010AD" w:rsidRPr="000A317A">
        <w:rPr>
          <w:i w:val="0"/>
          <w:noProof/>
          <w:sz w:val="22"/>
          <w:szCs w:val="22"/>
        </w:rPr>
        <w:fldChar w:fldCharType="end"/>
      </w:r>
      <w:bookmarkEnd w:id="54"/>
      <w:r w:rsidRPr="000A317A">
        <w:rPr>
          <w:i w:val="0"/>
          <w:sz w:val="22"/>
          <w:szCs w:val="22"/>
        </w:rPr>
        <w:t>.</w:t>
      </w:r>
      <w:r w:rsidRPr="000A317A">
        <w:rPr>
          <w:i w:val="0"/>
          <w:sz w:val="22"/>
          <w:szCs w:val="22"/>
          <w:lang w:val="es-ES" w:eastAsia="es-MX"/>
        </w:rPr>
        <w:t xml:space="preserve"> Límites de PIRE máxima para la banda 2.4 GHz</w:t>
      </w:r>
      <w:bookmarkEnd w:id="55"/>
      <w:bookmarkEnd w:id="56"/>
      <w:bookmarkEnd w:id="57"/>
      <w:bookmarkEnd w:id="58"/>
      <w:bookmarkEnd w:id="59"/>
      <w:bookmarkEnd w:id="60"/>
      <w:bookmarkEnd w:id="61"/>
      <w:bookmarkEnd w:id="62"/>
      <w:bookmarkEnd w:id="63"/>
      <w:bookmarkEnd w:id="64"/>
      <w:bookmarkEnd w:id="65"/>
      <w:bookmarkEnd w:id="66"/>
      <w:bookmarkEnd w:id="67"/>
      <w:r w:rsidRPr="000A317A">
        <w:rPr>
          <w:i w:val="0"/>
          <w:sz w:val="22"/>
          <w:szCs w:val="22"/>
          <w:lang w:val="es-ES" w:eastAsia="es-MX"/>
        </w:rPr>
        <w:t xml:space="preserve"> establecidos en la </w:t>
      </w:r>
      <w:r w:rsidRPr="000A317A">
        <w:rPr>
          <w:i w:val="0"/>
          <w:sz w:val="22"/>
          <w:szCs w:val="22"/>
          <w:lang w:eastAsia="es-MX"/>
        </w:rPr>
        <w:t>DT IFT-008-2015</w:t>
      </w:r>
      <w:bookmarkEnd w:id="68"/>
      <w:bookmarkEnd w:id="69"/>
      <w:bookmarkEnd w:id="70"/>
      <w:bookmarkEnd w:id="71"/>
    </w:p>
    <w:p w14:paraId="2F90AD97" w14:textId="77777777" w:rsidR="00453978" w:rsidRPr="0027631D" w:rsidRDefault="00453978" w:rsidP="0027631D">
      <w:pPr>
        <w:spacing w:after="0" w:line="23" w:lineRule="atLeast"/>
        <w:contextualSpacing/>
        <w:jc w:val="both"/>
        <w:rPr>
          <w:rFonts w:ascii="Arial" w:hAnsi="Arial" w:cs="Arial"/>
          <w:color w:val="000000"/>
        </w:rPr>
      </w:pPr>
    </w:p>
    <w:p w14:paraId="5C603BB7" w14:textId="77777777" w:rsidR="00453978" w:rsidRPr="0027631D" w:rsidRDefault="00453978" w:rsidP="0027631D">
      <w:pPr>
        <w:spacing w:after="0" w:line="23" w:lineRule="atLeast"/>
        <w:contextualSpacing/>
        <w:jc w:val="both"/>
        <w:rPr>
          <w:rFonts w:ascii="Arial" w:hAnsi="Arial" w:cs="Arial"/>
          <w:color w:val="000000"/>
        </w:rPr>
      </w:pPr>
      <w:r w:rsidRPr="0027631D">
        <w:rPr>
          <w:rFonts w:ascii="Arial" w:hAnsi="Arial" w:cs="Arial"/>
          <w:color w:val="000000"/>
        </w:rPr>
        <w:t xml:space="preserve">Las especificaciones que deben cumplir </w:t>
      </w:r>
      <w:r w:rsidRPr="0027631D">
        <w:rPr>
          <w:rFonts w:ascii="Arial" w:hAnsi="Arial" w:cs="Arial"/>
          <w:color w:val="000000"/>
          <w:u w:val="single"/>
        </w:rPr>
        <w:t>los equipos de radiocomunicación que utilicen técnicas de transmisión de espectro disperso por salto de frecuencia</w:t>
      </w:r>
      <w:r w:rsidRPr="0027631D">
        <w:rPr>
          <w:rFonts w:ascii="Arial" w:hAnsi="Arial" w:cs="Arial"/>
          <w:color w:val="000000"/>
        </w:rPr>
        <w:t xml:space="preserve"> que operan en la banda 2.4 GHz se muestran en la tabla siguiente</w:t>
      </w:r>
      <w:r w:rsidR="00192188" w:rsidRPr="0027631D">
        <w:rPr>
          <w:rFonts w:ascii="Arial" w:hAnsi="Arial" w:cs="Arial"/>
          <w:color w:val="000000"/>
        </w:rPr>
        <w:t>:</w:t>
      </w:r>
    </w:p>
    <w:p w14:paraId="72DFCEB8" w14:textId="77777777" w:rsidR="00453978" w:rsidRPr="0027631D" w:rsidRDefault="00453978" w:rsidP="0027631D">
      <w:pPr>
        <w:spacing w:after="0" w:line="23" w:lineRule="atLeast"/>
        <w:contextualSpacing/>
        <w:jc w:val="both"/>
        <w:rPr>
          <w:rFonts w:ascii="Arial" w:hAnsi="Arial" w:cs="Arial"/>
          <w:color w:val="000000"/>
        </w:rPr>
      </w:pPr>
    </w:p>
    <w:tbl>
      <w:tblPr>
        <w:tblStyle w:val="Tablaconcuadrcula"/>
        <w:tblW w:w="5000" w:type="pct"/>
        <w:jc w:val="right"/>
        <w:tblLook w:val="04A0" w:firstRow="1" w:lastRow="0" w:firstColumn="1" w:lastColumn="0" w:noHBand="0" w:noVBand="1"/>
      </w:tblPr>
      <w:tblGrid>
        <w:gridCol w:w="1358"/>
        <w:gridCol w:w="1308"/>
        <w:gridCol w:w="1447"/>
        <w:gridCol w:w="1396"/>
        <w:gridCol w:w="1358"/>
        <w:gridCol w:w="1358"/>
        <w:gridCol w:w="1169"/>
      </w:tblGrid>
      <w:tr w:rsidR="00506800" w:rsidRPr="0027631D" w14:paraId="5EAC2E0D" w14:textId="77777777" w:rsidTr="00506800">
        <w:trPr>
          <w:tblHeader/>
          <w:jc w:val="right"/>
        </w:trPr>
        <w:tc>
          <w:tcPr>
            <w:tcW w:w="723" w:type="pct"/>
            <w:shd w:val="clear" w:color="auto" w:fill="D9D9D9" w:themeFill="background1" w:themeFillShade="D9"/>
            <w:vAlign w:val="center"/>
          </w:tcPr>
          <w:p w14:paraId="0F0A509F" w14:textId="77777777" w:rsidR="00453978" w:rsidRPr="0027631D" w:rsidRDefault="00453978"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lastRenderedPageBreak/>
              <w:t>Tipo de sistema</w:t>
            </w:r>
          </w:p>
        </w:tc>
        <w:tc>
          <w:tcPr>
            <w:tcW w:w="696" w:type="pct"/>
            <w:shd w:val="clear" w:color="auto" w:fill="D9D9D9" w:themeFill="background1" w:themeFillShade="D9"/>
            <w:vAlign w:val="center"/>
          </w:tcPr>
          <w:p w14:paraId="19C3AD45" w14:textId="77777777" w:rsidR="00453978" w:rsidRPr="0027631D" w:rsidRDefault="00453978"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Anchura de banda del canal de salto a 20 dB</w:t>
            </w:r>
          </w:p>
          <w:p w14:paraId="02DAEAD0" w14:textId="77777777" w:rsidR="00453978" w:rsidRPr="0027631D" w:rsidRDefault="00453978"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(AB</w:t>
            </w:r>
            <w:r w:rsidRPr="0027631D">
              <w:rPr>
                <w:rFonts w:ascii="Arial" w:hAnsi="Arial" w:cs="Arial"/>
                <w:b/>
                <w:vertAlign w:val="subscript"/>
                <w:lang w:val="es-ES" w:eastAsia="es-MX"/>
              </w:rPr>
              <w:t>20dB</w:t>
            </w:r>
            <w:r w:rsidRPr="0027631D">
              <w:rPr>
                <w:rFonts w:ascii="Arial" w:hAnsi="Arial" w:cs="Arial"/>
                <w:b/>
                <w:lang w:val="es-ES" w:eastAsia="es-MX"/>
              </w:rPr>
              <w:t>)</w:t>
            </w:r>
          </w:p>
        </w:tc>
        <w:tc>
          <w:tcPr>
            <w:tcW w:w="770" w:type="pct"/>
            <w:shd w:val="clear" w:color="auto" w:fill="D9D9D9" w:themeFill="background1" w:themeFillShade="D9"/>
            <w:vAlign w:val="center"/>
          </w:tcPr>
          <w:p w14:paraId="236EF0A0" w14:textId="77777777" w:rsidR="00453978" w:rsidRPr="0027631D" w:rsidRDefault="00453978"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Separación mínima entre canales de salto</w:t>
            </w:r>
          </w:p>
        </w:tc>
        <w:tc>
          <w:tcPr>
            <w:tcW w:w="743" w:type="pct"/>
            <w:shd w:val="clear" w:color="auto" w:fill="D9D9D9" w:themeFill="background1" w:themeFillShade="D9"/>
            <w:vAlign w:val="center"/>
          </w:tcPr>
          <w:p w14:paraId="7211F368" w14:textId="77777777" w:rsidR="00453978" w:rsidRPr="0027631D" w:rsidRDefault="00453978"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Número de canales de salto (N)</w:t>
            </w:r>
          </w:p>
        </w:tc>
        <w:tc>
          <w:tcPr>
            <w:tcW w:w="723" w:type="pct"/>
            <w:shd w:val="clear" w:color="auto" w:fill="D9D9D9" w:themeFill="background1" w:themeFillShade="D9"/>
            <w:vAlign w:val="center"/>
          </w:tcPr>
          <w:p w14:paraId="35B3BFFD" w14:textId="77777777" w:rsidR="00453978" w:rsidRPr="0027631D" w:rsidRDefault="00453978"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Tiempo promedio de ocupación (t) de canal de salto por periodo (s)</w:t>
            </w:r>
          </w:p>
        </w:tc>
        <w:tc>
          <w:tcPr>
            <w:tcW w:w="723" w:type="pct"/>
            <w:shd w:val="clear" w:color="auto" w:fill="D9D9D9" w:themeFill="background1" w:themeFillShade="D9"/>
            <w:vAlign w:val="center"/>
          </w:tcPr>
          <w:p w14:paraId="4BD91344" w14:textId="77777777" w:rsidR="00453978" w:rsidRPr="0027631D" w:rsidRDefault="00453978"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Periodo de ocupación del conjunto de saltos (T) (s)</w:t>
            </w:r>
          </w:p>
        </w:tc>
        <w:tc>
          <w:tcPr>
            <w:tcW w:w="622" w:type="pct"/>
            <w:shd w:val="clear" w:color="auto" w:fill="D9D9D9" w:themeFill="background1" w:themeFillShade="D9"/>
            <w:vAlign w:val="center"/>
          </w:tcPr>
          <w:p w14:paraId="61C5070B" w14:textId="77777777" w:rsidR="00453978" w:rsidRPr="0027631D" w:rsidRDefault="00453978"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Potencia pico máxima de salida (W)</w:t>
            </w:r>
          </w:p>
        </w:tc>
      </w:tr>
      <w:tr w:rsidR="00506800" w:rsidRPr="0027631D" w14:paraId="0A58E9DD" w14:textId="77777777" w:rsidTr="00FF5B8A">
        <w:trPr>
          <w:jc w:val="right"/>
        </w:trPr>
        <w:tc>
          <w:tcPr>
            <w:tcW w:w="723" w:type="pct"/>
            <w:vMerge w:val="restart"/>
            <w:shd w:val="clear" w:color="auto" w:fill="D9D9D9" w:themeFill="background1" w:themeFillShade="D9"/>
            <w:vAlign w:val="center"/>
          </w:tcPr>
          <w:p w14:paraId="0E6F88A2" w14:textId="77777777" w:rsidR="00453978" w:rsidRPr="0027631D" w:rsidRDefault="00453978"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Salto de frecuencia</w:t>
            </w:r>
          </w:p>
        </w:tc>
        <w:tc>
          <w:tcPr>
            <w:tcW w:w="696" w:type="pct"/>
            <w:shd w:val="clear" w:color="auto" w:fill="auto"/>
            <w:vAlign w:val="center"/>
          </w:tcPr>
          <w:p w14:paraId="67D97582" w14:textId="77777777" w:rsidR="00453978" w:rsidRPr="0027631D" w:rsidRDefault="00453978"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Sin especificar</w:t>
            </w:r>
          </w:p>
        </w:tc>
        <w:tc>
          <w:tcPr>
            <w:tcW w:w="770" w:type="pct"/>
            <w:shd w:val="clear" w:color="auto" w:fill="auto"/>
            <w:vAlign w:val="center"/>
          </w:tcPr>
          <w:p w14:paraId="1C7DE115" w14:textId="77777777" w:rsidR="00453978" w:rsidRPr="0027631D" w:rsidRDefault="00453978"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25 kHz</w:t>
            </w:r>
          </w:p>
        </w:tc>
        <w:tc>
          <w:tcPr>
            <w:tcW w:w="743" w:type="pct"/>
            <w:shd w:val="clear" w:color="auto" w:fill="auto"/>
            <w:vAlign w:val="center"/>
          </w:tcPr>
          <w:p w14:paraId="2430A8D7" w14:textId="77777777" w:rsidR="00453978" w:rsidRPr="0027631D" w:rsidRDefault="00453978"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75, no traslapados</w:t>
            </w:r>
          </w:p>
        </w:tc>
        <w:tc>
          <w:tcPr>
            <w:tcW w:w="723" w:type="pct"/>
            <w:shd w:val="clear" w:color="auto" w:fill="auto"/>
            <w:vAlign w:val="center"/>
          </w:tcPr>
          <w:p w14:paraId="79C9FB25" w14:textId="77777777" w:rsidR="00453978" w:rsidRPr="0027631D" w:rsidRDefault="00453978"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0.4 s</w:t>
            </w:r>
          </w:p>
        </w:tc>
        <w:tc>
          <w:tcPr>
            <w:tcW w:w="723" w:type="pct"/>
            <w:shd w:val="clear" w:color="auto" w:fill="auto"/>
            <w:vAlign w:val="center"/>
          </w:tcPr>
          <w:p w14:paraId="54B4BFBD" w14:textId="77777777" w:rsidR="00453978" w:rsidRPr="0027631D" w:rsidRDefault="00453978"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(0.4 s) (N)</w:t>
            </w:r>
          </w:p>
        </w:tc>
        <w:tc>
          <w:tcPr>
            <w:tcW w:w="622" w:type="pct"/>
            <w:shd w:val="clear" w:color="auto" w:fill="auto"/>
            <w:vAlign w:val="center"/>
          </w:tcPr>
          <w:p w14:paraId="352C94E5" w14:textId="77777777" w:rsidR="00453978" w:rsidRPr="0027631D" w:rsidRDefault="00453978"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1 W</w:t>
            </w:r>
          </w:p>
        </w:tc>
      </w:tr>
      <w:tr w:rsidR="00506800" w:rsidRPr="0027631D" w14:paraId="7A65E867" w14:textId="77777777" w:rsidTr="00FF5B8A">
        <w:trPr>
          <w:jc w:val="right"/>
        </w:trPr>
        <w:tc>
          <w:tcPr>
            <w:tcW w:w="723" w:type="pct"/>
            <w:vMerge/>
            <w:shd w:val="clear" w:color="auto" w:fill="D9D9D9" w:themeFill="background1" w:themeFillShade="D9"/>
            <w:vAlign w:val="center"/>
          </w:tcPr>
          <w:p w14:paraId="10108081" w14:textId="77777777" w:rsidR="00453978" w:rsidRPr="0027631D" w:rsidRDefault="00453978" w:rsidP="0027631D">
            <w:pPr>
              <w:spacing w:after="0" w:line="23" w:lineRule="atLeast"/>
              <w:contextualSpacing/>
              <w:jc w:val="center"/>
              <w:rPr>
                <w:rFonts w:ascii="Arial" w:hAnsi="Arial" w:cs="Arial"/>
                <w:lang w:val="es-ES" w:eastAsia="es-MX"/>
              </w:rPr>
            </w:pPr>
          </w:p>
        </w:tc>
        <w:tc>
          <w:tcPr>
            <w:tcW w:w="696" w:type="pct"/>
            <w:shd w:val="clear" w:color="auto" w:fill="auto"/>
            <w:vAlign w:val="center"/>
          </w:tcPr>
          <w:p w14:paraId="641E97B3" w14:textId="77777777" w:rsidR="00453978" w:rsidRPr="0027631D" w:rsidRDefault="00453978"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Sin especificar</w:t>
            </w:r>
          </w:p>
        </w:tc>
        <w:tc>
          <w:tcPr>
            <w:tcW w:w="770" w:type="pct"/>
            <w:shd w:val="clear" w:color="auto" w:fill="auto"/>
            <w:vAlign w:val="center"/>
          </w:tcPr>
          <w:p w14:paraId="04AE88C5" w14:textId="77777777" w:rsidR="00453978" w:rsidRPr="0027631D" w:rsidRDefault="00453978"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25 kHz o 2/3 de la anchura de banda a 20 dB del canal de salto</w:t>
            </w:r>
            <w:r w:rsidR="00FC6B64" w:rsidRPr="0027631D">
              <w:rPr>
                <w:rFonts w:ascii="Arial" w:hAnsi="Arial" w:cs="Arial"/>
                <w:lang w:val="es-ES" w:eastAsia="es-MX"/>
              </w:rPr>
              <w:t>, la que resulte mayor</w:t>
            </w:r>
          </w:p>
        </w:tc>
        <w:tc>
          <w:tcPr>
            <w:tcW w:w="743" w:type="pct"/>
            <w:shd w:val="clear" w:color="auto" w:fill="auto"/>
            <w:vAlign w:val="center"/>
          </w:tcPr>
          <w:p w14:paraId="36C19FC5" w14:textId="77777777" w:rsidR="00453978" w:rsidRPr="0027631D" w:rsidRDefault="00453978"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15</w:t>
            </w:r>
          </w:p>
        </w:tc>
        <w:tc>
          <w:tcPr>
            <w:tcW w:w="723" w:type="pct"/>
            <w:shd w:val="clear" w:color="auto" w:fill="auto"/>
            <w:vAlign w:val="center"/>
          </w:tcPr>
          <w:p w14:paraId="3D1B16DE" w14:textId="77777777" w:rsidR="00453978" w:rsidRPr="0027631D" w:rsidRDefault="00453978"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0.4 s</w:t>
            </w:r>
          </w:p>
        </w:tc>
        <w:tc>
          <w:tcPr>
            <w:tcW w:w="723" w:type="pct"/>
            <w:shd w:val="clear" w:color="auto" w:fill="auto"/>
            <w:vAlign w:val="center"/>
          </w:tcPr>
          <w:p w14:paraId="5349155E" w14:textId="77777777" w:rsidR="00453978" w:rsidRPr="0027631D" w:rsidRDefault="00453978"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(0.4 s) (N)</w:t>
            </w:r>
          </w:p>
        </w:tc>
        <w:tc>
          <w:tcPr>
            <w:tcW w:w="622" w:type="pct"/>
            <w:shd w:val="clear" w:color="auto" w:fill="auto"/>
            <w:vAlign w:val="center"/>
          </w:tcPr>
          <w:p w14:paraId="35C5A55E" w14:textId="77777777" w:rsidR="00453978" w:rsidRPr="0027631D" w:rsidRDefault="00453978"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0.125 W</w:t>
            </w:r>
          </w:p>
        </w:tc>
      </w:tr>
    </w:tbl>
    <w:p w14:paraId="3291AEC8" w14:textId="663BB497" w:rsidR="00453978" w:rsidRPr="000A317A" w:rsidRDefault="00453978" w:rsidP="0027631D">
      <w:pPr>
        <w:pStyle w:val="Descripcin"/>
        <w:contextualSpacing/>
        <w:rPr>
          <w:i w:val="0"/>
          <w:sz w:val="22"/>
          <w:szCs w:val="22"/>
          <w:lang w:val="es-ES" w:eastAsia="es-MX"/>
        </w:rPr>
      </w:pPr>
      <w:bookmarkStart w:id="72" w:name="_Ref45453034"/>
      <w:bookmarkStart w:id="73" w:name="_Toc44669653"/>
      <w:bookmarkStart w:id="74" w:name="_Toc44946865"/>
      <w:bookmarkStart w:id="75" w:name="_Toc45105827"/>
      <w:bookmarkStart w:id="76" w:name="_Toc45105926"/>
      <w:bookmarkStart w:id="77" w:name="_Toc45112632"/>
      <w:bookmarkStart w:id="78" w:name="_Toc45115145"/>
      <w:bookmarkStart w:id="79" w:name="_Toc45119720"/>
      <w:bookmarkStart w:id="80" w:name="_Toc45217368"/>
      <w:bookmarkStart w:id="81" w:name="_Toc45226574"/>
      <w:bookmarkStart w:id="82" w:name="_Toc45226690"/>
      <w:bookmarkStart w:id="83" w:name="_Toc45274886"/>
      <w:bookmarkStart w:id="84" w:name="_Toc45274965"/>
      <w:bookmarkStart w:id="85" w:name="_Toc45279203"/>
      <w:bookmarkStart w:id="86" w:name="_Toc45305727"/>
      <w:bookmarkStart w:id="87" w:name="_Toc45364859"/>
      <w:bookmarkStart w:id="88" w:name="_Toc45381214"/>
      <w:bookmarkStart w:id="89" w:name="_Toc45452816"/>
      <w:bookmarkStart w:id="90" w:name="_Toc45452925"/>
      <w:r w:rsidRPr="000A317A">
        <w:rPr>
          <w:i w:val="0"/>
          <w:sz w:val="22"/>
          <w:szCs w:val="22"/>
        </w:rPr>
        <w:t xml:space="preserve">Tabla </w:t>
      </w:r>
      <w:r w:rsidR="008010AD" w:rsidRPr="000A317A">
        <w:rPr>
          <w:i w:val="0"/>
          <w:sz w:val="22"/>
          <w:szCs w:val="22"/>
        </w:rPr>
        <w:fldChar w:fldCharType="begin"/>
      </w:r>
      <w:r w:rsidR="008010AD" w:rsidRPr="000A317A">
        <w:rPr>
          <w:i w:val="0"/>
          <w:sz w:val="22"/>
          <w:szCs w:val="22"/>
        </w:rPr>
        <w:instrText xml:space="preserve"> SEQ Tabla \* ARABIC </w:instrText>
      </w:r>
      <w:r w:rsidR="008010AD" w:rsidRPr="000A317A">
        <w:rPr>
          <w:i w:val="0"/>
          <w:sz w:val="22"/>
          <w:szCs w:val="22"/>
        </w:rPr>
        <w:fldChar w:fldCharType="separate"/>
      </w:r>
      <w:r w:rsidR="004F1EA3">
        <w:rPr>
          <w:i w:val="0"/>
          <w:noProof/>
          <w:sz w:val="22"/>
          <w:szCs w:val="22"/>
        </w:rPr>
        <w:t>5</w:t>
      </w:r>
      <w:r w:rsidR="008010AD" w:rsidRPr="000A317A">
        <w:rPr>
          <w:i w:val="0"/>
          <w:noProof/>
          <w:sz w:val="22"/>
          <w:szCs w:val="22"/>
        </w:rPr>
        <w:fldChar w:fldCharType="end"/>
      </w:r>
      <w:bookmarkEnd w:id="72"/>
      <w:r w:rsidRPr="000A317A">
        <w:rPr>
          <w:i w:val="0"/>
          <w:sz w:val="22"/>
          <w:szCs w:val="22"/>
        </w:rPr>
        <w:t>.</w:t>
      </w:r>
      <w:r w:rsidRPr="000A317A">
        <w:rPr>
          <w:i w:val="0"/>
          <w:sz w:val="22"/>
          <w:szCs w:val="22"/>
          <w:lang w:val="es-ES" w:eastAsia="es-MX"/>
        </w:rPr>
        <w:t xml:space="preserve"> Especificaciones para los sistemas por salto de frecuencia</w:t>
      </w:r>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0A317A">
        <w:rPr>
          <w:i w:val="0"/>
          <w:sz w:val="22"/>
          <w:szCs w:val="22"/>
          <w:lang w:val="es-ES" w:eastAsia="es-MX"/>
        </w:rPr>
        <w:t xml:space="preserve"> establecidas en la </w:t>
      </w:r>
      <w:r w:rsidRPr="000A317A">
        <w:rPr>
          <w:i w:val="0"/>
          <w:sz w:val="22"/>
          <w:szCs w:val="22"/>
          <w:lang w:eastAsia="es-MX"/>
        </w:rPr>
        <w:t>DT IFT-008-2015</w:t>
      </w:r>
      <w:bookmarkEnd w:id="87"/>
      <w:bookmarkEnd w:id="88"/>
      <w:bookmarkEnd w:id="89"/>
      <w:bookmarkEnd w:id="90"/>
    </w:p>
    <w:p w14:paraId="19EAEFC6" w14:textId="77777777" w:rsidR="00453978" w:rsidRPr="0027631D" w:rsidRDefault="00453978" w:rsidP="0027631D">
      <w:pPr>
        <w:spacing w:after="0" w:line="23" w:lineRule="atLeast"/>
        <w:contextualSpacing/>
        <w:jc w:val="both"/>
        <w:rPr>
          <w:rFonts w:ascii="Arial" w:hAnsi="Arial" w:cs="Arial"/>
          <w:lang w:val="es-ES" w:eastAsia="es-MX"/>
        </w:rPr>
      </w:pPr>
    </w:p>
    <w:p w14:paraId="64FD2C7C" w14:textId="77777777" w:rsidR="00453978" w:rsidRPr="0027631D" w:rsidRDefault="00453978" w:rsidP="0027631D">
      <w:pPr>
        <w:spacing w:after="0" w:line="23" w:lineRule="atLeast"/>
        <w:contextualSpacing/>
        <w:jc w:val="both"/>
        <w:rPr>
          <w:rFonts w:ascii="Arial" w:hAnsi="Arial" w:cs="Arial"/>
          <w:lang w:val="es-ES" w:eastAsia="es-MX"/>
        </w:rPr>
      </w:pPr>
      <w:r w:rsidRPr="0027631D">
        <w:rPr>
          <w:rFonts w:ascii="Arial" w:hAnsi="Arial" w:cs="Arial"/>
          <w:lang w:val="es-ES" w:eastAsia="es-MX"/>
        </w:rPr>
        <w:t>No se omite mencionar que, en el caso de los sistemas del tipo de salto de frecuencia que operen en la banda 2400-2483.5 MHz y que usen al menos 15 canales de salto, podrán evitarse o suprimirse transmisiones en alguna frecuencia particular de salteo, siempre y cuando se mantengan en uso al menos 15 canales de salto.</w:t>
      </w:r>
    </w:p>
    <w:p w14:paraId="5FA07BAB" w14:textId="77777777" w:rsidR="00453978" w:rsidRPr="0027631D" w:rsidRDefault="00453978" w:rsidP="0027631D">
      <w:pPr>
        <w:spacing w:after="0" w:line="23" w:lineRule="atLeast"/>
        <w:contextualSpacing/>
        <w:jc w:val="both"/>
        <w:rPr>
          <w:rFonts w:ascii="Arial" w:hAnsi="Arial" w:cs="Arial"/>
          <w:lang w:val="es-ES" w:eastAsia="es-MX"/>
        </w:rPr>
      </w:pPr>
    </w:p>
    <w:p w14:paraId="2AB53B2B" w14:textId="77777777" w:rsidR="00453978" w:rsidRPr="0027631D" w:rsidRDefault="00453978" w:rsidP="0027631D">
      <w:pPr>
        <w:spacing w:after="0" w:line="23" w:lineRule="atLeast"/>
        <w:contextualSpacing/>
        <w:jc w:val="both"/>
        <w:rPr>
          <w:rFonts w:ascii="Arial" w:hAnsi="Arial" w:cs="Arial"/>
          <w:lang w:val="es-ES" w:eastAsia="es-MX"/>
        </w:rPr>
      </w:pPr>
      <w:r w:rsidRPr="0027631D">
        <w:rPr>
          <w:rFonts w:ascii="Arial" w:hAnsi="Arial" w:cs="Arial"/>
          <w:lang w:val="es-ES" w:eastAsia="es-MX"/>
        </w:rPr>
        <w:t xml:space="preserve">Por otro lado, las especificaciones que deben cumplir los equipos de radiocomunicación </w:t>
      </w:r>
      <w:r w:rsidRPr="0027631D">
        <w:rPr>
          <w:rFonts w:ascii="Arial" w:hAnsi="Arial" w:cs="Arial"/>
          <w:u w:val="single"/>
          <w:lang w:val="es-ES" w:eastAsia="es-MX"/>
        </w:rPr>
        <w:t>del tipo de modulación digital</w:t>
      </w:r>
      <w:r w:rsidRPr="0027631D">
        <w:rPr>
          <w:rFonts w:ascii="Arial" w:hAnsi="Arial" w:cs="Arial"/>
          <w:lang w:val="es-ES" w:eastAsia="es-MX"/>
        </w:rPr>
        <w:t xml:space="preserve"> se muestran en la tabla siguiente:</w:t>
      </w:r>
    </w:p>
    <w:p w14:paraId="05ABB79E" w14:textId="77777777" w:rsidR="00453978" w:rsidRPr="0027631D" w:rsidRDefault="00453978" w:rsidP="0027631D">
      <w:pPr>
        <w:spacing w:after="0" w:line="23" w:lineRule="atLeast"/>
        <w:contextualSpacing/>
        <w:jc w:val="both"/>
        <w:rPr>
          <w:rFonts w:ascii="Arial" w:hAnsi="Arial" w:cs="Arial"/>
          <w:lang w:val="es-ES" w:eastAsia="es-MX"/>
        </w:rPr>
      </w:pPr>
    </w:p>
    <w:tbl>
      <w:tblPr>
        <w:tblStyle w:val="Tablaconcuadrcula"/>
        <w:tblW w:w="5000" w:type="pct"/>
        <w:jc w:val="right"/>
        <w:tblCellMar>
          <w:left w:w="85" w:type="dxa"/>
          <w:right w:w="85" w:type="dxa"/>
        </w:tblCellMar>
        <w:tblLook w:val="04A0" w:firstRow="1" w:lastRow="0" w:firstColumn="1" w:lastColumn="0" w:noHBand="0" w:noVBand="1"/>
      </w:tblPr>
      <w:tblGrid>
        <w:gridCol w:w="1858"/>
        <w:gridCol w:w="1862"/>
        <w:gridCol w:w="1930"/>
        <w:gridCol w:w="3744"/>
      </w:tblGrid>
      <w:tr w:rsidR="00575BDB" w:rsidRPr="0027631D" w14:paraId="2D4C4DCE" w14:textId="77777777" w:rsidTr="00575BDB">
        <w:trPr>
          <w:trHeight w:val="408"/>
          <w:jc w:val="right"/>
        </w:trPr>
        <w:tc>
          <w:tcPr>
            <w:tcW w:w="989" w:type="pct"/>
            <w:shd w:val="clear" w:color="auto" w:fill="D9D9D9" w:themeFill="background1" w:themeFillShade="D9"/>
            <w:vAlign w:val="center"/>
          </w:tcPr>
          <w:p w14:paraId="27AFD775" w14:textId="77777777" w:rsidR="00453978" w:rsidRPr="0027631D" w:rsidRDefault="00453978"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Tipo sistema</w:t>
            </w:r>
          </w:p>
        </w:tc>
        <w:tc>
          <w:tcPr>
            <w:tcW w:w="991" w:type="pct"/>
            <w:shd w:val="clear" w:color="auto" w:fill="D9D9D9" w:themeFill="background1" w:themeFillShade="D9"/>
            <w:vAlign w:val="center"/>
          </w:tcPr>
          <w:p w14:paraId="1FE959AE" w14:textId="77777777" w:rsidR="00453978" w:rsidRPr="0027631D" w:rsidRDefault="00453978"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Anchura de banda mínimo de RF</w:t>
            </w:r>
          </w:p>
        </w:tc>
        <w:tc>
          <w:tcPr>
            <w:tcW w:w="1027" w:type="pct"/>
            <w:shd w:val="clear" w:color="auto" w:fill="D9D9D9" w:themeFill="background1" w:themeFillShade="D9"/>
            <w:vAlign w:val="center"/>
          </w:tcPr>
          <w:p w14:paraId="56222833" w14:textId="77777777" w:rsidR="00453978" w:rsidRPr="0027631D" w:rsidRDefault="00453978"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 xml:space="preserve">Potencia pico de salida </w:t>
            </w:r>
            <w:r w:rsidRPr="0027631D" w:rsidDel="00D752A6">
              <w:rPr>
                <w:rFonts w:ascii="Arial" w:hAnsi="Arial" w:cs="Arial"/>
                <w:b/>
                <w:lang w:val="es-ES" w:eastAsia="es-MX"/>
              </w:rPr>
              <w:t xml:space="preserve">máxima </w:t>
            </w:r>
            <w:r w:rsidRPr="0027631D">
              <w:rPr>
                <w:rFonts w:ascii="Arial" w:hAnsi="Arial" w:cs="Arial"/>
                <w:b/>
                <w:lang w:val="es-ES" w:eastAsia="es-MX"/>
              </w:rPr>
              <w:t>del transmisor</w:t>
            </w:r>
          </w:p>
        </w:tc>
        <w:tc>
          <w:tcPr>
            <w:tcW w:w="1993" w:type="pct"/>
            <w:shd w:val="clear" w:color="auto" w:fill="D9D9D9" w:themeFill="background1" w:themeFillShade="D9"/>
            <w:vAlign w:val="center"/>
          </w:tcPr>
          <w:p w14:paraId="776D0B02" w14:textId="77777777" w:rsidR="00453978" w:rsidRPr="0027631D" w:rsidRDefault="00453978"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Densidad espectral de potencia del transmisor conducida a la antena</w:t>
            </w:r>
          </w:p>
        </w:tc>
      </w:tr>
      <w:tr w:rsidR="00575BDB" w:rsidRPr="0027631D" w14:paraId="35A4965A" w14:textId="77777777" w:rsidTr="00FF5B8A">
        <w:trPr>
          <w:trHeight w:val="501"/>
          <w:jc w:val="right"/>
        </w:trPr>
        <w:tc>
          <w:tcPr>
            <w:tcW w:w="989" w:type="pct"/>
            <w:shd w:val="clear" w:color="auto" w:fill="D9D9D9" w:themeFill="background1" w:themeFillShade="D9"/>
            <w:vAlign w:val="center"/>
          </w:tcPr>
          <w:p w14:paraId="635197E6" w14:textId="77777777" w:rsidR="00453978" w:rsidRPr="0027631D" w:rsidRDefault="00453978"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Modulación digital</w:t>
            </w:r>
          </w:p>
        </w:tc>
        <w:tc>
          <w:tcPr>
            <w:tcW w:w="991" w:type="pct"/>
            <w:shd w:val="clear" w:color="auto" w:fill="auto"/>
            <w:vAlign w:val="center"/>
          </w:tcPr>
          <w:p w14:paraId="4C3D3802" w14:textId="77777777" w:rsidR="00453978" w:rsidRPr="0027631D" w:rsidRDefault="00453978"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500 kHz para un canal de 6 dB</w:t>
            </w:r>
          </w:p>
        </w:tc>
        <w:tc>
          <w:tcPr>
            <w:tcW w:w="1027" w:type="pct"/>
            <w:shd w:val="clear" w:color="auto" w:fill="auto"/>
            <w:vAlign w:val="center"/>
          </w:tcPr>
          <w:p w14:paraId="639A7C51" w14:textId="77777777" w:rsidR="00453978" w:rsidRPr="0027631D" w:rsidRDefault="00453978"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1 W</w:t>
            </w:r>
          </w:p>
        </w:tc>
        <w:tc>
          <w:tcPr>
            <w:tcW w:w="1993" w:type="pct"/>
            <w:shd w:val="clear" w:color="auto" w:fill="auto"/>
            <w:vAlign w:val="center"/>
          </w:tcPr>
          <w:p w14:paraId="38A0163A" w14:textId="77777777" w:rsidR="00453978" w:rsidRPr="0027631D" w:rsidRDefault="00453978"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8 dBm en cualquier segmento de 3 kHz</w:t>
            </w:r>
          </w:p>
          <w:p w14:paraId="70819100" w14:textId="77777777" w:rsidR="00453978" w:rsidRPr="0027631D" w:rsidRDefault="00453978"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en cualquier intervalo de transmisión continua o sobre 1.0 segundo si la transmisión excede a la duración de 1.0 segundo.</w:t>
            </w:r>
          </w:p>
        </w:tc>
      </w:tr>
    </w:tbl>
    <w:p w14:paraId="0628BD29" w14:textId="7BFCBBC9" w:rsidR="00453978" w:rsidRPr="000A317A" w:rsidRDefault="00453978" w:rsidP="0027631D">
      <w:pPr>
        <w:pStyle w:val="Descripcin"/>
        <w:contextualSpacing/>
        <w:rPr>
          <w:i w:val="0"/>
          <w:sz w:val="22"/>
          <w:szCs w:val="22"/>
          <w:lang w:val="es-ES" w:eastAsia="es-MX"/>
        </w:rPr>
      </w:pPr>
      <w:bookmarkStart w:id="91" w:name="_Ref45183101"/>
      <w:bookmarkStart w:id="92" w:name="_Toc44669654"/>
      <w:bookmarkStart w:id="93" w:name="_Toc44946866"/>
      <w:bookmarkStart w:id="94" w:name="_Toc45105828"/>
      <w:bookmarkStart w:id="95" w:name="_Toc45105927"/>
      <w:bookmarkStart w:id="96" w:name="_Toc45112633"/>
      <w:bookmarkStart w:id="97" w:name="_Toc45115146"/>
      <w:bookmarkStart w:id="98" w:name="_Toc45119721"/>
      <w:bookmarkStart w:id="99" w:name="_Toc45217369"/>
      <w:bookmarkStart w:id="100" w:name="_Toc45226575"/>
      <w:bookmarkStart w:id="101" w:name="_Toc45226691"/>
      <w:bookmarkStart w:id="102" w:name="_Toc45274887"/>
      <w:bookmarkStart w:id="103" w:name="_Toc45274966"/>
      <w:bookmarkStart w:id="104" w:name="_Toc45279204"/>
      <w:bookmarkStart w:id="105" w:name="_Toc45305728"/>
      <w:bookmarkStart w:id="106" w:name="_Toc45364860"/>
      <w:bookmarkStart w:id="107" w:name="_Toc45381215"/>
      <w:bookmarkStart w:id="108" w:name="_Toc45452817"/>
      <w:bookmarkStart w:id="109" w:name="_Toc45452926"/>
      <w:r w:rsidRPr="000A317A">
        <w:rPr>
          <w:i w:val="0"/>
          <w:sz w:val="22"/>
          <w:szCs w:val="22"/>
        </w:rPr>
        <w:t xml:space="preserve">Tabla </w:t>
      </w:r>
      <w:r w:rsidR="008010AD" w:rsidRPr="000A317A">
        <w:rPr>
          <w:i w:val="0"/>
          <w:sz w:val="22"/>
          <w:szCs w:val="22"/>
        </w:rPr>
        <w:fldChar w:fldCharType="begin"/>
      </w:r>
      <w:r w:rsidR="008010AD" w:rsidRPr="000A317A">
        <w:rPr>
          <w:i w:val="0"/>
          <w:sz w:val="22"/>
          <w:szCs w:val="22"/>
        </w:rPr>
        <w:instrText xml:space="preserve"> SEQ Tabla \* ARABIC </w:instrText>
      </w:r>
      <w:r w:rsidR="008010AD" w:rsidRPr="000A317A">
        <w:rPr>
          <w:i w:val="0"/>
          <w:sz w:val="22"/>
          <w:szCs w:val="22"/>
        </w:rPr>
        <w:fldChar w:fldCharType="separate"/>
      </w:r>
      <w:r w:rsidR="004F1EA3">
        <w:rPr>
          <w:i w:val="0"/>
          <w:noProof/>
          <w:sz w:val="22"/>
          <w:szCs w:val="22"/>
        </w:rPr>
        <w:t>6</w:t>
      </w:r>
      <w:r w:rsidR="008010AD" w:rsidRPr="000A317A">
        <w:rPr>
          <w:i w:val="0"/>
          <w:noProof/>
          <w:sz w:val="22"/>
          <w:szCs w:val="22"/>
        </w:rPr>
        <w:fldChar w:fldCharType="end"/>
      </w:r>
      <w:bookmarkEnd w:id="91"/>
      <w:r w:rsidRPr="000A317A">
        <w:rPr>
          <w:i w:val="0"/>
          <w:sz w:val="22"/>
          <w:szCs w:val="22"/>
        </w:rPr>
        <w:t xml:space="preserve">. </w:t>
      </w:r>
      <w:r w:rsidRPr="000A317A">
        <w:rPr>
          <w:i w:val="0"/>
          <w:sz w:val="22"/>
          <w:szCs w:val="22"/>
          <w:lang w:val="es-ES" w:eastAsia="es-MX"/>
        </w:rPr>
        <w:t xml:space="preserve">Especificaciones para los sistemas </w:t>
      </w:r>
      <w:r w:rsidRPr="000A317A" w:rsidDel="003A6417">
        <w:rPr>
          <w:i w:val="0"/>
          <w:sz w:val="22"/>
          <w:szCs w:val="22"/>
          <w:lang w:val="es-ES" w:eastAsia="es-MX"/>
        </w:rPr>
        <w:t xml:space="preserve">de </w:t>
      </w:r>
      <w:r w:rsidRPr="000A317A">
        <w:rPr>
          <w:i w:val="0"/>
          <w:sz w:val="22"/>
          <w:szCs w:val="22"/>
          <w:lang w:val="es-ES" w:eastAsia="es-MX"/>
        </w:rPr>
        <w:t>modulación digital</w:t>
      </w:r>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0A317A">
        <w:rPr>
          <w:i w:val="0"/>
          <w:sz w:val="22"/>
          <w:szCs w:val="22"/>
          <w:lang w:val="es-ES" w:eastAsia="es-MX"/>
        </w:rPr>
        <w:t xml:space="preserve"> establecidas en la </w:t>
      </w:r>
      <w:r w:rsidRPr="000A317A">
        <w:rPr>
          <w:i w:val="0"/>
          <w:sz w:val="22"/>
          <w:szCs w:val="22"/>
          <w:lang w:eastAsia="es-MX"/>
        </w:rPr>
        <w:t>DT IFT-008-2015</w:t>
      </w:r>
      <w:bookmarkEnd w:id="106"/>
      <w:bookmarkEnd w:id="107"/>
      <w:bookmarkEnd w:id="108"/>
      <w:bookmarkEnd w:id="109"/>
    </w:p>
    <w:p w14:paraId="63ED85CA" w14:textId="77777777" w:rsidR="00453978" w:rsidRPr="0027631D" w:rsidRDefault="00453978" w:rsidP="0027631D">
      <w:pPr>
        <w:spacing w:after="0" w:line="23" w:lineRule="atLeast"/>
        <w:contextualSpacing/>
        <w:jc w:val="both"/>
        <w:rPr>
          <w:rFonts w:ascii="Arial" w:hAnsi="Arial" w:cs="Arial"/>
          <w:lang w:val="es-ES" w:eastAsia="es-MX"/>
        </w:rPr>
      </w:pPr>
    </w:p>
    <w:p w14:paraId="2A32838E" w14:textId="77777777" w:rsidR="00453978" w:rsidRPr="0027631D" w:rsidRDefault="00453978" w:rsidP="0027631D">
      <w:pPr>
        <w:spacing w:after="0" w:line="23" w:lineRule="atLeast"/>
        <w:contextualSpacing/>
        <w:jc w:val="both"/>
        <w:rPr>
          <w:rFonts w:ascii="Arial" w:hAnsi="Arial" w:cs="Arial"/>
        </w:rPr>
      </w:pPr>
      <w:r w:rsidRPr="0027631D">
        <w:rPr>
          <w:rFonts w:ascii="Arial" w:hAnsi="Arial" w:cs="Arial"/>
        </w:rPr>
        <w:t xml:space="preserve">Aunado a lo anterior, las especificaciones que deben cumplir los equipos de radiocomunicación </w:t>
      </w:r>
      <w:r w:rsidRPr="0027631D">
        <w:rPr>
          <w:rFonts w:ascii="Arial" w:hAnsi="Arial" w:cs="Arial"/>
          <w:u w:val="single"/>
        </w:rPr>
        <w:t>del tipo híbrido</w:t>
      </w:r>
      <w:r w:rsidRPr="0027631D">
        <w:rPr>
          <w:rFonts w:ascii="Arial" w:hAnsi="Arial" w:cs="Arial"/>
        </w:rPr>
        <w:t xml:space="preserve"> que emplean una combinación de salto de frecuencias y técnicas de modulación digital, son las siguientes:</w:t>
      </w:r>
    </w:p>
    <w:p w14:paraId="6EEDAB03" w14:textId="77777777" w:rsidR="00453978" w:rsidRPr="0027631D" w:rsidRDefault="00453978" w:rsidP="0027631D">
      <w:pPr>
        <w:spacing w:after="0" w:line="23" w:lineRule="atLeast"/>
        <w:contextualSpacing/>
        <w:jc w:val="both"/>
        <w:rPr>
          <w:rFonts w:ascii="Arial" w:hAnsi="Arial" w:cs="Arial"/>
        </w:rPr>
      </w:pPr>
    </w:p>
    <w:p w14:paraId="2EC6766C" w14:textId="77777777" w:rsidR="00453978" w:rsidRPr="0027631D" w:rsidRDefault="00453978" w:rsidP="00E36991">
      <w:pPr>
        <w:pStyle w:val="Prrafodelista"/>
        <w:numPr>
          <w:ilvl w:val="0"/>
          <w:numId w:val="5"/>
        </w:numPr>
        <w:spacing w:line="23" w:lineRule="atLeast"/>
        <w:ind w:left="567" w:hanging="425"/>
        <w:contextualSpacing/>
        <w:jc w:val="both"/>
        <w:rPr>
          <w:rFonts w:cs="Arial"/>
          <w:sz w:val="22"/>
          <w:szCs w:val="22"/>
        </w:rPr>
      </w:pPr>
      <w:r w:rsidRPr="0027631D">
        <w:rPr>
          <w:rFonts w:cs="Arial"/>
          <w:sz w:val="22"/>
          <w:szCs w:val="22"/>
        </w:rPr>
        <w:t>Con la parte de modulación digital apagada, la operación de salto de frecuencia cumplirá con el tiempo promedio de ocupación de cualquier canal de salto por periodo no excederá de 0.4 s dentro de un periodo en segundos igual al número de canales de salto empleado por 0.4.</w:t>
      </w:r>
    </w:p>
    <w:p w14:paraId="0EB9C91B" w14:textId="77777777" w:rsidR="00453978" w:rsidRPr="0027631D" w:rsidRDefault="00453978" w:rsidP="0027631D">
      <w:pPr>
        <w:spacing w:after="0" w:line="23" w:lineRule="atLeast"/>
        <w:ind w:left="567" w:hanging="425"/>
        <w:contextualSpacing/>
        <w:jc w:val="both"/>
        <w:rPr>
          <w:rFonts w:ascii="Arial" w:hAnsi="Arial" w:cs="Arial"/>
        </w:rPr>
      </w:pPr>
    </w:p>
    <w:p w14:paraId="0864C94F" w14:textId="77777777" w:rsidR="00453978" w:rsidRPr="0027631D" w:rsidRDefault="00453978" w:rsidP="00E36991">
      <w:pPr>
        <w:pStyle w:val="Prrafodelista"/>
        <w:numPr>
          <w:ilvl w:val="0"/>
          <w:numId w:val="5"/>
        </w:numPr>
        <w:spacing w:line="23" w:lineRule="atLeast"/>
        <w:ind w:left="567" w:hanging="425"/>
        <w:contextualSpacing/>
        <w:jc w:val="both"/>
        <w:rPr>
          <w:rFonts w:cs="Arial"/>
          <w:sz w:val="22"/>
          <w:szCs w:val="22"/>
        </w:rPr>
      </w:pPr>
      <w:r w:rsidRPr="0027631D">
        <w:rPr>
          <w:rFonts w:cs="Arial"/>
          <w:sz w:val="22"/>
          <w:szCs w:val="22"/>
        </w:rPr>
        <w:lastRenderedPageBreak/>
        <w:t xml:space="preserve">Con la parte de salto de frecuencia apagada, deberá cumplirse con la densidad espectral establecida en </w:t>
      </w:r>
      <w:r w:rsidR="00BF4D0B" w:rsidRPr="0027631D">
        <w:rPr>
          <w:rFonts w:cs="Arial"/>
          <w:sz w:val="22"/>
          <w:szCs w:val="22"/>
        </w:rPr>
        <w:t>la tabla</w:t>
      </w:r>
      <w:r w:rsidRPr="0027631D">
        <w:rPr>
          <w:rFonts w:cs="Arial"/>
          <w:sz w:val="22"/>
          <w:szCs w:val="22"/>
        </w:rPr>
        <w:t xml:space="preserve"> anterior.</w:t>
      </w:r>
    </w:p>
    <w:p w14:paraId="1D8B8D87" w14:textId="77777777" w:rsidR="00872295" w:rsidRPr="0027631D" w:rsidRDefault="00872295" w:rsidP="0027631D">
      <w:pPr>
        <w:pStyle w:val="Prrafodelista"/>
        <w:suppressAutoHyphens/>
        <w:spacing w:line="23" w:lineRule="atLeast"/>
        <w:ind w:left="0" w:right="49"/>
        <w:contextualSpacing/>
        <w:jc w:val="both"/>
        <w:rPr>
          <w:rFonts w:cs="Arial"/>
          <w:color w:val="000000" w:themeColor="text1"/>
          <w:kern w:val="1"/>
          <w:sz w:val="22"/>
          <w:szCs w:val="22"/>
          <w:lang w:eastAsia="ar-SA"/>
        </w:rPr>
      </w:pPr>
    </w:p>
    <w:p w14:paraId="0DC145DE" w14:textId="77777777" w:rsidR="002E2D11" w:rsidRPr="0027631D" w:rsidRDefault="002E2D11" w:rsidP="0027631D">
      <w:pPr>
        <w:pStyle w:val="Prrafodelista"/>
        <w:suppressAutoHyphens/>
        <w:spacing w:line="23" w:lineRule="atLeast"/>
        <w:ind w:left="0" w:right="49"/>
        <w:contextualSpacing/>
        <w:jc w:val="both"/>
        <w:rPr>
          <w:rFonts w:cs="Arial"/>
          <w:sz w:val="22"/>
          <w:szCs w:val="22"/>
        </w:rPr>
      </w:pPr>
      <w:r w:rsidRPr="0027631D">
        <w:rPr>
          <w:rFonts w:cs="Arial"/>
          <w:color w:val="000000" w:themeColor="text1"/>
          <w:kern w:val="1"/>
          <w:sz w:val="22"/>
          <w:szCs w:val="22"/>
          <w:lang w:eastAsia="ar-SA"/>
        </w:rPr>
        <w:t>En el ámbito internacional, la banda 2</w:t>
      </w:r>
      <w:r w:rsidR="00121481" w:rsidRPr="0027631D">
        <w:rPr>
          <w:rFonts w:cs="Arial"/>
          <w:color w:val="000000" w:themeColor="text1"/>
          <w:kern w:val="1"/>
          <w:sz w:val="22"/>
          <w:szCs w:val="22"/>
          <w:lang w:eastAsia="ar-SA"/>
        </w:rPr>
        <w:t>.</w:t>
      </w:r>
      <w:r w:rsidRPr="0027631D">
        <w:rPr>
          <w:rFonts w:cs="Arial"/>
          <w:color w:val="000000" w:themeColor="text1"/>
          <w:kern w:val="1"/>
          <w:sz w:val="22"/>
          <w:szCs w:val="22"/>
          <w:lang w:eastAsia="ar-SA"/>
        </w:rPr>
        <w:t xml:space="preserve">4 </w:t>
      </w:r>
      <w:r w:rsidR="00121481" w:rsidRPr="0027631D">
        <w:rPr>
          <w:rFonts w:cs="Arial"/>
          <w:color w:val="000000" w:themeColor="text1"/>
          <w:kern w:val="1"/>
          <w:sz w:val="22"/>
          <w:szCs w:val="22"/>
          <w:lang w:eastAsia="ar-SA"/>
        </w:rPr>
        <w:t>G</w:t>
      </w:r>
      <w:r w:rsidRPr="0027631D">
        <w:rPr>
          <w:rFonts w:cs="Arial"/>
          <w:color w:val="000000" w:themeColor="text1"/>
          <w:kern w:val="1"/>
          <w:sz w:val="22"/>
          <w:szCs w:val="22"/>
          <w:lang w:eastAsia="ar-SA"/>
        </w:rPr>
        <w:t xml:space="preserve">Hz se convirtió en una banda de interés para organizaciones internacionales, grupos de estandarización y para consorcios fabricantes de equipos o sistemas de comunicación. A este respecto, la </w:t>
      </w:r>
      <w:r w:rsidRPr="0027631D">
        <w:rPr>
          <w:rFonts w:cs="Arial"/>
          <w:sz w:val="22"/>
          <w:szCs w:val="22"/>
        </w:rPr>
        <w:t xml:space="preserve">UIT, a través de su Recomendación SM.1896-1 </w:t>
      </w:r>
      <w:r w:rsidRPr="00011C2F">
        <w:rPr>
          <w:rFonts w:cs="Arial"/>
          <w:sz w:val="22"/>
          <w:szCs w:val="22"/>
        </w:rPr>
        <w:t>“</w:t>
      </w:r>
      <w:r w:rsidRPr="000A317A">
        <w:rPr>
          <w:rFonts w:cs="Arial"/>
          <w:sz w:val="22"/>
          <w:szCs w:val="22"/>
        </w:rPr>
        <w:t>Rangos de frecuencia para la armonización mundial o regional de los dispositivos de corto alcance”</w:t>
      </w:r>
      <w:r w:rsidRPr="000A317A">
        <w:rPr>
          <w:rStyle w:val="Refdenotaalpie"/>
          <w:rFonts w:cs="Arial"/>
          <w:sz w:val="22"/>
          <w:szCs w:val="22"/>
        </w:rPr>
        <w:footnoteReference w:id="15"/>
      </w:r>
      <w:r w:rsidRPr="00011C2F">
        <w:rPr>
          <w:rFonts w:cs="Arial"/>
          <w:sz w:val="22"/>
          <w:szCs w:val="22"/>
        </w:rPr>
        <w:t>,</w:t>
      </w:r>
      <w:r w:rsidRPr="0027631D">
        <w:rPr>
          <w:rFonts w:cs="Arial"/>
          <w:sz w:val="22"/>
          <w:szCs w:val="22"/>
        </w:rPr>
        <w:t xml:space="preserve"> e Informe </w:t>
      </w:r>
      <w:r w:rsidR="003831FE" w:rsidRPr="0027631D">
        <w:rPr>
          <w:rFonts w:cs="Arial"/>
          <w:sz w:val="22"/>
          <w:szCs w:val="22"/>
        </w:rPr>
        <w:t xml:space="preserve">UIT-R </w:t>
      </w:r>
      <w:r w:rsidRPr="0027631D">
        <w:rPr>
          <w:rFonts w:cs="Arial"/>
          <w:sz w:val="22"/>
          <w:szCs w:val="22"/>
        </w:rPr>
        <w:t xml:space="preserve">SM-2153-7 </w:t>
      </w:r>
      <w:r w:rsidRPr="000A317A">
        <w:rPr>
          <w:rFonts w:cs="Arial"/>
          <w:sz w:val="22"/>
          <w:szCs w:val="22"/>
        </w:rPr>
        <w:t>“Parámetros técnicos y de funcionamiento de los dispositivos de radiocomunicaciones de corto alcance y utilización del espectro por los mismos”</w:t>
      </w:r>
      <w:r w:rsidRPr="000A317A">
        <w:rPr>
          <w:rStyle w:val="Refdenotaalpie"/>
          <w:rFonts w:cs="Arial"/>
          <w:sz w:val="22"/>
          <w:szCs w:val="22"/>
        </w:rPr>
        <w:footnoteReference w:id="16"/>
      </w:r>
      <w:r w:rsidRPr="0058378B">
        <w:rPr>
          <w:rFonts w:cs="Arial"/>
          <w:sz w:val="22"/>
          <w:szCs w:val="22"/>
        </w:rPr>
        <w:t>,</w:t>
      </w:r>
      <w:r w:rsidRPr="0027631D">
        <w:rPr>
          <w:rFonts w:cs="Arial"/>
          <w:sz w:val="22"/>
          <w:szCs w:val="22"/>
        </w:rPr>
        <w:t xml:space="preserve"> indica que el rango de frecuencias 2400-2483.5 MHz puede ser empleado para sistemas de </w:t>
      </w:r>
      <w:r w:rsidR="00BF4D0B" w:rsidRPr="0027631D">
        <w:rPr>
          <w:rFonts w:cs="Arial"/>
          <w:sz w:val="22"/>
          <w:szCs w:val="22"/>
        </w:rPr>
        <w:t>DRCA</w:t>
      </w:r>
      <w:r w:rsidRPr="0027631D">
        <w:rPr>
          <w:rFonts w:cs="Arial"/>
          <w:sz w:val="22"/>
          <w:szCs w:val="22"/>
        </w:rPr>
        <w:t xml:space="preserve">. Así como mediante la Recomendación UIT-R SM.1056-1 </w:t>
      </w:r>
      <w:r w:rsidRPr="000A317A">
        <w:rPr>
          <w:rFonts w:cs="Arial"/>
          <w:sz w:val="22"/>
          <w:szCs w:val="22"/>
        </w:rPr>
        <w:t>“Limitación de las radiaciones procedentes de equipos industriales, científicos y médicos (ICM)”</w:t>
      </w:r>
      <w:r w:rsidRPr="000A317A">
        <w:rPr>
          <w:rStyle w:val="Refdenotaalpie"/>
          <w:rFonts w:cs="Arial"/>
          <w:sz w:val="22"/>
          <w:szCs w:val="22"/>
        </w:rPr>
        <w:footnoteReference w:id="17"/>
      </w:r>
      <w:r w:rsidRPr="0027631D">
        <w:rPr>
          <w:rFonts w:cs="Arial"/>
          <w:sz w:val="22"/>
          <w:szCs w:val="22"/>
        </w:rPr>
        <w:t>, en donde se presentan los límites de radiación de diversos dispositivos ICM que pueden operar en la banda de frecuencias objeto del presente.</w:t>
      </w:r>
    </w:p>
    <w:p w14:paraId="4AA2169C" w14:textId="77777777" w:rsidR="00A71F03" w:rsidRPr="0027631D" w:rsidRDefault="00A71F03" w:rsidP="0027631D">
      <w:pPr>
        <w:pStyle w:val="Prrafodelista"/>
        <w:suppressAutoHyphens/>
        <w:spacing w:line="23" w:lineRule="atLeast"/>
        <w:ind w:left="0" w:right="49"/>
        <w:contextualSpacing/>
        <w:jc w:val="both"/>
        <w:rPr>
          <w:rFonts w:cs="Arial"/>
          <w:color w:val="000000" w:themeColor="text1"/>
          <w:kern w:val="1"/>
          <w:sz w:val="22"/>
          <w:szCs w:val="22"/>
          <w:lang w:eastAsia="ar-SA"/>
        </w:rPr>
      </w:pPr>
    </w:p>
    <w:p w14:paraId="474A4B05" w14:textId="14453638" w:rsidR="00485A37" w:rsidRPr="0027631D" w:rsidRDefault="00485A37" w:rsidP="0027631D">
      <w:pPr>
        <w:pStyle w:val="Prrafodelista"/>
        <w:suppressAutoHyphens/>
        <w:spacing w:line="23" w:lineRule="atLeast"/>
        <w:ind w:left="0" w:right="49"/>
        <w:contextualSpacing/>
        <w:jc w:val="both"/>
        <w:rPr>
          <w:rFonts w:cs="Arial"/>
          <w:color w:val="000000" w:themeColor="text1"/>
          <w:kern w:val="1"/>
          <w:sz w:val="22"/>
          <w:szCs w:val="22"/>
          <w:lang w:val="es-ES" w:eastAsia="ar-SA"/>
        </w:rPr>
      </w:pPr>
      <w:r w:rsidRPr="0027631D">
        <w:rPr>
          <w:rFonts w:cs="Arial"/>
          <w:color w:val="000000" w:themeColor="text1"/>
          <w:kern w:val="1"/>
          <w:sz w:val="22"/>
          <w:szCs w:val="22"/>
          <w:lang w:eastAsia="ar-SA"/>
        </w:rPr>
        <w:t>Ahora bien, en la Región de las Américas existen</w:t>
      </w:r>
      <w:r w:rsidRPr="0027631D">
        <w:rPr>
          <w:rFonts w:cs="Arial"/>
          <w:color w:val="000000" w:themeColor="text1"/>
          <w:kern w:val="1"/>
          <w:sz w:val="22"/>
          <w:szCs w:val="22"/>
          <w:lang w:val="es-ES" w:eastAsia="ar-SA"/>
        </w:rPr>
        <w:t xml:space="preserve"> regulaciones y normas técnicas respecto del uso de la banda 2.4 GHz que han implementado algunos reguladores en sus respectivos países para operar sistemas de radiocomunicación sin licencia. A continuación, se presenta el caso de la </w:t>
      </w:r>
      <w:r w:rsidRPr="0027631D">
        <w:rPr>
          <w:rFonts w:cs="Arial"/>
          <w:color w:val="000000" w:themeColor="text1"/>
          <w:kern w:val="1"/>
          <w:sz w:val="22"/>
          <w:szCs w:val="22"/>
          <w:lang w:eastAsia="ar-SA"/>
        </w:rPr>
        <w:t xml:space="preserve">Comisión Federal de Comunicaciones (FCC, por las siglas en inglés de </w:t>
      </w:r>
      <w:r w:rsidRPr="0027631D">
        <w:rPr>
          <w:rFonts w:cs="Arial"/>
          <w:i/>
          <w:color w:val="000000" w:themeColor="text1"/>
          <w:kern w:val="1"/>
          <w:sz w:val="22"/>
          <w:szCs w:val="22"/>
          <w:lang w:eastAsia="ar-SA"/>
        </w:rPr>
        <w:t>Federal Communications Commission</w:t>
      </w:r>
      <w:r w:rsidRPr="0027631D">
        <w:rPr>
          <w:rFonts w:cs="Arial"/>
          <w:color w:val="000000" w:themeColor="text1"/>
          <w:kern w:val="1"/>
          <w:sz w:val="22"/>
          <w:szCs w:val="22"/>
          <w:lang w:eastAsia="ar-SA"/>
        </w:rPr>
        <w:t>)</w:t>
      </w:r>
      <w:r w:rsidRPr="0027631D">
        <w:rPr>
          <w:rFonts w:cs="Arial"/>
          <w:color w:val="000000" w:themeColor="text1"/>
          <w:kern w:val="1"/>
          <w:sz w:val="22"/>
          <w:szCs w:val="22"/>
          <w:lang w:val="es-ES" w:eastAsia="ar-SA"/>
        </w:rPr>
        <w:t xml:space="preserve"> en </w:t>
      </w:r>
      <w:r w:rsidRPr="0027631D">
        <w:rPr>
          <w:rFonts w:cs="Arial"/>
          <w:color w:val="000000" w:themeColor="text1"/>
          <w:kern w:val="1"/>
          <w:sz w:val="22"/>
          <w:szCs w:val="22"/>
          <w:lang w:eastAsia="ar-SA"/>
        </w:rPr>
        <w:t>Estados Unidos de América (EE. UU.)</w:t>
      </w:r>
      <w:r w:rsidRPr="0027631D">
        <w:rPr>
          <w:rFonts w:cs="Arial"/>
          <w:color w:val="000000" w:themeColor="text1"/>
          <w:kern w:val="1"/>
          <w:sz w:val="22"/>
          <w:szCs w:val="22"/>
          <w:lang w:val="es-ES" w:eastAsia="ar-SA"/>
        </w:rPr>
        <w:t xml:space="preserve">; </w:t>
      </w:r>
      <w:r w:rsidRPr="0027631D">
        <w:rPr>
          <w:rFonts w:cs="Arial"/>
          <w:color w:val="000000" w:themeColor="text1"/>
          <w:kern w:val="1"/>
          <w:sz w:val="22"/>
          <w:szCs w:val="22"/>
          <w:lang w:eastAsia="ar-SA"/>
        </w:rPr>
        <w:t xml:space="preserve">Innovación, Ciencia y Desarrollo Económico (ISED, por las siglas en inglés de </w:t>
      </w:r>
      <w:r w:rsidRPr="0027631D">
        <w:rPr>
          <w:rFonts w:cs="Arial"/>
          <w:i/>
          <w:color w:val="000000" w:themeColor="text1"/>
          <w:kern w:val="1"/>
          <w:sz w:val="22"/>
          <w:szCs w:val="22"/>
          <w:lang w:eastAsia="ar-SA"/>
        </w:rPr>
        <w:t>Innovation, Science and Economic Development</w:t>
      </w:r>
      <w:r w:rsidRPr="0027631D">
        <w:rPr>
          <w:rFonts w:cs="Arial"/>
          <w:color w:val="000000" w:themeColor="text1"/>
          <w:kern w:val="1"/>
          <w:sz w:val="22"/>
          <w:szCs w:val="22"/>
          <w:lang w:eastAsia="ar-SA"/>
        </w:rPr>
        <w:t>)</w:t>
      </w:r>
      <w:r w:rsidRPr="0027631D">
        <w:rPr>
          <w:rFonts w:cs="Arial"/>
          <w:color w:val="000000" w:themeColor="text1"/>
          <w:kern w:val="1"/>
          <w:sz w:val="22"/>
          <w:szCs w:val="22"/>
          <w:lang w:val="es-ES" w:eastAsia="ar-SA"/>
        </w:rPr>
        <w:t xml:space="preserve"> en Canadá; y la </w:t>
      </w:r>
      <w:r w:rsidR="00E64E46" w:rsidRPr="0027631D">
        <w:rPr>
          <w:rFonts w:cs="Arial"/>
          <w:color w:val="000000" w:themeColor="text1"/>
          <w:kern w:val="1"/>
          <w:sz w:val="22"/>
          <w:szCs w:val="22"/>
          <w:lang w:eastAsia="ar-SA"/>
        </w:rPr>
        <w:t>Agencia Nacional de Espectro</w:t>
      </w:r>
      <w:r w:rsidR="00E64E46" w:rsidRPr="0027631D">
        <w:rPr>
          <w:rFonts w:cs="Arial"/>
          <w:color w:val="000000" w:themeColor="text1"/>
          <w:kern w:val="1"/>
          <w:sz w:val="22"/>
          <w:szCs w:val="22"/>
          <w:lang w:val="es-ES" w:eastAsia="ar-SA"/>
        </w:rPr>
        <w:t xml:space="preserve"> (</w:t>
      </w:r>
      <w:r w:rsidRPr="0027631D">
        <w:rPr>
          <w:rFonts w:cs="Arial"/>
          <w:color w:val="000000" w:themeColor="text1"/>
          <w:kern w:val="1"/>
          <w:sz w:val="22"/>
          <w:szCs w:val="22"/>
          <w:lang w:val="es-ES" w:eastAsia="ar-SA"/>
        </w:rPr>
        <w:t>ANE</w:t>
      </w:r>
      <w:r w:rsidR="00E64E46" w:rsidRPr="0027631D">
        <w:rPr>
          <w:rFonts w:cs="Arial"/>
          <w:color w:val="000000" w:themeColor="text1"/>
          <w:kern w:val="1"/>
          <w:sz w:val="22"/>
          <w:szCs w:val="22"/>
          <w:lang w:val="es-ES" w:eastAsia="ar-SA"/>
        </w:rPr>
        <w:t>)</w:t>
      </w:r>
      <w:r w:rsidRPr="0027631D">
        <w:rPr>
          <w:rFonts w:cs="Arial"/>
          <w:color w:val="000000" w:themeColor="text1"/>
          <w:kern w:val="1"/>
          <w:sz w:val="22"/>
          <w:szCs w:val="22"/>
          <w:lang w:val="es-ES" w:eastAsia="ar-SA"/>
        </w:rPr>
        <w:t xml:space="preserve">, en Colombia. </w:t>
      </w:r>
    </w:p>
    <w:p w14:paraId="082CCB52" w14:textId="77777777" w:rsidR="00485A37" w:rsidRPr="0027631D" w:rsidRDefault="00485A37" w:rsidP="0027631D">
      <w:pPr>
        <w:pStyle w:val="Prrafodelista"/>
        <w:suppressAutoHyphens/>
        <w:spacing w:line="23" w:lineRule="atLeast"/>
        <w:ind w:left="0" w:right="49"/>
        <w:contextualSpacing/>
        <w:jc w:val="both"/>
        <w:rPr>
          <w:rFonts w:cs="Arial"/>
          <w:color w:val="000000" w:themeColor="text1"/>
          <w:kern w:val="1"/>
          <w:sz w:val="22"/>
          <w:szCs w:val="22"/>
          <w:lang w:eastAsia="ar-SA"/>
        </w:rPr>
      </w:pPr>
    </w:p>
    <w:p w14:paraId="3980CDB9" w14:textId="7739F65A" w:rsidR="00ED49E0" w:rsidRPr="008010AD" w:rsidRDefault="00ED49E0" w:rsidP="0027631D">
      <w:pPr>
        <w:pStyle w:val="Prrafodelista"/>
        <w:suppressAutoHyphens/>
        <w:spacing w:line="23" w:lineRule="atLeast"/>
        <w:ind w:left="0" w:right="49"/>
        <w:contextualSpacing/>
        <w:jc w:val="both"/>
        <w:rPr>
          <w:rFonts w:cs="Arial"/>
          <w:color w:val="000000" w:themeColor="text1"/>
          <w:kern w:val="1"/>
          <w:sz w:val="22"/>
          <w:szCs w:val="22"/>
          <w:u w:val="single"/>
          <w:lang w:eastAsia="ar-SA"/>
        </w:rPr>
      </w:pPr>
      <w:bookmarkStart w:id="110" w:name="_Toc44067664"/>
      <w:bookmarkStart w:id="111" w:name="_Toc44339736"/>
      <w:bookmarkStart w:id="112" w:name="_Toc44939119"/>
      <w:bookmarkStart w:id="113" w:name="_Toc44946907"/>
      <w:r w:rsidRPr="008010AD">
        <w:rPr>
          <w:rFonts w:cs="Arial"/>
          <w:color w:val="000000" w:themeColor="text1"/>
          <w:kern w:val="1"/>
          <w:sz w:val="22"/>
          <w:szCs w:val="22"/>
          <w:u w:val="single"/>
          <w:lang w:eastAsia="ar-SA"/>
        </w:rPr>
        <w:t xml:space="preserve">Estados Unidos de América – </w:t>
      </w:r>
      <w:bookmarkEnd w:id="110"/>
      <w:bookmarkEnd w:id="111"/>
      <w:bookmarkEnd w:id="112"/>
      <w:bookmarkEnd w:id="113"/>
      <w:r w:rsidRPr="008010AD">
        <w:rPr>
          <w:rFonts w:cs="Arial"/>
          <w:color w:val="000000" w:themeColor="text1"/>
          <w:kern w:val="1"/>
          <w:sz w:val="22"/>
          <w:szCs w:val="22"/>
          <w:u w:val="single"/>
          <w:lang w:eastAsia="ar-SA"/>
        </w:rPr>
        <w:t>FCC</w:t>
      </w:r>
    </w:p>
    <w:p w14:paraId="1D61103F" w14:textId="77777777" w:rsidR="00ED49E0" w:rsidRPr="0027631D" w:rsidRDefault="00ED49E0" w:rsidP="0027631D">
      <w:pPr>
        <w:spacing w:after="0" w:line="23" w:lineRule="atLeast"/>
        <w:contextualSpacing/>
        <w:jc w:val="both"/>
        <w:rPr>
          <w:rFonts w:ascii="Arial" w:hAnsi="Arial" w:cs="Arial"/>
        </w:rPr>
      </w:pPr>
    </w:p>
    <w:p w14:paraId="2FB8F2CA" w14:textId="61B6E843" w:rsidR="00ED49E0" w:rsidRPr="0027631D" w:rsidRDefault="00ED49E0" w:rsidP="0027631D">
      <w:pPr>
        <w:spacing w:after="0" w:line="23" w:lineRule="atLeast"/>
        <w:contextualSpacing/>
        <w:jc w:val="both"/>
        <w:rPr>
          <w:rFonts w:ascii="Arial" w:hAnsi="Arial" w:cs="Arial"/>
        </w:rPr>
      </w:pPr>
      <w:r w:rsidRPr="0027631D">
        <w:rPr>
          <w:rFonts w:ascii="Arial" w:hAnsi="Arial" w:cs="Arial"/>
        </w:rPr>
        <w:t xml:space="preserve">En los EE. UU., la responsabilidad regulatoria del espectro radioeléctrico se divide entre la FCC y la </w:t>
      </w:r>
      <w:r w:rsidR="003831FE" w:rsidRPr="0027631D">
        <w:rPr>
          <w:rFonts w:ascii="Arial" w:hAnsi="Arial" w:cs="Arial"/>
        </w:rPr>
        <w:t xml:space="preserve">Administración Nacional de Telecomunicaciones e Información, </w:t>
      </w:r>
      <w:r w:rsidR="00B21397">
        <w:rPr>
          <w:rFonts w:ascii="Arial" w:hAnsi="Arial" w:cs="Arial"/>
        </w:rPr>
        <w:t>(</w:t>
      </w:r>
      <w:r w:rsidR="008A7226">
        <w:rPr>
          <w:rFonts w:ascii="Arial" w:hAnsi="Arial" w:cs="Arial"/>
        </w:rPr>
        <w:t xml:space="preserve">NTIA, </w:t>
      </w:r>
      <w:r w:rsidR="003831FE" w:rsidRPr="0027631D">
        <w:rPr>
          <w:rFonts w:ascii="Arial" w:hAnsi="Arial" w:cs="Arial"/>
        </w:rPr>
        <w:t xml:space="preserve">por sus siglas en inglés </w:t>
      </w:r>
      <w:r w:rsidR="003831FE" w:rsidRPr="0027631D">
        <w:rPr>
          <w:rFonts w:ascii="Arial" w:hAnsi="Arial" w:cs="Arial"/>
          <w:i/>
        </w:rPr>
        <w:t>National Telecommunications and Information Administration</w:t>
      </w:r>
      <w:r w:rsidR="003831FE" w:rsidRPr="0027631D">
        <w:rPr>
          <w:rFonts w:ascii="Arial" w:hAnsi="Arial" w:cs="Arial"/>
        </w:rPr>
        <w:t>)</w:t>
      </w:r>
      <w:r w:rsidRPr="0027631D">
        <w:rPr>
          <w:rFonts w:ascii="Arial" w:hAnsi="Arial" w:cs="Arial"/>
        </w:rPr>
        <w:t>. La FCC es quien administra el espectro para uso no federal, es decir, para el gobierno local, estatal, comercial, privado interno y uso personal, y la NTIA es la que administra el espectro para uso federal, es decir, para el Ej</w:t>
      </w:r>
      <w:r w:rsidR="003831FE" w:rsidRPr="0027631D">
        <w:rPr>
          <w:rFonts w:ascii="Arial" w:hAnsi="Arial" w:cs="Arial"/>
        </w:rPr>
        <w:t>é</w:t>
      </w:r>
      <w:r w:rsidRPr="0027631D">
        <w:rPr>
          <w:rFonts w:ascii="Arial" w:hAnsi="Arial" w:cs="Arial"/>
        </w:rPr>
        <w:t>rcito, la Administración Federal de Aviación y la Oficina de Federal de Investigación.</w:t>
      </w:r>
    </w:p>
    <w:p w14:paraId="6547082C" w14:textId="77777777" w:rsidR="00ED49E0" w:rsidRPr="0027631D" w:rsidRDefault="00ED49E0" w:rsidP="0027631D">
      <w:pPr>
        <w:spacing w:after="0" w:line="23" w:lineRule="atLeast"/>
        <w:contextualSpacing/>
        <w:jc w:val="both"/>
        <w:rPr>
          <w:rFonts w:ascii="Arial" w:hAnsi="Arial" w:cs="Arial"/>
        </w:rPr>
      </w:pPr>
    </w:p>
    <w:p w14:paraId="71116330" w14:textId="67194801" w:rsidR="00ED49E0" w:rsidRPr="0027631D" w:rsidRDefault="00ED49E0" w:rsidP="0027631D">
      <w:pPr>
        <w:spacing w:after="0" w:line="23" w:lineRule="atLeast"/>
        <w:contextualSpacing/>
        <w:jc w:val="both"/>
        <w:rPr>
          <w:rFonts w:ascii="Arial" w:hAnsi="Arial" w:cs="Arial"/>
        </w:rPr>
      </w:pPr>
      <w:r w:rsidRPr="0027631D">
        <w:rPr>
          <w:rFonts w:ascii="Arial" w:hAnsi="Arial" w:cs="Arial"/>
        </w:rPr>
        <w:t xml:space="preserve">Al igual que en México, uno de los instrumentos regulatorios con los que cuenta la FCC es el Cuadro de Atribución de Frecuencias (CAF-EE. UU.), el cual indica las atribuciones de las bandas de frecuencias en su contexto nacional, así como las reglas de cada una de las partes que integran el Título 47 “Telecomunicaciones”, del </w:t>
      </w:r>
      <w:r w:rsidR="003831FE" w:rsidRPr="0027631D">
        <w:rPr>
          <w:rFonts w:ascii="Arial" w:hAnsi="Arial" w:cs="Arial"/>
        </w:rPr>
        <w:t>Código Federal de Regulaciones (</w:t>
      </w:r>
      <w:r w:rsidRPr="0027631D">
        <w:rPr>
          <w:rFonts w:ascii="Arial" w:hAnsi="Arial" w:cs="Arial"/>
        </w:rPr>
        <w:t>CFR</w:t>
      </w:r>
      <w:r w:rsidR="003831FE" w:rsidRPr="0027631D">
        <w:rPr>
          <w:rFonts w:ascii="Arial" w:hAnsi="Arial" w:cs="Arial"/>
        </w:rPr>
        <w:t>)</w:t>
      </w:r>
      <w:r w:rsidRPr="0027631D">
        <w:rPr>
          <w:rFonts w:ascii="Arial" w:hAnsi="Arial" w:cs="Arial"/>
        </w:rPr>
        <w:t xml:space="preserve"> y las Notas aplicables. Las atribuciones correspondientes a la banda 2.4 GHz se indican en la tabla siguiente:</w:t>
      </w:r>
    </w:p>
    <w:p w14:paraId="43171529" w14:textId="77777777" w:rsidR="00ED49E0" w:rsidRPr="0027631D" w:rsidRDefault="00ED49E0" w:rsidP="0027631D">
      <w:pPr>
        <w:spacing w:after="0" w:line="23" w:lineRule="atLeast"/>
        <w:contextualSpacing/>
        <w:jc w:val="both"/>
        <w:rPr>
          <w:rFonts w:ascii="Arial" w:hAnsi="Arial" w:cs="Arial"/>
        </w:rPr>
      </w:pPr>
    </w:p>
    <w:tbl>
      <w:tblPr>
        <w:tblStyle w:val="Tablaconcuadrcula"/>
        <w:tblW w:w="5000" w:type="pct"/>
        <w:jc w:val="center"/>
        <w:tblLook w:val="04A0" w:firstRow="1" w:lastRow="0" w:firstColumn="1" w:lastColumn="0" w:noHBand="0" w:noVBand="1"/>
      </w:tblPr>
      <w:tblGrid>
        <w:gridCol w:w="1929"/>
        <w:gridCol w:w="1929"/>
        <w:gridCol w:w="5536"/>
      </w:tblGrid>
      <w:tr w:rsidR="00575BDB" w:rsidRPr="0027631D" w14:paraId="22DFDDF1" w14:textId="77777777" w:rsidTr="00FB7222">
        <w:trPr>
          <w:cantSplit/>
          <w:tblHeader/>
          <w:jc w:val="center"/>
        </w:trPr>
        <w:tc>
          <w:tcPr>
            <w:tcW w:w="5000" w:type="pct"/>
            <w:gridSpan w:val="3"/>
            <w:shd w:val="clear" w:color="auto" w:fill="D9D9D9" w:themeFill="background1" w:themeFillShade="D9"/>
          </w:tcPr>
          <w:p w14:paraId="67938EF3" w14:textId="77777777" w:rsidR="00ED49E0" w:rsidRPr="0027631D" w:rsidRDefault="00ED49E0" w:rsidP="00FB7222">
            <w:pPr>
              <w:spacing w:after="0" w:line="23" w:lineRule="atLeast"/>
              <w:contextualSpacing/>
              <w:jc w:val="center"/>
              <w:rPr>
                <w:rFonts w:ascii="Arial" w:hAnsi="Arial" w:cs="Arial"/>
                <w:b/>
              </w:rPr>
            </w:pPr>
            <w:r w:rsidRPr="0027631D">
              <w:rPr>
                <w:rFonts w:ascii="Arial" w:hAnsi="Arial" w:cs="Arial"/>
                <w:b/>
              </w:rPr>
              <w:t>Cuadro de Atribución de Frecuencias de EE. UU.</w:t>
            </w:r>
          </w:p>
        </w:tc>
      </w:tr>
      <w:tr w:rsidR="00575BDB" w:rsidRPr="0027631D" w14:paraId="57420B38" w14:textId="77777777" w:rsidTr="00FB7222">
        <w:trPr>
          <w:cantSplit/>
          <w:tblHeader/>
          <w:jc w:val="center"/>
        </w:trPr>
        <w:tc>
          <w:tcPr>
            <w:tcW w:w="861" w:type="pct"/>
            <w:shd w:val="clear" w:color="auto" w:fill="D9D9D9" w:themeFill="background1" w:themeFillShade="D9"/>
          </w:tcPr>
          <w:p w14:paraId="01521BFB" w14:textId="77777777" w:rsidR="00ED49E0" w:rsidRPr="0027631D" w:rsidRDefault="00ED49E0" w:rsidP="00FB7222">
            <w:pPr>
              <w:spacing w:after="0" w:line="23" w:lineRule="atLeast"/>
              <w:contextualSpacing/>
              <w:jc w:val="center"/>
              <w:rPr>
                <w:rFonts w:ascii="Arial" w:hAnsi="Arial" w:cs="Arial"/>
                <w:b/>
              </w:rPr>
            </w:pPr>
            <w:r w:rsidRPr="0027631D">
              <w:rPr>
                <w:rFonts w:ascii="Arial" w:hAnsi="Arial" w:cs="Arial"/>
                <w:b/>
              </w:rPr>
              <w:t>Uso Federal</w:t>
            </w:r>
          </w:p>
          <w:p w14:paraId="46080CDA" w14:textId="77777777" w:rsidR="00ED49E0" w:rsidRPr="0027631D" w:rsidRDefault="00ED49E0" w:rsidP="00FB7222">
            <w:pPr>
              <w:spacing w:after="0" w:line="23" w:lineRule="atLeast"/>
              <w:contextualSpacing/>
              <w:jc w:val="center"/>
              <w:rPr>
                <w:rFonts w:ascii="Arial" w:hAnsi="Arial" w:cs="Arial"/>
                <w:b/>
              </w:rPr>
            </w:pPr>
            <w:r w:rsidRPr="0027631D">
              <w:rPr>
                <w:rFonts w:ascii="Arial" w:hAnsi="Arial" w:cs="Arial"/>
                <w:b/>
              </w:rPr>
              <w:t>(MHz)</w:t>
            </w:r>
          </w:p>
        </w:tc>
        <w:tc>
          <w:tcPr>
            <w:tcW w:w="872" w:type="pct"/>
            <w:shd w:val="clear" w:color="auto" w:fill="D9D9D9" w:themeFill="background1" w:themeFillShade="D9"/>
          </w:tcPr>
          <w:p w14:paraId="3DE1E887" w14:textId="77777777" w:rsidR="00ED49E0" w:rsidRPr="0027631D" w:rsidRDefault="00ED49E0" w:rsidP="00FB7222">
            <w:pPr>
              <w:spacing w:after="0" w:line="23" w:lineRule="atLeast"/>
              <w:contextualSpacing/>
              <w:jc w:val="center"/>
              <w:rPr>
                <w:rFonts w:ascii="Arial" w:hAnsi="Arial" w:cs="Arial"/>
                <w:b/>
              </w:rPr>
            </w:pPr>
            <w:r w:rsidRPr="0027631D">
              <w:rPr>
                <w:rFonts w:ascii="Arial" w:hAnsi="Arial" w:cs="Arial"/>
                <w:b/>
              </w:rPr>
              <w:t>Uso No Federal (MHz)</w:t>
            </w:r>
          </w:p>
        </w:tc>
        <w:tc>
          <w:tcPr>
            <w:tcW w:w="3267" w:type="pct"/>
            <w:shd w:val="clear" w:color="auto" w:fill="D9D9D9" w:themeFill="background1" w:themeFillShade="D9"/>
          </w:tcPr>
          <w:p w14:paraId="1EA2667A" w14:textId="77777777" w:rsidR="00ED49E0" w:rsidRPr="0027631D" w:rsidRDefault="00ED49E0" w:rsidP="00FB7222">
            <w:pPr>
              <w:spacing w:after="0" w:line="23" w:lineRule="atLeast"/>
              <w:contextualSpacing/>
              <w:jc w:val="center"/>
              <w:rPr>
                <w:rFonts w:ascii="Arial" w:hAnsi="Arial" w:cs="Arial"/>
                <w:b/>
              </w:rPr>
            </w:pPr>
            <w:r w:rsidRPr="0027631D">
              <w:rPr>
                <w:rFonts w:ascii="Arial" w:hAnsi="Arial" w:cs="Arial"/>
                <w:b/>
              </w:rPr>
              <w:t>FCC - Reglas de las Partes – Notas nacionales</w:t>
            </w:r>
          </w:p>
        </w:tc>
      </w:tr>
      <w:tr w:rsidR="00575BDB" w:rsidRPr="0027631D" w14:paraId="71A81BE1" w14:textId="77777777" w:rsidTr="00FB7222">
        <w:trPr>
          <w:cantSplit/>
          <w:trHeight w:val="733"/>
          <w:jc w:val="center"/>
        </w:trPr>
        <w:tc>
          <w:tcPr>
            <w:tcW w:w="861" w:type="pct"/>
            <w:shd w:val="clear" w:color="auto" w:fill="auto"/>
          </w:tcPr>
          <w:p w14:paraId="1BB54654" w14:textId="77777777" w:rsidR="00ED49E0" w:rsidRPr="0027631D" w:rsidRDefault="00ED49E0" w:rsidP="00FB7222">
            <w:pPr>
              <w:spacing w:after="0" w:line="23" w:lineRule="atLeast"/>
              <w:contextualSpacing/>
              <w:rPr>
                <w:rFonts w:ascii="Arial" w:hAnsi="Arial" w:cs="Arial"/>
                <w:b/>
              </w:rPr>
            </w:pPr>
            <w:r w:rsidRPr="0027631D">
              <w:rPr>
                <w:rFonts w:ascii="Arial" w:hAnsi="Arial" w:cs="Arial"/>
                <w:b/>
              </w:rPr>
              <w:t>2300 – 2417</w:t>
            </w:r>
          </w:p>
        </w:tc>
        <w:tc>
          <w:tcPr>
            <w:tcW w:w="872" w:type="pct"/>
            <w:shd w:val="clear" w:color="auto" w:fill="auto"/>
          </w:tcPr>
          <w:p w14:paraId="1457B5F9" w14:textId="77777777" w:rsidR="00ED49E0" w:rsidRPr="0027631D" w:rsidRDefault="00ED49E0" w:rsidP="00FB7222">
            <w:pPr>
              <w:spacing w:after="0" w:line="23" w:lineRule="atLeast"/>
              <w:contextualSpacing/>
              <w:rPr>
                <w:rFonts w:ascii="Arial" w:hAnsi="Arial" w:cs="Arial"/>
                <w:b/>
              </w:rPr>
            </w:pPr>
            <w:r w:rsidRPr="0027631D">
              <w:rPr>
                <w:rFonts w:ascii="Arial" w:hAnsi="Arial" w:cs="Arial"/>
                <w:b/>
              </w:rPr>
              <w:t>2400 – 2417</w:t>
            </w:r>
          </w:p>
          <w:p w14:paraId="03ECC071" w14:textId="77777777" w:rsidR="00ED49E0" w:rsidRPr="0027631D" w:rsidRDefault="00ED49E0" w:rsidP="00FB7222">
            <w:pPr>
              <w:spacing w:after="0" w:line="23" w:lineRule="atLeast"/>
              <w:contextualSpacing/>
              <w:rPr>
                <w:rFonts w:ascii="Arial" w:hAnsi="Arial" w:cs="Arial"/>
              </w:rPr>
            </w:pPr>
            <w:r w:rsidRPr="0027631D">
              <w:rPr>
                <w:rFonts w:ascii="Arial" w:hAnsi="Arial" w:cs="Arial"/>
              </w:rPr>
              <w:t>AFICIONADOS</w:t>
            </w:r>
          </w:p>
        </w:tc>
        <w:tc>
          <w:tcPr>
            <w:tcW w:w="3267" w:type="pct"/>
            <w:vMerge w:val="restart"/>
            <w:shd w:val="clear" w:color="auto" w:fill="auto"/>
          </w:tcPr>
          <w:p w14:paraId="2C9F5E42" w14:textId="77777777" w:rsidR="00ED49E0" w:rsidRPr="0027631D" w:rsidRDefault="00ED49E0" w:rsidP="00FB7222">
            <w:pPr>
              <w:spacing w:after="0" w:line="23" w:lineRule="atLeast"/>
              <w:contextualSpacing/>
              <w:jc w:val="both"/>
              <w:rPr>
                <w:rFonts w:ascii="Arial" w:hAnsi="Arial" w:cs="Arial"/>
              </w:rPr>
            </w:pPr>
            <w:r w:rsidRPr="0027631D">
              <w:rPr>
                <w:rFonts w:ascii="Arial" w:hAnsi="Arial" w:cs="Arial"/>
                <w:b/>
              </w:rPr>
              <w:t>Parte 15</w:t>
            </w:r>
            <w:r w:rsidRPr="0027631D">
              <w:rPr>
                <w:rFonts w:ascii="Arial" w:hAnsi="Arial" w:cs="Arial"/>
              </w:rPr>
              <w:t xml:space="preserve"> - Dispositivos de Radiofrecuencia</w:t>
            </w:r>
          </w:p>
          <w:p w14:paraId="78EFCE15" w14:textId="77777777" w:rsidR="00ED49E0" w:rsidRPr="0027631D" w:rsidRDefault="00ED49E0" w:rsidP="00FB7222">
            <w:pPr>
              <w:spacing w:after="0" w:line="23" w:lineRule="atLeast"/>
              <w:contextualSpacing/>
              <w:jc w:val="both"/>
              <w:rPr>
                <w:rFonts w:ascii="Arial" w:hAnsi="Arial" w:cs="Arial"/>
              </w:rPr>
            </w:pPr>
            <w:r w:rsidRPr="0027631D">
              <w:rPr>
                <w:rFonts w:ascii="Arial" w:hAnsi="Arial" w:cs="Arial"/>
                <w:b/>
              </w:rPr>
              <w:t xml:space="preserve">Parte 18 </w:t>
            </w:r>
            <w:r w:rsidRPr="0027631D">
              <w:rPr>
                <w:rFonts w:ascii="Arial" w:hAnsi="Arial" w:cs="Arial"/>
              </w:rPr>
              <w:t>- Equipo ICM</w:t>
            </w:r>
          </w:p>
          <w:p w14:paraId="22C2001B" w14:textId="77777777" w:rsidR="00ED49E0" w:rsidRPr="0027631D" w:rsidRDefault="00ED49E0" w:rsidP="00FB7222">
            <w:pPr>
              <w:spacing w:after="0" w:line="23" w:lineRule="atLeast"/>
              <w:contextualSpacing/>
              <w:jc w:val="both"/>
              <w:rPr>
                <w:rFonts w:ascii="Arial" w:hAnsi="Arial" w:cs="Arial"/>
              </w:rPr>
            </w:pPr>
            <w:r w:rsidRPr="0027631D">
              <w:rPr>
                <w:rFonts w:ascii="Arial" w:hAnsi="Arial" w:cs="Arial"/>
                <w:b/>
              </w:rPr>
              <w:lastRenderedPageBreak/>
              <w:t>Parte 97</w:t>
            </w:r>
            <w:r w:rsidRPr="0027631D">
              <w:rPr>
                <w:rFonts w:ascii="Arial" w:hAnsi="Arial" w:cs="Arial"/>
              </w:rPr>
              <w:t xml:space="preserve"> - Radio Aficionados</w:t>
            </w:r>
          </w:p>
          <w:p w14:paraId="078AC4AF" w14:textId="77777777" w:rsidR="00ED49E0" w:rsidRPr="0027631D" w:rsidRDefault="00ED49E0" w:rsidP="00FB7222">
            <w:pPr>
              <w:spacing w:after="0" w:line="23" w:lineRule="atLeast"/>
              <w:contextualSpacing/>
              <w:jc w:val="both"/>
              <w:rPr>
                <w:rFonts w:ascii="Arial" w:hAnsi="Arial" w:cs="Arial"/>
              </w:rPr>
            </w:pPr>
            <w:r w:rsidRPr="0027631D">
              <w:rPr>
                <w:rFonts w:ascii="Arial" w:hAnsi="Arial" w:cs="Arial"/>
                <w:b/>
              </w:rPr>
              <w:t xml:space="preserve">G2 </w:t>
            </w:r>
            <w:r w:rsidRPr="0027631D">
              <w:rPr>
                <w:rFonts w:ascii="Arial" w:hAnsi="Arial" w:cs="Arial"/>
              </w:rPr>
              <w:t>En las bandas 216.965-216.995 MHz, 420-450 MHz (excepto lo dispuesto en G129), 890-902 MHz, 928-942 MHz, 1300-1390 MHz, 2310-2390 MHz, 2417-2450 MHz, 2700-2900 MHz, 3300-3500 MHz (excepto lo dispuesto en US108), 5650-5925 MHz y 9000-9200 MHz, el uso del servicio de radiolocalización federal está restringido a servicios militares.</w:t>
            </w:r>
          </w:p>
        </w:tc>
      </w:tr>
      <w:tr w:rsidR="00575BDB" w:rsidRPr="0027631D" w14:paraId="51DA61B3" w14:textId="77777777" w:rsidTr="00FB7222">
        <w:trPr>
          <w:cantSplit/>
          <w:trHeight w:val="537"/>
          <w:jc w:val="center"/>
        </w:trPr>
        <w:tc>
          <w:tcPr>
            <w:tcW w:w="861" w:type="pct"/>
            <w:shd w:val="clear" w:color="auto" w:fill="auto"/>
          </w:tcPr>
          <w:p w14:paraId="59426A51" w14:textId="77777777" w:rsidR="00ED49E0" w:rsidRPr="0027631D" w:rsidRDefault="00ED49E0" w:rsidP="00FB7222">
            <w:pPr>
              <w:spacing w:after="0" w:line="23" w:lineRule="atLeast"/>
              <w:contextualSpacing/>
              <w:rPr>
                <w:rFonts w:ascii="Arial" w:hAnsi="Arial" w:cs="Arial"/>
              </w:rPr>
            </w:pPr>
            <w:r w:rsidRPr="0027631D">
              <w:rPr>
                <w:rFonts w:ascii="Arial" w:hAnsi="Arial" w:cs="Arial"/>
                <w:b/>
              </w:rPr>
              <w:lastRenderedPageBreak/>
              <w:t xml:space="preserve">2417 – 2450 </w:t>
            </w:r>
            <w:r w:rsidRPr="0027631D">
              <w:rPr>
                <w:rFonts w:ascii="Arial" w:hAnsi="Arial" w:cs="Arial"/>
              </w:rPr>
              <w:t xml:space="preserve">Radiolocalización </w:t>
            </w:r>
            <w:r w:rsidRPr="0027631D">
              <w:rPr>
                <w:rFonts w:ascii="Arial" w:hAnsi="Arial" w:cs="Arial"/>
                <w:b/>
              </w:rPr>
              <w:t>G2</w:t>
            </w:r>
          </w:p>
        </w:tc>
        <w:tc>
          <w:tcPr>
            <w:tcW w:w="872" w:type="pct"/>
            <w:shd w:val="clear" w:color="auto" w:fill="auto"/>
          </w:tcPr>
          <w:p w14:paraId="63F58EB3" w14:textId="77777777" w:rsidR="00ED49E0" w:rsidRPr="0027631D" w:rsidRDefault="00ED49E0" w:rsidP="00FB7222">
            <w:pPr>
              <w:spacing w:after="0" w:line="23" w:lineRule="atLeast"/>
              <w:contextualSpacing/>
              <w:rPr>
                <w:rFonts w:ascii="Arial" w:hAnsi="Arial" w:cs="Arial"/>
                <w:b/>
              </w:rPr>
            </w:pPr>
            <w:r w:rsidRPr="0027631D">
              <w:rPr>
                <w:rFonts w:ascii="Arial" w:hAnsi="Arial" w:cs="Arial"/>
                <w:b/>
              </w:rPr>
              <w:t>2417 - 2450</w:t>
            </w:r>
          </w:p>
          <w:p w14:paraId="5E704ABB" w14:textId="77777777" w:rsidR="00ED49E0" w:rsidRPr="0027631D" w:rsidRDefault="00ED49E0" w:rsidP="00FB7222">
            <w:pPr>
              <w:spacing w:after="0" w:line="23" w:lineRule="atLeast"/>
              <w:contextualSpacing/>
              <w:rPr>
                <w:rFonts w:ascii="Arial" w:hAnsi="Arial" w:cs="Arial"/>
              </w:rPr>
            </w:pPr>
            <w:r w:rsidRPr="0027631D">
              <w:rPr>
                <w:rFonts w:ascii="Arial" w:hAnsi="Arial" w:cs="Arial"/>
              </w:rPr>
              <w:t>Aficionados</w:t>
            </w:r>
          </w:p>
        </w:tc>
        <w:tc>
          <w:tcPr>
            <w:tcW w:w="3267" w:type="pct"/>
            <w:vMerge/>
            <w:shd w:val="clear" w:color="auto" w:fill="auto"/>
          </w:tcPr>
          <w:p w14:paraId="14EFE2BE" w14:textId="77777777" w:rsidR="00ED49E0" w:rsidRPr="0027631D" w:rsidRDefault="00ED49E0" w:rsidP="00FB7222">
            <w:pPr>
              <w:spacing w:after="0" w:line="23" w:lineRule="atLeast"/>
              <w:contextualSpacing/>
              <w:rPr>
                <w:rFonts w:ascii="Arial" w:hAnsi="Arial" w:cs="Arial"/>
              </w:rPr>
            </w:pPr>
          </w:p>
        </w:tc>
      </w:tr>
      <w:tr w:rsidR="00575BDB" w:rsidRPr="0027631D" w14:paraId="43E45D13" w14:textId="77777777" w:rsidTr="00FB7222">
        <w:trPr>
          <w:cantSplit/>
          <w:trHeight w:val="537"/>
          <w:jc w:val="center"/>
        </w:trPr>
        <w:tc>
          <w:tcPr>
            <w:tcW w:w="861" w:type="pct"/>
            <w:shd w:val="clear" w:color="auto" w:fill="auto"/>
          </w:tcPr>
          <w:p w14:paraId="41E2DF3A" w14:textId="77777777" w:rsidR="00ED49E0" w:rsidRPr="0027631D" w:rsidRDefault="00ED49E0" w:rsidP="00FB7222">
            <w:pPr>
              <w:spacing w:after="0" w:line="23" w:lineRule="atLeast"/>
              <w:contextualSpacing/>
              <w:rPr>
                <w:rFonts w:ascii="Arial" w:hAnsi="Arial" w:cs="Arial"/>
                <w:b/>
              </w:rPr>
            </w:pPr>
            <w:r w:rsidRPr="0027631D">
              <w:rPr>
                <w:rFonts w:ascii="Arial" w:hAnsi="Arial" w:cs="Arial"/>
                <w:b/>
              </w:rPr>
              <w:t>2450 - 2483.5</w:t>
            </w:r>
          </w:p>
        </w:tc>
        <w:tc>
          <w:tcPr>
            <w:tcW w:w="872" w:type="pct"/>
            <w:shd w:val="clear" w:color="auto" w:fill="auto"/>
          </w:tcPr>
          <w:p w14:paraId="379A8DAF" w14:textId="77777777" w:rsidR="00ED49E0" w:rsidRPr="0027631D" w:rsidRDefault="00ED49E0" w:rsidP="00FB7222">
            <w:pPr>
              <w:spacing w:after="0" w:line="23" w:lineRule="atLeast"/>
              <w:contextualSpacing/>
              <w:rPr>
                <w:rFonts w:ascii="Arial" w:hAnsi="Arial" w:cs="Arial"/>
                <w:b/>
              </w:rPr>
            </w:pPr>
            <w:r w:rsidRPr="0027631D">
              <w:rPr>
                <w:rFonts w:ascii="Arial" w:hAnsi="Arial" w:cs="Arial"/>
                <w:b/>
              </w:rPr>
              <w:t>2450 - 2483.5</w:t>
            </w:r>
          </w:p>
          <w:p w14:paraId="3F3A55B4" w14:textId="77777777" w:rsidR="00ED49E0" w:rsidRPr="0027631D" w:rsidRDefault="00ED49E0" w:rsidP="00FB7222">
            <w:pPr>
              <w:spacing w:after="0" w:line="23" w:lineRule="atLeast"/>
              <w:contextualSpacing/>
              <w:rPr>
                <w:rFonts w:ascii="Arial" w:hAnsi="Arial" w:cs="Arial"/>
              </w:rPr>
            </w:pPr>
            <w:r w:rsidRPr="0027631D">
              <w:rPr>
                <w:rFonts w:ascii="Arial" w:hAnsi="Arial" w:cs="Arial"/>
              </w:rPr>
              <w:t>FIJO</w:t>
            </w:r>
          </w:p>
          <w:p w14:paraId="3BF6C025" w14:textId="77777777" w:rsidR="00ED49E0" w:rsidRPr="0027631D" w:rsidRDefault="00ED49E0" w:rsidP="00FB7222">
            <w:pPr>
              <w:spacing w:after="0" w:line="23" w:lineRule="atLeast"/>
              <w:contextualSpacing/>
              <w:rPr>
                <w:rFonts w:ascii="Arial" w:hAnsi="Arial" w:cs="Arial"/>
              </w:rPr>
            </w:pPr>
            <w:r w:rsidRPr="0027631D">
              <w:rPr>
                <w:rFonts w:ascii="Arial" w:hAnsi="Arial" w:cs="Arial"/>
              </w:rPr>
              <w:t>MÓVIL</w:t>
            </w:r>
          </w:p>
          <w:p w14:paraId="0436188C" w14:textId="77777777" w:rsidR="00ED49E0" w:rsidRPr="0027631D" w:rsidRDefault="00ED49E0" w:rsidP="00FB7222">
            <w:pPr>
              <w:spacing w:after="0" w:line="23" w:lineRule="atLeast"/>
              <w:contextualSpacing/>
              <w:rPr>
                <w:rFonts w:ascii="Arial" w:hAnsi="Arial" w:cs="Arial"/>
              </w:rPr>
            </w:pPr>
            <w:r w:rsidRPr="0027631D">
              <w:rPr>
                <w:rFonts w:ascii="Arial" w:hAnsi="Arial" w:cs="Arial"/>
              </w:rPr>
              <w:t>Radiolocalización</w:t>
            </w:r>
          </w:p>
          <w:p w14:paraId="2A5862D1" w14:textId="77777777" w:rsidR="00ED49E0" w:rsidRPr="0027631D" w:rsidRDefault="00ED49E0" w:rsidP="00FB7222">
            <w:pPr>
              <w:spacing w:after="0" w:line="23" w:lineRule="atLeast"/>
              <w:contextualSpacing/>
              <w:rPr>
                <w:rFonts w:ascii="Arial" w:hAnsi="Arial" w:cs="Arial"/>
                <w:b/>
              </w:rPr>
            </w:pPr>
            <w:r w:rsidRPr="0027631D">
              <w:rPr>
                <w:rFonts w:ascii="Arial" w:hAnsi="Arial" w:cs="Arial"/>
                <w:b/>
              </w:rPr>
              <w:t>US41</w:t>
            </w:r>
          </w:p>
        </w:tc>
        <w:tc>
          <w:tcPr>
            <w:tcW w:w="3267" w:type="pct"/>
            <w:shd w:val="clear" w:color="auto" w:fill="auto"/>
          </w:tcPr>
          <w:p w14:paraId="1BD3A8FF" w14:textId="77777777" w:rsidR="00ED49E0" w:rsidRPr="0027631D" w:rsidRDefault="00ED49E0" w:rsidP="00FB7222">
            <w:pPr>
              <w:spacing w:after="0" w:line="23" w:lineRule="atLeast"/>
              <w:contextualSpacing/>
              <w:rPr>
                <w:rFonts w:ascii="Arial" w:hAnsi="Arial" w:cs="Arial"/>
              </w:rPr>
            </w:pPr>
            <w:r w:rsidRPr="0027631D">
              <w:rPr>
                <w:rFonts w:ascii="Arial" w:hAnsi="Arial" w:cs="Arial"/>
                <w:b/>
              </w:rPr>
              <w:t>Parte 15</w:t>
            </w:r>
            <w:r w:rsidRPr="0027631D">
              <w:rPr>
                <w:rFonts w:ascii="Arial" w:hAnsi="Arial" w:cs="Arial"/>
              </w:rPr>
              <w:t xml:space="preserve"> - Dispositivos de la Radiofrecuencia</w:t>
            </w:r>
          </w:p>
          <w:p w14:paraId="2206F38A" w14:textId="77777777" w:rsidR="00ED49E0" w:rsidRPr="0027631D" w:rsidRDefault="00ED49E0" w:rsidP="00FB7222">
            <w:pPr>
              <w:spacing w:after="0" w:line="23" w:lineRule="atLeast"/>
              <w:contextualSpacing/>
              <w:rPr>
                <w:rFonts w:ascii="Arial" w:hAnsi="Arial" w:cs="Arial"/>
              </w:rPr>
            </w:pPr>
            <w:r w:rsidRPr="0027631D">
              <w:rPr>
                <w:rFonts w:ascii="Arial" w:hAnsi="Arial" w:cs="Arial"/>
                <w:b/>
              </w:rPr>
              <w:t>Parte 18</w:t>
            </w:r>
            <w:r w:rsidRPr="0027631D">
              <w:rPr>
                <w:rFonts w:ascii="Arial" w:hAnsi="Arial" w:cs="Arial"/>
              </w:rPr>
              <w:t xml:space="preserve"> - Equipos ICM</w:t>
            </w:r>
          </w:p>
          <w:p w14:paraId="7FB9B1BF" w14:textId="77777777" w:rsidR="00ED49E0" w:rsidRPr="0027631D" w:rsidRDefault="00ED49E0" w:rsidP="00FB7222">
            <w:pPr>
              <w:spacing w:after="0" w:line="23" w:lineRule="atLeast"/>
              <w:contextualSpacing/>
              <w:rPr>
                <w:rFonts w:ascii="Arial" w:hAnsi="Arial" w:cs="Arial"/>
              </w:rPr>
            </w:pPr>
            <w:r w:rsidRPr="0027631D">
              <w:rPr>
                <w:rFonts w:ascii="Arial" w:hAnsi="Arial" w:cs="Arial"/>
                <w:b/>
              </w:rPr>
              <w:t>Parte 74F</w:t>
            </w:r>
            <w:r w:rsidRPr="0027631D">
              <w:rPr>
                <w:rFonts w:ascii="Arial" w:hAnsi="Arial" w:cs="Arial"/>
              </w:rPr>
              <w:t xml:space="preserve"> – Estaciones auxiliares de transmisión de televisión</w:t>
            </w:r>
          </w:p>
          <w:p w14:paraId="11E4EA92" w14:textId="77777777" w:rsidR="00ED49E0" w:rsidRPr="0027631D" w:rsidRDefault="00ED49E0" w:rsidP="00FB7222">
            <w:pPr>
              <w:spacing w:after="0" w:line="23" w:lineRule="atLeast"/>
              <w:contextualSpacing/>
              <w:rPr>
                <w:rFonts w:ascii="Arial" w:hAnsi="Arial" w:cs="Arial"/>
              </w:rPr>
            </w:pPr>
            <w:r w:rsidRPr="0027631D">
              <w:rPr>
                <w:rFonts w:ascii="Arial" w:hAnsi="Arial" w:cs="Arial"/>
                <w:b/>
              </w:rPr>
              <w:t>Parte 90</w:t>
            </w:r>
            <w:r w:rsidRPr="0027631D">
              <w:rPr>
                <w:rFonts w:ascii="Arial" w:hAnsi="Arial" w:cs="Arial"/>
              </w:rPr>
              <w:t xml:space="preserve"> - Servicio Móvil Privado Terrestre.</w:t>
            </w:r>
          </w:p>
          <w:p w14:paraId="16079206" w14:textId="77777777" w:rsidR="00ED49E0" w:rsidRPr="0027631D" w:rsidRDefault="00ED49E0" w:rsidP="00FB7222">
            <w:pPr>
              <w:spacing w:after="0" w:line="23" w:lineRule="atLeast"/>
              <w:contextualSpacing/>
              <w:rPr>
                <w:rFonts w:ascii="Arial" w:hAnsi="Arial" w:cs="Arial"/>
              </w:rPr>
            </w:pPr>
            <w:r w:rsidRPr="0027631D">
              <w:rPr>
                <w:rFonts w:ascii="Arial" w:hAnsi="Arial" w:cs="Arial"/>
                <w:b/>
              </w:rPr>
              <w:t>Parte 101</w:t>
            </w:r>
            <w:r w:rsidRPr="0027631D">
              <w:rPr>
                <w:rFonts w:ascii="Arial" w:hAnsi="Arial" w:cs="Arial"/>
              </w:rPr>
              <w:t xml:space="preserve"> - Servicio Fijo de Microondas</w:t>
            </w:r>
          </w:p>
          <w:p w14:paraId="3B799F63" w14:textId="77777777" w:rsidR="00ED49E0" w:rsidRPr="0027631D" w:rsidRDefault="00ED49E0" w:rsidP="00FB7222">
            <w:pPr>
              <w:spacing w:after="0" w:line="23" w:lineRule="atLeast"/>
              <w:contextualSpacing/>
              <w:jc w:val="both"/>
              <w:rPr>
                <w:rFonts w:ascii="Arial" w:hAnsi="Arial" w:cs="Arial"/>
                <w:b/>
              </w:rPr>
            </w:pPr>
            <w:r w:rsidRPr="0027631D">
              <w:rPr>
                <w:rFonts w:ascii="Arial" w:hAnsi="Arial" w:cs="Arial"/>
                <w:b/>
              </w:rPr>
              <w:t xml:space="preserve">US41 </w:t>
            </w:r>
            <w:r w:rsidRPr="0027631D">
              <w:rPr>
                <w:rFonts w:ascii="Arial" w:hAnsi="Arial" w:cs="Arial"/>
              </w:rPr>
              <w:t>En la banda de 2450-2500 MHz, el servicio de radiolocalización federal se permite con la condición de no causar interferencias perjudiciales a los servicios no federales.</w:t>
            </w:r>
          </w:p>
        </w:tc>
      </w:tr>
    </w:tbl>
    <w:p w14:paraId="2AD38004" w14:textId="66447149" w:rsidR="00ED49E0" w:rsidRPr="000A317A" w:rsidRDefault="00ED49E0" w:rsidP="0027631D">
      <w:pPr>
        <w:pStyle w:val="Descripcin"/>
        <w:contextualSpacing/>
        <w:rPr>
          <w:i w:val="0"/>
          <w:sz w:val="22"/>
          <w:szCs w:val="22"/>
        </w:rPr>
      </w:pPr>
      <w:bookmarkStart w:id="114" w:name="_Toc44669657"/>
      <w:bookmarkStart w:id="115" w:name="_Toc44946870"/>
      <w:bookmarkStart w:id="116" w:name="_Toc45105832"/>
      <w:bookmarkStart w:id="117" w:name="_Toc45105931"/>
      <w:bookmarkStart w:id="118" w:name="_Toc45112635"/>
      <w:bookmarkStart w:id="119" w:name="_Toc45115148"/>
      <w:bookmarkStart w:id="120" w:name="_Toc45119723"/>
      <w:bookmarkStart w:id="121" w:name="_Toc45217374"/>
      <w:bookmarkStart w:id="122" w:name="_Toc45226577"/>
      <w:bookmarkStart w:id="123" w:name="_Toc45226693"/>
      <w:bookmarkStart w:id="124" w:name="_Toc45274889"/>
      <w:bookmarkStart w:id="125" w:name="_Toc45274968"/>
      <w:bookmarkStart w:id="126" w:name="_Toc45279206"/>
      <w:bookmarkStart w:id="127" w:name="_Toc45305730"/>
      <w:bookmarkStart w:id="128" w:name="_Toc45364862"/>
      <w:bookmarkStart w:id="129" w:name="_Toc45381217"/>
      <w:bookmarkStart w:id="130" w:name="_Toc45452819"/>
      <w:bookmarkStart w:id="131" w:name="_Toc45452928"/>
      <w:r w:rsidRPr="000A317A">
        <w:rPr>
          <w:i w:val="0"/>
          <w:sz w:val="22"/>
          <w:szCs w:val="22"/>
        </w:rPr>
        <w:t xml:space="preserve">Tabla </w:t>
      </w:r>
      <w:r w:rsidR="008010AD" w:rsidRPr="000A317A">
        <w:rPr>
          <w:i w:val="0"/>
          <w:sz w:val="22"/>
          <w:szCs w:val="22"/>
        </w:rPr>
        <w:fldChar w:fldCharType="begin"/>
      </w:r>
      <w:r w:rsidR="008010AD" w:rsidRPr="000A317A">
        <w:rPr>
          <w:i w:val="0"/>
          <w:sz w:val="22"/>
          <w:szCs w:val="22"/>
        </w:rPr>
        <w:instrText xml:space="preserve"> SEQ Tabla \* ARABIC </w:instrText>
      </w:r>
      <w:r w:rsidR="008010AD" w:rsidRPr="000A317A">
        <w:rPr>
          <w:i w:val="0"/>
          <w:sz w:val="22"/>
          <w:szCs w:val="22"/>
        </w:rPr>
        <w:fldChar w:fldCharType="separate"/>
      </w:r>
      <w:r w:rsidR="004F1EA3">
        <w:rPr>
          <w:i w:val="0"/>
          <w:noProof/>
          <w:sz w:val="22"/>
          <w:szCs w:val="22"/>
        </w:rPr>
        <w:t>7</w:t>
      </w:r>
      <w:r w:rsidR="008010AD" w:rsidRPr="000A317A">
        <w:rPr>
          <w:i w:val="0"/>
          <w:noProof/>
          <w:sz w:val="22"/>
          <w:szCs w:val="22"/>
        </w:rPr>
        <w:fldChar w:fldCharType="end"/>
      </w:r>
      <w:r w:rsidRPr="000A317A">
        <w:rPr>
          <w:i w:val="0"/>
          <w:sz w:val="22"/>
          <w:szCs w:val="22"/>
        </w:rPr>
        <w:t>. Atribución de la banda 2.4 GHz conforme al CAF-EE. UU</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0EE2D254" w14:textId="77777777" w:rsidR="00ED49E0" w:rsidRPr="00BE2A28" w:rsidRDefault="00ED49E0" w:rsidP="0027631D">
      <w:pPr>
        <w:spacing w:after="0" w:line="23" w:lineRule="atLeast"/>
        <w:contextualSpacing/>
        <w:jc w:val="both"/>
        <w:rPr>
          <w:rFonts w:ascii="Arial" w:hAnsi="Arial" w:cs="Arial"/>
        </w:rPr>
      </w:pPr>
    </w:p>
    <w:p w14:paraId="2EAB8ED3" w14:textId="3694EA77" w:rsidR="00ED49E0" w:rsidRPr="0027631D" w:rsidRDefault="00ED49E0" w:rsidP="0027631D">
      <w:pPr>
        <w:spacing w:after="0" w:line="23" w:lineRule="atLeast"/>
        <w:contextualSpacing/>
        <w:jc w:val="both"/>
        <w:rPr>
          <w:rFonts w:ascii="Arial" w:hAnsi="Arial" w:cs="Arial"/>
        </w:rPr>
      </w:pPr>
      <w:r w:rsidRPr="0027631D">
        <w:rPr>
          <w:rFonts w:ascii="Arial" w:hAnsi="Arial" w:cs="Arial"/>
        </w:rPr>
        <w:t>La Parte 15 del Título 47 del CFR, establece las condiciones técnicas generales para la operación de dispositivos de radiofrecuencia de baja potencia sin licencia, los cuales se encuentran clasificados en tres categorías: i) radiadores incidentales, ii) radiadores no intencionales y iii) radiadores intencionales. La categoría que es de interés en este caso es la de radiadores intencionales, dentro de los cuales se encuentran identificados diversos sistemas de transmisión exentos de licencia que operan en la banda 2.4 GHz y figuran en las secciones 15.245, 15.247 y 15.249 del CFR.</w:t>
      </w:r>
    </w:p>
    <w:p w14:paraId="0692F1DF" w14:textId="77777777" w:rsidR="00ED49E0" w:rsidRPr="0027631D" w:rsidRDefault="00ED49E0" w:rsidP="0027631D">
      <w:pPr>
        <w:spacing w:after="0" w:line="23" w:lineRule="atLeast"/>
        <w:contextualSpacing/>
        <w:jc w:val="both"/>
        <w:rPr>
          <w:rFonts w:ascii="Arial" w:hAnsi="Arial" w:cs="Arial"/>
        </w:rPr>
      </w:pPr>
    </w:p>
    <w:p w14:paraId="4E55BAD9" w14:textId="77777777" w:rsidR="00ED49E0" w:rsidRPr="0027631D" w:rsidRDefault="00ED49E0" w:rsidP="0027631D">
      <w:pPr>
        <w:spacing w:after="0" w:line="23" w:lineRule="atLeast"/>
        <w:contextualSpacing/>
        <w:jc w:val="both"/>
        <w:rPr>
          <w:rFonts w:ascii="Arial" w:hAnsi="Arial" w:cs="Arial"/>
        </w:rPr>
      </w:pPr>
      <w:r w:rsidRPr="0027631D">
        <w:rPr>
          <w:rFonts w:ascii="Arial" w:hAnsi="Arial" w:cs="Arial"/>
        </w:rPr>
        <w:t>En la sección 15.247</w:t>
      </w:r>
      <w:r w:rsidRPr="0027631D">
        <w:rPr>
          <w:rStyle w:val="Refdenotaalpie"/>
          <w:rFonts w:ascii="Arial" w:hAnsi="Arial" w:cs="Arial"/>
        </w:rPr>
        <w:footnoteReference w:id="18"/>
      </w:r>
      <w:r w:rsidRPr="0027631D">
        <w:rPr>
          <w:rFonts w:ascii="Arial" w:hAnsi="Arial" w:cs="Arial"/>
        </w:rPr>
        <w:t xml:space="preserve"> se indican las disposiciones y límites de operación de los sistemas de transmisión exentos de licencia que operan en la banda 2.4 GHz y que utilizan </w:t>
      </w:r>
      <w:r w:rsidRPr="0027631D">
        <w:rPr>
          <w:rFonts w:ascii="Arial" w:hAnsi="Arial" w:cs="Arial"/>
          <w:color w:val="000000"/>
        </w:rPr>
        <w:t>técnicas de transmisión</w:t>
      </w:r>
      <w:r w:rsidRPr="0027631D">
        <w:rPr>
          <w:rFonts w:ascii="Arial" w:hAnsi="Arial" w:cs="Arial"/>
        </w:rPr>
        <w:t xml:space="preserve"> de espectro disperso por salto de frecuencia, modulación digital e híbrida, las cuales se resumen en las siguientes tablas:</w:t>
      </w:r>
    </w:p>
    <w:p w14:paraId="49EDF192" w14:textId="77777777" w:rsidR="00ED49E0" w:rsidRPr="0027631D" w:rsidRDefault="00ED49E0" w:rsidP="0027631D">
      <w:pPr>
        <w:spacing w:after="0" w:line="23" w:lineRule="atLeast"/>
        <w:contextualSpacing/>
        <w:jc w:val="both"/>
        <w:rPr>
          <w:rFonts w:ascii="Arial" w:hAnsi="Arial" w:cs="Arial"/>
        </w:rPr>
      </w:pPr>
    </w:p>
    <w:tbl>
      <w:tblPr>
        <w:tblStyle w:val="Tablaconcuadrcula"/>
        <w:tblW w:w="5000" w:type="pct"/>
        <w:jc w:val="right"/>
        <w:tblCellMar>
          <w:left w:w="28" w:type="dxa"/>
          <w:right w:w="28" w:type="dxa"/>
        </w:tblCellMar>
        <w:tblLook w:val="04A0" w:firstRow="1" w:lastRow="0" w:firstColumn="1" w:lastColumn="0" w:noHBand="0" w:noVBand="1"/>
      </w:tblPr>
      <w:tblGrid>
        <w:gridCol w:w="1202"/>
        <w:gridCol w:w="2235"/>
        <w:gridCol w:w="1377"/>
        <w:gridCol w:w="1184"/>
        <w:gridCol w:w="1157"/>
        <w:gridCol w:w="993"/>
        <w:gridCol w:w="1246"/>
      </w:tblGrid>
      <w:tr w:rsidR="00575BDB" w:rsidRPr="0027631D" w14:paraId="60E48E5D" w14:textId="77777777" w:rsidTr="00575BDB">
        <w:trPr>
          <w:cantSplit/>
          <w:trHeight w:val="20"/>
          <w:tblHeader/>
          <w:jc w:val="right"/>
        </w:trPr>
        <w:tc>
          <w:tcPr>
            <w:tcW w:w="667" w:type="pct"/>
            <w:shd w:val="clear" w:color="auto" w:fill="D9D9D9" w:themeFill="background1" w:themeFillShade="D9"/>
            <w:vAlign w:val="center"/>
          </w:tcPr>
          <w:p w14:paraId="4859469B" w14:textId="77777777" w:rsidR="00ED49E0" w:rsidRPr="0027631D" w:rsidRDefault="00ED49E0" w:rsidP="0027631D">
            <w:pPr>
              <w:spacing w:after="0" w:line="23" w:lineRule="atLeast"/>
              <w:contextualSpacing/>
              <w:jc w:val="center"/>
              <w:rPr>
                <w:rFonts w:ascii="Arial" w:hAnsi="Arial" w:cs="Arial"/>
                <w:b/>
                <w:lang w:val="es-ES" w:eastAsia="es-MX"/>
              </w:rPr>
            </w:pPr>
            <w:bookmarkStart w:id="132" w:name="_Toc44669658"/>
            <w:bookmarkStart w:id="133" w:name="_Toc44946871"/>
            <w:r w:rsidRPr="0027631D">
              <w:rPr>
                <w:rFonts w:ascii="Arial" w:hAnsi="Arial" w:cs="Arial"/>
                <w:b/>
                <w:lang w:val="es-ES" w:eastAsia="es-MX"/>
              </w:rPr>
              <w:lastRenderedPageBreak/>
              <w:t>Tipo de sistema</w:t>
            </w:r>
          </w:p>
        </w:tc>
        <w:tc>
          <w:tcPr>
            <w:tcW w:w="1217" w:type="pct"/>
            <w:shd w:val="clear" w:color="auto" w:fill="D9D9D9" w:themeFill="background1" w:themeFillShade="D9"/>
            <w:vAlign w:val="center"/>
          </w:tcPr>
          <w:p w14:paraId="23F6769C"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Separación entre frecuencias portadoras de los canales</w:t>
            </w:r>
          </w:p>
        </w:tc>
        <w:tc>
          <w:tcPr>
            <w:tcW w:w="604" w:type="pct"/>
            <w:shd w:val="clear" w:color="auto" w:fill="D9D9D9" w:themeFill="background1" w:themeFillShade="D9"/>
            <w:vAlign w:val="center"/>
          </w:tcPr>
          <w:p w14:paraId="41311165"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Número de canales</w:t>
            </w:r>
          </w:p>
          <w:p w14:paraId="1275178D"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(N)</w:t>
            </w:r>
          </w:p>
        </w:tc>
        <w:tc>
          <w:tcPr>
            <w:tcW w:w="657" w:type="pct"/>
            <w:shd w:val="clear" w:color="auto" w:fill="D9D9D9" w:themeFill="background1" w:themeFillShade="D9"/>
            <w:vAlign w:val="center"/>
          </w:tcPr>
          <w:p w14:paraId="3115371E"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Tiempo promedio de ocupación en cualquier canal</w:t>
            </w:r>
          </w:p>
        </w:tc>
        <w:tc>
          <w:tcPr>
            <w:tcW w:w="610" w:type="pct"/>
            <w:shd w:val="clear" w:color="auto" w:fill="D9D9D9" w:themeFill="background1" w:themeFillShade="D9"/>
            <w:vAlign w:val="center"/>
          </w:tcPr>
          <w:p w14:paraId="15F04AE6"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Periodo de tiempo de ocupación del conjunto de canales</w:t>
            </w:r>
          </w:p>
        </w:tc>
        <w:tc>
          <w:tcPr>
            <w:tcW w:w="555" w:type="pct"/>
            <w:shd w:val="clear" w:color="auto" w:fill="D9D9D9" w:themeFill="background1" w:themeFillShade="D9"/>
            <w:vAlign w:val="center"/>
          </w:tcPr>
          <w:p w14:paraId="3E761A98"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Potencia pico de salida máxima</w:t>
            </w:r>
          </w:p>
        </w:tc>
        <w:tc>
          <w:tcPr>
            <w:tcW w:w="691" w:type="pct"/>
            <w:shd w:val="clear" w:color="auto" w:fill="D9D9D9" w:themeFill="background1" w:themeFillShade="D9"/>
            <w:vAlign w:val="center"/>
          </w:tcPr>
          <w:p w14:paraId="53E7062B" w14:textId="77777777" w:rsidR="00ED49E0" w:rsidRPr="0027631D" w:rsidRDefault="00ED49E0" w:rsidP="00D62E72">
            <w:pPr>
              <w:spacing w:after="0" w:line="23" w:lineRule="atLeast"/>
              <w:contextualSpacing/>
              <w:jc w:val="center"/>
              <w:rPr>
                <w:rFonts w:ascii="Arial" w:hAnsi="Arial" w:cs="Arial"/>
                <w:b/>
                <w:lang w:val="es-ES" w:eastAsia="es-MX"/>
              </w:rPr>
            </w:pPr>
            <w:r w:rsidRPr="0027631D">
              <w:rPr>
                <w:rFonts w:ascii="Arial" w:hAnsi="Arial" w:cs="Arial"/>
                <w:b/>
                <w:lang w:val="es-ES" w:eastAsia="es-MX"/>
              </w:rPr>
              <w:t>Ganancia de la antena direccional</w:t>
            </w:r>
          </w:p>
        </w:tc>
      </w:tr>
      <w:tr w:rsidR="00575BDB" w:rsidRPr="0027631D" w14:paraId="3B76A4C3" w14:textId="77777777" w:rsidTr="00FF5B8A">
        <w:trPr>
          <w:cantSplit/>
          <w:trHeight w:val="20"/>
          <w:jc w:val="right"/>
        </w:trPr>
        <w:tc>
          <w:tcPr>
            <w:tcW w:w="667" w:type="pct"/>
            <w:vMerge w:val="restart"/>
            <w:shd w:val="clear" w:color="auto" w:fill="D9D9D9" w:themeFill="background1" w:themeFillShade="D9"/>
            <w:vAlign w:val="center"/>
          </w:tcPr>
          <w:p w14:paraId="3B367175"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Salto de frecuencia</w:t>
            </w:r>
          </w:p>
        </w:tc>
        <w:tc>
          <w:tcPr>
            <w:tcW w:w="1217" w:type="pct"/>
            <w:shd w:val="clear" w:color="auto" w:fill="auto"/>
            <w:vAlign w:val="center"/>
          </w:tcPr>
          <w:p w14:paraId="32AB7005"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25 kHz</w:t>
            </w:r>
          </w:p>
          <w:p w14:paraId="75F53379"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o</w:t>
            </w:r>
          </w:p>
          <w:p w14:paraId="5AC4A9FB"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20 dB del ancho de banda del canal</w:t>
            </w:r>
          </w:p>
        </w:tc>
        <w:tc>
          <w:tcPr>
            <w:tcW w:w="604" w:type="pct"/>
            <w:shd w:val="clear" w:color="auto" w:fill="auto"/>
            <w:vAlign w:val="center"/>
          </w:tcPr>
          <w:p w14:paraId="45B9FA4B"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75, no superpuestos</w:t>
            </w:r>
          </w:p>
        </w:tc>
        <w:tc>
          <w:tcPr>
            <w:tcW w:w="657" w:type="pct"/>
            <w:shd w:val="clear" w:color="auto" w:fill="auto"/>
            <w:vAlign w:val="center"/>
          </w:tcPr>
          <w:p w14:paraId="0AC3EF9C"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0.4 s</w:t>
            </w:r>
          </w:p>
        </w:tc>
        <w:tc>
          <w:tcPr>
            <w:tcW w:w="610" w:type="pct"/>
            <w:shd w:val="clear" w:color="auto" w:fill="auto"/>
            <w:vAlign w:val="center"/>
          </w:tcPr>
          <w:p w14:paraId="19CBD76A"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(0.4 s) (N)</w:t>
            </w:r>
          </w:p>
        </w:tc>
        <w:tc>
          <w:tcPr>
            <w:tcW w:w="555" w:type="pct"/>
            <w:shd w:val="clear" w:color="auto" w:fill="auto"/>
            <w:vAlign w:val="center"/>
          </w:tcPr>
          <w:p w14:paraId="3C13C9A3"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1 W</w:t>
            </w:r>
          </w:p>
        </w:tc>
        <w:tc>
          <w:tcPr>
            <w:tcW w:w="691" w:type="pct"/>
            <w:shd w:val="clear" w:color="auto" w:fill="auto"/>
            <w:vAlign w:val="center"/>
          </w:tcPr>
          <w:p w14:paraId="5E2B3AAB"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6 dBi</w:t>
            </w:r>
          </w:p>
        </w:tc>
      </w:tr>
      <w:tr w:rsidR="00575BDB" w:rsidRPr="0027631D" w14:paraId="71322122" w14:textId="77777777" w:rsidTr="00FF5B8A">
        <w:trPr>
          <w:cantSplit/>
          <w:trHeight w:val="20"/>
          <w:jc w:val="right"/>
        </w:trPr>
        <w:tc>
          <w:tcPr>
            <w:tcW w:w="667" w:type="pct"/>
            <w:vMerge/>
            <w:shd w:val="clear" w:color="auto" w:fill="D9D9D9" w:themeFill="background1" w:themeFillShade="D9"/>
            <w:vAlign w:val="center"/>
          </w:tcPr>
          <w:p w14:paraId="519BA33B" w14:textId="77777777" w:rsidR="00ED49E0" w:rsidRPr="0027631D" w:rsidRDefault="00ED49E0" w:rsidP="0027631D">
            <w:pPr>
              <w:spacing w:after="0" w:line="23" w:lineRule="atLeast"/>
              <w:contextualSpacing/>
              <w:jc w:val="center"/>
              <w:rPr>
                <w:rFonts w:ascii="Arial" w:hAnsi="Arial" w:cs="Arial"/>
                <w:lang w:val="es-ES" w:eastAsia="es-MX"/>
              </w:rPr>
            </w:pPr>
          </w:p>
        </w:tc>
        <w:tc>
          <w:tcPr>
            <w:tcW w:w="1217" w:type="pct"/>
            <w:shd w:val="clear" w:color="auto" w:fill="auto"/>
            <w:vAlign w:val="center"/>
          </w:tcPr>
          <w:p w14:paraId="5AD1F8D5"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25 kHz</w:t>
            </w:r>
          </w:p>
          <w:p w14:paraId="4443DA85"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o</w:t>
            </w:r>
          </w:p>
          <w:p w14:paraId="7A2303AB"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2/3 de los 20 dB del ancho de banda del canal</w:t>
            </w:r>
          </w:p>
        </w:tc>
        <w:tc>
          <w:tcPr>
            <w:tcW w:w="604" w:type="pct"/>
            <w:shd w:val="clear" w:color="auto" w:fill="auto"/>
            <w:vAlign w:val="center"/>
          </w:tcPr>
          <w:p w14:paraId="2C50B1C8"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15</w:t>
            </w:r>
          </w:p>
        </w:tc>
        <w:tc>
          <w:tcPr>
            <w:tcW w:w="657" w:type="pct"/>
            <w:shd w:val="clear" w:color="auto" w:fill="auto"/>
            <w:vAlign w:val="center"/>
          </w:tcPr>
          <w:p w14:paraId="2EC10678"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0.4 s</w:t>
            </w:r>
          </w:p>
        </w:tc>
        <w:tc>
          <w:tcPr>
            <w:tcW w:w="610" w:type="pct"/>
            <w:shd w:val="clear" w:color="auto" w:fill="auto"/>
            <w:vAlign w:val="center"/>
          </w:tcPr>
          <w:p w14:paraId="3E220801"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(0.4 s) (N)</w:t>
            </w:r>
          </w:p>
        </w:tc>
        <w:tc>
          <w:tcPr>
            <w:tcW w:w="555" w:type="pct"/>
            <w:shd w:val="clear" w:color="auto" w:fill="auto"/>
            <w:vAlign w:val="center"/>
          </w:tcPr>
          <w:p w14:paraId="3A99E31C"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0.125 W</w:t>
            </w:r>
          </w:p>
        </w:tc>
        <w:tc>
          <w:tcPr>
            <w:tcW w:w="691" w:type="pct"/>
            <w:shd w:val="clear" w:color="auto" w:fill="auto"/>
            <w:vAlign w:val="center"/>
          </w:tcPr>
          <w:p w14:paraId="3CAA6D5B"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6 dBi</w:t>
            </w:r>
          </w:p>
        </w:tc>
      </w:tr>
    </w:tbl>
    <w:p w14:paraId="2B2E16D4" w14:textId="7E166CC3" w:rsidR="00ED49E0" w:rsidRPr="000A317A" w:rsidRDefault="00ED49E0" w:rsidP="0027631D">
      <w:pPr>
        <w:pStyle w:val="Descripcin"/>
        <w:contextualSpacing/>
        <w:rPr>
          <w:i w:val="0"/>
          <w:sz w:val="22"/>
          <w:szCs w:val="22"/>
          <w:lang w:val="es-ES" w:eastAsia="es-MX"/>
        </w:rPr>
      </w:pPr>
      <w:bookmarkStart w:id="134" w:name="_Toc45105833"/>
      <w:bookmarkStart w:id="135" w:name="_Toc45105932"/>
      <w:bookmarkStart w:id="136" w:name="_Toc45112636"/>
      <w:bookmarkStart w:id="137" w:name="_Toc45115149"/>
      <w:bookmarkStart w:id="138" w:name="_Toc45119724"/>
      <w:bookmarkStart w:id="139" w:name="_Toc45217376"/>
      <w:bookmarkStart w:id="140" w:name="_Toc45226579"/>
      <w:bookmarkStart w:id="141" w:name="_Toc45226695"/>
      <w:bookmarkStart w:id="142" w:name="_Toc45274891"/>
      <w:bookmarkStart w:id="143" w:name="_Toc45274970"/>
      <w:bookmarkStart w:id="144" w:name="_Toc45279207"/>
      <w:bookmarkStart w:id="145" w:name="_Toc45305731"/>
      <w:bookmarkStart w:id="146" w:name="_Toc45364863"/>
      <w:bookmarkStart w:id="147" w:name="_Toc45381218"/>
      <w:bookmarkStart w:id="148" w:name="_Toc45452820"/>
      <w:bookmarkStart w:id="149" w:name="_Toc45452929"/>
      <w:r w:rsidRPr="000A317A">
        <w:rPr>
          <w:i w:val="0"/>
          <w:sz w:val="22"/>
          <w:szCs w:val="22"/>
        </w:rPr>
        <w:t xml:space="preserve">Tabla </w:t>
      </w:r>
      <w:r w:rsidR="008010AD" w:rsidRPr="000A317A">
        <w:rPr>
          <w:i w:val="0"/>
          <w:sz w:val="22"/>
          <w:szCs w:val="22"/>
        </w:rPr>
        <w:fldChar w:fldCharType="begin"/>
      </w:r>
      <w:r w:rsidR="008010AD" w:rsidRPr="000A317A">
        <w:rPr>
          <w:i w:val="0"/>
          <w:sz w:val="22"/>
          <w:szCs w:val="22"/>
        </w:rPr>
        <w:instrText xml:space="preserve"> SEQ Tabla \* ARABIC </w:instrText>
      </w:r>
      <w:r w:rsidR="008010AD" w:rsidRPr="000A317A">
        <w:rPr>
          <w:i w:val="0"/>
          <w:sz w:val="22"/>
          <w:szCs w:val="22"/>
        </w:rPr>
        <w:fldChar w:fldCharType="separate"/>
      </w:r>
      <w:r w:rsidR="004F1EA3">
        <w:rPr>
          <w:i w:val="0"/>
          <w:noProof/>
          <w:sz w:val="22"/>
          <w:szCs w:val="22"/>
        </w:rPr>
        <w:t>8</w:t>
      </w:r>
      <w:r w:rsidR="008010AD" w:rsidRPr="000A317A">
        <w:rPr>
          <w:i w:val="0"/>
          <w:noProof/>
          <w:sz w:val="22"/>
          <w:szCs w:val="22"/>
        </w:rPr>
        <w:fldChar w:fldCharType="end"/>
      </w:r>
      <w:r w:rsidRPr="000A317A">
        <w:rPr>
          <w:i w:val="0"/>
          <w:sz w:val="22"/>
          <w:szCs w:val="22"/>
        </w:rPr>
        <w:t>.</w:t>
      </w:r>
      <w:r w:rsidRPr="000A317A">
        <w:rPr>
          <w:i w:val="0"/>
          <w:sz w:val="22"/>
          <w:szCs w:val="22"/>
          <w:lang w:val="es-ES" w:eastAsia="es-MX"/>
        </w:rPr>
        <w:t xml:space="preserve"> Disposiciones y límites aplicables a los sistemas por salto de frecuencia en la banda 2.4 GHz</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0A317A">
        <w:rPr>
          <w:i w:val="0"/>
          <w:sz w:val="22"/>
          <w:szCs w:val="22"/>
          <w:lang w:val="es-ES" w:eastAsia="es-MX"/>
        </w:rPr>
        <w:t xml:space="preserve"> establecidos en EE. UU.</w:t>
      </w:r>
      <w:bookmarkEnd w:id="146"/>
      <w:bookmarkEnd w:id="147"/>
      <w:bookmarkEnd w:id="148"/>
      <w:bookmarkEnd w:id="149"/>
    </w:p>
    <w:p w14:paraId="222E9810" w14:textId="77777777" w:rsidR="00ED49E0" w:rsidRPr="0027631D" w:rsidRDefault="00ED49E0" w:rsidP="0027631D">
      <w:pPr>
        <w:spacing w:after="0" w:line="23" w:lineRule="atLeast"/>
        <w:contextualSpacing/>
        <w:jc w:val="both"/>
        <w:rPr>
          <w:rFonts w:ascii="Arial" w:hAnsi="Arial" w:cs="Arial"/>
          <w:highlight w:val="yellow"/>
        </w:rPr>
      </w:pPr>
    </w:p>
    <w:p w14:paraId="708C5781" w14:textId="77777777" w:rsidR="00ED49E0" w:rsidRPr="0027631D" w:rsidRDefault="00ED49E0" w:rsidP="0027631D">
      <w:pPr>
        <w:spacing w:after="0" w:line="23" w:lineRule="atLeast"/>
        <w:contextualSpacing/>
        <w:jc w:val="both"/>
        <w:rPr>
          <w:rFonts w:ascii="Arial" w:hAnsi="Arial" w:cs="Arial"/>
        </w:rPr>
      </w:pPr>
      <w:r w:rsidRPr="0027631D">
        <w:rPr>
          <w:rFonts w:ascii="Arial" w:hAnsi="Arial" w:cs="Arial"/>
        </w:rPr>
        <w:t xml:space="preserve">Adicionalmente, en la sección 15.247 se mencionan otras condiciones para los sistemas que utilizan técnicas de transmisión de espectro disperso por salto de frecuencia, las cuales se enlistan a continuación: </w:t>
      </w:r>
    </w:p>
    <w:p w14:paraId="5305EAD2" w14:textId="77777777" w:rsidR="00ED49E0" w:rsidRPr="0027631D" w:rsidRDefault="00ED49E0" w:rsidP="0027631D">
      <w:pPr>
        <w:spacing w:after="0" w:line="23" w:lineRule="atLeast"/>
        <w:contextualSpacing/>
        <w:jc w:val="both"/>
        <w:rPr>
          <w:rFonts w:ascii="Arial" w:hAnsi="Arial" w:cs="Arial"/>
        </w:rPr>
      </w:pPr>
    </w:p>
    <w:p w14:paraId="250E56FA" w14:textId="77777777" w:rsidR="00ED49E0" w:rsidRPr="0027631D" w:rsidRDefault="00ED49E0" w:rsidP="00E36991">
      <w:pPr>
        <w:numPr>
          <w:ilvl w:val="0"/>
          <w:numId w:val="12"/>
        </w:numPr>
        <w:spacing w:after="0" w:line="23" w:lineRule="atLeast"/>
        <w:ind w:left="567" w:hanging="283"/>
        <w:contextualSpacing/>
        <w:jc w:val="both"/>
        <w:rPr>
          <w:rFonts w:ascii="Arial" w:hAnsi="Arial" w:cs="Arial"/>
        </w:rPr>
      </w:pPr>
      <w:r w:rsidRPr="0027631D">
        <w:rPr>
          <w:rFonts w:ascii="Arial" w:hAnsi="Arial" w:cs="Arial"/>
        </w:rPr>
        <w:t>Los sistemas que utilizan técnicas de transmisión de espectro disperso por salto de frecuencia no están obligados a emplear todos los canales de salto disponibles durante cada transmisión. Sin embargo, el sistema, que consiste tanto en el transmisor como en el receptor, debe estar diseñado para cumplir con todas las regulaciones de la sección 15.247 cuando el transmisor emita un flujo continuo de datos o información. Además, un sistema que emplee ráfagas cortas de transmisión debe cumplir con la definición de un sistema de salto de frecuencia y deberá distribuir sus transmisiones sobre el número mínimo de canales de salto especificados también en la sección 15.247;</w:t>
      </w:r>
    </w:p>
    <w:p w14:paraId="322B82BF" w14:textId="77777777" w:rsidR="00ED49E0" w:rsidRPr="0027631D" w:rsidRDefault="00ED49E0" w:rsidP="0027631D">
      <w:pPr>
        <w:spacing w:after="0" w:line="23" w:lineRule="atLeast"/>
        <w:ind w:left="567" w:hanging="283"/>
        <w:contextualSpacing/>
        <w:jc w:val="both"/>
        <w:rPr>
          <w:rFonts w:ascii="Arial" w:hAnsi="Arial" w:cs="Arial"/>
        </w:rPr>
      </w:pPr>
    </w:p>
    <w:p w14:paraId="4A43AFA1" w14:textId="5F697910" w:rsidR="00ED49E0" w:rsidRPr="0027631D" w:rsidRDefault="00ED49E0" w:rsidP="00E36991">
      <w:pPr>
        <w:numPr>
          <w:ilvl w:val="0"/>
          <w:numId w:val="12"/>
        </w:numPr>
        <w:spacing w:after="0" w:line="23" w:lineRule="atLeast"/>
        <w:ind w:left="567" w:hanging="283"/>
        <w:contextualSpacing/>
        <w:jc w:val="both"/>
        <w:rPr>
          <w:rFonts w:ascii="Arial" w:hAnsi="Arial" w:cs="Arial"/>
        </w:rPr>
      </w:pPr>
      <w:r w:rsidRPr="0027631D">
        <w:rPr>
          <w:rFonts w:ascii="Arial" w:hAnsi="Arial" w:cs="Arial"/>
        </w:rPr>
        <w:t>Se permite la incorporación de inteligencia en los sistemas que utilizan técnicas de transmisión de espectro disperso por salto de frecuencia para reconocer a otros usuarios dentro de la banda, de tal manera que el sistema elija y adapte sus saltos de forma individual e independiente para evitar saltar a canales ocupados. La coordinación de sistemas por salto de frecuencia que no sea exclusivamente para evitar la ocupación simultánea de frecuencias individuales de salto por parte de múltiples transmisores no está permitida</w:t>
      </w:r>
      <w:r w:rsidR="00A92AC3">
        <w:rPr>
          <w:rFonts w:ascii="Arial" w:hAnsi="Arial" w:cs="Arial"/>
        </w:rPr>
        <w:t>,</w:t>
      </w:r>
      <w:r w:rsidRPr="0027631D">
        <w:rPr>
          <w:rFonts w:ascii="Arial" w:hAnsi="Arial" w:cs="Arial"/>
        </w:rPr>
        <w:t xml:space="preserve"> y</w:t>
      </w:r>
    </w:p>
    <w:p w14:paraId="21B58FF4" w14:textId="77777777" w:rsidR="00ED49E0" w:rsidRPr="0027631D" w:rsidRDefault="00ED49E0" w:rsidP="0027631D">
      <w:pPr>
        <w:pStyle w:val="Prrafodelista"/>
        <w:spacing w:line="23" w:lineRule="atLeast"/>
        <w:ind w:left="567" w:hanging="283"/>
        <w:contextualSpacing/>
        <w:jc w:val="both"/>
        <w:rPr>
          <w:rFonts w:cs="Arial"/>
          <w:sz w:val="22"/>
          <w:szCs w:val="22"/>
        </w:rPr>
      </w:pPr>
    </w:p>
    <w:p w14:paraId="4D603CA9" w14:textId="77777777" w:rsidR="00ED49E0" w:rsidRPr="0027631D" w:rsidRDefault="00ED49E0" w:rsidP="00E36991">
      <w:pPr>
        <w:numPr>
          <w:ilvl w:val="0"/>
          <w:numId w:val="12"/>
        </w:numPr>
        <w:spacing w:after="0" w:line="23" w:lineRule="atLeast"/>
        <w:ind w:left="567" w:hanging="283"/>
        <w:contextualSpacing/>
        <w:jc w:val="both"/>
        <w:rPr>
          <w:rFonts w:ascii="Arial" w:hAnsi="Arial" w:cs="Arial"/>
        </w:rPr>
      </w:pPr>
      <w:r w:rsidRPr="0027631D">
        <w:rPr>
          <w:rFonts w:ascii="Arial" w:hAnsi="Arial" w:cs="Arial"/>
        </w:rPr>
        <w:t xml:space="preserve">El límite de potencia pico de salida máxima conducida aplicable a los sistemas que utilizan técnicas de transmisión de espectro disperso, se basa en el uso de antenas direccionales con ganancias que no superan los 6 dBi. Si se utilizan antenas direccionales con ganancias mayores a 6 dBi, la potencia pico de salida máxima conducida desde el radiador intencional se reducirá por debajo de los valores establecidos, según corresponda, en la cantidad en dB que la ganancia de la antena </w:t>
      </w:r>
      <w:r w:rsidR="00BB3D40" w:rsidRPr="0027631D">
        <w:rPr>
          <w:rFonts w:ascii="Arial" w:hAnsi="Arial" w:cs="Arial"/>
        </w:rPr>
        <w:t xml:space="preserve">direccional </w:t>
      </w:r>
      <w:r w:rsidRPr="0027631D">
        <w:rPr>
          <w:rFonts w:ascii="Arial" w:hAnsi="Arial" w:cs="Arial"/>
        </w:rPr>
        <w:t>excede los 6 dBi.</w:t>
      </w:r>
    </w:p>
    <w:p w14:paraId="00040201" w14:textId="77777777" w:rsidR="00ED49E0" w:rsidRPr="0027631D" w:rsidRDefault="00ED49E0" w:rsidP="0027631D">
      <w:pPr>
        <w:spacing w:after="0" w:line="23" w:lineRule="atLeast"/>
        <w:contextualSpacing/>
        <w:jc w:val="both"/>
        <w:rPr>
          <w:rFonts w:ascii="Arial" w:hAnsi="Arial" w:cs="Arial"/>
        </w:rPr>
      </w:pPr>
    </w:p>
    <w:tbl>
      <w:tblPr>
        <w:tblStyle w:val="Tablaconcuadrcula"/>
        <w:tblW w:w="5000" w:type="pct"/>
        <w:jc w:val="right"/>
        <w:tblCellMar>
          <w:left w:w="28" w:type="dxa"/>
          <w:right w:w="28" w:type="dxa"/>
        </w:tblCellMar>
        <w:tblLook w:val="04A0" w:firstRow="1" w:lastRow="0" w:firstColumn="1" w:lastColumn="0" w:noHBand="0" w:noVBand="1"/>
      </w:tblPr>
      <w:tblGrid>
        <w:gridCol w:w="1279"/>
        <w:gridCol w:w="2124"/>
        <w:gridCol w:w="1559"/>
        <w:gridCol w:w="1698"/>
        <w:gridCol w:w="2734"/>
      </w:tblGrid>
      <w:tr w:rsidR="00575BDB" w:rsidRPr="0027631D" w14:paraId="5CBB89A4" w14:textId="77777777" w:rsidTr="00575BDB">
        <w:trPr>
          <w:cantSplit/>
          <w:trHeight w:val="20"/>
          <w:tblHeader/>
          <w:jc w:val="right"/>
        </w:trPr>
        <w:tc>
          <w:tcPr>
            <w:tcW w:w="676" w:type="pct"/>
            <w:shd w:val="clear" w:color="auto" w:fill="D9D9D9" w:themeFill="background1" w:themeFillShade="D9"/>
            <w:vAlign w:val="center"/>
          </w:tcPr>
          <w:p w14:paraId="34CD9557"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lastRenderedPageBreak/>
              <w:t>Tipo de sistema</w:t>
            </w:r>
          </w:p>
        </w:tc>
        <w:tc>
          <w:tcPr>
            <w:tcW w:w="1132" w:type="pct"/>
            <w:shd w:val="clear" w:color="auto" w:fill="D9D9D9" w:themeFill="background1" w:themeFillShade="D9"/>
            <w:vAlign w:val="center"/>
          </w:tcPr>
          <w:p w14:paraId="4DE6EE31"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Ancho de banda del canal</w:t>
            </w:r>
          </w:p>
        </w:tc>
        <w:tc>
          <w:tcPr>
            <w:tcW w:w="831" w:type="pct"/>
            <w:shd w:val="clear" w:color="auto" w:fill="D9D9D9" w:themeFill="background1" w:themeFillShade="D9"/>
            <w:vAlign w:val="center"/>
          </w:tcPr>
          <w:p w14:paraId="2F4CAF52"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Potencia pico de salida máxima</w:t>
            </w:r>
          </w:p>
        </w:tc>
        <w:tc>
          <w:tcPr>
            <w:tcW w:w="905" w:type="pct"/>
            <w:shd w:val="clear" w:color="auto" w:fill="D9D9D9" w:themeFill="background1" w:themeFillShade="D9"/>
            <w:vAlign w:val="center"/>
          </w:tcPr>
          <w:p w14:paraId="2BEEB2F5" w14:textId="77777777" w:rsidR="00ED49E0" w:rsidRPr="0027631D" w:rsidRDefault="00ED49E0" w:rsidP="002360C6">
            <w:pPr>
              <w:spacing w:after="0" w:line="23" w:lineRule="atLeast"/>
              <w:contextualSpacing/>
              <w:jc w:val="center"/>
              <w:rPr>
                <w:rFonts w:ascii="Arial" w:hAnsi="Arial" w:cs="Arial"/>
                <w:b/>
                <w:lang w:val="es-ES" w:eastAsia="es-MX"/>
              </w:rPr>
            </w:pPr>
            <w:r w:rsidRPr="0027631D">
              <w:rPr>
                <w:rFonts w:ascii="Arial" w:hAnsi="Arial" w:cs="Arial"/>
                <w:b/>
                <w:lang w:val="es-ES" w:eastAsia="es-MX"/>
              </w:rPr>
              <w:t>Ganancia de la antena direccional</w:t>
            </w:r>
          </w:p>
        </w:tc>
        <w:tc>
          <w:tcPr>
            <w:tcW w:w="1456" w:type="pct"/>
            <w:shd w:val="clear" w:color="auto" w:fill="D9D9D9" w:themeFill="background1" w:themeFillShade="D9"/>
            <w:vAlign w:val="center"/>
          </w:tcPr>
          <w:p w14:paraId="7F54367E"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Densidad espectral de potencia conducida a la(s) antena(s)</w:t>
            </w:r>
          </w:p>
        </w:tc>
      </w:tr>
      <w:tr w:rsidR="00575BDB" w:rsidRPr="0027631D" w14:paraId="4E2F27AB" w14:textId="77777777" w:rsidTr="00FF5B8A">
        <w:trPr>
          <w:cantSplit/>
          <w:trHeight w:val="477"/>
          <w:jc w:val="right"/>
        </w:trPr>
        <w:tc>
          <w:tcPr>
            <w:tcW w:w="676" w:type="pct"/>
            <w:shd w:val="clear" w:color="auto" w:fill="D9D9D9" w:themeFill="background1" w:themeFillShade="D9"/>
            <w:vAlign w:val="center"/>
          </w:tcPr>
          <w:p w14:paraId="219C3AD0"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Modulación digital</w:t>
            </w:r>
          </w:p>
        </w:tc>
        <w:tc>
          <w:tcPr>
            <w:tcW w:w="1132" w:type="pct"/>
            <w:shd w:val="clear" w:color="auto" w:fill="auto"/>
            <w:vAlign w:val="center"/>
          </w:tcPr>
          <w:p w14:paraId="0188F610" w14:textId="77777777" w:rsidR="00ED49E0" w:rsidRPr="0027631D" w:rsidRDefault="00ED49E0" w:rsidP="0027631D">
            <w:pPr>
              <w:spacing w:after="0" w:line="23" w:lineRule="atLeast"/>
              <w:contextualSpacing/>
              <w:jc w:val="center"/>
              <w:rPr>
                <w:rFonts w:ascii="Arial" w:hAnsi="Arial" w:cs="Arial"/>
                <w:highlight w:val="darkCyan"/>
                <w:lang w:val="es-ES" w:eastAsia="es-MX"/>
              </w:rPr>
            </w:pPr>
            <w:r w:rsidRPr="0027631D">
              <w:rPr>
                <w:rFonts w:ascii="Arial" w:hAnsi="Arial" w:cs="Arial"/>
                <w:lang w:val="es-ES" w:eastAsia="es-MX"/>
              </w:rPr>
              <w:t>El ancho de banda del canal a 6 dB deberá ser de al menos 500 kHz</w:t>
            </w:r>
          </w:p>
        </w:tc>
        <w:tc>
          <w:tcPr>
            <w:tcW w:w="831" w:type="pct"/>
            <w:shd w:val="clear" w:color="auto" w:fill="auto"/>
            <w:vAlign w:val="center"/>
          </w:tcPr>
          <w:p w14:paraId="7E5475A3"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1 W</w:t>
            </w:r>
          </w:p>
        </w:tc>
        <w:tc>
          <w:tcPr>
            <w:tcW w:w="905" w:type="pct"/>
            <w:shd w:val="clear" w:color="auto" w:fill="auto"/>
            <w:vAlign w:val="center"/>
          </w:tcPr>
          <w:p w14:paraId="0931E668"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6 dBi</w:t>
            </w:r>
          </w:p>
        </w:tc>
        <w:tc>
          <w:tcPr>
            <w:tcW w:w="1456" w:type="pct"/>
            <w:shd w:val="clear" w:color="auto" w:fill="auto"/>
            <w:vAlign w:val="center"/>
          </w:tcPr>
          <w:p w14:paraId="5A60C9EB"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8 dBm de cualquier segmento de 3 kHz de cualquier intervalo de transmisión continua.</w:t>
            </w:r>
          </w:p>
        </w:tc>
      </w:tr>
    </w:tbl>
    <w:p w14:paraId="0211A929" w14:textId="10757044" w:rsidR="00ED49E0" w:rsidRPr="000A317A" w:rsidRDefault="00ED49E0" w:rsidP="0027631D">
      <w:pPr>
        <w:pStyle w:val="Descripcin"/>
        <w:contextualSpacing/>
        <w:rPr>
          <w:i w:val="0"/>
          <w:sz w:val="22"/>
          <w:szCs w:val="22"/>
          <w:lang w:val="es-ES" w:eastAsia="es-MX"/>
        </w:rPr>
      </w:pPr>
      <w:bookmarkStart w:id="150" w:name="_Toc45305732"/>
      <w:bookmarkStart w:id="151" w:name="_Toc45364864"/>
      <w:bookmarkStart w:id="152" w:name="_Toc45381219"/>
      <w:bookmarkStart w:id="153" w:name="_Toc45452821"/>
      <w:bookmarkStart w:id="154" w:name="_Toc45452930"/>
      <w:r w:rsidRPr="000A317A">
        <w:rPr>
          <w:i w:val="0"/>
          <w:sz w:val="22"/>
          <w:szCs w:val="22"/>
        </w:rPr>
        <w:t xml:space="preserve">Tabla </w:t>
      </w:r>
      <w:r w:rsidR="008010AD" w:rsidRPr="000A317A">
        <w:rPr>
          <w:i w:val="0"/>
          <w:sz w:val="22"/>
          <w:szCs w:val="22"/>
        </w:rPr>
        <w:fldChar w:fldCharType="begin"/>
      </w:r>
      <w:r w:rsidR="008010AD" w:rsidRPr="000A317A">
        <w:rPr>
          <w:i w:val="0"/>
          <w:sz w:val="22"/>
          <w:szCs w:val="22"/>
        </w:rPr>
        <w:instrText xml:space="preserve"> SEQ Tabla \* ARABIC </w:instrText>
      </w:r>
      <w:r w:rsidR="008010AD" w:rsidRPr="000A317A">
        <w:rPr>
          <w:i w:val="0"/>
          <w:sz w:val="22"/>
          <w:szCs w:val="22"/>
        </w:rPr>
        <w:fldChar w:fldCharType="separate"/>
      </w:r>
      <w:r w:rsidR="004F1EA3">
        <w:rPr>
          <w:i w:val="0"/>
          <w:noProof/>
          <w:sz w:val="22"/>
          <w:szCs w:val="22"/>
        </w:rPr>
        <w:t>9</w:t>
      </w:r>
      <w:r w:rsidR="008010AD" w:rsidRPr="000A317A">
        <w:rPr>
          <w:i w:val="0"/>
          <w:noProof/>
          <w:sz w:val="22"/>
          <w:szCs w:val="22"/>
        </w:rPr>
        <w:fldChar w:fldCharType="end"/>
      </w:r>
      <w:r w:rsidRPr="000A317A">
        <w:rPr>
          <w:i w:val="0"/>
          <w:sz w:val="22"/>
          <w:szCs w:val="22"/>
        </w:rPr>
        <w:t>.</w:t>
      </w:r>
      <w:r w:rsidRPr="000A317A">
        <w:rPr>
          <w:i w:val="0"/>
          <w:sz w:val="22"/>
          <w:szCs w:val="22"/>
          <w:lang w:val="es-ES" w:eastAsia="es-MX"/>
        </w:rPr>
        <w:t xml:space="preserve"> Disposiciones y límites aplicables a los sistemas con modulación digital en la banda 2.4 GH</w:t>
      </w:r>
      <w:bookmarkEnd w:id="150"/>
      <w:r w:rsidRPr="000A317A">
        <w:rPr>
          <w:i w:val="0"/>
          <w:sz w:val="22"/>
          <w:szCs w:val="22"/>
          <w:lang w:val="es-ES" w:eastAsia="es-MX"/>
        </w:rPr>
        <w:t>z establecidos en EE. UU.</w:t>
      </w:r>
      <w:bookmarkEnd w:id="151"/>
      <w:bookmarkEnd w:id="152"/>
      <w:bookmarkEnd w:id="153"/>
      <w:bookmarkEnd w:id="154"/>
    </w:p>
    <w:p w14:paraId="7A933BCB" w14:textId="77777777" w:rsidR="00ED49E0" w:rsidRPr="0027631D" w:rsidRDefault="00ED49E0" w:rsidP="0027631D">
      <w:pPr>
        <w:spacing w:after="0" w:line="23" w:lineRule="atLeast"/>
        <w:contextualSpacing/>
        <w:jc w:val="both"/>
        <w:rPr>
          <w:rFonts w:ascii="Arial" w:hAnsi="Arial" w:cs="Arial"/>
          <w:highlight w:val="yellow"/>
          <w:lang w:val="es-ES" w:eastAsia="es-MX"/>
        </w:rPr>
      </w:pPr>
    </w:p>
    <w:p w14:paraId="7D69D9E6" w14:textId="77777777" w:rsidR="00ED49E0" w:rsidRPr="0027631D" w:rsidRDefault="00ED49E0" w:rsidP="0027631D">
      <w:pPr>
        <w:spacing w:after="0" w:line="23" w:lineRule="atLeast"/>
        <w:contextualSpacing/>
        <w:jc w:val="both"/>
        <w:rPr>
          <w:rFonts w:ascii="Arial" w:hAnsi="Arial" w:cs="Arial"/>
        </w:rPr>
      </w:pPr>
      <w:r w:rsidRPr="0027631D">
        <w:rPr>
          <w:rFonts w:ascii="Arial" w:hAnsi="Arial" w:cs="Arial"/>
        </w:rPr>
        <w:t xml:space="preserve">El límite de potencia pico de salida máxima conducida aplicable a los sistemas que utilizan técnicas de modulación digital, se basa en el uso de antenas </w:t>
      </w:r>
      <w:r w:rsidR="00BB3D40" w:rsidRPr="0027631D">
        <w:rPr>
          <w:rFonts w:ascii="Arial" w:hAnsi="Arial" w:cs="Arial"/>
        </w:rPr>
        <w:t xml:space="preserve">direccionales </w:t>
      </w:r>
      <w:r w:rsidRPr="0027631D">
        <w:rPr>
          <w:rFonts w:ascii="Arial" w:hAnsi="Arial" w:cs="Arial"/>
        </w:rPr>
        <w:t xml:space="preserve">con ganancias que no superan los 6 dBi. Si se utilizan antenas de transmisión </w:t>
      </w:r>
      <w:r w:rsidR="00BB3D40" w:rsidRPr="0027631D">
        <w:rPr>
          <w:rFonts w:ascii="Arial" w:hAnsi="Arial" w:cs="Arial"/>
        </w:rPr>
        <w:t xml:space="preserve">direccional </w:t>
      </w:r>
      <w:r w:rsidRPr="0027631D">
        <w:rPr>
          <w:rFonts w:ascii="Arial" w:hAnsi="Arial" w:cs="Arial"/>
        </w:rPr>
        <w:t xml:space="preserve">de ganancia mayor a 6 dBi, la potencia pico de salida máxima conducida desde el radiador intencional se reducirá por debajo de los valores establecidos, según corresponda, en la cantidad en dB que la ganancia de la antena </w:t>
      </w:r>
      <w:r w:rsidR="00BB3D40" w:rsidRPr="0027631D">
        <w:rPr>
          <w:rFonts w:ascii="Arial" w:hAnsi="Arial" w:cs="Arial"/>
        </w:rPr>
        <w:t xml:space="preserve">direccional </w:t>
      </w:r>
      <w:r w:rsidRPr="0027631D">
        <w:rPr>
          <w:rFonts w:ascii="Arial" w:hAnsi="Arial" w:cs="Arial"/>
        </w:rPr>
        <w:t>excede los 6 dBi.</w:t>
      </w:r>
    </w:p>
    <w:p w14:paraId="60D946C3" w14:textId="77777777" w:rsidR="00ED49E0" w:rsidRPr="0027631D" w:rsidRDefault="00ED49E0" w:rsidP="0027631D">
      <w:pPr>
        <w:spacing w:after="0" w:line="23" w:lineRule="atLeast"/>
        <w:contextualSpacing/>
        <w:jc w:val="both"/>
        <w:rPr>
          <w:rFonts w:ascii="Arial" w:hAnsi="Arial" w:cs="Arial"/>
          <w:lang w:val="es-ES" w:eastAsia="es-MX"/>
        </w:rPr>
      </w:pPr>
    </w:p>
    <w:tbl>
      <w:tblPr>
        <w:tblStyle w:val="Tablaconcuadrcula"/>
        <w:tblW w:w="5000" w:type="pct"/>
        <w:jc w:val="right"/>
        <w:tblCellMar>
          <w:left w:w="28" w:type="dxa"/>
          <w:right w:w="28" w:type="dxa"/>
        </w:tblCellMar>
        <w:tblLook w:val="04A0" w:firstRow="1" w:lastRow="0" w:firstColumn="1" w:lastColumn="0" w:noHBand="0" w:noVBand="1"/>
      </w:tblPr>
      <w:tblGrid>
        <w:gridCol w:w="3113"/>
        <w:gridCol w:w="3119"/>
        <w:gridCol w:w="3162"/>
      </w:tblGrid>
      <w:tr w:rsidR="00575BDB" w:rsidRPr="0027631D" w14:paraId="40B6A50F" w14:textId="77777777" w:rsidTr="00341CFE">
        <w:trPr>
          <w:cantSplit/>
          <w:trHeight w:val="295"/>
          <w:tblHeader/>
          <w:jc w:val="right"/>
        </w:trPr>
        <w:tc>
          <w:tcPr>
            <w:tcW w:w="1657" w:type="pct"/>
            <w:shd w:val="clear" w:color="auto" w:fill="D9D9D9" w:themeFill="background1" w:themeFillShade="D9"/>
            <w:vAlign w:val="center"/>
          </w:tcPr>
          <w:p w14:paraId="0A7C8A93"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Tipo de sistema</w:t>
            </w:r>
          </w:p>
        </w:tc>
        <w:tc>
          <w:tcPr>
            <w:tcW w:w="3343" w:type="pct"/>
            <w:gridSpan w:val="2"/>
            <w:shd w:val="clear" w:color="auto" w:fill="D9D9D9" w:themeFill="background1" w:themeFillShade="D9"/>
            <w:vAlign w:val="center"/>
          </w:tcPr>
          <w:p w14:paraId="66DCD3CF"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Disposición y límite de operación</w:t>
            </w:r>
          </w:p>
        </w:tc>
      </w:tr>
      <w:tr w:rsidR="00575BDB" w:rsidRPr="0027631D" w14:paraId="53A20DC6" w14:textId="77777777" w:rsidTr="00FF5B8A">
        <w:trPr>
          <w:cantSplit/>
          <w:trHeight w:val="258"/>
          <w:jc w:val="right"/>
        </w:trPr>
        <w:tc>
          <w:tcPr>
            <w:tcW w:w="1657" w:type="pct"/>
            <w:vMerge w:val="restart"/>
            <w:shd w:val="clear" w:color="auto" w:fill="D9D9D9" w:themeFill="background1" w:themeFillShade="D9"/>
            <w:vAlign w:val="center"/>
          </w:tcPr>
          <w:p w14:paraId="39E709C4"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Híbrido</w:t>
            </w:r>
          </w:p>
          <w:p w14:paraId="6F6E6B75"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(Salto de frecuencia apagado)</w:t>
            </w:r>
          </w:p>
        </w:tc>
        <w:tc>
          <w:tcPr>
            <w:tcW w:w="3343" w:type="pct"/>
            <w:gridSpan w:val="2"/>
            <w:shd w:val="clear" w:color="auto" w:fill="D9D9D9" w:themeFill="background1" w:themeFillShade="D9"/>
            <w:vAlign w:val="center"/>
          </w:tcPr>
          <w:p w14:paraId="7A1D5DBD"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b/>
                <w:lang w:val="es-ES" w:eastAsia="es-MX"/>
              </w:rPr>
              <w:t>Densidad espectral de potencia conducida a la(s) antena(s)</w:t>
            </w:r>
          </w:p>
        </w:tc>
      </w:tr>
      <w:tr w:rsidR="00575BDB" w:rsidRPr="0027631D" w14:paraId="737EF2AF" w14:textId="77777777" w:rsidTr="00FF5B8A">
        <w:trPr>
          <w:cantSplit/>
          <w:trHeight w:val="301"/>
          <w:jc w:val="right"/>
        </w:trPr>
        <w:tc>
          <w:tcPr>
            <w:tcW w:w="1657" w:type="pct"/>
            <w:vMerge/>
            <w:shd w:val="clear" w:color="auto" w:fill="D9D9D9" w:themeFill="background1" w:themeFillShade="D9"/>
            <w:vAlign w:val="center"/>
          </w:tcPr>
          <w:p w14:paraId="0AF75759" w14:textId="77777777" w:rsidR="00ED49E0" w:rsidRPr="0027631D" w:rsidRDefault="00ED49E0" w:rsidP="0027631D">
            <w:pPr>
              <w:spacing w:after="0" w:line="23" w:lineRule="atLeast"/>
              <w:contextualSpacing/>
              <w:jc w:val="center"/>
              <w:rPr>
                <w:rFonts w:ascii="Arial" w:hAnsi="Arial" w:cs="Arial"/>
                <w:b/>
                <w:lang w:val="es-ES" w:eastAsia="es-MX"/>
              </w:rPr>
            </w:pPr>
          </w:p>
        </w:tc>
        <w:tc>
          <w:tcPr>
            <w:tcW w:w="3343" w:type="pct"/>
            <w:gridSpan w:val="2"/>
            <w:shd w:val="clear" w:color="auto" w:fill="auto"/>
            <w:vAlign w:val="center"/>
          </w:tcPr>
          <w:p w14:paraId="4DDEB2D2"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xml:space="preserve">≤ 8 dBm de cualquier segmento de 3kHz </w:t>
            </w:r>
            <w:r w:rsidRPr="0027631D" w:rsidDel="00C02F42">
              <w:rPr>
                <w:rFonts w:ascii="Arial" w:hAnsi="Arial" w:cs="Arial"/>
                <w:lang w:val="es-ES" w:eastAsia="es-MX"/>
              </w:rPr>
              <w:t xml:space="preserve">de </w:t>
            </w:r>
            <w:r w:rsidRPr="0027631D">
              <w:rPr>
                <w:rFonts w:ascii="Arial" w:hAnsi="Arial" w:cs="Arial"/>
                <w:lang w:val="es-ES" w:eastAsia="es-MX"/>
              </w:rPr>
              <w:t>cualquier intervalo de transmisión continua.</w:t>
            </w:r>
          </w:p>
        </w:tc>
      </w:tr>
      <w:tr w:rsidR="00575BDB" w:rsidRPr="0027631D" w14:paraId="282CAD58" w14:textId="77777777" w:rsidTr="00FF5B8A">
        <w:trPr>
          <w:cantSplit/>
          <w:trHeight w:val="20"/>
          <w:jc w:val="right"/>
        </w:trPr>
        <w:tc>
          <w:tcPr>
            <w:tcW w:w="1657" w:type="pct"/>
            <w:vMerge w:val="restart"/>
            <w:shd w:val="clear" w:color="auto" w:fill="D9D9D9" w:themeFill="background1" w:themeFillShade="D9"/>
            <w:vAlign w:val="center"/>
          </w:tcPr>
          <w:p w14:paraId="68311FF4"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Híbrido</w:t>
            </w:r>
          </w:p>
          <w:p w14:paraId="3FA3C190"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(Modulación digital apagada)</w:t>
            </w:r>
          </w:p>
        </w:tc>
        <w:tc>
          <w:tcPr>
            <w:tcW w:w="1660" w:type="pct"/>
            <w:shd w:val="clear" w:color="auto" w:fill="D9D9D9" w:themeFill="background1" w:themeFillShade="D9"/>
            <w:vAlign w:val="center"/>
          </w:tcPr>
          <w:p w14:paraId="084576B3"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b/>
                <w:lang w:val="es-ES" w:eastAsia="es-MX"/>
              </w:rPr>
              <w:t>Tiempo promedio de ocupación en cualquier frecuencia</w:t>
            </w:r>
          </w:p>
        </w:tc>
        <w:tc>
          <w:tcPr>
            <w:tcW w:w="1683" w:type="pct"/>
            <w:shd w:val="clear" w:color="auto" w:fill="D9D9D9" w:themeFill="background1" w:themeFillShade="D9"/>
            <w:vAlign w:val="center"/>
          </w:tcPr>
          <w:p w14:paraId="6BE76C25"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Periodo de tiempo de ocupación</w:t>
            </w:r>
          </w:p>
        </w:tc>
      </w:tr>
      <w:tr w:rsidR="00575BDB" w:rsidRPr="0027631D" w14:paraId="19CF64F7" w14:textId="77777777" w:rsidTr="00FF5B8A">
        <w:trPr>
          <w:cantSplit/>
          <w:trHeight w:val="20"/>
          <w:jc w:val="right"/>
        </w:trPr>
        <w:tc>
          <w:tcPr>
            <w:tcW w:w="1657" w:type="pct"/>
            <w:vMerge/>
            <w:shd w:val="clear" w:color="auto" w:fill="D9D9D9" w:themeFill="background1" w:themeFillShade="D9"/>
            <w:vAlign w:val="center"/>
          </w:tcPr>
          <w:p w14:paraId="5502E401" w14:textId="77777777" w:rsidR="00ED49E0" w:rsidRPr="0027631D" w:rsidRDefault="00ED49E0" w:rsidP="0027631D">
            <w:pPr>
              <w:spacing w:after="0" w:line="23" w:lineRule="atLeast"/>
              <w:contextualSpacing/>
              <w:jc w:val="center"/>
              <w:rPr>
                <w:rFonts w:ascii="Arial" w:hAnsi="Arial" w:cs="Arial"/>
                <w:b/>
                <w:lang w:val="es-ES" w:eastAsia="es-MX"/>
              </w:rPr>
            </w:pPr>
          </w:p>
        </w:tc>
        <w:tc>
          <w:tcPr>
            <w:tcW w:w="1660" w:type="pct"/>
            <w:shd w:val="clear" w:color="auto" w:fill="auto"/>
            <w:vAlign w:val="center"/>
          </w:tcPr>
          <w:p w14:paraId="6AF1EECD"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0.4s</w:t>
            </w:r>
          </w:p>
        </w:tc>
        <w:tc>
          <w:tcPr>
            <w:tcW w:w="1683" w:type="pct"/>
            <w:shd w:val="clear" w:color="auto" w:fill="auto"/>
            <w:vAlign w:val="center"/>
          </w:tcPr>
          <w:p w14:paraId="5E6312A6"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(0.4 s) (N)</w:t>
            </w:r>
          </w:p>
        </w:tc>
      </w:tr>
    </w:tbl>
    <w:p w14:paraId="44611878" w14:textId="2711F835" w:rsidR="00ED49E0" w:rsidRPr="000A317A" w:rsidRDefault="00ED49E0" w:rsidP="0027631D">
      <w:pPr>
        <w:pStyle w:val="Descripcin"/>
        <w:contextualSpacing/>
        <w:rPr>
          <w:i w:val="0"/>
          <w:sz w:val="22"/>
          <w:szCs w:val="22"/>
          <w:lang w:val="es-ES" w:eastAsia="es-MX"/>
        </w:rPr>
      </w:pPr>
      <w:bookmarkStart w:id="155" w:name="_Toc45305733"/>
      <w:bookmarkStart w:id="156" w:name="_Toc45364865"/>
      <w:bookmarkStart w:id="157" w:name="_Toc45381220"/>
      <w:bookmarkStart w:id="158" w:name="_Toc45452822"/>
      <w:bookmarkStart w:id="159" w:name="_Toc45452931"/>
      <w:r w:rsidRPr="000A317A">
        <w:rPr>
          <w:i w:val="0"/>
          <w:sz w:val="22"/>
          <w:szCs w:val="22"/>
        </w:rPr>
        <w:t xml:space="preserve">Tabla </w:t>
      </w:r>
      <w:r w:rsidR="008010AD" w:rsidRPr="000A317A">
        <w:rPr>
          <w:i w:val="0"/>
          <w:sz w:val="22"/>
          <w:szCs w:val="22"/>
        </w:rPr>
        <w:fldChar w:fldCharType="begin"/>
      </w:r>
      <w:r w:rsidR="008010AD" w:rsidRPr="000A317A">
        <w:rPr>
          <w:i w:val="0"/>
          <w:sz w:val="22"/>
          <w:szCs w:val="22"/>
        </w:rPr>
        <w:instrText xml:space="preserve"> SEQ Tabla \* ARABIC </w:instrText>
      </w:r>
      <w:r w:rsidR="008010AD" w:rsidRPr="000A317A">
        <w:rPr>
          <w:i w:val="0"/>
          <w:sz w:val="22"/>
          <w:szCs w:val="22"/>
        </w:rPr>
        <w:fldChar w:fldCharType="separate"/>
      </w:r>
      <w:r w:rsidR="004F1EA3">
        <w:rPr>
          <w:i w:val="0"/>
          <w:noProof/>
          <w:sz w:val="22"/>
          <w:szCs w:val="22"/>
        </w:rPr>
        <w:t>10</w:t>
      </w:r>
      <w:r w:rsidR="008010AD" w:rsidRPr="000A317A">
        <w:rPr>
          <w:i w:val="0"/>
          <w:noProof/>
          <w:sz w:val="22"/>
          <w:szCs w:val="22"/>
        </w:rPr>
        <w:fldChar w:fldCharType="end"/>
      </w:r>
      <w:r w:rsidRPr="000A317A">
        <w:rPr>
          <w:i w:val="0"/>
          <w:sz w:val="22"/>
          <w:szCs w:val="22"/>
        </w:rPr>
        <w:t>.</w:t>
      </w:r>
      <w:r w:rsidRPr="000A317A">
        <w:rPr>
          <w:i w:val="0"/>
          <w:sz w:val="22"/>
          <w:szCs w:val="22"/>
          <w:lang w:val="es-ES" w:eastAsia="es-MX"/>
        </w:rPr>
        <w:t xml:space="preserve"> Disposiciones y límites aplicables a los sistemas híbridos en la banda 2.4 GHz</w:t>
      </w:r>
      <w:bookmarkEnd w:id="155"/>
      <w:r w:rsidRPr="000A317A">
        <w:rPr>
          <w:i w:val="0"/>
          <w:sz w:val="22"/>
          <w:szCs w:val="22"/>
          <w:lang w:val="es-ES" w:eastAsia="es-MX"/>
        </w:rPr>
        <w:t xml:space="preserve"> establecidos en EE. UU.</w:t>
      </w:r>
      <w:bookmarkEnd w:id="156"/>
      <w:bookmarkEnd w:id="157"/>
      <w:bookmarkEnd w:id="158"/>
      <w:bookmarkEnd w:id="159"/>
    </w:p>
    <w:p w14:paraId="5BF48B09" w14:textId="77777777" w:rsidR="00ED49E0" w:rsidRPr="0027631D" w:rsidRDefault="00ED49E0" w:rsidP="0027631D">
      <w:pPr>
        <w:spacing w:after="0" w:line="23" w:lineRule="atLeast"/>
        <w:contextualSpacing/>
        <w:jc w:val="both"/>
        <w:rPr>
          <w:rFonts w:ascii="Arial" w:hAnsi="Arial" w:cs="Arial"/>
          <w:lang w:val="es-ES" w:eastAsia="es-MX"/>
        </w:rPr>
      </w:pPr>
    </w:p>
    <w:p w14:paraId="4F86B122" w14:textId="77777777" w:rsidR="00ED49E0" w:rsidRPr="0027631D" w:rsidRDefault="00ED49E0" w:rsidP="0027631D">
      <w:pPr>
        <w:spacing w:after="0" w:line="23" w:lineRule="atLeast"/>
        <w:contextualSpacing/>
        <w:jc w:val="both"/>
        <w:rPr>
          <w:rFonts w:ascii="Arial" w:hAnsi="Arial" w:cs="Arial"/>
          <w:lang w:val="es-ES" w:eastAsia="es-MX"/>
        </w:rPr>
      </w:pPr>
      <w:r w:rsidRPr="0027631D">
        <w:rPr>
          <w:rFonts w:ascii="Arial" w:hAnsi="Arial" w:cs="Arial"/>
          <w:lang w:val="es-ES" w:eastAsia="es-MX"/>
        </w:rPr>
        <w:t xml:space="preserve">En el caso particular de los sistemas que se usan exclusivamente para operaciones fijas punto a punto en la banda 2.4 GHz, la sección 15.247 indica que pueden emplearse antenas de transmisión </w:t>
      </w:r>
      <w:r w:rsidR="00BB3D40" w:rsidRPr="0027631D">
        <w:rPr>
          <w:rFonts w:ascii="Arial" w:hAnsi="Arial" w:cs="Arial"/>
          <w:lang w:val="es-ES" w:eastAsia="es-MX"/>
        </w:rPr>
        <w:t xml:space="preserve">direccional </w:t>
      </w:r>
      <w:r w:rsidRPr="0027631D">
        <w:rPr>
          <w:rFonts w:ascii="Arial" w:hAnsi="Arial" w:cs="Arial"/>
          <w:lang w:val="es-ES" w:eastAsia="es-MX"/>
        </w:rPr>
        <w:t xml:space="preserve">con ganancia mayor de 6 dBi, siempre que la potencia de salida máxima conducida del radiador intencional se reduzca en 1 dB por cada 3 dB que la ganancia de la antena </w:t>
      </w:r>
      <w:r w:rsidR="00BB3D40" w:rsidRPr="0027631D">
        <w:rPr>
          <w:rFonts w:ascii="Arial" w:hAnsi="Arial" w:cs="Arial"/>
          <w:lang w:val="es-ES" w:eastAsia="es-MX"/>
        </w:rPr>
        <w:t xml:space="preserve">direccional </w:t>
      </w:r>
      <w:r w:rsidRPr="0027631D">
        <w:rPr>
          <w:rFonts w:ascii="Arial" w:hAnsi="Arial" w:cs="Arial"/>
          <w:lang w:val="es-ES" w:eastAsia="es-MX"/>
        </w:rPr>
        <w:t>supere los 6 dBi, tal como se indica en la tabla siguiente:</w:t>
      </w:r>
    </w:p>
    <w:p w14:paraId="7D464F86" w14:textId="77777777" w:rsidR="00ED49E0" w:rsidRPr="0027631D" w:rsidRDefault="00ED49E0" w:rsidP="0027631D">
      <w:pPr>
        <w:spacing w:after="0" w:line="23" w:lineRule="atLeast"/>
        <w:contextualSpacing/>
        <w:jc w:val="both"/>
        <w:rPr>
          <w:rFonts w:ascii="Arial" w:hAnsi="Arial" w:cs="Arial"/>
          <w:lang w:val="es-ES" w:eastAsia="es-MX"/>
        </w:rPr>
      </w:pPr>
    </w:p>
    <w:tbl>
      <w:tblPr>
        <w:tblStyle w:val="Tablaconcuadrcula"/>
        <w:tblW w:w="5000" w:type="pct"/>
        <w:jc w:val="center"/>
        <w:tblLook w:val="04A0" w:firstRow="1" w:lastRow="0" w:firstColumn="1" w:lastColumn="0" w:noHBand="0" w:noVBand="1"/>
      </w:tblPr>
      <w:tblGrid>
        <w:gridCol w:w="1222"/>
        <w:gridCol w:w="1305"/>
        <w:gridCol w:w="4975"/>
        <w:gridCol w:w="1892"/>
      </w:tblGrid>
      <w:tr w:rsidR="00575BDB" w:rsidRPr="0027631D" w14:paraId="792F6AF8" w14:textId="77777777" w:rsidTr="00341CFE">
        <w:trPr>
          <w:tblHeader/>
          <w:jc w:val="center"/>
        </w:trPr>
        <w:tc>
          <w:tcPr>
            <w:tcW w:w="676" w:type="pct"/>
            <w:shd w:val="clear" w:color="auto" w:fill="D9D9D9" w:themeFill="background1" w:themeFillShade="D9"/>
            <w:vAlign w:val="center"/>
          </w:tcPr>
          <w:p w14:paraId="0D65B048"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Tipo de sistema</w:t>
            </w:r>
          </w:p>
        </w:tc>
        <w:tc>
          <w:tcPr>
            <w:tcW w:w="619" w:type="pct"/>
            <w:shd w:val="clear" w:color="auto" w:fill="D9D9D9" w:themeFill="background1" w:themeFillShade="D9"/>
            <w:vAlign w:val="center"/>
          </w:tcPr>
          <w:p w14:paraId="11288384"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Tipo de antena</w:t>
            </w:r>
          </w:p>
        </w:tc>
        <w:tc>
          <w:tcPr>
            <w:tcW w:w="2672" w:type="pct"/>
            <w:shd w:val="clear" w:color="auto" w:fill="D9D9D9" w:themeFill="background1" w:themeFillShade="D9"/>
            <w:vAlign w:val="center"/>
          </w:tcPr>
          <w:p w14:paraId="5A4A0BC2" w14:textId="77777777" w:rsidR="00ED49E0" w:rsidRPr="0027631D" w:rsidRDefault="00ED49E0" w:rsidP="00D62E72">
            <w:pPr>
              <w:spacing w:after="0" w:line="23" w:lineRule="atLeast"/>
              <w:contextualSpacing/>
              <w:jc w:val="center"/>
              <w:rPr>
                <w:rFonts w:ascii="Arial" w:hAnsi="Arial" w:cs="Arial"/>
                <w:b/>
              </w:rPr>
            </w:pPr>
            <w:r w:rsidRPr="0027631D">
              <w:rPr>
                <w:rFonts w:ascii="Arial" w:hAnsi="Arial" w:cs="Arial"/>
                <w:b/>
              </w:rPr>
              <w:t>Ganancia de la antena direccional</w:t>
            </w:r>
          </w:p>
        </w:tc>
        <w:tc>
          <w:tcPr>
            <w:tcW w:w="1032" w:type="pct"/>
            <w:shd w:val="clear" w:color="auto" w:fill="D9D9D9" w:themeFill="background1" w:themeFillShade="D9"/>
            <w:vAlign w:val="center"/>
          </w:tcPr>
          <w:p w14:paraId="65B20324"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Potencia de salida máxima</w:t>
            </w:r>
          </w:p>
        </w:tc>
      </w:tr>
      <w:tr w:rsidR="00575BDB" w:rsidRPr="0027631D" w14:paraId="7EC01EF6" w14:textId="77777777" w:rsidTr="00FF5B8A">
        <w:trPr>
          <w:cantSplit/>
          <w:jc w:val="center"/>
        </w:trPr>
        <w:tc>
          <w:tcPr>
            <w:tcW w:w="676" w:type="pct"/>
            <w:shd w:val="clear" w:color="auto" w:fill="D9D9D9" w:themeFill="background1" w:themeFillShade="D9"/>
            <w:vAlign w:val="center"/>
          </w:tcPr>
          <w:p w14:paraId="2B27A5B4"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b/>
              </w:rPr>
              <w:t>Fijos – PaP</w:t>
            </w:r>
          </w:p>
        </w:tc>
        <w:tc>
          <w:tcPr>
            <w:tcW w:w="619" w:type="pct"/>
            <w:shd w:val="clear" w:color="auto" w:fill="auto"/>
            <w:vAlign w:val="center"/>
          </w:tcPr>
          <w:p w14:paraId="2B0CBCBD"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rPr>
              <w:t>Direccional</w:t>
            </w:r>
          </w:p>
        </w:tc>
        <w:tc>
          <w:tcPr>
            <w:tcW w:w="2672" w:type="pct"/>
            <w:shd w:val="clear" w:color="auto" w:fill="auto"/>
            <w:vAlign w:val="center"/>
          </w:tcPr>
          <w:p w14:paraId="22B16A0A" w14:textId="77777777" w:rsidR="00ED49E0" w:rsidRPr="0027631D" w:rsidRDefault="00ED49E0" w:rsidP="0027631D">
            <w:pPr>
              <w:spacing w:after="0" w:line="23" w:lineRule="atLeast"/>
              <w:contextualSpacing/>
              <w:jc w:val="center"/>
              <w:rPr>
                <w:rFonts w:ascii="Arial" w:hAnsi="Arial" w:cs="Arial"/>
              </w:rPr>
            </w:pPr>
            <w:r w:rsidRPr="0027631D" w:rsidDel="000938FB">
              <w:rPr>
                <w:rFonts w:ascii="Arial" w:hAnsi="Arial" w:cs="Arial"/>
              </w:rPr>
              <w:t>&gt;</w:t>
            </w:r>
            <w:r w:rsidRPr="0027631D">
              <w:rPr>
                <w:rFonts w:ascii="Arial" w:hAnsi="Arial" w:cs="Arial"/>
              </w:rPr>
              <w:t xml:space="preserve"> 6 dBi</w:t>
            </w:r>
          </w:p>
          <w:p w14:paraId="0B3DD123"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rPr>
              <w:t>(excluye el uso de antenas direccionales con ganancia mayor que 6 dBi para los sistemas de PaM, aplicaciones omnidireccionales y múltiples radiadores intencionales de ubicación conjunta que transmiten la misma información)</w:t>
            </w:r>
          </w:p>
        </w:tc>
        <w:tc>
          <w:tcPr>
            <w:tcW w:w="1032" w:type="pct"/>
            <w:shd w:val="clear" w:color="auto" w:fill="auto"/>
            <w:vAlign w:val="center"/>
          </w:tcPr>
          <w:p w14:paraId="5D8CD479" w14:textId="77777777" w:rsidR="00ED49E0" w:rsidRPr="0027631D" w:rsidRDefault="00ED49E0" w:rsidP="002A7088">
            <w:pPr>
              <w:spacing w:after="0" w:line="23" w:lineRule="atLeast"/>
              <w:contextualSpacing/>
              <w:jc w:val="center"/>
              <w:rPr>
                <w:rFonts w:ascii="Arial" w:hAnsi="Arial" w:cs="Arial"/>
              </w:rPr>
            </w:pPr>
            <w:r w:rsidRPr="0027631D">
              <w:rPr>
                <w:rFonts w:ascii="Arial" w:hAnsi="Arial" w:cs="Arial"/>
              </w:rPr>
              <w:t>Reducir 1 dB por cada 3 dB que la ganancia de la antena direccional supere los 6 dBi</w:t>
            </w:r>
          </w:p>
        </w:tc>
      </w:tr>
    </w:tbl>
    <w:p w14:paraId="2B70D0FC" w14:textId="1CEA3256" w:rsidR="00ED49E0" w:rsidRPr="000A317A" w:rsidRDefault="00ED49E0" w:rsidP="0027631D">
      <w:pPr>
        <w:pStyle w:val="Descripcin"/>
        <w:contextualSpacing/>
        <w:rPr>
          <w:i w:val="0"/>
          <w:sz w:val="22"/>
          <w:szCs w:val="22"/>
        </w:rPr>
      </w:pPr>
      <w:bookmarkStart w:id="160" w:name="_Toc44669659"/>
      <w:bookmarkStart w:id="161" w:name="_Toc44946872"/>
      <w:bookmarkStart w:id="162" w:name="_Toc45105834"/>
      <w:bookmarkStart w:id="163" w:name="_Toc45105933"/>
      <w:bookmarkStart w:id="164" w:name="_Toc45112637"/>
      <w:bookmarkStart w:id="165" w:name="_Toc45115150"/>
      <w:bookmarkStart w:id="166" w:name="_Toc45119725"/>
      <w:bookmarkStart w:id="167" w:name="_Toc45217377"/>
      <w:bookmarkStart w:id="168" w:name="_Toc45226580"/>
      <w:bookmarkStart w:id="169" w:name="_Toc45226696"/>
      <w:bookmarkStart w:id="170" w:name="_Toc45274892"/>
      <w:bookmarkStart w:id="171" w:name="_Toc45274971"/>
      <w:bookmarkStart w:id="172" w:name="_Toc45279208"/>
      <w:bookmarkStart w:id="173" w:name="_Toc45305734"/>
      <w:bookmarkStart w:id="174" w:name="_Toc45364866"/>
      <w:bookmarkStart w:id="175" w:name="_Toc45381221"/>
      <w:bookmarkStart w:id="176" w:name="_Toc45452823"/>
      <w:bookmarkStart w:id="177" w:name="_Toc45452932"/>
      <w:r w:rsidRPr="000A317A">
        <w:rPr>
          <w:i w:val="0"/>
          <w:sz w:val="22"/>
          <w:szCs w:val="22"/>
        </w:rPr>
        <w:t xml:space="preserve">Tabla </w:t>
      </w:r>
      <w:r w:rsidR="008010AD" w:rsidRPr="000A317A">
        <w:rPr>
          <w:i w:val="0"/>
          <w:sz w:val="22"/>
          <w:szCs w:val="22"/>
        </w:rPr>
        <w:fldChar w:fldCharType="begin"/>
      </w:r>
      <w:r w:rsidR="008010AD" w:rsidRPr="000A317A">
        <w:rPr>
          <w:i w:val="0"/>
          <w:sz w:val="22"/>
          <w:szCs w:val="22"/>
        </w:rPr>
        <w:instrText xml:space="preserve"> SEQ Tabla \* ARABIC </w:instrText>
      </w:r>
      <w:r w:rsidR="008010AD" w:rsidRPr="000A317A">
        <w:rPr>
          <w:i w:val="0"/>
          <w:sz w:val="22"/>
          <w:szCs w:val="22"/>
        </w:rPr>
        <w:fldChar w:fldCharType="separate"/>
      </w:r>
      <w:r w:rsidR="004F1EA3">
        <w:rPr>
          <w:i w:val="0"/>
          <w:noProof/>
          <w:sz w:val="22"/>
          <w:szCs w:val="22"/>
        </w:rPr>
        <w:t>11</w:t>
      </w:r>
      <w:r w:rsidR="008010AD" w:rsidRPr="000A317A">
        <w:rPr>
          <w:i w:val="0"/>
          <w:noProof/>
          <w:sz w:val="22"/>
          <w:szCs w:val="22"/>
        </w:rPr>
        <w:fldChar w:fldCharType="end"/>
      </w:r>
      <w:r w:rsidRPr="000A317A">
        <w:rPr>
          <w:i w:val="0"/>
          <w:sz w:val="22"/>
          <w:szCs w:val="22"/>
        </w:rPr>
        <w:t>. Disposiciones y límites aplicables a las operaciones de sistemas PaP en la banda 2.4 GHz</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0A317A">
        <w:rPr>
          <w:i w:val="0"/>
          <w:sz w:val="22"/>
          <w:szCs w:val="22"/>
          <w:lang w:val="es-ES" w:eastAsia="es-MX"/>
        </w:rPr>
        <w:t xml:space="preserve"> establecidos en EE. UU.</w:t>
      </w:r>
      <w:bookmarkEnd w:id="174"/>
      <w:bookmarkEnd w:id="175"/>
      <w:bookmarkEnd w:id="176"/>
      <w:bookmarkEnd w:id="177"/>
    </w:p>
    <w:p w14:paraId="220E12B7" w14:textId="77777777" w:rsidR="00ED49E0" w:rsidRPr="0027631D" w:rsidRDefault="00ED49E0" w:rsidP="0027631D">
      <w:pPr>
        <w:spacing w:after="0" w:line="23" w:lineRule="atLeast"/>
        <w:contextualSpacing/>
        <w:jc w:val="both"/>
        <w:rPr>
          <w:rFonts w:ascii="Arial" w:hAnsi="Arial" w:cs="Arial"/>
        </w:rPr>
      </w:pPr>
    </w:p>
    <w:p w14:paraId="10F0AEAE" w14:textId="77777777" w:rsidR="00ED49E0" w:rsidRPr="0027631D" w:rsidRDefault="00ED49E0" w:rsidP="0027631D">
      <w:pPr>
        <w:spacing w:after="0" w:line="23" w:lineRule="atLeast"/>
        <w:contextualSpacing/>
        <w:jc w:val="both"/>
        <w:rPr>
          <w:rFonts w:ascii="Arial" w:hAnsi="Arial" w:cs="Arial"/>
          <w:lang w:val="es-ES" w:eastAsia="es-MX"/>
        </w:rPr>
      </w:pPr>
      <w:r w:rsidRPr="0027631D">
        <w:rPr>
          <w:rFonts w:ascii="Arial" w:hAnsi="Arial" w:cs="Arial"/>
          <w:lang w:val="es-ES" w:eastAsia="es-MX"/>
        </w:rPr>
        <w:t>Asimismo, se establece que, los transmisores que emitan múltiples haces direccionales, simultánea o secuencialmente, con el propósito de dirigir las señales a receptores individuales o a grupos de receptores, deberán cumplir con lo siguiente:</w:t>
      </w:r>
    </w:p>
    <w:p w14:paraId="7C6A0586" w14:textId="77777777" w:rsidR="00ED49E0" w:rsidRPr="0027631D" w:rsidRDefault="00ED49E0" w:rsidP="0027631D">
      <w:pPr>
        <w:spacing w:after="0" w:line="23" w:lineRule="atLeast"/>
        <w:contextualSpacing/>
        <w:jc w:val="both"/>
        <w:rPr>
          <w:rFonts w:ascii="Arial" w:hAnsi="Arial" w:cs="Arial"/>
        </w:rPr>
      </w:pPr>
    </w:p>
    <w:p w14:paraId="0A62EE5A" w14:textId="77777777" w:rsidR="00ED49E0" w:rsidRPr="0027631D" w:rsidRDefault="00ED49E0" w:rsidP="00E36991">
      <w:pPr>
        <w:pStyle w:val="Prrafodelista"/>
        <w:numPr>
          <w:ilvl w:val="0"/>
          <w:numId w:val="9"/>
        </w:numPr>
        <w:spacing w:line="23" w:lineRule="atLeast"/>
        <w:ind w:left="567" w:hanging="283"/>
        <w:contextualSpacing/>
        <w:jc w:val="both"/>
        <w:rPr>
          <w:rFonts w:cs="Arial"/>
          <w:sz w:val="22"/>
          <w:szCs w:val="22"/>
        </w:rPr>
      </w:pPr>
      <w:r w:rsidRPr="0027631D">
        <w:rPr>
          <w:rFonts w:cs="Arial"/>
          <w:sz w:val="22"/>
          <w:szCs w:val="22"/>
        </w:rPr>
        <w:lastRenderedPageBreak/>
        <w:t>transmitir información diferente a cada receptor;</w:t>
      </w:r>
    </w:p>
    <w:p w14:paraId="105EB22A" w14:textId="77777777" w:rsidR="00ED49E0" w:rsidRPr="0027631D" w:rsidRDefault="00ED49E0" w:rsidP="0027631D">
      <w:pPr>
        <w:pStyle w:val="Prrafodelista"/>
        <w:spacing w:line="23" w:lineRule="atLeast"/>
        <w:ind w:left="567" w:hanging="283"/>
        <w:contextualSpacing/>
        <w:jc w:val="both"/>
        <w:rPr>
          <w:rFonts w:cs="Arial"/>
          <w:sz w:val="22"/>
          <w:szCs w:val="22"/>
        </w:rPr>
      </w:pPr>
    </w:p>
    <w:p w14:paraId="1BE5A2F7" w14:textId="77777777" w:rsidR="00ED49E0" w:rsidRPr="0027631D" w:rsidRDefault="00ED49E0" w:rsidP="00E36991">
      <w:pPr>
        <w:pStyle w:val="Prrafodelista"/>
        <w:numPr>
          <w:ilvl w:val="0"/>
          <w:numId w:val="9"/>
        </w:numPr>
        <w:spacing w:line="23" w:lineRule="atLeast"/>
        <w:ind w:left="567" w:hanging="283"/>
        <w:contextualSpacing/>
        <w:jc w:val="both"/>
        <w:rPr>
          <w:rFonts w:cs="Arial"/>
          <w:sz w:val="22"/>
          <w:szCs w:val="22"/>
        </w:rPr>
      </w:pPr>
      <w:r w:rsidRPr="0027631D">
        <w:rPr>
          <w:rFonts w:cs="Arial"/>
          <w:sz w:val="22"/>
          <w:szCs w:val="22"/>
        </w:rPr>
        <w:t>si el transmisor emplea un sistema de antena que emite múltiples haces direccionales, pero no emite múltiples haces direccionales simultáneamente, la potencia de salida total conducida al conjunto o conjuntos que comprenden el dispositivo, es decir, la suma de la potencia suministrada a toda la antena, elementos de antena, etc. y sumados a través de todas las portadoras o canales de frecuencia, no deberán exceder el límite de potencia de salida especificado para los sistemas de salto de frecuencia y sistemas modulados digitalmente. Sin embargo, la potencia de salida conducida total se reducirá en 1 dB por debajo de los límites especificados por cada 3 dB que la ganancia de la antena direccional o matriz de antenas, exceda de 6 dBi. La ganancia de la antena direccional se calculará como la suma de 10 log (número de elementos de matriz), más la ganancia del elemento que tiene la ganancia más alta;</w:t>
      </w:r>
    </w:p>
    <w:p w14:paraId="53A9AFED" w14:textId="77777777" w:rsidR="00ED49E0" w:rsidRPr="0027631D" w:rsidRDefault="00ED49E0" w:rsidP="0027631D">
      <w:pPr>
        <w:pStyle w:val="Prrafodelista"/>
        <w:spacing w:line="23" w:lineRule="atLeast"/>
        <w:ind w:left="567" w:hanging="283"/>
        <w:contextualSpacing/>
        <w:jc w:val="both"/>
        <w:rPr>
          <w:rFonts w:cs="Arial"/>
          <w:sz w:val="22"/>
          <w:szCs w:val="22"/>
        </w:rPr>
      </w:pPr>
    </w:p>
    <w:p w14:paraId="2FCEFAE7" w14:textId="7842A8E9" w:rsidR="00ED49E0" w:rsidRPr="0027631D" w:rsidRDefault="00ED49E0" w:rsidP="00E36991">
      <w:pPr>
        <w:pStyle w:val="Prrafodelista"/>
        <w:numPr>
          <w:ilvl w:val="0"/>
          <w:numId w:val="9"/>
        </w:numPr>
        <w:spacing w:line="23" w:lineRule="atLeast"/>
        <w:ind w:left="567" w:hanging="283"/>
        <w:contextualSpacing/>
        <w:jc w:val="both"/>
        <w:rPr>
          <w:rFonts w:cs="Arial"/>
          <w:sz w:val="22"/>
          <w:szCs w:val="22"/>
        </w:rPr>
      </w:pPr>
      <w:r w:rsidRPr="0027631D">
        <w:rPr>
          <w:rFonts w:cs="Arial"/>
          <w:sz w:val="22"/>
          <w:szCs w:val="22"/>
        </w:rPr>
        <w:t>si el transmisor emplea una antena que opera simultáneamente con haces direccionales múltiples utilizando los mismos canales de frecuencia o diferentes, la potencia suministrada a cada haz de emisión está sujeta al límite de potencia de salida especificado para los sistemas de salto de frecuencia y sistemas de modulados digitalmente. Si los haces transmitidos se superponen, la potencia de salida del transmisor se reducirá para garantizar que su potencia agregada no exceda el límite de potencia de salida especificado para los sistemas de salto de frecuencia y sistemas modulados digitalmente. Además, la potencia agregada transmitida simultáneamente en todos los haces no deberá exceder el límite especificado para los sistemas de salto de frecuencia y sistemas de modulación digital por más de 8 dB</w:t>
      </w:r>
      <w:r w:rsidR="00A92AC3">
        <w:rPr>
          <w:rFonts w:cs="Arial"/>
          <w:sz w:val="22"/>
          <w:szCs w:val="22"/>
        </w:rPr>
        <w:t>,</w:t>
      </w:r>
      <w:r w:rsidRPr="0027631D">
        <w:rPr>
          <w:rFonts w:cs="Arial"/>
          <w:sz w:val="22"/>
          <w:szCs w:val="22"/>
        </w:rPr>
        <w:t xml:space="preserve"> y</w:t>
      </w:r>
    </w:p>
    <w:p w14:paraId="327C47A9" w14:textId="77777777" w:rsidR="00ED49E0" w:rsidRPr="0027631D" w:rsidRDefault="00ED49E0" w:rsidP="0027631D">
      <w:pPr>
        <w:pStyle w:val="Prrafodelista"/>
        <w:spacing w:line="23" w:lineRule="atLeast"/>
        <w:ind w:left="567" w:hanging="283"/>
        <w:contextualSpacing/>
        <w:jc w:val="both"/>
        <w:rPr>
          <w:rFonts w:cs="Arial"/>
          <w:sz w:val="22"/>
          <w:szCs w:val="22"/>
        </w:rPr>
      </w:pPr>
    </w:p>
    <w:p w14:paraId="64D5ECC5" w14:textId="77777777" w:rsidR="00ED49E0" w:rsidRPr="0027631D" w:rsidRDefault="00ED49E0" w:rsidP="00E36991">
      <w:pPr>
        <w:pStyle w:val="Prrafodelista"/>
        <w:numPr>
          <w:ilvl w:val="0"/>
          <w:numId w:val="9"/>
        </w:numPr>
        <w:spacing w:line="23" w:lineRule="atLeast"/>
        <w:ind w:left="567" w:hanging="283"/>
        <w:contextualSpacing/>
        <w:jc w:val="both"/>
        <w:rPr>
          <w:rFonts w:cs="Arial"/>
          <w:sz w:val="22"/>
          <w:szCs w:val="22"/>
        </w:rPr>
      </w:pPr>
      <w:r w:rsidRPr="0027631D">
        <w:rPr>
          <w:rFonts w:cs="Arial"/>
          <w:sz w:val="22"/>
          <w:szCs w:val="22"/>
        </w:rPr>
        <w:t>los transmisores que emiten un solo haz direccional deberán operar bajo las disposiciones indicadas en los sistemas empleados para operaciones fijas punto a punto.</w:t>
      </w:r>
    </w:p>
    <w:p w14:paraId="7DE91B41" w14:textId="77777777" w:rsidR="00ED49E0" w:rsidRPr="0027631D" w:rsidRDefault="00ED49E0" w:rsidP="0027631D">
      <w:pPr>
        <w:spacing w:after="0" w:line="23" w:lineRule="atLeast"/>
        <w:contextualSpacing/>
        <w:jc w:val="both"/>
        <w:rPr>
          <w:rFonts w:ascii="Arial" w:hAnsi="Arial" w:cs="Arial"/>
        </w:rPr>
      </w:pPr>
    </w:p>
    <w:p w14:paraId="72C776B5" w14:textId="77777777" w:rsidR="00ED49E0" w:rsidRPr="0027631D" w:rsidRDefault="00ED49E0" w:rsidP="0027631D">
      <w:pPr>
        <w:spacing w:after="0" w:line="23" w:lineRule="atLeast"/>
        <w:contextualSpacing/>
        <w:jc w:val="both"/>
        <w:rPr>
          <w:rFonts w:ascii="Arial" w:hAnsi="Arial" w:cs="Arial"/>
        </w:rPr>
      </w:pPr>
      <w:r w:rsidRPr="0027631D">
        <w:rPr>
          <w:rFonts w:ascii="Arial" w:hAnsi="Arial" w:cs="Arial"/>
        </w:rPr>
        <w:t>De igual manera en la sección 15.245</w:t>
      </w:r>
      <w:r w:rsidRPr="0027631D">
        <w:rPr>
          <w:rStyle w:val="Refdenotaalpie"/>
          <w:rFonts w:ascii="Arial" w:hAnsi="Arial" w:cs="Arial"/>
        </w:rPr>
        <w:footnoteReference w:id="19"/>
      </w:r>
      <w:r w:rsidRPr="0027631D">
        <w:rPr>
          <w:rFonts w:ascii="Arial" w:hAnsi="Arial" w:cs="Arial"/>
        </w:rPr>
        <w:t xml:space="preserve"> se indican los límites de emisión de intensidad de campo de cualquier radiador intencional utilizados como sensores de perturbación de campo en una porción de la banda 2.4 GHz de conformidad con la tabla siguiente: </w:t>
      </w:r>
    </w:p>
    <w:p w14:paraId="692205BF" w14:textId="77777777" w:rsidR="00ED49E0" w:rsidRPr="0027631D" w:rsidRDefault="00ED49E0" w:rsidP="0027631D">
      <w:pPr>
        <w:spacing w:after="0" w:line="23" w:lineRule="atLeast"/>
        <w:contextualSpacing/>
        <w:jc w:val="both"/>
        <w:rPr>
          <w:rFonts w:ascii="Arial" w:hAnsi="Arial" w:cs="Arial"/>
        </w:rPr>
      </w:pPr>
    </w:p>
    <w:tbl>
      <w:tblPr>
        <w:tblStyle w:val="Tablaconcuadrcula"/>
        <w:tblW w:w="5000" w:type="pct"/>
        <w:jc w:val="right"/>
        <w:tblLook w:val="04A0" w:firstRow="1" w:lastRow="0" w:firstColumn="1" w:lastColumn="0" w:noHBand="0" w:noVBand="1"/>
      </w:tblPr>
      <w:tblGrid>
        <w:gridCol w:w="3044"/>
        <w:gridCol w:w="3363"/>
        <w:gridCol w:w="2987"/>
      </w:tblGrid>
      <w:tr w:rsidR="00575BDB" w:rsidRPr="0027631D" w14:paraId="096BB7BE" w14:textId="77777777" w:rsidTr="00341CFE">
        <w:trPr>
          <w:jc w:val="right"/>
        </w:trPr>
        <w:tc>
          <w:tcPr>
            <w:tcW w:w="5000" w:type="pct"/>
            <w:gridSpan w:val="3"/>
            <w:shd w:val="clear" w:color="auto" w:fill="D9D9D9" w:themeFill="background1" w:themeFillShade="D9"/>
            <w:vAlign w:val="center"/>
          </w:tcPr>
          <w:p w14:paraId="5943644D"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Límites de intensidad de campo para los sensores de perturbación de campo a una distancia de 3 metros</w:t>
            </w:r>
          </w:p>
        </w:tc>
      </w:tr>
      <w:tr w:rsidR="00575BDB" w:rsidRPr="0027631D" w14:paraId="6A060275" w14:textId="77777777" w:rsidTr="00341CFE">
        <w:trPr>
          <w:trHeight w:val="317"/>
          <w:jc w:val="right"/>
        </w:trPr>
        <w:tc>
          <w:tcPr>
            <w:tcW w:w="1620" w:type="pct"/>
            <w:vMerge w:val="restart"/>
            <w:shd w:val="clear" w:color="auto" w:fill="D9D9D9" w:themeFill="background1" w:themeFillShade="D9"/>
            <w:vAlign w:val="center"/>
          </w:tcPr>
          <w:p w14:paraId="0474985E"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Banda de frecuencias (MHz)</w:t>
            </w:r>
          </w:p>
        </w:tc>
        <w:tc>
          <w:tcPr>
            <w:tcW w:w="3380" w:type="pct"/>
            <w:gridSpan w:val="2"/>
            <w:shd w:val="clear" w:color="auto" w:fill="D9D9D9" w:themeFill="background1" w:themeFillShade="D9"/>
            <w:vAlign w:val="center"/>
          </w:tcPr>
          <w:p w14:paraId="0806054D"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Intensidad de campo</w:t>
            </w:r>
          </w:p>
        </w:tc>
      </w:tr>
      <w:tr w:rsidR="00575BDB" w:rsidRPr="0027631D" w14:paraId="4A6FC48B" w14:textId="77777777" w:rsidTr="00341CFE">
        <w:trPr>
          <w:trHeight w:val="317"/>
          <w:jc w:val="right"/>
        </w:trPr>
        <w:tc>
          <w:tcPr>
            <w:tcW w:w="1620" w:type="pct"/>
            <w:vMerge/>
            <w:shd w:val="clear" w:color="auto" w:fill="auto"/>
            <w:vAlign w:val="center"/>
          </w:tcPr>
          <w:p w14:paraId="03993825" w14:textId="77777777" w:rsidR="00ED49E0" w:rsidRPr="0027631D" w:rsidRDefault="00ED49E0" w:rsidP="0027631D">
            <w:pPr>
              <w:spacing w:after="0" w:line="23" w:lineRule="atLeast"/>
              <w:contextualSpacing/>
              <w:jc w:val="center"/>
              <w:rPr>
                <w:rFonts w:ascii="Arial" w:hAnsi="Arial" w:cs="Arial"/>
                <w:b/>
              </w:rPr>
            </w:pPr>
          </w:p>
        </w:tc>
        <w:tc>
          <w:tcPr>
            <w:tcW w:w="1790" w:type="pct"/>
            <w:shd w:val="clear" w:color="auto" w:fill="D9D9D9" w:themeFill="background1" w:themeFillShade="D9"/>
            <w:vAlign w:val="center"/>
          </w:tcPr>
          <w:p w14:paraId="280B9DAA"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Fundamental</w:t>
            </w:r>
          </w:p>
        </w:tc>
        <w:tc>
          <w:tcPr>
            <w:tcW w:w="1590" w:type="pct"/>
            <w:shd w:val="clear" w:color="auto" w:fill="D9D9D9" w:themeFill="background1" w:themeFillShade="D9"/>
            <w:vAlign w:val="center"/>
          </w:tcPr>
          <w:p w14:paraId="60AC3B67"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Emisión armónicos</w:t>
            </w:r>
          </w:p>
        </w:tc>
      </w:tr>
      <w:tr w:rsidR="00575BDB" w:rsidRPr="0027631D" w14:paraId="70F64318" w14:textId="77777777" w:rsidTr="00575BDB">
        <w:trPr>
          <w:trHeight w:val="337"/>
          <w:jc w:val="right"/>
        </w:trPr>
        <w:tc>
          <w:tcPr>
            <w:tcW w:w="1620" w:type="pct"/>
            <w:shd w:val="clear" w:color="auto" w:fill="auto"/>
            <w:vAlign w:val="center"/>
          </w:tcPr>
          <w:p w14:paraId="3CD3F871"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rPr>
              <w:t>2435-2465 MHz</w:t>
            </w:r>
          </w:p>
        </w:tc>
        <w:tc>
          <w:tcPr>
            <w:tcW w:w="1790" w:type="pct"/>
            <w:shd w:val="clear" w:color="auto" w:fill="auto"/>
            <w:vAlign w:val="center"/>
          </w:tcPr>
          <w:p w14:paraId="2AEEC8C4"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rPr>
              <w:t>500 mV/m</w:t>
            </w:r>
          </w:p>
        </w:tc>
        <w:tc>
          <w:tcPr>
            <w:tcW w:w="1590" w:type="pct"/>
            <w:shd w:val="clear" w:color="auto" w:fill="auto"/>
            <w:vAlign w:val="center"/>
          </w:tcPr>
          <w:p w14:paraId="2598C625"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rPr>
              <w:t>1.6 mV/m</w:t>
            </w:r>
          </w:p>
        </w:tc>
      </w:tr>
    </w:tbl>
    <w:p w14:paraId="3278DEC3" w14:textId="71F981A0" w:rsidR="00ED49E0" w:rsidRPr="00515B91" w:rsidRDefault="00ED49E0" w:rsidP="0027631D">
      <w:pPr>
        <w:pStyle w:val="Descripcin"/>
        <w:contextualSpacing/>
        <w:rPr>
          <w:i w:val="0"/>
          <w:sz w:val="22"/>
          <w:szCs w:val="22"/>
        </w:rPr>
      </w:pPr>
      <w:bookmarkStart w:id="178" w:name="_Toc45217375"/>
      <w:bookmarkStart w:id="179" w:name="_Toc45226578"/>
      <w:bookmarkStart w:id="180" w:name="_Toc45226694"/>
      <w:bookmarkStart w:id="181" w:name="_Toc45274890"/>
      <w:bookmarkStart w:id="182" w:name="_Toc45274969"/>
      <w:bookmarkStart w:id="183" w:name="_Toc45279210"/>
      <w:bookmarkStart w:id="184" w:name="_Toc45305736"/>
      <w:bookmarkStart w:id="185" w:name="_Toc45364868"/>
      <w:bookmarkStart w:id="186" w:name="_Toc45381223"/>
      <w:bookmarkStart w:id="187" w:name="_Toc45452824"/>
      <w:bookmarkStart w:id="188" w:name="_Toc45452933"/>
      <w:r w:rsidRPr="00515B91">
        <w:rPr>
          <w:i w:val="0"/>
          <w:sz w:val="22"/>
          <w:szCs w:val="22"/>
        </w:rPr>
        <w:t xml:space="preserve">Tabla </w:t>
      </w:r>
      <w:r w:rsidR="008010AD" w:rsidRPr="00515B91">
        <w:rPr>
          <w:i w:val="0"/>
          <w:sz w:val="22"/>
          <w:szCs w:val="22"/>
        </w:rPr>
        <w:fldChar w:fldCharType="begin"/>
      </w:r>
      <w:r w:rsidR="008010AD" w:rsidRPr="00515B91">
        <w:rPr>
          <w:i w:val="0"/>
          <w:sz w:val="22"/>
          <w:szCs w:val="22"/>
        </w:rPr>
        <w:instrText xml:space="preserve"> SEQ Tabla \* ARABIC </w:instrText>
      </w:r>
      <w:r w:rsidR="008010AD" w:rsidRPr="00515B91">
        <w:rPr>
          <w:i w:val="0"/>
          <w:sz w:val="22"/>
          <w:szCs w:val="22"/>
        </w:rPr>
        <w:fldChar w:fldCharType="separate"/>
      </w:r>
      <w:r w:rsidR="004F1EA3">
        <w:rPr>
          <w:i w:val="0"/>
          <w:noProof/>
          <w:sz w:val="22"/>
          <w:szCs w:val="22"/>
        </w:rPr>
        <w:t>12</w:t>
      </w:r>
      <w:r w:rsidR="008010AD" w:rsidRPr="00515B91">
        <w:rPr>
          <w:i w:val="0"/>
          <w:noProof/>
          <w:sz w:val="22"/>
          <w:szCs w:val="22"/>
        </w:rPr>
        <w:fldChar w:fldCharType="end"/>
      </w:r>
      <w:r w:rsidRPr="00515B91">
        <w:rPr>
          <w:i w:val="0"/>
          <w:sz w:val="22"/>
          <w:szCs w:val="22"/>
        </w:rPr>
        <w:t>. Límites de intensidad de campo aplicables a los sensores de perturbación de campo en la banda 2.4 GHz</w:t>
      </w:r>
      <w:bookmarkEnd w:id="178"/>
      <w:bookmarkEnd w:id="179"/>
      <w:bookmarkEnd w:id="180"/>
      <w:bookmarkEnd w:id="181"/>
      <w:bookmarkEnd w:id="182"/>
      <w:bookmarkEnd w:id="183"/>
      <w:bookmarkEnd w:id="184"/>
      <w:r w:rsidRPr="00515B91">
        <w:rPr>
          <w:i w:val="0"/>
          <w:sz w:val="22"/>
          <w:szCs w:val="22"/>
          <w:lang w:val="es-ES" w:eastAsia="es-MX"/>
        </w:rPr>
        <w:t xml:space="preserve"> establecidos en EE. UU.</w:t>
      </w:r>
      <w:bookmarkEnd w:id="185"/>
      <w:bookmarkEnd w:id="186"/>
      <w:bookmarkEnd w:id="187"/>
      <w:bookmarkEnd w:id="188"/>
    </w:p>
    <w:p w14:paraId="6206C02C" w14:textId="77777777" w:rsidR="00ED49E0" w:rsidRPr="00A92AC3" w:rsidRDefault="00ED49E0" w:rsidP="0027631D">
      <w:pPr>
        <w:spacing w:after="0" w:line="23" w:lineRule="atLeast"/>
        <w:contextualSpacing/>
        <w:jc w:val="both"/>
        <w:rPr>
          <w:rFonts w:ascii="Arial" w:hAnsi="Arial" w:cs="Arial"/>
        </w:rPr>
      </w:pPr>
    </w:p>
    <w:p w14:paraId="38072FF3" w14:textId="77777777" w:rsidR="00ED49E0" w:rsidRPr="0027631D" w:rsidRDefault="00ED49E0" w:rsidP="0027631D">
      <w:pPr>
        <w:spacing w:after="0" w:line="23" w:lineRule="atLeast"/>
        <w:contextualSpacing/>
        <w:jc w:val="both"/>
        <w:rPr>
          <w:rFonts w:ascii="Arial" w:hAnsi="Arial" w:cs="Arial"/>
        </w:rPr>
      </w:pPr>
      <w:r w:rsidRPr="0027631D">
        <w:rPr>
          <w:rFonts w:ascii="Arial" w:hAnsi="Arial" w:cs="Arial"/>
        </w:rPr>
        <w:t>Por otro lado, en la sección 15.249</w:t>
      </w:r>
      <w:r w:rsidRPr="0027631D">
        <w:rPr>
          <w:rStyle w:val="Refdenotaalpie"/>
          <w:rFonts w:ascii="Arial" w:hAnsi="Arial" w:cs="Arial"/>
        </w:rPr>
        <w:footnoteReference w:id="20"/>
      </w:r>
      <w:r w:rsidRPr="0027631D">
        <w:rPr>
          <w:rFonts w:ascii="Arial" w:hAnsi="Arial" w:cs="Arial"/>
        </w:rPr>
        <w:t>, se encuentran los límites de emisión de intensidad de campo de cualquier otro radiador intencional que funcione en la banda 2.4 GHz, los cuales se resumen en la tabla siguiente:</w:t>
      </w:r>
    </w:p>
    <w:p w14:paraId="06C76090" w14:textId="77777777" w:rsidR="00ED49E0" w:rsidRPr="0027631D" w:rsidRDefault="00ED49E0" w:rsidP="0027631D">
      <w:pPr>
        <w:spacing w:after="0" w:line="23" w:lineRule="atLeast"/>
        <w:contextualSpacing/>
        <w:jc w:val="both"/>
        <w:rPr>
          <w:rFonts w:ascii="Arial" w:hAnsi="Arial" w:cs="Arial"/>
        </w:rPr>
      </w:pPr>
    </w:p>
    <w:tbl>
      <w:tblPr>
        <w:tblStyle w:val="Tablaconcuadrcula"/>
        <w:tblW w:w="5000" w:type="pct"/>
        <w:jc w:val="center"/>
        <w:tblLook w:val="04A0" w:firstRow="1" w:lastRow="0" w:firstColumn="1" w:lastColumn="0" w:noHBand="0" w:noVBand="1"/>
      </w:tblPr>
      <w:tblGrid>
        <w:gridCol w:w="3044"/>
        <w:gridCol w:w="3363"/>
        <w:gridCol w:w="2987"/>
      </w:tblGrid>
      <w:tr w:rsidR="00575BDB" w:rsidRPr="0027631D" w14:paraId="2FB337A7" w14:textId="77777777" w:rsidTr="00FB7222">
        <w:trPr>
          <w:tblHeader/>
          <w:jc w:val="center"/>
        </w:trPr>
        <w:tc>
          <w:tcPr>
            <w:tcW w:w="5000" w:type="pct"/>
            <w:gridSpan w:val="3"/>
            <w:shd w:val="clear" w:color="auto" w:fill="D9D9D9" w:themeFill="background1" w:themeFillShade="D9"/>
            <w:vAlign w:val="center"/>
          </w:tcPr>
          <w:p w14:paraId="29D01B47"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lastRenderedPageBreak/>
              <w:t>Límites de intensidad de campo para cualquier otro radiador intencional a una distancia de 3 metros</w:t>
            </w:r>
          </w:p>
        </w:tc>
      </w:tr>
      <w:tr w:rsidR="00575BDB" w:rsidRPr="0027631D" w14:paraId="7E9A91FC" w14:textId="77777777" w:rsidTr="00FB7222">
        <w:trPr>
          <w:trHeight w:val="317"/>
          <w:tblHeader/>
          <w:jc w:val="center"/>
        </w:trPr>
        <w:tc>
          <w:tcPr>
            <w:tcW w:w="1620" w:type="pct"/>
            <w:vMerge w:val="restart"/>
            <w:shd w:val="clear" w:color="auto" w:fill="D9D9D9" w:themeFill="background1" w:themeFillShade="D9"/>
            <w:vAlign w:val="center"/>
          </w:tcPr>
          <w:p w14:paraId="096AD8BD"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Banda de frecuencias (MHz)</w:t>
            </w:r>
          </w:p>
        </w:tc>
        <w:tc>
          <w:tcPr>
            <w:tcW w:w="3380" w:type="pct"/>
            <w:gridSpan w:val="2"/>
            <w:shd w:val="clear" w:color="auto" w:fill="D9D9D9" w:themeFill="background1" w:themeFillShade="D9"/>
            <w:vAlign w:val="center"/>
          </w:tcPr>
          <w:p w14:paraId="630980AF"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Intensidad de campo</w:t>
            </w:r>
          </w:p>
        </w:tc>
      </w:tr>
      <w:tr w:rsidR="00575BDB" w:rsidRPr="0027631D" w14:paraId="306CBC1E" w14:textId="77777777" w:rsidTr="00FB7222">
        <w:trPr>
          <w:trHeight w:val="317"/>
          <w:tblHeader/>
          <w:jc w:val="center"/>
        </w:trPr>
        <w:tc>
          <w:tcPr>
            <w:tcW w:w="1620" w:type="pct"/>
            <w:vMerge/>
            <w:shd w:val="clear" w:color="auto" w:fill="D9D9D9" w:themeFill="background1" w:themeFillShade="D9"/>
            <w:vAlign w:val="center"/>
          </w:tcPr>
          <w:p w14:paraId="0ADF7DA4" w14:textId="77777777" w:rsidR="00ED49E0" w:rsidRPr="0027631D" w:rsidRDefault="00ED49E0" w:rsidP="0027631D">
            <w:pPr>
              <w:spacing w:after="0" w:line="23" w:lineRule="atLeast"/>
              <w:contextualSpacing/>
              <w:jc w:val="center"/>
              <w:rPr>
                <w:rFonts w:ascii="Arial" w:hAnsi="Arial" w:cs="Arial"/>
                <w:b/>
              </w:rPr>
            </w:pPr>
          </w:p>
        </w:tc>
        <w:tc>
          <w:tcPr>
            <w:tcW w:w="1790" w:type="pct"/>
            <w:shd w:val="clear" w:color="auto" w:fill="D9D9D9" w:themeFill="background1" w:themeFillShade="D9"/>
            <w:vAlign w:val="center"/>
          </w:tcPr>
          <w:p w14:paraId="3AE3B141"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Emisión fundamental</w:t>
            </w:r>
          </w:p>
        </w:tc>
        <w:tc>
          <w:tcPr>
            <w:tcW w:w="1590" w:type="pct"/>
            <w:shd w:val="clear" w:color="auto" w:fill="D9D9D9" w:themeFill="background1" w:themeFillShade="D9"/>
            <w:vAlign w:val="center"/>
          </w:tcPr>
          <w:p w14:paraId="4C13D8B0"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Emisión armónicos</w:t>
            </w:r>
          </w:p>
        </w:tc>
      </w:tr>
      <w:tr w:rsidR="00575BDB" w:rsidRPr="0027631D" w14:paraId="3BAC9C16" w14:textId="77777777" w:rsidTr="00FB7222">
        <w:trPr>
          <w:trHeight w:val="293"/>
          <w:jc w:val="center"/>
        </w:trPr>
        <w:tc>
          <w:tcPr>
            <w:tcW w:w="1620" w:type="pct"/>
            <w:shd w:val="clear" w:color="auto" w:fill="auto"/>
            <w:vAlign w:val="center"/>
          </w:tcPr>
          <w:p w14:paraId="56799F1E"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rPr>
              <w:t>2400-2483.5 MHz</w:t>
            </w:r>
          </w:p>
        </w:tc>
        <w:tc>
          <w:tcPr>
            <w:tcW w:w="1790" w:type="pct"/>
            <w:shd w:val="clear" w:color="auto" w:fill="auto"/>
            <w:vAlign w:val="center"/>
          </w:tcPr>
          <w:p w14:paraId="12DA2209"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rPr>
              <w:t>50 mV/m</w:t>
            </w:r>
          </w:p>
        </w:tc>
        <w:tc>
          <w:tcPr>
            <w:tcW w:w="1590" w:type="pct"/>
            <w:shd w:val="clear" w:color="auto" w:fill="auto"/>
            <w:vAlign w:val="center"/>
          </w:tcPr>
          <w:p w14:paraId="55586878"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rPr>
              <w:t>500 µV/m</w:t>
            </w:r>
          </w:p>
        </w:tc>
      </w:tr>
    </w:tbl>
    <w:p w14:paraId="67ECBF52" w14:textId="6B084977" w:rsidR="00ED49E0" w:rsidRPr="00515B91" w:rsidRDefault="00ED49E0" w:rsidP="0027631D">
      <w:pPr>
        <w:pStyle w:val="Descripcin"/>
        <w:contextualSpacing/>
        <w:rPr>
          <w:i w:val="0"/>
          <w:sz w:val="22"/>
          <w:szCs w:val="22"/>
        </w:rPr>
      </w:pPr>
      <w:bookmarkStart w:id="189" w:name="_Toc44669660"/>
      <w:bookmarkStart w:id="190" w:name="_Toc44946873"/>
      <w:bookmarkStart w:id="191" w:name="_Toc45105835"/>
      <w:bookmarkStart w:id="192" w:name="_Toc45105934"/>
      <w:bookmarkStart w:id="193" w:name="_Toc45112638"/>
      <w:bookmarkStart w:id="194" w:name="_Toc45115151"/>
      <w:bookmarkStart w:id="195" w:name="_Toc45119726"/>
      <w:bookmarkStart w:id="196" w:name="_Toc45217378"/>
      <w:bookmarkStart w:id="197" w:name="_Toc45226581"/>
      <w:bookmarkStart w:id="198" w:name="_Toc45226697"/>
      <w:bookmarkStart w:id="199" w:name="_Toc45274893"/>
      <w:bookmarkStart w:id="200" w:name="_Toc45274972"/>
      <w:bookmarkStart w:id="201" w:name="_Toc45279209"/>
      <w:bookmarkStart w:id="202" w:name="_Toc45305735"/>
      <w:bookmarkStart w:id="203" w:name="_Toc45364867"/>
      <w:bookmarkStart w:id="204" w:name="_Toc45381222"/>
      <w:bookmarkStart w:id="205" w:name="_Toc45452825"/>
      <w:bookmarkStart w:id="206" w:name="_Toc45452934"/>
      <w:r w:rsidRPr="00515B91">
        <w:rPr>
          <w:i w:val="0"/>
          <w:sz w:val="22"/>
          <w:szCs w:val="22"/>
        </w:rPr>
        <w:t xml:space="preserve">Tabla </w:t>
      </w:r>
      <w:r w:rsidR="008010AD" w:rsidRPr="00515B91">
        <w:rPr>
          <w:i w:val="0"/>
          <w:sz w:val="22"/>
          <w:szCs w:val="22"/>
        </w:rPr>
        <w:fldChar w:fldCharType="begin"/>
      </w:r>
      <w:r w:rsidR="008010AD" w:rsidRPr="00515B91">
        <w:rPr>
          <w:i w:val="0"/>
          <w:sz w:val="22"/>
          <w:szCs w:val="22"/>
        </w:rPr>
        <w:instrText xml:space="preserve"> SEQ Tabla \* ARABIC </w:instrText>
      </w:r>
      <w:r w:rsidR="008010AD" w:rsidRPr="00515B91">
        <w:rPr>
          <w:i w:val="0"/>
          <w:sz w:val="22"/>
          <w:szCs w:val="22"/>
        </w:rPr>
        <w:fldChar w:fldCharType="separate"/>
      </w:r>
      <w:r w:rsidR="004F1EA3">
        <w:rPr>
          <w:i w:val="0"/>
          <w:noProof/>
          <w:sz w:val="22"/>
          <w:szCs w:val="22"/>
        </w:rPr>
        <w:t>13</w:t>
      </w:r>
      <w:r w:rsidR="008010AD" w:rsidRPr="00515B91">
        <w:rPr>
          <w:i w:val="0"/>
          <w:noProof/>
          <w:sz w:val="22"/>
          <w:szCs w:val="22"/>
        </w:rPr>
        <w:fldChar w:fldCharType="end"/>
      </w:r>
      <w:r w:rsidRPr="00515B91">
        <w:rPr>
          <w:i w:val="0"/>
          <w:sz w:val="22"/>
          <w:szCs w:val="22"/>
        </w:rPr>
        <w:t>. Límites de intensidad de campo aplicables a cualquier otro radiador intencional que opere en la banda 2.4 GHz</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515B91">
        <w:rPr>
          <w:i w:val="0"/>
          <w:sz w:val="22"/>
          <w:szCs w:val="22"/>
          <w:lang w:val="es-ES" w:eastAsia="es-MX"/>
        </w:rPr>
        <w:t xml:space="preserve"> establecidos en EE. UU.</w:t>
      </w:r>
      <w:bookmarkEnd w:id="203"/>
      <w:bookmarkEnd w:id="204"/>
      <w:bookmarkEnd w:id="205"/>
      <w:bookmarkEnd w:id="206"/>
    </w:p>
    <w:p w14:paraId="0074AA00" w14:textId="77777777" w:rsidR="00ED49E0" w:rsidRPr="0027631D" w:rsidRDefault="00ED49E0" w:rsidP="0027631D">
      <w:pPr>
        <w:spacing w:after="0" w:line="23" w:lineRule="atLeast"/>
        <w:contextualSpacing/>
        <w:jc w:val="both"/>
        <w:rPr>
          <w:rFonts w:ascii="Arial" w:hAnsi="Arial" w:cs="Arial"/>
        </w:rPr>
      </w:pPr>
    </w:p>
    <w:p w14:paraId="16AA631F" w14:textId="77777777" w:rsidR="00ED49E0" w:rsidRPr="0027631D" w:rsidRDefault="00ED49E0" w:rsidP="0027631D">
      <w:pPr>
        <w:spacing w:after="0" w:line="23" w:lineRule="atLeast"/>
        <w:contextualSpacing/>
        <w:jc w:val="both"/>
        <w:rPr>
          <w:rFonts w:ascii="Arial" w:hAnsi="Arial" w:cs="Arial"/>
        </w:rPr>
      </w:pPr>
      <w:r w:rsidRPr="0027631D">
        <w:rPr>
          <w:rFonts w:ascii="Arial" w:hAnsi="Arial" w:cs="Arial"/>
        </w:rPr>
        <w:t>Todos los términos de dispositivos de radiofrecuencia de baja potencia, sistemas de transmisión y radiadores intencionales descritos en la Parte 15 del CFR se refieren a un transmisor de baja potencia que puede ser utilizado por un operador sin necesidad de contar con una licencia; sin embargo, debe contar con una autorización para poder ser importado o comercializado dentro del territorio de los EE. UU. Adicionalmente, en EE. UU. la banda 2.4 GHz también es empleada por dispositivos ICM</w:t>
      </w:r>
      <w:r w:rsidR="004954AE">
        <w:rPr>
          <w:rFonts w:ascii="Arial" w:hAnsi="Arial" w:cs="Arial"/>
        </w:rPr>
        <w:t>,</w:t>
      </w:r>
      <w:r w:rsidRPr="0027631D">
        <w:rPr>
          <w:rFonts w:ascii="Arial" w:hAnsi="Arial" w:cs="Arial"/>
        </w:rPr>
        <w:t xml:space="preserve"> de conformidad con la Parte 18 del CFR.</w:t>
      </w:r>
    </w:p>
    <w:p w14:paraId="21A95AAE" w14:textId="77777777" w:rsidR="00ED49E0" w:rsidRPr="0027631D" w:rsidRDefault="00ED49E0" w:rsidP="0027631D">
      <w:pPr>
        <w:spacing w:after="0" w:line="23" w:lineRule="atLeast"/>
        <w:contextualSpacing/>
        <w:jc w:val="both"/>
        <w:rPr>
          <w:rFonts w:ascii="Arial" w:hAnsi="Arial" w:cs="Arial"/>
        </w:rPr>
      </w:pPr>
    </w:p>
    <w:p w14:paraId="79088FF3" w14:textId="77777777" w:rsidR="00ED49E0" w:rsidRPr="0027631D" w:rsidRDefault="00ED49E0" w:rsidP="0027631D">
      <w:pPr>
        <w:pStyle w:val="Prrafodelista"/>
        <w:suppressAutoHyphens/>
        <w:spacing w:line="23" w:lineRule="atLeast"/>
        <w:ind w:left="0" w:right="49"/>
        <w:contextualSpacing/>
        <w:jc w:val="both"/>
        <w:rPr>
          <w:rFonts w:cs="Arial"/>
          <w:kern w:val="1"/>
          <w:sz w:val="22"/>
          <w:szCs w:val="22"/>
          <w:u w:val="single"/>
          <w:lang w:eastAsia="ar-SA"/>
        </w:rPr>
      </w:pPr>
      <w:bookmarkStart w:id="207" w:name="_Toc40373827"/>
      <w:bookmarkStart w:id="208" w:name="_Toc44067665"/>
      <w:bookmarkStart w:id="209" w:name="_Toc44339737"/>
      <w:bookmarkStart w:id="210" w:name="_Toc44939120"/>
      <w:bookmarkStart w:id="211" w:name="_Toc44946908"/>
      <w:r w:rsidRPr="0027631D">
        <w:rPr>
          <w:rFonts w:cs="Arial"/>
          <w:kern w:val="1"/>
          <w:sz w:val="22"/>
          <w:szCs w:val="22"/>
          <w:u w:val="single"/>
          <w:lang w:eastAsia="ar-SA"/>
        </w:rPr>
        <w:t xml:space="preserve">Canadá – </w:t>
      </w:r>
      <w:bookmarkEnd w:id="207"/>
      <w:bookmarkEnd w:id="208"/>
      <w:bookmarkEnd w:id="209"/>
      <w:bookmarkEnd w:id="210"/>
      <w:bookmarkEnd w:id="211"/>
      <w:r w:rsidRPr="0027631D">
        <w:rPr>
          <w:rFonts w:cs="Arial"/>
          <w:kern w:val="1"/>
          <w:sz w:val="22"/>
          <w:szCs w:val="22"/>
          <w:u w:val="single"/>
          <w:lang w:eastAsia="ar-SA"/>
        </w:rPr>
        <w:t>ISED</w:t>
      </w:r>
    </w:p>
    <w:p w14:paraId="58875174" w14:textId="77777777" w:rsidR="00ED49E0" w:rsidRPr="0027631D" w:rsidRDefault="00ED49E0" w:rsidP="0027631D">
      <w:pPr>
        <w:spacing w:after="0" w:line="23" w:lineRule="atLeast"/>
        <w:contextualSpacing/>
        <w:jc w:val="both"/>
        <w:rPr>
          <w:rFonts w:ascii="Arial" w:hAnsi="Arial" w:cs="Arial"/>
        </w:rPr>
      </w:pPr>
    </w:p>
    <w:p w14:paraId="5A4CAE39" w14:textId="18BC0443" w:rsidR="00ED49E0" w:rsidRPr="0027631D" w:rsidRDefault="00ED49E0" w:rsidP="0027631D">
      <w:pPr>
        <w:spacing w:after="0" w:line="23" w:lineRule="atLeast"/>
        <w:contextualSpacing/>
        <w:jc w:val="both"/>
        <w:rPr>
          <w:rFonts w:ascii="Arial" w:hAnsi="Arial" w:cs="Arial"/>
        </w:rPr>
      </w:pPr>
      <w:r w:rsidRPr="0027631D">
        <w:rPr>
          <w:rFonts w:ascii="Arial" w:hAnsi="Arial" w:cs="Arial"/>
        </w:rPr>
        <w:t>En Canadá, la responsabilidad de administrar los recursos del espectro radioeléctrico está a cargo del ISED. Uno de los instrumentos regulatorios con los que cuenta ISED para dar a conocer las diversas políticas de utilización del espectro es el Cuadro de Atribución de Frecuencias (CAF-CAN)</w:t>
      </w:r>
      <w:r w:rsidRPr="0027631D">
        <w:rPr>
          <w:rStyle w:val="Refdenotaalpie"/>
          <w:rFonts w:ascii="Arial" w:hAnsi="Arial" w:cs="Arial"/>
        </w:rPr>
        <w:footnoteReference w:id="21"/>
      </w:r>
      <w:r w:rsidRPr="0027631D">
        <w:rPr>
          <w:rFonts w:ascii="Arial" w:hAnsi="Arial" w:cs="Arial"/>
        </w:rPr>
        <w:t>, el cual asigna el espectro electromagnético y establece la atribución de frecuencias para los servicios radiocomunicación en Canadá. El CAF-CAN para la banda 2.4 GHz, indica lo siguiente:</w:t>
      </w:r>
    </w:p>
    <w:p w14:paraId="4AC4ADCD" w14:textId="77777777" w:rsidR="00ED49E0" w:rsidRPr="0027631D" w:rsidRDefault="00ED49E0" w:rsidP="0027631D">
      <w:pPr>
        <w:spacing w:after="0" w:line="23" w:lineRule="atLeast"/>
        <w:contextualSpacing/>
        <w:jc w:val="both"/>
        <w:rPr>
          <w:rFonts w:ascii="Arial" w:hAnsi="Arial" w:cs="Arial"/>
        </w:rPr>
      </w:pPr>
    </w:p>
    <w:tbl>
      <w:tblPr>
        <w:tblStyle w:val="Tablaconcuadrcula"/>
        <w:tblW w:w="5000" w:type="pct"/>
        <w:jc w:val="center"/>
        <w:tblLook w:val="04A0" w:firstRow="1" w:lastRow="0" w:firstColumn="1" w:lastColumn="0" w:noHBand="0" w:noVBand="1"/>
      </w:tblPr>
      <w:tblGrid>
        <w:gridCol w:w="2527"/>
        <w:gridCol w:w="6867"/>
      </w:tblGrid>
      <w:tr w:rsidR="00341CFE" w:rsidRPr="0027631D" w14:paraId="6F6F8EB2" w14:textId="77777777" w:rsidTr="00FB7222">
        <w:trPr>
          <w:tblHeader/>
          <w:jc w:val="center"/>
        </w:trPr>
        <w:tc>
          <w:tcPr>
            <w:tcW w:w="5000" w:type="pct"/>
            <w:gridSpan w:val="2"/>
            <w:shd w:val="clear" w:color="auto" w:fill="D9D9D9" w:themeFill="background1" w:themeFillShade="D9"/>
          </w:tcPr>
          <w:p w14:paraId="764C7D4B" w14:textId="77777777" w:rsidR="00ED49E0" w:rsidRPr="0027631D" w:rsidRDefault="00ED49E0" w:rsidP="00FB7222">
            <w:pPr>
              <w:spacing w:after="0" w:line="23" w:lineRule="atLeast"/>
              <w:contextualSpacing/>
              <w:jc w:val="center"/>
              <w:rPr>
                <w:rFonts w:ascii="Arial" w:hAnsi="Arial" w:cs="Arial"/>
                <w:b/>
              </w:rPr>
            </w:pPr>
            <w:r w:rsidRPr="0027631D">
              <w:rPr>
                <w:rFonts w:ascii="Arial" w:hAnsi="Arial" w:cs="Arial"/>
                <w:b/>
              </w:rPr>
              <w:lastRenderedPageBreak/>
              <w:t>Cuadro de Atribución de Frecuencias de Canadá</w:t>
            </w:r>
          </w:p>
        </w:tc>
      </w:tr>
      <w:tr w:rsidR="00341CFE" w:rsidRPr="0027631D" w14:paraId="193EB739" w14:textId="77777777" w:rsidTr="00FB7222">
        <w:trPr>
          <w:tblHeader/>
          <w:jc w:val="center"/>
        </w:trPr>
        <w:tc>
          <w:tcPr>
            <w:tcW w:w="1129" w:type="pct"/>
            <w:shd w:val="clear" w:color="auto" w:fill="D9D9D9" w:themeFill="background1" w:themeFillShade="D9"/>
          </w:tcPr>
          <w:p w14:paraId="25C22499" w14:textId="77777777" w:rsidR="00ED49E0" w:rsidRPr="0027631D" w:rsidRDefault="00ED49E0" w:rsidP="00FB7222">
            <w:pPr>
              <w:spacing w:after="0" w:line="23" w:lineRule="atLeast"/>
              <w:contextualSpacing/>
              <w:jc w:val="center"/>
              <w:rPr>
                <w:rFonts w:ascii="Arial" w:hAnsi="Arial" w:cs="Arial"/>
                <w:b/>
              </w:rPr>
            </w:pPr>
            <w:r w:rsidRPr="0027631D">
              <w:rPr>
                <w:rFonts w:ascii="Arial" w:hAnsi="Arial" w:cs="Arial"/>
                <w:b/>
              </w:rPr>
              <w:t>Banda de frecuencias (MHz)</w:t>
            </w:r>
          </w:p>
        </w:tc>
        <w:tc>
          <w:tcPr>
            <w:tcW w:w="3871" w:type="pct"/>
            <w:shd w:val="clear" w:color="auto" w:fill="D9D9D9" w:themeFill="background1" w:themeFillShade="D9"/>
          </w:tcPr>
          <w:p w14:paraId="2402C4A5" w14:textId="77777777" w:rsidR="00ED49E0" w:rsidRPr="0027631D" w:rsidRDefault="00ED49E0" w:rsidP="00FB7222">
            <w:pPr>
              <w:spacing w:after="0" w:line="23" w:lineRule="atLeast"/>
              <w:contextualSpacing/>
              <w:jc w:val="center"/>
              <w:rPr>
                <w:rFonts w:ascii="Arial" w:hAnsi="Arial" w:cs="Arial"/>
                <w:b/>
              </w:rPr>
            </w:pPr>
            <w:r w:rsidRPr="0027631D">
              <w:rPr>
                <w:rFonts w:ascii="Arial" w:hAnsi="Arial" w:cs="Arial"/>
                <w:b/>
              </w:rPr>
              <w:t>Notas aplicables</w:t>
            </w:r>
          </w:p>
        </w:tc>
      </w:tr>
      <w:tr w:rsidR="00341CFE" w:rsidRPr="0027631D" w14:paraId="0E77FD55" w14:textId="77777777" w:rsidTr="00FB7222">
        <w:trPr>
          <w:trHeight w:val="733"/>
          <w:tblHeader/>
          <w:jc w:val="center"/>
        </w:trPr>
        <w:tc>
          <w:tcPr>
            <w:tcW w:w="1129" w:type="pct"/>
            <w:shd w:val="clear" w:color="auto" w:fill="auto"/>
          </w:tcPr>
          <w:p w14:paraId="1607D1E9" w14:textId="77777777" w:rsidR="00ED49E0" w:rsidRPr="0027631D" w:rsidRDefault="00ED49E0" w:rsidP="00FB7222">
            <w:pPr>
              <w:spacing w:after="0" w:line="23" w:lineRule="atLeast"/>
              <w:contextualSpacing/>
              <w:jc w:val="both"/>
              <w:rPr>
                <w:rFonts w:ascii="Arial" w:hAnsi="Arial" w:cs="Arial"/>
              </w:rPr>
            </w:pPr>
            <w:r w:rsidRPr="0027631D">
              <w:rPr>
                <w:rFonts w:ascii="Arial" w:hAnsi="Arial" w:cs="Arial"/>
                <w:b/>
              </w:rPr>
              <w:t xml:space="preserve">2300 – 2450 </w:t>
            </w:r>
          </w:p>
          <w:p w14:paraId="450CA712" w14:textId="77777777" w:rsidR="00ED49E0" w:rsidRPr="0027631D" w:rsidRDefault="00ED49E0" w:rsidP="00FB7222">
            <w:pPr>
              <w:spacing w:after="0" w:line="23" w:lineRule="atLeast"/>
              <w:contextualSpacing/>
              <w:jc w:val="both"/>
              <w:rPr>
                <w:rFonts w:ascii="Arial" w:hAnsi="Arial" w:cs="Arial"/>
              </w:rPr>
            </w:pPr>
            <w:r w:rsidRPr="0027631D">
              <w:rPr>
                <w:rFonts w:ascii="Arial" w:hAnsi="Arial" w:cs="Arial"/>
              </w:rPr>
              <w:t>FIJO</w:t>
            </w:r>
          </w:p>
          <w:p w14:paraId="117225B3" w14:textId="77777777" w:rsidR="00ED49E0" w:rsidRPr="0027631D" w:rsidRDefault="00ED49E0" w:rsidP="00FB7222">
            <w:pPr>
              <w:spacing w:after="0" w:line="23" w:lineRule="atLeast"/>
              <w:contextualSpacing/>
              <w:jc w:val="both"/>
              <w:rPr>
                <w:rFonts w:ascii="Arial" w:hAnsi="Arial" w:cs="Arial"/>
              </w:rPr>
            </w:pPr>
            <w:r w:rsidRPr="0027631D">
              <w:rPr>
                <w:rFonts w:ascii="Arial" w:hAnsi="Arial" w:cs="Arial"/>
              </w:rPr>
              <w:t>MÓVIL</w:t>
            </w:r>
          </w:p>
          <w:p w14:paraId="631CF46E" w14:textId="77777777" w:rsidR="00ED49E0" w:rsidRPr="0027631D" w:rsidRDefault="00ED49E0" w:rsidP="00FB7222">
            <w:pPr>
              <w:spacing w:after="0" w:line="23" w:lineRule="atLeast"/>
              <w:contextualSpacing/>
              <w:jc w:val="both"/>
              <w:rPr>
                <w:rFonts w:ascii="Arial" w:hAnsi="Arial" w:cs="Arial"/>
              </w:rPr>
            </w:pPr>
            <w:r w:rsidRPr="0027631D">
              <w:rPr>
                <w:rFonts w:ascii="Arial" w:hAnsi="Arial" w:cs="Arial"/>
              </w:rPr>
              <w:t>RADIOLOCALIZACIÓN</w:t>
            </w:r>
          </w:p>
          <w:p w14:paraId="68DA06D6" w14:textId="77777777" w:rsidR="00ED49E0" w:rsidRPr="0027631D" w:rsidRDefault="00ED49E0" w:rsidP="00FB7222">
            <w:pPr>
              <w:spacing w:after="0" w:line="23" w:lineRule="atLeast"/>
              <w:contextualSpacing/>
              <w:jc w:val="both"/>
              <w:rPr>
                <w:rFonts w:ascii="Arial" w:hAnsi="Arial" w:cs="Arial"/>
              </w:rPr>
            </w:pPr>
            <w:r w:rsidRPr="0027631D">
              <w:rPr>
                <w:rFonts w:ascii="Arial" w:hAnsi="Arial" w:cs="Arial"/>
              </w:rPr>
              <w:t>Aficionados</w:t>
            </w:r>
          </w:p>
        </w:tc>
        <w:tc>
          <w:tcPr>
            <w:tcW w:w="3871" w:type="pct"/>
            <w:shd w:val="clear" w:color="auto" w:fill="auto"/>
          </w:tcPr>
          <w:p w14:paraId="0F4528A5" w14:textId="0482A911" w:rsidR="00ED49E0" w:rsidRPr="0027631D" w:rsidRDefault="00ED49E0" w:rsidP="00FB7222">
            <w:pPr>
              <w:spacing w:after="0" w:line="23" w:lineRule="atLeast"/>
              <w:contextualSpacing/>
              <w:jc w:val="both"/>
              <w:rPr>
                <w:rFonts w:ascii="Arial" w:hAnsi="Arial" w:cs="Arial"/>
              </w:rPr>
            </w:pPr>
            <w:r w:rsidRPr="0027631D">
              <w:rPr>
                <w:rFonts w:ascii="Arial" w:hAnsi="Arial" w:cs="Arial"/>
                <w:b/>
              </w:rPr>
              <w:t xml:space="preserve">C12 (CAN-18). </w:t>
            </w:r>
            <w:r w:rsidRPr="0027631D">
              <w:rPr>
                <w:rFonts w:ascii="Arial" w:hAnsi="Arial" w:cs="Arial"/>
              </w:rPr>
              <w:t>La banda de frecuencias 2360-2400 MHz est</w:t>
            </w:r>
            <w:r w:rsidR="00E52BCC">
              <w:rPr>
                <w:rFonts w:ascii="Arial" w:hAnsi="Arial" w:cs="Arial"/>
              </w:rPr>
              <w:t>á</w:t>
            </w:r>
            <w:r w:rsidRPr="0027631D">
              <w:rPr>
                <w:rFonts w:ascii="Arial" w:hAnsi="Arial" w:cs="Arial"/>
              </w:rPr>
              <w:t xml:space="preserve"> designada para aplicaciones de telemetría móvil aeronáutica (AMT). El gobierno de Canadá tiene prioridad en el uso de esta banda. Se puede permitir el acceso a la banda por parte de otras entidades para AMT sujeto a coordinación con los sistemas del Gobierno de Canadá</w:t>
            </w:r>
          </w:p>
          <w:p w14:paraId="6B3500CE" w14:textId="77777777" w:rsidR="00ED49E0" w:rsidRPr="0027631D" w:rsidRDefault="00ED49E0" w:rsidP="00FB7222">
            <w:pPr>
              <w:spacing w:after="0" w:line="23" w:lineRule="atLeast"/>
              <w:contextualSpacing/>
              <w:jc w:val="both"/>
              <w:rPr>
                <w:rFonts w:ascii="Arial" w:hAnsi="Arial" w:cs="Arial"/>
              </w:rPr>
            </w:pPr>
            <w:r w:rsidRPr="0027631D">
              <w:rPr>
                <w:rFonts w:ascii="Arial" w:hAnsi="Arial" w:cs="Arial"/>
                <w:b/>
              </w:rPr>
              <w:t>C13 (CAN-03)</w:t>
            </w:r>
            <w:r w:rsidRPr="0027631D">
              <w:rPr>
                <w:rFonts w:ascii="Arial" w:hAnsi="Arial" w:cs="Arial"/>
              </w:rPr>
              <w:t xml:space="preserve"> Las bandas de frecuencias 2305-2320 MHz y 2345-2360 MHz están designadas para aplicaciones del servicio de comunicación inalámbrica (WCS) bajo las atribuciones del servicio fijo y móvil. El uso de estas bandas eta sujeto a la política nacional de utilización del espectro.</w:t>
            </w:r>
          </w:p>
          <w:p w14:paraId="6B6CC7E2" w14:textId="77777777" w:rsidR="00ED49E0" w:rsidRPr="0027631D" w:rsidRDefault="00ED49E0" w:rsidP="00FB7222">
            <w:pPr>
              <w:spacing w:after="0" w:line="23" w:lineRule="atLeast"/>
              <w:contextualSpacing/>
              <w:jc w:val="both"/>
              <w:rPr>
                <w:rFonts w:ascii="Arial" w:hAnsi="Arial" w:cs="Arial"/>
              </w:rPr>
            </w:pPr>
            <w:r w:rsidRPr="0027631D">
              <w:rPr>
                <w:rFonts w:ascii="Arial" w:hAnsi="Arial" w:cs="Arial"/>
                <w:b/>
              </w:rPr>
              <w:t>C13A (CAN-09)</w:t>
            </w:r>
            <w:r w:rsidRPr="0027631D">
              <w:rPr>
                <w:rFonts w:ascii="Arial" w:hAnsi="Arial" w:cs="Arial"/>
              </w:rPr>
              <w:t xml:space="preserve"> </w:t>
            </w:r>
            <w:r w:rsidRPr="0027631D">
              <w:rPr>
                <w:rFonts w:ascii="Arial" w:hAnsi="Arial" w:cs="Arial"/>
                <w:i/>
              </w:rPr>
              <w:t xml:space="preserve">Atribución adicional: </w:t>
            </w:r>
            <w:r w:rsidRPr="0027631D">
              <w:rPr>
                <w:rFonts w:ascii="Arial" w:hAnsi="Arial" w:cs="Arial"/>
              </w:rPr>
              <w:t>La banda de frecuencia 2320-2345 MHz también esta designada para el servicio de radiodifusión por satélite (sonido) y el servicio complementario de radiodifusión terrenal a título primario. Las políticas de utilización del espectro proporcionan la relación entre servicios con respecto a la operación del servicio de radiodifusión.</w:t>
            </w:r>
          </w:p>
          <w:p w14:paraId="473D1C6B" w14:textId="77777777" w:rsidR="00ED49E0" w:rsidRPr="0027631D" w:rsidRDefault="00ED49E0" w:rsidP="00FB7222">
            <w:pPr>
              <w:spacing w:after="0" w:line="23" w:lineRule="atLeast"/>
              <w:contextualSpacing/>
              <w:jc w:val="both"/>
              <w:rPr>
                <w:rFonts w:ascii="Arial" w:hAnsi="Arial" w:cs="Arial"/>
              </w:rPr>
            </w:pPr>
            <w:r w:rsidRPr="0027631D">
              <w:rPr>
                <w:rFonts w:ascii="Arial" w:hAnsi="Arial" w:cs="Arial"/>
                <w:b/>
              </w:rPr>
              <w:t>C17 (CAN-03)</w:t>
            </w:r>
            <w:r w:rsidRPr="0027631D">
              <w:rPr>
                <w:rFonts w:ascii="Arial" w:hAnsi="Arial" w:cs="Arial"/>
              </w:rPr>
              <w:t xml:space="preserve"> En la banda de frecuencia 2300-2360 MHz, los servicios de telemetría aeronáutica móvil pueden autorizarse de forma secundaria en ciertas bases militares y vecindades donde no restringe la implementación de servicios de comunicación inalámbrica y otros servicios.</w:t>
            </w:r>
          </w:p>
        </w:tc>
      </w:tr>
      <w:tr w:rsidR="00341CFE" w:rsidRPr="0027631D" w14:paraId="43403456" w14:textId="77777777" w:rsidTr="00FB7222">
        <w:trPr>
          <w:trHeight w:val="537"/>
          <w:tblHeader/>
          <w:jc w:val="center"/>
        </w:trPr>
        <w:tc>
          <w:tcPr>
            <w:tcW w:w="1129" w:type="pct"/>
            <w:shd w:val="clear" w:color="auto" w:fill="auto"/>
          </w:tcPr>
          <w:p w14:paraId="2C3E4BCB" w14:textId="77777777" w:rsidR="00ED49E0" w:rsidRPr="0027631D" w:rsidRDefault="00ED49E0" w:rsidP="00FB7222">
            <w:pPr>
              <w:spacing w:after="0" w:line="23" w:lineRule="atLeast"/>
              <w:contextualSpacing/>
              <w:jc w:val="both"/>
              <w:rPr>
                <w:rFonts w:ascii="Arial" w:hAnsi="Arial" w:cs="Arial"/>
                <w:b/>
              </w:rPr>
            </w:pPr>
            <w:r w:rsidRPr="0027631D">
              <w:rPr>
                <w:rFonts w:ascii="Arial" w:hAnsi="Arial" w:cs="Arial"/>
                <w:b/>
              </w:rPr>
              <w:t xml:space="preserve">2450 – 2483.5 </w:t>
            </w:r>
          </w:p>
          <w:p w14:paraId="6CEE8123" w14:textId="77777777" w:rsidR="00ED49E0" w:rsidRPr="0027631D" w:rsidRDefault="00ED49E0" w:rsidP="00FB7222">
            <w:pPr>
              <w:spacing w:after="0" w:line="23" w:lineRule="atLeast"/>
              <w:contextualSpacing/>
              <w:jc w:val="both"/>
              <w:rPr>
                <w:rFonts w:ascii="Arial" w:hAnsi="Arial" w:cs="Arial"/>
              </w:rPr>
            </w:pPr>
            <w:r w:rsidRPr="0027631D">
              <w:rPr>
                <w:rFonts w:ascii="Arial" w:hAnsi="Arial" w:cs="Arial"/>
              </w:rPr>
              <w:t>FIJO</w:t>
            </w:r>
          </w:p>
          <w:p w14:paraId="14DD061E" w14:textId="77777777" w:rsidR="00ED49E0" w:rsidRPr="0027631D" w:rsidRDefault="00ED49E0" w:rsidP="00FB7222">
            <w:pPr>
              <w:spacing w:after="0" w:line="23" w:lineRule="atLeast"/>
              <w:contextualSpacing/>
              <w:jc w:val="both"/>
              <w:rPr>
                <w:rFonts w:ascii="Arial" w:hAnsi="Arial" w:cs="Arial"/>
              </w:rPr>
            </w:pPr>
            <w:r w:rsidRPr="0027631D">
              <w:rPr>
                <w:rFonts w:ascii="Arial" w:hAnsi="Arial" w:cs="Arial"/>
              </w:rPr>
              <w:t>MÓVIL</w:t>
            </w:r>
          </w:p>
          <w:p w14:paraId="7E405DAC" w14:textId="77777777" w:rsidR="00ED49E0" w:rsidRPr="0027631D" w:rsidRDefault="00ED49E0" w:rsidP="00FB7222">
            <w:pPr>
              <w:spacing w:after="0" w:line="23" w:lineRule="atLeast"/>
              <w:contextualSpacing/>
              <w:jc w:val="both"/>
              <w:rPr>
                <w:rFonts w:ascii="Arial" w:hAnsi="Arial" w:cs="Arial"/>
              </w:rPr>
            </w:pPr>
            <w:r w:rsidRPr="0027631D">
              <w:rPr>
                <w:rFonts w:ascii="Arial" w:hAnsi="Arial" w:cs="Arial"/>
              </w:rPr>
              <w:t>RADIOLOCALIZACIÓN</w:t>
            </w:r>
          </w:p>
        </w:tc>
        <w:tc>
          <w:tcPr>
            <w:tcW w:w="3871" w:type="pct"/>
            <w:shd w:val="clear" w:color="auto" w:fill="auto"/>
          </w:tcPr>
          <w:p w14:paraId="06569935" w14:textId="77777777" w:rsidR="00ED49E0" w:rsidRPr="0027631D" w:rsidRDefault="00ED49E0" w:rsidP="00FB7222">
            <w:pPr>
              <w:spacing w:after="0" w:line="23" w:lineRule="atLeast"/>
              <w:contextualSpacing/>
              <w:jc w:val="both"/>
              <w:rPr>
                <w:rFonts w:ascii="Arial" w:hAnsi="Arial" w:cs="Arial"/>
              </w:rPr>
            </w:pPr>
            <w:r w:rsidRPr="0027631D">
              <w:rPr>
                <w:rFonts w:ascii="Arial" w:hAnsi="Arial" w:cs="Arial"/>
              </w:rPr>
              <w:t>No hay notas nacionales</w:t>
            </w:r>
          </w:p>
        </w:tc>
      </w:tr>
    </w:tbl>
    <w:p w14:paraId="112495EC" w14:textId="34F02000" w:rsidR="00ED49E0" w:rsidRPr="00515B91" w:rsidRDefault="00ED49E0" w:rsidP="0027631D">
      <w:pPr>
        <w:pStyle w:val="Descripcin"/>
        <w:contextualSpacing/>
        <w:rPr>
          <w:i w:val="0"/>
          <w:sz w:val="22"/>
          <w:szCs w:val="22"/>
        </w:rPr>
      </w:pPr>
      <w:bookmarkStart w:id="212" w:name="_Toc44669663"/>
      <w:bookmarkStart w:id="213" w:name="_Toc44946876"/>
      <w:bookmarkStart w:id="214" w:name="_Toc45105838"/>
      <w:bookmarkStart w:id="215" w:name="_Toc45105937"/>
      <w:bookmarkStart w:id="216" w:name="_Toc45112639"/>
      <w:bookmarkStart w:id="217" w:name="_Toc45115152"/>
      <w:bookmarkStart w:id="218" w:name="_Toc45119727"/>
      <w:bookmarkStart w:id="219" w:name="_Toc45217379"/>
      <w:bookmarkStart w:id="220" w:name="_Toc45226582"/>
      <w:bookmarkStart w:id="221" w:name="_Toc45226698"/>
      <w:bookmarkStart w:id="222" w:name="_Toc45274894"/>
      <w:bookmarkStart w:id="223" w:name="_Toc45274973"/>
      <w:bookmarkStart w:id="224" w:name="_Toc45279211"/>
      <w:bookmarkStart w:id="225" w:name="_Toc45305737"/>
      <w:bookmarkStart w:id="226" w:name="_Toc45364869"/>
      <w:bookmarkStart w:id="227" w:name="_Toc45381224"/>
      <w:bookmarkStart w:id="228" w:name="_Toc45452826"/>
      <w:bookmarkStart w:id="229" w:name="_Toc45452935"/>
      <w:r w:rsidRPr="00515B91">
        <w:rPr>
          <w:i w:val="0"/>
          <w:sz w:val="22"/>
          <w:szCs w:val="22"/>
        </w:rPr>
        <w:t xml:space="preserve">Tabla </w:t>
      </w:r>
      <w:r w:rsidR="008010AD" w:rsidRPr="00515B91">
        <w:rPr>
          <w:i w:val="0"/>
          <w:sz w:val="22"/>
          <w:szCs w:val="22"/>
        </w:rPr>
        <w:fldChar w:fldCharType="begin"/>
      </w:r>
      <w:r w:rsidR="008010AD" w:rsidRPr="00515B91">
        <w:rPr>
          <w:i w:val="0"/>
          <w:sz w:val="22"/>
          <w:szCs w:val="22"/>
        </w:rPr>
        <w:instrText xml:space="preserve"> SEQ Tabla \* ARABIC </w:instrText>
      </w:r>
      <w:r w:rsidR="008010AD" w:rsidRPr="00515B91">
        <w:rPr>
          <w:i w:val="0"/>
          <w:sz w:val="22"/>
          <w:szCs w:val="22"/>
        </w:rPr>
        <w:fldChar w:fldCharType="separate"/>
      </w:r>
      <w:r w:rsidR="004F1EA3">
        <w:rPr>
          <w:i w:val="0"/>
          <w:noProof/>
          <w:sz w:val="22"/>
          <w:szCs w:val="22"/>
        </w:rPr>
        <w:t>14</w:t>
      </w:r>
      <w:r w:rsidR="008010AD" w:rsidRPr="00515B91">
        <w:rPr>
          <w:i w:val="0"/>
          <w:noProof/>
          <w:sz w:val="22"/>
          <w:szCs w:val="22"/>
        </w:rPr>
        <w:fldChar w:fldCharType="end"/>
      </w:r>
      <w:r w:rsidRPr="00515B91">
        <w:rPr>
          <w:i w:val="0"/>
          <w:sz w:val="22"/>
          <w:szCs w:val="22"/>
        </w:rPr>
        <w:t>. Atribución de la banda 2.4 GHz conforme al CAF-CAN</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43982792" w14:textId="77777777" w:rsidR="00ED49E0" w:rsidRPr="0027631D" w:rsidRDefault="00ED49E0" w:rsidP="0027631D">
      <w:pPr>
        <w:spacing w:after="0" w:line="23" w:lineRule="atLeast"/>
        <w:contextualSpacing/>
        <w:jc w:val="both"/>
        <w:rPr>
          <w:rFonts w:ascii="Arial" w:hAnsi="Arial" w:cs="Arial"/>
        </w:rPr>
      </w:pPr>
    </w:p>
    <w:p w14:paraId="3F32E5A7" w14:textId="084E440F" w:rsidR="00ED49E0" w:rsidRPr="0027631D" w:rsidRDefault="00ED49E0" w:rsidP="0027631D">
      <w:pPr>
        <w:spacing w:after="0" w:line="23" w:lineRule="atLeast"/>
        <w:contextualSpacing/>
        <w:jc w:val="both"/>
        <w:rPr>
          <w:rFonts w:ascii="Arial" w:hAnsi="Arial" w:cs="Arial"/>
        </w:rPr>
      </w:pPr>
      <w:r w:rsidRPr="0027631D">
        <w:rPr>
          <w:rFonts w:ascii="Arial" w:hAnsi="Arial" w:cs="Arial"/>
        </w:rPr>
        <w:t>De lo anterior, se puede observar que no existen notas nacionales respecto al uso de la banda 2.4 GHz, sin embargo, dentro del Marco de Políticas Canadienses relacionadas con el uso del espectro radioeléctrico, existen algunas relacionadas con la distribución de este recurso entre diferentes servicios de radiocomunicaciones (políticas de asignación de espectro), así como con el uso particular para una banda asignada (políticas de utilización del espectro) y con los tipos de sistemas de radio que son comercializados en Canadá (políticas de sistemas de radio)</w:t>
      </w:r>
      <w:r w:rsidRPr="0027631D">
        <w:rPr>
          <w:rStyle w:val="Refdenotaalpie"/>
          <w:rFonts w:ascii="Arial" w:hAnsi="Arial" w:cs="Arial"/>
        </w:rPr>
        <w:footnoteReference w:id="22"/>
      </w:r>
      <w:r w:rsidRPr="0027631D">
        <w:rPr>
          <w:rFonts w:ascii="Arial" w:hAnsi="Arial" w:cs="Arial"/>
        </w:rPr>
        <w:t>.</w:t>
      </w:r>
    </w:p>
    <w:p w14:paraId="1EA11ACD" w14:textId="77777777" w:rsidR="00ED49E0" w:rsidRPr="0027631D" w:rsidRDefault="00ED49E0" w:rsidP="0027631D">
      <w:pPr>
        <w:spacing w:after="0" w:line="23" w:lineRule="atLeast"/>
        <w:contextualSpacing/>
        <w:jc w:val="both"/>
        <w:rPr>
          <w:rFonts w:ascii="Arial" w:hAnsi="Arial" w:cs="Arial"/>
        </w:rPr>
      </w:pPr>
    </w:p>
    <w:p w14:paraId="258DE9DD" w14:textId="2A93D063" w:rsidR="00ED49E0" w:rsidRPr="0027631D" w:rsidRDefault="00ED49E0" w:rsidP="0027631D">
      <w:pPr>
        <w:spacing w:after="0" w:line="23" w:lineRule="atLeast"/>
        <w:contextualSpacing/>
        <w:jc w:val="both"/>
        <w:rPr>
          <w:rFonts w:ascii="Arial" w:hAnsi="Arial" w:cs="Arial"/>
        </w:rPr>
      </w:pPr>
      <w:r w:rsidRPr="0027631D">
        <w:rPr>
          <w:rFonts w:ascii="Arial" w:hAnsi="Arial" w:cs="Arial"/>
        </w:rPr>
        <w:t>Dentro de las políticas de utilización del espectro (SP)</w:t>
      </w:r>
      <w:r w:rsidRPr="0027631D">
        <w:rPr>
          <w:rStyle w:val="Refdenotaalpie"/>
          <w:rFonts w:ascii="Arial" w:hAnsi="Arial" w:cs="Arial"/>
        </w:rPr>
        <w:footnoteReference w:id="23"/>
      </w:r>
      <w:r w:rsidRPr="0027631D">
        <w:rPr>
          <w:rFonts w:ascii="Arial" w:hAnsi="Arial" w:cs="Arial"/>
        </w:rPr>
        <w:t xml:space="preserve"> correspondientes a la banda 2.4 GHz, existe un apartado dentro de la política SP-2285 -2483.5 MHz</w:t>
      </w:r>
      <w:r w:rsidRPr="0027631D">
        <w:rPr>
          <w:rStyle w:val="Refdenotaalpie"/>
          <w:rFonts w:ascii="Arial" w:hAnsi="Arial" w:cs="Arial"/>
        </w:rPr>
        <w:footnoteReference w:id="24"/>
      </w:r>
      <w:r w:rsidRPr="0027631D">
        <w:rPr>
          <w:rFonts w:ascii="Arial" w:hAnsi="Arial" w:cs="Arial"/>
        </w:rPr>
        <w:t xml:space="preserve"> que se enfoca en facilitar en mayor medida la operación de dispositivos y sistemas de radio exentos de licencia en dicha banda, incluidos los equipos de baja potencia y los transmisores </w:t>
      </w:r>
      <w:r w:rsidRPr="0027631D">
        <w:rPr>
          <w:rFonts w:ascii="Arial" w:hAnsi="Arial" w:cs="Arial"/>
          <w:color w:val="000000"/>
        </w:rPr>
        <w:t>que utilicen técnicas de transmisión</w:t>
      </w:r>
      <w:r w:rsidRPr="0027631D">
        <w:rPr>
          <w:rFonts w:ascii="Arial" w:hAnsi="Arial" w:cs="Arial"/>
        </w:rPr>
        <w:t xml:space="preserve"> de espectro disperso, los cuales se rigen por las especificaciones de los estándares de radio RSS-247</w:t>
      </w:r>
      <w:r w:rsidRPr="0027631D">
        <w:rPr>
          <w:rStyle w:val="Refdenotaalpie"/>
          <w:rFonts w:ascii="Arial" w:hAnsi="Arial" w:cs="Arial"/>
        </w:rPr>
        <w:footnoteReference w:id="25"/>
      </w:r>
      <w:r w:rsidRPr="0027631D">
        <w:rPr>
          <w:rFonts w:ascii="Arial" w:hAnsi="Arial" w:cs="Arial"/>
        </w:rPr>
        <w:t xml:space="preserve"> y RSS-210</w:t>
      </w:r>
      <w:r w:rsidRPr="0027631D">
        <w:rPr>
          <w:rStyle w:val="Refdenotaalpie"/>
          <w:rFonts w:ascii="Arial" w:hAnsi="Arial" w:cs="Arial"/>
        </w:rPr>
        <w:footnoteReference w:id="26"/>
      </w:r>
      <w:r w:rsidRPr="0027631D">
        <w:rPr>
          <w:rFonts w:ascii="Arial" w:hAnsi="Arial" w:cs="Arial"/>
        </w:rPr>
        <w:t>.</w:t>
      </w:r>
    </w:p>
    <w:p w14:paraId="50519063" w14:textId="77777777" w:rsidR="00ED49E0" w:rsidRPr="0027631D" w:rsidRDefault="00ED49E0" w:rsidP="0027631D">
      <w:pPr>
        <w:spacing w:after="0" w:line="23" w:lineRule="atLeast"/>
        <w:contextualSpacing/>
        <w:jc w:val="both"/>
        <w:rPr>
          <w:rFonts w:ascii="Arial" w:hAnsi="Arial" w:cs="Arial"/>
        </w:rPr>
      </w:pPr>
    </w:p>
    <w:p w14:paraId="641CFC48" w14:textId="77777777" w:rsidR="00ED49E0" w:rsidRPr="0027631D" w:rsidRDefault="00ED49E0" w:rsidP="0027631D">
      <w:pPr>
        <w:spacing w:after="0" w:line="23" w:lineRule="atLeast"/>
        <w:contextualSpacing/>
        <w:jc w:val="both"/>
        <w:rPr>
          <w:rFonts w:ascii="Arial" w:hAnsi="Arial" w:cs="Arial"/>
        </w:rPr>
      </w:pPr>
      <w:r w:rsidRPr="0027631D">
        <w:rPr>
          <w:rFonts w:ascii="Arial" w:hAnsi="Arial" w:cs="Arial"/>
        </w:rPr>
        <w:lastRenderedPageBreak/>
        <w:t>El estándar de radio RSS-247</w:t>
      </w:r>
      <w:r w:rsidRPr="0027631D">
        <w:rPr>
          <w:rStyle w:val="Refdenotaalpie"/>
          <w:rFonts w:ascii="Arial" w:hAnsi="Arial" w:cs="Arial"/>
        </w:rPr>
        <w:footnoteReference w:id="27"/>
      </w:r>
      <w:r w:rsidRPr="0027631D">
        <w:rPr>
          <w:rFonts w:ascii="Arial" w:hAnsi="Arial" w:cs="Arial"/>
        </w:rPr>
        <w:t xml:space="preserve"> </w:t>
      </w:r>
      <w:r w:rsidRPr="0027631D">
        <w:rPr>
          <w:rFonts w:ascii="Arial" w:hAnsi="Arial" w:cs="Arial"/>
          <w:i/>
        </w:rPr>
        <w:t>(issue 2)</w:t>
      </w:r>
      <w:r w:rsidRPr="0027631D">
        <w:rPr>
          <w:rFonts w:ascii="Arial" w:hAnsi="Arial" w:cs="Arial"/>
        </w:rPr>
        <w:t>, proporciona los requisitos de certificación para los aparatos o sistemas de radio que emplean técnicas de transmisión de espectro disperso por salto de frecuencia, de modulación digital e híbrida en la banda 2.4 GHz, los cuales se resumen en las tablas siguientes:</w:t>
      </w:r>
    </w:p>
    <w:p w14:paraId="47073996" w14:textId="77777777" w:rsidR="00ED49E0" w:rsidRPr="0027631D" w:rsidRDefault="00ED49E0" w:rsidP="0027631D">
      <w:pPr>
        <w:spacing w:after="0" w:line="23" w:lineRule="atLeast"/>
        <w:contextualSpacing/>
        <w:jc w:val="both"/>
        <w:rPr>
          <w:rFonts w:ascii="Arial" w:hAnsi="Arial" w:cs="Arial"/>
        </w:rPr>
      </w:pPr>
    </w:p>
    <w:tbl>
      <w:tblPr>
        <w:tblStyle w:val="Tablaconcuadrcula"/>
        <w:tblW w:w="5000" w:type="pct"/>
        <w:jc w:val="center"/>
        <w:tblCellMar>
          <w:left w:w="28" w:type="dxa"/>
          <w:right w:w="28" w:type="dxa"/>
        </w:tblCellMar>
        <w:tblLook w:val="04A0" w:firstRow="1" w:lastRow="0" w:firstColumn="1" w:lastColumn="0" w:noHBand="0" w:noVBand="1"/>
      </w:tblPr>
      <w:tblGrid>
        <w:gridCol w:w="1157"/>
        <w:gridCol w:w="1407"/>
        <w:gridCol w:w="1548"/>
        <w:gridCol w:w="888"/>
        <w:gridCol w:w="1264"/>
        <w:gridCol w:w="1408"/>
        <w:gridCol w:w="982"/>
        <w:gridCol w:w="740"/>
      </w:tblGrid>
      <w:tr w:rsidR="00341CFE" w:rsidRPr="0027631D" w14:paraId="598C5020" w14:textId="77777777" w:rsidTr="00341CFE">
        <w:trPr>
          <w:cantSplit/>
          <w:trHeight w:val="931"/>
          <w:jc w:val="center"/>
        </w:trPr>
        <w:tc>
          <w:tcPr>
            <w:tcW w:w="601" w:type="pct"/>
            <w:shd w:val="clear" w:color="auto" w:fill="D9D9D9" w:themeFill="background1" w:themeFillShade="D9"/>
            <w:vAlign w:val="center"/>
          </w:tcPr>
          <w:p w14:paraId="7B390AC0"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Tipo de sistema</w:t>
            </w:r>
          </w:p>
        </w:tc>
        <w:tc>
          <w:tcPr>
            <w:tcW w:w="755" w:type="pct"/>
            <w:shd w:val="clear" w:color="auto" w:fill="D9D9D9" w:themeFill="background1" w:themeFillShade="D9"/>
            <w:vAlign w:val="center"/>
          </w:tcPr>
          <w:p w14:paraId="565E7118"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Ancho de banda del canal</w:t>
            </w:r>
          </w:p>
        </w:tc>
        <w:tc>
          <w:tcPr>
            <w:tcW w:w="829" w:type="pct"/>
            <w:shd w:val="clear" w:color="auto" w:fill="D9D9D9" w:themeFill="background1" w:themeFillShade="D9"/>
            <w:vAlign w:val="center"/>
          </w:tcPr>
          <w:p w14:paraId="00257D9D"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Separación entre frecuencias portadoras de los canales</w:t>
            </w:r>
          </w:p>
        </w:tc>
        <w:tc>
          <w:tcPr>
            <w:tcW w:w="455" w:type="pct"/>
            <w:shd w:val="clear" w:color="auto" w:fill="D9D9D9" w:themeFill="background1" w:themeFillShade="D9"/>
            <w:vAlign w:val="center"/>
          </w:tcPr>
          <w:p w14:paraId="3950A5FC"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Número de canales (N)</w:t>
            </w:r>
          </w:p>
        </w:tc>
        <w:tc>
          <w:tcPr>
            <w:tcW w:w="678" w:type="pct"/>
            <w:shd w:val="clear" w:color="auto" w:fill="D9D9D9" w:themeFill="background1" w:themeFillShade="D9"/>
            <w:vAlign w:val="center"/>
          </w:tcPr>
          <w:p w14:paraId="65FC85FE"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Tiempo promedio de ocupación en cualquier canal</w:t>
            </w:r>
          </w:p>
        </w:tc>
        <w:tc>
          <w:tcPr>
            <w:tcW w:w="755" w:type="pct"/>
            <w:shd w:val="clear" w:color="auto" w:fill="D9D9D9" w:themeFill="background1" w:themeFillShade="D9"/>
            <w:vAlign w:val="center"/>
          </w:tcPr>
          <w:p w14:paraId="23AD5A82"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Periodo de tiempo de ocupación del conjunto de canales</w:t>
            </w:r>
          </w:p>
        </w:tc>
        <w:tc>
          <w:tcPr>
            <w:tcW w:w="528" w:type="pct"/>
            <w:shd w:val="clear" w:color="auto" w:fill="D9D9D9" w:themeFill="background1" w:themeFillShade="D9"/>
            <w:vAlign w:val="center"/>
          </w:tcPr>
          <w:p w14:paraId="4C760305"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Potencia pico de salida máxima</w:t>
            </w:r>
          </w:p>
        </w:tc>
        <w:tc>
          <w:tcPr>
            <w:tcW w:w="399" w:type="pct"/>
            <w:shd w:val="clear" w:color="auto" w:fill="D9D9D9" w:themeFill="background1" w:themeFillShade="D9"/>
            <w:vAlign w:val="center"/>
          </w:tcPr>
          <w:p w14:paraId="665EAFD4"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eastAsia="es-MX"/>
              </w:rPr>
              <w:t>PIRE</w:t>
            </w:r>
          </w:p>
        </w:tc>
      </w:tr>
      <w:tr w:rsidR="00341CFE" w:rsidRPr="0027631D" w14:paraId="02CC04C8" w14:textId="77777777" w:rsidTr="00FF5B8A">
        <w:trPr>
          <w:cantSplit/>
          <w:trHeight w:val="552"/>
          <w:jc w:val="center"/>
        </w:trPr>
        <w:tc>
          <w:tcPr>
            <w:tcW w:w="601" w:type="pct"/>
            <w:vMerge w:val="restart"/>
            <w:shd w:val="clear" w:color="auto" w:fill="D9D9D9" w:themeFill="background1" w:themeFillShade="D9"/>
            <w:vAlign w:val="center"/>
          </w:tcPr>
          <w:p w14:paraId="76EABBFB"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Salto de frecuencia</w:t>
            </w:r>
          </w:p>
        </w:tc>
        <w:tc>
          <w:tcPr>
            <w:tcW w:w="755" w:type="pct"/>
            <w:shd w:val="clear" w:color="auto" w:fill="auto"/>
            <w:vAlign w:val="center"/>
          </w:tcPr>
          <w:p w14:paraId="263A7CA7"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20 dB del ancho de banda del canal</w:t>
            </w:r>
          </w:p>
        </w:tc>
        <w:tc>
          <w:tcPr>
            <w:tcW w:w="829" w:type="pct"/>
            <w:shd w:val="clear" w:color="auto" w:fill="auto"/>
            <w:vAlign w:val="center"/>
          </w:tcPr>
          <w:p w14:paraId="2CCCDEDF"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25 kHz</w:t>
            </w:r>
          </w:p>
        </w:tc>
        <w:tc>
          <w:tcPr>
            <w:tcW w:w="455" w:type="pct"/>
            <w:shd w:val="clear" w:color="auto" w:fill="auto"/>
            <w:vAlign w:val="center"/>
          </w:tcPr>
          <w:p w14:paraId="4A8EE06F"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75</w:t>
            </w:r>
          </w:p>
        </w:tc>
        <w:tc>
          <w:tcPr>
            <w:tcW w:w="678" w:type="pct"/>
            <w:shd w:val="clear" w:color="auto" w:fill="auto"/>
            <w:vAlign w:val="center"/>
          </w:tcPr>
          <w:p w14:paraId="6644F0D7"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0.4 s</w:t>
            </w:r>
          </w:p>
        </w:tc>
        <w:tc>
          <w:tcPr>
            <w:tcW w:w="755" w:type="pct"/>
            <w:shd w:val="clear" w:color="auto" w:fill="auto"/>
            <w:vAlign w:val="center"/>
          </w:tcPr>
          <w:p w14:paraId="7DD8653B"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(0.4 s) (N)</w:t>
            </w:r>
          </w:p>
        </w:tc>
        <w:tc>
          <w:tcPr>
            <w:tcW w:w="528" w:type="pct"/>
            <w:shd w:val="clear" w:color="auto" w:fill="auto"/>
            <w:vAlign w:val="center"/>
          </w:tcPr>
          <w:p w14:paraId="71B095AC"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1 W</w:t>
            </w:r>
          </w:p>
        </w:tc>
        <w:tc>
          <w:tcPr>
            <w:tcW w:w="399" w:type="pct"/>
            <w:shd w:val="clear" w:color="auto" w:fill="auto"/>
            <w:vAlign w:val="center"/>
          </w:tcPr>
          <w:p w14:paraId="1E6AD076"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4 W</w:t>
            </w:r>
          </w:p>
        </w:tc>
      </w:tr>
      <w:tr w:rsidR="00341CFE" w:rsidRPr="0027631D" w14:paraId="7678D603" w14:textId="77777777" w:rsidTr="00FF5B8A">
        <w:trPr>
          <w:cantSplit/>
          <w:trHeight w:val="265"/>
          <w:jc w:val="center"/>
        </w:trPr>
        <w:tc>
          <w:tcPr>
            <w:tcW w:w="601" w:type="pct"/>
            <w:vMerge/>
            <w:shd w:val="clear" w:color="auto" w:fill="D9D9D9" w:themeFill="background1" w:themeFillShade="D9"/>
            <w:vAlign w:val="center"/>
          </w:tcPr>
          <w:p w14:paraId="67E00BD3" w14:textId="77777777" w:rsidR="00ED49E0" w:rsidRPr="0027631D" w:rsidRDefault="00ED49E0" w:rsidP="0027631D">
            <w:pPr>
              <w:spacing w:after="0" w:line="23" w:lineRule="atLeast"/>
              <w:contextualSpacing/>
              <w:jc w:val="center"/>
              <w:rPr>
                <w:rFonts w:ascii="Arial" w:hAnsi="Arial" w:cs="Arial"/>
                <w:lang w:val="es-ES" w:eastAsia="es-MX"/>
              </w:rPr>
            </w:pPr>
          </w:p>
        </w:tc>
        <w:tc>
          <w:tcPr>
            <w:tcW w:w="755" w:type="pct"/>
            <w:shd w:val="clear" w:color="auto" w:fill="auto"/>
            <w:vAlign w:val="center"/>
          </w:tcPr>
          <w:p w14:paraId="19328D13"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2/3 de 20dB del ancho de banda del canal</w:t>
            </w:r>
          </w:p>
        </w:tc>
        <w:tc>
          <w:tcPr>
            <w:tcW w:w="829" w:type="pct"/>
            <w:shd w:val="clear" w:color="auto" w:fill="auto"/>
            <w:vAlign w:val="center"/>
          </w:tcPr>
          <w:p w14:paraId="435AE034"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25 kHz</w:t>
            </w:r>
          </w:p>
        </w:tc>
        <w:tc>
          <w:tcPr>
            <w:tcW w:w="455" w:type="pct"/>
            <w:shd w:val="clear" w:color="auto" w:fill="auto"/>
            <w:vAlign w:val="center"/>
          </w:tcPr>
          <w:p w14:paraId="1057FD9D"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15</w:t>
            </w:r>
          </w:p>
        </w:tc>
        <w:tc>
          <w:tcPr>
            <w:tcW w:w="678" w:type="pct"/>
            <w:shd w:val="clear" w:color="auto" w:fill="auto"/>
            <w:vAlign w:val="center"/>
          </w:tcPr>
          <w:p w14:paraId="1AA937E5"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0.4 s</w:t>
            </w:r>
          </w:p>
        </w:tc>
        <w:tc>
          <w:tcPr>
            <w:tcW w:w="755" w:type="pct"/>
            <w:shd w:val="clear" w:color="auto" w:fill="auto"/>
            <w:vAlign w:val="center"/>
          </w:tcPr>
          <w:p w14:paraId="68D20715"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(0.4 s) (N)</w:t>
            </w:r>
          </w:p>
        </w:tc>
        <w:tc>
          <w:tcPr>
            <w:tcW w:w="528" w:type="pct"/>
            <w:shd w:val="clear" w:color="auto" w:fill="auto"/>
            <w:vAlign w:val="center"/>
          </w:tcPr>
          <w:p w14:paraId="5C66A7FD"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0.125 W</w:t>
            </w:r>
          </w:p>
        </w:tc>
        <w:tc>
          <w:tcPr>
            <w:tcW w:w="399" w:type="pct"/>
            <w:shd w:val="clear" w:color="auto" w:fill="auto"/>
            <w:vAlign w:val="center"/>
          </w:tcPr>
          <w:p w14:paraId="69477C4F"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4 W</w:t>
            </w:r>
          </w:p>
        </w:tc>
      </w:tr>
    </w:tbl>
    <w:p w14:paraId="14B71FD6" w14:textId="1390584E" w:rsidR="00ED49E0" w:rsidRPr="00515B91" w:rsidRDefault="00ED49E0" w:rsidP="0027631D">
      <w:pPr>
        <w:pStyle w:val="Descripcin"/>
        <w:contextualSpacing/>
        <w:rPr>
          <w:i w:val="0"/>
          <w:sz w:val="22"/>
          <w:szCs w:val="22"/>
        </w:rPr>
      </w:pPr>
      <w:bookmarkStart w:id="230" w:name="_Toc44669665"/>
      <w:bookmarkStart w:id="231" w:name="_Toc44946878"/>
      <w:bookmarkStart w:id="232" w:name="_Toc45105840"/>
      <w:bookmarkStart w:id="233" w:name="_Toc45105939"/>
      <w:bookmarkStart w:id="234" w:name="_Toc45112641"/>
      <w:bookmarkStart w:id="235" w:name="_Toc45115154"/>
      <w:bookmarkStart w:id="236" w:name="_Toc45119729"/>
      <w:bookmarkStart w:id="237" w:name="_Toc45217381"/>
      <w:bookmarkStart w:id="238" w:name="_Toc45226584"/>
      <w:bookmarkStart w:id="239" w:name="_Toc45226700"/>
      <w:bookmarkStart w:id="240" w:name="_Toc45274897"/>
      <w:bookmarkStart w:id="241" w:name="_Toc45274976"/>
      <w:bookmarkStart w:id="242" w:name="_Toc45279214"/>
      <w:bookmarkStart w:id="243" w:name="_Toc45305740"/>
      <w:bookmarkStart w:id="244" w:name="_Toc45364872"/>
      <w:bookmarkStart w:id="245" w:name="_Toc45381225"/>
      <w:bookmarkStart w:id="246" w:name="_Toc45452827"/>
      <w:bookmarkStart w:id="247" w:name="_Toc45452936"/>
      <w:r w:rsidRPr="00515B91">
        <w:rPr>
          <w:i w:val="0"/>
          <w:sz w:val="22"/>
          <w:szCs w:val="22"/>
        </w:rPr>
        <w:t xml:space="preserve">Tabla </w:t>
      </w:r>
      <w:r w:rsidR="008010AD" w:rsidRPr="00515B91">
        <w:rPr>
          <w:i w:val="0"/>
          <w:sz w:val="22"/>
          <w:szCs w:val="22"/>
        </w:rPr>
        <w:fldChar w:fldCharType="begin"/>
      </w:r>
      <w:r w:rsidR="008010AD" w:rsidRPr="00515B91">
        <w:rPr>
          <w:i w:val="0"/>
          <w:sz w:val="22"/>
          <w:szCs w:val="22"/>
        </w:rPr>
        <w:instrText xml:space="preserve"> SEQ Tabla \* ARABIC </w:instrText>
      </w:r>
      <w:r w:rsidR="008010AD" w:rsidRPr="00515B91">
        <w:rPr>
          <w:i w:val="0"/>
          <w:sz w:val="22"/>
          <w:szCs w:val="22"/>
        </w:rPr>
        <w:fldChar w:fldCharType="separate"/>
      </w:r>
      <w:r w:rsidR="004F1EA3">
        <w:rPr>
          <w:i w:val="0"/>
          <w:noProof/>
          <w:sz w:val="22"/>
          <w:szCs w:val="22"/>
        </w:rPr>
        <w:t>15</w:t>
      </w:r>
      <w:r w:rsidR="008010AD" w:rsidRPr="00515B91">
        <w:rPr>
          <w:i w:val="0"/>
          <w:noProof/>
          <w:sz w:val="22"/>
          <w:szCs w:val="22"/>
        </w:rPr>
        <w:fldChar w:fldCharType="end"/>
      </w:r>
      <w:r w:rsidRPr="00515B91">
        <w:rPr>
          <w:i w:val="0"/>
          <w:sz w:val="22"/>
          <w:szCs w:val="22"/>
        </w:rPr>
        <w:t>.</w:t>
      </w:r>
      <w:r w:rsidRPr="00515B91">
        <w:rPr>
          <w:i w:val="0"/>
          <w:sz w:val="22"/>
          <w:szCs w:val="22"/>
          <w:lang w:val="es-ES" w:eastAsia="es-MX"/>
        </w:rPr>
        <w:t xml:space="preserve"> Disposiciones y requisitos de operación para sistemas FHSS en la banda 2.4 GHz</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515B91">
        <w:rPr>
          <w:i w:val="0"/>
          <w:sz w:val="22"/>
          <w:szCs w:val="22"/>
          <w:lang w:val="es-ES" w:eastAsia="es-MX"/>
        </w:rPr>
        <w:t xml:space="preserve"> establecidos en Canadá</w:t>
      </w:r>
      <w:bookmarkEnd w:id="244"/>
      <w:bookmarkEnd w:id="245"/>
      <w:bookmarkEnd w:id="246"/>
      <w:bookmarkEnd w:id="247"/>
    </w:p>
    <w:p w14:paraId="504D1A33" w14:textId="77777777" w:rsidR="00ED49E0" w:rsidRPr="0027631D" w:rsidRDefault="00ED49E0" w:rsidP="0027631D">
      <w:pPr>
        <w:spacing w:after="0" w:line="23" w:lineRule="atLeast"/>
        <w:contextualSpacing/>
        <w:jc w:val="both"/>
        <w:rPr>
          <w:rFonts w:ascii="Arial" w:hAnsi="Arial" w:cs="Arial"/>
        </w:rPr>
      </w:pPr>
    </w:p>
    <w:p w14:paraId="38F2FEFA" w14:textId="77777777" w:rsidR="00ED49E0" w:rsidRPr="0027631D" w:rsidRDefault="00ED49E0" w:rsidP="0027631D">
      <w:pPr>
        <w:spacing w:after="0" w:line="23" w:lineRule="atLeast"/>
        <w:contextualSpacing/>
        <w:jc w:val="both"/>
        <w:rPr>
          <w:rFonts w:ascii="Arial" w:hAnsi="Arial" w:cs="Arial"/>
        </w:rPr>
      </w:pPr>
      <w:r w:rsidRPr="0027631D">
        <w:rPr>
          <w:rFonts w:ascii="Arial" w:hAnsi="Arial" w:cs="Arial"/>
        </w:rPr>
        <w:t>Aunado a lo anterior, el estándar de radio RSS-247 (</w:t>
      </w:r>
      <w:r w:rsidRPr="0027631D">
        <w:rPr>
          <w:rFonts w:ascii="Arial" w:hAnsi="Arial" w:cs="Arial"/>
          <w:i/>
        </w:rPr>
        <w:t>issue 2)</w:t>
      </w:r>
      <w:r w:rsidRPr="0027631D">
        <w:rPr>
          <w:rFonts w:ascii="Arial" w:hAnsi="Arial" w:cs="Arial"/>
        </w:rPr>
        <w:t>, proporciona otras condiciones para los sistemas que utilizan técnicas de transmisión de espectro disperso por salto de frecuencia, las cuales son las siguientes:</w:t>
      </w:r>
    </w:p>
    <w:p w14:paraId="5D2C9E9A" w14:textId="77777777" w:rsidR="00ED49E0" w:rsidRPr="0027631D" w:rsidRDefault="00ED49E0" w:rsidP="0027631D">
      <w:pPr>
        <w:spacing w:after="0" w:line="23" w:lineRule="atLeast"/>
        <w:contextualSpacing/>
        <w:jc w:val="both"/>
        <w:rPr>
          <w:rFonts w:ascii="Arial" w:hAnsi="Arial" w:cs="Arial"/>
        </w:rPr>
      </w:pPr>
    </w:p>
    <w:p w14:paraId="13CD555C" w14:textId="7ACB712B" w:rsidR="00ED49E0" w:rsidRPr="0027631D" w:rsidRDefault="00ED49E0" w:rsidP="00E36991">
      <w:pPr>
        <w:numPr>
          <w:ilvl w:val="0"/>
          <w:numId w:val="12"/>
        </w:numPr>
        <w:spacing w:after="0" w:line="23" w:lineRule="atLeast"/>
        <w:ind w:left="567" w:hanging="283"/>
        <w:contextualSpacing/>
        <w:jc w:val="both"/>
        <w:rPr>
          <w:rFonts w:ascii="Arial" w:hAnsi="Arial" w:cs="Arial"/>
        </w:rPr>
      </w:pPr>
      <w:r w:rsidRPr="0027631D">
        <w:rPr>
          <w:rFonts w:ascii="Arial" w:hAnsi="Arial" w:cs="Arial"/>
        </w:rPr>
        <w:t xml:space="preserve">Los sistemas que utilizan técnicas de transmisión de espectro disperso por salto de frecuencia no están obligados a emplear todos los canales de salto disponibles durante cada transmisión. Sin embargo, el sistema, que consiste tanto en el transmisor como en el receptor, debe estar diseñado para cumplir con todas las regulaciones del estándar de radio RSS-247 </w:t>
      </w:r>
      <w:r w:rsidRPr="0027631D">
        <w:rPr>
          <w:rFonts w:ascii="Arial" w:hAnsi="Arial" w:cs="Arial"/>
          <w:i/>
        </w:rPr>
        <w:t xml:space="preserve">(issue 2) </w:t>
      </w:r>
      <w:r w:rsidRPr="0027631D">
        <w:rPr>
          <w:rFonts w:ascii="Arial" w:hAnsi="Arial" w:cs="Arial"/>
        </w:rPr>
        <w:t xml:space="preserve">cuando el transmisor emita un flujo continuo de datos o información. Además, un sistema que emplee ráfagas cortas de transmisión debe cumplir con la definición de un sistema de salto de frecuencia y deberá distribuir sus transmisiones sobre el número mínimo de canales de salto especificados también en el estándar de radio RSS-247 </w:t>
      </w:r>
      <w:r w:rsidRPr="0027631D">
        <w:rPr>
          <w:rFonts w:ascii="Arial" w:hAnsi="Arial" w:cs="Arial"/>
          <w:i/>
        </w:rPr>
        <w:t>(issue 2)</w:t>
      </w:r>
      <w:r w:rsidR="004954AE">
        <w:rPr>
          <w:rFonts w:ascii="Arial" w:hAnsi="Arial" w:cs="Arial"/>
        </w:rPr>
        <w:t>,</w:t>
      </w:r>
      <w:r w:rsidRPr="0027631D">
        <w:rPr>
          <w:rFonts w:ascii="Arial" w:hAnsi="Arial" w:cs="Arial"/>
        </w:rPr>
        <w:t xml:space="preserve"> y</w:t>
      </w:r>
    </w:p>
    <w:p w14:paraId="475074FA" w14:textId="77777777" w:rsidR="00ED49E0" w:rsidRPr="0027631D" w:rsidRDefault="00ED49E0" w:rsidP="0027631D">
      <w:pPr>
        <w:spacing w:after="0" w:line="23" w:lineRule="atLeast"/>
        <w:ind w:left="567" w:hanging="283"/>
        <w:contextualSpacing/>
        <w:jc w:val="both"/>
        <w:rPr>
          <w:rFonts w:ascii="Arial" w:hAnsi="Arial" w:cs="Arial"/>
        </w:rPr>
      </w:pPr>
    </w:p>
    <w:p w14:paraId="74A46A64" w14:textId="77777777" w:rsidR="00ED49E0" w:rsidRPr="0027631D" w:rsidRDefault="00ED49E0" w:rsidP="00E36991">
      <w:pPr>
        <w:numPr>
          <w:ilvl w:val="0"/>
          <w:numId w:val="12"/>
        </w:numPr>
        <w:spacing w:after="0" w:line="23" w:lineRule="atLeast"/>
        <w:ind w:left="567" w:hanging="283"/>
        <w:contextualSpacing/>
        <w:jc w:val="both"/>
        <w:rPr>
          <w:rFonts w:ascii="Arial" w:hAnsi="Arial" w:cs="Arial"/>
        </w:rPr>
      </w:pPr>
      <w:r w:rsidRPr="0027631D">
        <w:rPr>
          <w:rFonts w:ascii="Arial" w:hAnsi="Arial" w:cs="Arial"/>
        </w:rPr>
        <w:t>Se permite la incorporación de inteligencia en los sistemas que utilizan técnicas de transmisión de espectro disperso por salto de frecuencia para reconocer a otros usuarios dentro de la banda, de tal manera que el sistema elija y adapte sus saltos de forma individual e independiente para evitar saltar a canales ocupados. La coordinación de sistemas por salto de frecuencia que no sea exclusivamente para evitar la ocupación simultánea de frecuencias individuales de salto por parte de múltiples transmisores no está permitida.</w:t>
      </w:r>
    </w:p>
    <w:p w14:paraId="62927AC8" w14:textId="77777777" w:rsidR="00ED49E0" w:rsidRPr="0027631D" w:rsidRDefault="00ED49E0" w:rsidP="0027631D">
      <w:pPr>
        <w:spacing w:after="0" w:line="23" w:lineRule="atLeast"/>
        <w:contextualSpacing/>
        <w:jc w:val="both"/>
        <w:rPr>
          <w:rFonts w:ascii="Arial" w:hAnsi="Arial" w:cs="Arial"/>
        </w:rPr>
      </w:pPr>
    </w:p>
    <w:tbl>
      <w:tblPr>
        <w:tblStyle w:val="Tablaconcuadrcula"/>
        <w:tblW w:w="5000" w:type="pct"/>
        <w:jc w:val="center"/>
        <w:tblCellMar>
          <w:left w:w="28" w:type="dxa"/>
          <w:right w:w="28" w:type="dxa"/>
        </w:tblCellMar>
        <w:tblLook w:val="04A0" w:firstRow="1" w:lastRow="0" w:firstColumn="1" w:lastColumn="0" w:noHBand="0" w:noVBand="1"/>
      </w:tblPr>
      <w:tblGrid>
        <w:gridCol w:w="1288"/>
        <w:gridCol w:w="2151"/>
        <w:gridCol w:w="1578"/>
        <w:gridCol w:w="1578"/>
        <w:gridCol w:w="2799"/>
      </w:tblGrid>
      <w:tr w:rsidR="00341CFE" w:rsidRPr="0027631D" w14:paraId="2DF09EB6" w14:textId="77777777" w:rsidTr="00B23D4D">
        <w:trPr>
          <w:cantSplit/>
          <w:trHeight w:val="931"/>
          <w:tblHeader/>
          <w:jc w:val="center"/>
        </w:trPr>
        <w:tc>
          <w:tcPr>
            <w:tcW w:w="685" w:type="pct"/>
            <w:shd w:val="clear" w:color="auto" w:fill="D9D9D9" w:themeFill="background1" w:themeFillShade="D9"/>
            <w:vAlign w:val="center"/>
          </w:tcPr>
          <w:p w14:paraId="287D3F9F"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lastRenderedPageBreak/>
              <w:t>Tipo de sistema</w:t>
            </w:r>
          </w:p>
        </w:tc>
        <w:tc>
          <w:tcPr>
            <w:tcW w:w="1145" w:type="pct"/>
            <w:shd w:val="clear" w:color="auto" w:fill="D9D9D9" w:themeFill="background1" w:themeFillShade="D9"/>
            <w:vAlign w:val="center"/>
          </w:tcPr>
          <w:p w14:paraId="67FE7EFE"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Ancho de banda del canal</w:t>
            </w:r>
          </w:p>
        </w:tc>
        <w:tc>
          <w:tcPr>
            <w:tcW w:w="840" w:type="pct"/>
            <w:shd w:val="clear" w:color="auto" w:fill="D9D9D9" w:themeFill="background1" w:themeFillShade="D9"/>
            <w:vAlign w:val="center"/>
          </w:tcPr>
          <w:p w14:paraId="295AB403"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Potencia pico de salida máxima</w:t>
            </w:r>
          </w:p>
        </w:tc>
        <w:tc>
          <w:tcPr>
            <w:tcW w:w="840" w:type="pct"/>
            <w:shd w:val="clear" w:color="auto" w:fill="D9D9D9" w:themeFill="background1" w:themeFillShade="D9"/>
            <w:vAlign w:val="center"/>
          </w:tcPr>
          <w:p w14:paraId="17B8937C"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PIRE</w:t>
            </w:r>
          </w:p>
        </w:tc>
        <w:tc>
          <w:tcPr>
            <w:tcW w:w="1490" w:type="pct"/>
            <w:shd w:val="clear" w:color="auto" w:fill="D9D9D9" w:themeFill="background1" w:themeFillShade="D9"/>
            <w:vAlign w:val="center"/>
          </w:tcPr>
          <w:p w14:paraId="1EFEBEF6"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Densidad espectral de potencia conducida a la(s) antena(s)</w:t>
            </w:r>
          </w:p>
        </w:tc>
      </w:tr>
      <w:tr w:rsidR="00341CFE" w:rsidRPr="0027631D" w14:paraId="4D445066" w14:textId="77777777" w:rsidTr="00B23D4D">
        <w:trPr>
          <w:cantSplit/>
          <w:trHeight w:val="265"/>
          <w:jc w:val="center"/>
        </w:trPr>
        <w:tc>
          <w:tcPr>
            <w:tcW w:w="685" w:type="pct"/>
            <w:shd w:val="clear" w:color="auto" w:fill="D9D9D9" w:themeFill="background1" w:themeFillShade="D9"/>
            <w:vAlign w:val="center"/>
          </w:tcPr>
          <w:p w14:paraId="03058091"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Modulación digital</w:t>
            </w:r>
          </w:p>
        </w:tc>
        <w:tc>
          <w:tcPr>
            <w:tcW w:w="1145" w:type="pct"/>
            <w:shd w:val="clear" w:color="auto" w:fill="auto"/>
            <w:vAlign w:val="center"/>
          </w:tcPr>
          <w:p w14:paraId="0521E2FE"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El ancho de banda del canal a 6 dB deberá ser de al menos 500 kHz</w:t>
            </w:r>
          </w:p>
        </w:tc>
        <w:tc>
          <w:tcPr>
            <w:tcW w:w="840" w:type="pct"/>
            <w:shd w:val="clear" w:color="auto" w:fill="auto"/>
            <w:vAlign w:val="center"/>
          </w:tcPr>
          <w:p w14:paraId="000DD31E"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1 W</w:t>
            </w:r>
          </w:p>
        </w:tc>
        <w:tc>
          <w:tcPr>
            <w:tcW w:w="840" w:type="pct"/>
            <w:shd w:val="clear" w:color="auto" w:fill="auto"/>
            <w:vAlign w:val="center"/>
          </w:tcPr>
          <w:p w14:paraId="2D68C9C8"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4 W</w:t>
            </w:r>
          </w:p>
        </w:tc>
        <w:tc>
          <w:tcPr>
            <w:tcW w:w="1490" w:type="pct"/>
            <w:shd w:val="clear" w:color="auto" w:fill="auto"/>
            <w:vAlign w:val="center"/>
          </w:tcPr>
          <w:p w14:paraId="2811C877"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8 dBm de cualquier segmento de 3 kHz de cualquier intervalo de transmisión continua.</w:t>
            </w:r>
          </w:p>
        </w:tc>
      </w:tr>
    </w:tbl>
    <w:p w14:paraId="50CD4AB8" w14:textId="4F6593A4" w:rsidR="00ED49E0" w:rsidRPr="00515B91" w:rsidRDefault="00ED49E0" w:rsidP="0027631D">
      <w:pPr>
        <w:pStyle w:val="Descripcin"/>
        <w:contextualSpacing/>
        <w:rPr>
          <w:i w:val="0"/>
          <w:sz w:val="22"/>
          <w:szCs w:val="22"/>
        </w:rPr>
      </w:pPr>
      <w:bookmarkStart w:id="248" w:name="_Toc45305741"/>
      <w:bookmarkStart w:id="249" w:name="_Toc45364873"/>
      <w:bookmarkStart w:id="250" w:name="_Toc45381226"/>
      <w:bookmarkStart w:id="251" w:name="_Toc45452828"/>
      <w:bookmarkStart w:id="252" w:name="_Toc45452937"/>
      <w:r w:rsidRPr="00515B91">
        <w:rPr>
          <w:i w:val="0"/>
          <w:sz w:val="22"/>
          <w:szCs w:val="22"/>
        </w:rPr>
        <w:t xml:space="preserve">Tabla </w:t>
      </w:r>
      <w:r w:rsidR="008010AD" w:rsidRPr="00515B91">
        <w:rPr>
          <w:i w:val="0"/>
          <w:sz w:val="22"/>
          <w:szCs w:val="22"/>
        </w:rPr>
        <w:fldChar w:fldCharType="begin"/>
      </w:r>
      <w:r w:rsidR="008010AD" w:rsidRPr="00515B91">
        <w:rPr>
          <w:i w:val="0"/>
          <w:sz w:val="22"/>
          <w:szCs w:val="22"/>
        </w:rPr>
        <w:instrText xml:space="preserve"> SEQ Tabla \* ARABIC </w:instrText>
      </w:r>
      <w:r w:rsidR="008010AD" w:rsidRPr="00515B91">
        <w:rPr>
          <w:i w:val="0"/>
          <w:sz w:val="22"/>
          <w:szCs w:val="22"/>
        </w:rPr>
        <w:fldChar w:fldCharType="separate"/>
      </w:r>
      <w:r w:rsidR="004F1EA3">
        <w:rPr>
          <w:i w:val="0"/>
          <w:noProof/>
          <w:sz w:val="22"/>
          <w:szCs w:val="22"/>
        </w:rPr>
        <w:t>16</w:t>
      </w:r>
      <w:r w:rsidR="008010AD" w:rsidRPr="00515B91">
        <w:rPr>
          <w:i w:val="0"/>
          <w:noProof/>
          <w:sz w:val="22"/>
          <w:szCs w:val="22"/>
        </w:rPr>
        <w:fldChar w:fldCharType="end"/>
      </w:r>
      <w:r w:rsidRPr="00515B91">
        <w:rPr>
          <w:i w:val="0"/>
          <w:sz w:val="22"/>
          <w:szCs w:val="22"/>
        </w:rPr>
        <w:t>.</w:t>
      </w:r>
      <w:r w:rsidRPr="00515B91">
        <w:rPr>
          <w:i w:val="0"/>
          <w:sz w:val="22"/>
          <w:szCs w:val="22"/>
          <w:lang w:val="es-ES" w:eastAsia="es-MX"/>
        </w:rPr>
        <w:t xml:space="preserve"> Disposiciones y requisitos de operación para sistemas DTS en la banda 2.4 GHz</w:t>
      </w:r>
      <w:bookmarkEnd w:id="248"/>
      <w:r w:rsidRPr="00515B91">
        <w:rPr>
          <w:i w:val="0"/>
          <w:sz w:val="22"/>
          <w:szCs w:val="22"/>
          <w:lang w:val="es-ES" w:eastAsia="es-MX"/>
        </w:rPr>
        <w:t xml:space="preserve"> establecidos en Canadá</w:t>
      </w:r>
      <w:bookmarkEnd w:id="249"/>
      <w:bookmarkEnd w:id="250"/>
      <w:bookmarkEnd w:id="251"/>
      <w:bookmarkEnd w:id="252"/>
    </w:p>
    <w:p w14:paraId="6EB863BC" w14:textId="77777777" w:rsidR="00ED49E0" w:rsidRPr="0027631D" w:rsidRDefault="00ED49E0" w:rsidP="0027631D">
      <w:pPr>
        <w:spacing w:after="0" w:line="23" w:lineRule="atLeast"/>
        <w:contextualSpacing/>
        <w:jc w:val="both"/>
        <w:rPr>
          <w:rFonts w:ascii="Arial" w:hAnsi="Arial" w:cs="Arial"/>
        </w:rPr>
      </w:pPr>
    </w:p>
    <w:tbl>
      <w:tblPr>
        <w:tblStyle w:val="Tablaconcuadrcula"/>
        <w:tblW w:w="5000" w:type="pct"/>
        <w:jc w:val="right"/>
        <w:tblCellMar>
          <w:left w:w="28" w:type="dxa"/>
          <w:right w:w="28" w:type="dxa"/>
        </w:tblCellMar>
        <w:tblLook w:val="04A0" w:firstRow="1" w:lastRow="0" w:firstColumn="1" w:lastColumn="0" w:noHBand="0" w:noVBand="1"/>
      </w:tblPr>
      <w:tblGrid>
        <w:gridCol w:w="3113"/>
        <w:gridCol w:w="3119"/>
        <w:gridCol w:w="3162"/>
      </w:tblGrid>
      <w:tr w:rsidR="00341CFE" w:rsidRPr="0027631D" w14:paraId="2A4365DE" w14:textId="77777777" w:rsidTr="00341CFE">
        <w:trPr>
          <w:cantSplit/>
          <w:trHeight w:val="295"/>
          <w:tblHeader/>
          <w:jc w:val="right"/>
        </w:trPr>
        <w:tc>
          <w:tcPr>
            <w:tcW w:w="1657" w:type="pct"/>
            <w:shd w:val="clear" w:color="auto" w:fill="D9D9D9" w:themeFill="background1" w:themeFillShade="D9"/>
            <w:vAlign w:val="center"/>
          </w:tcPr>
          <w:p w14:paraId="32D71CE8"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Tipo de sistema</w:t>
            </w:r>
          </w:p>
        </w:tc>
        <w:tc>
          <w:tcPr>
            <w:tcW w:w="3343" w:type="pct"/>
            <w:gridSpan w:val="2"/>
            <w:shd w:val="clear" w:color="auto" w:fill="D9D9D9" w:themeFill="background1" w:themeFillShade="D9"/>
            <w:vAlign w:val="center"/>
          </w:tcPr>
          <w:p w14:paraId="017CC2A2"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Disposición y límite de operación</w:t>
            </w:r>
          </w:p>
        </w:tc>
      </w:tr>
      <w:tr w:rsidR="00341CFE" w:rsidRPr="0027631D" w14:paraId="79ABA335" w14:textId="77777777" w:rsidTr="00FF5B8A">
        <w:trPr>
          <w:cantSplit/>
          <w:trHeight w:val="258"/>
          <w:jc w:val="right"/>
        </w:trPr>
        <w:tc>
          <w:tcPr>
            <w:tcW w:w="1657" w:type="pct"/>
            <w:vMerge w:val="restart"/>
            <w:shd w:val="clear" w:color="auto" w:fill="D9D9D9" w:themeFill="background1" w:themeFillShade="D9"/>
            <w:vAlign w:val="center"/>
          </w:tcPr>
          <w:p w14:paraId="76A7C525"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Híbridos</w:t>
            </w:r>
          </w:p>
          <w:p w14:paraId="1D431D6F"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(Salto de frecuencia apagado)</w:t>
            </w:r>
          </w:p>
        </w:tc>
        <w:tc>
          <w:tcPr>
            <w:tcW w:w="3343" w:type="pct"/>
            <w:gridSpan w:val="2"/>
            <w:shd w:val="clear" w:color="auto" w:fill="D9D9D9" w:themeFill="background1" w:themeFillShade="D9"/>
            <w:vAlign w:val="center"/>
          </w:tcPr>
          <w:p w14:paraId="32CCE64B"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b/>
                <w:lang w:val="es-ES" w:eastAsia="es-MX"/>
              </w:rPr>
              <w:t>Densidad espectral de potencia conducida a la(s) antena(s)</w:t>
            </w:r>
          </w:p>
        </w:tc>
      </w:tr>
      <w:tr w:rsidR="00341CFE" w:rsidRPr="0027631D" w14:paraId="1631AFD6" w14:textId="77777777" w:rsidTr="00FF5B8A">
        <w:trPr>
          <w:cantSplit/>
          <w:trHeight w:val="273"/>
          <w:jc w:val="right"/>
        </w:trPr>
        <w:tc>
          <w:tcPr>
            <w:tcW w:w="1657" w:type="pct"/>
            <w:vMerge/>
            <w:shd w:val="clear" w:color="auto" w:fill="D9D9D9" w:themeFill="background1" w:themeFillShade="D9"/>
            <w:vAlign w:val="center"/>
          </w:tcPr>
          <w:p w14:paraId="48A131E6" w14:textId="77777777" w:rsidR="00ED49E0" w:rsidRPr="0027631D" w:rsidRDefault="00ED49E0" w:rsidP="0027631D">
            <w:pPr>
              <w:spacing w:after="0" w:line="23" w:lineRule="atLeast"/>
              <w:contextualSpacing/>
              <w:jc w:val="center"/>
              <w:rPr>
                <w:rFonts w:ascii="Arial" w:hAnsi="Arial" w:cs="Arial"/>
                <w:b/>
                <w:lang w:val="es-ES" w:eastAsia="es-MX"/>
              </w:rPr>
            </w:pPr>
          </w:p>
        </w:tc>
        <w:tc>
          <w:tcPr>
            <w:tcW w:w="3343" w:type="pct"/>
            <w:gridSpan w:val="2"/>
            <w:shd w:val="clear" w:color="auto" w:fill="auto"/>
            <w:vAlign w:val="center"/>
          </w:tcPr>
          <w:p w14:paraId="6B0411F4"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8 dBm de cualquier segmento de 3 kHz de cualquier intervalo de transmisión continua.</w:t>
            </w:r>
          </w:p>
        </w:tc>
      </w:tr>
      <w:tr w:rsidR="00341CFE" w:rsidRPr="0027631D" w14:paraId="6EF07677" w14:textId="77777777" w:rsidTr="00FF5B8A">
        <w:trPr>
          <w:cantSplit/>
          <w:trHeight w:val="20"/>
          <w:jc w:val="right"/>
        </w:trPr>
        <w:tc>
          <w:tcPr>
            <w:tcW w:w="1657" w:type="pct"/>
            <w:vMerge w:val="restart"/>
            <w:shd w:val="clear" w:color="auto" w:fill="D9D9D9" w:themeFill="background1" w:themeFillShade="D9"/>
            <w:vAlign w:val="center"/>
          </w:tcPr>
          <w:p w14:paraId="0B335154"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Híbridos</w:t>
            </w:r>
          </w:p>
          <w:p w14:paraId="4AC3B9EA"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(Modulación Digital apagada)</w:t>
            </w:r>
          </w:p>
        </w:tc>
        <w:tc>
          <w:tcPr>
            <w:tcW w:w="1660" w:type="pct"/>
            <w:shd w:val="clear" w:color="auto" w:fill="D9D9D9" w:themeFill="background1" w:themeFillShade="D9"/>
            <w:vAlign w:val="center"/>
          </w:tcPr>
          <w:p w14:paraId="51C01AE7"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b/>
                <w:lang w:val="es-ES" w:eastAsia="es-MX"/>
              </w:rPr>
              <w:t>Tiempo promedio de ocupación en cualquier frecuencia</w:t>
            </w:r>
          </w:p>
        </w:tc>
        <w:tc>
          <w:tcPr>
            <w:tcW w:w="1683" w:type="pct"/>
            <w:shd w:val="clear" w:color="auto" w:fill="D9D9D9" w:themeFill="background1" w:themeFillShade="D9"/>
            <w:vAlign w:val="center"/>
          </w:tcPr>
          <w:p w14:paraId="51D4E20A"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Periodo de tiempo de ocupación</w:t>
            </w:r>
          </w:p>
        </w:tc>
      </w:tr>
      <w:tr w:rsidR="00341CFE" w:rsidRPr="0027631D" w14:paraId="5A66BE06" w14:textId="77777777" w:rsidTr="00FF5B8A">
        <w:trPr>
          <w:cantSplit/>
          <w:trHeight w:val="327"/>
          <w:jc w:val="right"/>
        </w:trPr>
        <w:tc>
          <w:tcPr>
            <w:tcW w:w="1657" w:type="pct"/>
            <w:vMerge/>
            <w:shd w:val="clear" w:color="auto" w:fill="D9D9D9" w:themeFill="background1" w:themeFillShade="D9"/>
            <w:vAlign w:val="center"/>
          </w:tcPr>
          <w:p w14:paraId="19FDB575" w14:textId="77777777" w:rsidR="00ED49E0" w:rsidRPr="0027631D" w:rsidRDefault="00ED49E0" w:rsidP="0027631D">
            <w:pPr>
              <w:spacing w:after="0" w:line="23" w:lineRule="atLeast"/>
              <w:contextualSpacing/>
              <w:jc w:val="center"/>
              <w:rPr>
                <w:rFonts w:ascii="Arial" w:hAnsi="Arial" w:cs="Arial"/>
                <w:b/>
                <w:lang w:val="es-ES" w:eastAsia="es-MX"/>
              </w:rPr>
            </w:pPr>
          </w:p>
        </w:tc>
        <w:tc>
          <w:tcPr>
            <w:tcW w:w="1660" w:type="pct"/>
            <w:shd w:val="clear" w:color="auto" w:fill="auto"/>
            <w:vAlign w:val="center"/>
          </w:tcPr>
          <w:p w14:paraId="352717A8"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0.4s</w:t>
            </w:r>
          </w:p>
        </w:tc>
        <w:tc>
          <w:tcPr>
            <w:tcW w:w="1683" w:type="pct"/>
            <w:shd w:val="clear" w:color="auto" w:fill="auto"/>
            <w:vAlign w:val="center"/>
          </w:tcPr>
          <w:p w14:paraId="37C34CD1"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(0.4 s) (N)</w:t>
            </w:r>
          </w:p>
        </w:tc>
      </w:tr>
    </w:tbl>
    <w:p w14:paraId="3294CCB0" w14:textId="45B0208C" w:rsidR="00ED49E0" w:rsidRPr="00515B91" w:rsidRDefault="00ED49E0" w:rsidP="0027631D">
      <w:pPr>
        <w:pStyle w:val="Descripcin"/>
        <w:contextualSpacing/>
        <w:rPr>
          <w:i w:val="0"/>
          <w:sz w:val="22"/>
          <w:szCs w:val="22"/>
        </w:rPr>
      </w:pPr>
      <w:bookmarkStart w:id="253" w:name="_Toc45305742"/>
      <w:bookmarkStart w:id="254" w:name="_Toc45364874"/>
      <w:bookmarkStart w:id="255" w:name="_Toc45381227"/>
      <w:bookmarkStart w:id="256" w:name="_Toc45452829"/>
      <w:bookmarkStart w:id="257" w:name="_Toc45452938"/>
      <w:r w:rsidRPr="00515B91">
        <w:rPr>
          <w:i w:val="0"/>
          <w:sz w:val="22"/>
          <w:szCs w:val="22"/>
        </w:rPr>
        <w:t xml:space="preserve">Tabla </w:t>
      </w:r>
      <w:r w:rsidR="008010AD" w:rsidRPr="00515B91">
        <w:rPr>
          <w:i w:val="0"/>
          <w:sz w:val="22"/>
          <w:szCs w:val="22"/>
        </w:rPr>
        <w:fldChar w:fldCharType="begin"/>
      </w:r>
      <w:r w:rsidR="008010AD" w:rsidRPr="00515B91">
        <w:rPr>
          <w:i w:val="0"/>
          <w:sz w:val="22"/>
          <w:szCs w:val="22"/>
        </w:rPr>
        <w:instrText xml:space="preserve"> SEQ Tabla \* ARABIC </w:instrText>
      </w:r>
      <w:r w:rsidR="008010AD" w:rsidRPr="00515B91">
        <w:rPr>
          <w:i w:val="0"/>
          <w:sz w:val="22"/>
          <w:szCs w:val="22"/>
        </w:rPr>
        <w:fldChar w:fldCharType="separate"/>
      </w:r>
      <w:r w:rsidR="004F1EA3">
        <w:rPr>
          <w:i w:val="0"/>
          <w:noProof/>
          <w:sz w:val="22"/>
          <w:szCs w:val="22"/>
        </w:rPr>
        <w:t>17</w:t>
      </w:r>
      <w:r w:rsidR="008010AD" w:rsidRPr="00515B91">
        <w:rPr>
          <w:i w:val="0"/>
          <w:noProof/>
          <w:sz w:val="22"/>
          <w:szCs w:val="22"/>
        </w:rPr>
        <w:fldChar w:fldCharType="end"/>
      </w:r>
      <w:r w:rsidRPr="00515B91">
        <w:rPr>
          <w:i w:val="0"/>
          <w:sz w:val="22"/>
          <w:szCs w:val="22"/>
        </w:rPr>
        <w:t>.</w:t>
      </w:r>
      <w:r w:rsidRPr="00515B91">
        <w:rPr>
          <w:i w:val="0"/>
          <w:sz w:val="22"/>
          <w:szCs w:val="22"/>
          <w:lang w:val="es-ES" w:eastAsia="es-MX"/>
        </w:rPr>
        <w:t xml:space="preserve"> Disposiciones y requisitos de operación para sistemas híbridos en la banda 2.4 GHz</w:t>
      </w:r>
      <w:bookmarkEnd w:id="253"/>
      <w:r w:rsidRPr="00515B91">
        <w:rPr>
          <w:i w:val="0"/>
          <w:sz w:val="22"/>
          <w:szCs w:val="22"/>
          <w:lang w:val="es-ES" w:eastAsia="es-MX"/>
        </w:rPr>
        <w:t xml:space="preserve"> establecidos en Canadá</w:t>
      </w:r>
      <w:bookmarkEnd w:id="254"/>
      <w:bookmarkEnd w:id="255"/>
      <w:bookmarkEnd w:id="256"/>
      <w:bookmarkEnd w:id="257"/>
    </w:p>
    <w:p w14:paraId="117D53FB" w14:textId="77777777" w:rsidR="00ED49E0" w:rsidRPr="0027631D" w:rsidRDefault="00ED49E0" w:rsidP="0027631D">
      <w:pPr>
        <w:spacing w:after="0" w:line="23" w:lineRule="atLeast"/>
        <w:contextualSpacing/>
        <w:jc w:val="both"/>
        <w:rPr>
          <w:rFonts w:ascii="Arial" w:hAnsi="Arial" w:cs="Arial"/>
        </w:rPr>
      </w:pPr>
    </w:p>
    <w:p w14:paraId="100B8812" w14:textId="77777777" w:rsidR="00ED49E0" w:rsidRPr="0027631D" w:rsidRDefault="00ED49E0" w:rsidP="0027631D">
      <w:pPr>
        <w:spacing w:after="0" w:line="23" w:lineRule="atLeast"/>
        <w:contextualSpacing/>
        <w:jc w:val="both"/>
        <w:rPr>
          <w:rFonts w:ascii="Arial" w:hAnsi="Arial" w:cs="Arial"/>
        </w:rPr>
      </w:pPr>
      <w:r w:rsidRPr="0027631D">
        <w:rPr>
          <w:rFonts w:ascii="Arial" w:hAnsi="Arial" w:cs="Arial"/>
        </w:rPr>
        <w:t xml:space="preserve">En el caso de los sistemas fijos punto a punto que funcionan en la banda 2.4 GHz, el estándar de radio RSS-247 </w:t>
      </w:r>
      <w:r w:rsidRPr="0027631D">
        <w:rPr>
          <w:rFonts w:ascii="Arial" w:hAnsi="Arial" w:cs="Arial"/>
          <w:i/>
        </w:rPr>
        <w:t xml:space="preserve">(issue 2) </w:t>
      </w:r>
      <w:r w:rsidRPr="0027631D">
        <w:rPr>
          <w:rFonts w:ascii="Arial" w:hAnsi="Arial" w:cs="Arial"/>
        </w:rPr>
        <w:t xml:space="preserve">establece que estos pueden tener una </w:t>
      </w:r>
      <w:r w:rsidRPr="0027631D">
        <w:rPr>
          <w:rFonts w:ascii="Arial" w:hAnsi="Arial" w:cs="Arial"/>
          <w:color w:val="000000"/>
        </w:rPr>
        <w:t>PIRE</w:t>
      </w:r>
      <w:r w:rsidRPr="0027631D">
        <w:rPr>
          <w:rFonts w:ascii="Arial" w:hAnsi="Arial" w:cs="Arial"/>
        </w:rPr>
        <w:t xml:space="preserve"> superior a 4 W, siempre que se emplee</w:t>
      </w:r>
      <w:r w:rsidR="00511B3C">
        <w:rPr>
          <w:rFonts w:ascii="Arial" w:hAnsi="Arial" w:cs="Arial"/>
        </w:rPr>
        <w:t>n</w:t>
      </w:r>
      <w:r w:rsidRPr="0027631D">
        <w:rPr>
          <w:rFonts w:ascii="Arial" w:hAnsi="Arial" w:cs="Arial"/>
        </w:rPr>
        <w:t xml:space="preserve"> antenas direccionales de mayor ganancia y no mayores potencias de salida del transmisor, como se indica en la tabla siguiente:</w:t>
      </w:r>
    </w:p>
    <w:p w14:paraId="256FE3BF" w14:textId="77777777" w:rsidR="00ED49E0" w:rsidRPr="0027631D" w:rsidRDefault="00ED49E0" w:rsidP="0027631D">
      <w:pPr>
        <w:spacing w:after="0" w:line="23" w:lineRule="atLeast"/>
        <w:contextualSpacing/>
        <w:jc w:val="both"/>
        <w:rPr>
          <w:rFonts w:ascii="Arial" w:hAnsi="Arial" w:cs="Arial"/>
        </w:rPr>
      </w:pPr>
    </w:p>
    <w:tbl>
      <w:tblPr>
        <w:tblStyle w:val="Tabladecuadrcula1clara-nfasis6"/>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1146"/>
        <w:gridCol w:w="6961"/>
      </w:tblGrid>
      <w:tr w:rsidR="00341CFE" w:rsidRPr="0027631D" w14:paraId="5133151F" w14:textId="77777777" w:rsidTr="00341CFE">
        <w:trPr>
          <w:cnfStyle w:val="100000000000" w:firstRow="1" w:lastRow="0" w:firstColumn="0" w:lastColumn="0" w:oddVBand="0" w:evenVBand="0" w:oddHBand="0" w:evenHBand="0" w:firstRowFirstColumn="0" w:firstRowLastColumn="0" w:lastRowFirstColumn="0" w:lastRowLastColumn="0"/>
          <w:cantSplit/>
          <w:trHeight w:val="589"/>
          <w:tblHeader/>
          <w:jc w:val="center"/>
        </w:trPr>
        <w:tc>
          <w:tcPr>
            <w:cnfStyle w:val="001000000000" w:firstRow="0" w:lastRow="0" w:firstColumn="1" w:lastColumn="0" w:oddVBand="0" w:evenVBand="0" w:oddHBand="0" w:evenHBand="0" w:firstRowFirstColumn="0" w:firstRowLastColumn="0" w:lastRowFirstColumn="0" w:lastRowLastColumn="0"/>
            <w:tcW w:w="685" w:type="pct"/>
            <w:tcBorders>
              <w:bottom w:val="none" w:sz="0" w:space="0" w:color="auto"/>
            </w:tcBorders>
            <w:shd w:val="clear" w:color="auto" w:fill="D9D9D9" w:themeFill="background1" w:themeFillShade="D9"/>
            <w:vAlign w:val="center"/>
          </w:tcPr>
          <w:p w14:paraId="5080DB9F"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Tipo de sistema</w:t>
            </w:r>
          </w:p>
        </w:tc>
        <w:tc>
          <w:tcPr>
            <w:tcW w:w="610" w:type="pct"/>
            <w:tcBorders>
              <w:bottom w:val="none" w:sz="0" w:space="0" w:color="auto"/>
            </w:tcBorders>
            <w:shd w:val="clear" w:color="auto" w:fill="D9D9D9" w:themeFill="background1" w:themeFillShade="D9"/>
            <w:vAlign w:val="center"/>
          </w:tcPr>
          <w:p w14:paraId="7A76364E" w14:textId="77777777" w:rsidR="00ED49E0" w:rsidRPr="0027631D" w:rsidRDefault="00ED49E0" w:rsidP="0027631D">
            <w:pPr>
              <w:spacing w:after="0" w:line="23" w:lineRule="atLeast"/>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lang w:val="es-ES" w:eastAsia="es-MX"/>
              </w:rPr>
            </w:pPr>
            <w:r w:rsidRPr="0027631D">
              <w:rPr>
                <w:rFonts w:ascii="Arial" w:hAnsi="Arial" w:cs="Arial"/>
                <w:lang w:val="es-ES" w:eastAsia="es-MX"/>
              </w:rPr>
              <w:t>Tipo de antena</w:t>
            </w:r>
          </w:p>
        </w:tc>
        <w:tc>
          <w:tcPr>
            <w:tcW w:w="3704" w:type="pct"/>
            <w:tcBorders>
              <w:bottom w:val="none" w:sz="0" w:space="0" w:color="auto"/>
            </w:tcBorders>
            <w:shd w:val="clear" w:color="auto" w:fill="D9D9D9" w:themeFill="background1" w:themeFillShade="D9"/>
            <w:vAlign w:val="center"/>
          </w:tcPr>
          <w:p w14:paraId="240E3C7C" w14:textId="77777777" w:rsidR="00ED49E0" w:rsidRPr="0027631D" w:rsidRDefault="00ED49E0" w:rsidP="0027631D">
            <w:pPr>
              <w:spacing w:after="0" w:line="23" w:lineRule="atLeast"/>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lang w:val="es-ES" w:eastAsia="es-MX"/>
              </w:rPr>
            </w:pPr>
            <w:r w:rsidRPr="0027631D">
              <w:rPr>
                <w:rFonts w:ascii="Arial" w:hAnsi="Arial" w:cs="Arial"/>
                <w:lang w:eastAsia="es-MX"/>
              </w:rPr>
              <w:t>PIRE</w:t>
            </w:r>
          </w:p>
        </w:tc>
      </w:tr>
      <w:tr w:rsidR="00341CFE" w:rsidRPr="0027631D" w14:paraId="48FE7450" w14:textId="77777777" w:rsidTr="00FF5B8A">
        <w:trPr>
          <w:cantSplit/>
          <w:trHeight w:val="393"/>
          <w:jc w:val="center"/>
        </w:trPr>
        <w:tc>
          <w:tcPr>
            <w:cnfStyle w:val="001000000000" w:firstRow="0" w:lastRow="0" w:firstColumn="1" w:lastColumn="0" w:oddVBand="0" w:evenVBand="0" w:oddHBand="0" w:evenHBand="0" w:firstRowFirstColumn="0" w:firstRowLastColumn="0" w:lastRowFirstColumn="0" w:lastRowLastColumn="0"/>
            <w:tcW w:w="685" w:type="pct"/>
            <w:shd w:val="clear" w:color="auto" w:fill="D9D9D9" w:themeFill="background1" w:themeFillShade="D9"/>
            <w:vAlign w:val="center"/>
          </w:tcPr>
          <w:p w14:paraId="2FBE2951" w14:textId="77777777" w:rsidR="00ED49E0" w:rsidRPr="0027631D" w:rsidRDefault="00ED49E0" w:rsidP="0027631D">
            <w:pPr>
              <w:spacing w:after="0" w:line="23" w:lineRule="atLeast"/>
              <w:contextualSpacing/>
              <w:jc w:val="center"/>
              <w:rPr>
                <w:rFonts w:ascii="Arial" w:hAnsi="Arial" w:cs="Arial"/>
                <w:b w:val="0"/>
                <w:lang w:val="es-ES" w:eastAsia="es-MX"/>
              </w:rPr>
            </w:pPr>
            <w:r w:rsidRPr="0027631D">
              <w:rPr>
                <w:rFonts w:ascii="Arial" w:hAnsi="Arial" w:cs="Arial"/>
                <w:lang w:val="es-ES" w:eastAsia="es-MX"/>
              </w:rPr>
              <w:t>Fijos – PaP</w:t>
            </w:r>
          </w:p>
        </w:tc>
        <w:tc>
          <w:tcPr>
            <w:tcW w:w="610" w:type="pct"/>
            <w:shd w:val="clear" w:color="auto" w:fill="auto"/>
            <w:vAlign w:val="center"/>
          </w:tcPr>
          <w:p w14:paraId="2D43E736" w14:textId="77777777" w:rsidR="00ED49E0" w:rsidRPr="0027631D" w:rsidRDefault="00ED49E0" w:rsidP="0027631D">
            <w:pPr>
              <w:spacing w:after="0" w:line="23" w:lineRule="atLeast"/>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 w:eastAsia="es-MX"/>
              </w:rPr>
            </w:pPr>
            <w:r w:rsidRPr="0027631D">
              <w:rPr>
                <w:rFonts w:ascii="Arial" w:hAnsi="Arial" w:cs="Arial"/>
                <w:lang w:val="es-ES" w:eastAsia="es-MX"/>
              </w:rPr>
              <w:t>Direccional</w:t>
            </w:r>
          </w:p>
        </w:tc>
        <w:tc>
          <w:tcPr>
            <w:tcW w:w="3704" w:type="pct"/>
            <w:shd w:val="clear" w:color="auto" w:fill="auto"/>
            <w:vAlign w:val="center"/>
          </w:tcPr>
          <w:p w14:paraId="2109D3D7" w14:textId="77777777" w:rsidR="00ED49E0" w:rsidRPr="0027631D" w:rsidRDefault="00ED49E0" w:rsidP="0027631D">
            <w:pPr>
              <w:spacing w:after="0" w:line="23" w:lineRule="atLeast"/>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 w:eastAsia="es-MX"/>
              </w:rPr>
            </w:pPr>
            <w:r w:rsidRPr="0027631D">
              <w:rPr>
                <w:rFonts w:ascii="Arial" w:hAnsi="Arial" w:cs="Arial"/>
                <w:lang w:val="es-ES" w:eastAsia="es-MX"/>
              </w:rPr>
              <w:t>&gt; 4 W siempre y cuando esta PIRE se logre empleando antenas direccionales con mayor ganancia sin incrementar la potencia de salida del transmisor.</w:t>
            </w:r>
          </w:p>
          <w:p w14:paraId="1110B50D" w14:textId="77777777" w:rsidR="00ED49E0" w:rsidRPr="0027631D" w:rsidRDefault="00ED49E0" w:rsidP="0027631D">
            <w:pPr>
              <w:spacing w:after="0" w:line="23" w:lineRule="atLeast"/>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i/>
                <w:lang w:val="es-ES" w:eastAsia="es-MX"/>
              </w:rPr>
            </w:pPr>
            <w:r w:rsidRPr="0027631D">
              <w:rPr>
                <w:rFonts w:ascii="Arial" w:hAnsi="Arial" w:cs="Arial"/>
                <w:i/>
                <w:lang w:val="es-ES" w:eastAsia="es-MX"/>
              </w:rPr>
              <w:t>(los sistemas PaM, las aplicaciones omnidireccionales y los transmisores múltiples instalados en la misma ubicación que transmitan la misma información tienen prohibido exceder la PIRE de 4W, excepto las estaciones remotas de los sistemas PaM)</w:t>
            </w:r>
          </w:p>
        </w:tc>
      </w:tr>
    </w:tbl>
    <w:p w14:paraId="64C0EA91" w14:textId="5B97DCB8" w:rsidR="00ED49E0" w:rsidRPr="00515B91" w:rsidRDefault="00ED49E0" w:rsidP="0027631D">
      <w:pPr>
        <w:pStyle w:val="Descripcin"/>
        <w:contextualSpacing/>
        <w:rPr>
          <w:i w:val="0"/>
          <w:sz w:val="22"/>
          <w:szCs w:val="22"/>
        </w:rPr>
      </w:pPr>
      <w:bookmarkStart w:id="258" w:name="_Toc44669666"/>
      <w:bookmarkStart w:id="259" w:name="_Toc44946879"/>
      <w:bookmarkStart w:id="260" w:name="_Toc45105841"/>
      <w:bookmarkStart w:id="261" w:name="_Toc45105940"/>
      <w:bookmarkStart w:id="262" w:name="_Toc45112642"/>
      <w:bookmarkStart w:id="263" w:name="_Toc45115155"/>
      <w:bookmarkStart w:id="264" w:name="_Toc45119730"/>
      <w:bookmarkStart w:id="265" w:name="_Toc45217382"/>
      <w:bookmarkStart w:id="266" w:name="_Toc45226585"/>
      <w:bookmarkStart w:id="267" w:name="_Toc45226701"/>
      <w:bookmarkStart w:id="268" w:name="_Toc45274898"/>
      <w:bookmarkStart w:id="269" w:name="_Toc45274977"/>
      <w:bookmarkStart w:id="270" w:name="_Toc45279215"/>
      <w:bookmarkStart w:id="271" w:name="_Toc45305743"/>
      <w:bookmarkStart w:id="272" w:name="_Toc45364875"/>
      <w:bookmarkStart w:id="273" w:name="_Toc45381228"/>
      <w:bookmarkStart w:id="274" w:name="_Toc45452830"/>
      <w:bookmarkStart w:id="275" w:name="_Toc45452939"/>
      <w:r w:rsidRPr="00515B91">
        <w:rPr>
          <w:i w:val="0"/>
          <w:sz w:val="22"/>
          <w:szCs w:val="22"/>
        </w:rPr>
        <w:t xml:space="preserve">Tabla </w:t>
      </w:r>
      <w:r w:rsidR="008010AD" w:rsidRPr="00515B91">
        <w:rPr>
          <w:i w:val="0"/>
          <w:sz w:val="22"/>
          <w:szCs w:val="22"/>
        </w:rPr>
        <w:fldChar w:fldCharType="begin"/>
      </w:r>
      <w:r w:rsidR="008010AD" w:rsidRPr="00515B91">
        <w:rPr>
          <w:i w:val="0"/>
          <w:sz w:val="22"/>
          <w:szCs w:val="22"/>
        </w:rPr>
        <w:instrText xml:space="preserve"> SEQ Tabla \* ARABIC </w:instrText>
      </w:r>
      <w:r w:rsidR="008010AD" w:rsidRPr="00515B91">
        <w:rPr>
          <w:i w:val="0"/>
          <w:sz w:val="22"/>
          <w:szCs w:val="22"/>
        </w:rPr>
        <w:fldChar w:fldCharType="separate"/>
      </w:r>
      <w:r w:rsidR="004F1EA3">
        <w:rPr>
          <w:i w:val="0"/>
          <w:noProof/>
          <w:sz w:val="22"/>
          <w:szCs w:val="22"/>
        </w:rPr>
        <w:t>18</w:t>
      </w:r>
      <w:r w:rsidR="008010AD" w:rsidRPr="00515B91">
        <w:rPr>
          <w:i w:val="0"/>
          <w:noProof/>
          <w:sz w:val="22"/>
          <w:szCs w:val="22"/>
        </w:rPr>
        <w:fldChar w:fldCharType="end"/>
      </w:r>
      <w:r w:rsidRPr="00515B91">
        <w:rPr>
          <w:i w:val="0"/>
          <w:sz w:val="22"/>
          <w:szCs w:val="22"/>
        </w:rPr>
        <w:t>.</w:t>
      </w:r>
      <w:r w:rsidRPr="00515B91">
        <w:rPr>
          <w:i w:val="0"/>
          <w:sz w:val="22"/>
          <w:szCs w:val="22"/>
          <w:lang w:val="es-ES" w:eastAsia="es-MX"/>
        </w:rPr>
        <w:t xml:space="preserve"> Requisitos de aplicables a los sistemas</w:t>
      </w:r>
      <w:bookmarkEnd w:id="258"/>
      <w:bookmarkEnd w:id="259"/>
      <w:bookmarkEnd w:id="260"/>
      <w:bookmarkEnd w:id="261"/>
      <w:bookmarkEnd w:id="262"/>
      <w:bookmarkEnd w:id="263"/>
      <w:bookmarkEnd w:id="264"/>
      <w:r w:rsidRPr="00515B91">
        <w:rPr>
          <w:i w:val="0"/>
          <w:sz w:val="22"/>
          <w:szCs w:val="22"/>
          <w:lang w:val="es-ES" w:eastAsia="es-MX"/>
        </w:rPr>
        <w:t xml:space="preserve"> fijos PaP que operan en la banda 2.4 GHz</w:t>
      </w:r>
      <w:bookmarkEnd w:id="265"/>
      <w:bookmarkEnd w:id="266"/>
      <w:bookmarkEnd w:id="267"/>
      <w:bookmarkEnd w:id="268"/>
      <w:bookmarkEnd w:id="269"/>
      <w:bookmarkEnd w:id="270"/>
      <w:bookmarkEnd w:id="271"/>
      <w:r w:rsidRPr="00515B91">
        <w:rPr>
          <w:i w:val="0"/>
          <w:sz w:val="22"/>
          <w:szCs w:val="22"/>
          <w:lang w:val="es-ES" w:eastAsia="es-MX"/>
        </w:rPr>
        <w:t xml:space="preserve"> establecidos en Canadá</w:t>
      </w:r>
      <w:bookmarkEnd w:id="272"/>
      <w:bookmarkEnd w:id="273"/>
      <w:bookmarkEnd w:id="274"/>
      <w:bookmarkEnd w:id="275"/>
    </w:p>
    <w:p w14:paraId="57F39DC8" w14:textId="77777777" w:rsidR="00ED49E0" w:rsidRPr="0027631D" w:rsidRDefault="00ED49E0" w:rsidP="0027631D">
      <w:pPr>
        <w:spacing w:after="0" w:line="23" w:lineRule="atLeast"/>
        <w:contextualSpacing/>
        <w:jc w:val="both"/>
        <w:rPr>
          <w:rFonts w:ascii="Arial" w:hAnsi="Arial" w:cs="Arial"/>
        </w:rPr>
      </w:pPr>
    </w:p>
    <w:p w14:paraId="37F8EB15" w14:textId="77777777" w:rsidR="00ED49E0" w:rsidRPr="0027631D" w:rsidRDefault="00ED49E0" w:rsidP="0027631D">
      <w:pPr>
        <w:spacing w:after="0" w:line="23" w:lineRule="atLeast"/>
        <w:contextualSpacing/>
        <w:jc w:val="both"/>
        <w:rPr>
          <w:rFonts w:ascii="Arial" w:hAnsi="Arial" w:cs="Arial"/>
        </w:rPr>
      </w:pPr>
      <w:r w:rsidRPr="0027631D">
        <w:rPr>
          <w:rFonts w:ascii="Arial" w:hAnsi="Arial" w:cs="Arial"/>
        </w:rPr>
        <w:t xml:space="preserve">De igual manera, el estándar de radio RSS-247 establece que, los transmisores que emitan múltiples haces direccionales, simultanea o secuencialmente, con el propósito de dirigir las señales a receptores individuales o grupos de receptores, </w:t>
      </w:r>
      <w:r w:rsidRPr="0027631D">
        <w:rPr>
          <w:rFonts w:ascii="Arial" w:hAnsi="Arial" w:cs="Arial"/>
          <w:lang w:val="es-ES" w:eastAsia="es-MX"/>
        </w:rPr>
        <w:t>deberán cumplir con lo siguiente</w:t>
      </w:r>
      <w:r w:rsidRPr="0027631D">
        <w:rPr>
          <w:rFonts w:ascii="Arial" w:hAnsi="Arial" w:cs="Arial"/>
        </w:rPr>
        <w:t>:</w:t>
      </w:r>
    </w:p>
    <w:p w14:paraId="635F4DE8" w14:textId="77777777" w:rsidR="00ED49E0" w:rsidRPr="0027631D" w:rsidRDefault="00ED49E0" w:rsidP="0027631D">
      <w:pPr>
        <w:spacing w:after="0" w:line="23" w:lineRule="atLeast"/>
        <w:contextualSpacing/>
        <w:jc w:val="both"/>
        <w:rPr>
          <w:rFonts w:ascii="Arial" w:hAnsi="Arial" w:cs="Arial"/>
        </w:rPr>
      </w:pPr>
    </w:p>
    <w:p w14:paraId="5A3CAFD8" w14:textId="77777777" w:rsidR="00ED49E0" w:rsidRPr="0027631D" w:rsidRDefault="00ED49E0" w:rsidP="00E36991">
      <w:pPr>
        <w:pStyle w:val="Prrafodelista"/>
        <w:numPr>
          <w:ilvl w:val="0"/>
          <w:numId w:val="10"/>
        </w:numPr>
        <w:spacing w:line="23" w:lineRule="atLeast"/>
        <w:ind w:left="567" w:hanging="283"/>
        <w:contextualSpacing/>
        <w:jc w:val="both"/>
        <w:rPr>
          <w:rFonts w:cs="Arial"/>
          <w:sz w:val="22"/>
          <w:szCs w:val="22"/>
        </w:rPr>
      </w:pPr>
      <w:r w:rsidRPr="0027631D">
        <w:rPr>
          <w:rFonts w:cs="Arial"/>
          <w:sz w:val="22"/>
          <w:szCs w:val="22"/>
        </w:rPr>
        <w:t>transmitir información diferente a cada receptor;</w:t>
      </w:r>
    </w:p>
    <w:p w14:paraId="6532E741" w14:textId="77777777" w:rsidR="00ED49E0" w:rsidRPr="0027631D" w:rsidRDefault="00ED49E0" w:rsidP="0027631D">
      <w:pPr>
        <w:pStyle w:val="Prrafodelista"/>
        <w:spacing w:line="23" w:lineRule="atLeast"/>
        <w:ind w:left="567" w:hanging="283"/>
        <w:contextualSpacing/>
        <w:jc w:val="both"/>
        <w:rPr>
          <w:rFonts w:cs="Arial"/>
          <w:sz w:val="22"/>
          <w:szCs w:val="22"/>
        </w:rPr>
      </w:pPr>
    </w:p>
    <w:p w14:paraId="6CDE9721" w14:textId="77777777" w:rsidR="00ED49E0" w:rsidRPr="0027631D" w:rsidRDefault="00ED49E0" w:rsidP="00E36991">
      <w:pPr>
        <w:pStyle w:val="Prrafodelista"/>
        <w:numPr>
          <w:ilvl w:val="0"/>
          <w:numId w:val="9"/>
        </w:numPr>
        <w:spacing w:line="23" w:lineRule="atLeast"/>
        <w:ind w:left="567" w:hanging="283"/>
        <w:contextualSpacing/>
        <w:jc w:val="both"/>
        <w:rPr>
          <w:rFonts w:cs="Arial"/>
          <w:sz w:val="22"/>
          <w:szCs w:val="22"/>
        </w:rPr>
      </w:pPr>
      <w:r w:rsidRPr="0027631D">
        <w:rPr>
          <w:rFonts w:cs="Arial"/>
          <w:sz w:val="22"/>
          <w:szCs w:val="22"/>
        </w:rPr>
        <w:t xml:space="preserve">si el transmisor emplea un sistema de antena que emite múltiples haces direccionales, pero no emite múltiples haces direccionales simultáneamente, la potencia de salida total conducida al conjunto o conjuntos que comprenden el dispositivo, es decir, la suma de la potencia suministrada a toda la antena, elementos de antena, etc. y sumados a través de </w:t>
      </w:r>
      <w:r w:rsidRPr="0027631D">
        <w:rPr>
          <w:rFonts w:cs="Arial"/>
          <w:sz w:val="22"/>
          <w:szCs w:val="22"/>
        </w:rPr>
        <w:lastRenderedPageBreak/>
        <w:t>todas las portadoras o canales de frecuencia, no deberán exceder el límite de potencia de salida especificado para los sistemas de salto de frecuencia y sistemas modulados digitalmente. Sin embargo, la potencia de salida conducida total se reducirá en 1 dB por debajo de los límites especificados por cada 3 dB que la ganancia de la antena direccional o matriz de antenas, exceda de 6 dBi. La ganancia de la antena direccional se calculará como la suma de 10 log (número de elementos de matriz), más la ganancia del elemento que tiene la ganancia más alta;</w:t>
      </w:r>
    </w:p>
    <w:p w14:paraId="3258CA1F" w14:textId="77777777" w:rsidR="00ED49E0" w:rsidRPr="0027631D" w:rsidRDefault="00ED49E0" w:rsidP="0027631D">
      <w:pPr>
        <w:pStyle w:val="Prrafodelista"/>
        <w:spacing w:line="23" w:lineRule="atLeast"/>
        <w:ind w:left="567" w:hanging="283"/>
        <w:contextualSpacing/>
        <w:jc w:val="both"/>
        <w:rPr>
          <w:rFonts w:cs="Arial"/>
          <w:sz w:val="22"/>
          <w:szCs w:val="22"/>
        </w:rPr>
      </w:pPr>
    </w:p>
    <w:p w14:paraId="134EC7EE" w14:textId="39ED378A" w:rsidR="00ED49E0" w:rsidRPr="0027631D" w:rsidRDefault="00ED49E0" w:rsidP="00E36991">
      <w:pPr>
        <w:pStyle w:val="Prrafodelista"/>
        <w:numPr>
          <w:ilvl w:val="0"/>
          <w:numId w:val="9"/>
        </w:numPr>
        <w:spacing w:line="23" w:lineRule="atLeast"/>
        <w:ind w:left="567" w:hanging="283"/>
        <w:contextualSpacing/>
        <w:jc w:val="both"/>
        <w:rPr>
          <w:rFonts w:cs="Arial"/>
          <w:sz w:val="22"/>
          <w:szCs w:val="22"/>
        </w:rPr>
      </w:pPr>
      <w:r w:rsidRPr="0027631D">
        <w:rPr>
          <w:rFonts w:cs="Arial"/>
          <w:sz w:val="22"/>
          <w:szCs w:val="22"/>
        </w:rPr>
        <w:t>si el transmisor emplea una antena que opera simultáneamente con haces direccionales múltiples utilizando los mismos canales de frecuencia o diferentes, la potencia suministrada a cada haz de emisión está sujeta al límite de potencia de salida especificado para los sistemas de salto de frecuencia y sistemas de modulados digitalmente. Si los haces transmitidos se superponen, la potencia de salida del transmisor se reducirá para garantizar que su potencia agregada no exceda el límite de potencia de salida especificado para los sistemas de salto de frecuencia y sistemas modulados digitalmente. Además, la potencia agregada transmitida simultáneamente en todos los haces no deberá exceder el límite especificado para los sistemas de salto de frecuencia y sistemas de modulación digital por más de 8 dB</w:t>
      </w:r>
      <w:r w:rsidR="00511B3C">
        <w:rPr>
          <w:rFonts w:cs="Arial"/>
          <w:sz w:val="22"/>
          <w:szCs w:val="22"/>
        </w:rPr>
        <w:t>,</w:t>
      </w:r>
      <w:r w:rsidRPr="0027631D">
        <w:rPr>
          <w:rFonts w:cs="Arial"/>
          <w:sz w:val="22"/>
          <w:szCs w:val="22"/>
        </w:rPr>
        <w:t xml:space="preserve"> y</w:t>
      </w:r>
    </w:p>
    <w:p w14:paraId="50589F92" w14:textId="77777777" w:rsidR="00ED49E0" w:rsidRPr="0027631D" w:rsidRDefault="00ED49E0" w:rsidP="0027631D">
      <w:pPr>
        <w:pStyle w:val="Prrafodelista"/>
        <w:spacing w:line="23" w:lineRule="atLeast"/>
        <w:ind w:left="567" w:hanging="283"/>
        <w:contextualSpacing/>
        <w:jc w:val="both"/>
        <w:rPr>
          <w:rFonts w:cs="Arial"/>
          <w:sz w:val="22"/>
          <w:szCs w:val="22"/>
        </w:rPr>
      </w:pPr>
    </w:p>
    <w:p w14:paraId="72EE8106" w14:textId="77777777" w:rsidR="00ED49E0" w:rsidRPr="0027631D" w:rsidRDefault="00ED49E0" w:rsidP="00E36991">
      <w:pPr>
        <w:numPr>
          <w:ilvl w:val="0"/>
          <w:numId w:val="9"/>
        </w:numPr>
        <w:spacing w:after="0" w:line="23" w:lineRule="atLeast"/>
        <w:ind w:left="567" w:hanging="283"/>
        <w:contextualSpacing/>
        <w:jc w:val="both"/>
        <w:rPr>
          <w:rFonts w:ascii="Arial" w:hAnsi="Arial" w:cs="Arial"/>
        </w:rPr>
      </w:pPr>
      <w:r w:rsidRPr="0027631D">
        <w:rPr>
          <w:rFonts w:ascii="Arial" w:hAnsi="Arial" w:cs="Arial"/>
        </w:rPr>
        <w:t>los transmisores que emiten un solo haz direccional deberán operar bajo las disposiciones indicadas en los sistemas empleados para operaciones fijas punto a punto.</w:t>
      </w:r>
    </w:p>
    <w:p w14:paraId="42D8ACFB" w14:textId="77777777" w:rsidR="00ED49E0" w:rsidRPr="0027631D" w:rsidRDefault="00ED49E0" w:rsidP="0027631D">
      <w:pPr>
        <w:spacing w:after="0" w:line="23" w:lineRule="atLeast"/>
        <w:contextualSpacing/>
        <w:jc w:val="both"/>
        <w:rPr>
          <w:rFonts w:ascii="Arial" w:hAnsi="Arial" w:cs="Arial"/>
          <w:color w:val="000000"/>
        </w:rPr>
      </w:pPr>
    </w:p>
    <w:p w14:paraId="0D70DEF2" w14:textId="77777777" w:rsidR="00ED49E0" w:rsidRPr="0027631D" w:rsidRDefault="00ED49E0" w:rsidP="0027631D">
      <w:pPr>
        <w:spacing w:after="0" w:line="23" w:lineRule="atLeast"/>
        <w:contextualSpacing/>
        <w:jc w:val="both"/>
        <w:rPr>
          <w:rFonts w:ascii="Arial" w:hAnsi="Arial" w:cs="Arial"/>
        </w:rPr>
      </w:pPr>
      <w:r w:rsidRPr="0027631D">
        <w:rPr>
          <w:rFonts w:ascii="Arial" w:hAnsi="Arial" w:cs="Arial"/>
        </w:rPr>
        <w:t xml:space="preserve">Por otro lado, en el Anexo F del estándar de radio RSS-210 </w:t>
      </w:r>
      <w:r w:rsidRPr="0027631D">
        <w:rPr>
          <w:rFonts w:ascii="Arial" w:hAnsi="Arial" w:cs="Arial"/>
          <w:i/>
        </w:rPr>
        <w:t>(issue 10)</w:t>
      </w:r>
      <w:r w:rsidRPr="0027631D">
        <w:rPr>
          <w:rFonts w:ascii="Arial" w:hAnsi="Arial" w:cs="Arial"/>
        </w:rPr>
        <w:t xml:space="preserve"> se establecen los requisitos para los sensores de perturbación de campo que funcionan en la banda 2.4 GHz, los cuales se encuentran resumidos en la tabla siguiente.</w:t>
      </w:r>
    </w:p>
    <w:p w14:paraId="3E25A183" w14:textId="77777777" w:rsidR="00ED49E0" w:rsidRPr="0027631D" w:rsidRDefault="00ED49E0" w:rsidP="0027631D">
      <w:pPr>
        <w:spacing w:after="0" w:line="23" w:lineRule="atLeast"/>
        <w:contextualSpacing/>
        <w:jc w:val="both"/>
        <w:rPr>
          <w:rFonts w:ascii="Arial" w:hAnsi="Arial" w:cs="Arial"/>
        </w:rPr>
      </w:pPr>
    </w:p>
    <w:tbl>
      <w:tblPr>
        <w:tblStyle w:val="Tablaconcuadrcula"/>
        <w:tblW w:w="5000" w:type="pct"/>
        <w:jc w:val="right"/>
        <w:tblLook w:val="04A0" w:firstRow="1" w:lastRow="0" w:firstColumn="1" w:lastColumn="0" w:noHBand="0" w:noVBand="1"/>
      </w:tblPr>
      <w:tblGrid>
        <w:gridCol w:w="3044"/>
        <w:gridCol w:w="3363"/>
        <w:gridCol w:w="2987"/>
      </w:tblGrid>
      <w:tr w:rsidR="00341CFE" w:rsidRPr="0027631D" w14:paraId="794CB45F" w14:textId="77777777" w:rsidTr="00341CFE">
        <w:trPr>
          <w:jc w:val="right"/>
        </w:trPr>
        <w:tc>
          <w:tcPr>
            <w:tcW w:w="5000" w:type="pct"/>
            <w:gridSpan w:val="3"/>
            <w:shd w:val="clear" w:color="auto" w:fill="D9D9D9" w:themeFill="background1" w:themeFillShade="D9"/>
            <w:vAlign w:val="center"/>
          </w:tcPr>
          <w:p w14:paraId="44B1EFE3"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Límites de intensidad de campo para sensores de perturbación de campo a una distancia de 3 metros</w:t>
            </w:r>
          </w:p>
        </w:tc>
      </w:tr>
      <w:tr w:rsidR="00341CFE" w:rsidRPr="0027631D" w14:paraId="71B75A4E" w14:textId="77777777" w:rsidTr="00341CFE">
        <w:trPr>
          <w:trHeight w:val="317"/>
          <w:jc w:val="right"/>
        </w:trPr>
        <w:tc>
          <w:tcPr>
            <w:tcW w:w="1620" w:type="pct"/>
            <w:vMerge w:val="restart"/>
            <w:shd w:val="clear" w:color="auto" w:fill="D9D9D9" w:themeFill="background1" w:themeFillShade="D9"/>
            <w:vAlign w:val="center"/>
          </w:tcPr>
          <w:p w14:paraId="0EB0A9B5"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Banda de frecuencias (MHz)</w:t>
            </w:r>
          </w:p>
        </w:tc>
        <w:tc>
          <w:tcPr>
            <w:tcW w:w="3380" w:type="pct"/>
            <w:gridSpan w:val="2"/>
            <w:shd w:val="clear" w:color="auto" w:fill="D9D9D9" w:themeFill="background1" w:themeFillShade="D9"/>
            <w:vAlign w:val="center"/>
          </w:tcPr>
          <w:p w14:paraId="2A6B4EB6"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Intensidad de Campo</w:t>
            </w:r>
          </w:p>
        </w:tc>
      </w:tr>
      <w:tr w:rsidR="00341CFE" w:rsidRPr="0027631D" w14:paraId="59212973" w14:textId="77777777" w:rsidTr="00341CFE">
        <w:trPr>
          <w:trHeight w:val="317"/>
          <w:jc w:val="right"/>
        </w:trPr>
        <w:tc>
          <w:tcPr>
            <w:tcW w:w="1620" w:type="pct"/>
            <w:vMerge/>
            <w:shd w:val="clear" w:color="auto" w:fill="D9D9D9" w:themeFill="background1" w:themeFillShade="D9"/>
            <w:vAlign w:val="center"/>
          </w:tcPr>
          <w:p w14:paraId="22105966" w14:textId="77777777" w:rsidR="00ED49E0" w:rsidRPr="0027631D" w:rsidRDefault="00ED49E0" w:rsidP="0027631D">
            <w:pPr>
              <w:spacing w:after="0" w:line="23" w:lineRule="atLeast"/>
              <w:contextualSpacing/>
              <w:jc w:val="center"/>
              <w:rPr>
                <w:rFonts w:ascii="Arial" w:hAnsi="Arial" w:cs="Arial"/>
                <w:b/>
              </w:rPr>
            </w:pPr>
          </w:p>
        </w:tc>
        <w:tc>
          <w:tcPr>
            <w:tcW w:w="1790" w:type="pct"/>
            <w:shd w:val="clear" w:color="auto" w:fill="D9D9D9" w:themeFill="background1" w:themeFillShade="D9"/>
            <w:vAlign w:val="center"/>
          </w:tcPr>
          <w:p w14:paraId="684269A8"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Fundamental</w:t>
            </w:r>
          </w:p>
        </w:tc>
        <w:tc>
          <w:tcPr>
            <w:tcW w:w="1590" w:type="pct"/>
            <w:shd w:val="clear" w:color="auto" w:fill="D9D9D9" w:themeFill="background1" w:themeFillShade="D9"/>
            <w:vAlign w:val="center"/>
          </w:tcPr>
          <w:p w14:paraId="56DC366F"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Emisión armónicos</w:t>
            </w:r>
          </w:p>
        </w:tc>
      </w:tr>
      <w:tr w:rsidR="00341CFE" w:rsidRPr="0027631D" w14:paraId="484D3043" w14:textId="77777777" w:rsidTr="00341CFE">
        <w:trPr>
          <w:trHeight w:val="293"/>
          <w:jc w:val="right"/>
        </w:trPr>
        <w:tc>
          <w:tcPr>
            <w:tcW w:w="1620" w:type="pct"/>
            <w:shd w:val="clear" w:color="auto" w:fill="auto"/>
            <w:vAlign w:val="center"/>
          </w:tcPr>
          <w:p w14:paraId="683FF48C"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rPr>
              <w:t>2435-2465 MHz</w:t>
            </w:r>
          </w:p>
        </w:tc>
        <w:tc>
          <w:tcPr>
            <w:tcW w:w="1790" w:type="pct"/>
            <w:shd w:val="clear" w:color="auto" w:fill="auto"/>
            <w:vAlign w:val="center"/>
          </w:tcPr>
          <w:p w14:paraId="78957B8B"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rPr>
              <w:t>500 mV/m</w:t>
            </w:r>
          </w:p>
        </w:tc>
        <w:tc>
          <w:tcPr>
            <w:tcW w:w="1590" w:type="pct"/>
            <w:shd w:val="clear" w:color="auto" w:fill="auto"/>
            <w:vAlign w:val="center"/>
          </w:tcPr>
          <w:p w14:paraId="19B177CA"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rPr>
              <w:t>1.6 mV/m</w:t>
            </w:r>
          </w:p>
        </w:tc>
      </w:tr>
    </w:tbl>
    <w:p w14:paraId="544156CD" w14:textId="70212437" w:rsidR="00ED49E0" w:rsidRPr="00515B91" w:rsidRDefault="00ED49E0" w:rsidP="0027631D">
      <w:pPr>
        <w:pStyle w:val="Descripcin"/>
        <w:contextualSpacing/>
        <w:rPr>
          <w:i w:val="0"/>
          <w:sz w:val="22"/>
          <w:szCs w:val="22"/>
        </w:rPr>
      </w:pPr>
      <w:bookmarkStart w:id="276" w:name="_Toc45274896"/>
      <w:bookmarkStart w:id="277" w:name="_Toc45274975"/>
      <w:bookmarkStart w:id="278" w:name="_Toc45279213"/>
      <w:bookmarkStart w:id="279" w:name="_Toc45305739"/>
      <w:bookmarkStart w:id="280" w:name="_Toc45364871"/>
      <w:bookmarkStart w:id="281" w:name="_Toc45381230"/>
      <w:bookmarkStart w:id="282" w:name="_Toc45452831"/>
      <w:bookmarkStart w:id="283" w:name="_Toc45452940"/>
      <w:r w:rsidRPr="00515B91">
        <w:rPr>
          <w:i w:val="0"/>
          <w:sz w:val="22"/>
          <w:szCs w:val="22"/>
        </w:rPr>
        <w:t xml:space="preserve">Tabla </w:t>
      </w:r>
      <w:r w:rsidR="008010AD" w:rsidRPr="00515B91">
        <w:rPr>
          <w:i w:val="0"/>
          <w:sz w:val="22"/>
          <w:szCs w:val="22"/>
        </w:rPr>
        <w:fldChar w:fldCharType="begin"/>
      </w:r>
      <w:r w:rsidR="008010AD" w:rsidRPr="00515B91">
        <w:rPr>
          <w:i w:val="0"/>
          <w:sz w:val="22"/>
          <w:szCs w:val="22"/>
        </w:rPr>
        <w:instrText xml:space="preserve"> SEQ Tabla \* ARABIC </w:instrText>
      </w:r>
      <w:r w:rsidR="008010AD" w:rsidRPr="00515B91">
        <w:rPr>
          <w:i w:val="0"/>
          <w:sz w:val="22"/>
          <w:szCs w:val="22"/>
        </w:rPr>
        <w:fldChar w:fldCharType="separate"/>
      </w:r>
      <w:r w:rsidR="004F1EA3">
        <w:rPr>
          <w:i w:val="0"/>
          <w:noProof/>
          <w:sz w:val="22"/>
          <w:szCs w:val="22"/>
        </w:rPr>
        <w:t>19</w:t>
      </w:r>
      <w:r w:rsidR="008010AD" w:rsidRPr="00515B91">
        <w:rPr>
          <w:i w:val="0"/>
          <w:noProof/>
          <w:sz w:val="22"/>
          <w:szCs w:val="22"/>
        </w:rPr>
        <w:fldChar w:fldCharType="end"/>
      </w:r>
      <w:r w:rsidRPr="00515B91">
        <w:rPr>
          <w:i w:val="0"/>
          <w:sz w:val="22"/>
          <w:szCs w:val="22"/>
        </w:rPr>
        <w:t>.</w:t>
      </w:r>
      <w:r w:rsidRPr="00515B91">
        <w:rPr>
          <w:i w:val="0"/>
          <w:sz w:val="22"/>
          <w:szCs w:val="22"/>
          <w:lang w:val="es-ES" w:eastAsia="es-MX"/>
        </w:rPr>
        <w:t xml:space="preserve"> Límites de intensidad de campo especificados para los sensores de perturbación de campo en la banda 2.4 GHz</w:t>
      </w:r>
      <w:bookmarkEnd w:id="276"/>
      <w:bookmarkEnd w:id="277"/>
      <w:bookmarkEnd w:id="278"/>
      <w:bookmarkEnd w:id="279"/>
      <w:r w:rsidRPr="00515B91">
        <w:rPr>
          <w:i w:val="0"/>
          <w:sz w:val="22"/>
          <w:szCs w:val="22"/>
          <w:lang w:val="es-ES" w:eastAsia="es-MX"/>
        </w:rPr>
        <w:t xml:space="preserve"> establecidos en Canadá</w:t>
      </w:r>
      <w:bookmarkEnd w:id="280"/>
      <w:bookmarkEnd w:id="281"/>
      <w:bookmarkEnd w:id="282"/>
      <w:bookmarkEnd w:id="283"/>
    </w:p>
    <w:p w14:paraId="69ABD5DB" w14:textId="77777777" w:rsidR="00ED49E0" w:rsidRPr="0027631D" w:rsidRDefault="00ED49E0" w:rsidP="0027631D">
      <w:pPr>
        <w:spacing w:after="0" w:line="23" w:lineRule="atLeast"/>
        <w:contextualSpacing/>
        <w:jc w:val="both"/>
        <w:rPr>
          <w:rFonts w:ascii="Arial" w:hAnsi="Arial" w:cs="Arial"/>
          <w:color w:val="000000"/>
        </w:rPr>
      </w:pPr>
    </w:p>
    <w:p w14:paraId="0038152B" w14:textId="77777777" w:rsidR="00ED49E0" w:rsidRPr="0027631D" w:rsidRDefault="00ED49E0" w:rsidP="0027631D">
      <w:pPr>
        <w:spacing w:after="0" w:line="23" w:lineRule="atLeast"/>
        <w:contextualSpacing/>
        <w:jc w:val="both"/>
        <w:rPr>
          <w:rFonts w:ascii="Arial" w:hAnsi="Arial" w:cs="Arial"/>
        </w:rPr>
      </w:pPr>
      <w:r w:rsidRPr="0027631D">
        <w:rPr>
          <w:rFonts w:ascii="Arial" w:hAnsi="Arial" w:cs="Arial"/>
        </w:rPr>
        <w:t>Asimismo, el estándar de radio RSS-210</w:t>
      </w:r>
      <w:r w:rsidRPr="0027631D">
        <w:rPr>
          <w:rStyle w:val="Refdenotaalpie"/>
          <w:rFonts w:ascii="Arial" w:hAnsi="Arial" w:cs="Arial"/>
        </w:rPr>
        <w:footnoteReference w:id="28"/>
      </w:r>
      <w:r w:rsidRPr="0027631D">
        <w:rPr>
          <w:rFonts w:ascii="Arial" w:hAnsi="Arial" w:cs="Arial"/>
        </w:rPr>
        <w:t xml:space="preserve"> </w:t>
      </w:r>
      <w:r w:rsidRPr="0027631D">
        <w:rPr>
          <w:rFonts w:ascii="Arial" w:hAnsi="Arial" w:cs="Arial"/>
          <w:i/>
        </w:rPr>
        <w:t>(issue 10)</w:t>
      </w:r>
      <w:r w:rsidRPr="0027631D">
        <w:rPr>
          <w:rFonts w:ascii="Arial" w:hAnsi="Arial" w:cs="Arial"/>
        </w:rPr>
        <w:t>, proporciona las especificaciones y criterios técnicos que los aparatos de radio exentos de licencia deben cumplir para operar en diversas bandas de frecuencias, incluida la banda 2.4 GHz. En el Anexo B del estándar RSS-210, se establecen los límites de intensidad de campo de las emisiones fundamentales y armónicos para los dispositivos que funcionen en la banda 2.4 GHz, los cuales se indican en tabla siguiente:</w:t>
      </w:r>
    </w:p>
    <w:p w14:paraId="0290C799" w14:textId="77777777" w:rsidR="00ED49E0" w:rsidRPr="0027631D" w:rsidRDefault="00ED49E0" w:rsidP="0027631D">
      <w:pPr>
        <w:spacing w:after="0" w:line="23" w:lineRule="atLeast"/>
        <w:contextualSpacing/>
        <w:jc w:val="both"/>
        <w:rPr>
          <w:rFonts w:ascii="Arial" w:hAnsi="Arial" w:cs="Arial"/>
        </w:rPr>
      </w:pPr>
    </w:p>
    <w:tbl>
      <w:tblPr>
        <w:tblStyle w:val="Tablaconcuadrcula"/>
        <w:tblW w:w="5000" w:type="pct"/>
        <w:jc w:val="right"/>
        <w:tblLook w:val="04A0" w:firstRow="1" w:lastRow="0" w:firstColumn="1" w:lastColumn="0" w:noHBand="0" w:noVBand="1"/>
      </w:tblPr>
      <w:tblGrid>
        <w:gridCol w:w="3763"/>
        <w:gridCol w:w="2929"/>
        <w:gridCol w:w="2702"/>
      </w:tblGrid>
      <w:tr w:rsidR="00341CFE" w:rsidRPr="0027631D" w14:paraId="22E7DFB1" w14:textId="77777777" w:rsidTr="00341CFE">
        <w:trPr>
          <w:tblHeader/>
          <w:jc w:val="right"/>
        </w:trPr>
        <w:tc>
          <w:tcPr>
            <w:tcW w:w="5000" w:type="pct"/>
            <w:gridSpan w:val="3"/>
            <w:shd w:val="clear" w:color="auto" w:fill="D9D9D9" w:themeFill="background1" w:themeFillShade="D9"/>
            <w:vAlign w:val="center"/>
          </w:tcPr>
          <w:p w14:paraId="0745FC2C"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Límites de intensidad de campo para los dispositivos a una distancia de 3 metros</w:t>
            </w:r>
          </w:p>
        </w:tc>
      </w:tr>
      <w:tr w:rsidR="00341CFE" w:rsidRPr="0027631D" w14:paraId="2D035DFD" w14:textId="77777777" w:rsidTr="00341CFE">
        <w:trPr>
          <w:trHeight w:val="226"/>
          <w:tblHeader/>
          <w:jc w:val="right"/>
        </w:trPr>
        <w:tc>
          <w:tcPr>
            <w:tcW w:w="2003" w:type="pct"/>
            <w:vMerge w:val="restart"/>
            <w:shd w:val="clear" w:color="auto" w:fill="D9D9D9" w:themeFill="background1" w:themeFillShade="D9"/>
            <w:vAlign w:val="center"/>
          </w:tcPr>
          <w:p w14:paraId="347D5A56"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Banda de frecuencias (MHz)</w:t>
            </w:r>
          </w:p>
        </w:tc>
        <w:tc>
          <w:tcPr>
            <w:tcW w:w="2997" w:type="pct"/>
            <w:gridSpan w:val="2"/>
            <w:shd w:val="clear" w:color="auto" w:fill="D9D9D9" w:themeFill="background1" w:themeFillShade="D9"/>
            <w:vAlign w:val="center"/>
          </w:tcPr>
          <w:p w14:paraId="47FF6CF2"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Intensidad de campo</w:t>
            </w:r>
          </w:p>
        </w:tc>
      </w:tr>
      <w:tr w:rsidR="00341CFE" w:rsidRPr="0027631D" w14:paraId="1EA97C62" w14:textId="77777777" w:rsidTr="00341CFE">
        <w:trPr>
          <w:trHeight w:val="272"/>
          <w:tblHeader/>
          <w:jc w:val="right"/>
        </w:trPr>
        <w:tc>
          <w:tcPr>
            <w:tcW w:w="2003" w:type="pct"/>
            <w:vMerge/>
            <w:shd w:val="clear" w:color="auto" w:fill="D9D9D9" w:themeFill="background1" w:themeFillShade="D9"/>
            <w:vAlign w:val="center"/>
          </w:tcPr>
          <w:p w14:paraId="75397B70" w14:textId="77777777" w:rsidR="00ED49E0" w:rsidRPr="0027631D" w:rsidRDefault="00ED49E0" w:rsidP="0027631D">
            <w:pPr>
              <w:spacing w:after="0" w:line="23" w:lineRule="atLeast"/>
              <w:contextualSpacing/>
              <w:jc w:val="center"/>
              <w:rPr>
                <w:rFonts w:ascii="Arial" w:hAnsi="Arial" w:cs="Arial"/>
                <w:b/>
              </w:rPr>
            </w:pPr>
          </w:p>
        </w:tc>
        <w:tc>
          <w:tcPr>
            <w:tcW w:w="1559" w:type="pct"/>
            <w:shd w:val="clear" w:color="auto" w:fill="D9D9D9" w:themeFill="background1" w:themeFillShade="D9"/>
            <w:vAlign w:val="center"/>
          </w:tcPr>
          <w:p w14:paraId="3941714C"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Emisión fundamental</w:t>
            </w:r>
          </w:p>
        </w:tc>
        <w:tc>
          <w:tcPr>
            <w:tcW w:w="1437" w:type="pct"/>
            <w:shd w:val="clear" w:color="auto" w:fill="D9D9D9" w:themeFill="background1" w:themeFillShade="D9"/>
            <w:vAlign w:val="center"/>
          </w:tcPr>
          <w:p w14:paraId="1EA442F5"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Emisión armónicos</w:t>
            </w:r>
          </w:p>
        </w:tc>
      </w:tr>
      <w:tr w:rsidR="00341CFE" w:rsidRPr="0027631D" w14:paraId="675932D3" w14:textId="77777777" w:rsidTr="00341CFE">
        <w:trPr>
          <w:trHeight w:val="372"/>
          <w:tblHeader/>
          <w:jc w:val="right"/>
        </w:trPr>
        <w:tc>
          <w:tcPr>
            <w:tcW w:w="2003" w:type="pct"/>
            <w:shd w:val="clear" w:color="auto" w:fill="auto"/>
            <w:vAlign w:val="center"/>
          </w:tcPr>
          <w:p w14:paraId="67158B19"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rPr>
              <w:t>2400-2483.5 MHz</w:t>
            </w:r>
          </w:p>
        </w:tc>
        <w:tc>
          <w:tcPr>
            <w:tcW w:w="1559" w:type="pct"/>
            <w:shd w:val="clear" w:color="auto" w:fill="auto"/>
            <w:vAlign w:val="center"/>
          </w:tcPr>
          <w:p w14:paraId="40863392"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rPr>
              <w:t>50 mV/m</w:t>
            </w:r>
          </w:p>
        </w:tc>
        <w:tc>
          <w:tcPr>
            <w:tcW w:w="1437" w:type="pct"/>
            <w:shd w:val="clear" w:color="auto" w:fill="auto"/>
            <w:vAlign w:val="center"/>
          </w:tcPr>
          <w:p w14:paraId="77753AAF"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rPr>
              <w:t>0.5 mV/m</w:t>
            </w:r>
          </w:p>
        </w:tc>
      </w:tr>
    </w:tbl>
    <w:p w14:paraId="63FFAE2E" w14:textId="64504476" w:rsidR="00ED49E0" w:rsidRPr="0027631D" w:rsidRDefault="00ED49E0" w:rsidP="0027631D">
      <w:pPr>
        <w:pStyle w:val="Descripcin"/>
        <w:contextualSpacing/>
        <w:rPr>
          <w:sz w:val="22"/>
          <w:szCs w:val="22"/>
        </w:rPr>
      </w:pPr>
      <w:bookmarkStart w:id="284" w:name="_Toc44669664"/>
      <w:bookmarkStart w:id="285" w:name="_Toc44946877"/>
      <w:bookmarkStart w:id="286" w:name="_Toc45105839"/>
      <w:bookmarkStart w:id="287" w:name="_Toc45105938"/>
      <w:bookmarkStart w:id="288" w:name="_Toc45112640"/>
      <w:bookmarkStart w:id="289" w:name="_Toc45115153"/>
      <w:bookmarkStart w:id="290" w:name="_Toc45119728"/>
      <w:bookmarkStart w:id="291" w:name="_Toc45217380"/>
      <w:bookmarkStart w:id="292" w:name="_Toc45226583"/>
      <w:bookmarkStart w:id="293" w:name="_Toc45226699"/>
      <w:bookmarkStart w:id="294" w:name="_Toc45274895"/>
      <w:bookmarkStart w:id="295" w:name="_Toc45274974"/>
      <w:bookmarkStart w:id="296" w:name="_Toc45279212"/>
      <w:bookmarkStart w:id="297" w:name="_Toc45305738"/>
      <w:bookmarkStart w:id="298" w:name="_Toc45364870"/>
      <w:bookmarkStart w:id="299" w:name="_Toc45381229"/>
      <w:bookmarkStart w:id="300" w:name="_Toc45452832"/>
      <w:bookmarkStart w:id="301" w:name="_Toc45452941"/>
      <w:r w:rsidRPr="0027631D">
        <w:rPr>
          <w:sz w:val="22"/>
          <w:szCs w:val="22"/>
        </w:rPr>
        <w:t xml:space="preserve">Tabla </w:t>
      </w:r>
      <w:r w:rsidR="008010AD" w:rsidRPr="0027631D">
        <w:rPr>
          <w:sz w:val="22"/>
          <w:szCs w:val="22"/>
        </w:rPr>
        <w:fldChar w:fldCharType="begin"/>
      </w:r>
      <w:r w:rsidR="008010AD" w:rsidRPr="0027631D">
        <w:rPr>
          <w:sz w:val="22"/>
          <w:szCs w:val="22"/>
        </w:rPr>
        <w:instrText xml:space="preserve"> SEQ Tabla \* ARABIC </w:instrText>
      </w:r>
      <w:r w:rsidR="008010AD" w:rsidRPr="0027631D">
        <w:rPr>
          <w:sz w:val="22"/>
          <w:szCs w:val="22"/>
        </w:rPr>
        <w:fldChar w:fldCharType="separate"/>
      </w:r>
      <w:r w:rsidR="004F1EA3">
        <w:rPr>
          <w:noProof/>
          <w:sz w:val="22"/>
          <w:szCs w:val="22"/>
        </w:rPr>
        <w:t>20</w:t>
      </w:r>
      <w:r w:rsidR="008010AD" w:rsidRPr="0027631D">
        <w:rPr>
          <w:noProof/>
          <w:sz w:val="22"/>
          <w:szCs w:val="22"/>
        </w:rPr>
        <w:fldChar w:fldCharType="end"/>
      </w:r>
      <w:r w:rsidRPr="0027631D">
        <w:rPr>
          <w:sz w:val="22"/>
          <w:szCs w:val="22"/>
        </w:rPr>
        <w:t>.</w:t>
      </w:r>
      <w:r w:rsidRPr="0027631D">
        <w:rPr>
          <w:sz w:val="22"/>
          <w:szCs w:val="22"/>
          <w:lang w:val="es-ES" w:eastAsia="es-MX"/>
        </w:rPr>
        <w:t xml:space="preserve"> Límites de intensidad de campo para los dispositivos que operen en la banda 2.4 GHz para cualquier aplicación</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sidRPr="0027631D">
        <w:rPr>
          <w:sz w:val="22"/>
          <w:szCs w:val="22"/>
          <w:lang w:val="es-ES" w:eastAsia="es-MX"/>
        </w:rPr>
        <w:t xml:space="preserve"> establecidos en Canadá</w:t>
      </w:r>
      <w:bookmarkEnd w:id="298"/>
      <w:bookmarkEnd w:id="299"/>
      <w:bookmarkEnd w:id="300"/>
      <w:bookmarkEnd w:id="301"/>
    </w:p>
    <w:p w14:paraId="62C9F945" w14:textId="77777777" w:rsidR="00ED49E0" w:rsidRPr="0027631D" w:rsidRDefault="00ED49E0" w:rsidP="0027631D">
      <w:pPr>
        <w:spacing w:after="0" w:line="23" w:lineRule="atLeast"/>
        <w:contextualSpacing/>
        <w:jc w:val="both"/>
        <w:rPr>
          <w:rFonts w:ascii="Arial" w:hAnsi="Arial" w:cs="Arial"/>
        </w:rPr>
      </w:pPr>
    </w:p>
    <w:p w14:paraId="796CAEBE" w14:textId="77777777" w:rsidR="00ED49E0" w:rsidRPr="0027631D" w:rsidRDefault="00ED49E0" w:rsidP="0027631D">
      <w:pPr>
        <w:spacing w:after="0" w:line="23" w:lineRule="atLeast"/>
        <w:contextualSpacing/>
        <w:jc w:val="both"/>
        <w:rPr>
          <w:rFonts w:ascii="Arial" w:hAnsi="Arial" w:cs="Arial"/>
        </w:rPr>
      </w:pPr>
      <w:r w:rsidRPr="0027631D">
        <w:rPr>
          <w:rFonts w:ascii="Arial" w:hAnsi="Arial" w:cs="Arial"/>
          <w:color w:val="000000"/>
        </w:rPr>
        <w:t xml:space="preserve">Cabe mencionar que en Canadá la banda 2.4 GHz también se encuentra destinada para el uso compartido con aplicaciones ICM tal como se refleja en el </w:t>
      </w:r>
      <w:r w:rsidRPr="0027631D">
        <w:rPr>
          <w:rFonts w:ascii="Arial" w:hAnsi="Arial" w:cs="Arial"/>
        </w:rPr>
        <w:t>SP 1-20 GHz</w:t>
      </w:r>
      <w:r w:rsidRPr="0027631D">
        <w:rPr>
          <w:rStyle w:val="Refdenotaalpie"/>
          <w:rFonts w:ascii="Arial" w:hAnsi="Arial" w:cs="Arial"/>
        </w:rPr>
        <w:footnoteReference w:id="29"/>
      </w:r>
      <w:r w:rsidRPr="0027631D">
        <w:rPr>
          <w:rFonts w:ascii="Arial" w:hAnsi="Arial" w:cs="Arial"/>
        </w:rPr>
        <w:t>.</w:t>
      </w:r>
    </w:p>
    <w:p w14:paraId="5978B7B1" w14:textId="77777777" w:rsidR="00ED49E0" w:rsidRPr="0027631D" w:rsidRDefault="00ED49E0" w:rsidP="0027631D">
      <w:pPr>
        <w:spacing w:after="0" w:line="23" w:lineRule="atLeast"/>
        <w:contextualSpacing/>
        <w:jc w:val="both"/>
        <w:rPr>
          <w:rFonts w:ascii="Arial" w:hAnsi="Arial" w:cs="Arial"/>
        </w:rPr>
      </w:pPr>
    </w:p>
    <w:p w14:paraId="072BE722" w14:textId="77777777" w:rsidR="00ED49E0" w:rsidRPr="0027631D" w:rsidRDefault="00ED49E0" w:rsidP="0027631D">
      <w:pPr>
        <w:pStyle w:val="Prrafodelista"/>
        <w:suppressAutoHyphens/>
        <w:spacing w:line="23" w:lineRule="atLeast"/>
        <w:ind w:left="0" w:right="49"/>
        <w:contextualSpacing/>
        <w:jc w:val="both"/>
        <w:rPr>
          <w:rFonts w:cs="Arial"/>
          <w:kern w:val="1"/>
          <w:sz w:val="22"/>
          <w:szCs w:val="22"/>
          <w:u w:val="single"/>
          <w:lang w:eastAsia="ar-SA"/>
        </w:rPr>
      </w:pPr>
      <w:bookmarkStart w:id="302" w:name="_Toc40373829"/>
      <w:bookmarkStart w:id="303" w:name="_Toc44067666"/>
      <w:bookmarkStart w:id="304" w:name="_Toc44339738"/>
      <w:bookmarkStart w:id="305" w:name="_Toc44939121"/>
      <w:bookmarkStart w:id="306" w:name="_Toc44946909"/>
      <w:r w:rsidRPr="0027631D">
        <w:rPr>
          <w:rFonts w:cs="Arial"/>
          <w:kern w:val="1"/>
          <w:sz w:val="22"/>
          <w:szCs w:val="22"/>
          <w:u w:val="single"/>
          <w:lang w:eastAsia="ar-SA"/>
        </w:rPr>
        <w:t xml:space="preserve">Colombia – </w:t>
      </w:r>
      <w:bookmarkEnd w:id="302"/>
      <w:bookmarkEnd w:id="303"/>
      <w:bookmarkEnd w:id="304"/>
      <w:bookmarkEnd w:id="305"/>
      <w:bookmarkEnd w:id="306"/>
      <w:r w:rsidRPr="0027631D">
        <w:rPr>
          <w:rFonts w:cs="Arial"/>
          <w:kern w:val="1"/>
          <w:sz w:val="22"/>
          <w:szCs w:val="22"/>
          <w:u w:val="single"/>
          <w:lang w:eastAsia="ar-SA"/>
        </w:rPr>
        <w:t xml:space="preserve">ANE </w:t>
      </w:r>
    </w:p>
    <w:p w14:paraId="3A4EB10F" w14:textId="77777777" w:rsidR="00ED49E0" w:rsidRPr="0027631D" w:rsidRDefault="00ED49E0" w:rsidP="0027631D">
      <w:pPr>
        <w:spacing w:after="0" w:line="23" w:lineRule="atLeast"/>
        <w:contextualSpacing/>
        <w:jc w:val="both"/>
        <w:rPr>
          <w:rFonts w:ascii="Arial" w:hAnsi="Arial" w:cs="Arial"/>
        </w:rPr>
      </w:pPr>
    </w:p>
    <w:p w14:paraId="77EB5EA4" w14:textId="08EB5358" w:rsidR="00ED49E0" w:rsidRPr="0027631D" w:rsidRDefault="00ED49E0" w:rsidP="0027631D">
      <w:pPr>
        <w:spacing w:after="0" w:line="23" w:lineRule="atLeast"/>
        <w:contextualSpacing/>
        <w:jc w:val="both"/>
        <w:rPr>
          <w:rFonts w:ascii="Arial" w:hAnsi="Arial" w:cs="Arial"/>
          <w:lang w:eastAsia="en-GB"/>
        </w:rPr>
      </w:pPr>
      <w:r w:rsidRPr="0027631D">
        <w:rPr>
          <w:rFonts w:ascii="Arial" w:hAnsi="Arial" w:cs="Arial"/>
          <w:lang w:eastAsia="en-GB"/>
        </w:rPr>
        <w:t>En Colombia, la entidad encargada de planear el uso del espectro radioeléctrico, así como la vigilancia y control en todo su territorio nacional, le corresponde a la ANE</w:t>
      </w:r>
      <w:r w:rsidRPr="0027631D">
        <w:rPr>
          <w:rStyle w:val="Refdenotaalpie"/>
          <w:rFonts w:ascii="Arial" w:hAnsi="Arial" w:cs="Arial"/>
          <w:lang w:eastAsia="en-GB"/>
        </w:rPr>
        <w:footnoteReference w:id="30"/>
      </w:r>
      <w:r w:rsidRPr="0027631D">
        <w:rPr>
          <w:rFonts w:ascii="Arial" w:hAnsi="Arial" w:cs="Arial"/>
          <w:lang w:eastAsia="en-GB"/>
        </w:rPr>
        <w:t>, la cual está facultada por el Ministerio de Tecnologías de la Información y las Comunicaciones de aquel país, como una institución que coadyuva con las funciones asignadas al Ministerio</w:t>
      </w:r>
      <w:r w:rsidRPr="0027631D">
        <w:rPr>
          <w:rStyle w:val="Refdenotaalpie"/>
          <w:rFonts w:ascii="Arial" w:hAnsi="Arial" w:cs="Arial"/>
          <w:lang w:eastAsia="en-GB"/>
        </w:rPr>
        <w:footnoteReference w:id="31"/>
      </w:r>
      <w:r w:rsidRPr="0027631D">
        <w:rPr>
          <w:rFonts w:ascii="Arial" w:hAnsi="Arial" w:cs="Arial"/>
          <w:lang w:eastAsia="en-GB"/>
        </w:rPr>
        <w:t xml:space="preserve"> de acuerdo con la Constitución Política de Colombia y la Ley No. </w:t>
      </w:r>
      <w:r w:rsidR="003F61DE">
        <w:rPr>
          <w:rFonts w:ascii="Arial" w:hAnsi="Arial" w:cs="Arial"/>
          <w:lang w:eastAsia="en-GB"/>
        </w:rPr>
        <w:t>1978</w:t>
      </w:r>
      <w:r w:rsidRPr="0027631D">
        <w:rPr>
          <w:rFonts w:ascii="Arial" w:hAnsi="Arial" w:cs="Arial"/>
          <w:lang w:eastAsia="en-GB"/>
        </w:rPr>
        <w:t xml:space="preserve"> del año 20</w:t>
      </w:r>
      <w:r w:rsidR="003F61DE">
        <w:rPr>
          <w:rFonts w:ascii="Arial" w:hAnsi="Arial" w:cs="Arial"/>
          <w:lang w:eastAsia="en-GB"/>
        </w:rPr>
        <w:t>1</w:t>
      </w:r>
      <w:r w:rsidRPr="0027631D">
        <w:rPr>
          <w:rFonts w:ascii="Arial" w:hAnsi="Arial" w:cs="Arial"/>
          <w:lang w:eastAsia="en-GB"/>
        </w:rPr>
        <w:t>9</w:t>
      </w:r>
      <w:r w:rsidRPr="0027631D">
        <w:rPr>
          <w:rStyle w:val="Refdenotaalpie"/>
          <w:rFonts w:ascii="Arial" w:hAnsi="Arial" w:cs="Arial"/>
          <w:lang w:eastAsia="en-GB"/>
        </w:rPr>
        <w:footnoteReference w:id="32"/>
      </w:r>
      <w:r w:rsidRPr="0027631D">
        <w:rPr>
          <w:rFonts w:ascii="Arial" w:hAnsi="Arial" w:cs="Arial"/>
          <w:lang w:eastAsia="en-GB"/>
        </w:rPr>
        <w:t>. El Cuadro Nacional de Atribución de Bandas Frecuencias de Colombia (CNABF-COL)</w:t>
      </w:r>
      <w:r w:rsidRPr="0027631D">
        <w:rPr>
          <w:rStyle w:val="Refdenotaalpie"/>
          <w:rFonts w:ascii="Arial" w:hAnsi="Arial" w:cs="Arial"/>
          <w:lang w:eastAsia="en-GB"/>
        </w:rPr>
        <w:footnoteReference w:id="33"/>
      </w:r>
      <w:r w:rsidRPr="0027631D">
        <w:rPr>
          <w:rFonts w:ascii="Arial" w:hAnsi="Arial" w:cs="Arial"/>
          <w:lang w:eastAsia="en-GB"/>
        </w:rPr>
        <w:t xml:space="preserve"> indica para la banda 2.4 GHz, lo siguiente:</w:t>
      </w:r>
    </w:p>
    <w:p w14:paraId="1B9AC3C0" w14:textId="77777777" w:rsidR="00ED49E0" w:rsidRPr="0027631D" w:rsidRDefault="00ED49E0" w:rsidP="0027631D">
      <w:pPr>
        <w:spacing w:after="0" w:line="23" w:lineRule="atLeast"/>
        <w:contextualSpacing/>
        <w:jc w:val="both"/>
        <w:rPr>
          <w:rFonts w:ascii="Arial" w:hAnsi="Arial" w:cs="Arial"/>
          <w:lang w:eastAsia="en-GB"/>
        </w:rPr>
      </w:pPr>
    </w:p>
    <w:tbl>
      <w:tblPr>
        <w:tblStyle w:val="Tablaconcuadrcula"/>
        <w:tblW w:w="5000" w:type="pct"/>
        <w:jc w:val="center"/>
        <w:tblLook w:val="04A0" w:firstRow="1" w:lastRow="0" w:firstColumn="1" w:lastColumn="0" w:noHBand="0" w:noVBand="1"/>
      </w:tblPr>
      <w:tblGrid>
        <w:gridCol w:w="1556"/>
        <w:gridCol w:w="7838"/>
      </w:tblGrid>
      <w:tr w:rsidR="00341CFE" w:rsidRPr="0027631D" w14:paraId="0C46165E" w14:textId="77777777" w:rsidTr="00B23D4D">
        <w:trPr>
          <w:tblHeader/>
          <w:jc w:val="center"/>
        </w:trPr>
        <w:tc>
          <w:tcPr>
            <w:tcW w:w="5000" w:type="pct"/>
            <w:gridSpan w:val="2"/>
            <w:shd w:val="clear" w:color="auto" w:fill="D9D9D9" w:themeFill="background1" w:themeFillShade="D9"/>
          </w:tcPr>
          <w:p w14:paraId="1B544E21" w14:textId="1DEC8A54" w:rsidR="00ED49E0" w:rsidRPr="0027631D" w:rsidRDefault="00ED49E0" w:rsidP="00B23D4D">
            <w:pPr>
              <w:spacing w:after="0" w:line="23" w:lineRule="atLeast"/>
              <w:contextualSpacing/>
              <w:jc w:val="center"/>
              <w:rPr>
                <w:rFonts w:ascii="Arial" w:hAnsi="Arial" w:cs="Arial"/>
                <w:b/>
              </w:rPr>
            </w:pPr>
            <w:r w:rsidRPr="0027631D">
              <w:rPr>
                <w:rFonts w:ascii="Arial" w:hAnsi="Arial" w:cs="Arial"/>
                <w:b/>
              </w:rPr>
              <w:t>Cuadro de Atribución de Frecuencias de Colombia</w:t>
            </w:r>
          </w:p>
        </w:tc>
      </w:tr>
      <w:tr w:rsidR="00341CFE" w:rsidRPr="0027631D" w14:paraId="371995B8" w14:textId="77777777" w:rsidTr="00B23D4D">
        <w:trPr>
          <w:tblHeader/>
          <w:jc w:val="center"/>
        </w:trPr>
        <w:tc>
          <w:tcPr>
            <w:tcW w:w="828" w:type="pct"/>
            <w:shd w:val="clear" w:color="auto" w:fill="D9D9D9" w:themeFill="background1" w:themeFillShade="D9"/>
          </w:tcPr>
          <w:p w14:paraId="77D4C779" w14:textId="77777777" w:rsidR="00ED49E0" w:rsidRPr="0027631D" w:rsidRDefault="00ED49E0" w:rsidP="00B23D4D">
            <w:pPr>
              <w:spacing w:after="0" w:line="23" w:lineRule="atLeast"/>
              <w:contextualSpacing/>
              <w:jc w:val="center"/>
              <w:rPr>
                <w:rFonts w:ascii="Arial" w:hAnsi="Arial" w:cs="Arial"/>
                <w:b/>
              </w:rPr>
            </w:pPr>
            <w:r w:rsidRPr="0027631D">
              <w:rPr>
                <w:rFonts w:ascii="Arial" w:hAnsi="Arial" w:cs="Arial"/>
                <w:b/>
              </w:rPr>
              <w:t>Banda de frecuencias (MHz)</w:t>
            </w:r>
          </w:p>
        </w:tc>
        <w:tc>
          <w:tcPr>
            <w:tcW w:w="4172" w:type="pct"/>
            <w:shd w:val="clear" w:color="auto" w:fill="D9D9D9" w:themeFill="background1" w:themeFillShade="D9"/>
          </w:tcPr>
          <w:p w14:paraId="38F5570E" w14:textId="77777777" w:rsidR="00ED49E0" w:rsidRPr="0027631D" w:rsidRDefault="00ED49E0" w:rsidP="00B23D4D">
            <w:pPr>
              <w:spacing w:after="0" w:line="23" w:lineRule="atLeast"/>
              <w:contextualSpacing/>
              <w:jc w:val="center"/>
              <w:rPr>
                <w:rFonts w:ascii="Arial" w:hAnsi="Arial" w:cs="Arial"/>
                <w:b/>
              </w:rPr>
            </w:pPr>
            <w:r w:rsidRPr="0027631D">
              <w:rPr>
                <w:rFonts w:ascii="Arial" w:hAnsi="Arial" w:cs="Arial"/>
                <w:b/>
              </w:rPr>
              <w:t>Notas aplicables</w:t>
            </w:r>
          </w:p>
        </w:tc>
      </w:tr>
      <w:tr w:rsidR="00341CFE" w:rsidRPr="0027631D" w14:paraId="32542339" w14:textId="77777777" w:rsidTr="00B23D4D">
        <w:trPr>
          <w:trHeight w:val="733"/>
          <w:tblHeader/>
          <w:jc w:val="center"/>
        </w:trPr>
        <w:tc>
          <w:tcPr>
            <w:tcW w:w="828" w:type="pct"/>
            <w:shd w:val="clear" w:color="auto" w:fill="auto"/>
          </w:tcPr>
          <w:p w14:paraId="6B918151" w14:textId="77777777" w:rsidR="00ED49E0" w:rsidRPr="0027631D" w:rsidRDefault="00ED49E0" w:rsidP="00B23D4D">
            <w:pPr>
              <w:spacing w:after="0" w:line="23" w:lineRule="atLeast"/>
              <w:contextualSpacing/>
              <w:rPr>
                <w:rFonts w:ascii="Arial" w:hAnsi="Arial" w:cs="Arial"/>
              </w:rPr>
            </w:pPr>
            <w:r w:rsidRPr="0027631D">
              <w:rPr>
                <w:rFonts w:ascii="Arial" w:hAnsi="Arial" w:cs="Arial"/>
                <w:b/>
              </w:rPr>
              <w:t xml:space="preserve">2400 – 2450 </w:t>
            </w:r>
          </w:p>
          <w:p w14:paraId="481AF996" w14:textId="77777777" w:rsidR="00ED49E0" w:rsidRPr="0027631D" w:rsidRDefault="00ED49E0" w:rsidP="00B23D4D">
            <w:pPr>
              <w:spacing w:after="0" w:line="23" w:lineRule="atLeast"/>
              <w:contextualSpacing/>
              <w:rPr>
                <w:rFonts w:ascii="Arial" w:hAnsi="Arial" w:cs="Arial"/>
              </w:rPr>
            </w:pPr>
            <w:r w:rsidRPr="0027631D">
              <w:rPr>
                <w:rFonts w:ascii="Arial" w:hAnsi="Arial" w:cs="Arial"/>
              </w:rPr>
              <w:t>FIJO</w:t>
            </w:r>
          </w:p>
          <w:p w14:paraId="4DE5BE64" w14:textId="77777777" w:rsidR="00ED49E0" w:rsidRPr="0027631D" w:rsidRDefault="00ED49E0" w:rsidP="00B23D4D">
            <w:pPr>
              <w:spacing w:after="0" w:line="23" w:lineRule="atLeast"/>
              <w:contextualSpacing/>
              <w:rPr>
                <w:rFonts w:ascii="Arial" w:hAnsi="Arial" w:cs="Arial"/>
              </w:rPr>
            </w:pPr>
            <w:r w:rsidRPr="0027631D">
              <w:rPr>
                <w:rFonts w:ascii="Arial" w:hAnsi="Arial" w:cs="Arial"/>
              </w:rPr>
              <w:t>Aficionados</w:t>
            </w:r>
          </w:p>
        </w:tc>
        <w:tc>
          <w:tcPr>
            <w:tcW w:w="4172" w:type="pct"/>
            <w:shd w:val="clear" w:color="auto" w:fill="auto"/>
          </w:tcPr>
          <w:p w14:paraId="01C5E670" w14:textId="77777777" w:rsidR="00ED49E0" w:rsidRPr="0027631D" w:rsidRDefault="00ED49E0" w:rsidP="00B23D4D">
            <w:pPr>
              <w:spacing w:after="0" w:line="23" w:lineRule="atLeast"/>
              <w:contextualSpacing/>
              <w:jc w:val="both"/>
              <w:rPr>
                <w:rFonts w:ascii="Arial" w:hAnsi="Arial" w:cs="Arial"/>
                <w:b/>
              </w:rPr>
            </w:pPr>
            <w:r w:rsidRPr="0027631D">
              <w:rPr>
                <w:rFonts w:ascii="Arial" w:hAnsi="Arial" w:cs="Arial"/>
                <w:b/>
              </w:rPr>
              <w:t xml:space="preserve">CLM 3. </w:t>
            </w:r>
            <w:r w:rsidRPr="0027631D">
              <w:rPr>
                <w:rFonts w:ascii="Arial" w:hAnsi="Arial" w:cs="Arial"/>
              </w:rPr>
              <w:t>Se establece la normatividad relacionada con los límites de las emisiones y las condiciones técnicas y operativas tanto generales como específicas de las aplicaciones permitidas para utilizar el espectro bajo la modalidad de uso libre dentro del territorio nacional.</w:t>
            </w:r>
          </w:p>
          <w:p w14:paraId="2025FD94" w14:textId="77777777" w:rsidR="00ED49E0" w:rsidRPr="0027631D" w:rsidRDefault="00ED49E0" w:rsidP="00B23D4D">
            <w:pPr>
              <w:spacing w:after="0" w:line="23" w:lineRule="atLeast"/>
              <w:contextualSpacing/>
              <w:jc w:val="both"/>
              <w:rPr>
                <w:rFonts w:ascii="Arial" w:hAnsi="Arial" w:cs="Arial"/>
              </w:rPr>
            </w:pPr>
            <w:r w:rsidRPr="0027631D">
              <w:rPr>
                <w:rFonts w:ascii="Arial" w:hAnsi="Arial" w:cs="Arial"/>
                <w:b/>
              </w:rPr>
              <w:t xml:space="preserve">CLM 7. </w:t>
            </w:r>
            <w:r w:rsidRPr="0027631D">
              <w:rPr>
                <w:rFonts w:ascii="Arial" w:hAnsi="Arial" w:cs="Arial"/>
              </w:rPr>
              <w:t>Se adopta la atribución establecida por la Unión Internacional de Telecomunicaciones (UIT) para el servicio de aficionados y aficionados por satélite - Región 2 y los planes de banda LF/MF/HF de la Unión Internacional de Radioaficionados Región II (IARU Región 2) en el Cuadro Nacional de Atribución de Bandas de Frecuencias (CNABF). Este servicio cuenta con reglamentación especial expedida por el Ministerio de Tecnologías de la Información y las Comunicaciones.</w:t>
            </w:r>
          </w:p>
          <w:p w14:paraId="6C7DD4A8" w14:textId="77777777" w:rsidR="00ED49E0" w:rsidRPr="0027631D" w:rsidRDefault="00ED49E0" w:rsidP="00B23D4D">
            <w:pPr>
              <w:spacing w:after="0" w:line="23" w:lineRule="atLeast"/>
              <w:contextualSpacing/>
              <w:jc w:val="both"/>
              <w:rPr>
                <w:rFonts w:ascii="Arial" w:hAnsi="Arial" w:cs="Arial"/>
              </w:rPr>
            </w:pPr>
            <w:r w:rsidRPr="0027631D">
              <w:rPr>
                <w:rFonts w:ascii="Arial" w:hAnsi="Arial" w:cs="Arial"/>
                <w:b/>
              </w:rPr>
              <w:t xml:space="preserve">CLM 24. </w:t>
            </w:r>
            <w:r w:rsidRPr="0027631D">
              <w:rPr>
                <w:rFonts w:ascii="Arial" w:hAnsi="Arial" w:cs="Arial"/>
              </w:rPr>
              <w:t>Se establecen frecuencias radioeléctricas para ser utilizadas en la realización de pruebas técnicas conforme a las condiciones establecidas por el Ministerio de Tecnologías de la Información y las Comunicaciones en la normatividad que se referencia.</w:t>
            </w:r>
          </w:p>
        </w:tc>
      </w:tr>
      <w:tr w:rsidR="00341CFE" w:rsidRPr="0027631D" w14:paraId="198ABA0D" w14:textId="77777777" w:rsidTr="00B23D4D">
        <w:trPr>
          <w:trHeight w:val="537"/>
          <w:tblHeader/>
          <w:jc w:val="center"/>
        </w:trPr>
        <w:tc>
          <w:tcPr>
            <w:tcW w:w="828" w:type="pct"/>
            <w:shd w:val="clear" w:color="auto" w:fill="auto"/>
          </w:tcPr>
          <w:p w14:paraId="60D814A7" w14:textId="77777777" w:rsidR="00ED49E0" w:rsidRPr="0027631D" w:rsidRDefault="00ED49E0" w:rsidP="00B23D4D">
            <w:pPr>
              <w:spacing w:after="0" w:line="23" w:lineRule="atLeast"/>
              <w:contextualSpacing/>
              <w:rPr>
                <w:rFonts w:ascii="Arial" w:hAnsi="Arial" w:cs="Arial"/>
                <w:b/>
              </w:rPr>
            </w:pPr>
            <w:r w:rsidRPr="0027631D">
              <w:rPr>
                <w:rFonts w:ascii="Arial" w:hAnsi="Arial" w:cs="Arial"/>
                <w:b/>
              </w:rPr>
              <w:t xml:space="preserve">2450 – 2483.5 </w:t>
            </w:r>
          </w:p>
          <w:p w14:paraId="5C9D276E" w14:textId="77777777" w:rsidR="00ED49E0" w:rsidRPr="0027631D" w:rsidRDefault="00ED49E0" w:rsidP="00B23D4D">
            <w:pPr>
              <w:spacing w:after="0" w:line="23" w:lineRule="atLeast"/>
              <w:contextualSpacing/>
              <w:rPr>
                <w:rFonts w:ascii="Arial" w:hAnsi="Arial" w:cs="Arial"/>
              </w:rPr>
            </w:pPr>
            <w:r w:rsidRPr="0027631D">
              <w:rPr>
                <w:rFonts w:ascii="Arial" w:hAnsi="Arial" w:cs="Arial"/>
              </w:rPr>
              <w:t>FIJO</w:t>
            </w:r>
          </w:p>
        </w:tc>
        <w:tc>
          <w:tcPr>
            <w:tcW w:w="4172" w:type="pct"/>
            <w:shd w:val="clear" w:color="auto" w:fill="auto"/>
          </w:tcPr>
          <w:p w14:paraId="13FE7BDC" w14:textId="77777777" w:rsidR="00ED49E0" w:rsidRPr="0027631D" w:rsidRDefault="00ED49E0" w:rsidP="00B23D4D">
            <w:pPr>
              <w:spacing w:after="0" w:line="23" w:lineRule="atLeast"/>
              <w:contextualSpacing/>
              <w:jc w:val="both"/>
              <w:rPr>
                <w:rFonts w:ascii="Arial" w:hAnsi="Arial" w:cs="Arial"/>
                <w:b/>
              </w:rPr>
            </w:pPr>
            <w:r w:rsidRPr="0027631D">
              <w:rPr>
                <w:rFonts w:ascii="Arial" w:hAnsi="Arial" w:cs="Arial"/>
                <w:b/>
              </w:rPr>
              <w:t xml:space="preserve">CLM 3. </w:t>
            </w:r>
            <w:r w:rsidRPr="0027631D">
              <w:rPr>
                <w:rFonts w:ascii="Arial" w:hAnsi="Arial" w:cs="Arial"/>
              </w:rPr>
              <w:t>Se establece la normatividad relacionada con los límites de las emisiones y las condiciones técnicas y operativas tanto generales como específicas de las aplicaciones permitidas para utilizar el espectro bajo la modalidad de uso libre dentro del territorio nacional.</w:t>
            </w:r>
          </w:p>
          <w:p w14:paraId="24E252AF" w14:textId="77777777" w:rsidR="00ED49E0" w:rsidRPr="0027631D" w:rsidRDefault="00ED49E0" w:rsidP="00B23D4D">
            <w:pPr>
              <w:spacing w:after="0" w:line="23" w:lineRule="atLeast"/>
              <w:contextualSpacing/>
              <w:jc w:val="both"/>
              <w:rPr>
                <w:rFonts w:ascii="Arial" w:hAnsi="Arial" w:cs="Arial"/>
              </w:rPr>
            </w:pPr>
            <w:r w:rsidRPr="0027631D">
              <w:rPr>
                <w:rFonts w:ascii="Arial" w:hAnsi="Arial" w:cs="Arial"/>
                <w:b/>
              </w:rPr>
              <w:t>CLM 24.</w:t>
            </w:r>
            <w:r w:rsidRPr="0027631D">
              <w:rPr>
                <w:rFonts w:ascii="Arial" w:hAnsi="Arial" w:cs="Arial"/>
              </w:rPr>
              <w:t xml:space="preserve"> Se establecen frecuencias radioeléctricas para ser utilizadas en la realización de pruebas técnicas conforme a las condiciones establecidas por el Ministerio de Tecnologías de la Información y las Comunicaciones en la normatividad que se referencia.</w:t>
            </w:r>
          </w:p>
        </w:tc>
      </w:tr>
    </w:tbl>
    <w:p w14:paraId="7A103A38" w14:textId="5654661F" w:rsidR="00ED49E0" w:rsidRPr="00515B91" w:rsidRDefault="00ED49E0" w:rsidP="0027631D">
      <w:pPr>
        <w:pStyle w:val="Descripcin"/>
        <w:contextualSpacing/>
        <w:rPr>
          <w:i w:val="0"/>
          <w:sz w:val="22"/>
          <w:szCs w:val="22"/>
          <w:lang w:eastAsia="en-GB"/>
        </w:rPr>
      </w:pPr>
      <w:bookmarkStart w:id="307" w:name="_Toc45364876"/>
      <w:bookmarkStart w:id="308" w:name="_Toc45381231"/>
      <w:bookmarkStart w:id="309" w:name="_Toc45452833"/>
      <w:bookmarkStart w:id="310" w:name="_Toc45452942"/>
      <w:r w:rsidRPr="00515B91">
        <w:rPr>
          <w:i w:val="0"/>
          <w:sz w:val="22"/>
          <w:szCs w:val="22"/>
        </w:rPr>
        <w:t xml:space="preserve">Tabla </w:t>
      </w:r>
      <w:r w:rsidR="008010AD" w:rsidRPr="00515B91">
        <w:rPr>
          <w:i w:val="0"/>
          <w:sz w:val="22"/>
          <w:szCs w:val="22"/>
        </w:rPr>
        <w:fldChar w:fldCharType="begin"/>
      </w:r>
      <w:r w:rsidR="008010AD" w:rsidRPr="00515B91">
        <w:rPr>
          <w:i w:val="0"/>
          <w:sz w:val="22"/>
          <w:szCs w:val="22"/>
        </w:rPr>
        <w:instrText xml:space="preserve"> SEQ Tabla \* ARABIC </w:instrText>
      </w:r>
      <w:r w:rsidR="008010AD" w:rsidRPr="00515B91">
        <w:rPr>
          <w:i w:val="0"/>
          <w:sz w:val="22"/>
          <w:szCs w:val="22"/>
        </w:rPr>
        <w:fldChar w:fldCharType="separate"/>
      </w:r>
      <w:r w:rsidR="004F1EA3">
        <w:rPr>
          <w:i w:val="0"/>
          <w:noProof/>
          <w:sz w:val="22"/>
          <w:szCs w:val="22"/>
        </w:rPr>
        <w:t>21</w:t>
      </w:r>
      <w:r w:rsidR="008010AD" w:rsidRPr="00515B91">
        <w:rPr>
          <w:i w:val="0"/>
          <w:noProof/>
          <w:sz w:val="22"/>
          <w:szCs w:val="22"/>
        </w:rPr>
        <w:fldChar w:fldCharType="end"/>
      </w:r>
      <w:r w:rsidRPr="00515B91">
        <w:rPr>
          <w:i w:val="0"/>
          <w:sz w:val="22"/>
          <w:szCs w:val="22"/>
        </w:rPr>
        <w:t xml:space="preserve"> Atribución de la banda 2.4 GHz conforme al CAF-COL</w:t>
      </w:r>
      <w:bookmarkEnd w:id="307"/>
      <w:bookmarkEnd w:id="308"/>
      <w:bookmarkEnd w:id="309"/>
      <w:bookmarkEnd w:id="310"/>
    </w:p>
    <w:p w14:paraId="5B966AB5" w14:textId="77777777" w:rsidR="00ED49E0" w:rsidRPr="0027631D" w:rsidRDefault="00ED49E0" w:rsidP="0027631D">
      <w:pPr>
        <w:spacing w:after="0" w:line="23" w:lineRule="atLeast"/>
        <w:contextualSpacing/>
        <w:jc w:val="both"/>
        <w:rPr>
          <w:rFonts w:ascii="Arial" w:hAnsi="Arial" w:cs="Arial"/>
          <w:lang w:eastAsia="en-GB"/>
        </w:rPr>
      </w:pPr>
    </w:p>
    <w:p w14:paraId="34887F0A" w14:textId="77777777" w:rsidR="00ED49E0" w:rsidRPr="0027631D" w:rsidRDefault="00ED49E0" w:rsidP="0027631D">
      <w:pPr>
        <w:spacing w:after="0" w:line="23" w:lineRule="atLeast"/>
        <w:contextualSpacing/>
        <w:jc w:val="both"/>
        <w:rPr>
          <w:rFonts w:ascii="Arial" w:hAnsi="Arial" w:cs="Arial"/>
          <w:lang w:eastAsia="en-GB"/>
        </w:rPr>
      </w:pPr>
      <w:r w:rsidRPr="0027631D">
        <w:rPr>
          <w:rFonts w:ascii="Arial" w:hAnsi="Arial" w:cs="Arial"/>
          <w:lang w:eastAsia="en-GB"/>
        </w:rPr>
        <w:lastRenderedPageBreak/>
        <w:t xml:space="preserve">De lo anterior, se puede observar que la ANE ha emitido la normatividad correspondiente al uso de diversas bandas de frecuencias de uso libre, incluyendo la banda 2.4 GHz. Dicha normatividad recae directamente en la Resolución </w:t>
      </w:r>
      <w:r w:rsidR="003F61DE">
        <w:rPr>
          <w:rFonts w:ascii="Arial" w:hAnsi="Arial" w:cs="Arial"/>
          <w:lang w:eastAsia="en-GB"/>
        </w:rPr>
        <w:t>105</w:t>
      </w:r>
      <w:r w:rsidRPr="0027631D">
        <w:rPr>
          <w:rFonts w:ascii="Arial" w:hAnsi="Arial" w:cs="Arial"/>
          <w:lang w:eastAsia="en-GB"/>
        </w:rPr>
        <w:t xml:space="preserve"> publicada en la Legislación Colombiana el </w:t>
      </w:r>
      <w:r w:rsidR="003F61DE">
        <w:rPr>
          <w:rFonts w:ascii="Arial" w:hAnsi="Arial" w:cs="Arial"/>
          <w:lang w:eastAsia="en-GB"/>
        </w:rPr>
        <w:t>27</w:t>
      </w:r>
      <w:r w:rsidRPr="0027631D">
        <w:rPr>
          <w:rFonts w:ascii="Arial" w:hAnsi="Arial" w:cs="Arial"/>
          <w:lang w:eastAsia="en-GB"/>
        </w:rPr>
        <w:t xml:space="preserve"> de </w:t>
      </w:r>
      <w:r w:rsidR="003F61DE">
        <w:rPr>
          <w:rFonts w:ascii="Arial" w:hAnsi="Arial" w:cs="Arial"/>
          <w:lang w:eastAsia="en-GB"/>
        </w:rPr>
        <w:t>marzo</w:t>
      </w:r>
      <w:r w:rsidRPr="0027631D">
        <w:rPr>
          <w:rFonts w:ascii="Arial" w:hAnsi="Arial" w:cs="Arial"/>
          <w:lang w:eastAsia="en-GB"/>
        </w:rPr>
        <w:t xml:space="preserve"> del año 20</w:t>
      </w:r>
      <w:r w:rsidR="003F61DE">
        <w:rPr>
          <w:rFonts w:ascii="Arial" w:hAnsi="Arial" w:cs="Arial"/>
          <w:lang w:eastAsia="en-GB"/>
        </w:rPr>
        <w:t>20</w:t>
      </w:r>
      <w:r w:rsidRPr="0027631D">
        <w:rPr>
          <w:rStyle w:val="Refdenotaalpie"/>
          <w:rFonts w:ascii="Arial" w:hAnsi="Arial" w:cs="Arial"/>
          <w:lang w:eastAsia="en-GB"/>
        </w:rPr>
        <w:footnoteReference w:id="34"/>
      </w:r>
      <w:r w:rsidRPr="0027631D">
        <w:rPr>
          <w:rFonts w:ascii="Arial" w:hAnsi="Arial" w:cs="Arial"/>
          <w:lang w:eastAsia="en-GB"/>
        </w:rPr>
        <w:t>, particularmente en las secciones 2 y 3 del Anexo a la Resolución, en donde se pueden encontrar las condiciones técnicas y operativas, generales y particulares de los dispositivos y sistemas de radiocomunicación, así como de las aplicaciones permitidas para el uso de este tipo de espectro libre.</w:t>
      </w:r>
    </w:p>
    <w:p w14:paraId="737E81F0" w14:textId="77777777" w:rsidR="00ED49E0" w:rsidRPr="0027631D" w:rsidRDefault="00ED49E0" w:rsidP="0027631D">
      <w:pPr>
        <w:spacing w:after="0" w:line="23" w:lineRule="atLeast"/>
        <w:contextualSpacing/>
        <w:jc w:val="both"/>
        <w:rPr>
          <w:rFonts w:ascii="Arial" w:hAnsi="Arial" w:cs="Arial"/>
          <w:lang w:eastAsia="en-GB"/>
        </w:rPr>
      </w:pPr>
    </w:p>
    <w:p w14:paraId="574BD630" w14:textId="77777777" w:rsidR="00ED49E0" w:rsidRPr="0027631D" w:rsidRDefault="00ED49E0" w:rsidP="0027631D">
      <w:pPr>
        <w:spacing w:after="0" w:line="23" w:lineRule="atLeast"/>
        <w:contextualSpacing/>
        <w:jc w:val="both"/>
        <w:rPr>
          <w:rFonts w:ascii="Arial" w:hAnsi="Arial" w:cs="Arial"/>
          <w:lang w:eastAsia="en-GB"/>
        </w:rPr>
      </w:pPr>
      <w:r w:rsidRPr="0027631D">
        <w:rPr>
          <w:rFonts w:ascii="Arial" w:hAnsi="Arial" w:cs="Arial"/>
          <w:lang w:eastAsia="en-GB"/>
        </w:rPr>
        <w:t xml:space="preserve">En lo que respecta a los dispositivos de salto en frecuencia, modulación digital o híbridos que operan en la banda 2.4 GHz, las secciones 2 y 3.6 del Anexo a la Resolución </w:t>
      </w:r>
      <w:r w:rsidR="003F61DE">
        <w:rPr>
          <w:rFonts w:ascii="Arial" w:hAnsi="Arial" w:cs="Arial"/>
          <w:lang w:eastAsia="en-GB"/>
        </w:rPr>
        <w:t>105</w:t>
      </w:r>
      <w:r w:rsidRPr="0027631D">
        <w:rPr>
          <w:rFonts w:ascii="Arial" w:hAnsi="Arial" w:cs="Arial"/>
          <w:lang w:eastAsia="en-GB"/>
        </w:rPr>
        <w:t xml:space="preserve"> muestran las condiciones técnicas generales y específicas que son aplicables para este tipo de dispositivos, las cuales se encuentran resumidas en las tablas siguientes:</w:t>
      </w:r>
    </w:p>
    <w:p w14:paraId="1364CEF9" w14:textId="77777777" w:rsidR="00ED49E0" w:rsidRPr="0027631D" w:rsidRDefault="00ED49E0" w:rsidP="0027631D">
      <w:pPr>
        <w:spacing w:after="0" w:line="23" w:lineRule="atLeast"/>
        <w:contextualSpacing/>
        <w:jc w:val="both"/>
        <w:rPr>
          <w:rFonts w:ascii="Arial" w:hAnsi="Arial" w:cs="Arial"/>
          <w:lang w:eastAsia="en-GB"/>
        </w:rPr>
      </w:pPr>
    </w:p>
    <w:tbl>
      <w:tblPr>
        <w:tblStyle w:val="Tablaconcuadrcula"/>
        <w:tblW w:w="5000" w:type="pct"/>
        <w:jc w:val="right"/>
        <w:tblCellMar>
          <w:left w:w="28" w:type="dxa"/>
          <w:right w:w="28" w:type="dxa"/>
        </w:tblCellMar>
        <w:tblLook w:val="04A0" w:firstRow="1" w:lastRow="0" w:firstColumn="1" w:lastColumn="0" w:noHBand="0" w:noVBand="1"/>
      </w:tblPr>
      <w:tblGrid>
        <w:gridCol w:w="1340"/>
        <w:gridCol w:w="1988"/>
        <w:gridCol w:w="1377"/>
        <w:gridCol w:w="1157"/>
        <w:gridCol w:w="1157"/>
        <w:gridCol w:w="1157"/>
        <w:gridCol w:w="1218"/>
      </w:tblGrid>
      <w:tr w:rsidR="00341CFE" w:rsidRPr="0027631D" w14:paraId="55114E7E" w14:textId="77777777" w:rsidTr="00341CFE">
        <w:trPr>
          <w:cantSplit/>
          <w:trHeight w:val="20"/>
          <w:tblHeader/>
          <w:jc w:val="right"/>
        </w:trPr>
        <w:tc>
          <w:tcPr>
            <w:tcW w:w="597" w:type="pct"/>
            <w:shd w:val="clear" w:color="auto" w:fill="D9D9D9" w:themeFill="background1" w:themeFillShade="D9"/>
            <w:vAlign w:val="center"/>
          </w:tcPr>
          <w:p w14:paraId="1D64F0A3"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Tipo de dispositivo</w:t>
            </w:r>
          </w:p>
        </w:tc>
        <w:tc>
          <w:tcPr>
            <w:tcW w:w="1157" w:type="pct"/>
            <w:shd w:val="clear" w:color="auto" w:fill="D9D9D9" w:themeFill="background1" w:themeFillShade="D9"/>
            <w:vAlign w:val="center"/>
          </w:tcPr>
          <w:p w14:paraId="4470704F" w14:textId="77777777" w:rsidR="00ED49E0" w:rsidRPr="0027631D" w:rsidRDefault="00ED49E0" w:rsidP="0027631D">
            <w:pPr>
              <w:spacing w:after="0" w:line="23" w:lineRule="atLeast"/>
              <w:contextualSpacing/>
              <w:jc w:val="center"/>
              <w:rPr>
                <w:rFonts w:ascii="Arial" w:hAnsi="Arial" w:cs="Arial"/>
                <w:b/>
                <w:highlight w:val="darkBlue"/>
                <w:lang w:val="es-ES" w:eastAsia="es-MX"/>
              </w:rPr>
            </w:pPr>
            <w:r w:rsidRPr="0027631D">
              <w:rPr>
                <w:rFonts w:ascii="Arial" w:hAnsi="Arial" w:cs="Arial"/>
                <w:b/>
                <w:lang w:val="es-ES" w:eastAsia="es-MX"/>
              </w:rPr>
              <w:t>Separación mínima entre frecuencias portadoras por canal</w:t>
            </w:r>
          </w:p>
        </w:tc>
        <w:tc>
          <w:tcPr>
            <w:tcW w:w="688" w:type="pct"/>
            <w:shd w:val="clear" w:color="auto" w:fill="D9D9D9" w:themeFill="background1" w:themeFillShade="D9"/>
            <w:vAlign w:val="center"/>
          </w:tcPr>
          <w:p w14:paraId="28917166" w14:textId="77777777" w:rsidR="00ED49E0" w:rsidRPr="0027631D" w:rsidRDefault="00ED49E0" w:rsidP="0027631D">
            <w:pPr>
              <w:spacing w:after="0" w:line="23" w:lineRule="atLeast"/>
              <w:contextualSpacing/>
              <w:jc w:val="center"/>
              <w:rPr>
                <w:rFonts w:ascii="Arial" w:hAnsi="Arial" w:cs="Arial"/>
                <w:b/>
                <w:highlight w:val="darkBlue"/>
                <w:lang w:val="es-ES" w:eastAsia="es-MX"/>
              </w:rPr>
            </w:pPr>
            <w:r w:rsidRPr="0027631D">
              <w:rPr>
                <w:rFonts w:ascii="Arial" w:hAnsi="Arial" w:cs="Arial"/>
                <w:b/>
                <w:lang w:val="es-ES" w:eastAsia="es-MX"/>
              </w:rPr>
              <w:t>Número de canales (N)</w:t>
            </w:r>
          </w:p>
        </w:tc>
        <w:tc>
          <w:tcPr>
            <w:tcW w:w="687" w:type="pct"/>
            <w:shd w:val="clear" w:color="auto" w:fill="D9D9D9" w:themeFill="background1" w:themeFillShade="D9"/>
            <w:vAlign w:val="center"/>
          </w:tcPr>
          <w:p w14:paraId="6EB822B4" w14:textId="77777777" w:rsidR="00ED49E0" w:rsidRPr="0027631D" w:rsidRDefault="00ED49E0" w:rsidP="0027631D">
            <w:pPr>
              <w:spacing w:after="0" w:line="23" w:lineRule="atLeast"/>
              <w:contextualSpacing/>
              <w:jc w:val="center"/>
              <w:rPr>
                <w:rFonts w:ascii="Arial" w:hAnsi="Arial" w:cs="Arial"/>
                <w:b/>
                <w:highlight w:val="darkBlue"/>
                <w:lang w:val="es-ES" w:eastAsia="es-MX"/>
              </w:rPr>
            </w:pPr>
            <w:r w:rsidRPr="0027631D">
              <w:rPr>
                <w:rFonts w:ascii="Arial" w:hAnsi="Arial" w:cs="Arial"/>
                <w:b/>
                <w:lang w:val="es-ES" w:eastAsia="es-MX"/>
              </w:rPr>
              <w:t>Tiempo promedio de ocupación de canal</w:t>
            </w:r>
          </w:p>
        </w:tc>
        <w:tc>
          <w:tcPr>
            <w:tcW w:w="687" w:type="pct"/>
            <w:shd w:val="clear" w:color="auto" w:fill="D9D9D9" w:themeFill="background1" w:themeFillShade="D9"/>
            <w:vAlign w:val="center"/>
          </w:tcPr>
          <w:p w14:paraId="29184CA0" w14:textId="77777777" w:rsidR="00ED49E0" w:rsidRPr="0027631D" w:rsidRDefault="00ED49E0" w:rsidP="0027631D">
            <w:pPr>
              <w:spacing w:after="0" w:line="23" w:lineRule="atLeast"/>
              <w:contextualSpacing/>
              <w:jc w:val="center"/>
              <w:rPr>
                <w:rFonts w:ascii="Arial" w:hAnsi="Arial" w:cs="Arial"/>
                <w:b/>
                <w:highlight w:val="darkBlue"/>
                <w:lang w:val="es-ES" w:eastAsia="es-MX"/>
              </w:rPr>
            </w:pPr>
            <w:r w:rsidRPr="0027631D">
              <w:rPr>
                <w:rFonts w:ascii="Arial" w:hAnsi="Arial" w:cs="Arial"/>
                <w:b/>
                <w:lang w:val="es-ES" w:eastAsia="es-MX"/>
              </w:rPr>
              <w:t>Periodo de ocupación del conjunto de canales</w:t>
            </w:r>
          </w:p>
        </w:tc>
        <w:tc>
          <w:tcPr>
            <w:tcW w:w="610" w:type="pct"/>
            <w:shd w:val="clear" w:color="auto" w:fill="D9D9D9" w:themeFill="background1" w:themeFillShade="D9"/>
            <w:vAlign w:val="center"/>
          </w:tcPr>
          <w:p w14:paraId="24406C12" w14:textId="77777777" w:rsidR="00ED49E0" w:rsidRPr="0027631D" w:rsidRDefault="00ED49E0" w:rsidP="0027631D">
            <w:pPr>
              <w:spacing w:after="0" w:line="23" w:lineRule="atLeast"/>
              <w:contextualSpacing/>
              <w:jc w:val="center"/>
              <w:rPr>
                <w:rFonts w:ascii="Arial" w:hAnsi="Arial" w:cs="Arial"/>
                <w:b/>
                <w:highlight w:val="darkBlue"/>
                <w:lang w:val="es-ES" w:eastAsia="es-MX"/>
              </w:rPr>
            </w:pPr>
            <w:r w:rsidRPr="0027631D">
              <w:rPr>
                <w:rFonts w:ascii="Arial" w:hAnsi="Arial" w:cs="Arial"/>
                <w:b/>
                <w:lang w:val="es-ES" w:eastAsia="es-MX"/>
              </w:rPr>
              <w:t>Potencia máxima de salida conducida</w:t>
            </w:r>
          </w:p>
        </w:tc>
        <w:tc>
          <w:tcPr>
            <w:tcW w:w="574" w:type="pct"/>
            <w:shd w:val="clear" w:color="auto" w:fill="D9D9D9" w:themeFill="background1" w:themeFillShade="D9"/>
            <w:vAlign w:val="center"/>
          </w:tcPr>
          <w:p w14:paraId="567EAF20" w14:textId="77777777" w:rsidR="00ED49E0" w:rsidRPr="0027631D" w:rsidRDefault="00ED49E0" w:rsidP="00D62E72">
            <w:pPr>
              <w:spacing w:after="0" w:line="23" w:lineRule="atLeast"/>
              <w:contextualSpacing/>
              <w:jc w:val="center"/>
              <w:rPr>
                <w:rFonts w:ascii="Arial" w:hAnsi="Arial" w:cs="Arial"/>
                <w:b/>
                <w:highlight w:val="darkBlue"/>
                <w:lang w:val="es-ES" w:eastAsia="es-MX"/>
              </w:rPr>
            </w:pPr>
            <w:r w:rsidRPr="0027631D">
              <w:rPr>
                <w:rFonts w:ascii="Arial" w:hAnsi="Arial" w:cs="Arial"/>
                <w:b/>
                <w:lang w:val="es-ES" w:eastAsia="es-MX"/>
              </w:rPr>
              <w:t>Ganancia de la antena direccional</w:t>
            </w:r>
          </w:p>
        </w:tc>
      </w:tr>
      <w:tr w:rsidR="00341CFE" w:rsidRPr="0027631D" w14:paraId="142B6A09" w14:textId="77777777" w:rsidTr="00FF5B8A">
        <w:trPr>
          <w:cantSplit/>
          <w:trHeight w:val="20"/>
          <w:jc w:val="right"/>
        </w:trPr>
        <w:tc>
          <w:tcPr>
            <w:tcW w:w="597" w:type="pct"/>
            <w:vMerge w:val="restart"/>
            <w:shd w:val="clear" w:color="auto" w:fill="D9D9D9" w:themeFill="background1" w:themeFillShade="D9"/>
            <w:vAlign w:val="center"/>
          </w:tcPr>
          <w:p w14:paraId="13FD18E2"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Dispositivo de espectro ensanchado por saltos de frecuencia</w:t>
            </w:r>
          </w:p>
        </w:tc>
        <w:tc>
          <w:tcPr>
            <w:tcW w:w="1157" w:type="pct"/>
            <w:shd w:val="clear" w:color="auto" w:fill="auto"/>
            <w:vAlign w:val="center"/>
          </w:tcPr>
          <w:p w14:paraId="6FB05929"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Mayor valor entre 25 kHz</w:t>
            </w:r>
          </w:p>
          <w:p w14:paraId="5B596989"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o</w:t>
            </w:r>
          </w:p>
          <w:p w14:paraId="10329F7D"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2/3 de los 20 dB del ancho de banda del canal</w:t>
            </w:r>
          </w:p>
        </w:tc>
        <w:tc>
          <w:tcPr>
            <w:tcW w:w="688" w:type="pct"/>
            <w:shd w:val="clear" w:color="auto" w:fill="auto"/>
            <w:vAlign w:val="center"/>
          </w:tcPr>
          <w:p w14:paraId="011D3569"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15</w:t>
            </w:r>
          </w:p>
        </w:tc>
        <w:tc>
          <w:tcPr>
            <w:tcW w:w="687" w:type="pct"/>
            <w:shd w:val="clear" w:color="auto" w:fill="auto"/>
            <w:vAlign w:val="center"/>
          </w:tcPr>
          <w:p w14:paraId="5896BD0F"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0.4 s</w:t>
            </w:r>
          </w:p>
        </w:tc>
        <w:tc>
          <w:tcPr>
            <w:tcW w:w="687" w:type="pct"/>
            <w:shd w:val="clear" w:color="auto" w:fill="auto"/>
            <w:vAlign w:val="center"/>
          </w:tcPr>
          <w:p w14:paraId="29DFBFF8"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(0.4 s) (N)</w:t>
            </w:r>
          </w:p>
        </w:tc>
        <w:tc>
          <w:tcPr>
            <w:tcW w:w="610" w:type="pct"/>
            <w:shd w:val="clear" w:color="auto" w:fill="auto"/>
            <w:vAlign w:val="center"/>
          </w:tcPr>
          <w:p w14:paraId="07D45208"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0.125 W</w:t>
            </w:r>
          </w:p>
        </w:tc>
        <w:tc>
          <w:tcPr>
            <w:tcW w:w="574" w:type="pct"/>
            <w:shd w:val="clear" w:color="auto" w:fill="auto"/>
            <w:vAlign w:val="center"/>
          </w:tcPr>
          <w:p w14:paraId="775BB493"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6 dBi</w:t>
            </w:r>
          </w:p>
        </w:tc>
      </w:tr>
      <w:tr w:rsidR="00341CFE" w:rsidRPr="0027631D" w14:paraId="2E372FE1" w14:textId="77777777" w:rsidTr="00FF5B8A">
        <w:trPr>
          <w:cantSplit/>
          <w:trHeight w:val="20"/>
          <w:jc w:val="right"/>
        </w:trPr>
        <w:tc>
          <w:tcPr>
            <w:tcW w:w="597" w:type="pct"/>
            <w:vMerge/>
            <w:shd w:val="clear" w:color="auto" w:fill="D9D9D9" w:themeFill="background1" w:themeFillShade="D9"/>
            <w:vAlign w:val="center"/>
          </w:tcPr>
          <w:p w14:paraId="608F8DD8" w14:textId="77777777" w:rsidR="00ED49E0" w:rsidRPr="0027631D" w:rsidRDefault="00ED49E0" w:rsidP="0027631D">
            <w:pPr>
              <w:spacing w:after="0" w:line="23" w:lineRule="atLeast"/>
              <w:contextualSpacing/>
              <w:jc w:val="center"/>
              <w:rPr>
                <w:rFonts w:ascii="Arial" w:hAnsi="Arial" w:cs="Arial"/>
                <w:b/>
                <w:lang w:val="es-ES" w:eastAsia="es-MX"/>
              </w:rPr>
            </w:pPr>
          </w:p>
        </w:tc>
        <w:tc>
          <w:tcPr>
            <w:tcW w:w="1157" w:type="pct"/>
            <w:shd w:val="clear" w:color="auto" w:fill="auto"/>
            <w:vAlign w:val="center"/>
          </w:tcPr>
          <w:p w14:paraId="7E41889B"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Mayor valor entre 25 kHz</w:t>
            </w:r>
          </w:p>
          <w:p w14:paraId="3322AD27"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y el ancho de banda del canal a 20 dB</w:t>
            </w:r>
          </w:p>
        </w:tc>
        <w:tc>
          <w:tcPr>
            <w:tcW w:w="688" w:type="pct"/>
            <w:shd w:val="clear" w:color="auto" w:fill="auto"/>
            <w:vAlign w:val="center"/>
          </w:tcPr>
          <w:p w14:paraId="54597AF9"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75, no superpuestos</w:t>
            </w:r>
          </w:p>
        </w:tc>
        <w:tc>
          <w:tcPr>
            <w:tcW w:w="687" w:type="pct"/>
            <w:shd w:val="clear" w:color="auto" w:fill="auto"/>
            <w:vAlign w:val="center"/>
          </w:tcPr>
          <w:p w14:paraId="07CF7914"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0.4 s</w:t>
            </w:r>
          </w:p>
        </w:tc>
        <w:tc>
          <w:tcPr>
            <w:tcW w:w="687" w:type="pct"/>
            <w:shd w:val="clear" w:color="auto" w:fill="auto"/>
            <w:vAlign w:val="center"/>
          </w:tcPr>
          <w:p w14:paraId="3D64A6D8"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(0.4 s) (N)</w:t>
            </w:r>
          </w:p>
        </w:tc>
        <w:tc>
          <w:tcPr>
            <w:tcW w:w="610" w:type="pct"/>
            <w:shd w:val="clear" w:color="auto" w:fill="auto"/>
            <w:vAlign w:val="center"/>
          </w:tcPr>
          <w:p w14:paraId="5961773F"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1 W</w:t>
            </w:r>
          </w:p>
        </w:tc>
        <w:tc>
          <w:tcPr>
            <w:tcW w:w="574" w:type="pct"/>
            <w:shd w:val="clear" w:color="auto" w:fill="auto"/>
            <w:vAlign w:val="center"/>
          </w:tcPr>
          <w:p w14:paraId="0B28905E"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6 dBi</w:t>
            </w:r>
          </w:p>
        </w:tc>
      </w:tr>
    </w:tbl>
    <w:p w14:paraId="16349A64" w14:textId="20AC9B73" w:rsidR="00ED49E0" w:rsidRPr="00515B91" w:rsidRDefault="00ED49E0" w:rsidP="0027631D">
      <w:pPr>
        <w:pStyle w:val="Descripcin"/>
        <w:contextualSpacing/>
        <w:rPr>
          <w:i w:val="0"/>
          <w:sz w:val="22"/>
          <w:szCs w:val="22"/>
        </w:rPr>
      </w:pPr>
      <w:bookmarkStart w:id="311" w:name="_Toc45381232"/>
      <w:bookmarkStart w:id="312" w:name="_Toc45452834"/>
      <w:bookmarkStart w:id="313" w:name="_Toc45452943"/>
      <w:r w:rsidRPr="00515B91">
        <w:rPr>
          <w:i w:val="0"/>
          <w:sz w:val="22"/>
          <w:szCs w:val="22"/>
        </w:rPr>
        <w:t xml:space="preserve">Tabla </w:t>
      </w:r>
      <w:r w:rsidR="008010AD" w:rsidRPr="00515B91">
        <w:rPr>
          <w:i w:val="0"/>
          <w:sz w:val="22"/>
          <w:szCs w:val="22"/>
        </w:rPr>
        <w:fldChar w:fldCharType="begin"/>
      </w:r>
      <w:r w:rsidR="008010AD" w:rsidRPr="00515B91">
        <w:rPr>
          <w:i w:val="0"/>
          <w:sz w:val="22"/>
          <w:szCs w:val="22"/>
        </w:rPr>
        <w:instrText xml:space="preserve"> SEQ Tabla \* ARABIC </w:instrText>
      </w:r>
      <w:r w:rsidR="008010AD" w:rsidRPr="00515B91">
        <w:rPr>
          <w:i w:val="0"/>
          <w:sz w:val="22"/>
          <w:szCs w:val="22"/>
        </w:rPr>
        <w:fldChar w:fldCharType="separate"/>
      </w:r>
      <w:r w:rsidR="004F1EA3">
        <w:rPr>
          <w:i w:val="0"/>
          <w:noProof/>
          <w:sz w:val="22"/>
          <w:szCs w:val="22"/>
        </w:rPr>
        <w:t>22</w:t>
      </w:r>
      <w:r w:rsidR="008010AD" w:rsidRPr="00515B91">
        <w:rPr>
          <w:i w:val="0"/>
          <w:noProof/>
          <w:sz w:val="22"/>
          <w:szCs w:val="22"/>
        </w:rPr>
        <w:fldChar w:fldCharType="end"/>
      </w:r>
      <w:r w:rsidRPr="00515B91">
        <w:rPr>
          <w:i w:val="0"/>
          <w:sz w:val="22"/>
          <w:szCs w:val="22"/>
        </w:rPr>
        <w:t>.</w:t>
      </w:r>
      <w:r w:rsidRPr="00515B91">
        <w:rPr>
          <w:i w:val="0"/>
          <w:sz w:val="22"/>
          <w:szCs w:val="22"/>
          <w:lang w:val="es-ES" w:eastAsia="es-MX"/>
        </w:rPr>
        <w:t xml:space="preserve"> Condiciones técnicas generales y específicas para sistemas FHSS en la banda 2.4 GHz establecidos en Colombia</w:t>
      </w:r>
      <w:bookmarkEnd w:id="311"/>
      <w:bookmarkEnd w:id="312"/>
      <w:bookmarkEnd w:id="313"/>
    </w:p>
    <w:p w14:paraId="7B13A506" w14:textId="77777777" w:rsidR="00ED49E0" w:rsidRPr="0027631D" w:rsidRDefault="00ED49E0" w:rsidP="0027631D">
      <w:pPr>
        <w:spacing w:after="0" w:line="23" w:lineRule="atLeast"/>
        <w:contextualSpacing/>
        <w:jc w:val="both"/>
        <w:rPr>
          <w:rFonts w:ascii="Arial" w:hAnsi="Arial" w:cs="Arial"/>
          <w:lang w:eastAsia="en-GB"/>
        </w:rPr>
      </w:pPr>
    </w:p>
    <w:p w14:paraId="3BAEC7F3" w14:textId="77777777" w:rsidR="00ED49E0" w:rsidRPr="0027631D" w:rsidRDefault="00ED49E0" w:rsidP="0027631D">
      <w:pPr>
        <w:spacing w:after="0" w:line="23" w:lineRule="atLeast"/>
        <w:contextualSpacing/>
        <w:jc w:val="both"/>
        <w:rPr>
          <w:rFonts w:ascii="Arial" w:hAnsi="Arial" w:cs="Arial"/>
          <w:lang w:eastAsia="en-GB"/>
        </w:rPr>
      </w:pPr>
      <w:r w:rsidRPr="0027631D">
        <w:rPr>
          <w:rFonts w:ascii="Arial" w:hAnsi="Arial" w:cs="Arial"/>
          <w:lang w:eastAsia="en-GB"/>
        </w:rPr>
        <w:t>Aunado a lo anterior, otras condiciones para los dispositivos de espectro ensanchado por saltos de frecuencia son:</w:t>
      </w:r>
    </w:p>
    <w:p w14:paraId="3B3976FD" w14:textId="77777777" w:rsidR="00ED49E0" w:rsidRPr="0027631D" w:rsidRDefault="00ED49E0" w:rsidP="0027631D">
      <w:pPr>
        <w:spacing w:after="0" w:line="23" w:lineRule="atLeast"/>
        <w:contextualSpacing/>
        <w:jc w:val="both"/>
        <w:rPr>
          <w:rFonts w:ascii="Arial" w:hAnsi="Arial" w:cs="Arial"/>
          <w:lang w:eastAsia="en-GB"/>
        </w:rPr>
      </w:pPr>
    </w:p>
    <w:p w14:paraId="2696AD37" w14:textId="77777777" w:rsidR="00ED49E0" w:rsidRPr="0027631D" w:rsidRDefault="00ED49E0" w:rsidP="00E36991">
      <w:pPr>
        <w:numPr>
          <w:ilvl w:val="0"/>
          <w:numId w:val="12"/>
        </w:numPr>
        <w:spacing w:after="0" w:line="23" w:lineRule="atLeast"/>
        <w:ind w:left="567" w:hanging="283"/>
        <w:contextualSpacing/>
        <w:jc w:val="both"/>
        <w:rPr>
          <w:rFonts w:ascii="Arial" w:hAnsi="Arial" w:cs="Arial"/>
          <w:lang w:val="es-ES" w:eastAsia="en-GB"/>
        </w:rPr>
      </w:pPr>
      <w:r w:rsidRPr="0027631D">
        <w:rPr>
          <w:rFonts w:ascii="Arial" w:hAnsi="Arial" w:cs="Arial"/>
          <w:lang w:val="es-ES" w:eastAsia="en-GB"/>
        </w:rPr>
        <w:t xml:space="preserve">Los dispositivos de espectro ensanchado por saltos de frecuencia no requieren emplear todos los canales disponibles durante cada transmisión, sin embargo, tanto los transmisores como los receptores deberán estar conforme a las condiciones establecidas en la Resolución </w:t>
      </w:r>
      <w:r w:rsidR="003F61DE">
        <w:rPr>
          <w:rFonts w:ascii="Arial" w:hAnsi="Arial" w:cs="Arial"/>
          <w:lang w:val="es-ES" w:eastAsia="en-GB"/>
        </w:rPr>
        <w:t>105</w:t>
      </w:r>
      <w:r w:rsidRPr="0027631D">
        <w:rPr>
          <w:rFonts w:ascii="Arial" w:hAnsi="Arial" w:cs="Arial"/>
          <w:lang w:val="es-ES" w:eastAsia="en-GB"/>
        </w:rPr>
        <w:t xml:space="preserve"> si el transmisor emite un flujo continuo de datos o información;</w:t>
      </w:r>
    </w:p>
    <w:p w14:paraId="7D7FE0A2" w14:textId="77777777" w:rsidR="00ED49E0" w:rsidRPr="0027631D" w:rsidRDefault="00ED49E0" w:rsidP="0027631D">
      <w:pPr>
        <w:spacing w:after="0" w:line="23" w:lineRule="atLeast"/>
        <w:ind w:left="567" w:hanging="283"/>
        <w:contextualSpacing/>
        <w:jc w:val="both"/>
        <w:rPr>
          <w:rFonts w:ascii="Arial" w:hAnsi="Arial" w:cs="Arial"/>
          <w:lang w:val="es-ES" w:eastAsia="en-GB"/>
        </w:rPr>
      </w:pPr>
    </w:p>
    <w:p w14:paraId="2DD995E6" w14:textId="77777777" w:rsidR="00ED49E0" w:rsidRPr="0027631D" w:rsidRDefault="00ED49E0" w:rsidP="00E36991">
      <w:pPr>
        <w:numPr>
          <w:ilvl w:val="0"/>
          <w:numId w:val="12"/>
        </w:numPr>
        <w:spacing w:after="0" w:line="23" w:lineRule="atLeast"/>
        <w:ind w:left="567" w:hanging="283"/>
        <w:contextualSpacing/>
        <w:jc w:val="both"/>
        <w:rPr>
          <w:rFonts w:ascii="Arial" w:hAnsi="Arial" w:cs="Arial"/>
          <w:lang w:val="es-ES" w:eastAsia="en-GB"/>
        </w:rPr>
      </w:pPr>
      <w:r w:rsidRPr="0027631D">
        <w:rPr>
          <w:rFonts w:ascii="Arial" w:hAnsi="Arial" w:cs="Arial"/>
          <w:lang w:val="es-ES" w:eastAsia="en-GB"/>
        </w:rPr>
        <w:t xml:space="preserve">Los dispositivos que empleen cortas ráfagas de transmisión deben cumplir con la definición de dispositivos de saltos de frecuencia y deben distribuir sus transmisiones sobre el número mínimo de canales de salto especificado en la Resolución </w:t>
      </w:r>
      <w:r w:rsidR="003F61DE">
        <w:rPr>
          <w:rFonts w:ascii="Arial" w:hAnsi="Arial" w:cs="Arial"/>
          <w:lang w:val="es-ES" w:eastAsia="en-GB"/>
        </w:rPr>
        <w:t>105</w:t>
      </w:r>
      <w:r w:rsidRPr="0027631D">
        <w:rPr>
          <w:rFonts w:ascii="Arial" w:hAnsi="Arial" w:cs="Arial"/>
          <w:lang w:val="es-ES" w:eastAsia="en-GB"/>
        </w:rPr>
        <w:t>;</w:t>
      </w:r>
    </w:p>
    <w:p w14:paraId="0F585387" w14:textId="77777777" w:rsidR="00ED49E0" w:rsidRPr="0027631D" w:rsidRDefault="00ED49E0" w:rsidP="0027631D">
      <w:pPr>
        <w:spacing w:after="0" w:line="23" w:lineRule="atLeast"/>
        <w:ind w:left="567" w:hanging="283"/>
        <w:contextualSpacing/>
        <w:jc w:val="both"/>
        <w:rPr>
          <w:rFonts w:ascii="Arial" w:hAnsi="Arial" w:cs="Arial"/>
          <w:lang w:val="es-ES" w:eastAsia="en-GB"/>
        </w:rPr>
      </w:pPr>
    </w:p>
    <w:p w14:paraId="4A8913A5" w14:textId="1680670A" w:rsidR="00ED49E0" w:rsidRPr="0027631D" w:rsidRDefault="00ED49E0" w:rsidP="00E36991">
      <w:pPr>
        <w:numPr>
          <w:ilvl w:val="0"/>
          <w:numId w:val="12"/>
        </w:numPr>
        <w:spacing w:after="0" w:line="23" w:lineRule="atLeast"/>
        <w:ind w:left="567" w:hanging="283"/>
        <w:contextualSpacing/>
        <w:jc w:val="both"/>
        <w:rPr>
          <w:rFonts w:ascii="Arial" w:hAnsi="Arial" w:cs="Arial"/>
          <w:lang w:val="es-ES" w:eastAsia="en-GB"/>
        </w:rPr>
      </w:pPr>
      <w:r w:rsidRPr="0027631D">
        <w:rPr>
          <w:rFonts w:ascii="Arial" w:hAnsi="Arial" w:cs="Arial"/>
          <w:lang w:val="es-ES" w:eastAsia="en-GB"/>
        </w:rPr>
        <w:lastRenderedPageBreak/>
        <w:t>Se permite la incorporación de inteligencia para los dispositivos de espectro ensanchado por saltos de frecuencia que posibilite reconocer a otros usuarios dentro de la banda del espectro de modo que elija y adapte individual e independientemente sus puntos de salto para evitar caer en canales ocupados. La coordinación de dispositivos de salto de frecuencia de cualquier otra forma no es permitida, con el objeto de evitar múltiples transmisores ocupen simultáneamente frecuencias individuales de salto</w:t>
      </w:r>
      <w:r w:rsidR="00155B22">
        <w:rPr>
          <w:rFonts w:ascii="Arial" w:hAnsi="Arial" w:cs="Arial"/>
          <w:lang w:val="es-ES" w:eastAsia="en-GB"/>
        </w:rPr>
        <w:t>,</w:t>
      </w:r>
      <w:r w:rsidRPr="0027631D">
        <w:rPr>
          <w:rFonts w:ascii="Arial" w:hAnsi="Arial" w:cs="Arial"/>
          <w:lang w:val="es-ES" w:eastAsia="en-GB"/>
        </w:rPr>
        <w:t xml:space="preserve"> y</w:t>
      </w:r>
    </w:p>
    <w:p w14:paraId="07C3843A" w14:textId="77777777" w:rsidR="00ED49E0" w:rsidRPr="0027631D" w:rsidRDefault="00ED49E0" w:rsidP="0027631D">
      <w:pPr>
        <w:spacing w:after="0" w:line="23" w:lineRule="atLeast"/>
        <w:ind w:left="567" w:hanging="283"/>
        <w:contextualSpacing/>
        <w:jc w:val="both"/>
        <w:rPr>
          <w:rFonts w:ascii="Arial" w:hAnsi="Arial" w:cs="Arial"/>
          <w:lang w:val="es-ES" w:eastAsia="en-GB"/>
        </w:rPr>
      </w:pPr>
    </w:p>
    <w:p w14:paraId="72B44C08" w14:textId="77777777" w:rsidR="00ED49E0" w:rsidRPr="0027631D" w:rsidRDefault="00ED49E0" w:rsidP="00E36991">
      <w:pPr>
        <w:numPr>
          <w:ilvl w:val="0"/>
          <w:numId w:val="12"/>
        </w:numPr>
        <w:spacing w:after="0" w:line="23" w:lineRule="atLeast"/>
        <w:ind w:left="567" w:hanging="283"/>
        <w:contextualSpacing/>
        <w:jc w:val="both"/>
        <w:rPr>
          <w:rFonts w:ascii="Arial" w:hAnsi="Arial" w:cs="Arial"/>
          <w:lang w:val="es-ES" w:eastAsia="en-GB"/>
        </w:rPr>
      </w:pPr>
      <w:r w:rsidRPr="0027631D">
        <w:rPr>
          <w:rFonts w:ascii="Arial" w:hAnsi="Arial" w:cs="Arial"/>
          <w:lang w:val="es-ES" w:eastAsia="en-GB"/>
        </w:rPr>
        <w:t xml:space="preserve">Si se emplean antenas de transmisión </w:t>
      </w:r>
      <w:r w:rsidR="00BB3D40" w:rsidRPr="0027631D">
        <w:rPr>
          <w:rFonts w:ascii="Arial" w:hAnsi="Arial" w:cs="Arial"/>
          <w:lang w:val="es-ES" w:eastAsia="en-GB"/>
        </w:rPr>
        <w:t xml:space="preserve">direccional </w:t>
      </w:r>
      <w:r w:rsidRPr="0027631D">
        <w:rPr>
          <w:rFonts w:ascii="Arial" w:hAnsi="Arial" w:cs="Arial"/>
          <w:lang w:val="es-ES" w:eastAsia="en-GB"/>
        </w:rPr>
        <w:t xml:space="preserve">de ganancia mayor a 6 dBi, la potencia de salida conducida del transmisor deberá ser reducida, como sea apropiado, por la cantidad en dB que la ganancia de la antena </w:t>
      </w:r>
      <w:r w:rsidR="00BB3D40" w:rsidRPr="0027631D">
        <w:rPr>
          <w:rFonts w:ascii="Arial" w:hAnsi="Arial" w:cs="Arial"/>
          <w:lang w:val="es-ES" w:eastAsia="en-GB"/>
        </w:rPr>
        <w:t xml:space="preserve">direccional </w:t>
      </w:r>
      <w:r w:rsidRPr="0027631D">
        <w:rPr>
          <w:rFonts w:ascii="Arial" w:hAnsi="Arial" w:cs="Arial"/>
          <w:lang w:val="es-ES" w:eastAsia="en-GB"/>
        </w:rPr>
        <w:t>exceda los 6 dBi.</w:t>
      </w:r>
    </w:p>
    <w:p w14:paraId="09D5BA22" w14:textId="77777777" w:rsidR="00ED49E0" w:rsidRPr="0027631D" w:rsidRDefault="00ED49E0" w:rsidP="0027631D">
      <w:pPr>
        <w:spacing w:after="0" w:line="23" w:lineRule="atLeast"/>
        <w:contextualSpacing/>
        <w:jc w:val="both"/>
        <w:rPr>
          <w:rFonts w:ascii="Arial" w:hAnsi="Arial" w:cs="Arial"/>
          <w:lang w:eastAsia="en-GB"/>
        </w:rPr>
      </w:pPr>
    </w:p>
    <w:tbl>
      <w:tblPr>
        <w:tblStyle w:val="Tablaconcuadrcula"/>
        <w:tblW w:w="5000" w:type="pct"/>
        <w:jc w:val="center"/>
        <w:tblCellMar>
          <w:left w:w="28" w:type="dxa"/>
          <w:right w:w="28" w:type="dxa"/>
        </w:tblCellMar>
        <w:tblLook w:val="04A0" w:firstRow="1" w:lastRow="0" w:firstColumn="1" w:lastColumn="0" w:noHBand="0" w:noVBand="1"/>
      </w:tblPr>
      <w:tblGrid>
        <w:gridCol w:w="1581"/>
        <w:gridCol w:w="1575"/>
        <w:gridCol w:w="1471"/>
        <w:gridCol w:w="1821"/>
        <w:gridCol w:w="2946"/>
      </w:tblGrid>
      <w:tr w:rsidR="00341CFE" w:rsidRPr="0027631D" w14:paraId="6D3B19A3" w14:textId="77777777" w:rsidTr="00341CFE">
        <w:trPr>
          <w:cantSplit/>
          <w:trHeight w:val="20"/>
          <w:tblHeader/>
          <w:jc w:val="center"/>
        </w:trPr>
        <w:tc>
          <w:tcPr>
            <w:tcW w:w="841" w:type="pct"/>
            <w:shd w:val="clear" w:color="auto" w:fill="D9D9D9" w:themeFill="background1" w:themeFillShade="D9"/>
            <w:vAlign w:val="center"/>
          </w:tcPr>
          <w:p w14:paraId="67525B21" w14:textId="77777777" w:rsidR="00ED49E0" w:rsidRPr="0027631D" w:rsidRDefault="00ED49E0" w:rsidP="0027631D">
            <w:pPr>
              <w:spacing w:after="0" w:line="23" w:lineRule="atLeast"/>
              <w:contextualSpacing/>
              <w:jc w:val="center"/>
              <w:rPr>
                <w:rFonts w:ascii="Arial" w:hAnsi="Arial" w:cs="Arial"/>
                <w:b/>
                <w:highlight w:val="darkBlue"/>
                <w:lang w:val="es-ES" w:eastAsia="es-MX"/>
              </w:rPr>
            </w:pPr>
            <w:r w:rsidRPr="0027631D">
              <w:rPr>
                <w:rFonts w:ascii="Arial" w:hAnsi="Arial" w:cs="Arial"/>
                <w:b/>
                <w:lang w:val="es-ES" w:eastAsia="es-MX"/>
              </w:rPr>
              <w:t>Tipo de dispositivo</w:t>
            </w:r>
          </w:p>
        </w:tc>
        <w:tc>
          <w:tcPr>
            <w:tcW w:w="838" w:type="pct"/>
            <w:shd w:val="clear" w:color="auto" w:fill="D9D9D9" w:themeFill="background1" w:themeFillShade="D9"/>
            <w:vAlign w:val="center"/>
          </w:tcPr>
          <w:p w14:paraId="5D7EE457"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Ancho de banda mínimo</w:t>
            </w:r>
          </w:p>
        </w:tc>
        <w:tc>
          <w:tcPr>
            <w:tcW w:w="783" w:type="pct"/>
            <w:shd w:val="clear" w:color="auto" w:fill="D9D9D9" w:themeFill="background1" w:themeFillShade="D9"/>
            <w:vAlign w:val="center"/>
          </w:tcPr>
          <w:p w14:paraId="680AD843"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Potencia máxima de salida conducida</w:t>
            </w:r>
          </w:p>
        </w:tc>
        <w:tc>
          <w:tcPr>
            <w:tcW w:w="969" w:type="pct"/>
            <w:shd w:val="clear" w:color="auto" w:fill="D9D9D9" w:themeFill="background1" w:themeFillShade="D9"/>
            <w:vAlign w:val="center"/>
          </w:tcPr>
          <w:p w14:paraId="03176972" w14:textId="77777777" w:rsidR="00ED49E0" w:rsidRPr="0027631D" w:rsidRDefault="00ED49E0" w:rsidP="00D62E72">
            <w:pPr>
              <w:spacing w:after="0" w:line="23" w:lineRule="atLeast"/>
              <w:contextualSpacing/>
              <w:jc w:val="center"/>
              <w:rPr>
                <w:rFonts w:ascii="Arial" w:hAnsi="Arial" w:cs="Arial"/>
                <w:b/>
                <w:lang w:val="es-ES" w:eastAsia="es-MX"/>
              </w:rPr>
            </w:pPr>
            <w:r w:rsidRPr="0027631D">
              <w:rPr>
                <w:rFonts w:ascii="Arial" w:hAnsi="Arial" w:cs="Arial"/>
                <w:b/>
                <w:lang w:val="es-ES" w:eastAsia="es-MX"/>
              </w:rPr>
              <w:t>Ganancia de la antena direccional</w:t>
            </w:r>
          </w:p>
        </w:tc>
        <w:tc>
          <w:tcPr>
            <w:tcW w:w="1568" w:type="pct"/>
            <w:shd w:val="clear" w:color="auto" w:fill="D9D9D9" w:themeFill="background1" w:themeFillShade="D9"/>
            <w:vAlign w:val="center"/>
          </w:tcPr>
          <w:p w14:paraId="3434EB7E" w14:textId="77777777" w:rsidR="00ED49E0" w:rsidRPr="0027631D" w:rsidRDefault="00ED49E0" w:rsidP="0027631D">
            <w:pPr>
              <w:spacing w:after="0" w:line="23" w:lineRule="atLeast"/>
              <w:contextualSpacing/>
              <w:jc w:val="center"/>
              <w:rPr>
                <w:rFonts w:ascii="Arial" w:hAnsi="Arial" w:cs="Arial"/>
                <w:b/>
                <w:highlight w:val="darkBlue"/>
                <w:lang w:val="es-ES" w:eastAsia="es-MX"/>
              </w:rPr>
            </w:pPr>
            <w:r w:rsidRPr="0027631D">
              <w:rPr>
                <w:rFonts w:ascii="Arial" w:hAnsi="Arial" w:cs="Arial"/>
                <w:b/>
                <w:lang w:val="es-ES" w:eastAsia="es-MX"/>
              </w:rPr>
              <w:t>Densidad espectral de la potencia conducida desde el transmisor a la antena</w:t>
            </w:r>
          </w:p>
        </w:tc>
      </w:tr>
      <w:tr w:rsidR="00341CFE" w:rsidRPr="0027631D" w14:paraId="5E5DABD8" w14:textId="77777777" w:rsidTr="00FF5B8A">
        <w:trPr>
          <w:cantSplit/>
          <w:trHeight w:val="477"/>
          <w:jc w:val="center"/>
        </w:trPr>
        <w:tc>
          <w:tcPr>
            <w:tcW w:w="841" w:type="pct"/>
            <w:shd w:val="clear" w:color="auto" w:fill="D9D9D9" w:themeFill="background1" w:themeFillShade="D9"/>
            <w:vAlign w:val="center"/>
          </w:tcPr>
          <w:p w14:paraId="0F538365"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Modulación digital</w:t>
            </w:r>
          </w:p>
        </w:tc>
        <w:tc>
          <w:tcPr>
            <w:tcW w:w="838" w:type="pct"/>
            <w:shd w:val="clear" w:color="auto" w:fill="auto"/>
            <w:vAlign w:val="center"/>
          </w:tcPr>
          <w:p w14:paraId="11E472DD" w14:textId="77777777" w:rsidR="00ED49E0" w:rsidRPr="0027631D" w:rsidRDefault="00ED49E0" w:rsidP="0027631D">
            <w:pPr>
              <w:spacing w:after="0" w:line="23" w:lineRule="atLeast"/>
              <w:contextualSpacing/>
              <w:jc w:val="center"/>
              <w:rPr>
                <w:rFonts w:ascii="Arial" w:hAnsi="Arial" w:cs="Arial"/>
                <w:highlight w:val="yellow"/>
                <w:lang w:val="es-ES" w:eastAsia="es-MX"/>
              </w:rPr>
            </w:pPr>
            <w:r w:rsidRPr="0027631D">
              <w:rPr>
                <w:rFonts w:ascii="Arial" w:hAnsi="Arial" w:cs="Arial"/>
                <w:lang w:val="es-ES" w:eastAsia="es-MX"/>
              </w:rPr>
              <w:t>a 6 dB debe ser por lo menos 500 kHz</w:t>
            </w:r>
          </w:p>
        </w:tc>
        <w:tc>
          <w:tcPr>
            <w:tcW w:w="783" w:type="pct"/>
            <w:shd w:val="clear" w:color="auto" w:fill="auto"/>
            <w:vAlign w:val="center"/>
          </w:tcPr>
          <w:p w14:paraId="04175278" w14:textId="77777777" w:rsidR="00ED49E0" w:rsidRPr="0027631D" w:rsidRDefault="00ED49E0" w:rsidP="0027631D">
            <w:pPr>
              <w:spacing w:after="0" w:line="23" w:lineRule="atLeast"/>
              <w:contextualSpacing/>
              <w:jc w:val="center"/>
              <w:rPr>
                <w:rFonts w:ascii="Arial" w:hAnsi="Arial" w:cs="Arial"/>
                <w:highlight w:val="yellow"/>
                <w:lang w:val="es-ES" w:eastAsia="es-MX"/>
              </w:rPr>
            </w:pPr>
            <w:r w:rsidRPr="0027631D">
              <w:rPr>
                <w:rFonts w:ascii="Arial" w:hAnsi="Arial" w:cs="Arial"/>
                <w:lang w:val="es-ES" w:eastAsia="es-MX"/>
              </w:rPr>
              <w:t>1 W</w:t>
            </w:r>
          </w:p>
        </w:tc>
        <w:tc>
          <w:tcPr>
            <w:tcW w:w="969" w:type="pct"/>
            <w:shd w:val="clear" w:color="auto" w:fill="auto"/>
            <w:vAlign w:val="center"/>
          </w:tcPr>
          <w:p w14:paraId="0DC37254"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6 dBi</w:t>
            </w:r>
          </w:p>
        </w:tc>
        <w:tc>
          <w:tcPr>
            <w:tcW w:w="1568" w:type="pct"/>
            <w:shd w:val="clear" w:color="auto" w:fill="auto"/>
            <w:vAlign w:val="center"/>
          </w:tcPr>
          <w:p w14:paraId="1E05C4DA"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8 dBm en cualquier segmento de 3 kHz durante cualquier intervalo de tiempo de transmisión continua.</w:t>
            </w:r>
          </w:p>
        </w:tc>
      </w:tr>
    </w:tbl>
    <w:p w14:paraId="4A9676B4" w14:textId="53F1EED0" w:rsidR="00ED49E0" w:rsidRPr="00515B91" w:rsidRDefault="00ED49E0" w:rsidP="0027631D">
      <w:pPr>
        <w:pStyle w:val="Descripcin"/>
        <w:contextualSpacing/>
        <w:rPr>
          <w:i w:val="0"/>
          <w:sz w:val="22"/>
          <w:szCs w:val="22"/>
        </w:rPr>
      </w:pPr>
      <w:bookmarkStart w:id="314" w:name="_Toc45381233"/>
      <w:bookmarkStart w:id="315" w:name="_Toc45452835"/>
      <w:bookmarkStart w:id="316" w:name="_Toc45452944"/>
      <w:r w:rsidRPr="00515B91">
        <w:rPr>
          <w:i w:val="0"/>
          <w:sz w:val="22"/>
          <w:szCs w:val="22"/>
        </w:rPr>
        <w:t xml:space="preserve">Tabla </w:t>
      </w:r>
      <w:r w:rsidR="008010AD" w:rsidRPr="00515B91">
        <w:rPr>
          <w:i w:val="0"/>
          <w:sz w:val="22"/>
          <w:szCs w:val="22"/>
        </w:rPr>
        <w:fldChar w:fldCharType="begin"/>
      </w:r>
      <w:r w:rsidR="008010AD" w:rsidRPr="00515B91">
        <w:rPr>
          <w:i w:val="0"/>
          <w:sz w:val="22"/>
          <w:szCs w:val="22"/>
        </w:rPr>
        <w:instrText xml:space="preserve"> SEQ Tabla \* ARABIC </w:instrText>
      </w:r>
      <w:r w:rsidR="008010AD" w:rsidRPr="00515B91">
        <w:rPr>
          <w:i w:val="0"/>
          <w:sz w:val="22"/>
          <w:szCs w:val="22"/>
        </w:rPr>
        <w:fldChar w:fldCharType="separate"/>
      </w:r>
      <w:r w:rsidR="004F1EA3">
        <w:rPr>
          <w:i w:val="0"/>
          <w:noProof/>
          <w:sz w:val="22"/>
          <w:szCs w:val="22"/>
        </w:rPr>
        <w:t>23</w:t>
      </w:r>
      <w:r w:rsidR="008010AD" w:rsidRPr="00515B91">
        <w:rPr>
          <w:i w:val="0"/>
          <w:noProof/>
          <w:sz w:val="22"/>
          <w:szCs w:val="22"/>
        </w:rPr>
        <w:fldChar w:fldCharType="end"/>
      </w:r>
      <w:r w:rsidRPr="00515B91">
        <w:rPr>
          <w:i w:val="0"/>
          <w:sz w:val="22"/>
          <w:szCs w:val="22"/>
        </w:rPr>
        <w:t>.</w:t>
      </w:r>
      <w:r w:rsidRPr="00515B91">
        <w:rPr>
          <w:i w:val="0"/>
          <w:sz w:val="22"/>
          <w:szCs w:val="22"/>
          <w:lang w:val="es-ES" w:eastAsia="es-MX"/>
        </w:rPr>
        <w:t xml:space="preserve"> Condiciones técnicas específicas para sistemas DTS en la banda 2.4 GHz establecidos en Colombia</w:t>
      </w:r>
      <w:bookmarkEnd w:id="314"/>
      <w:bookmarkEnd w:id="315"/>
      <w:bookmarkEnd w:id="316"/>
    </w:p>
    <w:p w14:paraId="0954AD30" w14:textId="77777777" w:rsidR="00ED49E0" w:rsidRPr="0027631D" w:rsidRDefault="00ED49E0" w:rsidP="0027631D">
      <w:pPr>
        <w:spacing w:after="0" w:line="23" w:lineRule="atLeast"/>
        <w:contextualSpacing/>
        <w:jc w:val="both"/>
        <w:rPr>
          <w:rFonts w:ascii="Arial" w:hAnsi="Arial" w:cs="Arial"/>
          <w:lang w:eastAsia="en-GB"/>
        </w:rPr>
      </w:pPr>
    </w:p>
    <w:p w14:paraId="1084BD18" w14:textId="77777777" w:rsidR="00ED49E0" w:rsidRPr="0027631D" w:rsidRDefault="00ED49E0" w:rsidP="0027631D">
      <w:pPr>
        <w:spacing w:after="0" w:line="23" w:lineRule="atLeast"/>
        <w:contextualSpacing/>
        <w:jc w:val="both"/>
        <w:rPr>
          <w:rFonts w:ascii="Arial" w:hAnsi="Arial" w:cs="Arial"/>
          <w:lang w:eastAsia="en-GB"/>
        </w:rPr>
      </w:pPr>
      <w:r w:rsidRPr="0027631D">
        <w:rPr>
          <w:rFonts w:ascii="Arial" w:hAnsi="Arial" w:cs="Arial"/>
          <w:lang w:eastAsia="en-GB"/>
        </w:rPr>
        <w:t>Cabe mencionar que, los dispositivos de modulación digital pueden emplear antenas de transmisión de ganancia mayor a 6 dBi, la potencia máxima de salida conducida del transmisor deberá ser reducida, como sea apropiado, por la cantidad en dB que la ganancia de la antena direccional exceda los 6 dBi.</w:t>
      </w:r>
    </w:p>
    <w:p w14:paraId="4F56ED1A" w14:textId="77777777" w:rsidR="00ED49E0" w:rsidRPr="0027631D" w:rsidRDefault="00ED49E0" w:rsidP="0027631D">
      <w:pPr>
        <w:spacing w:after="0" w:line="23" w:lineRule="atLeast"/>
        <w:contextualSpacing/>
        <w:jc w:val="both"/>
        <w:rPr>
          <w:rFonts w:ascii="Arial" w:hAnsi="Arial" w:cs="Arial"/>
          <w:lang w:eastAsia="en-GB"/>
        </w:rPr>
      </w:pPr>
    </w:p>
    <w:tbl>
      <w:tblPr>
        <w:tblStyle w:val="Tablaconcuadrcula"/>
        <w:tblW w:w="5000" w:type="pct"/>
        <w:jc w:val="right"/>
        <w:tblCellMar>
          <w:left w:w="28" w:type="dxa"/>
          <w:right w:w="28" w:type="dxa"/>
        </w:tblCellMar>
        <w:tblLook w:val="04A0" w:firstRow="1" w:lastRow="0" w:firstColumn="1" w:lastColumn="0" w:noHBand="0" w:noVBand="1"/>
      </w:tblPr>
      <w:tblGrid>
        <w:gridCol w:w="2689"/>
        <w:gridCol w:w="3543"/>
        <w:gridCol w:w="3162"/>
      </w:tblGrid>
      <w:tr w:rsidR="00341CFE" w:rsidRPr="0027631D" w14:paraId="5E733FAD" w14:textId="77777777" w:rsidTr="00341CFE">
        <w:trPr>
          <w:cantSplit/>
          <w:trHeight w:val="295"/>
          <w:tblHeader/>
          <w:jc w:val="right"/>
        </w:trPr>
        <w:tc>
          <w:tcPr>
            <w:tcW w:w="1431" w:type="pct"/>
            <w:shd w:val="clear" w:color="auto" w:fill="D9D9D9" w:themeFill="background1" w:themeFillShade="D9"/>
            <w:vAlign w:val="center"/>
          </w:tcPr>
          <w:p w14:paraId="54D2DECD" w14:textId="77777777" w:rsidR="00ED49E0" w:rsidRPr="0027631D" w:rsidRDefault="00ED49E0" w:rsidP="0027631D">
            <w:pPr>
              <w:spacing w:after="0" w:line="23" w:lineRule="atLeast"/>
              <w:contextualSpacing/>
              <w:jc w:val="center"/>
              <w:rPr>
                <w:rFonts w:ascii="Arial" w:hAnsi="Arial" w:cs="Arial"/>
                <w:b/>
                <w:highlight w:val="blue"/>
                <w:lang w:val="es-ES" w:eastAsia="es-MX"/>
              </w:rPr>
            </w:pPr>
            <w:r w:rsidRPr="0027631D">
              <w:rPr>
                <w:rFonts w:ascii="Arial" w:hAnsi="Arial" w:cs="Arial"/>
                <w:b/>
                <w:lang w:val="es-ES" w:eastAsia="es-MX"/>
              </w:rPr>
              <w:t>Tipo de dispositivo</w:t>
            </w:r>
          </w:p>
        </w:tc>
        <w:tc>
          <w:tcPr>
            <w:tcW w:w="3569" w:type="pct"/>
            <w:gridSpan w:val="2"/>
            <w:shd w:val="clear" w:color="auto" w:fill="D9D9D9" w:themeFill="background1" w:themeFillShade="D9"/>
            <w:vAlign w:val="center"/>
          </w:tcPr>
          <w:p w14:paraId="38BA4EF1" w14:textId="77777777" w:rsidR="00ED49E0" w:rsidRPr="0027631D" w:rsidRDefault="00ED49E0" w:rsidP="0027631D">
            <w:pPr>
              <w:spacing w:after="0" w:line="23" w:lineRule="atLeast"/>
              <w:contextualSpacing/>
              <w:jc w:val="center"/>
              <w:rPr>
                <w:rFonts w:ascii="Arial" w:hAnsi="Arial" w:cs="Arial"/>
                <w:b/>
                <w:highlight w:val="blue"/>
                <w:lang w:val="es-ES" w:eastAsia="es-MX"/>
              </w:rPr>
            </w:pPr>
            <w:r w:rsidRPr="0027631D">
              <w:rPr>
                <w:rFonts w:ascii="Arial" w:hAnsi="Arial" w:cs="Arial"/>
                <w:b/>
                <w:lang w:val="es-ES" w:eastAsia="es-MX"/>
              </w:rPr>
              <w:t>Condiciones generales y específicas de operación en la banda 2.4 GHz.</w:t>
            </w:r>
          </w:p>
        </w:tc>
      </w:tr>
      <w:tr w:rsidR="00341CFE" w:rsidRPr="0027631D" w14:paraId="221FC4E4" w14:textId="77777777" w:rsidTr="00FF5B8A">
        <w:trPr>
          <w:cantSplit/>
          <w:trHeight w:val="258"/>
          <w:jc w:val="right"/>
        </w:trPr>
        <w:tc>
          <w:tcPr>
            <w:tcW w:w="1431" w:type="pct"/>
            <w:vMerge w:val="restart"/>
            <w:shd w:val="clear" w:color="auto" w:fill="D9D9D9" w:themeFill="background1" w:themeFillShade="D9"/>
            <w:vAlign w:val="center"/>
          </w:tcPr>
          <w:p w14:paraId="065EBEAC"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Híbridos</w:t>
            </w:r>
          </w:p>
          <w:p w14:paraId="7BC57265"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(Salto de frecuencia interrumpida)</w:t>
            </w:r>
          </w:p>
        </w:tc>
        <w:tc>
          <w:tcPr>
            <w:tcW w:w="3569" w:type="pct"/>
            <w:gridSpan w:val="2"/>
            <w:shd w:val="clear" w:color="auto" w:fill="D9D9D9" w:themeFill="background1" w:themeFillShade="D9"/>
            <w:vAlign w:val="center"/>
          </w:tcPr>
          <w:p w14:paraId="60C28972"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b/>
                <w:lang w:val="es-ES" w:eastAsia="es-MX"/>
              </w:rPr>
              <w:t>Densidad Espectral de Potencia conducida desde el transmisor a la antena</w:t>
            </w:r>
          </w:p>
        </w:tc>
      </w:tr>
      <w:tr w:rsidR="00341CFE" w:rsidRPr="0027631D" w14:paraId="3DD762D5" w14:textId="77777777" w:rsidTr="00FF5B8A">
        <w:trPr>
          <w:cantSplit/>
          <w:trHeight w:val="20"/>
          <w:jc w:val="right"/>
        </w:trPr>
        <w:tc>
          <w:tcPr>
            <w:tcW w:w="1431" w:type="pct"/>
            <w:vMerge/>
            <w:shd w:val="clear" w:color="auto" w:fill="D9D9D9" w:themeFill="background1" w:themeFillShade="D9"/>
            <w:vAlign w:val="center"/>
          </w:tcPr>
          <w:p w14:paraId="37D11693" w14:textId="77777777" w:rsidR="00ED49E0" w:rsidRPr="0027631D" w:rsidRDefault="00ED49E0" w:rsidP="0027631D">
            <w:pPr>
              <w:spacing w:after="0" w:line="23" w:lineRule="atLeast"/>
              <w:contextualSpacing/>
              <w:jc w:val="center"/>
              <w:rPr>
                <w:rFonts w:ascii="Arial" w:hAnsi="Arial" w:cs="Arial"/>
                <w:b/>
                <w:lang w:val="es-ES" w:eastAsia="es-MX"/>
              </w:rPr>
            </w:pPr>
          </w:p>
        </w:tc>
        <w:tc>
          <w:tcPr>
            <w:tcW w:w="3569" w:type="pct"/>
            <w:gridSpan w:val="2"/>
            <w:shd w:val="clear" w:color="auto" w:fill="auto"/>
            <w:vAlign w:val="center"/>
          </w:tcPr>
          <w:p w14:paraId="6B5BE4A2"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8 dBm en cualquier segmento de 3kHz</w:t>
            </w:r>
          </w:p>
          <w:p w14:paraId="3F5F15E2"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durante cualquier intervalo de tiempo de transmisión continua</w:t>
            </w:r>
          </w:p>
        </w:tc>
      </w:tr>
      <w:tr w:rsidR="00341CFE" w:rsidRPr="0027631D" w14:paraId="3C92C7C5" w14:textId="77777777" w:rsidTr="00FF5B8A">
        <w:trPr>
          <w:cantSplit/>
          <w:trHeight w:val="20"/>
          <w:jc w:val="right"/>
        </w:trPr>
        <w:tc>
          <w:tcPr>
            <w:tcW w:w="1431" w:type="pct"/>
            <w:vMerge w:val="restart"/>
            <w:shd w:val="clear" w:color="auto" w:fill="D9D9D9" w:themeFill="background1" w:themeFillShade="D9"/>
            <w:vAlign w:val="center"/>
          </w:tcPr>
          <w:p w14:paraId="0AF75628"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Híbridos</w:t>
            </w:r>
          </w:p>
          <w:p w14:paraId="4DB0E8AA"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(Secuencia directa o Modulación Digital interrumpida)</w:t>
            </w:r>
          </w:p>
        </w:tc>
        <w:tc>
          <w:tcPr>
            <w:tcW w:w="1886" w:type="pct"/>
            <w:shd w:val="clear" w:color="auto" w:fill="D9D9D9" w:themeFill="background1" w:themeFillShade="D9"/>
            <w:vAlign w:val="center"/>
          </w:tcPr>
          <w:p w14:paraId="16DA9B13"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b/>
                <w:lang w:val="es-ES" w:eastAsia="es-MX"/>
              </w:rPr>
              <w:t>Tiempo promedio de ocupación en cualquier frecuencia</w:t>
            </w:r>
          </w:p>
        </w:tc>
        <w:tc>
          <w:tcPr>
            <w:tcW w:w="1683" w:type="pct"/>
            <w:shd w:val="clear" w:color="auto" w:fill="D9D9D9" w:themeFill="background1" w:themeFillShade="D9"/>
            <w:vAlign w:val="center"/>
          </w:tcPr>
          <w:p w14:paraId="5B7BEF28" w14:textId="77777777" w:rsidR="00ED49E0" w:rsidRPr="0027631D" w:rsidRDefault="00ED49E0" w:rsidP="0027631D">
            <w:pPr>
              <w:spacing w:after="0" w:line="23" w:lineRule="atLeast"/>
              <w:contextualSpacing/>
              <w:jc w:val="center"/>
              <w:rPr>
                <w:rFonts w:ascii="Arial" w:hAnsi="Arial" w:cs="Arial"/>
                <w:b/>
                <w:lang w:val="es-ES" w:eastAsia="es-MX"/>
              </w:rPr>
            </w:pPr>
            <w:r w:rsidRPr="0027631D">
              <w:rPr>
                <w:rFonts w:ascii="Arial" w:hAnsi="Arial" w:cs="Arial"/>
                <w:b/>
                <w:lang w:val="es-ES" w:eastAsia="es-MX"/>
              </w:rPr>
              <w:t>Periodo de tiempo de ocupación</w:t>
            </w:r>
          </w:p>
        </w:tc>
      </w:tr>
      <w:tr w:rsidR="00341CFE" w:rsidRPr="0027631D" w14:paraId="6A84491A" w14:textId="77777777" w:rsidTr="00FF5B8A">
        <w:trPr>
          <w:cantSplit/>
          <w:trHeight w:val="20"/>
          <w:jc w:val="right"/>
        </w:trPr>
        <w:tc>
          <w:tcPr>
            <w:tcW w:w="1431" w:type="pct"/>
            <w:vMerge/>
            <w:shd w:val="clear" w:color="auto" w:fill="D9D9D9" w:themeFill="background1" w:themeFillShade="D9"/>
            <w:vAlign w:val="center"/>
          </w:tcPr>
          <w:p w14:paraId="66069C2B" w14:textId="77777777" w:rsidR="00ED49E0" w:rsidRPr="0027631D" w:rsidRDefault="00ED49E0" w:rsidP="0027631D">
            <w:pPr>
              <w:spacing w:after="0" w:line="23" w:lineRule="atLeast"/>
              <w:contextualSpacing/>
              <w:jc w:val="center"/>
              <w:rPr>
                <w:rFonts w:ascii="Arial" w:hAnsi="Arial" w:cs="Arial"/>
                <w:b/>
                <w:lang w:val="es-ES" w:eastAsia="es-MX"/>
              </w:rPr>
            </w:pPr>
          </w:p>
        </w:tc>
        <w:tc>
          <w:tcPr>
            <w:tcW w:w="1886" w:type="pct"/>
            <w:shd w:val="clear" w:color="auto" w:fill="auto"/>
            <w:vAlign w:val="center"/>
          </w:tcPr>
          <w:p w14:paraId="26A20207"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 0.4 s</w:t>
            </w:r>
          </w:p>
        </w:tc>
        <w:tc>
          <w:tcPr>
            <w:tcW w:w="1683" w:type="pct"/>
            <w:shd w:val="clear" w:color="auto" w:fill="auto"/>
            <w:vAlign w:val="center"/>
          </w:tcPr>
          <w:p w14:paraId="3034894E" w14:textId="77777777" w:rsidR="00ED49E0" w:rsidRPr="0027631D" w:rsidRDefault="00ED49E0" w:rsidP="0027631D">
            <w:pPr>
              <w:spacing w:after="0" w:line="23" w:lineRule="atLeast"/>
              <w:contextualSpacing/>
              <w:jc w:val="center"/>
              <w:rPr>
                <w:rFonts w:ascii="Arial" w:hAnsi="Arial" w:cs="Arial"/>
                <w:lang w:val="es-ES" w:eastAsia="es-MX"/>
              </w:rPr>
            </w:pPr>
            <w:r w:rsidRPr="0027631D">
              <w:rPr>
                <w:rFonts w:ascii="Arial" w:hAnsi="Arial" w:cs="Arial"/>
                <w:lang w:val="es-ES" w:eastAsia="es-MX"/>
              </w:rPr>
              <w:t>(0.4) (N)</w:t>
            </w:r>
          </w:p>
        </w:tc>
      </w:tr>
    </w:tbl>
    <w:p w14:paraId="6FF56D7E" w14:textId="4F68FDE7" w:rsidR="00ED49E0" w:rsidRPr="00515B91" w:rsidRDefault="00ED49E0" w:rsidP="0027631D">
      <w:pPr>
        <w:pStyle w:val="Descripcin"/>
        <w:contextualSpacing/>
        <w:rPr>
          <w:i w:val="0"/>
          <w:sz w:val="22"/>
          <w:szCs w:val="22"/>
        </w:rPr>
      </w:pPr>
      <w:bookmarkStart w:id="317" w:name="_Toc45381234"/>
      <w:bookmarkStart w:id="318" w:name="_Toc45452836"/>
      <w:bookmarkStart w:id="319" w:name="_Toc45452945"/>
      <w:r w:rsidRPr="00515B91">
        <w:rPr>
          <w:i w:val="0"/>
          <w:sz w:val="22"/>
          <w:szCs w:val="22"/>
        </w:rPr>
        <w:t xml:space="preserve">Tabla </w:t>
      </w:r>
      <w:r w:rsidR="008010AD" w:rsidRPr="00515B91">
        <w:rPr>
          <w:i w:val="0"/>
          <w:sz w:val="22"/>
          <w:szCs w:val="22"/>
        </w:rPr>
        <w:fldChar w:fldCharType="begin"/>
      </w:r>
      <w:r w:rsidR="008010AD" w:rsidRPr="00515B91">
        <w:rPr>
          <w:i w:val="0"/>
          <w:sz w:val="22"/>
          <w:szCs w:val="22"/>
        </w:rPr>
        <w:instrText xml:space="preserve"> SEQ Tabla \* ARABIC </w:instrText>
      </w:r>
      <w:r w:rsidR="008010AD" w:rsidRPr="00515B91">
        <w:rPr>
          <w:i w:val="0"/>
          <w:sz w:val="22"/>
          <w:szCs w:val="22"/>
        </w:rPr>
        <w:fldChar w:fldCharType="separate"/>
      </w:r>
      <w:r w:rsidR="004F1EA3">
        <w:rPr>
          <w:i w:val="0"/>
          <w:noProof/>
          <w:sz w:val="22"/>
          <w:szCs w:val="22"/>
        </w:rPr>
        <w:t>24</w:t>
      </w:r>
      <w:r w:rsidR="008010AD" w:rsidRPr="00515B91">
        <w:rPr>
          <w:i w:val="0"/>
          <w:noProof/>
          <w:sz w:val="22"/>
          <w:szCs w:val="22"/>
        </w:rPr>
        <w:fldChar w:fldCharType="end"/>
      </w:r>
      <w:r w:rsidRPr="00515B91">
        <w:rPr>
          <w:i w:val="0"/>
          <w:sz w:val="22"/>
          <w:szCs w:val="22"/>
        </w:rPr>
        <w:t>.</w:t>
      </w:r>
      <w:r w:rsidRPr="00515B91">
        <w:rPr>
          <w:i w:val="0"/>
          <w:sz w:val="22"/>
          <w:szCs w:val="22"/>
          <w:lang w:val="es-ES" w:eastAsia="es-MX"/>
        </w:rPr>
        <w:t xml:space="preserve"> Condiciones técnicas generales para dispositivos híbridos en la banda 2.4 GHz establecidos en Colombia</w:t>
      </w:r>
      <w:bookmarkEnd w:id="317"/>
      <w:bookmarkEnd w:id="318"/>
      <w:bookmarkEnd w:id="319"/>
    </w:p>
    <w:p w14:paraId="35766F10" w14:textId="77777777" w:rsidR="00ED49E0" w:rsidRPr="0027631D" w:rsidRDefault="00ED49E0" w:rsidP="0027631D">
      <w:pPr>
        <w:spacing w:after="0" w:line="23" w:lineRule="atLeast"/>
        <w:contextualSpacing/>
        <w:jc w:val="both"/>
        <w:rPr>
          <w:rFonts w:ascii="Arial" w:hAnsi="Arial" w:cs="Arial"/>
          <w:lang w:eastAsia="en-GB"/>
        </w:rPr>
      </w:pPr>
    </w:p>
    <w:p w14:paraId="1B8F8F0F" w14:textId="77777777" w:rsidR="00ED49E0" w:rsidRPr="0027631D" w:rsidRDefault="00ED49E0" w:rsidP="0027631D">
      <w:pPr>
        <w:spacing w:after="0" w:line="23" w:lineRule="atLeast"/>
        <w:contextualSpacing/>
        <w:jc w:val="both"/>
        <w:rPr>
          <w:rFonts w:ascii="Arial" w:hAnsi="Arial" w:cs="Arial"/>
          <w:lang w:eastAsia="en-GB"/>
        </w:rPr>
      </w:pPr>
      <w:r w:rsidRPr="0027631D">
        <w:rPr>
          <w:rFonts w:ascii="Arial" w:hAnsi="Arial" w:cs="Arial"/>
          <w:lang w:eastAsia="en-GB"/>
        </w:rPr>
        <w:t xml:space="preserve">En el caso particular de los dispositivos que son utilizados exclusivamente en operaciones fijas punto a punto, la sección 3.6.1.2 del Anexo a la Resolución </w:t>
      </w:r>
      <w:r w:rsidR="003F61DE">
        <w:rPr>
          <w:rFonts w:ascii="Arial" w:hAnsi="Arial" w:cs="Arial"/>
          <w:lang w:eastAsia="en-GB"/>
        </w:rPr>
        <w:t>105</w:t>
      </w:r>
      <w:r w:rsidRPr="0027631D">
        <w:rPr>
          <w:rFonts w:ascii="Arial" w:hAnsi="Arial" w:cs="Arial"/>
          <w:lang w:eastAsia="en-GB"/>
        </w:rPr>
        <w:t xml:space="preserve"> establece diversas condiciones específicas de operación en la banda 2.4 GHz, las cuales se resumen en la tabla siguiente: </w:t>
      </w:r>
    </w:p>
    <w:p w14:paraId="6D6FE88C" w14:textId="77777777" w:rsidR="00ED49E0" w:rsidRPr="0027631D" w:rsidRDefault="00ED49E0" w:rsidP="0027631D">
      <w:pPr>
        <w:spacing w:after="0" w:line="23" w:lineRule="atLeast"/>
        <w:contextualSpacing/>
        <w:jc w:val="both"/>
        <w:rPr>
          <w:rFonts w:ascii="Arial" w:hAnsi="Arial" w:cs="Arial"/>
          <w:lang w:eastAsia="en-GB"/>
        </w:rPr>
      </w:pPr>
    </w:p>
    <w:tbl>
      <w:tblPr>
        <w:tblStyle w:val="Tablaconcuadrcula"/>
        <w:tblW w:w="5000" w:type="pct"/>
        <w:jc w:val="center"/>
        <w:tblLook w:val="04A0" w:firstRow="1" w:lastRow="0" w:firstColumn="1" w:lastColumn="0" w:noHBand="0" w:noVBand="1"/>
      </w:tblPr>
      <w:tblGrid>
        <w:gridCol w:w="1549"/>
        <w:gridCol w:w="1305"/>
        <w:gridCol w:w="4391"/>
        <w:gridCol w:w="2149"/>
      </w:tblGrid>
      <w:tr w:rsidR="00341CFE" w:rsidRPr="0027631D" w14:paraId="2671BD3C" w14:textId="77777777" w:rsidTr="00590568">
        <w:trPr>
          <w:tblHeader/>
          <w:jc w:val="center"/>
        </w:trPr>
        <w:tc>
          <w:tcPr>
            <w:tcW w:w="676" w:type="pct"/>
            <w:shd w:val="clear" w:color="auto" w:fill="D9D9D9" w:themeFill="background1" w:themeFillShade="D9"/>
            <w:vAlign w:val="center"/>
          </w:tcPr>
          <w:p w14:paraId="7939223D"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lastRenderedPageBreak/>
              <w:t>Tipo de dispositivo</w:t>
            </w:r>
          </w:p>
        </w:tc>
        <w:tc>
          <w:tcPr>
            <w:tcW w:w="679" w:type="pct"/>
            <w:shd w:val="clear" w:color="auto" w:fill="D9D9D9" w:themeFill="background1" w:themeFillShade="D9"/>
            <w:vAlign w:val="center"/>
          </w:tcPr>
          <w:p w14:paraId="1FE38735" w14:textId="77777777" w:rsidR="00ED49E0" w:rsidRPr="0027631D" w:rsidRDefault="00ED49E0" w:rsidP="0027631D">
            <w:pPr>
              <w:spacing w:after="0" w:line="23" w:lineRule="atLeast"/>
              <w:contextualSpacing/>
              <w:jc w:val="center"/>
              <w:rPr>
                <w:rFonts w:ascii="Arial" w:hAnsi="Arial" w:cs="Arial"/>
                <w:b/>
                <w:highlight w:val="yellow"/>
              </w:rPr>
            </w:pPr>
            <w:r w:rsidRPr="0027631D">
              <w:rPr>
                <w:rFonts w:ascii="Arial" w:hAnsi="Arial" w:cs="Arial"/>
                <w:b/>
              </w:rPr>
              <w:t>Tipo de antena</w:t>
            </w:r>
          </w:p>
        </w:tc>
        <w:tc>
          <w:tcPr>
            <w:tcW w:w="2419" w:type="pct"/>
            <w:shd w:val="clear" w:color="auto" w:fill="D9D9D9" w:themeFill="background1" w:themeFillShade="D9"/>
            <w:vAlign w:val="center"/>
          </w:tcPr>
          <w:p w14:paraId="76C6B845" w14:textId="77777777" w:rsidR="00ED49E0" w:rsidRPr="0027631D" w:rsidRDefault="00ED49E0" w:rsidP="00410E42">
            <w:pPr>
              <w:spacing w:after="0" w:line="23" w:lineRule="atLeast"/>
              <w:contextualSpacing/>
              <w:jc w:val="center"/>
              <w:rPr>
                <w:rFonts w:ascii="Arial" w:hAnsi="Arial" w:cs="Arial"/>
                <w:b/>
              </w:rPr>
            </w:pPr>
            <w:r w:rsidRPr="0027631D">
              <w:rPr>
                <w:rFonts w:ascii="Arial" w:hAnsi="Arial" w:cs="Arial"/>
                <w:b/>
              </w:rPr>
              <w:t>Ganancia de la antena direccional</w:t>
            </w:r>
          </w:p>
        </w:tc>
        <w:tc>
          <w:tcPr>
            <w:tcW w:w="1226" w:type="pct"/>
            <w:shd w:val="clear" w:color="auto" w:fill="D9D9D9" w:themeFill="background1" w:themeFillShade="D9"/>
            <w:vAlign w:val="center"/>
          </w:tcPr>
          <w:p w14:paraId="40981BDD"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lang w:val="es-ES" w:eastAsia="es-MX"/>
              </w:rPr>
              <w:t>Potencia de salida máxima conducida</w:t>
            </w:r>
          </w:p>
        </w:tc>
      </w:tr>
      <w:tr w:rsidR="00341CFE" w:rsidRPr="0027631D" w14:paraId="2044108D" w14:textId="77777777" w:rsidTr="00FF5B8A">
        <w:trPr>
          <w:cantSplit/>
          <w:jc w:val="center"/>
        </w:trPr>
        <w:tc>
          <w:tcPr>
            <w:tcW w:w="676" w:type="pct"/>
            <w:shd w:val="clear" w:color="auto" w:fill="D9D9D9" w:themeFill="background1" w:themeFillShade="D9"/>
            <w:vAlign w:val="center"/>
          </w:tcPr>
          <w:p w14:paraId="7475795D"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b/>
              </w:rPr>
              <w:t>Operaciones Fijas – PaP</w:t>
            </w:r>
          </w:p>
        </w:tc>
        <w:tc>
          <w:tcPr>
            <w:tcW w:w="679" w:type="pct"/>
            <w:shd w:val="clear" w:color="auto" w:fill="auto"/>
            <w:vAlign w:val="center"/>
          </w:tcPr>
          <w:p w14:paraId="59BDEB6E" w14:textId="77777777" w:rsidR="00ED49E0" w:rsidRPr="0027631D" w:rsidRDefault="00ED49E0" w:rsidP="0027631D">
            <w:pPr>
              <w:spacing w:after="0" w:line="23" w:lineRule="atLeast"/>
              <w:contextualSpacing/>
              <w:jc w:val="center"/>
              <w:rPr>
                <w:rFonts w:ascii="Arial" w:hAnsi="Arial" w:cs="Arial"/>
                <w:highlight w:val="yellow"/>
              </w:rPr>
            </w:pPr>
            <w:r w:rsidRPr="0027631D">
              <w:rPr>
                <w:rFonts w:ascii="Arial" w:hAnsi="Arial" w:cs="Arial"/>
              </w:rPr>
              <w:t>Direccional</w:t>
            </w:r>
          </w:p>
        </w:tc>
        <w:tc>
          <w:tcPr>
            <w:tcW w:w="2419" w:type="pct"/>
            <w:shd w:val="clear" w:color="auto" w:fill="auto"/>
            <w:vAlign w:val="center"/>
          </w:tcPr>
          <w:p w14:paraId="65FDC488"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rPr>
              <w:t>&gt; 6 dBi</w:t>
            </w:r>
          </w:p>
          <w:p w14:paraId="536992FC" w14:textId="77777777" w:rsidR="00ED49E0" w:rsidRPr="0027631D" w:rsidRDefault="00ED49E0" w:rsidP="0027631D">
            <w:pPr>
              <w:spacing w:after="0" w:line="23" w:lineRule="atLeast"/>
              <w:contextualSpacing/>
              <w:jc w:val="center"/>
              <w:rPr>
                <w:rFonts w:ascii="Arial" w:hAnsi="Arial" w:cs="Arial"/>
              </w:rPr>
            </w:pPr>
          </w:p>
          <w:p w14:paraId="1438B7E0"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i/>
              </w:rPr>
              <w:t>(excluye el uso de dispositivos PaM, aplicaciones omnidireccionales y emisores co-localizados transmitiendo la misma</w:t>
            </w:r>
            <w:r w:rsidRPr="0027631D">
              <w:rPr>
                <w:rFonts w:ascii="Arial" w:hAnsi="Arial" w:cs="Arial"/>
              </w:rPr>
              <w:t xml:space="preserve"> información)</w:t>
            </w:r>
          </w:p>
        </w:tc>
        <w:tc>
          <w:tcPr>
            <w:tcW w:w="1226" w:type="pct"/>
            <w:shd w:val="clear" w:color="auto" w:fill="auto"/>
            <w:vAlign w:val="center"/>
          </w:tcPr>
          <w:p w14:paraId="5EF2B62F" w14:textId="77777777" w:rsidR="00ED49E0" w:rsidRPr="0027631D" w:rsidRDefault="00ED49E0" w:rsidP="00BB3D40">
            <w:pPr>
              <w:spacing w:after="0" w:line="23" w:lineRule="atLeast"/>
              <w:contextualSpacing/>
              <w:jc w:val="center"/>
              <w:rPr>
                <w:rFonts w:ascii="Arial" w:hAnsi="Arial" w:cs="Arial"/>
              </w:rPr>
            </w:pPr>
            <w:r w:rsidRPr="0027631D">
              <w:rPr>
                <w:rFonts w:ascii="Arial" w:hAnsi="Arial" w:cs="Arial"/>
              </w:rPr>
              <w:t xml:space="preserve">Reducir 1 dB por cada 3 dB que la ganancia de la antena </w:t>
            </w:r>
            <w:r w:rsidR="00BB3D40" w:rsidRPr="0027631D">
              <w:rPr>
                <w:rFonts w:ascii="Arial" w:hAnsi="Arial" w:cs="Arial"/>
              </w:rPr>
              <w:t xml:space="preserve">direccional </w:t>
            </w:r>
            <w:r w:rsidRPr="0027631D">
              <w:rPr>
                <w:rFonts w:ascii="Arial" w:hAnsi="Arial" w:cs="Arial"/>
              </w:rPr>
              <w:t>exceda de los 6 dBi</w:t>
            </w:r>
          </w:p>
        </w:tc>
      </w:tr>
    </w:tbl>
    <w:p w14:paraId="6E3BC524" w14:textId="70659717" w:rsidR="00ED49E0" w:rsidRPr="0027631D" w:rsidRDefault="00ED49E0" w:rsidP="0027631D">
      <w:pPr>
        <w:pStyle w:val="Descripcin"/>
        <w:contextualSpacing/>
        <w:rPr>
          <w:sz w:val="22"/>
          <w:szCs w:val="22"/>
        </w:rPr>
      </w:pPr>
      <w:bookmarkStart w:id="320" w:name="_Toc45381235"/>
      <w:bookmarkStart w:id="321" w:name="_Toc45452837"/>
      <w:bookmarkStart w:id="322" w:name="_Toc45452946"/>
      <w:r w:rsidRPr="0027631D">
        <w:rPr>
          <w:sz w:val="22"/>
          <w:szCs w:val="22"/>
        </w:rPr>
        <w:t xml:space="preserve">Tabla </w:t>
      </w:r>
      <w:r w:rsidR="008010AD" w:rsidRPr="0027631D">
        <w:rPr>
          <w:sz w:val="22"/>
          <w:szCs w:val="22"/>
        </w:rPr>
        <w:fldChar w:fldCharType="begin"/>
      </w:r>
      <w:r w:rsidR="008010AD" w:rsidRPr="0027631D">
        <w:rPr>
          <w:sz w:val="22"/>
          <w:szCs w:val="22"/>
        </w:rPr>
        <w:instrText xml:space="preserve"> SEQ Tabla \* ARABIC </w:instrText>
      </w:r>
      <w:r w:rsidR="008010AD" w:rsidRPr="0027631D">
        <w:rPr>
          <w:sz w:val="22"/>
          <w:szCs w:val="22"/>
        </w:rPr>
        <w:fldChar w:fldCharType="separate"/>
      </w:r>
      <w:r w:rsidR="004F1EA3">
        <w:rPr>
          <w:noProof/>
          <w:sz w:val="22"/>
          <w:szCs w:val="22"/>
        </w:rPr>
        <w:t>25</w:t>
      </w:r>
      <w:r w:rsidR="008010AD" w:rsidRPr="0027631D">
        <w:rPr>
          <w:noProof/>
          <w:sz w:val="22"/>
          <w:szCs w:val="22"/>
        </w:rPr>
        <w:fldChar w:fldCharType="end"/>
      </w:r>
      <w:r w:rsidRPr="0027631D">
        <w:rPr>
          <w:sz w:val="22"/>
          <w:szCs w:val="22"/>
        </w:rPr>
        <w:t>.</w:t>
      </w:r>
      <w:r w:rsidRPr="0027631D">
        <w:rPr>
          <w:sz w:val="22"/>
          <w:szCs w:val="22"/>
          <w:lang w:val="es-ES" w:eastAsia="es-MX"/>
        </w:rPr>
        <w:t xml:space="preserve"> Condiciones técnicas específicas para los sistemas fijos PaP que operan en la banda 2.4 GHz establecidos en Colombia</w:t>
      </w:r>
      <w:bookmarkEnd w:id="320"/>
      <w:bookmarkEnd w:id="321"/>
      <w:bookmarkEnd w:id="322"/>
    </w:p>
    <w:p w14:paraId="0606E0B4" w14:textId="77777777" w:rsidR="00ED49E0" w:rsidRPr="0027631D" w:rsidRDefault="00ED49E0" w:rsidP="0027631D">
      <w:pPr>
        <w:spacing w:after="0" w:line="23" w:lineRule="atLeast"/>
        <w:contextualSpacing/>
        <w:jc w:val="both"/>
        <w:rPr>
          <w:rFonts w:ascii="Arial" w:hAnsi="Arial" w:cs="Arial"/>
          <w:lang w:eastAsia="en-GB"/>
        </w:rPr>
      </w:pPr>
    </w:p>
    <w:p w14:paraId="50E71F26" w14:textId="77777777" w:rsidR="00ED49E0" w:rsidRPr="0027631D" w:rsidRDefault="00ED49E0" w:rsidP="0027631D">
      <w:pPr>
        <w:spacing w:after="0" w:line="23" w:lineRule="atLeast"/>
        <w:contextualSpacing/>
        <w:jc w:val="both"/>
        <w:rPr>
          <w:rFonts w:ascii="Arial" w:hAnsi="Arial" w:cs="Arial"/>
          <w:lang w:eastAsia="en-GB"/>
        </w:rPr>
      </w:pPr>
      <w:r w:rsidRPr="0027631D">
        <w:rPr>
          <w:rFonts w:ascii="Arial" w:hAnsi="Arial" w:cs="Arial"/>
          <w:lang w:eastAsia="en-GB"/>
        </w:rPr>
        <w:t xml:space="preserve">Adicional a las operaciones fijas punto a punto, la sección 3.6.1.2 del Anexo a la Resolución </w:t>
      </w:r>
      <w:r w:rsidR="0006646D">
        <w:rPr>
          <w:rFonts w:ascii="Arial" w:hAnsi="Arial" w:cs="Arial"/>
          <w:lang w:eastAsia="en-GB"/>
        </w:rPr>
        <w:t>105</w:t>
      </w:r>
      <w:r w:rsidRPr="0027631D">
        <w:rPr>
          <w:rFonts w:ascii="Arial" w:hAnsi="Arial" w:cs="Arial"/>
          <w:lang w:eastAsia="en-GB"/>
        </w:rPr>
        <w:t xml:space="preserve"> indica que los transmisores que emiten múltiples haces direccionales, simultáneamente o secuencialmente, con el propósito de dirigir las señales a receptores individuales o grupos de receptores, deberán cumplir con lo siguiente: </w:t>
      </w:r>
    </w:p>
    <w:p w14:paraId="4DA2D2C4" w14:textId="77777777" w:rsidR="00ED49E0" w:rsidRPr="0027631D" w:rsidRDefault="00ED49E0" w:rsidP="0027631D">
      <w:pPr>
        <w:spacing w:after="0" w:line="23" w:lineRule="atLeast"/>
        <w:contextualSpacing/>
        <w:jc w:val="both"/>
        <w:rPr>
          <w:rFonts w:ascii="Arial" w:hAnsi="Arial" w:cs="Arial"/>
          <w:lang w:eastAsia="en-GB"/>
        </w:rPr>
      </w:pPr>
    </w:p>
    <w:p w14:paraId="7A7C7A7F" w14:textId="77777777" w:rsidR="00ED49E0" w:rsidRPr="0027631D" w:rsidRDefault="00ED49E0" w:rsidP="00E36991">
      <w:pPr>
        <w:pStyle w:val="Prrafodelista"/>
        <w:numPr>
          <w:ilvl w:val="0"/>
          <w:numId w:val="10"/>
        </w:numPr>
        <w:spacing w:line="23" w:lineRule="atLeast"/>
        <w:ind w:left="567" w:hanging="283"/>
        <w:contextualSpacing/>
        <w:jc w:val="both"/>
        <w:rPr>
          <w:rFonts w:cs="Arial"/>
          <w:sz w:val="22"/>
          <w:szCs w:val="22"/>
          <w:lang w:eastAsia="en-GB"/>
        </w:rPr>
      </w:pPr>
      <w:r w:rsidRPr="0027631D">
        <w:rPr>
          <w:rFonts w:cs="Arial"/>
          <w:sz w:val="22"/>
          <w:szCs w:val="22"/>
          <w:lang w:eastAsia="en-GB"/>
        </w:rPr>
        <w:t>transmitir diferente información a cada uno de los receptores;</w:t>
      </w:r>
    </w:p>
    <w:p w14:paraId="14745D6A" w14:textId="77777777" w:rsidR="00ED49E0" w:rsidRPr="0027631D" w:rsidRDefault="00ED49E0" w:rsidP="0027631D">
      <w:pPr>
        <w:pStyle w:val="Prrafodelista"/>
        <w:spacing w:line="23" w:lineRule="atLeast"/>
        <w:ind w:left="567" w:hanging="283"/>
        <w:contextualSpacing/>
        <w:jc w:val="both"/>
        <w:rPr>
          <w:rFonts w:cs="Arial"/>
          <w:sz w:val="22"/>
          <w:szCs w:val="22"/>
          <w:lang w:eastAsia="en-GB"/>
        </w:rPr>
      </w:pPr>
    </w:p>
    <w:p w14:paraId="4F3067F9" w14:textId="6C3533C8" w:rsidR="00ED49E0" w:rsidRPr="0027631D" w:rsidRDefault="00ED49E0" w:rsidP="00E36991">
      <w:pPr>
        <w:pStyle w:val="Prrafodelista"/>
        <w:numPr>
          <w:ilvl w:val="0"/>
          <w:numId w:val="10"/>
        </w:numPr>
        <w:spacing w:line="23" w:lineRule="atLeast"/>
        <w:ind w:left="567" w:hanging="283"/>
        <w:contextualSpacing/>
        <w:jc w:val="both"/>
        <w:rPr>
          <w:rFonts w:cs="Arial"/>
          <w:sz w:val="22"/>
          <w:szCs w:val="22"/>
          <w:lang w:eastAsia="en-GB"/>
        </w:rPr>
      </w:pPr>
      <w:r w:rsidRPr="0027631D">
        <w:rPr>
          <w:rFonts w:cs="Arial"/>
          <w:sz w:val="22"/>
          <w:szCs w:val="22"/>
          <w:lang w:eastAsia="en-GB"/>
        </w:rPr>
        <w:t>si el transmisor</w:t>
      </w:r>
      <w:r w:rsidRPr="0027631D">
        <w:rPr>
          <w:rFonts w:cs="Arial"/>
          <w:sz w:val="22"/>
          <w:szCs w:val="22"/>
        </w:rPr>
        <w:t xml:space="preserve"> </w:t>
      </w:r>
      <w:r w:rsidRPr="0027631D">
        <w:rPr>
          <w:rFonts w:cs="Arial"/>
          <w:sz w:val="22"/>
          <w:szCs w:val="22"/>
          <w:lang w:eastAsia="en-GB"/>
        </w:rPr>
        <w:t xml:space="preserve">emplea un sistema de antena que emite múltiples haces direccionales no emitidos simultáneamente, la potencia total de salida conducida al arreglo o arreglos que componen el dispositivo (suma de la potencia suministrada a todas las antenas, elementos de antena, etc.) sumada a través de todas las portadoras de los canales de frecuencia, no deberán superar los límites especificados anteriormente para esta banda. Sin embargo, la potencia total de salida conducida debe ser reducida en un 1 dB por debajo de los límites especificados por cada 3 dB que la ganancia de la antena </w:t>
      </w:r>
      <w:r w:rsidR="00BB3D40" w:rsidRPr="0027631D">
        <w:rPr>
          <w:rFonts w:cs="Arial"/>
          <w:sz w:val="22"/>
          <w:szCs w:val="22"/>
          <w:lang w:eastAsia="en-GB"/>
        </w:rPr>
        <w:t xml:space="preserve">direccional </w:t>
      </w:r>
      <w:r w:rsidRPr="0027631D">
        <w:rPr>
          <w:rFonts w:cs="Arial"/>
          <w:sz w:val="22"/>
          <w:szCs w:val="22"/>
          <w:lang w:eastAsia="en-GB"/>
        </w:rPr>
        <w:t>o arreglo de antenas exceda 6 dBi. La ganancia de la antena direccional se calculará como la suma de 10 veces el logaritmo del número de elementos del arreglo más la ganancia del elemento que tenga la mayor ganancia, un valor más bajo que éste puede ser admitido si se presenta evidencia suficiente</w:t>
      </w:r>
      <w:r w:rsidR="00155B22">
        <w:rPr>
          <w:rFonts w:cs="Arial"/>
          <w:sz w:val="22"/>
          <w:szCs w:val="22"/>
          <w:lang w:eastAsia="en-GB"/>
        </w:rPr>
        <w:t>,</w:t>
      </w:r>
      <w:r w:rsidRPr="0027631D">
        <w:rPr>
          <w:rFonts w:cs="Arial"/>
          <w:sz w:val="22"/>
          <w:szCs w:val="22"/>
          <w:lang w:eastAsia="en-GB"/>
        </w:rPr>
        <w:t xml:space="preserve"> y</w:t>
      </w:r>
    </w:p>
    <w:p w14:paraId="0F11ABB4" w14:textId="77777777" w:rsidR="00ED49E0" w:rsidRPr="0027631D" w:rsidRDefault="00ED49E0" w:rsidP="0027631D">
      <w:pPr>
        <w:pStyle w:val="Prrafodelista"/>
        <w:spacing w:line="23" w:lineRule="atLeast"/>
        <w:ind w:left="567" w:hanging="283"/>
        <w:contextualSpacing/>
        <w:jc w:val="both"/>
        <w:rPr>
          <w:rFonts w:cs="Arial"/>
          <w:sz w:val="22"/>
          <w:szCs w:val="22"/>
          <w:lang w:eastAsia="en-GB"/>
        </w:rPr>
      </w:pPr>
    </w:p>
    <w:p w14:paraId="33F4CF9D" w14:textId="77777777" w:rsidR="00ED49E0" w:rsidRPr="0027631D" w:rsidRDefault="00ED49E0" w:rsidP="00E36991">
      <w:pPr>
        <w:pStyle w:val="Prrafodelista"/>
        <w:numPr>
          <w:ilvl w:val="0"/>
          <w:numId w:val="10"/>
        </w:numPr>
        <w:spacing w:line="23" w:lineRule="atLeast"/>
        <w:ind w:left="567" w:hanging="283"/>
        <w:contextualSpacing/>
        <w:jc w:val="both"/>
        <w:rPr>
          <w:rFonts w:cs="Arial"/>
          <w:sz w:val="22"/>
          <w:szCs w:val="22"/>
          <w:lang w:eastAsia="en-GB"/>
        </w:rPr>
      </w:pPr>
      <w:r w:rsidRPr="0027631D">
        <w:rPr>
          <w:rFonts w:cs="Arial"/>
          <w:sz w:val="22"/>
          <w:szCs w:val="22"/>
          <w:lang w:eastAsia="en-GB"/>
        </w:rPr>
        <w:t>si un transmisor emplea una antena que funciona simultáneamente con varios haces direccionales que utilizan los mismos o diferentes canales de frecuencia, la potencia suministrada a cada haz de emisión está sujeta a la limitación de la potencia especificada en el anterior párrafo. Si los haces transmitidos se superponen, la potencia debe ser reducida para garantizar que la potencia agregada no exceda el límite especificado en el anterior párrafo. Adicionalmente, la potencia agregada simultáneamente sobre todos los haces no deberá exceder el límite especificado en el párrafo anterior en más de 8 dB.</w:t>
      </w:r>
    </w:p>
    <w:p w14:paraId="51CD8EDA" w14:textId="77777777" w:rsidR="00ED49E0" w:rsidRPr="0027631D" w:rsidRDefault="00ED49E0" w:rsidP="0027631D">
      <w:pPr>
        <w:spacing w:after="0" w:line="23" w:lineRule="atLeast"/>
        <w:contextualSpacing/>
        <w:jc w:val="both"/>
        <w:rPr>
          <w:rFonts w:ascii="Arial" w:hAnsi="Arial" w:cs="Arial"/>
          <w:lang w:eastAsia="en-GB"/>
        </w:rPr>
      </w:pPr>
    </w:p>
    <w:p w14:paraId="55EE32B6" w14:textId="77777777" w:rsidR="00ED49E0" w:rsidRPr="0027631D" w:rsidRDefault="00ED49E0" w:rsidP="0027631D">
      <w:pPr>
        <w:spacing w:after="0" w:line="23" w:lineRule="atLeast"/>
        <w:contextualSpacing/>
        <w:jc w:val="both"/>
        <w:rPr>
          <w:rFonts w:ascii="Arial" w:hAnsi="Arial" w:cs="Arial"/>
          <w:lang w:eastAsia="en-GB"/>
        </w:rPr>
      </w:pPr>
      <w:r w:rsidRPr="0027631D">
        <w:rPr>
          <w:rFonts w:ascii="Arial" w:hAnsi="Arial" w:cs="Arial"/>
          <w:lang w:eastAsia="en-GB"/>
        </w:rPr>
        <w:t>Por otro lado, la sección 2 del Anexo a la Resolución</w:t>
      </w:r>
      <w:r w:rsidR="00025932">
        <w:rPr>
          <w:rFonts w:ascii="Arial" w:hAnsi="Arial" w:cs="Arial"/>
          <w:lang w:eastAsia="en-GB"/>
        </w:rPr>
        <w:t xml:space="preserve"> </w:t>
      </w:r>
      <w:r w:rsidR="0006646D">
        <w:rPr>
          <w:rFonts w:ascii="Arial" w:hAnsi="Arial" w:cs="Arial"/>
          <w:lang w:eastAsia="en-GB"/>
        </w:rPr>
        <w:t>05</w:t>
      </w:r>
      <w:r w:rsidRPr="0027631D">
        <w:rPr>
          <w:rFonts w:ascii="Arial" w:hAnsi="Arial" w:cs="Arial"/>
          <w:lang w:eastAsia="en-GB"/>
        </w:rPr>
        <w:t xml:space="preserve">, se indican los límites de emisión de intensidad de campo aplicable a los sensores de perturbación de campo que funcionan en una porción de la banda 2.4 GHz, los cuales se muestran en la tabla siguiente: </w:t>
      </w:r>
    </w:p>
    <w:p w14:paraId="2E1C5113" w14:textId="77777777" w:rsidR="00ED49E0" w:rsidRPr="0027631D" w:rsidRDefault="00ED49E0" w:rsidP="0027631D">
      <w:pPr>
        <w:spacing w:after="0" w:line="23" w:lineRule="atLeast"/>
        <w:contextualSpacing/>
        <w:jc w:val="both"/>
        <w:rPr>
          <w:rFonts w:ascii="Arial" w:hAnsi="Arial" w:cs="Arial"/>
          <w:lang w:eastAsia="en-GB"/>
        </w:rPr>
      </w:pPr>
    </w:p>
    <w:tbl>
      <w:tblPr>
        <w:tblStyle w:val="Tablaconcuadrcula"/>
        <w:tblW w:w="0" w:type="auto"/>
        <w:jc w:val="right"/>
        <w:tblLook w:val="04A0" w:firstRow="1" w:lastRow="0" w:firstColumn="1" w:lastColumn="0" w:noHBand="0" w:noVBand="1"/>
      </w:tblPr>
      <w:tblGrid>
        <w:gridCol w:w="4058"/>
        <w:gridCol w:w="5336"/>
      </w:tblGrid>
      <w:tr w:rsidR="00341CFE" w:rsidRPr="0027631D" w14:paraId="4F90CAD9" w14:textId="77777777" w:rsidTr="00341CFE">
        <w:trPr>
          <w:jc w:val="right"/>
        </w:trPr>
        <w:tc>
          <w:tcPr>
            <w:tcW w:w="0" w:type="auto"/>
            <w:gridSpan w:val="2"/>
            <w:shd w:val="clear" w:color="auto" w:fill="D9D9D9" w:themeFill="background1" w:themeFillShade="D9"/>
            <w:vAlign w:val="center"/>
          </w:tcPr>
          <w:p w14:paraId="0F5F2165"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Límites de intensidad de campo para sensores de perturbación especificados a una distancia de 3 metros</w:t>
            </w:r>
          </w:p>
        </w:tc>
      </w:tr>
      <w:tr w:rsidR="00341CFE" w:rsidRPr="0027631D" w14:paraId="2B552CF0" w14:textId="77777777" w:rsidTr="00341CFE">
        <w:trPr>
          <w:trHeight w:val="317"/>
          <w:jc w:val="right"/>
        </w:trPr>
        <w:tc>
          <w:tcPr>
            <w:tcW w:w="0" w:type="auto"/>
            <w:shd w:val="clear" w:color="auto" w:fill="D9D9D9" w:themeFill="background1" w:themeFillShade="D9"/>
            <w:vAlign w:val="center"/>
          </w:tcPr>
          <w:p w14:paraId="00C2D8A7"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Banda de frecuencias (MHz)</w:t>
            </w:r>
          </w:p>
        </w:tc>
        <w:tc>
          <w:tcPr>
            <w:tcW w:w="0" w:type="auto"/>
            <w:shd w:val="clear" w:color="auto" w:fill="D9D9D9" w:themeFill="background1" w:themeFillShade="D9"/>
            <w:vAlign w:val="center"/>
          </w:tcPr>
          <w:p w14:paraId="4DFE2EC5"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Intensidad máxima de campo eléctrico</w:t>
            </w:r>
          </w:p>
        </w:tc>
      </w:tr>
      <w:tr w:rsidR="00341CFE" w:rsidRPr="0027631D" w14:paraId="1FF78F93" w14:textId="77777777" w:rsidTr="00341CFE">
        <w:trPr>
          <w:trHeight w:val="293"/>
          <w:jc w:val="right"/>
        </w:trPr>
        <w:tc>
          <w:tcPr>
            <w:tcW w:w="0" w:type="auto"/>
            <w:shd w:val="clear" w:color="auto" w:fill="auto"/>
            <w:vAlign w:val="center"/>
          </w:tcPr>
          <w:p w14:paraId="7DA9AB4E"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rPr>
              <w:t>2435-2465 MHz</w:t>
            </w:r>
          </w:p>
        </w:tc>
        <w:tc>
          <w:tcPr>
            <w:tcW w:w="0" w:type="auto"/>
            <w:shd w:val="clear" w:color="auto" w:fill="auto"/>
            <w:vAlign w:val="center"/>
          </w:tcPr>
          <w:p w14:paraId="711DD169"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rPr>
              <w:t>500 mV/m</w:t>
            </w:r>
          </w:p>
        </w:tc>
      </w:tr>
    </w:tbl>
    <w:p w14:paraId="774BB990" w14:textId="3BE3104A" w:rsidR="00ED49E0" w:rsidRPr="00515B91" w:rsidRDefault="00ED49E0" w:rsidP="0027631D">
      <w:pPr>
        <w:pStyle w:val="Descripcin"/>
        <w:contextualSpacing/>
        <w:rPr>
          <w:i w:val="0"/>
          <w:sz w:val="22"/>
          <w:szCs w:val="22"/>
        </w:rPr>
      </w:pPr>
      <w:bookmarkStart w:id="323" w:name="_Toc45381236"/>
      <w:bookmarkStart w:id="324" w:name="_Toc45452838"/>
      <w:bookmarkStart w:id="325" w:name="_Toc45452947"/>
      <w:r w:rsidRPr="00515B91">
        <w:rPr>
          <w:i w:val="0"/>
          <w:sz w:val="22"/>
          <w:szCs w:val="22"/>
        </w:rPr>
        <w:t xml:space="preserve">Tabla </w:t>
      </w:r>
      <w:r w:rsidR="008010AD" w:rsidRPr="00515B91">
        <w:rPr>
          <w:i w:val="0"/>
          <w:sz w:val="22"/>
          <w:szCs w:val="22"/>
        </w:rPr>
        <w:fldChar w:fldCharType="begin"/>
      </w:r>
      <w:r w:rsidR="008010AD" w:rsidRPr="00515B91">
        <w:rPr>
          <w:i w:val="0"/>
          <w:sz w:val="22"/>
          <w:szCs w:val="22"/>
        </w:rPr>
        <w:instrText xml:space="preserve"> SEQ Tabla \* ARABIC </w:instrText>
      </w:r>
      <w:r w:rsidR="008010AD" w:rsidRPr="00515B91">
        <w:rPr>
          <w:i w:val="0"/>
          <w:sz w:val="22"/>
          <w:szCs w:val="22"/>
        </w:rPr>
        <w:fldChar w:fldCharType="separate"/>
      </w:r>
      <w:r w:rsidR="004F1EA3">
        <w:rPr>
          <w:i w:val="0"/>
          <w:noProof/>
          <w:sz w:val="22"/>
          <w:szCs w:val="22"/>
        </w:rPr>
        <w:t>26</w:t>
      </w:r>
      <w:r w:rsidR="008010AD" w:rsidRPr="00515B91">
        <w:rPr>
          <w:i w:val="0"/>
          <w:noProof/>
          <w:sz w:val="22"/>
          <w:szCs w:val="22"/>
        </w:rPr>
        <w:fldChar w:fldCharType="end"/>
      </w:r>
      <w:r w:rsidRPr="00515B91">
        <w:rPr>
          <w:i w:val="0"/>
          <w:sz w:val="22"/>
          <w:szCs w:val="22"/>
        </w:rPr>
        <w:t>.</w:t>
      </w:r>
      <w:r w:rsidRPr="00515B91">
        <w:rPr>
          <w:i w:val="0"/>
          <w:sz w:val="22"/>
          <w:szCs w:val="22"/>
          <w:lang w:val="es-ES" w:eastAsia="es-MX"/>
        </w:rPr>
        <w:t xml:space="preserve"> Límites de intensidad de campo especificados para los sensores de perturbación de campo en la banda 2.4 GHz establecidos en Colombia</w:t>
      </w:r>
      <w:bookmarkEnd w:id="323"/>
      <w:bookmarkEnd w:id="324"/>
      <w:bookmarkEnd w:id="325"/>
    </w:p>
    <w:p w14:paraId="2F1ACE3D" w14:textId="77777777" w:rsidR="00ED49E0" w:rsidRPr="0027631D" w:rsidRDefault="00ED49E0" w:rsidP="0027631D">
      <w:pPr>
        <w:spacing w:after="0" w:line="23" w:lineRule="atLeast"/>
        <w:contextualSpacing/>
        <w:jc w:val="both"/>
        <w:rPr>
          <w:rFonts w:ascii="Arial" w:hAnsi="Arial" w:cs="Arial"/>
          <w:lang w:eastAsia="en-GB"/>
        </w:rPr>
      </w:pPr>
    </w:p>
    <w:p w14:paraId="3266B6A1" w14:textId="77777777" w:rsidR="00ED49E0" w:rsidRPr="0027631D" w:rsidRDefault="00ED49E0" w:rsidP="0027631D">
      <w:pPr>
        <w:spacing w:after="0" w:line="23" w:lineRule="atLeast"/>
        <w:contextualSpacing/>
        <w:jc w:val="both"/>
        <w:rPr>
          <w:rFonts w:ascii="Arial" w:hAnsi="Arial" w:cs="Arial"/>
          <w:lang w:eastAsia="en-GB"/>
        </w:rPr>
      </w:pPr>
      <w:r w:rsidRPr="0027631D">
        <w:rPr>
          <w:rFonts w:ascii="Arial" w:hAnsi="Arial" w:cs="Arial"/>
          <w:lang w:eastAsia="en-GB"/>
        </w:rPr>
        <w:t>En lo que respecta a las aplicaciones DRCA no específicas que operan en la banda 2.4 GHz, las secciones 2 y 3.1 del Anexo a la Resolución</w:t>
      </w:r>
      <w:r w:rsidR="00025932">
        <w:rPr>
          <w:rFonts w:ascii="Arial" w:hAnsi="Arial" w:cs="Arial"/>
          <w:lang w:eastAsia="en-GB"/>
        </w:rPr>
        <w:t xml:space="preserve"> </w:t>
      </w:r>
      <w:r w:rsidR="0006646D">
        <w:rPr>
          <w:rFonts w:ascii="Arial" w:hAnsi="Arial" w:cs="Arial"/>
          <w:lang w:eastAsia="en-GB"/>
        </w:rPr>
        <w:t>105</w:t>
      </w:r>
      <w:r w:rsidRPr="0027631D">
        <w:rPr>
          <w:rFonts w:ascii="Arial" w:hAnsi="Arial" w:cs="Arial"/>
          <w:lang w:eastAsia="en-GB"/>
        </w:rPr>
        <w:t xml:space="preserve"> se indican los límites de emisión de intensidad de campo aplicables, los cuales se muestran en la tabla siguiente: </w:t>
      </w:r>
    </w:p>
    <w:p w14:paraId="2979085F" w14:textId="77777777" w:rsidR="00ED49E0" w:rsidRPr="0027631D" w:rsidRDefault="00ED49E0" w:rsidP="0027631D">
      <w:pPr>
        <w:spacing w:after="0" w:line="23" w:lineRule="atLeast"/>
        <w:contextualSpacing/>
        <w:jc w:val="both"/>
        <w:rPr>
          <w:rFonts w:ascii="Arial" w:hAnsi="Arial" w:cs="Arial"/>
          <w:lang w:eastAsia="en-GB"/>
        </w:rPr>
      </w:pPr>
    </w:p>
    <w:tbl>
      <w:tblPr>
        <w:tblStyle w:val="Tablaconcuadrcula"/>
        <w:tblW w:w="0" w:type="auto"/>
        <w:jc w:val="right"/>
        <w:tblLook w:val="04A0" w:firstRow="1" w:lastRow="0" w:firstColumn="1" w:lastColumn="0" w:noHBand="0" w:noVBand="1"/>
      </w:tblPr>
      <w:tblGrid>
        <w:gridCol w:w="1762"/>
        <w:gridCol w:w="7632"/>
      </w:tblGrid>
      <w:tr w:rsidR="00341CFE" w:rsidRPr="0027631D" w14:paraId="56F4901D" w14:textId="77777777" w:rsidTr="00341CFE">
        <w:trPr>
          <w:jc w:val="right"/>
        </w:trPr>
        <w:tc>
          <w:tcPr>
            <w:tcW w:w="0" w:type="auto"/>
            <w:gridSpan w:val="2"/>
            <w:shd w:val="clear" w:color="auto" w:fill="D9D9D9" w:themeFill="background1" w:themeFillShade="D9"/>
            <w:vAlign w:val="center"/>
          </w:tcPr>
          <w:p w14:paraId="2342DBBC"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Límites de intensidad de campo para DRCA no específicos que operen en la banda 2.4 GHz especificados a una distancia de 3 metros</w:t>
            </w:r>
          </w:p>
        </w:tc>
      </w:tr>
      <w:tr w:rsidR="00341CFE" w:rsidRPr="0027631D" w14:paraId="50577FD9" w14:textId="77777777" w:rsidTr="00341CFE">
        <w:trPr>
          <w:trHeight w:val="317"/>
          <w:jc w:val="right"/>
        </w:trPr>
        <w:tc>
          <w:tcPr>
            <w:tcW w:w="0" w:type="auto"/>
            <w:shd w:val="clear" w:color="auto" w:fill="D9D9D9" w:themeFill="background1" w:themeFillShade="D9"/>
            <w:vAlign w:val="center"/>
          </w:tcPr>
          <w:p w14:paraId="7F499A0C"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Banda de frecuencias (MHz)</w:t>
            </w:r>
          </w:p>
        </w:tc>
        <w:tc>
          <w:tcPr>
            <w:tcW w:w="0" w:type="auto"/>
            <w:shd w:val="clear" w:color="auto" w:fill="D9D9D9" w:themeFill="background1" w:themeFillShade="D9"/>
            <w:vAlign w:val="center"/>
          </w:tcPr>
          <w:p w14:paraId="45A7C5AE"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Intensidad máxima de campo eléctrico</w:t>
            </w:r>
          </w:p>
        </w:tc>
      </w:tr>
      <w:tr w:rsidR="00341CFE" w:rsidRPr="0027631D" w14:paraId="123B5EB9" w14:textId="77777777" w:rsidTr="00341CFE">
        <w:trPr>
          <w:trHeight w:val="293"/>
          <w:jc w:val="right"/>
        </w:trPr>
        <w:tc>
          <w:tcPr>
            <w:tcW w:w="0" w:type="auto"/>
            <w:vMerge w:val="restart"/>
            <w:shd w:val="clear" w:color="auto" w:fill="auto"/>
            <w:vAlign w:val="center"/>
          </w:tcPr>
          <w:p w14:paraId="47D0874A"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rPr>
              <w:t>2400-2483.5 MHz</w:t>
            </w:r>
          </w:p>
        </w:tc>
        <w:tc>
          <w:tcPr>
            <w:tcW w:w="0" w:type="auto"/>
            <w:shd w:val="clear" w:color="auto" w:fill="auto"/>
            <w:vAlign w:val="center"/>
          </w:tcPr>
          <w:p w14:paraId="25E30B75"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rPr>
              <w:t>50 mV/m</w:t>
            </w:r>
          </w:p>
        </w:tc>
      </w:tr>
      <w:tr w:rsidR="00341CFE" w:rsidRPr="0027631D" w14:paraId="7D7BEB38" w14:textId="77777777" w:rsidTr="00341CFE">
        <w:trPr>
          <w:trHeight w:val="293"/>
          <w:jc w:val="right"/>
        </w:trPr>
        <w:tc>
          <w:tcPr>
            <w:tcW w:w="0" w:type="auto"/>
            <w:vMerge/>
            <w:shd w:val="clear" w:color="auto" w:fill="auto"/>
            <w:vAlign w:val="center"/>
          </w:tcPr>
          <w:p w14:paraId="0AADA32C" w14:textId="77777777" w:rsidR="00ED49E0" w:rsidRPr="0027631D" w:rsidRDefault="00ED49E0" w:rsidP="0027631D">
            <w:pPr>
              <w:spacing w:after="0" w:line="23" w:lineRule="atLeast"/>
              <w:contextualSpacing/>
              <w:jc w:val="center"/>
              <w:rPr>
                <w:rFonts w:ascii="Arial" w:hAnsi="Arial" w:cs="Arial"/>
              </w:rPr>
            </w:pPr>
          </w:p>
        </w:tc>
        <w:tc>
          <w:tcPr>
            <w:tcW w:w="0" w:type="auto"/>
            <w:shd w:val="clear" w:color="auto" w:fill="auto"/>
            <w:vAlign w:val="center"/>
          </w:tcPr>
          <w:p w14:paraId="425978CB" w14:textId="77777777" w:rsidR="00ED49E0" w:rsidRPr="0027631D" w:rsidRDefault="00ED49E0" w:rsidP="0006646D">
            <w:pPr>
              <w:spacing w:after="0" w:line="23" w:lineRule="atLeast"/>
              <w:contextualSpacing/>
              <w:jc w:val="center"/>
              <w:rPr>
                <w:rFonts w:ascii="Arial" w:hAnsi="Arial" w:cs="Arial"/>
              </w:rPr>
            </w:pPr>
            <w:r w:rsidRPr="0027631D">
              <w:rPr>
                <w:rFonts w:ascii="Arial" w:hAnsi="Arial" w:cs="Arial"/>
              </w:rPr>
              <w:t xml:space="preserve">Las condiciones son aplicables a toda clase de dispositivos radioeléctricos de corto alcance y baja potencia usados para radiocomunicaciones que por su funcionamiento en la banda 2.4 GHz no pueda ser clasificable dentro de cualquiera de las aplicaciones permitidas descritas en el Anexo a la Resolución </w:t>
            </w:r>
            <w:r w:rsidR="0006646D">
              <w:rPr>
                <w:rFonts w:ascii="Arial" w:hAnsi="Arial" w:cs="Arial"/>
              </w:rPr>
              <w:t>105</w:t>
            </w:r>
            <w:r w:rsidRPr="0027631D">
              <w:rPr>
                <w:rFonts w:ascii="Arial" w:hAnsi="Arial" w:cs="Arial"/>
              </w:rPr>
              <w:t>.</w:t>
            </w:r>
          </w:p>
        </w:tc>
      </w:tr>
    </w:tbl>
    <w:p w14:paraId="15FBBDA1" w14:textId="680C6799" w:rsidR="00ED49E0" w:rsidRPr="00515B91" w:rsidRDefault="00ED49E0" w:rsidP="0027631D">
      <w:pPr>
        <w:pStyle w:val="Descripcin"/>
        <w:contextualSpacing/>
        <w:rPr>
          <w:i w:val="0"/>
          <w:sz w:val="22"/>
          <w:szCs w:val="22"/>
        </w:rPr>
      </w:pPr>
      <w:bookmarkStart w:id="326" w:name="_Toc45381237"/>
      <w:bookmarkStart w:id="327" w:name="_Toc45452839"/>
      <w:bookmarkStart w:id="328" w:name="_Toc45452948"/>
      <w:r w:rsidRPr="00515B91">
        <w:rPr>
          <w:i w:val="0"/>
          <w:sz w:val="22"/>
          <w:szCs w:val="22"/>
        </w:rPr>
        <w:t xml:space="preserve">Tabla </w:t>
      </w:r>
      <w:r w:rsidR="008010AD" w:rsidRPr="00515B91">
        <w:rPr>
          <w:i w:val="0"/>
          <w:sz w:val="22"/>
          <w:szCs w:val="22"/>
        </w:rPr>
        <w:fldChar w:fldCharType="begin"/>
      </w:r>
      <w:r w:rsidR="008010AD" w:rsidRPr="00515B91">
        <w:rPr>
          <w:i w:val="0"/>
          <w:sz w:val="22"/>
          <w:szCs w:val="22"/>
        </w:rPr>
        <w:instrText xml:space="preserve"> SEQ Tabla \* ARABIC </w:instrText>
      </w:r>
      <w:r w:rsidR="008010AD" w:rsidRPr="00515B91">
        <w:rPr>
          <w:i w:val="0"/>
          <w:sz w:val="22"/>
          <w:szCs w:val="22"/>
        </w:rPr>
        <w:fldChar w:fldCharType="separate"/>
      </w:r>
      <w:r w:rsidR="004F1EA3">
        <w:rPr>
          <w:i w:val="0"/>
          <w:noProof/>
          <w:sz w:val="22"/>
          <w:szCs w:val="22"/>
        </w:rPr>
        <w:t>27</w:t>
      </w:r>
      <w:r w:rsidR="008010AD" w:rsidRPr="00515B91">
        <w:rPr>
          <w:i w:val="0"/>
          <w:noProof/>
          <w:sz w:val="22"/>
          <w:szCs w:val="22"/>
        </w:rPr>
        <w:fldChar w:fldCharType="end"/>
      </w:r>
      <w:r w:rsidRPr="00515B91">
        <w:rPr>
          <w:i w:val="0"/>
          <w:sz w:val="22"/>
          <w:szCs w:val="22"/>
        </w:rPr>
        <w:t>.</w:t>
      </w:r>
      <w:r w:rsidRPr="00515B91">
        <w:rPr>
          <w:i w:val="0"/>
          <w:sz w:val="22"/>
          <w:szCs w:val="22"/>
          <w:lang w:val="es-ES" w:eastAsia="es-MX"/>
        </w:rPr>
        <w:t xml:space="preserve"> Límites de intensidad de campo para los DRCA no específicos que operen en la banda 2.4 GHz para cualquier aplicación establecidos en Colombia</w:t>
      </w:r>
      <w:bookmarkEnd w:id="326"/>
      <w:bookmarkEnd w:id="327"/>
      <w:bookmarkEnd w:id="328"/>
    </w:p>
    <w:p w14:paraId="75A68DBF" w14:textId="77777777" w:rsidR="00ED49E0" w:rsidRPr="0027631D" w:rsidRDefault="00ED49E0" w:rsidP="0027631D">
      <w:pPr>
        <w:spacing w:after="0" w:line="23" w:lineRule="atLeast"/>
        <w:contextualSpacing/>
        <w:jc w:val="both"/>
        <w:rPr>
          <w:rFonts w:ascii="Arial" w:hAnsi="Arial" w:cs="Arial"/>
          <w:lang w:eastAsia="en-GB"/>
        </w:rPr>
      </w:pPr>
    </w:p>
    <w:p w14:paraId="1198C470" w14:textId="77777777" w:rsidR="00ED49E0" w:rsidRPr="0027631D" w:rsidRDefault="00ED49E0" w:rsidP="0027631D">
      <w:pPr>
        <w:spacing w:after="0" w:line="23" w:lineRule="atLeast"/>
        <w:contextualSpacing/>
        <w:jc w:val="both"/>
        <w:rPr>
          <w:rFonts w:ascii="Arial" w:hAnsi="Arial" w:cs="Arial"/>
          <w:lang w:eastAsia="en-GB"/>
        </w:rPr>
      </w:pPr>
      <w:r w:rsidRPr="0027631D">
        <w:rPr>
          <w:rFonts w:ascii="Arial" w:hAnsi="Arial" w:cs="Arial"/>
          <w:lang w:eastAsia="en-GB"/>
        </w:rPr>
        <w:t xml:space="preserve">Colombia también incluye a los teléfonos fijos inalámbricos que funcionan en la banda 2.4 GHz, en las secciones 2 y 3.3 del Anexo a la Resolución </w:t>
      </w:r>
      <w:r w:rsidR="0006646D">
        <w:rPr>
          <w:rFonts w:ascii="Arial" w:hAnsi="Arial" w:cs="Arial"/>
          <w:lang w:eastAsia="en-GB"/>
        </w:rPr>
        <w:t>105</w:t>
      </w:r>
      <w:r w:rsidR="00025932">
        <w:rPr>
          <w:rFonts w:ascii="Arial" w:hAnsi="Arial" w:cs="Arial"/>
          <w:lang w:eastAsia="en-GB"/>
        </w:rPr>
        <w:t xml:space="preserve"> </w:t>
      </w:r>
      <w:r w:rsidRPr="0027631D">
        <w:rPr>
          <w:rFonts w:ascii="Arial" w:hAnsi="Arial" w:cs="Arial"/>
          <w:lang w:eastAsia="en-GB"/>
        </w:rPr>
        <w:t>se indican los límites de emisión de intensidad de campo y las condiciones especiales, los cuales se resumen en la tabla siguiente:</w:t>
      </w:r>
    </w:p>
    <w:p w14:paraId="2CB4AD78" w14:textId="77777777" w:rsidR="00ED49E0" w:rsidRPr="0027631D" w:rsidRDefault="00ED49E0" w:rsidP="0027631D">
      <w:pPr>
        <w:spacing w:after="0" w:line="23" w:lineRule="atLeast"/>
        <w:contextualSpacing/>
        <w:jc w:val="both"/>
        <w:rPr>
          <w:rFonts w:ascii="Arial" w:hAnsi="Arial" w:cs="Arial"/>
          <w:lang w:eastAsia="en-GB"/>
        </w:rPr>
      </w:pPr>
    </w:p>
    <w:tbl>
      <w:tblPr>
        <w:tblStyle w:val="Tablaconcuadrcula"/>
        <w:tblW w:w="0" w:type="auto"/>
        <w:jc w:val="right"/>
        <w:tblLook w:val="04A0" w:firstRow="1" w:lastRow="0" w:firstColumn="1" w:lastColumn="0" w:noHBand="0" w:noVBand="1"/>
      </w:tblPr>
      <w:tblGrid>
        <w:gridCol w:w="1780"/>
        <w:gridCol w:w="7614"/>
      </w:tblGrid>
      <w:tr w:rsidR="00341CFE" w:rsidRPr="0027631D" w14:paraId="1530FBCA" w14:textId="77777777" w:rsidTr="00341CFE">
        <w:trPr>
          <w:jc w:val="right"/>
        </w:trPr>
        <w:tc>
          <w:tcPr>
            <w:tcW w:w="0" w:type="auto"/>
            <w:gridSpan w:val="2"/>
            <w:shd w:val="clear" w:color="auto" w:fill="D9D9D9" w:themeFill="background1" w:themeFillShade="D9"/>
            <w:vAlign w:val="center"/>
          </w:tcPr>
          <w:p w14:paraId="2A6F9196"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Límites de intensidad de campo especificados a una distancia de 3 metros</w:t>
            </w:r>
          </w:p>
        </w:tc>
      </w:tr>
      <w:tr w:rsidR="00341CFE" w:rsidRPr="0027631D" w14:paraId="2A2C7B42" w14:textId="77777777" w:rsidTr="00341CFE">
        <w:trPr>
          <w:trHeight w:val="317"/>
          <w:jc w:val="right"/>
        </w:trPr>
        <w:tc>
          <w:tcPr>
            <w:tcW w:w="0" w:type="auto"/>
            <w:shd w:val="clear" w:color="auto" w:fill="D9D9D9" w:themeFill="background1" w:themeFillShade="D9"/>
            <w:vAlign w:val="center"/>
          </w:tcPr>
          <w:p w14:paraId="13383520"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Banda de frecuencias (MHz)</w:t>
            </w:r>
          </w:p>
        </w:tc>
        <w:tc>
          <w:tcPr>
            <w:tcW w:w="0" w:type="auto"/>
            <w:shd w:val="clear" w:color="auto" w:fill="D9D9D9" w:themeFill="background1" w:themeFillShade="D9"/>
            <w:vAlign w:val="center"/>
          </w:tcPr>
          <w:p w14:paraId="6E5ABDB3" w14:textId="77777777" w:rsidR="00ED49E0" w:rsidRPr="0027631D" w:rsidRDefault="00ED49E0" w:rsidP="0027631D">
            <w:pPr>
              <w:spacing w:after="0" w:line="23" w:lineRule="atLeast"/>
              <w:contextualSpacing/>
              <w:jc w:val="center"/>
              <w:rPr>
                <w:rFonts w:ascii="Arial" w:hAnsi="Arial" w:cs="Arial"/>
                <w:b/>
              </w:rPr>
            </w:pPr>
            <w:r w:rsidRPr="0027631D">
              <w:rPr>
                <w:rFonts w:ascii="Arial" w:hAnsi="Arial" w:cs="Arial"/>
                <w:b/>
              </w:rPr>
              <w:t>Intensidad máxima de campo eléctrico</w:t>
            </w:r>
          </w:p>
        </w:tc>
      </w:tr>
      <w:tr w:rsidR="00341CFE" w:rsidRPr="0027631D" w14:paraId="446781E6" w14:textId="77777777" w:rsidTr="00341CFE">
        <w:trPr>
          <w:trHeight w:val="293"/>
          <w:jc w:val="right"/>
        </w:trPr>
        <w:tc>
          <w:tcPr>
            <w:tcW w:w="0" w:type="auto"/>
            <w:vMerge w:val="restart"/>
            <w:shd w:val="clear" w:color="auto" w:fill="auto"/>
            <w:vAlign w:val="center"/>
          </w:tcPr>
          <w:p w14:paraId="078156F1"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rPr>
              <w:t>2400-2483.5 MHz</w:t>
            </w:r>
          </w:p>
        </w:tc>
        <w:tc>
          <w:tcPr>
            <w:tcW w:w="0" w:type="auto"/>
            <w:shd w:val="clear" w:color="auto" w:fill="auto"/>
            <w:vAlign w:val="center"/>
          </w:tcPr>
          <w:p w14:paraId="07F1055D"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rPr>
              <w:t>50 mV/m</w:t>
            </w:r>
          </w:p>
        </w:tc>
      </w:tr>
      <w:tr w:rsidR="00341CFE" w:rsidRPr="0027631D" w14:paraId="33F36EE7" w14:textId="77777777" w:rsidTr="00341CFE">
        <w:trPr>
          <w:trHeight w:val="293"/>
          <w:jc w:val="right"/>
        </w:trPr>
        <w:tc>
          <w:tcPr>
            <w:tcW w:w="0" w:type="auto"/>
            <w:vMerge/>
            <w:shd w:val="clear" w:color="auto" w:fill="auto"/>
            <w:vAlign w:val="center"/>
          </w:tcPr>
          <w:p w14:paraId="51EF2879" w14:textId="77777777" w:rsidR="00ED49E0" w:rsidRPr="0027631D" w:rsidRDefault="00ED49E0" w:rsidP="0027631D">
            <w:pPr>
              <w:spacing w:after="0" w:line="23" w:lineRule="atLeast"/>
              <w:contextualSpacing/>
              <w:jc w:val="center"/>
              <w:rPr>
                <w:rFonts w:ascii="Arial" w:hAnsi="Arial" w:cs="Arial"/>
              </w:rPr>
            </w:pPr>
          </w:p>
        </w:tc>
        <w:tc>
          <w:tcPr>
            <w:tcW w:w="0" w:type="auto"/>
            <w:shd w:val="clear" w:color="auto" w:fill="auto"/>
            <w:vAlign w:val="center"/>
          </w:tcPr>
          <w:p w14:paraId="5EF09494" w14:textId="77777777" w:rsidR="00ED49E0" w:rsidRPr="0027631D" w:rsidRDefault="00ED49E0" w:rsidP="0027631D">
            <w:pPr>
              <w:spacing w:after="0" w:line="23" w:lineRule="atLeast"/>
              <w:contextualSpacing/>
              <w:jc w:val="center"/>
              <w:rPr>
                <w:rFonts w:ascii="Arial" w:hAnsi="Arial" w:cs="Arial"/>
              </w:rPr>
            </w:pPr>
            <w:r w:rsidRPr="0027631D">
              <w:rPr>
                <w:rFonts w:ascii="Arial" w:hAnsi="Arial" w:cs="Arial"/>
              </w:rPr>
              <w:t>Las condiciones y parámetros técnicos de operación especiales aplicables a los teléfonos inalámbricos son:</w:t>
            </w:r>
          </w:p>
          <w:p w14:paraId="4E80DDD0" w14:textId="77777777" w:rsidR="00ED49E0" w:rsidRPr="0027631D" w:rsidRDefault="00ED49E0" w:rsidP="00E36991">
            <w:pPr>
              <w:pStyle w:val="Prrafodelista"/>
              <w:numPr>
                <w:ilvl w:val="0"/>
                <w:numId w:val="11"/>
              </w:numPr>
              <w:spacing w:line="23" w:lineRule="atLeast"/>
              <w:ind w:left="0" w:firstLine="0"/>
              <w:contextualSpacing/>
              <w:jc w:val="center"/>
              <w:rPr>
                <w:rFonts w:cs="Arial"/>
                <w:sz w:val="22"/>
                <w:szCs w:val="22"/>
              </w:rPr>
            </w:pPr>
            <w:r w:rsidRPr="0027631D">
              <w:rPr>
                <w:rFonts w:cs="Arial"/>
                <w:sz w:val="22"/>
                <w:szCs w:val="22"/>
              </w:rPr>
              <w:t>Se considerará autorizado el uso libre del espectro radioeléctrico para estos equipos cuando sean de baja potencia y corto alcance; y que sean utilizados exclusivamente en espacios interiores.</w:t>
            </w:r>
          </w:p>
          <w:p w14:paraId="40CA4B8E" w14:textId="77777777" w:rsidR="00ED49E0" w:rsidRPr="0027631D" w:rsidRDefault="00ED49E0" w:rsidP="00E36991">
            <w:pPr>
              <w:pStyle w:val="Prrafodelista"/>
              <w:numPr>
                <w:ilvl w:val="0"/>
                <w:numId w:val="11"/>
              </w:numPr>
              <w:spacing w:line="23" w:lineRule="atLeast"/>
              <w:ind w:left="0" w:firstLine="0"/>
              <w:contextualSpacing/>
              <w:jc w:val="center"/>
              <w:rPr>
                <w:rFonts w:cs="Arial"/>
                <w:sz w:val="22"/>
                <w:szCs w:val="22"/>
              </w:rPr>
            </w:pPr>
            <w:r w:rsidRPr="0027631D">
              <w:rPr>
                <w:rFonts w:cs="Arial"/>
                <w:sz w:val="22"/>
                <w:szCs w:val="22"/>
              </w:rPr>
              <w:t>Deben contar con antenas integradas, sin conector de antena externo. El diseño de la estación base debe contemplar la opción de reemplazar la antena en caso de daño; está prohibido el uso de conectores de antenas externas, pues pueden implicar cambios en las condiciones de niveles de potencia emitidos.</w:t>
            </w:r>
          </w:p>
          <w:p w14:paraId="2BC15C01" w14:textId="77777777" w:rsidR="00ED49E0" w:rsidRPr="0027631D" w:rsidRDefault="00ED49E0" w:rsidP="00E36991">
            <w:pPr>
              <w:pStyle w:val="Prrafodelista"/>
              <w:numPr>
                <w:ilvl w:val="0"/>
                <w:numId w:val="11"/>
              </w:numPr>
              <w:spacing w:line="23" w:lineRule="atLeast"/>
              <w:ind w:left="0" w:firstLine="0"/>
              <w:contextualSpacing/>
              <w:jc w:val="center"/>
              <w:rPr>
                <w:rFonts w:cs="Arial"/>
                <w:sz w:val="22"/>
                <w:szCs w:val="22"/>
              </w:rPr>
            </w:pPr>
            <w:r w:rsidRPr="0027631D">
              <w:rPr>
                <w:rFonts w:cs="Arial"/>
                <w:sz w:val="22"/>
                <w:szCs w:val="22"/>
              </w:rPr>
              <w:t>Las emisiones fuera de banda y las emisiones no esenciales deberán estar atenuadas de conformidad con lo establecido en el apéndice 3 del RR de la UIT.</w:t>
            </w:r>
          </w:p>
        </w:tc>
      </w:tr>
    </w:tbl>
    <w:p w14:paraId="1CF253E9" w14:textId="2F461081" w:rsidR="00ED49E0" w:rsidRPr="00515B91" w:rsidRDefault="00ED49E0" w:rsidP="0027631D">
      <w:pPr>
        <w:pStyle w:val="Descripcin"/>
        <w:contextualSpacing/>
        <w:rPr>
          <w:i w:val="0"/>
          <w:sz w:val="22"/>
          <w:szCs w:val="22"/>
        </w:rPr>
      </w:pPr>
      <w:bookmarkStart w:id="329" w:name="_Toc45381238"/>
      <w:bookmarkStart w:id="330" w:name="_Toc45452840"/>
      <w:bookmarkStart w:id="331" w:name="_Toc45452949"/>
      <w:r w:rsidRPr="00515B91">
        <w:rPr>
          <w:i w:val="0"/>
          <w:sz w:val="22"/>
          <w:szCs w:val="22"/>
        </w:rPr>
        <w:t xml:space="preserve">Tabla </w:t>
      </w:r>
      <w:r w:rsidR="008010AD" w:rsidRPr="00515B91">
        <w:rPr>
          <w:i w:val="0"/>
          <w:sz w:val="22"/>
          <w:szCs w:val="22"/>
        </w:rPr>
        <w:fldChar w:fldCharType="begin"/>
      </w:r>
      <w:r w:rsidR="008010AD" w:rsidRPr="00515B91">
        <w:rPr>
          <w:i w:val="0"/>
          <w:sz w:val="22"/>
          <w:szCs w:val="22"/>
        </w:rPr>
        <w:instrText xml:space="preserve"> SEQ Tabla \* ARABIC </w:instrText>
      </w:r>
      <w:r w:rsidR="008010AD" w:rsidRPr="00515B91">
        <w:rPr>
          <w:i w:val="0"/>
          <w:sz w:val="22"/>
          <w:szCs w:val="22"/>
        </w:rPr>
        <w:fldChar w:fldCharType="separate"/>
      </w:r>
      <w:r w:rsidR="004F1EA3">
        <w:rPr>
          <w:i w:val="0"/>
          <w:noProof/>
          <w:sz w:val="22"/>
          <w:szCs w:val="22"/>
        </w:rPr>
        <w:t>28</w:t>
      </w:r>
      <w:r w:rsidR="008010AD" w:rsidRPr="00515B91">
        <w:rPr>
          <w:i w:val="0"/>
          <w:noProof/>
          <w:sz w:val="22"/>
          <w:szCs w:val="22"/>
        </w:rPr>
        <w:fldChar w:fldCharType="end"/>
      </w:r>
      <w:r w:rsidRPr="00515B91">
        <w:rPr>
          <w:i w:val="0"/>
          <w:sz w:val="22"/>
          <w:szCs w:val="22"/>
        </w:rPr>
        <w:t>.</w:t>
      </w:r>
      <w:r w:rsidRPr="00515B91">
        <w:rPr>
          <w:i w:val="0"/>
          <w:sz w:val="22"/>
          <w:szCs w:val="22"/>
          <w:lang w:val="es-ES" w:eastAsia="es-MX"/>
        </w:rPr>
        <w:t xml:space="preserve"> Límites de intensidad de campo para los </w:t>
      </w:r>
      <w:r w:rsidRPr="00515B91">
        <w:rPr>
          <w:i w:val="0"/>
          <w:sz w:val="22"/>
          <w:szCs w:val="22"/>
          <w:lang w:eastAsia="es-MX"/>
        </w:rPr>
        <w:t>teléfonos fijos inalámbricos</w:t>
      </w:r>
      <w:r w:rsidRPr="00515B91">
        <w:rPr>
          <w:i w:val="0"/>
          <w:sz w:val="22"/>
          <w:szCs w:val="22"/>
          <w:lang w:val="es-ES" w:eastAsia="es-MX"/>
        </w:rPr>
        <w:t xml:space="preserve"> que operen en la banda 2.4 GHz para cualquier aplicación establecidos en Colombia</w:t>
      </w:r>
      <w:bookmarkEnd w:id="329"/>
      <w:bookmarkEnd w:id="330"/>
      <w:bookmarkEnd w:id="331"/>
    </w:p>
    <w:p w14:paraId="1789C9C5" w14:textId="77777777" w:rsidR="00E64E46" w:rsidRPr="0027631D" w:rsidRDefault="00E64E46" w:rsidP="0027631D">
      <w:pPr>
        <w:pStyle w:val="Prrafodelista"/>
        <w:suppressAutoHyphens/>
        <w:spacing w:line="23" w:lineRule="atLeast"/>
        <w:ind w:left="0" w:right="49"/>
        <w:contextualSpacing/>
        <w:jc w:val="both"/>
        <w:rPr>
          <w:rFonts w:cs="Arial"/>
          <w:color w:val="000000" w:themeColor="text1"/>
          <w:kern w:val="1"/>
          <w:sz w:val="22"/>
          <w:szCs w:val="22"/>
          <w:lang w:eastAsia="ar-SA"/>
        </w:rPr>
      </w:pPr>
    </w:p>
    <w:p w14:paraId="1C0E3FEB" w14:textId="77777777" w:rsidR="00A71F03" w:rsidRPr="0027631D" w:rsidRDefault="00A71F03" w:rsidP="0027631D">
      <w:pPr>
        <w:pStyle w:val="Prrafodelista"/>
        <w:suppressAutoHyphens/>
        <w:spacing w:line="23" w:lineRule="atLeast"/>
        <w:ind w:left="0" w:right="49"/>
        <w:contextualSpacing/>
        <w:jc w:val="both"/>
        <w:rPr>
          <w:rFonts w:cs="Arial"/>
          <w:color w:val="000000" w:themeColor="text1"/>
          <w:kern w:val="1"/>
          <w:sz w:val="22"/>
          <w:szCs w:val="22"/>
          <w:lang w:eastAsia="ar-SA"/>
        </w:rPr>
      </w:pPr>
      <w:r w:rsidRPr="0027631D">
        <w:rPr>
          <w:rFonts w:cs="Arial"/>
          <w:color w:val="000000" w:themeColor="text1"/>
          <w:kern w:val="1"/>
          <w:sz w:val="22"/>
          <w:szCs w:val="22"/>
          <w:lang w:eastAsia="ar-SA"/>
        </w:rPr>
        <w:t xml:space="preserve">En este orden de ideas, se observa que existen diversos sistemas de comunicación inalámbrica que pueden operar en la banda 2.4 GHz, los cuales son utilizados para cubrir ciertas necesidades de comunicación, no obstante, para permitir su operación, requieren cubrir ciertas condiciones y/o especificaciones técnicas necesarias para su fabricación, operación y comercialización. A </w:t>
      </w:r>
      <w:r w:rsidRPr="0027631D">
        <w:rPr>
          <w:rFonts w:cs="Arial"/>
          <w:color w:val="000000" w:themeColor="text1"/>
          <w:kern w:val="1"/>
          <w:sz w:val="22"/>
          <w:szCs w:val="22"/>
          <w:lang w:eastAsia="ar-SA"/>
        </w:rPr>
        <w:lastRenderedPageBreak/>
        <w:t>continuación, se enlistan algunos sistemas que cuentan con ecosistema para su operación en esta porción del espectro radioeléctrico.</w:t>
      </w:r>
    </w:p>
    <w:p w14:paraId="69B6DA6F" w14:textId="77777777" w:rsidR="00A71F03" w:rsidRPr="0027631D" w:rsidRDefault="00A71F03" w:rsidP="0027631D">
      <w:pPr>
        <w:pStyle w:val="Prrafodelista"/>
        <w:suppressAutoHyphens/>
        <w:spacing w:line="23" w:lineRule="atLeast"/>
        <w:ind w:left="0" w:right="49"/>
        <w:contextualSpacing/>
        <w:jc w:val="both"/>
        <w:rPr>
          <w:rFonts w:cs="Arial"/>
          <w:color w:val="000000" w:themeColor="text1"/>
          <w:kern w:val="1"/>
          <w:sz w:val="22"/>
          <w:szCs w:val="22"/>
          <w:lang w:eastAsia="ar-SA"/>
        </w:rPr>
      </w:pPr>
    </w:p>
    <w:p w14:paraId="26E6B9C7" w14:textId="77777777" w:rsidR="00A71F03" w:rsidRPr="0027631D" w:rsidRDefault="00A71F03" w:rsidP="00E36991">
      <w:pPr>
        <w:pStyle w:val="Prrafodelista"/>
        <w:numPr>
          <w:ilvl w:val="1"/>
          <w:numId w:val="4"/>
        </w:numPr>
        <w:suppressAutoHyphens/>
        <w:spacing w:line="23" w:lineRule="atLeast"/>
        <w:ind w:right="49"/>
        <w:contextualSpacing/>
        <w:rPr>
          <w:rFonts w:cs="Arial"/>
          <w:color w:val="000000" w:themeColor="text1"/>
          <w:kern w:val="1"/>
          <w:sz w:val="22"/>
          <w:szCs w:val="22"/>
          <w:lang w:eastAsia="ar-SA"/>
        </w:rPr>
      </w:pPr>
      <w:bookmarkStart w:id="332" w:name="_Toc40373833"/>
      <w:bookmarkStart w:id="333" w:name="_Toc44067649"/>
      <w:bookmarkStart w:id="334" w:name="_Toc44339722"/>
      <w:bookmarkStart w:id="335" w:name="_Toc44939124"/>
      <w:bookmarkStart w:id="336" w:name="_Toc44946912"/>
      <w:bookmarkStart w:id="337" w:name="_Toc44947801"/>
      <w:r w:rsidRPr="0027631D">
        <w:rPr>
          <w:rFonts w:cs="Arial"/>
          <w:color w:val="000000" w:themeColor="text1"/>
          <w:kern w:val="1"/>
          <w:sz w:val="22"/>
          <w:szCs w:val="22"/>
          <w:lang w:eastAsia="ar-SA"/>
        </w:rPr>
        <w:t>Sistemas de comunicación dedicados a la transmisión de datos</w:t>
      </w:r>
      <w:bookmarkEnd w:id="332"/>
      <w:bookmarkEnd w:id="333"/>
      <w:bookmarkEnd w:id="334"/>
      <w:bookmarkEnd w:id="335"/>
      <w:bookmarkEnd w:id="336"/>
      <w:bookmarkEnd w:id="337"/>
      <w:r w:rsidRPr="0027631D">
        <w:rPr>
          <w:rFonts w:cs="Arial"/>
          <w:color w:val="000000" w:themeColor="text1"/>
          <w:kern w:val="1"/>
          <w:sz w:val="22"/>
          <w:szCs w:val="22"/>
          <w:lang w:eastAsia="ar-SA"/>
        </w:rPr>
        <w:t>.</w:t>
      </w:r>
    </w:p>
    <w:p w14:paraId="7C71DEE1" w14:textId="77777777" w:rsidR="00A71F03" w:rsidRPr="0027631D" w:rsidRDefault="00A71F03" w:rsidP="00E36991">
      <w:pPr>
        <w:pStyle w:val="Prrafodelista"/>
        <w:numPr>
          <w:ilvl w:val="2"/>
          <w:numId w:val="8"/>
        </w:numPr>
        <w:suppressAutoHyphens/>
        <w:spacing w:line="23" w:lineRule="atLeast"/>
        <w:ind w:right="49"/>
        <w:contextualSpacing/>
        <w:rPr>
          <w:rFonts w:cs="Arial"/>
          <w:color w:val="000000" w:themeColor="text1"/>
          <w:kern w:val="1"/>
          <w:sz w:val="22"/>
          <w:szCs w:val="22"/>
          <w:lang w:eastAsia="ar-SA"/>
        </w:rPr>
      </w:pPr>
      <w:bookmarkStart w:id="338" w:name="_Toc44939126"/>
      <w:bookmarkStart w:id="339" w:name="_Toc44946914"/>
      <w:bookmarkStart w:id="340" w:name="_Toc44947803"/>
      <w:r w:rsidRPr="0027631D">
        <w:rPr>
          <w:rFonts w:cs="Arial"/>
          <w:color w:val="000000" w:themeColor="text1"/>
          <w:kern w:val="1"/>
          <w:sz w:val="22"/>
          <w:szCs w:val="22"/>
          <w:lang w:eastAsia="ar-SA"/>
        </w:rPr>
        <w:t>Red inalámbrica de área personal (WPAN)</w:t>
      </w:r>
      <w:bookmarkEnd w:id="338"/>
      <w:bookmarkEnd w:id="339"/>
      <w:bookmarkEnd w:id="340"/>
      <w:r w:rsidRPr="0027631D">
        <w:rPr>
          <w:rFonts w:cs="Arial"/>
          <w:color w:val="000000" w:themeColor="text1"/>
          <w:kern w:val="1"/>
          <w:sz w:val="22"/>
          <w:szCs w:val="22"/>
          <w:lang w:eastAsia="ar-SA"/>
        </w:rPr>
        <w:t>.</w:t>
      </w:r>
    </w:p>
    <w:p w14:paraId="37806AE7" w14:textId="77777777" w:rsidR="00A71F03" w:rsidRPr="0027631D" w:rsidRDefault="00A71F03" w:rsidP="00E36991">
      <w:pPr>
        <w:pStyle w:val="Prrafodelista"/>
        <w:numPr>
          <w:ilvl w:val="2"/>
          <w:numId w:val="8"/>
        </w:numPr>
        <w:suppressAutoHyphens/>
        <w:spacing w:line="23" w:lineRule="atLeast"/>
        <w:ind w:right="49"/>
        <w:contextualSpacing/>
        <w:rPr>
          <w:rFonts w:cs="Arial"/>
          <w:color w:val="000000" w:themeColor="text1"/>
          <w:kern w:val="1"/>
          <w:sz w:val="22"/>
          <w:szCs w:val="22"/>
          <w:lang w:eastAsia="ar-SA"/>
        </w:rPr>
      </w:pPr>
      <w:bookmarkStart w:id="341" w:name="_Toc44939127"/>
      <w:bookmarkStart w:id="342" w:name="_Toc44946915"/>
      <w:bookmarkStart w:id="343" w:name="_Toc44947804"/>
      <w:r w:rsidRPr="0027631D">
        <w:rPr>
          <w:rFonts w:cs="Arial"/>
          <w:color w:val="000000" w:themeColor="text1"/>
          <w:kern w:val="1"/>
          <w:sz w:val="22"/>
          <w:szCs w:val="22"/>
          <w:lang w:eastAsia="ar-SA"/>
        </w:rPr>
        <w:t>Red de área local inalámbrica (WLAN)</w:t>
      </w:r>
      <w:bookmarkEnd w:id="341"/>
      <w:bookmarkEnd w:id="342"/>
      <w:bookmarkEnd w:id="343"/>
      <w:r w:rsidRPr="0027631D">
        <w:rPr>
          <w:rFonts w:cs="Arial"/>
          <w:color w:val="000000" w:themeColor="text1"/>
          <w:kern w:val="1"/>
          <w:sz w:val="22"/>
          <w:szCs w:val="22"/>
          <w:lang w:eastAsia="ar-SA"/>
        </w:rPr>
        <w:t>.</w:t>
      </w:r>
    </w:p>
    <w:p w14:paraId="549201D9" w14:textId="77777777" w:rsidR="00A71F03" w:rsidRPr="0027631D" w:rsidRDefault="00A71F03" w:rsidP="00E36991">
      <w:pPr>
        <w:pStyle w:val="Prrafodelista"/>
        <w:numPr>
          <w:ilvl w:val="1"/>
          <w:numId w:val="4"/>
        </w:numPr>
        <w:suppressAutoHyphens/>
        <w:spacing w:line="23" w:lineRule="atLeast"/>
        <w:ind w:right="49"/>
        <w:contextualSpacing/>
        <w:rPr>
          <w:rFonts w:cs="Arial"/>
          <w:color w:val="000000" w:themeColor="text1"/>
          <w:kern w:val="1"/>
          <w:sz w:val="22"/>
          <w:szCs w:val="22"/>
          <w:lang w:eastAsia="ar-SA"/>
        </w:rPr>
      </w:pPr>
      <w:bookmarkStart w:id="344" w:name="_Toc40373835"/>
      <w:bookmarkStart w:id="345" w:name="_Toc44067651"/>
      <w:bookmarkStart w:id="346" w:name="_Toc44339724"/>
      <w:bookmarkStart w:id="347" w:name="_Toc44939128"/>
      <w:bookmarkStart w:id="348" w:name="_Toc44946916"/>
      <w:bookmarkStart w:id="349" w:name="_Toc44947805"/>
      <w:r w:rsidRPr="0027631D">
        <w:rPr>
          <w:rFonts w:cs="Arial"/>
          <w:color w:val="000000" w:themeColor="text1"/>
          <w:kern w:val="1"/>
          <w:sz w:val="22"/>
          <w:szCs w:val="22"/>
          <w:lang w:eastAsia="ar-SA"/>
        </w:rPr>
        <w:t>Sistemas de identificación por Radio Frecuencia (RFID)</w:t>
      </w:r>
      <w:bookmarkEnd w:id="344"/>
      <w:bookmarkEnd w:id="345"/>
      <w:bookmarkEnd w:id="346"/>
      <w:bookmarkEnd w:id="347"/>
      <w:bookmarkEnd w:id="348"/>
      <w:bookmarkEnd w:id="349"/>
      <w:r w:rsidRPr="0027631D">
        <w:rPr>
          <w:rFonts w:cs="Arial"/>
          <w:color w:val="000000" w:themeColor="text1"/>
          <w:kern w:val="1"/>
          <w:sz w:val="22"/>
          <w:szCs w:val="22"/>
          <w:lang w:eastAsia="ar-SA"/>
        </w:rPr>
        <w:t>.</w:t>
      </w:r>
    </w:p>
    <w:p w14:paraId="005DCB2F" w14:textId="77777777" w:rsidR="00A71F03" w:rsidRPr="0027631D" w:rsidRDefault="00A71F03" w:rsidP="00E36991">
      <w:pPr>
        <w:pStyle w:val="Prrafodelista"/>
        <w:numPr>
          <w:ilvl w:val="1"/>
          <w:numId w:val="4"/>
        </w:numPr>
        <w:suppressAutoHyphens/>
        <w:spacing w:line="23" w:lineRule="atLeast"/>
        <w:ind w:right="49"/>
        <w:contextualSpacing/>
        <w:rPr>
          <w:rFonts w:cs="Arial"/>
          <w:color w:val="000000" w:themeColor="text1"/>
          <w:kern w:val="1"/>
          <w:sz w:val="22"/>
          <w:szCs w:val="22"/>
          <w:lang w:eastAsia="ar-SA"/>
        </w:rPr>
      </w:pPr>
      <w:bookmarkStart w:id="350" w:name="_Toc40373836"/>
      <w:bookmarkStart w:id="351" w:name="_Toc44067652"/>
      <w:bookmarkStart w:id="352" w:name="_Toc44339725"/>
      <w:bookmarkStart w:id="353" w:name="_Toc44939129"/>
      <w:bookmarkStart w:id="354" w:name="_Toc44946917"/>
      <w:bookmarkStart w:id="355" w:name="_Toc44947806"/>
      <w:r w:rsidRPr="0027631D">
        <w:rPr>
          <w:rFonts w:cs="Arial"/>
          <w:color w:val="000000" w:themeColor="text1"/>
          <w:kern w:val="1"/>
          <w:sz w:val="22"/>
          <w:szCs w:val="22"/>
          <w:lang w:eastAsia="ar-SA"/>
        </w:rPr>
        <w:t>Sistemas de transmisión inalámbrica de video</w:t>
      </w:r>
      <w:bookmarkEnd w:id="350"/>
      <w:bookmarkEnd w:id="351"/>
      <w:bookmarkEnd w:id="352"/>
      <w:bookmarkEnd w:id="353"/>
      <w:bookmarkEnd w:id="354"/>
      <w:bookmarkEnd w:id="355"/>
      <w:r w:rsidRPr="0027631D">
        <w:rPr>
          <w:rFonts w:cs="Arial"/>
          <w:color w:val="000000" w:themeColor="text1"/>
          <w:kern w:val="1"/>
          <w:sz w:val="22"/>
          <w:szCs w:val="22"/>
          <w:lang w:eastAsia="ar-SA"/>
        </w:rPr>
        <w:t>.</w:t>
      </w:r>
    </w:p>
    <w:p w14:paraId="29488C63" w14:textId="77777777" w:rsidR="00A71F03" w:rsidRPr="0027631D" w:rsidRDefault="00A71F03" w:rsidP="00E36991">
      <w:pPr>
        <w:pStyle w:val="Prrafodelista"/>
        <w:numPr>
          <w:ilvl w:val="1"/>
          <w:numId w:val="4"/>
        </w:numPr>
        <w:suppressAutoHyphens/>
        <w:spacing w:line="23" w:lineRule="atLeast"/>
        <w:ind w:right="49"/>
        <w:contextualSpacing/>
        <w:rPr>
          <w:rFonts w:cs="Arial"/>
          <w:color w:val="000000" w:themeColor="text1"/>
          <w:kern w:val="1"/>
          <w:sz w:val="22"/>
          <w:szCs w:val="22"/>
          <w:lang w:eastAsia="ar-SA"/>
        </w:rPr>
      </w:pPr>
      <w:bookmarkStart w:id="356" w:name="_Toc40373837"/>
      <w:bookmarkStart w:id="357" w:name="_Toc44067653"/>
      <w:bookmarkStart w:id="358" w:name="_Toc44339726"/>
      <w:bookmarkStart w:id="359" w:name="_Toc44939130"/>
      <w:bookmarkStart w:id="360" w:name="_Toc44946918"/>
      <w:bookmarkStart w:id="361" w:name="_Toc44947807"/>
      <w:r w:rsidRPr="0027631D">
        <w:rPr>
          <w:rFonts w:cs="Arial"/>
          <w:color w:val="000000" w:themeColor="text1"/>
          <w:kern w:val="1"/>
          <w:sz w:val="22"/>
          <w:szCs w:val="22"/>
          <w:lang w:eastAsia="ar-SA"/>
        </w:rPr>
        <w:t>Sistemas de radio determinación</w:t>
      </w:r>
      <w:bookmarkEnd w:id="356"/>
      <w:bookmarkEnd w:id="357"/>
      <w:bookmarkEnd w:id="358"/>
      <w:bookmarkEnd w:id="359"/>
      <w:bookmarkEnd w:id="360"/>
      <w:bookmarkEnd w:id="361"/>
      <w:r w:rsidRPr="0027631D">
        <w:rPr>
          <w:rFonts w:cs="Arial"/>
          <w:color w:val="000000" w:themeColor="text1"/>
          <w:kern w:val="1"/>
          <w:sz w:val="22"/>
          <w:szCs w:val="22"/>
          <w:lang w:eastAsia="ar-SA"/>
        </w:rPr>
        <w:t>.</w:t>
      </w:r>
    </w:p>
    <w:p w14:paraId="5F3E824A" w14:textId="77777777" w:rsidR="00A71F03" w:rsidRPr="0027631D" w:rsidRDefault="00A71F03" w:rsidP="00E36991">
      <w:pPr>
        <w:pStyle w:val="Prrafodelista"/>
        <w:numPr>
          <w:ilvl w:val="1"/>
          <w:numId w:val="4"/>
        </w:numPr>
        <w:suppressAutoHyphens/>
        <w:spacing w:line="23" w:lineRule="atLeast"/>
        <w:ind w:right="49"/>
        <w:contextualSpacing/>
        <w:rPr>
          <w:rFonts w:cs="Arial"/>
          <w:color w:val="000000" w:themeColor="text1"/>
          <w:kern w:val="1"/>
          <w:sz w:val="22"/>
          <w:szCs w:val="22"/>
          <w:lang w:eastAsia="ar-SA"/>
        </w:rPr>
      </w:pPr>
      <w:bookmarkStart w:id="362" w:name="_Toc40373839"/>
      <w:bookmarkStart w:id="363" w:name="_Toc44067655"/>
      <w:bookmarkStart w:id="364" w:name="_Toc44339727"/>
      <w:bookmarkStart w:id="365" w:name="_Toc44939131"/>
      <w:bookmarkStart w:id="366" w:name="_Toc44946919"/>
      <w:bookmarkStart w:id="367" w:name="_Toc44947808"/>
      <w:r w:rsidRPr="0027631D">
        <w:rPr>
          <w:rFonts w:cs="Arial"/>
          <w:color w:val="000000" w:themeColor="text1"/>
          <w:kern w:val="1"/>
          <w:sz w:val="22"/>
          <w:szCs w:val="22"/>
          <w:lang w:eastAsia="ar-SA"/>
        </w:rPr>
        <w:t>Sistemas de identificación de vehículos</w:t>
      </w:r>
      <w:bookmarkEnd w:id="362"/>
      <w:bookmarkEnd w:id="363"/>
      <w:bookmarkEnd w:id="364"/>
      <w:bookmarkEnd w:id="365"/>
      <w:bookmarkEnd w:id="366"/>
      <w:bookmarkEnd w:id="367"/>
      <w:r w:rsidRPr="0027631D">
        <w:rPr>
          <w:rFonts w:cs="Arial"/>
          <w:color w:val="000000" w:themeColor="text1"/>
          <w:kern w:val="1"/>
          <w:sz w:val="22"/>
          <w:szCs w:val="22"/>
          <w:lang w:eastAsia="ar-SA"/>
        </w:rPr>
        <w:t>.</w:t>
      </w:r>
    </w:p>
    <w:p w14:paraId="7C192E51" w14:textId="77777777" w:rsidR="00A71F03" w:rsidRPr="0027631D" w:rsidRDefault="00A71F03" w:rsidP="00E36991">
      <w:pPr>
        <w:pStyle w:val="Prrafodelista"/>
        <w:numPr>
          <w:ilvl w:val="1"/>
          <w:numId w:val="4"/>
        </w:numPr>
        <w:suppressAutoHyphens/>
        <w:spacing w:line="23" w:lineRule="atLeast"/>
        <w:ind w:right="49"/>
        <w:contextualSpacing/>
        <w:rPr>
          <w:rFonts w:cs="Arial"/>
          <w:color w:val="000000" w:themeColor="text1"/>
          <w:kern w:val="1"/>
          <w:sz w:val="22"/>
          <w:szCs w:val="22"/>
          <w:lang w:eastAsia="ar-SA"/>
        </w:rPr>
      </w:pPr>
      <w:bookmarkStart w:id="368" w:name="_Toc40373840"/>
      <w:bookmarkStart w:id="369" w:name="_Toc44067656"/>
      <w:bookmarkStart w:id="370" w:name="_Toc44339728"/>
      <w:bookmarkStart w:id="371" w:name="_Toc44939132"/>
      <w:bookmarkStart w:id="372" w:name="_Toc44946920"/>
      <w:bookmarkStart w:id="373" w:name="_Toc44947809"/>
      <w:r w:rsidRPr="0027631D">
        <w:rPr>
          <w:rFonts w:cs="Arial"/>
          <w:color w:val="000000" w:themeColor="text1"/>
          <w:kern w:val="1"/>
          <w:sz w:val="22"/>
          <w:szCs w:val="22"/>
          <w:lang w:eastAsia="ar-SA"/>
        </w:rPr>
        <w:t>Sistemas de telefonía inalámbrica</w:t>
      </w:r>
      <w:bookmarkEnd w:id="368"/>
      <w:bookmarkEnd w:id="369"/>
      <w:bookmarkEnd w:id="370"/>
      <w:bookmarkEnd w:id="371"/>
      <w:bookmarkEnd w:id="372"/>
      <w:bookmarkEnd w:id="373"/>
      <w:r w:rsidRPr="0027631D">
        <w:rPr>
          <w:rFonts w:cs="Arial"/>
          <w:color w:val="000000" w:themeColor="text1"/>
          <w:kern w:val="1"/>
          <w:sz w:val="22"/>
          <w:szCs w:val="22"/>
          <w:lang w:eastAsia="ar-SA"/>
        </w:rPr>
        <w:t>.</w:t>
      </w:r>
    </w:p>
    <w:p w14:paraId="6D12C6AB" w14:textId="77777777" w:rsidR="001E2799" w:rsidRPr="0027631D" w:rsidRDefault="001E2799" w:rsidP="0027631D">
      <w:pPr>
        <w:pStyle w:val="Prrafodelista"/>
        <w:suppressAutoHyphens/>
        <w:spacing w:line="23" w:lineRule="atLeast"/>
        <w:ind w:left="0" w:right="49"/>
        <w:contextualSpacing/>
        <w:jc w:val="both"/>
        <w:rPr>
          <w:rFonts w:cs="Arial"/>
          <w:color w:val="000000" w:themeColor="text1"/>
          <w:kern w:val="1"/>
          <w:sz w:val="22"/>
          <w:szCs w:val="22"/>
          <w:lang w:eastAsia="ar-SA"/>
        </w:rPr>
      </w:pPr>
    </w:p>
    <w:p w14:paraId="045C8809" w14:textId="77777777" w:rsidR="00121481" w:rsidRPr="0027631D" w:rsidRDefault="00E61803" w:rsidP="0027631D">
      <w:pPr>
        <w:pStyle w:val="Prrafodelista"/>
        <w:suppressAutoHyphens/>
        <w:spacing w:line="23" w:lineRule="atLeast"/>
        <w:ind w:left="0" w:right="49"/>
        <w:contextualSpacing/>
        <w:jc w:val="both"/>
        <w:rPr>
          <w:rFonts w:cs="Arial"/>
          <w:color w:val="000000" w:themeColor="text1"/>
          <w:kern w:val="1"/>
          <w:sz w:val="22"/>
          <w:szCs w:val="22"/>
          <w:lang w:eastAsia="ar-SA"/>
        </w:rPr>
      </w:pPr>
      <w:r w:rsidRPr="0027631D">
        <w:rPr>
          <w:rFonts w:cs="Arial"/>
          <w:color w:val="000000" w:themeColor="text1"/>
          <w:kern w:val="1"/>
          <w:sz w:val="22"/>
          <w:szCs w:val="22"/>
          <w:lang w:eastAsia="ar-SA"/>
        </w:rPr>
        <w:t xml:space="preserve">De manera que, los </w:t>
      </w:r>
      <w:r w:rsidR="00487A3F" w:rsidRPr="0027631D">
        <w:rPr>
          <w:rFonts w:cs="Arial"/>
          <w:color w:val="000000" w:themeColor="text1"/>
          <w:kern w:val="1"/>
          <w:sz w:val="22"/>
          <w:szCs w:val="22"/>
          <w:lang w:eastAsia="ar-SA"/>
        </w:rPr>
        <w:t>diferentes sistemas de radiocomunicaciones que pueden</w:t>
      </w:r>
      <w:r w:rsidRPr="0027631D">
        <w:rPr>
          <w:rFonts w:cs="Arial"/>
          <w:color w:val="000000" w:themeColor="text1"/>
          <w:kern w:val="1"/>
          <w:sz w:val="22"/>
          <w:szCs w:val="22"/>
          <w:lang w:eastAsia="ar-SA"/>
        </w:rPr>
        <w:t xml:space="preserve"> operar en la banda 2.4 GHz, requieren </w:t>
      </w:r>
      <w:r w:rsidR="007B6C72" w:rsidRPr="0027631D">
        <w:rPr>
          <w:rFonts w:cs="Arial"/>
          <w:color w:val="000000" w:themeColor="text1"/>
          <w:kern w:val="1"/>
          <w:sz w:val="22"/>
          <w:szCs w:val="22"/>
          <w:lang w:eastAsia="ar-SA"/>
        </w:rPr>
        <w:t xml:space="preserve">contar con </w:t>
      </w:r>
      <w:r w:rsidRPr="0027631D">
        <w:rPr>
          <w:rFonts w:cs="Arial"/>
          <w:color w:val="000000" w:themeColor="text1"/>
          <w:kern w:val="1"/>
          <w:sz w:val="22"/>
          <w:szCs w:val="22"/>
          <w:lang w:eastAsia="ar-SA"/>
        </w:rPr>
        <w:t>el establecimiento de parámetros técnicos de operación, tales como potencia de transmisión, ganancia de la antena, potencia radiada, límites de intensidad de campo generado a una distancia determinada, entre otros</w:t>
      </w:r>
      <w:r w:rsidR="00487A3F" w:rsidRPr="0027631D">
        <w:rPr>
          <w:rFonts w:cs="Arial"/>
          <w:color w:val="000000" w:themeColor="text1"/>
          <w:kern w:val="1"/>
          <w:sz w:val="22"/>
          <w:szCs w:val="22"/>
          <w:lang w:eastAsia="ar-SA"/>
        </w:rPr>
        <w:t>, para su correcta operación y compatibilidad entre los mismos</w:t>
      </w:r>
      <w:r w:rsidRPr="0027631D">
        <w:rPr>
          <w:rFonts w:cs="Arial"/>
          <w:color w:val="000000" w:themeColor="text1"/>
          <w:kern w:val="1"/>
          <w:sz w:val="22"/>
          <w:szCs w:val="22"/>
          <w:lang w:eastAsia="ar-SA"/>
        </w:rPr>
        <w:t>.</w:t>
      </w:r>
    </w:p>
    <w:p w14:paraId="6CDB62C3" w14:textId="77777777" w:rsidR="00121481" w:rsidRPr="0027631D" w:rsidRDefault="00121481" w:rsidP="004467E9">
      <w:pPr>
        <w:pStyle w:val="Prrafodelista"/>
        <w:suppressAutoHyphens/>
        <w:spacing w:line="23" w:lineRule="atLeast"/>
        <w:ind w:left="0" w:right="49"/>
        <w:contextualSpacing/>
        <w:jc w:val="both"/>
        <w:rPr>
          <w:rFonts w:cs="Arial"/>
          <w:color w:val="000000" w:themeColor="text1"/>
          <w:kern w:val="1"/>
          <w:sz w:val="22"/>
          <w:szCs w:val="22"/>
          <w:lang w:eastAsia="ar-SA"/>
        </w:rPr>
      </w:pPr>
    </w:p>
    <w:p w14:paraId="3768B419" w14:textId="28032483" w:rsidR="00FA64BD" w:rsidRPr="0027631D" w:rsidRDefault="000952C5" w:rsidP="004467E9">
      <w:pPr>
        <w:pStyle w:val="Ttulo4"/>
        <w:ind w:left="0" w:firstLine="0"/>
      </w:pPr>
      <w:r>
        <w:t>C</w:t>
      </w:r>
      <w:r w:rsidR="00B75CD3" w:rsidRPr="000952C5">
        <w:t>ondiciones técnicas de operación</w:t>
      </w:r>
      <w:r w:rsidRPr="000952C5">
        <w:t xml:space="preserve"> de la banda de frecuencias 2400 - 2483.5 MHz, clasificada como espectro libre</w:t>
      </w:r>
      <w:r w:rsidR="0080135C" w:rsidRPr="000952C5">
        <w:t>.</w:t>
      </w:r>
      <w:r w:rsidR="00321063" w:rsidRPr="000952C5">
        <w:t xml:space="preserve"> </w:t>
      </w:r>
      <w:r w:rsidR="0080135C" w:rsidRPr="000952C5">
        <w:rPr>
          <w:b w:val="0"/>
        </w:rPr>
        <w:t>El</w:t>
      </w:r>
      <w:r w:rsidR="0080135C" w:rsidRPr="008010AD">
        <w:rPr>
          <w:b w:val="0"/>
        </w:rPr>
        <w:t xml:space="preserve"> espectro radioeléctrico es un recurso finito, pero reutilizable, </w:t>
      </w:r>
      <w:r w:rsidR="00CA42E2">
        <w:rPr>
          <w:b w:val="0"/>
        </w:rPr>
        <w:t xml:space="preserve">por lo cual </w:t>
      </w:r>
      <w:r w:rsidR="0080135C" w:rsidRPr="008010AD">
        <w:rPr>
          <w:b w:val="0"/>
        </w:rPr>
        <w:t>se hace inminente implementar una adecuada gestión del espectro radioeléctrico que propicie una asignación eficaz de este recurso. Es así que, c</w:t>
      </w:r>
      <w:r w:rsidR="00FA64BD" w:rsidRPr="008010AD">
        <w:rPr>
          <w:b w:val="0"/>
        </w:rPr>
        <w:t xml:space="preserve">omo parte de la administración del espectro radioeléctrico efectuada por el Instituto, se encuentra </w:t>
      </w:r>
      <w:r w:rsidR="0080135C" w:rsidRPr="008010AD">
        <w:rPr>
          <w:b w:val="0"/>
        </w:rPr>
        <w:t xml:space="preserve">la clasificación de </w:t>
      </w:r>
      <w:r w:rsidR="00FA64BD" w:rsidRPr="008010AD">
        <w:rPr>
          <w:b w:val="0"/>
        </w:rPr>
        <w:t>una banda de frecuencias</w:t>
      </w:r>
      <w:r w:rsidR="00492F7C" w:rsidRPr="008010AD">
        <w:rPr>
          <w:b w:val="0"/>
        </w:rPr>
        <w:t xml:space="preserve"> </w:t>
      </w:r>
      <w:r w:rsidR="0080135C" w:rsidRPr="008010AD">
        <w:rPr>
          <w:b w:val="0"/>
        </w:rPr>
        <w:t xml:space="preserve">como </w:t>
      </w:r>
      <w:r w:rsidR="00492F7C" w:rsidRPr="008010AD">
        <w:rPr>
          <w:b w:val="0"/>
        </w:rPr>
        <w:t xml:space="preserve">espectro </w:t>
      </w:r>
      <w:r w:rsidR="0080135C" w:rsidRPr="008010AD">
        <w:rPr>
          <w:b w:val="0"/>
        </w:rPr>
        <w:t xml:space="preserve">libre, así como el establecimiento de </w:t>
      </w:r>
      <w:r w:rsidR="0080135C" w:rsidRPr="00794179">
        <w:rPr>
          <w:b w:val="0"/>
        </w:rPr>
        <w:t xml:space="preserve">condiciones </w:t>
      </w:r>
      <w:r w:rsidR="00534F80" w:rsidRPr="00794179">
        <w:rPr>
          <w:b w:val="0"/>
        </w:rPr>
        <w:t xml:space="preserve">técnicas </w:t>
      </w:r>
      <w:r w:rsidR="0080135C" w:rsidRPr="00794179">
        <w:rPr>
          <w:b w:val="0"/>
        </w:rPr>
        <w:t>para el uso</w:t>
      </w:r>
      <w:r w:rsidR="0080135C" w:rsidRPr="008010AD">
        <w:rPr>
          <w:b w:val="0"/>
        </w:rPr>
        <w:t xml:space="preserve"> de la misma</w:t>
      </w:r>
      <w:r w:rsidR="00FA64BD" w:rsidRPr="008010AD">
        <w:rPr>
          <w:b w:val="0"/>
        </w:rPr>
        <w:t>.</w:t>
      </w:r>
    </w:p>
    <w:p w14:paraId="46D1F43B" w14:textId="77777777" w:rsidR="00FA64BD" w:rsidRPr="0027631D" w:rsidRDefault="00FA64BD" w:rsidP="004467E9">
      <w:pPr>
        <w:spacing w:after="0" w:line="23" w:lineRule="atLeast"/>
        <w:contextualSpacing/>
        <w:jc w:val="both"/>
        <w:rPr>
          <w:rFonts w:ascii="Arial" w:eastAsia="Times New Roman" w:hAnsi="Arial" w:cs="Arial"/>
          <w:color w:val="000000" w:themeColor="text1"/>
          <w:kern w:val="1"/>
          <w:lang w:eastAsia="ar-SA"/>
        </w:rPr>
      </w:pPr>
    </w:p>
    <w:p w14:paraId="7F934A68" w14:textId="77777777" w:rsidR="00FA64BD" w:rsidRPr="0027631D" w:rsidRDefault="00FA64BD" w:rsidP="0027631D">
      <w:pPr>
        <w:spacing w:after="0" w:line="23" w:lineRule="atLeast"/>
        <w:contextualSpacing/>
        <w:jc w:val="both"/>
        <w:rPr>
          <w:rFonts w:ascii="Arial" w:eastAsia="Times New Roman" w:hAnsi="Arial" w:cs="Arial"/>
          <w:i/>
          <w:color w:val="000000" w:themeColor="text1"/>
          <w:kern w:val="1"/>
          <w:lang w:eastAsia="ar-SA"/>
        </w:rPr>
      </w:pPr>
      <w:r w:rsidRPr="0027631D">
        <w:rPr>
          <w:rFonts w:ascii="Arial" w:eastAsia="Times New Roman" w:hAnsi="Arial" w:cs="Arial"/>
          <w:color w:val="000000" w:themeColor="text1"/>
          <w:kern w:val="1"/>
          <w:lang w:eastAsia="ar-SA"/>
        </w:rPr>
        <w:t>En este sentido, en marzo del 2006</w:t>
      </w:r>
      <w:r w:rsidR="00571E0F" w:rsidRPr="0027631D">
        <w:rPr>
          <w:rFonts w:ascii="Arial" w:eastAsia="Times New Roman" w:hAnsi="Arial" w:cs="Arial"/>
          <w:color w:val="000000" w:themeColor="text1"/>
          <w:kern w:val="1"/>
          <w:lang w:eastAsia="ar-SA"/>
        </w:rPr>
        <w:t xml:space="preserve"> se clasificó</w:t>
      </w:r>
      <w:r w:rsidRPr="0027631D">
        <w:rPr>
          <w:rFonts w:ascii="Arial" w:eastAsia="Times New Roman" w:hAnsi="Arial" w:cs="Arial"/>
          <w:color w:val="000000" w:themeColor="text1"/>
          <w:kern w:val="1"/>
          <w:lang w:eastAsia="ar-SA"/>
        </w:rPr>
        <w:t xml:space="preserve"> la banda </w:t>
      </w:r>
      <w:r w:rsidR="00EC06BE" w:rsidRPr="0027631D">
        <w:rPr>
          <w:rFonts w:ascii="Arial" w:eastAsia="Times New Roman" w:hAnsi="Arial" w:cs="Arial"/>
          <w:color w:val="000000" w:themeColor="text1"/>
          <w:kern w:val="1"/>
          <w:lang w:eastAsia="ar-SA"/>
        </w:rPr>
        <w:t>2.4 G</w:t>
      </w:r>
      <w:r w:rsidRPr="0027631D">
        <w:rPr>
          <w:rFonts w:ascii="Arial" w:hAnsi="Arial" w:cs="Arial"/>
          <w:color w:val="000000" w:themeColor="text1"/>
          <w:kern w:val="1"/>
          <w:lang w:eastAsia="ar-SA"/>
        </w:rPr>
        <w:t>Hz</w:t>
      </w:r>
      <w:r w:rsidRPr="0027631D">
        <w:rPr>
          <w:rFonts w:ascii="Arial" w:eastAsia="Times New Roman" w:hAnsi="Arial" w:cs="Arial"/>
          <w:color w:val="000000" w:themeColor="text1"/>
          <w:kern w:val="1"/>
          <w:lang w:eastAsia="ar-SA"/>
        </w:rPr>
        <w:t xml:space="preserve"> como espectro </w:t>
      </w:r>
      <w:r w:rsidR="00B75CD3" w:rsidRPr="0027631D">
        <w:rPr>
          <w:rFonts w:ascii="Arial" w:eastAsia="Times New Roman" w:hAnsi="Arial" w:cs="Arial"/>
          <w:color w:val="000000" w:themeColor="text1"/>
          <w:kern w:val="1"/>
          <w:lang w:eastAsia="ar-SA"/>
        </w:rPr>
        <w:t xml:space="preserve">de uso </w:t>
      </w:r>
      <w:r w:rsidRPr="0027631D">
        <w:rPr>
          <w:rFonts w:ascii="Arial" w:eastAsia="Times New Roman" w:hAnsi="Arial" w:cs="Arial"/>
          <w:color w:val="000000" w:themeColor="text1"/>
          <w:kern w:val="1"/>
          <w:lang w:eastAsia="ar-SA"/>
        </w:rPr>
        <w:t>libre</w:t>
      </w:r>
      <w:r w:rsidR="00B75CD3" w:rsidRPr="0027631D">
        <w:rPr>
          <w:rFonts w:ascii="Arial" w:eastAsia="Times New Roman" w:hAnsi="Arial" w:cs="Arial"/>
          <w:color w:val="000000" w:themeColor="text1"/>
          <w:kern w:val="1"/>
          <w:lang w:eastAsia="ar-SA"/>
        </w:rPr>
        <w:t>, en términos del marco jurídico vigente en ese momento</w:t>
      </w:r>
      <w:r w:rsidRPr="0027631D">
        <w:rPr>
          <w:rFonts w:ascii="Arial" w:eastAsia="Times New Roman" w:hAnsi="Arial" w:cs="Arial"/>
          <w:color w:val="000000" w:themeColor="text1"/>
          <w:kern w:val="1"/>
          <w:lang w:eastAsia="ar-SA"/>
        </w:rPr>
        <w:t xml:space="preserve">, </w:t>
      </w:r>
      <w:r w:rsidR="00DE2CBA" w:rsidRPr="0027631D">
        <w:rPr>
          <w:rFonts w:ascii="Arial" w:eastAsia="Times New Roman" w:hAnsi="Arial" w:cs="Arial"/>
          <w:color w:val="000000" w:themeColor="text1"/>
          <w:kern w:val="1"/>
          <w:lang w:eastAsia="ar-SA"/>
        </w:rPr>
        <w:t xml:space="preserve">y se establecieron </w:t>
      </w:r>
      <w:r w:rsidR="00D904F5" w:rsidRPr="0027631D">
        <w:rPr>
          <w:rFonts w:ascii="Arial" w:eastAsia="Times New Roman" w:hAnsi="Arial" w:cs="Arial"/>
          <w:color w:val="000000" w:themeColor="text1"/>
          <w:kern w:val="1"/>
          <w:lang w:eastAsia="ar-SA"/>
        </w:rPr>
        <w:t>condiciones de operación de la misma</w:t>
      </w:r>
      <w:r w:rsidR="00360C07" w:rsidRPr="0027631D">
        <w:rPr>
          <w:rFonts w:ascii="Arial" w:eastAsia="Times New Roman" w:hAnsi="Arial" w:cs="Arial"/>
          <w:color w:val="000000" w:themeColor="text1"/>
          <w:kern w:val="1"/>
          <w:lang w:eastAsia="ar-SA"/>
        </w:rPr>
        <w:t>.</w:t>
      </w:r>
      <w:r w:rsidR="00571E0F" w:rsidRPr="0027631D">
        <w:rPr>
          <w:rFonts w:ascii="Arial" w:eastAsia="Times New Roman" w:hAnsi="Arial" w:cs="Arial"/>
          <w:color w:val="000000" w:themeColor="text1"/>
          <w:kern w:val="1"/>
          <w:lang w:eastAsia="ar-SA"/>
        </w:rPr>
        <w:t xml:space="preserve"> Sin embargo, con el avance tecnológico y los cambios en la regulación internacional, se observa que los parámetros técnicos establecidos originalmente han sido actualizados en diversas recomendaciones, reportes y normas técnicas emitidas por organismos internacionales dedicados a la armonización del espectro, o bien</w:t>
      </w:r>
      <w:r w:rsidR="00EA27CC">
        <w:rPr>
          <w:rFonts w:ascii="Arial" w:eastAsia="Times New Roman" w:hAnsi="Arial" w:cs="Arial"/>
          <w:color w:val="000000" w:themeColor="text1"/>
          <w:kern w:val="1"/>
          <w:lang w:eastAsia="ar-SA"/>
        </w:rPr>
        <w:t>,</w:t>
      </w:r>
      <w:r w:rsidR="00571E0F" w:rsidRPr="0027631D">
        <w:rPr>
          <w:rFonts w:ascii="Arial" w:eastAsia="Times New Roman" w:hAnsi="Arial" w:cs="Arial"/>
          <w:color w:val="000000" w:themeColor="text1"/>
          <w:kern w:val="1"/>
          <w:lang w:eastAsia="ar-SA"/>
        </w:rPr>
        <w:t xml:space="preserve"> en los proyectos de estandarización </w:t>
      </w:r>
      <w:r w:rsidR="00EA27CC">
        <w:rPr>
          <w:rFonts w:ascii="Arial" w:eastAsia="Times New Roman" w:hAnsi="Arial" w:cs="Arial"/>
          <w:color w:val="000000" w:themeColor="text1"/>
          <w:kern w:val="1"/>
          <w:lang w:eastAsia="ar-SA"/>
        </w:rPr>
        <w:t>para</w:t>
      </w:r>
      <w:r w:rsidR="00571E0F" w:rsidRPr="0027631D">
        <w:rPr>
          <w:rFonts w:ascii="Arial" w:eastAsia="Times New Roman" w:hAnsi="Arial" w:cs="Arial"/>
          <w:color w:val="000000" w:themeColor="text1"/>
          <w:kern w:val="1"/>
          <w:lang w:eastAsia="ar-SA"/>
        </w:rPr>
        <w:t xml:space="preserve"> los sistemas de radiocomunicaciones que pudieran operar en la banda de frecuencias.</w:t>
      </w:r>
    </w:p>
    <w:p w14:paraId="509A62DA" w14:textId="77777777" w:rsidR="00FA64BD" w:rsidRPr="0027631D" w:rsidRDefault="00FA64BD" w:rsidP="0027631D">
      <w:pPr>
        <w:spacing w:after="0" w:line="23" w:lineRule="atLeast"/>
        <w:contextualSpacing/>
        <w:jc w:val="both"/>
        <w:rPr>
          <w:rFonts w:ascii="Arial" w:eastAsia="Times New Roman" w:hAnsi="Arial" w:cs="Arial"/>
          <w:color w:val="000000" w:themeColor="text1"/>
          <w:kern w:val="1"/>
          <w:lang w:eastAsia="ar-SA"/>
        </w:rPr>
      </w:pPr>
    </w:p>
    <w:p w14:paraId="4DCF34C3" w14:textId="77777777" w:rsidR="00360C07" w:rsidRPr="0027631D" w:rsidRDefault="00360C07" w:rsidP="0027631D">
      <w:pPr>
        <w:spacing w:after="0" w:line="23" w:lineRule="atLeast"/>
        <w:contextualSpacing/>
        <w:jc w:val="both"/>
        <w:rPr>
          <w:rFonts w:ascii="Arial" w:eastAsia="Times New Roman" w:hAnsi="Arial" w:cs="Arial"/>
          <w:color w:val="000000" w:themeColor="text1"/>
          <w:kern w:val="1"/>
          <w:lang w:eastAsia="ar-SA"/>
        </w:rPr>
      </w:pPr>
      <w:r w:rsidRPr="0027631D">
        <w:rPr>
          <w:rFonts w:ascii="Arial" w:eastAsia="Times New Roman" w:hAnsi="Arial" w:cs="Arial"/>
          <w:color w:val="000000" w:themeColor="text1"/>
          <w:kern w:val="1"/>
          <w:lang w:eastAsia="ar-SA"/>
        </w:rPr>
        <w:t xml:space="preserve">Es así que, el Instituto, como regulador en el sector de las telecomunicaciones y radiodifusión en México, </w:t>
      </w:r>
      <w:r w:rsidR="00D904F5" w:rsidRPr="0027631D">
        <w:rPr>
          <w:rFonts w:ascii="Arial" w:eastAsia="Times New Roman" w:hAnsi="Arial" w:cs="Arial"/>
          <w:color w:val="000000" w:themeColor="text1"/>
          <w:kern w:val="1"/>
          <w:lang w:eastAsia="ar-SA"/>
        </w:rPr>
        <w:t xml:space="preserve">llevó a cabo una </w:t>
      </w:r>
      <w:r w:rsidRPr="0027631D">
        <w:rPr>
          <w:rFonts w:ascii="Arial" w:eastAsia="Times New Roman" w:hAnsi="Arial" w:cs="Arial"/>
          <w:color w:val="000000" w:themeColor="text1"/>
          <w:kern w:val="1"/>
          <w:lang w:eastAsia="ar-SA"/>
        </w:rPr>
        <w:t xml:space="preserve">revisión </w:t>
      </w:r>
      <w:r w:rsidR="00D904F5" w:rsidRPr="0027631D">
        <w:rPr>
          <w:rFonts w:ascii="Arial" w:eastAsia="Times New Roman" w:hAnsi="Arial" w:cs="Arial"/>
          <w:color w:val="000000" w:themeColor="text1"/>
          <w:kern w:val="1"/>
          <w:lang w:eastAsia="ar-SA"/>
        </w:rPr>
        <w:t xml:space="preserve">de las condiciones </w:t>
      </w:r>
      <w:r w:rsidR="003D04C3" w:rsidRPr="0027631D">
        <w:rPr>
          <w:rFonts w:ascii="Arial" w:eastAsia="Times New Roman" w:hAnsi="Arial" w:cs="Arial"/>
          <w:color w:val="000000" w:themeColor="text1"/>
          <w:kern w:val="1"/>
          <w:lang w:eastAsia="ar-SA"/>
        </w:rPr>
        <w:t xml:space="preserve">técnicas </w:t>
      </w:r>
      <w:r w:rsidR="00D904F5" w:rsidRPr="0027631D">
        <w:rPr>
          <w:rFonts w:ascii="Arial" w:eastAsia="Times New Roman" w:hAnsi="Arial" w:cs="Arial"/>
          <w:color w:val="000000" w:themeColor="text1"/>
          <w:kern w:val="1"/>
          <w:lang w:eastAsia="ar-SA"/>
        </w:rPr>
        <w:t>de operación de la banda 2.4 GHz</w:t>
      </w:r>
      <w:r w:rsidR="00492F7C" w:rsidRPr="0027631D">
        <w:rPr>
          <w:rFonts w:ascii="Arial" w:eastAsia="Times New Roman" w:hAnsi="Arial" w:cs="Arial"/>
          <w:color w:val="000000" w:themeColor="text1"/>
          <w:kern w:val="1"/>
          <w:lang w:eastAsia="ar-SA"/>
        </w:rPr>
        <w:t>,</w:t>
      </w:r>
      <w:r w:rsidR="00D904F5" w:rsidRPr="0027631D">
        <w:rPr>
          <w:rFonts w:ascii="Arial" w:eastAsia="Times New Roman" w:hAnsi="Arial" w:cs="Arial"/>
          <w:color w:val="000000" w:themeColor="text1"/>
          <w:kern w:val="1"/>
          <w:lang w:eastAsia="ar-SA"/>
        </w:rPr>
        <w:t xml:space="preserve"> tomando en consideración, </w:t>
      </w:r>
      <w:r w:rsidRPr="0027631D">
        <w:rPr>
          <w:rFonts w:ascii="Arial" w:eastAsia="Times New Roman" w:hAnsi="Arial" w:cs="Arial"/>
          <w:color w:val="000000" w:themeColor="text1"/>
          <w:kern w:val="1"/>
          <w:lang w:eastAsia="ar-SA"/>
        </w:rPr>
        <w:t xml:space="preserve">diversos factores relacionados con la administración y planificación del espectro radioeléctrico, tales como la utilización actual de </w:t>
      </w:r>
      <w:r w:rsidR="00D904F5" w:rsidRPr="0027631D">
        <w:rPr>
          <w:rFonts w:ascii="Arial" w:eastAsia="Times New Roman" w:hAnsi="Arial" w:cs="Arial"/>
          <w:color w:val="000000" w:themeColor="text1"/>
          <w:kern w:val="1"/>
          <w:lang w:eastAsia="ar-SA"/>
        </w:rPr>
        <w:t>esta</w:t>
      </w:r>
      <w:r w:rsidRPr="0027631D">
        <w:rPr>
          <w:rFonts w:ascii="Arial" w:eastAsia="Times New Roman" w:hAnsi="Arial" w:cs="Arial"/>
          <w:color w:val="000000" w:themeColor="text1"/>
          <w:kern w:val="1"/>
          <w:lang w:eastAsia="ar-SA"/>
        </w:rPr>
        <w:t xml:space="preserve"> banda de frecuencias</w:t>
      </w:r>
      <w:r w:rsidR="00D904F5" w:rsidRPr="0027631D">
        <w:rPr>
          <w:rFonts w:ascii="Arial" w:eastAsia="Times New Roman" w:hAnsi="Arial" w:cs="Arial"/>
          <w:color w:val="000000" w:themeColor="text1"/>
          <w:kern w:val="1"/>
          <w:lang w:eastAsia="ar-SA"/>
        </w:rPr>
        <w:t>, lo</w:t>
      </w:r>
      <w:r w:rsidRPr="0027631D">
        <w:rPr>
          <w:rFonts w:ascii="Arial" w:eastAsia="Times New Roman" w:hAnsi="Arial" w:cs="Arial"/>
          <w:color w:val="000000" w:themeColor="text1"/>
          <w:kern w:val="1"/>
          <w:lang w:eastAsia="ar-SA"/>
        </w:rPr>
        <w:t xml:space="preserve">s </w:t>
      </w:r>
      <w:r w:rsidR="00D904F5" w:rsidRPr="0027631D">
        <w:rPr>
          <w:rFonts w:ascii="Arial" w:eastAsia="Times New Roman" w:hAnsi="Arial" w:cs="Arial"/>
          <w:color w:val="000000" w:themeColor="text1"/>
          <w:kern w:val="1"/>
          <w:lang w:eastAsia="ar-SA"/>
        </w:rPr>
        <w:t>parámetros técnico</w:t>
      </w:r>
      <w:r w:rsidRPr="0027631D">
        <w:rPr>
          <w:rFonts w:ascii="Arial" w:eastAsia="Times New Roman" w:hAnsi="Arial" w:cs="Arial"/>
          <w:color w:val="000000" w:themeColor="text1"/>
          <w:kern w:val="1"/>
          <w:lang w:eastAsia="ar-SA"/>
        </w:rPr>
        <w:t>s de operación de los dispositivos o equipos transmisores, receptores y antenas empleadas para la provisión de servicios de telecomunicaciones, los estándares técnicos</w:t>
      </w:r>
      <w:r w:rsidR="00EA69E5">
        <w:rPr>
          <w:rFonts w:ascii="Arial" w:eastAsia="Times New Roman" w:hAnsi="Arial" w:cs="Arial"/>
          <w:color w:val="000000" w:themeColor="text1"/>
          <w:kern w:val="1"/>
          <w:lang w:eastAsia="ar-SA"/>
        </w:rPr>
        <w:t>,</w:t>
      </w:r>
      <w:r w:rsidRPr="0027631D">
        <w:rPr>
          <w:rFonts w:ascii="Arial" w:eastAsia="Times New Roman" w:hAnsi="Arial" w:cs="Arial"/>
          <w:color w:val="000000" w:themeColor="text1"/>
          <w:kern w:val="1"/>
          <w:lang w:eastAsia="ar-SA"/>
        </w:rPr>
        <w:t xml:space="preserve"> </w:t>
      </w:r>
      <w:r w:rsidR="00EA69E5" w:rsidRPr="0027631D">
        <w:rPr>
          <w:rFonts w:ascii="Arial" w:eastAsia="Times New Roman" w:hAnsi="Arial" w:cs="Arial"/>
          <w:color w:val="000000" w:themeColor="text1"/>
          <w:kern w:val="1"/>
          <w:lang w:eastAsia="ar-SA"/>
        </w:rPr>
        <w:t xml:space="preserve">las diferentes aplicaciones </w:t>
      </w:r>
      <w:r w:rsidRPr="0027631D">
        <w:rPr>
          <w:rFonts w:ascii="Arial" w:eastAsia="Times New Roman" w:hAnsi="Arial" w:cs="Arial"/>
          <w:color w:val="000000" w:themeColor="text1"/>
          <w:kern w:val="1"/>
          <w:lang w:eastAsia="ar-SA"/>
        </w:rPr>
        <w:t xml:space="preserve">y tecnologías nuevas o mejoradas que se encuentren disponibles, así como los métodos de gestión del espectro radioeléctrico que permitan </w:t>
      </w:r>
      <w:r w:rsidR="00571E0F" w:rsidRPr="0027631D">
        <w:rPr>
          <w:rFonts w:ascii="Arial" w:eastAsia="Times New Roman" w:hAnsi="Arial" w:cs="Arial"/>
          <w:color w:val="000000" w:themeColor="text1"/>
          <w:kern w:val="1"/>
          <w:lang w:eastAsia="ar-SA"/>
        </w:rPr>
        <w:t>el uso</w:t>
      </w:r>
      <w:r w:rsidRPr="0027631D">
        <w:rPr>
          <w:rFonts w:ascii="Arial" w:eastAsia="Times New Roman" w:hAnsi="Arial" w:cs="Arial"/>
          <w:color w:val="000000" w:themeColor="text1"/>
          <w:kern w:val="1"/>
          <w:lang w:eastAsia="ar-SA"/>
        </w:rPr>
        <w:t xml:space="preserve"> eficiente</w:t>
      </w:r>
      <w:r w:rsidR="00571E0F" w:rsidRPr="0027631D">
        <w:rPr>
          <w:rFonts w:ascii="Arial" w:eastAsia="Times New Roman" w:hAnsi="Arial" w:cs="Arial"/>
          <w:color w:val="000000" w:themeColor="text1"/>
          <w:kern w:val="1"/>
          <w:lang w:eastAsia="ar-SA"/>
        </w:rPr>
        <w:t xml:space="preserve"> del mismo</w:t>
      </w:r>
      <w:r w:rsidRPr="0027631D">
        <w:rPr>
          <w:rFonts w:ascii="Arial" w:eastAsia="Times New Roman" w:hAnsi="Arial" w:cs="Arial"/>
          <w:color w:val="000000" w:themeColor="text1"/>
          <w:kern w:val="1"/>
          <w:lang w:eastAsia="ar-SA"/>
        </w:rPr>
        <w:t>.</w:t>
      </w:r>
    </w:p>
    <w:p w14:paraId="21280870" w14:textId="77777777" w:rsidR="00293B19" w:rsidRPr="0027631D" w:rsidRDefault="00293B19" w:rsidP="0027631D">
      <w:pPr>
        <w:spacing w:after="0" w:line="23" w:lineRule="atLeast"/>
        <w:contextualSpacing/>
        <w:jc w:val="both"/>
        <w:rPr>
          <w:rFonts w:ascii="Arial" w:eastAsia="Times New Roman" w:hAnsi="Arial" w:cs="Arial"/>
          <w:color w:val="000000" w:themeColor="text1"/>
          <w:kern w:val="1"/>
          <w:lang w:eastAsia="ar-SA"/>
        </w:rPr>
      </w:pPr>
    </w:p>
    <w:p w14:paraId="17D8843C" w14:textId="4621C0FD" w:rsidR="00D14C39" w:rsidRPr="0027631D" w:rsidRDefault="00293B19" w:rsidP="0027631D">
      <w:pPr>
        <w:spacing w:after="0" w:line="23" w:lineRule="atLeast"/>
        <w:contextualSpacing/>
        <w:jc w:val="both"/>
        <w:rPr>
          <w:rFonts w:ascii="Arial" w:eastAsia="Times New Roman" w:hAnsi="Arial" w:cs="Arial"/>
          <w:color w:val="000000" w:themeColor="text1"/>
          <w:kern w:val="1"/>
          <w:lang w:eastAsia="ar-SA"/>
        </w:rPr>
      </w:pPr>
      <w:r w:rsidRPr="0027631D">
        <w:rPr>
          <w:rFonts w:ascii="Arial" w:eastAsia="Times New Roman" w:hAnsi="Arial" w:cs="Arial"/>
          <w:color w:val="000000" w:themeColor="text1"/>
          <w:kern w:val="1"/>
          <w:lang w:eastAsia="ar-SA"/>
        </w:rPr>
        <w:t xml:space="preserve">Adicionalmente, en el marco de las actividades que se realizan actualmente en el Comité Técnico en materia de Espectro Radioeléctrico (CTER), específicamente, en el Grupo de Trabajo de Aspectos Generales del Espectro Radioeléctrico, la </w:t>
      </w:r>
      <w:r w:rsidR="00CA42E2">
        <w:rPr>
          <w:rFonts w:ascii="Arial" w:eastAsia="Times New Roman" w:hAnsi="Arial" w:cs="Arial"/>
          <w:color w:val="000000" w:themeColor="text1"/>
          <w:kern w:val="1"/>
          <w:lang w:eastAsia="ar-SA"/>
        </w:rPr>
        <w:t>i</w:t>
      </w:r>
      <w:r w:rsidRPr="0027631D">
        <w:rPr>
          <w:rFonts w:ascii="Arial" w:eastAsia="Times New Roman" w:hAnsi="Arial" w:cs="Arial"/>
          <w:color w:val="000000" w:themeColor="text1"/>
          <w:kern w:val="1"/>
          <w:lang w:eastAsia="ar-SA"/>
        </w:rPr>
        <w:t>ndustria (proveedores de servicio y fabricantes de equipos) mostr</w:t>
      </w:r>
      <w:r w:rsidR="00CA42E2">
        <w:rPr>
          <w:rFonts w:ascii="Arial" w:eastAsia="Times New Roman" w:hAnsi="Arial" w:cs="Arial"/>
          <w:color w:val="000000" w:themeColor="text1"/>
          <w:kern w:val="1"/>
          <w:lang w:eastAsia="ar-SA"/>
        </w:rPr>
        <w:t>ó</w:t>
      </w:r>
      <w:r w:rsidRPr="0027631D">
        <w:rPr>
          <w:rFonts w:ascii="Arial" w:eastAsia="Times New Roman" w:hAnsi="Arial" w:cs="Arial"/>
          <w:color w:val="000000" w:themeColor="text1"/>
          <w:kern w:val="1"/>
          <w:lang w:eastAsia="ar-SA"/>
        </w:rPr>
        <w:t xml:space="preserve"> interés respecto a la modificación de las condiciones técnicas de operación de uso de la banda 2</w:t>
      </w:r>
      <w:r w:rsidR="00EC06BE" w:rsidRPr="0027631D">
        <w:rPr>
          <w:rFonts w:ascii="Arial" w:eastAsia="Times New Roman" w:hAnsi="Arial" w:cs="Arial"/>
          <w:color w:val="000000" w:themeColor="text1"/>
          <w:kern w:val="1"/>
          <w:lang w:eastAsia="ar-SA"/>
        </w:rPr>
        <w:t>.</w:t>
      </w:r>
      <w:r w:rsidRPr="0027631D">
        <w:rPr>
          <w:rFonts w:ascii="Arial" w:eastAsia="Times New Roman" w:hAnsi="Arial" w:cs="Arial"/>
          <w:color w:val="000000" w:themeColor="text1"/>
          <w:kern w:val="1"/>
          <w:lang w:eastAsia="ar-SA"/>
        </w:rPr>
        <w:t xml:space="preserve">4 </w:t>
      </w:r>
      <w:r w:rsidR="00EC06BE" w:rsidRPr="0027631D">
        <w:rPr>
          <w:rFonts w:ascii="Arial" w:eastAsia="Times New Roman" w:hAnsi="Arial" w:cs="Arial"/>
          <w:color w:val="000000" w:themeColor="text1"/>
          <w:kern w:val="1"/>
          <w:lang w:eastAsia="ar-SA"/>
        </w:rPr>
        <w:t>G</w:t>
      </w:r>
      <w:r w:rsidRPr="0027631D">
        <w:rPr>
          <w:rFonts w:ascii="Arial" w:eastAsia="Times New Roman" w:hAnsi="Arial" w:cs="Arial"/>
          <w:color w:val="000000" w:themeColor="text1"/>
          <w:kern w:val="1"/>
          <w:lang w:eastAsia="ar-SA"/>
        </w:rPr>
        <w:t xml:space="preserve">Hz indicadas en el </w:t>
      </w:r>
      <w:r w:rsidR="004A4652">
        <w:rPr>
          <w:rFonts w:ascii="Arial" w:eastAsia="Times New Roman" w:hAnsi="Arial" w:cs="Arial"/>
          <w:color w:val="000000" w:themeColor="text1"/>
          <w:kern w:val="1"/>
          <w:lang w:eastAsia="ar-SA"/>
        </w:rPr>
        <w:t xml:space="preserve">Acuerdo referido en el </w:t>
      </w:r>
      <w:r w:rsidR="0046442B" w:rsidRPr="0027631D">
        <w:rPr>
          <w:rFonts w:ascii="Arial" w:eastAsia="Times New Roman" w:hAnsi="Arial" w:cs="Arial"/>
          <w:color w:val="000000" w:themeColor="text1"/>
          <w:kern w:val="1"/>
          <w:lang w:eastAsia="ar-SA"/>
        </w:rPr>
        <w:t>A</w:t>
      </w:r>
      <w:r w:rsidR="00F05E4B" w:rsidRPr="0027631D">
        <w:rPr>
          <w:rFonts w:ascii="Arial" w:eastAsia="Times New Roman" w:hAnsi="Arial" w:cs="Arial"/>
          <w:color w:val="000000" w:themeColor="text1"/>
          <w:kern w:val="1"/>
          <w:lang w:eastAsia="ar-SA"/>
        </w:rPr>
        <w:t>n</w:t>
      </w:r>
      <w:r w:rsidR="0046442B" w:rsidRPr="0027631D">
        <w:rPr>
          <w:rFonts w:ascii="Arial" w:eastAsia="Times New Roman" w:hAnsi="Arial" w:cs="Arial"/>
          <w:color w:val="000000" w:themeColor="text1"/>
          <w:kern w:val="1"/>
          <w:lang w:eastAsia="ar-SA"/>
        </w:rPr>
        <w:t xml:space="preserve">tecedente </w:t>
      </w:r>
      <w:r w:rsidR="0046442B" w:rsidRPr="0027631D">
        <w:rPr>
          <w:rFonts w:ascii="Arial" w:eastAsia="Times New Roman" w:hAnsi="Arial" w:cs="Arial"/>
          <w:color w:val="000000" w:themeColor="text1"/>
          <w:kern w:val="1"/>
          <w:lang w:eastAsia="ar-SA"/>
        </w:rPr>
        <w:lastRenderedPageBreak/>
        <w:t>Primero</w:t>
      </w:r>
      <w:r w:rsidRPr="0027631D">
        <w:rPr>
          <w:rFonts w:ascii="Arial" w:eastAsia="Times New Roman" w:hAnsi="Arial" w:cs="Arial"/>
          <w:color w:val="000000" w:themeColor="text1"/>
          <w:kern w:val="1"/>
          <w:lang w:eastAsia="ar-SA"/>
        </w:rPr>
        <w:t xml:space="preserve">, con el objeto de permitir que los sistemas </w:t>
      </w:r>
      <w:r w:rsidR="009F7156" w:rsidRPr="0027631D">
        <w:rPr>
          <w:rFonts w:ascii="Arial" w:eastAsia="Times New Roman" w:hAnsi="Arial" w:cs="Arial"/>
          <w:color w:val="000000" w:themeColor="text1"/>
          <w:kern w:val="1"/>
          <w:lang w:eastAsia="ar-SA"/>
        </w:rPr>
        <w:t xml:space="preserve">que operan en el país </w:t>
      </w:r>
      <w:r w:rsidRPr="0027631D">
        <w:rPr>
          <w:rFonts w:ascii="Arial" w:eastAsia="Times New Roman" w:hAnsi="Arial" w:cs="Arial"/>
          <w:color w:val="000000" w:themeColor="text1"/>
          <w:kern w:val="1"/>
          <w:lang w:eastAsia="ar-SA"/>
        </w:rPr>
        <w:t xml:space="preserve">puedan utilizar antenas direccionales con niveles de ganancia </w:t>
      </w:r>
      <w:r w:rsidR="009F7156" w:rsidRPr="0027631D">
        <w:rPr>
          <w:rFonts w:ascii="Arial" w:eastAsia="Times New Roman" w:hAnsi="Arial" w:cs="Arial"/>
          <w:color w:val="000000" w:themeColor="text1"/>
          <w:kern w:val="1"/>
          <w:lang w:eastAsia="ar-SA"/>
        </w:rPr>
        <w:t>superiores</w:t>
      </w:r>
      <w:r w:rsidRPr="0027631D">
        <w:rPr>
          <w:rFonts w:ascii="Arial" w:eastAsia="Times New Roman" w:hAnsi="Arial" w:cs="Arial"/>
          <w:color w:val="000000" w:themeColor="text1"/>
          <w:kern w:val="1"/>
          <w:lang w:eastAsia="ar-SA"/>
        </w:rPr>
        <w:t>.</w:t>
      </w:r>
      <w:r w:rsidR="00D14C39" w:rsidRPr="0027631D">
        <w:rPr>
          <w:rFonts w:ascii="Arial" w:eastAsia="Times New Roman" w:hAnsi="Arial" w:cs="Arial"/>
          <w:color w:val="000000" w:themeColor="text1"/>
          <w:kern w:val="1"/>
          <w:lang w:eastAsia="ar-SA"/>
        </w:rPr>
        <w:t xml:space="preserve"> Las sugerencias recibid</w:t>
      </w:r>
      <w:r w:rsidR="001D1F25" w:rsidRPr="0027631D">
        <w:rPr>
          <w:rFonts w:ascii="Arial" w:eastAsia="Times New Roman" w:hAnsi="Arial" w:cs="Arial"/>
          <w:color w:val="000000" w:themeColor="text1"/>
          <w:kern w:val="1"/>
          <w:lang w:eastAsia="ar-SA"/>
        </w:rPr>
        <w:t>as</w:t>
      </w:r>
      <w:r w:rsidR="00D14C39" w:rsidRPr="0027631D">
        <w:rPr>
          <w:rFonts w:ascii="Arial" w:eastAsia="Times New Roman" w:hAnsi="Arial" w:cs="Arial"/>
          <w:color w:val="000000" w:themeColor="text1"/>
          <w:kern w:val="1"/>
          <w:lang w:eastAsia="ar-SA"/>
        </w:rPr>
        <w:t xml:space="preserve"> en el CTER por parte de la Industria toman como referencia las actividades llevadas a cabo por la FCC, en EE. UU. (regla 15.247) y por la ISED, en Canadá (Política de utilización de espectro para servicios en el rango de frecuencias 2285-2483.5 MHz). </w:t>
      </w:r>
    </w:p>
    <w:p w14:paraId="6855B993" w14:textId="77777777" w:rsidR="00B373E1" w:rsidRPr="0027631D" w:rsidRDefault="00B373E1" w:rsidP="0027631D">
      <w:pPr>
        <w:spacing w:after="0" w:line="23" w:lineRule="atLeast"/>
        <w:contextualSpacing/>
        <w:jc w:val="both"/>
        <w:rPr>
          <w:rFonts w:ascii="Arial" w:eastAsia="Times New Roman" w:hAnsi="Arial" w:cs="Arial"/>
          <w:color w:val="000000" w:themeColor="text1"/>
          <w:kern w:val="1"/>
          <w:lang w:eastAsia="ar-SA"/>
        </w:rPr>
      </w:pPr>
    </w:p>
    <w:p w14:paraId="3BBD3D0E" w14:textId="3ED93100" w:rsidR="00360C07" w:rsidRPr="0027631D" w:rsidRDefault="00293B19" w:rsidP="0027631D">
      <w:pPr>
        <w:spacing w:after="0" w:line="23" w:lineRule="atLeast"/>
        <w:contextualSpacing/>
        <w:jc w:val="both"/>
        <w:rPr>
          <w:rFonts w:ascii="Arial" w:eastAsia="Times New Roman" w:hAnsi="Arial" w:cs="Arial"/>
          <w:color w:val="000000" w:themeColor="text1"/>
          <w:kern w:val="1"/>
          <w:lang w:eastAsia="ar-SA"/>
        </w:rPr>
      </w:pPr>
      <w:r w:rsidRPr="0027631D">
        <w:rPr>
          <w:rFonts w:ascii="Arial" w:eastAsia="Times New Roman" w:hAnsi="Arial" w:cs="Arial"/>
          <w:color w:val="000000" w:themeColor="text1"/>
          <w:kern w:val="1"/>
          <w:lang w:eastAsia="ar-SA"/>
        </w:rPr>
        <w:t xml:space="preserve">Con base en lo anterior, y de conformidad con las atribuciones conferidas a la Unidad de Espectro Radioeléctrico en el artículo 30, fracción I y IV del Estatuto Orgánico , se realizó la revisión de los parámetros técnicos y </w:t>
      </w:r>
      <w:r w:rsidR="000D1B0D" w:rsidRPr="0027631D">
        <w:rPr>
          <w:rFonts w:ascii="Arial" w:eastAsia="Times New Roman" w:hAnsi="Arial" w:cs="Arial"/>
          <w:color w:val="000000" w:themeColor="text1"/>
          <w:kern w:val="1"/>
          <w:lang w:eastAsia="ar-SA"/>
        </w:rPr>
        <w:t xml:space="preserve">las </w:t>
      </w:r>
      <w:r w:rsidRPr="0027631D">
        <w:rPr>
          <w:rFonts w:ascii="Arial" w:eastAsia="Times New Roman" w:hAnsi="Arial" w:cs="Arial"/>
          <w:color w:val="000000" w:themeColor="text1"/>
          <w:kern w:val="1"/>
          <w:lang w:eastAsia="ar-SA"/>
        </w:rPr>
        <w:t>condiciones de operación y se llevó a cabo un análisis integral acerca de la banda 2.4 GHz, a fin de evaluar una posible modificación a los lineamientos o especificaciones a los que deberán sujetarse los dispositivos, equipos y/o sistemas de comunicación para que puedan operar en dicha banda de frecuencia</w:t>
      </w:r>
      <w:r w:rsidR="003A79D0">
        <w:rPr>
          <w:rFonts w:ascii="Arial" w:eastAsia="Times New Roman" w:hAnsi="Arial" w:cs="Arial"/>
          <w:color w:val="000000" w:themeColor="text1"/>
          <w:kern w:val="1"/>
          <w:lang w:eastAsia="ar-SA"/>
        </w:rPr>
        <w:t>s</w:t>
      </w:r>
      <w:r w:rsidRPr="0027631D">
        <w:rPr>
          <w:rFonts w:ascii="Arial" w:eastAsia="Times New Roman" w:hAnsi="Arial" w:cs="Arial"/>
          <w:color w:val="000000" w:themeColor="text1"/>
          <w:kern w:val="1"/>
          <w:lang w:eastAsia="ar-SA"/>
        </w:rPr>
        <w:t>.</w:t>
      </w:r>
    </w:p>
    <w:p w14:paraId="65DC1734" w14:textId="77777777" w:rsidR="00293B19" w:rsidRPr="0027631D" w:rsidRDefault="00293B19" w:rsidP="0027631D">
      <w:pPr>
        <w:spacing w:after="0" w:line="23" w:lineRule="atLeast"/>
        <w:contextualSpacing/>
        <w:jc w:val="both"/>
        <w:rPr>
          <w:rFonts w:ascii="Arial" w:eastAsia="Times New Roman" w:hAnsi="Arial" w:cs="Arial"/>
          <w:color w:val="000000" w:themeColor="text1"/>
          <w:kern w:val="1"/>
          <w:lang w:eastAsia="ar-SA"/>
        </w:rPr>
      </w:pPr>
    </w:p>
    <w:p w14:paraId="47730CEB" w14:textId="259DB330" w:rsidR="000D1B0D" w:rsidRPr="0027631D" w:rsidRDefault="000D1B0D" w:rsidP="0027631D">
      <w:pPr>
        <w:spacing w:after="0" w:line="23" w:lineRule="atLeast"/>
        <w:contextualSpacing/>
        <w:jc w:val="both"/>
        <w:rPr>
          <w:rFonts w:ascii="Arial" w:eastAsia="Times New Roman" w:hAnsi="Arial" w:cs="Arial"/>
          <w:color w:val="000000" w:themeColor="text1"/>
          <w:kern w:val="1"/>
          <w:lang w:eastAsia="ar-SA"/>
        </w:rPr>
      </w:pPr>
      <w:r w:rsidRPr="0027631D">
        <w:rPr>
          <w:rFonts w:ascii="Arial" w:eastAsia="Times New Roman" w:hAnsi="Arial" w:cs="Arial"/>
          <w:color w:val="000000" w:themeColor="text1"/>
          <w:kern w:val="1"/>
          <w:lang w:eastAsia="ar-SA"/>
        </w:rPr>
        <w:t xml:space="preserve">Como se </w:t>
      </w:r>
      <w:r w:rsidR="00485A37" w:rsidRPr="0027631D">
        <w:rPr>
          <w:rFonts w:ascii="Arial" w:eastAsia="Times New Roman" w:hAnsi="Arial" w:cs="Arial"/>
          <w:color w:val="000000" w:themeColor="text1"/>
          <w:kern w:val="1"/>
          <w:lang w:eastAsia="ar-SA"/>
        </w:rPr>
        <w:t>indicó en el considerando Tercero</w:t>
      </w:r>
      <w:r w:rsidRPr="0027631D">
        <w:rPr>
          <w:rFonts w:ascii="Arial" w:eastAsia="Times New Roman" w:hAnsi="Arial" w:cs="Arial"/>
          <w:color w:val="000000" w:themeColor="text1"/>
          <w:kern w:val="1"/>
          <w:lang w:eastAsia="ar-SA"/>
        </w:rPr>
        <w:t>, existe</w:t>
      </w:r>
      <w:r w:rsidR="00EB5237" w:rsidRPr="0027631D">
        <w:rPr>
          <w:rFonts w:ascii="Arial" w:eastAsia="Times New Roman" w:hAnsi="Arial" w:cs="Arial"/>
          <w:color w:val="000000" w:themeColor="text1"/>
          <w:kern w:val="1"/>
          <w:lang w:eastAsia="ar-SA"/>
        </w:rPr>
        <w:t>n</w:t>
      </w:r>
      <w:r w:rsidR="00011F7F" w:rsidRPr="0027631D">
        <w:rPr>
          <w:rFonts w:ascii="Arial" w:eastAsia="Times New Roman" w:hAnsi="Arial" w:cs="Arial"/>
          <w:color w:val="000000" w:themeColor="text1"/>
          <w:kern w:val="1"/>
          <w:lang w:eastAsia="ar-SA"/>
        </w:rPr>
        <w:t xml:space="preserve"> diversas condiciones técnicas</w:t>
      </w:r>
      <w:r w:rsidR="00997D60" w:rsidRPr="0027631D">
        <w:rPr>
          <w:rFonts w:ascii="Arial" w:eastAsia="Times New Roman" w:hAnsi="Arial" w:cs="Arial"/>
          <w:color w:val="000000" w:themeColor="text1"/>
          <w:kern w:val="1"/>
          <w:lang w:eastAsia="ar-SA"/>
        </w:rPr>
        <w:t xml:space="preserve"> de</w:t>
      </w:r>
      <w:r w:rsidR="00011F7F" w:rsidRPr="0027631D">
        <w:rPr>
          <w:rFonts w:ascii="Arial" w:eastAsia="Times New Roman" w:hAnsi="Arial" w:cs="Arial"/>
          <w:color w:val="000000" w:themeColor="text1"/>
          <w:kern w:val="1"/>
          <w:lang w:eastAsia="ar-SA"/>
        </w:rPr>
        <w:t xml:space="preserve"> </w:t>
      </w:r>
      <w:r w:rsidR="00EB5237" w:rsidRPr="0027631D">
        <w:rPr>
          <w:rFonts w:ascii="Arial" w:eastAsia="Times New Roman" w:hAnsi="Arial" w:cs="Arial"/>
          <w:color w:val="000000" w:themeColor="text1"/>
          <w:kern w:val="1"/>
          <w:lang w:eastAsia="ar-SA"/>
        </w:rPr>
        <w:t xml:space="preserve">operación </w:t>
      </w:r>
      <w:r w:rsidR="00011F7F" w:rsidRPr="0027631D">
        <w:rPr>
          <w:rFonts w:ascii="Arial" w:eastAsia="Times New Roman" w:hAnsi="Arial" w:cs="Arial"/>
          <w:color w:val="000000" w:themeColor="text1"/>
          <w:kern w:val="1"/>
          <w:lang w:eastAsia="ar-SA"/>
        </w:rPr>
        <w:t>para e</w:t>
      </w:r>
      <w:r w:rsidR="009B763C" w:rsidRPr="0027631D">
        <w:rPr>
          <w:rFonts w:ascii="Arial" w:eastAsia="Times New Roman" w:hAnsi="Arial" w:cs="Arial"/>
          <w:color w:val="000000" w:themeColor="text1"/>
          <w:kern w:val="1"/>
          <w:lang w:eastAsia="ar-SA"/>
        </w:rPr>
        <w:t>l</w:t>
      </w:r>
      <w:r w:rsidR="00011F7F" w:rsidRPr="0027631D">
        <w:rPr>
          <w:rFonts w:ascii="Arial" w:eastAsia="Times New Roman" w:hAnsi="Arial" w:cs="Arial"/>
          <w:color w:val="000000" w:themeColor="text1"/>
          <w:kern w:val="1"/>
          <w:lang w:eastAsia="ar-SA"/>
        </w:rPr>
        <w:t xml:space="preserve"> uso de la banda 2.4 GHz, por parte de los </w:t>
      </w:r>
      <w:r w:rsidRPr="0027631D">
        <w:rPr>
          <w:rFonts w:ascii="Arial" w:eastAsia="Times New Roman" w:hAnsi="Arial" w:cs="Arial"/>
          <w:color w:val="000000" w:themeColor="text1"/>
          <w:kern w:val="1"/>
          <w:lang w:eastAsia="ar-SA"/>
        </w:rPr>
        <w:t>sistemas</w:t>
      </w:r>
      <w:r w:rsidR="00506E34" w:rsidRPr="0027631D">
        <w:rPr>
          <w:rFonts w:ascii="Arial" w:eastAsia="Times New Roman" w:hAnsi="Arial" w:cs="Arial"/>
          <w:color w:val="000000" w:themeColor="text1"/>
          <w:kern w:val="1"/>
          <w:lang w:eastAsia="ar-SA"/>
        </w:rPr>
        <w:t xml:space="preserve"> o equipos </w:t>
      </w:r>
      <w:r w:rsidRPr="0027631D">
        <w:rPr>
          <w:rFonts w:ascii="Arial" w:eastAsia="Times New Roman" w:hAnsi="Arial" w:cs="Arial"/>
          <w:color w:val="000000" w:themeColor="text1"/>
          <w:kern w:val="1"/>
          <w:lang w:eastAsia="ar-SA"/>
        </w:rPr>
        <w:t xml:space="preserve">de </w:t>
      </w:r>
      <w:r w:rsidR="00EB5237" w:rsidRPr="0027631D">
        <w:rPr>
          <w:rFonts w:ascii="Arial" w:eastAsia="Times New Roman" w:hAnsi="Arial" w:cs="Arial"/>
          <w:color w:val="000000" w:themeColor="text1"/>
          <w:kern w:val="1"/>
          <w:lang w:eastAsia="ar-SA"/>
        </w:rPr>
        <w:t xml:space="preserve">radiocomunicación </w:t>
      </w:r>
      <w:r w:rsidR="009B763C" w:rsidRPr="0027631D">
        <w:rPr>
          <w:rFonts w:ascii="Arial" w:eastAsia="Times New Roman" w:hAnsi="Arial" w:cs="Arial"/>
          <w:color w:val="000000" w:themeColor="text1"/>
          <w:kern w:val="1"/>
          <w:lang w:eastAsia="ar-SA"/>
        </w:rPr>
        <w:t>exentos</w:t>
      </w:r>
      <w:r w:rsidR="00506E34" w:rsidRPr="0027631D">
        <w:rPr>
          <w:rFonts w:ascii="Arial" w:eastAsia="Times New Roman" w:hAnsi="Arial" w:cs="Arial"/>
          <w:color w:val="000000" w:themeColor="text1"/>
          <w:kern w:val="1"/>
          <w:lang w:eastAsia="ar-SA"/>
        </w:rPr>
        <w:t xml:space="preserve"> de licencia, en particular, </w:t>
      </w:r>
      <w:r w:rsidR="009B763C" w:rsidRPr="0027631D">
        <w:rPr>
          <w:rFonts w:ascii="Arial" w:eastAsia="Times New Roman" w:hAnsi="Arial" w:cs="Arial"/>
          <w:color w:val="000000" w:themeColor="text1"/>
          <w:kern w:val="1"/>
          <w:lang w:eastAsia="ar-SA"/>
        </w:rPr>
        <w:t xml:space="preserve">aquellos sistemas que utilizan técnicas de espectro disperso por salto de frecuencia, modulación digital e híbridos, así como para otro tipo de </w:t>
      </w:r>
      <w:r w:rsidR="00011F7F" w:rsidRPr="0027631D">
        <w:rPr>
          <w:rFonts w:ascii="Arial" w:eastAsia="Times New Roman" w:hAnsi="Arial" w:cs="Arial"/>
          <w:color w:val="000000" w:themeColor="text1"/>
          <w:kern w:val="1"/>
          <w:lang w:eastAsia="ar-SA"/>
        </w:rPr>
        <w:t xml:space="preserve">usos </w:t>
      </w:r>
      <w:r w:rsidR="00506E34" w:rsidRPr="0027631D">
        <w:rPr>
          <w:rFonts w:ascii="Arial" w:eastAsia="Times New Roman" w:hAnsi="Arial" w:cs="Arial"/>
          <w:color w:val="000000" w:themeColor="text1"/>
          <w:kern w:val="1"/>
          <w:lang w:eastAsia="ar-SA"/>
        </w:rPr>
        <w:t xml:space="preserve">o aplicaciones disponibles en dicha </w:t>
      </w:r>
      <w:r w:rsidRPr="0027631D">
        <w:rPr>
          <w:rFonts w:ascii="Arial" w:eastAsia="Times New Roman" w:hAnsi="Arial" w:cs="Arial"/>
          <w:color w:val="000000" w:themeColor="text1"/>
          <w:kern w:val="1"/>
          <w:lang w:eastAsia="ar-SA"/>
        </w:rPr>
        <w:t xml:space="preserve">banda de </w:t>
      </w:r>
      <w:r w:rsidR="00506E34" w:rsidRPr="0027631D">
        <w:rPr>
          <w:rFonts w:ascii="Arial" w:eastAsia="Times New Roman" w:hAnsi="Arial" w:cs="Arial"/>
          <w:color w:val="000000" w:themeColor="text1"/>
          <w:kern w:val="1"/>
          <w:lang w:eastAsia="ar-SA"/>
        </w:rPr>
        <w:t xml:space="preserve">frecuencias, todas ellas correspondientes a las normas y reglamentación técnica emitida a nivel nacional por cada una de las administraciones de la región de las Américas. Lo anterior significa que, </w:t>
      </w:r>
      <w:r w:rsidR="00011F7F" w:rsidRPr="0027631D">
        <w:rPr>
          <w:rFonts w:ascii="Arial" w:eastAsia="Times New Roman" w:hAnsi="Arial" w:cs="Arial"/>
          <w:color w:val="000000" w:themeColor="text1"/>
          <w:kern w:val="1"/>
          <w:lang w:eastAsia="ar-SA"/>
        </w:rPr>
        <w:t>existe un grado de armonización en el uso de la banda 2.4 GHz del espectro radio</w:t>
      </w:r>
      <w:r w:rsidR="00506E34" w:rsidRPr="0027631D">
        <w:rPr>
          <w:rFonts w:ascii="Arial" w:eastAsia="Times New Roman" w:hAnsi="Arial" w:cs="Arial"/>
          <w:color w:val="000000" w:themeColor="text1"/>
          <w:kern w:val="1"/>
          <w:lang w:eastAsia="ar-SA"/>
        </w:rPr>
        <w:t xml:space="preserve">eléctrico, dado que se muestran valores coincidentes en cada caso. </w:t>
      </w:r>
      <w:r w:rsidRPr="0027631D">
        <w:rPr>
          <w:rFonts w:ascii="Arial" w:eastAsia="Times New Roman" w:hAnsi="Arial" w:cs="Arial"/>
          <w:color w:val="000000" w:themeColor="text1"/>
          <w:kern w:val="1"/>
          <w:lang w:eastAsia="ar-SA"/>
        </w:rPr>
        <w:t xml:space="preserve">A este respecto, </w:t>
      </w:r>
      <w:r w:rsidR="00506E34" w:rsidRPr="0027631D">
        <w:rPr>
          <w:rFonts w:ascii="Arial" w:eastAsia="Times New Roman" w:hAnsi="Arial" w:cs="Arial"/>
          <w:color w:val="000000" w:themeColor="text1"/>
          <w:kern w:val="1"/>
          <w:lang w:eastAsia="ar-SA"/>
        </w:rPr>
        <w:t xml:space="preserve">es de precisar que también </w:t>
      </w:r>
      <w:r w:rsidRPr="0027631D">
        <w:rPr>
          <w:rFonts w:ascii="Arial" w:eastAsia="Times New Roman" w:hAnsi="Arial" w:cs="Arial"/>
          <w:color w:val="000000" w:themeColor="text1"/>
          <w:kern w:val="1"/>
          <w:lang w:eastAsia="ar-SA"/>
        </w:rPr>
        <w:t xml:space="preserve">se analizaron las </w:t>
      </w:r>
      <w:r w:rsidR="00BB550F">
        <w:rPr>
          <w:rFonts w:ascii="Arial" w:eastAsia="Times New Roman" w:hAnsi="Arial" w:cs="Arial"/>
          <w:color w:val="000000" w:themeColor="text1"/>
          <w:kern w:val="1"/>
          <w:lang w:eastAsia="ar-SA"/>
        </w:rPr>
        <w:t>r</w:t>
      </w:r>
      <w:r w:rsidRPr="0027631D">
        <w:rPr>
          <w:rFonts w:ascii="Arial" w:eastAsia="Times New Roman" w:hAnsi="Arial" w:cs="Arial"/>
          <w:color w:val="000000" w:themeColor="text1"/>
          <w:kern w:val="1"/>
          <w:lang w:eastAsia="ar-SA"/>
        </w:rPr>
        <w:t xml:space="preserve">ecomendaciones internacionales, así como los estándares establecidos para estos sistemas. </w:t>
      </w:r>
    </w:p>
    <w:p w14:paraId="23C363D9" w14:textId="77777777" w:rsidR="000D1B0D" w:rsidRPr="0027631D" w:rsidRDefault="000D1B0D" w:rsidP="0027631D">
      <w:pPr>
        <w:spacing w:after="0" w:line="23" w:lineRule="atLeast"/>
        <w:contextualSpacing/>
        <w:jc w:val="both"/>
        <w:rPr>
          <w:rFonts w:ascii="Arial" w:eastAsia="Times New Roman" w:hAnsi="Arial" w:cs="Arial"/>
          <w:color w:val="000000" w:themeColor="text1"/>
          <w:kern w:val="1"/>
          <w:lang w:eastAsia="ar-SA"/>
        </w:rPr>
      </w:pPr>
    </w:p>
    <w:p w14:paraId="19DA3275" w14:textId="77777777" w:rsidR="00FA64BD" w:rsidRPr="0027631D" w:rsidRDefault="00FA64BD" w:rsidP="0027631D">
      <w:pPr>
        <w:spacing w:after="0" w:line="23" w:lineRule="atLeast"/>
        <w:contextualSpacing/>
        <w:jc w:val="both"/>
        <w:rPr>
          <w:rFonts w:ascii="Arial" w:eastAsia="Times New Roman" w:hAnsi="Arial" w:cs="Arial"/>
          <w:color w:val="000000" w:themeColor="text1"/>
          <w:kern w:val="1"/>
          <w:lang w:eastAsia="ar-SA"/>
        </w:rPr>
      </w:pPr>
      <w:r w:rsidRPr="0027631D">
        <w:rPr>
          <w:rFonts w:ascii="Arial" w:eastAsia="Times New Roman" w:hAnsi="Arial" w:cs="Arial"/>
          <w:color w:val="000000" w:themeColor="text1"/>
          <w:kern w:val="1"/>
          <w:lang w:eastAsia="ar-SA"/>
        </w:rPr>
        <w:t xml:space="preserve">En este orden de ideas, </w:t>
      </w:r>
      <w:r w:rsidR="00D904F5" w:rsidRPr="0027631D">
        <w:rPr>
          <w:rFonts w:ascii="Arial" w:eastAsia="Times New Roman" w:hAnsi="Arial" w:cs="Arial"/>
          <w:color w:val="000000" w:themeColor="text1"/>
          <w:kern w:val="1"/>
          <w:lang w:eastAsia="ar-SA"/>
        </w:rPr>
        <w:t xml:space="preserve">como resultado del análisis realizado, </w:t>
      </w:r>
      <w:r w:rsidR="00A44AB0">
        <w:rPr>
          <w:rFonts w:ascii="Arial" w:eastAsia="Times New Roman" w:hAnsi="Arial" w:cs="Arial"/>
          <w:color w:val="000000" w:themeColor="text1"/>
          <w:kern w:val="1"/>
          <w:lang w:eastAsia="ar-SA"/>
        </w:rPr>
        <w:t>el presente Acuerdo</w:t>
      </w:r>
      <w:r w:rsidRPr="0027631D">
        <w:rPr>
          <w:rFonts w:ascii="Arial" w:eastAsia="Times New Roman" w:hAnsi="Arial" w:cs="Arial"/>
          <w:color w:val="000000" w:themeColor="text1"/>
          <w:kern w:val="1"/>
          <w:lang w:eastAsia="ar-SA"/>
        </w:rPr>
        <w:t xml:space="preserve"> pretende </w:t>
      </w:r>
      <w:r w:rsidR="00360C07" w:rsidRPr="0027631D">
        <w:rPr>
          <w:rFonts w:ascii="Arial" w:eastAsia="Times New Roman" w:hAnsi="Arial" w:cs="Arial"/>
          <w:color w:val="000000" w:themeColor="text1"/>
          <w:kern w:val="1"/>
          <w:lang w:eastAsia="ar-SA"/>
        </w:rPr>
        <w:t>alcanzar</w:t>
      </w:r>
      <w:r w:rsidRPr="0027631D">
        <w:rPr>
          <w:rFonts w:ascii="Arial" w:eastAsia="Times New Roman" w:hAnsi="Arial" w:cs="Arial"/>
          <w:color w:val="000000" w:themeColor="text1"/>
          <w:kern w:val="1"/>
          <w:lang w:eastAsia="ar-SA"/>
        </w:rPr>
        <w:t xml:space="preserve"> los objetivos siguientes:</w:t>
      </w:r>
    </w:p>
    <w:p w14:paraId="62CE75F0" w14:textId="77777777" w:rsidR="00FA64BD" w:rsidRPr="0027631D" w:rsidRDefault="00FA64BD" w:rsidP="0027631D">
      <w:pPr>
        <w:spacing w:after="0" w:line="23" w:lineRule="atLeast"/>
        <w:contextualSpacing/>
        <w:jc w:val="both"/>
        <w:rPr>
          <w:rFonts w:ascii="Arial" w:eastAsia="Times New Roman" w:hAnsi="Arial" w:cs="Arial"/>
          <w:color w:val="000000" w:themeColor="text1"/>
          <w:kern w:val="1"/>
          <w:lang w:eastAsia="ar-SA"/>
        </w:rPr>
      </w:pPr>
    </w:p>
    <w:p w14:paraId="258F6450" w14:textId="77777777" w:rsidR="000D1B0D" w:rsidRPr="0027631D" w:rsidRDefault="000D1B0D" w:rsidP="00E36991">
      <w:pPr>
        <w:numPr>
          <w:ilvl w:val="0"/>
          <w:numId w:val="6"/>
        </w:numPr>
        <w:spacing w:after="0" w:line="23" w:lineRule="atLeast"/>
        <w:contextualSpacing/>
        <w:jc w:val="both"/>
        <w:rPr>
          <w:rFonts w:ascii="Arial" w:eastAsia="Times New Roman" w:hAnsi="Arial" w:cs="Arial"/>
          <w:color w:val="000000" w:themeColor="text1"/>
          <w:kern w:val="1"/>
          <w:lang w:eastAsia="ar-SA"/>
        </w:rPr>
      </w:pPr>
      <w:r w:rsidRPr="0027631D">
        <w:rPr>
          <w:rFonts w:ascii="Arial" w:eastAsia="Times New Roman" w:hAnsi="Arial" w:cs="Arial"/>
          <w:color w:val="000000" w:themeColor="text1"/>
          <w:kern w:val="1"/>
          <w:lang w:eastAsia="ar-SA"/>
        </w:rPr>
        <w:t xml:space="preserve">Establecer nuevas condiciones técnicas de operación para el uso de la banda 2.4 GHz, con el fin de </w:t>
      </w:r>
      <w:r w:rsidR="004752CB" w:rsidRPr="0027631D">
        <w:rPr>
          <w:rFonts w:ascii="Arial" w:eastAsia="Times New Roman" w:hAnsi="Arial" w:cs="Arial"/>
          <w:color w:val="000000" w:themeColor="text1"/>
          <w:kern w:val="1"/>
          <w:lang w:eastAsia="ar-SA"/>
        </w:rPr>
        <w:t xml:space="preserve">propiciar </w:t>
      </w:r>
      <w:r w:rsidRPr="0027631D">
        <w:rPr>
          <w:rFonts w:ascii="Arial" w:eastAsia="Times New Roman" w:hAnsi="Arial" w:cs="Arial"/>
          <w:color w:val="000000" w:themeColor="text1"/>
          <w:kern w:val="1"/>
          <w:lang w:eastAsia="ar-SA"/>
        </w:rPr>
        <w:t xml:space="preserve">el despliegue de </w:t>
      </w:r>
      <w:r w:rsidR="004752CB" w:rsidRPr="0027631D">
        <w:rPr>
          <w:rFonts w:ascii="Arial" w:eastAsia="Times New Roman" w:hAnsi="Arial" w:cs="Arial"/>
          <w:color w:val="000000" w:themeColor="text1"/>
          <w:kern w:val="1"/>
          <w:lang w:eastAsia="ar-SA"/>
        </w:rPr>
        <w:t xml:space="preserve">más </w:t>
      </w:r>
      <w:r w:rsidRPr="0027631D">
        <w:rPr>
          <w:rFonts w:ascii="Arial" w:eastAsia="Times New Roman" w:hAnsi="Arial" w:cs="Arial"/>
          <w:color w:val="000000" w:themeColor="text1"/>
          <w:kern w:val="1"/>
          <w:lang w:eastAsia="ar-SA"/>
        </w:rPr>
        <w:t>sistemas de radiocomunicaciones en nuestro país, en beneficio del usuario final</w:t>
      </w:r>
      <w:r w:rsidR="009D2431" w:rsidRPr="0027631D">
        <w:rPr>
          <w:rFonts w:ascii="Arial" w:eastAsia="Times New Roman" w:hAnsi="Arial" w:cs="Arial"/>
          <w:color w:val="000000" w:themeColor="text1"/>
          <w:kern w:val="1"/>
          <w:lang w:eastAsia="ar-SA"/>
        </w:rPr>
        <w:t>;</w:t>
      </w:r>
    </w:p>
    <w:p w14:paraId="090808AA" w14:textId="77777777" w:rsidR="00873851" w:rsidRPr="0027631D" w:rsidRDefault="00873851" w:rsidP="0027631D">
      <w:pPr>
        <w:spacing w:after="0" w:line="23" w:lineRule="atLeast"/>
        <w:ind w:left="720"/>
        <w:contextualSpacing/>
        <w:jc w:val="both"/>
        <w:rPr>
          <w:rFonts w:ascii="Arial" w:eastAsia="Times New Roman" w:hAnsi="Arial" w:cs="Arial"/>
          <w:color w:val="000000" w:themeColor="text1"/>
          <w:kern w:val="1"/>
          <w:lang w:eastAsia="ar-SA"/>
        </w:rPr>
      </w:pPr>
    </w:p>
    <w:p w14:paraId="14410CB2" w14:textId="77777777" w:rsidR="000D1B0D" w:rsidRPr="0027631D" w:rsidRDefault="000D1B0D" w:rsidP="00E36991">
      <w:pPr>
        <w:numPr>
          <w:ilvl w:val="0"/>
          <w:numId w:val="6"/>
        </w:numPr>
        <w:spacing w:after="0" w:line="23" w:lineRule="atLeast"/>
        <w:contextualSpacing/>
        <w:jc w:val="both"/>
        <w:rPr>
          <w:rFonts w:ascii="Arial" w:eastAsia="Times New Roman" w:hAnsi="Arial" w:cs="Arial"/>
          <w:color w:val="000000" w:themeColor="text1"/>
          <w:kern w:val="1"/>
          <w:lang w:eastAsia="ar-SA"/>
        </w:rPr>
      </w:pPr>
      <w:r w:rsidRPr="0027631D">
        <w:rPr>
          <w:rFonts w:ascii="Arial" w:eastAsia="Times New Roman" w:hAnsi="Arial" w:cs="Arial"/>
          <w:color w:val="000000" w:themeColor="text1"/>
          <w:kern w:val="1"/>
          <w:lang w:eastAsia="ar-SA"/>
        </w:rPr>
        <w:t xml:space="preserve">Impulsar condiciones para que el público en general tenga acceso a nuevas tecnologías </w:t>
      </w:r>
      <w:r w:rsidR="009D2431" w:rsidRPr="0027631D">
        <w:rPr>
          <w:rFonts w:ascii="Arial" w:eastAsia="Times New Roman" w:hAnsi="Arial" w:cs="Arial"/>
          <w:color w:val="000000" w:themeColor="text1"/>
          <w:kern w:val="1"/>
          <w:lang w:eastAsia="ar-SA"/>
        </w:rPr>
        <w:t xml:space="preserve">de información </w:t>
      </w:r>
      <w:r w:rsidRPr="0027631D">
        <w:rPr>
          <w:rFonts w:ascii="Arial" w:eastAsia="Times New Roman" w:hAnsi="Arial" w:cs="Arial"/>
          <w:color w:val="000000" w:themeColor="text1"/>
          <w:kern w:val="1"/>
          <w:lang w:eastAsia="ar-SA"/>
        </w:rPr>
        <w:t xml:space="preserve">y </w:t>
      </w:r>
      <w:r w:rsidR="009D2431" w:rsidRPr="0027631D">
        <w:rPr>
          <w:rFonts w:ascii="Arial" w:eastAsia="Times New Roman" w:hAnsi="Arial" w:cs="Arial"/>
          <w:color w:val="000000" w:themeColor="text1"/>
          <w:kern w:val="1"/>
          <w:lang w:eastAsia="ar-SA"/>
        </w:rPr>
        <w:t xml:space="preserve">comunicación </w:t>
      </w:r>
      <w:r w:rsidRPr="0027631D">
        <w:rPr>
          <w:rFonts w:ascii="Arial" w:eastAsia="Times New Roman" w:hAnsi="Arial" w:cs="Arial"/>
          <w:color w:val="000000" w:themeColor="text1"/>
          <w:kern w:val="1"/>
          <w:lang w:eastAsia="ar-SA"/>
        </w:rPr>
        <w:t>y servicios de telecomunicaciones mediante el uso de la banda 2.4 GHz</w:t>
      </w:r>
      <w:r w:rsidR="009D2431" w:rsidRPr="0027631D">
        <w:rPr>
          <w:rFonts w:ascii="Arial" w:eastAsia="Times New Roman" w:hAnsi="Arial" w:cs="Arial"/>
          <w:color w:val="000000" w:themeColor="text1"/>
          <w:kern w:val="1"/>
          <w:lang w:eastAsia="ar-SA"/>
        </w:rPr>
        <w:t>;</w:t>
      </w:r>
    </w:p>
    <w:p w14:paraId="1E90BF37" w14:textId="77777777" w:rsidR="00873851" w:rsidRPr="0027631D" w:rsidRDefault="00873851" w:rsidP="0027631D">
      <w:pPr>
        <w:pStyle w:val="Prrafodelista"/>
        <w:spacing w:line="23" w:lineRule="atLeast"/>
        <w:contextualSpacing/>
        <w:rPr>
          <w:rFonts w:cs="Arial"/>
          <w:color w:val="000000" w:themeColor="text1"/>
          <w:kern w:val="1"/>
          <w:sz w:val="22"/>
          <w:szCs w:val="22"/>
          <w:lang w:eastAsia="ar-SA"/>
        </w:rPr>
      </w:pPr>
    </w:p>
    <w:p w14:paraId="32045D73" w14:textId="77777777" w:rsidR="000D1B0D" w:rsidRPr="0027631D" w:rsidRDefault="000D1B0D" w:rsidP="00E36991">
      <w:pPr>
        <w:numPr>
          <w:ilvl w:val="0"/>
          <w:numId w:val="6"/>
        </w:numPr>
        <w:spacing w:after="0" w:line="23" w:lineRule="atLeast"/>
        <w:contextualSpacing/>
        <w:jc w:val="both"/>
        <w:rPr>
          <w:rFonts w:ascii="Arial" w:eastAsia="Times New Roman" w:hAnsi="Arial" w:cs="Arial"/>
          <w:color w:val="000000" w:themeColor="text1"/>
          <w:kern w:val="1"/>
          <w:lang w:eastAsia="ar-SA"/>
        </w:rPr>
      </w:pPr>
      <w:r w:rsidRPr="0027631D">
        <w:rPr>
          <w:rFonts w:ascii="Arial" w:eastAsia="Times New Roman" w:hAnsi="Arial" w:cs="Arial"/>
          <w:color w:val="000000" w:themeColor="text1"/>
          <w:kern w:val="1"/>
          <w:lang w:eastAsia="ar-SA"/>
        </w:rPr>
        <w:t xml:space="preserve">Promover el uso eficiente del espectro radioeléctrico al establecer nuevas condiciones técnicas de operación que permitan el uso intensivo de las frecuencias o canales de frecuencias en la banda </w:t>
      </w:r>
      <w:r w:rsidR="009D2431" w:rsidRPr="0027631D">
        <w:rPr>
          <w:rFonts w:ascii="Arial" w:eastAsia="Times New Roman" w:hAnsi="Arial" w:cs="Arial"/>
          <w:color w:val="000000" w:themeColor="text1"/>
          <w:kern w:val="1"/>
          <w:lang w:eastAsia="ar-SA"/>
        </w:rPr>
        <w:t>2.4 GHz;</w:t>
      </w:r>
    </w:p>
    <w:p w14:paraId="6C81CEA7" w14:textId="77777777" w:rsidR="00873851" w:rsidRPr="0027631D" w:rsidRDefault="00873851" w:rsidP="0027631D">
      <w:pPr>
        <w:pStyle w:val="Prrafodelista"/>
        <w:spacing w:line="23" w:lineRule="atLeast"/>
        <w:contextualSpacing/>
        <w:rPr>
          <w:rFonts w:cs="Arial"/>
          <w:color w:val="000000" w:themeColor="text1"/>
          <w:kern w:val="1"/>
          <w:sz w:val="22"/>
          <w:szCs w:val="22"/>
          <w:lang w:eastAsia="ar-SA"/>
        </w:rPr>
      </w:pPr>
    </w:p>
    <w:p w14:paraId="4AE1E09E" w14:textId="77777777" w:rsidR="000D1B0D" w:rsidRPr="0027631D" w:rsidRDefault="000D1B0D" w:rsidP="00E36991">
      <w:pPr>
        <w:numPr>
          <w:ilvl w:val="0"/>
          <w:numId w:val="6"/>
        </w:numPr>
        <w:spacing w:after="0" w:line="23" w:lineRule="atLeast"/>
        <w:contextualSpacing/>
        <w:jc w:val="both"/>
        <w:rPr>
          <w:rFonts w:ascii="Arial" w:eastAsia="Times New Roman" w:hAnsi="Arial" w:cs="Arial"/>
          <w:color w:val="000000" w:themeColor="text1"/>
          <w:kern w:val="1"/>
          <w:lang w:eastAsia="ar-SA"/>
        </w:rPr>
      </w:pPr>
      <w:r w:rsidRPr="0027631D">
        <w:rPr>
          <w:rFonts w:ascii="Arial" w:eastAsia="Times New Roman" w:hAnsi="Arial" w:cs="Arial"/>
          <w:color w:val="000000" w:themeColor="text1"/>
          <w:kern w:val="1"/>
          <w:lang w:eastAsia="ar-SA"/>
        </w:rPr>
        <w:t>Acrecentar la armonización en el uso del espectro radioeléctrico en la banda 2.4 GHz, considerando las mejores prácticas internacionales y los avances tecnológicos que existen</w:t>
      </w:r>
      <w:r w:rsidR="009D2431" w:rsidRPr="0027631D">
        <w:rPr>
          <w:rFonts w:ascii="Arial" w:eastAsia="Times New Roman" w:hAnsi="Arial" w:cs="Arial"/>
          <w:color w:val="000000" w:themeColor="text1"/>
          <w:kern w:val="1"/>
          <w:lang w:eastAsia="ar-SA"/>
        </w:rPr>
        <w:t>;</w:t>
      </w:r>
    </w:p>
    <w:p w14:paraId="5672E24B" w14:textId="77777777" w:rsidR="00873851" w:rsidRPr="0027631D" w:rsidRDefault="00873851" w:rsidP="0027631D">
      <w:pPr>
        <w:pStyle w:val="Prrafodelista"/>
        <w:spacing w:line="23" w:lineRule="atLeast"/>
        <w:contextualSpacing/>
        <w:rPr>
          <w:rFonts w:cs="Arial"/>
          <w:color w:val="000000" w:themeColor="text1"/>
          <w:kern w:val="1"/>
          <w:sz w:val="22"/>
          <w:szCs w:val="22"/>
          <w:lang w:eastAsia="ar-SA"/>
        </w:rPr>
      </w:pPr>
    </w:p>
    <w:p w14:paraId="1060295F" w14:textId="6FA5410A" w:rsidR="000D1B0D" w:rsidRPr="0027631D" w:rsidRDefault="000D1B0D" w:rsidP="00E36991">
      <w:pPr>
        <w:numPr>
          <w:ilvl w:val="0"/>
          <w:numId w:val="6"/>
        </w:numPr>
        <w:spacing w:after="0" w:line="23" w:lineRule="atLeast"/>
        <w:contextualSpacing/>
        <w:jc w:val="both"/>
        <w:rPr>
          <w:rFonts w:ascii="Arial" w:eastAsia="Times New Roman" w:hAnsi="Arial" w:cs="Arial"/>
          <w:color w:val="000000" w:themeColor="text1"/>
          <w:kern w:val="1"/>
          <w:lang w:eastAsia="ar-SA"/>
        </w:rPr>
      </w:pPr>
      <w:r w:rsidRPr="0027631D">
        <w:rPr>
          <w:rFonts w:ascii="Arial" w:eastAsia="Times New Roman" w:hAnsi="Arial" w:cs="Arial"/>
          <w:color w:val="000000" w:themeColor="text1"/>
          <w:kern w:val="1"/>
          <w:lang w:eastAsia="ar-SA"/>
        </w:rPr>
        <w:t xml:space="preserve">Incentivar la innovación tecnológica en el país al </w:t>
      </w:r>
      <w:r w:rsidR="004752CB" w:rsidRPr="0027631D">
        <w:rPr>
          <w:rFonts w:ascii="Arial" w:eastAsia="Times New Roman" w:hAnsi="Arial" w:cs="Arial"/>
          <w:color w:val="000000" w:themeColor="text1"/>
          <w:kern w:val="1"/>
          <w:lang w:eastAsia="ar-SA"/>
        </w:rPr>
        <w:t xml:space="preserve">habilitar </w:t>
      </w:r>
      <w:r w:rsidRPr="0027631D">
        <w:rPr>
          <w:rFonts w:ascii="Arial" w:eastAsia="Times New Roman" w:hAnsi="Arial" w:cs="Arial"/>
          <w:color w:val="000000" w:themeColor="text1"/>
          <w:kern w:val="1"/>
          <w:lang w:eastAsia="ar-SA"/>
        </w:rPr>
        <w:t xml:space="preserve">el acceso al espectro radioeléctrico para pruebas y experimentación </w:t>
      </w:r>
      <w:r w:rsidR="004752CB" w:rsidRPr="0027631D">
        <w:rPr>
          <w:rFonts w:ascii="Arial" w:eastAsia="Times New Roman" w:hAnsi="Arial" w:cs="Arial"/>
          <w:color w:val="000000" w:themeColor="text1"/>
          <w:kern w:val="1"/>
          <w:lang w:eastAsia="ar-SA"/>
        </w:rPr>
        <w:t xml:space="preserve">de nuevos equipos o tecnologías para </w:t>
      </w:r>
      <w:r w:rsidRPr="0027631D">
        <w:rPr>
          <w:rFonts w:ascii="Arial" w:eastAsia="Times New Roman" w:hAnsi="Arial" w:cs="Arial"/>
          <w:color w:val="000000" w:themeColor="text1"/>
          <w:kern w:val="1"/>
          <w:lang w:eastAsia="ar-SA"/>
        </w:rPr>
        <w:t xml:space="preserve">la banda 2.4 GHz, sin necesidad de contar con una concesión para </w:t>
      </w:r>
      <w:r w:rsidR="009D2431" w:rsidRPr="0027631D">
        <w:rPr>
          <w:rFonts w:ascii="Arial" w:eastAsia="Times New Roman" w:hAnsi="Arial" w:cs="Arial"/>
          <w:color w:val="000000" w:themeColor="text1"/>
          <w:kern w:val="1"/>
          <w:lang w:eastAsia="ar-SA"/>
        </w:rPr>
        <w:t>estos</w:t>
      </w:r>
      <w:r w:rsidRPr="0027631D">
        <w:rPr>
          <w:rFonts w:ascii="Arial" w:eastAsia="Times New Roman" w:hAnsi="Arial" w:cs="Arial"/>
          <w:color w:val="000000" w:themeColor="text1"/>
          <w:kern w:val="1"/>
          <w:lang w:eastAsia="ar-SA"/>
        </w:rPr>
        <w:t xml:space="preserve"> fines</w:t>
      </w:r>
      <w:r w:rsidR="00752763">
        <w:rPr>
          <w:rFonts w:ascii="Arial" w:eastAsia="Times New Roman" w:hAnsi="Arial" w:cs="Arial"/>
          <w:color w:val="000000" w:themeColor="text1"/>
          <w:kern w:val="1"/>
          <w:lang w:eastAsia="ar-SA"/>
        </w:rPr>
        <w:t>,</w:t>
      </w:r>
      <w:r w:rsidR="009D2431" w:rsidRPr="0027631D">
        <w:rPr>
          <w:rFonts w:ascii="Arial" w:eastAsia="Times New Roman" w:hAnsi="Arial" w:cs="Arial"/>
          <w:color w:val="000000" w:themeColor="text1"/>
          <w:kern w:val="1"/>
          <w:lang w:eastAsia="ar-SA"/>
        </w:rPr>
        <w:t xml:space="preserve"> y</w:t>
      </w:r>
    </w:p>
    <w:p w14:paraId="541FD7FC" w14:textId="77777777" w:rsidR="00873851" w:rsidRPr="0027631D" w:rsidRDefault="00873851" w:rsidP="0027631D">
      <w:pPr>
        <w:pStyle w:val="Prrafodelista"/>
        <w:spacing w:line="23" w:lineRule="atLeast"/>
        <w:contextualSpacing/>
        <w:rPr>
          <w:rFonts w:cs="Arial"/>
          <w:color w:val="000000" w:themeColor="text1"/>
          <w:kern w:val="1"/>
          <w:sz w:val="22"/>
          <w:szCs w:val="22"/>
          <w:lang w:eastAsia="ar-SA"/>
        </w:rPr>
      </w:pPr>
    </w:p>
    <w:p w14:paraId="64ADBA68" w14:textId="77777777" w:rsidR="000D1B0D" w:rsidRPr="0027631D" w:rsidRDefault="000D1B0D" w:rsidP="00E36991">
      <w:pPr>
        <w:numPr>
          <w:ilvl w:val="0"/>
          <w:numId w:val="6"/>
        </w:numPr>
        <w:spacing w:after="0" w:line="23" w:lineRule="atLeast"/>
        <w:contextualSpacing/>
        <w:jc w:val="both"/>
        <w:rPr>
          <w:rFonts w:ascii="Arial" w:eastAsia="Times New Roman" w:hAnsi="Arial" w:cs="Arial"/>
          <w:color w:val="000000" w:themeColor="text1"/>
          <w:kern w:val="1"/>
          <w:lang w:eastAsia="ar-SA"/>
        </w:rPr>
      </w:pPr>
      <w:r w:rsidRPr="0027631D">
        <w:rPr>
          <w:rFonts w:ascii="Arial" w:eastAsia="Times New Roman" w:hAnsi="Arial" w:cs="Arial"/>
          <w:color w:val="000000" w:themeColor="text1"/>
          <w:kern w:val="1"/>
          <w:lang w:eastAsia="ar-SA"/>
        </w:rPr>
        <w:t>Fomentar la competencia en el mercado de las telecomunicaciones para la banda 2.4 GHz, con el objeto de lograr un mayor desarrollo en el sector.</w:t>
      </w:r>
    </w:p>
    <w:p w14:paraId="77D51C24" w14:textId="77777777" w:rsidR="00FA64BD" w:rsidRPr="0027631D" w:rsidRDefault="00FA64BD" w:rsidP="0027631D">
      <w:pPr>
        <w:spacing w:after="0" w:line="23" w:lineRule="atLeast"/>
        <w:contextualSpacing/>
        <w:jc w:val="both"/>
        <w:rPr>
          <w:rFonts w:ascii="Arial" w:hAnsi="Arial" w:cs="Arial"/>
        </w:rPr>
      </w:pPr>
    </w:p>
    <w:p w14:paraId="45A594A7" w14:textId="5D21BECF" w:rsidR="00B07685" w:rsidRDefault="00B07685" w:rsidP="0027631D">
      <w:pPr>
        <w:spacing w:after="0" w:line="23" w:lineRule="atLeast"/>
        <w:contextualSpacing/>
        <w:jc w:val="both"/>
        <w:rPr>
          <w:rFonts w:ascii="Arial" w:hAnsi="Arial" w:cs="Arial"/>
          <w:color w:val="000000" w:themeColor="text1"/>
          <w:kern w:val="2"/>
          <w:lang w:val="es-ES" w:eastAsia="ar-SA"/>
        </w:rPr>
      </w:pPr>
      <w:r w:rsidRPr="00A44AB0">
        <w:rPr>
          <w:rFonts w:ascii="Arial" w:hAnsi="Arial" w:cs="Arial"/>
          <w:kern w:val="2"/>
          <w:lang w:val="es-ES" w:eastAsia="ar-SA"/>
        </w:rPr>
        <w:lastRenderedPageBreak/>
        <w:t xml:space="preserve">Por consiguiente, se </w:t>
      </w:r>
      <w:r w:rsidR="009F1EDA" w:rsidRPr="00A44AB0">
        <w:rPr>
          <w:rFonts w:ascii="Arial" w:hAnsi="Arial" w:cs="Arial"/>
          <w:kern w:val="2"/>
          <w:lang w:val="es-ES" w:eastAsia="ar-SA"/>
        </w:rPr>
        <w:t xml:space="preserve">considera </w:t>
      </w:r>
      <w:r w:rsidR="00A44AB0" w:rsidRPr="00A44AB0">
        <w:rPr>
          <w:rFonts w:ascii="Arial" w:hAnsi="Arial" w:cs="Arial"/>
          <w:kern w:val="2"/>
          <w:lang w:val="es-ES" w:eastAsia="ar-SA"/>
        </w:rPr>
        <w:t xml:space="preserve">oportuno </w:t>
      </w:r>
      <w:r w:rsidR="009F1EDA" w:rsidRPr="00A44AB0">
        <w:rPr>
          <w:rFonts w:ascii="Arial" w:hAnsi="Arial" w:cs="Arial"/>
          <w:kern w:val="2"/>
          <w:lang w:val="es-ES" w:eastAsia="ar-SA"/>
        </w:rPr>
        <w:t>mantener</w:t>
      </w:r>
      <w:r w:rsidR="00B75CD3" w:rsidRPr="00A44AB0">
        <w:rPr>
          <w:rFonts w:ascii="Arial" w:hAnsi="Arial" w:cs="Arial"/>
          <w:kern w:val="2"/>
          <w:lang w:val="es-ES" w:eastAsia="ar-SA"/>
        </w:rPr>
        <w:t xml:space="preserve"> la clasificación de la banda de frecuencias 2400</w:t>
      </w:r>
      <w:r w:rsidR="00037A80" w:rsidRPr="00A44AB0">
        <w:rPr>
          <w:rFonts w:ascii="Arial" w:hAnsi="Arial" w:cs="Arial"/>
          <w:kern w:val="2"/>
          <w:lang w:val="es-ES" w:eastAsia="ar-SA"/>
        </w:rPr>
        <w:t xml:space="preserve"> </w:t>
      </w:r>
      <w:r w:rsidR="00B75CD3" w:rsidRPr="00A44AB0">
        <w:rPr>
          <w:rFonts w:ascii="Arial" w:hAnsi="Arial" w:cs="Arial"/>
          <w:kern w:val="2"/>
          <w:lang w:val="es-ES" w:eastAsia="ar-SA"/>
        </w:rPr>
        <w:t>-</w:t>
      </w:r>
      <w:r w:rsidR="00037A80" w:rsidRPr="00A44AB0">
        <w:rPr>
          <w:rFonts w:ascii="Arial" w:hAnsi="Arial" w:cs="Arial"/>
          <w:kern w:val="2"/>
          <w:lang w:val="es-ES" w:eastAsia="ar-SA"/>
        </w:rPr>
        <w:t xml:space="preserve"> </w:t>
      </w:r>
      <w:r w:rsidR="00B75CD3" w:rsidRPr="00A44AB0">
        <w:rPr>
          <w:rFonts w:ascii="Arial" w:hAnsi="Arial" w:cs="Arial"/>
          <w:kern w:val="2"/>
          <w:lang w:val="es-ES" w:eastAsia="ar-SA"/>
        </w:rPr>
        <w:t xml:space="preserve">2483.5 MHz </w:t>
      </w:r>
      <w:r w:rsidR="00873851" w:rsidRPr="00A44AB0">
        <w:rPr>
          <w:rFonts w:ascii="Arial" w:hAnsi="Arial" w:cs="Arial"/>
          <w:kern w:val="2"/>
          <w:lang w:val="es-ES" w:eastAsia="ar-SA"/>
        </w:rPr>
        <w:t>como espectro libre</w:t>
      </w:r>
      <w:r w:rsidR="00B75CD3" w:rsidRPr="00A44AB0">
        <w:rPr>
          <w:rFonts w:ascii="Arial" w:hAnsi="Arial" w:cs="Arial"/>
          <w:kern w:val="2"/>
          <w:lang w:val="es-ES" w:eastAsia="ar-SA"/>
        </w:rPr>
        <w:t xml:space="preserve"> a través del presente </w:t>
      </w:r>
      <w:r w:rsidR="00752763">
        <w:rPr>
          <w:rFonts w:ascii="Arial" w:hAnsi="Arial" w:cs="Arial"/>
          <w:kern w:val="2"/>
          <w:lang w:val="es-ES" w:eastAsia="ar-SA"/>
        </w:rPr>
        <w:t>A</w:t>
      </w:r>
      <w:r w:rsidR="00B75CD3" w:rsidRPr="00A44AB0">
        <w:rPr>
          <w:rFonts w:ascii="Arial" w:hAnsi="Arial" w:cs="Arial"/>
          <w:kern w:val="2"/>
          <w:lang w:val="es-ES" w:eastAsia="ar-SA"/>
        </w:rPr>
        <w:t>cuerdo</w:t>
      </w:r>
      <w:r w:rsidR="00B75CD3" w:rsidRPr="0027631D">
        <w:rPr>
          <w:rFonts w:ascii="Arial" w:hAnsi="Arial" w:cs="Arial"/>
          <w:kern w:val="2"/>
          <w:lang w:val="es-ES" w:eastAsia="ar-SA"/>
        </w:rPr>
        <w:t>, estableciendo</w:t>
      </w:r>
      <w:r w:rsidR="00873851" w:rsidRPr="0027631D">
        <w:rPr>
          <w:rFonts w:ascii="Arial" w:eastAsia="Times New Roman" w:hAnsi="Arial" w:cs="Arial"/>
          <w:color w:val="000000" w:themeColor="text1"/>
          <w:kern w:val="1"/>
          <w:lang w:eastAsia="ar-SA"/>
        </w:rPr>
        <w:t xml:space="preserve"> nuevas </w:t>
      </w:r>
      <w:r w:rsidRPr="0027631D">
        <w:rPr>
          <w:rFonts w:ascii="Arial" w:hAnsi="Arial" w:cs="Arial"/>
          <w:kern w:val="2"/>
          <w:lang w:val="es-ES" w:eastAsia="ar-SA"/>
        </w:rPr>
        <w:t xml:space="preserve">condiciones </w:t>
      </w:r>
      <w:r w:rsidR="003D04C3" w:rsidRPr="0027631D">
        <w:rPr>
          <w:rFonts w:ascii="Arial" w:hAnsi="Arial" w:cs="Arial"/>
          <w:kern w:val="2"/>
          <w:lang w:val="es-ES" w:eastAsia="ar-SA"/>
        </w:rPr>
        <w:t xml:space="preserve">técnicas </w:t>
      </w:r>
      <w:r w:rsidRPr="0027631D">
        <w:rPr>
          <w:rFonts w:ascii="Arial" w:hAnsi="Arial" w:cs="Arial"/>
          <w:kern w:val="2"/>
          <w:lang w:val="es-ES" w:eastAsia="ar-SA"/>
        </w:rPr>
        <w:t>de operación</w:t>
      </w:r>
      <w:r w:rsidRPr="0027631D" w:rsidDel="00B75CD3">
        <w:rPr>
          <w:rFonts w:ascii="Arial" w:hAnsi="Arial" w:cs="Arial"/>
          <w:kern w:val="2"/>
          <w:lang w:val="es-ES" w:eastAsia="ar-SA"/>
        </w:rPr>
        <w:t xml:space="preserve">, </w:t>
      </w:r>
      <w:r w:rsidRPr="0027631D">
        <w:rPr>
          <w:rFonts w:ascii="Arial" w:hAnsi="Arial" w:cs="Arial"/>
          <w:kern w:val="2"/>
          <w:lang w:eastAsia="ar-SA"/>
        </w:rPr>
        <w:t xml:space="preserve">para </w:t>
      </w:r>
      <w:r w:rsidR="00873851" w:rsidRPr="0027631D">
        <w:rPr>
          <w:rFonts w:ascii="Arial" w:hAnsi="Arial" w:cs="Arial"/>
          <w:kern w:val="2"/>
          <w:lang w:eastAsia="ar-SA"/>
        </w:rPr>
        <w:t>los</w:t>
      </w:r>
      <w:r w:rsidRPr="0027631D" w:rsidDel="001A11B3">
        <w:rPr>
          <w:rFonts w:ascii="Arial" w:hAnsi="Arial" w:cs="Arial"/>
          <w:kern w:val="2"/>
          <w:lang w:eastAsia="ar-SA"/>
        </w:rPr>
        <w:t xml:space="preserve"> </w:t>
      </w:r>
      <w:r w:rsidRPr="0027631D">
        <w:rPr>
          <w:rFonts w:ascii="Arial" w:hAnsi="Arial" w:cs="Arial"/>
          <w:kern w:val="2"/>
          <w:lang w:eastAsia="ar-SA"/>
        </w:rPr>
        <w:t xml:space="preserve">diferentes </w:t>
      </w:r>
      <w:r w:rsidRPr="0027631D">
        <w:rPr>
          <w:rFonts w:ascii="Arial" w:hAnsi="Arial" w:cs="Arial"/>
          <w:color w:val="000000" w:themeColor="text1"/>
          <w:kern w:val="2"/>
          <w:lang w:val="es-ES" w:eastAsia="ar-SA"/>
        </w:rPr>
        <w:t xml:space="preserve">sistemas </w:t>
      </w:r>
      <w:r w:rsidR="00873851" w:rsidRPr="0027631D">
        <w:rPr>
          <w:rFonts w:ascii="Arial" w:hAnsi="Arial" w:cs="Arial"/>
          <w:color w:val="000000" w:themeColor="text1"/>
          <w:kern w:val="2"/>
          <w:lang w:val="es-ES" w:eastAsia="ar-SA"/>
        </w:rPr>
        <w:t xml:space="preserve">y aplicaciones que operen en dicha banda de frecuencias, que permita la </w:t>
      </w:r>
      <w:r w:rsidRPr="0027631D">
        <w:rPr>
          <w:rFonts w:ascii="Arial" w:hAnsi="Arial" w:cs="Arial"/>
          <w:color w:val="000000" w:themeColor="text1"/>
          <w:kern w:val="2"/>
          <w:lang w:val="es-ES" w:eastAsia="ar-SA"/>
        </w:rPr>
        <w:t>utilización de la tecnología actual, y de la misma manera, de nuevas tecnologías</w:t>
      </w:r>
      <w:r w:rsidR="00873851" w:rsidRPr="0027631D">
        <w:rPr>
          <w:rFonts w:ascii="Arial" w:hAnsi="Arial" w:cs="Arial"/>
          <w:color w:val="000000" w:themeColor="text1"/>
          <w:kern w:val="2"/>
          <w:lang w:val="es-ES" w:eastAsia="ar-SA"/>
        </w:rPr>
        <w:t>, equipos y dispositivos bajo normas y estándares internacionales, que permitan la coexistencia de diferentes aplicaciones o servicios en la banda 2.4 GHz;</w:t>
      </w:r>
      <w:r w:rsidRPr="0027631D">
        <w:rPr>
          <w:rFonts w:ascii="Arial" w:hAnsi="Arial" w:cs="Arial"/>
          <w:color w:val="000000" w:themeColor="text1"/>
          <w:kern w:val="2"/>
          <w:lang w:val="es-ES" w:eastAsia="ar-SA"/>
        </w:rPr>
        <w:t xml:space="preserve"> en beneficio del público en general y procurando su uso libre de interferencias perjudiciales</w:t>
      </w:r>
      <w:r w:rsidR="00A44AB0">
        <w:rPr>
          <w:rFonts w:ascii="Arial" w:hAnsi="Arial" w:cs="Arial"/>
          <w:color w:val="000000" w:themeColor="text1"/>
          <w:kern w:val="2"/>
          <w:lang w:val="es-ES" w:eastAsia="ar-SA"/>
        </w:rPr>
        <w:t xml:space="preserve">, las cuales se integran al presente </w:t>
      </w:r>
      <w:r w:rsidR="00752763">
        <w:rPr>
          <w:rFonts w:ascii="Arial" w:hAnsi="Arial" w:cs="Arial"/>
          <w:color w:val="000000" w:themeColor="text1"/>
          <w:kern w:val="2"/>
          <w:lang w:val="es-ES" w:eastAsia="ar-SA"/>
        </w:rPr>
        <w:t>A</w:t>
      </w:r>
      <w:r w:rsidR="00A44AB0">
        <w:rPr>
          <w:rFonts w:ascii="Arial" w:hAnsi="Arial" w:cs="Arial"/>
          <w:color w:val="000000" w:themeColor="text1"/>
          <w:kern w:val="2"/>
          <w:lang w:val="es-ES" w:eastAsia="ar-SA"/>
        </w:rPr>
        <w:t>cuerdo como Anexo Único</w:t>
      </w:r>
      <w:r w:rsidR="003868AB" w:rsidRPr="0027631D">
        <w:rPr>
          <w:rFonts w:ascii="Arial" w:hAnsi="Arial" w:cs="Arial"/>
          <w:color w:val="000000" w:themeColor="text1"/>
          <w:kern w:val="2"/>
          <w:lang w:val="es-ES" w:eastAsia="ar-SA"/>
        </w:rPr>
        <w:t>.</w:t>
      </w:r>
      <w:r w:rsidR="00FB1432">
        <w:rPr>
          <w:rFonts w:ascii="Arial" w:hAnsi="Arial" w:cs="Arial"/>
          <w:color w:val="000000" w:themeColor="text1"/>
          <w:kern w:val="2"/>
          <w:lang w:val="es-ES" w:eastAsia="ar-SA"/>
        </w:rPr>
        <w:t xml:space="preserve"> </w:t>
      </w:r>
    </w:p>
    <w:p w14:paraId="7C44A301" w14:textId="77777777" w:rsidR="00873851" w:rsidRPr="00515B91" w:rsidRDefault="00873851" w:rsidP="0030541C">
      <w:pPr>
        <w:spacing w:after="0" w:line="23" w:lineRule="atLeast"/>
        <w:contextualSpacing/>
        <w:jc w:val="both"/>
        <w:rPr>
          <w:rFonts w:ascii="Arial" w:hAnsi="Arial" w:cs="Arial"/>
          <w:lang w:val="es-ES"/>
        </w:rPr>
      </w:pPr>
    </w:p>
    <w:p w14:paraId="702E637B" w14:textId="37009550" w:rsidR="00B07685" w:rsidRPr="0027631D" w:rsidRDefault="00FA35E8" w:rsidP="0030541C">
      <w:pPr>
        <w:pStyle w:val="Ttulo4"/>
        <w:ind w:left="0" w:firstLine="0"/>
      </w:pPr>
      <w:r w:rsidRPr="0027631D">
        <w:t>Consulta Pública</w:t>
      </w:r>
      <w:r w:rsidRPr="00794179">
        <w:rPr>
          <w:b w:val="0"/>
        </w:rPr>
        <w:t>. E</w:t>
      </w:r>
      <w:r w:rsidR="00B07685" w:rsidRPr="00794179">
        <w:rPr>
          <w:b w:val="0"/>
        </w:rPr>
        <w:t>n cumplimiento a lo dispuesto en e</w:t>
      </w:r>
      <w:r w:rsidRPr="00794179">
        <w:rPr>
          <w:b w:val="0"/>
        </w:rPr>
        <w:t xml:space="preserve">l artículo 51 de la Ley </w:t>
      </w:r>
      <w:r w:rsidR="00B07685" w:rsidRPr="00794179">
        <w:rPr>
          <w:b w:val="0"/>
        </w:rPr>
        <w:t xml:space="preserve">y conforme se </w:t>
      </w:r>
      <w:r w:rsidRPr="00794179">
        <w:rPr>
          <w:b w:val="0"/>
        </w:rPr>
        <w:t xml:space="preserve">señala </w:t>
      </w:r>
      <w:r w:rsidR="00B07685" w:rsidRPr="00794179">
        <w:rPr>
          <w:b w:val="0"/>
        </w:rPr>
        <w:t>en lo</w:t>
      </w:r>
      <w:r w:rsidR="001A11B3" w:rsidRPr="00794179">
        <w:rPr>
          <w:b w:val="0"/>
        </w:rPr>
        <w:t>s</w:t>
      </w:r>
      <w:r w:rsidR="00B07685" w:rsidRPr="00794179">
        <w:rPr>
          <w:b w:val="0"/>
        </w:rPr>
        <w:t xml:space="preserve"> Antecedentes </w:t>
      </w:r>
      <w:r w:rsidR="004A4652">
        <w:rPr>
          <w:b w:val="0"/>
        </w:rPr>
        <w:t xml:space="preserve">Séptimo y </w:t>
      </w:r>
      <w:r w:rsidR="00025932">
        <w:rPr>
          <w:b w:val="0"/>
        </w:rPr>
        <w:t>Octavo</w:t>
      </w:r>
      <w:r w:rsidR="00025932" w:rsidRPr="00794179">
        <w:rPr>
          <w:b w:val="0"/>
        </w:rPr>
        <w:t xml:space="preserve"> </w:t>
      </w:r>
      <w:r w:rsidR="00B07685" w:rsidRPr="00794179">
        <w:rPr>
          <w:b w:val="0"/>
        </w:rPr>
        <w:t xml:space="preserve">del presente Acuerdo, el Instituto llevó a cabo la consulta pública, del </w:t>
      </w:r>
      <w:r w:rsidR="004759C2">
        <w:rPr>
          <w:b w:val="0"/>
        </w:rPr>
        <w:t>10</w:t>
      </w:r>
      <w:r w:rsidR="004759C2" w:rsidRPr="00794179">
        <w:rPr>
          <w:b w:val="0"/>
        </w:rPr>
        <w:t xml:space="preserve"> </w:t>
      </w:r>
      <w:r w:rsidR="00B07685" w:rsidRPr="00794179">
        <w:rPr>
          <w:b w:val="0"/>
        </w:rPr>
        <w:t xml:space="preserve">de </w:t>
      </w:r>
      <w:r w:rsidR="004759C2">
        <w:rPr>
          <w:b w:val="0"/>
        </w:rPr>
        <w:t>agosto</w:t>
      </w:r>
      <w:r w:rsidR="004759C2" w:rsidRPr="00794179">
        <w:rPr>
          <w:b w:val="0"/>
        </w:rPr>
        <w:t xml:space="preserve"> </w:t>
      </w:r>
      <w:r w:rsidR="00B07685" w:rsidRPr="00794179">
        <w:rPr>
          <w:b w:val="0"/>
        </w:rPr>
        <w:t xml:space="preserve">al </w:t>
      </w:r>
      <w:r w:rsidR="004759C2">
        <w:rPr>
          <w:b w:val="0"/>
        </w:rPr>
        <w:t>04</w:t>
      </w:r>
      <w:r w:rsidR="004759C2" w:rsidRPr="00794179">
        <w:rPr>
          <w:b w:val="0"/>
        </w:rPr>
        <w:t xml:space="preserve"> </w:t>
      </w:r>
      <w:r w:rsidR="00B07685" w:rsidRPr="00794179">
        <w:rPr>
          <w:b w:val="0"/>
        </w:rPr>
        <w:t xml:space="preserve">de </w:t>
      </w:r>
      <w:r w:rsidR="004759C2">
        <w:rPr>
          <w:b w:val="0"/>
        </w:rPr>
        <w:t>septiembre</w:t>
      </w:r>
      <w:r w:rsidR="004759C2" w:rsidRPr="00794179">
        <w:rPr>
          <w:b w:val="0"/>
        </w:rPr>
        <w:t xml:space="preserve"> </w:t>
      </w:r>
      <w:r w:rsidR="00B07685" w:rsidRPr="00794179">
        <w:rPr>
          <w:b w:val="0"/>
        </w:rPr>
        <w:t xml:space="preserve">de </w:t>
      </w:r>
      <w:r w:rsidR="00747260">
        <w:rPr>
          <w:b w:val="0"/>
        </w:rPr>
        <w:t>2020</w:t>
      </w:r>
      <w:r w:rsidR="00B07685" w:rsidRPr="00794179">
        <w:rPr>
          <w:b w:val="0"/>
        </w:rPr>
        <w:t xml:space="preserve">, sobre el </w:t>
      </w:r>
      <w:r w:rsidR="00B07685" w:rsidRPr="00515B91">
        <w:rPr>
          <w:b w:val="0"/>
        </w:rPr>
        <w:t>Anteproyecto de</w:t>
      </w:r>
      <w:r w:rsidR="00B07685" w:rsidRPr="000A5850">
        <w:rPr>
          <w:b w:val="0"/>
        </w:rPr>
        <w:t xml:space="preserve"> </w:t>
      </w:r>
      <w:r w:rsidR="00B07685" w:rsidRPr="00515B91">
        <w:rPr>
          <w:b w:val="0"/>
        </w:rPr>
        <w:t>“</w:t>
      </w:r>
      <w:r w:rsidR="00B75CD3" w:rsidRPr="00515B91">
        <w:rPr>
          <w:b w:val="0"/>
        </w:rPr>
        <w:t xml:space="preserve">Acuerdo mediante el cual el Pleno del Instituto Federal de Telecomunicaciones </w:t>
      </w:r>
      <w:r w:rsidR="003641AF" w:rsidRPr="00515B91">
        <w:rPr>
          <w:b w:val="0"/>
          <w:kern w:val="1"/>
          <w:lang w:eastAsia="ar-SA"/>
        </w:rPr>
        <w:t>establece las nuevas condiciones técnicas de operación de la banda de frecuencias 2400 - 2483.5 MHz, clasificada como espectro libre</w:t>
      </w:r>
      <w:r w:rsidR="00B07685" w:rsidRPr="00515B91">
        <w:rPr>
          <w:b w:val="0"/>
        </w:rPr>
        <w:t>”</w:t>
      </w:r>
      <w:r w:rsidR="00B07685" w:rsidRPr="00794179">
        <w:rPr>
          <w:b w:val="0"/>
        </w:rPr>
        <w:t>, bajo los principios de transparencia y participación ciudadana, con el objeto de obtener, recabar y analizar los comentarios, información, opiniones, aportaciones u otros elementos de análisis de los interesados respecto al Anteproyecto.</w:t>
      </w:r>
    </w:p>
    <w:p w14:paraId="3EAB6B48" w14:textId="77777777" w:rsidR="00B07685" w:rsidRPr="0027631D" w:rsidRDefault="00B07685" w:rsidP="0030541C">
      <w:pPr>
        <w:spacing w:after="0" w:line="23" w:lineRule="atLeast"/>
        <w:contextualSpacing/>
        <w:jc w:val="both"/>
        <w:rPr>
          <w:rFonts w:ascii="Arial" w:hAnsi="Arial" w:cs="Arial"/>
        </w:rPr>
      </w:pPr>
    </w:p>
    <w:p w14:paraId="513F7DE6" w14:textId="179C2D47" w:rsidR="00B07685" w:rsidRPr="0027631D" w:rsidRDefault="00B07685" w:rsidP="0027631D">
      <w:pPr>
        <w:spacing w:after="0" w:line="23" w:lineRule="atLeast"/>
        <w:contextualSpacing/>
        <w:jc w:val="both"/>
        <w:rPr>
          <w:rFonts w:ascii="Arial" w:hAnsi="Arial" w:cs="Arial"/>
        </w:rPr>
      </w:pPr>
      <w:r w:rsidRPr="0027631D">
        <w:rPr>
          <w:rFonts w:ascii="Arial" w:hAnsi="Arial" w:cs="Arial"/>
        </w:rPr>
        <w:t xml:space="preserve">La consulta pública se efectuó por un período de 20 días hábiles, </w:t>
      </w:r>
      <w:r w:rsidR="00435325">
        <w:rPr>
          <w:rFonts w:ascii="Arial" w:hAnsi="Arial" w:cs="Arial"/>
        </w:rPr>
        <w:t>durante</w:t>
      </w:r>
      <w:r w:rsidRPr="0027631D">
        <w:rPr>
          <w:rFonts w:ascii="Arial" w:hAnsi="Arial" w:cs="Arial"/>
        </w:rPr>
        <w:t xml:space="preserve"> los cuales el Instituto puso a disposición, a través de su portal de Internet, un formulario para recibir los comentarios, información, opiniones, aportaciones u otros elementos de análisis concret</w:t>
      </w:r>
      <w:r w:rsidR="00B23D4D">
        <w:rPr>
          <w:rFonts w:ascii="Arial" w:hAnsi="Arial" w:cs="Arial"/>
        </w:rPr>
        <w:t>o</w:t>
      </w:r>
      <w:r w:rsidRPr="0027631D">
        <w:rPr>
          <w:rFonts w:ascii="Arial" w:hAnsi="Arial" w:cs="Arial"/>
        </w:rPr>
        <w:t>s en relación con el multicitado Anteproyecto.</w:t>
      </w:r>
    </w:p>
    <w:p w14:paraId="0BCDCB1B" w14:textId="77777777" w:rsidR="00B07685" w:rsidRPr="0027631D" w:rsidRDefault="00B07685" w:rsidP="0027631D">
      <w:pPr>
        <w:spacing w:after="0" w:line="23" w:lineRule="atLeast"/>
        <w:contextualSpacing/>
        <w:jc w:val="both"/>
        <w:rPr>
          <w:rFonts w:ascii="Arial" w:hAnsi="Arial" w:cs="Arial"/>
        </w:rPr>
      </w:pPr>
    </w:p>
    <w:p w14:paraId="70F58985" w14:textId="77777777" w:rsidR="00B07685" w:rsidRPr="0027631D" w:rsidRDefault="00B07685" w:rsidP="0027631D">
      <w:pPr>
        <w:spacing w:after="0" w:line="23" w:lineRule="atLeast"/>
        <w:contextualSpacing/>
        <w:jc w:val="both"/>
        <w:rPr>
          <w:rFonts w:ascii="Arial" w:hAnsi="Arial" w:cs="Arial"/>
        </w:rPr>
      </w:pPr>
      <w:r w:rsidRPr="0027631D">
        <w:rPr>
          <w:rFonts w:ascii="Arial" w:hAnsi="Arial" w:cs="Arial"/>
        </w:rPr>
        <w:t>En este contexto, la consulta pública del Anteproyecto de referencia persiguió los objetivos siguientes:</w:t>
      </w:r>
    </w:p>
    <w:p w14:paraId="16A9B4CC" w14:textId="77777777" w:rsidR="000B3FE8" w:rsidRPr="0027631D" w:rsidRDefault="000B3FE8" w:rsidP="0027631D">
      <w:pPr>
        <w:spacing w:after="0" w:line="23" w:lineRule="atLeast"/>
        <w:contextualSpacing/>
        <w:jc w:val="both"/>
        <w:rPr>
          <w:rFonts w:ascii="Arial" w:hAnsi="Arial" w:cs="Arial"/>
        </w:rPr>
      </w:pPr>
    </w:p>
    <w:p w14:paraId="0789A4CB" w14:textId="77777777" w:rsidR="000B3FE8" w:rsidRPr="0027631D" w:rsidRDefault="000B3FE8" w:rsidP="0027631D">
      <w:pPr>
        <w:spacing w:after="0" w:line="23" w:lineRule="atLeast"/>
        <w:contextualSpacing/>
        <w:jc w:val="both"/>
        <w:rPr>
          <w:rFonts w:ascii="Arial" w:hAnsi="Arial" w:cs="Arial"/>
        </w:rPr>
      </w:pPr>
      <w:r w:rsidRPr="0027631D">
        <w:rPr>
          <w:rFonts w:ascii="Arial" w:hAnsi="Arial" w:cs="Arial"/>
        </w:rPr>
        <w:t>a)</w:t>
      </w:r>
      <w:r w:rsidRPr="0027631D">
        <w:rPr>
          <w:rFonts w:ascii="Arial" w:hAnsi="Arial" w:cs="Arial"/>
        </w:rPr>
        <w:tab/>
        <w:t xml:space="preserve">Generar un espacio abierto e incluyente, con la intención de involucrar al público y fomentar en la sociedad el conocimiento del uso del espectro radioeléctrico y </w:t>
      </w:r>
      <w:r w:rsidR="001953E1" w:rsidRPr="0027631D">
        <w:rPr>
          <w:rFonts w:ascii="Arial" w:hAnsi="Arial" w:cs="Arial"/>
        </w:rPr>
        <w:t>de las</w:t>
      </w:r>
      <w:r w:rsidRPr="0027631D">
        <w:rPr>
          <w:rFonts w:ascii="Arial" w:hAnsi="Arial" w:cs="Arial"/>
        </w:rPr>
        <w:t xml:space="preserve"> atribuciones</w:t>
      </w:r>
      <w:r w:rsidR="001953E1" w:rsidRPr="0027631D">
        <w:rPr>
          <w:rFonts w:ascii="Arial" w:hAnsi="Arial" w:cs="Arial"/>
        </w:rPr>
        <w:t xml:space="preserve"> del Instituto</w:t>
      </w:r>
      <w:r w:rsidRPr="0027631D">
        <w:rPr>
          <w:rFonts w:ascii="Arial" w:hAnsi="Arial" w:cs="Arial"/>
        </w:rPr>
        <w:t>, fortaleciendo así la relación entre ésta y el Instituto, y</w:t>
      </w:r>
    </w:p>
    <w:p w14:paraId="4683B971" w14:textId="77777777" w:rsidR="000B3FE8" w:rsidRPr="0027631D" w:rsidRDefault="000B3FE8" w:rsidP="0027631D">
      <w:pPr>
        <w:spacing w:after="0" w:line="23" w:lineRule="atLeast"/>
        <w:contextualSpacing/>
        <w:jc w:val="both"/>
        <w:rPr>
          <w:rFonts w:ascii="Arial" w:hAnsi="Arial" w:cs="Arial"/>
        </w:rPr>
      </w:pPr>
    </w:p>
    <w:p w14:paraId="466DF8A5" w14:textId="77777777" w:rsidR="000B3FE8" w:rsidRPr="0027631D" w:rsidRDefault="000B3FE8" w:rsidP="0027631D">
      <w:pPr>
        <w:spacing w:after="0" w:line="23" w:lineRule="atLeast"/>
        <w:contextualSpacing/>
        <w:jc w:val="both"/>
        <w:rPr>
          <w:rFonts w:ascii="Arial" w:hAnsi="Arial" w:cs="Arial"/>
        </w:rPr>
      </w:pPr>
      <w:r w:rsidRPr="0027631D">
        <w:rPr>
          <w:rFonts w:ascii="Arial" w:hAnsi="Arial" w:cs="Arial"/>
        </w:rPr>
        <w:t>b)</w:t>
      </w:r>
      <w:r w:rsidRPr="0027631D">
        <w:rPr>
          <w:rFonts w:ascii="Arial" w:hAnsi="Arial" w:cs="Arial"/>
        </w:rPr>
        <w:tab/>
        <w:t>Obtener la opinión de los interesados en el uso de bandas de frecuencias del espectro radioeléctrico en México, como lo son la industria, la academia, las instituciones de investigación, los operadores comerciales, o los fabricantes de tecnología, por mencionar algunos.</w:t>
      </w:r>
    </w:p>
    <w:p w14:paraId="03E8AE8F" w14:textId="77777777" w:rsidR="000B3FE8" w:rsidRPr="0027631D" w:rsidRDefault="000B3FE8" w:rsidP="00B23D4D">
      <w:pPr>
        <w:spacing w:after="0" w:line="23" w:lineRule="atLeast"/>
        <w:contextualSpacing/>
        <w:jc w:val="both"/>
        <w:rPr>
          <w:rFonts w:ascii="Arial" w:hAnsi="Arial" w:cs="Arial"/>
        </w:rPr>
      </w:pPr>
    </w:p>
    <w:p w14:paraId="107D448C" w14:textId="77777777" w:rsidR="000B3FE8" w:rsidRPr="0027631D" w:rsidRDefault="000B3FE8" w:rsidP="0027631D">
      <w:pPr>
        <w:spacing w:after="0" w:line="23" w:lineRule="atLeast"/>
        <w:contextualSpacing/>
        <w:jc w:val="both"/>
        <w:rPr>
          <w:rFonts w:ascii="Arial" w:hAnsi="Arial" w:cs="Arial"/>
        </w:rPr>
      </w:pPr>
      <w:r w:rsidRPr="0027631D">
        <w:rPr>
          <w:rFonts w:ascii="Arial" w:hAnsi="Arial" w:cs="Arial"/>
        </w:rPr>
        <w:t xml:space="preserve">Una vez concluido el plazo de consulta respectivo, se publicaron en el portal de Internet del Instituto todos y cada uno de los comentarios, información, aportaciones, opiniones u otros elementos de análisis concretos recibidos respecto del Anteproyecto materia de dicha consulta. </w:t>
      </w:r>
    </w:p>
    <w:p w14:paraId="30BB62DC" w14:textId="77777777" w:rsidR="000B3FE8" w:rsidRPr="0027631D" w:rsidRDefault="000B3FE8" w:rsidP="0027631D">
      <w:pPr>
        <w:spacing w:after="0" w:line="23" w:lineRule="atLeast"/>
        <w:contextualSpacing/>
        <w:jc w:val="both"/>
        <w:rPr>
          <w:rFonts w:ascii="Arial" w:hAnsi="Arial" w:cs="Arial"/>
        </w:rPr>
      </w:pPr>
    </w:p>
    <w:p w14:paraId="1FCC6E03" w14:textId="77777777" w:rsidR="000B3FE8" w:rsidRPr="0027631D" w:rsidRDefault="000B3FE8" w:rsidP="0027631D">
      <w:pPr>
        <w:spacing w:after="0" w:line="23" w:lineRule="atLeast"/>
        <w:contextualSpacing/>
        <w:jc w:val="both"/>
        <w:rPr>
          <w:rFonts w:ascii="Arial" w:hAnsi="Arial" w:cs="Arial"/>
        </w:rPr>
      </w:pPr>
      <w:r w:rsidRPr="0027631D">
        <w:rPr>
          <w:rFonts w:ascii="Arial" w:hAnsi="Arial" w:cs="Arial"/>
        </w:rPr>
        <w:t xml:space="preserve">En relación a lo anterior, la UER recibió y atendió un total de </w:t>
      </w:r>
      <w:r w:rsidR="004759C2">
        <w:rPr>
          <w:rFonts w:ascii="Arial" w:hAnsi="Arial" w:cs="Arial"/>
        </w:rPr>
        <w:t>siete</w:t>
      </w:r>
      <w:r w:rsidR="004759C2" w:rsidRPr="0027631D">
        <w:rPr>
          <w:rFonts w:ascii="Arial" w:hAnsi="Arial" w:cs="Arial"/>
        </w:rPr>
        <w:t xml:space="preserve"> </w:t>
      </w:r>
      <w:r w:rsidRPr="0027631D">
        <w:rPr>
          <w:rFonts w:ascii="Arial" w:hAnsi="Arial" w:cs="Arial"/>
        </w:rPr>
        <w:t>participaciones efectivas para realizar modificaciones al proyecto relacionadas con el contenido del Anteproyecto. Así, la UER elaboró el informe de consideraciones que atiende las participaciones recibidas, el cual se publicó en el portal de Internet del Instituto, en el apartado correspondiente de la Consulta Pública. Derivado de las participaciones recibidas, se consideraron las propuestas siguientes:</w:t>
      </w:r>
    </w:p>
    <w:p w14:paraId="00A525A3" w14:textId="77777777" w:rsidR="000B3FE8" w:rsidRPr="0027631D" w:rsidRDefault="000B3FE8" w:rsidP="0027631D">
      <w:pPr>
        <w:spacing w:after="0" w:line="23" w:lineRule="atLeast"/>
        <w:contextualSpacing/>
        <w:jc w:val="both"/>
        <w:rPr>
          <w:rFonts w:ascii="Arial" w:hAnsi="Arial" w:cs="Arial"/>
        </w:rPr>
      </w:pPr>
    </w:p>
    <w:p w14:paraId="5AA188B3" w14:textId="6CEF2F80" w:rsidR="007122D0" w:rsidRDefault="008C584F" w:rsidP="0027631D">
      <w:pPr>
        <w:spacing w:after="0" w:line="23" w:lineRule="atLeast"/>
        <w:contextualSpacing/>
        <w:jc w:val="both"/>
        <w:rPr>
          <w:rFonts w:ascii="Arial" w:hAnsi="Arial" w:cs="Arial"/>
        </w:rPr>
      </w:pPr>
      <w:r>
        <w:rPr>
          <w:rFonts w:ascii="Arial" w:hAnsi="Arial" w:cs="Arial"/>
        </w:rPr>
        <w:t>C</w:t>
      </w:r>
      <w:r w:rsidRPr="007122D0">
        <w:rPr>
          <w:rFonts w:ascii="Arial" w:hAnsi="Arial" w:cs="Arial"/>
        </w:rPr>
        <w:t xml:space="preserve">on el fin de minimizar las emisiones fuera de banda que podrían generarse por la operación de los sistemas que operen en la banda de frecuencias 2400-24835 MHz, se considera factible incluir una condición que tome </w:t>
      </w:r>
      <w:r w:rsidR="00C750BD">
        <w:rPr>
          <w:rFonts w:ascii="Arial" w:hAnsi="Arial" w:cs="Arial"/>
        </w:rPr>
        <w:t>e</w:t>
      </w:r>
      <w:r w:rsidRPr="007122D0">
        <w:rPr>
          <w:rFonts w:ascii="Arial" w:hAnsi="Arial" w:cs="Arial"/>
        </w:rPr>
        <w:t>ste concepto con base en los parámetros aplicables a dichos sistemas.</w:t>
      </w:r>
    </w:p>
    <w:p w14:paraId="0206147F" w14:textId="77777777" w:rsidR="000A2A82" w:rsidRDefault="000A2A82" w:rsidP="0027631D">
      <w:pPr>
        <w:spacing w:after="0" w:line="23" w:lineRule="atLeast"/>
        <w:contextualSpacing/>
        <w:jc w:val="both"/>
        <w:rPr>
          <w:rFonts w:ascii="Arial" w:hAnsi="Arial" w:cs="Arial"/>
        </w:rPr>
      </w:pPr>
    </w:p>
    <w:p w14:paraId="3E4D066E" w14:textId="43D0A36C" w:rsidR="007122D0" w:rsidRDefault="007122D0" w:rsidP="0027631D">
      <w:pPr>
        <w:spacing w:after="0" w:line="23" w:lineRule="atLeast"/>
        <w:contextualSpacing/>
        <w:jc w:val="both"/>
        <w:rPr>
          <w:rFonts w:ascii="Arial" w:hAnsi="Arial" w:cs="Arial"/>
        </w:rPr>
      </w:pPr>
      <w:r>
        <w:rPr>
          <w:rFonts w:ascii="Arial" w:hAnsi="Arial" w:cs="Arial"/>
        </w:rPr>
        <w:lastRenderedPageBreak/>
        <w:t>A</w:t>
      </w:r>
      <w:r w:rsidRPr="007122D0">
        <w:rPr>
          <w:rFonts w:ascii="Arial" w:hAnsi="Arial" w:cs="Arial"/>
        </w:rPr>
        <w:t xml:space="preserve"> efecto de favorecer la armonización en el uso del espectro radioeléctrico a nivel regional para los sistemas de sensores de perturbación de campo, se considera factible</w:t>
      </w:r>
      <w:r>
        <w:rPr>
          <w:rFonts w:ascii="Arial" w:hAnsi="Arial" w:cs="Arial"/>
        </w:rPr>
        <w:t xml:space="preserve"> acotar el rango de operación para estos dispositivos </w:t>
      </w:r>
      <w:r w:rsidR="007E7CE1">
        <w:rPr>
          <w:rFonts w:ascii="Arial" w:hAnsi="Arial" w:cs="Arial"/>
        </w:rPr>
        <w:t>a</w:t>
      </w:r>
      <w:r>
        <w:rPr>
          <w:rFonts w:ascii="Arial" w:hAnsi="Arial" w:cs="Arial"/>
        </w:rPr>
        <w:t xml:space="preserve">l segmento </w:t>
      </w:r>
      <w:r w:rsidR="008C584F" w:rsidRPr="008C584F">
        <w:rPr>
          <w:rFonts w:ascii="Arial" w:hAnsi="Arial" w:cs="Arial"/>
        </w:rPr>
        <w:t>2435-2465 MHz</w:t>
      </w:r>
      <w:r w:rsidRPr="007122D0">
        <w:rPr>
          <w:rFonts w:ascii="Arial" w:hAnsi="Arial" w:cs="Arial"/>
        </w:rPr>
        <w:t>.</w:t>
      </w:r>
    </w:p>
    <w:p w14:paraId="2BFC8FF1" w14:textId="77777777" w:rsidR="0060664D" w:rsidRDefault="0060664D" w:rsidP="0027631D">
      <w:pPr>
        <w:spacing w:after="0" w:line="23" w:lineRule="atLeast"/>
        <w:contextualSpacing/>
        <w:jc w:val="both"/>
        <w:rPr>
          <w:rFonts w:ascii="Arial" w:hAnsi="Arial" w:cs="Arial"/>
        </w:rPr>
      </w:pPr>
    </w:p>
    <w:p w14:paraId="132AE333" w14:textId="77777777" w:rsidR="0060664D" w:rsidRPr="000A2A82" w:rsidRDefault="0060664D" w:rsidP="0027631D">
      <w:pPr>
        <w:spacing w:after="0" w:line="23" w:lineRule="atLeast"/>
        <w:contextualSpacing/>
        <w:jc w:val="both"/>
        <w:rPr>
          <w:rFonts w:ascii="Arial" w:hAnsi="Arial" w:cs="Arial"/>
        </w:rPr>
      </w:pPr>
      <w:r w:rsidRPr="000A2A82">
        <w:rPr>
          <w:rFonts w:ascii="Arial" w:hAnsi="Arial" w:cs="Arial"/>
        </w:rPr>
        <w:t xml:space="preserve">Adicionalmente, con el objeto de brindar consistencia a las condiciones técnicas </w:t>
      </w:r>
      <w:r w:rsidR="000A2A82">
        <w:rPr>
          <w:rFonts w:ascii="Arial" w:hAnsi="Arial" w:cs="Arial"/>
        </w:rPr>
        <w:t xml:space="preserve">adicionales a las </w:t>
      </w:r>
      <w:r w:rsidRPr="000A2A82">
        <w:rPr>
          <w:rFonts w:ascii="Arial" w:hAnsi="Arial" w:cs="Arial"/>
        </w:rPr>
        <w:t xml:space="preserve">indicadas en </w:t>
      </w:r>
      <w:r w:rsidR="000A2A82">
        <w:rPr>
          <w:rFonts w:ascii="Arial" w:hAnsi="Arial" w:cs="Arial"/>
        </w:rPr>
        <w:t xml:space="preserve">los </w:t>
      </w:r>
      <w:r w:rsidRPr="000A2A82">
        <w:rPr>
          <w:rFonts w:ascii="Arial" w:hAnsi="Arial" w:cs="Arial"/>
        </w:rPr>
        <w:t>numerales 2.1, 2.2, 2.3</w:t>
      </w:r>
      <w:r w:rsidR="000A2A82" w:rsidRPr="000A2A82">
        <w:rPr>
          <w:rFonts w:ascii="Arial" w:hAnsi="Arial" w:cs="Arial"/>
        </w:rPr>
        <w:t xml:space="preserve"> y</w:t>
      </w:r>
      <w:r w:rsidRPr="000A2A82">
        <w:rPr>
          <w:rFonts w:ascii="Arial" w:hAnsi="Arial" w:cs="Arial"/>
        </w:rPr>
        <w:t xml:space="preserve"> 2.4 </w:t>
      </w:r>
      <w:r w:rsidR="000A2A82">
        <w:rPr>
          <w:rFonts w:ascii="Arial" w:hAnsi="Arial" w:cs="Arial"/>
        </w:rPr>
        <w:t>del Anexo Único</w:t>
      </w:r>
      <w:r w:rsidRPr="000A2A82">
        <w:rPr>
          <w:rFonts w:ascii="Arial" w:hAnsi="Arial" w:cs="Arial"/>
        </w:rPr>
        <w:t xml:space="preserve">, se considera factible </w:t>
      </w:r>
      <w:r w:rsidR="000A2A82" w:rsidRPr="000A2A82">
        <w:rPr>
          <w:rFonts w:ascii="Arial" w:hAnsi="Arial" w:cs="Arial"/>
        </w:rPr>
        <w:t>indicar</w:t>
      </w:r>
      <w:r w:rsidRPr="000A2A82">
        <w:rPr>
          <w:rFonts w:ascii="Arial" w:hAnsi="Arial" w:cs="Arial"/>
        </w:rPr>
        <w:t xml:space="preserve"> </w:t>
      </w:r>
      <w:r w:rsidR="00043E36" w:rsidRPr="000A2A82">
        <w:rPr>
          <w:rFonts w:ascii="Arial" w:hAnsi="Arial" w:cs="Arial"/>
        </w:rPr>
        <w:t xml:space="preserve">un nuevo numeral </w:t>
      </w:r>
      <w:r w:rsidR="000A2A82">
        <w:rPr>
          <w:rFonts w:ascii="Arial" w:hAnsi="Arial" w:cs="Arial"/>
        </w:rPr>
        <w:t xml:space="preserve">adicional </w:t>
      </w:r>
      <w:r w:rsidR="00043E36" w:rsidRPr="000A2A82">
        <w:rPr>
          <w:rFonts w:ascii="Arial" w:hAnsi="Arial" w:cs="Arial"/>
        </w:rPr>
        <w:t xml:space="preserve">que englobe </w:t>
      </w:r>
      <w:r w:rsidR="000A2A82">
        <w:rPr>
          <w:rFonts w:ascii="Arial" w:hAnsi="Arial" w:cs="Arial"/>
        </w:rPr>
        <w:t>las condiciones adicionales</w:t>
      </w:r>
      <w:r w:rsidRPr="000A2A82">
        <w:rPr>
          <w:rFonts w:ascii="Arial" w:hAnsi="Arial" w:cs="Arial"/>
        </w:rPr>
        <w:t>.</w:t>
      </w:r>
    </w:p>
    <w:p w14:paraId="6F5ADC6A" w14:textId="77777777" w:rsidR="00965B96" w:rsidRDefault="00965B96" w:rsidP="0027631D">
      <w:pPr>
        <w:spacing w:after="0" w:line="23" w:lineRule="atLeast"/>
        <w:contextualSpacing/>
        <w:jc w:val="both"/>
        <w:rPr>
          <w:rFonts w:ascii="Arial" w:hAnsi="Arial" w:cs="Arial"/>
        </w:rPr>
      </w:pPr>
    </w:p>
    <w:p w14:paraId="0BC6B3E4" w14:textId="77777777" w:rsidR="00965B96" w:rsidRPr="0027631D" w:rsidRDefault="00965B96" w:rsidP="0027631D">
      <w:pPr>
        <w:spacing w:after="0" w:line="23" w:lineRule="atLeast"/>
        <w:contextualSpacing/>
        <w:jc w:val="both"/>
        <w:rPr>
          <w:rFonts w:ascii="Arial" w:hAnsi="Arial" w:cs="Arial"/>
        </w:rPr>
      </w:pPr>
      <w:r>
        <w:rPr>
          <w:rFonts w:ascii="Arial" w:hAnsi="Arial" w:cs="Arial"/>
        </w:rPr>
        <w:t xml:space="preserve">Asimismo, </w:t>
      </w:r>
      <w:r w:rsidR="00E20521">
        <w:rPr>
          <w:rFonts w:ascii="Arial" w:hAnsi="Arial" w:cs="Arial"/>
        </w:rPr>
        <w:t>se considera factible incluir una sección respecto a los e</w:t>
      </w:r>
      <w:r w:rsidR="00E20521" w:rsidRPr="00E20521">
        <w:rPr>
          <w:rFonts w:ascii="Arial" w:hAnsi="Arial" w:cs="Arial"/>
        </w:rPr>
        <w:t>quipos de radiocomunicaciones con certificado de homologación previo a la entrada en vigor del presente Acuerdo</w:t>
      </w:r>
      <w:r w:rsidR="00E20521">
        <w:rPr>
          <w:rFonts w:ascii="Arial" w:hAnsi="Arial" w:cs="Arial"/>
        </w:rPr>
        <w:t>.</w:t>
      </w:r>
    </w:p>
    <w:p w14:paraId="60EFDC29" w14:textId="77777777" w:rsidR="000B3FE8" w:rsidRPr="0027631D" w:rsidRDefault="000B3FE8" w:rsidP="0027631D">
      <w:pPr>
        <w:spacing w:after="0" w:line="23" w:lineRule="atLeast"/>
        <w:contextualSpacing/>
        <w:jc w:val="both"/>
        <w:rPr>
          <w:rFonts w:ascii="Arial" w:hAnsi="Arial" w:cs="Arial"/>
        </w:rPr>
      </w:pPr>
    </w:p>
    <w:p w14:paraId="6CDE02C8" w14:textId="77777777" w:rsidR="000B3FE8" w:rsidRPr="0027631D" w:rsidRDefault="000B3FE8" w:rsidP="0027631D">
      <w:pPr>
        <w:spacing w:after="0" w:line="23" w:lineRule="atLeast"/>
        <w:contextualSpacing/>
        <w:jc w:val="both"/>
        <w:rPr>
          <w:rFonts w:ascii="Arial" w:hAnsi="Arial" w:cs="Arial"/>
        </w:rPr>
      </w:pPr>
      <w:r w:rsidRPr="0027631D">
        <w:rPr>
          <w:rFonts w:ascii="Arial" w:hAnsi="Arial" w:cs="Arial"/>
        </w:rPr>
        <w:t>Las participaciones recibidas permitieron que el Instituto contara con mayores elementos de análisis para la emisión de la disposición administrativa de carácter general.</w:t>
      </w:r>
    </w:p>
    <w:p w14:paraId="1C1DB675" w14:textId="77777777" w:rsidR="002A4875" w:rsidRDefault="002A4875" w:rsidP="0027631D">
      <w:pPr>
        <w:spacing w:after="0" w:line="23" w:lineRule="atLeast"/>
        <w:contextualSpacing/>
        <w:jc w:val="both"/>
        <w:rPr>
          <w:rFonts w:ascii="Arial" w:hAnsi="Arial" w:cs="Arial"/>
        </w:rPr>
      </w:pPr>
    </w:p>
    <w:p w14:paraId="3AED6D76" w14:textId="77777777" w:rsidR="001B17AD" w:rsidRPr="001B17AD" w:rsidRDefault="001976E5" w:rsidP="001B17AD">
      <w:pPr>
        <w:pStyle w:val="Ttulo4"/>
        <w:ind w:left="0" w:firstLine="0"/>
        <w:rPr>
          <w:b w:val="0"/>
        </w:rPr>
      </w:pPr>
      <w:r w:rsidRPr="001B17AD">
        <w:t xml:space="preserve">Equipos de radiocomunicaciones </w:t>
      </w:r>
      <w:r w:rsidR="007B144C" w:rsidRPr="001B17AD">
        <w:t xml:space="preserve">con certificado de </w:t>
      </w:r>
      <w:r w:rsidRPr="001B17AD">
        <w:t>homologa</w:t>
      </w:r>
      <w:r w:rsidR="007B144C" w:rsidRPr="001B17AD">
        <w:t>ción</w:t>
      </w:r>
      <w:r w:rsidRPr="001B17AD">
        <w:t xml:space="preserve"> pr</w:t>
      </w:r>
      <w:r w:rsidRPr="001D4B3B">
        <w:t xml:space="preserve">evio a la entrada en vigor del </w:t>
      </w:r>
      <w:r w:rsidR="007B144C" w:rsidRPr="001D4B3B">
        <w:t xml:space="preserve">presente </w:t>
      </w:r>
      <w:r w:rsidRPr="001B17AD">
        <w:t xml:space="preserve">Acuerdo. </w:t>
      </w:r>
      <w:r w:rsidR="001B17AD" w:rsidRPr="001B17AD">
        <w:rPr>
          <w:b w:val="0"/>
        </w:rPr>
        <w:t>Es importante mencionar que la propuesta de las nuevas condiciones técnicas de operación no restringe ni afecta la operación actual en la banda de los dispositivos, equipos o sistemas de telecomunicaciones que ya cuentan con un certificado de homologación vigente otorgado previamente por el Instituto. Por el contrario, este Acuerdo pretende explotar al máximo las capacidades de los equipos y, por tanto, que se haga un uso más eficiente del espectro radioeléctrico.</w:t>
      </w:r>
    </w:p>
    <w:p w14:paraId="418D223B" w14:textId="77777777" w:rsidR="001B17AD" w:rsidRPr="001B17AD" w:rsidRDefault="001B17AD" w:rsidP="001B17AD">
      <w:pPr>
        <w:spacing w:after="0" w:line="23" w:lineRule="atLeast"/>
        <w:contextualSpacing/>
        <w:jc w:val="both"/>
        <w:rPr>
          <w:rFonts w:ascii="Arial" w:hAnsi="Arial" w:cs="Arial"/>
        </w:rPr>
      </w:pPr>
    </w:p>
    <w:p w14:paraId="5E670D85" w14:textId="50C1FC15" w:rsidR="001B17AD" w:rsidRPr="001B17AD" w:rsidRDefault="001B17AD" w:rsidP="001B17AD">
      <w:pPr>
        <w:spacing w:after="0" w:line="23" w:lineRule="atLeast"/>
        <w:contextualSpacing/>
        <w:jc w:val="both"/>
        <w:rPr>
          <w:rFonts w:ascii="Arial" w:hAnsi="Arial" w:cs="Arial"/>
        </w:rPr>
      </w:pPr>
      <w:r w:rsidRPr="001B17AD">
        <w:rPr>
          <w:rFonts w:ascii="Arial" w:hAnsi="Arial" w:cs="Arial"/>
        </w:rPr>
        <w:t xml:space="preserve">En este sentido, para la operación de los dispositivos, equipos o sistemas de telecomunicaciones que ya cuentan con un certificado de homologación no es necesario realizar trámite alguno ante el Instituto respecto de su certificado de homologación vigente, siempre que operen conforme a las características técnicas establecidas en </w:t>
      </w:r>
      <w:r w:rsidR="00B1717A">
        <w:rPr>
          <w:rFonts w:ascii="Arial" w:hAnsi="Arial" w:cs="Arial"/>
        </w:rPr>
        <w:t>ese</w:t>
      </w:r>
      <w:r w:rsidR="00B1717A" w:rsidRPr="001B17AD">
        <w:rPr>
          <w:rFonts w:ascii="Arial" w:hAnsi="Arial" w:cs="Arial"/>
        </w:rPr>
        <w:t xml:space="preserve"> </w:t>
      </w:r>
      <w:r w:rsidRPr="001B17AD">
        <w:rPr>
          <w:rFonts w:ascii="Arial" w:hAnsi="Arial" w:cs="Arial"/>
        </w:rPr>
        <w:t>certificado de homologación. Por tanto, si se desea mantener la operación del sistema de radiocomunicaciones en la banda 2.4 GHz, en las mismas condiciones, no se requiere realizar alguna reconfiguración, modificación técnica o cambio en los dispositivos, equipos o sistemas de telecomunicaciones, ni solicitar la ampliación de su certificado de homologación.</w:t>
      </w:r>
    </w:p>
    <w:p w14:paraId="327E8A39" w14:textId="77777777" w:rsidR="001B17AD" w:rsidRPr="001B17AD" w:rsidRDefault="001B17AD" w:rsidP="001B17AD">
      <w:pPr>
        <w:spacing w:after="0" w:line="23" w:lineRule="atLeast"/>
        <w:contextualSpacing/>
        <w:jc w:val="both"/>
        <w:rPr>
          <w:rFonts w:ascii="Arial" w:hAnsi="Arial" w:cs="Arial"/>
        </w:rPr>
      </w:pPr>
    </w:p>
    <w:p w14:paraId="3B897D8E" w14:textId="555E6A32" w:rsidR="00357070" w:rsidRDefault="001B17AD" w:rsidP="001B17AD">
      <w:pPr>
        <w:spacing w:after="0" w:line="23" w:lineRule="atLeast"/>
        <w:contextualSpacing/>
        <w:jc w:val="both"/>
        <w:rPr>
          <w:rFonts w:ascii="Arial" w:hAnsi="Arial" w:cs="Arial"/>
        </w:rPr>
      </w:pPr>
      <w:r w:rsidRPr="001B17AD">
        <w:rPr>
          <w:rFonts w:ascii="Arial" w:hAnsi="Arial" w:cs="Arial"/>
        </w:rPr>
        <w:t>Por otro lado, respecto de los dispositivos, equipos o sistemas de radiocomunicación sobre los que se busque actualizar las características técnicas de operación previstas en sus certificados de homologación para aprovechar al máximo sus capacidades tecnológicas en la banda 2.4 GHz, así como respecto de aquellos dispositivos, equipos o sistemas de radiocomunicación que no cuenten con el certificado de homologación que garantice el cumplimiento de las condiciones técnicas de operación, se deberá presentar ante el Instituto la solicitud de trámite correspondiente con el objeto de garantizar lo establecido en el Título Décimo Tercero de la Ley, así como en las demás disposiciones reglamentarias y administrativas aplicables.</w:t>
      </w:r>
    </w:p>
    <w:p w14:paraId="24A28A0D" w14:textId="77777777" w:rsidR="000B3FE8" w:rsidRPr="0027631D" w:rsidRDefault="000B3FE8" w:rsidP="0030541C">
      <w:pPr>
        <w:spacing w:after="0" w:line="23" w:lineRule="atLeast"/>
        <w:contextualSpacing/>
        <w:jc w:val="both"/>
        <w:rPr>
          <w:rFonts w:ascii="Arial" w:hAnsi="Arial" w:cs="Arial"/>
        </w:rPr>
      </w:pPr>
    </w:p>
    <w:p w14:paraId="0A96E9EB" w14:textId="77777777" w:rsidR="000B3FE8" w:rsidRPr="00794179" w:rsidRDefault="000B3FE8" w:rsidP="0030541C">
      <w:pPr>
        <w:pStyle w:val="Ttulo4"/>
        <w:ind w:left="0" w:firstLine="0"/>
        <w:rPr>
          <w:b w:val="0"/>
        </w:rPr>
      </w:pPr>
      <w:r w:rsidRPr="0027631D">
        <w:t xml:space="preserve">Análisis de Impacto Regulatorio. </w:t>
      </w:r>
      <w:r w:rsidRPr="00794179">
        <w:rPr>
          <w:b w:val="0"/>
        </w:rPr>
        <w:t>El artículo 51, segundo párrafo de la Ley establece que, previo a la emisión de reglas, lineamientos o disposiciones administrativas de carácter general, el Instituto deberá realizar y hacer público un análisis de impacto regulatorio o, en su caso, solicitar el apoyo de la Comisión Federal de Mejora Regulatoria.</w:t>
      </w:r>
    </w:p>
    <w:p w14:paraId="5A98A400" w14:textId="77777777" w:rsidR="000B3FE8" w:rsidRPr="0027631D" w:rsidRDefault="000B3FE8" w:rsidP="0030541C">
      <w:pPr>
        <w:spacing w:after="0" w:line="23" w:lineRule="atLeast"/>
        <w:contextualSpacing/>
        <w:rPr>
          <w:rFonts w:ascii="Arial" w:hAnsi="Arial" w:cs="Arial"/>
          <w:lang w:eastAsia="ar-SA"/>
        </w:rPr>
      </w:pPr>
    </w:p>
    <w:p w14:paraId="2CD886B7" w14:textId="66669CE5" w:rsidR="000B3FE8" w:rsidRPr="0027631D" w:rsidRDefault="000B3FE8" w:rsidP="0030541C">
      <w:pPr>
        <w:spacing w:after="0" w:line="23" w:lineRule="atLeast"/>
        <w:contextualSpacing/>
        <w:jc w:val="both"/>
        <w:rPr>
          <w:rFonts w:ascii="Arial" w:hAnsi="Arial" w:cs="Arial"/>
        </w:rPr>
      </w:pPr>
      <w:r w:rsidRPr="0027631D">
        <w:rPr>
          <w:rFonts w:ascii="Arial" w:hAnsi="Arial" w:cs="Arial"/>
        </w:rPr>
        <w:t xml:space="preserve">Por su parte, el Lineamiento Vigésimo Primero de los Lineamientos de Consulta Pública </w:t>
      </w:r>
      <w:r w:rsidR="001E0C8B">
        <w:rPr>
          <w:rFonts w:ascii="Arial" w:hAnsi="Arial" w:cs="Arial"/>
        </w:rPr>
        <w:t xml:space="preserve">y Análisis de Impacto Regulatorio del Instituto Federal de Telecomunicaciones </w:t>
      </w:r>
      <w:r w:rsidRPr="0027631D">
        <w:rPr>
          <w:rFonts w:ascii="Arial" w:hAnsi="Arial" w:cs="Arial"/>
        </w:rPr>
        <w:t xml:space="preserve">establecen que, </w:t>
      </w:r>
      <w:r w:rsidR="008D5FE7">
        <w:rPr>
          <w:rFonts w:ascii="Arial" w:hAnsi="Arial" w:cs="Arial"/>
          <w:kern w:val="2"/>
          <w:lang w:val="es-ES" w:eastAsia="ar-SA"/>
        </w:rPr>
        <w:t xml:space="preserve">cuando las Unidades y/o Coordinaciones Generales sometan a consideración del Pleno una consulta pública sobre un Anteproyecto, éste </w:t>
      </w:r>
      <w:r w:rsidRPr="0027631D">
        <w:rPr>
          <w:rFonts w:ascii="Arial" w:hAnsi="Arial" w:cs="Arial"/>
        </w:rPr>
        <w:t xml:space="preserve">deberá ir acompañado de un Análisis de Impacto Regulatorio. </w:t>
      </w:r>
    </w:p>
    <w:p w14:paraId="09B4F7D8" w14:textId="77777777" w:rsidR="000B3FE8" w:rsidRPr="0027631D" w:rsidRDefault="000B3FE8" w:rsidP="0030541C">
      <w:pPr>
        <w:spacing w:after="0" w:line="23" w:lineRule="atLeast"/>
        <w:contextualSpacing/>
        <w:jc w:val="both"/>
        <w:rPr>
          <w:rFonts w:ascii="Arial" w:hAnsi="Arial" w:cs="Arial"/>
        </w:rPr>
      </w:pPr>
    </w:p>
    <w:p w14:paraId="7E94D961" w14:textId="23B0436E" w:rsidR="000B3FE8" w:rsidRPr="0027631D" w:rsidRDefault="000B3FE8" w:rsidP="0027631D">
      <w:pPr>
        <w:spacing w:after="0" w:line="23" w:lineRule="atLeast"/>
        <w:contextualSpacing/>
        <w:jc w:val="both"/>
        <w:rPr>
          <w:rFonts w:ascii="Arial" w:hAnsi="Arial" w:cs="Arial"/>
        </w:rPr>
      </w:pPr>
      <w:r w:rsidRPr="0027631D">
        <w:rPr>
          <w:rFonts w:ascii="Arial" w:hAnsi="Arial" w:cs="Arial"/>
        </w:rPr>
        <w:t xml:space="preserve">Por ello, en cumplimiento a las disposiciones indicadas, la UER remitió a la CGMR el Análisis de Impacto Regulatorio respecto al Anteproyecto de </w:t>
      </w:r>
      <w:r w:rsidRPr="00515B91">
        <w:rPr>
          <w:rFonts w:ascii="Arial" w:hAnsi="Arial" w:cs="Arial"/>
          <w:color w:val="000000" w:themeColor="text1"/>
          <w:kern w:val="1"/>
          <w:lang w:eastAsia="ar-SA"/>
        </w:rPr>
        <w:t>“</w:t>
      </w:r>
      <w:r w:rsidR="00B75CD3" w:rsidRPr="00515B91">
        <w:rPr>
          <w:rFonts w:ascii="Arial" w:hAnsi="Arial" w:cs="Arial"/>
          <w:kern w:val="1"/>
          <w:lang w:eastAsia="ar-SA"/>
        </w:rPr>
        <w:t xml:space="preserve">Acuerdo mediante el cual el Pleno del Instituto Federal de Telecomunicaciones </w:t>
      </w:r>
      <w:r w:rsidR="003641AF" w:rsidRPr="00515B91">
        <w:rPr>
          <w:rFonts w:ascii="Arial" w:hAnsi="Arial" w:cs="Arial"/>
          <w:kern w:val="1"/>
          <w:lang w:eastAsia="ar-SA"/>
        </w:rPr>
        <w:t>establece las nuevas condiciones técnicas de operación de la banda de frecuencias 2400 - 2483.5 MHz, clasificada como espectro libre</w:t>
      </w:r>
      <w:r w:rsidRPr="00515B91">
        <w:rPr>
          <w:rFonts w:ascii="Arial" w:hAnsi="Arial" w:cs="Arial"/>
          <w:kern w:val="1"/>
          <w:lang w:eastAsia="ar-SA"/>
        </w:rPr>
        <w:t>”,</w:t>
      </w:r>
      <w:r w:rsidRPr="003641AF">
        <w:rPr>
          <w:rFonts w:ascii="Arial" w:hAnsi="Arial" w:cs="Arial"/>
          <w:i/>
          <w:kern w:val="1"/>
          <w:lang w:eastAsia="ar-SA"/>
        </w:rPr>
        <w:t xml:space="preserve"> </w:t>
      </w:r>
      <w:r w:rsidRPr="00515B91">
        <w:rPr>
          <w:rFonts w:ascii="Arial" w:hAnsi="Arial" w:cs="Arial"/>
          <w:kern w:val="1"/>
          <w:lang w:eastAsia="ar-SA"/>
        </w:rPr>
        <w:t>pa</w:t>
      </w:r>
      <w:r w:rsidRPr="001E0C8B">
        <w:rPr>
          <w:rFonts w:ascii="Arial" w:hAnsi="Arial" w:cs="Arial"/>
        </w:rPr>
        <w:t>ra</w:t>
      </w:r>
      <w:r w:rsidRPr="0027631D">
        <w:rPr>
          <w:rFonts w:ascii="Arial" w:hAnsi="Arial" w:cs="Arial"/>
        </w:rPr>
        <w:t xml:space="preserve"> que la CGMR emitiera su opinión no vinculante, con relación a dicho documento, tal y como se indicó en el Antecedente </w:t>
      </w:r>
      <w:r w:rsidR="004A4652">
        <w:rPr>
          <w:rFonts w:ascii="Arial" w:hAnsi="Arial" w:cs="Arial"/>
        </w:rPr>
        <w:t xml:space="preserve">Noveno </w:t>
      </w:r>
      <w:r w:rsidRPr="0027631D">
        <w:rPr>
          <w:rFonts w:ascii="Arial" w:hAnsi="Arial" w:cs="Arial"/>
        </w:rPr>
        <w:t>del presente Acuerdo, con la finalidad de observar el proceso de mejora regulatoria previsto en el marco jurídico vigente, para la emisión de disposiciones administrativas de carácter general.</w:t>
      </w:r>
    </w:p>
    <w:p w14:paraId="2F645C1F" w14:textId="77777777" w:rsidR="000B3FE8" w:rsidRPr="0027631D" w:rsidRDefault="000B3FE8" w:rsidP="0027631D">
      <w:pPr>
        <w:spacing w:after="0" w:line="23" w:lineRule="atLeast"/>
        <w:contextualSpacing/>
        <w:jc w:val="both"/>
        <w:rPr>
          <w:rFonts w:ascii="Arial" w:hAnsi="Arial" w:cs="Arial"/>
        </w:rPr>
      </w:pPr>
    </w:p>
    <w:p w14:paraId="382ECABC" w14:textId="67573BFB" w:rsidR="000B3FE8" w:rsidRPr="00376EA7" w:rsidRDefault="000B3FE8" w:rsidP="0027631D">
      <w:pPr>
        <w:spacing w:after="0" w:line="23" w:lineRule="atLeast"/>
        <w:contextualSpacing/>
        <w:jc w:val="both"/>
        <w:rPr>
          <w:rFonts w:ascii="Arial" w:hAnsi="Arial" w:cs="Arial"/>
        </w:rPr>
      </w:pPr>
      <w:r w:rsidRPr="0027631D">
        <w:rPr>
          <w:rFonts w:ascii="Arial" w:hAnsi="Arial" w:cs="Arial"/>
        </w:rPr>
        <w:t xml:space="preserve">Como consecuencia de lo anterior, mediante el oficio indicado en el Antecedente </w:t>
      </w:r>
      <w:r w:rsidR="004A4652" w:rsidRPr="0027631D">
        <w:rPr>
          <w:rFonts w:ascii="Arial" w:hAnsi="Arial" w:cs="Arial"/>
        </w:rPr>
        <w:t xml:space="preserve">Décimo </w:t>
      </w:r>
      <w:r w:rsidRPr="0027631D">
        <w:rPr>
          <w:rFonts w:ascii="Arial" w:hAnsi="Arial" w:cs="Arial"/>
        </w:rPr>
        <w:t>del presente Acuerdo, la CGMR env</w:t>
      </w:r>
      <w:r w:rsidR="00245A5C" w:rsidRPr="0027631D">
        <w:rPr>
          <w:rFonts w:ascii="Arial" w:hAnsi="Arial" w:cs="Arial"/>
        </w:rPr>
        <w:t>ió</w:t>
      </w:r>
      <w:r w:rsidRPr="0027631D">
        <w:rPr>
          <w:rFonts w:ascii="Arial" w:hAnsi="Arial" w:cs="Arial"/>
        </w:rPr>
        <w:t xml:space="preserve"> a la UER la opinión no vinculante sobre el Análisis de Impacto Regulatorio del proyecto de </w:t>
      </w:r>
      <w:r w:rsidR="0066522A" w:rsidRPr="00515B91">
        <w:rPr>
          <w:rFonts w:ascii="Arial" w:hAnsi="Arial" w:cs="Arial"/>
          <w:color w:val="000000" w:themeColor="text1"/>
          <w:kern w:val="1"/>
          <w:lang w:eastAsia="ar-SA"/>
        </w:rPr>
        <w:t>“</w:t>
      </w:r>
      <w:r w:rsidR="00B75CD3" w:rsidRPr="00515B91">
        <w:rPr>
          <w:rFonts w:ascii="Arial" w:hAnsi="Arial" w:cs="Arial"/>
          <w:kern w:val="1"/>
          <w:lang w:eastAsia="ar-SA"/>
        </w:rPr>
        <w:t xml:space="preserve">Acuerdo mediante el cual el Pleno del Instituto Federal de Telecomunicaciones </w:t>
      </w:r>
      <w:r w:rsidR="003641AF" w:rsidRPr="00515B91">
        <w:rPr>
          <w:rFonts w:ascii="Arial" w:hAnsi="Arial" w:cs="Arial"/>
          <w:kern w:val="1"/>
          <w:lang w:eastAsia="ar-SA"/>
        </w:rPr>
        <w:t>establece las nuevas condiciones técnicas de operación de la banda de frecuencias 2400 - 2483.5 MHz, clasificada como espectro libre</w:t>
      </w:r>
      <w:r w:rsidR="0066522A" w:rsidRPr="00515B91">
        <w:rPr>
          <w:rFonts w:ascii="Arial" w:hAnsi="Arial" w:cs="Arial"/>
          <w:kern w:val="1"/>
          <w:lang w:eastAsia="ar-SA"/>
        </w:rPr>
        <w:t>”</w:t>
      </w:r>
      <w:r w:rsidRPr="00515B91">
        <w:rPr>
          <w:rFonts w:ascii="Arial" w:hAnsi="Arial" w:cs="Arial"/>
          <w:kern w:val="1"/>
          <w:lang w:eastAsia="ar-SA"/>
        </w:rPr>
        <w:t>.</w:t>
      </w:r>
    </w:p>
    <w:p w14:paraId="76244DFC" w14:textId="77777777" w:rsidR="000B3FE8" w:rsidRPr="0027631D" w:rsidRDefault="000B3FE8" w:rsidP="0027631D">
      <w:pPr>
        <w:spacing w:after="0" w:line="23" w:lineRule="atLeast"/>
        <w:contextualSpacing/>
        <w:jc w:val="both"/>
        <w:rPr>
          <w:rFonts w:ascii="Arial" w:hAnsi="Arial" w:cs="Arial"/>
        </w:rPr>
      </w:pPr>
    </w:p>
    <w:p w14:paraId="69D0A585" w14:textId="33701891" w:rsidR="000B3FE8" w:rsidRPr="0027631D" w:rsidRDefault="00CF3B70" w:rsidP="0027631D">
      <w:pPr>
        <w:spacing w:after="0" w:line="23" w:lineRule="atLeast"/>
        <w:contextualSpacing/>
        <w:jc w:val="both"/>
        <w:rPr>
          <w:rFonts w:ascii="Arial" w:hAnsi="Arial" w:cs="Arial"/>
        </w:rPr>
      </w:pPr>
      <w:r>
        <w:rPr>
          <w:rFonts w:ascii="Arial" w:hAnsi="Arial" w:cs="Arial"/>
        </w:rPr>
        <w:t>Final</w:t>
      </w:r>
      <w:r w:rsidRPr="0027631D">
        <w:rPr>
          <w:rFonts w:ascii="Arial" w:hAnsi="Arial" w:cs="Arial"/>
        </w:rPr>
        <w:t>m</w:t>
      </w:r>
      <w:r>
        <w:rPr>
          <w:rFonts w:ascii="Arial" w:hAnsi="Arial" w:cs="Arial"/>
        </w:rPr>
        <w:t>ente</w:t>
      </w:r>
      <w:r w:rsidR="000B3FE8" w:rsidRPr="0027631D">
        <w:rPr>
          <w:rFonts w:ascii="Arial" w:hAnsi="Arial" w:cs="Arial"/>
        </w:rPr>
        <w:t xml:space="preserve">, </w:t>
      </w:r>
      <w:r>
        <w:rPr>
          <w:rFonts w:ascii="Arial" w:hAnsi="Arial" w:cs="Arial"/>
        </w:rPr>
        <w:t>se manifiesta que, respecto al presente proyecto de disposición administrativa de carácter general</w:t>
      </w:r>
      <w:r w:rsidR="000B3FE8" w:rsidRPr="0027631D">
        <w:rPr>
          <w:rFonts w:ascii="Arial" w:hAnsi="Arial" w:cs="Arial"/>
        </w:rPr>
        <w:t xml:space="preserve">, el Instituto puso a disposición de los interesados en participar en la consulta pública, un Análisis de Nulo Impacto Regulatorio, mismo que </w:t>
      </w:r>
      <w:r w:rsidR="00063428">
        <w:rPr>
          <w:rFonts w:ascii="Arial" w:hAnsi="Arial" w:cs="Arial"/>
        </w:rPr>
        <w:t xml:space="preserve">no </w:t>
      </w:r>
      <w:r w:rsidR="008D5FE7">
        <w:rPr>
          <w:rFonts w:ascii="Arial" w:hAnsi="Arial" w:cs="Arial"/>
        </w:rPr>
        <w:t>sufrió</w:t>
      </w:r>
      <w:r w:rsidR="00063428" w:rsidRPr="0027631D">
        <w:rPr>
          <w:rFonts w:ascii="Arial" w:hAnsi="Arial" w:cs="Arial"/>
        </w:rPr>
        <w:t xml:space="preserve"> </w:t>
      </w:r>
      <w:r w:rsidR="000B3FE8" w:rsidRPr="0027631D">
        <w:rPr>
          <w:rFonts w:ascii="Arial" w:hAnsi="Arial" w:cs="Arial"/>
        </w:rPr>
        <w:t xml:space="preserve">modificaciones sustanciales a razón de la consulta pública referida en el </w:t>
      </w:r>
      <w:r w:rsidR="00B23D4D">
        <w:rPr>
          <w:rFonts w:ascii="Arial" w:hAnsi="Arial" w:cs="Arial"/>
        </w:rPr>
        <w:t>Considerando Quinto</w:t>
      </w:r>
      <w:r w:rsidR="000B3FE8" w:rsidRPr="0027631D">
        <w:rPr>
          <w:rFonts w:ascii="Arial" w:hAnsi="Arial" w:cs="Arial"/>
        </w:rPr>
        <w:t>, ni en virtud de las adecuaciones realizadas al presente Acuerdo.</w:t>
      </w:r>
      <w:r w:rsidR="008D5FE7">
        <w:rPr>
          <w:rFonts w:ascii="Arial" w:hAnsi="Arial" w:cs="Arial"/>
        </w:rPr>
        <w:t xml:space="preserve"> </w:t>
      </w:r>
      <w:r w:rsidR="008D5FE7">
        <w:rPr>
          <w:rFonts w:ascii="Arial" w:hAnsi="Arial" w:cs="Arial"/>
          <w:kern w:val="2"/>
          <w:lang w:val="es-ES" w:eastAsia="ar-SA"/>
        </w:rPr>
        <w:t xml:space="preserve">No obstante, </w:t>
      </w:r>
      <w:r>
        <w:rPr>
          <w:rFonts w:ascii="Arial" w:hAnsi="Arial" w:cs="Arial"/>
          <w:kern w:val="2"/>
          <w:lang w:val="es-ES" w:eastAsia="ar-SA"/>
        </w:rPr>
        <w:t>derivado de la coordinación con la CGMR, se recomendó que el Proyecto de “</w:t>
      </w:r>
      <w:r w:rsidRPr="00CF3B70">
        <w:rPr>
          <w:rFonts w:ascii="Arial" w:hAnsi="Arial" w:cs="Arial"/>
          <w:kern w:val="2"/>
          <w:lang w:val="es-ES" w:eastAsia="ar-SA"/>
        </w:rPr>
        <w:t>Acuerdo mediante el cual el Pleno del Instituto Federal de Telecomunicaciones establece las nuevas condiciones técnicas de operación de la banda de frecuencias 2400 - 2483.5 MHz, clasificada como espectro libre</w:t>
      </w:r>
      <w:r>
        <w:rPr>
          <w:rFonts w:ascii="Arial" w:hAnsi="Arial" w:cs="Arial"/>
          <w:kern w:val="2"/>
          <w:lang w:val="es-ES" w:eastAsia="ar-SA"/>
        </w:rPr>
        <w:t xml:space="preserve">”, se acompañara de un Análisis de Impacto Regulatorio, a efecto de dar cumplimiento al proceso de mejora regulatoria previsto en el marco jurídico vigente, para la emisión de reglas, </w:t>
      </w:r>
      <w:r w:rsidR="006E2D55">
        <w:rPr>
          <w:rFonts w:ascii="Arial" w:hAnsi="Arial" w:cs="Arial"/>
          <w:kern w:val="2"/>
          <w:lang w:val="es-ES" w:eastAsia="ar-SA"/>
        </w:rPr>
        <w:t>lineamientos</w:t>
      </w:r>
      <w:r>
        <w:rPr>
          <w:rFonts w:ascii="Arial" w:hAnsi="Arial" w:cs="Arial"/>
          <w:kern w:val="2"/>
          <w:lang w:val="es-ES" w:eastAsia="ar-SA"/>
        </w:rPr>
        <w:t xml:space="preserve"> o disposiciones administrativas de carácter general.</w:t>
      </w:r>
      <w:r w:rsidRPr="004B1429" w:rsidDel="00CF3B70">
        <w:rPr>
          <w:rFonts w:ascii="Arial" w:hAnsi="Arial" w:cs="Arial"/>
          <w:kern w:val="1"/>
          <w:lang w:eastAsia="ar-SA"/>
        </w:rPr>
        <w:t xml:space="preserve"> </w:t>
      </w:r>
    </w:p>
    <w:p w14:paraId="046ACB97" w14:textId="77777777" w:rsidR="00B57912" w:rsidRPr="0027631D" w:rsidRDefault="00B57912" w:rsidP="0027631D">
      <w:pPr>
        <w:suppressAutoHyphens/>
        <w:spacing w:after="0" w:line="23" w:lineRule="atLeast"/>
        <w:ind w:right="49"/>
        <w:contextualSpacing/>
        <w:rPr>
          <w:rFonts w:ascii="Arial" w:eastAsia="Times New Roman" w:hAnsi="Arial" w:cs="Arial"/>
          <w:kern w:val="1"/>
          <w:lang w:eastAsia="ar-SA"/>
        </w:rPr>
      </w:pPr>
    </w:p>
    <w:p w14:paraId="10112564" w14:textId="2438C46A" w:rsidR="0016450B" w:rsidRPr="0027631D" w:rsidRDefault="0016450B" w:rsidP="0027631D">
      <w:pPr>
        <w:suppressAutoHyphens/>
        <w:spacing w:after="0" w:line="23" w:lineRule="atLeast"/>
        <w:ind w:right="51"/>
        <w:contextualSpacing/>
        <w:jc w:val="both"/>
        <w:rPr>
          <w:rFonts w:ascii="Arial" w:eastAsia="Times New Roman" w:hAnsi="Arial" w:cs="Arial"/>
          <w:kern w:val="1"/>
          <w:lang w:eastAsia="ar-SA"/>
        </w:rPr>
      </w:pPr>
      <w:r w:rsidRPr="0027631D">
        <w:rPr>
          <w:rFonts w:ascii="Arial" w:eastAsia="Times New Roman" w:hAnsi="Arial" w:cs="Arial"/>
          <w:kern w:val="1"/>
          <w:lang w:eastAsia="ar-SA"/>
        </w:rPr>
        <w:t xml:space="preserve">Por lo </w:t>
      </w:r>
      <w:r w:rsidR="00F14B1E" w:rsidRPr="0027631D">
        <w:rPr>
          <w:rFonts w:ascii="Arial" w:eastAsia="Times New Roman" w:hAnsi="Arial" w:cs="Arial"/>
          <w:kern w:val="1"/>
          <w:lang w:eastAsia="ar-SA"/>
        </w:rPr>
        <w:t>anterior</w:t>
      </w:r>
      <w:r w:rsidRPr="0027631D">
        <w:rPr>
          <w:rFonts w:ascii="Arial" w:eastAsia="Times New Roman" w:hAnsi="Arial" w:cs="Arial"/>
          <w:kern w:val="1"/>
          <w:lang w:eastAsia="ar-SA"/>
        </w:rPr>
        <w:t xml:space="preserve">, con fundamento en los artículos 6o., párrafo tercero y apartado B, fracción II; 7o., 27, párrafos cuarto y sexto y 28, párrafos décimo quinto, décimo sexto y </w:t>
      </w:r>
      <w:r w:rsidR="001953E1" w:rsidRPr="0027631D">
        <w:rPr>
          <w:rFonts w:ascii="Arial" w:hAnsi="Arial" w:cs="Arial"/>
          <w:kern w:val="2"/>
          <w:lang w:val="es-ES" w:eastAsia="ar-SA"/>
        </w:rPr>
        <w:t>y vigésimo, fracción IV</w:t>
      </w:r>
      <w:r w:rsidRPr="0027631D">
        <w:rPr>
          <w:rFonts w:ascii="Arial" w:eastAsia="Times New Roman" w:hAnsi="Arial" w:cs="Arial"/>
          <w:kern w:val="1"/>
          <w:lang w:eastAsia="ar-SA"/>
        </w:rPr>
        <w:t xml:space="preserve"> de la Constitución Política de los Estados Unidos Mexicanos; 1, 2, 7, 15</w:t>
      </w:r>
      <w:r w:rsidR="00FE4EBA">
        <w:rPr>
          <w:rFonts w:ascii="Arial" w:eastAsia="Times New Roman" w:hAnsi="Arial" w:cs="Arial"/>
          <w:kern w:val="1"/>
          <w:lang w:eastAsia="ar-SA"/>
        </w:rPr>
        <w:t>,</w:t>
      </w:r>
      <w:r w:rsidRPr="0027631D">
        <w:rPr>
          <w:rFonts w:ascii="Arial" w:eastAsia="Times New Roman" w:hAnsi="Arial" w:cs="Arial"/>
          <w:kern w:val="1"/>
          <w:lang w:eastAsia="ar-SA"/>
        </w:rPr>
        <w:t xml:space="preserve"> fracci</w:t>
      </w:r>
      <w:r w:rsidR="002119C5">
        <w:rPr>
          <w:rFonts w:ascii="Arial" w:eastAsia="Times New Roman" w:hAnsi="Arial" w:cs="Arial"/>
          <w:kern w:val="1"/>
          <w:lang w:eastAsia="ar-SA"/>
        </w:rPr>
        <w:t>ón</w:t>
      </w:r>
      <w:r w:rsidRPr="0027631D">
        <w:rPr>
          <w:rFonts w:ascii="Arial" w:eastAsia="Times New Roman" w:hAnsi="Arial" w:cs="Arial"/>
          <w:kern w:val="1"/>
          <w:lang w:eastAsia="ar-SA"/>
        </w:rPr>
        <w:t xml:space="preserve"> I, 16, 17</w:t>
      </w:r>
      <w:r w:rsidR="00FE4EBA">
        <w:rPr>
          <w:rFonts w:ascii="Arial" w:eastAsia="Times New Roman" w:hAnsi="Arial" w:cs="Arial"/>
          <w:kern w:val="1"/>
          <w:lang w:eastAsia="ar-SA"/>
        </w:rPr>
        <w:t>,</w:t>
      </w:r>
      <w:r w:rsidRPr="0027631D">
        <w:rPr>
          <w:rFonts w:ascii="Arial" w:eastAsia="Times New Roman" w:hAnsi="Arial" w:cs="Arial"/>
          <w:kern w:val="1"/>
          <w:lang w:eastAsia="ar-SA"/>
        </w:rPr>
        <w:t xml:space="preserve"> fracción I, </w:t>
      </w:r>
      <w:r w:rsidR="00F14B1E" w:rsidRPr="0027631D">
        <w:rPr>
          <w:rFonts w:ascii="Arial" w:hAnsi="Arial" w:cs="Arial"/>
          <w:kern w:val="2"/>
          <w:lang w:val="es-ES" w:eastAsia="ar-SA"/>
        </w:rPr>
        <w:t xml:space="preserve">54, 55, fracción II, 56 y 64 </w:t>
      </w:r>
      <w:r w:rsidRPr="0027631D">
        <w:rPr>
          <w:rFonts w:ascii="Arial" w:eastAsia="Times New Roman" w:hAnsi="Arial" w:cs="Arial"/>
          <w:kern w:val="1"/>
          <w:lang w:eastAsia="ar-SA"/>
        </w:rPr>
        <w:t>de la Ley Federal de Telecomunicaciones y Radiodifusión; 1, 4</w:t>
      </w:r>
      <w:r w:rsidR="00FE4EBA">
        <w:rPr>
          <w:rFonts w:ascii="Arial" w:eastAsia="Times New Roman" w:hAnsi="Arial" w:cs="Arial"/>
          <w:kern w:val="1"/>
          <w:lang w:eastAsia="ar-SA"/>
        </w:rPr>
        <w:t>,</w:t>
      </w:r>
      <w:r w:rsidRPr="0027631D">
        <w:rPr>
          <w:rFonts w:ascii="Arial" w:eastAsia="Times New Roman" w:hAnsi="Arial" w:cs="Arial"/>
          <w:kern w:val="1"/>
          <w:lang w:eastAsia="ar-SA"/>
        </w:rPr>
        <w:t xml:space="preserve"> fracción I y 6</w:t>
      </w:r>
      <w:r w:rsidR="00FE4EBA">
        <w:rPr>
          <w:rFonts w:ascii="Arial" w:eastAsia="Times New Roman" w:hAnsi="Arial" w:cs="Arial"/>
          <w:kern w:val="1"/>
          <w:lang w:eastAsia="ar-SA"/>
        </w:rPr>
        <w:t>,</w:t>
      </w:r>
      <w:r w:rsidRPr="0027631D">
        <w:rPr>
          <w:rFonts w:ascii="Arial" w:eastAsia="Times New Roman" w:hAnsi="Arial" w:cs="Arial"/>
          <w:kern w:val="1"/>
          <w:lang w:eastAsia="ar-SA"/>
        </w:rPr>
        <w:t xml:space="preserve"> fracci</w:t>
      </w:r>
      <w:r w:rsidR="002119C5">
        <w:rPr>
          <w:rFonts w:ascii="Arial" w:eastAsia="Times New Roman" w:hAnsi="Arial" w:cs="Arial"/>
          <w:kern w:val="1"/>
          <w:lang w:eastAsia="ar-SA"/>
        </w:rPr>
        <w:t>ón</w:t>
      </w:r>
      <w:r w:rsidRPr="0027631D">
        <w:rPr>
          <w:rFonts w:ascii="Arial" w:eastAsia="Times New Roman" w:hAnsi="Arial" w:cs="Arial"/>
          <w:kern w:val="1"/>
          <w:lang w:eastAsia="ar-SA"/>
        </w:rPr>
        <w:t xml:space="preserve"> I del Estatuto Orgánico del Instituto Federal de Telecomunicaciones, el Pleno del</w:t>
      </w:r>
      <w:r w:rsidR="00F14B1E" w:rsidRPr="0027631D">
        <w:rPr>
          <w:rFonts w:ascii="Arial" w:eastAsia="Times New Roman" w:hAnsi="Arial" w:cs="Arial"/>
          <w:kern w:val="1"/>
          <w:lang w:eastAsia="ar-SA"/>
        </w:rPr>
        <w:t xml:space="preserve"> </w:t>
      </w:r>
      <w:r w:rsidRPr="0027631D">
        <w:rPr>
          <w:rFonts w:ascii="Arial" w:eastAsia="Times New Roman" w:hAnsi="Arial" w:cs="Arial"/>
          <w:kern w:val="1"/>
          <w:lang w:eastAsia="ar-SA"/>
        </w:rPr>
        <w:t>Instituto</w:t>
      </w:r>
      <w:r w:rsidR="00E41C1F">
        <w:rPr>
          <w:rFonts w:ascii="Arial" w:eastAsia="Times New Roman" w:hAnsi="Arial" w:cs="Arial"/>
          <w:kern w:val="1"/>
          <w:lang w:eastAsia="ar-SA"/>
        </w:rPr>
        <w:t xml:space="preserve"> Federal de Telecomunicaciones</w:t>
      </w:r>
      <w:r w:rsidRPr="0027631D">
        <w:rPr>
          <w:rFonts w:ascii="Arial" w:eastAsia="Times New Roman" w:hAnsi="Arial" w:cs="Arial"/>
          <w:kern w:val="1"/>
          <w:lang w:eastAsia="ar-SA"/>
        </w:rPr>
        <w:t xml:space="preserve"> </w:t>
      </w:r>
      <w:r w:rsidR="00F14B1E" w:rsidRPr="0027631D">
        <w:rPr>
          <w:rFonts w:ascii="Arial" w:eastAsia="Times New Roman" w:hAnsi="Arial" w:cs="Arial"/>
          <w:kern w:val="1"/>
          <w:lang w:eastAsia="ar-SA"/>
        </w:rPr>
        <w:t>expide</w:t>
      </w:r>
      <w:r w:rsidRPr="0027631D">
        <w:rPr>
          <w:rFonts w:ascii="Arial" w:eastAsia="Times New Roman" w:hAnsi="Arial" w:cs="Arial"/>
          <w:kern w:val="1"/>
          <w:lang w:eastAsia="ar-SA"/>
        </w:rPr>
        <w:t xml:space="preserve"> el siguiente:</w:t>
      </w:r>
    </w:p>
    <w:p w14:paraId="7CD43661" w14:textId="77777777" w:rsidR="0026705E" w:rsidRDefault="0026705E" w:rsidP="0027631D">
      <w:pPr>
        <w:spacing w:after="0" w:line="23" w:lineRule="atLeast"/>
        <w:contextualSpacing/>
        <w:jc w:val="center"/>
        <w:rPr>
          <w:rFonts w:ascii="Arial" w:hAnsi="Arial" w:cs="Arial"/>
          <w:kern w:val="1"/>
          <w:lang w:eastAsia="ar-SA"/>
        </w:rPr>
      </w:pPr>
    </w:p>
    <w:p w14:paraId="74372B42" w14:textId="77777777" w:rsidR="00B4222F" w:rsidRPr="0027631D" w:rsidRDefault="00B4222F" w:rsidP="0027631D">
      <w:pPr>
        <w:spacing w:after="0" w:line="23" w:lineRule="atLeast"/>
        <w:contextualSpacing/>
        <w:jc w:val="center"/>
        <w:rPr>
          <w:rFonts w:ascii="Arial" w:hAnsi="Arial" w:cs="Arial"/>
          <w:kern w:val="1"/>
          <w:lang w:eastAsia="ar-SA"/>
        </w:rPr>
      </w:pPr>
    </w:p>
    <w:p w14:paraId="03838548" w14:textId="77777777" w:rsidR="00B57912" w:rsidRPr="0027631D" w:rsidRDefault="006D7378" w:rsidP="0027631D">
      <w:pPr>
        <w:pStyle w:val="Ttulo3"/>
      </w:pPr>
      <w:r w:rsidRPr="0027631D">
        <w:t>Acuerdo</w:t>
      </w:r>
    </w:p>
    <w:p w14:paraId="679CC9D6" w14:textId="77777777" w:rsidR="00B57912" w:rsidRPr="0027631D" w:rsidRDefault="00B57912" w:rsidP="0027631D">
      <w:pPr>
        <w:suppressAutoHyphens/>
        <w:spacing w:after="0" w:line="23" w:lineRule="atLeast"/>
        <w:ind w:right="49"/>
        <w:contextualSpacing/>
        <w:jc w:val="center"/>
        <w:rPr>
          <w:rFonts w:ascii="Arial" w:eastAsia="Times New Roman" w:hAnsi="Arial" w:cs="Arial"/>
          <w:bCs/>
          <w:kern w:val="1"/>
          <w:lang w:eastAsia="ar-SA"/>
        </w:rPr>
      </w:pPr>
    </w:p>
    <w:p w14:paraId="04F7F6CE" w14:textId="77777777" w:rsidR="000A3D30" w:rsidRPr="00794179" w:rsidDel="003641AF" w:rsidRDefault="00BB67C5" w:rsidP="00E36991">
      <w:pPr>
        <w:pStyle w:val="Ttulo4"/>
        <w:numPr>
          <w:ilvl w:val="0"/>
          <w:numId w:val="18"/>
        </w:numPr>
        <w:ind w:left="0" w:firstLine="0"/>
        <w:rPr>
          <w:b w:val="0"/>
        </w:rPr>
      </w:pPr>
      <w:r w:rsidDel="003641AF">
        <w:rPr>
          <w:b w:val="0"/>
        </w:rPr>
        <w:t xml:space="preserve">Se </w:t>
      </w:r>
      <w:r w:rsidR="007E78CE" w:rsidRPr="00794179" w:rsidDel="003641AF">
        <w:rPr>
          <w:b w:val="0"/>
        </w:rPr>
        <w:t>establecen las condiciones técnicas de operación</w:t>
      </w:r>
      <w:r w:rsidR="00845FA5">
        <w:rPr>
          <w:b w:val="0"/>
        </w:rPr>
        <w:t xml:space="preserve"> de </w:t>
      </w:r>
      <w:r w:rsidR="00845FA5" w:rsidRPr="00794179" w:rsidDel="003641AF">
        <w:rPr>
          <w:b w:val="0"/>
        </w:rPr>
        <w:t>la banda de frecuencias 2400 - 2483.5 MHz</w:t>
      </w:r>
      <w:r w:rsidR="00845FA5">
        <w:rPr>
          <w:b w:val="0"/>
        </w:rPr>
        <w:t>,</w:t>
      </w:r>
      <w:r w:rsidR="00845FA5" w:rsidRPr="00794179" w:rsidDel="003641AF">
        <w:rPr>
          <w:b w:val="0"/>
        </w:rPr>
        <w:t xml:space="preserve"> clasifica</w:t>
      </w:r>
      <w:r w:rsidR="00845FA5">
        <w:rPr>
          <w:b w:val="0"/>
        </w:rPr>
        <w:t>da</w:t>
      </w:r>
      <w:r w:rsidR="00845FA5" w:rsidRPr="00794179" w:rsidDel="003641AF">
        <w:rPr>
          <w:b w:val="0"/>
        </w:rPr>
        <w:t xml:space="preserve"> como espectro libre</w:t>
      </w:r>
      <w:r w:rsidR="007E78CE" w:rsidRPr="00794179" w:rsidDel="003641AF">
        <w:rPr>
          <w:b w:val="0"/>
        </w:rPr>
        <w:t xml:space="preserve">, </w:t>
      </w:r>
      <w:r w:rsidR="000A3D30" w:rsidRPr="00794179" w:rsidDel="003641AF">
        <w:rPr>
          <w:b w:val="0"/>
        </w:rPr>
        <w:t>mism</w:t>
      </w:r>
      <w:r w:rsidR="0017566E" w:rsidRPr="00794179" w:rsidDel="003641AF">
        <w:rPr>
          <w:b w:val="0"/>
        </w:rPr>
        <w:t>a</w:t>
      </w:r>
      <w:r w:rsidR="0066522A" w:rsidRPr="00794179" w:rsidDel="003641AF">
        <w:rPr>
          <w:b w:val="0"/>
        </w:rPr>
        <w:t>s</w:t>
      </w:r>
      <w:r w:rsidR="000A3D30" w:rsidRPr="00794179" w:rsidDel="003641AF">
        <w:rPr>
          <w:b w:val="0"/>
        </w:rPr>
        <w:t xml:space="preserve"> que se acompaña</w:t>
      </w:r>
      <w:r w:rsidR="0066522A" w:rsidRPr="00794179" w:rsidDel="003641AF">
        <w:rPr>
          <w:b w:val="0"/>
        </w:rPr>
        <w:t>n</w:t>
      </w:r>
      <w:r w:rsidR="000A3D30" w:rsidRPr="00794179" w:rsidDel="003641AF">
        <w:rPr>
          <w:b w:val="0"/>
        </w:rPr>
        <w:t xml:space="preserve"> como Anexo Único</w:t>
      </w:r>
      <w:r w:rsidR="0066522A" w:rsidRPr="00794179" w:rsidDel="003641AF">
        <w:rPr>
          <w:b w:val="0"/>
        </w:rPr>
        <w:t xml:space="preserve"> al presente Acuerdo</w:t>
      </w:r>
      <w:r w:rsidR="000A3D30" w:rsidRPr="00794179" w:rsidDel="003641AF">
        <w:rPr>
          <w:b w:val="0"/>
        </w:rPr>
        <w:t>.</w:t>
      </w:r>
    </w:p>
    <w:p w14:paraId="37C3EB11" w14:textId="77777777" w:rsidR="00F05E4B" w:rsidRPr="0027631D" w:rsidDel="003641AF" w:rsidRDefault="00F05E4B" w:rsidP="00EF606B">
      <w:pPr>
        <w:spacing w:after="0" w:line="23" w:lineRule="atLeast"/>
        <w:contextualSpacing/>
        <w:rPr>
          <w:rFonts w:ascii="Arial" w:hAnsi="Arial" w:cs="Arial"/>
          <w:lang w:eastAsia="ar-SA"/>
        </w:rPr>
      </w:pPr>
    </w:p>
    <w:p w14:paraId="721DC7C9" w14:textId="77777777" w:rsidR="007E78CE" w:rsidRPr="00E36991" w:rsidRDefault="007E78CE" w:rsidP="00845FA5">
      <w:pPr>
        <w:pStyle w:val="Ttulo4"/>
        <w:numPr>
          <w:ilvl w:val="0"/>
          <w:numId w:val="18"/>
        </w:numPr>
        <w:ind w:left="0" w:firstLine="0"/>
        <w:rPr>
          <w:b w:val="0"/>
        </w:rPr>
      </w:pPr>
      <w:r w:rsidRPr="00E36991">
        <w:rPr>
          <w:b w:val="0"/>
        </w:rPr>
        <w:t xml:space="preserve">Se derogan las </w:t>
      </w:r>
      <w:r w:rsidR="00845FA5">
        <w:rPr>
          <w:b w:val="0"/>
        </w:rPr>
        <w:t xml:space="preserve">condiciones de operación </w:t>
      </w:r>
      <w:r w:rsidRPr="00E36991">
        <w:rPr>
          <w:b w:val="0"/>
        </w:rPr>
        <w:t xml:space="preserve">previstas en el </w:t>
      </w:r>
      <w:r w:rsidRPr="00515B91">
        <w:rPr>
          <w:b w:val="0"/>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sidRPr="00E41C1F">
        <w:rPr>
          <w:b w:val="0"/>
        </w:rPr>
        <w:t>,</w:t>
      </w:r>
      <w:r w:rsidRPr="00E36991">
        <w:rPr>
          <w:b w:val="0"/>
        </w:rPr>
        <w:t xml:space="preserve"> publicado el 13 de marzo de 2006 en el Diario Oficial de la Federación, únicamente en lo que respecta a la banda de frecuencias 2400 - 2483.5 MHz.</w:t>
      </w:r>
    </w:p>
    <w:p w14:paraId="7B865756" w14:textId="77777777" w:rsidR="007E78CE" w:rsidRPr="0027631D" w:rsidRDefault="007E78CE" w:rsidP="00EF606B">
      <w:pPr>
        <w:pStyle w:val="Prrafodelista"/>
        <w:suppressAutoHyphens/>
        <w:spacing w:line="23" w:lineRule="atLeast"/>
        <w:ind w:left="0" w:right="49"/>
        <w:contextualSpacing/>
        <w:jc w:val="both"/>
        <w:rPr>
          <w:rFonts w:cs="Arial"/>
          <w:color w:val="000000" w:themeColor="text1"/>
          <w:kern w:val="1"/>
          <w:sz w:val="22"/>
          <w:szCs w:val="22"/>
          <w:lang w:eastAsia="ar-SA"/>
        </w:rPr>
      </w:pPr>
    </w:p>
    <w:p w14:paraId="6BD17F0B" w14:textId="77777777" w:rsidR="0066522A" w:rsidRPr="00794179" w:rsidRDefault="0066522A" w:rsidP="00845FA5">
      <w:pPr>
        <w:pStyle w:val="Ttulo4"/>
        <w:numPr>
          <w:ilvl w:val="0"/>
          <w:numId w:val="18"/>
        </w:numPr>
        <w:ind w:left="0" w:firstLine="0"/>
        <w:rPr>
          <w:b w:val="0"/>
        </w:rPr>
      </w:pPr>
      <w:r w:rsidRPr="00794179">
        <w:rPr>
          <w:b w:val="0"/>
        </w:rPr>
        <w:lastRenderedPageBreak/>
        <w:t>Publíquese el presente Acuerdo y el correspondiente Anexo Único en el Diario Oficial de la Federación y en el portal de Internet del Instituto.</w:t>
      </w:r>
    </w:p>
    <w:p w14:paraId="1FCB0241" w14:textId="29670BB6" w:rsidR="0040283C" w:rsidRDefault="0040283C" w:rsidP="0027631D">
      <w:pPr>
        <w:spacing w:after="0" w:line="23" w:lineRule="atLeast"/>
        <w:contextualSpacing/>
        <w:rPr>
          <w:rFonts w:ascii="Arial" w:hAnsi="Arial" w:cs="Arial"/>
          <w:lang w:eastAsia="ar-SA"/>
        </w:rPr>
      </w:pPr>
    </w:p>
    <w:p w14:paraId="6A36A0E2" w14:textId="77777777" w:rsidR="00917E91" w:rsidRPr="0027631D" w:rsidRDefault="00917E91" w:rsidP="00917E91">
      <w:pPr>
        <w:spacing w:after="0" w:line="23" w:lineRule="atLeast"/>
        <w:contextualSpacing/>
        <w:jc w:val="center"/>
        <w:rPr>
          <w:rFonts w:ascii="Arial" w:hAnsi="Arial" w:cs="Arial"/>
          <w:kern w:val="1"/>
          <w:lang w:eastAsia="ar-SA"/>
        </w:rPr>
      </w:pPr>
    </w:p>
    <w:p w14:paraId="4CC6E4E7" w14:textId="1AF800E2" w:rsidR="00917E91" w:rsidRPr="0027631D" w:rsidRDefault="00917E91" w:rsidP="00917E91">
      <w:pPr>
        <w:pStyle w:val="Ttulo3"/>
      </w:pPr>
      <w:r>
        <w:t>Transitorios</w:t>
      </w:r>
    </w:p>
    <w:p w14:paraId="798E831E" w14:textId="28662CAF" w:rsidR="00917E91" w:rsidRDefault="00917E91" w:rsidP="00917E91">
      <w:pPr>
        <w:suppressAutoHyphens/>
        <w:spacing w:after="0" w:line="23" w:lineRule="atLeast"/>
        <w:ind w:right="49"/>
        <w:contextualSpacing/>
        <w:rPr>
          <w:rFonts w:ascii="Arial" w:eastAsia="Times New Roman" w:hAnsi="Arial" w:cs="Arial"/>
          <w:bCs/>
          <w:kern w:val="1"/>
          <w:lang w:eastAsia="ar-SA"/>
        </w:rPr>
      </w:pPr>
    </w:p>
    <w:p w14:paraId="7CC905DB" w14:textId="77777777" w:rsidR="00917E91" w:rsidRPr="00F879EA" w:rsidRDefault="00917E91" w:rsidP="00F879EA">
      <w:pPr>
        <w:pStyle w:val="Ttulo4"/>
        <w:numPr>
          <w:ilvl w:val="0"/>
          <w:numId w:val="47"/>
        </w:numPr>
        <w:ind w:left="0" w:firstLine="0"/>
        <w:rPr>
          <w:b w:val="0"/>
        </w:rPr>
      </w:pPr>
      <w:r w:rsidRPr="00F879EA">
        <w:rPr>
          <w:b w:val="0"/>
        </w:rPr>
        <w:t>El presente Acuerdo entrará en vigor al día siguiente de su publicación en el Diario Oficial de la Federación.</w:t>
      </w:r>
    </w:p>
    <w:p w14:paraId="46F29187" w14:textId="77777777" w:rsidR="00917E91" w:rsidRPr="00037A80" w:rsidRDefault="00917E91" w:rsidP="00917E91">
      <w:pPr>
        <w:spacing w:after="0" w:line="23" w:lineRule="atLeast"/>
        <w:contextualSpacing/>
        <w:rPr>
          <w:rFonts w:ascii="Arial" w:hAnsi="Arial" w:cs="Arial"/>
          <w:lang w:eastAsia="ar-SA"/>
        </w:rPr>
      </w:pPr>
    </w:p>
    <w:p w14:paraId="62C5C254" w14:textId="77777777" w:rsidR="00917E91" w:rsidRPr="001D4B3B" w:rsidRDefault="00917E91" w:rsidP="00917E91">
      <w:pPr>
        <w:pStyle w:val="Ttulo4"/>
        <w:numPr>
          <w:ilvl w:val="0"/>
          <w:numId w:val="18"/>
        </w:numPr>
        <w:ind w:left="0" w:firstLine="0"/>
        <w:rPr>
          <w:b w:val="0"/>
        </w:rPr>
      </w:pPr>
      <w:r>
        <w:rPr>
          <w:b w:val="0"/>
        </w:rPr>
        <w:t>L</w:t>
      </w:r>
      <w:r w:rsidRPr="001D4B3B">
        <w:rPr>
          <w:b w:val="0"/>
        </w:rPr>
        <w:t>os dispositivos, equipos o sistemas de radiocomunicación cuyas operaciones en la banda de frecuencias 2400 – 2483.5 MHz se encuentren al amparo de un certificado de homologación vigente, podrán continuar operando de conformidad con lo indicado en el Considerando Sexto del presente Acuerdo.</w:t>
      </w:r>
    </w:p>
    <w:p w14:paraId="72CD0D76" w14:textId="77777777" w:rsidR="00917E91" w:rsidRPr="0027631D" w:rsidRDefault="00917E91" w:rsidP="00917E91">
      <w:pPr>
        <w:suppressAutoHyphens/>
        <w:spacing w:after="0" w:line="23" w:lineRule="atLeast"/>
        <w:ind w:right="49"/>
        <w:contextualSpacing/>
        <w:rPr>
          <w:rFonts w:ascii="Arial" w:eastAsia="Times New Roman" w:hAnsi="Arial" w:cs="Arial"/>
          <w:bCs/>
          <w:kern w:val="1"/>
          <w:lang w:eastAsia="ar-SA"/>
        </w:rPr>
      </w:pPr>
    </w:p>
    <w:p w14:paraId="23C8C84F" w14:textId="77777777" w:rsidR="00A528FE" w:rsidRPr="0027631D" w:rsidRDefault="00A528FE" w:rsidP="0027631D">
      <w:pPr>
        <w:spacing w:after="0" w:line="23" w:lineRule="atLeast"/>
        <w:contextualSpacing/>
        <w:rPr>
          <w:rFonts w:ascii="Arial" w:hAnsi="Arial" w:cs="Arial"/>
          <w:lang w:eastAsia="ar-SA"/>
        </w:rPr>
      </w:pPr>
    </w:p>
    <w:p w14:paraId="00C389BE" w14:textId="54230A5D" w:rsidR="00A44AB0" w:rsidRDefault="00FF5B8A" w:rsidP="00A44AB0">
      <w:pPr>
        <w:pStyle w:val="Ttulo3"/>
      </w:pPr>
      <w:r w:rsidRPr="0027631D">
        <w:t>Anexo Único</w:t>
      </w:r>
      <w:r w:rsidR="00A44AB0" w:rsidRPr="00A44AB0">
        <w:t xml:space="preserve"> </w:t>
      </w:r>
    </w:p>
    <w:p w14:paraId="5F5177D6" w14:textId="77777777" w:rsidR="00FB7222" w:rsidRPr="00FB7222" w:rsidRDefault="00FB7222" w:rsidP="00FB7222">
      <w:pPr>
        <w:spacing w:after="0" w:line="23" w:lineRule="atLeast"/>
        <w:contextualSpacing/>
        <w:rPr>
          <w:rFonts w:ascii="Arial" w:hAnsi="Arial" w:cs="Arial"/>
          <w:lang w:eastAsia="ar-SA"/>
        </w:rPr>
      </w:pPr>
    </w:p>
    <w:p w14:paraId="6887EAE7" w14:textId="77777777" w:rsidR="00E442FC" w:rsidRPr="00A44AB0" w:rsidRDefault="00A44AB0" w:rsidP="00A44AB0">
      <w:pPr>
        <w:pStyle w:val="Ttulo3"/>
        <w:rPr>
          <w:sz w:val="24"/>
        </w:rPr>
      </w:pPr>
      <w:r w:rsidRPr="00A44AB0">
        <w:rPr>
          <w:sz w:val="24"/>
        </w:rPr>
        <w:t>Condiciones técnicas de operación de la banda de frecuencias 2400 - 2483.5 MHz</w:t>
      </w:r>
    </w:p>
    <w:p w14:paraId="414B988E" w14:textId="3CDD1D56" w:rsidR="00FF5B8A" w:rsidRPr="00FB7222" w:rsidRDefault="00FF5B8A" w:rsidP="00FB7222">
      <w:pPr>
        <w:spacing w:after="0" w:line="23" w:lineRule="atLeast"/>
        <w:contextualSpacing/>
        <w:rPr>
          <w:rFonts w:ascii="Arial" w:hAnsi="Arial" w:cs="Arial"/>
          <w:lang w:eastAsia="ar-SA"/>
        </w:rPr>
      </w:pPr>
    </w:p>
    <w:p w14:paraId="09BB4E41" w14:textId="77777777" w:rsidR="00FB7222" w:rsidRPr="0027631D" w:rsidRDefault="00FB7222" w:rsidP="0027631D">
      <w:pPr>
        <w:spacing w:after="0" w:line="23" w:lineRule="atLeast"/>
        <w:contextualSpacing/>
        <w:jc w:val="both"/>
        <w:rPr>
          <w:rFonts w:ascii="Arial" w:hAnsi="Arial" w:cs="Arial"/>
          <w:color w:val="000000" w:themeColor="text1"/>
        </w:rPr>
      </w:pPr>
    </w:p>
    <w:p w14:paraId="0C284F77" w14:textId="77777777" w:rsidR="00FF5B8A" w:rsidRPr="0027631D" w:rsidRDefault="00FF5B8A" w:rsidP="00794179">
      <w:pPr>
        <w:pStyle w:val="Ttulo5"/>
      </w:pPr>
      <w:bookmarkStart w:id="374" w:name="_Toc474327039"/>
      <w:bookmarkStart w:id="375" w:name="_Toc44435803"/>
      <w:r w:rsidRPr="0027631D">
        <w:t>Glosario</w:t>
      </w:r>
      <w:bookmarkEnd w:id="374"/>
      <w:bookmarkEnd w:id="375"/>
    </w:p>
    <w:p w14:paraId="017D2D79" w14:textId="77777777" w:rsidR="00FF5B8A" w:rsidRPr="0027631D" w:rsidRDefault="00FF5B8A" w:rsidP="0027631D">
      <w:pPr>
        <w:spacing w:after="0" w:line="23" w:lineRule="atLeast"/>
        <w:contextualSpacing/>
        <w:jc w:val="both"/>
        <w:rPr>
          <w:rFonts w:ascii="Arial" w:hAnsi="Arial" w:cs="Arial"/>
          <w:color w:val="000000" w:themeColor="text1"/>
        </w:rPr>
      </w:pPr>
    </w:p>
    <w:p w14:paraId="3A463900" w14:textId="77777777" w:rsidR="00FF5B8A" w:rsidRPr="0027631D" w:rsidRDefault="00FF5B8A" w:rsidP="0027631D">
      <w:pPr>
        <w:spacing w:after="0" w:line="23" w:lineRule="atLeast"/>
        <w:contextualSpacing/>
        <w:jc w:val="both"/>
        <w:rPr>
          <w:rFonts w:ascii="Arial" w:hAnsi="Arial" w:cs="Arial"/>
          <w:color w:val="000000" w:themeColor="text1"/>
        </w:rPr>
      </w:pPr>
      <w:r w:rsidRPr="0027631D">
        <w:rPr>
          <w:rFonts w:ascii="Arial" w:hAnsi="Arial" w:cs="Arial"/>
          <w:color w:val="000000" w:themeColor="text1"/>
        </w:rPr>
        <w:t>Sin perjuicio de las definiciones previstas en el artículo 3 de la Ley Federal de Telecomunicaciones y Radiodifusión y en la normatividad aplicable en la materia, para los efectos de las presentes condiciones técnicas de operación, se entenderá por:</w:t>
      </w:r>
    </w:p>
    <w:p w14:paraId="330577C3" w14:textId="77777777" w:rsidR="00FF5B8A" w:rsidRPr="0027631D" w:rsidRDefault="00FF5B8A" w:rsidP="0027631D">
      <w:pPr>
        <w:spacing w:after="0" w:line="23" w:lineRule="atLeast"/>
        <w:contextualSpacing/>
        <w:jc w:val="both"/>
        <w:rPr>
          <w:rFonts w:ascii="Arial" w:hAnsi="Arial" w:cs="Arial"/>
          <w:color w:val="000000" w:themeColor="text1"/>
        </w:rPr>
      </w:pPr>
    </w:p>
    <w:p w14:paraId="73D05312" w14:textId="77777777" w:rsidR="00FF5B8A" w:rsidRPr="0027631D" w:rsidRDefault="00FF5B8A" w:rsidP="00B23D4D">
      <w:pPr>
        <w:spacing w:after="0" w:line="23" w:lineRule="atLeast"/>
        <w:ind w:left="426"/>
        <w:contextualSpacing/>
        <w:jc w:val="both"/>
        <w:rPr>
          <w:rFonts w:ascii="Arial" w:hAnsi="Arial" w:cs="Arial"/>
          <w:color w:val="000000" w:themeColor="text1"/>
        </w:rPr>
      </w:pPr>
      <w:r w:rsidRPr="0014174A">
        <w:rPr>
          <w:rFonts w:ascii="Arial" w:hAnsi="Arial" w:cs="Arial"/>
          <w:b/>
          <w:color w:val="000000" w:themeColor="text1"/>
        </w:rPr>
        <w:t xml:space="preserve">Ancho de banda: </w:t>
      </w:r>
      <w:r w:rsidRPr="0014174A">
        <w:rPr>
          <w:rFonts w:ascii="Arial" w:hAnsi="Arial" w:cs="Arial"/>
          <w:color w:val="000000" w:themeColor="text1"/>
        </w:rPr>
        <w:t>valor de la diferencia entre dos frecuencias límite de una banda de frecuencias. La cual se determina por un solo valor y no depende de la posición de la banda en el espectro de frecuencias.</w:t>
      </w:r>
    </w:p>
    <w:p w14:paraId="1A0FD493" w14:textId="77777777" w:rsidR="00FF5B8A" w:rsidRPr="0027631D" w:rsidRDefault="00FF5B8A" w:rsidP="00B23D4D">
      <w:pPr>
        <w:spacing w:after="0" w:line="23" w:lineRule="atLeast"/>
        <w:ind w:left="426"/>
        <w:contextualSpacing/>
        <w:jc w:val="both"/>
        <w:rPr>
          <w:rFonts w:ascii="Arial" w:hAnsi="Arial" w:cs="Arial"/>
          <w:b/>
          <w:color w:val="000000" w:themeColor="text1"/>
        </w:rPr>
      </w:pPr>
    </w:p>
    <w:p w14:paraId="6C5AC8C4" w14:textId="77777777" w:rsidR="00FF5B8A" w:rsidRPr="0027631D" w:rsidRDefault="00FF5B8A" w:rsidP="00B23D4D">
      <w:pPr>
        <w:spacing w:after="0" w:line="23" w:lineRule="atLeast"/>
        <w:ind w:left="426"/>
        <w:contextualSpacing/>
        <w:jc w:val="both"/>
        <w:rPr>
          <w:rFonts w:ascii="Arial" w:hAnsi="Arial" w:cs="Arial"/>
          <w:color w:val="000000" w:themeColor="text1"/>
        </w:rPr>
      </w:pPr>
      <w:r w:rsidRPr="0014174A">
        <w:rPr>
          <w:rFonts w:ascii="Arial" w:hAnsi="Arial" w:cs="Arial"/>
          <w:b/>
          <w:color w:val="000000" w:themeColor="text1"/>
        </w:rPr>
        <w:t xml:space="preserve">Aplicaciones industriales, científicas y médicas (ICM): </w:t>
      </w:r>
      <w:r w:rsidRPr="0014174A">
        <w:rPr>
          <w:rFonts w:ascii="Arial" w:hAnsi="Arial" w:cs="Arial"/>
          <w:color w:val="000000" w:themeColor="text1"/>
        </w:rPr>
        <w:t>equipos o instalaciones destinados a producir y utilizar en un espacio reducido energía radioeléctrica con fines industriales, científicos, médicos, domésticos o similares, con exclusión de todas las aplicaciones de telecomunicación.</w:t>
      </w:r>
    </w:p>
    <w:p w14:paraId="71D4FE56" w14:textId="77777777" w:rsidR="00FF5B8A" w:rsidRPr="0027631D" w:rsidRDefault="00FF5B8A" w:rsidP="00B23D4D">
      <w:pPr>
        <w:spacing w:after="0" w:line="23" w:lineRule="atLeast"/>
        <w:ind w:left="426"/>
        <w:contextualSpacing/>
        <w:jc w:val="both"/>
        <w:rPr>
          <w:rFonts w:ascii="Arial" w:hAnsi="Arial" w:cs="Arial"/>
          <w:b/>
          <w:color w:val="000000" w:themeColor="text1"/>
        </w:rPr>
      </w:pPr>
    </w:p>
    <w:p w14:paraId="132E2241" w14:textId="77777777" w:rsidR="00FF5B8A" w:rsidRPr="0027631D" w:rsidRDefault="00FF5B8A" w:rsidP="00B23D4D">
      <w:pPr>
        <w:spacing w:after="0" w:line="23" w:lineRule="atLeast"/>
        <w:ind w:left="426"/>
        <w:contextualSpacing/>
        <w:jc w:val="both"/>
        <w:rPr>
          <w:rFonts w:ascii="Arial" w:hAnsi="Arial" w:cs="Arial"/>
          <w:color w:val="000000" w:themeColor="text1"/>
        </w:rPr>
      </w:pPr>
      <w:r w:rsidRPr="0014174A">
        <w:rPr>
          <w:rFonts w:ascii="Arial" w:hAnsi="Arial" w:cs="Arial"/>
          <w:b/>
          <w:color w:val="000000" w:themeColor="text1"/>
        </w:rPr>
        <w:t xml:space="preserve">Banda de frecuencias: </w:t>
      </w:r>
      <w:r w:rsidRPr="0014174A">
        <w:rPr>
          <w:rFonts w:ascii="Arial" w:hAnsi="Arial" w:cs="Arial"/>
          <w:color w:val="000000" w:themeColor="text1"/>
        </w:rPr>
        <w:t>porción del espectro radioeléctrico comprendido entre dos frecuencias determinadas.</w:t>
      </w:r>
    </w:p>
    <w:p w14:paraId="6BE4D893" w14:textId="77777777" w:rsidR="00FF5B8A" w:rsidRPr="0027631D" w:rsidRDefault="00FF5B8A" w:rsidP="00B23D4D">
      <w:pPr>
        <w:spacing w:after="0" w:line="23" w:lineRule="atLeast"/>
        <w:ind w:left="426"/>
        <w:contextualSpacing/>
        <w:jc w:val="both"/>
        <w:rPr>
          <w:rFonts w:ascii="Arial" w:hAnsi="Arial" w:cs="Arial"/>
          <w:color w:val="000000" w:themeColor="text1"/>
        </w:rPr>
      </w:pPr>
    </w:p>
    <w:p w14:paraId="45556BC0" w14:textId="77777777" w:rsidR="00FF5B8A" w:rsidRPr="0027631D" w:rsidRDefault="00FF5B8A" w:rsidP="00B23D4D">
      <w:pPr>
        <w:spacing w:after="0" w:line="23" w:lineRule="atLeast"/>
        <w:ind w:left="426"/>
        <w:contextualSpacing/>
        <w:jc w:val="both"/>
        <w:rPr>
          <w:rFonts w:ascii="Arial" w:hAnsi="Arial" w:cs="Arial"/>
          <w:color w:val="000000" w:themeColor="text1"/>
        </w:rPr>
      </w:pPr>
      <w:r w:rsidRPr="0014174A">
        <w:rPr>
          <w:rFonts w:ascii="Arial" w:hAnsi="Arial" w:cs="Arial"/>
          <w:b/>
          <w:color w:val="000000" w:themeColor="text1"/>
        </w:rPr>
        <w:t xml:space="preserve">Canal de salto: </w:t>
      </w:r>
      <w:r w:rsidRPr="0014174A">
        <w:rPr>
          <w:rFonts w:ascii="Arial" w:hAnsi="Arial" w:cs="Arial"/>
          <w:color w:val="000000" w:themeColor="text1"/>
        </w:rPr>
        <w:t>para las telecomunicaciones del tipo de espectro disperso por salto de frecuencia,</w:t>
      </w:r>
      <w:r w:rsidRPr="0014174A">
        <w:rPr>
          <w:rFonts w:ascii="Arial" w:hAnsi="Arial" w:cs="Arial"/>
          <w:b/>
          <w:color w:val="000000" w:themeColor="text1"/>
        </w:rPr>
        <w:t xml:space="preserve"> </w:t>
      </w:r>
      <w:r w:rsidRPr="0014174A">
        <w:rPr>
          <w:rFonts w:ascii="Arial" w:hAnsi="Arial" w:cs="Arial"/>
          <w:color w:val="000000" w:themeColor="text1"/>
        </w:rPr>
        <w:t>es la ubicación de la señal dentro de una banda de frecuencias, que cuenta con un ancho de banda a 20 dB y una portadora disponible.</w:t>
      </w:r>
    </w:p>
    <w:p w14:paraId="79137166" w14:textId="77777777" w:rsidR="00FF5B8A" w:rsidRPr="0027631D" w:rsidRDefault="00FF5B8A" w:rsidP="00B23D4D">
      <w:pPr>
        <w:spacing w:after="0" w:line="23" w:lineRule="atLeast"/>
        <w:ind w:left="426"/>
        <w:contextualSpacing/>
        <w:jc w:val="both"/>
        <w:rPr>
          <w:rFonts w:ascii="Arial" w:hAnsi="Arial" w:cs="Arial"/>
          <w:color w:val="000000" w:themeColor="text1"/>
        </w:rPr>
      </w:pPr>
    </w:p>
    <w:p w14:paraId="79F24F49" w14:textId="02C42D8F" w:rsidR="00FF5B8A" w:rsidRPr="0027631D" w:rsidRDefault="00FF5B8A" w:rsidP="00B23D4D">
      <w:pPr>
        <w:spacing w:after="0" w:line="23" w:lineRule="atLeast"/>
        <w:ind w:left="426"/>
        <w:contextualSpacing/>
        <w:jc w:val="both"/>
        <w:rPr>
          <w:rFonts w:ascii="Arial" w:hAnsi="Arial" w:cs="Arial"/>
          <w:color w:val="000000" w:themeColor="text1"/>
        </w:rPr>
      </w:pPr>
      <w:r w:rsidRPr="0014174A">
        <w:rPr>
          <w:rFonts w:ascii="Arial" w:hAnsi="Arial" w:cs="Arial"/>
          <w:b/>
          <w:color w:val="000000" w:themeColor="text1"/>
        </w:rPr>
        <w:t>Conector especial:</w:t>
      </w:r>
      <w:r w:rsidRPr="0014174A">
        <w:rPr>
          <w:rFonts w:ascii="Arial" w:hAnsi="Arial" w:cs="Arial"/>
          <w:color w:val="000000" w:themeColor="text1"/>
        </w:rPr>
        <w:t xml:space="preserve"> es aquel </w:t>
      </w:r>
      <w:r w:rsidR="00BE4044">
        <w:rPr>
          <w:rFonts w:ascii="Arial" w:hAnsi="Arial" w:cs="Arial"/>
          <w:color w:val="000000" w:themeColor="text1"/>
        </w:rPr>
        <w:t xml:space="preserve">conector </w:t>
      </w:r>
      <w:r w:rsidRPr="0014174A">
        <w:rPr>
          <w:rFonts w:ascii="Arial" w:hAnsi="Arial" w:cs="Arial"/>
          <w:color w:val="000000" w:themeColor="text1"/>
        </w:rPr>
        <w:t>que no se encuentr</w:t>
      </w:r>
      <w:r w:rsidR="00BE4044">
        <w:rPr>
          <w:rFonts w:ascii="Arial" w:hAnsi="Arial" w:cs="Arial"/>
          <w:color w:val="000000" w:themeColor="text1"/>
        </w:rPr>
        <w:t>a</w:t>
      </w:r>
      <w:r w:rsidRPr="0014174A">
        <w:rPr>
          <w:rFonts w:ascii="Arial" w:hAnsi="Arial" w:cs="Arial"/>
          <w:color w:val="000000" w:themeColor="text1"/>
        </w:rPr>
        <w:t xml:space="preserve"> en las tiendas de electrónica</w:t>
      </w:r>
      <w:r w:rsidR="00BE4044">
        <w:rPr>
          <w:rStyle w:val="Refdenotaalpie"/>
          <w:rFonts w:ascii="Arial" w:hAnsi="Arial" w:cs="Arial"/>
          <w:color w:val="000000" w:themeColor="text1"/>
        </w:rPr>
        <w:footnoteReference w:id="35"/>
      </w:r>
      <w:r w:rsidRPr="0014174A">
        <w:rPr>
          <w:rFonts w:ascii="Arial" w:hAnsi="Arial" w:cs="Arial"/>
          <w:color w:val="000000" w:themeColor="text1"/>
        </w:rPr>
        <w:t>.</w:t>
      </w:r>
    </w:p>
    <w:p w14:paraId="5FD89FD3" w14:textId="77777777" w:rsidR="00FF5B8A" w:rsidRPr="0027631D" w:rsidRDefault="00FF5B8A" w:rsidP="00B23D4D">
      <w:pPr>
        <w:spacing w:after="0" w:line="23" w:lineRule="atLeast"/>
        <w:ind w:left="426"/>
        <w:contextualSpacing/>
        <w:jc w:val="both"/>
        <w:rPr>
          <w:rFonts w:ascii="Arial" w:hAnsi="Arial" w:cs="Arial"/>
          <w:color w:val="000000" w:themeColor="text1"/>
        </w:rPr>
      </w:pPr>
    </w:p>
    <w:p w14:paraId="147848AF" w14:textId="77777777" w:rsidR="00FF5B8A" w:rsidRPr="0027631D" w:rsidRDefault="00FF5B8A" w:rsidP="00B23D4D">
      <w:pPr>
        <w:spacing w:after="0" w:line="23" w:lineRule="atLeast"/>
        <w:ind w:left="426"/>
        <w:contextualSpacing/>
        <w:jc w:val="both"/>
        <w:rPr>
          <w:rFonts w:ascii="Arial" w:hAnsi="Arial" w:cs="Arial"/>
          <w:color w:val="000000" w:themeColor="text1"/>
        </w:rPr>
      </w:pPr>
      <w:r w:rsidRPr="0027631D">
        <w:rPr>
          <w:rFonts w:ascii="Arial" w:hAnsi="Arial" w:cs="Arial"/>
          <w:b/>
          <w:color w:val="000000" w:themeColor="text1"/>
        </w:rPr>
        <w:t xml:space="preserve">Densidad espectral de potencia: </w:t>
      </w:r>
      <w:r w:rsidRPr="0027631D">
        <w:rPr>
          <w:rFonts w:ascii="Arial" w:hAnsi="Arial" w:cs="Arial"/>
          <w:color w:val="000000" w:themeColor="text1"/>
        </w:rPr>
        <w:t>es la potencia media en el ancho de banda de referencia.</w:t>
      </w:r>
    </w:p>
    <w:p w14:paraId="65890BAF" w14:textId="77777777" w:rsidR="00FF5B8A" w:rsidRPr="0027631D" w:rsidRDefault="00FF5B8A" w:rsidP="00B23D4D">
      <w:pPr>
        <w:spacing w:after="0" w:line="23" w:lineRule="atLeast"/>
        <w:ind w:left="426"/>
        <w:contextualSpacing/>
        <w:jc w:val="both"/>
        <w:rPr>
          <w:rFonts w:ascii="Arial" w:hAnsi="Arial" w:cs="Arial"/>
          <w:b/>
          <w:color w:val="000000" w:themeColor="text1"/>
        </w:rPr>
      </w:pPr>
    </w:p>
    <w:p w14:paraId="5592158F" w14:textId="77777777" w:rsidR="00FF5B8A" w:rsidRPr="0027631D" w:rsidRDefault="00FF5B8A" w:rsidP="00B23D4D">
      <w:pPr>
        <w:spacing w:after="0" w:line="23" w:lineRule="atLeast"/>
        <w:ind w:left="426"/>
        <w:contextualSpacing/>
        <w:jc w:val="both"/>
        <w:rPr>
          <w:rFonts w:ascii="Arial" w:hAnsi="Arial" w:cs="Arial"/>
          <w:color w:val="000000" w:themeColor="text1"/>
        </w:rPr>
      </w:pPr>
      <w:r w:rsidRPr="0014174A">
        <w:rPr>
          <w:rFonts w:ascii="Arial" w:hAnsi="Arial" w:cs="Arial"/>
          <w:b/>
          <w:color w:val="000000" w:themeColor="text1"/>
        </w:rPr>
        <w:lastRenderedPageBreak/>
        <w:t>Dispositivos de radiocomunicac</w:t>
      </w:r>
      <w:r w:rsidR="008B4756" w:rsidRPr="0014174A">
        <w:rPr>
          <w:rFonts w:ascii="Arial" w:hAnsi="Arial" w:cs="Arial"/>
          <w:b/>
          <w:color w:val="000000" w:themeColor="text1"/>
        </w:rPr>
        <w:t>i</w:t>
      </w:r>
      <w:r w:rsidR="00095029" w:rsidRPr="0014174A">
        <w:rPr>
          <w:rFonts w:ascii="Arial" w:hAnsi="Arial" w:cs="Arial"/>
          <w:b/>
          <w:color w:val="000000" w:themeColor="text1"/>
        </w:rPr>
        <w:t>ones</w:t>
      </w:r>
      <w:r w:rsidRPr="0014174A">
        <w:rPr>
          <w:rFonts w:ascii="Arial" w:hAnsi="Arial" w:cs="Arial"/>
          <w:b/>
          <w:color w:val="000000" w:themeColor="text1"/>
        </w:rPr>
        <w:t xml:space="preserve"> de corto alcance (DRCA):</w:t>
      </w:r>
      <w:r w:rsidR="00095029" w:rsidRPr="0014174A">
        <w:rPr>
          <w:rFonts w:ascii="Arial" w:hAnsi="Arial" w:cs="Arial"/>
          <w:color w:val="000000" w:themeColor="text1"/>
        </w:rPr>
        <w:t xml:space="preserve"> transmisores radioeléctricos que </w:t>
      </w:r>
      <w:r w:rsidR="006E321A" w:rsidRPr="0014174A">
        <w:rPr>
          <w:rFonts w:ascii="Arial" w:hAnsi="Arial" w:cs="Arial"/>
          <w:color w:val="000000" w:themeColor="text1"/>
        </w:rPr>
        <w:t xml:space="preserve">operan con baja potencia para </w:t>
      </w:r>
      <w:r w:rsidR="00095029" w:rsidRPr="0014174A">
        <w:rPr>
          <w:rFonts w:ascii="Arial" w:hAnsi="Arial" w:cs="Arial"/>
          <w:color w:val="000000" w:themeColor="text1"/>
        </w:rPr>
        <w:t>proporciona</w:t>
      </w:r>
      <w:r w:rsidR="006E321A" w:rsidRPr="0014174A">
        <w:rPr>
          <w:rFonts w:ascii="Arial" w:hAnsi="Arial" w:cs="Arial"/>
          <w:color w:val="000000" w:themeColor="text1"/>
        </w:rPr>
        <w:t>r</w:t>
      </w:r>
      <w:r w:rsidR="00095029" w:rsidRPr="0014174A">
        <w:rPr>
          <w:rFonts w:ascii="Arial" w:hAnsi="Arial" w:cs="Arial"/>
          <w:color w:val="000000" w:themeColor="text1"/>
        </w:rPr>
        <w:t xml:space="preserve"> comunicaciones unidireccionales o bidireccionales y que tienen baja capacidad de producir interferencia a otros equipos radioeléctricos</w:t>
      </w:r>
      <w:r w:rsidR="006E321A" w:rsidRPr="0014174A">
        <w:t xml:space="preserve"> </w:t>
      </w:r>
      <w:r w:rsidR="006E321A" w:rsidRPr="0014174A">
        <w:rPr>
          <w:rFonts w:ascii="Arial" w:hAnsi="Arial" w:cs="Arial"/>
          <w:color w:val="000000" w:themeColor="text1"/>
        </w:rPr>
        <w:t>utilizando antenas integradas, específicas o externas</w:t>
      </w:r>
      <w:r w:rsidRPr="0014174A">
        <w:rPr>
          <w:rFonts w:ascii="Arial" w:hAnsi="Arial" w:cs="Arial"/>
          <w:color w:val="000000" w:themeColor="text1"/>
        </w:rPr>
        <w:t>.</w:t>
      </w:r>
    </w:p>
    <w:p w14:paraId="6051F8BF" w14:textId="77777777" w:rsidR="00FF5B8A" w:rsidRPr="0027631D" w:rsidRDefault="00FF5B8A" w:rsidP="00B23D4D">
      <w:pPr>
        <w:spacing w:after="0" w:line="23" w:lineRule="atLeast"/>
        <w:ind w:left="426"/>
        <w:contextualSpacing/>
        <w:jc w:val="both"/>
        <w:rPr>
          <w:rFonts w:ascii="Arial" w:hAnsi="Arial" w:cs="Arial"/>
          <w:color w:val="000000" w:themeColor="text1"/>
        </w:rPr>
      </w:pPr>
    </w:p>
    <w:p w14:paraId="43C0A382" w14:textId="77777777" w:rsidR="00FF5B8A" w:rsidRPr="0027631D" w:rsidRDefault="00FF5B8A" w:rsidP="00B23D4D">
      <w:pPr>
        <w:spacing w:after="0" w:line="23" w:lineRule="atLeast"/>
        <w:ind w:left="426"/>
        <w:contextualSpacing/>
        <w:jc w:val="both"/>
        <w:rPr>
          <w:rFonts w:ascii="Arial" w:hAnsi="Arial" w:cs="Arial"/>
          <w:color w:val="000000" w:themeColor="text1"/>
        </w:rPr>
      </w:pPr>
      <w:r w:rsidRPr="0027631D">
        <w:rPr>
          <w:rFonts w:ascii="Arial" w:hAnsi="Arial" w:cs="Arial"/>
          <w:b/>
          <w:color w:val="000000" w:themeColor="text1"/>
        </w:rPr>
        <w:t>Emisión de armónicos:</w:t>
      </w:r>
      <w:r w:rsidRPr="0027631D">
        <w:rPr>
          <w:rFonts w:ascii="Arial" w:hAnsi="Arial" w:cs="Arial"/>
          <w:color w:val="000000" w:themeColor="text1"/>
        </w:rPr>
        <w:t xml:space="preserve"> emisión no esencial en frecuencias múltiplos enteros de la emisión de la frecuencia central.</w:t>
      </w:r>
    </w:p>
    <w:p w14:paraId="504D9030" w14:textId="77777777" w:rsidR="00FF5B8A" w:rsidRPr="0027631D" w:rsidRDefault="00FF5B8A" w:rsidP="00B23D4D">
      <w:pPr>
        <w:spacing w:after="0" w:line="23" w:lineRule="atLeast"/>
        <w:ind w:left="426"/>
        <w:contextualSpacing/>
        <w:jc w:val="both"/>
        <w:rPr>
          <w:rFonts w:ascii="Arial" w:hAnsi="Arial" w:cs="Arial"/>
          <w:b/>
          <w:color w:val="000000" w:themeColor="text1"/>
        </w:rPr>
      </w:pPr>
    </w:p>
    <w:p w14:paraId="4AA152BC" w14:textId="77777777" w:rsidR="00FF5B8A" w:rsidRPr="0027631D" w:rsidRDefault="00FF5B8A" w:rsidP="00B23D4D">
      <w:pPr>
        <w:spacing w:after="0" w:line="23" w:lineRule="atLeast"/>
        <w:ind w:left="426"/>
        <w:contextualSpacing/>
        <w:jc w:val="both"/>
        <w:rPr>
          <w:rFonts w:ascii="Arial" w:hAnsi="Arial" w:cs="Arial"/>
          <w:color w:val="000000" w:themeColor="text1"/>
        </w:rPr>
      </w:pPr>
      <w:r w:rsidRPr="0014174A">
        <w:rPr>
          <w:rFonts w:ascii="Arial" w:hAnsi="Arial" w:cs="Arial"/>
          <w:b/>
          <w:color w:val="000000" w:themeColor="text1"/>
        </w:rPr>
        <w:t>Emisión fundamental:</w:t>
      </w:r>
      <w:r w:rsidRPr="0014174A">
        <w:rPr>
          <w:rFonts w:ascii="Arial" w:hAnsi="Arial" w:cs="Arial"/>
          <w:color w:val="000000" w:themeColor="text1"/>
        </w:rPr>
        <w:t xml:space="preserve"> radiación producida, o producción de radiación, por una estación transmisora radioeléctrica en la frecuencia fundamental.</w:t>
      </w:r>
    </w:p>
    <w:p w14:paraId="29EFD336" w14:textId="77777777" w:rsidR="00FF5B8A" w:rsidRPr="0027631D" w:rsidRDefault="00FF5B8A" w:rsidP="00B23D4D">
      <w:pPr>
        <w:spacing w:after="0" w:line="23" w:lineRule="atLeast"/>
        <w:ind w:left="426"/>
        <w:contextualSpacing/>
        <w:jc w:val="both"/>
        <w:rPr>
          <w:rFonts w:ascii="Arial" w:hAnsi="Arial" w:cs="Arial"/>
          <w:b/>
          <w:color w:val="000000" w:themeColor="text1"/>
        </w:rPr>
      </w:pPr>
    </w:p>
    <w:p w14:paraId="70867B15" w14:textId="77777777" w:rsidR="00FF5B8A" w:rsidRPr="0027631D" w:rsidRDefault="00FF5B8A" w:rsidP="00B23D4D">
      <w:pPr>
        <w:spacing w:after="0" w:line="23" w:lineRule="atLeast"/>
        <w:ind w:left="426"/>
        <w:contextualSpacing/>
        <w:jc w:val="both"/>
        <w:rPr>
          <w:rFonts w:ascii="Arial" w:hAnsi="Arial" w:cs="Arial"/>
          <w:color w:val="000000" w:themeColor="text1"/>
        </w:rPr>
      </w:pPr>
      <w:r w:rsidRPr="0027631D">
        <w:rPr>
          <w:rFonts w:ascii="Arial" w:hAnsi="Arial" w:cs="Arial"/>
          <w:b/>
          <w:color w:val="000000" w:themeColor="text1"/>
        </w:rPr>
        <w:t xml:space="preserve">Emisión no esencial: </w:t>
      </w:r>
      <w:r w:rsidRPr="0027631D">
        <w:rPr>
          <w:rFonts w:ascii="Arial" w:hAnsi="Arial" w:cs="Arial"/>
          <w:color w:val="000000" w:themeColor="text1"/>
        </w:rPr>
        <w:t>emisión en una o varias frecuencias situadas fuera de</w:t>
      </w:r>
      <w:r w:rsidRPr="0027631D" w:rsidDel="007C38C0">
        <w:rPr>
          <w:rFonts w:ascii="Arial" w:hAnsi="Arial" w:cs="Arial"/>
          <w:color w:val="000000" w:themeColor="text1"/>
        </w:rPr>
        <w:t xml:space="preserve">l </w:t>
      </w:r>
      <w:r w:rsidRPr="0027631D">
        <w:rPr>
          <w:rFonts w:ascii="Arial" w:hAnsi="Arial" w:cs="Arial"/>
          <w:color w:val="000000" w:themeColor="text1"/>
        </w:rPr>
        <w:t>ancho de banda necesario, cuyo nivel puede reducirse sin influir en la transmisión de la información correspondiente. Las emisiones armónicas, las emisiones parásitas, los productos de intermodulación y los productos de la conversión de frecuencia están comprendidos en las emisiones no esenciales, pero están excluidas las emisiones fuera de banda.</w:t>
      </w:r>
    </w:p>
    <w:p w14:paraId="722CC4DE" w14:textId="77777777" w:rsidR="00FF5B8A" w:rsidRPr="0027631D" w:rsidRDefault="00FF5B8A" w:rsidP="00B23D4D">
      <w:pPr>
        <w:spacing w:after="0" w:line="23" w:lineRule="atLeast"/>
        <w:ind w:left="426"/>
        <w:contextualSpacing/>
        <w:jc w:val="both"/>
        <w:rPr>
          <w:rFonts w:ascii="Arial" w:hAnsi="Arial" w:cs="Arial"/>
          <w:b/>
          <w:color w:val="000000" w:themeColor="text1"/>
        </w:rPr>
      </w:pPr>
    </w:p>
    <w:p w14:paraId="3A897CBF" w14:textId="282FA0FD" w:rsidR="00FF5B8A" w:rsidRPr="0027631D" w:rsidRDefault="00FF5B8A" w:rsidP="00B23D4D">
      <w:pPr>
        <w:pStyle w:val="Textocomentario"/>
        <w:spacing w:after="0" w:line="23" w:lineRule="atLeast"/>
        <w:ind w:left="426"/>
        <w:contextualSpacing/>
        <w:jc w:val="both"/>
        <w:rPr>
          <w:rFonts w:ascii="Arial" w:hAnsi="Arial" w:cs="Arial"/>
          <w:color w:val="000000" w:themeColor="text1"/>
          <w:sz w:val="22"/>
          <w:szCs w:val="22"/>
        </w:rPr>
      </w:pPr>
      <w:r w:rsidRPr="0014174A">
        <w:rPr>
          <w:rFonts w:ascii="Arial" w:hAnsi="Arial" w:cs="Arial"/>
          <w:b/>
          <w:color w:val="000000" w:themeColor="text1"/>
          <w:sz w:val="22"/>
          <w:szCs w:val="22"/>
        </w:rPr>
        <w:t>Espectro disperso por salto de frecuencia:</w:t>
      </w:r>
      <w:r w:rsidRPr="0014174A">
        <w:rPr>
          <w:rFonts w:ascii="Arial" w:hAnsi="Arial" w:cs="Arial"/>
          <w:color w:val="000000" w:themeColor="text1"/>
          <w:sz w:val="22"/>
          <w:szCs w:val="22"/>
        </w:rPr>
        <w:t xml:space="preserve"> técnica de estructuración de la señal que emplea una conmutación automática de la frecuencia transmitida. La selección de la frecuencia que se ha de transmitir se realiza generalmente de forma seudoaleatoria a partir de un juego de frecuencias que cubre una banda más ancha que el ancho de banda de información. El receptor correspondiente realizará un salto de frecuencia en sincronía con el código del transmisor para recuperar la información deseada.</w:t>
      </w:r>
    </w:p>
    <w:p w14:paraId="47838E38" w14:textId="77777777" w:rsidR="00FF5B8A" w:rsidRPr="0027631D" w:rsidRDefault="00FF5B8A" w:rsidP="00B23D4D">
      <w:pPr>
        <w:pStyle w:val="Textocomentario"/>
        <w:spacing w:after="0" w:line="23" w:lineRule="atLeast"/>
        <w:ind w:left="426"/>
        <w:contextualSpacing/>
        <w:jc w:val="both"/>
        <w:rPr>
          <w:rFonts w:ascii="Arial" w:hAnsi="Arial" w:cs="Arial"/>
          <w:color w:val="000000" w:themeColor="text1"/>
          <w:sz w:val="22"/>
          <w:szCs w:val="22"/>
        </w:rPr>
      </w:pPr>
    </w:p>
    <w:p w14:paraId="1CF3C43A" w14:textId="77777777" w:rsidR="00FF5B8A" w:rsidRPr="0027631D" w:rsidRDefault="00FF5B8A" w:rsidP="00B23D4D">
      <w:pPr>
        <w:spacing w:after="0" w:line="23" w:lineRule="atLeast"/>
        <w:ind w:left="426"/>
        <w:contextualSpacing/>
        <w:jc w:val="both"/>
        <w:rPr>
          <w:rFonts w:ascii="Arial" w:hAnsi="Arial" w:cs="Arial"/>
          <w:color w:val="000000" w:themeColor="text1"/>
        </w:rPr>
      </w:pPr>
      <w:r w:rsidRPr="0014174A">
        <w:rPr>
          <w:rFonts w:ascii="Arial" w:hAnsi="Arial" w:cs="Arial"/>
          <w:b/>
          <w:color w:val="000000" w:themeColor="text1"/>
        </w:rPr>
        <w:t xml:space="preserve">Ganancia de la antena: </w:t>
      </w:r>
      <w:r w:rsidRPr="0014174A">
        <w:rPr>
          <w:rFonts w:ascii="Arial" w:hAnsi="Arial" w:cs="Arial"/>
          <w:color w:val="000000" w:themeColor="text1"/>
        </w:rPr>
        <w:t>relación generalmente expresada en dB, que debe existir entre la potencia necesaria a la entrada de una antena de referencia sin pérdidas y la potencia suministrada a la entrada de la antena en cuestión, para que ambas antenas produzcan, en una dirección dada, la misma intensidad de campo, o la misma densidad de flujo de potencia, a la misma distancia.</w:t>
      </w:r>
    </w:p>
    <w:p w14:paraId="4EBB9C4B" w14:textId="77777777" w:rsidR="00FF5B8A" w:rsidRPr="0027631D" w:rsidRDefault="00FF5B8A" w:rsidP="00B23D4D">
      <w:pPr>
        <w:spacing w:after="0" w:line="23" w:lineRule="atLeast"/>
        <w:ind w:left="426"/>
        <w:contextualSpacing/>
        <w:jc w:val="both"/>
        <w:rPr>
          <w:rFonts w:ascii="Arial" w:hAnsi="Arial" w:cs="Arial"/>
          <w:b/>
          <w:color w:val="000000" w:themeColor="text1"/>
        </w:rPr>
      </w:pPr>
    </w:p>
    <w:p w14:paraId="0E67BE11" w14:textId="77777777" w:rsidR="00FF5B8A" w:rsidRPr="0027631D" w:rsidRDefault="00FF5B8A" w:rsidP="00B23D4D">
      <w:pPr>
        <w:spacing w:after="0" w:line="23" w:lineRule="atLeast"/>
        <w:ind w:left="426"/>
        <w:contextualSpacing/>
        <w:jc w:val="both"/>
        <w:rPr>
          <w:rFonts w:ascii="Arial" w:hAnsi="Arial" w:cs="Arial"/>
          <w:color w:val="000000" w:themeColor="text1"/>
        </w:rPr>
      </w:pPr>
      <w:r w:rsidRPr="0027631D">
        <w:rPr>
          <w:rFonts w:ascii="Arial" w:hAnsi="Arial" w:cs="Arial"/>
          <w:b/>
          <w:color w:val="000000" w:themeColor="text1"/>
        </w:rPr>
        <w:t>Homologación:</w:t>
      </w:r>
      <w:r w:rsidRPr="0027631D">
        <w:rPr>
          <w:rFonts w:ascii="Arial" w:hAnsi="Arial" w:cs="Arial"/>
          <w:color w:val="000000" w:themeColor="text1"/>
        </w:rPr>
        <w:t xml:space="preserve"> acto por el cual el Instituto reconoce oficialmente que las especificaciones de un producto, equipo, dispositivo o aparato destinado a telecomunicaciones o radiodifusión, satisface las normas o disposiciones técnicas aplicables.</w:t>
      </w:r>
    </w:p>
    <w:p w14:paraId="3CF35D54" w14:textId="77777777" w:rsidR="00FF5B8A" w:rsidRPr="0027631D" w:rsidRDefault="00FF5B8A" w:rsidP="00B23D4D">
      <w:pPr>
        <w:spacing w:after="0" w:line="23" w:lineRule="atLeast"/>
        <w:ind w:left="426"/>
        <w:contextualSpacing/>
        <w:jc w:val="both"/>
        <w:rPr>
          <w:rFonts w:ascii="Arial" w:hAnsi="Arial" w:cs="Arial"/>
          <w:color w:val="000000" w:themeColor="text1"/>
        </w:rPr>
      </w:pPr>
    </w:p>
    <w:p w14:paraId="5F504079" w14:textId="77777777" w:rsidR="00FF5B8A" w:rsidRPr="0027631D" w:rsidRDefault="00FF5B8A" w:rsidP="00B23D4D">
      <w:pPr>
        <w:spacing w:after="0" w:line="23" w:lineRule="atLeast"/>
        <w:ind w:left="426"/>
        <w:contextualSpacing/>
        <w:jc w:val="both"/>
        <w:rPr>
          <w:rFonts w:ascii="Arial" w:hAnsi="Arial" w:cs="Arial"/>
          <w:color w:val="000000" w:themeColor="text1"/>
        </w:rPr>
      </w:pPr>
      <w:r w:rsidRPr="0014174A">
        <w:rPr>
          <w:rFonts w:ascii="Arial" w:hAnsi="Arial" w:cs="Arial"/>
          <w:b/>
          <w:color w:val="000000" w:themeColor="text1"/>
        </w:rPr>
        <w:t>Intensidad de campo:</w:t>
      </w:r>
      <w:r w:rsidRPr="0014174A">
        <w:rPr>
          <w:rFonts w:ascii="Arial" w:hAnsi="Arial" w:cs="Arial"/>
          <w:color w:val="000000" w:themeColor="text1"/>
        </w:rPr>
        <w:t xml:space="preserve"> es la magnitud de un vector de campo en un punto determinado que representa la fuerza en una pequeña carga d</w:t>
      </w:r>
      <w:r w:rsidR="000A2A82" w:rsidRPr="0014174A">
        <w:rPr>
          <w:rFonts w:ascii="Arial" w:hAnsi="Arial" w:cs="Arial"/>
          <w:color w:val="000000" w:themeColor="text1"/>
        </w:rPr>
        <w:t>e prueba dividida por la carga.</w:t>
      </w:r>
    </w:p>
    <w:p w14:paraId="24C63D72" w14:textId="77777777" w:rsidR="00FF5B8A" w:rsidRPr="0027631D" w:rsidRDefault="00FF5B8A" w:rsidP="00B23D4D">
      <w:pPr>
        <w:spacing w:after="0" w:line="23" w:lineRule="atLeast"/>
        <w:ind w:left="426"/>
        <w:contextualSpacing/>
        <w:jc w:val="both"/>
        <w:rPr>
          <w:rFonts w:ascii="Arial" w:hAnsi="Arial" w:cs="Arial"/>
          <w:b/>
          <w:color w:val="000000" w:themeColor="text1"/>
        </w:rPr>
      </w:pPr>
    </w:p>
    <w:p w14:paraId="64300FEF" w14:textId="77777777" w:rsidR="00FF5B8A" w:rsidRPr="0027631D" w:rsidRDefault="00FF5B8A" w:rsidP="00B23D4D">
      <w:pPr>
        <w:spacing w:after="0" w:line="23" w:lineRule="atLeast"/>
        <w:ind w:left="426"/>
        <w:contextualSpacing/>
        <w:jc w:val="both"/>
        <w:rPr>
          <w:rFonts w:ascii="Arial" w:hAnsi="Arial" w:cs="Arial"/>
          <w:color w:val="000000" w:themeColor="text1"/>
        </w:rPr>
      </w:pPr>
      <w:r w:rsidRPr="0014174A">
        <w:rPr>
          <w:rFonts w:ascii="Arial" w:hAnsi="Arial" w:cs="Arial"/>
          <w:b/>
          <w:color w:val="000000" w:themeColor="text1"/>
        </w:rPr>
        <w:t xml:space="preserve">Interferencia perjudicial: </w:t>
      </w:r>
      <w:r w:rsidRPr="0014174A">
        <w:rPr>
          <w:rFonts w:ascii="Arial" w:hAnsi="Arial" w:cs="Arial"/>
          <w:color w:val="000000" w:themeColor="text1"/>
        </w:rPr>
        <w:t>efecto de una energía no deseada debida a una o varias emisiones, radiaciones, inducciones o sus combinaciones sobre la recepción en un sistema de telecomunicaciones o radiodifusión, que puede manifestarse como degradación de la calidad, falseamiento o pérdida de información, que compromete, interrumpe repetidamente o impide el funcionamiento de cualquier servicio de radiocomunicación.</w:t>
      </w:r>
    </w:p>
    <w:p w14:paraId="22E035A4" w14:textId="77777777" w:rsidR="00FF5B8A" w:rsidRPr="0027631D" w:rsidRDefault="00FF5B8A" w:rsidP="00B23D4D">
      <w:pPr>
        <w:spacing w:after="0" w:line="23" w:lineRule="atLeast"/>
        <w:ind w:left="426"/>
        <w:contextualSpacing/>
        <w:jc w:val="both"/>
        <w:rPr>
          <w:rFonts w:ascii="Arial" w:hAnsi="Arial" w:cs="Arial"/>
          <w:color w:val="000000" w:themeColor="text1"/>
        </w:rPr>
      </w:pPr>
    </w:p>
    <w:p w14:paraId="0E76AB0C" w14:textId="77777777" w:rsidR="00FF5B8A" w:rsidRPr="0027631D" w:rsidRDefault="00FF5B8A" w:rsidP="00B23D4D">
      <w:pPr>
        <w:spacing w:after="0" w:line="23" w:lineRule="atLeast"/>
        <w:ind w:left="426"/>
        <w:contextualSpacing/>
        <w:jc w:val="both"/>
        <w:rPr>
          <w:rFonts w:ascii="Arial" w:hAnsi="Arial" w:cs="Arial"/>
          <w:color w:val="000000" w:themeColor="text1"/>
        </w:rPr>
      </w:pPr>
      <w:r w:rsidRPr="0014174A">
        <w:rPr>
          <w:rFonts w:ascii="Arial" w:hAnsi="Arial" w:cs="Arial"/>
          <w:b/>
          <w:color w:val="000000" w:themeColor="text1"/>
        </w:rPr>
        <w:t>Modulación digital:</w:t>
      </w:r>
      <w:r w:rsidRPr="0014174A">
        <w:rPr>
          <w:rFonts w:ascii="Arial" w:hAnsi="Arial" w:cs="Arial"/>
          <w:color w:val="000000" w:themeColor="text1"/>
        </w:rPr>
        <w:t xml:space="preserve"> Proceso de incorporación de información a una onda de radio, en el cual la información a transmitir es de naturaleza digital.</w:t>
      </w:r>
    </w:p>
    <w:p w14:paraId="798CB65C" w14:textId="77777777" w:rsidR="00FF5B8A" w:rsidRPr="0027631D" w:rsidRDefault="00FF5B8A" w:rsidP="00B23D4D">
      <w:pPr>
        <w:spacing w:after="0" w:line="23" w:lineRule="atLeast"/>
        <w:ind w:left="426"/>
        <w:contextualSpacing/>
        <w:jc w:val="both"/>
        <w:rPr>
          <w:rFonts w:ascii="Arial" w:hAnsi="Arial" w:cs="Arial"/>
          <w:b/>
          <w:color w:val="000000" w:themeColor="text1"/>
        </w:rPr>
      </w:pPr>
    </w:p>
    <w:p w14:paraId="263CE0CF" w14:textId="77777777" w:rsidR="00FF5B8A" w:rsidRPr="0027631D" w:rsidRDefault="00FF5B8A" w:rsidP="00B23D4D">
      <w:pPr>
        <w:spacing w:after="0" w:line="23" w:lineRule="atLeast"/>
        <w:ind w:left="426"/>
        <w:contextualSpacing/>
        <w:jc w:val="both"/>
        <w:rPr>
          <w:rFonts w:ascii="Arial" w:hAnsi="Arial" w:cs="Arial"/>
          <w:color w:val="000000" w:themeColor="text1"/>
        </w:rPr>
      </w:pPr>
      <w:r w:rsidRPr="0014174A">
        <w:rPr>
          <w:rFonts w:ascii="Arial" w:hAnsi="Arial" w:cs="Arial"/>
          <w:b/>
          <w:color w:val="000000" w:themeColor="text1"/>
        </w:rPr>
        <w:t>Potencia de salida máxima:</w:t>
      </w:r>
      <w:r w:rsidRPr="0014174A">
        <w:rPr>
          <w:rFonts w:ascii="Arial" w:hAnsi="Arial" w:cs="Arial"/>
          <w:color w:val="000000" w:themeColor="text1"/>
        </w:rPr>
        <w:t xml:space="preserve"> potencia de transmisión total entregada a todas las antenas y elementos de antena promediada en todos los símbolos en el alfabeto de señalización cuando el transmisor está operando a su nivel</w:t>
      </w:r>
      <w:r w:rsidR="000A2A82" w:rsidRPr="0014174A">
        <w:rPr>
          <w:rFonts w:ascii="Arial" w:hAnsi="Arial" w:cs="Arial"/>
          <w:color w:val="000000" w:themeColor="text1"/>
        </w:rPr>
        <w:t xml:space="preserve"> máximo de control de potencia.</w:t>
      </w:r>
    </w:p>
    <w:p w14:paraId="08892292" w14:textId="77777777" w:rsidR="00FF5B8A" w:rsidRPr="0027631D" w:rsidRDefault="00FF5B8A" w:rsidP="00B23D4D">
      <w:pPr>
        <w:spacing w:after="0" w:line="23" w:lineRule="atLeast"/>
        <w:ind w:left="426"/>
        <w:contextualSpacing/>
        <w:jc w:val="both"/>
        <w:rPr>
          <w:rFonts w:ascii="Arial" w:hAnsi="Arial" w:cs="Arial"/>
          <w:b/>
          <w:color w:val="000000" w:themeColor="text1"/>
        </w:rPr>
      </w:pPr>
    </w:p>
    <w:p w14:paraId="0FFFE574" w14:textId="77777777" w:rsidR="00FF5B8A" w:rsidRPr="0027631D" w:rsidRDefault="00FF5B8A" w:rsidP="00B23D4D">
      <w:pPr>
        <w:spacing w:after="0" w:line="23" w:lineRule="atLeast"/>
        <w:ind w:left="426"/>
        <w:contextualSpacing/>
        <w:jc w:val="both"/>
        <w:rPr>
          <w:rFonts w:ascii="Arial" w:hAnsi="Arial" w:cs="Arial"/>
          <w:color w:val="000000" w:themeColor="text1"/>
        </w:rPr>
      </w:pPr>
      <w:r w:rsidRPr="0027631D">
        <w:rPr>
          <w:rFonts w:ascii="Arial" w:hAnsi="Arial" w:cs="Arial"/>
          <w:b/>
          <w:color w:val="000000" w:themeColor="text1"/>
        </w:rPr>
        <w:lastRenderedPageBreak/>
        <w:t xml:space="preserve">Potencia isótropa radiada equivalente (PIRE): </w:t>
      </w:r>
      <w:r w:rsidRPr="0027631D">
        <w:rPr>
          <w:rFonts w:ascii="Arial" w:hAnsi="Arial" w:cs="Arial"/>
          <w:color w:val="000000" w:themeColor="text1"/>
        </w:rPr>
        <w:t>producto de la potencia suministrada a la antena por su ganancia con relación a una antena isótropa en una dirección dad</w:t>
      </w:r>
      <w:r w:rsidR="000A2A82">
        <w:rPr>
          <w:rFonts w:ascii="Arial" w:hAnsi="Arial" w:cs="Arial"/>
          <w:color w:val="000000" w:themeColor="text1"/>
        </w:rPr>
        <w:t>a (ganancia isótropa absoluta).</w:t>
      </w:r>
    </w:p>
    <w:p w14:paraId="67123F45" w14:textId="77777777" w:rsidR="00FF5B8A" w:rsidRPr="0027631D" w:rsidRDefault="00FF5B8A" w:rsidP="00B23D4D">
      <w:pPr>
        <w:spacing w:after="0" w:line="23" w:lineRule="atLeast"/>
        <w:ind w:left="426"/>
        <w:contextualSpacing/>
        <w:jc w:val="both"/>
        <w:rPr>
          <w:rFonts w:ascii="Arial" w:hAnsi="Arial" w:cs="Arial"/>
          <w:color w:val="000000" w:themeColor="text1"/>
        </w:rPr>
      </w:pPr>
    </w:p>
    <w:p w14:paraId="421239BF" w14:textId="77777777" w:rsidR="00FF5B8A" w:rsidRPr="0027631D" w:rsidRDefault="00FF5B8A" w:rsidP="00B23D4D">
      <w:pPr>
        <w:spacing w:after="0" w:line="23" w:lineRule="atLeast"/>
        <w:ind w:left="426"/>
        <w:contextualSpacing/>
        <w:jc w:val="both"/>
        <w:rPr>
          <w:rFonts w:ascii="Arial" w:hAnsi="Arial" w:cs="Arial"/>
          <w:color w:val="000000" w:themeColor="text1"/>
        </w:rPr>
      </w:pPr>
      <w:r w:rsidRPr="0014174A">
        <w:rPr>
          <w:rFonts w:ascii="Arial" w:hAnsi="Arial" w:cs="Arial"/>
          <w:b/>
          <w:color w:val="000000" w:themeColor="text1"/>
        </w:rPr>
        <w:t xml:space="preserve">Potencia pico de salida: </w:t>
      </w:r>
      <w:r w:rsidRPr="0014174A">
        <w:rPr>
          <w:rFonts w:ascii="Arial" w:hAnsi="Arial" w:cs="Arial"/>
          <w:color w:val="000000" w:themeColor="text1"/>
        </w:rPr>
        <w:t>cantidad de energía máxima a la salida del transmisor en un instante de tiempo.</w:t>
      </w:r>
    </w:p>
    <w:p w14:paraId="503E1BA5" w14:textId="77777777" w:rsidR="00FF5B8A" w:rsidRPr="0027631D" w:rsidRDefault="00FF5B8A" w:rsidP="00B23D4D">
      <w:pPr>
        <w:spacing w:after="0" w:line="23" w:lineRule="atLeast"/>
        <w:ind w:left="426"/>
        <w:contextualSpacing/>
        <w:jc w:val="both"/>
        <w:rPr>
          <w:rFonts w:ascii="Arial" w:hAnsi="Arial" w:cs="Arial"/>
          <w:color w:val="000000" w:themeColor="text1"/>
        </w:rPr>
      </w:pPr>
    </w:p>
    <w:p w14:paraId="79B758D0" w14:textId="1DD047CF" w:rsidR="00FF5B8A" w:rsidRPr="0014174A" w:rsidRDefault="00FF5B8A" w:rsidP="00B23D4D">
      <w:pPr>
        <w:spacing w:after="0" w:line="23" w:lineRule="atLeast"/>
        <w:ind w:left="426"/>
        <w:contextualSpacing/>
        <w:jc w:val="both"/>
        <w:rPr>
          <w:rFonts w:ascii="Arial" w:hAnsi="Arial" w:cs="Arial"/>
          <w:color w:val="000000" w:themeColor="text1"/>
        </w:rPr>
      </w:pPr>
      <w:r w:rsidRPr="0014174A">
        <w:rPr>
          <w:rFonts w:ascii="Arial" w:hAnsi="Arial" w:cs="Arial"/>
          <w:b/>
          <w:color w:val="000000" w:themeColor="text1"/>
        </w:rPr>
        <w:t xml:space="preserve">Secuencia directa (DS): </w:t>
      </w:r>
      <w:r w:rsidRPr="0014174A">
        <w:rPr>
          <w:rFonts w:ascii="Arial" w:hAnsi="Arial" w:cs="Arial"/>
          <w:color w:val="000000" w:themeColor="text1"/>
        </w:rPr>
        <w:t xml:space="preserve">es un caso particular de modulación digital que consiste, en el transmisor, en la multiplicación de la señal de información por un código </w:t>
      </w:r>
      <w:r w:rsidR="00963AFD">
        <w:rPr>
          <w:rFonts w:ascii="Arial" w:hAnsi="Arial" w:cs="Arial"/>
          <w:color w:val="000000" w:themeColor="text1"/>
        </w:rPr>
        <w:t>de pseudo-ruido (</w:t>
      </w:r>
      <w:r w:rsidRPr="0014174A">
        <w:rPr>
          <w:rFonts w:ascii="Arial" w:hAnsi="Arial" w:cs="Arial"/>
          <w:color w:val="000000" w:themeColor="text1"/>
        </w:rPr>
        <w:t>PN</w:t>
      </w:r>
      <w:r w:rsidR="00963AFD">
        <w:rPr>
          <w:rFonts w:ascii="Arial" w:hAnsi="Arial" w:cs="Arial"/>
          <w:color w:val="000000" w:themeColor="text1"/>
        </w:rPr>
        <w:t>)</w:t>
      </w:r>
      <w:r w:rsidRPr="0014174A">
        <w:rPr>
          <w:rFonts w:ascii="Arial" w:hAnsi="Arial" w:cs="Arial"/>
          <w:color w:val="000000" w:themeColor="text1"/>
        </w:rPr>
        <w:t xml:space="preserve"> de alta velocidad, dando por resultado una señal codificada con una anchura de banda Gp veces mayor que la anchura de banda de la señal de información, donde Gp es el factor de dispersión o ganancia de</w:t>
      </w:r>
      <w:r w:rsidRPr="0027631D">
        <w:rPr>
          <w:rFonts w:ascii="Arial" w:hAnsi="Arial" w:cs="Arial"/>
          <w:color w:val="000000" w:themeColor="text1"/>
        </w:rPr>
        <w:t xml:space="preserve"> </w:t>
      </w:r>
      <w:r w:rsidRPr="0014174A">
        <w:rPr>
          <w:rFonts w:ascii="Arial" w:hAnsi="Arial" w:cs="Arial"/>
          <w:color w:val="000000" w:themeColor="text1"/>
        </w:rPr>
        <w:t>procesamiento y guarda relación con la velocidad del código PN. En el receptor, la señal recibida se multiplica nuevamente por el mismo código PN, en sincronía con el transmisor, para de esta forma recuperar la señal de información original.</w:t>
      </w:r>
    </w:p>
    <w:p w14:paraId="09D71588" w14:textId="77777777" w:rsidR="00FF5B8A" w:rsidRPr="0014174A" w:rsidRDefault="00FF5B8A" w:rsidP="00B23D4D">
      <w:pPr>
        <w:spacing w:after="0" w:line="23" w:lineRule="atLeast"/>
        <w:ind w:left="426"/>
        <w:contextualSpacing/>
        <w:jc w:val="both"/>
        <w:rPr>
          <w:rFonts w:ascii="Arial" w:hAnsi="Arial" w:cs="Arial"/>
          <w:color w:val="000000" w:themeColor="text1"/>
        </w:rPr>
      </w:pPr>
    </w:p>
    <w:p w14:paraId="1B61C086" w14:textId="77777777" w:rsidR="00FF5B8A" w:rsidRPr="0027631D" w:rsidRDefault="00FF5B8A" w:rsidP="00B23D4D">
      <w:pPr>
        <w:spacing w:after="0" w:line="23" w:lineRule="atLeast"/>
        <w:ind w:left="426"/>
        <w:contextualSpacing/>
        <w:jc w:val="both"/>
        <w:rPr>
          <w:rFonts w:ascii="Arial" w:hAnsi="Arial" w:cs="Arial"/>
          <w:color w:val="000000" w:themeColor="text1"/>
        </w:rPr>
      </w:pPr>
      <w:r w:rsidRPr="0014174A">
        <w:rPr>
          <w:rFonts w:ascii="Arial" w:hAnsi="Arial" w:cs="Arial"/>
          <w:b/>
          <w:color w:val="000000" w:themeColor="text1"/>
        </w:rPr>
        <w:t>Sensor de perturbación de campo:</w:t>
      </w:r>
      <w:r w:rsidRPr="0014174A">
        <w:rPr>
          <w:rFonts w:ascii="Arial" w:hAnsi="Arial" w:cs="Arial"/>
          <w:color w:val="000000" w:themeColor="text1"/>
        </w:rPr>
        <w:t xml:space="preserve"> dispositivo que establece un campo de radio frecuencia a su alrededor y detecta los cambios provenientes del movimiento, ya sea de personas o de objetos.</w:t>
      </w:r>
    </w:p>
    <w:p w14:paraId="10239E6A" w14:textId="77777777" w:rsidR="00FF5B8A" w:rsidRPr="0027631D" w:rsidRDefault="00FF5B8A" w:rsidP="00B23D4D">
      <w:pPr>
        <w:spacing w:after="0" w:line="23" w:lineRule="atLeast"/>
        <w:ind w:left="426"/>
        <w:contextualSpacing/>
        <w:jc w:val="both"/>
        <w:rPr>
          <w:rFonts w:ascii="Arial" w:hAnsi="Arial" w:cs="Arial"/>
          <w:color w:val="000000" w:themeColor="text1"/>
        </w:rPr>
      </w:pPr>
    </w:p>
    <w:p w14:paraId="4180F1CB" w14:textId="77777777" w:rsidR="00FF5B8A" w:rsidRPr="0014174A" w:rsidRDefault="00FF5B8A" w:rsidP="00B23D4D">
      <w:pPr>
        <w:spacing w:after="0" w:line="23" w:lineRule="atLeast"/>
        <w:ind w:left="426"/>
        <w:contextualSpacing/>
        <w:jc w:val="both"/>
        <w:rPr>
          <w:rFonts w:ascii="Arial" w:hAnsi="Arial" w:cs="Arial"/>
          <w:color w:val="000000" w:themeColor="text1"/>
        </w:rPr>
      </w:pPr>
      <w:r w:rsidRPr="0014174A">
        <w:rPr>
          <w:rFonts w:ascii="Arial" w:hAnsi="Arial" w:cs="Arial"/>
          <w:b/>
          <w:color w:val="000000" w:themeColor="text1"/>
        </w:rPr>
        <w:t>Sistema fijo punto a punto (PaP):</w:t>
      </w:r>
      <w:r w:rsidRPr="0014174A">
        <w:rPr>
          <w:rFonts w:ascii="Arial" w:hAnsi="Arial" w:cs="Arial"/>
          <w:color w:val="000000" w:themeColor="text1"/>
        </w:rPr>
        <w:t xml:space="preserve"> sistema de radiocomunicación de una o dos vías entre dos puntos geográficos determinados, mediante el que se transmite y recibe información de cualquier naturaleza.</w:t>
      </w:r>
    </w:p>
    <w:p w14:paraId="0AC8D5D0" w14:textId="77777777" w:rsidR="00FF5B8A" w:rsidRPr="0014174A" w:rsidRDefault="00FF5B8A" w:rsidP="00B23D4D">
      <w:pPr>
        <w:spacing w:after="0" w:line="23" w:lineRule="atLeast"/>
        <w:ind w:left="426"/>
        <w:contextualSpacing/>
        <w:jc w:val="both"/>
        <w:rPr>
          <w:rFonts w:ascii="Arial" w:hAnsi="Arial" w:cs="Arial"/>
          <w:color w:val="000000" w:themeColor="text1"/>
        </w:rPr>
      </w:pPr>
    </w:p>
    <w:p w14:paraId="55BF309A" w14:textId="77777777" w:rsidR="00FF5B8A" w:rsidRPr="0014174A" w:rsidRDefault="00FF5B8A" w:rsidP="00B23D4D">
      <w:pPr>
        <w:spacing w:after="0" w:line="23" w:lineRule="atLeast"/>
        <w:ind w:left="426"/>
        <w:contextualSpacing/>
        <w:jc w:val="both"/>
        <w:rPr>
          <w:rFonts w:ascii="Arial" w:hAnsi="Arial" w:cs="Arial"/>
          <w:color w:val="000000" w:themeColor="text1"/>
        </w:rPr>
      </w:pPr>
      <w:r w:rsidRPr="0014174A">
        <w:rPr>
          <w:rFonts w:ascii="Arial" w:hAnsi="Arial" w:cs="Arial"/>
          <w:b/>
          <w:color w:val="000000" w:themeColor="text1"/>
        </w:rPr>
        <w:t>Sistema punto a multipunto (PaM):</w:t>
      </w:r>
      <w:r w:rsidRPr="0014174A">
        <w:rPr>
          <w:rFonts w:ascii="Arial" w:hAnsi="Arial" w:cs="Arial"/>
          <w:color w:val="000000" w:themeColor="text1"/>
        </w:rPr>
        <w:t xml:space="preserve"> sistema de radiocomunicación de una o dos vías entre un único punto geográfico determinado y otros puntos geográficos determinados, mediante el que se transmite y recibe información de cualquier naturaleza.</w:t>
      </w:r>
    </w:p>
    <w:p w14:paraId="22B86BF3" w14:textId="77777777" w:rsidR="00FF5B8A" w:rsidRPr="0014174A" w:rsidRDefault="00FF5B8A" w:rsidP="00B23D4D">
      <w:pPr>
        <w:spacing w:after="0" w:line="23" w:lineRule="atLeast"/>
        <w:ind w:left="426"/>
        <w:contextualSpacing/>
        <w:jc w:val="both"/>
        <w:rPr>
          <w:rFonts w:ascii="Arial" w:hAnsi="Arial" w:cs="Arial"/>
          <w:color w:val="000000" w:themeColor="text1"/>
        </w:rPr>
      </w:pPr>
    </w:p>
    <w:p w14:paraId="18120140" w14:textId="77777777" w:rsidR="00FF5B8A" w:rsidRPr="0027631D" w:rsidRDefault="00FF5B8A" w:rsidP="00B23D4D">
      <w:pPr>
        <w:spacing w:after="0" w:line="23" w:lineRule="atLeast"/>
        <w:ind w:left="426"/>
        <w:contextualSpacing/>
        <w:jc w:val="both"/>
        <w:rPr>
          <w:rFonts w:ascii="Arial" w:hAnsi="Arial" w:cs="Arial"/>
          <w:b/>
          <w:color w:val="000000" w:themeColor="text1"/>
        </w:rPr>
      </w:pPr>
      <w:r w:rsidRPr="0014174A">
        <w:rPr>
          <w:rFonts w:ascii="Arial" w:hAnsi="Arial" w:cs="Arial"/>
          <w:b/>
          <w:color w:val="000000" w:themeColor="text1"/>
        </w:rPr>
        <w:t xml:space="preserve">Sistemas híbridos: </w:t>
      </w:r>
      <w:r w:rsidRPr="0014174A">
        <w:rPr>
          <w:rFonts w:ascii="Arial" w:hAnsi="Arial" w:cs="Arial"/>
          <w:color w:val="000000" w:themeColor="text1"/>
        </w:rPr>
        <w:t>son aquellos sistemas que emplean una combinación de técnicas de transmisión de espectro disperso por salto de frecuencia y técnicas de modulación digital.</w:t>
      </w:r>
    </w:p>
    <w:p w14:paraId="05C6C208" w14:textId="77777777" w:rsidR="00FF5B8A" w:rsidRPr="0027631D" w:rsidRDefault="00FF5B8A" w:rsidP="0027631D">
      <w:pPr>
        <w:spacing w:after="0" w:line="23" w:lineRule="atLeast"/>
        <w:contextualSpacing/>
        <w:jc w:val="both"/>
        <w:rPr>
          <w:rFonts w:ascii="Arial" w:hAnsi="Arial" w:cs="Arial"/>
          <w:color w:val="000000" w:themeColor="text1"/>
        </w:rPr>
      </w:pPr>
    </w:p>
    <w:p w14:paraId="350E4EDA" w14:textId="77777777" w:rsidR="00FF5B8A" w:rsidRPr="0027631D" w:rsidRDefault="00FF5B8A" w:rsidP="0027631D">
      <w:pPr>
        <w:spacing w:after="0" w:line="23" w:lineRule="atLeast"/>
        <w:contextualSpacing/>
        <w:jc w:val="both"/>
        <w:rPr>
          <w:rFonts w:ascii="Arial" w:hAnsi="Arial" w:cs="Arial"/>
          <w:color w:val="000000" w:themeColor="text1"/>
        </w:rPr>
      </w:pPr>
    </w:p>
    <w:p w14:paraId="00F3BF8A" w14:textId="77777777" w:rsidR="00FF5B8A" w:rsidRPr="00794179" w:rsidRDefault="00FF5B8A" w:rsidP="00794179">
      <w:pPr>
        <w:pStyle w:val="Ttulo5"/>
      </w:pPr>
      <w:r w:rsidRPr="00794179">
        <w:t xml:space="preserve">Condiciones técnicas de operación de la banda de frecuencias 2400 - 2483.5 MHz </w:t>
      </w:r>
    </w:p>
    <w:p w14:paraId="2207C968" w14:textId="77777777" w:rsidR="00FF5B8A" w:rsidRPr="0027631D" w:rsidRDefault="00FF5B8A" w:rsidP="0027631D">
      <w:pPr>
        <w:spacing w:after="0" w:line="23" w:lineRule="atLeast"/>
        <w:contextualSpacing/>
        <w:jc w:val="both"/>
        <w:rPr>
          <w:rFonts w:ascii="Arial" w:hAnsi="Arial" w:cs="Arial"/>
          <w:color w:val="000000" w:themeColor="text1"/>
        </w:rPr>
      </w:pPr>
    </w:p>
    <w:p w14:paraId="1FC65E12" w14:textId="77777777" w:rsidR="00FF5B8A" w:rsidRPr="00794179" w:rsidRDefault="00FF5B8A" w:rsidP="00794179">
      <w:pPr>
        <w:pStyle w:val="Ttulo6"/>
      </w:pPr>
      <w:r w:rsidRPr="00794179">
        <w:t>Sistemas que utilicen técnicas de transmisión de espectro disperso por salto de frecuencia</w:t>
      </w:r>
    </w:p>
    <w:p w14:paraId="18139BDD" w14:textId="77777777" w:rsidR="00FF5B8A" w:rsidRPr="0027631D" w:rsidRDefault="00FF5B8A" w:rsidP="0027631D">
      <w:pPr>
        <w:spacing w:after="0" w:line="23" w:lineRule="atLeast"/>
        <w:contextualSpacing/>
        <w:rPr>
          <w:rFonts w:ascii="Arial" w:hAnsi="Arial" w:cs="Arial"/>
          <w:color w:val="000000" w:themeColor="text1"/>
        </w:rPr>
      </w:pPr>
    </w:p>
    <w:tbl>
      <w:tblPr>
        <w:tblStyle w:val="Tablaconcuadrcula"/>
        <w:tblW w:w="5000" w:type="pct"/>
        <w:jc w:val="center"/>
        <w:shd w:val="clear" w:color="auto" w:fill="FFFFFF" w:themeFill="background1"/>
        <w:tblLook w:val="04A0" w:firstRow="1" w:lastRow="0" w:firstColumn="1" w:lastColumn="0" w:noHBand="0" w:noVBand="1"/>
      </w:tblPr>
      <w:tblGrid>
        <w:gridCol w:w="1377"/>
        <w:gridCol w:w="1007"/>
        <w:gridCol w:w="1513"/>
        <w:gridCol w:w="1205"/>
        <w:gridCol w:w="1237"/>
        <w:gridCol w:w="973"/>
        <w:gridCol w:w="1218"/>
        <w:gridCol w:w="864"/>
      </w:tblGrid>
      <w:tr w:rsidR="00FF5B8A" w:rsidRPr="0027631D" w14:paraId="51B4EBE4" w14:textId="77777777" w:rsidTr="00FB7222">
        <w:trPr>
          <w:cantSplit/>
          <w:trHeight w:val="319"/>
          <w:tblHeader/>
          <w:jc w:val="center"/>
        </w:trPr>
        <w:tc>
          <w:tcPr>
            <w:tcW w:w="5000" w:type="pct"/>
            <w:gridSpan w:val="8"/>
            <w:shd w:val="clear" w:color="auto" w:fill="D9D9D9" w:themeFill="background1" w:themeFillShade="D9"/>
            <w:vAlign w:val="center"/>
          </w:tcPr>
          <w:p w14:paraId="434F3BC6" w14:textId="77777777" w:rsidR="00FF5B8A" w:rsidRPr="0027631D" w:rsidRDefault="00FF5B8A" w:rsidP="0027631D">
            <w:pPr>
              <w:tabs>
                <w:tab w:val="left" w:pos="7525"/>
              </w:tabs>
              <w:spacing w:after="0" w:line="23" w:lineRule="atLeast"/>
              <w:contextualSpacing/>
              <w:jc w:val="center"/>
              <w:rPr>
                <w:rFonts w:ascii="Arial" w:hAnsi="Arial" w:cs="Arial"/>
                <w:b/>
                <w:color w:val="000000" w:themeColor="text1"/>
                <w:u w:val="single"/>
              </w:rPr>
            </w:pPr>
            <w:r w:rsidRPr="0027631D">
              <w:rPr>
                <w:rFonts w:ascii="Arial" w:hAnsi="Arial" w:cs="Arial"/>
                <w:b/>
                <w:color w:val="000000" w:themeColor="text1"/>
                <w:u w:val="single"/>
              </w:rPr>
              <w:t>Sistemas que utilicen técnicas de transmisión de espectro disperso por salto de frecuencia</w:t>
            </w:r>
          </w:p>
        </w:tc>
      </w:tr>
      <w:tr w:rsidR="00FF5B8A" w:rsidRPr="0027631D" w14:paraId="1FD87AB8" w14:textId="77777777" w:rsidTr="00FB7222">
        <w:tblPrEx>
          <w:jc w:val="right"/>
          <w:tblCellMar>
            <w:left w:w="28" w:type="dxa"/>
            <w:right w:w="28" w:type="dxa"/>
          </w:tblCellMar>
        </w:tblPrEx>
        <w:trPr>
          <w:cantSplit/>
          <w:trHeight w:val="931"/>
          <w:tblHeader/>
          <w:jc w:val="right"/>
        </w:trPr>
        <w:tc>
          <w:tcPr>
            <w:tcW w:w="654" w:type="pct"/>
            <w:shd w:val="clear" w:color="auto" w:fill="D9D9D9" w:themeFill="background1" w:themeFillShade="D9"/>
            <w:vAlign w:val="center"/>
          </w:tcPr>
          <w:p w14:paraId="24CA5A9A" w14:textId="77777777" w:rsidR="00FF5B8A" w:rsidRPr="0027631D" w:rsidRDefault="00FF5B8A" w:rsidP="0027631D">
            <w:pPr>
              <w:spacing w:after="0" w:line="23" w:lineRule="atLeast"/>
              <w:contextualSpacing/>
              <w:jc w:val="center"/>
              <w:rPr>
                <w:rFonts w:ascii="Arial" w:hAnsi="Arial" w:cs="Arial"/>
                <w:b/>
                <w:color w:val="000000" w:themeColor="text1"/>
                <w:lang w:val="es-ES" w:eastAsia="es-MX"/>
              </w:rPr>
            </w:pPr>
            <w:r w:rsidRPr="0027631D">
              <w:rPr>
                <w:rFonts w:ascii="Arial" w:hAnsi="Arial" w:cs="Arial"/>
                <w:b/>
                <w:color w:val="000000" w:themeColor="text1"/>
                <w:lang w:eastAsia="es-MX"/>
              </w:rPr>
              <w:t>Número de canales</w:t>
            </w:r>
          </w:p>
        </w:tc>
        <w:tc>
          <w:tcPr>
            <w:tcW w:w="557" w:type="pct"/>
            <w:shd w:val="clear" w:color="auto" w:fill="D9D9D9" w:themeFill="background1" w:themeFillShade="D9"/>
            <w:vAlign w:val="center"/>
          </w:tcPr>
          <w:p w14:paraId="02029872" w14:textId="77777777" w:rsidR="00FF5B8A" w:rsidRPr="0027631D" w:rsidRDefault="00FF5B8A" w:rsidP="0027631D">
            <w:pPr>
              <w:spacing w:after="0" w:line="23" w:lineRule="atLeast"/>
              <w:contextualSpacing/>
              <w:jc w:val="center"/>
              <w:rPr>
                <w:rFonts w:ascii="Arial" w:hAnsi="Arial" w:cs="Arial"/>
                <w:b/>
                <w:color w:val="000000" w:themeColor="text1"/>
                <w:lang w:val="es-ES" w:eastAsia="es-MX"/>
              </w:rPr>
            </w:pPr>
            <w:r w:rsidRPr="0027631D">
              <w:rPr>
                <w:rFonts w:ascii="Arial" w:hAnsi="Arial" w:cs="Arial"/>
                <w:b/>
                <w:color w:val="000000" w:themeColor="text1"/>
                <w:lang w:eastAsia="es-MX"/>
              </w:rPr>
              <w:t>Ancho de banda del canal</w:t>
            </w:r>
          </w:p>
        </w:tc>
        <w:tc>
          <w:tcPr>
            <w:tcW w:w="826" w:type="pct"/>
            <w:shd w:val="clear" w:color="auto" w:fill="D9D9D9" w:themeFill="background1" w:themeFillShade="D9"/>
            <w:vAlign w:val="center"/>
          </w:tcPr>
          <w:p w14:paraId="389F005E" w14:textId="77777777" w:rsidR="00FF5B8A" w:rsidRPr="0027631D" w:rsidRDefault="00FF5B8A" w:rsidP="0027631D">
            <w:pPr>
              <w:spacing w:after="0" w:line="23" w:lineRule="atLeast"/>
              <w:contextualSpacing/>
              <w:jc w:val="center"/>
              <w:rPr>
                <w:rFonts w:ascii="Arial" w:hAnsi="Arial" w:cs="Arial"/>
                <w:b/>
                <w:color w:val="000000" w:themeColor="text1"/>
                <w:lang w:val="es-ES" w:eastAsia="es-MX"/>
              </w:rPr>
            </w:pPr>
            <w:r w:rsidRPr="0027631D">
              <w:rPr>
                <w:rFonts w:ascii="Arial" w:hAnsi="Arial" w:cs="Arial"/>
                <w:b/>
                <w:color w:val="000000" w:themeColor="text1"/>
                <w:lang w:eastAsia="es-MX"/>
              </w:rPr>
              <w:t>Separación entre frecuencias portadoras de los canales</w:t>
            </w:r>
          </w:p>
        </w:tc>
        <w:tc>
          <w:tcPr>
            <w:tcW w:w="662" w:type="pct"/>
            <w:shd w:val="clear" w:color="auto" w:fill="D9D9D9" w:themeFill="background1" w:themeFillShade="D9"/>
            <w:vAlign w:val="center"/>
          </w:tcPr>
          <w:p w14:paraId="46DDDD68" w14:textId="77777777" w:rsidR="00FF5B8A" w:rsidRPr="0027631D" w:rsidRDefault="00FF5B8A" w:rsidP="0027631D">
            <w:pPr>
              <w:spacing w:after="0" w:line="23" w:lineRule="atLeast"/>
              <w:contextualSpacing/>
              <w:jc w:val="center"/>
              <w:rPr>
                <w:rFonts w:ascii="Arial" w:hAnsi="Arial" w:cs="Arial"/>
                <w:b/>
                <w:color w:val="000000" w:themeColor="text1"/>
                <w:lang w:val="es-ES" w:eastAsia="es-MX"/>
              </w:rPr>
            </w:pPr>
            <w:r w:rsidRPr="0027631D">
              <w:rPr>
                <w:rFonts w:ascii="Arial" w:hAnsi="Arial" w:cs="Arial"/>
                <w:b/>
                <w:color w:val="000000" w:themeColor="text1"/>
                <w:lang w:eastAsia="es-MX"/>
              </w:rPr>
              <w:t>Tiempo promedio de ocupación en cualquier canal</w:t>
            </w:r>
          </w:p>
        </w:tc>
        <w:tc>
          <w:tcPr>
            <w:tcW w:w="679" w:type="pct"/>
            <w:shd w:val="clear" w:color="auto" w:fill="D9D9D9" w:themeFill="background1" w:themeFillShade="D9"/>
            <w:vAlign w:val="center"/>
          </w:tcPr>
          <w:p w14:paraId="4883C5A8" w14:textId="77777777" w:rsidR="00FF5B8A" w:rsidRPr="0027631D" w:rsidRDefault="00FF5B8A" w:rsidP="0027631D">
            <w:pPr>
              <w:spacing w:after="0" w:line="23" w:lineRule="atLeast"/>
              <w:contextualSpacing/>
              <w:jc w:val="center"/>
              <w:rPr>
                <w:rFonts w:ascii="Arial" w:hAnsi="Arial" w:cs="Arial"/>
                <w:b/>
                <w:color w:val="000000" w:themeColor="text1"/>
                <w:lang w:val="es-ES" w:eastAsia="es-MX"/>
              </w:rPr>
            </w:pPr>
            <w:r w:rsidRPr="0027631D">
              <w:rPr>
                <w:rFonts w:ascii="Arial" w:hAnsi="Arial" w:cs="Arial"/>
                <w:b/>
                <w:color w:val="000000" w:themeColor="text1"/>
                <w:lang w:eastAsia="es-MX"/>
              </w:rPr>
              <w:t>Periodo de tiempo de ocupación del conjunto de canales</w:t>
            </w:r>
          </w:p>
        </w:tc>
        <w:tc>
          <w:tcPr>
            <w:tcW w:w="529" w:type="pct"/>
            <w:shd w:val="clear" w:color="auto" w:fill="D9D9D9" w:themeFill="background1" w:themeFillShade="D9"/>
            <w:vAlign w:val="center"/>
          </w:tcPr>
          <w:p w14:paraId="0242A6EF" w14:textId="77777777" w:rsidR="00FF5B8A" w:rsidRPr="0027631D" w:rsidRDefault="00FF5B8A" w:rsidP="0027631D">
            <w:pPr>
              <w:spacing w:after="0" w:line="23" w:lineRule="atLeast"/>
              <w:contextualSpacing/>
              <w:jc w:val="center"/>
              <w:rPr>
                <w:rFonts w:ascii="Arial" w:hAnsi="Arial" w:cs="Arial"/>
                <w:b/>
                <w:color w:val="000000" w:themeColor="text1"/>
                <w:lang w:val="es-ES" w:eastAsia="es-MX"/>
              </w:rPr>
            </w:pPr>
            <w:r w:rsidRPr="0027631D">
              <w:rPr>
                <w:rFonts w:ascii="Arial" w:hAnsi="Arial" w:cs="Arial"/>
                <w:b/>
                <w:color w:val="000000" w:themeColor="text1"/>
                <w:lang w:eastAsia="es-MX"/>
              </w:rPr>
              <w:t>Potencia pico de salida máxima</w:t>
            </w:r>
          </w:p>
        </w:tc>
        <w:tc>
          <w:tcPr>
            <w:tcW w:w="604" w:type="pct"/>
            <w:shd w:val="clear" w:color="auto" w:fill="D9D9D9" w:themeFill="background1" w:themeFillShade="D9"/>
            <w:vAlign w:val="center"/>
          </w:tcPr>
          <w:p w14:paraId="520ADDB0" w14:textId="77777777" w:rsidR="00FF5B8A" w:rsidRPr="0027631D" w:rsidRDefault="00FF5B8A" w:rsidP="00D62E72">
            <w:pPr>
              <w:spacing w:after="0" w:line="23" w:lineRule="atLeast"/>
              <w:contextualSpacing/>
              <w:jc w:val="center"/>
              <w:rPr>
                <w:rFonts w:ascii="Arial" w:hAnsi="Arial" w:cs="Arial"/>
                <w:b/>
                <w:color w:val="000000" w:themeColor="text1"/>
                <w:lang w:val="es-ES" w:eastAsia="es-MX"/>
              </w:rPr>
            </w:pPr>
            <w:r w:rsidRPr="0027631D">
              <w:rPr>
                <w:rFonts w:ascii="Arial" w:hAnsi="Arial" w:cs="Arial"/>
                <w:b/>
                <w:color w:val="000000" w:themeColor="text1"/>
                <w:lang w:eastAsia="es-MX"/>
              </w:rPr>
              <w:t>Ganancia de la antena direccional</w:t>
            </w:r>
          </w:p>
        </w:tc>
        <w:tc>
          <w:tcPr>
            <w:tcW w:w="491" w:type="pct"/>
            <w:shd w:val="clear" w:color="auto" w:fill="D9D9D9" w:themeFill="background1" w:themeFillShade="D9"/>
            <w:vAlign w:val="center"/>
          </w:tcPr>
          <w:p w14:paraId="05E791FE" w14:textId="77777777" w:rsidR="00FF5B8A" w:rsidRPr="0027631D" w:rsidRDefault="00FF5B8A" w:rsidP="0027631D">
            <w:pPr>
              <w:spacing w:after="0" w:line="23" w:lineRule="atLeast"/>
              <w:contextualSpacing/>
              <w:jc w:val="center"/>
              <w:rPr>
                <w:rFonts w:ascii="Arial" w:hAnsi="Arial" w:cs="Arial"/>
                <w:b/>
                <w:color w:val="000000" w:themeColor="text1"/>
                <w:lang w:eastAsia="es-MX"/>
              </w:rPr>
            </w:pPr>
            <w:r w:rsidRPr="0027631D">
              <w:rPr>
                <w:rFonts w:ascii="Arial" w:hAnsi="Arial" w:cs="Arial"/>
                <w:b/>
                <w:color w:val="000000" w:themeColor="text1"/>
                <w:lang w:eastAsia="es-MX"/>
              </w:rPr>
              <w:t>PIRE</w:t>
            </w:r>
          </w:p>
        </w:tc>
      </w:tr>
      <w:tr w:rsidR="00FF5B8A" w:rsidRPr="0027631D" w14:paraId="47B1DE4C" w14:textId="77777777" w:rsidTr="004E082F">
        <w:tblPrEx>
          <w:jc w:val="right"/>
          <w:tblCellMar>
            <w:left w:w="28" w:type="dxa"/>
            <w:right w:w="28" w:type="dxa"/>
          </w:tblCellMar>
        </w:tblPrEx>
        <w:trPr>
          <w:cantSplit/>
          <w:trHeight w:val="552"/>
          <w:jc w:val="right"/>
        </w:trPr>
        <w:tc>
          <w:tcPr>
            <w:tcW w:w="654" w:type="pct"/>
            <w:shd w:val="clear" w:color="auto" w:fill="FFFFFF" w:themeFill="background1"/>
            <w:vAlign w:val="center"/>
          </w:tcPr>
          <w:p w14:paraId="4EE89639"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color w:val="000000" w:themeColor="text1"/>
              </w:rPr>
              <w:t>≥ 75, no superpuestos</w:t>
            </w:r>
          </w:p>
        </w:tc>
        <w:tc>
          <w:tcPr>
            <w:tcW w:w="557" w:type="pct"/>
            <w:shd w:val="clear" w:color="auto" w:fill="FFFFFF" w:themeFill="background1"/>
            <w:vAlign w:val="center"/>
          </w:tcPr>
          <w:p w14:paraId="4BD7D715"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color w:val="000000" w:themeColor="text1"/>
              </w:rPr>
              <w:t>a los 20 dB del ancho de banda del canal</w:t>
            </w:r>
          </w:p>
        </w:tc>
        <w:tc>
          <w:tcPr>
            <w:tcW w:w="826" w:type="pct"/>
            <w:shd w:val="clear" w:color="auto" w:fill="FFFFFF" w:themeFill="background1"/>
            <w:vAlign w:val="center"/>
          </w:tcPr>
          <w:p w14:paraId="32631A52"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color w:val="000000" w:themeColor="text1"/>
              </w:rPr>
              <w:t>25 kHz o a los 20 dB del ancho de banda del canal</w:t>
            </w:r>
          </w:p>
        </w:tc>
        <w:tc>
          <w:tcPr>
            <w:tcW w:w="662" w:type="pct"/>
            <w:shd w:val="clear" w:color="auto" w:fill="FFFFFF" w:themeFill="background1"/>
            <w:vAlign w:val="center"/>
          </w:tcPr>
          <w:p w14:paraId="1EF57F87"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color w:val="000000" w:themeColor="text1"/>
                <w:lang w:val="es-ES"/>
              </w:rPr>
              <w:t>≤ 0.4 s</w:t>
            </w:r>
          </w:p>
        </w:tc>
        <w:tc>
          <w:tcPr>
            <w:tcW w:w="679" w:type="pct"/>
            <w:shd w:val="clear" w:color="auto" w:fill="FFFFFF" w:themeFill="background1"/>
            <w:vAlign w:val="center"/>
          </w:tcPr>
          <w:p w14:paraId="4B2A1950"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color w:val="000000" w:themeColor="text1"/>
                <w:lang w:val="es-ES"/>
              </w:rPr>
              <w:t>(0.4 s) por el número de canales</w:t>
            </w:r>
          </w:p>
        </w:tc>
        <w:tc>
          <w:tcPr>
            <w:tcW w:w="529" w:type="pct"/>
            <w:shd w:val="clear" w:color="auto" w:fill="FFFFFF" w:themeFill="background1"/>
            <w:vAlign w:val="center"/>
          </w:tcPr>
          <w:p w14:paraId="2919DF8A"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 xml:space="preserve">1 W </w:t>
            </w:r>
          </w:p>
          <w:p w14:paraId="60A183ED"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color w:val="000000" w:themeColor="text1"/>
              </w:rPr>
              <w:t>(30 dBm)</w:t>
            </w:r>
          </w:p>
        </w:tc>
        <w:tc>
          <w:tcPr>
            <w:tcW w:w="604" w:type="pct"/>
            <w:shd w:val="clear" w:color="auto" w:fill="FFFFFF" w:themeFill="background1"/>
            <w:vAlign w:val="center"/>
          </w:tcPr>
          <w:p w14:paraId="2F4F1049"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color w:val="000000" w:themeColor="text1"/>
              </w:rPr>
              <w:t>≤ 6 dBi</w:t>
            </w:r>
          </w:p>
        </w:tc>
        <w:tc>
          <w:tcPr>
            <w:tcW w:w="491" w:type="pct"/>
            <w:shd w:val="clear" w:color="auto" w:fill="FFFFFF" w:themeFill="background1"/>
            <w:vAlign w:val="center"/>
          </w:tcPr>
          <w:p w14:paraId="07309DA9"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 xml:space="preserve">≤ 4 W </w:t>
            </w:r>
          </w:p>
          <w:p w14:paraId="6F1D0767"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(36 dBm)</w:t>
            </w:r>
          </w:p>
        </w:tc>
      </w:tr>
      <w:tr w:rsidR="00FF5B8A" w:rsidRPr="0027631D" w14:paraId="16BCB06A" w14:textId="77777777" w:rsidTr="004E082F">
        <w:tblPrEx>
          <w:jc w:val="right"/>
          <w:tblCellMar>
            <w:left w:w="28" w:type="dxa"/>
            <w:right w:w="28" w:type="dxa"/>
          </w:tblCellMar>
        </w:tblPrEx>
        <w:trPr>
          <w:cantSplit/>
          <w:trHeight w:val="265"/>
          <w:jc w:val="right"/>
        </w:trPr>
        <w:tc>
          <w:tcPr>
            <w:tcW w:w="654" w:type="pct"/>
            <w:shd w:val="clear" w:color="auto" w:fill="FFFFFF" w:themeFill="background1"/>
            <w:vAlign w:val="center"/>
          </w:tcPr>
          <w:p w14:paraId="0DA9E866"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color w:val="000000" w:themeColor="text1"/>
              </w:rPr>
              <w:lastRenderedPageBreak/>
              <w:t>≥ 15</w:t>
            </w:r>
          </w:p>
        </w:tc>
        <w:tc>
          <w:tcPr>
            <w:tcW w:w="557" w:type="pct"/>
            <w:shd w:val="clear" w:color="auto" w:fill="FFFFFF" w:themeFill="background1"/>
            <w:vAlign w:val="center"/>
          </w:tcPr>
          <w:p w14:paraId="4A453BEA"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color w:val="000000" w:themeColor="text1"/>
              </w:rPr>
              <w:t>a 2/3 de los 20 dB del ancho de banda del canal</w:t>
            </w:r>
          </w:p>
        </w:tc>
        <w:tc>
          <w:tcPr>
            <w:tcW w:w="826" w:type="pct"/>
            <w:shd w:val="clear" w:color="auto" w:fill="FFFFFF" w:themeFill="background1"/>
            <w:vAlign w:val="center"/>
          </w:tcPr>
          <w:p w14:paraId="5D1855F3"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color w:val="000000" w:themeColor="text1"/>
              </w:rPr>
              <w:t>25 kHz o a 2/3 de los 20 dB del ancho de banda del canal</w:t>
            </w:r>
          </w:p>
        </w:tc>
        <w:tc>
          <w:tcPr>
            <w:tcW w:w="662" w:type="pct"/>
            <w:shd w:val="clear" w:color="auto" w:fill="FFFFFF" w:themeFill="background1"/>
            <w:vAlign w:val="center"/>
          </w:tcPr>
          <w:p w14:paraId="09A6323C"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color w:val="000000" w:themeColor="text1"/>
                <w:lang w:val="es-ES"/>
              </w:rPr>
              <w:t>≤ 0.4 s</w:t>
            </w:r>
          </w:p>
        </w:tc>
        <w:tc>
          <w:tcPr>
            <w:tcW w:w="679" w:type="pct"/>
            <w:shd w:val="clear" w:color="auto" w:fill="FFFFFF" w:themeFill="background1"/>
            <w:vAlign w:val="center"/>
          </w:tcPr>
          <w:p w14:paraId="47E1CAF0"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color w:val="000000" w:themeColor="text1"/>
                <w:lang w:val="es-ES"/>
              </w:rPr>
              <w:t>(0.4 s) por el número de canales</w:t>
            </w:r>
          </w:p>
        </w:tc>
        <w:tc>
          <w:tcPr>
            <w:tcW w:w="529" w:type="pct"/>
            <w:shd w:val="clear" w:color="auto" w:fill="FFFFFF" w:themeFill="background1"/>
            <w:vAlign w:val="center"/>
          </w:tcPr>
          <w:p w14:paraId="3C333A4C" w14:textId="77777777" w:rsidR="00FF5B8A" w:rsidRPr="0027631D" w:rsidRDefault="00FF5B8A" w:rsidP="0027631D">
            <w:pPr>
              <w:spacing w:after="0" w:line="23" w:lineRule="atLeast"/>
              <w:contextualSpacing/>
              <w:jc w:val="center"/>
              <w:rPr>
                <w:rFonts w:ascii="Arial" w:hAnsi="Arial" w:cs="Arial"/>
                <w:color w:val="000000" w:themeColor="text1"/>
                <w:lang w:eastAsia="es-MX"/>
              </w:rPr>
            </w:pPr>
            <w:r w:rsidRPr="0027631D">
              <w:rPr>
                <w:rFonts w:ascii="Arial" w:hAnsi="Arial" w:cs="Arial"/>
                <w:color w:val="000000" w:themeColor="text1"/>
                <w:lang w:eastAsia="es-MX"/>
              </w:rPr>
              <w:t xml:space="preserve">0.125 W </w:t>
            </w:r>
          </w:p>
          <w:p w14:paraId="145038AC"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color w:val="000000" w:themeColor="text1"/>
                <w:lang w:eastAsia="es-MX"/>
              </w:rPr>
              <w:t>(21 dBm)</w:t>
            </w:r>
          </w:p>
        </w:tc>
        <w:tc>
          <w:tcPr>
            <w:tcW w:w="604" w:type="pct"/>
            <w:shd w:val="clear" w:color="auto" w:fill="FFFFFF" w:themeFill="background1"/>
            <w:vAlign w:val="center"/>
          </w:tcPr>
          <w:p w14:paraId="649AE7C3"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color w:val="000000" w:themeColor="text1"/>
                <w:lang w:eastAsia="es-MX"/>
              </w:rPr>
              <w:t>≤ 6 dBi</w:t>
            </w:r>
          </w:p>
        </w:tc>
        <w:tc>
          <w:tcPr>
            <w:tcW w:w="491" w:type="pct"/>
            <w:shd w:val="clear" w:color="auto" w:fill="FFFFFF" w:themeFill="background1"/>
            <w:vAlign w:val="center"/>
          </w:tcPr>
          <w:p w14:paraId="25BA1668"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 xml:space="preserve">≤ 0.5 W </w:t>
            </w:r>
          </w:p>
          <w:p w14:paraId="6EFA6334"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color w:val="000000" w:themeColor="text1"/>
              </w:rPr>
              <w:t>(27 dBm)</w:t>
            </w:r>
          </w:p>
        </w:tc>
      </w:tr>
    </w:tbl>
    <w:p w14:paraId="5FC882FC" w14:textId="374C24E8" w:rsidR="00FF5B8A" w:rsidRPr="0027631D" w:rsidRDefault="00FF5B8A" w:rsidP="0027631D">
      <w:pPr>
        <w:pStyle w:val="Descripcin"/>
        <w:contextualSpacing/>
        <w:rPr>
          <w:color w:val="000000" w:themeColor="text1"/>
          <w:sz w:val="22"/>
          <w:szCs w:val="22"/>
          <w:lang w:val="es-ES" w:eastAsia="es-MX"/>
        </w:rPr>
      </w:pPr>
      <w:bookmarkStart w:id="376" w:name="_Ref45453167"/>
      <w:bookmarkStart w:id="377" w:name="_Toc45452842"/>
      <w:bookmarkStart w:id="378" w:name="_Toc45452951"/>
      <w:bookmarkStart w:id="379" w:name="_Toc44946891"/>
      <w:r w:rsidRPr="0027631D">
        <w:rPr>
          <w:color w:val="000000" w:themeColor="text1"/>
          <w:sz w:val="22"/>
          <w:szCs w:val="22"/>
        </w:rPr>
        <w:t xml:space="preserve">Tabla </w:t>
      </w:r>
      <w:r w:rsidR="00733738">
        <w:rPr>
          <w:color w:val="000000" w:themeColor="text1"/>
          <w:sz w:val="22"/>
          <w:szCs w:val="22"/>
        </w:rPr>
        <w:t>1</w:t>
      </w:r>
      <w:r w:rsidRPr="0027631D">
        <w:rPr>
          <w:color w:val="000000" w:themeColor="text1"/>
          <w:sz w:val="22"/>
          <w:szCs w:val="22"/>
        </w:rPr>
        <w:t>.</w:t>
      </w:r>
      <w:bookmarkEnd w:id="376"/>
      <w:r w:rsidRPr="0027631D">
        <w:rPr>
          <w:color w:val="000000" w:themeColor="text1"/>
          <w:sz w:val="22"/>
          <w:szCs w:val="22"/>
          <w:lang w:val="es-ES" w:eastAsia="es-MX"/>
        </w:rPr>
        <w:t xml:space="preserve"> Condiciones técnicas de operación para los sistemas </w:t>
      </w:r>
      <w:r w:rsidRPr="0027631D">
        <w:rPr>
          <w:color w:val="000000" w:themeColor="text1"/>
          <w:sz w:val="22"/>
          <w:szCs w:val="22"/>
          <w:lang w:eastAsia="es-MX"/>
        </w:rPr>
        <w:t>que utilicen técnicas de transmisión de espectro disperso por salto de frecuencia en la banda 2400-2483.5 MHz</w:t>
      </w:r>
      <w:bookmarkEnd w:id="377"/>
      <w:bookmarkEnd w:id="378"/>
    </w:p>
    <w:p w14:paraId="2A55EB65" w14:textId="77777777" w:rsidR="00FF5B8A" w:rsidRPr="0027631D" w:rsidRDefault="00FF5B8A" w:rsidP="0027631D">
      <w:pPr>
        <w:spacing w:after="0" w:line="23" w:lineRule="atLeast"/>
        <w:contextualSpacing/>
        <w:rPr>
          <w:rFonts w:ascii="Arial" w:hAnsi="Arial" w:cs="Arial"/>
          <w:color w:val="000000" w:themeColor="text1"/>
        </w:rPr>
      </w:pPr>
    </w:p>
    <w:p w14:paraId="3D34401B" w14:textId="77777777" w:rsidR="00FF5B8A" w:rsidRPr="0027631D" w:rsidRDefault="00FF5B8A" w:rsidP="0027631D">
      <w:pPr>
        <w:spacing w:after="0" w:line="23" w:lineRule="atLeast"/>
        <w:contextualSpacing/>
        <w:jc w:val="both"/>
        <w:rPr>
          <w:rFonts w:ascii="Arial" w:hAnsi="Arial" w:cs="Arial"/>
          <w:color w:val="000000" w:themeColor="text1"/>
        </w:rPr>
      </w:pPr>
      <w:r w:rsidRPr="0027631D">
        <w:rPr>
          <w:rFonts w:ascii="Arial" w:hAnsi="Arial" w:cs="Arial"/>
          <w:color w:val="000000" w:themeColor="text1"/>
        </w:rPr>
        <w:t xml:space="preserve">Adicionalmente, los sistemas que utilizan técnicas de transmisión de espectro disperso por salto de frecuencia deberán cumplir con las condiciones siguientes: </w:t>
      </w:r>
    </w:p>
    <w:p w14:paraId="188C316A" w14:textId="77777777" w:rsidR="00FF5B8A" w:rsidRPr="0027631D" w:rsidRDefault="00FF5B8A" w:rsidP="0027631D">
      <w:pPr>
        <w:spacing w:after="0" w:line="23" w:lineRule="atLeast"/>
        <w:ind w:left="567" w:hanging="283"/>
        <w:contextualSpacing/>
        <w:rPr>
          <w:rFonts w:ascii="Arial" w:hAnsi="Arial" w:cs="Arial"/>
          <w:color w:val="000000" w:themeColor="text1"/>
        </w:rPr>
      </w:pPr>
    </w:p>
    <w:p w14:paraId="55506EAC" w14:textId="5A46A98B" w:rsidR="00FF5B8A" w:rsidRPr="0027631D" w:rsidRDefault="00FF5B8A" w:rsidP="00E36991">
      <w:pPr>
        <w:numPr>
          <w:ilvl w:val="0"/>
          <w:numId w:val="12"/>
        </w:numPr>
        <w:spacing w:after="0" w:line="23" w:lineRule="atLeast"/>
        <w:ind w:left="567" w:hanging="283"/>
        <w:contextualSpacing/>
        <w:jc w:val="both"/>
        <w:rPr>
          <w:rFonts w:ascii="Arial" w:hAnsi="Arial" w:cs="Arial"/>
          <w:color w:val="000000" w:themeColor="text1"/>
        </w:rPr>
      </w:pPr>
      <w:r w:rsidRPr="0027631D">
        <w:rPr>
          <w:rFonts w:ascii="Arial" w:hAnsi="Arial" w:cs="Arial"/>
          <w:color w:val="000000" w:themeColor="text1"/>
        </w:rPr>
        <w:t>Los sistemas que utilizan técnicas de transmisión de espectro disperso por salto de frecuencia no están obligados a emplear todos los canales de salto disponibles durante cada transmisión. Sin embargo, el sistema, que consiste tanto en el transmisor como en el receptor, debe estar diseñado para cumplir con todas las condiciones establecidas en est</w:t>
      </w:r>
      <w:r w:rsidR="00EC2332">
        <w:rPr>
          <w:rFonts w:ascii="Arial" w:hAnsi="Arial" w:cs="Arial"/>
          <w:color w:val="000000" w:themeColor="text1"/>
        </w:rPr>
        <w:t>e</w:t>
      </w:r>
      <w:r w:rsidRPr="0027631D">
        <w:rPr>
          <w:rFonts w:ascii="Arial" w:hAnsi="Arial" w:cs="Arial"/>
          <w:color w:val="000000" w:themeColor="text1"/>
        </w:rPr>
        <w:t xml:space="preserve"> </w:t>
      </w:r>
      <w:r w:rsidR="00DC26FF">
        <w:rPr>
          <w:rFonts w:ascii="Arial" w:hAnsi="Arial" w:cs="Arial"/>
          <w:color w:val="000000" w:themeColor="text1"/>
        </w:rPr>
        <w:t>Anexo Único</w:t>
      </w:r>
      <w:r w:rsidR="00DC26FF" w:rsidRPr="0027631D">
        <w:rPr>
          <w:rFonts w:ascii="Arial" w:hAnsi="Arial" w:cs="Arial"/>
          <w:color w:val="000000" w:themeColor="text1"/>
        </w:rPr>
        <w:t xml:space="preserve"> </w:t>
      </w:r>
      <w:r w:rsidRPr="0027631D">
        <w:rPr>
          <w:rFonts w:ascii="Arial" w:hAnsi="Arial" w:cs="Arial"/>
          <w:color w:val="000000" w:themeColor="text1"/>
        </w:rPr>
        <w:t xml:space="preserve">cuando el transmisor emita un flujo continuo de datos o información. Además, un sistema que emplee ráfagas cortas de transmisión debe cumplir con la definición de un sistema de salto de frecuencia y deberá distribuir sus transmisiones sobre el número mínimo de canales de salto especificados también en </w:t>
      </w:r>
      <w:r w:rsidR="00DC26FF">
        <w:rPr>
          <w:rFonts w:ascii="Arial" w:hAnsi="Arial" w:cs="Arial"/>
          <w:color w:val="000000" w:themeColor="text1"/>
        </w:rPr>
        <w:t>este Anexo Único</w:t>
      </w:r>
      <w:r w:rsidRPr="0027631D">
        <w:rPr>
          <w:rFonts w:ascii="Arial" w:hAnsi="Arial" w:cs="Arial"/>
          <w:color w:val="000000" w:themeColor="text1"/>
        </w:rPr>
        <w:t>;</w:t>
      </w:r>
    </w:p>
    <w:p w14:paraId="09B29B0C" w14:textId="77777777" w:rsidR="00FF5B8A" w:rsidRPr="0027631D" w:rsidRDefault="00FF5B8A" w:rsidP="0027631D">
      <w:pPr>
        <w:spacing w:after="0" w:line="23" w:lineRule="atLeast"/>
        <w:ind w:left="567" w:hanging="283"/>
        <w:contextualSpacing/>
        <w:rPr>
          <w:rFonts w:ascii="Arial" w:hAnsi="Arial" w:cs="Arial"/>
          <w:color w:val="000000" w:themeColor="text1"/>
        </w:rPr>
      </w:pPr>
    </w:p>
    <w:p w14:paraId="23F2D7AE" w14:textId="669AE47F" w:rsidR="00FF5B8A" w:rsidRPr="0027631D" w:rsidRDefault="00FF5B8A" w:rsidP="00E36991">
      <w:pPr>
        <w:numPr>
          <w:ilvl w:val="0"/>
          <w:numId w:val="12"/>
        </w:numPr>
        <w:spacing w:after="0" w:line="23" w:lineRule="atLeast"/>
        <w:ind w:left="567" w:hanging="283"/>
        <w:contextualSpacing/>
        <w:jc w:val="both"/>
        <w:rPr>
          <w:rFonts w:ascii="Arial" w:hAnsi="Arial" w:cs="Arial"/>
          <w:color w:val="000000" w:themeColor="text1"/>
        </w:rPr>
      </w:pPr>
      <w:r w:rsidRPr="0027631D">
        <w:rPr>
          <w:rFonts w:ascii="Arial" w:hAnsi="Arial" w:cs="Arial"/>
          <w:color w:val="000000" w:themeColor="text1"/>
        </w:rPr>
        <w:t>Se permite la incorporación de inteligencia en los sistemas que utilizan técnicas de transmisión de espectro disperso por salto de frecuencia para reconocer a otros usuarios dentro de la banda, de tal manera que el sistema elija y adapte sus saltos de forma individual e independiente para evitar saltar a canales ocupados. La coordinación de sistemas por salto de frecuencia que no sea exclusivamente para evitar la ocupación simultánea de frecuencias individuales de salto por parte de múltiples transmisores no está permitida</w:t>
      </w:r>
      <w:r w:rsidR="00CA271F">
        <w:rPr>
          <w:rFonts w:ascii="Arial" w:hAnsi="Arial" w:cs="Arial"/>
          <w:color w:val="000000" w:themeColor="text1"/>
        </w:rPr>
        <w:t>,</w:t>
      </w:r>
      <w:r w:rsidRPr="0027631D">
        <w:rPr>
          <w:rFonts w:ascii="Arial" w:hAnsi="Arial" w:cs="Arial"/>
          <w:color w:val="000000" w:themeColor="text1"/>
        </w:rPr>
        <w:t xml:space="preserve"> y</w:t>
      </w:r>
    </w:p>
    <w:p w14:paraId="3648EA28" w14:textId="77777777" w:rsidR="00FF5B8A" w:rsidRPr="0027631D" w:rsidRDefault="00FF5B8A" w:rsidP="0027631D">
      <w:pPr>
        <w:pStyle w:val="Prrafodelista"/>
        <w:spacing w:line="23" w:lineRule="atLeast"/>
        <w:ind w:left="567" w:hanging="283"/>
        <w:contextualSpacing/>
        <w:rPr>
          <w:rFonts w:cs="Arial"/>
          <w:color w:val="000000" w:themeColor="text1"/>
          <w:sz w:val="22"/>
          <w:szCs w:val="22"/>
        </w:rPr>
      </w:pPr>
    </w:p>
    <w:p w14:paraId="264BBFFF" w14:textId="77777777" w:rsidR="00FF5B8A" w:rsidRPr="0027631D" w:rsidRDefault="00FF5B8A" w:rsidP="00E36991">
      <w:pPr>
        <w:numPr>
          <w:ilvl w:val="0"/>
          <w:numId w:val="12"/>
        </w:numPr>
        <w:spacing w:after="0" w:line="23" w:lineRule="atLeast"/>
        <w:ind w:left="567" w:hanging="283"/>
        <w:contextualSpacing/>
        <w:jc w:val="both"/>
        <w:rPr>
          <w:rFonts w:ascii="Arial" w:hAnsi="Arial" w:cs="Arial"/>
          <w:color w:val="000000" w:themeColor="text1"/>
        </w:rPr>
      </w:pPr>
      <w:r w:rsidRPr="0027631D">
        <w:rPr>
          <w:rFonts w:ascii="Arial" w:hAnsi="Arial" w:cs="Arial"/>
          <w:color w:val="000000" w:themeColor="text1"/>
        </w:rPr>
        <w:t xml:space="preserve">El límite de potencia pico de salida máxima conducida aplicable a los sistemas que utilizan técnicas de transmisión de espectro disperso, se basa en el uso de antenas direccionales con ganancias que no superan los 6 dBi. Si se utilizan antenas direccionales con ganancias mayores a 6 dBi, la potencia pico de salida máxima conducida desde el radiador intencional se reducirá por debajo de los valores establecidos, según corresponda, en la cantidad en dB que la ganancia de la antena </w:t>
      </w:r>
      <w:r w:rsidR="00164FFF" w:rsidRPr="0027631D">
        <w:rPr>
          <w:rFonts w:ascii="Arial" w:hAnsi="Arial" w:cs="Arial"/>
          <w:color w:val="000000" w:themeColor="text1"/>
        </w:rPr>
        <w:t xml:space="preserve">direccional </w:t>
      </w:r>
      <w:r w:rsidRPr="0027631D">
        <w:rPr>
          <w:rFonts w:ascii="Arial" w:hAnsi="Arial" w:cs="Arial"/>
          <w:color w:val="000000" w:themeColor="text1"/>
        </w:rPr>
        <w:t>excede los 6 dBi.</w:t>
      </w:r>
    </w:p>
    <w:p w14:paraId="43116DB5" w14:textId="77777777" w:rsidR="00FF5B8A" w:rsidRPr="0027631D" w:rsidRDefault="00FF5B8A" w:rsidP="0027631D">
      <w:pPr>
        <w:spacing w:after="0" w:line="23" w:lineRule="atLeast"/>
        <w:contextualSpacing/>
        <w:rPr>
          <w:rFonts w:ascii="Arial" w:hAnsi="Arial" w:cs="Arial"/>
          <w:color w:val="000000" w:themeColor="text1"/>
        </w:rPr>
      </w:pPr>
    </w:p>
    <w:p w14:paraId="0EAA8AF4" w14:textId="77777777" w:rsidR="00FF5B8A" w:rsidRPr="00794179" w:rsidRDefault="00FF5B8A" w:rsidP="00794179">
      <w:pPr>
        <w:pStyle w:val="Ttulo6"/>
      </w:pPr>
      <w:r w:rsidRPr="0027631D">
        <w:t>Sistemas que utilicen técnicas de modulación digital</w:t>
      </w:r>
    </w:p>
    <w:p w14:paraId="3FA17015" w14:textId="77777777" w:rsidR="00FF5B8A" w:rsidRPr="0027631D" w:rsidRDefault="00FF5B8A" w:rsidP="0027631D">
      <w:pPr>
        <w:spacing w:after="0" w:line="23" w:lineRule="atLeast"/>
        <w:contextualSpacing/>
        <w:rPr>
          <w:rFonts w:ascii="Arial" w:hAnsi="Arial" w:cs="Arial"/>
          <w:color w:val="000000" w:themeColor="text1"/>
        </w:rPr>
      </w:pPr>
    </w:p>
    <w:tbl>
      <w:tblPr>
        <w:tblStyle w:val="Tablaconcuadrcula"/>
        <w:tblW w:w="5000" w:type="pct"/>
        <w:jc w:val="center"/>
        <w:shd w:val="clear" w:color="auto" w:fill="FFFFFF" w:themeFill="background1"/>
        <w:tblLook w:val="04A0" w:firstRow="1" w:lastRow="0" w:firstColumn="1" w:lastColumn="0" w:noHBand="0" w:noVBand="1"/>
      </w:tblPr>
      <w:tblGrid>
        <w:gridCol w:w="2319"/>
        <w:gridCol w:w="1482"/>
        <w:gridCol w:w="1680"/>
        <w:gridCol w:w="862"/>
        <w:gridCol w:w="3051"/>
      </w:tblGrid>
      <w:tr w:rsidR="00FF5B8A" w:rsidRPr="0027631D" w14:paraId="04E8E3E4" w14:textId="77777777" w:rsidTr="004E082F">
        <w:trPr>
          <w:cantSplit/>
          <w:trHeight w:val="370"/>
          <w:tblHeader/>
          <w:jc w:val="center"/>
        </w:trPr>
        <w:tc>
          <w:tcPr>
            <w:tcW w:w="5000" w:type="pct"/>
            <w:gridSpan w:val="5"/>
            <w:shd w:val="clear" w:color="auto" w:fill="D9D9D9" w:themeFill="background1" w:themeFillShade="D9"/>
            <w:vAlign w:val="center"/>
          </w:tcPr>
          <w:p w14:paraId="2F55AD5F" w14:textId="77777777" w:rsidR="00FF5B8A" w:rsidRPr="0027631D" w:rsidRDefault="00FF5B8A" w:rsidP="0027631D">
            <w:pPr>
              <w:tabs>
                <w:tab w:val="left" w:pos="7525"/>
              </w:tabs>
              <w:spacing w:after="0" w:line="23" w:lineRule="atLeast"/>
              <w:contextualSpacing/>
              <w:jc w:val="center"/>
              <w:rPr>
                <w:rFonts w:ascii="Arial" w:hAnsi="Arial" w:cs="Arial"/>
                <w:b/>
                <w:color w:val="000000" w:themeColor="text1"/>
                <w:u w:val="single"/>
              </w:rPr>
            </w:pPr>
            <w:r w:rsidRPr="0027631D">
              <w:rPr>
                <w:rFonts w:ascii="Arial" w:hAnsi="Arial" w:cs="Arial"/>
                <w:b/>
                <w:color w:val="000000" w:themeColor="text1"/>
                <w:u w:val="single"/>
              </w:rPr>
              <w:lastRenderedPageBreak/>
              <w:t>Sistemas que utilicen técnicas de modulación digital</w:t>
            </w:r>
          </w:p>
        </w:tc>
      </w:tr>
      <w:tr w:rsidR="00FF5B8A" w:rsidRPr="0027631D" w14:paraId="6B6C7037" w14:textId="77777777" w:rsidTr="004E082F">
        <w:tblPrEx>
          <w:jc w:val="right"/>
          <w:tblCellMar>
            <w:left w:w="28" w:type="dxa"/>
            <w:right w:w="28" w:type="dxa"/>
          </w:tblCellMar>
        </w:tblPrEx>
        <w:trPr>
          <w:cantSplit/>
          <w:trHeight w:val="20"/>
          <w:tblHeader/>
          <w:jc w:val="right"/>
        </w:trPr>
        <w:tc>
          <w:tcPr>
            <w:tcW w:w="1234" w:type="pct"/>
            <w:shd w:val="clear" w:color="auto" w:fill="D9D9D9" w:themeFill="background1" w:themeFillShade="D9"/>
            <w:vAlign w:val="center"/>
          </w:tcPr>
          <w:p w14:paraId="757B5527" w14:textId="77777777" w:rsidR="00FF5B8A" w:rsidRPr="0027631D" w:rsidRDefault="00FF5B8A" w:rsidP="0027631D">
            <w:pPr>
              <w:spacing w:after="0" w:line="23" w:lineRule="atLeast"/>
              <w:contextualSpacing/>
              <w:jc w:val="center"/>
              <w:rPr>
                <w:rFonts w:ascii="Arial" w:hAnsi="Arial" w:cs="Arial"/>
                <w:b/>
                <w:color w:val="000000" w:themeColor="text1"/>
                <w:lang w:val="es-ES" w:eastAsia="es-MX"/>
              </w:rPr>
            </w:pPr>
            <w:r w:rsidRPr="0027631D">
              <w:rPr>
                <w:rFonts w:ascii="Arial" w:hAnsi="Arial" w:cs="Arial"/>
                <w:b/>
                <w:color w:val="000000" w:themeColor="text1"/>
                <w:lang w:val="es-ES" w:eastAsia="es-MX"/>
              </w:rPr>
              <w:t>Ancho de banda del canal</w:t>
            </w:r>
          </w:p>
        </w:tc>
        <w:tc>
          <w:tcPr>
            <w:tcW w:w="789" w:type="pct"/>
            <w:shd w:val="clear" w:color="auto" w:fill="D9D9D9" w:themeFill="background1" w:themeFillShade="D9"/>
            <w:vAlign w:val="center"/>
          </w:tcPr>
          <w:p w14:paraId="177EA345" w14:textId="77777777" w:rsidR="00FF5B8A" w:rsidRPr="0027631D" w:rsidRDefault="00FF5B8A" w:rsidP="0027631D">
            <w:pPr>
              <w:spacing w:after="0" w:line="23" w:lineRule="atLeast"/>
              <w:contextualSpacing/>
              <w:jc w:val="center"/>
              <w:rPr>
                <w:rFonts w:ascii="Arial" w:hAnsi="Arial" w:cs="Arial"/>
                <w:b/>
                <w:color w:val="000000" w:themeColor="text1"/>
                <w:lang w:val="es-ES" w:eastAsia="es-MX"/>
              </w:rPr>
            </w:pPr>
            <w:r w:rsidRPr="0027631D">
              <w:rPr>
                <w:rFonts w:ascii="Arial" w:hAnsi="Arial" w:cs="Arial"/>
                <w:b/>
                <w:color w:val="000000" w:themeColor="text1"/>
                <w:lang w:val="es-ES" w:eastAsia="es-MX"/>
              </w:rPr>
              <w:t>Potencia pico de salida máxima</w:t>
            </w:r>
          </w:p>
        </w:tc>
        <w:tc>
          <w:tcPr>
            <w:tcW w:w="894" w:type="pct"/>
            <w:shd w:val="clear" w:color="auto" w:fill="D9D9D9" w:themeFill="background1" w:themeFillShade="D9"/>
            <w:vAlign w:val="center"/>
          </w:tcPr>
          <w:p w14:paraId="704A4955" w14:textId="77777777" w:rsidR="00FF5B8A" w:rsidRPr="0027631D" w:rsidRDefault="00FF5B8A" w:rsidP="00D62E72">
            <w:pPr>
              <w:spacing w:after="0" w:line="23" w:lineRule="atLeast"/>
              <w:contextualSpacing/>
              <w:jc w:val="center"/>
              <w:rPr>
                <w:rFonts w:ascii="Arial" w:hAnsi="Arial" w:cs="Arial"/>
                <w:b/>
                <w:color w:val="000000" w:themeColor="text1"/>
                <w:lang w:val="es-ES" w:eastAsia="es-MX"/>
              </w:rPr>
            </w:pPr>
            <w:r w:rsidRPr="0027631D">
              <w:rPr>
                <w:rFonts w:ascii="Arial" w:hAnsi="Arial" w:cs="Arial"/>
                <w:b/>
                <w:color w:val="000000" w:themeColor="text1"/>
                <w:lang w:val="es-ES" w:eastAsia="es-MX"/>
              </w:rPr>
              <w:t>Ganancia de la antena direccional</w:t>
            </w:r>
          </w:p>
        </w:tc>
        <w:tc>
          <w:tcPr>
            <w:tcW w:w="459" w:type="pct"/>
            <w:shd w:val="clear" w:color="auto" w:fill="D9D9D9" w:themeFill="background1" w:themeFillShade="D9"/>
            <w:vAlign w:val="center"/>
          </w:tcPr>
          <w:p w14:paraId="6CEC35B7" w14:textId="77777777" w:rsidR="00FF5B8A" w:rsidRPr="0027631D" w:rsidRDefault="00FF5B8A" w:rsidP="0027631D">
            <w:pPr>
              <w:spacing w:after="0" w:line="23" w:lineRule="atLeast"/>
              <w:contextualSpacing/>
              <w:jc w:val="center"/>
              <w:rPr>
                <w:rFonts w:ascii="Arial" w:hAnsi="Arial" w:cs="Arial"/>
                <w:b/>
                <w:color w:val="000000" w:themeColor="text1"/>
                <w:lang w:val="es-ES" w:eastAsia="es-MX"/>
              </w:rPr>
            </w:pPr>
            <w:r w:rsidRPr="0027631D">
              <w:rPr>
                <w:rFonts w:ascii="Arial" w:hAnsi="Arial" w:cs="Arial"/>
                <w:b/>
                <w:color w:val="000000" w:themeColor="text1"/>
                <w:lang w:val="es-ES" w:eastAsia="es-MX"/>
              </w:rPr>
              <w:t>PIRE</w:t>
            </w:r>
          </w:p>
        </w:tc>
        <w:tc>
          <w:tcPr>
            <w:tcW w:w="1623" w:type="pct"/>
            <w:shd w:val="clear" w:color="auto" w:fill="D9D9D9" w:themeFill="background1" w:themeFillShade="D9"/>
            <w:vAlign w:val="center"/>
          </w:tcPr>
          <w:p w14:paraId="3CD5A6CA" w14:textId="77777777" w:rsidR="00FF5B8A" w:rsidRPr="0027631D" w:rsidRDefault="00FF5B8A" w:rsidP="0027631D">
            <w:pPr>
              <w:spacing w:after="0" w:line="23" w:lineRule="atLeast"/>
              <w:contextualSpacing/>
              <w:jc w:val="center"/>
              <w:rPr>
                <w:rFonts w:ascii="Arial" w:hAnsi="Arial" w:cs="Arial"/>
                <w:b/>
                <w:color w:val="000000" w:themeColor="text1"/>
                <w:highlight w:val="darkBlue"/>
                <w:lang w:val="es-ES" w:eastAsia="es-MX"/>
              </w:rPr>
            </w:pPr>
            <w:r w:rsidRPr="0027631D">
              <w:rPr>
                <w:rFonts w:ascii="Arial" w:hAnsi="Arial" w:cs="Arial"/>
                <w:b/>
                <w:color w:val="000000" w:themeColor="text1"/>
                <w:lang w:val="es-ES" w:eastAsia="es-MX"/>
              </w:rPr>
              <w:t>Densidad espectral de potencia conducida a la(s) antena(s)</w:t>
            </w:r>
          </w:p>
        </w:tc>
      </w:tr>
      <w:tr w:rsidR="00FF5B8A" w:rsidRPr="0027631D" w14:paraId="1DE4D55E" w14:textId="77777777" w:rsidTr="004E082F">
        <w:tblPrEx>
          <w:jc w:val="right"/>
          <w:tblCellMar>
            <w:left w:w="28" w:type="dxa"/>
            <w:right w:w="28" w:type="dxa"/>
          </w:tblCellMar>
        </w:tblPrEx>
        <w:trPr>
          <w:cantSplit/>
          <w:trHeight w:val="477"/>
          <w:jc w:val="right"/>
        </w:trPr>
        <w:tc>
          <w:tcPr>
            <w:tcW w:w="1234" w:type="pct"/>
            <w:shd w:val="clear" w:color="auto" w:fill="FFFFFF" w:themeFill="background1"/>
            <w:vAlign w:val="center"/>
          </w:tcPr>
          <w:p w14:paraId="3A19F035" w14:textId="77777777" w:rsidR="00FF5B8A" w:rsidRPr="0027631D" w:rsidRDefault="00FF5B8A" w:rsidP="0027631D">
            <w:pPr>
              <w:spacing w:after="0" w:line="23" w:lineRule="atLeast"/>
              <w:contextualSpacing/>
              <w:jc w:val="center"/>
              <w:rPr>
                <w:rFonts w:ascii="Arial" w:hAnsi="Arial" w:cs="Arial"/>
                <w:color w:val="000000" w:themeColor="text1"/>
                <w:highlight w:val="yellow"/>
                <w:lang w:val="es-ES" w:eastAsia="es-MX"/>
              </w:rPr>
            </w:pPr>
            <w:r w:rsidRPr="0027631D">
              <w:rPr>
                <w:rFonts w:ascii="Arial" w:hAnsi="Arial" w:cs="Arial"/>
                <w:color w:val="000000" w:themeColor="text1"/>
                <w:lang w:val="es-ES"/>
              </w:rPr>
              <w:t>El ancho de banda del canal a 6 dB deberá ser de al menos 500 kHz</w:t>
            </w:r>
          </w:p>
        </w:tc>
        <w:tc>
          <w:tcPr>
            <w:tcW w:w="789" w:type="pct"/>
            <w:shd w:val="clear" w:color="auto" w:fill="FFFFFF" w:themeFill="background1"/>
            <w:vAlign w:val="center"/>
          </w:tcPr>
          <w:p w14:paraId="1020EF68"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color w:val="000000" w:themeColor="text1"/>
                <w:lang w:val="es-ES" w:eastAsia="es-MX"/>
              </w:rPr>
              <w:t>1 W</w:t>
            </w:r>
          </w:p>
          <w:p w14:paraId="5A8D2D90" w14:textId="77777777" w:rsidR="00FF5B8A" w:rsidRPr="0027631D" w:rsidRDefault="00FF5B8A" w:rsidP="0027631D">
            <w:pPr>
              <w:spacing w:after="0" w:line="23" w:lineRule="atLeast"/>
              <w:contextualSpacing/>
              <w:jc w:val="center"/>
              <w:rPr>
                <w:rFonts w:ascii="Arial" w:hAnsi="Arial" w:cs="Arial"/>
                <w:color w:val="000000" w:themeColor="text1"/>
                <w:highlight w:val="yellow"/>
                <w:lang w:val="es-ES" w:eastAsia="es-MX"/>
              </w:rPr>
            </w:pPr>
            <w:r w:rsidRPr="0027631D">
              <w:rPr>
                <w:rFonts w:ascii="Arial" w:hAnsi="Arial" w:cs="Arial"/>
                <w:color w:val="000000" w:themeColor="text1"/>
                <w:lang w:val="es-ES" w:eastAsia="es-MX"/>
              </w:rPr>
              <w:t>(30 dBm)</w:t>
            </w:r>
          </w:p>
        </w:tc>
        <w:tc>
          <w:tcPr>
            <w:tcW w:w="894" w:type="pct"/>
            <w:shd w:val="clear" w:color="auto" w:fill="FFFFFF" w:themeFill="background1"/>
            <w:vAlign w:val="center"/>
          </w:tcPr>
          <w:p w14:paraId="7519E3C5"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color w:val="000000" w:themeColor="text1"/>
              </w:rPr>
              <w:t xml:space="preserve">≤ </w:t>
            </w:r>
            <w:r w:rsidRPr="0027631D">
              <w:rPr>
                <w:rFonts w:ascii="Arial" w:hAnsi="Arial" w:cs="Arial"/>
                <w:color w:val="000000" w:themeColor="text1"/>
                <w:lang w:val="es-ES" w:eastAsia="es-MX"/>
              </w:rPr>
              <w:t>6 dBi</w:t>
            </w:r>
          </w:p>
        </w:tc>
        <w:tc>
          <w:tcPr>
            <w:tcW w:w="459" w:type="pct"/>
            <w:shd w:val="clear" w:color="auto" w:fill="FFFFFF" w:themeFill="background1"/>
            <w:vAlign w:val="center"/>
          </w:tcPr>
          <w:p w14:paraId="7D44036F"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 4 W</w:t>
            </w:r>
          </w:p>
          <w:p w14:paraId="3544B7BB"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color w:val="000000" w:themeColor="text1"/>
              </w:rPr>
              <w:t>(36 dBm)</w:t>
            </w:r>
          </w:p>
        </w:tc>
        <w:tc>
          <w:tcPr>
            <w:tcW w:w="1623" w:type="pct"/>
            <w:shd w:val="clear" w:color="auto" w:fill="FFFFFF" w:themeFill="background1"/>
            <w:vAlign w:val="center"/>
          </w:tcPr>
          <w:p w14:paraId="284944E5"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color w:val="000000" w:themeColor="text1"/>
              </w:rPr>
              <w:t>≤ 8 dBm de cualquier segmento de 3 kHz de cualquier intervalo de transmisión continua</w:t>
            </w:r>
          </w:p>
        </w:tc>
      </w:tr>
    </w:tbl>
    <w:p w14:paraId="6EDA3842" w14:textId="2314BD5A" w:rsidR="00FF5B8A" w:rsidRPr="0027631D" w:rsidRDefault="00FF5B8A" w:rsidP="0027631D">
      <w:pPr>
        <w:pStyle w:val="Descripcin"/>
        <w:contextualSpacing/>
        <w:rPr>
          <w:color w:val="000000" w:themeColor="text1"/>
          <w:sz w:val="22"/>
          <w:szCs w:val="22"/>
          <w:lang w:val="es-ES" w:eastAsia="es-MX"/>
        </w:rPr>
      </w:pPr>
      <w:bookmarkStart w:id="380" w:name="_Toc45452843"/>
      <w:bookmarkStart w:id="381" w:name="_Toc45452952"/>
      <w:r w:rsidRPr="0027631D">
        <w:rPr>
          <w:color w:val="000000" w:themeColor="text1"/>
          <w:sz w:val="22"/>
          <w:szCs w:val="22"/>
        </w:rPr>
        <w:t xml:space="preserve">Tabla </w:t>
      </w:r>
      <w:r w:rsidR="00733738">
        <w:rPr>
          <w:color w:val="000000" w:themeColor="text1"/>
          <w:sz w:val="22"/>
          <w:szCs w:val="22"/>
        </w:rPr>
        <w:t>2</w:t>
      </w:r>
      <w:r w:rsidRPr="0027631D">
        <w:rPr>
          <w:color w:val="000000" w:themeColor="text1"/>
          <w:sz w:val="22"/>
          <w:szCs w:val="22"/>
        </w:rPr>
        <w:t>.</w:t>
      </w:r>
      <w:r w:rsidRPr="0027631D">
        <w:rPr>
          <w:color w:val="000000" w:themeColor="text1"/>
          <w:sz w:val="22"/>
          <w:szCs w:val="22"/>
          <w:lang w:val="es-ES" w:eastAsia="es-MX"/>
        </w:rPr>
        <w:t xml:space="preserve"> Condiciones técnicas de operación para los sistemas </w:t>
      </w:r>
      <w:r w:rsidRPr="0027631D">
        <w:rPr>
          <w:color w:val="000000" w:themeColor="text1"/>
          <w:sz w:val="22"/>
          <w:szCs w:val="22"/>
          <w:lang w:eastAsia="es-MX"/>
        </w:rPr>
        <w:t>que utilicen técnicas de modulación digital en la banda 2400-2483.5 MHz</w:t>
      </w:r>
      <w:bookmarkEnd w:id="380"/>
      <w:bookmarkEnd w:id="381"/>
    </w:p>
    <w:p w14:paraId="44AD3642" w14:textId="77777777" w:rsidR="00FF5B8A" w:rsidRPr="0027631D" w:rsidRDefault="00FF5B8A" w:rsidP="0027631D">
      <w:pPr>
        <w:spacing w:after="0" w:line="23" w:lineRule="atLeast"/>
        <w:contextualSpacing/>
        <w:rPr>
          <w:rFonts w:ascii="Arial" w:hAnsi="Arial" w:cs="Arial"/>
          <w:color w:val="000000" w:themeColor="text1"/>
        </w:rPr>
      </w:pPr>
    </w:p>
    <w:p w14:paraId="44076C99" w14:textId="270E9C99" w:rsidR="00FF5B8A" w:rsidRPr="0027631D" w:rsidRDefault="00FF5B8A" w:rsidP="0027631D">
      <w:pPr>
        <w:spacing w:after="0" w:line="23" w:lineRule="atLeast"/>
        <w:contextualSpacing/>
        <w:jc w:val="both"/>
        <w:rPr>
          <w:rFonts w:ascii="Arial" w:hAnsi="Arial" w:cs="Arial"/>
          <w:color w:val="000000" w:themeColor="text1"/>
        </w:rPr>
      </w:pPr>
      <w:r w:rsidRPr="0027631D">
        <w:rPr>
          <w:rFonts w:ascii="Arial" w:hAnsi="Arial" w:cs="Arial"/>
          <w:color w:val="000000" w:themeColor="text1"/>
          <w:lang w:val="es-ES" w:eastAsia="es-MX"/>
        </w:rPr>
        <w:t xml:space="preserve">Asimismo, </w:t>
      </w:r>
      <w:r w:rsidR="004C4573">
        <w:rPr>
          <w:rFonts w:ascii="Arial" w:hAnsi="Arial" w:cs="Arial"/>
          <w:color w:val="000000" w:themeColor="text1"/>
          <w:lang w:val="es-ES" w:eastAsia="es-MX"/>
        </w:rPr>
        <w:t xml:space="preserve">el </w:t>
      </w:r>
      <w:r w:rsidRPr="0027631D">
        <w:rPr>
          <w:rFonts w:ascii="Arial" w:hAnsi="Arial" w:cs="Arial"/>
          <w:color w:val="000000" w:themeColor="text1"/>
        </w:rPr>
        <w:t xml:space="preserve">límite de potencia pico de salida máxima conducida aplicable a los sistemas que utilizan técnicas de modulación digital, se basa en el uso de antenas </w:t>
      </w:r>
      <w:r w:rsidR="00164FFF" w:rsidRPr="0027631D">
        <w:rPr>
          <w:rFonts w:ascii="Arial" w:hAnsi="Arial" w:cs="Arial"/>
          <w:color w:val="000000" w:themeColor="text1"/>
        </w:rPr>
        <w:t xml:space="preserve">direccionales </w:t>
      </w:r>
      <w:r w:rsidRPr="0027631D">
        <w:rPr>
          <w:rFonts w:ascii="Arial" w:hAnsi="Arial" w:cs="Arial"/>
          <w:color w:val="000000" w:themeColor="text1"/>
        </w:rPr>
        <w:t xml:space="preserve">con ganancias que no superan los 6 dBi. Si se utilizan antenas de transmisión </w:t>
      </w:r>
      <w:r w:rsidR="00BB3D40">
        <w:rPr>
          <w:rFonts w:ascii="Arial" w:hAnsi="Arial" w:cs="Arial"/>
          <w:color w:val="000000" w:themeColor="text1"/>
        </w:rPr>
        <w:t xml:space="preserve">direccional </w:t>
      </w:r>
      <w:r w:rsidRPr="0027631D">
        <w:rPr>
          <w:rFonts w:ascii="Arial" w:hAnsi="Arial" w:cs="Arial"/>
          <w:color w:val="000000" w:themeColor="text1"/>
        </w:rPr>
        <w:t xml:space="preserve">de ganancia mayor a 6 dBi, la potencia pico de salida máxima conducida desde el radiador intencional se reducirá por debajo de los valores establecidos, según corresponda, en la cantidad en dB que la ganancia de la antena </w:t>
      </w:r>
      <w:r w:rsidR="002360C6" w:rsidRPr="0027631D">
        <w:rPr>
          <w:rFonts w:ascii="Arial" w:hAnsi="Arial" w:cs="Arial"/>
          <w:color w:val="000000" w:themeColor="text1"/>
        </w:rPr>
        <w:t xml:space="preserve">direccional </w:t>
      </w:r>
      <w:r w:rsidRPr="0027631D">
        <w:rPr>
          <w:rFonts w:ascii="Arial" w:hAnsi="Arial" w:cs="Arial"/>
          <w:color w:val="000000" w:themeColor="text1"/>
        </w:rPr>
        <w:t>excede los 6 dBi.</w:t>
      </w:r>
    </w:p>
    <w:p w14:paraId="6BDE15A0" w14:textId="77777777" w:rsidR="00FF5B8A" w:rsidRPr="0027631D" w:rsidRDefault="00FF5B8A" w:rsidP="0027631D">
      <w:pPr>
        <w:spacing w:after="0" w:line="23" w:lineRule="atLeast"/>
        <w:contextualSpacing/>
        <w:rPr>
          <w:rFonts w:ascii="Arial" w:hAnsi="Arial" w:cs="Arial"/>
          <w:color w:val="000000" w:themeColor="text1"/>
        </w:rPr>
      </w:pPr>
    </w:p>
    <w:p w14:paraId="41F0987B" w14:textId="77777777" w:rsidR="00FF5B8A" w:rsidRPr="00794179" w:rsidRDefault="00FF5B8A" w:rsidP="00794179">
      <w:pPr>
        <w:pStyle w:val="Ttulo6"/>
      </w:pPr>
      <w:r w:rsidRPr="0027631D">
        <w:t>Sistemas híbridos</w:t>
      </w:r>
    </w:p>
    <w:p w14:paraId="46167C2D" w14:textId="77777777" w:rsidR="00FF5B8A" w:rsidRPr="0027631D" w:rsidRDefault="00FF5B8A" w:rsidP="0027631D">
      <w:pPr>
        <w:spacing w:after="0" w:line="23" w:lineRule="atLeast"/>
        <w:contextualSpacing/>
        <w:rPr>
          <w:rFonts w:ascii="Arial" w:hAnsi="Arial" w:cs="Arial"/>
          <w:color w:val="000000" w:themeColor="text1"/>
        </w:rPr>
      </w:pPr>
    </w:p>
    <w:tbl>
      <w:tblPr>
        <w:tblStyle w:val="Tablaconcuadrcula"/>
        <w:tblW w:w="5000" w:type="pct"/>
        <w:jc w:val="right"/>
        <w:shd w:val="clear" w:color="auto" w:fill="FFFFFF" w:themeFill="background1"/>
        <w:tblCellMar>
          <w:left w:w="28" w:type="dxa"/>
          <w:right w:w="28" w:type="dxa"/>
        </w:tblCellMar>
        <w:tblLook w:val="04A0" w:firstRow="1" w:lastRow="0" w:firstColumn="1" w:lastColumn="0" w:noHBand="0" w:noVBand="1"/>
      </w:tblPr>
      <w:tblGrid>
        <w:gridCol w:w="4012"/>
        <w:gridCol w:w="2153"/>
        <w:gridCol w:w="2008"/>
        <w:gridCol w:w="1221"/>
      </w:tblGrid>
      <w:tr w:rsidR="00FF5B8A" w:rsidRPr="0027631D" w14:paraId="0068666E" w14:textId="77777777" w:rsidTr="004E082F">
        <w:trPr>
          <w:cantSplit/>
          <w:trHeight w:val="295"/>
          <w:tblHeader/>
          <w:jc w:val="right"/>
        </w:trPr>
        <w:tc>
          <w:tcPr>
            <w:tcW w:w="5000" w:type="pct"/>
            <w:gridSpan w:val="4"/>
            <w:shd w:val="clear" w:color="auto" w:fill="D9D9D9" w:themeFill="background1" w:themeFillShade="D9"/>
            <w:vAlign w:val="center"/>
          </w:tcPr>
          <w:p w14:paraId="67A6ADDA" w14:textId="77777777" w:rsidR="00FF5B8A" w:rsidRPr="0027631D" w:rsidRDefault="00FF5B8A" w:rsidP="0027631D">
            <w:pPr>
              <w:spacing w:after="0" w:line="23" w:lineRule="atLeast"/>
              <w:contextualSpacing/>
              <w:jc w:val="center"/>
              <w:rPr>
                <w:rFonts w:ascii="Arial" w:hAnsi="Arial" w:cs="Arial"/>
                <w:b/>
                <w:color w:val="000000" w:themeColor="text1"/>
                <w:u w:val="single"/>
              </w:rPr>
            </w:pPr>
            <w:r w:rsidRPr="0027631D">
              <w:rPr>
                <w:rFonts w:ascii="Arial" w:hAnsi="Arial" w:cs="Arial"/>
                <w:b/>
                <w:color w:val="000000" w:themeColor="text1"/>
                <w:u w:val="single"/>
              </w:rPr>
              <w:t>Sistemas</w:t>
            </w:r>
            <w:r w:rsidRPr="0027631D">
              <w:rPr>
                <w:rFonts w:ascii="Arial" w:hAnsi="Arial" w:cs="Arial"/>
                <w:b/>
                <w:color w:val="000000" w:themeColor="text1"/>
                <w:u w:val="single"/>
                <w:lang w:eastAsia="es-MX"/>
              </w:rPr>
              <w:t xml:space="preserve"> híbridos con salto de frecuencia apagado</w:t>
            </w:r>
          </w:p>
        </w:tc>
      </w:tr>
      <w:tr w:rsidR="00FF5B8A" w:rsidRPr="0027631D" w14:paraId="77B44FDD" w14:textId="77777777" w:rsidTr="004E082F">
        <w:trPr>
          <w:cantSplit/>
          <w:trHeight w:val="258"/>
          <w:jc w:val="right"/>
        </w:trPr>
        <w:tc>
          <w:tcPr>
            <w:tcW w:w="2135" w:type="pct"/>
            <w:shd w:val="clear" w:color="auto" w:fill="D9D9D9" w:themeFill="background1" w:themeFillShade="D9"/>
            <w:vAlign w:val="center"/>
          </w:tcPr>
          <w:p w14:paraId="402E4275"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b/>
                <w:color w:val="000000" w:themeColor="text1"/>
              </w:rPr>
              <w:t>Densidad espectral de potencia conducida a la(s) antena(s)</w:t>
            </w:r>
          </w:p>
        </w:tc>
        <w:tc>
          <w:tcPr>
            <w:tcW w:w="1146" w:type="pct"/>
            <w:shd w:val="clear" w:color="auto" w:fill="D9D9D9" w:themeFill="background1" w:themeFillShade="D9"/>
            <w:vAlign w:val="center"/>
          </w:tcPr>
          <w:p w14:paraId="49B85AB2" w14:textId="77777777" w:rsidR="00FF5B8A" w:rsidRPr="0027631D" w:rsidRDefault="00FF5B8A" w:rsidP="0027631D">
            <w:pPr>
              <w:spacing w:after="0" w:line="23" w:lineRule="atLeast"/>
              <w:contextualSpacing/>
              <w:jc w:val="center"/>
              <w:rPr>
                <w:rFonts w:ascii="Arial" w:hAnsi="Arial" w:cs="Arial"/>
                <w:b/>
                <w:color w:val="000000" w:themeColor="text1"/>
                <w:lang w:val="es-ES" w:eastAsia="es-MX"/>
              </w:rPr>
            </w:pPr>
            <w:r w:rsidRPr="0027631D">
              <w:rPr>
                <w:rFonts w:ascii="Arial" w:hAnsi="Arial" w:cs="Arial"/>
                <w:b/>
                <w:color w:val="000000" w:themeColor="text1"/>
              </w:rPr>
              <w:t>Potencia pico de salida máxima</w:t>
            </w:r>
          </w:p>
        </w:tc>
        <w:tc>
          <w:tcPr>
            <w:tcW w:w="1069" w:type="pct"/>
            <w:shd w:val="clear" w:color="auto" w:fill="D9D9D9" w:themeFill="background1" w:themeFillShade="D9"/>
            <w:vAlign w:val="center"/>
          </w:tcPr>
          <w:p w14:paraId="407C3EDF" w14:textId="77777777" w:rsidR="00FF5B8A" w:rsidRPr="0027631D" w:rsidRDefault="00FF5B8A" w:rsidP="00D62E72">
            <w:pPr>
              <w:spacing w:after="0" w:line="23" w:lineRule="atLeast"/>
              <w:contextualSpacing/>
              <w:jc w:val="center"/>
              <w:rPr>
                <w:rFonts w:ascii="Arial" w:hAnsi="Arial" w:cs="Arial"/>
                <w:b/>
                <w:color w:val="000000" w:themeColor="text1"/>
                <w:lang w:val="es-ES" w:eastAsia="es-MX"/>
              </w:rPr>
            </w:pPr>
            <w:r w:rsidRPr="0027631D">
              <w:rPr>
                <w:rFonts w:ascii="Arial" w:hAnsi="Arial" w:cs="Arial"/>
                <w:b/>
                <w:color w:val="000000" w:themeColor="text1"/>
              </w:rPr>
              <w:t>Ganancia de la antena direccional</w:t>
            </w:r>
          </w:p>
        </w:tc>
        <w:tc>
          <w:tcPr>
            <w:tcW w:w="650" w:type="pct"/>
            <w:shd w:val="clear" w:color="auto" w:fill="D9D9D9" w:themeFill="background1" w:themeFillShade="D9"/>
            <w:vAlign w:val="center"/>
          </w:tcPr>
          <w:p w14:paraId="7984D38A" w14:textId="77777777" w:rsidR="00FF5B8A" w:rsidRPr="0027631D" w:rsidRDefault="00FF5B8A" w:rsidP="0027631D">
            <w:pPr>
              <w:spacing w:after="0" w:line="23" w:lineRule="atLeast"/>
              <w:contextualSpacing/>
              <w:jc w:val="center"/>
              <w:rPr>
                <w:rFonts w:ascii="Arial" w:hAnsi="Arial" w:cs="Arial"/>
                <w:b/>
                <w:color w:val="000000" w:themeColor="text1"/>
                <w:lang w:val="es-ES" w:eastAsia="es-MX"/>
              </w:rPr>
            </w:pPr>
            <w:r w:rsidRPr="0027631D">
              <w:rPr>
                <w:rFonts w:ascii="Arial" w:hAnsi="Arial" w:cs="Arial"/>
                <w:b/>
                <w:color w:val="000000" w:themeColor="text1"/>
              </w:rPr>
              <w:t>PIRE</w:t>
            </w:r>
          </w:p>
        </w:tc>
      </w:tr>
      <w:tr w:rsidR="00FF5B8A" w:rsidRPr="0027631D" w14:paraId="1A282B4B" w14:textId="77777777" w:rsidTr="004E082F">
        <w:trPr>
          <w:cantSplit/>
          <w:trHeight w:val="20"/>
          <w:jc w:val="right"/>
        </w:trPr>
        <w:tc>
          <w:tcPr>
            <w:tcW w:w="2135" w:type="pct"/>
            <w:shd w:val="clear" w:color="auto" w:fill="FFFFFF" w:themeFill="background1"/>
            <w:vAlign w:val="center"/>
          </w:tcPr>
          <w:p w14:paraId="5B68BF81"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color w:val="000000" w:themeColor="text1"/>
              </w:rPr>
              <w:t>≤ 8 dBm de cualquier segmento de 3 kHz de cualquier intervalo de transmisión continua</w:t>
            </w:r>
          </w:p>
        </w:tc>
        <w:tc>
          <w:tcPr>
            <w:tcW w:w="1146" w:type="pct"/>
            <w:shd w:val="clear" w:color="auto" w:fill="FFFFFF" w:themeFill="background1"/>
            <w:vAlign w:val="center"/>
          </w:tcPr>
          <w:p w14:paraId="5C879932"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 xml:space="preserve">1 W </w:t>
            </w:r>
          </w:p>
          <w:p w14:paraId="590CEB21"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color w:val="000000" w:themeColor="text1"/>
              </w:rPr>
              <w:t>(30 dBm)</w:t>
            </w:r>
          </w:p>
        </w:tc>
        <w:tc>
          <w:tcPr>
            <w:tcW w:w="1069" w:type="pct"/>
            <w:shd w:val="clear" w:color="auto" w:fill="FFFFFF" w:themeFill="background1"/>
            <w:vAlign w:val="center"/>
          </w:tcPr>
          <w:p w14:paraId="5FA53444"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color w:val="000000" w:themeColor="text1"/>
              </w:rPr>
              <w:t>≤ 6 dBi</w:t>
            </w:r>
          </w:p>
        </w:tc>
        <w:tc>
          <w:tcPr>
            <w:tcW w:w="650" w:type="pct"/>
            <w:shd w:val="clear" w:color="auto" w:fill="FFFFFF" w:themeFill="background1"/>
            <w:vAlign w:val="center"/>
          </w:tcPr>
          <w:p w14:paraId="5FD30864"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 xml:space="preserve">≤ 4 W </w:t>
            </w:r>
          </w:p>
          <w:p w14:paraId="3DF5CF8D"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color w:val="000000" w:themeColor="text1"/>
              </w:rPr>
              <w:t>(36 dBm)</w:t>
            </w:r>
          </w:p>
        </w:tc>
      </w:tr>
    </w:tbl>
    <w:p w14:paraId="12119246" w14:textId="3F9ACF37" w:rsidR="00FF5B8A" w:rsidRPr="0027631D" w:rsidRDefault="00FF5B8A" w:rsidP="0027631D">
      <w:pPr>
        <w:pStyle w:val="Descripcin"/>
        <w:contextualSpacing/>
        <w:rPr>
          <w:color w:val="000000" w:themeColor="text1"/>
          <w:sz w:val="22"/>
          <w:szCs w:val="22"/>
          <w:lang w:val="es-ES" w:eastAsia="es-MX"/>
        </w:rPr>
      </w:pPr>
      <w:bookmarkStart w:id="382" w:name="_Toc45452844"/>
      <w:bookmarkStart w:id="383" w:name="_Toc45452953"/>
      <w:r w:rsidRPr="0027631D">
        <w:rPr>
          <w:color w:val="000000" w:themeColor="text1"/>
          <w:sz w:val="22"/>
          <w:szCs w:val="22"/>
        </w:rPr>
        <w:t xml:space="preserve">Tabla </w:t>
      </w:r>
      <w:r w:rsidR="00733738">
        <w:rPr>
          <w:color w:val="000000" w:themeColor="text1"/>
          <w:sz w:val="22"/>
          <w:szCs w:val="22"/>
        </w:rPr>
        <w:t>3</w:t>
      </w:r>
      <w:r w:rsidRPr="0027631D">
        <w:rPr>
          <w:color w:val="000000" w:themeColor="text1"/>
          <w:sz w:val="22"/>
          <w:szCs w:val="22"/>
        </w:rPr>
        <w:t>.</w:t>
      </w:r>
      <w:r w:rsidRPr="0027631D">
        <w:rPr>
          <w:color w:val="000000" w:themeColor="text1"/>
          <w:sz w:val="22"/>
          <w:szCs w:val="22"/>
          <w:lang w:val="es-ES" w:eastAsia="es-MX"/>
        </w:rPr>
        <w:t xml:space="preserve"> Condiciones técnicas de operación para los sistemas </w:t>
      </w:r>
      <w:r w:rsidRPr="0027631D">
        <w:rPr>
          <w:color w:val="000000" w:themeColor="text1"/>
          <w:sz w:val="22"/>
          <w:szCs w:val="22"/>
          <w:lang w:eastAsia="es-MX"/>
        </w:rPr>
        <w:t>híbridos con salto de frecuencia apagado en la banda 2400-2483.5 MHz</w:t>
      </w:r>
      <w:bookmarkEnd w:id="382"/>
      <w:bookmarkEnd w:id="383"/>
    </w:p>
    <w:p w14:paraId="4725397B" w14:textId="77777777" w:rsidR="00FF5B8A" w:rsidRPr="0027631D" w:rsidRDefault="00FF5B8A" w:rsidP="0027631D">
      <w:pPr>
        <w:spacing w:after="0" w:line="23" w:lineRule="atLeast"/>
        <w:contextualSpacing/>
        <w:rPr>
          <w:rFonts w:ascii="Arial" w:hAnsi="Arial" w:cs="Arial"/>
          <w:color w:val="000000" w:themeColor="text1"/>
        </w:rPr>
      </w:pPr>
    </w:p>
    <w:tbl>
      <w:tblPr>
        <w:tblStyle w:val="Tablaconcuadrcula"/>
        <w:tblW w:w="0" w:type="auto"/>
        <w:jc w:val="center"/>
        <w:shd w:val="clear" w:color="auto" w:fill="FFFFFF" w:themeFill="background1"/>
        <w:tblLook w:val="04A0" w:firstRow="1" w:lastRow="0" w:firstColumn="1" w:lastColumn="0" w:noHBand="0" w:noVBand="1"/>
      </w:tblPr>
      <w:tblGrid>
        <w:gridCol w:w="1157"/>
        <w:gridCol w:w="1157"/>
        <w:gridCol w:w="1684"/>
        <w:gridCol w:w="1501"/>
        <w:gridCol w:w="1218"/>
        <w:gridCol w:w="1401"/>
        <w:gridCol w:w="1276"/>
      </w:tblGrid>
      <w:tr w:rsidR="00FF5B8A" w:rsidRPr="0027631D" w14:paraId="7A6B391B" w14:textId="77777777" w:rsidTr="004E082F">
        <w:trPr>
          <w:cantSplit/>
          <w:trHeight w:val="263"/>
          <w:tblHeader/>
          <w:jc w:val="center"/>
        </w:trPr>
        <w:tc>
          <w:tcPr>
            <w:tcW w:w="0" w:type="auto"/>
            <w:gridSpan w:val="7"/>
            <w:shd w:val="clear" w:color="auto" w:fill="D9D9D9" w:themeFill="background1" w:themeFillShade="D9"/>
            <w:vAlign w:val="center"/>
          </w:tcPr>
          <w:p w14:paraId="7A1B0A68" w14:textId="77777777" w:rsidR="00FF5B8A" w:rsidRPr="0027631D" w:rsidRDefault="00FF5B8A" w:rsidP="0027631D">
            <w:pPr>
              <w:tabs>
                <w:tab w:val="left" w:pos="7525"/>
              </w:tabs>
              <w:spacing w:after="0" w:line="23" w:lineRule="atLeast"/>
              <w:contextualSpacing/>
              <w:jc w:val="center"/>
              <w:rPr>
                <w:rFonts w:ascii="Arial" w:hAnsi="Arial" w:cs="Arial"/>
                <w:b/>
                <w:color w:val="000000" w:themeColor="text1"/>
                <w:u w:val="single"/>
              </w:rPr>
            </w:pPr>
            <w:r w:rsidRPr="0027631D">
              <w:rPr>
                <w:rFonts w:ascii="Arial" w:hAnsi="Arial" w:cs="Arial"/>
                <w:b/>
                <w:color w:val="000000" w:themeColor="text1"/>
                <w:u w:val="single"/>
              </w:rPr>
              <w:t>Sistemas</w:t>
            </w:r>
            <w:r w:rsidRPr="0027631D">
              <w:rPr>
                <w:rFonts w:ascii="Arial" w:hAnsi="Arial" w:cs="Arial"/>
                <w:b/>
                <w:color w:val="000000" w:themeColor="text1"/>
                <w:u w:val="single"/>
                <w:lang w:eastAsia="es-MX"/>
              </w:rPr>
              <w:t xml:space="preserve"> híbridos </w:t>
            </w:r>
            <w:r w:rsidRPr="0027631D">
              <w:rPr>
                <w:rFonts w:ascii="Arial" w:hAnsi="Arial" w:cs="Arial"/>
                <w:b/>
                <w:color w:val="000000" w:themeColor="text1"/>
                <w:u w:val="single"/>
              </w:rPr>
              <w:t>con secuencia directa o modulación digital apagada</w:t>
            </w:r>
          </w:p>
        </w:tc>
      </w:tr>
      <w:tr w:rsidR="00FF5B8A" w:rsidRPr="0027631D" w14:paraId="74A53B0E" w14:textId="77777777" w:rsidTr="004E082F">
        <w:tblPrEx>
          <w:jc w:val="right"/>
          <w:tblCellMar>
            <w:left w:w="28" w:type="dxa"/>
            <w:right w:w="28" w:type="dxa"/>
          </w:tblCellMar>
        </w:tblPrEx>
        <w:trPr>
          <w:cantSplit/>
          <w:trHeight w:val="20"/>
          <w:tblHeader/>
          <w:jc w:val="right"/>
        </w:trPr>
        <w:tc>
          <w:tcPr>
            <w:tcW w:w="0" w:type="auto"/>
            <w:shd w:val="clear" w:color="auto" w:fill="D9D9D9" w:themeFill="background1" w:themeFillShade="D9"/>
            <w:vAlign w:val="center"/>
          </w:tcPr>
          <w:p w14:paraId="7E7AAE6D" w14:textId="77777777" w:rsidR="00FF5B8A" w:rsidRPr="0027631D" w:rsidRDefault="00FF5B8A" w:rsidP="0027631D">
            <w:pPr>
              <w:spacing w:after="0" w:line="23" w:lineRule="atLeast"/>
              <w:contextualSpacing/>
              <w:jc w:val="center"/>
              <w:rPr>
                <w:rFonts w:ascii="Arial" w:hAnsi="Arial" w:cs="Arial"/>
                <w:b/>
                <w:color w:val="000000" w:themeColor="text1"/>
                <w:lang w:val="es-ES" w:eastAsia="es-MX"/>
              </w:rPr>
            </w:pPr>
            <w:r w:rsidRPr="0027631D">
              <w:rPr>
                <w:rFonts w:ascii="Arial" w:hAnsi="Arial" w:cs="Arial"/>
                <w:b/>
                <w:color w:val="000000" w:themeColor="text1"/>
                <w:lang w:val="es-ES" w:eastAsia="es-MX"/>
              </w:rPr>
              <w:t>Tiempo promedio de ocupación en cualquier frecuencia</w:t>
            </w:r>
          </w:p>
        </w:tc>
        <w:tc>
          <w:tcPr>
            <w:tcW w:w="0" w:type="auto"/>
            <w:shd w:val="clear" w:color="auto" w:fill="D9D9D9" w:themeFill="background1" w:themeFillShade="D9"/>
            <w:vAlign w:val="center"/>
          </w:tcPr>
          <w:p w14:paraId="438281E9"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b/>
                <w:color w:val="000000" w:themeColor="text1"/>
                <w:lang w:val="es-ES" w:eastAsia="es-MX"/>
              </w:rPr>
              <w:t>Periodo de tiempo de ocupación</w:t>
            </w:r>
          </w:p>
        </w:tc>
        <w:tc>
          <w:tcPr>
            <w:tcW w:w="0" w:type="auto"/>
            <w:gridSpan w:val="2"/>
            <w:shd w:val="clear" w:color="auto" w:fill="D9D9D9" w:themeFill="background1" w:themeFillShade="D9"/>
            <w:vAlign w:val="center"/>
          </w:tcPr>
          <w:p w14:paraId="00BE9A4B" w14:textId="77777777" w:rsidR="00FF5B8A" w:rsidRPr="0027631D" w:rsidRDefault="00FF5B8A" w:rsidP="0027631D">
            <w:pPr>
              <w:spacing w:after="0" w:line="23" w:lineRule="atLeast"/>
              <w:contextualSpacing/>
              <w:jc w:val="center"/>
              <w:rPr>
                <w:rFonts w:ascii="Arial" w:hAnsi="Arial" w:cs="Arial"/>
                <w:b/>
                <w:color w:val="000000" w:themeColor="text1"/>
                <w:lang w:val="es-ES" w:eastAsia="es-MX"/>
              </w:rPr>
            </w:pPr>
            <w:r w:rsidRPr="0027631D">
              <w:rPr>
                <w:rFonts w:ascii="Arial" w:hAnsi="Arial" w:cs="Arial"/>
                <w:b/>
                <w:color w:val="000000" w:themeColor="text1"/>
              </w:rPr>
              <w:t>Potencia pico de salida máxima</w:t>
            </w:r>
          </w:p>
        </w:tc>
        <w:tc>
          <w:tcPr>
            <w:tcW w:w="0" w:type="auto"/>
            <w:shd w:val="clear" w:color="auto" w:fill="D9D9D9" w:themeFill="background1" w:themeFillShade="D9"/>
            <w:vAlign w:val="center"/>
          </w:tcPr>
          <w:p w14:paraId="2B31F023" w14:textId="77777777" w:rsidR="00FF5B8A" w:rsidRPr="0027631D" w:rsidRDefault="00FF5B8A" w:rsidP="00D62E72">
            <w:pPr>
              <w:spacing w:after="0" w:line="23" w:lineRule="atLeast"/>
              <w:contextualSpacing/>
              <w:jc w:val="center"/>
              <w:rPr>
                <w:rFonts w:ascii="Arial" w:hAnsi="Arial" w:cs="Arial"/>
                <w:b/>
                <w:color w:val="000000" w:themeColor="text1"/>
              </w:rPr>
            </w:pPr>
            <w:r w:rsidRPr="0027631D">
              <w:rPr>
                <w:rFonts w:ascii="Arial" w:hAnsi="Arial" w:cs="Arial"/>
                <w:b/>
                <w:color w:val="000000" w:themeColor="text1"/>
              </w:rPr>
              <w:t>Ganancia de la antena direccional</w:t>
            </w:r>
          </w:p>
        </w:tc>
        <w:tc>
          <w:tcPr>
            <w:tcW w:w="0" w:type="auto"/>
            <w:gridSpan w:val="2"/>
            <w:shd w:val="clear" w:color="auto" w:fill="D9D9D9" w:themeFill="background1" w:themeFillShade="D9"/>
            <w:vAlign w:val="center"/>
          </w:tcPr>
          <w:p w14:paraId="35D62DBB" w14:textId="77777777" w:rsidR="00FF5B8A" w:rsidRPr="0027631D" w:rsidRDefault="00FF5B8A" w:rsidP="0027631D">
            <w:pPr>
              <w:spacing w:after="0" w:line="23" w:lineRule="atLeast"/>
              <w:contextualSpacing/>
              <w:jc w:val="center"/>
              <w:rPr>
                <w:rFonts w:ascii="Arial" w:hAnsi="Arial" w:cs="Arial"/>
                <w:b/>
                <w:color w:val="000000" w:themeColor="text1"/>
              </w:rPr>
            </w:pPr>
            <w:r w:rsidRPr="0027631D">
              <w:rPr>
                <w:rFonts w:ascii="Arial" w:hAnsi="Arial" w:cs="Arial"/>
                <w:b/>
                <w:color w:val="000000" w:themeColor="text1"/>
              </w:rPr>
              <w:t>PIRE</w:t>
            </w:r>
          </w:p>
        </w:tc>
      </w:tr>
      <w:tr w:rsidR="00FF5B8A" w:rsidRPr="0027631D" w14:paraId="45144C41" w14:textId="77777777" w:rsidTr="004E082F">
        <w:tblPrEx>
          <w:jc w:val="right"/>
          <w:tblCellMar>
            <w:left w:w="28" w:type="dxa"/>
            <w:right w:w="28" w:type="dxa"/>
          </w:tblCellMar>
        </w:tblPrEx>
        <w:trPr>
          <w:cantSplit/>
          <w:trHeight w:val="20"/>
          <w:jc w:val="right"/>
        </w:trPr>
        <w:tc>
          <w:tcPr>
            <w:tcW w:w="0" w:type="auto"/>
            <w:shd w:val="clear" w:color="auto" w:fill="FFFFFF" w:themeFill="background1"/>
            <w:vAlign w:val="center"/>
          </w:tcPr>
          <w:p w14:paraId="01D781A0" w14:textId="77777777" w:rsidR="00FF5B8A" w:rsidRPr="0027631D" w:rsidRDefault="00FF5B8A" w:rsidP="0027631D">
            <w:pPr>
              <w:spacing w:after="0" w:line="23" w:lineRule="atLeast"/>
              <w:contextualSpacing/>
              <w:jc w:val="center"/>
              <w:rPr>
                <w:rFonts w:ascii="Arial" w:hAnsi="Arial" w:cs="Arial"/>
                <w:b/>
                <w:color w:val="000000" w:themeColor="text1"/>
                <w:lang w:val="es-ES" w:eastAsia="es-MX"/>
              </w:rPr>
            </w:pPr>
            <w:r w:rsidRPr="0027631D">
              <w:rPr>
                <w:rFonts w:ascii="Arial" w:hAnsi="Arial" w:cs="Arial"/>
                <w:color w:val="000000" w:themeColor="text1"/>
                <w:lang w:val="es-ES"/>
              </w:rPr>
              <w:t>≤ 0.4s</w:t>
            </w:r>
          </w:p>
        </w:tc>
        <w:tc>
          <w:tcPr>
            <w:tcW w:w="0" w:type="auto"/>
            <w:shd w:val="clear" w:color="auto" w:fill="FFFFFF" w:themeFill="background1"/>
            <w:vAlign w:val="center"/>
          </w:tcPr>
          <w:p w14:paraId="43947C37"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color w:val="000000" w:themeColor="text1"/>
                <w:lang w:val="es-ES"/>
              </w:rPr>
              <w:t>(0.4 s) por el número de canales</w:t>
            </w:r>
          </w:p>
        </w:tc>
        <w:tc>
          <w:tcPr>
            <w:tcW w:w="1449" w:type="dxa"/>
            <w:shd w:val="clear" w:color="auto" w:fill="FFFFFF" w:themeFill="background1"/>
            <w:vAlign w:val="center"/>
          </w:tcPr>
          <w:p w14:paraId="326E2074"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 xml:space="preserve">1 W </w:t>
            </w:r>
          </w:p>
          <w:p w14:paraId="45DFBDC9"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 xml:space="preserve">(30 dBm) </w:t>
            </w:r>
          </w:p>
          <w:p w14:paraId="338091FA" w14:textId="77777777" w:rsidR="00FF5B8A" w:rsidRPr="0027631D" w:rsidRDefault="00FF5B8A" w:rsidP="0027631D">
            <w:pPr>
              <w:spacing w:after="0" w:line="23" w:lineRule="atLeast"/>
              <w:contextualSpacing/>
              <w:jc w:val="center"/>
              <w:rPr>
                <w:rFonts w:ascii="Arial" w:hAnsi="Arial" w:cs="Arial"/>
                <w:color w:val="000000" w:themeColor="text1"/>
                <w:lang w:val="es-ES" w:eastAsia="es-MX"/>
              </w:rPr>
            </w:pPr>
            <w:r w:rsidRPr="0027631D">
              <w:rPr>
                <w:rFonts w:ascii="Arial" w:hAnsi="Arial" w:cs="Arial"/>
                <w:color w:val="000000" w:themeColor="text1"/>
              </w:rPr>
              <w:t>cuando se utilicen por lo menos 75 canales de salto no traslapados</w:t>
            </w:r>
          </w:p>
        </w:tc>
        <w:tc>
          <w:tcPr>
            <w:tcW w:w="1324" w:type="dxa"/>
            <w:shd w:val="clear" w:color="auto" w:fill="FFFFFF" w:themeFill="background1"/>
            <w:vAlign w:val="center"/>
          </w:tcPr>
          <w:p w14:paraId="666CE202"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 xml:space="preserve">0.125 W </w:t>
            </w:r>
          </w:p>
          <w:p w14:paraId="7A275DC9"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 xml:space="preserve">(26 dBm) </w:t>
            </w:r>
          </w:p>
          <w:p w14:paraId="5345D9E9"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cuando se utilicen por lo menos 15 canales de salto</w:t>
            </w:r>
          </w:p>
        </w:tc>
        <w:tc>
          <w:tcPr>
            <w:tcW w:w="0" w:type="auto"/>
            <w:shd w:val="clear" w:color="auto" w:fill="FFFFFF" w:themeFill="background1"/>
            <w:vAlign w:val="center"/>
          </w:tcPr>
          <w:p w14:paraId="39C59D15"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 6 dBi</w:t>
            </w:r>
          </w:p>
        </w:tc>
        <w:tc>
          <w:tcPr>
            <w:tcW w:w="1434" w:type="dxa"/>
            <w:shd w:val="clear" w:color="auto" w:fill="FFFFFF" w:themeFill="background1"/>
            <w:vAlign w:val="center"/>
          </w:tcPr>
          <w:p w14:paraId="6D27F582"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 xml:space="preserve">≤ 4 W </w:t>
            </w:r>
          </w:p>
          <w:p w14:paraId="310275FC"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 xml:space="preserve">(36 dBm) </w:t>
            </w:r>
          </w:p>
          <w:p w14:paraId="467524D4"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cuando se utilicen por lo menos 75 canales de salto no traslapados</w:t>
            </w:r>
          </w:p>
        </w:tc>
        <w:tc>
          <w:tcPr>
            <w:tcW w:w="1349" w:type="dxa"/>
            <w:shd w:val="clear" w:color="auto" w:fill="FFFFFF" w:themeFill="background1"/>
            <w:vAlign w:val="center"/>
          </w:tcPr>
          <w:p w14:paraId="1712C284"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 xml:space="preserve">≤ 0.5 W </w:t>
            </w:r>
          </w:p>
          <w:p w14:paraId="45BD1234"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 xml:space="preserve">(27 dBm) </w:t>
            </w:r>
          </w:p>
          <w:p w14:paraId="01701CFA"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cuando se utilicen por lo menos 15 canales de salto</w:t>
            </w:r>
          </w:p>
        </w:tc>
      </w:tr>
    </w:tbl>
    <w:p w14:paraId="36BE449D" w14:textId="4C9706B5" w:rsidR="00FF5B8A" w:rsidRPr="0027631D" w:rsidRDefault="00FF5B8A" w:rsidP="0027631D">
      <w:pPr>
        <w:pStyle w:val="Descripcin"/>
        <w:contextualSpacing/>
        <w:rPr>
          <w:color w:val="000000" w:themeColor="text1"/>
          <w:sz w:val="22"/>
          <w:szCs w:val="22"/>
          <w:lang w:val="es-ES" w:eastAsia="es-MX"/>
        </w:rPr>
      </w:pPr>
      <w:bookmarkStart w:id="384" w:name="_Toc45452845"/>
      <w:bookmarkStart w:id="385" w:name="_Toc45452954"/>
      <w:r w:rsidRPr="0027631D">
        <w:rPr>
          <w:color w:val="000000" w:themeColor="text1"/>
          <w:sz w:val="22"/>
          <w:szCs w:val="22"/>
        </w:rPr>
        <w:t xml:space="preserve">Tabla </w:t>
      </w:r>
      <w:r w:rsidR="00733738">
        <w:rPr>
          <w:color w:val="000000" w:themeColor="text1"/>
          <w:sz w:val="22"/>
          <w:szCs w:val="22"/>
        </w:rPr>
        <w:t>4</w:t>
      </w:r>
      <w:r w:rsidRPr="0027631D">
        <w:rPr>
          <w:color w:val="000000" w:themeColor="text1"/>
          <w:sz w:val="22"/>
          <w:szCs w:val="22"/>
        </w:rPr>
        <w:t>.</w:t>
      </w:r>
      <w:r w:rsidRPr="0027631D">
        <w:rPr>
          <w:color w:val="000000" w:themeColor="text1"/>
          <w:sz w:val="22"/>
          <w:szCs w:val="22"/>
          <w:lang w:val="es-ES" w:eastAsia="es-MX"/>
        </w:rPr>
        <w:t xml:space="preserve"> Condiciones técnicas de operación para los sistemas </w:t>
      </w:r>
      <w:r w:rsidRPr="0027631D">
        <w:rPr>
          <w:color w:val="000000" w:themeColor="text1"/>
          <w:sz w:val="22"/>
          <w:szCs w:val="22"/>
          <w:lang w:eastAsia="es-MX"/>
        </w:rPr>
        <w:t>híbridos con modulación digital apagada en la banda 2400-2483.5 MHz</w:t>
      </w:r>
      <w:bookmarkEnd w:id="384"/>
      <w:bookmarkEnd w:id="385"/>
    </w:p>
    <w:p w14:paraId="3C5B08A9" w14:textId="77777777" w:rsidR="00FF5B8A" w:rsidRPr="0027631D" w:rsidRDefault="00FF5B8A" w:rsidP="0027631D">
      <w:pPr>
        <w:spacing w:after="0" w:line="23" w:lineRule="atLeast"/>
        <w:contextualSpacing/>
        <w:rPr>
          <w:rFonts w:ascii="Arial" w:hAnsi="Arial" w:cs="Arial"/>
          <w:color w:val="000000" w:themeColor="text1"/>
        </w:rPr>
      </w:pPr>
    </w:p>
    <w:p w14:paraId="0B681C21" w14:textId="77777777" w:rsidR="00FF5B8A" w:rsidRPr="0027631D" w:rsidRDefault="00FF5B8A" w:rsidP="0027631D">
      <w:pPr>
        <w:spacing w:after="0" w:line="23" w:lineRule="atLeast"/>
        <w:contextualSpacing/>
        <w:jc w:val="both"/>
        <w:rPr>
          <w:rFonts w:ascii="Arial" w:hAnsi="Arial" w:cs="Arial"/>
          <w:color w:val="000000" w:themeColor="text1"/>
        </w:rPr>
      </w:pPr>
      <w:r w:rsidRPr="0027631D">
        <w:rPr>
          <w:rFonts w:ascii="Arial" w:hAnsi="Arial" w:cs="Arial"/>
          <w:color w:val="000000" w:themeColor="text1"/>
          <w:lang w:val="es-ES" w:eastAsia="es-MX"/>
        </w:rPr>
        <w:lastRenderedPageBreak/>
        <w:t xml:space="preserve">Aunado a lo anterior, el </w:t>
      </w:r>
      <w:r w:rsidRPr="0027631D">
        <w:rPr>
          <w:rFonts w:ascii="Arial" w:hAnsi="Arial" w:cs="Arial"/>
          <w:color w:val="000000" w:themeColor="text1"/>
        </w:rPr>
        <w:t xml:space="preserve">límite de potencia pico de salida máxima conducida aplicable a los sistemas híbridos con salto de frecuencia apagado e híbridos con secuencia directa o modulación digital apagada, se basa en el uso de antenas </w:t>
      </w:r>
      <w:r w:rsidR="00164FFF" w:rsidRPr="0027631D">
        <w:rPr>
          <w:rFonts w:ascii="Arial" w:hAnsi="Arial" w:cs="Arial"/>
          <w:color w:val="000000" w:themeColor="text1"/>
        </w:rPr>
        <w:t xml:space="preserve">direccionales </w:t>
      </w:r>
      <w:r w:rsidRPr="0027631D">
        <w:rPr>
          <w:rFonts w:ascii="Arial" w:hAnsi="Arial" w:cs="Arial"/>
          <w:color w:val="000000" w:themeColor="text1"/>
        </w:rPr>
        <w:t xml:space="preserve">con ganancias que no superan los 6 dBi. Si se utilizan antenas de transmisión </w:t>
      </w:r>
      <w:r w:rsidR="00BB3D40" w:rsidRPr="0027631D">
        <w:rPr>
          <w:rFonts w:ascii="Arial" w:hAnsi="Arial" w:cs="Arial"/>
          <w:color w:val="000000" w:themeColor="text1"/>
        </w:rPr>
        <w:t xml:space="preserve">direccional </w:t>
      </w:r>
      <w:r w:rsidRPr="0027631D">
        <w:rPr>
          <w:rFonts w:ascii="Arial" w:hAnsi="Arial" w:cs="Arial"/>
          <w:color w:val="000000" w:themeColor="text1"/>
        </w:rPr>
        <w:t xml:space="preserve">de ganancia mayor a 6 dBi, la potencia pico de salida máxima conducida desde el radiador intencional se reducirá por debajo de los valores establecidos, según corresponda, en la cantidad en dB que la ganancia de la antena </w:t>
      </w:r>
      <w:r w:rsidR="0050179B" w:rsidRPr="0027631D">
        <w:rPr>
          <w:rFonts w:ascii="Arial" w:hAnsi="Arial" w:cs="Arial"/>
          <w:color w:val="000000" w:themeColor="text1"/>
        </w:rPr>
        <w:t xml:space="preserve">direccional </w:t>
      </w:r>
      <w:r w:rsidRPr="0027631D">
        <w:rPr>
          <w:rFonts w:ascii="Arial" w:hAnsi="Arial" w:cs="Arial"/>
          <w:color w:val="000000" w:themeColor="text1"/>
        </w:rPr>
        <w:t>excede los 6 dBi.</w:t>
      </w:r>
    </w:p>
    <w:p w14:paraId="340BE492" w14:textId="77777777" w:rsidR="00FF5B8A" w:rsidRPr="0027631D" w:rsidRDefault="00FF5B8A" w:rsidP="0027631D">
      <w:pPr>
        <w:spacing w:after="0" w:line="23" w:lineRule="atLeast"/>
        <w:contextualSpacing/>
        <w:rPr>
          <w:rFonts w:ascii="Arial" w:hAnsi="Arial" w:cs="Arial"/>
          <w:color w:val="000000" w:themeColor="text1"/>
        </w:rPr>
      </w:pPr>
    </w:p>
    <w:p w14:paraId="474C92ED" w14:textId="77777777" w:rsidR="00FF5B8A" w:rsidRPr="00794179" w:rsidRDefault="00FF5B8A" w:rsidP="00794179">
      <w:pPr>
        <w:pStyle w:val="Ttulo6"/>
      </w:pPr>
      <w:r w:rsidRPr="0027631D">
        <w:t>Sistemas fijos punto a punto</w:t>
      </w:r>
    </w:p>
    <w:p w14:paraId="5FAD586D" w14:textId="77777777" w:rsidR="00FF5B8A" w:rsidRDefault="00FF5B8A" w:rsidP="0027631D">
      <w:pPr>
        <w:spacing w:after="0" w:line="23" w:lineRule="atLeast"/>
        <w:contextualSpacing/>
        <w:rPr>
          <w:rFonts w:ascii="Arial" w:hAnsi="Arial" w:cs="Arial"/>
          <w:color w:val="000000" w:themeColor="text1"/>
        </w:rPr>
      </w:pPr>
    </w:p>
    <w:tbl>
      <w:tblPr>
        <w:tblStyle w:val="Tablaconcuadrcula"/>
        <w:tblW w:w="5000" w:type="pct"/>
        <w:jc w:val="center"/>
        <w:shd w:val="clear" w:color="auto" w:fill="FFFFFF" w:themeFill="background1"/>
        <w:tblLook w:val="04A0" w:firstRow="1" w:lastRow="0" w:firstColumn="1" w:lastColumn="0" w:noHBand="0" w:noVBand="1"/>
      </w:tblPr>
      <w:tblGrid>
        <w:gridCol w:w="1555"/>
        <w:gridCol w:w="1306"/>
        <w:gridCol w:w="6533"/>
      </w:tblGrid>
      <w:tr w:rsidR="00461980" w:rsidRPr="0027631D" w14:paraId="0BD7B8F3" w14:textId="77777777" w:rsidTr="003A7C55">
        <w:trPr>
          <w:trHeight w:val="327"/>
          <w:tblHeader/>
          <w:jc w:val="center"/>
        </w:trPr>
        <w:tc>
          <w:tcPr>
            <w:tcW w:w="5000" w:type="pct"/>
            <w:gridSpan w:val="3"/>
            <w:shd w:val="clear" w:color="auto" w:fill="D9D9D9" w:themeFill="background1" w:themeFillShade="D9"/>
            <w:vAlign w:val="center"/>
          </w:tcPr>
          <w:p w14:paraId="18262EA2" w14:textId="77777777" w:rsidR="00461980" w:rsidRPr="0027631D" w:rsidRDefault="00461980" w:rsidP="003A7C55">
            <w:pPr>
              <w:tabs>
                <w:tab w:val="left" w:pos="7525"/>
              </w:tabs>
              <w:spacing w:after="0" w:line="23" w:lineRule="atLeast"/>
              <w:contextualSpacing/>
              <w:jc w:val="center"/>
              <w:rPr>
                <w:rFonts w:ascii="Arial" w:hAnsi="Arial" w:cs="Arial"/>
                <w:b/>
                <w:color w:val="000000" w:themeColor="text1"/>
                <w:u w:val="single"/>
              </w:rPr>
            </w:pPr>
            <w:r w:rsidRPr="0027631D">
              <w:rPr>
                <w:rFonts w:ascii="Arial" w:hAnsi="Arial" w:cs="Arial"/>
                <w:b/>
                <w:color w:val="000000" w:themeColor="text1"/>
                <w:u w:val="single"/>
              </w:rPr>
              <w:t>Sistemas fijos punto a punto</w:t>
            </w:r>
          </w:p>
        </w:tc>
      </w:tr>
      <w:tr w:rsidR="00461980" w:rsidRPr="0027631D" w14:paraId="221DCEB6" w14:textId="77777777" w:rsidTr="004C0CB4">
        <w:trPr>
          <w:jc w:val="center"/>
        </w:trPr>
        <w:tc>
          <w:tcPr>
            <w:tcW w:w="828" w:type="pct"/>
            <w:shd w:val="clear" w:color="auto" w:fill="D9D9D9" w:themeFill="background1" w:themeFillShade="D9"/>
            <w:vAlign w:val="center"/>
          </w:tcPr>
          <w:p w14:paraId="6DDEE950" w14:textId="77777777" w:rsidR="00461980" w:rsidRPr="0027631D" w:rsidRDefault="00E34689" w:rsidP="003A7C55">
            <w:pPr>
              <w:spacing w:after="0" w:line="23" w:lineRule="atLeast"/>
              <w:contextualSpacing/>
              <w:rPr>
                <w:rFonts w:ascii="Arial" w:hAnsi="Arial" w:cs="Arial"/>
                <w:b/>
                <w:color w:val="000000" w:themeColor="text1"/>
              </w:rPr>
            </w:pPr>
            <w:r>
              <w:rPr>
                <w:rFonts w:ascii="Arial" w:hAnsi="Arial" w:cs="Arial"/>
                <w:b/>
                <w:color w:val="000000" w:themeColor="text1"/>
              </w:rPr>
              <w:t>Condición</w:t>
            </w:r>
          </w:p>
        </w:tc>
        <w:tc>
          <w:tcPr>
            <w:tcW w:w="695" w:type="pct"/>
            <w:shd w:val="clear" w:color="auto" w:fill="FFFFFF" w:themeFill="background1"/>
            <w:vAlign w:val="center"/>
          </w:tcPr>
          <w:p w14:paraId="1BA99441" w14:textId="77777777" w:rsidR="00461980" w:rsidRPr="0027631D" w:rsidRDefault="00E34689" w:rsidP="003A7C55">
            <w:pPr>
              <w:spacing w:after="0" w:line="23" w:lineRule="atLeast"/>
              <w:contextualSpacing/>
              <w:jc w:val="center"/>
              <w:rPr>
                <w:rFonts w:ascii="Arial" w:hAnsi="Arial" w:cs="Arial"/>
                <w:color w:val="000000" w:themeColor="text1"/>
              </w:rPr>
            </w:pPr>
            <w:r>
              <w:rPr>
                <w:rFonts w:ascii="Arial" w:hAnsi="Arial" w:cs="Arial"/>
                <w:color w:val="000000" w:themeColor="text1"/>
              </w:rPr>
              <w:t>A</w:t>
            </w:r>
          </w:p>
        </w:tc>
        <w:tc>
          <w:tcPr>
            <w:tcW w:w="3477" w:type="pct"/>
            <w:shd w:val="clear" w:color="auto" w:fill="FFFFFF" w:themeFill="background1"/>
            <w:vAlign w:val="center"/>
          </w:tcPr>
          <w:p w14:paraId="53A9548F" w14:textId="77777777" w:rsidR="00461980" w:rsidRPr="0027631D" w:rsidRDefault="00E34689" w:rsidP="003A7C55">
            <w:pPr>
              <w:spacing w:after="0" w:line="23" w:lineRule="atLeast"/>
              <w:contextualSpacing/>
              <w:jc w:val="center"/>
              <w:rPr>
                <w:rFonts w:ascii="Arial" w:hAnsi="Arial" w:cs="Arial"/>
                <w:color w:val="000000" w:themeColor="text1"/>
              </w:rPr>
            </w:pPr>
            <w:r>
              <w:rPr>
                <w:rFonts w:ascii="Arial" w:hAnsi="Arial" w:cs="Arial"/>
                <w:color w:val="000000" w:themeColor="text1"/>
              </w:rPr>
              <w:t>B</w:t>
            </w:r>
          </w:p>
        </w:tc>
      </w:tr>
      <w:tr w:rsidR="00E34689" w:rsidRPr="0027631D" w14:paraId="38163E74" w14:textId="77777777" w:rsidTr="004C0CB4">
        <w:trPr>
          <w:jc w:val="center"/>
        </w:trPr>
        <w:tc>
          <w:tcPr>
            <w:tcW w:w="828" w:type="pct"/>
            <w:shd w:val="clear" w:color="auto" w:fill="D9D9D9" w:themeFill="background1" w:themeFillShade="D9"/>
            <w:vAlign w:val="center"/>
          </w:tcPr>
          <w:p w14:paraId="6C8FF102" w14:textId="77777777" w:rsidR="00E34689" w:rsidRPr="0027631D" w:rsidRDefault="00E34689" w:rsidP="003A7C55">
            <w:pPr>
              <w:spacing w:after="0" w:line="23" w:lineRule="atLeast"/>
              <w:contextualSpacing/>
              <w:rPr>
                <w:rFonts w:ascii="Arial" w:hAnsi="Arial" w:cs="Arial"/>
                <w:b/>
                <w:color w:val="000000" w:themeColor="text1"/>
              </w:rPr>
            </w:pPr>
            <w:r w:rsidRPr="0027631D">
              <w:rPr>
                <w:rFonts w:ascii="Arial" w:hAnsi="Arial" w:cs="Arial"/>
                <w:b/>
                <w:color w:val="000000" w:themeColor="text1"/>
              </w:rPr>
              <w:t>Tipo de antena</w:t>
            </w:r>
          </w:p>
        </w:tc>
        <w:tc>
          <w:tcPr>
            <w:tcW w:w="4172" w:type="pct"/>
            <w:gridSpan w:val="2"/>
            <w:shd w:val="clear" w:color="auto" w:fill="FFFFFF" w:themeFill="background1"/>
            <w:vAlign w:val="center"/>
          </w:tcPr>
          <w:p w14:paraId="691DD236" w14:textId="77777777" w:rsidR="00E34689" w:rsidRPr="0027631D" w:rsidRDefault="00E34689" w:rsidP="003A7C55">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Direccional</w:t>
            </w:r>
          </w:p>
        </w:tc>
      </w:tr>
      <w:tr w:rsidR="00461980" w:rsidRPr="0027631D" w14:paraId="1154ECDA" w14:textId="77777777" w:rsidTr="004C0CB4">
        <w:trPr>
          <w:jc w:val="center"/>
        </w:trPr>
        <w:tc>
          <w:tcPr>
            <w:tcW w:w="828" w:type="pct"/>
            <w:shd w:val="clear" w:color="auto" w:fill="D9D9D9" w:themeFill="background1" w:themeFillShade="D9"/>
            <w:vAlign w:val="center"/>
          </w:tcPr>
          <w:p w14:paraId="4866C401" w14:textId="77777777" w:rsidR="00461980" w:rsidRPr="0027631D" w:rsidRDefault="00461980" w:rsidP="00410E42">
            <w:pPr>
              <w:spacing w:after="0" w:line="23" w:lineRule="atLeast"/>
              <w:contextualSpacing/>
              <w:rPr>
                <w:rFonts w:ascii="Arial" w:hAnsi="Arial" w:cs="Arial"/>
                <w:b/>
                <w:color w:val="000000" w:themeColor="text1"/>
              </w:rPr>
            </w:pPr>
            <w:r w:rsidRPr="0027631D">
              <w:rPr>
                <w:rFonts w:ascii="Arial" w:hAnsi="Arial" w:cs="Arial"/>
                <w:b/>
                <w:color w:val="000000" w:themeColor="text1"/>
              </w:rPr>
              <w:t>Ganancia de la antena direccional</w:t>
            </w:r>
          </w:p>
        </w:tc>
        <w:tc>
          <w:tcPr>
            <w:tcW w:w="695" w:type="pct"/>
            <w:shd w:val="clear" w:color="auto" w:fill="FFFFFF" w:themeFill="background1"/>
            <w:vAlign w:val="center"/>
          </w:tcPr>
          <w:p w14:paraId="297A285E" w14:textId="77777777" w:rsidR="00461980" w:rsidRPr="0027631D" w:rsidRDefault="00461980" w:rsidP="003A7C55">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 6 dBi</w:t>
            </w:r>
          </w:p>
        </w:tc>
        <w:tc>
          <w:tcPr>
            <w:tcW w:w="3477" w:type="pct"/>
            <w:shd w:val="clear" w:color="auto" w:fill="FFFFFF" w:themeFill="background1"/>
            <w:vAlign w:val="center"/>
          </w:tcPr>
          <w:p w14:paraId="4E6B54FF" w14:textId="77777777" w:rsidR="00461980" w:rsidRPr="0027631D" w:rsidRDefault="00461980" w:rsidP="003A7C55">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&gt; 6 dBi</w:t>
            </w:r>
          </w:p>
          <w:p w14:paraId="06A892FB" w14:textId="77777777" w:rsidR="00D879AC" w:rsidRDefault="00D879AC" w:rsidP="00E36991">
            <w:pPr>
              <w:pStyle w:val="Prrafodelista"/>
              <w:numPr>
                <w:ilvl w:val="0"/>
                <w:numId w:val="15"/>
              </w:numPr>
              <w:spacing w:line="23" w:lineRule="atLeast"/>
              <w:ind w:left="139" w:hanging="142"/>
              <w:contextualSpacing/>
              <w:jc w:val="both"/>
              <w:rPr>
                <w:rFonts w:cs="Arial"/>
                <w:color w:val="000000" w:themeColor="text1"/>
                <w:sz w:val="22"/>
                <w:szCs w:val="22"/>
              </w:rPr>
            </w:pPr>
            <w:r w:rsidRPr="00D879AC">
              <w:rPr>
                <w:rFonts w:cs="Arial"/>
                <w:color w:val="000000" w:themeColor="text1"/>
                <w:sz w:val="22"/>
                <w:szCs w:val="22"/>
              </w:rPr>
              <w:t xml:space="preserve">siempre y cuando los sistemas sean utilizados exclusivamente en operaciones fijas PaP y </w:t>
            </w:r>
            <w:r w:rsidR="00D625C6">
              <w:rPr>
                <w:rFonts w:cs="Arial"/>
                <w:color w:val="000000" w:themeColor="text1"/>
                <w:sz w:val="22"/>
                <w:szCs w:val="22"/>
              </w:rPr>
              <w:t>que</w:t>
            </w:r>
            <w:r w:rsidRPr="00D879AC">
              <w:rPr>
                <w:rFonts w:cs="Arial"/>
                <w:color w:val="000000" w:themeColor="text1"/>
                <w:sz w:val="22"/>
                <w:szCs w:val="22"/>
              </w:rPr>
              <w:t xml:space="preserve"> la potencia de salida </w:t>
            </w:r>
            <w:r w:rsidR="00F5168F">
              <w:rPr>
                <w:rFonts w:cs="Arial"/>
                <w:color w:val="000000" w:themeColor="text1"/>
                <w:sz w:val="22"/>
                <w:szCs w:val="22"/>
              </w:rPr>
              <w:t xml:space="preserve">máxima </w:t>
            </w:r>
            <w:r w:rsidRPr="00D879AC">
              <w:rPr>
                <w:rFonts w:cs="Arial"/>
                <w:color w:val="000000" w:themeColor="text1"/>
                <w:sz w:val="22"/>
                <w:szCs w:val="22"/>
              </w:rPr>
              <w:t>conducida hacia la antena de transmisión sea reducida en 1 dB por cada 3 dB que la ganancia de la antena direccional supere los 6 dBi.</w:t>
            </w:r>
          </w:p>
          <w:p w14:paraId="0C1B6095" w14:textId="77777777" w:rsidR="00461980" w:rsidRPr="00F5168F" w:rsidRDefault="00461980" w:rsidP="00E36991">
            <w:pPr>
              <w:pStyle w:val="Prrafodelista"/>
              <w:numPr>
                <w:ilvl w:val="0"/>
                <w:numId w:val="15"/>
              </w:numPr>
              <w:spacing w:line="23" w:lineRule="atLeast"/>
              <w:ind w:left="139" w:hanging="142"/>
              <w:contextualSpacing/>
              <w:jc w:val="both"/>
              <w:rPr>
                <w:rFonts w:cs="Arial"/>
                <w:color w:val="000000" w:themeColor="text1"/>
                <w:sz w:val="22"/>
                <w:szCs w:val="22"/>
              </w:rPr>
            </w:pPr>
            <w:r w:rsidRPr="0027631D">
              <w:rPr>
                <w:rFonts w:cs="Arial"/>
                <w:color w:val="000000" w:themeColor="text1"/>
                <w:sz w:val="22"/>
                <w:szCs w:val="22"/>
              </w:rPr>
              <w:t>se excluye el uso de antenas direccionales con ganancia mayor que 6 dBi para los sistemas PaM, aplicaciones omnidireccionales y múltiples radiadores intencionales de ubicación conjunta que transmiten la misma información</w:t>
            </w:r>
          </w:p>
        </w:tc>
      </w:tr>
      <w:tr w:rsidR="00461980" w:rsidRPr="0027631D" w14:paraId="16F01DA1" w14:textId="77777777" w:rsidTr="004C0CB4">
        <w:trPr>
          <w:jc w:val="center"/>
        </w:trPr>
        <w:tc>
          <w:tcPr>
            <w:tcW w:w="828" w:type="pct"/>
            <w:shd w:val="clear" w:color="auto" w:fill="D9D9D9" w:themeFill="background1" w:themeFillShade="D9"/>
            <w:vAlign w:val="center"/>
          </w:tcPr>
          <w:p w14:paraId="020F2DEF" w14:textId="77777777" w:rsidR="00461980" w:rsidRPr="0027631D" w:rsidRDefault="00461980" w:rsidP="003A7C55">
            <w:pPr>
              <w:spacing w:after="0" w:line="23" w:lineRule="atLeast"/>
              <w:contextualSpacing/>
              <w:rPr>
                <w:rFonts w:ascii="Arial" w:hAnsi="Arial" w:cs="Arial"/>
                <w:b/>
                <w:color w:val="000000" w:themeColor="text1"/>
              </w:rPr>
            </w:pPr>
            <w:r w:rsidRPr="0027631D">
              <w:rPr>
                <w:rFonts w:ascii="Arial" w:hAnsi="Arial" w:cs="Arial"/>
                <w:b/>
                <w:color w:val="000000" w:themeColor="text1"/>
              </w:rPr>
              <w:t>Potencia de salida máxima</w:t>
            </w:r>
          </w:p>
        </w:tc>
        <w:tc>
          <w:tcPr>
            <w:tcW w:w="695" w:type="pct"/>
            <w:shd w:val="clear" w:color="auto" w:fill="FFFFFF" w:themeFill="background1"/>
            <w:vAlign w:val="center"/>
          </w:tcPr>
          <w:p w14:paraId="1B61C8EC" w14:textId="77777777" w:rsidR="00461980" w:rsidRPr="0027631D" w:rsidRDefault="00461980" w:rsidP="003A7C55">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1 W</w:t>
            </w:r>
          </w:p>
          <w:p w14:paraId="1165C7D4" w14:textId="77777777" w:rsidR="00461980" w:rsidRPr="0027631D" w:rsidRDefault="00461980" w:rsidP="003A7C55">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(30 dB</w:t>
            </w:r>
            <w:r w:rsidR="00F5168F">
              <w:rPr>
                <w:rFonts w:ascii="Arial" w:hAnsi="Arial" w:cs="Arial"/>
                <w:color w:val="000000" w:themeColor="text1"/>
              </w:rPr>
              <w:t>m</w:t>
            </w:r>
            <w:r w:rsidRPr="0027631D">
              <w:rPr>
                <w:rFonts w:ascii="Arial" w:hAnsi="Arial" w:cs="Arial"/>
                <w:color w:val="000000" w:themeColor="text1"/>
              </w:rPr>
              <w:t>)</w:t>
            </w:r>
          </w:p>
        </w:tc>
        <w:tc>
          <w:tcPr>
            <w:tcW w:w="3477" w:type="pct"/>
            <w:shd w:val="clear" w:color="auto" w:fill="FFFFFF" w:themeFill="background1"/>
            <w:vAlign w:val="center"/>
          </w:tcPr>
          <w:p w14:paraId="08AFBC14" w14:textId="77777777" w:rsidR="00461980" w:rsidRPr="0027631D" w:rsidRDefault="00F5168F" w:rsidP="003A7C55">
            <w:pPr>
              <w:spacing w:after="0" w:line="23" w:lineRule="atLeast"/>
              <w:contextualSpacing/>
              <w:jc w:val="center"/>
              <w:rPr>
                <w:rFonts w:ascii="Arial" w:hAnsi="Arial" w:cs="Arial"/>
                <w:color w:val="000000" w:themeColor="text1"/>
                <w:lang w:val="es-ES"/>
              </w:rPr>
            </w:pPr>
            <w:r>
              <w:rPr>
                <w:rFonts w:ascii="Arial" w:hAnsi="Arial" w:cs="Arial"/>
                <w:color w:val="000000" w:themeColor="text1"/>
                <w:lang w:val="es-ES"/>
              </w:rPr>
              <w:t xml:space="preserve">&lt; 1 </w:t>
            </w:r>
            <w:r w:rsidR="00461980" w:rsidRPr="0027631D">
              <w:rPr>
                <w:rFonts w:ascii="Arial" w:hAnsi="Arial" w:cs="Arial"/>
                <w:color w:val="000000" w:themeColor="text1"/>
                <w:lang w:val="es-ES"/>
              </w:rPr>
              <w:t>W (3</w:t>
            </w:r>
            <w:r>
              <w:rPr>
                <w:rFonts w:ascii="Arial" w:hAnsi="Arial" w:cs="Arial"/>
                <w:color w:val="000000" w:themeColor="text1"/>
                <w:lang w:val="es-ES"/>
              </w:rPr>
              <w:t>0</w:t>
            </w:r>
            <w:r w:rsidR="00461980" w:rsidRPr="0027631D">
              <w:rPr>
                <w:rFonts w:ascii="Arial" w:hAnsi="Arial" w:cs="Arial"/>
                <w:color w:val="000000" w:themeColor="text1"/>
                <w:lang w:val="es-ES"/>
              </w:rPr>
              <w:t xml:space="preserve"> dBm)</w:t>
            </w:r>
          </w:p>
          <w:p w14:paraId="58CEF73F" w14:textId="77777777" w:rsidR="00461980" w:rsidRPr="0027631D" w:rsidRDefault="00F5168F" w:rsidP="00D62E72">
            <w:pPr>
              <w:pStyle w:val="Prrafodelista"/>
              <w:numPr>
                <w:ilvl w:val="0"/>
                <w:numId w:val="15"/>
              </w:numPr>
              <w:spacing w:line="23" w:lineRule="atLeast"/>
              <w:ind w:left="149" w:hanging="149"/>
              <w:contextualSpacing/>
              <w:jc w:val="both"/>
              <w:rPr>
                <w:rFonts w:cs="Arial"/>
                <w:color w:val="000000" w:themeColor="text1"/>
                <w:sz w:val="22"/>
                <w:szCs w:val="22"/>
              </w:rPr>
            </w:pPr>
            <w:r w:rsidRPr="00F5168F">
              <w:rPr>
                <w:rFonts w:cs="Arial"/>
                <w:color w:val="000000" w:themeColor="text1"/>
                <w:sz w:val="22"/>
                <w:szCs w:val="22"/>
              </w:rPr>
              <w:t>la potencia de salida máxima se debe reducir en 1 dB por cada 3 dB que la ganancia de la antena direccional supere los 6 dBi</w:t>
            </w:r>
            <w:r>
              <w:rPr>
                <w:rFonts w:cs="Arial"/>
                <w:color w:val="000000" w:themeColor="text1"/>
                <w:sz w:val="22"/>
                <w:szCs w:val="22"/>
              </w:rPr>
              <w:t>.</w:t>
            </w:r>
          </w:p>
        </w:tc>
      </w:tr>
      <w:tr w:rsidR="00461980" w:rsidRPr="0027631D" w14:paraId="3F3FA7FC" w14:textId="77777777" w:rsidTr="004C0CB4">
        <w:trPr>
          <w:jc w:val="center"/>
        </w:trPr>
        <w:tc>
          <w:tcPr>
            <w:tcW w:w="828" w:type="pct"/>
            <w:shd w:val="clear" w:color="auto" w:fill="D9D9D9" w:themeFill="background1" w:themeFillShade="D9"/>
            <w:vAlign w:val="center"/>
          </w:tcPr>
          <w:p w14:paraId="14AD78FD" w14:textId="77777777" w:rsidR="00461980" w:rsidRPr="0027631D" w:rsidRDefault="00461980" w:rsidP="003A7C55">
            <w:pPr>
              <w:spacing w:after="0" w:line="23" w:lineRule="atLeast"/>
              <w:contextualSpacing/>
              <w:rPr>
                <w:rFonts w:ascii="Arial" w:hAnsi="Arial" w:cs="Arial"/>
                <w:b/>
                <w:color w:val="000000" w:themeColor="text1"/>
              </w:rPr>
            </w:pPr>
            <w:r w:rsidRPr="0027631D">
              <w:rPr>
                <w:rFonts w:ascii="Arial" w:hAnsi="Arial" w:cs="Arial"/>
                <w:b/>
                <w:color w:val="000000" w:themeColor="text1"/>
              </w:rPr>
              <w:t>PIRE</w:t>
            </w:r>
          </w:p>
        </w:tc>
        <w:tc>
          <w:tcPr>
            <w:tcW w:w="695" w:type="pct"/>
            <w:shd w:val="clear" w:color="auto" w:fill="FFFFFF" w:themeFill="background1"/>
            <w:vAlign w:val="center"/>
          </w:tcPr>
          <w:p w14:paraId="5E075108" w14:textId="77777777" w:rsidR="00461980" w:rsidRPr="0027631D" w:rsidRDefault="00461980" w:rsidP="003A7C55">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 4 W</w:t>
            </w:r>
          </w:p>
          <w:p w14:paraId="59BC98EA" w14:textId="77777777" w:rsidR="00461980" w:rsidRPr="0027631D" w:rsidRDefault="00461980" w:rsidP="003A7C55">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(36 dB</w:t>
            </w:r>
            <w:r w:rsidR="00F5168F">
              <w:rPr>
                <w:rFonts w:ascii="Arial" w:hAnsi="Arial" w:cs="Arial"/>
                <w:color w:val="000000" w:themeColor="text1"/>
              </w:rPr>
              <w:t>m</w:t>
            </w:r>
            <w:r w:rsidRPr="0027631D">
              <w:rPr>
                <w:rFonts w:ascii="Arial" w:hAnsi="Arial" w:cs="Arial"/>
                <w:color w:val="000000" w:themeColor="text1"/>
              </w:rPr>
              <w:t>)</w:t>
            </w:r>
          </w:p>
        </w:tc>
        <w:tc>
          <w:tcPr>
            <w:tcW w:w="3477" w:type="pct"/>
            <w:shd w:val="clear" w:color="auto" w:fill="FFFFFF" w:themeFill="background1"/>
          </w:tcPr>
          <w:p w14:paraId="33433043" w14:textId="77777777" w:rsidR="00DC749A" w:rsidRPr="00DC749A" w:rsidRDefault="00DC749A" w:rsidP="00DC749A">
            <w:pPr>
              <w:spacing w:after="0" w:line="23" w:lineRule="atLeast"/>
              <w:contextualSpacing/>
              <w:jc w:val="center"/>
              <w:rPr>
                <w:rFonts w:ascii="Arial" w:hAnsi="Arial" w:cs="Arial"/>
                <w:color w:val="000000" w:themeColor="text1"/>
                <w:lang w:val="es-ES"/>
              </w:rPr>
            </w:pPr>
            <w:r w:rsidRPr="00DC749A">
              <w:rPr>
                <w:rFonts w:ascii="Arial" w:hAnsi="Arial" w:cs="Arial"/>
                <w:lang w:val="es-ES"/>
              </w:rPr>
              <w:t>&gt; 4 W (36 dBm) siempre y cuando:</w:t>
            </w:r>
          </w:p>
          <w:p w14:paraId="339F395B" w14:textId="477A96C8" w:rsidR="00DC749A" w:rsidRPr="00FB7222" w:rsidRDefault="00757CAE" w:rsidP="00E36991">
            <w:pPr>
              <w:pStyle w:val="Prrafodelista"/>
              <w:numPr>
                <w:ilvl w:val="0"/>
                <w:numId w:val="15"/>
              </w:numPr>
              <w:spacing w:line="23" w:lineRule="atLeast"/>
              <w:ind w:left="149" w:hanging="142"/>
              <w:contextualSpacing/>
              <w:jc w:val="both"/>
              <w:rPr>
                <w:rFonts w:cs="Arial"/>
                <w:color w:val="000000" w:themeColor="text1"/>
                <w:sz w:val="22"/>
                <w:szCs w:val="22"/>
                <w:lang w:val="es-ES"/>
              </w:rPr>
            </w:pPr>
            <w:r w:rsidRPr="00FB7222">
              <w:rPr>
                <w:rFonts w:cs="Arial"/>
                <w:color w:val="000000" w:themeColor="text1"/>
                <w:sz w:val="22"/>
                <w:szCs w:val="22"/>
              </w:rPr>
              <w:t xml:space="preserve">la </w:t>
            </w:r>
            <w:r w:rsidR="00DC749A" w:rsidRPr="00FB7222">
              <w:rPr>
                <w:rFonts w:cs="Arial"/>
                <w:color w:val="000000" w:themeColor="text1"/>
                <w:sz w:val="22"/>
                <w:szCs w:val="22"/>
              </w:rPr>
              <w:t>PIRE se logre empleando antenas direccionales con mayor ganancia sin incrementar la potencia de salida del transmisor</w:t>
            </w:r>
            <w:r w:rsidR="009F0DF6" w:rsidRPr="00FB7222">
              <w:rPr>
                <w:rFonts w:cs="Arial"/>
                <w:color w:val="000000" w:themeColor="text1"/>
                <w:sz w:val="22"/>
                <w:szCs w:val="22"/>
              </w:rPr>
              <w:t>, o</w:t>
            </w:r>
          </w:p>
          <w:p w14:paraId="28D37F11" w14:textId="5226D114" w:rsidR="009F0DF6" w:rsidRPr="00FB7222" w:rsidRDefault="00461980" w:rsidP="00E36991">
            <w:pPr>
              <w:pStyle w:val="Prrafodelista"/>
              <w:numPr>
                <w:ilvl w:val="0"/>
                <w:numId w:val="15"/>
              </w:numPr>
              <w:spacing w:line="23" w:lineRule="atLeast"/>
              <w:ind w:left="149" w:hanging="142"/>
              <w:contextualSpacing/>
              <w:jc w:val="both"/>
              <w:rPr>
                <w:rFonts w:cs="Arial"/>
                <w:color w:val="000000" w:themeColor="text1"/>
                <w:sz w:val="22"/>
                <w:szCs w:val="22"/>
                <w:lang w:val="es-ES"/>
              </w:rPr>
            </w:pPr>
            <w:r w:rsidRPr="00FB7222">
              <w:rPr>
                <w:rFonts w:cs="Arial"/>
                <w:color w:val="000000" w:themeColor="text1"/>
                <w:sz w:val="22"/>
                <w:szCs w:val="22"/>
              </w:rPr>
              <w:t xml:space="preserve">la potencia de salida </w:t>
            </w:r>
            <w:r w:rsidR="00DC749A" w:rsidRPr="00FB7222">
              <w:rPr>
                <w:rFonts w:cs="Arial"/>
                <w:color w:val="000000" w:themeColor="text1"/>
                <w:sz w:val="22"/>
                <w:szCs w:val="22"/>
              </w:rPr>
              <w:t xml:space="preserve">máxima </w:t>
            </w:r>
            <w:r w:rsidRPr="00FB7222">
              <w:rPr>
                <w:rFonts w:cs="Arial"/>
                <w:color w:val="000000" w:themeColor="text1"/>
                <w:sz w:val="22"/>
                <w:szCs w:val="22"/>
              </w:rPr>
              <w:t>conducida hacia la antena de transmisión</w:t>
            </w:r>
            <w:r w:rsidR="00DC749A" w:rsidRPr="00FB7222">
              <w:rPr>
                <w:rFonts w:cs="Arial"/>
                <w:color w:val="000000" w:themeColor="text1"/>
                <w:sz w:val="22"/>
                <w:szCs w:val="22"/>
              </w:rPr>
              <w:t xml:space="preserve"> </w:t>
            </w:r>
            <w:r w:rsidR="00757CAE" w:rsidRPr="00FB7222">
              <w:rPr>
                <w:rFonts w:cs="Arial"/>
                <w:color w:val="000000" w:themeColor="text1"/>
                <w:sz w:val="22"/>
                <w:szCs w:val="22"/>
              </w:rPr>
              <w:t>sea</w:t>
            </w:r>
            <w:r w:rsidRPr="00FB7222">
              <w:rPr>
                <w:rFonts w:cs="Arial"/>
                <w:color w:val="000000" w:themeColor="text1"/>
                <w:sz w:val="22"/>
                <w:szCs w:val="22"/>
              </w:rPr>
              <w:t xml:space="preserve"> reducida en 1 dB por cada 3 dB que la ganancia de la antena </w:t>
            </w:r>
            <w:r w:rsidR="00DC749A" w:rsidRPr="00FB7222">
              <w:rPr>
                <w:rFonts w:cs="Arial"/>
                <w:color w:val="000000" w:themeColor="text1"/>
                <w:sz w:val="22"/>
                <w:szCs w:val="22"/>
              </w:rPr>
              <w:t xml:space="preserve">direccional </w:t>
            </w:r>
            <w:r w:rsidRPr="00FB7222">
              <w:rPr>
                <w:rFonts w:cs="Arial"/>
                <w:color w:val="000000" w:themeColor="text1"/>
                <w:sz w:val="22"/>
                <w:szCs w:val="22"/>
              </w:rPr>
              <w:t>supere los 6 dBi</w:t>
            </w:r>
            <w:r w:rsidR="009F0DF6" w:rsidRPr="00FB7222">
              <w:rPr>
                <w:rFonts w:cs="Arial"/>
                <w:color w:val="000000" w:themeColor="text1"/>
                <w:sz w:val="22"/>
                <w:szCs w:val="22"/>
              </w:rPr>
              <w:t>.</w:t>
            </w:r>
          </w:p>
          <w:p w14:paraId="362FDCCF" w14:textId="77777777" w:rsidR="00FB7222" w:rsidRPr="00FB7222" w:rsidRDefault="00FB7222" w:rsidP="00FB7222">
            <w:pPr>
              <w:spacing w:line="23" w:lineRule="atLeast"/>
              <w:ind w:left="7"/>
              <w:contextualSpacing/>
              <w:jc w:val="both"/>
              <w:rPr>
                <w:rFonts w:ascii="Arial" w:hAnsi="Arial" w:cs="Arial"/>
                <w:color w:val="000000" w:themeColor="text1"/>
                <w:lang w:val="es-ES"/>
              </w:rPr>
            </w:pPr>
          </w:p>
          <w:p w14:paraId="7CED8621" w14:textId="65CBB827" w:rsidR="00461980" w:rsidRPr="00FB7222" w:rsidRDefault="009F0DF6" w:rsidP="00FB7222">
            <w:pPr>
              <w:spacing w:line="23" w:lineRule="atLeast"/>
              <w:ind w:left="7"/>
              <w:contextualSpacing/>
              <w:jc w:val="both"/>
              <w:rPr>
                <w:rFonts w:ascii="Arial" w:hAnsi="Arial" w:cs="Arial"/>
                <w:color w:val="000000" w:themeColor="text1"/>
                <w:lang w:val="es-ES"/>
              </w:rPr>
            </w:pPr>
            <w:r w:rsidRPr="00FB7222">
              <w:rPr>
                <w:rFonts w:ascii="Arial" w:hAnsi="Arial" w:cs="Arial"/>
                <w:color w:val="000000" w:themeColor="text1"/>
                <w:lang w:val="es-ES"/>
              </w:rPr>
              <w:t>L</w:t>
            </w:r>
            <w:r w:rsidR="00DC749A" w:rsidRPr="00FB7222">
              <w:rPr>
                <w:rFonts w:ascii="Arial" w:hAnsi="Arial" w:cs="Arial"/>
                <w:color w:val="000000" w:themeColor="text1"/>
                <w:lang w:val="es-ES"/>
              </w:rPr>
              <w:t>os sistemas PaM, las aplicaciones omnidireccionales y los transmisores múltiples instalados en la misma ubicación que transmitan la misma información tienen prohibido exceder la PIRE de 4W, excepto las estaciones remotas de los sistemas PaM.</w:t>
            </w:r>
          </w:p>
        </w:tc>
      </w:tr>
    </w:tbl>
    <w:p w14:paraId="081C3C1A" w14:textId="6D48BE4C" w:rsidR="00FF5B8A" w:rsidRPr="0027631D" w:rsidRDefault="00FF5B8A" w:rsidP="0027631D">
      <w:pPr>
        <w:pStyle w:val="Descripcin"/>
        <w:contextualSpacing/>
        <w:rPr>
          <w:color w:val="000000" w:themeColor="text1"/>
          <w:sz w:val="22"/>
          <w:szCs w:val="22"/>
          <w:lang w:val="es-ES" w:eastAsia="es-MX"/>
        </w:rPr>
      </w:pPr>
      <w:bookmarkStart w:id="386" w:name="_Toc45452846"/>
      <w:bookmarkStart w:id="387" w:name="_Toc45452955"/>
      <w:r w:rsidRPr="0027631D">
        <w:rPr>
          <w:color w:val="000000" w:themeColor="text1"/>
          <w:sz w:val="22"/>
          <w:szCs w:val="22"/>
        </w:rPr>
        <w:t xml:space="preserve">Tabla </w:t>
      </w:r>
      <w:r w:rsidR="00733738">
        <w:rPr>
          <w:color w:val="000000" w:themeColor="text1"/>
          <w:sz w:val="22"/>
          <w:szCs w:val="22"/>
        </w:rPr>
        <w:t>5</w:t>
      </w:r>
      <w:r w:rsidRPr="0027631D">
        <w:rPr>
          <w:color w:val="000000" w:themeColor="text1"/>
          <w:sz w:val="22"/>
          <w:szCs w:val="22"/>
        </w:rPr>
        <w:t>.</w:t>
      </w:r>
      <w:r w:rsidRPr="0027631D">
        <w:rPr>
          <w:color w:val="000000" w:themeColor="text1"/>
          <w:sz w:val="22"/>
          <w:szCs w:val="22"/>
          <w:lang w:val="es-ES" w:eastAsia="es-MX"/>
        </w:rPr>
        <w:t xml:space="preserve"> Condiciones técnicas de operación para los sistemas </w:t>
      </w:r>
      <w:r w:rsidRPr="0027631D">
        <w:rPr>
          <w:color w:val="000000" w:themeColor="text1"/>
          <w:sz w:val="22"/>
          <w:szCs w:val="22"/>
          <w:lang w:eastAsia="es-MX"/>
        </w:rPr>
        <w:t>fijos punto a punto en la banda 2400-2483.5 MHz</w:t>
      </w:r>
      <w:bookmarkEnd w:id="386"/>
      <w:bookmarkEnd w:id="387"/>
    </w:p>
    <w:p w14:paraId="3E3A64D9" w14:textId="77777777" w:rsidR="00FF5B8A" w:rsidRPr="0027631D" w:rsidRDefault="00FF5B8A" w:rsidP="0027631D">
      <w:pPr>
        <w:spacing w:after="0" w:line="23" w:lineRule="atLeast"/>
        <w:contextualSpacing/>
        <w:rPr>
          <w:rFonts w:ascii="Arial" w:hAnsi="Arial" w:cs="Arial"/>
          <w:color w:val="000000" w:themeColor="text1"/>
        </w:rPr>
      </w:pPr>
    </w:p>
    <w:p w14:paraId="613BA389" w14:textId="77777777" w:rsidR="006A7A35" w:rsidRDefault="006A7A35" w:rsidP="006A7A35">
      <w:pPr>
        <w:pStyle w:val="Ttulo6"/>
      </w:pPr>
      <w:r>
        <w:t>Transmisores que emitan múltiples haces direccionales</w:t>
      </w:r>
    </w:p>
    <w:p w14:paraId="47FD9C48" w14:textId="77777777" w:rsidR="006A7A35" w:rsidRPr="00023B1F" w:rsidRDefault="006A7A35" w:rsidP="006A7A35">
      <w:pPr>
        <w:spacing w:after="0" w:line="23" w:lineRule="atLeast"/>
        <w:ind w:left="567" w:hanging="283"/>
        <w:contextualSpacing/>
        <w:jc w:val="both"/>
        <w:rPr>
          <w:rFonts w:ascii="Arial" w:hAnsi="Arial" w:cs="Arial"/>
          <w:color w:val="000000" w:themeColor="text1"/>
        </w:rPr>
      </w:pPr>
    </w:p>
    <w:p w14:paraId="67614401" w14:textId="77777777" w:rsidR="006A7A35" w:rsidRPr="0027631D" w:rsidRDefault="006A7A35" w:rsidP="006A7A35">
      <w:pPr>
        <w:spacing w:after="0" w:line="23" w:lineRule="atLeast"/>
        <w:contextualSpacing/>
        <w:jc w:val="both"/>
        <w:rPr>
          <w:rFonts w:ascii="Arial" w:hAnsi="Arial" w:cs="Arial"/>
          <w:color w:val="000000" w:themeColor="text1"/>
          <w:lang w:val="es-ES" w:eastAsia="es-MX"/>
        </w:rPr>
      </w:pPr>
      <w:r w:rsidRPr="0027631D">
        <w:rPr>
          <w:rFonts w:ascii="Arial" w:hAnsi="Arial" w:cs="Arial"/>
          <w:color w:val="000000" w:themeColor="text1"/>
        </w:rPr>
        <w:t>Además de las condiciones indicadas anteriormente</w:t>
      </w:r>
      <w:r>
        <w:rPr>
          <w:rFonts w:ascii="Arial" w:hAnsi="Arial" w:cs="Arial"/>
          <w:color w:val="000000" w:themeColor="text1"/>
        </w:rPr>
        <w:t xml:space="preserve"> en los numerales 2.1 a 2.4</w:t>
      </w:r>
      <w:r w:rsidRPr="0027631D">
        <w:rPr>
          <w:rFonts w:ascii="Arial" w:hAnsi="Arial" w:cs="Arial"/>
          <w:color w:val="000000" w:themeColor="text1"/>
        </w:rPr>
        <w:t xml:space="preserve"> </w:t>
      </w:r>
      <w:r w:rsidRPr="0027631D">
        <w:rPr>
          <w:rFonts w:ascii="Arial" w:hAnsi="Arial" w:cs="Arial"/>
          <w:color w:val="000000" w:themeColor="text1"/>
          <w:lang w:val="es-ES" w:eastAsia="es-MX"/>
        </w:rPr>
        <w:t>los transmisores que emitan múltiples haces direccionales, simultánea o secuencialmente, con el propósito de dirigir las señales a receptores individuales o a grupos de receptores, deberán cumplir con lo siguiente:</w:t>
      </w:r>
    </w:p>
    <w:p w14:paraId="197AD001" w14:textId="77777777" w:rsidR="006A7A35" w:rsidRPr="0027631D" w:rsidRDefault="006A7A35" w:rsidP="006A7A35">
      <w:pPr>
        <w:spacing w:after="0" w:line="23" w:lineRule="atLeast"/>
        <w:ind w:left="567" w:hanging="283"/>
        <w:contextualSpacing/>
        <w:jc w:val="both"/>
        <w:rPr>
          <w:rFonts w:ascii="Arial" w:hAnsi="Arial" w:cs="Arial"/>
          <w:color w:val="000000" w:themeColor="text1"/>
        </w:rPr>
      </w:pPr>
    </w:p>
    <w:p w14:paraId="178A7096" w14:textId="77777777" w:rsidR="006A7A35" w:rsidRPr="0027631D" w:rsidRDefault="006A7A35" w:rsidP="006A7A35">
      <w:pPr>
        <w:pStyle w:val="Prrafodelista"/>
        <w:numPr>
          <w:ilvl w:val="0"/>
          <w:numId w:val="9"/>
        </w:numPr>
        <w:spacing w:line="23" w:lineRule="atLeast"/>
        <w:ind w:left="567" w:hanging="283"/>
        <w:contextualSpacing/>
        <w:jc w:val="both"/>
        <w:rPr>
          <w:rFonts w:cs="Arial"/>
          <w:color w:val="000000" w:themeColor="text1"/>
          <w:sz w:val="22"/>
          <w:szCs w:val="22"/>
        </w:rPr>
      </w:pPr>
      <w:r w:rsidRPr="0027631D">
        <w:rPr>
          <w:rFonts w:cs="Arial"/>
          <w:color w:val="000000" w:themeColor="text1"/>
          <w:sz w:val="22"/>
          <w:szCs w:val="22"/>
        </w:rPr>
        <w:lastRenderedPageBreak/>
        <w:t>Transmitir información diferente a cada receptor;</w:t>
      </w:r>
    </w:p>
    <w:p w14:paraId="350DE324" w14:textId="77777777" w:rsidR="006A7A35" w:rsidRPr="0027631D" w:rsidRDefault="006A7A35" w:rsidP="006A7A35">
      <w:pPr>
        <w:pStyle w:val="Prrafodelista"/>
        <w:spacing w:line="23" w:lineRule="atLeast"/>
        <w:ind w:left="567" w:hanging="283"/>
        <w:contextualSpacing/>
        <w:rPr>
          <w:rFonts w:cs="Arial"/>
          <w:color w:val="000000" w:themeColor="text1"/>
          <w:sz w:val="22"/>
          <w:szCs w:val="22"/>
        </w:rPr>
      </w:pPr>
    </w:p>
    <w:p w14:paraId="70CF9BD7" w14:textId="77777777" w:rsidR="006A7A35" w:rsidRPr="000A2A82" w:rsidRDefault="006A7A35" w:rsidP="006A7A35">
      <w:pPr>
        <w:pStyle w:val="Prrafodelista"/>
        <w:numPr>
          <w:ilvl w:val="0"/>
          <w:numId w:val="9"/>
        </w:numPr>
        <w:spacing w:line="23" w:lineRule="atLeast"/>
        <w:ind w:left="567" w:hanging="283"/>
        <w:contextualSpacing/>
        <w:jc w:val="both"/>
        <w:rPr>
          <w:rFonts w:cs="Arial"/>
          <w:color w:val="000000" w:themeColor="text1"/>
          <w:sz w:val="22"/>
          <w:szCs w:val="22"/>
        </w:rPr>
      </w:pPr>
      <w:r w:rsidRPr="000A2A82">
        <w:rPr>
          <w:rFonts w:cs="Arial"/>
          <w:color w:val="000000" w:themeColor="text1"/>
          <w:sz w:val="22"/>
          <w:szCs w:val="22"/>
        </w:rPr>
        <w:t>Si el transmisor emplea un sistema de antena que emite múltiples haces direccionales, pero no emite múltiples haces direccionales simultáneamente, la potencia de salida total conducida al conjunto o conjuntos que comprenden el dispositivo, es decir, la suma de la potencia suministrada a toda la antena, elementos de antena, etc. y sumados a través de todas las portadoras o canales de frecuencia, no deberán exceder el límite de potencia de salida especificado para los sistemas de salto de frecuencia y sistemas modulados digitalmente. Sin embargo, la potencia de salida conducida total se reducirá en 1 dB por debajo de los límites especificados por cada 3 dB que la ganancia de la antena direccional o matriz de antenas, exceda de 6 dBi. La ganancia de la antena direccional se calculará como la suma de 10 log (número de elementos de matriz), más la ganancia del elemento que tiene la ganancia más alta;</w:t>
      </w:r>
    </w:p>
    <w:p w14:paraId="679A770C" w14:textId="77777777" w:rsidR="006A7A35" w:rsidRPr="000A2A82" w:rsidRDefault="006A7A35" w:rsidP="006A7A35">
      <w:pPr>
        <w:pStyle w:val="Prrafodelista"/>
        <w:spacing w:line="23" w:lineRule="atLeast"/>
        <w:ind w:left="567" w:hanging="283"/>
        <w:contextualSpacing/>
        <w:rPr>
          <w:rFonts w:cs="Arial"/>
          <w:color w:val="000000" w:themeColor="text1"/>
          <w:sz w:val="22"/>
          <w:szCs w:val="22"/>
        </w:rPr>
      </w:pPr>
    </w:p>
    <w:p w14:paraId="2BD5EF96" w14:textId="77777777" w:rsidR="006A7A35" w:rsidRPr="000A2A82" w:rsidRDefault="006A7A35" w:rsidP="006A7A35">
      <w:pPr>
        <w:pStyle w:val="Prrafodelista"/>
        <w:numPr>
          <w:ilvl w:val="0"/>
          <w:numId w:val="9"/>
        </w:numPr>
        <w:spacing w:line="23" w:lineRule="atLeast"/>
        <w:ind w:left="567" w:hanging="283"/>
        <w:contextualSpacing/>
        <w:jc w:val="both"/>
        <w:rPr>
          <w:rFonts w:cs="Arial"/>
          <w:color w:val="000000" w:themeColor="text1"/>
          <w:sz w:val="22"/>
          <w:szCs w:val="22"/>
        </w:rPr>
      </w:pPr>
      <w:r w:rsidRPr="000A2A82">
        <w:rPr>
          <w:rFonts w:cs="Arial"/>
          <w:color w:val="000000" w:themeColor="text1"/>
          <w:sz w:val="22"/>
          <w:szCs w:val="22"/>
        </w:rPr>
        <w:t>Si el transmisor emplea una antena que opera simultáneamente con haces direccionales múltiples utilizando los mismos canales de frecuencia o diferentes, la potencia suministrada a cada haz de emisión está sujeta al límite de potencia de salida especificado para los sistemas de salto de frecuencia y sistemas de modulados digitalmente. Si los haces transmitidos se superponen, la potencia de salida del transmisor se reducirá para garantizar que su potencia agregada no exceda el límite de potencia de salida especificado para los sistemas de salto de frecuencia y sistemas modulados digitalmente. Además, la potencia agregada transmitida simultáneamente en todos los haces no deberá exceder el límite especificado para los sistemas de salto de frecuencia y sistemas de modulación digital por más de 8 dB; y</w:t>
      </w:r>
    </w:p>
    <w:p w14:paraId="49551A5E" w14:textId="77777777" w:rsidR="006A7A35" w:rsidRPr="0027631D" w:rsidRDefault="006A7A35" w:rsidP="006A7A35">
      <w:pPr>
        <w:pStyle w:val="Prrafodelista"/>
        <w:spacing w:line="23" w:lineRule="atLeast"/>
        <w:ind w:left="567" w:hanging="283"/>
        <w:contextualSpacing/>
        <w:rPr>
          <w:rFonts w:cs="Arial"/>
          <w:color w:val="000000" w:themeColor="text1"/>
          <w:sz w:val="22"/>
          <w:szCs w:val="22"/>
        </w:rPr>
      </w:pPr>
    </w:p>
    <w:p w14:paraId="60E16FEC" w14:textId="77777777" w:rsidR="006A7A35" w:rsidRPr="0027631D" w:rsidRDefault="006A7A35" w:rsidP="006A7A35">
      <w:pPr>
        <w:pStyle w:val="Prrafodelista"/>
        <w:numPr>
          <w:ilvl w:val="0"/>
          <w:numId w:val="9"/>
        </w:numPr>
        <w:spacing w:line="23" w:lineRule="atLeast"/>
        <w:ind w:left="567" w:hanging="283"/>
        <w:contextualSpacing/>
        <w:jc w:val="both"/>
        <w:rPr>
          <w:rFonts w:cs="Arial"/>
          <w:color w:val="000000" w:themeColor="text1"/>
          <w:sz w:val="22"/>
          <w:szCs w:val="22"/>
        </w:rPr>
      </w:pPr>
      <w:r w:rsidRPr="0027631D">
        <w:rPr>
          <w:rFonts w:cs="Arial"/>
          <w:color w:val="000000" w:themeColor="text1"/>
          <w:sz w:val="22"/>
          <w:szCs w:val="22"/>
        </w:rPr>
        <w:t>Los transmisores que emiten un solo haz direccional deberán operar bajo las condiciones indicadas en los sistemas fijos punto a punto.</w:t>
      </w:r>
    </w:p>
    <w:p w14:paraId="438FA087" w14:textId="77777777" w:rsidR="006A7A35" w:rsidRPr="0027631D" w:rsidRDefault="006A7A35" w:rsidP="006A7A35">
      <w:pPr>
        <w:spacing w:after="0" w:line="23" w:lineRule="atLeast"/>
        <w:contextualSpacing/>
        <w:rPr>
          <w:rFonts w:ascii="Arial" w:hAnsi="Arial" w:cs="Arial"/>
          <w:color w:val="000000" w:themeColor="text1"/>
        </w:rPr>
      </w:pPr>
    </w:p>
    <w:p w14:paraId="780E352E" w14:textId="77777777" w:rsidR="00FF5B8A" w:rsidRPr="00794179" w:rsidRDefault="00FF5B8A" w:rsidP="00794179">
      <w:pPr>
        <w:pStyle w:val="Ttulo6"/>
      </w:pPr>
      <w:r w:rsidRPr="0027631D">
        <w:t>Sistemas punto a multipunto</w:t>
      </w:r>
    </w:p>
    <w:p w14:paraId="541B1341" w14:textId="77777777" w:rsidR="00FF5B8A" w:rsidRPr="0027631D" w:rsidRDefault="00FF5B8A" w:rsidP="0027631D">
      <w:pPr>
        <w:spacing w:after="0" w:line="23" w:lineRule="atLeast"/>
        <w:contextualSpacing/>
        <w:rPr>
          <w:rFonts w:ascii="Arial" w:hAnsi="Arial" w:cs="Arial"/>
          <w:color w:val="000000" w:themeColor="text1"/>
        </w:rPr>
      </w:pPr>
    </w:p>
    <w:tbl>
      <w:tblPr>
        <w:tblStyle w:val="Tablaconcuadrcula"/>
        <w:tblW w:w="5000" w:type="pct"/>
        <w:jc w:val="center"/>
        <w:shd w:val="clear" w:color="auto" w:fill="FFFFFF" w:themeFill="background1"/>
        <w:tblLook w:val="04A0" w:firstRow="1" w:lastRow="0" w:firstColumn="1" w:lastColumn="0" w:noHBand="0" w:noVBand="1"/>
      </w:tblPr>
      <w:tblGrid>
        <w:gridCol w:w="3006"/>
        <w:gridCol w:w="6388"/>
      </w:tblGrid>
      <w:tr w:rsidR="00FF5B8A" w:rsidRPr="0027631D" w14:paraId="0341D492" w14:textId="77777777" w:rsidTr="004E082F">
        <w:trPr>
          <w:cantSplit/>
          <w:trHeight w:val="245"/>
          <w:tblHeader/>
          <w:jc w:val="center"/>
        </w:trPr>
        <w:tc>
          <w:tcPr>
            <w:tcW w:w="5000" w:type="pct"/>
            <w:gridSpan w:val="2"/>
            <w:shd w:val="clear" w:color="auto" w:fill="D9D9D9" w:themeFill="background1" w:themeFillShade="D9"/>
            <w:vAlign w:val="center"/>
          </w:tcPr>
          <w:p w14:paraId="2DBE9408" w14:textId="77777777" w:rsidR="00FF5B8A" w:rsidRPr="0027631D" w:rsidRDefault="00FF5B8A" w:rsidP="0027631D">
            <w:pPr>
              <w:tabs>
                <w:tab w:val="left" w:pos="7525"/>
              </w:tabs>
              <w:spacing w:after="0" w:line="23" w:lineRule="atLeast"/>
              <w:contextualSpacing/>
              <w:jc w:val="center"/>
              <w:rPr>
                <w:rFonts w:ascii="Arial" w:hAnsi="Arial" w:cs="Arial"/>
                <w:b/>
                <w:color w:val="000000" w:themeColor="text1"/>
                <w:u w:val="single"/>
              </w:rPr>
            </w:pPr>
            <w:r w:rsidRPr="0027631D">
              <w:rPr>
                <w:rFonts w:ascii="Arial" w:hAnsi="Arial" w:cs="Arial"/>
                <w:b/>
                <w:color w:val="000000" w:themeColor="text1"/>
                <w:u w:val="single"/>
              </w:rPr>
              <w:t>Sistemas punto a multipunto</w:t>
            </w:r>
          </w:p>
        </w:tc>
      </w:tr>
      <w:tr w:rsidR="00FF5B8A" w:rsidRPr="0027631D" w14:paraId="7B2C98AC" w14:textId="77777777" w:rsidTr="004E082F">
        <w:trPr>
          <w:cantSplit/>
          <w:jc w:val="center"/>
        </w:trPr>
        <w:tc>
          <w:tcPr>
            <w:tcW w:w="1600" w:type="pct"/>
            <w:shd w:val="clear" w:color="auto" w:fill="D9D9D9" w:themeFill="background1" w:themeFillShade="D9"/>
            <w:vAlign w:val="center"/>
          </w:tcPr>
          <w:p w14:paraId="0F849A77" w14:textId="77777777" w:rsidR="00FF5B8A" w:rsidRPr="0027631D" w:rsidRDefault="00FF5B8A" w:rsidP="0027631D">
            <w:pPr>
              <w:spacing w:after="0" w:line="23" w:lineRule="atLeast"/>
              <w:contextualSpacing/>
              <w:rPr>
                <w:rFonts w:ascii="Arial" w:hAnsi="Arial" w:cs="Arial"/>
                <w:b/>
                <w:color w:val="000000" w:themeColor="text1"/>
              </w:rPr>
            </w:pPr>
            <w:r w:rsidRPr="0027631D">
              <w:rPr>
                <w:rFonts w:ascii="Arial" w:hAnsi="Arial" w:cs="Arial"/>
                <w:b/>
                <w:color w:val="000000" w:themeColor="text1"/>
              </w:rPr>
              <w:t>Potencia de salida máxima</w:t>
            </w:r>
          </w:p>
        </w:tc>
        <w:tc>
          <w:tcPr>
            <w:tcW w:w="3400" w:type="pct"/>
            <w:shd w:val="clear" w:color="auto" w:fill="FFFFFF" w:themeFill="background1"/>
            <w:vAlign w:val="center"/>
          </w:tcPr>
          <w:p w14:paraId="6D268E43"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1 W (30 dBm)</w:t>
            </w:r>
          </w:p>
        </w:tc>
      </w:tr>
      <w:tr w:rsidR="00FF5B8A" w:rsidRPr="0027631D" w14:paraId="744CC4C0" w14:textId="77777777" w:rsidTr="004E082F">
        <w:trPr>
          <w:cantSplit/>
          <w:jc w:val="center"/>
        </w:trPr>
        <w:tc>
          <w:tcPr>
            <w:tcW w:w="1600" w:type="pct"/>
            <w:shd w:val="clear" w:color="auto" w:fill="D9D9D9" w:themeFill="background1" w:themeFillShade="D9"/>
            <w:vAlign w:val="center"/>
          </w:tcPr>
          <w:p w14:paraId="78E9F3E5" w14:textId="77777777" w:rsidR="00FF5B8A" w:rsidRPr="0027631D" w:rsidRDefault="00FF5B8A" w:rsidP="009359C7">
            <w:pPr>
              <w:spacing w:after="0" w:line="23" w:lineRule="atLeast"/>
              <w:contextualSpacing/>
              <w:rPr>
                <w:rFonts w:ascii="Arial" w:hAnsi="Arial" w:cs="Arial"/>
                <w:b/>
                <w:color w:val="000000" w:themeColor="text1"/>
              </w:rPr>
            </w:pPr>
            <w:r w:rsidRPr="0027631D">
              <w:rPr>
                <w:rFonts w:ascii="Arial" w:hAnsi="Arial" w:cs="Arial"/>
                <w:b/>
                <w:color w:val="000000" w:themeColor="text1"/>
              </w:rPr>
              <w:t xml:space="preserve">Ganancia </w:t>
            </w:r>
            <w:r w:rsidR="009359C7">
              <w:rPr>
                <w:rFonts w:ascii="Arial" w:hAnsi="Arial" w:cs="Arial"/>
                <w:b/>
                <w:color w:val="000000" w:themeColor="text1"/>
              </w:rPr>
              <w:t>d</w:t>
            </w:r>
            <w:r w:rsidRPr="0027631D">
              <w:rPr>
                <w:rFonts w:ascii="Arial" w:hAnsi="Arial" w:cs="Arial"/>
                <w:b/>
                <w:color w:val="000000" w:themeColor="text1"/>
              </w:rPr>
              <w:t>e la antena direccional</w:t>
            </w:r>
          </w:p>
        </w:tc>
        <w:tc>
          <w:tcPr>
            <w:tcW w:w="3400" w:type="pct"/>
            <w:shd w:val="clear" w:color="auto" w:fill="FFFFFF" w:themeFill="background1"/>
            <w:vAlign w:val="center"/>
          </w:tcPr>
          <w:p w14:paraId="423E8A4F"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 6 dBi</w:t>
            </w:r>
          </w:p>
        </w:tc>
      </w:tr>
      <w:tr w:rsidR="00FF5B8A" w:rsidRPr="0027631D" w14:paraId="411342BA" w14:textId="77777777" w:rsidTr="004E082F">
        <w:trPr>
          <w:cantSplit/>
          <w:jc w:val="center"/>
        </w:trPr>
        <w:tc>
          <w:tcPr>
            <w:tcW w:w="1600" w:type="pct"/>
            <w:shd w:val="clear" w:color="auto" w:fill="D9D9D9" w:themeFill="background1" w:themeFillShade="D9"/>
            <w:vAlign w:val="center"/>
          </w:tcPr>
          <w:p w14:paraId="4024E19A" w14:textId="77777777" w:rsidR="00FF5B8A" w:rsidRPr="0027631D" w:rsidRDefault="00FF5B8A" w:rsidP="0027631D">
            <w:pPr>
              <w:spacing w:after="0" w:line="23" w:lineRule="atLeast"/>
              <w:contextualSpacing/>
              <w:rPr>
                <w:rFonts w:ascii="Arial" w:hAnsi="Arial" w:cs="Arial"/>
                <w:b/>
                <w:color w:val="000000" w:themeColor="text1"/>
              </w:rPr>
            </w:pPr>
            <w:r w:rsidRPr="0027631D">
              <w:rPr>
                <w:rFonts w:ascii="Arial" w:hAnsi="Arial" w:cs="Arial"/>
                <w:b/>
                <w:color w:val="000000" w:themeColor="text1"/>
              </w:rPr>
              <w:t>PIRE</w:t>
            </w:r>
          </w:p>
        </w:tc>
        <w:tc>
          <w:tcPr>
            <w:tcW w:w="3400" w:type="pct"/>
            <w:shd w:val="clear" w:color="auto" w:fill="FFFFFF" w:themeFill="background1"/>
            <w:vAlign w:val="center"/>
          </w:tcPr>
          <w:p w14:paraId="61EFA17E"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 4 W (36 dBm)</w:t>
            </w:r>
          </w:p>
        </w:tc>
      </w:tr>
      <w:tr w:rsidR="00FF5B8A" w:rsidRPr="0027631D" w14:paraId="626D4A0A" w14:textId="77777777" w:rsidTr="004E082F">
        <w:trPr>
          <w:cantSplit/>
          <w:jc w:val="center"/>
        </w:trPr>
        <w:tc>
          <w:tcPr>
            <w:tcW w:w="1600" w:type="pct"/>
            <w:shd w:val="clear" w:color="auto" w:fill="D9D9D9" w:themeFill="background1" w:themeFillShade="D9"/>
            <w:vAlign w:val="center"/>
          </w:tcPr>
          <w:p w14:paraId="1AF3BF40" w14:textId="77777777" w:rsidR="00FF5B8A" w:rsidRPr="0027631D" w:rsidRDefault="00FF5B8A" w:rsidP="0027631D">
            <w:pPr>
              <w:spacing w:after="0" w:line="23" w:lineRule="atLeast"/>
              <w:contextualSpacing/>
              <w:rPr>
                <w:rFonts w:ascii="Arial" w:hAnsi="Arial" w:cs="Arial"/>
                <w:b/>
                <w:color w:val="000000" w:themeColor="text1"/>
              </w:rPr>
            </w:pPr>
            <w:r w:rsidRPr="0027631D">
              <w:rPr>
                <w:rFonts w:ascii="Arial" w:hAnsi="Arial" w:cs="Arial"/>
                <w:b/>
                <w:color w:val="000000" w:themeColor="text1"/>
              </w:rPr>
              <w:t>Otras condiciones</w:t>
            </w:r>
          </w:p>
        </w:tc>
        <w:tc>
          <w:tcPr>
            <w:tcW w:w="3400" w:type="pct"/>
            <w:shd w:val="clear" w:color="auto" w:fill="FFFFFF" w:themeFill="background1"/>
            <w:vAlign w:val="center"/>
          </w:tcPr>
          <w:p w14:paraId="13FCC063" w14:textId="77777777" w:rsidR="00FF5B8A" w:rsidRPr="0027631D" w:rsidRDefault="00FF5B8A" w:rsidP="00B85EBD">
            <w:pPr>
              <w:spacing w:after="0" w:line="23" w:lineRule="atLeast"/>
              <w:contextualSpacing/>
              <w:jc w:val="both"/>
              <w:rPr>
                <w:rFonts w:ascii="Arial" w:hAnsi="Arial" w:cs="Arial"/>
                <w:color w:val="000000" w:themeColor="text1"/>
              </w:rPr>
            </w:pPr>
            <w:r w:rsidRPr="0027631D">
              <w:rPr>
                <w:rFonts w:ascii="Arial" w:hAnsi="Arial" w:cs="Arial"/>
                <w:color w:val="000000" w:themeColor="text1"/>
              </w:rPr>
              <w:t xml:space="preserve">Únicamente las estaciones remotas que utilicen sistemas PaM podrán operar con una PIRE mayor que 4 W, siempre que la potencia de salida conducida hacia la antena de transmisión, sea reducida en 1 dB por cada 3 dB que la ganancia de la antena de transmisión </w:t>
            </w:r>
            <w:r w:rsidR="00B85EBD" w:rsidRPr="0027631D">
              <w:rPr>
                <w:rFonts w:ascii="Arial" w:hAnsi="Arial" w:cs="Arial"/>
                <w:color w:val="000000" w:themeColor="text1"/>
              </w:rPr>
              <w:t xml:space="preserve">direccional </w:t>
            </w:r>
            <w:r w:rsidRPr="0027631D">
              <w:rPr>
                <w:rFonts w:ascii="Arial" w:hAnsi="Arial" w:cs="Arial"/>
                <w:color w:val="000000" w:themeColor="text1"/>
              </w:rPr>
              <w:t>supere los 6 dBi.</w:t>
            </w:r>
          </w:p>
        </w:tc>
      </w:tr>
    </w:tbl>
    <w:p w14:paraId="15BE44B1" w14:textId="31C6F47A" w:rsidR="00FF5B8A" w:rsidRPr="0027631D" w:rsidRDefault="00FF5B8A" w:rsidP="0027631D">
      <w:pPr>
        <w:pStyle w:val="Descripcin"/>
        <w:contextualSpacing/>
        <w:rPr>
          <w:color w:val="000000" w:themeColor="text1"/>
          <w:sz w:val="22"/>
          <w:szCs w:val="22"/>
          <w:lang w:val="es-ES" w:eastAsia="es-MX"/>
        </w:rPr>
      </w:pPr>
      <w:r w:rsidRPr="0027631D">
        <w:rPr>
          <w:color w:val="000000" w:themeColor="text1"/>
          <w:sz w:val="22"/>
          <w:szCs w:val="22"/>
        </w:rPr>
        <w:t xml:space="preserve">Tabla </w:t>
      </w:r>
      <w:r w:rsidR="00733738">
        <w:rPr>
          <w:color w:val="000000" w:themeColor="text1"/>
          <w:sz w:val="22"/>
          <w:szCs w:val="22"/>
        </w:rPr>
        <w:t>6</w:t>
      </w:r>
      <w:r w:rsidRPr="0027631D">
        <w:rPr>
          <w:color w:val="000000" w:themeColor="text1"/>
          <w:sz w:val="22"/>
          <w:szCs w:val="22"/>
        </w:rPr>
        <w:t>.</w:t>
      </w:r>
      <w:r w:rsidRPr="0027631D">
        <w:rPr>
          <w:color w:val="000000" w:themeColor="text1"/>
          <w:sz w:val="22"/>
          <w:szCs w:val="22"/>
          <w:lang w:val="es-ES" w:eastAsia="es-MX"/>
        </w:rPr>
        <w:t xml:space="preserve"> Condiciones técnicas de operación para los sistemas </w:t>
      </w:r>
      <w:r w:rsidRPr="0027631D">
        <w:rPr>
          <w:color w:val="000000" w:themeColor="text1"/>
          <w:sz w:val="22"/>
          <w:szCs w:val="22"/>
          <w:lang w:eastAsia="es-MX"/>
        </w:rPr>
        <w:t>punto a multipunto en la banda 2400-2483.5 MHz</w:t>
      </w:r>
    </w:p>
    <w:p w14:paraId="3F5DF2B9" w14:textId="77777777" w:rsidR="00FF5B8A" w:rsidRPr="0027631D" w:rsidRDefault="00FF5B8A" w:rsidP="0027631D">
      <w:pPr>
        <w:spacing w:after="0" w:line="23" w:lineRule="atLeast"/>
        <w:contextualSpacing/>
        <w:rPr>
          <w:rFonts w:ascii="Arial" w:hAnsi="Arial" w:cs="Arial"/>
          <w:color w:val="000000" w:themeColor="text1"/>
        </w:rPr>
      </w:pPr>
    </w:p>
    <w:p w14:paraId="1235746F" w14:textId="77777777" w:rsidR="00FF5B8A" w:rsidRPr="00794179" w:rsidRDefault="00FF5B8A" w:rsidP="00794179">
      <w:pPr>
        <w:pStyle w:val="Ttulo6"/>
      </w:pPr>
      <w:r w:rsidRPr="0027631D">
        <w:t>Sistemas de sensores de perturbación de campo</w:t>
      </w:r>
    </w:p>
    <w:p w14:paraId="27C075E8" w14:textId="77777777" w:rsidR="00FF5B8A" w:rsidRPr="0027631D" w:rsidRDefault="00FF5B8A" w:rsidP="0027631D">
      <w:pPr>
        <w:spacing w:after="0" w:line="23" w:lineRule="atLeast"/>
        <w:contextualSpacing/>
        <w:rPr>
          <w:rFonts w:ascii="Arial" w:hAnsi="Arial" w:cs="Arial"/>
          <w:color w:val="000000" w:themeColor="text1"/>
        </w:rPr>
      </w:pPr>
    </w:p>
    <w:tbl>
      <w:tblPr>
        <w:tblStyle w:val="Tablaconcuadrcula"/>
        <w:tblW w:w="5000" w:type="pct"/>
        <w:jc w:val="center"/>
        <w:shd w:val="clear" w:color="auto" w:fill="FFFFFF" w:themeFill="background1"/>
        <w:tblLook w:val="04A0" w:firstRow="1" w:lastRow="0" w:firstColumn="1" w:lastColumn="0" w:noHBand="0" w:noVBand="1"/>
      </w:tblPr>
      <w:tblGrid>
        <w:gridCol w:w="3006"/>
        <w:gridCol w:w="3301"/>
        <w:gridCol w:w="3087"/>
      </w:tblGrid>
      <w:tr w:rsidR="00FF5B8A" w:rsidRPr="0027631D" w14:paraId="20860585" w14:textId="77777777" w:rsidTr="004E082F">
        <w:trPr>
          <w:cantSplit/>
          <w:trHeight w:val="275"/>
          <w:tblHeader/>
          <w:jc w:val="center"/>
        </w:trPr>
        <w:tc>
          <w:tcPr>
            <w:tcW w:w="5000" w:type="pct"/>
            <w:gridSpan w:val="3"/>
            <w:shd w:val="clear" w:color="auto" w:fill="D9D9D9" w:themeFill="background1" w:themeFillShade="D9"/>
            <w:vAlign w:val="center"/>
          </w:tcPr>
          <w:p w14:paraId="1D7805DF" w14:textId="77777777" w:rsidR="00FF5B8A" w:rsidRPr="0027631D" w:rsidRDefault="00FF5B8A" w:rsidP="0027631D">
            <w:pPr>
              <w:tabs>
                <w:tab w:val="left" w:pos="7525"/>
              </w:tabs>
              <w:spacing w:after="0" w:line="23" w:lineRule="atLeast"/>
              <w:contextualSpacing/>
              <w:jc w:val="center"/>
              <w:rPr>
                <w:rFonts w:ascii="Arial" w:hAnsi="Arial" w:cs="Arial"/>
                <w:b/>
                <w:color w:val="000000" w:themeColor="text1"/>
                <w:u w:val="single"/>
              </w:rPr>
            </w:pPr>
            <w:r w:rsidRPr="0027631D">
              <w:rPr>
                <w:rFonts w:ascii="Arial" w:hAnsi="Arial" w:cs="Arial"/>
                <w:b/>
                <w:color w:val="000000" w:themeColor="text1"/>
                <w:u w:val="single"/>
              </w:rPr>
              <w:t>Sistemas de sensores de perturbación de campo</w:t>
            </w:r>
          </w:p>
        </w:tc>
      </w:tr>
      <w:tr w:rsidR="00FF5B8A" w:rsidRPr="0027631D" w14:paraId="13DF753D" w14:textId="77777777" w:rsidTr="004E082F">
        <w:trPr>
          <w:cantSplit/>
          <w:trHeight w:val="368"/>
          <w:jc w:val="center"/>
        </w:trPr>
        <w:tc>
          <w:tcPr>
            <w:tcW w:w="1600" w:type="pct"/>
            <w:vMerge w:val="restart"/>
            <w:shd w:val="clear" w:color="auto" w:fill="D9D9D9" w:themeFill="background1" w:themeFillShade="D9"/>
            <w:vAlign w:val="center"/>
          </w:tcPr>
          <w:p w14:paraId="508E7A0F" w14:textId="77777777" w:rsidR="00FF5B8A" w:rsidRPr="0027631D" w:rsidRDefault="00FF5B8A" w:rsidP="0027631D">
            <w:pPr>
              <w:spacing w:after="0" w:line="23" w:lineRule="atLeast"/>
              <w:contextualSpacing/>
              <w:rPr>
                <w:rFonts w:ascii="Arial" w:hAnsi="Arial" w:cs="Arial"/>
                <w:b/>
                <w:color w:val="000000" w:themeColor="text1"/>
              </w:rPr>
            </w:pPr>
            <w:r w:rsidRPr="0027631D">
              <w:rPr>
                <w:rFonts w:ascii="Arial" w:hAnsi="Arial" w:cs="Arial"/>
                <w:b/>
                <w:color w:val="000000" w:themeColor="text1"/>
              </w:rPr>
              <w:t>Límite de intensidad de campo a una distancia de 3 metros:</w:t>
            </w:r>
          </w:p>
        </w:tc>
        <w:tc>
          <w:tcPr>
            <w:tcW w:w="1757" w:type="pct"/>
            <w:shd w:val="clear" w:color="auto" w:fill="D9D9D9" w:themeFill="background1" w:themeFillShade="D9"/>
            <w:vAlign w:val="center"/>
          </w:tcPr>
          <w:p w14:paraId="04ED7AE1" w14:textId="77777777" w:rsidR="00FF5B8A" w:rsidRPr="0027631D" w:rsidRDefault="00FF5B8A" w:rsidP="0027631D">
            <w:pPr>
              <w:spacing w:after="0" w:line="23" w:lineRule="atLeast"/>
              <w:contextualSpacing/>
              <w:jc w:val="center"/>
              <w:rPr>
                <w:rFonts w:ascii="Arial" w:hAnsi="Arial" w:cs="Arial"/>
                <w:b/>
                <w:color w:val="000000" w:themeColor="text1"/>
              </w:rPr>
            </w:pPr>
            <w:r w:rsidRPr="0027631D">
              <w:rPr>
                <w:rFonts w:ascii="Arial" w:hAnsi="Arial" w:cs="Arial"/>
                <w:b/>
                <w:color w:val="000000" w:themeColor="text1"/>
              </w:rPr>
              <w:t>Emisión fundamental</w:t>
            </w:r>
          </w:p>
        </w:tc>
        <w:tc>
          <w:tcPr>
            <w:tcW w:w="1643" w:type="pct"/>
            <w:shd w:val="clear" w:color="auto" w:fill="D9D9D9" w:themeFill="background1" w:themeFillShade="D9"/>
            <w:vAlign w:val="center"/>
          </w:tcPr>
          <w:p w14:paraId="258FACA8" w14:textId="77777777" w:rsidR="00FF5B8A" w:rsidRPr="0027631D" w:rsidRDefault="00FF5B8A" w:rsidP="0027631D">
            <w:pPr>
              <w:spacing w:after="0" w:line="23" w:lineRule="atLeast"/>
              <w:contextualSpacing/>
              <w:jc w:val="center"/>
              <w:rPr>
                <w:rFonts w:ascii="Arial" w:hAnsi="Arial" w:cs="Arial"/>
                <w:b/>
                <w:color w:val="000000" w:themeColor="text1"/>
              </w:rPr>
            </w:pPr>
            <w:r w:rsidRPr="0027631D">
              <w:rPr>
                <w:rFonts w:ascii="Arial" w:hAnsi="Arial" w:cs="Arial"/>
                <w:b/>
                <w:color w:val="000000" w:themeColor="text1"/>
              </w:rPr>
              <w:t>Emisión de armónicos</w:t>
            </w:r>
          </w:p>
        </w:tc>
      </w:tr>
      <w:tr w:rsidR="00FF5B8A" w:rsidRPr="0027631D" w14:paraId="447FA278" w14:textId="77777777" w:rsidTr="004E082F">
        <w:trPr>
          <w:cantSplit/>
          <w:trHeight w:val="327"/>
          <w:jc w:val="center"/>
        </w:trPr>
        <w:tc>
          <w:tcPr>
            <w:tcW w:w="1600" w:type="pct"/>
            <w:vMerge/>
            <w:shd w:val="clear" w:color="auto" w:fill="FFFFFF" w:themeFill="background1"/>
            <w:vAlign w:val="center"/>
          </w:tcPr>
          <w:p w14:paraId="7EA14E38" w14:textId="77777777" w:rsidR="00FF5B8A" w:rsidRPr="0027631D" w:rsidRDefault="00FF5B8A" w:rsidP="0027631D">
            <w:pPr>
              <w:spacing w:after="0" w:line="23" w:lineRule="atLeast"/>
              <w:contextualSpacing/>
              <w:rPr>
                <w:rFonts w:ascii="Arial" w:hAnsi="Arial" w:cs="Arial"/>
                <w:b/>
                <w:color w:val="000000" w:themeColor="text1"/>
              </w:rPr>
            </w:pPr>
          </w:p>
        </w:tc>
        <w:tc>
          <w:tcPr>
            <w:tcW w:w="1757" w:type="pct"/>
            <w:shd w:val="clear" w:color="auto" w:fill="FFFFFF" w:themeFill="background1"/>
            <w:vAlign w:val="center"/>
          </w:tcPr>
          <w:p w14:paraId="0D42A8DE"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 xml:space="preserve">500 mV / m </w:t>
            </w:r>
          </w:p>
        </w:tc>
        <w:tc>
          <w:tcPr>
            <w:tcW w:w="1643" w:type="pct"/>
            <w:shd w:val="clear" w:color="auto" w:fill="FFFFFF" w:themeFill="background1"/>
            <w:vAlign w:val="center"/>
          </w:tcPr>
          <w:p w14:paraId="5154FD20"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1.6 mV / m</w:t>
            </w:r>
          </w:p>
        </w:tc>
      </w:tr>
    </w:tbl>
    <w:p w14:paraId="6F88BA5F" w14:textId="29A50FB4" w:rsidR="00FF5B8A" w:rsidRPr="0027631D" w:rsidRDefault="00FF5B8A" w:rsidP="0027631D">
      <w:pPr>
        <w:pStyle w:val="Descripcin"/>
        <w:contextualSpacing/>
        <w:rPr>
          <w:color w:val="000000" w:themeColor="text1"/>
          <w:sz w:val="22"/>
          <w:szCs w:val="22"/>
          <w:lang w:val="es-ES" w:eastAsia="es-MX"/>
        </w:rPr>
      </w:pPr>
      <w:bookmarkStart w:id="388" w:name="_Toc45452848"/>
      <w:bookmarkStart w:id="389" w:name="_Toc45452957"/>
      <w:r w:rsidRPr="0027631D">
        <w:rPr>
          <w:color w:val="000000" w:themeColor="text1"/>
          <w:sz w:val="22"/>
          <w:szCs w:val="22"/>
        </w:rPr>
        <w:t xml:space="preserve">Tabla </w:t>
      </w:r>
      <w:r w:rsidR="00733738">
        <w:rPr>
          <w:color w:val="000000" w:themeColor="text1"/>
          <w:sz w:val="22"/>
          <w:szCs w:val="22"/>
        </w:rPr>
        <w:t>7</w:t>
      </w:r>
      <w:r w:rsidRPr="0027631D">
        <w:rPr>
          <w:color w:val="000000" w:themeColor="text1"/>
          <w:sz w:val="22"/>
          <w:szCs w:val="22"/>
        </w:rPr>
        <w:t>.</w:t>
      </w:r>
      <w:r w:rsidRPr="0027631D">
        <w:rPr>
          <w:color w:val="000000" w:themeColor="text1"/>
          <w:sz w:val="22"/>
          <w:szCs w:val="22"/>
          <w:lang w:val="es-ES" w:eastAsia="es-MX"/>
        </w:rPr>
        <w:t xml:space="preserve"> Condiciones técnicas de operación para los sistemas </w:t>
      </w:r>
      <w:r w:rsidRPr="0027631D">
        <w:rPr>
          <w:color w:val="000000" w:themeColor="text1"/>
          <w:sz w:val="22"/>
          <w:szCs w:val="22"/>
          <w:lang w:eastAsia="es-MX"/>
        </w:rPr>
        <w:t>de sensores de perturbación de campo en la banda 24</w:t>
      </w:r>
      <w:r w:rsidR="00FC2F01">
        <w:rPr>
          <w:color w:val="000000" w:themeColor="text1"/>
          <w:sz w:val="22"/>
          <w:szCs w:val="22"/>
          <w:lang w:eastAsia="es-MX"/>
        </w:rPr>
        <w:t>35</w:t>
      </w:r>
      <w:r w:rsidRPr="0027631D">
        <w:rPr>
          <w:color w:val="000000" w:themeColor="text1"/>
          <w:sz w:val="22"/>
          <w:szCs w:val="22"/>
          <w:lang w:eastAsia="es-MX"/>
        </w:rPr>
        <w:t>-24</w:t>
      </w:r>
      <w:r w:rsidR="00333BAD">
        <w:rPr>
          <w:color w:val="000000" w:themeColor="text1"/>
          <w:sz w:val="22"/>
          <w:szCs w:val="22"/>
          <w:lang w:eastAsia="es-MX"/>
        </w:rPr>
        <w:t>65</w:t>
      </w:r>
      <w:r w:rsidRPr="0027631D">
        <w:rPr>
          <w:color w:val="000000" w:themeColor="text1"/>
          <w:sz w:val="22"/>
          <w:szCs w:val="22"/>
          <w:lang w:eastAsia="es-MX"/>
        </w:rPr>
        <w:t xml:space="preserve"> MHz</w:t>
      </w:r>
      <w:bookmarkEnd w:id="388"/>
      <w:bookmarkEnd w:id="389"/>
    </w:p>
    <w:p w14:paraId="6B62B41D" w14:textId="77777777" w:rsidR="00FF5B8A" w:rsidRPr="0027631D" w:rsidRDefault="00FF5B8A" w:rsidP="0027631D">
      <w:pPr>
        <w:spacing w:after="0" w:line="23" w:lineRule="atLeast"/>
        <w:contextualSpacing/>
        <w:rPr>
          <w:rFonts w:ascii="Arial" w:hAnsi="Arial" w:cs="Arial"/>
          <w:color w:val="000000" w:themeColor="text1"/>
        </w:rPr>
      </w:pPr>
    </w:p>
    <w:p w14:paraId="44A4A210" w14:textId="77777777" w:rsidR="00FF5B8A" w:rsidRPr="00794179" w:rsidRDefault="00FF5B8A" w:rsidP="00794179">
      <w:pPr>
        <w:pStyle w:val="Ttulo6"/>
      </w:pPr>
      <w:r w:rsidRPr="0027631D">
        <w:t>Otros</w:t>
      </w:r>
      <w:r w:rsidRPr="00794179" w:rsidDel="007A685A">
        <w:t xml:space="preserve"> </w:t>
      </w:r>
      <w:r w:rsidRPr="00794179">
        <w:t>dispositivos de radiocomunicación de corto alcance no especificados en los apartados anteriores.</w:t>
      </w:r>
    </w:p>
    <w:p w14:paraId="7AEA1E72" w14:textId="77777777" w:rsidR="00FF5B8A" w:rsidRPr="0027631D" w:rsidRDefault="00FF5B8A" w:rsidP="0027631D">
      <w:pPr>
        <w:spacing w:after="0" w:line="23" w:lineRule="atLeast"/>
        <w:contextualSpacing/>
        <w:rPr>
          <w:rFonts w:ascii="Arial" w:hAnsi="Arial" w:cs="Arial"/>
          <w:color w:val="000000" w:themeColor="text1"/>
        </w:rPr>
      </w:pPr>
    </w:p>
    <w:tbl>
      <w:tblPr>
        <w:tblStyle w:val="Tablaconcuadrcula"/>
        <w:tblW w:w="5000" w:type="pct"/>
        <w:jc w:val="center"/>
        <w:shd w:val="clear" w:color="auto" w:fill="FFFFFF" w:themeFill="background1"/>
        <w:tblLook w:val="04A0" w:firstRow="1" w:lastRow="0" w:firstColumn="1" w:lastColumn="0" w:noHBand="0" w:noVBand="1"/>
      </w:tblPr>
      <w:tblGrid>
        <w:gridCol w:w="3006"/>
        <w:gridCol w:w="3301"/>
        <w:gridCol w:w="3087"/>
      </w:tblGrid>
      <w:tr w:rsidR="00FF5B8A" w:rsidRPr="0027631D" w14:paraId="24C67526" w14:textId="77777777" w:rsidTr="00FB7222">
        <w:trPr>
          <w:cantSplit/>
          <w:trHeight w:val="351"/>
          <w:tblHeader/>
          <w:jc w:val="center"/>
        </w:trPr>
        <w:tc>
          <w:tcPr>
            <w:tcW w:w="5000" w:type="pct"/>
            <w:gridSpan w:val="3"/>
            <w:shd w:val="clear" w:color="auto" w:fill="D9D9D9" w:themeFill="background1" w:themeFillShade="D9"/>
            <w:vAlign w:val="center"/>
          </w:tcPr>
          <w:p w14:paraId="029EE511" w14:textId="77777777" w:rsidR="00FF5B8A" w:rsidRPr="0027631D" w:rsidRDefault="00FF5B8A" w:rsidP="0027631D">
            <w:pPr>
              <w:tabs>
                <w:tab w:val="left" w:pos="7525"/>
              </w:tabs>
              <w:spacing w:after="0" w:line="23" w:lineRule="atLeast"/>
              <w:contextualSpacing/>
              <w:jc w:val="center"/>
              <w:rPr>
                <w:rFonts w:ascii="Arial" w:hAnsi="Arial" w:cs="Arial"/>
                <w:b/>
                <w:color w:val="000000" w:themeColor="text1"/>
                <w:u w:val="single"/>
              </w:rPr>
            </w:pPr>
            <w:r w:rsidRPr="0027631D">
              <w:rPr>
                <w:rFonts w:ascii="Arial" w:hAnsi="Arial" w:cs="Arial"/>
                <w:b/>
                <w:color w:val="000000" w:themeColor="text1"/>
                <w:u w:val="single"/>
              </w:rPr>
              <w:t>Otros</w:t>
            </w:r>
            <w:r w:rsidRPr="0027631D" w:rsidDel="007A685A">
              <w:rPr>
                <w:rFonts w:ascii="Arial" w:hAnsi="Arial" w:cs="Arial"/>
                <w:b/>
                <w:color w:val="000000" w:themeColor="text1"/>
                <w:u w:val="single"/>
              </w:rPr>
              <w:t xml:space="preserve"> </w:t>
            </w:r>
            <w:r w:rsidRPr="0027631D">
              <w:rPr>
                <w:rFonts w:ascii="Arial" w:hAnsi="Arial" w:cs="Arial"/>
                <w:b/>
                <w:color w:val="000000" w:themeColor="text1"/>
                <w:u w:val="single"/>
              </w:rPr>
              <w:t>dispositivos de radiocomunicación de corto alcance no especificados</w:t>
            </w:r>
          </w:p>
        </w:tc>
      </w:tr>
      <w:tr w:rsidR="00FF5B8A" w:rsidRPr="0027631D" w14:paraId="5A2CEE9C" w14:textId="77777777" w:rsidTr="00FB7222">
        <w:trPr>
          <w:cantSplit/>
          <w:trHeight w:val="271"/>
          <w:tblHeader/>
          <w:jc w:val="center"/>
        </w:trPr>
        <w:tc>
          <w:tcPr>
            <w:tcW w:w="1600" w:type="pct"/>
            <w:vMerge w:val="restart"/>
            <w:shd w:val="clear" w:color="auto" w:fill="D9D9D9" w:themeFill="background1" w:themeFillShade="D9"/>
            <w:vAlign w:val="center"/>
          </w:tcPr>
          <w:p w14:paraId="6C890095" w14:textId="77777777" w:rsidR="00FF5B8A" w:rsidRPr="0027631D" w:rsidRDefault="00FF5B8A" w:rsidP="0027631D">
            <w:pPr>
              <w:spacing w:after="0" w:line="23" w:lineRule="atLeast"/>
              <w:contextualSpacing/>
              <w:rPr>
                <w:rFonts w:ascii="Arial" w:hAnsi="Arial" w:cs="Arial"/>
                <w:b/>
                <w:color w:val="000000" w:themeColor="text1"/>
              </w:rPr>
            </w:pPr>
            <w:r w:rsidRPr="0027631D">
              <w:rPr>
                <w:rFonts w:ascii="Arial" w:hAnsi="Arial" w:cs="Arial"/>
                <w:b/>
                <w:color w:val="000000" w:themeColor="text1"/>
              </w:rPr>
              <w:t>Límite de intensidad de campo a una distancia de 3 metros:</w:t>
            </w:r>
          </w:p>
        </w:tc>
        <w:tc>
          <w:tcPr>
            <w:tcW w:w="1757" w:type="pct"/>
            <w:shd w:val="clear" w:color="auto" w:fill="D9D9D9" w:themeFill="background1" w:themeFillShade="D9"/>
            <w:vAlign w:val="center"/>
          </w:tcPr>
          <w:p w14:paraId="5EE83370" w14:textId="77777777" w:rsidR="00FF5B8A" w:rsidRPr="0027631D" w:rsidRDefault="00FF5B8A" w:rsidP="0027631D">
            <w:pPr>
              <w:spacing w:after="0" w:line="23" w:lineRule="atLeast"/>
              <w:contextualSpacing/>
              <w:jc w:val="center"/>
              <w:rPr>
                <w:rFonts w:ascii="Arial" w:hAnsi="Arial" w:cs="Arial"/>
                <w:b/>
                <w:color w:val="000000" w:themeColor="text1"/>
              </w:rPr>
            </w:pPr>
            <w:r w:rsidRPr="0027631D">
              <w:rPr>
                <w:rFonts w:ascii="Arial" w:hAnsi="Arial" w:cs="Arial"/>
                <w:b/>
                <w:color w:val="000000" w:themeColor="text1"/>
              </w:rPr>
              <w:t>Emisión fundamental</w:t>
            </w:r>
          </w:p>
        </w:tc>
        <w:tc>
          <w:tcPr>
            <w:tcW w:w="1643" w:type="pct"/>
            <w:shd w:val="clear" w:color="auto" w:fill="D9D9D9" w:themeFill="background1" w:themeFillShade="D9"/>
            <w:vAlign w:val="center"/>
          </w:tcPr>
          <w:p w14:paraId="0D0A2B54" w14:textId="77777777" w:rsidR="00FF5B8A" w:rsidRPr="0027631D" w:rsidRDefault="00FF5B8A" w:rsidP="0027631D">
            <w:pPr>
              <w:spacing w:after="0" w:line="23" w:lineRule="atLeast"/>
              <w:contextualSpacing/>
              <w:jc w:val="center"/>
              <w:rPr>
                <w:rFonts w:ascii="Arial" w:hAnsi="Arial" w:cs="Arial"/>
                <w:b/>
                <w:color w:val="000000" w:themeColor="text1"/>
              </w:rPr>
            </w:pPr>
            <w:r w:rsidRPr="0027631D">
              <w:rPr>
                <w:rFonts w:ascii="Arial" w:hAnsi="Arial" w:cs="Arial"/>
                <w:b/>
                <w:color w:val="000000" w:themeColor="text1"/>
              </w:rPr>
              <w:t>Emisión de armónicos</w:t>
            </w:r>
          </w:p>
        </w:tc>
      </w:tr>
      <w:tr w:rsidR="00FF5B8A" w:rsidRPr="0027631D" w14:paraId="309BD0BE" w14:textId="77777777" w:rsidTr="004E082F">
        <w:trPr>
          <w:cantSplit/>
          <w:trHeight w:val="275"/>
          <w:jc w:val="center"/>
        </w:trPr>
        <w:tc>
          <w:tcPr>
            <w:tcW w:w="1600" w:type="pct"/>
            <w:vMerge/>
            <w:shd w:val="clear" w:color="auto" w:fill="FFFFFF" w:themeFill="background1"/>
            <w:vAlign w:val="center"/>
          </w:tcPr>
          <w:p w14:paraId="08CAC040" w14:textId="77777777" w:rsidR="00FF5B8A" w:rsidRPr="0027631D" w:rsidRDefault="00FF5B8A" w:rsidP="0027631D">
            <w:pPr>
              <w:spacing w:after="0" w:line="23" w:lineRule="atLeast"/>
              <w:contextualSpacing/>
              <w:jc w:val="center"/>
              <w:rPr>
                <w:rFonts w:ascii="Arial" w:hAnsi="Arial" w:cs="Arial"/>
                <w:b/>
                <w:color w:val="000000" w:themeColor="text1"/>
              </w:rPr>
            </w:pPr>
          </w:p>
        </w:tc>
        <w:tc>
          <w:tcPr>
            <w:tcW w:w="1757" w:type="pct"/>
            <w:shd w:val="clear" w:color="auto" w:fill="FFFFFF" w:themeFill="background1"/>
            <w:vAlign w:val="center"/>
          </w:tcPr>
          <w:p w14:paraId="653E081A"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50 mV / m</w:t>
            </w:r>
          </w:p>
        </w:tc>
        <w:tc>
          <w:tcPr>
            <w:tcW w:w="1643" w:type="pct"/>
            <w:shd w:val="clear" w:color="auto" w:fill="FFFFFF" w:themeFill="background1"/>
            <w:vAlign w:val="center"/>
          </w:tcPr>
          <w:p w14:paraId="17C9B7C5" w14:textId="77777777" w:rsidR="00FF5B8A" w:rsidRPr="0027631D" w:rsidRDefault="00FF5B8A" w:rsidP="0027631D">
            <w:pPr>
              <w:spacing w:after="0" w:line="23" w:lineRule="atLeast"/>
              <w:contextualSpacing/>
              <w:jc w:val="center"/>
              <w:rPr>
                <w:rFonts w:ascii="Arial" w:hAnsi="Arial" w:cs="Arial"/>
                <w:color w:val="000000" w:themeColor="text1"/>
              </w:rPr>
            </w:pPr>
            <w:r w:rsidRPr="0027631D">
              <w:rPr>
                <w:rFonts w:ascii="Arial" w:hAnsi="Arial" w:cs="Arial"/>
                <w:color w:val="000000" w:themeColor="text1"/>
              </w:rPr>
              <w:t>0.5 mV / m</w:t>
            </w:r>
          </w:p>
        </w:tc>
      </w:tr>
    </w:tbl>
    <w:p w14:paraId="64A3CA22" w14:textId="29D19CB8" w:rsidR="00FF5B8A" w:rsidRPr="0027631D" w:rsidRDefault="00FF5B8A" w:rsidP="0027631D">
      <w:pPr>
        <w:pStyle w:val="Descripcin"/>
        <w:contextualSpacing/>
        <w:rPr>
          <w:color w:val="000000" w:themeColor="text1"/>
          <w:sz w:val="22"/>
          <w:szCs w:val="22"/>
          <w:lang w:val="es-ES" w:eastAsia="es-MX"/>
        </w:rPr>
      </w:pPr>
      <w:bookmarkStart w:id="390" w:name="_Ref45496748"/>
      <w:bookmarkStart w:id="391" w:name="_Toc45452849"/>
      <w:bookmarkStart w:id="392" w:name="_Toc45452958"/>
      <w:bookmarkEnd w:id="379"/>
      <w:r w:rsidRPr="0027631D">
        <w:rPr>
          <w:color w:val="000000" w:themeColor="text1"/>
          <w:sz w:val="22"/>
          <w:szCs w:val="22"/>
        </w:rPr>
        <w:t xml:space="preserve">Tabla </w:t>
      </w:r>
      <w:r w:rsidR="00733738">
        <w:rPr>
          <w:color w:val="000000" w:themeColor="text1"/>
          <w:sz w:val="22"/>
          <w:szCs w:val="22"/>
        </w:rPr>
        <w:t>8</w:t>
      </w:r>
      <w:r w:rsidRPr="0027631D">
        <w:rPr>
          <w:color w:val="000000" w:themeColor="text1"/>
          <w:sz w:val="22"/>
          <w:szCs w:val="22"/>
        </w:rPr>
        <w:t>.</w:t>
      </w:r>
      <w:bookmarkEnd w:id="390"/>
      <w:r w:rsidRPr="0027631D">
        <w:rPr>
          <w:color w:val="000000" w:themeColor="text1"/>
          <w:sz w:val="22"/>
          <w:szCs w:val="22"/>
          <w:lang w:val="es-ES" w:eastAsia="es-MX"/>
        </w:rPr>
        <w:t xml:space="preserve"> Condiciones técnicas de operación para otros dispositivos </w:t>
      </w:r>
      <w:r w:rsidRPr="0027631D">
        <w:rPr>
          <w:color w:val="000000" w:themeColor="text1"/>
          <w:sz w:val="22"/>
          <w:szCs w:val="22"/>
          <w:lang w:eastAsia="es-MX"/>
        </w:rPr>
        <w:t>de radiocomunicación de corto alcance en la banda 2400-2483.5 MHz</w:t>
      </w:r>
      <w:bookmarkEnd w:id="391"/>
      <w:bookmarkEnd w:id="392"/>
    </w:p>
    <w:p w14:paraId="7A8E74A2" w14:textId="77777777" w:rsidR="00FF5B8A" w:rsidRPr="0027631D" w:rsidRDefault="00FF5B8A" w:rsidP="0027631D">
      <w:pPr>
        <w:spacing w:after="0" w:line="23" w:lineRule="atLeast"/>
        <w:contextualSpacing/>
        <w:jc w:val="both"/>
        <w:rPr>
          <w:rFonts w:ascii="Arial" w:hAnsi="Arial" w:cs="Arial"/>
          <w:color w:val="000000" w:themeColor="text1"/>
        </w:rPr>
      </w:pPr>
    </w:p>
    <w:p w14:paraId="461D5579" w14:textId="77777777" w:rsidR="00FF5B8A" w:rsidRPr="00794179" w:rsidRDefault="00FF5B8A" w:rsidP="00794179">
      <w:pPr>
        <w:pStyle w:val="Ttulo6"/>
      </w:pPr>
      <w:r w:rsidRPr="0027631D">
        <w:t xml:space="preserve">Condiciones generales para los </w:t>
      </w:r>
      <w:r w:rsidRPr="00794179">
        <w:t>dispositivos de radiocomunicación de corto alcance que operen la banda de frecuencias 2400-2483.5 MHz</w:t>
      </w:r>
    </w:p>
    <w:p w14:paraId="6E64EF13" w14:textId="77777777" w:rsidR="00FF5B8A" w:rsidRPr="0027631D" w:rsidRDefault="00FF5B8A" w:rsidP="0027631D">
      <w:pPr>
        <w:spacing w:after="0" w:line="23" w:lineRule="atLeast"/>
        <w:contextualSpacing/>
        <w:jc w:val="both"/>
        <w:rPr>
          <w:rFonts w:ascii="Arial" w:hAnsi="Arial" w:cs="Arial"/>
          <w:color w:val="000000" w:themeColor="text1"/>
        </w:rPr>
      </w:pPr>
    </w:p>
    <w:p w14:paraId="3134B03A" w14:textId="3D15C40D" w:rsidR="00FF5B8A" w:rsidRPr="0027631D" w:rsidRDefault="00FF5B8A" w:rsidP="00E36991">
      <w:pPr>
        <w:pStyle w:val="Prrafodelista"/>
        <w:numPr>
          <w:ilvl w:val="0"/>
          <w:numId w:val="9"/>
        </w:numPr>
        <w:spacing w:line="23" w:lineRule="atLeast"/>
        <w:ind w:left="567" w:hanging="283"/>
        <w:contextualSpacing/>
        <w:jc w:val="both"/>
        <w:rPr>
          <w:rFonts w:cs="Arial"/>
          <w:color w:val="000000" w:themeColor="text1"/>
          <w:sz w:val="22"/>
          <w:szCs w:val="22"/>
        </w:rPr>
      </w:pPr>
      <w:r w:rsidRPr="0027631D">
        <w:rPr>
          <w:rFonts w:cs="Arial"/>
          <w:color w:val="000000" w:themeColor="text1"/>
          <w:sz w:val="22"/>
          <w:szCs w:val="22"/>
        </w:rPr>
        <w:t>Se permiten antenas transmisoras integradas (sin conector de antena externo), específicas (homologadas con el equipo), así como desmontables siempre y cuando la antena desmontable cuente con un conector especial;</w:t>
      </w:r>
    </w:p>
    <w:p w14:paraId="4D597284" w14:textId="77777777" w:rsidR="00FF5B8A" w:rsidRPr="0027631D" w:rsidRDefault="00FF5B8A" w:rsidP="0027631D">
      <w:pPr>
        <w:pStyle w:val="Prrafodelista"/>
        <w:spacing w:line="23" w:lineRule="atLeast"/>
        <w:ind w:left="567"/>
        <w:contextualSpacing/>
        <w:jc w:val="both"/>
        <w:rPr>
          <w:rFonts w:cs="Arial"/>
          <w:color w:val="000000" w:themeColor="text1"/>
          <w:sz w:val="22"/>
          <w:szCs w:val="22"/>
        </w:rPr>
      </w:pPr>
    </w:p>
    <w:p w14:paraId="7B8B1CCC" w14:textId="77777777" w:rsidR="00FF5B8A" w:rsidRPr="0027631D" w:rsidRDefault="00FF5B8A" w:rsidP="00E36991">
      <w:pPr>
        <w:pStyle w:val="Prrafodelista"/>
        <w:numPr>
          <w:ilvl w:val="0"/>
          <w:numId w:val="9"/>
        </w:numPr>
        <w:spacing w:line="23" w:lineRule="atLeast"/>
        <w:ind w:left="567" w:hanging="283"/>
        <w:contextualSpacing/>
        <w:jc w:val="both"/>
        <w:rPr>
          <w:rFonts w:cs="Arial"/>
          <w:color w:val="000000" w:themeColor="text1"/>
          <w:sz w:val="22"/>
          <w:szCs w:val="22"/>
        </w:rPr>
      </w:pPr>
      <w:r w:rsidRPr="0027631D">
        <w:rPr>
          <w:rFonts w:cs="Arial"/>
          <w:color w:val="000000" w:themeColor="text1"/>
          <w:sz w:val="22"/>
          <w:szCs w:val="22"/>
        </w:rPr>
        <w:t>No se permite la operación de dispositivos con antenas diferentes a las suministradas o recomendadas por el fabricante;</w:t>
      </w:r>
    </w:p>
    <w:p w14:paraId="22DCBF10" w14:textId="77777777" w:rsidR="00FF5B8A" w:rsidRPr="0027631D" w:rsidRDefault="00FF5B8A" w:rsidP="0027631D">
      <w:pPr>
        <w:pStyle w:val="Prrafodelista"/>
        <w:spacing w:line="23" w:lineRule="atLeast"/>
        <w:ind w:left="567"/>
        <w:contextualSpacing/>
        <w:jc w:val="both"/>
        <w:rPr>
          <w:rFonts w:cs="Arial"/>
          <w:color w:val="000000" w:themeColor="text1"/>
          <w:sz w:val="22"/>
          <w:szCs w:val="22"/>
        </w:rPr>
      </w:pPr>
    </w:p>
    <w:p w14:paraId="099A9385" w14:textId="52D2E71D" w:rsidR="00FF5B8A" w:rsidRPr="0027631D" w:rsidRDefault="00FF5B8A" w:rsidP="00E36991">
      <w:pPr>
        <w:pStyle w:val="Prrafodelista"/>
        <w:numPr>
          <w:ilvl w:val="0"/>
          <w:numId w:val="9"/>
        </w:numPr>
        <w:spacing w:line="23" w:lineRule="atLeast"/>
        <w:ind w:left="567" w:hanging="283"/>
        <w:contextualSpacing/>
        <w:jc w:val="both"/>
        <w:rPr>
          <w:rFonts w:cs="Arial"/>
          <w:color w:val="000000" w:themeColor="text1"/>
          <w:sz w:val="22"/>
          <w:szCs w:val="22"/>
        </w:rPr>
      </w:pPr>
      <w:r w:rsidRPr="0027631D">
        <w:rPr>
          <w:rFonts w:cs="Arial"/>
          <w:color w:val="000000" w:themeColor="text1"/>
          <w:sz w:val="22"/>
          <w:szCs w:val="22"/>
        </w:rPr>
        <w:t>No está permitido el uso de antenas que causen que los sistemas excedan los límites de intensidad de campo establecidos en el presente Anexo</w:t>
      </w:r>
      <w:r w:rsidR="00EC2332">
        <w:rPr>
          <w:rFonts w:cs="Arial"/>
          <w:color w:val="000000" w:themeColor="text1"/>
          <w:sz w:val="22"/>
          <w:szCs w:val="22"/>
        </w:rPr>
        <w:t xml:space="preserve"> Único</w:t>
      </w:r>
      <w:r w:rsidRPr="0027631D">
        <w:rPr>
          <w:rFonts w:cs="Arial"/>
          <w:color w:val="000000" w:themeColor="text1"/>
          <w:sz w:val="22"/>
          <w:szCs w:val="22"/>
        </w:rPr>
        <w:t>; y</w:t>
      </w:r>
    </w:p>
    <w:p w14:paraId="0A1A0C78" w14:textId="77777777" w:rsidR="00FF5B8A" w:rsidRPr="0027631D" w:rsidRDefault="00FF5B8A" w:rsidP="0027631D">
      <w:pPr>
        <w:pStyle w:val="Prrafodelista"/>
        <w:spacing w:line="23" w:lineRule="atLeast"/>
        <w:ind w:left="567"/>
        <w:contextualSpacing/>
        <w:jc w:val="both"/>
        <w:rPr>
          <w:rFonts w:cs="Arial"/>
          <w:color w:val="000000" w:themeColor="text1"/>
          <w:sz w:val="22"/>
          <w:szCs w:val="22"/>
        </w:rPr>
      </w:pPr>
    </w:p>
    <w:p w14:paraId="245CFF15" w14:textId="77777777" w:rsidR="00FF5B8A" w:rsidRPr="0027631D" w:rsidRDefault="00FF5B8A" w:rsidP="00E36991">
      <w:pPr>
        <w:pStyle w:val="Prrafodelista"/>
        <w:numPr>
          <w:ilvl w:val="0"/>
          <w:numId w:val="9"/>
        </w:numPr>
        <w:spacing w:line="23" w:lineRule="atLeast"/>
        <w:ind w:left="567" w:hanging="283"/>
        <w:contextualSpacing/>
        <w:jc w:val="both"/>
        <w:rPr>
          <w:rFonts w:cs="Arial"/>
          <w:color w:val="000000" w:themeColor="text1"/>
          <w:sz w:val="22"/>
          <w:szCs w:val="22"/>
        </w:rPr>
      </w:pPr>
      <w:r w:rsidRPr="0027631D">
        <w:rPr>
          <w:rFonts w:cs="Arial"/>
          <w:color w:val="000000" w:themeColor="text1"/>
          <w:sz w:val="22"/>
          <w:szCs w:val="22"/>
        </w:rPr>
        <w:t>Deberán aceptar las interferencias perjudiciales que pudieran ser producidas por las aplicaciones ICM que operen en la banda.</w:t>
      </w:r>
    </w:p>
    <w:p w14:paraId="1EB297E8" w14:textId="77777777" w:rsidR="00FF5B8A" w:rsidRPr="0027631D" w:rsidRDefault="00FF5B8A" w:rsidP="0027631D">
      <w:pPr>
        <w:spacing w:after="0" w:line="23" w:lineRule="atLeast"/>
        <w:contextualSpacing/>
        <w:jc w:val="both"/>
        <w:rPr>
          <w:rFonts w:ascii="Arial" w:hAnsi="Arial" w:cs="Arial"/>
          <w:color w:val="000000" w:themeColor="text1"/>
        </w:rPr>
      </w:pPr>
    </w:p>
    <w:p w14:paraId="447A5980" w14:textId="77777777" w:rsidR="00FF5B8A" w:rsidRPr="00794179" w:rsidRDefault="00FF5B8A" w:rsidP="00794179">
      <w:pPr>
        <w:pStyle w:val="Ttulo6"/>
      </w:pPr>
      <w:r w:rsidRPr="0027631D">
        <w:t xml:space="preserve">Aplicaciones Industriales, Científicas y Médicas (ICM) </w:t>
      </w:r>
    </w:p>
    <w:p w14:paraId="24C86283" w14:textId="77777777" w:rsidR="00FF5B8A" w:rsidRPr="0027631D" w:rsidRDefault="00FF5B8A" w:rsidP="0027631D">
      <w:pPr>
        <w:autoSpaceDE w:val="0"/>
        <w:autoSpaceDN w:val="0"/>
        <w:adjustRightInd w:val="0"/>
        <w:spacing w:after="0" w:line="23" w:lineRule="atLeast"/>
        <w:contextualSpacing/>
        <w:jc w:val="both"/>
        <w:rPr>
          <w:rFonts w:ascii="Arial" w:eastAsiaTheme="minorHAnsi" w:hAnsi="Arial" w:cs="Arial"/>
          <w:color w:val="000000" w:themeColor="text1"/>
        </w:rPr>
      </w:pPr>
    </w:p>
    <w:p w14:paraId="3677FB5B" w14:textId="790B7F6F" w:rsidR="00FF5B8A" w:rsidRPr="0027631D" w:rsidRDefault="00FF5B8A" w:rsidP="0027631D">
      <w:pPr>
        <w:spacing w:after="0" w:line="23" w:lineRule="atLeast"/>
        <w:contextualSpacing/>
        <w:jc w:val="both"/>
        <w:rPr>
          <w:rFonts w:ascii="Arial" w:eastAsiaTheme="minorHAnsi" w:hAnsi="Arial" w:cs="Arial"/>
          <w:color w:val="000000" w:themeColor="text1"/>
        </w:rPr>
      </w:pPr>
      <w:r w:rsidRPr="0027631D">
        <w:rPr>
          <w:rFonts w:ascii="Arial" w:hAnsi="Arial" w:cs="Arial"/>
          <w:color w:val="000000" w:themeColor="text1"/>
        </w:rPr>
        <w:t xml:space="preserve">Las aplicaciones ICM que operen en la banda de frecuencias 2400-2483.5 GHz, deberán hacerlo de conformidad con lo establecido en los numerales </w:t>
      </w:r>
      <w:r w:rsidRPr="0027631D">
        <w:rPr>
          <w:rFonts w:ascii="Arial" w:hAnsi="Arial" w:cs="Arial"/>
          <w:b/>
          <w:color w:val="000000" w:themeColor="text1"/>
        </w:rPr>
        <w:t>1.15</w:t>
      </w:r>
      <w:r w:rsidRPr="0027631D">
        <w:rPr>
          <w:rFonts w:ascii="Arial" w:hAnsi="Arial" w:cs="Arial"/>
          <w:color w:val="000000" w:themeColor="text1"/>
        </w:rPr>
        <w:t xml:space="preserve"> y </w:t>
      </w:r>
      <w:r w:rsidRPr="0027631D">
        <w:rPr>
          <w:rFonts w:ascii="Arial" w:hAnsi="Arial" w:cs="Arial"/>
          <w:b/>
          <w:color w:val="000000" w:themeColor="text1"/>
        </w:rPr>
        <w:t>15.13</w:t>
      </w:r>
      <w:r w:rsidRPr="0027631D">
        <w:rPr>
          <w:rFonts w:ascii="Arial" w:hAnsi="Arial" w:cs="Arial"/>
          <w:color w:val="000000" w:themeColor="text1"/>
        </w:rPr>
        <w:t xml:space="preserve"> del Reglamento de Radiocomunicaciones (RR) de la Unión Internacional de Telecomunicaciones, </w:t>
      </w:r>
      <w:r w:rsidR="005F5D96">
        <w:rPr>
          <w:rFonts w:ascii="Arial" w:hAnsi="Arial" w:cs="Arial"/>
          <w:color w:val="000000" w:themeColor="text1"/>
        </w:rPr>
        <w:t>así como con lo que se indique en el</w:t>
      </w:r>
      <w:r w:rsidR="00D631D5">
        <w:rPr>
          <w:rFonts w:ascii="Arial" w:hAnsi="Arial" w:cs="Arial"/>
          <w:color w:val="000000" w:themeColor="text1"/>
        </w:rPr>
        <w:t xml:space="preserve"> CNAF, </w:t>
      </w:r>
      <w:r w:rsidRPr="0027631D">
        <w:rPr>
          <w:rFonts w:ascii="Arial" w:hAnsi="Arial" w:cs="Arial"/>
          <w:color w:val="000000" w:themeColor="text1"/>
        </w:rPr>
        <w:t>por lo que e</w:t>
      </w:r>
      <w:r w:rsidRPr="0027631D">
        <w:rPr>
          <w:rFonts w:ascii="Arial" w:eastAsiaTheme="minorHAnsi" w:hAnsi="Arial" w:cs="Arial"/>
          <w:color w:val="000000" w:themeColor="text1"/>
        </w:rPr>
        <w:t>l nivel de las emisiones de este tipo de aplicaciones que operen en esta banda no deberá causar interferencias perjudiciales a los servicios de radiocomunicaciones que operen en otras bandas de frecuencias, en particular, al servicio de radionavegación o cualquier otro servicio de seguridad que opere de acuerdo con el RR</w:t>
      </w:r>
      <w:r w:rsidR="00D631D5">
        <w:rPr>
          <w:rFonts w:ascii="Arial" w:eastAsiaTheme="minorHAnsi" w:hAnsi="Arial" w:cs="Arial"/>
          <w:color w:val="000000" w:themeColor="text1"/>
        </w:rPr>
        <w:t xml:space="preserve"> y el CNAF</w:t>
      </w:r>
      <w:r w:rsidRPr="0027631D">
        <w:rPr>
          <w:rFonts w:ascii="Arial" w:eastAsiaTheme="minorHAnsi" w:hAnsi="Arial" w:cs="Arial"/>
          <w:color w:val="000000" w:themeColor="text1"/>
        </w:rPr>
        <w:t>.</w:t>
      </w:r>
    </w:p>
    <w:p w14:paraId="33F29BA4" w14:textId="77777777" w:rsidR="00FF5B8A" w:rsidRDefault="00FF5B8A" w:rsidP="0027631D">
      <w:pPr>
        <w:spacing w:after="0" w:line="23" w:lineRule="atLeast"/>
        <w:contextualSpacing/>
        <w:jc w:val="both"/>
        <w:rPr>
          <w:rFonts w:ascii="Arial" w:hAnsi="Arial" w:cs="Arial"/>
          <w:color w:val="000000" w:themeColor="text1"/>
        </w:rPr>
      </w:pPr>
    </w:p>
    <w:p w14:paraId="7D49A449" w14:textId="064FD19A" w:rsidR="00FC2F01" w:rsidRPr="007F010F" w:rsidRDefault="007F2667" w:rsidP="00FC2F01">
      <w:pPr>
        <w:pStyle w:val="Ttulo6"/>
        <w:rPr>
          <w:color w:val="000000" w:themeColor="text1"/>
        </w:rPr>
      </w:pPr>
      <w:r w:rsidRPr="007F010F">
        <w:t>Emisiones</w:t>
      </w:r>
      <w:r w:rsidRPr="007F010F">
        <w:rPr>
          <w:color w:val="000000" w:themeColor="text1"/>
        </w:rPr>
        <w:t xml:space="preserve"> fuera de banda</w:t>
      </w:r>
    </w:p>
    <w:p w14:paraId="0D309030" w14:textId="77777777" w:rsidR="00FC2F01" w:rsidRDefault="00FC2F01" w:rsidP="0027631D">
      <w:pPr>
        <w:spacing w:after="0" w:line="23" w:lineRule="atLeast"/>
        <w:contextualSpacing/>
        <w:jc w:val="both"/>
        <w:rPr>
          <w:rFonts w:ascii="Arial" w:hAnsi="Arial" w:cs="Arial"/>
          <w:color w:val="000000" w:themeColor="text1"/>
        </w:rPr>
      </w:pPr>
    </w:p>
    <w:p w14:paraId="1B184B18" w14:textId="77777777" w:rsidR="00FC2F01" w:rsidRDefault="00FC2F01" w:rsidP="0027631D">
      <w:pPr>
        <w:spacing w:after="0" w:line="23" w:lineRule="atLeast"/>
        <w:contextualSpacing/>
        <w:jc w:val="both"/>
        <w:rPr>
          <w:rFonts w:ascii="Arial" w:hAnsi="Arial" w:cs="Arial"/>
          <w:color w:val="000000" w:themeColor="text1"/>
        </w:rPr>
      </w:pPr>
      <w:r w:rsidRPr="00FC2F01">
        <w:rPr>
          <w:rFonts w:ascii="Arial" w:hAnsi="Arial" w:cs="Arial"/>
          <w:color w:val="000000" w:themeColor="text1"/>
        </w:rPr>
        <w:t>En cualquier ancho de banda de 100 kHz fuera de la banda de frecuencia</w:t>
      </w:r>
      <w:r w:rsidR="002500FA">
        <w:rPr>
          <w:rFonts w:ascii="Arial" w:hAnsi="Arial" w:cs="Arial"/>
          <w:color w:val="000000" w:themeColor="text1"/>
        </w:rPr>
        <w:t>s</w:t>
      </w:r>
      <w:r w:rsidRPr="00FC2F01">
        <w:rPr>
          <w:rFonts w:ascii="Arial" w:hAnsi="Arial" w:cs="Arial"/>
          <w:color w:val="000000" w:themeColor="text1"/>
        </w:rPr>
        <w:t xml:space="preserve"> en la que est</w:t>
      </w:r>
      <w:r w:rsidR="00495A85">
        <w:rPr>
          <w:rFonts w:ascii="Arial" w:hAnsi="Arial" w:cs="Arial"/>
          <w:color w:val="000000" w:themeColor="text1"/>
        </w:rPr>
        <w:t>é</w:t>
      </w:r>
      <w:r w:rsidRPr="00FC2F01">
        <w:rPr>
          <w:rFonts w:ascii="Arial" w:hAnsi="Arial" w:cs="Arial"/>
          <w:color w:val="000000" w:themeColor="text1"/>
        </w:rPr>
        <w:t xml:space="preserve"> </w:t>
      </w:r>
      <w:r w:rsidR="00495A85">
        <w:rPr>
          <w:rFonts w:ascii="Arial" w:hAnsi="Arial" w:cs="Arial"/>
          <w:color w:val="000000" w:themeColor="text1"/>
        </w:rPr>
        <w:t>operando</w:t>
      </w:r>
      <w:r w:rsidRPr="00FC2F01">
        <w:rPr>
          <w:rFonts w:ascii="Arial" w:hAnsi="Arial" w:cs="Arial"/>
          <w:color w:val="000000" w:themeColor="text1"/>
        </w:rPr>
        <w:t xml:space="preserve"> el </w:t>
      </w:r>
      <w:r w:rsidR="00495A85">
        <w:rPr>
          <w:rFonts w:ascii="Arial" w:hAnsi="Arial" w:cs="Arial"/>
          <w:color w:val="000000" w:themeColor="text1"/>
        </w:rPr>
        <w:t xml:space="preserve">sistema </w:t>
      </w:r>
      <w:r w:rsidR="00495A85" w:rsidRPr="00495A85">
        <w:rPr>
          <w:rFonts w:ascii="Arial" w:hAnsi="Arial" w:cs="Arial"/>
          <w:color w:val="000000" w:themeColor="text1"/>
        </w:rPr>
        <w:t xml:space="preserve">que utilice técnicas de transmisión de espectro disperso por salto de frecuencia </w:t>
      </w:r>
      <w:r w:rsidRPr="00FC2F01">
        <w:rPr>
          <w:rFonts w:ascii="Arial" w:hAnsi="Arial" w:cs="Arial"/>
          <w:color w:val="000000" w:themeColor="text1"/>
        </w:rPr>
        <w:t xml:space="preserve">o </w:t>
      </w:r>
      <w:r w:rsidR="00495A85" w:rsidRPr="00495A85">
        <w:rPr>
          <w:rFonts w:ascii="Arial" w:hAnsi="Arial" w:cs="Arial"/>
          <w:color w:val="000000" w:themeColor="text1"/>
        </w:rPr>
        <w:t>técnicas de modulación digital</w:t>
      </w:r>
      <w:r w:rsidRPr="00FC2F01">
        <w:rPr>
          <w:rFonts w:ascii="Arial" w:hAnsi="Arial" w:cs="Arial"/>
          <w:color w:val="000000" w:themeColor="text1"/>
        </w:rPr>
        <w:t xml:space="preserve">, la potencia producida por el </w:t>
      </w:r>
      <w:r w:rsidR="008561C1">
        <w:rPr>
          <w:rFonts w:ascii="Arial" w:hAnsi="Arial" w:cs="Arial"/>
          <w:color w:val="000000" w:themeColor="text1"/>
        </w:rPr>
        <w:t>sistema</w:t>
      </w:r>
      <w:r w:rsidRPr="00FC2F01">
        <w:rPr>
          <w:rFonts w:ascii="Arial" w:hAnsi="Arial" w:cs="Arial"/>
          <w:color w:val="000000" w:themeColor="text1"/>
        </w:rPr>
        <w:t xml:space="preserve"> </w:t>
      </w:r>
      <w:r w:rsidR="008561C1">
        <w:rPr>
          <w:rFonts w:ascii="Arial" w:hAnsi="Arial" w:cs="Arial"/>
          <w:color w:val="000000" w:themeColor="text1"/>
        </w:rPr>
        <w:t>deberá ser</w:t>
      </w:r>
      <w:r w:rsidRPr="00FC2F01">
        <w:rPr>
          <w:rFonts w:ascii="Arial" w:hAnsi="Arial" w:cs="Arial"/>
          <w:color w:val="000000" w:themeColor="text1"/>
        </w:rPr>
        <w:t xml:space="preserve"> 20 </w:t>
      </w:r>
      <w:r w:rsidRPr="00FC2F01">
        <w:rPr>
          <w:rFonts w:ascii="Arial" w:hAnsi="Arial" w:cs="Arial"/>
          <w:color w:val="000000" w:themeColor="text1"/>
        </w:rPr>
        <w:lastRenderedPageBreak/>
        <w:t xml:space="preserve">dB </w:t>
      </w:r>
      <w:r w:rsidR="001D11AC">
        <w:rPr>
          <w:rFonts w:ascii="Arial" w:hAnsi="Arial" w:cs="Arial"/>
          <w:color w:val="000000" w:themeColor="text1"/>
        </w:rPr>
        <w:t>menor</w:t>
      </w:r>
      <w:r w:rsidRPr="00FC2F01">
        <w:rPr>
          <w:rFonts w:ascii="Arial" w:hAnsi="Arial" w:cs="Arial"/>
          <w:color w:val="000000" w:themeColor="text1"/>
        </w:rPr>
        <w:t xml:space="preserve"> al</w:t>
      </w:r>
      <w:r w:rsidR="001D11AC">
        <w:rPr>
          <w:rFonts w:ascii="Arial" w:hAnsi="Arial" w:cs="Arial"/>
          <w:color w:val="000000" w:themeColor="text1"/>
        </w:rPr>
        <w:t xml:space="preserve"> nivel más alto de l</w:t>
      </w:r>
      <w:r w:rsidRPr="00FC2F01">
        <w:rPr>
          <w:rFonts w:ascii="Arial" w:hAnsi="Arial" w:cs="Arial"/>
          <w:color w:val="000000" w:themeColor="text1"/>
        </w:rPr>
        <w:t xml:space="preserve">a </w:t>
      </w:r>
      <w:r w:rsidR="001D11AC">
        <w:rPr>
          <w:rFonts w:ascii="Arial" w:hAnsi="Arial" w:cs="Arial"/>
          <w:color w:val="000000" w:themeColor="text1"/>
        </w:rPr>
        <w:t>potencia contenida en un</w:t>
      </w:r>
      <w:r w:rsidRPr="00FC2F01">
        <w:rPr>
          <w:rFonts w:ascii="Arial" w:hAnsi="Arial" w:cs="Arial"/>
          <w:color w:val="000000" w:themeColor="text1"/>
        </w:rPr>
        <w:t xml:space="preserve"> ancho de banda de 100 kHz dentro de la banda</w:t>
      </w:r>
      <w:r w:rsidR="001D11AC">
        <w:rPr>
          <w:rFonts w:ascii="Arial" w:hAnsi="Arial" w:cs="Arial"/>
          <w:color w:val="000000" w:themeColor="text1"/>
        </w:rPr>
        <w:t xml:space="preserve"> de frecuencias en la que esté operando</w:t>
      </w:r>
      <w:r w:rsidRPr="00FC2F01">
        <w:rPr>
          <w:rFonts w:ascii="Arial" w:hAnsi="Arial" w:cs="Arial"/>
          <w:color w:val="000000" w:themeColor="text1"/>
        </w:rPr>
        <w:t xml:space="preserve">, basado en una medición de </w:t>
      </w:r>
      <w:r w:rsidR="002500FA">
        <w:rPr>
          <w:rFonts w:ascii="Arial" w:hAnsi="Arial" w:cs="Arial"/>
          <w:color w:val="000000" w:themeColor="text1"/>
        </w:rPr>
        <w:t xml:space="preserve">la potencia </w:t>
      </w:r>
      <w:r w:rsidRPr="00FC2F01">
        <w:rPr>
          <w:rFonts w:ascii="Arial" w:hAnsi="Arial" w:cs="Arial"/>
          <w:color w:val="000000" w:themeColor="text1"/>
        </w:rPr>
        <w:t xml:space="preserve">conducida, siempre </w:t>
      </w:r>
      <w:r w:rsidR="003853B4">
        <w:rPr>
          <w:rFonts w:ascii="Arial" w:hAnsi="Arial" w:cs="Arial"/>
          <w:color w:val="000000" w:themeColor="text1"/>
        </w:rPr>
        <w:t xml:space="preserve">y cuando se </w:t>
      </w:r>
      <w:r w:rsidRPr="00FC2F01">
        <w:rPr>
          <w:rFonts w:ascii="Arial" w:hAnsi="Arial" w:cs="Arial"/>
          <w:color w:val="000000" w:themeColor="text1"/>
        </w:rPr>
        <w:t xml:space="preserve">demuestre que </w:t>
      </w:r>
      <w:r w:rsidR="003853B4" w:rsidRPr="00FC2F01">
        <w:rPr>
          <w:rFonts w:ascii="Arial" w:hAnsi="Arial" w:cs="Arial"/>
          <w:color w:val="000000" w:themeColor="text1"/>
        </w:rPr>
        <w:t xml:space="preserve">el transmisor </w:t>
      </w:r>
      <w:r w:rsidRPr="00FC2F01">
        <w:rPr>
          <w:rFonts w:ascii="Arial" w:hAnsi="Arial" w:cs="Arial"/>
          <w:color w:val="000000" w:themeColor="text1"/>
        </w:rPr>
        <w:t xml:space="preserve">cumple con los límites de potencia máxima conducida. Si el </w:t>
      </w:r>
      <w:r w:rsidR="008561C1">
        <w:rPr>
          <w:rFonts w:ascii="Arial" w:hAnsi="Arial" w:cs="Arial"/>
          <w:color w:val="000000" w:themeColor="text1"/>
        </w:rPr>
        <w:t xml:space="preserve">sistema </w:t>
      </w:r>
      <w:r w:rsidRPr="00FC2F01">
        <w:rPr>
          <w:rFonts w:ascii="Arial" w:hAnsi="Arial" w:cs="Arial"/>
          <w:color w:val="000000" w:themeColor="text1"/>
        </w:rPr>
        <w:t xml:space="preserve">cumple con los límites de potencia </w:t>
      </w:r>
      <w:r w:rsidR="008561C1">
        <w:rPr>
          <w:rFonts w:ascii="Arial" w:hAnsi="Arial" w:cs="Arial"/>
          <w:color w:val="000000" w:themeColor="text1"/>
        </w:rPr>
        <w:t xml:space="preserve">máxima </w:t>
      </w:r>
      <w:r w:rsidRPr="00FC2F01">
        <w:rPr>
          <w:rFonts w:ascii="Arial" w:hAnsi="Arial" w:cs="Arial"/>
          <w:color w:val="000000" w:themeColor="text1"/>
        </w:rPr>
        <w:t>conducida basados en el uso de un promedio RMS durante un intervalo de tiempo, la atenuación requerida será de 30 dB en vez de 20 dB</w:t>
      </w:r>
      <w:r>
        <w:rPr>
          <w:rFonts w:ascii="Arial" w:hAnsi="Arial" w:cs="Arial"/>
          <w:color w:val="000000" w:themeColor="text1"/>
        </w:rPr>
        <w:t>.</w:t>
      </w:r>
    </w:p>
    <w:p w14:paraId="0E05A067" w14:textId="77777777" w:rsidR="00FC2F01" w:rsidRPr="0027631D" w:rsidRDefault="00FC2F01" w:rsidP="0027631D">
      <w:pPr>
        <w:spacing w:after="0" w:line="23" w:lineRule="atLeast"/>
        <w:contextualSpacing/>
        <w:jc w:val="both"/>
        <w:rPr>
          <w:rFonts w:ascii="Arial" w:hAnsi="Arial" w:cs="Arial"/>
          <w:color w:val="000000" w:themeColor="text1"/>
        </w:rPr>
      </w:pPr>
    </w:p>
    <w:p w14:paraId="08E74A3E" w14:textId="77777777" w:rsidR="00FF5B8A" w:rsidRPr="0027631D" w:rsidRDefault="00FF5B8A" w:rsidP="00794179">
      <w:pPr>
        <w:pStyle w:val="Ttulo5"/>
      </w:pPr>
      <w:bookmarkStart w:id="393" w:name="_Toc474327037"/>
      <w:bookmarkStart w:id="394" w:name="_Toc44435801"/>
      <w:r w:rsidRPr="0027631D">
        <w:t>Condiciones de coexistencia</w:t>
      </w:r>
      <w:bookmarkEnd w:id="393"/>
      <w:bookmarkEnd w:id="394"/>
    </w:p>
    <w:p w14:paraId="2C17D031" w14:textId="77777777" w:rsidR="00FF5B8A" w:rsidRPr="0027631D" w:rsidRDefault="00FF5B8A" w:rsidP="0027631D">
      <w:pPr>
        <w:spacing w:after="0" w:line="23" w:lineRule="atLeast"/>
        <w:contextualSpacing/>
        <w:jc w:val="both"/>
        <w:rPr>
          <w:rFonts w:ascii="Arial" w:hAnsi="Arial" w:cs="Arial"/>
          <w:color w:val="000000" w:themeColor="text1"/>
        </w:rPr>
      </w:pPr>
    </w:p>
    <w:p w14:paraId="289AACF6" w14:textId="77777777" w:rsidR="00FF5B8A" w:rsidRPr="0027631D" w:rsidRDefault="00FF5B8A" w:rsidP="00D631D5">
      <w:pPr>
        <w:pStyle w:val="Prrafodelista"/>
        <w:numPr>
          <w:ilvl w:val="0"/>
          <w:numId w:val="9"/>
        </w:numPr>
        <w:spacing w:line="23" w:lineRule="atLeast"/>
        <w:ind w:left="567" w:hanging="283"/>
        <w:contextualSpacing/>
        <w:jc w:val="both"/>
        <w:rPr>
          <w:rFonts w:cs="Arial"/>
          <w:color w:val="000000" w:themeColor="text1"/>
        </w:rPr>
      </w:pPr>
      <w:r w:rsidRPr="00D631D5">
        <w:rPr>
          <w:rFonts w:cs="Arial"/>
          <w:color w:val="000000" w:themeColor="text1"/>
          <w:sz w:val="22"/>
          <w:szCs w:val="22"/>
        </w:rPr>
        <w:t>Los</w:t>
      </w:r>
      <w:r w:rsidRPr="0027631D">
        <w:rPr>
          <w:rFonts w:cs="Arial"/>
          <w:color w:val="000000" w:themeColor="text1"/>
        </w:rPr>
        <w:t xml:space="preserve"> sistemas, dispositivos, equipos o estaciones que operen en esta banda de frecuencias no provocarán interferencia perjudicial a sistemas, dispositivos, equipos o estaciones de usuarios que cuenten con un título habilitante para hacer uso del espectro radioeléctrico.</w:t>
      </w:r>
    </w:p>
    <w:p w14:paraId="50EA25F1" w14:textId="77777777" w:rsidR="00FF5B8A" w:rsidRPr="0027631D" w:rsidRDefault="00FF5B8A" w:rsidP="0027631D">
      <w:pPr>
        <w:spacing w:after="0" w:line="23" w:lineRule="atLeast"/>
        <w:ind w:left="720"/>
        <w:contextualSpacing/>
        <w:jc w:val="both"/>
        <w:rPr>
          <w:rFonts w:ascii="Arial" w:hAnsi="Arial" w:cs="Arial"/>
          <w:color w:val="000000" w:themeColor="text1"/>
        </w:rPr>
      </w:pPr>
    </w:p>
    <w:p w14:paraId="41BE80D1" w14:textId="77777777" w:rsidR="00FF5B8A" w:rsidRPr="0027631D" w:rsidRDefault="00FF5B8A" w:rsidP="005351F9">
      <w:pPr>
        <w:pStyle w:val="Prrafodelista"/>
        <w:numPr>
          <w:ilvl w:val="0"/>
          <w:numId w:val="9"/>
        </w:numPr>
        <w:spacing w:line="23" w:lineRule="atLeast"/>
        <w:ind w:left="567" w:hanging="283"/>
        <w:contextualSpacing/>
        <w:jc w:val="both"/>
        <w:rPr>
          <w:rFonts w:cs="Arial"/>
          <w:color w:val="000000" w:themeColor="text1"/>
        </w:rPr>
      </w:pPr>
      <w:r w:rsidRPr="005351F9">
        <w:rPr>
          <w:rFonts w:cs="Arial"/>
          <w:color w:val="000000" w:themeColor="text1"/>
          <w:sz w:val="22"/>
          <w:szCs w:val="22"/>
        </w:rPr>
        <w:t>Los</w:t>
      </w:r>
      <w:r w:rsidRPr="0027631D">
        <w:rPr>
          <w:rFonts w:cs="Arial"/>
          <w:color w:val="000000" w:themeColor="text1"/>
        </w:rPr>
        <w:t xml:space="preserve"> sistemas, dispositivos, equipos o estaciones que operen en esta banda de frecuencias no podrán reclamar protección contra interferencias perjudiciales causadas por sistemas, dispositivos, equipos o estaciones de usuarios que cuenten con un título habilitante para hacer uso del espectro radioeléctrico.</w:t>
      </w:r>
    </w:p>
    <w:p w14:paraId="4460ABD7" w14:textId="77777777" w:rsidR="00FF5B8A" w:rsidRPr="0027631D" w:rsidRDefault="00FF5B8A" w:rsidP="0027631D">
      <w:pPr>
        <w:pStyle w:val="Prrafodelista"/>
        <w:spacing w:line="23" w:lineRule="atLeast"/>
        <w:contextualSpacing/>
        <w:rPr>
          <w:rFonts w:cs="Arial"/>
          <w:color w:val="000000" w:themeColor="text1"/>
          <w:sz w:val="22"/>
          <w:szCs w:val="22"/>
        </w:rPr>
      </w:pPr>
    </w:p>
    <w:p w14:paraId="4BAD2FBF" w14:textId="77777777" w:rsidR="00FF5B8A" w:rsidRPr="0027631D" w:rsidRDefault="00FF5B8A" w:rsidP="005351F9">
      <w:pPr>
        <w:pStyle w:val="Prrafodelista"/>
        <w:numPr>
          <w:ilvl w:val="0"/>
          <w:numId w:val="9"/>
        </w:numPr>
        <w:spacing w:line="23" w:lineRule="atLeast"/>
        <w:ind w:left="567" w:hanging="283"/>
        <w:contextualSpacing/>
        <w:jc w:val="both"/>
        <w:rPr>
          <w:rFonts w:cs="Arial"/>
          <w:color w:val="000000" w:themeColor="text1"/>
        </w:rPr>
      </w:pPr>
      <w:r w:rsidRPr="0027631D">
        <w:rPr>
          <w:rFonts w:cs="Arial"/>
          <w:color w:val="000000" w:themeColor="text1"/>
        </w:rPr>
        <w:t>Los sistemas, dispositivos, equipos o estaciones operando en esta banda de frecuencias que causen interferencias perjudiciales a usuarios que cuenten con un título habilitante para hacer uso del espectro radioeléctrico, deberán cesar operaciones hasta que se elimine la interferencia perjudicial, aun cuando el dispositivo, equipo o producto se encuentre debidamente homologado.</w:t>
      </w:r>
    </w:p>
    <w:p w14:paraId="4E0D87A8" w14:textId="77777777" w:rsidR="00FF5B8A" w:rsidRPr="0027631D" w:rsidRDefault="00FF5B8A" w:rsidP="0027631D">
      <w:pPr>
        <w:pStyle w:val="Prrafodelista"/>
        <w:spacing w:line="23" w:lineRule="atLeast"/>
        <w:contextualSpacing/>
        <w:rPr>
          <w:rFonts w:cs="Arial"/>
          <w:color w:val="000000" w:themeColor="text1"/>
          <w:sz w:val="22"/>
          <w:szCs w:val="22"/>
        </w:rPr>
      </w:pPr>
    </w:p>
    <w:p w14:paraId="197D3D16" w14:textId="2AAF4F0A" w:rsidR="00FF5B8A" w:rsidRPr="00CB1C81" w:rsidRDefault="00FF5B8A" w:rsidP="00D730E7">
      <w:pPr>
        <w:pStyle w:val="Prrafodelista"/>
        <w:numPr>
          <w:ilvl w:val="0"/>
          <w:numId w:val="9"/>
        </w:numPr>
        <w:spacing w:line="23" w:lineRule="atLeast"/>
        <w:ind w:left="567" w:hanging="283"/>
        <w:contextualSpacing/>
        <w:jc w:val="both"/>
        <w:rPr>
          <w:rFonts w:cs="Arial"/>
          <w:lang w:eastAsia="ar-SA"/>
        </w:rPr>
      </w:pPr>
      <w:r w:rsidRPr="0027631D">
        <w:rPr>
          <w:rFonts w:cs="Arial"/>
          <w:color w:val="000000" w:themeColor="text1"/>
        </w:rPr>
        <w:t>Los sistemas, dispositivos, equipos o estaciones que operen en esta banda de frecuencias no podrán reclamar protección contra interferencias perjudiciales provenientes de otros sistemas, dispositivos, equipos o estaciones que operen bajo lo establecido en el presente</w:t>
      </w:r>
      <w:r w:rsidR="005A3C24">
        <w:rPr>
          <w:rFonts w:cs="Arial"/>
          <w:color w:val="000000" w:themeColor="text1"/>
        </w:rPr>
        <w:t xml:space="preserve"> Anexo Único</w:t>
      </w:r>
      <w:r w:rsidRPr="0027631D">
        <w:rPr>
          <w:rFonts w:cs="Arial"/>
          <w:color w:val="000000" w:themeColor="text1"/>
        </w:rPr>
        <w:t>.</w:t>
      </w:r>
    </w:p>
    <w:p w14:paraId="749D2C5C" w14:textId="77777777" w:rsidR="00FF5B8A" w:rsidRPr="0027631D" w:rsidRDefault="00FF5B8A" w:rsidP="0027631D">
      <w:pPr>
        <w:spacing w:after="0" w:line="23" w:lineRule="atLeast"/>
        <w:contextualSpacing/>
        <w:rPr>
          <w:rFonts w:ascii="Arial" w:hAnsi="Arial" w:cs="Arial"/>
          <w:lang w:eastAsia="ar-SA"/>
        </w:rPr>
      </w:pPr>
    </w:p>
    <w:sectPr w:rsidR="00FF5B8A" w:rsidRPr="0027631D" w:rsidSect="00506800">
      <w:headerReference w:type="even" r:id="rId11"/>
      <w:headerReference w:type="default" r:id="rId12"/>
      <w:footerReference w:type="even" r:id="rId13"/>
      <w:footerReference w:type="default" r:id="rId14"/>
      <w:headerReference w:type="first" r:id="rId15"/>
      <w:footerReference w:type="first" r:id="rId16"/>
      <w:pgSz w:w="12240" w:h="15840" w:code="1"/>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0B867" w14:textId="77777777" w:rsidR="008D61EF" w:rsidRDefault="008D61EF">
      <w:pPr>
        <w:spacing w:after="0" w:line="240" w:lineRule="auto"/>
      </w:pPr>
      <w:r>
        <w:separator/>
      </w:r>
    </w:p>
  </w:endnote>
  <w:endnote w:type="continuationSeparator" w:id="0">
    <w:p w14:paraId="59362F45" w14:textId="77777777" w:rsidR="008D61EF" w:rsidRDefault="008D61EF">
      <w:pPr>
        <w:spacing w:after="0" w:line="240" w:lineRule="auto"/>
      </w:pPr>
      <w:r>
        <w:continuationSeparator/>
      </w:r>
    </w:p>
  </w:endnote>
  <w:endnote w:type="continuationNotice" w:id="1">
    <w:p w14:paraId="000E3790" w14:textId="77777777" w:rsidR="008D61EF" w:rsidRDefault="008D61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7" w:usb1="00000000" w:usb2="00000000" w:usb3="00000000" w:csb0="00000093"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691C9" w14:textId="77777777" w:rsidR="00AF4B58" w:rsidRPr="00D94D30" w:rsidRDefault="00AF4B58" w:rsidP="00D94D30">
    <w:pPr>
      <w:pStyle w:val="Piedepgina"/>
      <w:ind w:right="-1"/>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936716219"/>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690A6BBC" w14:textId="572CBC3D" w:rsidR="00AF4B58" w:rsidRPr="000C77A1" w:rsidRDefault="00AF4B58">
            <w:pPr>
              <w:pStyle w:val="Piedepgina"/>
              <w:jc w:val="right"/>
              <w:rPr>
                <w:rFonts w:ascii="Arial" w:hAnsi="Arial" w:cs="Arial"/>
                <w:sz w:val="18"/>
                <w:szCs w:val="18"/>
              </w:rPr>
            </w:pPr>
            <w:r w:rsidRPr="000C77A1">
              <w:rPr>
                <w:rFonts w:ascii="Arial" w:hAnsi="Arial" w:cs="Arial"/>
                <w:sz w:val="18"/>
                <w:szCs w:val="18"/>
                <w:lang w:val="es-ES"/>
              </w:rPr>
              <w:t xml:space="preserve">Página </w:t>
            </w:r>
            <w:r w:rsidRPr="000C77A1">
              <w:rPr>
                <w:rFonts w:ascii="Arial" w:hAnsi="Arial" w:cs="Arial"/>
                <w:bCs/>
                <w:sz w:val="18"/>
                <w:szCs w:val="18"/>
              </w:rPr>
              <w:fldChar w:fldCharType="begin"/>
            </w:r>
            <w:r w:rsidRPr="000C77A1">
              <w:rPr>
                <w:rFonts w:ascii="Arial" w:hAnsi="Arial" w:cs="Arial"/>
                <w:bCs/>
                <w:sz w:val="18"/>
                <w:szCs w:val="18"/>
              </w:rPr>
              <w:instrText>PAGE</w:instrText>
            </w:r>
            <w:r w:rsidRPr="000C77A1">
              <w:rPr>
                <w:rFonts w:ascii="Arial" w:hAnsi="Arial" w:cs="Arial"/>
                <w:bCs/>
                <w:sz w:val="18"/>
                <w:szCs w:val="18"/>
              </w:rPr>
              <w:fldChar w:fldCharType="separate"/>
            </w:r>
            <w:r w:rsidR="004F1EA3">
              <w:rPr>
                <w:rFonts w:ascii="Arial" w:hAnsi="Arial" w:cs="Arial"/>
                <w:bCs/>
                <w:noProof/>
                <w:sz w:val="18"/>
                <w:szCs w:val="18"/>
              </w:rPr>
              <w:t>21</w:t>
            </w:r>
            <w:r w:rsidRPr="000C77A1">
              <w:rPr>
                <w:rFonts w:ascii="Arial" w:hAnsi="Arial" w:cs="Arial"/>
                <w:bCs/>
                <w:sz w:val="18"/>
                <w:szCs w:val="18"/>
              </w:rPr>
              <w:fldChar w:fldCharType="end"/>
            </w:r>
            <w:r w:rsidRPr="000C77A1">
              <w:rPr>
                <w:rFonts w:ascii="Arial" w:hAnsi="Arial" w:cs="Arial"/>
                <w:sz w:val="18"/>
                <w:szCs w:val="18"/>
                <w:lang w:val="es-ES"/>
              </w:rPr>
              <w:t xml:space="preserve"> de </w:t>
            </w:r>
            <w:r w:rsidRPr="000C77A1">
              <w:rPr>
                <w:rFonts w:ascii="Arial" w:hAnsi="Arial" w:cs="Arial"/>
                <w:bCs/>
                <w:sz w:val="18"/>
                <w:szCs w:val="18"/>
              </w:rPr>
              <w:fldChar w:fldCharType="begin"/>
            </w:r>
            <w:r w:rsidRPr="000C77A1">
              <w:rPr>
                <w:rFonts w:ascii="Arial" w:hAnsi="Arial" w:cs="Arial"/>
                <w:bCs/>
                <w:sz w:val="18"/>
                <w:szCs w:val="18"/>
              </w:rPr>
              <w:instrText>NUMPAGES</w:instrText>
            </w:r>
            <w:r w:rsidRPr="000C77A1">
              <w:rPr>
                <w:rFonts w:ascii="Arial" w:hAnsi="Arial" w:cs="Arial"/>
                <w:bCs/>
                <w:sz w:val="18"/>
                <w:szCs w:val="18"/>
              </w:rPr>
              <w:fldChar w:fldCharType="separate"/>
            </w:r>
            <w:r w:rsidR="004F1EA3">
              <w:rPr>
                <w:rFonts w:ascii="Arial" w:hAnsi="Arial" w:cs="Arial"/>
                <w:bCs/>
                <w:noProof/>
                <w:sz w:val="18"/>
                <w:szCs w:val="18"/>
              </w:rPr>
              <w:t>40</w:t>
            </w:r>
            <w:r w:rsidRPr="000C77A1">
              <w:rPr>
                <w:rFonts w:ascii="Arial" w:hAnsi="Arial" w:cs="Arial"/>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B00C6" w14:textId="77777777" w:rsidR="004F1EA3" w:rsidRDefault="004F1E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00A39" w14:textId="77777777" w:rsidR="008D61EF" w:rsidRDefault="008D61EF">
      <w:pPr>
        <w:spacing w:after="0" w:line="240" w:lineRule="auto"/>
      </w:pPr>
      <w:r>
        <w:separator/>
      </w:r>
    </w:p>
  </w:footnote>
  <w:footnote w:type="continuationSeparator" w:id="0">
    <w:p w14:paraId="31A334A4" w14:textId="77777777" w:rsidR="008D61EF" w:rsidRDefault="008D61EF">
      <w:pPr>
        <w:spacing w:after="0" w:line="240" w:lineRule="auto"/>
      </w:pPr>
      <w:r>
        <w:continuationSeparator/>
      </w:r>
    </w:p>
  </w:footnote>
  <w:footnote w:type="continuationNotice" w:id="1">
    <w:p w14:paraId="45A2679E" w14:textId="77777777" w:rsidR="008D61EF" w:rsidRDefault="008D61EF">
      <w:pPr>
        <w:spacing w:after="0" w:line="240" w:lineRule="auto"/>
      </w:pPr>
    </w:p>
  </w:footnote>
  <w:footnote w:id="2">
    <w:p w14:paraId="6D5A8B16" w14:textId="77777777" w:rsidR="00AF4B58" w:rsidRPr="00FB7222" w:rsidRDefault="00AF4B58" w:rsidP="00641A3B">
      <w:pPr>
        <w:pStyle w:val="Textonotapie"/>
        <w:jc w:val="both"/>
        <w:rPr>
          <w:rFonts w:ascii="Arial" w:hAnsi="Arial" w:cs="Arial"/>
          <w:color w:val="000000"/>
          <w:sz w:val="16"/>
          <w:szCs w:val="16"/>
        </w:rPr>
      </w:pPr>
      <w:r w:rsidRPr="00FB7222">
        <w:rPr>
          <w:rStyle w:val="Refdenotaalpie"/>
          <w:rFonts w:ascii="Arial" w:hAnsi="Arial" w:cs="Arial"/>
          <w:sz w:val="16"/>
          <w:szCs w:val="16"/>
        </w:rPr>
        <w:footnoteRef/>
      </w:r>
      <w:r w:rsidRPr="00FB7222">
        <w:rPr>
          <w:rFonts w:ascii="Arial" w:hAnsi="Arial" w:cs="Arial"/>
          <w:color w:val="000000"/>
          <w:sz w:val="16"/>
          <w:szCs w:val="16"/>
        </w:rPr>
        <w:t>“</w:t>
      </w:r>
      <w:r w:rsidRPr="00FB7222">
        <w:rPr>
          <w:rFonts w:ascii="Arial" w:hAnsi="Arial" w:cs="Arial"/>
          <w:i/>
          <w:color w:val="000000"/>
          <w:sz w:val="16"/>
          <w:szCs w:val="16"/>
        </w:rPr>
        <w:t>INICIATIVA DE DECRETO POR EL QUE SE EXPIDEN LA LEY FEDERAL DE TELECOMUNICACIONES Y RADIODIFUSIÓN, Y LA LEY DEL SISTEMA PÚBLICO DE RADIODIFUSIÓN DE MÉXICO; Y SE REFORMAN, ADICIONAN Y DEROGAN DIVERSAS DISPOSICIONES EN MATERIA DE TELECOMUNICACIONES Y RADIODIFUSIÓN</w:t>
      </w:r>
      <w:r w:rsidRPr="00FB7222">
        <w:rPr>
          <w:rFonts w:ascii="Arial" w:hAnsi="Arial" w:cs="Arial"/>
          <w:color w:val="000000"/>
          <w:sz w:val="16"/>
          <w:szCs w:val="16"/>
        </w:rPr>
        <w:t xml:space="preserve">”, 25 de marzo de 2014, Pág. 10. </w:t>
      </w:r>
      <w:r w:rsidRPr="00FB7222">
        <w:rPr>
          <w:rFonts w:ascii="Arial" w:hAnsi="Arial" w:cs="Arial"/>
          <w:sz w:val="16"/>
          <w:szCs w:val="16"/>
        </w:rPr>
        <w:t xml:space="preserve">Consultable en: </w:t>
      </w:r>
      <w:hyperlink r:id="rId1" w:history="1">
        <w:r w:rsidRPr="00FB7222">
          <w:rPr>
            <w:rStyle w:val="Hipervnculo"/>
            <w:rFonts w:ascii="Arial" w:hAnsi="Arial" w:cs="Arial"/>
            <w:sz w:val="16"/>
            <w:szCs w:val="16"/>
          </w:rPr>
          <w:t>http://legislacion.scjn.gob.mx/Buscador/Paginas/wfProcesoLegislativoCompleto.aspx?IdOrd=101766&amp;IdRef=1&amp;IdProc=1</w:t>
        </w:r>
      </w:hyperlink>
    </w:p>
  </w:footnote>
  <w:footnote w:id="3">
    <w:p w14:paraId="4596C13B" w14:textId="77777777" w:rsidR="00AF4B58" w:rsidRPr="00FB7222" w:rsidRDefault="00AF4B58">
      <w:pPr>
        <w:pStyle w:val="Textonotapie"/>
        <w:rPr>
          <w:rFonts w:ascii="Arial" w:hAnsi="Arial" w:cs="Arial"/>
          <w:sz w:val="16"/>
          <w:szCs w:val="16"/>
        </w:rPr>
      </w:pPr>
      <w:r w:rsidRPr="00FB7222">
        <w:rPr>
          <w:rStyle w:val="Refdenotaalpie"/>
          <w:rFonts w:ascii="Arial" w:hAnsi="Arial" w:cs="Arial"/>
          <w:sz w:val="16"/>
          <w:szCs w:val="16"/>
        </w:rPr>
        <w:footnoteRef/>
      </w:r>
      <w:r w:rsidRPr="00FB7222">
        <w:rPr>
          <w:rFonts w:ascii="Arial" w:hAnsi="Arial" w:cs="Arial"/>
          <w:sz w:val="16"/>
          <w:szCs w:val="16"/>
        </w:rPr>
        <w:t xml:space="preserve"> Unión Internacional de Telecomunicaciones. (2016). Manual sobre la Gestión nacional del espectro 2015. Ginebra, Suiza. Consultable en: </w:t>
      </w:r>
      <w:hyperlink r:id="rId2" w:history="1">
        <w:r w:rsidRPr="00FB7222">
          <w:rPr>
            <w:rStyle w:val="Hipervnculo"/>
            <w:rFonts w:ascii="Arial" w:hAnsi="Arial" w:cs="Arial"/>
            <w:sz w:val="16"/>
            <w:szCs w:val="16"/>
          </w:rPr>
          <w:t>https://www.itu.int/dms_pub/itu-r/opb/hdb/R-HDB-21-2015-PDF-S.pdf</w:t>
        </w:r>
      </w:hyperlink>
    </w:p>
  </w:footnote>
  <w:footnote w:id="4">
    <w:p w14:paraId="437FC030" w14:textId="77777777" w:rsidR="00AF4B58" w:rsidRPr="00FB7222" w:rsidRDefault="00AF4B58" w:rsidP="005E1EC6">
      <w:pPr>
        <w:pStyle w:val="Textonotapie"/>
        <w:rPr>
          <w:rFonts w:ascii="Arial" w:hAnsi="Arial" w:cs="Arial"/>
          <w:sz w:val="16"/>
          <w:szCs w:val="16"/>
        </w:rPr>
      </w:pPr>
      <w:r w:rsidRPr="00FB7222">
        <w:rPr>
          <w:rStyle w:val="Refdenotaalpie"/>
          <w:rFonts w:ascii="Arial" w:hAnsi="Arial" w:cs="Arial"/>
          <w:sz w:val="16"/>
          <w:szCs w:val="16"/>
        </w:rPr>
        <w:footnoteRef/>
      </w:r>
      <w:r w:rsidRPr="00FB7222">
        <w:rPr>
          <w:rFonts w:ascii="Arial" w:hAnsi="Arial" w:cs="Arial"/>
          <w:sz w:val="16"/>
          <w:szCs w:val="16"/>
        </w:rPr>
        <w:t xml:space="preserve"> Consultable en: </w:t>
      </w:r>
      <w:hyperlink r:id="rId3" w:history="1">
        <w:r w:rsidRPr="00FB7222">
          <w:rPr>
            <w:rStyle w:val="Hipervnculo"/>
            <w:rFonts w:ascii="Arial" w:hAnsi="Arial" w:cs="Arial"/>
            <w:sz w:val="16"/>
            <w:szCs w:val="16"/>
          </w:rPr>
          <w:t>https://www.itu.int/rec/R-REC-SM.2103-0-201709-I/es</w:t>
        </w:r>
      </w:hyperlink>
    </w:p>
  </w:footnote>
  <w:footnote w:id="5">
    <w:p w14:paraId="16FCBD6B" w14:textId="77777777" w:rsidR="00AF4B58" w:rsidRPr="00FB7222" w:rsidRDefault="00AF4B58" w:rsidP="005E1EC6">
      <w:pPr>
        <w:pStyle w:val="Textonotapie"/>
        <w:rPr>
          <w:rFonts w:ascii="Arial" w:hAnsi="Arial" w:cs="Arial"/>
          <w:sz w:val="16"/>
          <w:szCs w:val="16"/>
        </w:rPr>
      </w:pPr>
      <w:r w:rsidRPr="00FB7222">
        <w:rPr>
          <w:rStyle w:val="Refdenotaalpie"/>
          <w:rFonts w:ascii="Arial" w:hAnsi="Arial" w:cs="Arial"/>
          <w:sz w:val="16"/>
          <w:szCs w:val="16"/>
        </w:rPr>
        <w:footnoteRef/>
      </w:r>
      <w:r w:rsidRPr="00FB7222">
        <w:rPr>
          <w:rFonts w:ascii="Arial" w:hAnsi="Arial" w:cs="Arial"/>
          <w:sz w:val="16"/>
          <w:szCs w:val="16"/>
        </w:rPr>
        <w:t xml:space="preserve"> Consultable en: </w:t>
      </w:r>
      <w:hyperlink r:id="rId4" w:history="1">
        <w:r w:rsidRPr="00FB7222">
          <w:rPr>
            <w:rStyle w:val="Hipervnculo"/>
            <w:rFonts w:ascii="Arial" w:hAnsi="Arial" w:cs="Arial"/>
            <w:sz w:val="16"/>
            <w:szCs w:val="16"/>
          </w:rPr>
          <w:t>https://www.itu.int/pub/R-REP-SM.2153-7-2019/es</w:t>
        </w:r>
      </w:hyperlink>
    </w:p>
  </w:footnote>
  <w:footnote w:id="6">
    <w:p w14:paraId="78FB6C63" w14:textId="77777777" w:rsidR="00AF4B58" w:rsidRPr="00FB7222" w:rsidRDefault="00AF4B58" w:rsidP="005E1EC6">
      <w:pPr>
        <w:pStyle w:val="Textonotapie"/>
        <w:rPr>
          <w:rFonts w:ascii="Arial" w:hAnsi="Arial" w:cs="Arial"/>
          <w:sz w:val="16"/>
          <w:szCs w:val="16"/>
        </w:rPr>
      </w:pPr>
      <w:r w:rsidRPr="00FB7222">
        <w:rPr>
          <w:rStyle w:val="Refdenotaalpie"/>
          <w:rFonts w:ascii="Arial" w:hAnsi="Arial" w:cs="Arial"/>
          <w:sz w:val="16"/>
          <w:szCs w:val="16"/>
        </w:rPr>
        <w:footnoteRef/>
      </w:r>
      <w:r w:rsidRPr="00FB7222">
        <w:rPr>
          <w:rFonts w:ascii="Arial" w:hAnsi="Arial" w:cs="Arial"/>
          <w:sz w:val="16"/>
          <w:szCs w:val="16"/>
        </w:rPr>
        <w:t xml:space="preserve"> Consultable en: </w:t>
      </w:r>
      <w:hyperlink r:id="rId5" w:history="1">
        <w:r w:rsidRPr="00FB7222">
          <w:rPr>
            <w:rStyle w:val="Hipervnculo"/>
            <w:rFonts w:ascii="Arial" w:hAnsi="Arial" w:cs="Arial"/>
            <w:sz w:val="16"/>
            <w:szCs w:val="16"/>
          </w:rPr>
          <w:t>https://www.itu.int/md/R19-RA19-C-0054/es</w:t>
        </w:r>
      </w:hyperlink>
    </w:p>
  </w:footnote>
  <w:footnote w:id="7">
    <w:p w14:paraId="607A0CD8" w14:textId="77777777" w:rsidR="00AF4B58" w:rsidRPr="00FB7222" w:rsidRDefault="00AF4B58" w:rsidP="005E1EC6">
      <w:pPr>
        <w:pStyle w:val="Textonotapie"/>
        <w:rPr>
          <w:rFonts w:ascii="Arial" w:hAnsi="Arial" w:cs="Arial"/>
          <w:sz w:val="16"/>
          <w:szCs w:val="16"/>
        </w:rPr>
      </w:pPr>
      <w:r w:rsidRPr="00FB7222">
        <w:rPr>
          <w:rStyle w:val="Refdenotaalpie"/>
          <w:rFonts w:ascii="Arial" w:hAnsi="Arial" w:cs="Arial"/>
          <w:sz w:val="16"/>
          <w:szCs w:val="16"/>
        </w:rPr>
        <w:footnoteRef/>
      </w:r>
      <w:r w:rsidRPr="00FB7222">
        <w:rPr>
          <w:rFonts w:ascii="Arial" w:hAnsi="Arial" w:cs="Arial"/>
          <w:sz w:val="16"/>
          <w:szCs w:val="16"/>
        </w:rPr>
        <w:t xml:space="preserve"> Consultable en: </w:t>
      </w:r>
      <w:hyperlink r:id="rId6" w:history="1">
        <w:r w:rsidRPr="00FB7222">
          <w:rPr>
            <w:rStyle w:val="Hipervnculo"/>
            <w:rFonts w:ascii="Arial" w:hAnsi="Arial" w:cs="Arial"/>
            <w:sz w:val="16"/>
            <w:szCs w:val="16"/>
          </w:rPr>
          <w:t>https://www.dof.gob.mx/nota_detalle.php?codigo=5539626&amp;fecha=01/10/2018</w:t>
        </w:r>
      </w:hyperlink>
      <w:r w:rsidRPr="00FB7222">
        <w:rPr>
          <w:rFonts w:ascii="Arial" w:hAnsi="Arial" w:cs="Arial"/>
          <w:sz w:val="16"/>
          <w:szCs w:val="16"/>
        </w:rPr>
        <w:t xml:space="preserve"> </w:t>
      </w:r>
    </w:p>
  </w:footnote>
  <w:footnote w:id="8">
    <w:p w14:paraId="454BB67A" w14:textId="77777777" w:rsidR="00AF4B58" w:rsidRPr="00FB7222" w:rsidRDefault="00AF4B58" w:rsidP="005E1EC6">
      <w:pPr>
        <w:pStyle w:val="Textonotapie"/>
        <w:rPr>
          <w:rFonts w:ascii="Arial" w:hAnsi="Arial" w:cs="Arial"/>
          <w:sz w:val="16"/>
          <w:szCs w:val="16"/>
        </w:rPr>
      </w:pPr>
      <w:r w:rsidRPr="00FB7222">
        <w:rPr>
          <w:rStyle w:val="Refdenotaalpie"/>
          <w:rFonts w:ascii="Arial" w:hAnsi="Arial" w:cs="Arial"/>
          <w:sz w:val="16"/>
          <w:szCs w:val="16"/>
        </w:rPr>
        <w:footnoteRef/>
      </w:r>
      <w:r w:rsidRPr="00FB7222">
        <w:rPr>
          <w:rFonts w:ascii="Arial" w:hAnsi="Arial" w:cs="Arial"/>
          <w:sz w:val="16"/>
          <w:szCs w:val="16"/>
        </w:rPr>
        <w:t xml:space="preserve"> Véase artículo 3 fracción XVI de la Ley.</w:t>
      </w:r>
    </w:p>
  </w:footnote>
  <w:footnote w:id="9">
    <w:p w14:paraId="04A43167" w14:textId="77777777" w:rsidR="00AF4B58" w:rsidRPr="00FB7222" w:rsidRDefault="00AF4B58" w:rsidP="00192188">
      <w:pPr>
        <w:pStyle w:val="Textonotapie"/>
        <w:jc w:val="both"/>
        <w:rPr>
          <w:rFonts w:ascii="Arial" w:hAnsi="Arial" w:cs="Arial"/>
          <w:sz w:val="16"/>
          <w:szCs w:val="16"/>
        </w:rPr>
      </w:pPr>
      <w:r w:rsidRPr="00FB7222">
        <w:rPr>
          <w:rStyle w:val="Refdenotaalpie"/>
          <w:rFonts w:ascii="Arial" w:hAnsi="Arial" w:cs="Arial"/>
          <w:sz w:val="16"/>
          <w:szCs w:val="16"/>
        </w:rPr>
        <w:footnoteRef/>
      </w:r>
      <w:r w:rsidRPr="00FB7222">
        <w:rPr>
          <w:rFonts w:ascii="Arial" w:hAnsi="Arial" w:cs="Arial"/>
          <w:sz w:val="16"/>
          <w:szCs w:val="16"/>
        </w:rPr>
        <w:t xml:space="preserve"> </w:t>
      </w:r>
      <w:r w:rsidRPr="00FB7222">
        <w:rPr>
          <w:rFonts w:ascii="Arial" w:hAnsi="Arial" w:cs="Arial"/>
          <w:sz w:val="16"/>
          <w:szCs w:val="16"/>
          <w:lang w:val="es-ES" w:eastAsia="es-MX"/>
        </w:rPr>
        <w:t>Estos dispositivos deberán cumplir con la Recomendación UIT-R SM. 1538-1 “Parámetros técnicos y de operación y requisitos de espectro para dispositivos de radiocomunicación de corto alcance“</w:t>
      </w:r>
      <w:r w:rsidRPr="00FB7222">
        <w:rPr>
          <w:rFonts w:ascii="Arial" w:hAnsi="Arial" w:cs="Arial"/>
          <w:sz w:val="16"/>
          <w:szCs w:val="16"/>
          <w:vertAlign w:val="superscript"/>
        </w:rPr>
        <w:footnoteRef/>
      </w:r>
      <w:r w:rsidRPr="00FB7222">
        <w:rPr>
          <w:rFonts w:ascii="Arial" w:hAnsi="Arial" w:cs="Arial"/>
          <w:sz w:val="16"/>
          <w:szCs w:val="16"/>
          <w:lang w:val="es-ES" w:eastAsia="es-MX"/>
        </w:rPr>
        <w:t>, en lo que corresponde a la Región de las Américas.</w:t>
      </w:r>
    </w:p>
  </w:footnote>
  <w:footnote w:id="10">
    <w:p w14:paraId="2A07F00C" w14:textId="77777777" w:rsidR="00AF4B58" w:rsidRPr="00FB7222" w:rsidRDefault="00AF4B58" w:rsidP="00AD6BDB">
      <w:pPr>
        <w:pStyle w:val="Textonotapie"/>
        <w:rPr>
          <w:rFonts w:ascii="Arial" w:hAnsi="Arial" w:cs="Arial"/>
          <w:sz w:val="16"/>
          <w:szCs w:val="16"/>
        </w:rPr>
      </w:pPr>
      <w:r w:rsidRPr="00FB7222">
        <w:rPr>
          <w:rStyle w:val="Refdenotaalpie"/>
          <w:rFonts w:ascii="Arial" w:hAnsi="Arial" w:cs="Arial"/>
          <w:sz w:val="16"/>
          <w:szCs w:val="16"/>
        </w:rPr>
        <w:footnoteRef/>
      </w:r>
      <w:r w:rsidRPr="00FB7222">
        <w:rPr>
          <w:rFonts w:ascii="Arial" w:hAnsi="Arial" w:cs="Arial"/>
          <w:sz w:val="16"/>
          <w:szCs w:val="16"/>
        </w:rPr>
        <w:t xml:space="preserve"> Consultable en: </w:t>
      </w:r>
      <w:hyperlink r:id="rId7" w:history="1">
        <w:r w:rsidRPr="00FB7222">
          <w:rPr>
            <w:rStyle w:val="Hipervnculo"/>
            <w:rFonts w:ascii="Arial" w:hAnsi="Arial" w:cs="Arial"/>
            <w:sz w:val="16"/>
            <w:szCs w:val="16"/>
          </w:rPr>
          <w:t>https://www.itu.int/pub/R-REP-SM.2153/es</w:t>
        </w:r>
      </w:hyperlink>
      <w:r w:rsidRPr="00FB7222">
        <w:rPr>
          <w:rFonts w:ascii="Arial" w:hAnsi="Arial" w:cs="Arial"/>
          <w:sz w:val="16"/>
          <w:szCs w:val="16"/>
        </w:rPr>
        <w:t xml:space="preserve"> </w:t>
      </w:r>
    </w:p>
  </w:footnote>
  <w:footnote w:id="11">
    <w:p w14:paraId="0D90B59C" w14:textId="77777777" w:rsidR="00AF4B58" w:rsidRPr="00FB7222" w:rsidRDefault="00AF4B58" w:rsidP="00872295">
      <w:pPr>
        <w:pStyle w:val="Textonotapie"/>
        <w:rPr>
          <w:rFonts w:ascii="Arial" w:hAnsi="Arial" w:cs="Arial"/>
          <w:sz w:val="16"/>
          <w:szCs w:val="16"/>
        </w:rPr>
      </w:pPr>
      <w:r w:rsidRPr="00FB7222">
        <w:rPr>
          <w:rStyle w:val="Refdenotaalpie"/>
          <w:rFonts w:ascii="Arial" w:hAnsi="Arial" w:cs="Arial"/>
          <w:sz w:val="16"/>
          <w:szCs w:val="16"/>
        </w:rPr>
        <w:footnoteRef/>
      </w:r>
      <w:r w:rsidRPr="00FB7222">
        <w:rPr>
          <w:rFonts w:ascii="Arial" w:hAnsi="Arial" w:cs="Arial"/>
          <w:sz w:val="16"/>
          <w:szCs w:val="16"/>
        </w:rPr>
        <w:t xml:space="preserve"> Consultable en: </w:t>
      </w:r>
      <w:hyperlink r:id="rId8" w:history="1">
        <w:r w:rsidRPr="00FB7222">
          <w:rPr>
            <w:rStyle w:val="Hipervnculo"/>
            <w:rFonts w:ascii="Arial" w:hAnsi="Arial" w:cs="Arial"/>
            <w:sz w:val="16"/>
            <w:szCs w:val="16"/>
          </w:rPr>
          <w:t>http://www.dof.gob.mx/normasOficiales/4081/cofetel/cofetel.htm</w:t>
        </w:r>
      </w:hyperlink>
    </w:p>
  </w:footnote>
  <w:footnote w:id="12">
    <w:p w14:paraId="0393CC76" w14:textId="77777777" w:rsidR="00AF4B58" w:rsidRPr="00FB7222" w:rsidRDefault="00AF4B58" w:rsidP="00453978">
      <w:pPr>
        <w:pStyle w:val="Textonotapie"/>
        <w:rPr>
          <w:rFonts w:ascii="Arial" w:hAnsi="Arial" w:cs="Arial"/>
          <w:sz w:val="16"/>
          <w:szCs w:val="16"/>
        </w:rPr>
      </w:pPr>
      <w:r w:rsidRPr="00FB7222">
        <w:rPr>
          <w:rStyle w:val="Refdenotaalpie"/>
          <w:rFonts w:ascii="Arial" w:hAnsi="Arial" w:cs="Arial"/>
          <w:sz w:val="16"/>
          <w:szCs w:val="16"/>
        </w:rPr>
        <w:footnoteRef/>
      </w:r>
      <w:r w:rsidRPr="00FB7222">
        <w:rPr>
          <w:rFonts w:ascii="Arial" w:hAnsi="Arial" w:cs="Arial"/>
          <w:sz w:val="16"/>
          <w:szCs w:val="16"/>
        </w:rPr>
        <w:t xml:space="preserve"> Consultable en: </w:t>
      </w:r>
      <w:hyperlink r:id="rId9" w:history="1">
        <w:r w:rsidRPr="00FB7222">
          <w:rPr>
            <w:rStyle w:val="Hipervnculo"/>
            <w:rFonts w:ascii="Arial" w:hAnsi="Arial" w:cs="Arial"/>
            <w:sz w:val="16"/>
            <w:szCs w:val="16"/>
          </w:rPr>
          <w:t>https://www.gob.mx/cms/uploads/attachment/file/107522/LEYFEDERALSOBREMETROLOGIAYNORMALIZACION.pdf</w:t>
        </w:r>
      </w:hyperlink>
    </w:p>
  </w:footnote>
  <w:footnote w:id="13">
    <w:p w14:paraId="5817737A" w14:textId="77777777" w:rsidR="00AF4B58" w:rsidRPr="00FB7222" w:rsidRDefault="00AF4B58" w:rsidP="00453978">
      <w:pPr>
        <w:pStyle w:val="Textonotapie"/>
        <w:rPr>
          <w:rFonts w:ascii="Arial" w:hAnsi="Arial" w:cs="Arial"/>
          <w:sz w:val="16"/>
          <w:szCs w:val="16"/>
        </w:rPr>
      </w:pPr>
      <w:r w:rsidRPr="00FB7222">
        <w:rPr>
          <w:rStyle w:val="Refdenotaalpie"/>
          <w:rFonts w:ascii="Arial" w:hAnsi="Arial" w:cs="Arial"/>
          <w:sz w:val="16"/>
          <w:szCs w:val="16"/>
        </w:rPr>
        <w:footnoteRef/>
      </w:r>
      <w:r w:rsidRPr="00FB7222">
        <w:rPr>
          <w:rFonts w:ascii="Arial" w:hAnsi="Arial" w:cs="Arial"/>
          <w:sz w:val="16"/>
          <w:szCs w:val="16"/>
        </w:rPr>
        <w:t xml:space="preserve"> Consultable en: </w:t>
      </w:r>
      <w:hyperlink r:id="rId10" w:history="1">
        <w:r w:rsidRPr="00FB7222">
          <w:rPr>
            <w:rStyle w:val="Hipervnculo"/>
            <w:rFonts w:ascii="Arial" w:hAnsi="Arial" w:cs="Arial"/>
            <w:sz w:val="16"/>
            <w:szCs w:val="16"/>
          </w:rPr>
          <w:t>http://www.ift.org.mx/industria/consultas-publicas/consulta-publica-sobre-el-anteproyecto-de-disposicion-tecnica-ift-008-2015-sistemas-de</w:t>
        </w:r>
      </w:hyperlink>
      <w:r w:rsidRPr="00FB7222">
        <w:rPr>
          <w:rFonts w:ascii="Arial" w:hAnsi="Arial" w:cs="Arial"/>
          <w:sz w:val="16"/>
          <w:szCs w:val="16"/>
        </w:rPr>
        <w:t xml:space="preserve"> </w:t>
      </w:r>
    </w:p>
  </w:footnote>
  <w:footnote w:id="14">
    <w:p w14:paraId="16B5FA65" w14:textId="77777777" w:rsidR="00AF4B58" w:rsidRPr="00FB7222" w:rsidRDefault="00AF4B58" w:rsidP="00453978">
      <w:pPr>
        <w:pStyle w:val="Textonotapie"/>
        <w:rPr>
          <w:rFonts w:ascii="Arial" w:hAnsi="Arial" w:cs="Arial"/>
          <w:sz w:val="16"/>
          <w:szCs w:val="16"/>
        </w:rPr>
      </w:pPr>
      <w:r w:rsidRPr="00FB7222">
        <w:rPr>
          <w:rStyle w:val="Refdenotaalpie"/>
          <w:rFonts w:ascii="Arial" w:hAnsi="Arial" w:cs="Arial"/>
          <w:sz w:val="16"/>
          <w:szCs w:val="16"/>
        </w:rPr>
        <w:footnoteRef/>
      </w:r>
      <w:r w:rsidRPr="00FB7222">
        <w:rPr>
          <w:rFonts w:ascii="Arial" w:hAnsi="Arial" w:cs="Arial"/>
          <w:sz w:val="16"/>
          <w:szCs w:val="16"/>
        </w:rPr>
        <w:t xml:space="preserve"> Consultable en: </w:t>
      </w:r>
      <w:hyperlink r:id="rId11" w:history="1">
        <w:r w:rsidRPr="00FB7222">
          <w:rPr>
            <w:rStyle w:val="Hipervnculo"/>
            <w:rFonts w:ascii="Arial" w:hAnsi="Arial" w:cs="Arial"/>
            <w:sz w:val="16"/>
            <w:szCs w:val="16"/>
          </w:rPr>
          <w:t>https://www.dof.gob.mx/nota_detalle.php?codigo=5411997&amp;fecha=19/10/2015</w:t>
        </w:r>
      </w:hyperlink>
    </w:p>
  </w:footnote>
  <w:footnote w:id="15">
    <w:p w14:paraId="5E53BDD2" w14:textId="77777777" w:rsidR="00AF4B58" w:rsidRPr="00FB7222" w:rsidRDefault="00AF4B58" w:rsidP="002E2D11">
      <w:pPr>
        <w:pStyle w:val="Textonotapie"/>
        <w:rPr>
          <w:rFonts w:ascii="Arial" w:hAnsi="Arial" w:cs="Arial"/>
          <w:sz w:val="16"/>
          <w:szCs w:val="16"/>
        </w:rPr>
      </w:pPr>
      <w:r w:rsidRPr="00FB7222">
        <w:rPr>
          <w:rStyle w:val="Refdenotaalpie"/>
          <w:rFonts w:ascii="Arial" w:hAnsi="Arial" w:cs="Arial"/>
          <w:sz w:val="16"/>
          <w:szCs w:val="16"/>
        </w:rPr>
        <w:footnoteRef/>
      </w:r>
      <w:r w:rsidRPr="00FB7222">
        <w:rPr>
          <w:rFonts w:ascii="Arial" w:hAnsi="Arial" w:cs="Arial"/>
          <w:sz w:val="16"/>
          <w:szCs w:val="16"/>
        </w:rPr>
        <w:t xml:space="preserve"> Consultable en: </w:t>
      </w:r>
      <w:hyperlink r:id="rId12" w:history="1">
        <w:r w:rsidRPr="00FB7222">
          <w:rPr>
            <w:rStyle w:val="Hipervnculo"/>
            <w:rFonts w:ascii="Arial" w:hAnsi="Arial" w:cs="Arial"/>
            <w:sz w:val="16"/>
            <w:szCs w:val="16"/>
          </w:rPr>
          <w:t>https://www.itu.int/rec/R-REC-SM.1896-1-201809-I/es</w:t>
        </w:r>
      </w:hyperlink>
    </w:p>
  </w:footnote>
  <w:footnote w:id="16">
    <w:p w14:paraId="4DA605EB" w14:textId="77777777" w:rsidR="00AF4B58" w:rsidRPr="00FB7222" w:rsidRDefault="00AF4B58" w:rsidP="002E2D11">
      <w:pPr>
        <w:pStyle w:val="Textonotapie"/>
        <w:rPr>
          <w:rFonts w:ascii="Arial" w:hAnsi="Arial" w:cs="Arial"/>
          <w:sz w:val="16"/>
          <w:szCs w:val="16"/>
        </w:rPr>
      </w:pPr>
      <w:r w:rsidRPr="00FB7222">
        <w:rPr>
          <w:rStyle w:val="Refdenotaalpie"/>
          <w:rFonts w:ascii="Arial" w:hAnsi="Arial" w:cs="Arial"/>
          <w:sz w:val="16"/>
          <w:szCs w:val="16"/>
        </w:rPr>
        <w:footnoteRef/>
      </w:r>
      <w:r w:rsidRPr="00FB7222">
        <w:rPr>
          <w:rFonts w:ascii="Arial" w:hAnsi="Arial" w:cs="Arial"/>
          <w:sz w:val="16"/>
          <w:szCs w:val="16"/>
        </w:rPr>
        <w:t xml:space="preserve"> Consultable en: </w:t>
      </w:r>
      <w:hyperlink r:id="rId13" w:history="1">
        <w:r w:rsidRPr="00FB7222">
          <w:rPr>
            <w:rStyle w:val="Hipervnculo"/>
            <w:rFonts w:ascii="Arial" w:hAnsi="Arial" w:cs="Arial"/>
            <w:sz w:val="16"/>
            <w:szCs w:val="16"/>
          </w:rPr>
          <w:t>https://www.itu.int/pub/R-REP-SM.2153-7-2019/es</w:t>
        </w:r>
      </w:hyperlink>
    </w:p>
  </w:footnote>
  <w:footnote w:id="17">
    <w:p w14:paraId="753DE009" w14:textId="77777777" w:rsidR="00AF4B58" w:rsidRPr="00FB7222" w:rsidRDefault="00AF4B58">
      <w:pPr>
        <w:pStyle w:val="Textonotapie"/>
        <w:rPr>
          <w:rFonts w:ascii="Arial" w:hAnsi="Arial" w:cs="Arial"/>
          <w:sz w:val="16"/>
          <w:szCs w:val="16"/>
        </w:rPr>
      </w:pPr>
      <w:r w:rsidRPr="00FB7222">
        <w:rPr>
          <w:rStyle w:val="Refdenotaalpie"/>
          <w:rFonts w:ascii="Arial" w:hAnsi="Arial" w:cs="Arial"/>
          <w:sz w:val="16"/>
          <w:szCs w:val="16"/>
        </w:rPr>
        <w:footnoteRef/>
      </w:r>
      <w:r w:rsidRPr="00FB7222">
        <w:rPr>
          <w:rFonts w:ascii="Arial" w:hAnsi="Arial" w:cs="Arial"/>
          <w:sz w:val="16"/>
          <w:szCs w:val="16"/>
        </w:rPr>
        <w:t xml:space="preserve"> Consultable en: </w:t>
      </w:r>
      <w:hyperlink r:id="rId14" w:history="1">
        <w:r w:rsidRPr="00FB7222">
          <w:rPr>
            <w:rStyle w:val="Hipervnculo"/>
            <w:rFonts w:ascii="Arial" w:hAnsi="Arial" w:cs="Arial"/>
            <w:sz w:val="16"/>
            <w:szCs w:val="16"/>
          </w:rPr>
          <w:t>https://www.itu.int/rec/R-REC-SM.1056-1-200704-I/en</w:t>
        </w:r>
      </w:hyperlink>
    </w:p>
  </w:footnote>
  <w:footnote w:id="18">
    <w:p w14:paraId="61C8A70A" w14:textId="77777777" w:rsidR="00AF4B58" w:rsidRPr="0043768B" w:rsidRDefault="00AF4B58" w:rsidP="00ED49E0">
      <w:pPr>
        <w:pStyle w:val="Notasalpie"/>
        <w:rPr>
          <w:sz w:val="16"/>
          <w:szCs w:val="16"/>
        </w:rPr>
      </w:pPr>
      <w:r w:rsidRPr="0043768B">
        <w:rPr>
          <w:rStyle w:val="Refdenotaalpie"/>
          <w:sz w:val="16"/>
          <w:szCs w:val="16"/>
        </w:rPr>
        <w:footnoteRef/>
      </w:r>
      <w:r w:rsidRPr="0043768B">
        <w:rPr>
          <w:sz w:val="16"/>
          <w:szCs w:val="16"/>
        </w:rPr>
        <w:t xml:space="preserve"> Consultable en: </w:t>
      </w:r>
      <w:hyperlink r:id="rId15" w:history="1">
        <w:r w:rsidRPr="0043768B">
          <w:rPr>
            <w:rStyle w:val="Hipervnculo"/>
            <w:sz w:val="16"/>
            <w:szCs w:val="16"/>
          </w:rPr>
          <w:t>https://www.ecfr.gov/cgi-bin/text-idx?SID=7751ac4e65b2cb5157c0eab86ccfcfb9&amp;mc=true&amp;node=se47.1.15_1247&amp;rgn=div8</w:t>
        </w:r>
      </w:hyperlink>
    </w:p>
  </w:footnote>
  <w:footnote w:id="19">
    <w:p w14:paraId="69BD0884" w14:textId="77777777" w:rsidR="00AF4B58" w:rsidRPr="00753628" w:rsidRDefault="00AF4B58" w:rsidP="00ED49E0">
      <w:pPr>
        <w:pStyle w:val="Notasalpie"/>
        <w:rPr>
          <w:sz w:val="16"/>
          <w:szCs w:val="16"/>
        </w:rPr>
      </w:pPr>
      <w:r w:rsidRPr="00753628">
        <w:rPr>
          <w:rStyle w:val="Refdenotaalpie"/>
          <w:sz w:val="16"/>
          <w:szCs w:val="16"/>
        </w:rPr>
        <w:footnoteRef/>
      </w:r>
      <w:r w:rsidRPr="00753628">
        <w:rPr>
          <w:sz w:val="16"/>
          <w:szCs w:val="16"/>
        </w:rPr>
        <w:t xml:space="preserve"> Consultable en: </w:t>
      </w:r>
      <w:hyperlink r:id="rId16" w:history="1">
        <w:r w:rsidRPr="00753628">
          <w:rPr>
            <w:rStyle w:val="Hipervnculo"/>
            <w:sz w:val="16"/>
            <w:szCs w:val="16"/>
          </w:rPr>
          <w:t>https://www.ecfr.gov/cgi-bin/text-idx?SID=7751ac4e65b2cb5157c0eab86ccfcfb9&amp;mc=true&amp;node=se47.1.15_1245&amp;rgn=div8</w:t>
        </w:r>
      </w:hyperlink>
    </w:p>
  </w:footnote>
  <w:footnote w:id="20">
    <w:p w14:paraId="13FCA0A6" w14:textId="77777777" w:rsidR="00AF4B58" w:rsidRPr="00753628" w:rsidRDefault="00AF4B58" w:rsidP="00ED49E0">
      <w:pPr>
        <w:pStyle w:val="Notasalpie"/>
        <w:rPr>
          <w:sz w:val="16"/>
          <w:szCs w:val="16"/>
        </w:rPr>
      </w:pPr>
      <w:r w:rsidRPr="00753628">
        <w:rPr>
          <w:rStyle w:val="Refdenotaalpie"/>
          <w:sz w:val="16"/>
          <w:szCs w:val="16"/>
        </w:rPr>
        <w:footnoteRef/>
      </w:r>
      <w:r w:rsidRPr="00753628">
        <w:rPr>
          <w:sz w:val="16"/>
          <w:szCs w:val="16"/>
        </w:rPr>
        <w:t xml:space="preserve"> Consultable en: </w:t>
      </w:r>
      <w:hyperlink r:id="rId17" w:history="1">
        <w:r w:rsidRPr="00753628">
          <w:rPr>
            <w:rStyle w:val="Hipervnculo"/>
            <w:sz w:val="16"/>
            <w:szCs w:val="16"/>
          </w:rPr>
          <w:t>https://www.ecfr.gov/cgi-bin/text-idx?SID=7751ac4e65b2cb5157c0eab86ccfcfb9&amp;mc=true&amp;node=se47.1.15_1249&amp;rgn=div8</w:t>
        </w:r>
      </w:hyperlink>
    </w:p>
  </w:footnote>
  <w:footnote w:id="21">
    <w:p w14:paraId="5DABBAF9" w14:textId="77777777" w:rsidR="00AF4B58" w:rsidRPr="00753628" w:rsidRDefault="00AF4B58" w:rsidP="00ED49E0">
      <w:pPr>
        <w:pStyle w:val="Textonotapie"/>
        <w:rPr>
          <w:rFonts w:ascii="Arial" w:hAnsi="Arial" w:cs="Arial"/>
          <w:sz w:val="16"/>
          <w:szCs w:val="16"/>
        </w:rPr>
      </w:pPr>
      <w:r w:rsidRPr="00753628">
        <w:rPr>
          <w:rStyle w:val="Refdenotaalpie"/>
          <w:rFonts w:ascii="Arial" w:hAnsi="Arial" w:cs="Arial"/>
          <w:sz w:val="16"/>
          <w:szCs w:val="16"/>
        </w:rPr>
        <w:footnoteRef/>
      </w:r>
      <w:r w:rsidRPr="00753628">
        <w:rPr>
          <w:rFonts w:ascii="Arial" w:hAnsi="Arial" w:cs="Arial"/>
          <w:sz w:val="16"/>
          <w:szCs w:val="16"/>
        </w:rPr>
        <w:t xml:space="preserve"> Consultable en: </w:t>
      </w:r>
      <w:hyperlink r:id="rId18" w:history="1">
        <w:r w:rsidRPr="00753628">
          <w:rPr>
            <w:rStyle w:val="Hipervnculo"/>
            <w:rFonts w:ascii="Arial" w:hAnsi="Arial" w:cs="Arial"/>
            <w:sz w:val="16"/>
            <w:szCs w:val="16"/>
          </w:rPr>
          <w:t>https://www.ic.gc.ca/eic/site/smt-gst.nsf/vwapj/SMSE-07-18-CTFA-2018.pdf/$file/SMSE-07-18-CTFA-2018.pdf</w:t>
        </w:r>
      </w:hyperlink>
    </w:p>
  </w:footnote>
  <w:footnote w:id="22">
    <w:p w14:paraId="2030C4EA" w14:textId="77777777" w:rsidR="00AF4B58" w:rsidRPr="00753628" w:rsidRDefault="00AF4B58" w:rsidP="00ED49E0">
      <w:pPr>
        <w:pStyle w:val="Textonotapie"/>
        <w:rPr>
          <w:rFonts w:ascii="Arial" w:hAnsi="Arial" w:cs="Arial"/>
          <w:sz w:val="16"/>
          <w:szCs w:val="16"/>
        </w:rPr>
      </w:pPr>
      <w:r w:rsidRPr="00753628">
        <w:rPr>
          <w:rStyle w:val="Refdenotaalpie"/>
          <w:rFonts w:ascii="Arial" w:hAnsi="Arial" w:cs="Arial"/>
          <w:sz w:val="16"/>
          <w:szCs w:val="16"/>
        </w:rPr>
        <w:footnoteRef/>
      </w:r>
      <w:r w:rsidRPr="00753628">
        <w:rPr>
          <w:rFonts w:ascii="Arial" w:hAnsi="Arial" w:cs="Arial"/>
          <w:sz w:val="16"/>
          <w:szCs w:val="16"/>
        </w:rPr>
        <w:t xml:space="preserve"> Consultable en: </w:t>
      </w:r>
      <w:hyperlink r:id="rId19" w:history="1">
        <w:r w:rsidRPr="00753628">
          <w:rPr>
            <w:rStyle w:val="Hipervnculo"/>
            <w:rFonts w:ascii="Arial" w:hAnsi="Arial" w:cs="Arial"/>
            <w:sz w:val="16"/>
            <w:szCs w:val="16"/>
          </w:rPr>
          <w:t>https://www.ic.gc.ca/eic/site/smt-gst.nsf/eng/sf01049.html</w:t>
        </w:r>
      </w:hyperlink>
    </w:p>
  </w:footnote>
  <w:footnote w:id="23">
    <w:p w14:paraId="09FF126A" w14:textId="77777777" w:rsidR="00AF4B58" w:rsidRPr="00753628" w:rsidRDefault="00AF4B58" w:rsidP="00ED49E0">
      <w:pPr>
        <w:pStyle w:val="Textonotapie"/>
        <w:rPr>
          <w:rFonts w:ascii="Arial" w:hAnsi="Arial" w:cs="Arial"/>
          <w:sz w:val="16"/>
          <w:szCs w:val="16"/>
        </w:rPr>
      </w:pPr>
      <w:r w:rsidRPr="00753628">
        <w:rPr>
          <w:rStyle w:val="Refdenotaalpie"/>
          <w:rFonts w:ascii="Arial" w:hAnsi="Arial" w:cs="Arial"/>
          <w:sz w:val="16"/>
          <w:szCs w:val="16"/>
        </w:rPr>
        <w:footnoteRef/>
      </w:r>
      <w:r w:rsidRPr="00753628">
        <w:rPr>
          <w:rFonts w:ascii="Arial" w:hAnsi="Arial" w:cs="Arial"/>
          <w:sz w:val="16"/>
          <w:szCs w:val="16"/>
        </w:rPr>
        <w:t xml:space="preserve"> Consultable en: </w:t>
      </w:r>
      <w:hyperlink r:id="rId20" w:history="1">
        <w:r w:rsidRPr="00753628">
          <w:rPr>
            <w:rStyle w:val="Hipervnculo"/>
            <w:rFonts w:ascii="Arial" w:hAnsi="Arial" w:cs="Arial"/>
            <w:sz w:val="16"/>
            <w:szCs w:val="16"/>
          </w:rPr>
          <w:t>https://www.ic.gc.ca/eic/site/smt-gst.nsf/eng/h_sf06121.html</w:t>
        </w:r>
      </w:hyperlink>
    </w:p>
  </w:footnote>
  <w:footnote w:id="24">
    <w:p w14:paraId="197211FA" w14:textId="77777777" w:rsidR="00AF4B58" w:rsidRPr="00753628" w:rsidRDefault="00AF4B58" w:rsidP="00ED49E0">
      <w:pPr>
        <w:pStyle w:val="Textonotapie"/>
        <w:rPr>
          <w:rFonts w:ascii="Arial" w:hAnsi="Arial" w:cs="Arial"/>
          <w:sz w:val="16"/>
          <w:szCs w:val="16"/>
        </w:rPr>
      </w:pPr>
      <w:r w:rsidRPr="00753628">
        <w:rPr>
          <w:rStyle w:val="Refdenotaalpie"/>
          <w:rFonts w:ascii="Arial" w:hAnsi="Arial" w:cs="Arial"/>
          <w:sz w:val="16"/>
          <w:szCs w:val="16"/>
        </w:rPr>
        <w:footnoteRef/>
      </w:r>
      <w:r w:rsidRPr="00753628">
        <w:rPr>
          <w:rFonts w:ascii="Arial" w:hAnsi="Arial" w:cs="Arial"/>
          <w:sz w:val="16"/>
          <w:szCs w:val="16"/>
        </w:rPr>
        <w:t xml:space="preserve"> Consultable en: </w:t>
      </w:r>
      <w:hyperlink r:id="rId21" w:history="1">
        <w:r w:rsidRPr="00753628">
          <w:rPr>
            <w:rStyle w:val="Hipervnculo"/>
            <w:rFonts w:ascii="Arial" w:hAnsi="Arial" w:cs="Arial"/>
            <w:sz w:val="16"/>
            <w:szCs w:val="16"/>
          </w:rPr>
          <w:t>https://www.ic.gc.ca/eic/site/smt-gst.nsf/eng/sf09092.html</w:t>
        </w:r>
      </w:hyperlink>
    </w:p>
  </w:footnote>
  <w:footnote w:id="25">
    <w:p w14:paraId="48285067" w14:textId="77777777" w:rsidR="00AF4B58" w:rsidRPr="00753628" w:rsidRDefault="00AF4B58" w:rsidP="00ED49E0">
      <w:pPr>
        <w:pStyle w:val="Textonotapie"/>
        <w:rPr>
          <w:rFonts w:ascii="Arial" w:hAnsi="Arial" w:cs="Arial"/>
          <w:sz w:val="16"/>
          <w:szCs w:val="16"/>
        </w:rPr>
      </w:pPr>
      <w:r w:rsidRPr="00753628">
        <w:rPr>
          <w:rStyle w:val="Refdenotaalpie"/>
          <w:rFonts w:ascii="Arial" w:hAnsi="Arial" w:cs="Arial"/>
          <w:sz w:val="16"/>
          <w:szCs w:val="16"/>
        </w:rPr>
        <w:footnoteRef/>
      </w:r>
      <w:r w:rsidRPr="00753628">
        <w:rPr>
          <w:rFonts w:ascii="Arial" w:hAnsi="Arial" w:cs="Arial"/>
          <w:sz w:val="16"/>
          <w:szCs w:val="16"/>
        </w:rPr>
        <w:t xml:space="preserve"> Consultable en: </w:t>
      </w:r>
      <w:hyperlink r:id="rId22" w:history="1">
        <w:r w:rsidRPr="00753628">
          <w:rPr>
            <w:rStyle w:val="Hipervnculo"/>
            <w:rFonts w:ascii="Arial" w:hAnsi="Arial" w:cs="Arial"/>
            <w:sz w:val="16"/>
            <w:szCs w:val="16"/>
          </w:rPr>
          <w:t>https://www.ic.gc.ca/eic/site/smt-gst.nsf/eng/sf10971.html</w:t>
        </w:r>
      </w:hyperlink>
    </w:p>
  </w:footnote>
  <w:footnote w:id="26">
    <w:p w14:paraId="4DA15C2E" w14:textId="77777777" w:rsidR="00AF4B58" w:rsidRPr="00753628" w:rsidRDefault="00AF4B58" w:rsidP="00ED49E0">
      <w:pPr>
        <w:pStyle w:val="Textonotapie"/>
        <w:rPr>
          <w:rFonts w:ascii="Arial" w:hAnsi="Arial" w:cs="Arial"/>
          <w:sz w:val="16"/>
          <w:szCs w:val="16"/>
        </w:rPr>
      </w:pPr>
      <w:r w:rsidRPr="00753628">
        <w:rPr>
          <w:rStyle w:val="Refdenotaalpie"/>
          <w:rFonts w:ascii="Arial" w:hAnsi="Arial" w:cs="Arial"/>
          <w:sz w:val="16"/>
          <w:szCs w:val="16"/>
        </w:rPr>
        <w:footnoteRef/>
      </w:r>
      <w:r w:rsidRPr="00753628">
        <w:rPr>
          <w:rFonts w:ascii="Arial" w:hAnsi="Arial" w:cs="Arial"/>
          <w:sz w:val="16"/>
          <w:szCs w:val="16"/>
        </w:rPr>
        <w:t xml:space="preserve"> Consultable en: </w:t>
      </w:r>
      <w:hyperlink r:id="rId23" w:history="1">
        <w:r w:rsidRPr="00753628">
          <w:rPr>
            <w:rStyle w:val="Hipervnculo"/>
            <w:rFonts w:ascii="Arial" w:hAnsi="Arial" w:cs="Arial"/>
            <w:sz w:val="16"/>
            <w:szCs w:val="16"/>
          </w:rPr>
          <w:t>https://www.ic.gc.ca/eic/site/smt-gst.nsf/eng/sf01320.html</w:t>
        </w:r>
      </w:hyperlink>
    </w:p>
  </w:footnote>
  <w:footnote w:id="27">
    <w:p w14:paraId="425A259B" w14:textId="77777777" w:rsidR="00AF4B58" w:rsidRPr="0043768B" w:rsidRDefault="00AF4B58" w:rsidP="00ED49E0">
      <w:pPr>
        <w:pStyle w:val="Textonotapie"/>
        <w:rPr>
          <w:rFonts w:ascii="Arial" w:hAnsi="Arial" w:cs="Arial"/>
          <w:sz w:val="16"/>
          <w:szCs w:val="16"/>
        </w:rPr>
      </w:pPr>
      <w:r w:rsidRPr="0043768B">
        <w:rPr>
          <w:rStyle w:val="Refdenotaalpie"/>
          <w:rFonts w:ascii="Arial" w:hAnsi="Arial" w:cs="Arial"/>
          <w:sz w:val="16"/>
          <w:szCs w:val="16"/>
        </w:rPr>
        <w:footnoteRef/>
      </w:r>
      <w:r w:rsidRPr="0043768B">
        <w:rPr>
          <w:rFonts w:ascii="Arial" w:hAnsi="Arial" w:cs="Arial"/>
          <w:sz w:val="16"/>
          <w:szCs w:val="16"/>
        </w:rPr>
        <w:t xml:space="preserve"> Consultable en: </w:t>
      </w:r>
      <w:hyperlink r:id="rId24" w:history="1">
        <w:r w:rsidRPr="0043768B">
          <w:rPr>
            <w:rStyle w:val="Hipervnculo"/>
            <w:rFonts w:ascii="Arial" w:hAnsi="Arial" w:cs="Arial"/>
            <w:sz w:val="16"/>
            <w:szCs w:val="16"/>
          </w:rPr>
          <w:t>https://www.ic.gc.ca/eic/site/smt-gst.nsf/eng/sf10971.html</w:t>
        </w:r>
      </w:hyperlink>
    </w:p>
  </w:footnote>
  <w:footnote w:id="28">
    <w:p w14:paraId="17617D6F" w14:textId="77777777" w:rsidR="00AF4B58" w:rsidRPr="0043768B" w:rsidRDefault="00AF4B58" w:rsidP="00ED49E0">
      <w:pPr>
        <w:pStyle w:val="Textonotapie"/>
        <w:rPr>
          <w:rFonts w:ascii="Arial" w:hAnsi="Arial" w:cs="Arial"/>
          <w:sz w:val="16"/>
          <w:szCs w:val="16"/>
        </w:rPr>
      </w:pPr>
      <w:r w:rsidRPr="0043768B">
        <w:rPr>
          <w:rStyle w:val="Refdenotaalpie"/>
          <w:rFonts w:ascii="Arial" w:hAnsi="Arial" w:cs="Arial"/>
          <w:sz w:val="16"/>
          <w:szCs w:val="16"/>
        </w:rPr>
        <w:footnoteRef/>
      </w:r>
      <w:r w:rsidRPr="0043768B">
        <w:rPr>
          <w:rFonts w:ascii="Arial" w:hAnsi="Arial" w:cs="Arial"/>
          <w:sz w:val="16"/>
          <w:szCs w:val="16"/>
        </w:rPr>
        <w:t xml:space="preserve"> Consultable en: </w:t>
      </w:r>
      <w:hyperlink r:id="rId25" w:history="1">
        <w:r w:rsidRPr="0043768B">
          <w:rPr>
            <w:rStyle w:val="Hipervnculo"/>
            <w:rFonts w:ascii="Arial" w:hAnsi="Arial" w:cs="Arial"/>
            <w:sz w:val="16"/>
            <w:szCs w:val="16"/>
          </w:rPr>
          <w:t>https://www.ic.gc.ca/eic/site/smt-gst.nsf/eng/sf01320.html</w:t>
        </w:r>
      </w:hyperlink>
    </w:p>
  </w:footnote>
  <w:footnote w:id="29">
    <w:p w14:paraId="1215C1CD" w14:textId="77777777" w:rsidR="00AF4B58" w:rsidRPr="00B23D4D" w:rsidRDefault="00AF4B58" w:rsidP="00ED49E0">
      <w:pPr>
        <w:pStyle w:val="Notasalpie"/>
        <w:rPr>
          <w:sz w:val="16"/>
          <w:szCs w:val="16"/>
        </w:rPr>
      </w:pPr>
      <w:r w:rsidRPr="00B23D4D">
        <w:rPr>
          <w:rStyle w:val="Refdenotaalpie"/>
          <w:sz w:val="16"/>
          <w:szCs w:val="16"/>
        </w:rPr>
        <w:footnoteRef/>
      </w:r>
      <w:r w:rsidRPr="00B23D4D">
        <w:rPr>
          <w:sz w:val="16"/>
          <w:szCs w:val="16"/>
        </w:rPr>
        <w:t xml:space="preserve"> Consultable en: </w:t>
      </w:r>
      <w:hyperlink r:id="rId26" w:history="1">
        <w:r w:rsidRPr="00B23D4D">
          <w:rPr>
            <w:rStyle w:val="Hipervnculo"/>
            <w:sz w:val="16"/>
            <w:szCs w:val="16"/>
          </w:rPr>
          <w:t>https://www.ic.gc.ca/eic/site/smt-gst.nsf/vwapj/sp120.pdf/$FILE/sp120.pdf</w:t>
        </w:r>
      </w:hyperlink>
    </w:p>
  </w:footnote>
  <w:footnote w:id="30">
    <w:p w14:paraId="67B88AF8" w14:textId="77777777" w:rsidR="00AF4B58" w:rsidRPr="00B23D4D" w:rsidRDefault="00AF4B58" w:rsidP="00ED49E0">
      <w:pPr>
        <w:pStyle w:val="Notasalpie"/>
        <w:rPr>
          <w:sz w:val="16"/>
          <w:szCs w:val="16"/>
        </w:rPr>
      </w:pPr>
      <w:r w:rsidRPr="00B23D4D">
        <w:rPr>
          <w:rStyle w:val="Refdenotaalpie"/>
          <w:sz w:val="16"/>
          <w:szCs w:val="16"/>
        </w:rPr>
        <w:footnoteRef/>
      </w:r>
      <w:r w:rsidRPr="00B23D4D">
        <w:rPr>
          <w:sz w:val="16"/>
          <w:szCs w:val="16"/>
        </w:rPr>
        <w:t xml:space="preserve"> Consultable en: </w:t>
      </w:r>
      <w:hyperlink r:id="rId27" w:history="1">
        <w:r w:rsidRPr="00B23D4D">
          <w:rPr>
            <w:rStyle w:val="Hipervnculo"/>
            <w:sz w:val="16"/>
            <w:szCs w:val="16"/>
          </w:rPr>
          <w:t>https://www.mintic.gov.co/portal/inicio/Ministerio/Instituciones-Relacionadas/Agencia-Nacional-del-Espectro-ANE/</w:t>
        </w:r>
      </w:hyperlink>
    </w:p>
  </w:footnote>
  <w:footnote w:id="31">
    <w:p w14:paraId="2DB84075" w14:textId="77777777" w:rsidR="00AF4B58" w:rsidRPr="00B23D4D" w:rsidRDefault="00AF4B58" w:rsidP="00ED49E0">
      <w:pPr>
        <w:pStyle w:val="Notasalpie"/>
        <w:rPr>
          <w:sz w:val="16"/>
          <w:szCs w:val="16"/>
        </w:rPr>
      </w:pPr>
      <w:r w:rsidRPr="00B23D4D">
        <w:rPr>
          <w:rStyle w:val="Refdenotaalpie"/>
          <w:sz w:val="16"/>
          <w:szCs w:val="16"/>
        </w:rPr>
        <w:footnoteRef/>
      </w:r>
      <w:r w:rsidRPr="00B23D4D">
        <w:rPr>
          <w:sz w:val="16"/>
          <w:szCs w:val="16"/>
        </w:rPr>
        <w:t xml:space="preserve"> Consultable en: </w:t>
      </w:r>
      <w:hyperlink r:id="rId28" w:history="1">
        <w:r w:rsidRPr="00B23D4D">
          <w:rPr>
            <w:rStyle w:val="Hipervnculo"/>
            <w:sz w:val="16"/>
            <w:szCs w:val="16"/>
          </w:rPr>
          <w:t>https://www.mintic.gov.co/portal/inicio/Ministerio/Acerca-del-MinTIC/</w:t>
        </w:r>
      </w:hyperlink>
    </w:p>
  </w:footnote>
  <w:footnote w:id="32">
    <w:p w14:paraId="108DA5B8" w14:textId="7D7065B5" w:rsidR="00AF4B58" w:rsidRPr="00B23D4D" w:rsidRDefault="00AF4B58" w:rsidP="00ED49E0">
      <w:pPr>
        <w:pStyle w:val="Notasalpie"/>
        <w:rPr>
          <w:sz w:val="16"/>
          <w:szCs w:val="16"/>
        </w:rPr>
      </w:pPr>
      <w:r w:rsidRPr="00B23D4D">
        <w:rPr>
          <w:rStyle w:val="Refdenotaalpie"/>
          <w:sz w:val="16"/>
          <w:szCs w:val="16"/>
        </w:rPr>
        <w:footnoteRef/>
      </w:r>
      <w:r w:rsidRPr="0043768B">
        <w:rPr>
          <w:sz w:val="16"/>
          <w:szCs w:val="16"/>
        </w:rPr>
        <w:t xml:space="preserve"> Consultable en: </w:t>
      </w:r>
      <w:hyperlink r:id="rId29" w:history="1">
        <w:r w:rsidRPr="0043768B">
          <w:rPr>
            <w:rStyle w:val="Hipervnculo"/>
            <w:sz w:val="16"/>
            <w:szCs w:val="16"/>
          </w:rPr>
          <w:t>https://micrositios.mintic.gov.co/ley_tic/pdf/ley_tic_1978.pdf</w:t>
        </w:r>
      </w:hyperlink>
      <w:r w:rsidRPr="0043768B">
        <w:rPr>
          <w:sz w:val="16"/>
          <w:szCs w:val="16"/>
        </w:rPr>
        <w:t xml:space="preserve"> </w:t>
      </w:r>
    </w:p>
  </w:footnote>
  <w:footnote w:id="33">
    <w:p w14:paraId="251B35D3" w14:textId="77777777" w:rsidR="00AF4B58" w:rsidRPr="00B23D4D" w:rsidRDefault="00AF4B58" w:rsidP="00ED49E0">
      <w:pPr>
        <w:pStyle w:val="Notasalpie"/>
        <w:rPr>
          <w:sz w:val="16"/>
          <w:szCs w:val="16"/>
        </w:rPr>
      </w:pPr>
      <w:r w:rsidRPr="00B23D4D">
        <w:rPr>
          <w:rStyle w:val="Refdenotaalpie"/>
          <w:sz w:val="16"/>
          <w:szCs w:val="16"/>
        </w:rPr>
        <w:footnoteRef/>
      </w:r>
      <w:r w:rsidRPr="00B23D4D">
        <w:rPr>
          <w:sz w:val="16"/>
          <w:szCs w:val="16"/>
        </w:rPr>
        <w:t xml:space="preserve"> Consultable en: </w:t>
      </w:r>
      <w:hyperlink r:id="rId30" w:history="1">
        <w:r w:rsidRPr="00B23D4D">
          <w:rPr>
            <w:rStyle w:val="Hipervnculo"/>
            <w:sz w:val="16"/>
            <w:szCs w:val="16"/>
          </w:rPr>
          <w:t>https://portalespectro.ane.gov.co:10253/JsonConfigAne/CNABF.pdf</w:t>
        </w:r>
      </w:hyperlink>
    </w:p>
  </w:footnote>
  <w:footnote w:id="34">
    <w:p w14:paraId="61889DDF" w14:textId="7DDEF436" w:rsidR="00AF4B58" w:rsidRPr="00B23D4D" w:rsidRDefault="00AF4B58" w:rsidP="00ED49E0">
      <w:pPr>
        <w:pStyle w:val="Notasalpie"/>
        <w:rPr>
          <w:sz w:val="16"/>
          <w:szCs w:val="16"/>
        </w:rPr>
      </w:pPr>
      <w:r w:rsidRPr="00B23D4D">
        <w:rPr>
          <w:rStyle w:val="Refdenotaalpie"/>
          <w:sz w:val="16"/>
          <w:szCs w:val="16"/>
        </w:rPr>
        <w:footnoteRef/>
      </w:r>
      <w:r w:rsidRPr="00B23D4D">
        <w:rPr>
          <w:sz w:val="16"/>
          <w:szCs w:val="16"/>
        </w:rPr>
        <w:t xml:space="preserve"> Consultable en: </w:t>
      </w:r>
      <w:hyperlink r:id="rId31" w:history="1">
        <w:r>
          <w:rPr>
            <w:rStyle w:val="Hipervnculo"/>
            <w:sz w:val="16"/>
            <w:szCs w:val="16"/>
          </w:rPr>
          <w:t>http://www.ane.gov.co/Documentos compartidos/ArchivosDescargables/Normatividad/Planeacion_del_espectro/RESOLUCIÓN No 000105 DE 27-03-2020(1) (1).pdf</w:t>
        </w:r>
      </w:hyperlink>
    </w:p>
  </w:footnote>
  <w:footnote w:id="35">
    <w:p w14:paraId="458CEAC6" w14:textId="07C3A76D" w:rsidR="00AF4B58" w:rsidRPr="00FB7222" w:rsidRDefault="00AF4B58">
      <w:pPr>
        <w:pStyle w:val="Textonotapie"/>
        <w:rPr>
          <w:rFonts w:ascii="Arial" w:hAnsi="Arial" w:cs="Arial"/>
          <w:sz w:val="16"/>
          <w:szCs w:val="16"/>
        </w:rPr>
      </w:pPr>
      <w:r w:rsidRPr="00FB7222">
        <w:rPr>
          <w:rStyle w:val="Refdenotaalpie"/>
          <w:rFonts w:ascii="Arial" w:hAnsi="Arial" w:cs="Arial"/>
          <w:sz w:val="16"/>
          <w:szCs w:val="16"/>
        </w:rPr>
        <w:footnoteRef/>
      </w:r>
      <w:r w:rsidRPr="00FB7222">
        <w:rPr>
          <w:rFonts w:ascii="Arial" w:hAnsi="Arial" w:cs="Arial"/>
          <w:sz w:val="16"/>
          <w:szCs w:val="16"/>
        </w:rPr>
        <w:t xml:space="preserve"> La UIT-R en su Informe SM.2153-7 define al conector especial como aquel que no es del tipo normalizado que se encuentra en las tiendas de suministro electrónico o que no se utiliza normalmente para la conexión de RF. Consultable en el siguiente enlace: </w:t>
      </w:r>
      <w:hyperlink r:id="rId32" w:history="1">
        <w:r w:rsidRPr="00FB7222">
          <w:rPr>
            <w:rStyle w:val="Hipervnculo"/>
            <w:rFonts w:ascii="Arial" w:hAnsi="Arial" w:cs="Arial"/>
            <w:sz w:val="16"/>
            <w:szCs w:val="16"/>
          </w:rPr>
          <w:t>https://www.itu.int/dms_pub/itu-r/opb/rep/R-REP-SM.2153-7-2019-PDF-S.pdf</w:t>
        </w:r>
      </w:hyperlink>
      <w:r w:rsidRPr="00FB7222">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14FFE" w14:textId="04D4A50A" w:rsidR="004F1EA3" w:rsidRDefault="004F1EA3">
    <w:pPr>
      <w:pStyle w:val="Encabezado"/>
    </w:pPr>
    <w:r>
      <w:rPr>
        <w:noProof/>
      </w:rPr>
      <w:pict w14:anchorId="1461BE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325141" o:spid="_x0000_s2050"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580EB" w14:textId="7DDFA2D0" w:rsidR="004F1EA3" w:rsidRDefault="004F1EA3">
    <w:pPr>
      <w:pStyle w:val="Encabezado"/>
    </w:pPr>
    <w:r>
      <w:rPr>
        <w:noProof/>
      </w:rPr>
      <w:pict w14:anchorId="031955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325142" o:spid="_x0000_s2051" type="#_x0000_t136" style="position:absolute;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ABFAC" w14:textId="797CD553" w:rsidR="004F1EA3" w:rsidRDefault="004F1EA3">
    <w:pPr>
      <w:pStyle w:val="Encabezado"/>
    </w:pPr>
    <w:r>
      <w:rPr>
        <w:noProof/>
      </w:rPr>
      <w:pict w14:anchorId="2C98B5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325140" o:spid="_x0000_s2049"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E27CD"/>
    <w:multiLevelType w:val="hybridMultilevel"/>
    <w:tmpl w:val="2C7612E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CC7802"/>
    <w:multiLevelType w:val="hybridMultilevel"/>
    <w:tmpl w:val="61C669E6"/>
    <w:lvl w:ilvl="0" w:tplc="355A0DF6">
      <w:start w:val="802"/>
      <w:numFmt w:val="bullet"/>
      <w:lvlText w:val="-"/>
      <w:lvlJc w:val="left"/>
      <w:pPr>
        <w:ind w:left="720" w:hanging="360"/>
      </w:pPr>
      <w:rPr>
        <w:rFonts w:ascii="ITC Avant Garde" w:eastAsiaTheme="minorHAnsi" w:hAnsi="ITC Avant Garde"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E90562"/>
    <w:multiLevelType w:val="multilevel"/>
    <w:tmpl w:val="FE6C22E8"/>
    <w:lvl w:ilvl="0">
      <w:start w:val="2"/>
      <w:numFmt w:val="upperRoman"/>
      <w:lvlText w:val="%1."/>
      <w:lvlJc w:val="left"/>
      <w:pPr>
        <w:ind w:left="3131" w:hanging="720"/>
      </w:pPr>
      <w:rPr>
        <w:rFonts w:hint="default"/>
        <w:b/>
      </w:rPr>
    </w:lvl>
    <w:lvl w:ilvl="1">
      <w:start w:val="1"/>
      <w:numFmt w:val="decimal"/>
      <w:isLgl/>
      <w:lvlText w:val="%1.%2"/>
      <w:lvlJc w:val="left"/>
      <w:pPr>
        <w:ind w:left="2771" w:hanging="36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3491" w:hanging="1080"/>
      </w:pPr>
      <w:rPr>
        <w:rFonts w:hint="default"/>
      </w:rPr>
    </w:lvl>
    <w:lvl w:ilvl="5">
      <w:start w:val="1"/>
      <w:numFmt w:val="decimal"/>
      <w:isLgl/>
      <w:lvlText w:val="%1.%2.%3.%4.%5.%6"/>
      <w:lvlJc w:val="left"/>
      <w:pPr>
        <w:ind w:left="3491" w:hanging="1080"/>
      </w:pPr>
      <w:rPr>
        <w:rFonts w:hint="default"/>
      </w:rPr>
    </w:lvl>
    <w:lvl w:ilvl="6">
      <w:start w:val="1"/>
      <w:numFmt w:val="decimal"/>
      <w:isLgl/>
      <w:lvlText w:val="%1.%2.%3.%4.%5.%6.%7"/>
      <w:lvlJc w:val="left"/>
      <w:pPr>
        <w:ind w:left="3851" w:hanging="1440"/>
      </w:pPr>
      <w:rPr>
        <w:rFonts w:hint="default"/>
      </w:rPr>
    </w:lvl>
    <w:lvl w:ilvl="7">
      <w:start w:val="1"/>
      <w:numFmt w:val="decimal"/>
      <w:isLgl/>
      <w:lvlText w:val="%1.%2.%3.%4.%5.%6.%7.%8"/>
      <w:lvlJc w:val="left"/>
      <w:pPr>
        <w:ind w:left="3851" w:hanging="1440"/>
      </w:pPr>
      <w:rPr>
        <w:rFonts w:hint="default"/>
      </w:rPr>
    </w:lvl>
    <w:lvl w:ilvl="8">
      <w:start w:val="1"/>
      <w:numFmt w:val="decimal"/>
      <w:isLgl/>
      <w:lvlText w:val="%1.%2.%3.%4.%5.%6.%7.%8.%9"/>
      <w:lvlJc w:val="left"/>
      <w:pPr>
        <w:ind w:left="4211" w:hanging="1800"/>
      </w:pPr>
      <w:rPr>
        <w:rFonts w:hint="default"/>
      </w:rPr>
    </w:lvl>
  </w:abstractNum>
  <w:abstractNum w:abstractNumId="3" w15:restartNumberingAfterBreak="0">
    <w:nsid w:val="35B06DC4"/>
    <w:multiLevelType w:val="hybridMultilevel"/>
    <w:tmpl w:val="A200649A"/>
    <w:lvl w:ilvl="0" w:tplc="355A0DF6">
      <w:start w:val="802"/>
      <w:numFmt w:val="bullet"/>
      <w:lvlText w:val="-"/>
      <w:lvlJc w:val="left"/>
      <w:pPr>
        <w:ind w:left="720" w:hanging="360"/>
      </w:pPr>
      <w:rPr>
        <w:rFonts w:ascii="ITC Avant Garde" w:eastAsiaTheme="minorHAnsi" w:hAnsi="ITC Avant Garde"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6D70EE1"/>
    <w:multiLevelType w:val="hybridMultilevel"/>
    <w:tmpl w:val="2E747FBA"/>
    <w:lvl w:ilvl="0" w:tplc="080A0013">
      <w:start w:val="1"/>
      <w:numFmt w:val="upperRoman"/>
      <w:lvlText w:val="%1."/>
      <w:lvlJc w:val="right"/>
      <w:pPr>
        <w:ind w:left="720" w:hanging="360"/>
      </w:pPr>
      <w:rPr>
        <w:rFonts w:hint="default"/>
      </w:rPr>
    </w:lvl>
    <w:lvl w:ilvl="1" w:tplc="0BC87242">
      <w:start w:val="1"/>
      <w:numFmt w:val="low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7539E0"/>
    <w:multiLevelType w:val="hybridMultilevel"/>
    <w:tmpl w:val="259C306E"/>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11D3DD7"/>
    <w:multiLevelType w:val="hybridMultilevel"/>
    <w:tmpl w:val="6780FBE0"/>
    <w:lvl w:ilvl="0" w:tplc="48681E68">
      <w:start w:val="1"/>
      <w:numFmt w:val="ordinalText"/>
      <w:pStyle w:val="Ttulo4"/>
      <w:lvlText w:val="%1.-"/>
      <w:lvlJc w:val="left"/>
      <w:pPr>
        <w:ind w:left="1495"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30301DA"/>
    <w:multiLevelType w:val="multilevel"/>
    <w:tmpl w:val="670CD25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65276FD"/>
    <w:multiLevelType w:val="hybridMultilevel"/>
    <w:tmpl w:val="28AE29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A0B47D8"/>
    <w:multiLevelType w:val="hybridMultilevel"/>
    <w:tmpl w:val="BFE0A764"/>
    <w:lvl w:ilvl="0" w:tplc="355A0DF6">
      <w:start w:val="802"/>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EAF65B7"/>
    <w:multiLevelType w:val="hybridMultilevel"/>
    <w:tmpl w:val="B66E1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51D7AAD"/>
    <w:multiLevelType w:val="multilevel"/>
    <w:tmpl w:val="F0626794"/>
    <w:lvl w:ilvl="0">
      <w:start w:val="1"/>
      <w:numFmt w:val="decimal"/>
      <w:pStyle w:val="Ttulo5"/>
      <w:lvlText w:val="%1."/>
      <w:lvlJc w:val="left"/>
      <w:pPr>
        <w:ind w:left="360" w:hanging="360"/>
      </w:pPr>
    </w:lvl>
    <w:lvl w:ilvl="1">
      <w:start w:val="1"/>
      <w:numFmt w:val="decimal"/>
      <w:pStyle w:val="Ttulo6"/>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611775"/>
    <w:multiLevelType w:val="hybridMultilevel"/>
    <w:tmpl w:val="CA440A4A"/>
    <w:lvl w:ilvl="0" w:tplc="6054F768">
      <w:start w:val="1"/>
      <w:numFmt w:val="ordinalText"/>
      <w:lvlText w:val="%1.-"/>
      <w:lvlJc w:val="left"/>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B915AF6"/>
    <w:multiLevelType w:val="multilevel"/>
    <w:tmpl w:val="ABE4C59A"/>
    <w:lvl w:ilvl="0">
      <w:start w:val="1"/>
      <w:numFmt w:val="upperRoman"/>
      <w:lvlText w:val="%1."/>
      <w:lvlJc w:val="left"/>
      <w:pPr>
        <w:ind w:left="1287" w:hanging="720"/>
      </w:pPr>
      <w:rPr>
        <w:rFonts w:hint="default"/>
        <w:b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DAD6072"/>
    <w:multiLevelType w:val="multilevel"/>
    <w:tmpl w:val="89D2DDC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34C7213"/>
    <w:multiLevelType w:val="hybridMultilevel"/>
    <w:tmpl w:val="41F25D90"/>
    <w:lvl w:ilvl="0" w:tplc="355A0DF6">
      <w:start w:val="802"/>
      <w:numFmt w:val="bullet"/>
      <w:lvlText w:val="-"/>
      <w:lvlJc w:val="left"/>
      <w:pPr>
        <w:ind w:left="2880" w:hanging="720"/>
      </w:pPr>
      <w:rPr>
        <w:rFonts w:ascii="ITC Avant Garde" w:eastAsiaTheme="minorHAnsi" w:hAnsi="ITC Avant Garde" w:cstheme="minorBidi" w:hint="default"/>
      </w:rPr>
    </w:lvl>
    <w:lvl w:ilvl="1" w:tplc="080A0019" w:tentative="1">
      <w:start w:val="1"/>
      <w:numFmt w:val="lowerLetter"/>
      <w:lvlText w:val="%2."/>
      <w:lvlJc w:val="left"/>
      <w:pPr>
        <w:ind w:left="3240" w:hanging="360"/>
      </w:pPr>
    </w:lvl>
    <w:lvl w:ilvl="2" w:tplc="080A001B" w:tentative="1">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abstractNum w:abstractNumId="16" w15:restartNumberingAfterBreak="0">
    <w:nsid w:val="78EB1B4F"/>
    <w:multiLevelType w:val="hybridMultilevel"/>
    <w:tmpl w:val="83CE0CB6"/>
    <w:lvl w:ilvl="0" w:tplc="03B0DE6C">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C604ABC"/>
    <w:multiLevelType w:val="hybridMultilevel"/>
    <w:tmpl w:val="C79A07BC"/>
    <w:lvl w:ilvl="0" w:tplc="355A0DF6">
      <w:start w:val="802"/>
      <w:numFmt w:val="bullet"/>
      <w:lvlText w:val="-"/>
      <w:lvlJc w:val="left"/>
      <w:pPr>
        <w:ind w:left="1800" w:hanging="360"/>
      </w:pPr>
      <w:rPr>
        <w:rFonts w:ascii="ITC Avant Garde" w:eastAsiaTheme="minorHAnsi" w:hAnsi="ITC Avant Garde" w:cstheme="minorBidi"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num w:numId="1">
    <w:abstractNumId w:val="12"/>
  </w:num>
  <w:num w:numId="2">
    <w:abstractNumId w:val="13"/>
  </w:num>
  <w:num w:numId="3">
    <w:abstractNumId w:val="2"/>
  </w:num>
  <w:num w:numId="4">
    <w:abstractNumId w:val="7"/>
  </w:num>
  <w:num w:numId="5">
    <w:abstractNumId w:val="0"/>
  </w:num>
  <w:num w:numId="6">
    <w:abstractNumId w:val="5"/>
  </w:num>
  <w:num w:numId="7">
    <w:abstractNumId w:val="8"/>
  </w:num>
  <w:num w:numId="8">
    <w:abstractNumId w:val="14"/>
  </w:num>
  <w:num w:numId="9">
    <w:abstractNumId w:val="15"/>
  </w:num>
  <w:num w:numId="10">
    <w:abstractNumId w:val="17"/>
  </w:num>
  <w:num w:numId="11">
    <w:abstractNumId w:val="1"/>
  </w:num>
  <w:num w:numId="12">
    <w:abstractNumId w:val="3"/>
  </w:num>
  <w:num w:numId="13">
    <w:abstractNumId w:val="4"/>
  </w:num>
  <w:num w:numId="14">
    <w:abstractNumId w:val="11"/>
  </w:num>
  <w:num w:numId="15">
    <w:abstractNumId w:val="9"/>
  </w:num>
  <w:num w:numId="16">
    <w:abstractNumId w:val="10"/>
  </w:num>
  <w:num w:numId="17">
    <w:abstractNumId w:val="6"/>
  </w:num>
  <w:num w:numId="18">
    <w:abstractNumId w:val="6"/>
    <w:lvlOverride w:ilvl="0">
      <w:startOverride w:val="1"/>
    </w:lvlOverride>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11"/>
  </w:num>
  <w:num w:numId="32">
    <w:abstractNumId w:val="11"/>
  </w:num>
  <w:num w:numId="33">
    <w:abstractNumId w:val="6"/>
  </w:num>
  <w:num w:numId="34">
    <w:abstractNumId w:val="6"/>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16"/>
  </w:num>
  <w:num w:numId="38">
    <w:abstractNumId w:val="6"/>
  </w:num>
  <w:num w:numId="39">
    <w:abstractNumId w:val="6"/>
    <w:lvlOverride w:ilvl="0">
      <w:startOverride w:val="1"/>
    </w:lvlOverride>
  </w:num>
  <w:num w:numId="40">
    <w:abstractNumId w:val="6"/>
  </w:num>
  <w:num w:numId="41">
    <w:abstractNumId w:val="6"/>
  </w:num>
  <w:num w:numId="42">
    <w:abstractNumId w:val="6"/>
  </w:num>
  <w:num w:numId="43">
    <w:abstractNumId w:val="6"/>
  </w:num>
  <w:num w:numId="44">
    <w:abstractNumId w:val="6"/>
  </w:num>
  <w:num w:numId="45">
    <w:abstractNumId w:val="6"/>
    <w:lvlOverride w:ilvl="0">
      <w:startOverride w:val="1"/>
    </w:lvlOverride>
  </w:num>
  <w:num w:numId="46">
    <w:abstractNumId w:val="6"/>
  </w:num>
  <w:num w:numId="47">
    <w:abstractNumId w:val="6"/>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14"/>
    <w:rsid w:val="00000134"/>
    <w:rsid w:val="000007EC"/>
    <w:rsid w:val="000012AC"/>
    <w:rsid w:val="00001301"/>
    <w:rsid w:val="00001BEC"/>
    <w:rsid w:val="00001DF6"/>
    <w:rsid w:val="00003708"/>
    <w:rsid w:val="00003AEA"/>
    <w:rsid w:val="0000595D"/>
    <w:rsid w:val="0000648E"/>
    <w:rsid w:val="00007215"/>
    <w:rsid w:val="00007926"/>
    <w:rsid w:val="0001006D"/>
    <w:rsid w:val="00010356"/>
    <w:rsid w:val="00011570"/>
    <w:rsid w:val="00011921"/>
    <w:rsid w:val="00011A7E"/>
    <w:rsid w:val="00011C2F"/>
    <w:rsid w:val="00011F7F"/>
    <w:rsid w:val="0001275E"/>
    <w:rsid w:val="00013EC3"/>
    <w:rsid w:val="00015F97"/>
    <w:rsid w:val="00017BC4"/>
    <w:rsid w:val="00017F15"/>
    <w:rsid w:val="00020467"/>
    <w:rsid w:val="000239E3"/>
    <w:rsid w:val="00023B1F"/>
    <w:rsid w:val="0002464B"/>
    <w:rsid w:val="00024F39"/>
    <w:rsid w:val="000254E1"/>
    <w:rsid w:val="00025932"/>
    <w:rsid w:val="00027745"/>
    <w:rsid w:val="000305DF"/>
    <w:rsid w:val="00030998"/>
    <w:rsid w:val="0003145C"/>
    <w:rsid w:val="000319C7"/>
    <w:rsid w:val="00031B2E"/>
    <w:rsid w:val="00032D31"/>
    <w:rsid w:val="0003312C"/>
    <w:rsid w:val="00033224"/>
    <w:rsid w:val="0003366B"/>
    <w:rsid w:val="00033B8F"/>
    <w:rsid w:val="00035ACB"/>
    <w:rsid w:val="00036946"/>
    <w:rsid w:val="00036EC4"/>
    <w:rsid w:val="00037171"/>
    <w:rsid w:val="00037A80"/>
    <w:rsid w:val="000400A5"/>
    <w:rsid w:val="00041072"/>
    <w:rsid w:val="000412CB"/>
    <w:rsid w:val="00041FBD"/>
    <w:rsid w:val="00043551"/>
    <w:rsid w:val="000439CA"/>
    <w:rsid w:val="00043BAF"/>
    <w:rsid w:val="00043E36"/>
    <w:rsid w:val="000440D2"/>
    <w:rsid w:val="00044282"/>
    <w:rsid w:val="00044BA5"/>
    <w:rsid w:val="00044DD7"/>
    <w:rsid w:val="0004500F"/>
    <w:rsid w:val="000458C4"/>
    <w:rsid w:val="00045E75"/>
    <w:rsid w:val="00046758"/>
    <w:rsid w:val="0004687E"/>
    <w:rsid w:val="000469AD"/>
    <w:rsid w:val="00047B8E"/>
    <w:rsid w:val="00047E6A"/>
    <w:rsid w:val="00047EBE"/>
    <w:rsid w:val="00047FBB"/>
    <w:rsid w:val="00050D2C"/>
    <w:rsid w:val="00050DFF"/>
    <w:rsid w:val="000515FE"/>
    <w:rsid w:val="000516A7"/>
    <w:rsid w:val="0005198C"/>
    <w:rsid w:val="00051A7B"/>
    <w:rsid w:val="000522A4"/>
    <w:rsid w:val="00052467"/>
    <w:rsid w:val="00054F44"/>
    <w:rsid w:val="00055490"/>
    <w:rsid w:val="0005551E"/>
    <w:rsid w:val="00055649"/>
    <w:rsid w:val="000563E6"/>
    <w:rsid w:val="0005711D"/>
    <w:rsid w:val="000571C3"/>
    <w:rsid w:val="00057DC3"/>
    <w:rsid w:val="00060252"/>
    <w:rsid w:val="00061154"/>
    <w:rsid w:val="00061B7C"/>
    <w:rsid w:val="000629E7"/>
    <w:rsid w:val="00062D27"/>
    <w:rsid w:val="00063329"/>
    <w:rsid w:val="00063428"/>
    <w:rsid w:val="00063495"/>
    <w:rsid w:val="00065ED8"/>
    <w:rsid w:val="00066447"/>
    <w:rsid w:val="0006646D"/>
    <w:rsid w:val="00066EB2"/>
    <w:rsid w:val="000674D4"/>
    <w:rsid w:val="000679CC"/>
    <w:rsid w:val="000679CD"/>
    <w:rsid w:val="00067EDF"/>
    <w:rsid w:val="0007090E"/>
    <w:rsid w:val="00071430"/>
    <w:rsid w:val="00071874"/>
    <w:rsid w:val="00071BC6"/>
    <w:rsid w:val="000721C7"/>
    <w:rsid w:val="00072734"/>
    <w:rsid w:val="00073298"/>
    <w:rsid w:val="0007373A"/>
    <w:rsid w:val="00073FC7"/>
    <w:rsid w:val="00074860"/>
    <w:rsid w:val="0007585E"/>
    <w:rsid w:val="00075C11"/>
    <w:rsid w:val="000764EA"/>
    <w:rsid w:val="00076A6F"/>
    <w:rsid w:val="00080A05"/>
    <w:rsid w:val="00081272"/>
    <w:rsid w:val="0008154F"/>
    <w:rsid w:val="00081C85"/>
    <w:rsid w:val="0008246A"/>
    <w:rsid w:val="0008270D"/>
    <w:rsid w:val="000843CF"/>
    <w:rsid w:val="000846FA"/>
    <w:rsid w:val="00084796"/>
    <w:rsid w:val="00084960"/>
    <w:rsid w:val="00084B44"/>
    <w:rsid w:val="00085507"/>
    <w:rsid w:val="000856B1"/>
    <w:rsid w:val="000859FE"/>
    <w:rsid w:val="00085AD3"/>
    <w:rsid w:val="00086E45"/>
    <w:rsid w:val="00087936"/>
    <w:rsid w:val="00087D40"/>
    <w:rsid w:val="000903A0"/>
    <w:rsid w:val="00093161"/>
    <w:rsid w:val="00093BB8"/>
    <w:rsid w:val="0009439F"/>
    <w:rsid w:val="00094584"/>
    <w:rsid w:val="00095029"/>
    <w:rsid w:val="000952C5"/>
    <w:rsid w:val="00096164"/>
    <w:rsid w:val="000964AD"/>
    <w:rsid w:val="00096AA6"/>
    <w:rsid w:val="000973E1"/>
    <w:rsid w:val="00097892"/>
    <w:rsid w:val="00097959"/>
    <w:rsid w:val="000A0083"/>
    <w:rsid w:val="000A0E1E"/>
    <w:rsid w:val="000A0F4D"/>
    <w:rsid w:val="000A1170"/>
    <w:rsid w:val="000A146F"/>
    <w:rsid w:val="000A2A82"/>
    <w:rsid w:val="000A2DD7"/>
    <w:rsid w:val="000A317A"/>
    <w:rsid w:val="000A3D30"/>
    <w:rsid w:val="000A3D7F"/>
    <w:rsid w:val="000A3DAE"/>
    <w:rsid w:val="000A4071"/>
    <w:rsid w:val="000A56B4"/>
    <w:rsid w:val="000A5850"/>
    <w:rsid w:val="000A5C9F"/>
    <w:rsid w:val="000A77EE"/>
    <w:rsid w:val="000B00C8"/>
    <w:rsid w:val="000B043F"/>
    <w:rsid w:val="000B157E"/>
    <w:rsid w:val="000B1A56"/>
    <w:rsid w:val="000B1EC3"/>
    <w:rsid w:val="000B2009"/>
    <w:rsid w:val="000B2236"/>
    <w:rsid w:val="000B28A9"/>
    <w:rsid w:val="000B3BE4"/>
    <w:rsid w:val="000B3FE8"/>
    <w:rsid w:val="000B5673"/>
    <w:rsid w:val="000B5D22"/>
    <w:rsid w:val="000B6498"/>
    <w:rsid w:val="000B6D35"/>
    <w:rsid w:val="000B7997"/>
    <w:rsid w:val="000C1955"/>
    <w:rsid w:val="000C2320"/>
    <w:rsid w:val="000C3677"/>
    <w:rsid w:val="000C4050"/>
    <w:rsid w:val="000C4326"/>
    <w:rsid w:val="000C475B"/>
    <w:rsid w:val="000C4B95"/>
    <w:rsid w:val="000C50EA"/>
    <w:rsid w:val="000C54DF"/>
    <w:rsid w:val="000C5D0E"/>
    <w:rsid w:val="000C62D6"/>
    <w:rsid w:val="000C6D87"/>
    <w:rsid w:val="000C77A1"/>
    <w:rsid w:val="000D1B0D"/>
    <w:rsid w:val="000D2156"/>
    <w:rsid w:val="000D2E06"/>
    <w:rsid w:val="000D4985"/>
    <w:rsid w:val="000D56C7"/>
    <w:rsid w:val="000D57BE"/>
    <w:rsid w:val="000D5A8D"/>
    <w:rsid w:val="000D6691"/>
    <w:rsid w:val="000D66E3"/>
    <w:rsid w:val="000D7EC8"/>
    <w:rsid w:val="000D7F0D"/>
    <w:rsid w:val="000E0672"/>
    <w:rsid w:val="000E1576"/>
    <w:rsid w:val="000E1FA5"/>
    <w:rsid w:val="000E2C5C"/>
    <w:rsid w:val="000E2CC0"/>
    <w:rsid w:val="000E3088"/>
    <w:rsid w:val="000E3701"/>
    <w:rsid w:val="000E3874"/>
    <w:rsid w:val="000E3CAC"/>
    <w:rsid w:val="000E4732"/>
    <w:rsid w:val="000E4BE4"/>
    <w:rsid w:val="000E579A"/>
    <w:rsid w:val="000E7351"/>
    <w:rsid w:val="000E75DA"/>
    <w:rsid w:val="000E7A9C"/>
    <w:rsid w:val="000F0314"/>
    <w:rsid w:val="000F1C02"/>
    <w:rsid w:val="000F1CAE"/>
    <w:rsid w:val="000F1F45"/>
    <w:rsid w:val="000F237B"/>
    <w:rsid w:val="000F253A"/>
    <w:rsid w:val="000F2CB2"/>
    <w:rsid w:val="000F45D6"/>
    <w:rsid w:val="000F4ABD"/>
    <w:rsid w:val="000F500E"/>
    <w:rsid w:val="000F57B9"/>
    <w:rsid w:val="000F5993"/>
    <w:rsid w:val="000F70D2"/>
    <w:rsid w:val="000F734F"/>
    <w:rsid w:val="000F7B07"/>
    <w:rsid w:val="000F7E42"/>
    <w:rsid w:val="001004B9"/>
    <w:rsid w:val="0010095B"/>
    <w:rsid w:val="00100DFF"/>
    <w:rsid w:val="001013B5"/>
    <w:rsid w:val="001020C9"/>
    <w:rsid w:val="0010441F"/>
    <w:rsid w:val="00104A99"/>
    <w:rsid w:val="001076A4"/>
    <w:rsid w:val="00111BFD"/>
    <w:rsid w:val="00112355"/>
    <w:rsid w:val="00112B16"/>
    <w:rsid w:val="001130C7"/>
    <w:rsid w:val="0011331C"/>
    <w:rsid w:val="001136EF"/>
    <w:rsid w:val="00113E3E"/>
    <w:rsid w:val="00114AF0"/>
    <w:rsid w:val="00115464"/>
    <w:rsid w:val="0011558B"/>
    <w:rsid w:val="00115A4B"/>
    <w:rsid w:val="00115BED"/>
    <w:rsid w:val="00115EA7"/>
    <w:rsid w:val="001162F7"/>
    <w:rsid w:val="0011751E"/>
    <w:rsid w:val="001178FF"/>
    <w:rsid w:val="00117D34"/>
    <w:rsid w:val="00121481"/>
    <w:rsid w:val="00121733"/>
    <w:rsid w:val="00121C18"/>
    <w:rsid w:val="00121E65"/>
    <w:rsid w:val="001220C6"/>
    <w:rsid w:val="00122B2E"/>
    <w:rsid w:val="00122E2D"/>
    <w:rsid w:val="0012324E"/>
    <w:rsid w:val="0012411D"/>
    <w:rsid w:val="001261CA"/>
    <w:rsid w:val="00126566"/>
    <w:rsid w:val="00126909"/>
    <w:rsid w:val="001312E9"/>
    <w:rsid w:val="0013181E"/>
    <w:rsid w:val="00131B49"/>
    <w:rsid w:val="00132BB8"/>
    <w:rsid w:val="00134924"/>
    <w:rsid w:val="001358A2"/>
    <w:rsid w:val="00135ECA"/>
    <w:rsid w:val="00137DBE"/>
    <w:rsid w:val="00141424"/>
    <w:rsid w:val="0014174A"/>
    <w:rsid w:val="00144E37"/>
    <w:rsid w:val="00145F7E"/>
    <w:rsid w:val="001471C9"/>
    <w:rsid w:val="0015198A"/>
    <w:rsid w:val="0015227A"/>
    <w:rsid w:val="00152C5C"/>
    <w:rsid w:val="0015300E"/>
    <w:rsid w:val="0015376A"/>
    <w:rsid w:val="00153AB7"/>
    <w:rsid w:val="00154266"/>
    <w:rsid w:val="0015494E"/>
    <w:rsid w:val="0015512A"/>
    <w:rsid w:val="00155B22"/>
    <w:rsid w:val="001561DC"/>
    <w:rsid w:val="0015650C"/>
    <w:rsid w:val="00160691"/>
    <w:rsid w:val="00161720"/>
    <w:rsid w:val="00161E9A"/>
    <w:rsid w:val="0016235E"/>
    <w:rsid w:val="00162ACF"/>
    <w:rsid w:val="00163CF1"/>
    <w:rsid w:val="0016450B"/>
    <w:rsid w:val="001646C7"/>
    <w:rsid w:val="00164BBA"/>
    <w:rsid w:val="00164C5B"/>
    <w:rsid w:val="00164F57"/>
    <w:rsid w:val="00164FFF"/>
    <w:rsid w:val="0016623D"/>
    <w:rsid w:val="00166FAF"/>
    <w:rsid w:val="00167FB5"/>
    <w:rsid w:val="00170604"/>
    <w:rsid w:val="0017060F"/>
    <w:rsid w:val="0017093D"/>
    <w:rsid w:val="00171396"/>
    <w:rsid w:val="00171BCE"/>
    <w:rsid w:val="00171C91"/>
    <w:rsid w:val="00172081"/>
    <w:rsid w:val="0017261D"/>
    <w:rsid w:val="001728D6"/>
    <w:rsid w:val="001733E0"/>
    <w:rsid w:val="0017392C"/>
    <w:rsid w:val="00173E7C"/>
    <w:rsid w:val="001741A0"/>
    <w:rsid w:val="0017439A"/>
    <w:rsid w:val="0017566E"/>
    <w:rsid w:val="0017623A"/>
    <w:rsid w:val="001763B8"/>
    <w:rsid w:val="001772A1"/>
    <w:rsid w:val="00181452"/>
    <w:rsid w:val="0018250D"/>
    <w:rsid w:val="00182DDA"/>
    <w:rsid w:val="001838D2"/>
    <w:rsid w:val="0018405C"/>
    <w:rsid w:val="00184D24"/>
    <w:rsid w:val="001850D0"/>
    <w:rsid w:val="00185DE9"/>
    <w:rsid w:val="001877D4"/>
    <w:rsid w:val="001879FF"/>
    <w:rsid w:val="00187BEF"/>
    <w:rsid w:val="00187DF8"/>
    <w:rsid w:val="0019024F"/>
    <w:rsid w:val="00191B1E"/>
    <w:rsid w:val="00192188"/>
    <w:rsid w:val="00192409"/>
    <w:rsid w:val="00193064"/>
    <w:rsid w:val="00194339"/>
    <w:rsid w:val="001953E1"/>
    <w:rsid w:val="00195D33"/>
    <w:rsid w:val="00196546"/>
    <w:rsid w:val="00196DC0"/>
    <w:rsid w:val="001976E5"/>
    <w:rsid w:val="00197901"/>
    <w:rsid w:val="001A06C1"/>
    <w:rsid w:val="001A0D75"/>
    <w:rsid w:val="001A0F14"/>
    <w:rsid w:val="001A11B3"/>
    <w:rsid w:val="001A2B19"/>
    <w:rsid w:val="001A3153"/>
    <w:rsid w:val="001A3434"/>
    <w:rsid w:val="001A36E8"/>
    <w:rsid w:val="001A3821"/>
    <w:rsid w:val="001A3CD0"/>
    <w:rsid w:val="001A47B3"/>
    <w:rsid w:val="001A49D2"/>
    <w:rsid w:val="001A4DDD"/>
    <w:rsid w:val="001A5198"/>
    <w:rsid w:val="001A608F"/>
    <w:rsid w:val="001A714E"/>
    <w:rsid w:val="001A74B2"/>
    <w:rsid w:val="001A7BFC"/>
    <w:rsid w:val="001A7DC9"/>
    <w:rsid w:val="001B0814"/>
    <w:rsid w:val="001B11B1"/>
    <w:rsid w:val="001B1476"/>
    <w:rsid w:val="001B17AD"/>
    <w:rsid w:val="001B19CF"/>
    <w:rsid w:val="001B19D3"/>
    <w:rsid w:val="001B223B"/>
    <w:rsid w:val="001B2B8F"/>
    <w:rsid w:val="001B3333"/>
    <w:rsid w:val="001B391C"/>
    <w:rsid w:val="001B3DD1"/>
    <w:rsid w:val="001B4059"/>
    <w:rsid w:val="001B4B63"/>
    <w:rsid w:val="001B5FA5"/>
    <w:rsid w:val="001B6C4A"/>
    <w:rsid w:val="001B6DCF"/>
    <w:rsid w:val="001C105A"/>
    <w:rsid w:val="001C112A"/>
    <w:rsid w:val="001C1250"/>
    <w:rsid w:val="001C1884"/>
    <w:rsid w:val="001C2A76"/>
    <w:rsid w:val="001C38B2"/>
    <w:rsid w:val="001C3E9F"/>
    <w:rsid w:val="001C45BF"/>
    <w:rsid w:val="001C5286"/>
    <w:rsid w:val="001C6B3B"/>
    <w:rsid w:val="001C77C5"/>
    <w:rsid w:val="001C7A3C"/>
    <w:rsid w:val="001D04BE"/>
    <w:rsid w:val="001D0814"/>
    <w:rsid w:val="001D0CF2"/>
    <w:rsid w:val="001D1144"/>
    <w:rsid w:val="001D11AC"/>
    <w:rsid w:val="001D1A08"/>
    <w:rsid w:val="001D1F25"/>
    <w:rsid w:val="001D3AB5"/>
    <w:rsid w:val="001D40B6"/>
    <w:rsid w:val="001D43EB"/>
    <w:rsid w:val="001D4B3B"/>
    <w:rsid w:val="001D55E3"/>
    <w:rsid w:val="001D5F70"/>
    <w:rsid w:val="001D6139"/>
    <w:rsid w:val="001D64F0"/>
    <w:rsid w:val="001E0C8B"/>
    <w:rsid w:val="001E1607"/>
    <w:rsid w:val="001E190E"/>
    <w:rsid w:val="001E2799"/>
    <w:rsid w:val="001E434E"/>
    <w:rsid w:val="001E4BB7"/>
    <w:rsid w:val="001E62B7"/>
    <w:rsid w:val="001E64B0"/>
    <w:rsid w:val="001F04A9"/>
    <w:rsid w:val="001F0649"/>
    <w:rsid w:val="001F0AF6"/>
    <w:rsid w:val="001F1469"/>
    <w:rsid w:val="001F48CB"/>
    <w:rsid w:val="001F60AC"/>
    <w:rsid w:val="001F6AB3"/>
    <w:rsid w:val="00202924"/>
    <w:rsid w:val="002029C7"/>
    <w:rsid w:val="002031E4"/>
    <w:rsid w:val="002042F7"/>
    <w:rsid w:val="002047F4"/>
    <w:rsid w:val="00204D0E"/>
    <w:rsid w:val="00204E79"/>
    <w:rsid w:val="002054F8"/>
    <w:rsid w:val="0020553C"/>
    <w:rsid w:val="00205A2A"/>
    <w:rsid w:val="00205B7B"/>
    <w:rsid w:val="00205DD4"/>
    <w:rsid w:val="00206594"/>
    <w:rsid w:val="00206B4B"/>
    <w:rsid w:val="00206E51"/>
    <w:rsid w:val="00207CC3"/>
    <w:rsid w:val="002119C5"/>
    <w:rsid w:val="00211C96"/>
    <w:rsid w:val="00212501"/>
    <w:rsid w:val="0021305C"/>
    <w:rsid w:val="00213370"/>
    <w:rsid w:val="00214783"/>
    <w:rsid w:val="00214B7D"/>
    <w:rsid w:val="002153C6"/>
    <w:rsid w:val="00215F33"/>
    <w:rsid w:val="002160F9"/>
    <w:rsid w:val="00216748"/>
    <w:rsid w:val="00216796"/>
    <w:rsid w:val="00216A29"/>
    <w:rsid w:val="00216B28"/>
    <w:rsid w:val="00217522"/>
    <w:rsid w:val="00220A89"/>
    <w:rsid w:val="00220F0A"/>
    <w:rsid w:val="00221A8C"/>
    <w:rsid w:val="00221AD8"/>
    <w:rsid w:val="002223BA"/>
    <w:rsid w:val="00222974"/>
    <w:rsid w:val="00222F99"/>
    <w:rsid w:val="00223279"/>
    <w:rsid w:val="00223D09"/>
    <w:rsid w:val="002244E7"/>
    <w:rsid w:val="00224959"/>
    <w:rsid w:val="00225A86"/>
    <w:rsid w:val="00225E88"/>
    <w:rsid w:val="002260FC"/>
    <w:rsid w:val="00230501"/>
    <w:rsid w:val="00230CF6"/>
    <w:rsid w:val="00230F77"/>
    <w:rsid w:val="0023120F"/>
    <w:rsid w:val="00231C5A"/>
    <w:rsid w:val="00233301"/>
    <w:rsid w:val="00233D54"/>
    <w:rsid w:val="00233DB8"/>
    <w:rsid w:val="00233DE8"/>
    <w:rsid w:val="0023403F"/>
    <w:rsid w:val="002351B5"/>
    <w:rsid w:val="002360C6"/>
    <w:rsid w:val="00236498"/>
    <w:rsid w:val="002368C5"/>
    <w:rsid w:val="00236D71"/>
    <w:rsid w:val="00236E98"/>
    <w:rsid w:val="0024035A"/>
    <w:rsid w:val="002404D6"/>
    <w:rsid w:val="002404F9"/>
    <w:rsid w:val="002406BA"/>
    <w:rsid w:val="00240B68"/>
    <w:rsid w:val="00240B75"/>
    <w:rsid w:val="00240D22"/>
    <w:rsid w:val="002413F1"/>
    <w:rsid w:val="00241B57"/>
    <w:rsid w:val="00241CE1"/>
    <w:rsid w:val="0024301E"/>
    <w:rsid w:val="00244B11"/>
    <w:rsid w:val="00244C9C"/>
    <w:rsid w:val="002451F3"/>
    <w:rsid w:val="00245542"/>
    <w:rsid w:val="00245677"/>
    <w:rsid w:val="00245A5C"/>
    <w:rsid w:val="0024677A"/>
    <w:rsid w:val="00246F36"/>
    <w:rsid w:val="002500FA"/>
    <w:rsid w:val="00250E6B"/>
    <w:rsid w:val="00250ED4"/>
    <w:rsid w:val="00250F11"/>
    <w:rsid w:val="00251679"/>
    <w:rsid w:val="00251E37"/>
    <w:rsid w:val="0025208B"/>
    <w:rsid w:val="002524A7"/>
    <w:rsid w:val="00254B8F"/>
    <w:rsid w:val="00254B97"/>
    <w:rsid w:val="0025511C"/>
    <w:rsid w:val="00255F6C"/>
    <w:rsid w:val="00256B03"/>
    <w:rsid w:val="00257E2C"/>
    <w:rsid w:val="00260181"/>
    <w:rsid w:val="002603D4"/>
    <w:rsid w:val="00261137"/>
    <w:rsid w:val="00261A1E"/>
    <w:rsid w:val="00262640"/>
    <w:rsid w:val="00262974"/>
    <w:rsid w:val="0026324C"/>
    <w:rsid w:val="0026451D"/>
    <w:rsid w:val="0026471E"/>
    <w:rsid w:val="00264A42"/>
    <w:rsid w:val="002657BB"/>
    <w:rsid w:val="00265EDA"/>
    <w:rsid w:val="0026705E"/>
    <w:rsid w:val="0026754D"/>
    <w:rsid w:val="002701C3"/>
    <w:rsid w:val="002735CE"/>
    <w:rsid w:val="0027381E"/>
    <w:rsid w:val="00274032"/>
    <w:rsid w:val="00274AF2"/>
    <w:rsid w:val="00275487"/>
    <w:rsid w:val="0027631D"/>
    <w:rsid w:val="00276D74"/>
    <w:rsid w:val="002770D5"/>
    <w:rsid w:val="00277564"/>
    <w:rsid w:val="00277B32"/>
    <w:rsid w:val="002805CD"/>
    <w:rsid w:val="0028154E"/>
    <w:rsid w:val="0028288D"/>
    <w:rsid w:val="00283951"/>
    <w:rsid w:val="00284049"/>
    <w:rsid w:val="00284546"/>
    <w:rsid w:val="00284CC8"/>
    <w:rsid w:val="0028552E"/>
    <w:rsid w:val="00286C19"/>
    <w:rsid w:val="00290640"/>
    <w:rsid w:val="00290849"/>
    <w:rsid w:val="002909C8"/>
    <w:rsid w:val="00291518"/>
    <w:rsid w:val="00293B19"/>
    <w:rsid w:val="00293BD4"/>
    <w:rsid w:val="00293DC0"/>
    <w:rsid w:val="0029466B"/>
    <w:rsid w:val="00295119"/>
    <w:rsid w:val="002961F0"/>
    <w:rsid w:val="0029677F"/>
    <w:rsid w:val="00296F7C"/>
    <w:rsid w:val="002979AC"/>
    <w:rsid w:val="00297A16"/>
    <w:rsid w:val="00297DC8"/>
    <w:rsid w:val="002A006A"/>
    <w:rsid w:val="002A03C0"/>
    <w:rsid w:val="002A048A"/>
    <w:rsid w:val="002A0A01"/>
    <w:rsid w:val="002A1B41"/>
    <w:rsid w:val="002A37F0"/>
    <w:rsid w:val="002A3D0D"/>
    <w:rsid w:val="002A3ED8"/>
    <w:rsid w:val="002A4545"/>
    <w:rsid w:val="002A4875"/>
    <w:rsid w:val="002A5277"/>
    <w:rsid w:val="002A549E"/>
    <w:rsid w:val="002A5EEF"/>
    <w:rsid w:val="002A606F"/>
    <w:rsid w:val="002A6311"/>
    <w:rsid w:val="002A6970"/>
    <w:rsid w:val="002A6D3E"/>
    <w:rsid w:val="002A7088"/>
    <w:rsid w:val="002A70CC"/>
    <w:rsid w:val="002B0ABF"/>
    <w:rsid w:val="002B0BD1"/>
    <w:rsid w:val="002B1BBE"/>
    <w:rsid w:val="002B241A"/>
    <w:rsid w:val="002B2469"/>
    <w:rsid w:val="002B2A61"/>
    <w:rsid w:val="002B2C21"/>
    <w:rsid w:val="002B2CDE"/>
    <w:rsid w:val="002B36DD"/>
    <w:rsid w:val="002B504F"/>
    <w:rsid w:val="002B5334"/>
    <w:rsid w:val="002B593F"/>
    <w:rsid w:val="002B59D0"/>
    <w:rsid w:val="002B5A3B"/>
    <w:rsid w:val="002B62B9"/>
    <w:rsid w:val="002B6A01"/>
    <w:rsid w:val="002B768D"/>
    <w:rsid w:val="002C00C3"/>
    <w:rsid w:val="002C085F"/>
    <w:rsid w:val="002C0927"/>
    <w:rsid w:val="002C1EF5"/>
    <w:rsid w:val="002C2BBF"/>
    <w:rsid w:val="002C2E25"/>
    <w:rsid w:val="002C2FE2"/>
    <w:rsid w:val="002C3063"/>
    <w:rsid w:val="002C3D62"/>
    <w:rsid w:val="002C542F"/>
    <w:rsid w:val="002C5C09"/>
    <w:rsid w:val="002C631E"/>
    <w:rsid w:val="002C68CE"/>
    <w:rsid w:val="002C691A"/>
    <w:rsid w:val="002C6ED4"/>
    <w:rsid w:val="002C6F80"/>
    <w:rsid w:val="002C71CD"/>
    <w:rsid w:val="002C75A6"/>
    <w:rsid w:val="002C7FF3"/>
    <w:rsid w:val="002D1D4B"/>
    <w:rsid w:val="002D1E60"/>
    <w:rsid w:val="002D22F8"/>
    <w:rsid w:val="002D2BFB"/>
    <w:rsid w:val="002D2F7C"/>
    <w:rsid w:val="002D3CBA"/>
    <w:rsid w:val="002D407F"/>
    <w:rsid w:val="002D4523"/>
    <w:rsid w:val="002D4E90"/>
    <w:rsid w:val="002D5378"/>
    <w:rsid w:val="002D5B24"/>
    <w:rsid w:val="002D6235"/>
    <w:rsid w:val="002D671D"/>
    <w:rsid w:val="002D7E87"/>
    <w:rsid w:val="002E036A"/>
    <w:rsid w:val="002E0578"/>
    <w:rsid w:val="002E0E24"/>
    <w:rsid w:val="002E0E6C"/>
    <w:rsid w:val="002E2716"/>
    <w:rsid w:val="002E2D11"/>
    <w:rsid w:val="002E3055"/>
    <w:rsid w:val="002E33C0"/>
    <w:rsid w:val="002E3CB0"/>
    <w:rsid w:val="002E71EC"/>
    <w:rsid w:val="002F0A7B"/>
    <w:rsid w:val="002F1D93"/>
    <w:rsid w:val="002F1DF8"/>
    <w:rsid w:val="002F26EC"/>
    <w:rsid w:val="002F2C1F"/>
    <w:rsid w:val="002F3CD2"/>
    <w:rsid w:val="002F49A9"/>
    <w:rsid w:val="002F4B62"/>
    <w:rsid w:val="002F5152"/>
    <w:rsid w:val="002F6B69"/>
    <w:rsid w:val="003005CA"/>
    <w:rsid w:val="0030112A"/>
    <w:rsid w:val="003017F0"/>
    <w:rsid w:val="0030235B"/>
    <w:rsid w:val="00302872"/>
    <w:rsid w:val="00302A01"/>
    <w:rsid w:val="00302D29"/>
    <w:rsid w:val="0030541C"/>
    <w:rsid w:val="00305CB6"/>
    <w:rsid w:val="00306DBB"/>
    <w:rsid w:val="003101A9"/>
    <w:rsid w:val="00310439"/>
    <w:rsid w:val="00310541"/>
    <w:rsid w:val="003113BF"/>
    <w:rsid w:val="0031165B"/>
    <w:rsid w:val="003117F8"/>
    <w:rsid w:val="00311B02"/>
    <w:rsid w:val="0031373C"/>
    <w:rsid w:val="00313A8A"/>
    <w:rsid w:val="00314562"/>
    <w:rsid w:val="00314940"/>
    <w:rsid w:val="00314B0A"/>
    <w:rsid w:val="003159FA"/>
    <w:rsid w:val="00315E8D"/>
    <w:rsid w:val="00316A81"/>
    <w:rsid w:val="00317757"/>
    <w:rsid w:val="00320048"/>
    <w:rsid w:val="003201B2"/>
    <w:rsid w:val="00321063"/>
    <w:rsid w:val="003218F2"/>
    <w:rsid w:val="00322E8F"/>
    <w:rsid w:val="003238A3"/>
    <w:rsid w:val="00323BDD"/>
    <w:rsid w:val="00324BC4"/>
    <w:rsid w:val="0032502B"/>
    <w:rsid w:val="003250A4"/>
    <w:rsid w:val="00325F15"/>
    <w:rsid w:val="003260F9"/>
    <w:rsid w:val="00327F3B"/>
    <w:rsid w:val="003306AF"/>
    <w:rsid w:val="003306B6"/>
    <w:rsid w:val="00331AD4"/>
    <w:rsid w:val="003337D6"/>
    <w:rsid w:val="00333BAD"/>
    <w:rsid w:val="003348B3"/>
    <w:rsid w:val="00334D91"/>
    <w:rsid w:val="003351AE"/>
    <w:rsid w:val="003352F1"/>
    <w:rsid w:val="00335B13"/>
    <w:rsid w:val="00335DE7"/>
    <w:rsid w:val="003362CF"/>
    <w:rsid w:val="00337F60"/>
    <w:rsid w:val="003401F4"/>
    <w:rsid w:val="00340231"/>
    <w:rsid w:val="0034042C"/>
    <w:rsid w:val="00341A75"/>
    <w:rsid w:val="00341CFE"/>
    <w:rsid w:val="00342984"/>
    <w:rsid w:val="00342DF6"/>
    <w:rsid w:val="0034345D"/>
    <w:rsid w:val="00343683"/>
    <w:rsid w:val="00343771"/>
    <w:rsid w:val="003440E5"/>
    <w:rsid w:val="00344FED"/>
    <w:rsid w:val="003454C2"/>
    <w:rsid w:val="003470F1"/>
    <w:rsid w:val="003500F9"/>
    <w:rsid w:val="00350C24"/>
    <w:rsid w:val="00351129"/>
    <w:rsid w:val="00351CEC"/>
    <w:rsid w:val="00352BC0"/>
    <w:rsid w:val="00352DA4"/>
    <w:rsid w:val="00354197"/>
    <w:rsid w:val="003548D5"/>
    <w:rsid w:val="00356929"/>
    <w:rsid w:val="00357070"/>
    <w:rsid w:val="003579DC"/>
    <w:rsid w:val="00360B3A"/>
    <w:rsid w:val="00360C07"/>
    <w:rsid w:val="0036274A"/>
    <w:rsid w:val="003628D4"/>
    <w:rsid w:val="003631A2"/>
    <w:rsid w:val="00363C3A"/>
    <w:rsid w:val="003641AF"/>
    <w:rsid w:val="0036499D"/>
    <w:rsid w:val="003651AA"/>
    <w:rsid w:val="00365648"/>
    <w:rsid w:val="00366F41"/>
    <w:rsid w:val="00370414"/>
    <w:rsid w:val="00370FEA"/>
    <w:rsid w:val="00371228"/>
    <w:rsid w:val="003714D6"/>
    <w:rsid w:val="00371DBA"/>
    <w:rsid w:val="003727E2"/>
    <w:rsid w:val="003728EA"/>
    <w:rsid w:val="00372A57"/>
    <w:rsid w:val="00372DD2"/>
    <w:rsid w:val="003745D4"/>
    <w:rsid w:val="00375B59"/>
    <w:rsid w:val="00376EA7"/>
    <w:rsid w:val="00380280"/>
    <w:rsid w:val="003802BF"/>
    <w:rsid w:val="00381ECE"/>
    <w:rsid w:val="00381EFD"/>
    <w:rsid w:val="0038280A"/>
    <w:rsid w:val="00382BE7"/>
    <w:rsid w:val="003831FE"/>
    <w:rsid w:val="003836F9"/>
    <w:rsid w:val="00383B70"/>
    <w:rsid w:val="00383B93"/>
    <w:rsid w:val="00384538"/>
    <w:rsid w:val="003853B4"/>
    <w:rsid w:val="0038559A"/>
    <w:rsid w:val="00385BDE"/>
    <w:rsid w:val="0038665B"/>
    <w:rsid w:val="0038676F"/>
    <w:rsid w:val="003868AB"/>
    <w:rsid w:val="00387842"/>
    <w:rsid w:val="0039230B"/>
    <w:rsid w:val="003926A7"/>
    <w:rsid w:val="00392E4B"/>
    <w:rsid w:val="00392EB1"/>
    <w:rsid w:val="003932CD"/>
    <w:rsid w:val="003937E7"/>
    <w:rsid w:val="0039399F"/>
    <w:rsid w:val="00394171"/>
    <w:rsid w:val="003948FE"/>
    <w:rsid w:val="00397642"/>
    <w:rsid w:val="00397EF3"/>
    <w:rsid w:val="003A00DF"/>
    <w:rsid w:val="003A1D6F"/>
    <w:rsid w:val="003A41C1"/>
    <w:rsid w:val="003A5931"/>
    <w:rsid w:val="003A5CDD"/>
    <w:rsid w:val="003A5F11"/>
    <w:rsid w:val="003A6104"/>
    <w:rsid w:val="003A631C"/>
    <w:rsid w:val="003A643A"/>
    <w:rsid w:val="003A6B92"/>
    <w:rsid w:val="003A79D0"/>
    <w:rsid w:val="003A7C55"/>
    <w:rsid w:val="003B01AA"/>
    <w:rsid w:val="003B072E"/>
    <w:rsid w:val="003B110D"/>
    <w:rsid w:val="003B1B97"/>
    <w:rsid w:val="003B226A"/>
    <w:rsid w:val="003B2644"/>
    <w:rsid w:val="003B3332"/>
    <w:rsid w:val="003B3C9B"/>
    <w:rsid w:val="003B3D29"/>
    <w:rsid w:val="003B4C3F"/>
    <w:rsid w:val="003B51A5"/>
    <w:rsid w:val="003B5EDB"/>
    <w:rsid w:val="003B6491"/>
    <w:rsid w:val="003B7D4B"/>
    <w:rsid w:val="003B7DCF"/>
    <w:rsid w:val="003C1ECE"/>
    <w:rsid w:val="003C3530"/>
    <w:rsid w:val="003C373E"/>
    <w:rsid w:val="003C3D1D"/>
    <w:rsid w:val="003C5A24"/>
    <w:rsid w:val="003C698B"/>
    <w:rsid w:val="003C6C32"/>
    <w:rsid w:val="003C7128"/>
    <w:rsid w:val="003C7DD6"/>
    <w:rsid w:val="003D04C3"/>
    <w:rsid w:val="003D0BE3"/>
    <w:rsid w:val="003D1516"/>
    <w:rsid w:val="003D24C5"/>
    <w:rsid w:val="003D3415"/>
    <w:rsid w:val="003D608C"/>
    <w:rsid w:val="003D692F"/>
    <w:rsid w:val="003D6A1F"/>
    <w:rsid w:val="003E0598"/>
    <w:rsid w:val="003E0FFD"/>
    <w:rsid w:val="003E1847"/>
    <w:rsid w:val="003E3FC6"/>
    <w:rsid w:val="003E5D7B"/>
    <w:rsid w:val="003E5F29"/>
    <w:rsid w:val="003E73F6"/>
    <w:rsid w:val="003E7591"/>
    <w:rsid w:val="003F00CA"/>
    <w:rsid w:val="003F092C"/>
    <w:rsid w:val="003F0C0D"/>
    <w:rsid w:val="003F17D3"/>
    <w:rsid w:val="003F2A60"/>
    <w:rsid w:val="003F2E2A"/>
    <w:rsid w:val="003F341E"/>
    <w:rsid w:val="003F3874"/>
    <w:rsid w:val="003F40DD"/>
    <w:rsid w:val="003F429E"/>
    <w:rsid w:val="003F61DE"/>
    <w:rsid w:val="003F6E58"/>
    <w:rsid w:val="003F78A5"/>
    <w:rsid w:val="00400350"/>
    <w:rsid w:val="00400E4A"/>
    <w:rsid w:val="0040135E"/>
    <w:rsid w:val="0040283C"/>
    <w:rsid w:val="00402A53"/>
    <w:rsid w:val="00404BAE"/>
    <w:rsid w:val="004052A7"/>
    <w:rsid w:val="00405681"/>
    <w:rsid w:val="00405DB5"/>
    <w:rsid w:val="00406991"/>
    <w:rsid w:val="004079E8"/>
    <w:rsid w:val="00407BBE"/>
    <w:rsid w:val="00407C01"/>
    <w:rsid w:val="00410E42"/>
    <w:rsid w:val="00411DA6"/>
    <w:rsid w:val="0041227F"/>
    <w:rsid w:val="0041321B"/>
    <w:rsid w:val="00413798"/>
    <w:rsid w:val="00415B2B"/>
    <w:rsid w:val="00416EAF"/>
    <w:rsid w:val="00422B38"/>
    <w:rsid w:val="00423085"/>
    <w:rsid w:val="00423B58"/>
    <w:rsid w:val="00424CE4"/>
    <w:rsid w:val="0042554A"/>
    <w:rsid w:val="0042585A"/>
    <w:rsid w:val="00426AA5"/>
    <w:rsid w:val="00427153"/>
    <w:rsid w:val="0042796E"/>
    <w:rsid w:val="00427E7D"/>
    <w:rsid w:val="00430770"/>
    <w:rsid w:val="004312CB"/>
    <w:rsid w:val="00433AE1"/>
    <w:rsid w:val="00433DFA"/>
    <w:rsid w:val="00434444"/>
    <w:rsid w:val="00434654"/>
    <w:rsid w:val="00434B60"/>
    <w:rsid w:val="00434E66"/>
    <w:rsid w:val="00435325"/>
    <w:rsid w:val="004356D2"/>
    <w:rsid w:val="00436A94"/>
    <w:rsid w:val="0043768B"/>
    <w:rsid w:val="00437CD4"/>
    <w:rsid w:val="00440639"/>
    <w:rsid w:val="004411EB"/>
    <w:rsid w:val="004416B0"/>
    <w:rsid w:val="00442221"/>
    <w:rsid w:val="00443B0C"/>
    <w:rsid w:val="00443B67"/>
    <w:rsid w:val="00444FEB"/>
    <w:rsid w:val="00445441"/>
    <w:rsid w:val="004467E9"/>
    <w:rsid w:val="0044696E"/>
    <w:rsid w:val="004470B1"/>
    <w:rsid w:val="00450155"/>
    <w:rsid w:val="004507AF"/>
    <w:rsid w:val="0045087B"/>
    <w:rsid w:val="004510C9"/>
    <w:rsid w:val="0045245A"/>
    <w:rsid w:val="004534D7"/>
    <w:rsid w:val="00453978"/>
    <w:rsid w:val="00457621"/>
    <w:rsid w:val="00461119"/>
    <w:rsid w:val="00461209"/>
    <w:rsid w:val="0046186C"/>
    <w:rsid w:val="00461980"/>
    <w:rsid w:val="00462301"/>
    <w:rsid w:val="004632D0"/>
    <w:rsid w:val="00463613"/>
    <w:rsid w:val="00464360"/>
    <w:rsid w:val="0046442B"/>
    <w:rsid w:val="004646EA"/>
    <w:rsid w:val="0046474C"/>
    <w:rsid w:val="00464B3B"/>
    <w:rsid w:val="004650CD"/>
    <w:rsid w:val="00465448"/>
    <w:rsid w:val="00465584"/>
    <w:rsid w:val="00465B18"/>
    <w:rsid w:val="00465EC1"/>
    <w:rsid w:val="00466233"/>
    <w:rsid w:val="00466D20"/>
    <w:rsid w:val="00467D89"/>
    <w:rsid w:val="00470200"/>
    <w:rsid w:val="00470A45"/>
    <w:rsid w:val="00470AFD"/>
    <w:rsid w:val="00470D92"/>
    <w:rsid w:val="00471391"/>
    <w:rsid w:val="00472011"/>
    <w:rsid w:val="00472420"/>
    <w:rsid w:val="004745B8"/>
    <w:rsid w:val="004752CB"/>
    <w:rsid w:val="004759C2"/>
    <w:rsid w:val="00476206"/>
    <w:rsid w:val="004763DC"/>
    <w:rsid w:val="004764B3"/>
    <w:rsid w:val="004772EB"/>
    <w:rsid w:val="00480B3F"/>
    <w:rsid w:val="00481307"/>
    <w:rsid w:val="0048150F"/>
    <w:rsid w:val="0048186F"/>
    <w:rsid w:val="00481DDE"/>
    <w:rsid w:val="0048232C"/>
    <w:rsid w:val="004828C0"/>
    <w:rsid w:val="004828DA"/>
    <w:rsid w:val="004842FF"/>
    <w:rsid w:val="004845B0"/>
    <w:rsid w:val="00485292"/>
    <w:rsid w:val="004859D0"/>
    <w:rsid w:val="00485A37"/>
    <w:rsid w:val="00487A3F"/>
    <w:rsid w:val="00487C86"/>
    <w:rsid w:val="00492055"/>
    <w:rsid w:val="00492F7C"/>
    <w:rsid w:val="00493D1E"/>
    <w:rsid w:val="00494D78"/>
    <w:rsid w:val="004954AE"/>
    <w:rsid w:val="004958DD"/>
    <w:rsid w:val="00495A85"/>
    <w:rsid w:val="00495E4D"/>
    <w:rsid w:val="004964BA"/>
    <w:rsid w:val="00497054"/>
    <w:rsid w:val="0049709C"/>
    <w:rsid w:val="0049765B"/>
    <w:rsid w:val="004A0A25"/>
    <w:rsid w:val="004A0BCD"/>
    <w:rsid w:val="004A0D20"/>
    <w:rsid w:val="004A12B1"/>
    <w:rsid w:val="004A12D0"/>
    <w:rsid w:val="004A14D1"/>
    <w:rsid w:val="004A2C08"/>
    <w:rsid w:val="004A2D87"/>
    <w:rsid w:val="004A375A"/>
    <w:rsid w:val="004A4652"/>
    <w:rsid w:val="004A5CA2"/>
    <w:rsid w:val="004A6CF4"/>
    <w:rsid w:val="004A70BD"/>
    <w:rsid w:val="004A7843"/>
    <w:rsid w:val="004B00FE"/>
    <w:rsid w:val="004B240F"/>
    <w:rsid w:val="004B3F2A"/>
    <w:rsid w:val="004B4E0E"/>
    <w:rsid w:val="004B5040"/>
    <w:rsid w:val="004B5A64"/>
    <w:rsid w:val="004B5CCF"/>
    <w:rsid w:val="004B696C"/>
    <w:rsid w:val="004B6C54"/>
    <w:rsid w:val="004B707E"/>
    <w:rsid w:val="004B72BC"/>
    <w:rsid w:val="004B756F"/>
    <w:rsid w:val="004C00C3"/>
    <w:rsid w:val="004C065D"/>
    <w:rsid w:val="004C0CB4"/>
    <w:rsid w:val="004C36D9"/>
    <w:rsid w:val="004C3DBA"/>
    <w:rsid w:val="004C3E4C"/>
    <w:rsid w:val="004C3E8E"/>
    <w:rsid w:val="004C41A7"/>
    <w:rsid w:val="004C4573"/>
    <w:rsid w:val="004C4D66"/>
    <w:rsid w:val="004C5D43"/>
    <w:rsid w:val="004C6700"/>
    <w:rsid w:val="004C6BE0"/>
    <w:rsid w:val="004C7188"/>
    <w:rsid w:val="004C778A"/>
    <w:rsid w:val="004D13AA"/>
    <w:rsid w:val="004D1A47"/>
    <w:rsid w:val="004D21EF"/>
    <w:rsid w:val="004D2917"/>
    <w:rsid w:val="004D2C50"/>
    <w:rsid w:val="004D3B37"/>
    <w:rsid w:val="004D6A3C"/>
    <w:rsid w:val="004E082F"/>
    <w:rsid w:val="004E11D6"/>
    <w:rsid w:val="004E1A73"/>
    <w:rsid w:val="004E1A87"/>
    <w:rsid w:val="004E20BC"/>
    <w:rsid w:val="004E20F1"/>
    <w:rsid w:val="004E2548"/>
    <w:rsid w:val="004E2624"/>
    <w:rsid w:val="004E2AA1"/>
    <w:rsid w:val="004E324B"/>
    <w:rsid w:val="004E3E88"/>
    <w:rsid w:val="004E465C"/>
    <w:rsid w:val="004E4F2A"/>
    <w:rsid w:val="004E4FFE"/>
    <w:rsid w:val="004E519A"/>
    <w:rsid w:val="004E5B22"/>
    <w:rsid w:val="004E678F"/>
    <w:rsid w:val="004E67F5"/>
    <w:rsid w:val="004E70C7"/>
    <w:rsid w:val="004E74A7"/>
    <w:rsid w:val="004E7714"/>
    <w:rsid w:val="004F04A0"/>
    <w:rsid w:val="004F0B40"/>
    <w:rsid w:val="004F13A0"/>
    <w:rsid w:val="004F1CCF"/>
    <w:rsid w:val="004F1EA3"/>
    <w:rsid w:val="004F315F"/>
    <w:rsid w:val="004F377D"/>
    <w:rsid w:val="004F393E"/>
    <w:rsid w:val="004F45EA"/>
    <w:rsid w:val="004F4960"/>
    <w:rsid w:val="004F4D69"/>
    <w:rsid w:val="004F5EA1"/>
    <w:rsid w:val="004F631C"/>
    <w:rsid w:val="004F6DFD"/>
    <w:rsid w:val="004F6EE7"/>
    <w:rsid w:val="004F6FF0"/>
    <w:rsid w:val="004F7AAA"/>
    <w:rsid w:val="004F7B97"/>
    <w:rsid w:val="00500082"/>
    <w:rsid w:val="005003B8"/>
    <w:rsid w:val="00501494"/>
    <w:rsid w:val="0050179B"/>
    <w:rsid w:val="00501BA2"/>
    <w:rsid w:val="00501F69"/>
    <w:rsid w:val="005020B2"/>
    <w:rsid w:val="00502BAC"/>
    <w:rsid w:val="0050332A"/>
    <w:rsid w:val="005037E9"/>
    <w:rsid w:val="00504655"/>
    <w:rsid w:val="00505B17"/>
    <w:rsid w:val="00505D80"/>
    <w:rsid w:val="00505DE0"/>
    <w:rsid w:val="00506800"/>
    <w:rsid w:val="00506E34"/>
    <w:rsid w:val="00510285"/>
    <w:rsid w:val="005105DF"/>
    <w:rsid w:val="0051079E"/>
    <w:rsid w:val="00511487"/>
    <w:rsid w:val="005116FD"/>
    <w:rsid w:val="00511B3C"/>
    <w:rsid w:val="00511F0F"/>
    <w:rsid w:val="00512044"/>
    <w:rsid w:val="005128AE"/>
    <w:rsid w:val="00513C95"/>
    <w:rsid w:val="00514619"/>
    <w:rsid w:val="00515B91"/>
    <w:rsid w:val="00515FD8"/>
    <w:rsid w:val="00515FE2"/>
    <w:rsid w:val="00516DB1"/>
    <w:rsid w:val="00516FCF"/>
    <w:rsid w:val="00517F1D"/>
    <w:rsid w:val="00521203"/>
    <w:rsid w:val="005215AD"/>
    <w:rsid w:val="0052191B"/>
    <w:rsid w:val="00522E2F"/>
    <w:rsid w:val="00523A01"/>
    <w:rsid w:val="00523F2C"/>
    <w:rsid w:val="00524B7A"/>
    <w:rsid w:val="005263C4"/>
    <w:rsid w:val="00526E5A"/>
    <w:rsid w:val="00530697"/>
    <w:rsid w:val="0053085A"/>
    <w:rsid w:val="00530B0A"/>
    <w:rsid w:val="00531173"/>
    <w:rsid w:val="0053157C"/>
    <w:rsid w:val="005321A8"/>
    <w:rsid w:val="005327D3"/>
    <w:rsid w:val="00533CF4"/>
    <w:rsid w:val="00534F80"/>
    <w:rsid w:val="005351F9"/>
    <w:rsid w:val="00535482"/>
    <w:rsid w:val="0053576B"/>
    <w:rsid w:val="005359B8"/>
    <w:rsid w:val="00536A3B"/>
    <w:rsid w:val="00536D69"/>
    <w:rsid w:val="005370C0"/>
    <w:rsid w:val="00537579"/>
    <w:rsid w:val="00540866"/>
    <w:rsid w:val="005432C9"/>
    <w:rsid w:val="005436B2"/>
    <w:rsid w:val="0054389C"/>
    <w:rsid w:val="00543993"/>
    <w:rsid w:val="00544B7E"/>
    <w:rsid w:val="00544D98"/>
    <w:rsid w:val="00545722"/>
    <w:rsid w:val="00550794"/>
    <w:rsid w:val="00550B9F"/>
    <w:rsid w:val="00550E71"/>
    <w:rsid w:val="005510E7"/>
    <w:rsid w:val="005513AC"/>
    <w:rsid w:val="00551728"/>
    <w:rsid w:val="005524AA"/>
    <w:rsid w:val="0055346F"/>
    <w:rsid w:val="00553AAC"/>
    <w:rsid w:val="00553DD9"/>
    <w:rsid w:val="00553FE8"/>
    <w:rsid w:val="00554042"/>
    <w:rsid w:val="005548AB"/>
    <w:rsid w:val="00557076"/>
    <w:rsid w:val="005574B7"/>
    <w:rsid w:val="00561315"/>
    <w:rsid w:val="00561C5A"/>
    <w:rsid w:val="005632DE"/>
    <w:rsid w:val="005639D5"/>
    <w:rsid w:val="00565BC2"/>
    <w:rsid w:val="00566796"/>
    <w:rsid w:val="0056697C"/>
    <w:rsid w:val="00566BEC"/>
    <w:rsid w:val="00570B54"/>
    <w:rsid w:val="00570F81"/>
    <w:rsid w:val="00571B79"/>
    <w:rsid w:val="00571E0F"/>
    <w:rsid w:val="00573968"/>
    <w:rsid w:val="00575464"/>
    <w:rsid w:val="005755A3"/>
    <w:rsid w:val="0057572B"/>
    <w:rsid w:val="00575BDB"/>
    <w:rsid w:val="00575E48"/>
    <w:rsid w:val="00575ECC"/>
    <w:rsid w:val="00575F0F"/>
    <w:rsid w:val="00576560"/>
    <w:rsid w:val="00576E72"/>
    <w:rsid w:val="0057703B"/>
    <w:rsid w:val="00577DFE"/>
    <w:rsid w:val="00580000"/>
    <w:rsid w:val="00580A95"/>
    <w:rsid w:val="00580EA7"/>
    <w:rsid w:val="00582FD7"/>
    <w:rsid w:val="0058378B"/>
    <w:rsid w:val="00583B25"/>
    <w:rsid w:val="00584533"/>
    <w:rsid w:val="00584ED0"/>
    <w:rsid w:val="005856C6"/>
    <w:rsid w:val="00587313"/>
    <w:rsid w:val="0058784F"/>
    <w:rsid w:val="00587CB4"/>
    <w:rsid w:val="00587EC5"/>
    <w:rsid w:val="00590568"/>
    <w:rsid w:val="00590586"/>
    <w:rsid w:val="00590C7C"/>
    <w:rsid w:val="00590DC1"/>
    <w:rsid w:val="00591B6C"/>
    <w:rsid w:val="00591FC0"/>
    <w:rsid w:val="00595028"/>
    <w:rsid w:val="00595CA9"/>
    <w:rsid w:val="00595EE8"/>
    <w:rsid w:val="00596B6D"/>
    <w:rsid w:val="005A0FEF"/>
    <w:rsid w:val="005A102C"/>
    <w:rsid w:val="005A16B3"/>
    <w:rsid w:val="005A1E9D"/>
    <w:rsid w:val="005A210B"/>
    <w:rsid w:val="005A3C24"/>
    <w:rsid w:val="005A3D3A"/>
    <w:rsid w:val="005A4AE7"/>
    <w:rsid w:val="005A4BE3"/>
    <w:rsid w:val="005A4FB4"/>
    <w:rsid w:val="005A5A48"/>
    <w:rsid w:val="005A5F80"/>
    <w:rsid w:val="005A72D3"/>
    <w:rsid w:val="005A7937"/>
    <w:rsid w:val="005B1A74"/>
    <w:rsid w:val="005B1AFE"/>
    <w:rsid w:val="005B2574"/>
    <w:rsid w:val="005B2AAF"/>
    <w:rsid w:val="005B56A1"/>
    <w:rsid w:val="005B6CF6"/>
    <w:rsid w:val="005B6DFF"/>
    <w:rsid w:val="005B739F"/>
    <w:rsid w:val="005C0F76"/>
    <w:rsid w:val="005C1862"/>
    <w:rsid w:val="005C228B"/>
    <w:rsid w:val="005C24CB"/>
    <w:rsid w:val="005C2512"/>
    <w:rsid w:val="005C284C"/>
    <w:rsid w:val="005C320C"/>
    <w:rsid w:val="005C3A39"/>
    <w:rsid w:val="005C420F"/>
    <w:rsid w:val="005C4A14"/>
    <w:rsid w:val="005C574E"/>
    <w:rsid w:val="005C5EB2"/>
    <w:rsid w:val="005C689A"/>
    <w:rsid w:val="005C6EE0"/>
    <w:rsid w:val="005C703A"/>
    <w:rsid w:val="005C70C4"/>
    <w:rsid w:val="005C7A97"/>
    <w:rsid w:val="005D108E"/>
    <w:rsid w:val="005D24B9"/>
    <w:rsid w:val="005D2BB0"/>
    <w:rsid w:val="005D2BB3"/>
    <w:rsid w:val="005D43B0"/>
    <w:rsid w:val="005D4703"/>
    <w:rsid w:val="005D4976"/>
    <w:rsid w:val="005D4FB3"/>
    <w:rsid w:val="005D5770"/>
    <w:rsid w:val="005D5EF4"/>
    <w:rsid w:val="005D646A"/>
    <w:rsid w:val="005D7A0B"/>
    <w:rsid w:val="005E087B"/>
    <w:rsid w:val="005E1A3B"/>
    <w:rsid w:val="005E1EC6"/>
    <w:rsid w:val="005E2FAB"/>
    <w:rsid w:val="005E3419"/>
    <w:rsid w:val="005E40B5"/>
    <w:rsid w:val="005E41BF"/>
    <w:rsid w:val="005E663D"/>
    <w:rsid w:val="005E6E2B"/>
    <w:rsid w:val="005E717D"/>
    <w:rsid w:val="005F06C3"/>
    <w:rsid w:val="005F0C50"/>
    <w:rsid w:val="005F1001"/>
    <w:rsid w:val="005F11E8"/>
    <w:rsid w:val="005F229B"/>
    <w:rsid w:val="005F25F9"/>
    <w:rsid w:val="005F48B2"/>
    <w:rsid w:val="005F4B59"/>
    <w:rsid w:val="005F4E6C"/>
    <w:rsid w:val="005F5D96"/>
    <w:rsid w:val="005F7264"/>
    <w:rsid w:val="005F7454"/>
    <w:rsid w:val="005F7E51"/>
    <w:rsid w:val="00600630"/>
    <w:rsid w:val="0060126E"/>
    <w:rsid w:val="00601273"/>
    <w:rsid w:val="006023FB"/>
    <w:rsid w:val="006025C3"/>
    <w:rsid w:val="00602A17"/>
    <w:rsid w:val="00602FA9"/>
    <w:rsid w:val="00603E75"/>
    <w:rsid w:val="006040E9"/>
    <w:rsid w:val="0060476A"/>
    <w:rsid w:val="00606479"/>
    <w:rsid w:val="0060664D"/>
    <w:rsid w:val="00606752"/>
    <w:rsid w:val="00606AB8"/>
    <w:rsid w:val="0061001C"/>
    <w:rsid w:val="0061011A"/>
    <w:rsid w:val="006125F3"/>
    <w:rsid w:val="00612E2D"/>
    <w:rsid w:val="0061403A"/>
    <w:rsid w:val="00615EDF"/>
    <w:rsid w:val="006162C7"/>
    <w:rsid w:val="00616EFA"/>
    <w:rsid w:val="00617575"/>
    <w:rsid w:val="00620A97"/>
    <w:rsid w:val="0062125C"/>
    <w:rsid w:val="00622302"/>
    <w:rsid w:val="00622C8F"/>
    <w:rsid w:val="006247B1"/>
    <w:rsid w:val="00624F25"/>
    <w:rsid w:val="006254CB"/>
    <w:rsid w:val="0062604F"/>
    <w:rsid w:val="00627139"/>
    <w:rsid w:val="00627684"/>
    <w:rsid w:val="00627E46"/>
    <w:rsid w:val="006311A3"/>
    <w:rsid w:val="006313FC"/>
    <w:rsid w:val="00631893"/>
    <w:rsid w:val="00631BE8"/>
    <w:rsid w:val="006327D0"/>
    <w:rsid w:val="006329AE"/>
    <w:rsid w:val="00632B09"/>
    <w:rsid w:val="00634227"/>
    <w:rsid w:val="006343E0"/>
    <w:rsid w:val="00635848"/>
    <w:rsid w:val="00635AF3"/>
    <w:rsid w:val="00636156"/>
    <w:rsid w:val="0063622F"/>
    <w:rsid w:val="00636E72"/>
    <w:rsid w:val="00640FC2"/>
    <w:rsid w:val="00640FD3"/>
    <w:rsid w:val="00641552"/>
    <w:rsid w:val="00641A3B"/>
    <w:rsid w:val="00641DE3"/>
    <w:rsid w:val="00642092"/>
    <w:rsid w:val="00642785"/>
    <w:rsid w:val="00642BF1"/>
    <w:rsid w:val="00644707"/>
    <w:rsid w:val="006451C8"/>
    <w:rsid w:val="00645290"/>
    <w:rsid w:val="0064565D"/>
    <w:rsid w:val="0064706A"/>
    <w:rsid w:val="006477A2"/>
    <w:rsid w:val="006503AB"/>
    <w:rsid w:val="0065097C"/>
    <w:rsid w:val="00650D6F"/>
    <w:rsid w:val="0065191B"/>
    <w:rsid w:val="00651CC7"/>
    <w:rsid w:val="00651D0E"/>
    <w:rsid w:val="00653238"/>
    <w:rsid w:val="00654824"/>
    <w:rsid w:val="00654CD5"/>
    <w:rsid w:val="00654D5B"/>
    <w:rsid w:val="00655515"/>
    <w:rsid w:val="0065584C"/>
    <w:rsid w:val="006600E8"/>
    <w:rsid w:val="006607DA"/>
    <w:rsid w:val="00660A24"/>
    <w:rsid w:val="00660F3B"/>
    <w:rsid w:val="006621DB"/>
    <w:rsid w:val="0066256A"/>
    <w:rsid w:val="0066522A"/>
    <w:rsid w:val="006665C2"/>
    <w:rsid w:val="00666736"/>
    <w:rsid w:val="00667123"/>
    <w:rsid w:val="006673FF"/>
    <w:rsid w:val="00670D71"/>
    <w:rsid w:val="0067198A"/>
    <w:rsid w:val="00671DD3"/>
    <w:rsid w:val="00673442"/>
    <w:rsid w:val="0067402E"/>
    <w:rsid w:val="00674E8A"/>
    <w:rsid w:val="00674F99"/>
    <w:rsid w:val="00676005"/>
    <w:rsid w:val="006763F3"/>
    <w:rsid w:val="00676B8C"/>
    <w:rsid w:val="00676B9F"/>
    <w:rsid w:val="00677BF1"/>
    <w:rsid w:val="0068007B"/>
    <w:rsid w:val="00680F71"/>
    <w:rsid w:val="00681F1D"/>
    <w:rsid w:val="00682042"/>
    <w:rsid w:val="00682FB0"/>
    <w:rsid w:val="006830C4"/>
    <w:rsid w:val="00684AD7"/>
    <w:rsid w:val="00685020"/>
    <w:rsid w:val="00685B01"/>
    <w:rsid w:val="00686620"/>
    <w:rsid w:val="006869F3"/>
    <w:rsid w:val="006871A3"/>
    <w:rsid w:val="006872A8"/>
    <w:rsid w:val="00687471"/>
    <w:rsid w:val="0068783B"/>
    <w:rsid w:val="00690390"/>
    <w:rsid w:val="00691871"/>
    <w:rsid w:val="006919D3"/>
    <w:rsid w:val="00691A5D"/>
    <w:rsid w:val="0069200C"/>
    <w:rsid w:val="0069266F"/>
    <w:rsid w:val="006927FD"/>
    <w:rsid w:val="00693868"/>
    <w:rsid w:val="006940D6"/>
    <w:rsid w:val="0069427A"/>
    <w:rsid w:val="0069480E"/>
    <w:rsid w:val="006953AA"/>
    <w:rsid w:val="00695C7A"/>
    <w:rsid w:val="00696523"/>
    <w:rsid w:val="006969AD"/>
    <w:rsid w:val="00697E95"/>
    <w:rsid w:val="006A1AB3"/>
    <w:rsid w:val="006A2F46"/>
    <w:rsid w:val="006A3073"/>
    <w:rsid w:val="006A3366"/>
    <w:rsid w:val="006A3681"/>
    <w:rsid w:val="006A37BD"/>
    <w:rsid w:val="006A4129"/>
    <w:rsid w:val="006A6E4C"/>
    <w:rsid w:val="006A6F3F"/>
    <w:rsid w:val="006A7A35"/>
    <w:rsid w:val="006B0539"/>
    <w:rsid w:val="006B0BBF"/>
    <w:rsid w:val="006B1CEB"/>
    <w:rsid w:val="006B2ACA"/>
    <w:rsid w:val="006B2D57"/>
    <w:rsid w:val="006B32EC"/>
    <w:rsid w:val="006B380F"/>
    <w:rsid w:val="006B57B7"/>
    <w:rsid w:val="006B708B"/>
    <w:rsid w:val="006B7353"/>
    <w:rsid w:val="006B79CF"/>
    <w:rsid w:val="006C0434"/>
    <w:rsid w:val="006C063E"/>
    <w:rsid w:val="006C06FA"/>
    <w:rsid w:val="006C090B"/>
    <w:rsid w:val="006C264F"/>
    <w:rsid w:val="006C39D5"/>
    <w:rsid w:val="006C3B24"/>
    <w:rsid w:val="006C3C2B"/>
    <w:rsid w:val="006C40A7"/>
    <w:rsid w:val="006C4287"/>
    <w:rsid w:val="006C49C1"/>
    <w:rsid w:val="006C591D"/>
    <w:rsid w:val="006C5DA1"/>
    <w:rsid w:val="006C5ECA"/>
    <w:rsid w:val="006C608E"/>
    <w:rsid w:val="006C680D"/>
    <w:rsid w:val="006C6B0C"/>
    <w:rsid w:val="006C797F"/>
    <w:rsid w:val="006C7D54"/>
    <w:rsid w:val="006D0D14"/>
    <w:rsid w:val="006D14D0"/>
    <w:rsid w:val="006D2F81"/>
    <w:rsid w:val="006D4052"/>
    <w:rsid w:val="006D4970"/>
    <w:rsid w:val="006D62C7"/>
    <w:rsid w:val="006D6999"/>
    <w:rsid w:val="006D7219"/>
    <w:rsid w:val="006D7378"/>
    <w:rsid w:val="006D7548"/>
    <w:rsid w:val="006D791A"/>
    <w:rsid w:val="006D7999"/>
    <w:rsid w:val="006D7B67"/>
    <w:rsid w:val="006E02E8"/>
    <w:rsid w:val="006E0A67"/>
    <w:rsid w:val="006E29C4"/>
    <w:rsid w:val="006E2D55"/>
    <w:rsid w:val="006E3126"/>
    <w:rsid w:val="006E321A"/>
    <w:rsid w:val="006E3ACD"/>
    <w:rsid w:val="006E4997"/>
    <w:rsid w:val="006E4B66"/>
    <w:rsid w:val="006E4BC2"/>
    <w:rsid w:val="006E7AC9"/>
    <w:rsid w:val="006F116E"/>
    <w:rsid w:val="006F1D96"/>
    <w:rsid w:val="006F2C2E"/>
    <w:rsid w:val="006F3237"/>
    <w:rsid w:val="006F3767"/>
    <w:rsid w:val="006F3B78"/>
    <w:rsid w:val="006F3E48"/>
    <w:rsid w:val="006F4CAD"/>
    <w:rsid w:val="006F550F"/>
    <w:rsid w:val="006F7D25"/>
    <w:rsid w:val="0070043C"/>
    <w:rsid w:val="00701C8D"/>
    <w:rsid w:val="007049FC"/>
    <w:rsid w:val="00704F8B"/>
    <w:rsid w:val="0070509A"/>
    <w:rsid w:val="007059DB"/>
    <w:rsid w:val="00706474"/>
    <w:rsid w:val="00706B6F"/>
    <w:rsid w:val="00712184"/>
    <w:rsid w:val="00712284"/>
    <w:rsid w:val="007122D0"/>
    <w:rsid w:val="0071363F"/>
    <w:rsid w:val="0071506E"/>
    <w:rsid w:val="007157BE"/>
    <w:rsid w:val="00715CC3"/>
    <w:rsid w:val="00716E7F"/>
    <w:rsid w:val="0071714C"/>
    <w:rsid w:val="00717757"/>
    <w:rsid w:val="00717C7C"/>
    <w:rsid w:val="00717D4B"/>
    <w:rsid w:val="0072075A"/>
    <w:rsid w:val="00720FA8"/>
    <w:rsid w:val="00722275"/>
    <w:rsid w:val="00722905"/>
    <w:rsid w:val="00723AA3"/>
    <w:rsid w:val="00723F8F"/>
    <w:rsid w:val="007244BE"/>
    <w:rsid w:val="00724A7F"/>
    <w:rsid w:val="00724FF3"/>
    <w:rsid w:val="0072583E"/>
    <w:rsid w:val="00725F84"/>
    <w:rsid w:val="00726710"/>
    <w:rsid w:val="00726DF9"/>
    <w:rsid w:val="00727A3C"/>
    <w:rsid w:val="00730986"/>
    <w:rsid w:val="00730EC1"/>
    <w:rsid w:val="007310B0"/>
    <w:rsid w:val="007312EC"/>
    <w:rsid w:val="00731C2D"/>
    <w:rsid w:val="00731CB4"/>
    <w:rsid w:val="0073254C"/>
    <w:rsid w:val="00733079"/>
    <w:rsid w:val="0073349B"/>
    <w:rsid w:val="00733738"/>
    <w:rsid w:val="00734225"/>
    <w:rsid w:val="00734344"/>
    <w:rsid w:val="00737120"/>
    <w:rsid w:val="00737C83"/>
    <w:rsid w:val="00741E6F"/>
    <w:rsid w:val="00742337"/>
    <w:rsid w:val="00743340"/>
    <w:rsid w:val="0074448C"/>
    <w:rsid w:val="007448BD"/>
    <w:rsid w:val="0074498C"/>
    <w:rsid w:val="00744D50"/>
    <w:rsid w:val="00744DCA"/>
    <w:rsid w:val="00745E4C"/>
    <w:rsid w:val="00745F2B"/>
    <w:rsid w:val="00747260"/>
    <w:rsid w:val="00747536"/>
    <w:rsid w:val="00747842"/>
    <w:rsid w:val="0074794E"/>
    <w:rsid w:val="00747C14"/>
    <w:rsid w:val="007513EF"/>
    <w:rsid w:val="00752395"/>
    <w:rsid w:val="00752763"/>
    <w:rsid w:val="00753628"/>
    <w:rsid w:val="00753C1F"/>
    <w:rsid w:val="00753CA2"/>
    <w:rsid w:val="00754326"/>
    <w:rsid w:val="00754A73"/>
    <w:rsid w:val="00755175"/>
    <w:rsid w:val="00755291"/>
    <w:rsid w:val="00755BFE"/>
    <w:rsid w:val="00755EEE"/>
    <w:rsid w:val="007560E8"/>
    <w:rsid w:val="0075622B"/>
    <w:rsid w:val="00756253"/>
    <w:rsid w:val="00756FA7"/>
    <w:rsid w:val="00757CAE"/>
    <w:rsid w:val="00761BA0"/>
    <w:rsid w:val="0076223C"/>
    <w:rsid w:val="0076335E"/>
    <w:rsid w:val="007645B0"/>
    <w:rsid w:val="00764B76"/>
    <w:rsid w:val="00764DBC"/>
    <w:rsid w:val="00766360"/>
    <w:rsid w:val="00766D7A"/>
    <w:rsid w:val="00767620"/>
    <w:rsid w:val="00767EE8"/>
    <w:rsid w:val="00770C3E"/>
    <w:rsid w:val="00770D12"/>
    <w:rsid w:val="00771BDB"/>
    <w:rsid w:val="0077258D"/>
    <w:rsid w:val="00772EF8"/>
    <w:rsid w:val="00772F2F"/>
    <w:rsid w:val="0077326F"/>
    <w:rsid w:val="00773867"/>
    <w:rsid w:val="0077457A"/>
    <w:rsid w:val="00774943"/>
    <w:rsid w:val="00774A4C"/>
    <w:rsid w:val="00776392"/>
    <w:rsid w:val="0078084B"/>
    <w:rsid w:val="00780926"/>
    <w:rsid w:val="007812BB"/>
    <w:rsid w:val="00781CB4"/>
    <w:rsid w:val="00782043"/>
    <w:rsid w:val="00783CEE"/>
    <w:rsid w:val="0078496B"/>
    <w:rsid w:val="00786041"/>
    <w:rsid w:val="007860CD"/>
    <w:rsid w:val="00787558"/>
    <w:rsid w:val="00787D88"/>
    <w:rsid w:val="00787EBA"/>
    <w:rsid w:val="007925A7"/>
    <w:rsid w:val="007928D9"/>
    <w:rsid w:val="00793068"/>
    <w:rsid w:val="007930D9"/>
    <w:rsid w:val="00793460"/>
    <w:rsid w:val="00793549"/>
    <w:rsid w:val="00793593"/>
    <w:rsid w:val="00793C7B"/>
    <w:rsid w:val="00794179"/>
    <w:rsid w:val="0079514C"/>
    <w:rsid w:val="00795AA2"/>
    <w:rsid w:val="0079623C"/>
    <w:rsid w:val="007970CE"/>
    <w:rsid w:val="00797171"/>
    <w:rsid w:val="00797264"/>
    <w:rsid w:val="00797390"/>
    <w:rsid w:val="00797EAC"/>
    <w:rsid w:val="007A04AD"/>
    <w:rsid w:val="007A1145"/>
    <w:rsid w:val="007A2B83"/>
    <w:rsid w:val="007A2F75"/>
    <w:rsid w:val="007A3165"/>
    <w:rsid w:val="007A3AD5"/>
    <w:rsid w:val="007A4338"/>
    <w:rsid w:val="007A45E1"/>
    <w:rsid w:val="007A4AD5"/>
    <w:rsid w:val="007A4C13"/>
    <w:rsid w:val="007A50FE"/>
    <w:rsid w:val="007A51B8"/>
    <w:rsid w:val="007A6131"/>
    <w:rsid w:val="007A6440"/>
    <w:rsid w:val="007A678D"/>
    <w:rsid w:val="007A7454"/>
    <w:rsid w:val="007A7A99"/>
    <w:rsid w:val="007B144C"/>
    <w:rsid w:val="007B1E9C"/>
    <w:rsid w:val="007B2255"/>
    <w:rsid w:val="007B3169"/>
    <w:rsid w:val="007B473E"/>
    <w:rsid w:val="007B4E3F"/>
    <w:rsid w:val="007B50DE"/>
    <w:rsid w:val="007B5BE8"/>
    <w:rsid w:val="007B6504"/>
    <w:rsid w:val="007B6B0D"/>
    <w:rsid w:val="007B6C72"/>
    <w:rsid w:val="007B6E92"/>
    <w:rsid w:val="007B7B47"/>
    <w:rsid w:val="007B7B67"/>
    <w:rsid w:val="007B7FB5"/>
    <w:rsid w:val="007C08C5"/>
    <w:rsid w:val="007C1227"/>
    <w:rsid w:val="007C12BC"/>
    <w:rsid w:val="007C1337"/>
    <w:rsid w:val="007C15D0"/>
    <w:rsid w:val="007C19EB"/>
    <w:rsid w:val="007C1EC6"/>
    <w:rsid w:val="007C2456"/>
    <w:rsid w:val="007C251E"/>
    <w:rsid w:val="007C383A"/>
    <w:rsid w:val="007C39DA"/>
    <w:rsid w:val="007C3DED"/>
    <w:rsid w:val="007C49D4"/>
    <w:rsid w:val="007C50F1"/>
    <w:rsid w:val="007C5224"/>
    <w:rsid w:val="007C52FB"/>
    <w:rsid w:val="007C64A9"/>
    <w:rsid w:val="007C6EE6"/>
    <w:rsid w:val="007D295C"/>
    <w:rsid w:val="007D3645"/>
    <w:rsid w:val="007D3C90"/>
    <w:rsid w:val="007D42D4"/>
    <w:rsid w:val="007D5144"/>
    <w:rsid w:val="007D703D"/>
    <w:rsid w:val="007D71C9"/>
    <w:rsid w:val="007D72E9"/>
    <w:rsid w:val="007E0840"/>
    <w:rsid w:val="007E0E1F"/>
    <w:rsid w:val="007E1BE6"/>
    <w:rsid w:val="007E1FEE"/>
    <w:rsid w:val="007E2EB2"/>
    <w:rsid w:val="007E33A3"/>
    <w:rsid w:val="007E4AF7"/>
    <w:rsid w:val="007E51CE"/>
    <w:rsid w:val="007E5777"/>
    <w:rsid w:val="007E6E5C"/>
    <w:rsid w:val="007E7086"/>
    <w:rsid w:val="007E70E2"/>
    <w:rsid w:val="007E74AC"/>
    <w:rsid w:val="007E78CE"/>
    <w:rsid w:val="007E7BDE"/>
    <w:rsid w:val="007E7CE1"/>
    <w:rsid w:val="007F010F"/>
    <w:rsid w:val="007F13AE"/>
    <w:rsid w:val="007F1D5B"/>
    <w:rsid w:val="007F2113"/>
    <w:rsid w:val="007F2667"/>
    <w:rsid w:val="007F5225"/>
    <w:rsid w:val="007F5AAA"/>
    <w:rsid w:val="007F5B99"/>
    <w:rsid w:val="007F6324"/>
    <w:rsid w:val="007F6A32"/>
    <w:rsid w:val="007F6E3E"/>
    <w:rsid w:val="007F6F7E"/>
    <w:rsid w:val="007F7C5F"/>
    <w:rsid w:val="007F7DD5"/>
    <w:rsid w:val="0080068B"/>
    <w:rsid w:val="008006B3"/>
    <w:rsid w:val="00800BBE"/>
    <w:rsid w:val="00800DD3"/>
    <w:rsid w:val="008010AD"/>
    <w:rsid w:val="0080135C"/>
    <w:rsid w:val="00801465"/>
    <w:rsid w:val="00801D21"/>
    <w:rsid w:val="008022ED"/>
    <w:rsid w:val="00802D4A"/>
    <w:rsid w:val="00802E22"/>
    <w:rsid w:val="008036E1"/>
    <w:rsid w:val="00803BB8"/>
    <w:rsid w:val="0080428A"/>
    <w:rsid w:val="00805123"/>
    <w:rsid w:val="008059BD"/>
    <w:rsid w:val="00805E67"/>
    <w:rsid w:val="008077CC"/>
    <w:rsid w:val="008079DB"/>
    <w:rsid w:val="00810092"/>
    <w:rsid w:val="00810347"/>
    <w:rsid w:val="008107D1"/>
    <w:rsid w:val="00810E0D"/>
    <w:rsid w:val="00810F83"/>
    <w:rsid w:val="008118F2"/>
    <w:rsid w:val="008130AC"/>
    <w:rsid w:val="00813DB2"/>
    <w:rsid w:val="008145B1"/>
    <w:rsid w:val="00814C43"/>
    <w:rsid w:val="0081500E"/>
    <w:rsid w:val="0081743A"/>
    <w:rsid w:val="00821A11"/>
    <w:rsid w:val="00821DEF"/>
    <w:rsid w:val="00822930"/>
    <w:rsid w:val="00823125"/>
    <w:rsid w:val="00823835"/>
    <w:rsid w:val="00823CC4"/>
    <w:rsid w:val="008244F5"/>
    <w:rsid w:val="008246E2"/>
    <w:rsid w:val="00824A31"/>
    <w:rsid w:val="0082557C"/>
    <w:rsid w:val="008255C1"/>
    <w:rsid w:val="00827172"/>
    <w:rsid w:val="008274FE"/>
    <w:rsid w:val="00827BDC"/>
    <w:rsid w:val="00831163"/>
    <w:rsid w:val="00831D74"/>
    <w:rsid w:val="00832171"/>
    <w:rsid w:val="008323F1"/>
    <w:rsid w:val="00832A3C"/>
    <w:rsid w:val="00833333"/>
    <w:rsid w:val="0083334E"/>
    <w:rsid w:val="00833BA3"/>
    <w:rsid w:val="0083628A"/>
    <w:rsid w:val="0083671E"/>
    <w:rsid w:val="00836C6E"/>
    <w:rsid w:val="00840242"/>
    <w:rsid w:val="008417F3"/>
    <w:rsid w:val="00842D1A"/>
    <w:rsid w:val="00843166"/>
    <w:rsid w:val="00843270"/>
    <w:rsid w:val="00843927"/>
    <w:rsid w:val="0084481E"/>
    <w:rsid w:val="00844C58"/>
    <w:rsid w:val="00845FA5"/>
    <w:rsid w:val="008466E5"/>
    <w:rsid w:val="008467B2"/>
    <w:rsid w:val="008473FE"/>
    <w:rsid w:val="00847916"/>
    <w:rsid w:val="00847952"/>
    <w:rsid w:val="00847D0E"/>
    <w:rsid w:val="00850DF9"/>
    <w:rsid w:val="00850F3A"/>
    <w:rsid w:val="00853B50"/>
    <w:rsid w:val="00853BA2"/>
    <w:rsid w:val="00853EDB"/>
    <w:rsid w:val="0085433D"/>
    <w:rsid w:val="008543E1"/>
    <w:rsid w:val="00854474"/>
    <w:rsid w:val="00855A5D"/>
    <w:rsid w:val="00855BA9"/>
    <w:rsid w:val="008561C1"/>
    <w:rsid w:val="0085780E"/>
    <w:rsid w:val="00860628"/>
    <w:rsid w:val="00860B7B"/>
    <w:rsid w:val="0086100B"/>
    <w:rsid w:val="00861092"/>
    <w:rsid w:val="00861AF4"/>
    <w:rsid w:val="008631BC"/>
    <w:rsid w:val="00863BAC"/>
    <w:rsid w:val="00864241"/>
    <w:rsid w:val="00864846"/>
    <w:rsid w:val="00864BC4"/>
    <w:rsid w:val="00865066"/>
    <w:rsid w:val="00865420"/>
    <w:rsid w:val="00865B97"/>
    <w:rsid w:val="00866400"/>
    <w:rsid w:val="00866BEE"/>
    <w:rsid w:val="00867332"/>
    <w:rsid w:val="008678C1"/>
    <w:rsid w:val="008679ED"/>
    <w:rsid w:val="008703B4"/>
    <w:rsid w:val="00870D30"/>
    <w:rsid w:val="00871182"/>
    <w:rsid w:val="00871535"/>
    <w:rsid w:val="00872295"/>
    <w:rsid w:val="00872462"/>
    <w:rsid w:val="00872580"/>
    <w:rsid w:val="00873851"/>
    <w:rsid w:val="00873D23"/>
    <w:rsid w:val="0087475A"/>
    <w:rsid w:val="00874D53"/>
    <w:rsid w:val="0087602D"/>
    <w:rsid w:val="008769C7"/>
    <w:rsid w:val="00876B53"/>
    <w:rsid w:val="00876EF1"/>
    <w:rsid w:val="00880206"/>
    <w:rsid w:val="008806BD"/>
    <w:rsid w:val="008807A1"/>
    <w:rsid w:val="00880B68"/>
    <w:rsid w:val="008815AA"/>
    <w:rsid w:val="00881B05"/>
    <w:rsid w:val="00882EC9"/>
    <w:rsid w:val="008833F3"/>
    <w:rsid w:val="0088421B"/>
    <w:rsid w:val="008852F3"/>
    <w:rsid w:val="008857DB"/>
    <w:rsid w:val="00885D83"/>
    <w:rsid w:val="0088699E"/>
    <w:rsid w:val="00886DDA"/>
    <w:rsid w:val="0088725D"/>
    <w:rsid w:val="00887E7C"/>
    <w:rsid w:val="008907EB"/>
    <w:rsid w:val="008916C8"/>
    <w:rsid w:val="00891793"/>
    <w:rsid w:val="00891A09"/>
    <w:rsid w:val="008927E6"/>
    <w:rsid w:val="008927EE"/>
    <w:rsid w:val="00893291"/>
    <w:rsid w:val="008936A8"/>
    <w:rsid w:val="00893C63"/>
    <w:rsid w:val="008941F5"/>
    <w:rsid w:val="008953CC"/>
    <w:rsid w:val="00895E30"/>
    <w:rsid w:val="00896444"/>
    <w:rsid w:val="00896C88"/>
    <w:rsid w:val="0089767D"/>
    <w:rsid w:val="008977D4"/>
    <w:rsid w:val="00897841"/>
    <w:rsid w:val="00897CF1"/>
    <w:rsid w:val="008A0568"/>
    <w:rsid w:val="008A14B4"/>
    <w:rsid w:val="008A1695"/>
    <w:rsid w:val="008A182A"/>
    <w:rsid w:val="008A1CA4"/>
    <w:rsid w:val="008A2C26"/>
    <w:rsid w:val="008A2EC5"/>
    <w:rsid w:val="008A39A7"/>
    <w:rsid w:val="008A39AF"/>
    <w:rsid w:val="008A3EAE"/>
    <w:rsid w:val="008A574F"/>
    <w:rsid w:val="008A7226"/>
    <w:rsid w:val="008A7421"/>
    <w:rsid w:val="008A7625"/>
    <w:rsid w:val="008A7BBF"/>
    <w:rsid w:val="008A7C2E"/>
    <w:rsid w:val="008B151A"/>
    <w:rsid w:val="008B2A86"/>
    <w:rsid w:val="008B32B9"/>
    <w:rsid w:val="008B36A7"/>
    <w:rsid w:val="008B3D66"/>
    <w:rsid w:val="008B4756"/>
    <w:rsid w:val="008B4E2A"/>
    <w:rsid w:val="008B5B8D"/>
    <w:rsid w:val="008B5DD8"/>
    <w:rsid w:val="008B6F38"/>
    <w:rsid w:val="008B70F1"/>
    <w:rsid w:val="008C06E2"/>
    <w:rsid w:val="008C0E1A"/>
    <w:rsid w:val="008C1A51"/>
    <w:rsid w:val="008C2064"/>
    <w:rsid w:val="008C2162"/>
    <w:rsid w:val="008C240E"/>
    <w:rsid w:val="008C30E9"/>
    <w:rsid w:val="008C32F9"/>
    <w:rsid w:val="008C33F7"/>
    <w:rsid w:val="008C40B7"/>
    <w:rsid w:val="008C584F"/>
    <w:rsid w:val="008C5AD4"/>
    <w:rsid w:val="008C5D06"/>
    <w:rsid w:val="008C5D33"/>
    <w:rsid w:val="008C5E84"/>
    <w:rsid w:val="008C637A"/>
    <w:rsid w:val="008C71C4"/>
    <w:rsid w:val="008D0321"/>
    <w:rsid w:val="008D169F"/>
    <w:rsid w:val="008D18E6"/>
    <w:rsid w:val="008D1AD3"/>
    <w:rsid w:val="008D21F6"/>
    <w:rsid w:val="008D5B5C"/>
    <w:rsid w:val="008D5FE7"/>
    <w:rsid w:val="008D606D"/>
    <w:rsid w:val="008D614B"/>
    <w:rsid w:val="008D61EF"/>
    <w:rsid w:val="008D691D"/>
    <w:rsid w:val="008D7442"/>
    <w:rsid w:val="008D7506"/>
    <w:rsid w:val="008E0120"/>
    <w:rsid w:val="008E0469"/>
    <w:rsid w:val="008E08A6"/>
    <w:rsid w:val="008E0CF9"/>
    <w:rsid w:val="008E1CEF"/>
    <w:rsid w:val="008E26D1"/>
    <w:rsid w:val="008E3433"/>
    <w:rsid w:val="008E3C81"/>
    <w:rsid w:val="008E44CC"/>
    <w:rsid w:val="008E507C"/>
    <w:rsid w:val="008E5591"/>
    <w:rsid w:val="008E5625"/>
    <w:rsid w:val="008E6EED"/>
    <w:rsid w:val="008F120B"/>
    <w:rsid w:val="008F15CA"/>
    <w:rsid w:val="008F253F"/>
    <w:rsid w:val="008F4826"/>
    <w:rsid w:val="008F50FA"/>
    <w:rsid w:val="008F5B2C"/>
    <w:rsid w:val="008F5D62"/>
    <w:rsid w:val="008F6269"/>
    <w:rsid w:val="008F6DC5"/>
    <w:rsid w:val="008F726E"/>
    <w:rsid w:val="00900531"/>
    <w:rsid w:val="00900BF1"/>
    <w:rsid w:val="009011AE"/>
    <w:rsid w:val="00901D8B"/>
    <w:rsid w:val="00901FDB"/>
    <w:rsid w:val="009020FD"/>
    <w:rsid w:val="00902A01"/>
    <w:rsid w:val="00903072"/>
    <w:rsid w:val="0090310F"/>
    <w:rsid w:val="00903C2D"/>
    <w:rsid w:val="00904072"/>
    <w:rsid w:val="0090449C"/>
    <w:rsid w:val="00904BEA"/>
    <w:rsid w:val="00905717"/>
    <w:rsid w:val="00905BEA"/>
    <w:rsid w:val="0090616F"/>
    <w:rsid w:val="0090639C"/>
    <w:rsid w:val="00906C1D"/>
    <w:rsid w:val="009079C9"/>
    <w:rsid w:val="00911363"/>
    <w:rsid w:val="00911FF4"/>
    <w:rsid w:val="0091210E"/>
    <w:rsid w:val="00912AF7"/>
    <w:rsid w:val="00913D96"/>
    <w:rsid w:val="00914A81"/>
    <w:rsid w:val="00915474"/>
    <w:rsid w:val="00915658"/>
    <w:rsid w:val="00916AF3"/>
    <w:rsid w:val="00917E91"/>
    <w:rsid w:val="0092057D"/>
    <w:rsid w:val="00921941"/>
    <w:rsid w:val="0092217A"/>
    <w:rsid w:val="009251C8"/>
    <w:rsid w:val="00925D64"/>
    <w:rsid w:val="009279A8"/>
    <w:rsid w:val="00930874"/>
    <w:rsid w:val="009321CD"/>
    <w:rsid w:val="0093266B"/>
    <w:rsid w:val="00933224"/>
    <w:rsid w:val="009359C7"/>
    <w:rsid w:val="00937908"/>
    <w:rsid w:val="00937ADF"/>
    <w:rsid w:val="009425D2"/>
    <w:rsid w:val="00942967"/>
    <w:rsid w:val="00942C3E"/>
    <w:rsid w:val="00942D56"/>
    <w:rsid w:val="0094316E"/>
    <w:rsid w:val="0094404A"/>
    <w:rsid w:val="009449E6"/>
    <w:rsid w:val="00944A0D"/>
    <w:rsid w:val="00944AB5"/>
    <w:rsid w:val="00945490"/>
    <w:rsid w:val="0094554C"/>
    <w:rsid w:val="00945786"/>
    <w:rsid w:val="0094678D"/>
    <w:rsid w:val="00950757"/>
    <w:rsid w:val="00951D02"/>
    <w:rsid w:val="00951E4B"/>
    <w:rsid w:val="00951F5C"/>
    <w:rsid w:val="00952EB5"/>
    <w:rsid w:val="00953116"/>
    <w:rsid w:val="009531E3"/>
    <w:rsid w:val="0095534D"/>
    <w:rsid w:val="009562A5"/>
    <w:rsid w:val="00956EA6"/>
    <w:rsid w:val="00956EE7"/>
    <w:rsid w:val="00957574"/>
    <w:rsid w:val="00957754"/>
    <w:rsid w:val="00960098"/>
    <w:rsid w:val="00960124"/>
    <w:rsid w:val="00960429"/>
    <w:rsid w:val="00960E90"/>
    <w:rsid w:val="00961E6E"/>
    <w:rsid w:val="00961F3C"/>
    <w:rsid w:val="00962AB2"/>
    <w:rsid w:val="00963AFD"/>
    <w:rsid w:val="009640FC"/>
    <w:rsid w:val="00964CEF"/>
    <w:rsid w:val="00965B85"/>
    <w:rsid w:val="00965B96"/>
    <w:rsid w:val="00965F26"/>
    <w:rsid w:val="009663B6"/>
    <w:rsid w:val="009667EB"/>
    <w:rsid w:val="00970B30"/>
    <w:rsid w:val="00970FB0"/>
    <w:rsid w:val="0097133F"/>
    <w:rsid w:val="009719A5"/>
    <w:rsid w:val="00971B8F"/>
    <w:rsid w:val="009726DC"/>
    <w:rsid w:val="0097280D"/>
    <w:rsid w:val="0097326A"/>
    <w:rsid w:val="0097328F"/>
    <w:rsid w:val="00973C6C"/>
    <w:rsid w:val="009740E8"/>
    <w:rsid w:val="00974169"/>
    <w:rsid w:val="009741B1"/>
    <w:rsid w:val="0097516A"/>
    <w:rsid w:val="009766F3"/>
    <w:rsid w:val="0098023A"/>
    <w:rsid w:val="009809B8"/>
    <w:rsid w:val="009824C9"/>
    <w:rsid w:val="009829AC"/>
    <w:rsid w:val="00982D38"/>
    <w:rsid w:val="00982D85"/>
    <w:rsid w:val="00983C6A"/>
    <w:rsid w:val="00983FA9"/>
    <w:rsid w:val="00984B6D"/>
    <w:rsid w:val="009860CC"/>
    <w:rsid w:val="00987444"/>
    <w:rsid w:val="00990E91"/>
    <w:rsid w:val="009916D5"/>
    <w:rsid w:val="00992015"/>
    <w:rsid w:val="009929FC"/>
    <w:rsid w:val="00993105"/>
    <w:rsid w:val="00993C00"/>
    <w:rsid w:val="00994F8A"/>
    <w:rsid w:val="0099624A"/>
    <w:rsid w:val="00997146"/>
    <w:rsid w:val="00997D60"/>
    <w:rsid w:val="009A0804"/>
    <w:rsid w:val="009A0D58"/>
    <w:rsid w:val="009A0F3B"/>
    <w:rsid w:val="009A3E2F"/>
    <w:rsid w:val="009A50C9"/>
    <w:rsid w:val="009A51FF"/>
    <w:rsid w:val="009A54C3"/>
    <w:rsid w:val="009A55C8"/>
    <w:rsid w:val="009A5AB6"/>
    <w:rsid w:val="009A5F80"/>
    <w:rsid w:val="009A66C3"/>
    <w:rsid w:val="009A6B22"/>
    <w:rsid w:val="009A7120"/>
    <w:rsid w:val="009B0154"/>
    <w:rsid w:val="009B0A05"/>
    <w:rsid w:val="009B0AD7"/>
    <w:rsid w:val="009B0CFF"/>
    <w:rsid w:val="009B1817"/>
    <w:rsid w:val="009B2E2F"/>
    <w:rsid w:val="009B3771"/>
    <w:rsid w:val="009B3B2B"/>
    <w:rsid w:val="009B46C6"/>
    <w:rsid w:val="009B4D8D"/>
    <w:rsid w:val="009B5D6C"/>
    <w:rsid w:val="009B6D51"/>
    <w:rsid w:val="009B74A3"/>
    <w:rsid w:val="009B763C"/>
    <w:rsid w:val="009C073B"/>
    <w:rsid w:val="009C090A"/>
    <w:rsid w:val="009C0B44"/>
    <w:rsid w:val="009C5BDD"/>
    <w:rsid w:val="009C6CD0"/>
    <w:rsid w:val="009C7764"/>
    <w:rsid w:val="009D1270"/>
    <w:rsid w:val="009D2431"/>
    <w:rsid w:val="009D2F04"/>
    <w:rsid w:val="009D3340"/>
    <w:rsid w:val="009D3B81"/>
    <w:rsid w:val="009D3EDD"/>
    <w:rsid w:val="009D4CC8"/>
    <w:rsid w:val="009D51C1"/>
    <w:rsid w:val="009D5AE0"/>
    <w:rsid w:val="009D6BB8"/>
    <w:rsid w:val="009D6EF3"/>
    <w:rsid w:val="009D76C2"/>
    <w:rsid w:val="009D7C4E"/>
    <w:rsid w:val="009E0BE1"/>
    <w:rsid w:val="009E0EB8"/>
    <w:rsid w:val="009E41C5"/>
    <w:rsid w:val="009E44FB"/>
    <w:rsid w:val="009E53FB"/>
    <w:rsid w:val="009E5628"/>
    <w:rsid w:val="009E5685"/>
    <w:rsid w:val="009E6116"/>
    <w:rsid w:val="009E6E0D"/>
    <w:rsid w:val="009E704E"/>
    <w:rsid w:val="009E7BAF"/>
    <w:rsid w:val="009F027A"/>
    <w:rsid w:val="009F0969"/>
    <w:rsid w:val="009F0B88"/>
    <w:rsid w:val="009F0DF6"/>
    <w:rsid w:val="009F1EDA"/>
    <w:rsid w:val="009F2CFE"/>
    <w:rsid w:val="009F2F32"/>
    <w:rsid w:val="009F400A"/>
    <w:rsid w:val="009F51AC"/>
    <w:rsid w:val="009F66EA"/>
    <w:rsid w:val="009F708F"/>
    <w:rsid w:val="009F7156"/>
    <w:rsid w:val="00A01061"/>
    <w:rsid w:val="00A01656"/>
    <w:rsid w:val="00A0222B"/>
    <w:rsid w:val="00A04B37"/>
    <w:rsid w:val="00A05C92"/>
    <w:rsid w:val="00A0675B"/>
    <w:rsid w:val="00A06BBB"/>
    <w:rsid w:val="00A06EDE"/>
    <w:rsid w:val="00A10F5F"/>
    <w:rsid w:val="00A10FD5"/>
    <w:rsid w:val="00A1179F"/>
    <w:rsid w:val="00A12AE7"/>
    <w:rsid w:val="00A12B7D"/>
    <w:rsid w:val="00A131E3"/>
    <w:rsid w:val="00A1337E"/>
    <w:rsid w:val="00A13C63"/>
    <w:rsid w:val="00A149E3"/>
    <w:rsid w:val="00A15DA4"/>
    <w:rsid w:val="00A161D9"/>
    <w:rsid w:val="00A16F3B"/>
    <w:rsid w:val="00A17201"/>
    <w:rsid w:val="00A17392"/>
    <w:rsid w:val="00A17A7E"/>
    <w:rsid w:val="00A17D25"/>
    <w:rsid w:val="00A211E1"/>
    <w:rsid w:val="00A2156E"/>
    <w:rsid w:val="00A22194"/>
    <w:rsid w:val="00A223CC"/>
    <w:rsid w:val="00A2260E"/>
    <w:rsid w:val="00A24194"/>
    <w:rsid w:val="00A24843"/>
    <w:rsid w:val="00A24B25"/>
    <w:rsid w:val="00A256C8"/>
    <w:rsid w:val="00A25BFD"/>
    <w:rsid w:val="00A2642A"/>
    <w:rsid w:val="00A26634"/>
    <w:rsid w:val="00A268BE"/>
    <w:rsid w:val="00A271EA"/>
    <w:rsid w:val="00A302D3"/>
    <w:rsid w:val="00A32401"/>
    <w:rsid w:val="00A32C83"/>
    <w:rsid w:val="00A33019"/>
    <w:rsid w:val="00A331CF"/>
    <w:rsid w:val="00A33C46"/>
    <w:rsid w:val="00A3441B"/>
    <w:rsid w:val="00A34944"/>
    <w:rsid w:val="00A35082"/>
    <w:rsid w:val="00A35DAC"/>
    <w:rsid w:val="00A35FB2"/>
    <w:rsid w:val="00A36878"/>
    <w:rsid w:val="00A37CE3"/>
    <w:rsid w:val="00A408A9"/>
    <w:rsid w:val="00A40F57"/>
    <w:rsid w:val="00A410FC"/>
    <w:rsid w:val="00A417A7"/>
    <w:rsid w:val="00A423AE"/>
    <w:rsid w:val="00A43755"/>
    <w:rsid w:val="00A43FF5"/>
    <w:rsid w:val="00A44013"/>
    <w:rsid w:val="00A44AB0"/>
    <w:rsid w:val="00A44F23"/>
    <w:rsid w:val="00A453F1"/>
    <w:rsid w:val="00A45446"/>
    <w:rsid w:val="00A45C89"/>
    <w:rsid w:val="00A461BB"/>
    <w:rsid w:val="00A5017A"/>
    <w:rsid w:val="00A50F6C"/>
    <w:rsid w:val="00A51968"/>
    <w:rsid w:val="00A523DC"/>
    <w:rsid w:val="00A524BB"/>
    <w:rsid w:val="00A52703"/>
    <w:rsid w:val="00A528FE"/>
    <w:rsid w:val="00A530B0"/>
    <w:rsid w:val="00A533DC"/>
    <w:rsid w:val="00A54105"/>
    <w:rsid w:val="00A55228"/>
    <w:rsid w:val="00A563D2"/>
    <w:rsid w:val="00A602CF"/>
    <w:rsid w:val="00A608E3"/>
    <w:rsid w:val="00A615A2"/>
    <w:rsid w:val="00A62284"/>
    <w:rsid w:val="00A6348C"/>
    <w:rsid w:val="00A63658"/>
    <w:rsid w:val="00A64C41"/>
    <w:rsid w:val="00A64CEF"/>
    <w:rsid w:val="00A65749"/>
    <w:rsid w:val="00A65D53"/>
    <w:rsid w:val="00A663BF"/>
    <w:rsid w:val="00A67DBB"/>
    <w:rsid w:val="00A67EFF"/>
    <w:rsid w:val="00A7094B"/>
    <w:rsid w:val="00A70C59"/>
    <w:rsid w:val="00A7105F"/>
    <w:rsid w:val="00A713A0"/>
    <w:rsid w:val="00A713D2"/>
    <w:rsid w:val="00A71F03"/>
    <w:rsid w:val="00A7237B"/>
    <w:rsid w:val="00A7238C"/>
    <w:rsid w:val="00A72669"/>
    <w:rsid w:val="00A73688"/>
    <w:rsid w:val="00A736CA"/>
    <w:rsid w:val="00A73796"/>
    <w:rsid w:val="00A73958"/>
    <w:rsid w:val="00A74C34"/>
    <w:rsid w:val="00A7526A"/>
    <w:rsid w:val="00A769B9"/>
    <w:rsid w:val="00A76B73"/>
    <w:rsid w:val="00A77280"/>
    <w:rsid w:val="00A80165"/>
    <w:rsid w:val="00A802F6"/>
    <w:rsid w:val="00A80CCC"/>
    <w:rsid w:val="00A8282D"/>
    <w:rsid w:val="00A82DC6"/>
    <w:rsid w:val="00A8344E"/>
    <w:rsid w:val="00A83859"/>
    <w:rsid w:val="00A84737"/>
    <w:rsid w:val="00A84C0C"/>
    <w:rsid w:val="00A85069"/>
    <w:rsid w:val="00A859B1"/>
    <w:rsid w:val="00A875FE"/>
    <w:rsid w:val="00A87A11"/>
    <w:rsid w:val="00A87B7F"/>
    <w:rsid w:val="00A87E14"/>
    <w:rsid w:val="00A90F82"/>
    <w:rsid w:val="00A910AE"/>
    <w:rsid w:val="00A91414"/>
    <w:rsid w:val="00A914A5"/>
    <w:rsid w:val="00A91608"/>
    <w:rsid w:val="00A92353"/>
    <w:rsid w:val="00A92AC3"/>
    <w:rsid w:val="00A92C87"/>
    <w:rsid w:val="00A93008"/>
    <w:rsid w:val="00A94CF9"/>
    <w:rsid w:val="00A94FF5"/>
    <w:rsid w:val="00AA028E"/>
    <w:rsid w:val="00AA0729"/>
    <w:rsid w:val="00AA07B2"/>
    <w:rsid w:val="00AA1529"/>
    <w:rsid w:val="00AA1678"/>
    <w:rsid w:val="00AA207E"/>
    <w:rsid w:val="00AA28CE"/>
    <w:rsid w:val="00AA28D8"/>
    <w:rsid w:val="00AA371D"/>
    <w:rsid w:val="00AA376B"/>
    <w:rsid w:val="00AA37FE"/>
    <w:rsid w:val="00AA3A66"/>
    <w:rsid w:val="00AA3F51"/>
    <w:rsid w:val="00AA4038"/>
    <w:rsid w:val="00AA45A4"/>
    <w:rsid w:val="00AA571D"/>
    <w:rsid w:val="00AA5DE4"/>
    <w:rsid w:val="00AA635D"/>
    <w:rsid w:val="00AA6727"/>
    <w:rsid w:val="00AA69AE"/>
    <w:rsid w:val="00AA71F2"/>
    <w:rsid w:val="00AA793D"/>
    <w:rsid w:val="00AB0CD9"/>
    <w:rsid w:val="00AB0F14"/>
    <w:rsid w:val="00AB16BC"/>
    <w:rsid w:val="00AB1721"/>
    <w:rsid w:val="00AB18B4"/>
    <w:rsid w:val="00AB1C88"/>
    <w:rsid w:val="00AB23C9"/>
    <w:rsid w:val="00AB26C8"/>
    <w:rsid w:val="00AB28EE"/>
    <w:rsid w:val="00AB34CB"/>
    <w:rsid w:val="00AB36FD"/>
    <w:rsid w:val="00AB3FB1"/>
    <w:rsid w:val="00AB4BAA"/>
    <w:rsid w:val="00AB4DEA"/>
    <w:rsid w:val="00AB4EE6"/>
    <w:rsid w:val="00AB57D2"/>
    <w:rsid w:val="00AB5D02"/>
    <w:rsid w:val="00AB5D5B"/>
    <w:rsid w:val="00AB5F98"/>
    <w:rsid w:val="00AB66A4"/>
    <w:rsid w:val="00AB729E"/>
    <w:rsid w:val="00AB7B79"/>
    <w:rsid w:val="00AB7DAD"/>
    <w:rsid w:val="00AC0404"/>
    <w:rsid w:val="00AC04FA"/>
    <w:rsid w:val="00AC0BFE"/>
    <w:rsid w:val="00AC0C8C"/>
    <w:rsid w:val="00AC21C2"/>
    <w:rsid w:val="00AC2704"/>
    <w:rsid w:val="00AC276E"/>
    <w:rsid w:val="00AC2791"/>
    <w:rsid w:val="00AC2D6B"/>
    <w:rsid w:val="00AC3398"/>
    <w:rsid w:val="00AC34A0"/>
    <w:rsid w:val="00AC406D"/>
    <w:rsid w:val="00AC4273"/>
    <w:rsid w:val="00AC6239"/>
    <w:rsid w:val="00AC7680"/>
    <w:rsid w:val="00AC76BD"/>
    <w:rsid w:val="00AD0216"/>
    <w:rsid w:val="00AD03C7"/>
    <w:rsid w:val="00AD12A9"/>
    <w:rsid w:val="00AD1B9B"/>
    <w:rsid w:val="00AD3FE2"/>
    <w:rsid w:val="00AD40CA"/>
    <w:rsid w:val="00AD4B95"/>
    <w:rsid w:val="00AD6042"/>
    <w:rsid w:val="00AD65AE"/>
    <w:rsid w:val="00AD6BDB"/>
    <w:rsid w:val="00AD6DC7"/>
    <w:rsid w:val="00AD6F09"/>
    <w:rsid w:val="00AD6F0E"/>
    <w:rsid w:val="00AD7524"/>
    <w:rsid w:val="00AD7E6D"/>
    <w:rsid w:val="00AE0B79"/>
    <w:rsid w:val="00AE135C"/>
    <w:rsid w:val="00AE274E"/>
    <w:rsid w:val="00AE27B2"/>
    <w:rsid w:val="00AE2906"/>
    <w:rsid w:val="00AE33FD"/>
    <w:rsid w:val="00AE3E13"/>
    <w:rsid w:val="00AE3ED2"/>
    <w:rsid w:val="00AE4805"/>
    <w:rsid w:val="00AE5245"/>
    <w:rsid w:val="00AE581A"/>
    <w:rsid w:val="00AE61DE"/>
    <w:rsid w:val="00AE628F"/>
    <w:rsid w:val="00AF03C9"/>
    <w:rsid w:val="00AF06BA"/>
    <w:rsid w:val="00AF0B1B"/>
    <w:rsid w:val="00AF11C0"/>
    <w:rsid w:val="00AF1AE1"/>
    <w:rsid w:val="00AF2D4A"/>
    <w:rsid w:val="00AF443C"/>
    <w:rsid w:val="00AF4B58"/>
    <w:rsid w:val="00AF512F"/>
    <w:rsid w:val="00AF529D"/>
    <w:rsid w:val="00AF5762"/>
    <w:rsid w:val="00AF6854"/>
    <w:rsid w:val="00AF719E"/>
    <w:rsid w:val="00AF7DB6"/>
    <w:rsid w:val="00B01461"/>
    <w:rsid w:val="00B01B1A"/>
    <w:rsid w:val="00B02538"/>
    <w:rsid w:val="00B02DB1"/>
    <w:rsid w:val="00B04383"/>
    <w:rsid w:val="00B048A1"/>
    <w:rsid w:val="00B0697B"/>
    <w:rsid w:val="00B07500"/>
    <w:rsid w:val="00B07685"/>
    <w:rsid w:val="00B077D1"/>
    <w:rsid w:val="00B10425"/>
    <w:rsid w:val="00B11AE1"/>
    <w:rsid w:val="00B120BB"/>
    <w:rsid w:val="00B12972"/>
    <w:rsid w:val="00B13085"/>
    <w:rsid w:val="00B14CAD"/>
    <w:rsid w:val="00B15C8C"/>
    <w:rsid w:val="00B16268"/>
    <w:rsid w:val="00B1717A"/>
    <w:rsid w:val="00B17303"/>
    <w:rsid w:val="00B203D1"/>
    <w:rsid w:val="00B2076B"/>
    <w:rsid w:val="00B20886"/>
    <w:rsid w:val="00B21397"/>
    <w:rsid w:val="00B22F46"/>
    <w:rsid w:val="00B23900"/>
    <w:rsid w:val="00B23A9D"/>
    <w:rsid w:val="00B23D4D"/>
    <w:rsid w:val="00B23F59"/>
    <w:rsid w:val="00B242A9"/>
    <w:rsid w:val="00B2519A"/>
    <w:rsid w:val="00B2668E"/>
    <w:rsid w:val="00B300AC"/>
    <w:rsid w:val="00B304C4"/>
    <w:rsid w:val="00B306D6"/>
    <w:rsid w:val="00B321D8"/>
    <w:rsid w:val="00B325B8"/>
    <w:rsid w:val="00B33BF4"/>
    <w:rsid w:val="00B34B0F"/>
    <w:rsid w:val="00B365AE"/>
    <w:rsid w:val="00B366D7"/>
    <w:rsid w:val="00B36BAF"/>
    <w:rsid w:val="00B373E1"/>
    <w:rsid w:val="00B37B74"/>
    <w:rsid w:val="00B40417"/>
    <w:rsid w:val="00B40F18"/>
    <w:rsid w:val="00B40FB4"/>
    <w:rsid w:val="00B4102B"/>
    <w:rsid w:val="00B4140C"/>
    <w:rsid w:val="00B414AD"/>
    <w:rsid w:val="00B4222F"/>
    <w:rsid w:val="00B42AB8"/>
    <w:rsid w:val="00B42EE7"/>
    <w:rsid w:val="00B4390D"/>
    <w:rsid w:val="00B43927"/>
    <w:rsid w:val="00B4465B"/>
    <w:rsid w:val="00B449C8"/>
    <w:rsid w:val="00B459D6"/>
    <w:rsid w:val="00B46262"/>
    <w:rsid w:val="00B46B20"/>
    <w:rsid w:val="00B47D4B"/>
    <w:rsid w:val="00B50637"/>
    <w:rsid w:val="00B50837"/>
    <w:rsid w:val="00B514E3"/>
    <w:rsid w:val="00B51E97"/>
    <w:rsid w:val="00B528A2"/>
    <w:rsid w:val="00B52963"/>
    <w:rsid w:val="00B52F7C"/>
    <w:rsid w:val="00B54E82"/>
    <w:rsid w:val="00B55964"/>
    <w:rsid w:val="00B56003"/>
    <w:rsid w:val="00B56137"/>
    <w:rsid w:val="00B56B87"/>
    <w:rsid w:val="00B56C06"/>
    <w:rsid w:val="00B56C2A"/>
    <w:rsid w:val="00B56E60"/>
    <w:rsid w:val="00B5728F"/>
    <w:rsid w:val="00B57912"/>
    <w:rsid w:val="00B57972"/>
    <w:rsid w:val="00B579FF"/>
    <w:rsid w:val="00B600FF"/>
    <w:rsid w:val="00B60217"/>
    <w:rsid w:val="00B60976"/>
    <w:rsid w:val="00B60DF7"/>
    <w:rsid w:val="00B615B7"/>
    <w:rsid w:val="00B61A94"/>
    <w:rsid w:val="00B6304E"/>
    <w:rsid w:val="00B641D0"/>
    <w:rsid w:val="00B64848"/>
    <w:rsid w:val="00B649FC"/>
    <w:rsid w:val="00B65E25"/>
    <w:rsid w:val="00B65F72"/>
    <w:rsid w:val="00B665A8"/>
    <w:rsid w:val="00B6686B"/>
    <w:rsid w:val="00B66BFB"/>
    <w:rsid w:val="00B6765C"/>
    <w:rsid w:val="00B700CA"/>
    <w:rsid w:val="00B7012B"/>
    <w:rsid w:val="00B704BD"/>
    <w:rsid w:val="00B704C9"/>
    <w:rsid w:val="00B70D1F"/>
    <w:rsid w:val="00B70F77"/>
    <w:rsid w:val="00B70FED"/>
    <w:rsid w:val="00B7218B"/>
    <w:rsid w:val="00B726C7"/>
    <w:rsid w:val="00B72AA1"/>
    <w:rsid w:val="00B72D0C"/>
    <w:rsid w:val="00B72F1A"/>
    <w:rsid w:val="00B74C04"/>
    <w:rsid w:val="00B74E85"/>
    <w:rsid w:val="00B7530C"/>
    <w:rsid w:val="00B75833"/>
    <w:rsid w:val="00B75CD3"/>
    <w:rsid w:val="00B7600D"/>
    <w:rsid w:val="00B76B35"/>
    <w:rsid w:val="00B7764E"/>
    <w:rsid w:val="00B816DA"/>
    <w:rsid w:val="00B83F5F"/>
    <w:rsid w:val="00B84354"/>
    <w:rsid w:val="00B84452"/>
    <w:rsid w:val="00B84B1D"/>
    <w:rsid w:val="00B85DBD"/>
    <w:rsid w:val="00B85E51"/>
    <w:rsid w:val="00B85EBD"/>
    <w:rsid w:val="00B85FC6"/>
    <w:rsid w:val="00B86C6E"/>
    <w:rsid w:val="00B87B4D"/>
    <w:rsid w:val="00B9038A"/>
    <w:rsid w:val="00B9048B"/>
    <w:rsid w:val="00B910CA"/>
    <w:rsid w:val="00B93679"/>
    <w:rsid w:val="00B93874"/>
    <w:rsid w:val="00B93D59"/>
    <w:rsid w:val="00B94B07"/>
    <w:rsid w:val="00B95C3E"/>
    <w:rsid w:val="00B95C71"/>
    <w:rsid w:val="00B96AD5"/>
    <w:rsid w:val="00B96E28"/>
    <w:rsid w:val="00B978D1"/>
    <w:rsid w:val="00BA15B3"/>
    <w:rsid w:val="00BA36FD"/>
    <w:rsid w:val="00BA3B1B"/>
    <w:rsid w:val="00BA3D81"/>
    <w:rsid w:val="00BA466A"/>
    <w:rsid w:val="00BA47A5"/>
    <w:rsid w:val="00BA499F"/>
    <w:rsid w:val="00BA4EC1"/>
    <w:rsid w:val="00BA632B"/>
    <w:rsid w:val="00BA6451"/>
    <w:rsid w:val="00BA6742"/>
    <w:rsid w:val="00BA7B2D"/>
    <w:rsid w:val="00BB1A66"/>
    <w:rsid w:val="00BB26B6"/>
    <w:rsid w:val="00BB3D40"/>
    <w:rsid w:val="00BB406D"/>
    <w:rsid w:val="00BB550F"/>
    <w:rsid w:val="00BB5E31"/>
    <w:rsid w:val="00BB67C5"/>
    <w:rsid w:val="00BB6A80"/>
    <w:rsid w:val="00BB7185"/>
    <w:rsid w:val="00BB7BDA"/>
    <w:rsid w:val="00BC0A95"/>
    <w:rsid w:val="00BC235E"/>
    <w:rsid w:val="00BC24E4"/>
    <w:rsid w:val="00BC2F06"/>
    <w:rsid w:val="00BC429D"/>
    <w:rsid w:val="00BC4C7D"/>
    <w:rsid w:val="00BC4F19"/>
    <w:rsid w:val="00BC4F61"/>
    <w:rsid w:val="00BC515D"/>
    <w:rsid w:val="00BC56AB"/>
    <w:rsid w:val="00BC5819"/>
    <w:rsid w:val="00BC6998"/>
    <w:rsid w:val="00BC6C0D"/>
    <w:rsid w:val="00BD2CEC"/>
    <w:rsid w:val="00BD3BA3"/>
    <w:rsid w:val="00BD506F"/>
    <w:rsid w:val="00BD51D9"/>
    <w:rsid w:val="00BD52DB"/>
    <w:rsid w:val="00BD6CC2"/>
    <w:rsid w:val="00BD744D"/>
    <w:rsid w:val="00BD750C"/>
    <w:rsid w:val="00BE09B0"/>
    <w:rsid w:val="00BE19B5"/>
    <w:rsid w:val="00BE2A28"/>
    <w:rsid w:val="00BE2F53"/>
    <w:rsid w:val="00BE2FEB"/>
    <w:rsid w:val="00BE4044"/>
    <w:rsid w:val="00BE5463"/>
    <w:rsid w:val="00BE606F"/>
    <w:rsid w:val="00BE6226"/>
    <w:rsid w:val="00BE6807"/>
    <w:rsid w:val="00BE7A69"/>
    <w:rsid w:val="00BE7ADF"/>
    <w:rsid w:val="00BF0407"/>
    <w:rsid w:val="00BF05C5"/>
    <w:rsid w:val="00BF0BB3"/>
    <w:rsid w:val="00BF151D"/>
    <w:rsid w:val="00BF16C7"/>
    <w:rsid w:val="00BF2174"/>
    <w:rsid w:val="00BF21D1"/>
    <w:rsid w:val="00BF2D95"/>
    <w:rsid w:val="00BF2F89"/>
    <w:rsid w:val="00BF315A"/>
    <w:rsid w:val="00BF3382"/>
    <w:rsid w:val="00BF354F"/>
    <w:rsid w:val="00BF3552"/>
    <w:rsid w:val="00BF4D0B"/>
    <w:rsid w:val="00BF51AC"/>
    <w:rsid w:val="00BF560A"/>
    <w:rsid w:val="00C004AA"/>
    <w:rsid w:val="00C00A3B"/>
    <w:rsid w:val="00C01332"/>
    <w:rsid w:val="00C01591"/>
    <w:rsid w:val="00C01786"/>
    <w:rsid w:val="00C02C35"/>
    <w:rsid w:val="00C041CC"/>
    <w:rsid w:val="00C0487D"/>
    <w:rsid w:val="00C048C6"/>
    <w:rsid w:val="00C04F6F"/>
    <w:rsid w:val="00C0533F"/>
    <w:rsid w:val="00C074A5"/>
    <w:rsid w:val="00C10EEB"/>
    <w:rsid w:val="00C17174"/>
    <w:rsid w:val="00C171D5"/>
    <w:rsid w:val="00C173D5"/>
    <w:rsid w:val="00C17FEF"/>
    <w:rsid w:val="00C20F3D"/>
    <w:rsid w:val="00C215DF"/>
    <w:rsid w:val="00C21B7A"/>
    <w:rsid w:val="00C22C9C"/>
    <w:rsid w:val="00C23525"/>
    <w:rsid w:val="00C23C30"/>
    <w:rsid w:val="00C23C4C"/>
    <w:rsid w:val="00C24CFF"/>
    <w:rsid w:val="00C2528E"/>
    <w:rsid w:val="00C27E4D"/>
    <w:rsid w:val="00C313FF"/>
    <w:rsid w:val="00C3299B"/>
    <w:rsid w:val="00C32C31"/>
    <w:rsid w:val="00C32D5A"/>
    <w:rsid w:val="00C330D0"/>
    <w:rsid w:val="00C33343"/>
    <w:rsid w:val="00C361C9"/>
    <w:rsid w:val="00C361E9"/>
    <w:rsid w:val="00C37EC0"/>
    <w:rsid w:val="00C41CC5"/>
    <w:rsid w:val="00C41F5A"/>
    <w:rsid w:val="00C42445"/>
    <w:rsid w:val="00C4272E"/>
    <w:rsid w:val="00C437D7"/>
    <w:rsid w:val="00C438BC"/>
    <w:rsid w:val="00C43F90"/>
    <w:rsid w:val="00C443C9"/>
    <w:rsid w:val="00C45028"/>
    <w:rsid w:val="00C45B44"/>
    <w:rsid w:val="00C464CB"/>
    <w:rsid w:val="00C46675"/>
    <w:rsid w:val="00C470A8"/>
    <w:rsid w:val="00C47298"/>
    <w:rsid w:val="00C47A75"/>
    <w:rsid w:val="00C47C24"/>
    <w:rsid w:val="00C5037B"/>
    <w:rsid w:val="00C508FC"/>
    <w:rsid w:val="00C533AF"/>
    <w:rsid w:val="00C53C97"/>
    <w:rsid w:val="00C53D3A"/>
    <w:rsid w:val="00C54F03"/>
    <w:rsid w:val="00C569C9"/>
    <w:rsid w:val="00C61BF4"/>
    <w:rsid w:val="00C632A1"/>
    <w:rsid w:val="00C64E0A"/>
    <w:rsid w:val="00C64EF5"/>
    <w:rsid w:val="00C651C6"/>
    <w:rsid w:val="00C652F1"/>
    <w:rsid w:val="00C66517"/>
    <w:rsid w:val="00C66706"/>
    <w:rsid w:val="00C712A5"/>
    <w:rsid w:val="00C72CF8"/>
    <w:rsid w:val="00C741DC"/>
    <w:rsid w:val="00C746EF"/>
    <w:rsid w:val="00C748F3"/>
    <w:rsid w:val="00C750BD"/>
    <w:rsid w:val="00C75CA0"/>
    <w:rsid w:val="00C75DC2"/>
    <w:rsid w:val="00C763FA"/>
    <w:rsid w:val="00C772F3"/>
    <w:rsid w:val="00C77808"/>
    <w:rsid w:val="00C77E68"/>
    <w:rsid w:val="00C801B5"/>
    <w:rsid w:val="00C8031B"/>
    <w:rsid w:val="00C807F1"/>
    <w:rsid w:val="00C82054"/>
    <w:rsid w:val="00C8209A"/>
    <w:rsid w:val="00C82E32"/>
    <w:rsid w:val="00C83226"/>
    <w:rsid w:val="00C84890"/>
    <w:rsid w:val="00C84A24"/>
    <w:rsid w:val="00C84CCE"/>
    <w:rsid w:val="00C8544E"/>
    <w:rsid w:val="00C85DBD"/>
    <w:rsid w:val="00C86202"/>
    <w:rsid w:val="00C874C4"/>
    <w:rsid w:val="00C9051D"/>
    <w:rsid w:val="00C91CB7"/>
    <w:rsid w:val="00C91D0D"/>
    <w:rsid w:val="00C92716"/>
    <w:rsid w:val="00C92C04"/>
    <w:rsid w:val="00C92D92"/>
    <w:rsid w:val="00C95B4F"/>
    <w:rsid w:val="00C96A6E"/>
    <w:rsid w:val="00C96D47"/>
    <w:rsid w:val="00C97292"/>
    <w:rsid w:val="00C97A55"/>
    <w:rsid w:val="00C97BE0"/>
    <w:rsid w:val="00C97F7A"/>
    <w:rsid w:val="00CA093D"/>
    <w:rsid w:val="00CA097A"/>
    <w:rsid w:val="00CA0D9B"/>
    <w:rsid w:val="00CA15B1"/>
    <w:rsid w:val="00CA1883"/>
    <w:rsid w:val="00CA260F"/>
    <w:rsid w:val="00CA271F"/>
    <w:rsid w:val="00CA28A0"/>
    <w:rsid w:val="00CA2B83"/>
    <w:rsid w:val="00CA3E0B"/>
    <w:rsid w:val="00CA42E2"/>
    <w:rsid w:val="00CA44BC"/>
    <w:rsid w:val="00CA4605"/>
    <w:rsid w:val="00CA49ED"/>
    <w:rsid w:val="00CA5199"/>
    <w:rsid w:val="00CA5EEE"/>
    <w:rsid w:val="00CA6BBA"/>
    <w:rsid w:val="00CA7BD9"/>
    <w:rsid w:val="00CA7DF1"/>
    <w:rsid w:val="00CB022C"/>
    <w:rsid w:val="00CB03F2"/>
    <w:rsid w:val="00CB1C81"/>
    <w:rsid w:val="00CB2BF5"/>
    <w:rsid w:val="00CB3190"/>
    <w:rsid w:val="00CB3BD0"/>
    <w:rsid w:val="00CB4823"/>
    <w:rsid w:val="00CB5546"/>
    <w:rsid w:val="00CB5F98"/>
    <w:rsid w:val="00CB7335"/>
    <w:rsid w:val="00CB7D2D"/>
    <w:rsid w:val="00CC00D4"/>
    <w:rsid w:val="00CC10BD"/>
    <w:rsid w:val="00CC134B"/>
    <w:rsid w:val="00CC246E"/>
    <w:rsid w:val="00CC2A96"/>
    <w:rsid w:val="00CC2DE9"/>
    <w:rsid w:val="00CC2ED4"/>
    <w:rsid w:val="00CC3372"/>
    <w:rsid w:val="00CC3496"/>
    <w:rsid w:val="00CC3D89"/>
    <w:rsid w:val="00CC4377"/>
    <w:rsid w:val="00CC5536"/>
    <w:rsid w:val="00CC6EC5"/>
    <w:rsid w:val="00CC72E5"/>
    <w:rsid w:val="00CC7D93"/>
    <w:rsid w:val="00CC7FAA"/>
    <w:rsid w:val="00CD00C4"/>
    <w:rsid w:val="00CD0910"/>
    <w:rsid w:val="00CD2B94"/>
    <w:rsid w:val="00CD3583"/>
    <w:rsid w:val="00CD486E"/>
    <w:rsid w:val="00CD4A51"/>
    <w:rsid w:val="00CD4FA1"/>
    <w:rsid w:val="00CD52FA"/>
    <w:rsid w:val="00CD5DE8"/>
    <w:rsid w:val="00CD70F8"/>
    <w:rsid w:val="00CD77DC"/>
    <w:rsid w:val="00CE06D7"/>
    <w:rsid w:val="00CE1EE0"/>
    <w:rsid w:val="00CE26D4"/>
    <w:rsid w:val="00CE27D8"/>
    <w:rsid w:val="00CE36F9"/>
    <w:rsid w:val="00CE3F84"/>
    <w:rsid w:val="00CE41AE"/>
    <w:rsid w:val="00CE42C0"/>
    <w:rsid w:val="00CE4FA5"/>
    <w:rsid w:val="00CE5E51"/>
    <w:rsid w:val="00CE5FC1"/>
    <w:rsid w:val="00CE6405"/>
    <w:rsid w:val="00CE7122"/>
    <w:rsid w:val="00CE729D"/>
    <w:rsid w:val="00CE78F1"/>
    <w:rsid w:val="00CF034C"/>
    <w:rsid w:val="00CF053A"/>
    <w:rsid w:val="00CF12DF"/>
    <w:rsid w:val="00CF242A"/>
    <w:rsid w:val="00CF2554"/>
    <w:rsid w:val="00CF2870"/>
    <w:rsid w:val="00CF306A"/>
    <w:rsid w:val="00CF3821"/>
    <w:rsid w:val="00CF385C"/>
    <w:rsid w:val="00CF3B0D"/>
    <w:rsid w:val="00CF3B70"/>
    <w:rsid w:val="00CF3FB9"/>
    <w:rsid w:val="00CF4199"/>
    <w:rsid w:val="00CF471E"/>
    <w:rsid w:val="00CF577E"/>
    <w:rsid w:val="00CF5D58"/>
    <w:rsid w:val="00D00668"/>
    <w:rsid w:val="00D0093A"/>
    <w:rsid w:val="00D023B3"/>
    <w:rsid w:val="00D0265A"/>
    <w:rsid w:val="00D03BEE"/>
    <w:rsid w:val="00D03E61"/>
    <w:rsid w:val="00D0487E"/>
    <w:rsid w:val="00D05375"/>
    <w:rsid w:val="00D05A17"/>
    <w:rsid w:val="00D06F9A"/>
    <w:rsid w:val="00D10100"/>
    <w:rsid w:val="00D10739"/>
    <w:rsid w:val="00D10850"/>
    <w:rsid w:val="00D118F3"/>
    <w:rsid w:val="00D122F5"/>
    <w:rsid w:val="00D14285"/>
    <w:rsid w:val="00D14315"/>
    <w:rsid w:val="00D14715"/>
    <w:rsid w:val="00D147F4"/>
    <w:rsid w:val="00D14C39"/>
    <w:rsid w:val="00D15B49"/>
    <w:rsid w:val="00D15E0E"/>
    <w:rsid w:val="00D16198"/>
    <w:rsid w:val="00D163CA"/>
    <w:rsid w:val="00D2010A"/>
    <w:rsid w:val="00D2038F"/>
    <w:rsid w:val="00D22502"/>
    <w:rsid w:val="00D2320E"/>
    <w:rsid w:val="00D23EE2"/>
    <w:rsid w:val="00D245C7"/>
    <w:rsid w:val="00D24F04"/>
    <w:rsid w:val="00D2631F"/>
    <w:rsid w:val="00D26627"/>
    <w:rsid w:val="00D268BE"/>
    <w:rsid w:val="00D27024"/>
    <w:rsid w:val="00D27405"/>
    <w:rsid w:val="00D276A7"/>
    <w:rsid w:val="00D27B64"/>
    <w:rsid w:val="00D3072C"/>
    <w:rsid w:val="00D31763"/>
    <w:rsid w:val="00D31B06"/>
    <w:rsid w:val="00D32014"/>
    <w:rsid w:val="00D32105"/>
    <w:rsid w:val="00D321E8"/>
    <w:rsid w:val="00D32E55"/>
    <w:rsid w:val="00D3426C"/>
    <w:rsid w:val="00D343EC"/>
    <w:rsid w:val="00D358E9"/>
    <w:rsid w:val="00D35BEA"/>
    <w:rsid w:val="00D35DEB"/>
    <w:rsid w:val="00D35EB8"/>
    <w:rsid w:val="00D378EF"/>
    <w:rsid w:val="00D415F5"/>
    <w:rsid w:val="00D416B2"/>
    <w:rsid w:val="00D41848"/>
    <w:rsid w:val="00D42433"/>
    <w:rsid w:val="00D4392B"/>
    <w:rsid w:val="00D45EC1"/>
    <w:rsid w:val="00D45F69"/>
    <w:rsid w:val="00D462EB"/>
    <w:rsid w:val="00D46D14"/>
    <w:rsid w:val="00D46FC2"/>
    <w:rsid w:val="00D475D7"/>
    <w:rsid w:val="00D50450"/>
    <w:rsid w:val="00D50867"/>
    <w:rsid w:val="00D514CD"/>
    <w:rsid w:val="00D526EF"/>
    <w:rsid w:val="00D5290B"/>
    <w:rsid w:val="00D52C20"/>
    <w:rsid w:val="00D52FAD"/>
    <w:rsid w:val="00D537E9"/>
    <w:rsid w:val="00D55674"/>
    <w:rsid w:val="00D55DC8"/>
    <w:rsid w:val="00D571D0"/>
    <w:rsid w:val="00D60217"/>
    <w:rsid w:val="00D60E7D"/>
    <w:rsid w:val="00D61FC7"/>
    <w:rsid w:val="00D622EF"/>
    <w:rsid w:val="00D625C6"/>
    <w:rsid w:val="00D628C6"/>
    <w:rsid w:val="00D62E72"/>
    <w:rsid w:val="00D631D5"/>
    <w:rsid w:val="00D63FFF"/>
    <w:rsid w:val="00D643B3"/>
    <w:rsid w:val="00D65980"/>
    <w:rsid w:val="00D66BA9"/>
    <w:rsid w:val="00D67EBA"/>
    <w:rsid w:val="00D70490"/>
    <w:rsid w:val="00D7099F"/>
    <w:rsid w:val="00D70BFF"/>
    <w:rsid w:val="00D71077"/>
    <w:rsid w:val="00D71AE6"/>
    <w:rsid w:val="00D72A7E"/>
    <w:rsid w:val="00D730E7"/>
    <w:rsid w:val="00D733E6"/>
    <w:rsid w:val="00D7390D"/>
    <w:rsid w:val="00D73EAA"/>
    <w:rsid w:val="00D748B1"/>
    <w:rsid w:val="00D75580"/>
    <w:rsid w:val="00D758F5"/>
    <w:rsid w:val="00D75A3D"/>
    <w:rsid w:val="00D76DFB"/>
    <w:rsid w:val="00D77140"/>
    <w:rsid w:val="00D773FC"/>
    <w:rsid w:val="00D80A65"/>
    <w:rsid w:val="00D80B1F"/>
    <w:rsid w:val="00D81430"/>
    <w:rsid w:val="00D81497"/>
    <w:rsid w:val="00D82F14"/>
    <w:rsid w:val="00D835F7"/>
    <w:rsid w:val="00D83B90"/>
    <w:rsid w:val="00D841FA"/>
    <w:rsid w:val="00D84614"/>
    <w:rsid w:val="00D84D7E"/>
    <w:rsid w:val="00D857A0"/>
    <w:rsid w:val="00D86924"/>
    <w:rsid w:val="00D86E22"/>
    <w:rsid w:val="00D86E34"/>
    <w:rsid w:val="00D87653"/>
    <w:rsid w:val="00D879AC"/>
    <w:rsid w:val="00D9027F"/>
    <w:rsid w:val="00D90441"/>
    <w:rsid w:val="00D904F5"/>
    <w:rsid w:val="00D90C12"/>
    <w:rsid w:val="00D93247"/>
    <w:rsid w:val="00D93561"/>
    <w:rsid w:val="00D93D60"/>
    <w:rsid w:val="00D94D30"/>
    <w:rsid w:val="00D95FAE"/>
    <w:rsid w:val="00D96BF7"/>
    <w:rsid w:val="00D96EFA"/>
    <w:rsid w:val="00D970E6"/>
    <w:rsid w:val="00D974B9"/>
    <w:rsid w:val="00D975B9"/>
    <w:rsid w:val="00DA0399"/>
    <w:rsid w:val="00DA126E"/>
    <w:rsid w:val="00DA1639"/>
    <w:rsid w:val="00DA30DA"/>
    <w:rsid w:val="00DA39A4"/>
    <w:rsid w:val="00DA5306"/>
    <w:rsid w:val="00DA6BE5"/>
    <w:rsid w:val="00DA706B"/>
    <w:rsid w:val="00DA7ECE"/>
    <w:rsid w:val="00DB10E8"/>
    <w:rsid w:val="00DB19BD"/>
    <w:rsid w:val="00DB1D7A"/>
    <w:rsid w:val="00DB1F28"/>
    <w:rsid w:val="00DB3E62"/>
    <w:rsid w:val="00DB3EB8"/>
    <w:rsid w:val="00DB3F09"/>
    <w:rsid w:val="00DB67E0"/>
    <w:rsid w:val="00DB6BED"/>
    <w:rsid w:val="00DC0079"/>
    <w:rsid w:val="00DC09EB"/>
    <w:rsid w:val="00DC2091"/>
    <w:rsid w:val="00DC26FF"/>
    <w:rsid w:val="00DC2F4C"/>
    <w:rsid w:val="00DC3642"/>
    <w:rsid w:val="00DC404F"/>
    <w:rsid w:val="00DC45C3"/>
    <w:rsid w:val="00DC47D7"/>
    <w:rsid w:val="00DC4D97"/>
    <w:rsid w:val="00DC59D3"/>
    <w:rsid w:val="00DC634E"/>
    <w:rsid w:val="00DC70D0"/>
    <w:rsid w:val="00DC7151"/>
    <w:rsid w:val="00DC749A"/>
    <w:rsid w:val="00DC7B5A"/>
    <w:rsid w:val="00DD06B1"/>
    <w:rsid w:val="00DD16EE"/>
    <w:rsid w:val="00DD31CC"/>
    <w:rsid w:val="00DD48DC"/>
    <w:rsid w:val="00DD4F97"/>
    <w:rsid w:val="00DD56ED"/>
    <w:rsid w:val="00DD598D"/>
    <w:rsid w:val="00DD5D0E"/>
    <w:rsid w:val="00DD7379"/>
    <w:rsid w:val="00DD7D66"/>
    <w:rsid w:val="00DD7E9D"/>
    <w:rsid w:val="00DD7F90"/>
    <w:rsid w:val="00DE0000"/>
    <w:rsid w:val="00DE00C1"/>
    <w:rsid w:val="00DE0D3B"/>
    <w:rsid w:val="00DE0F80"/>
    <w:rsid w:val="00DE12FE"/>
    <w:rsid w:val="00DE1CFA"/>
    <w:rsid w:val="00DE2CBA"/>
    <w:rsid w:val="00DE2CBE"/>
    <w:rsid w:val="00DE35CB"/>
    <w:rsid w:val="00DE45B0"/>
    <w:rsid w:val="00DE4D51"/>
    <w:rsid w:val="00DE4D75"/>
    <w:rsid w:val="00DE4EC1"/>
    <w:rsid w:val="00DE53B3"/>
    <w:rsid w:val="00DE584C"/>
    <w:rsid w:val="00DE58E9"/>
    <w:rsid w:val="00DE59EB"/>
    <w:rsid w:val="00DE5C50"/>
    <w:rsid w:val="00DE67B0"/>
    <w:rsid w:val="00DE6CFA"/>
    <w:rsid w:val="00DE6E4C"/>
    <w:rsid w:val="00DF0E7E"/>
    <w:rsid w:val="00DF1F88"/>
    <w:rsid w:val="00DF34E2"/>
    <w:rsid w:val="00DF37CA"/>
    <w:rsid w:val="00DF39F2"/>
    <w:rsid w:val="00DF4709"/>
    <w:rsid w:val="00DF5B18"/>
    <w:rsid w:val="00DF5CB0"/>
    <w:rsid w:val="00DF5D3F"/>
    <w:rsid w:val="00DF5FC8"/>
    <w:rsid w:val="00DF618B"/>
    <w:rsid w:val="00DF6921"/>
    <w:rsid w:val="00DF7402"/>
    <w:rsid w:val="00DF7537"/>
    <w:rsid w:val="00DF7B25"/>
    <w:rsid w:val="00DF7B6E"/>
    <w:rsid w:val="00DF7C69"/>
    <w:rsid w:val="00DF7EC0"/>
    <w:rsid w:val="00E00650"/>
    <w:rsid w:val="00E00A33"/>
    <w:rsid w:val="00E00DDE"/>
    <w:rsid w:val="00E01087"/>
    <w:rsid w:val="00E02BF0"/>
    <w:rsid w:val="00E02EFF"/>
    <w:rsid w:val="00E03279"/>
    <w:rsid w:val="00E04BA0"/>
    <w:rsid w:val="00E05150"/>
    <w:rsid w:val="00E056E2"/>
    <w:rsid w:val="00E05C4A"/>
    <w:rsid w:val="00E06EC0"/>
    <w:rsid w:val="00E06F07"/>
    <w:rsid w:val="00E07970"/>
    <w:rsid w:val="00E07E85"/>
    <w:rsid w:val="00E10285"/>
    <w:rsid w:val="00E106D0"/>
    <w:rsid w:val="00E1217C"/>
    <w:rsid w:val="00E12ADC"/>
    <w:rsid w:val="00E1311C"/>
    <w:rsid w:val="00E13390"/>
    <w:rsid w:val="00E13434"/>
    <w:rsid w:val="00E14F54"/>
    <w:rsid w:val="00E152DF"/>
    <w:rsid w:val="00E16193"/>
    <w:rsid w:val="00E165E9"/>
    <w:rsid w:val="00E1673D"/>
    <w:rsid w:val="00E16E4F"/>
    <w:rsid w:val="00E17681"/>
    <w:rsid w:val="00E201C0"/>
    <w:rsid w:val="00E20521"/>
    <w:rsid w:val="00E20A51"/>
    <w:rsid w:val="00E20B00"/>
    <w:rsid w:val="00E21CF2"/>
    <w:rsid w:val="00E21DA0"/>
    <w:rsid w:val="00E221C4"/>
    <w:rsid w:val="00E22383"/>
    <w:rsid w:val="00E226A8"/>
    <w:rsid w:val="00E227D1"/>
    <w:rsid w:val="00E22A26"/>
    <w:rsid w:val="00E23987"/>
    <w:rsid w:val="00E252D6"/>
    <w:rsid w:val="00E257DF"/>
    <w:rsid w:val="00E25AC7"/>
    <w:rsid w:val="00E25BB8"/>
    <w:rsid w:val="00E25BCB"/>
    <w:rsid w:val="00E267F9"/>
    <w:rsid w:val="00E269C3"/>
    <w:rsid w:val="00E27F99"/>
    <w:rsid w:val="00E303B7"/>
    <w:rsid w:val="00E31B56"/>
    <w:rsid w:val="00E34689"/>
    <w:rsid w:val="00E367C1"/>
    <w:rsid w:val="00E36991"/>
    <w:rsid w:val="00E40AC7"/>
    <w:rsid w:val="00E4157C"/>
    <w:rsid w:val="00E41C1F"/>
    <w:rsid w:val="00E42314"/>
    <w:rsid w:val="00E42F15"/>
    <w:rsid w:val="00E438A4"/>
    <w:rsid w:val="00E43D42"/>
    <w:rsid w:val="00E442FC"/>
    <w:rsid w:val="00E45406"/>
    <w:rsid w:val="00E45A21"/>
    <w:rsid w:val="00E46174"/>
    <w:rsid w:val="00E47334"/>
    <w:rsid w:val="00E47BD2"/>
    <w:rsid w:val="00E5136D"/>
    <w:rsid w:val="00E52BCC"/>
    <w:rsid w:val="00E545CE"/>
    <w:rsid w:val="00E5473A"/>
    <w:rsid w:val="00E548C3"/>
    <w:rsid w:val="00E5564D"/>
    <w:rsid w:val="00E566FB"/>
    <w:rsid w:val="00E56854"/>
    <w:rsid w:val="00E57299"/>
    <w:rsid w:val="00E609DA"/>
    <w:rsid w:val="00E60FD5"/>
    <w:rsid w:val="00E61059"/>
    <w:rsid w:val="00E61322"/>
    <w:rsid w:val="00E61803"/>
    <w:rsid w:val="00E618C6"/>
    <w:rsid w:val="00E63320"/>
    <w:rsid w:val="00E63858"/>
    <w:rsid w:val="00E63B4E"/>
    <w:rsid w:val="00E63BFD"/>
    <w:rsid w:val="00E63DBC"/>
    <w:rsid w:val="00E64482"/>
    <w:rsid w:val="00E64E46"/>
    <w:rsid w:val="00E6607B"/>
    <w:rsid w:val="00E6633F"/>
    <w:rsid w:val="00E66BF0"/>
    <w:rsid w:val="00E72263"/>
    <w:rsid w:val="00E72969"/>
    <w:rsid w:val="00E72E07"/>
    <w:rsid w:val="00E73191"/>
    <w:rsid w:val="00E739D3"/>
    <w:rsid w:val="00E74367"/>
    <w:rsid w:val="00E758C5"/>
    <w:rsid w:val="00E75B2D"/>
    <w:rsid w:val="00E75D84"/>
    <w:rsid w:val="00E76B80"/>
    <w:rsid w:val="00E77287"/>
    <w:rsid w:val="00E775EF"/>
    <w:rsid w:val="00E8034F"/>
    <w:rsid w:val="00E80549"/>
    <w:rsid w:val="00E81B9D"/>
    <w:rsid w:val="00E81D97"/>
    <w:rsid w:val="00E8279D"/>
    <w:rsid w:val="00E82BC7"/>
    <w:rsid w:val="00E82CFB"/>
    <w:rsid w:val="00E83A59"/>
    <w:rsid w:val="00E84990"/>
    <w:rsid w:val="00E84FE7"/>
    <w:rsid w:val="00E860AE"/>
    <w:rsid w:val="00E87467"/>
    <w:rsid w:val="00E87AA3"/>
    <w:rsid w:val="00E9204C"/>
    <w:rsid w:val="00E9257A"/>
    <w:rsid w:val="00E926EE"/>
    <w:rsid w:val="00E92AFC"/>
    <w:rsid w:val="00E933CE"/>
    <w:rsid w:val="00E93767"/>
    <w:rsid w:val="00E939D6"/>
    <w:rsid w:val="00E93DA1"/>
    <w:rsid w:val="00E944E9"/>
    <w:rsid w:val="00E94533"/>
    <w:rsid w:val="00E952F6"/>
    <w:rsid w:val="00E953FD"/>
    <w:rsid w:val="00E96087"/>
    <w:rsid w:val="00E9782A"/>
    <w:rsid w:val="00E979AF"/>
    <w:rsid w:val="00E97CAA"/>
    <w:rsid w:val="00EA18AD"/>
    <w:rsid w:val="00EA212B"/>
    <w:rsid w:val="00EA27CC"/>
    <w:rsid w:val="00EA2E5D"/>
    <w:rsid w:val="00EA30FA"/>
    <w:rsid w:val="00EA381A"/>
    <w:rsid w:val="00EA396E"/>
    <w:rsid w:val="00EA4F81"/>
    <w:rsid w:val="00EA547D"/>
    <w:rsid w:val="00EA55C1"/>
    <w:rsid w:val="00EA5A82"/>
    <w:rsid w:val="00EA5BCC"/>
    <w:rsid w:val="00EA627C"/>
    <w:rsid w:val="00EA69E5"/>
    <w:rsid w:val="00EA6BC9"/>
    <w:rsid w:val="00EA6C27"/>
    <w:rsid w:val="00EB0152"/>
    <w:rsid w:val="00EB0F41"/>
    <w:rsid w:val="00EB19C4"/>
    <w:rsid w:val="00EB5237"/>
    <w:rsid w:val="00EB599D"/>
    <w:rsid w:val="00EB64BE"/>
    <w:rsid w:val="00EB6B54"/>
    <w:rsid w:val="00EB72F5"/>
    <w:rsid w:val="00EC0076"/>
    <w:rsid w:val="00EC06BE"/>
    <w:rsid w:val="00EC0A47"/>
    <w:rsid w:val="00EC18A9"/>
    <w:rsid w:val="00EC2332"/>
    <w:rsid w:val="00EC2CE3"/>
    <w:rsid w:val="00EC2DE4"/>
    <w:rsid w:val="00EC3036"/>
    <w:rsid w:val="00EC40F6"/>
    <w:rsid w:val="00EC46A2"/>
    <w:rsid w:val="00EC4D36"/>
    <w:rsid w:val="00EC5388"/>
    <w:rsid w:val="00ED02C5"/>
    <w:rsid w:val="00ED0C32"/>
    <w:rsid w:val="00ED10B8"/>
    <w:rsid w:val="00ED26F2"/>
    <w:rsid w:val="00ED2CD2"/>
    <w:rsid w:val="00ED47B4"/>
    <w:rsid w:val="00ED49E0"/>
    <w:rsid w:val="00ED5E5B"/>
    <w:rsid w:val="00ED7260"/>
    <w:rsid w:val="00ED7F3A"/>
    <w:rsid w:val="00EE15C8"/>
    <w:rsid w:val="00EE3CF6"/>
    <w:rsid w:val="00EE3D95"/>
    <w:rsid w:val="00EE48F2"/>
    <w:rsid w:val="00EE5160"/>
    <w:rsid w:val="00EE5D5E"/>
    <w:rsid w:val="00EE6051"/>
    <w:rsid w:val="00EE7BE1"/>
    <w:rsid w:val="00EF0148"/>
    <w:rsid w:val="00EF11BC"/>
    <w:rsid w:val="00EF1B14"/>
    <w:rsid w:val="00EF29C8"/>
    <w:rsid w:val="00EF30C7"/>
    <w:rsid w:val="00EF3D4A"/>
    <w:rsid w:val="00EF4E2C"/>
    <w:rsid w:val="00EF55B5"/>
    <w:rsid w:val="00EF606B"/>
    <w:rsid w:val="00EF70AE"/>
    <w:rsid w:val="00EF722E"/>
    <w:rsid w:val="00EF78D0"/>
    <w:rsid w:val="00EF7C04"/>
    <w:rsid w:val="00F001B5"/>
    <w:rsid w:val="00F00C51"/>
    <w:rsid w:val="00F00F56"/>
    <w:rsid w:val="00F011B3"/>
    <w:rsid w:val="00F01291"/>
    <w:rsid w:val="00F01737"/>
    <w:rsid w:val="00F020FB"/>
    <w:rsid w:val="00F029B8"/>
    <w:rsid w:val="00F03F65"/>
    <w:rsid w:val="00F04D97"/>
    <w:rsid w:val="00F04F42"/>
    <w:rsid w:val="00F05E4B"/>
    <w:rsid w:val="00F05E84"/>
    <w:rsid w:val="00F05F9F"/>
    <w:rsid w:val="00F05FCF"/>
    <w:rsid w:val="00F060FD"/>
    <w:rsid w:val="00F063BC"/>
    <w:rsid w:val="00F0784A"/>
    <w:rsid w:val="00F10902"/>
    <w:rsid w:val="00F11470"/>
    <w:rsid w:val="00F11B66"/>
    <w:rsid w:val="00F11F6F"/>
    <w:rsid w:val="00F12346"/>
    <w:rsid w:val="00F123E2"/>
    <w:rsid w:val="00F12711"/>
    <w:rsid w:val="00F12BC1"/>
    <w:rsid w:val="00F13BF3"/>
    <w:rsid w:val="00F1491A"/>
    <w:rsid w:val="00F14B1E"/>
    <w:rsid w:val="00F1525A"/>
    <w:rsid w:val="00F15B80"/>
    <w:rsid w:val="00F1607F"/>
    <w:rsid w:val="00F170B7"/>
    <w:rsid w:val="00F17771"/>
    <w:rsid w:val="00F20B21"/>
    <w:rsid w:val="00F20F72"/>
    <w:rsid w:val="00F21A53"/>
    <w:rsid w:val="00F22A1E"/>
    <w:rsid w:val="00F23843"/>
    <w:rsid w:val="00F23BA1"/>
    <w:rsid w:val="00F23BC9"/>
    <w:rsid w:val="00F2417A"/>
    <w:rsid w:val="00F24D57"/>
    <w:rsid w:val="00F25278"/>
    <w:rsid w:val="00F25A9A"/>
    <w:rsid w:val="00F2627D"/>
    <w:rsid w:val="00F26F26"/>
    <w:rsid w:val="00F273E0"/>
    <w:rsid w:val="00F27613"/>
    <w:rsid w:val="00F30400"/>
    <w:rsid w:val="00F30725"/>
    <w:rsid w:val="00F3109D"/>
    <w:rsid w:val="00F314C5"/>
    <w:rsid w:val="00F32465"/>
    <w:rsid w:val="00F337B7"/>
    <w:rsid w:val="00F3426D"/>
    <w:rsid w:val="00F3433C"/>
    <w:rsid w:val="00F34BAA"/>
    <w:rsid w:val="00F3504E"/>
    <w:rsid w:val="00F35131"/>
    <w:rsid w:val="00F355B8"/>
    <w:rsid w:val="00F359BD"/>
    <w:rsid w:val="00F35A18"/>
    <w:rsid w:val="00F37B20"/>
    <w:rsid w:val="00F37F03"/>
    <w:rsid w:val="00F41DC1"/>
    <w:rsid w:val="00F420A7"/>
    <w:rsid w:val="00F426CC"/>
    <w:rsid w:val="00F43233"/>
    <w:rsid w:val="00F43BBB"/>
    <w:rsid w:val="00F44F5A"/>
    <w:rsid w:val="00F45397"/>
    <w:rsid w:val="00F4555B"/>
    <w:rsid w:val="00F4569E"/>
    <w:rsid w:val="00F45F0B"/>
    <w:rsid w:val="00F4606D"/>
    <w:rsid w:val="00F47778"/>
    <w:rsid w:val="00F47861"/>
    <w:rsid w:val="00F47B22"/>
    <w:rsid w:val="00F47C2A"/>
    <w:rsid w:val="00F502F1"/>
    <w:rsid w:val="00F5168F"/>
    <w:rsid w:val="00F5184E"/>
    <w:rsid w:val="00F51B03"/>
    <w:rsid w:val="00F52263"/>
    <w:rsid w:val="00F528ED"/>
    <w:rsid w:val="00F53205"/>
    <w:rsid w:val="00F53FF8"/>
    <w:rsid w:val="00F543EF"/>
    <w:rsid w:val="00F558B0"/>
    <w:rsid w:val="00F56006"/>
    <w:rsid w:val="00F562E6"/>
    <w:rsid w:val="00F56CD5"/>
    <w:rsid w:val="00F574F7"/>
    <w:rsid w:val="00F60B5F"/>
    <w:rsid w:val="00F60D06"/>
    <w:rsid w:val="00F61240"/>
    <w:rsid w:val="00F61C8D"/>
    <w:rsid w:val="00F61D4D"/>
    <w:rsid w:val="00F6271E"/>
    <w:rsid w:val="00F62836"/>
    <w:rsid w:val="00F6294E"/>
    <w:rsid w:val="00F62958"/>
    <w:rsid w:val="00F629C9"/>
    <w:rsid w:val="00F62A82"/>
    <w:rsid w:val="00F63C08"/>
    <w:rsid w:val="00F64628"/>
    <w:rsid w:val="00F64AEE"/>
    <w:rsid w:val="00F64CE1"/>
    <w:rsid w:val="00F650B8"/>
    <w:rsid w:val="00F65879"/>
    <w:rsid w:val="00F66240"/>
    <w:rsid w:val="00F66D0B"/>
    <w:rsid w:val="00F74508"/>
    <w:rsid w:val="00F748D7"/>
    <w:rsid w:val="00F7548A"/>
    <w:rsid w:val="00F75842"/>
    <w:rsid w:val="00F76222"/>
    <w:rsid w:val="00F76870"/>
    <w:rsid w:val="00F77C78"/>
    <w:rsid w:val="00F77FE2"/>
    <w:rsid w:val="00F805F4"/>
    <w:rsid w:val="00F80D19"/>
    <w:rsid w:val="00F80DFA"/>
    <w:rsid w:val="00F814A7"/>
    <w:rsid w:val="00F81580"/>
    <w:rsid w:val="00F82E17"/>
    <w:rsid w:val="00F82EAB"/>
    <w:rsid w:val="00F8301D"/>
    <w:rsid w:val="00F83A99"/>
    <w:rsid w:val="00F849C0"/>
    <w:rsid w:val="00F85817"/>
    <w:rsid w:val="00F85C73"/>
    <w:rsid w:val="00F86492"/>
    <w:rsid w:val="00F8737D"/>
    <w:rsid w:val="00F8787A"/>
    <w:rsid w:val="00F879EA"/>
    <w:rsid w:val="00F87A37"/>
    <w:rsid w:val="00F906CF"/>
    <w:rsid w:val="00F90976"/>
    <w:rsid w:val="00F909B9"/>
    <w:rsid w:val="00F90D42"/>
    <w:rsid w:val="00F910F3"/>
    <w:rsid w:val="00F924A6"/>
    <w:rsid w:val="00F92784"/>
    <w:rsid w:val="00F93C10"/>
    <w:rsid w:val="00F94337"/>
    <w:rsid w:val="00F947B9"/>
    <w:rsid w:val="00F95166"/>
    <w:rsid w:val="00F95578"/>
    <w:rsid w:val="00F96D0C"/>
    <w:rsid w:val="00FA106F"/>
    <w:rsid w:val="00FA191D"/>
    <w:rsid w:val="00FA1DFB"/>
    <w:rsid w:val="00FA1E14"/>
    <w:rsid w:val="00FA1F02"/>
    <w:rsid w:val="00FA2E77"/>
    <w:rsid w:val="00FA35E8"/>
    <w:rsid w:val="00FA3F4A"/>
    <w:rsid w:val="00FA49E3"/>
    <w:rsid w:val="00FA54F1"/>
    <w:rsid w:val="00FA58CD"/>
    <w:rsid w:val="00FA5D30"/>
    <w:rsid w:val="00FA64BD"/>
    <w:rsid w:val="00FA7349"/>
    <w:rsid w:val="00FA77C3"/>
    <w:rsid w:val="00FB0626"/>
    <w:rsid w:val="00FB1432"/>
    <w:rsid w:val="00FB240C"/>
    <w:rsid w:val="00FB301E"/>
    <w:rsid w:val="00FB3EF4"/>
    <w:rsid w:val="00FB66FA"/>
    <w:rsid w:val="00FB7222"/>
    <w:rsid w:val="00FB73DE"/>
    <w:rsid w:val="00FC053B"/>
    <w:rsid w:val="00FC14EA"/>
    <w:rsid w:val="00FC15AF"/>
    <w:rsid w:val="00FC1A9A"/>
    <w:rsid w:val="00FC2F01"/>
    <w:rsid w:val="00FC4761"/>
    <w:rsid w:val="00FC485E"/>
    <w:rsid w:val="00FC4A0D"/>
    <w:rsid w:val="00FC4BBF"/>
    <w:rsid w:val="00FC68BF"/>
    <w:rsid w:val="00FC6B64"/>
    <w:rsid w:val="00FC70F1"/>
    <w:rsid w:val="00FC72CE"/>
    <w:rsid w:val="00FC7600"/>
    <w:rsid w:val="00FC7F8B"/>
    <w:rsid w:val="00FD0301"/>
    <w:rsid w:val="00FD1E99"/>
    <w:rsid w:val="00FD3114"/>
    <w:rsid w:val="00FD52F6"/>
    <w:rsid w:val="00FD6576"/>
    <w:rsid w:val="00FD667A"/>
    <w:rsid w:val="00FD66A7"/>
    <w:rsid w:val="00FD7012"/>
    <w:rsid w:val="00FD7A14"/>
    <w:rsid w:val="00FD7A36"/>
    <w:rsid w:val="00FD7E0A"/>
    <w:rsid w:val="00FE0749"/>
    <w:rsid w:val="00FE0D66"/>
    <w:rsid w:val="00FE3CEF"/>
    <w:rsid w:val="00FE3D52"/>
    <w:rsid w:val="00FE4EBA"/>
    <w:rsid w:val="00FE5F9B"/>
    <w:rsid w:val="00FE616D"/>
    <w:rsid w:val="00FE6347"/>
    <w:rsid w:val="00FE65FA"/>
    <w:rsid w:val="00FE6E16"/>
    <w:rsid w:val="00FE71BA"/>
    <w:rsid w:val="00FF0EBA"/>
    <w:rsid w:val="00FF355F"/>
    <w:rsid w:val="00FF3699"/>
    <w:rsid w:val="00FF46DF"/>
    <w:rsid w:val="00FF4F1B"/>
    <w:rsid w:val="00FF5B8A"/>
    <w:rsid w:val="00FF6291"/>
    <w:rsid w:val="00FF63A0"/>
    <w:rsid w:val="00FF6487"/>
    <w:rsid w:val="00FF66BA"/>
    <w:rsid w:val="00FF6F7C"/>
    <w:rsid w:val="00FF72FC"/>
    <w:rsid w:val="00FF7979"/>
    <w:rsid w:val="00FF7B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BDBEEF"/>
  <w15:chartTrackingRefBased/>
  <w15:docId w15:val="{F886B585-C30A-4BB9-8899-F0653D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2FC"/>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27631D"/>
    <w:pPr>
      <w:keepNext/>
      <w:keepLines/>
      <w:spacing w:after="0" w:line="23" w:lineRule="atLeast"/>
      <w:contextualSpacing/>
      <w:jc w:val="center"/>
      <w:outlineLvl w:val="0"/>
    </w:pPr>
    <w:rPr>
      <w:rFonts w:ascii="Arial" w:eastAsiaTheme="majorEastAsia" w:hAnsi="Arial" w:cs="Arial"/>
      <w:b/>
      <w:sz w:val="26"/>
      <w:szCs w:val="26"/>
      <w:lang w:eastAsia="es-MX"/>
    </w:rPr>
  </w:style>
  <w:style w:type="paragraph" w:styleId="Ttulo2">
    <w:name w:val="heading 2"/>
    <w:basedOn w:val="Ttulo1"/>
    <w:next w:val="Normal"/>
    <w:link w:val="Ttulo2Car"/>
    <w:uiPriority w:val="9"/>
    <w:unhideWhenUsed/>
    <w:qFormat/>
    <w:rsid w:val="0027631D"/>
    <w:pPr>
      <w:jc w:val="both"/>
      <w:outlineLvl w:val="1"/>
    </w:pPr>
  </w:style>
  <w:style w:type="paragraph" w:styleId="Ttulo3">
    <w:name w:val="heading 3"/>
    <w:basedOn w:val="Ttulo2"/>
    <w:next w:val="Normal"/>
    <w:link w:val="Ttulo3Car"/>
    <w:uiPriority w:val="9"/>
    <w:unhideWhenUsed/>
    <w:qFormat/>
    <w:rsid w:val="0027631D"/>
    <w:pPr>
      <w:jc w:val="center"/>
      <w:outlineLvl w:val="2"/>
    </w:pPr>
  </w:style>
  <w:style w:type="paragraph" w:styleId="Ttulo4">
    <w:name w:val="heading 4"/>
    <w:basedOn w:val="Normal"/>
    <w:next w:val="Normal"/>
    <w:link w:val="Ttulo4Car"/>
    <w:uiPriority w:val="9"/>
    <w:unhideWhenUsed/>
    <w:qFormat/>
    <w:rsid w:val="0027631D"/>
    <w:pPr>
      <w:keepNext/>
      <w:keepLines/>
      <w:numPr>
        <w:numId w:val="17"/>
      </w:numPr>
      <w:spacing w:after="0" w:line="240" w:lineRule="auto"/>
      <w:jc w:val="both"/>
      <w:outlineLvl w:val="3"/>
    </w:pPr>
    <w:rPr>
      <w:rFonts w:ascii="Arial" w:eastAsiaTheme="majorEastAsia" w:hAnsi="Arial" w:cs="Arial"/>
      <w:b/>
      <w:iCs/>
    </w:rPr>
  </w:style>
  <w:style w:type="paragraph" w:styleId="Ttulo5">
    <w:name w:val="heading 5"/>
    <w:basedOn w:val="Ttulo1"/>
    <w:next w:val="Normal"/>
    <w:link w:val="Ttulo5Car"/>
    <w:uiPriority w:val="9"/>
    <w:unhideWhenUsed/>
    <w:qFormat/>
    <w:rsid w:val="00794179"/>
    <w:pPr>
      <w:numPr>
        <w:numId w:val="14"/>
      </w:numPr>
      <w:jc w:val="left"/>
      <w:outlineLvl w:val="4"/>
    </w:pPr>
    <w:rPr>
      <w:sz w:val="22"/>
    </w:rPr>
  </w:style>
  <w:style w:type="paragraph" w:styleId="Ttulo6">
    <w:name w:val="heading 6"/>
    <w:basedOn w:val="Ttulo5"/>
    <w:next w:val="Normal"/>
    <w:link w:val="Ttulo6Car"/>
    <w:uiPriority w:val="9"/>
    <w:unhideWhenUsed/>
    <w:qFormat/>
    <w:rsid w:val="00794179"/>
    <w:pPr>
      <w:numPr>
        <w:ilvl w:val="1"/>
      </w:numPr>
      <w:outlineLvl w:val="5"/>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87E14"/>
    <w:pPr>
      <w:tabs>
        <w:tab w:val="center" w:pos="4419"/>
        <w:tab w:val="right" w:pos="8838"/>
      </w:tabs>
      <w:spacing w:after="0" w:line="240" w:lineRule="auto"/>
    </w:pPr>
  </w:style>
  <w:style w:type="character" w:customStyle="1" w:styleId="EncabezadoCar">
    <w:name w:val="Encabezado Car"/>
    <w:basedOn w:val="Fuentedeprrafopredeter"/>
    <w:link w:val="Encabezado"/>
    <w:rsid w:val="00A87E14"/>
    <w:rPr>
      <w:rFonts w:ascii="Calibri" w:eastAsia="Calibri" w:hAnsi="Calibri" w:cs="Times New Roman"/>
    </w:rPr>
  </w:style>
  <w:style w:type="paragraph" w:styleId="Piedepgina">
    <w:name w:val="footer"/>
    <w:basedOn w:val="Normal"/>
    <w:link w:val="PiedepginaCar"/>
    <w:uiPriority w:val="99"/>
    <w:unhideWhenUsed/>
    <w:rsid w:val="00A87E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7E14"/>
    <w:rPr>
      <w:rFonts w:ascii="Calibri" w:eastAsia="Calibri" w:hAnsi="Calibri" w:cs="Times New Roman"/>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Listas,lp1,CNBV Parrafo1,List Paragraph-Thesis,Dot pt"/>
    <w:basedOn w:val="Normal"/>
    <w:link w:val="PrrafodelistaCar"/>
    <w:uiPriority w:val="34"/>
    <w:qFormat/>
    <w:rsid w:val="00A87E14"/>
    <w:pPr>
      <w:spacing w:after="0" w:line="240" w:lineRule="auto"/>
      <w:ind w:left="708"/>
    </w:pPr>
    <w:rPr>
      <w:rFonts w:ascii="Arial" w:eastAsia="Times New Roman" w:hAnsi="Arial"/>
      <w:sz w:val="24"/>
      <w:szCs w:val="20"/>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Listas Car"/>
    <w:link w:val="Prrafodelista"/>
    <w:uiPriority w:val="34"/>
    <w:qFormat/>
    <w:locked/>
    <w:rsid w:val="00A87E14"/>
    <w:rPr>
      <w:rFonts w:ascii="Arial" w:eastAsia="Times New Roman" w:hAnsi="Arial" w:cs="Times New Roman"/>
      <w:sz w:val="24"/>
      <w:szCs w:val="20"/>
    </w:rPr>
  </w:style>
  <w:style w:type="paragraph" w:customStyle="1" w:styleId="estilo30">
    <w:name w:val="estilo30"/>
    <w:basedOn w:val="Normal"/>
    <w:rsid w:val="00A87E14"/>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A87E14"/>
    <w:rPr>
      <w:sz w:val="16"/>
      <w:szCs w:val="16"/>
    </w:rPr>
  </w:style>
  <w:style w:type="paragraph" w:styleId="Textocomentario">
    <w:name w:val="annotation text"/>
    <w:basedOn w:val="Normal"/>
    <w:link w:val="TextocomentarioCar"/>
    <w:uiPriority w:val="99"/>
    <w:unhideWhenUsed/>
    <w:rsid w:val="00A87E14"/>
    <w:pPr>
      <w:spacing w:line="240" w:lineRule="auto"/>
    </w:pPr>
    <w:rPr>
      <w:sz w:val="20"/>
      <w:szCs w:val="20"/>
    </w:rPr>
  </w:style>
  <w:style w:type="character" w:customStyle="1" w:styleId="TextocomentarioCar">
    <w:name w:val="Texto comentario Car"/>
    <w:basedOn w:val="Fuentedeprrafopredeter"/>
    <w:link w:val="Textocomentario"/>
    <w:uiPriority w:val="99"/>
    <w:rsid w:val="00A87E14"/>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A87E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7E14"/>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87E14"/>
    <w:rPr>
      <w:b/>
      <w:bCs/>
    </w:rPr>
  </w:style>
  <w:style w:type="character" w:customStyle="1" w:styleId="AsuntodelcomentarioCar">
    <w:name w:val="Asunto del comentario Car"/>
    <w:basedOn w:val="TextocomentarioCar"/>
    <w:link w:val="Asuntodelcomentario"/>
    <w:uiPriority w:val="99"/>
    <w:semiHidden/>
    <w:rsid w:val="00A87E14"/>
    <w:rPr>
      <w:rFonts w:ascii="Calibri" w:eastAsia="Calibri" w:hAnsi="Calibri" w:cs="Times New Roman"/>
      <w:b/>
      <w:bCs/>
      <w:sz w:val="20"/>
      <w:szCs w:val="20"/>
    </w:rPr>
  </w:style>
  <w:style w:type="paragraph" w:styleId="Textoindependiente">
    <w:name w:val="Body Text"/>
    <w:basedOn w:val="Normal"/>
    <w:link w:val="TextoindependienteCar"/>
    <w:uiPriority w:val="99"/>
    <w:semiHidden/>
    <w:unhideWhenUsed/>
    <w:rsid w:val="00A87E14"/>
    <w:pPr>
      <w:spacing w:after="120"/>
    </w:pPr>
  </w:style>
  <w:style w:type="character" w:customStyle="1" w:styleId="TextoindependienteCar">
    <w:name w:val="Texto independiente Car"/>
    <w:basedOn w:val="Fuentedeprrafopredeter"/>
    <w:link w:val="Textoindependiente"/>
    <w:uiPriority w:val="99"/>
    <w:semiHidden/>
    <w:rsid w:val="00A87E14"/>
    <w:rPr>
      <w:rFonts w:ascii="Calibri" w:eastAsia="Calibri" w:hAnsi="Calibri" w:cs="Times New Roman"/>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DN"/>
    <w:basedOn w:val="Normal"/>
    <w:link w:val="TextonotapieCar"/>
    <w:uiPriority w:val="99"/>
    <w:unhideWhenUsed/>
    <w:qFormat/>
    <w:rsid w:val="00A87E14"/>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DN Car"/>
    <w:basedOn w:val="Fuentedeprrafopredeter"/>
    <w:link w:val="Textonotapie"/>
    <w:uiPriority w:val="99"/>
    <w:rsid w:val="00A87E14"/>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rsid w:val="00A87E14"/>
    <w:rPr>
      <w:vertAlign w:val="superscript"/>
    </w:rPr>
  </w:style>
  <w:style w:type="character" w:customStyle="1" w:styleId="apple-converted-space">
    <w:name w:val="apple-converted-space"/>
    <w:basedOn w:val="Fuentedeprrafopredeter"/>
    <w:rsid w:val="00A87E14"/>
  </w:style>
  <w:style w:type="paragraph" w:styleId="Revisin">
    <w:name w:val="Revision"/>
    <w:hidden/>
    <w:uiPriority w:val="99"/>
    <w:semiHidden/>
    <w:rsid w:val="00A87E14"/>
    <w:pPr>
      <w:spacing w:after="0" w:line="240" w:lineRule="auto"/>
    </w:pPr>
    <w:rPr>
      <w:rFonts w:ascii="Calibri" w:eastAsia="Calibri" w:hAnsi="Calibri" w:cs="Times New Roman"/>
    </w:rPr>
  </w:style>
  <w:style w:type="paragraph" w:customStyle="1" w:styleId="Default">
    <w:name w:val="Default"/>
    <w:rsid w:val="00A87E14"/>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A87E1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A87E14"/>
    <w:rPr>
      <w:rFonts w:ascii="Arial" w:eastAsia="Times New Roman" w:hAnsi="Arial" w:cs="Arial"/>
      <w:sz w:val="18"/>
      <w:szCs w:val="20"/>
      <w:lang w:val="es-ES" w:eastAsia="es-ES"/>
    </w:rPr>
  </w:style>
  <w:style w:type="table" w:styleId="Tablaconcuadrcula">
    <w:name w:val="Table Grid"/>
    <w:basedOn w:val="Tablanormal"/>
    <w:uiPriority w:val="39"/>
    <w:rsid w:val="00A87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B66A4"/>
    <w:rPr>
      <w:color w:val="0000FF"/>
      <w:u w:val="single"/>
    </w:rPr>
  </w:style>
  <w:style w:type="character" w:styleId="Hipervnculovisitado">
    <w:name w:val="FollowedHyperlink"/>
    <w:basedOn w:val="Fuentedeprrafopredeter"/>
    <w:uiPriority w:val="99"/>
    <w:semiHidden/>
    <w:unhideWhenUsed/>
    <w:rsid w:val="00436A94"/>
    <w:rPr>
      <w:color w:val="954F72" w:themeColor="followedHyperlink"/>
      <w:u w:val="single"/>
    </w:rPr>
  </w:style>
  <w:style w:type="character" w:customStyle="1" w:styleId="Ttulo1Car">
    <w:name w:val="Título 1 Car"/>
    <w:basedOn w:val="Fuentedeprrafopredeter"/>
    <w:link w:val="Ttulo1"/>
    <w:uiPriority w:val="9"/>
    <w:rsid w:val="0027631D"/>
    <w:rPr>
      <w:rFonts w:ascii="Arial" w:eastAsiaTheme="majorEastAsia" w:hAnsi="Arial" w:cs="Arial"/>
      <w:b/>
      <w:sz w:val="26"/>
      <w:szCs w:val="26"/>
      <w:lang w:eastAsia="es-MX"/>
    </w:rPr>
  </w:style>
  <w:style w:type="paragraph" w:styleId="TDC3">
    <w:name w:val="toc 3"/>
    <w:basedOn w:val="Normal"/>
    <w:autoRedefine/>
    <w:uiPriority w:val="39"/>
    <w:unhideWhenUsed/>
    <w:rsid w:val="002B6A01"/>
    <w:pPr>
      <w:spacing w:after="0"/>
      <w:jc w:val="center"/>
    </w:pPr>
    <w:rPr>
      <w:rFonts w:ascii="Times New Roman" w:eastAsiaTheme="minorHAnsi" w:hAnsi="Times New Roman"/>
      <w:sz w:val="20"/>
      <w:szCs w:val="20"/>
    </w:rPr>
  </w:style>
  <w:style w:type="paragraph" w:styleId="NormalWeb">
    <w:name w:val="Normal (Web)"/>
    <w:basedOn w:val="Normal"/>
    <w:uiPriority w:val="99"/>
    <w:unhideWhenUsed/>
    <w:rsid w:val="00CC2A96"/>
    <w:pPr>
      <w:spacing w:after="0" w:line="240" w:lineRule="auto"/>
    </w:pPr>
    <w:rPr>
      <w:rFonts w:ascii="Times New Roman" w:eastAsiaTheme="minorHAnsi" w:hAnsi="Times New Roman"/>
      <w:sz w:val="24"/>
      <w:szCs w:val="24"/>
      <w:lang w:eastAsia="es-MX"/>
    </w:rPr>
  </w:style>
  <w:style w:type="paragraph" w:customStyle="1" w:styleId="Pa54">
    <w:name w:val="Pa5+4"/>
    <w:basedOn w:val="Default"/>
    <w:next w:val="Default"/>
    <w:uiPriority w:val="99"/>
    <w:rsid w:val="006E4997"/>
    <w:pPr>
      <w:spacing w:line="181" w:lineRule="atLeast"/>
    </w:pPr>
    <w:rPr>
      <w:rFonts w:ascii="Helvetica" w:hAnsi="Helvetica" w:cs="Helvetica"/>
      <w:color w:val="auto"/>
    </w:rPr>
  </w:style>
  <w:style w:type="character" w:customStyle="1" w:styleId="A42">
    <w:name w:val="A4+2"/>
    <w:uiPriority w:val="99"/>
    <w:rsid w:val="006E4997"/>
    <w:rPr>
      <w:color w:val="000000"/>
    </w:rPr>
  </w:style>
  <w:style w:type="character" w:customStyle="1" w:styleId="FirmasDGDTRCar">
    <w:name w:val="Firmas DGDTR Car"/>
    <w:basedOn w:val="Fuentedeprrafopredeter"/>
    <w:link w:val="FirmasDGDTR"/>
    <w:locked/>
    <w:rsid w:val="006B2ACA"/>
    <w:rPr>
      <w:rFonts w:ascii="ITC Avant Garde" w:eastAsiaTheme="minorEastAsia" w:hAnsi="ITC Avant Garde" w:cs="Arial"/>
      <w:b/>
      <w:color w:val="000000"/>
      <w:lang w:val="es-ES_tradnl" w:eastAsia="es-ES"/>
    </w:rPr>
  </w:style>
  <w:style w:type="paragraph" w:customStyle="1" w:styleId="FirmasDGDTR">
    <w:name w:val="Firmas DGDTR"/>
    <w:basedOn w:val="Normal"/>
    <w:link w:val="FirmasDGDTRCar"/>
    <w:qFormat/>
    <w:rsid w:val="006B2ACA"/>
    <w:pPr>
      <w:spacing w:after="0" w:line="240" w:lineRule="auto"/>
      <w:jc w:val="center"/>
    </w:pPr>
    <w:rPr>
      <w:rFonts w:ascii="ITC Avant Garde" w:eastAsiaTheme="minorEastAsia" w:hAnsi="ITC Avant Garde" w:cs="Arial"/>
      <w:b/>
      <w:color w:val="000000"/>
      <w:lang w:val="es-ES_tradnl" w:eastAsia="es-ES"/>
    </w:rPr>
  </w:style>
  <w:style w:type="character" w:customStyle="1" w:styleId="Ttulo3Car">
    <w:name w:val="Título 3 Car"/>
    <w:basedOn w:val="Fuentedeprrafopredeter"/>
    <w:link w:val="Ttulo3"/>
    <w:uiPriority w:val="9"/>
    <w:rsid w:val="0027631D"/>
    <w:rPr>
      <w:rFonts w:ascii="Arial" w:eastAsiaTheme="majorEastAsia" w:hAnsi="Arial" w:cs="Arial"/>
      <w:b/>
      <w:sz w:val="26"/>
      <w:szCs w:val="26"/>
      <w:lang w:eastAsia="es-MX"/>
    </w:rPr>
  </w:style>
  <w:style w:type="paragraph" w:customStyle="1" w:styleId="ANOTACION">
    <w:name w:val="ANOTACION"/>
    <w:basedOn w:val="Normal"/>
    <w:link w:val="ANOTACIONCar"/>
    <w:rsid w:val="00321063"/>
    <w:pPr>
      <w:spacing w:before="101" w:after="101" w:line="216" w:lineRule="atLeast"/>
      <w:jc w:val="center"/>
    </w:pPr>
    <w:rPr>
      <w:rFonts w:asciiTheme="minorHAnsi" w:eastAsiaTheme="minorEastAsia" w:hAnsiTheme="minorHAnsi" w:cstheme="minorBidi"/>
      <w:b/>
      <w:sz w:val="18"/>
      <w:szCs w:val="20"/>
      <w:lang w:val="es-ES_tradnl"/>
    </w:rPr>
  </w:style>
  <w:style w:type="character" w:customStyle="1" w:styleId="ANOTACIONCar">
    <w:name w:val="ANOTACION Car"/>
    <w:link w:val="ANOTACION"/>
    <w:locked/>
    <w:rsid w:val="00321063"/>
    <w:rPr>
      <w:rFonts w:eastAsiaTheme="minorEastAsia"/>
      <w:b/>
      <w:sz w:val="18"/>
      <w:szCs w:val="20"/>
      <w:lang w:val="es-ES_tradnl"/>
    </w:rPr>
  </w:style>
  <w:style w:type="paragraph" w:styleId="TDC1">
    <w:name w:val="toc 1"/>
    <w:basedOn w:val="Normal"/>
    <w:next w:val="Normal"/>
    <w:autoRedefine/>
    <w:uiPriority w:val="39"/>
    <w:unhideWhenUsed/>
    <w:rsid w:val="00C53D3A"/>
    <w:pPr>
      <w:spacing w:after="100"/>
    </w:pPr>
  </w:style>
  <w:style w:type="paragraph" w:styleId="Descripcin">
    <w:name w:val="caption"/>
    <w:basedOn w:val="Normal"/>
    <w:next w:val="Normal"/>
    <w:uiPriority w:val="35"/>
    <w:unhideWhenUsed/>
    <w:qFormat/>
    <w:rsid w:val="00506800"/>
    <w:pPr>
      <w:spacing w:after="0" w:line="23" w:lineRule="atLeast"/>
      <w:jc w:val="center"/>
    </w:pPr>
    <w:rPr>
      <w:rFonts w:ascii="Arial" w:eastAsiaTheme="minorHAnsi" w:hAnsi="Arial" w:cs="Arial"/>
      <w:b/>
      <w:i/>
      <w:iCs/>
      <w:sz w:val="18"/>
      <w:szCs w:val="18"/>
    </w:rPr>
  </w:style>
  <w:style w:type="table" w:styleId="Tabladecuadrcula1clara-nfasis6">
    <w:name w:val="Grid Table 1 Light Accent 6"/>
    <w:basedOn w:val="Tablanormal"/>
    <w:uiPriority w:val="46"/>
    <w:rsid w:val="000007EC"/>
    <w:pPr>
      <w:spacing w:after="0" w:line="240" w:lineRule="auto"/>
    </w:pPr>
    <w:rPr>
      <w:lang w:val="en-GB"/>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Notasalpie">
    <w:name w:val="Notas al pie"/>
    <w:basedOn w:val="Textonotapie"/>
    <w:link w:val="NotasalpieCar"/>
    <w:qFormat/>
    <w:rsid w:val="00A90F82"/>
    <w:rPr>
      <w:rFonts w:ascii="Arial" w:eastAsiaTheme="minorHAnsi" w:hAnsi="Arial" w:cs="Arial"/>
      <w:sz w:val="14"/>
      <w:szCs w:val="14"/>
    </w:rPr>
  </w:style>
  <w:style w:type="character" w:customStyle="1" w:styleId="NotasalpieCar">
    <w:name w:val="Notas al pie Car"/>
    <w:basedOn w:val="Fuentedeprrafopredeter"/>
    <w:link w:val="Notasalpie"/>
    <w:rsid w:val="00A90F82"/>
    <w:rPr>
      <w:rFonts w:ascii="Arial" w:hAnsi="Arial" w:cs="Arial"/>
      <w:sz w:val="14"/>
      <w:szCs w:val="14"/>
    </w:rPr>
  </w:style>
  <w:style w:type="character" w:customStyle="1" w:styleId="Ttulo2Car">
    <w:name w:val="Título 2 Car"/>
    <w:basedOn w:val="Fuentedeprrafopredeter"/>
    <w:link w:val="Ttulo2"/>
    <w:uiPriority w:val="9"/>
    <w:rsid w:val="0027631D"/>
    <w:rPr>
      <w:rFonts w:ascii="Arial" w:eastAsiaTheme="majorEastAsia" w:hAnsi="Arial" w:cs="Arial"/>
      <w:b/>
      <w:sz w:val="26"/>
      <w:szCs w:val="26"/>
      <w:lang w:eastAsia="es-MX"/>
    </w:rPr>
  </w:style>
  <w:style w:type="paragraph" w:styleId="Cita">
    <w:name w:val="Quote"/>
    <w:basedOn w:val="Normal"/>
    <w:next w:val="Normal"/>
    <w:link w:val="CitaCar"/>
    <w:uiPriority w:val="29"/>
    <w:qFormat/>
    <w:rsid w:val="005E1EC6"/>
    <w:pPr>
      <w:spacing w:after="0" w:line="259" w:lineRule="auto"/>
      <w:ind w:left="864" w:right="864"/>
      <w:jc w:val="both"/>
    </w:pPr>
    <w:rPr>
      <w:rFonts w:asciiTheme="minorHAnsi" w:eastAsia="Arial Unicode MS" w:hAnsiTheme="minorHAnsi" w:cstheme="minorBidi"/>
      <w:i/>
      <w:iCs/>
      <w:color w:val="000000" w:themeColor="text1"/>
      <w:sz w:val="20"/>
      <w:szCs w:val="20"/>
    </w:rPr>
  </w:style>
  <w:style w:type="character" w:customStyle="1" w:styleId="CitaCar">
    <w:name w:val="Cita Car"/>
    <w:basedOn w:val="Fuentedeprrafopredeter"/>
    <w:link w:val="Cita"/>
    <w:uiPriority w:val="29"/>
    <w:rsid w:val="005E1EC6"/>
    <w:rPr>
      <w:rFonts w:eastAsia="Arial Unicode MS"/>
      <w:i/>
      <w:iCs/>
      <w:color w:val="000000" w:themeColor="text1"/>
      <w:sz w:val="20"/>
      <w:szCs w:val="20"/>
    </w:rPr>
  </w:style>
  <w:style w:type="character" w:customStyle="1" w:styleId="Ttulo4Car">
    <w:name w:val="Título 4 Car"/>
    <w:basedOn w:val="Fuentedeprrafopredeter"/>
    <w:link w:val="Ttulo4"/>
    <w:uiPriority w:val="9"/>
    <w:rsid w:val="0027631D"/>
    <w:rPr>
      <w:rFonts w:ascii="Arial" w:eastAsiaTheme="majorEastAsia" w:hAnsi="Arial" w:cs="Arial"/>
      <w:b/>
      <w:iCs/>
    </w:rPr>
  </w:style>
  <w:style w:type="character" w:customStyle="1" w:styleId="Ttulo5Car">
    <w:name w:val="Título 5 Car"/>
    <w:basedOn w:val="Fuentedeprrafopredeter"/>
    <w:link w:val="Ttulo5"/>
    <w:uiPriority w:val="9"/>
    <w:rsid w:val="00794179"/>
    <w:rPr>
      <w:rFonts w:ascii="Arial" w:eastAsiaTheme="majorEastAsia" w:hAnsi="Arial" w:cs="Arial"/>
      <w:b/>
      <w:szCs w:val="26"/>
      <w:lang w:eastAsia="es-MX"/>
    </w:rPr>
  </w:style>
  <w:style w:type="character" w:customStyle="1" w:styleId="Ttulo6Car">
    <w:name w:val="Título 6 Car"/>
    <w:basedOn w:val="Fuentedeprrafopredeter"/>
    <w:link w:val="Ttulo6"/>
    <w:uiPriority w:val="9"/>
    <w:rsid w:val="00794179"/>
    <w:rPr>
      <w:rFonts w:ascii="Arial" w:eastAsiaTheme="majorEastAsia" w:hAnsi="Arial" w:cs="Arial"/>
      <w:b/>
      <w:szCs w:val="2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547">
      <w:bodyDiv w:val="1"/>
      <w:marLeft w:val="0"/>
      <w:marRight w:val="0"/>
      <w:marTop w:val="0"/>
      <w:marBottom w:val="0"/>
      <w:divBdr>
        <w:top w:val="none" w:sz="0" w:space="0" w:color="auto"/>
        <w:left w:val="none" w:sz="0" w:space="0" w:color="auto"/>
        <w:bottom w:val="none" w:sz="0" w:space="0" w:color="auto"/>
        <w:right w:val="none" w:sz="0" w:space="0" w:color="auto"/>
      </w:divBdr>
      <w:divsChild>
        <w:div w:id="1605115402">
          <w:marLeft w:val="0"/>
          <w:marRight w:val="0"/>
          <w:marTop w:val="0"/>
          <w:marBottom w:val="0"/>
          <w:divBdr>
            <w:top w:val="none" w:sz="0" w:space="0" w:color="auto"/>
            <w:left w:val="none" w:sz="0" w:space="0" w:color="auto"/>
            <w:bottom w:val="none" w:sz="0" w:space="0" w:color="auto"/>
            <w:right w:val="none" w:sz="0" w:space="0" w:color="auto"/>
          </w:divBdr>
          <w:divsChild>
            <w:div w:id="570386031">
              <w:marLeft w:val="0"/>
              <w:marRight w:val="0"/>
              <w:marTop w:val="0"/>
              <w:marBottom w:val="0"/>
              <w:divBdr>
                <w:top w:val="none" w:sz="0" w:space="0" w:color="auto"/>
                <w:left w:val="none" w:sz="0" w:space="0" w:color="auto"/>
                <w:bottom w:val="none" w:sz="0" w:space="0" w:color="auto"/>
                <w:right w:val="none" w:sz="0" w:space="0" w:color="auto"/>
              </w:divBdr>
              <w:divsChild>
                <w:div w:id="2044011196">
                  <w:marLeft w:val="0"/>
                  <w:marRight w:val="0"/>
                  <w:marTop w:val="0"/>
                  <w:marBottom w:val="0"/>
                  <w:divBdr>
                    <w:top w:val="none" w:sz="0" w:space="0" w:color="auto"/>
                    <w:left w:val="none" w:sz="0" w:space="0" w:color="auto"/>
                    <w:bottom w:val="none" w:sz="0" w:space="0" w:color="auto"/>
                    <w:right w:val="none" w:sz="0" w:space="0" w:color="auto"/>
                  </w:divBdr>
                  <w:divsChild>
                    <w:div w:id="1455905578">
                      <w:marLeft w:val="0"/>
                      <w:marRight w:val="0"/>
                      <w:marTop w:val="0"/>
                      <w:marBottom w:val="0"/>
                      <w:divBdr>
                        <w:top w:val="none" w:sz="0" w:space="0" w:color="auto"/>
                        <w:left w:val="none" w:sz="0" w:space="0" w:color="auto"/>
                        <w:bottom w:val="none" w:sz="0" w:space="0" w:color="auto"/>
                        <w:right w:val="none" w:sz="0" w:space="0" w:color="auto"/>
                      </w:divBdr>
                      <w:divsChild>
                        <w:div w:id="584799100">
                          <w:marLeft w:val="0"/>
                          <w:marRight w:val="0"/>
                          <w:marTop w:val="0"/>
                          <w:marBottom w:val="0"/>
                          <w:divBdr>
                            <w:top w:val="none" w:sz="0" w:space="0" w:color="auto"/>
                            <w:left w:val="none" w:sz="0" w:space="0" w:color="auto"/>
                            <w:bottom w:val="none" w:sz="0" w:space="0" w:color="auto"/>
                            <w:right w:val="none" w:sz="0" w:space="0" w:color="auto"/>
                          </w:divBdr>
                          <w:divsChild>
                            <w:div w:id="53968492">
                              <w:marLeft w:val="0"/>
                              <w:marRight w:val="0"/>
                              <w:marTop w:val="0"/>
                              <w:marBottom w:val="0"/>
                              <w:divBdr>
                                <w:top w:val="none" w:sz="0" w:space="0" w:color="auto"/>
                                <w:left w:val="none" w:sz="0" w:space="0" w:color="auto"/>
                                <w:bottom w:val="none" w:sz="0" w:space="0" w:color="auto"/>
                                <w:right w:val="none" w:sz="0" w:space="0" w:color="auto"/>
                              </w:divBdr>
                              <w:divsChild>
                                <w:div w:id="1809396109">
                                  <w:marLeft w:val="0"/>
                                  <w:marRight w:val="0"/>
                                  <w:marTop w:val="0"/>
                                  <w:marBottom w:val="0"/>
                                  <w:divBdr>
                                    <w:top w:val="none" w:sz="0" w:space="0" w:color="auto"/>
                                    <w:left w:val="none" w:sz="0" w:space="0" w:color="auto"/>
                                    <w:bottom w:val="none" w:sz="0" w:space="0" w:color="auto"/>
                                    <w:right w:val="none" w:sz="0" w:space="0" w:color="auto"/>
                                  </w:divBdr>
                                  <w:divsChild>
                                    <w:div w:id="722871401">
                                      <w:marLeft w:val="0"/>
                                      <w:marRight w:val="0"/>
                                      <w:marTop w:val="0"/>
                                      <w:marBottom w:val="0"/>
                                      <w:divBdr>
                                        <w:top w:val="none" w:sz="0" w:space="0" w:color="auto"/>
                                        <w:left w:val="none" w:sz="0" w:space="0" w:color="auto"/>
                                        <w:bottom w:val="none" w:sz="0" w:space="0" w:color="auto"/>
                                        <w:right w:val="none" w:sz="0" w:space="0" w:color="auto"/>
                                      </w:divBdr>
                                      <w:divsChild>
                                        <w:div w:id="253322550">
                                          <w:marLeft w:val="0"/>
                                          <w:marRight w:val="0"/>
                                          <w:marTop w:val="0"/>
                                          <w:marBottom w:val="0"/>
                                          <w:divBdr>
                                            <w:top w:val="none" w:sz="0" w:space="0" w:color="auto"/>
                                            <w:left w:val="none" w:sz="0" w:space="0" w:color="auto"/>
                                            <w:bottom w:val="none" w:sz="0" w:space="0" w:color="auto"/>
                                            <w:right w:val="none" w:sz="0" w:space="0" w:color="auto"/>
                                          </w:divBdr>
                                          <w:divsChild>
                                            <w:div w:id="1149634968">
                                              <w:marLeft w:val="0"/>
                                              <w:marRight w:val="0"/>
                                              <w:marTop w:val="0"/>
                                              <w:marBottom w:val="0"/>
                                              <w:divBdr>
                                                <w:top w:val="none" w:sz="0" w:space="0" w:color="auto"/>
                                                <w:left w:val="none" w:sz="0" w:space="0" w:color="auto"/>
                                                <w:bottom w:val="none" w:sz="0" w:space="0" w:color="auto"/>
                                                <w:right w:val="none" w:sz="0" w:space="0" w:color="auto"/>
                                              </w:divBdr>
                                              <w:divsChild>
                                                <w:div w:id="4247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48307">
      <w:bodyDiv w:val="1"/>
      <w:marLeft w:val="0"/>
      <w:marRight w:val="0"/>
      <w:marTop w:val="0"/>
      <w:marBottom w:val="0"/>
      <w:divBdr>
        <w:top w:val="none" w:sz="0" w:space="0" w:color="auto"/>
        <w:left w:val="none" w:sz="0" w:space="0" w:color="auto"/>
        <w:bottom w:val="none" w:sz="0" w:space="0" w:color="auto"/>
        <w:right w:val="none" w:sz="0" w:space="0" w:color="auto"/>
      </w:divBdr>
    </w:div>
    <w:div w:id="85614828">
      <w:bodyDiv w:val="1"/>
      <w:marLeft w:val="0"/>
      <w:marRight w:val="0"/>
      <w:marTop w:val="0"/>
      <w:marBottom w:val="0"/>
      <w:divBdr>
        <w:top w:val="none" w:sz="0" w:space="0" w:color="auto"/>
        <w:left w:val="none" w:sz="0" w:space="0" w:color="auto"/>
        <w:bottom w:val="none" w:sz="0" w:space="0" w:color="auto"/>
        <w:right w:val="none" w:sz="0" w:space="0" w:color="auto"/>
      </w:divBdr>
    </w:div>
    <w:div w:id="122968648">
      <w:bodyDiv w:val="1"/>
      <w:marLeft w:val="0"/>
      <w:marRight w:val="0"/>
      <w:marTop w:val="0"/>
      <w:marBottom w:val="0"/>
      <w:divBdr>
        <w:top w:val="none" w:sz="0" w:space="0" w:color="auto"/>
        <w:left w:val="none" w:sz="0" w:space="0" w:color="auto"/>
        <w:bottom w:val="none" w:sz="0" w:space="0" w:color="auto"/>
        <w:right w:val="none" w:sz="0" w:space="0" w:color="auto"/>
      </w:divBdr>
    </w:div>
    <w:div w:id="257101194">
      <w:bodyDiv w:val="1"/>
      <w:marLeft w:val="0"/>
      <w:marRight w:val="0"/>
      <w:marTop w:val="0"/>
      <w:marBottom w:val="0"/>
      <w:divBdr>
        <w:top w:val="none" w:sz="0" w:space="0" w:color="auto"/>
        <w:left w:val="none" w:sz="0" w:space="0" w:color="auto"/>
        <w:bottom w:val="none" w:sz="0" w:space="0" w:color="auto"/>
        <w:right w:val="none" w:sz="0" w:space="0" w:color="auto"/>
      </w:divBdr>
      <w:divsChild>
        <w:div w:id="8918349">
          <w:marLeft w:val="2160"/>
          <w:marRight w:val="0"/>
          <w:marTop w:val="0"/>
          <w:marBottom w:val="101"/>
          <w:divBdr>
            <w:top w:val="none" w:sz="0" w:space="0" w:color="auto"/>
            <w:left w:val="none" w:sz="0" w:space="0" w:color="auto"/>
            <w:bottom w:val="none" w:sz="0" w:space="0" w:color="auto"/>
            <w:right w:val="none" w:sz="0" w:space="0" w:color="auto"/>
          </w:divBdr>
        </w:div>
        <w:div w:id="36783804">
          <w:marLeft w:val="1152"/>
          <w:marRight w:val="0"/>
          <w:marTop w:val="0"/>
          <w:marBottom w:val="101"/>
          <w:divBdr>
            <w:top w:val="none" w:sz="0" w:space="0" w:color="auto"/>
            <w:left w:val="none" w:sz="0" w:space="0" w:color="auto"/>
            <w:bottom w:val="none" w:sz="0" w:space="0" w:color="auto"/>
            <w:right w:val="none" w:sz="0" w:space="0" w:color="auto"/>
          </w:divBdr>
        </w:div>
        <w:div w:id="65760563">
          <w:marLeft w:val="1152"/>
          <w:marRight w:val="0"/>
          <w:marTop w:val="0"/>
          <w:marBottom w:val="101"/>
          <w:divBdr>
            <w:top w:val="none" w:sz="0" w:space="0" w:color="auto"/>
            <w:left w:val="none" w:sz="0" w:space="0" w:color="auto"/>
            <w:bottom w:val="none" w:sz="0" w:space="0" w:color="auto"/>
            <w:right w:val="none" w:sz="0" w:space="0" w:color="auto"/>
          </w:divBdr>
        </w:div>
        <w:div w:id="131797746">
          <w:marLeft w:val="1584"/>
          <w:marRight w:val="0"/>
          <w:marTop w:val="0"/>
          <w:marBottom w:val="101"/>
          <w:divBdr>
            <w:top w:val="none" w:sz="0" w:space="0" w:color="auto"/>
            <w:left w:val="none" w:sz="0" w:space="0" w:color="auto"/>
            <w:bottom w:val="none" w:sz="0" w:space="0" w:color="auto"/>
            <w:right w:val="none" w:sz="0" w:space="0" w:color="auto"/>
          </w:divBdr>
        </w:div>
        <w:div w:id="138424112">
          <w:marLeft w:val="1152"/>
          <w:marRight w:val="0"/>
          <w:marTop w:val="0"/>
          <w:marBottom w:val="101"/>
          <w:divBdr>
            <w:top w:val="none" w:sz="0" w:space="0" w:color="auto"/>
            <w:left w:val="none" w:sz="0" w:space="0" w:color="auto"/>
            <w:bottom w:val="none" w:sz="0" w:space="0" w:color="auto"/>
            <w:right w:val="none" w:sz="0" w:space="0" w:color="auto"/>
          </w:divBdr>
        </w:div>
        <w:div w:id="155342138">
          <w:marLeft w:val="1584"/>
          <w:marRight w:val="0"/>
          <w:marTop w:val="0"/>
          <w:marBottom w:val="101"/>
          <w:divBdr>
            <w:top w:val="none" w:sz="0" w:space="0" w:color="auto"/>
            <w:left w:val="none" w:sz="0" w:space="0" w:color="auto"/>
            <w:bottom w:val="none" w:sz="0" w:space="0" w:color="auto"/>
            <w:right w:val="none" w:sz="0" w:space="0" w:color="auto"/>
          </w:divBdr>
        </w:div>
        <w:div w:id="181895115">
          <w:marLeft w:val="1152"/>
          <w:marRight w:val="0"/>
          <w:marTop w:val="0"/>
          <w:marBottom w:val="101"/>
          <w:divBdr>
            <w:top w:val="none" w:sz="0" w:space="0" w:color="auto"/>
            <w:left w:val="none" w:sz="0" w:space="0" w:color="auto"/>
            <w:bottom w:val="none" w:sz="0" w:space="0" w:color="auto"/>
            <w:right w:val="none" w:sz="0" w:space="0" w:color="auto"/>
          </w:divBdr>
        </w:div>
        <w:div w:id="200948218">
          <w:marLeft w:val="1152"/>
          <w:marRight w:val="0"/>
          <w:marTop w:val="0"/>
          <w:marBottom w:val="101"/>
          <w:divBdr>
            <w:top w:val="none" w:sz="0" w:space="0" w:color="auto"/>
            <w:left w:val="none" w:sz="0" w:space="0" w:color="auto"/>
            <w:bottom w:val="none" w:sz="0" w:space="0" w:color="auto"/>
            <w:right w:val="none" w:sz="0" w:space="0" w:color="auto"/>
          </w:divBdr>
        </w:div>
        <w:div w:id="212424333">
          <w:marLeft w:val="1152"/>
          <w:marRight w:val="0"/>
          <w:marTop w:val="0"/>
          <w:marBottom w:val="101"/>
          <w:divBdr>
            <w:top w:val="none" w:sz="0" w:space="0" w:color="auto"/>
            <w:left w:val="none" w:sz="0" w:space="0" w:color="auto"/>
            <w:bottom w:val="none" w:sz="0" w:space="0" w:color="auto"/>
            <w:right w:val="none" w:sz="0" w:space="0" w:color="auto"/>
          </w:divBdr>
        </w:div>
        <w:div w:id="230507546">
          <w:marLeft w:val="1584"/>
          <w:marRight w:val="0"/>
          <w:marTop w:val="0"/>
          <w:marBottom w:val="101"/>
          <w:divBdr>
            <w:top w:val="none" w:sz="0" w:space="0" w:color="auto"/>
            <w:left w:val="none" w:sz="0" w:space="0" w:color="auto"/>
            <w:bottom w:val="none" w:sz="0" w:space="0" w:color="auto"/>
            <w:right w:val="none" w:sz="0" w:space="0" w:color="auto"/>
          </w:divBdr>
        </w:div>
        <w:div w:id="389184464">
          <w:marLeft w:val="1152"/>
          <w:marRight w:val="0"/>
          <w:marTop w:val="0"/>
          <w:marBottom w:val="101"/>
          <w:divBdr>
            <w:top w:val="none" w:sz="0" w:space="0" w:color="auto"/>
            <w:left w:val="none" w:sz="0" w:space="0" w:color="auto"/>
            <w:bottom w:val="none" w:sz="0" w:space="0" w:color="auto"/>
            <w:right w:val="none" w:sz="0" w:space="0" w:color="auto"/>
          </w:divBdr>
        </w:div>
        <w:div w:id="436801518">
          <w:marLeft w:val="1152"/>
          <w:marRight w:val="0"/>
          <w:marTop w:val="0"/>
          <w:marBottom w:val="101"/>
          <w:divBdr>
            <w:top w:val="none" w:sz="0" w:space="0" w:color="auto"/>
            <w:left w:val="none" w:sz="0" w:space="0" w:color="auto"/>
            <w:bottom w:val="none" w:sz="0" w:space="0" w:color="auto"/>
            <w:right w:val="none" w:sz="0" w:space="0" w:color="auto"/>
          </w:divBdr>
        </w:div>
        <w:div w:id="453326416">
          <w:marLeft w:val="720"/>
          <w:marRight w:val="0"/>
          <w:marTop w:val="0"/>
          <w:marBottom w:val="101"/>
          <w:divBdr>
            <w:top w:val="none" w:sz="0" w:space="0" w:color="auto"/>
            <w:left w:val="none" w:sz="0" w:space="0" w:color="auto"/>
            <w:bottom w:val="none" w:sz="0" w:space="0" w:color="auto"/>
            <w:right w:val="none" w:sz="0" w:space="0" w:color="auto"/>
          </w:divBdr>
        </w:div>
        <w:div w:id="500584873">
          <w:marLeft w:val="720"/>
          <w:marRight w:val="0"/>
          <w:marTop w:val="0"/>
          <w:marBottom w:val="101"/>
          <w:divBdr>
            <w:top w:val="none" w:sz="0" w:space="0" w:color="auto"/>
            <w:left w:val="none" w:sz="0" w:space="0" w:color="auto"/>
            <w:bottom w:val="none" w:sz="0" w:space="0" w:color="auto"/>
            <w:right w:val="none" w:sz="0" w:space="0" w:color="auto"/>
          </w:divBdr>
        </w:div>
        <w:div w:id="536435267">
          <w:marLeft w:val="1152"/>
          <w:marRight w:val="0"/>
          <w:marTop w:val="0"/>
          <w:marBottom w:val="101"/>
          <w:divBdr>
            <w:top w:val="none" w:sz="0" w:space="0" w:color="auto"/>
            <w:left w:val="none" w:sz="0" w:space="0" w:color="auto"/>
            <w:bottom w:val="none" w:sz="0" w:space="0" w:color="auto"/>
            <w:right w:val="none" w:sz="0" w:space="0" w:color="auto"/>
          </w:divBdr>
        </w:div>
        <w:div w:id="557789304">
          <w:marLeft w:val="720"/>
          <w:marRight w:val="0"/>
          <w:marTop w:val="0"/>
          <w:marBottom w:val="101"/>
          <w:divBdr>
            <w:top w:val="none" w:sz="0" w:space="0" w:color="auto"/>
            <w:left w:val="none" w:sz="0" w:space="0" w:color="auto"/>
            <w:bottom w:val="none" w:sz="0" w:space="0" w:color="auto"/>
            <w:right w:val="none" w:sz="0" w:space="0" w:color="auto"/>
          </w:divBdr>
        </w:div>
        <w:div w:id="569729268">
          <w:marLeft w:val="1152"/>
          <w:marRight w:val="0"/>
          <w:marTop w:val="0"/>
          <w:marBottom w:val="101"/>
          <w:divBdr>
            <w:top w:val="none" w:sz="0" w:space="0" w:color="auto"/>
            <w:left w:val="none" w:sz="0" w:space="0" w:color="auto"/>
            <w:bottom w:val="none" w:sz="0" w:space="0" w:color="auto"/>
            <w:right w:val="none" w:sz="0" w:space="0" w:color="auto"/>
          </w:divBdr>
        </w:div>
        <w:div w:id="592324238">
          <w:marLeft w:val="1152"/>
          <w:marRight w:val="0"/>
          <w:marTop w:val="0"/>
          <w:marBottom w:val="101"/>
          <w:divBdr>
            <w:top w:val="none" w:sz="0" w:space="0" w:color="auto"/>
            <w:left w:val="none" w:sz="0" w:space="0" w:color="auto"/>
            <w:bottom w:val="none" w:sz="0" w:space="0" w:color="auto"/>
            <w:right w:val="none" w:sz="0" w:space="0" w:color="auto"/>
          </w:divBdr>
        </w:div>
        <w:div w:id="647436421">
          <w:marLeft w:val="1152"/>
          <w:marRight w:val="0"/>
          <w:marTop w:val="0"/>
          <w:marBottom w:val="101"/>
          <w:divBdr>
            <w:top w:val="none" w:sz="0" w:space="0" w:color="auto"/>
            <w:left w:val="none" w:sz="0" w:space="0" w:color="auto"/>
            <w:bottom w:val="none" w:sz="0" w:space="0" w:color="auto"/>
            <w:right w:val="none" w:sz="0" w:space="0" w:color="auto"/>
          </w:divBdr>
        </w:div>
        <w:div w:id="664746145">
          <w:marLeft w:val="2160"/>
          <w:marRight w:val="0"/>
          <w:marTop w:val="0"/>
          <w:marBottom w:val="101"/>
          <w:divBdr>
            <w:top w:val="none" w:sz="0" w:space="0" w:color="auto"/>
            <w:left w:val="none" w:sz="0" w:space="0" w:color="auto"/>
            <w:bottom w:val="none" w:sz="0" w:space="0" w:color="auto"/>
            <w:right w:val="none" w:sz="0" w:space="0" w:color="auto"/>
          </w:divBdr>
        </w:div>
        <w:div w:id="674959433">
          <w:marLeft w:val="1152"/>
          <w:marRight w:val="0"/>
          <w:marTop w:val="0"/>
          <w:marBottom w:val="101"/>
          <w:divBdr>
            <w:top w:val="none" w:sz="0" w:space="0" w:color="auto"/>
            <w:left w:val="none" w:sz="0" w:space="0" w:color="auto"/>
            <w:bottom w:val="none" w:sz="0" w:space="0" w:color="auto"/>
            <w:right w:val="none" w:sz="0" w:space="0" w:color="auto"/>
          </w:divBdr>
        </w:div>
        <w:div w:id="704251313">
          <w:marLeft w:val="1152"/>
          <w:marRight w:val="0"/>
          <w:marTop w:val="0"/>
          <w:marBottom w:val="101"/>
          <w:divBdr>
            <w:top w:val="none" w:sz="0" w:space="0" w:color="auto"/>
            <w:left w:val="none" w:sz="0" w:space="0" w:color="auto"/>
            <w:bottom w:val="none" w:sz="0" w:space="0" w:color="auto"/>
            <w:right w:val="none" w:sz="0" w:space="0" w:color="auto"/>
          </w:divBdr>
        </w:div>
        <w:div w:id="712189455">
          <w:marLeft w:val="1152"/>
          <w:marRight w:val="0"/>
          <w:marTop w:val="0"/>
          <w:marBottom w:val="101"/>
          <w:divBdr>
            <w:top w:val="none" w:sz="0" w:space="0" w:color="auto"/>
            <w:left w:val="none" w:sz="0" w:space="0" w:color="auto"/>
            <w:bottom w:val="none" w:sz="0" w:space="0" w:color="auto"/>
            <w:right w:val="none" w:sz="0" w:space="0" w:color="auto"/>
          </w:divBdr>
        </w:div>
        <w:div w:id="731579450">
          <w:marLeft w:val="720"/>
          <w:marRight w:val="0"/>
          <w:marTop w:val="0"/>
          <w:marBottom w:val="101"/>
          <w:divBdr>
            <w:top w:val="none" w:sz="0" w:space="0" w:color="auto"/>
            <w:left w:val="none" w:sz="0" w:space="0" w:color="auto"/>
            <w:bottom w:val="none" w:sz="0" w:space="0" w:color="auto"/>
            <w:right w:val="none" w:sz="0" w:space="0" w:color="auto"/>
          </w:divBdr>
        </w:div>
        <w:div w:id="744954869">
          <w:marLeft w:val="1152"/>
          <w:marRight w:val="0"/>
          <w:marTop w:val="0"/>
          <w:marBottom w:val="101"/>
          <w:divBdr>
            <w:top w:val="none" w:sz="0" w:space="0" w:color="auto"/>
            <w:left w:val="none" w:sz="0" w:space="0" w:color="auto"/>
            <w:bottom w:val="none" w:sz="0" w:space="0" w:color="auto"/>
            <w:right w:val="none" w:sz="0" w:space="0" w:color="auto"/>
          </w:divBdr>
        </w:div>
        <w:div w:id="753088719">
          <w:marLeft w:val="720"/>
          <w:marRight w:val="0"/>
          <w:marTop w:val="0"/>
          <w:marBottom w:val="101"/>
          <w:divBdr>
            <w:top w:val="none" w:sz="0" w:space="0" w:color="auto"/>
            <w:left w:val="none" w:sz="0" w:space="0" w:color="auto"/>
            <w:bottom w:val="none" w:sz="0" w:space="0" w:color="auto"/>
            <w:right w:val="none" w:sz="0" w:space="0" w:color="auto"/>
          </w:divBdr>
        </w:div>
        <w:div w:id="771127166">
          <w:marLeft w:val="1152"/>
          <w:marRight w:val="0"/>
          <w:marTop w:val="0"/>
          <w:marBottom w:val="101"/>
          <w:divBdr>
            <w:top w:val="none" w:sz="0" w:space="0" w:color="auto"/>
            <w:left w:val="none" w:sz="0" w:space="0" w:color="auto"/>
            <w:bottom w:val="none" w:sz="0" w:space="0" w:color="auto"/>
            <w:right w:val="none" w:sz="0" w:space="0" w:color="auto"/>
          </w:divBdr>
        </w:div>
        <w:div w:id="777453962">
          <w:marLeft w:val="1152"/>
          <w:marRight w:val="0"/>
          <w:marTop w:val="0"/>
          <w:marBottom w:val="101"/>
          <w:divBdr>
            <w:top w:val="none" w:sz="0" w:space="0" w:color="auto"/>
            <w:left w:val="none" w:sz="0" w:space="0" w:color="auto"/>
            <w:bottom w:val="none" w:sz="0" w:space="0" w:color="auto"/>
            <w:right w:val="none" w:sz="0" w:space="0" w:color="auto"/>
          </w:divBdr>
        </w:div>
        <w:div w:id="778716835">
          <w:marLeft w:val="2160"/>
          <w:marRight w:val="0"/>
          <w:marTop w:val="0"/>
          <w:marBottom w:val="101"/>
          <w:divBdr>
            <w:top w:val="none" w:sz="0" w:space="0" w:color="auto"/>
            <w:left w:val="none" w:sz="0" w:space="0" w:color="auto"/>
            <w:bottom w:val="none" w:sz="0" w:space="0" w:color="auto"/>
            <w:right w:val="none" w:sz="0" w:space="0" w:color="auto"/>
          </w:divBdr>
        </w:div>
        <w:div w:id="817573769">
          <w:marLeft w:val="1152"/>
          <w:marRight w:val="0"/>
          <w:marTop w:val="0"/>
          <w:marBottom w:val="101"/>
          <w:divBdr>
            <w:top w:val="none" w:sz="0" w:space="0" w:color="auto"/>
            <w:left w:val="none" w:sz="0" w:space="0" w:color="auto"/>
            <w:bottom w:val="none" w:sz="0" w:space="0" w:color="auto"/>
            <w:right w:val="none" w:sz="0" w:space="0" w:color="auto"/>
          </w:divBdr>
        </w:div>
        <w:div w:id="821653413">
          <w:marLeft w:val="1152"/>
          <w:marRight w:val="0"/>
          <w:marTop w:val="0"/>
          <w:marBottom w:val="101"/>
          <w:divBdr>
            <w:top w:val="none" w:sz="0" w:space="0" w:color="auto"/>
            <w:left w:val="none" w:sz="0" w:space="0" w:color="auto"/>
            <w:bottom w:val="none" w:sz="0" w:space="0" w:color="auto"/>
            <w:right w:val="none" w:sz="0" w:space="0" w:color="auto"/>
          </w:divBdr>
        </w:div>
        <w:div w:id="831995278">
          <w:marLeft w:val="2160"/>
          <w:marRight w:val="0"/>
          <w:marTop w:val="0"/>
          <w:marBottom w:val="101"/>
          <w:divBdr>
            <w:top w:val="none" w:sz="0" w:space="0" w:color="auto"/>
            <w:left w:val="none" w:sz="0" w:space="0" w:color="auto"/>
            <w:bottom w:val="none" w:sz="0" w:space="0" w:color="auto"/>
            <w:right w:val="none" w:sz="0" w:space="0" w:color="auto"/>
          </w:divBdr>
        </w:div>
        <w:div w:id="897668979">
          <w:marLeft w:val="2592"/>
          <w:marRight w:val="0"/>
          <w:marTop w:val="0"/>
          <w:marBottom w:val="101"/>
          <w:divBdr>
            <w:top w:val="none" w:sz="0" w:space="0" w:color="auto"/>
            <w:left w:val="none" w:sz="0" w:space="0" w:color="auto"/>
            <w:bottom w:val="none" w:sz="0" w:space="0" w:color="auto"/>
            <w:right w:val="none" w:sz="0" w:space="0" w:color="auto"/>
          </w:divBdr>
        </w:div>
        <w:div w:id="933323728">
          <w:marLeft w:val="2592"/>
          <w:marRight w:val="0"/>
          <w:marTop w:val="0"/>
          <w:marBottom w:val="101"/>
          <w:divBdr>
            <w:top w:val="none" w:sz="0" w:space="0" w:color="auto"/>
            <w:left w:val="none" w:sz="0" w:space="0" w:color="auto"/>
            <w:bottom w:val="none" w:sz="0" w:space="0" w:color="auto"/>
            <w:right w:val="none" w:sz="0" w:space="0" w:color="auto"/>
          </w:divBdr>
        </w:div>
        <w:div w:id="984315678">
          <w:marLeft w:val="1152"/>
          <w:marRight w:val="0"/>
          <w:marTop w:val="0"/>
          <w:marBottom w:val="101"/>
          <w:divBdr>
            <w:top w:val="none" w:sz="0" w:space="0" w:color="auto"/>
            <w:left w:val="none" w:sz="0" w:space="0" w:color="auto"/>
            <w:bottom w:val="none" w:sz="0" w:space="0" w:color="auto"/>
            <w:right w:val="none" w:sz="0" w:space="0" w:color="auto"/>
          </w:divBdr>
        </w:div>
        <w:div w:id="989096846">
          <w:marLeft w:val="1152"/>
          <w:marRight w:val="0"/>
          <w:marTop w:val="0"/>
          <w:marBottom w:val="101"/>
          <w:divBdr>
            <w:top w:val="none" w:sz="0" w:space="0" w:color="auto"/>
            <w:left w:val="none" w:sz="0" w:space="0" w:color="auto"/>
            <w:bottom w:val="none" w:sz="0" w:space="0" w:color="auto"/>
            <w:right w:val="none" w:sz="0" w:space="0" w:color="auto"/>
          </w:divBdr>
        </w:div>
        <w:div w:id="1048341639">
          <w:marLeft w:val="1152"/>
          <w:marRight w:val="0"/>
          <w:marTop w:val="0"/>
          <w:marBottom w:val="101"/>
          <w:divBdr>
            <w:top w:val="none" w:sz="0" w:space="0" w:color="auto"/>
            <w:left w:val="none" w:sz="0" w:space="0" w:color="auto"/>
            <w:bottom w:val="none" w:sz="0" w:space="0" w:color="auto"/>
            <w:right w:val="none" w:sz="0" w:space="0" w:color="auto"/>
          </w:divBdr>
        </w:div>
        <w:div w:id="1056662003">
          <w:marLeft w:val="0"/>
          <w:marRight w:val="0"/>
          <w:marTop w:val="0"/>
          <w:marBottom w:val="101"/>
          <w:divBdr>
            <w:top w:val="none" w:sz="0" w:space="0" w:color="auto"/>
            <w:left w:val="none" w:sz="0" w:space="0" w:color="auto"/>
            <w:bottom w:val="none" w:sz="0" w:space="0" w:color="auto"/>
            <w:right w:val="none" w:sz="0" w:space="0" w:color="auto"/>
          </w:divBdr>
        </w:div>
        <w:div w:id="1072922489">
          <w:marLeft w:val="1152"/>
          <w:marRight w:val="0"/>
          <w:marTop w:val="0"/>
          <w:marBottom w:val="101"/>
          <w:divBdr>
            <w:top w:val="none" w:sz="0" w:space="0" w:color="auto"/>
            <w:left w:val="none" w:sz="0" w:space="0" w:color="auto"/>
            <w:bottom w:val="none" w:sz="0" w:space="0" w:color="auto"/>
            <w:right w:val="none" w:sz="0" w:space="0" w:color="auto"/>
          </w:divBdr>
        </w:div>
        <w:div w:id="1143499947">
          <w:marLeft w:val="1152"/>
          <w:marRight w:val="0"/>
          <w:marTop w:val="0"/>
          <w:marBottom w:val="101"/>
          <w:divBdr>
            <w:top w:val="none" w:sz="0" w:space="0" w:color="auto"/>
            <w:left w:val="none" w:sz="0" w:space="0" w:color="auto"/>
            <w:bottom w:val="none" w:sz="0" w:space="0" w:color="auto"/>
            <w:right w:val="none" w:sz="0" w:space="0" w:color="auto"/>
          </w:divBdr>
        </w:div>
        <w:div w:id="1148671355">
          <w:marLeft w:val="1152"/>
          <w:marRight w:val="0"/>
          <w:marTop w:val="0"/>
          <w:marBottom w:val="101"/>
          <w:divBdr>
            <w:top w:val="none" w:sz="0" w:space="0" w:color="auto"/>
            <w:left w:val="none" w:sz="0" w:space="0" w:color="auto"/>
            <w:bottom w:val="none" w:sz="0" w:space="0" w:color="auto"/>
            <w:right w:val="none" w:sz="0" w:space="0" w:color="auto"/>
          </w:divBdr>
        </w:div>
        <w:div w:id="1220627403">
          <w:marLeft w:val="1152"/>
          <w:marRight w:val="0"/>
          <w:marTop w:val="0"/>
          <w:marBottom w:val="101"/>
          <w:divBdr>
            <w:top w:val="none" w:sz="0" w:space="0" w:color="auto"/>
            <w:left w:val="none" w:sz="0" w:space="0" w:color="auto"/>
            <w:bottom w:val="none" w:sz="0" w:space="0" w:color="auto"/>
            <w:right w:val="none" w:sz="0" w:space="0" w:color="auto"/>
          </w:divBdr>
        </w:div>
        <w:div w:id="1345324612">
          <w:marLeft w:val="720"/>
          <w:marRight w:val="0"/>
          <w:marTop w:val="0"/>
          <w:marBottom w:val="101"/>
          <w:divBdr>
            <w:top w:val="none" w:sz="0" w:space="0" w:color="auto"/>
            <w:left w:val="none" w:sz="0" w:space="0" w:color="auto"/>
            <w:bottom w:val="none" w:sz="0" w:space="0" w:color="auto"/>
            <w:right w:val="none" w:sz="0" w:space="0" w:color="auto"/>
          </w:divBdr>
        </w:div>
        <w:div w:id="1367019785">
          <w:marLeft w:val="1152"/>
          <w:marRight w:val="0"/>
          <w:marTop w:val="0"/>
          <w:marBottom w:val="101"/>
          <w:divBdr>
            <w:top w:val="none" w:sz="0" w:space="0" w:color="auto"/>
            <w:left w:val="none" w:sz="0" w:space="0" w:color="auto"/>
            <w:bottom w:val="none" w:sz="0" w:space="0" w:color="auto"/>
            <w:right w:val="none" w:sz="0" w:space="0" w:color="auto"/>
          </w:divBdr>
        </w:div>
        <w:div w:id="1370178962">
          <w:marLeft w:val="2160"/>
          <w:marRight w:val="0"/>
          <w:marTop w:val="0"/>
          <w:marBottom w:val="101"/>
          <w:divBdr>
            <w:top w:val="none" w:sz="0" w:space="0" w:color="auto"/>
            <w:left w:val="none" w:sz="0" w:space="0" w:color="auto"/>
            <w:bottom w:val="none" w:sz="0" w:space="0" w:color="auto"/>
            <w:right w:val="none" w:sz="0" w:space="0" w:color="auto"/>
          </w:divBdr>
        </w:div>
        <w:div w:id="1415467334">
          <w:marLeft w:val="1152"/>
          <w:marRight w:val="0"/>
          <w:marTop w:val="0"/>
          <w:marBottom w:val="101"/>
          <w:divBdr>
            <w:top w:val="none" w:sz="0" w:space="0" w:color="auto"/>
            <w:left w:val="none" w:sz="0" w:space="0" w:color="auto"/>
            <w:bottom w:val="none" w:sz="0" w:space="0" w:color="auto"/>
            <w:right w:val="none" w:sz="0" w:space="0" w:color="auto"/>
          </w:divBdr>
        </w:div>
        <w:div w:id="1435202452">
          <w:marLeft w:val="1152"/>
          <w:marRight w:val="0"/>
          <w:marTop w:val="0"/>
          <w:marBottom w:val="101"/>
          <w:divBdr>
            <w:top w:val="none" w:sz="0" w:space="0" w:color="auto"/>
            <w:left w:val="none" w:sz="0" w:space="0" w:color="auto"/>
            <w:bottom w:val="none" w:sz="0" w:space="0" w:color="auto"/>
            <w:right w:val="none" w:sz="0" w:space="0" w:color="auto"/>
          </w:divBdr>
        </w:div>
        <w:div w:id="1462385675">
          <w:marLeft w:val="1152"/>
          <w:marRight w:val="0"/>
          <w:marTop w:val="0"/>
          <w:marBottom w:val="101"/>
          <w:divBdr>
            <w:top w:val="none" w:sz="0" w:space="0" w:color="auto"/>
            <w:left w:val="none" w:sz="0" w:space="0" w:color="auto"/>
            <w:bottom w:val="none" w:sz="0" w:space="0" w:color="auto"/>
            <w:right w:val="none" w:sz="0" w:space="0" w:color="auto"/>
          </w:divBdr>
        </w:div>
        <w:div w:id="1511677396">
          <w:marLeft w:val="1152"/>
          <w:marRight w:val="0"/>
          <w:marTop w:val="0"/>
          <w:marBottom w:val="101"/>
          <w:divBdr>
            <w:top w:val="none" w:sz="0" w:space="0" w:color="auto"/>
            <w:left w:val="none" w:sz="0" w:space="0" w:color="auto"/>
            <w:bottom w:val="none" w:sz="0" w:space="0" w:color="auto"/>
            <w:right w:val="none" w:sz="0" w:space="0" w:color="auto"/>
          </w:divBdr>
        </w:div>
        <w:div w:id="1521237194">
          <w:marLeft w:val="1152"/>
          <w:marRight w:val="0"/>
          <w:marTop w:val="0"/>
          <w:marBottom w:val="101"/>
          <w:divBdr>
            <w:top w:val="none" w:sz="0" w:space="0" w:color="auto"/>
            <w:left w:val="none" w:sz="0" w:space="0" w:color="auto"/>
            <w:bottom w:val="none" w:sz="0" w:space="0" w:color="auto"/>
            <w:right w:val="none" w:sz="0" w:space="0" w:color="auto"/>
          </w:divBdr>
        </w:div>
        <w:div w:id="1655144217">
          <w:marLeft w:val="1152"/>
          <w:marRight w:val="0"/>
          <w:marTop w:val="0"/>
          <w:marBottom w:val="101"/>
          <w:divBdr>
            <w:top w:val="none" w:sz="0" w:space="0" w:color="auto"/>
            <w:left w:val="none" w:sz="0" w:space="0" w:color="auto"/>
            <w:bottom w:val="none" w:sz="0" w:space="0" w:color="auto"/>
            <w:right w:val="none" w:sz="0" w:space="0" w:color="auto"/>
          </w:divBdr>
        </w:div>
        <w:div w:id="1661344456">
          <w:marLeft w:val="1584"/>
          <w:marRight w:val="0"/>
          <w:marTop w:val="0"/>
          <w:marBottom w:val="101"/>
          <w:divBdr>
            <w:top w:val="none" w:sz="0" w:space="0" w:color="auto"/>
            <w:left w:val="none" w:sz="0" w:space="0" w:color="auto"/>
            <w:bottom w:val="none" w:sz="0" w:space="0" w:color="auto"/>
            <w:right w:val="none" w:sz="0" w:space="0" w:color="auto"/>
          </w:divBdr>
        </w:div>
        <w:div w:id="1684043172">
          <w:marLeft w:val="1152"/>
          <w:marRight w:val="0"/>
          <w:marTop w:val="0"/>
          <w:marBottom w:val="101"/>
          <w:divBdr>
            <w:top w:val="none" w:sz="0" w:space="0" w:color="auto"/>
            <w:left w:val="none" w:sz="0" w:space="0" w:color="auto"/>
            <w:bottom w:val="none" w:sz="0" w:space="0" w:color="auto"/>
            <w:right w:val="none" w:sz="0" w:space="0" w:color="auto"/>
          </w:divBdr>
        </w:div>
        <w:div w:id="1710714832">
          <w:marLeft w:val="2160"/>
          <w:marRight w:val="0"/>
          <w:marTop w:val="0"/>
          <w:marBottom w:val="101"/>
          <w:divBdr>
            <w:top w:val="none" w:sz="0" w:space="0" w:color="auto"/>
            <w:left w:val="none" w:sz="0" w:space="0" w:color="auto"/>
            <w:bottom w:val="none" w:sz="0" w:space="0" w:color="auto"/>
            <w:right w:val="none" w:sz="0" w:space="0" w:color="auto"/>
          </w:divBdr>
        </w:div>
        <w:div w:id="1879389355">
          <w:marLeft w:val="1152"/>
          <w:marRight w:val="0"/>
          <w:marTop w:val="0"/>
          <w:marBottom w:val="101"/>
          <w:divBdr>
            <w:top w:val="none" w:sz="0" w:space="0" w:color="auto"/>
            <w:left w:val="none" w:sz="0" w:space="0" w:color="auto"/>
            <w:bottom w:val="none" w:sz="0" w:space="0" w:color="auto"/>
            <w:right w:val="none" w:sz="0" w:space="0" w:color="auto"/>
          </w:divBdr>
        </w:div>
        <w:div w:id="1899198077">
          <w:marLeft w:val="1152"/>
          <w:marRight w:val="0"/>
          <w:marTop w:val="0"/>
          <w:marBottom w:val="101"/>
          <w:divBdr>
            <w:top w:val="none" w:sz="0" w:space="0" w:color="auto"/>
            <w:left w:val="none" w:sz="0" w:space="0" w:color="auto"/>
            <w:bottom w:val="none" w:sz="0" w:space="0" w:color="auto"/>
            <w:right w:val="none" w:sz="0" w:space="0" w:color="auto"/>
          </w:divBdr>
        </w:div>
        <w:div w:id="1908613440">
          <w:marLeft w:val="1152"/>
          <w:marRight w:val="0"/>
          <w:marTop w:val="0"/>
          <w:marBottom w:val="101"/>
          <w:divBdr>
            <w:top w:val="none" w:sz="0" w:space="0" w:color="auto"/>
            <w:left w:val="none" w:sz="0" w:space="0" w:color="auto"/>
            <w:bottom w:val="none" w:sz="0" w:space="0" w:color="auto"/>
            <w:right w:val="none" w:sz="0" w:space="0" w:color="auto"/>
          </w:divBdr>
        </w:div>
        <w:div w:id="1925216933">
          <w:marLeft w:val="1152"/>
          <w:marRight w:val="0"/>
          <w:marTop w:val="0"/>
          <w:marBottom w:val="101"/>
          <w:divBdr>
            <w:top w:val="none" w:sz="0" w:space="0" w:color="auto"/>
            <w:left w:val="none" w:sz="0" w:space="0" w:color="auto"/>
            <w:bottom w:val="none" w:sz="0" w:space="0" w:color="auto"/>
            <w:right w:val="none" w:sz="0" w:space="0" w:color="auto"/>
          </w:divBdr>
        </w:div>
        <w:div w:id="1943487771">
          <w:marLeft w:val="1152"/>
          <w:marRight w:val="0"/>
          <w:marTop w:val="0"/>
          <w:marBottom w:val="101"/>
          <w:divBdr>
            <w:top w:val="none" w:sz="0" w:space="0" w:color="auto"/>
            <w:left w:val="none" w:sz="0" w:space="0" w:color="auto"/>
            <w:bottom w:val="none" w:sz="0" w:space="0" w:color="auto"/>
            <w:right w:val="none" w:sz="0" w:space="0" w:color="auto"/>
          </w:divBdr>
        </w:div>
        <w:div w:id="1956523993">
          <w:marLeft w:val="1152"/>
          <w:marRight w:val="0"/>
          <w:marTop w:val="0"/>
          <w:marBottom w:val="101"/>
          <w:divBdr>
            <w:top w:val="none" w:sz="0" w:space="0" w:color="auto"/>
            <w:left w:val="none" w:sz="0" w:space="0" w:color="auto"/>
            <w:bottom w:val="none" w:sz="0" w:space="0" w:color="auto"/>
            <w:right w:val="none" w:sz="0" w:space="0" w:color="auto"/>
          </w:divBdr>
        </w:div>
        <w:div w:id="1979459584">
          <w:marLeft w:val="1152"/>
          <w:marRight w:val="0"/>
          <w:marTop w:val="0"/>
          <w:marBottom w:val="101"/>
          <w:divBdr>
            <w:top w:val="none" w:sz="0" w:space="0" w:color="auto"/>
            <w:left w:val="none" w:sz="0" w:space="0" w:color="auto"/>
            <w:bottom w:val="none" w:sz="0" w:space="0" w:color="auto"/>
            <w:right w:val="none" w:sz="0" w:space="0" w:color="auto"/>
          </w:divBdr>
        </w:div>
        <w:div w:id="2019310288">
          <w:marLeft w:val="2160"/>
          <w:marRight w:val="0"/>
          <w:marTop w:val="0"/>
          <w:marBottom w:val="101"/>
          <w:divBdr>
            <w:top w:val="none" w:sz="0" w:space="0" w:color="auto"/>
            <w:left w:val="none" w:sz="0" w:space="0" w:color="auto"/>
            <w:bottom w:val="none" w:sz="0" w:space="0" w:color="auto"/>
            <w:right w:val="none" w:sz="0" w:space="0" w:color="auto"/>
          </w:divBdr>
        </w:div>
        <w:div w:id="2045014114">
          <w:marLeft w:val="720"/>
          <w:marRight w:val="0"/>
          <w:marTop w:val="0"/>
          <w:marBottom w:val="101"/>
          <w:divBdr>
            <w:top w:val="none" w:sz="0" w:space="0" w:color="auto"/>
            <w:left w:val="none" w:sz="0" w:space="0" w:color="auto"/>
            <w:bottom w:val="none" w:sz="0" w:space="0" w:color="auto"/>
            <w:right w:val="none" w:sz="0" w:space="0" w:color="auto"/>
          </w:divBdr>
        </w:div>
        <w:div w:id="2080516369">
          <w:marLeft w:val="1152"/>
          <w:marRight w:val="0"/>
          <w:marTop w:val="0"/>
          <w:marBottom w:val="101"/>
          <w:divBdr>
            <w:top w:val="none" w:sz="0" w:space="0" w:color="auto"/>
            <w:left w:val="none" w:sz="0" w:space="0" w:color="auto"/>
            <w:bottom w:val="none" w:sz="0" w:space="0" w:color="auto"/>
            <w:right w:val="none" w:sz="0" w:space="0" w:color="auto"/>
          </w:divBdr>
        </w:div>
        <w:div w:id="2115977870">
          <w:marLeft w:val="2160"/>
          <w:marRight w:val="0"/>
          <w:marTop w:val="0"/>
          <w:marBottom w:val="101"/>
          <w:divBdr>
            <w:top w:val="none" w:sz="0" w:space="0" w:color="auto"/>
            <w:left w:val="none" w:sz="0" w:space="0" w:color="auto"/>
            <w:bottom w:val="none" w:sz="0" w:space="0" w:color="auto"/>
            <w:right w:val="none" w:sz="0" w:space="0" w:color="auto"/>
          </w:divBdr>
        </w:div>
        <w:div w:id="2141872055">
          <w:marLeft w:val="720"/>
          <w:marRight w:val="0"/>
          <w:marTop w:val="0"/>
          <w:marBottom w:val="101"/>
          <w:divBdr>
            <w:top w:val="none" w:sz="0" w:space="0" w:color="auto"/>
            <w:left w:val="none" w:sz="0" w:space="0" w:color="auto"/>
            <w:bottom w:val="none" w:sz="0" w:space="0" w:color="auto"/>
            <w:right w:val="none" w:sz="0" w:space="0" w:color="auto"/>
          </w:divBdr>
        </w:div>
      </w:divsChild>
    </w:div>
    <w:div w:id="336230734">
      <w:bodyDiv w:val="1"/>
      <w:marLeft w:val="0"/>
      <w:marRight w:val="0"/>
      <w:marTop w:val="0"/>
      <w:marBottom w:val="0"/>
      <w:divBdr>
        <w:top w:val="none" w:sz="0" w:space="0" w:color="auto"/>
        <w:left w:val="none" w:sz="0" w:space="0" w:color="auto"/>
        <w:bottom w:val="none" w:sz="0" w:space="0" w:color="auto"/>
        <w:right w:val="none" w:sz="0" w:space="0" w:color="auto"/>
      </w:divBdr>
    </w:div>
    <w:div w:id="409040360">
      <w:bodyDiv w:val="1"/>
      <w:marLeft w:val="0"/>
      <w:marRight w:val="0"/>
      <w:marTop w:val="0"/>
      <w:marBottom w:val="0"/>
      <w:divBdr>
        <w:top w:val="none" w:sz="0" w:space="0" w:color="auto"/>
        <w:left w:val="none" w:sz="0" w:space="0" w:color="auto"/>
        <w:bottom w:val="none" w:sz="0" w:space="0" w:color="auto"/>
        <w:right w:val="none" w:sz="0" w:space="0" w:color="auto"/>
      </w:divBdr>
    </w:div>
    <w:div w:id="545021531">
      <w:bodyDiv w:val="1"/>
      <w:marLeft w:val="0"/>
      <w:marRight w:val="0"/>
      <w:marTop w:val="0"/>
      <w:marBottom w:val="0"/>
      <w:divBdr>
        <w:top w:val="none" w:sz="0" w:space="0" w:color="auto"/>
        <w:left w:val="none" w:sz="0" w:space="0" w:color="auto"/>
        <w:bottom w:val="none" w:sz="0" w:space="0" w:color="auto"/>
        <w:right w:val="none" w:sz="0" w:space="0" w:color="auto"/>
      </w:divBdr>
    </w:div>
    <w:div w:id="554319572">
      <w:bodyDiv w:val="1"/>
      <w:marLeft w:val="0"/>
      <w:marRight w:val="0"/>
      <w:marTop w:val="0"/>
      <w:marBottom w:val="0"/>
      <w:divBdr>
        <w:top w:val="none" w:sz="0" w:space="0" w:color="auto"/>
        <w:left w:val="none" w:sz="0" w:space="0" w:color="auto"/>
        <w:bottom w:val="none" w:sz="0" w:space="0" w:color="auto"/>
        <w:right w:val="none" w:sz="0" w:space="0" w:color="auto"/>
      </w:divBdr>
    </w:div>
    <w:div w:id="681661400">
      <w:bodyDiv w:val="1"/>
      <w:marLeft w:val="0"/>
      <w:marRight w:val="0"/>
      <w:marTop w:val="0"/>
      <w:marBottom w:val="0"/>
      <w:divBdr>
        <w:top w:val="none" w:sz="0" w:space="0" w:color="auto"/>
        <w:left w:val="none" w:sz="0" w:space="0" w:color="auto"/>
        <w:bottom w:val="none" w:sz="0" w:space="0" w:color="auto"/>
        <w:right w:val="none" w:sz="0" w:space="0" w:color="auto"/>
      </w:divBdr>
    </w:div>
    <w:div w:id="723871919">
      <w:bodyDiv w:val="1"/>
      <w:marLeft w:val="0"/>
      <w:marRight w:val="0"/>
      <w:marTop w:val="0"/>
      <w:marBottom w:val="0"/>
      <w:divBdr>
        <w:top w:val="none" w:sz="0" w:space="0" w:color="auto"/>
        <w:left w:val="none" w:sz="0" w:space="0" w:color="auto"/>
        <w:bottom w:val="none" w:sz="0" w:space="0" w:color="auto"/>
        <w:right w:val="none" w:sz="0" w:space="0" w:color="auto"/>
      </w:divBdr>
    </w:div>
    <w:div w:id="726537586">
      <w:bodyDiv w:val="1"/>
      <w:marLeft w:val="0"/>
      <w:marRight w:val="0"/>
      <w:marTop w:val="0"/>
      <w:marBottom w:val="0"/>
      <w:divBdr>
        <w:top w:val="none" w:sz="0" w:space="0" w:color="auto"/>
        <w:left w:val="none" w:sz="0" w:space="0" w:color="auto"/>
        <w:bottom w:val="none" w:sz="0" w:space="0" w:color="auto"/>
        <w:right w:val="none" w:sz="0" w:space="0" w:color="auto"/>
      </w:divBdr>
    </w:div>
    <w:div w:id="999117562">
      <w:bodyDiv w:val="1"/>
      <w:marLeft w:val="0"/>
      <w:marRight w:val="0"/>
      <w:marTop w:val="0"/>
      <w:marBottom w:val="0"/>
      <w:divBdr>
        <w:top w:val="none" w:sz="0" w:space="0" w:color="auto"/>
        <w:left w:val="none" w:sz="0" w:space="0" w:color="auto"/>
        <w:bottom w:val="none" w:sz="0" w:space="0" w:color="auto"/>
        <w:right w:val="none" w:sz="0" w:space="0" w:color="auto"/>
      </w:divBdr>
      <w:divsChild>
        <w:div w:id="819806478">
          <w:marLeft w:val="0"/>
          <w:marRight w:val="0"/>
          <w:marTop w:val="0"/>
          <w:marBottom w:val="101"/>
          <w:divBdr>
            <w:top w:val="none" w:sz="0" w:space="0" w:color="auto"/>
            <w:left w:val="none" w:sz="0" w:space="0" w:color="auto"/>
            <w:bottom w:val="none" w:sz="0" w:space="0" w:color="auto"/>
            <w:right w:val="none" w:sz="0" w:space="0" w:color="auto"/>
          </w:divBdr>
        </w:div>
        <w:div w:id="1166476416">
          <w:marLeft w:val="0"/>
          <w:marRight w:val="0"/>
          <w:marTop w:val="0"/>
          <w:marBottom w:val="101"/>
          <w:divBdr>
            <w:top w:val="none" w:sz="0" w:space="0" w:color="auto"/>
            <w:left w:val="none" w:sz="0" w:space="0" w:color="auto"/>
            <w:bottom w:val="none" w:sz="0" w:space="0" w:color="auto"/>
            <w:right w:val="none" w:sz="0" w:space="0" w:color="auto"/>
          </w:divBdr>
        </w:div>
      </w:divsChild>
    </w:div>
    <w:div w:id="1311136267">
      <w:bodyDiv w:val="1"/>
      <w:marLeft w:val="0"/>
      <w:marRight w:val="0"/>
      <w:marTop w:val="0"/>
      <w:marBottom w:val="0"/>
      <w:divBdr>
        <w:top w:val="none" w:sz="0" w:space="0" w:color="auto"/>
        <w:left w:val="none" w:sz="0" w:space="0" w:color="auto"/>
        <w:bottom w:val="none" w:sz="0" w:space="0" w:color="auto"/>
        <w:right w:val="none" w:sz="0" w:space="0" w:color="auto"/>
      </w:divBdr>
    </w:div>
    <w:div w:id="1462991436">
      <w:bodyDiv w:val="1"/>
      <w:marLeft w:val="0"/>
      <w:marRight w:val="0"/>
      <w:marTop w:val="0"/>
      <w:marBottom w:val="0"/>
      <w:divBdr>
        <w:top w:val="none" w:sz="0" w:space="0" w:color="auto"/>
        <w:left w:val="none" w:sz="0" w:space="0" w:color="auto"/>
        <w:bottom w:val="none" w:sz="0" w:space="0" w:color="auto"/>
        <w:right w:val="none" w:sz="0" w:space="0" w:color="auto"/>
      </w:divBdr>
      <w:divsChild>
        <w:div w:id="1247574170">
          <w:marLeft w:val="0"/>
          <w:marRight w:val="0"/>
          <w:marTop w:val="0"/>
          <w:marBottom w:val="101"/>
          <w:divBdr>
            <w:top w:val="none" w:sz="0" w:space="0" w:color="auto"/>
            <w:left w:val="none" w:sz="0" w:space="0" w:color="auto"/>
            <w:bottom w:val="none" w:sz="0" w:space="0" w:color="auto"/>
            <w:right w:val="none" w:sz="0" w:space="0" w:color="auto"/>
          </w:divBdr>
        </w:div>
        <w:div w:id="1611624922">
          <w:marLeft w:val="0"/>
          <w:marRight w:val="0"/>
          <w:marTop w:val="0"/>
          <w:marBottom w:val="101"/>
          <w:divBdr>
            <w:top w:val="none" w:sz="0" w:space="0" w:color="auto"/>
            <w:left w:val="none" w:sz="0" w:space="0" w:color="auto"/>
            <w:bottom w:val="none" w:sz="0" w:space="0" w:color="auto"/>
            <w:right w:val="none" w:sz="0" w:space="0" w:color="auto"/>
          </w:divBdr>
        </w:div>
        <w:div w:id="1654528257">
          <w:marLeft w:val="0"/>
          <w:marRight w:val="0"/>
          <w:marTop w:val="0"/>
          <w:marBottom w:val="101"/>
          <w:divBdr>
            <w:top w:val="none" w:sz="0" w:space="0" w:color="auto"/>
            <w:left w:val="none" w:sz="0" w:space="0" w:color="auto"/>
            <w:bottom w:val="none" w:sz="0" w:space="0" w:color="auto"/>
            <w:right w:val="none" w:sz="0" w:space="0" w:color="auto"/>
          </w:divBdr>
        </w:div>
        <w:div w:id="1769888686">
          <w:marLeft w:val="0"/>
          <w:marRight w:val="0"/>
          <w:marTop w:val="0"/>
          <w:marBottom w:val="101"/>
          <w:divBdr>
            <w:top w:val="none" w:sz="0" w:space="0" w:color="auto"/>
            <w:left w:val="none" w:sz="0" w:space="0" w:color="auto"/>
            <w:bottom w:val="none" w:sz="0" w:space="0" w:color="auto"/>
            <w:right w:val="none" w:sz="0" w:space="0" w:color="auto"/>
          </w:divBdr>
        </w:div>
      </w:divsChild>
    </w:div>
    <w:div w:id="1564245980">
      <w:bodyDiv w:val="1"/>
      <w:marLeft w:val="0"/>
      <w:marRight w:val="0"/>
      <w:marTop w:val="0"/>
      <w:marBottom w:val="0"/>
      <w:divBdr>
        <w:top w:val="none" w:sz="0" w:space="0" w:color="auto"/>
        <w:left w:val="none" w:sz="0" w:space="0" w:color="auto"/>
        <w:bottom w:val="none" w:sz="0" w:space="0" w:color="auto"/>
        <w:right w:val="none" w:sz="0" w:space="0" w:color="auto"/>
      </w:divBdr>
    </w:div>
    <w:div w:id="1650162797">
      <w:bodyDiv w:val="1"/>
      <w:marLeft w:val="0"/>
      <w:marRight w:val="0"/>
      <w:marTop w:val="0"/>
      <w:marBottom w:val="0"/>
      <w:divBdr>
        <w:top w:val="none" w:sz="0" w:space="0" w:color="auto"/>
        <w:left w:val="none" w:sz="0" w:space="0" w:color="auto"/>
        <w:bottom w:val="none" w:sz="0" w:space="0" w:color="auto"/>
        <w:right w:val="none" w:sz="0" w:space="0" w:color="auto"/>
      </w:divBdr>
    </w:div>
    <w:div w:id="1694187874">
      <w:bodyDiv w:val="1"/>
      <w:marLeft w:val="0"/>
      <w:marRight w:val="0"/>
      <w:marTop w:val="0"/>
      <w:marBottom w:val="0"/>
      <w:divBdr>
        <w:top w:val="none" w:sz="0" w:space="0" w:color="auto"/>
        <w:left w:val="none" w:sz="0" w:space="0" w:color="auto"/>
        <w:bottom w:val="none" w:sz="0" w:space="0" w:color="auto"/>
        <w:right w:val="none" w:sz="0" w:space="0" w:color="auto"/>
      </w:divBdr>
    </w:div>
    <w:div w:id="1718316582">
      <w:bodyDiv w:val="1"/>
      <w:marLeft w:val="0"/>
      <w:marRight w:val="0"/>
      <w:marTop w:val="0"/>
      <w:marBottom w:val="0"/>
      <w:divBdr>
        <w:top w:val="none" w:sz="0" w:space="0" w:color="auto"/>
        <w:left w:val="none" w:sz="0" w:space="0" w:color="auto"/>
        <w:bottom w:val="none" w:sz="0" w:space="0" w:color="auto"/>
        <w:right w:val="none" w:sz="0" w:space="0" w:color="auto"/>
      </w:divBdr>
    </w:div>
    <w:div w:id="1837838079">
      <w:bodyDiv w:val="1"/>
      <w:marLeft w:val="0"/>
      <w:marRight w:val="0"/>
      <w:marTop w:val="0"/>
      <w:marBottom w:val="0"/>
      <w:divBdr>
        <w:top w:val="none" w:sz="0" w:space="0" w:color="auto"/>
        <w:left w:val="none" w:sz="0" w:space="0" w:color="auto"/>
        <w:bottom w:val="none" w:sz="0" w:space="0" w:color="auto"/>
        <w:right w:val="none" w:sz="0" w:space="0" w:color="auto"/>
      </w:divBdr>
      <w:divsChild>
        <w:div w:id="165484865">
          <w:marLeft w:val="1440"/>
          <w:marRight w:val="0"/>
          <w:marTop w:val="0"/>
          <w:marBottom w:val="101"/>
          <w:divBdr>
            <w:top w:val="none" w:sz="0" w:space="0" w:color="auto"/>
            <w:left w:val="none" w:sz="0" w:space="0" w:color="auto"/>
            <w:bottom w:val="none" w:sz="0" w:space="0" w:color="auto"/>
            <w:right w:val="none" w:sz="0" w:space="0" w:color="auto"/>
          </w:divBdr>
        </w:div>
        <w:div w:id="437065321">
          <w:marLeft w:val="720"/>
          <w:marRight w:val="0"/>
          <w:marTop w:val="0"/>
          <w:marBottom w:val="101"/>
          <w:divBdr>
            <w:top w:val="none" w:sz="0" w:space="0" w:color="auto"/>
            <w:left w:val="none" w:sz="0" w:space="0" w:color="auto"/>
            <w:bottom w:val="none" w:sz="0" w:space="0" w:color="auto"/>
            <w:right w:val="none" w:sz="0" w:space="0" w:color="auto"/>
          </w:divBdr>
        </w:div>
        <w:div w:id="498035797">
          <w:marLeft w:val="720"/>
          <w:marRight w:val="0"/>
          <w:marTop w:val="0"/>
          <w:marBottom w:val="101"/>
          <w:divBdr>
            <w:top w:val="none" w:sz="0" w:space="0" w:color="auto"/>
            <w:left w:val="none" w:sz="0" w:space="0" w:color="auto"/>
            <w:bottom w:val="none" w:sz="0" w:space="0" w:color="auto"/>
            <w:right w:val="none" w:sz="0" w:space="0" w:color="auto"/>
          </w:divBdr>
        </w:div>
        <w:div w:id="498161743">
          <w:marLeft w:val="1440"/>
          <w:marRight w:val="0"/>
          <w:marTop w:val="0"/>
          <w:marBottom w:val="101"/>
          <w:divBdr>
            <w:top w:val="none" w:sz="0" w:space="0" w:color="auto"/>
            <w:left w:val="none" w:sz="0" w:space="0" w:color="auto"/>
            <w:bottom w:val="none" w:sz="0" w:space="0" w:color="auto"/>
            <w:right w:val="none" w:sz="0" w:space="0" w:color="auto"/>
          </w:divBdr>
        </w:div>
        <w:div w:id="589701263">
          <w:marLeft w:val="720"/>
          <w:marRight w:val="0"/>
          <w:marTop w:val="0"/>
          <w:marBottom w:val="101"/>
          <w:divBdr>
            <w:top w:val="none" w:sz="0" w:space="0" w:color="auto"/>
            <w:left w:val="none" w:sz="0" w:space="0" w:color="auto"/>
            <w:bottom w:val="none" w:sz="0" w:space="0" w:color="auto"/>
            <w:right w:val="none" w:sz="0" w:space="0" w:color="auto"/>
          </w:divBdr>
        </w:div>
        <w:div w:id="647823720">
          <w:marLeft w:val="720"/>
          <w:marRight w:val="0"/>
          <w:marTop w:val="0"/>
          <w:marBottom w:val="101"/>
          <w:divBdr>
            <w:top w:val="none" w:sz="0" w:space="0" w:color="auto"/>
            <w:left w:val="none" w:sz="0" w:space="0" w:color="auto"/>
            <w:bottom w:val="none" w:sz="0" w:space="0" w:color="auto"/>
            <w:right w:val="none" w:sz="0" w:space="0" w:color="auto"/>
          </w:divBdr>
        </w:div>
        <w:div w:id="655493991">
          <w:marLeft w:val="720"/>
          <w:marRight w:val="0"/>
          <w:marTop w:val="0"/>
          <w:marBottom w:val="101"/>
          <w:divBdr>
            <w:top w:val="none" w:sz="0" w:space="0" w:color="auto"/>
            <w:left w:val="none" w:sz="0" w:space="0" w:color="auto"/>
            <w:bottom w:val="none" w:sz="0" w:space="0" w:color="auto"/>
            <w:right w:val="none" w:sz="0" w:space="0" w:color="auto"/>
          </w:divBdr>
        </w:div>
        <w:div w:id="1159921962">
          <w:marLeft w:val="1440"/>
          <w:marRight w:val="0"/>
          <w:marTop w:val="0"/>
          <w:marBottom w:val="101"/>
          <w:divBdr>
            <w:top w:val="none" w:sz="0" w:space="0" w:color="auto"/>
            <w:left w:val="none" w:sz="0" w:space="0" w:color="auto"/>
            <w:bottom w:val="none" w:sz="0" w:space="0" w:color="auto"/>
            <w:right w:val="none" w:sz="0" w:space="0" w:color="auto"/>
          </w:divBdr>
        </w:div>
        <w:div w:id="1242717800">
          <w:marLeft w:val="720"/>
          <w:marRight w:val="0"/>
          <w:marTop w:val="0"/>
          <w:marBottom w:val="101"/>
          <w:divBdr>
            <w:top w:val="none" w:sz="0" w:space="0" w:color="auto"/>
            <w:left w:val="none" w:sz="0" w:space="0" w:color="auto"/>
            <w:bottom w:val="none" w:sz="0" w:space="0" w:color="auto"/>
            <w:right w:val="none" w:sz="0" w:space="0" w:color="auto"/>
          </w:divBdr>
        </w:div>
        <w:div w:id="1325820473">
          <w:marLeft w:val="1440"/>
          <w:marRight w:val="0"/>
          <w:marTop w:val="0"/>
          <w:marBottom w:val="101"/>
          <w:divBdr>
            <w:top w:val="none" w:sz="0" w:space="0" w:color="auto"/>
            <w:left w:val="none" w:sz="0" w:space="0" w:color="auto"/>
            <w:bottom w:val="none" w:sz="0" w:space="0" w:color="auto"/>
            <w:right w:val="none" w:sz="0" w:space="0" w:color="auto"/>
          </w:divBdr>
        </w:div>
        <w:div w:id="1467165840">
          <w:marLeft w:val="720"/>
          <w:marRight w:val="0"/>
          <w:marTop w:val="0"/>
          <w:marBottom w:val="101"/>
          <w:divBdr>
            <w:top w:val="none" w:sz="0" w:space="0" w:color="auto"/>
            <w:left w:val="none" w:sz="0" w:space="0" w:color="auto"/>
            <w:bottom w:val="none" w:sz="0" w:space="0" w:color="auto"/>
            <w:right w:val="none" w:sz="0" w:space="0" w:color="auto"/>
          </w:divBdr>
        </w:div>
        <w:div w:id="1489520838">
          <w:marLeft w:val="1440"/>
          <w:marRight w:val="0"/>
          <w:marTop w:val="0"/>
          <w:marBottom w:val="101"/>
          <w:divBdr>
            <w:top w:val="none" w:sz="0" w:space="0" w:color="auto"/>
            <w:left w:val="none" w:sz="0" w:space="0" w:color="auto"/>
            <w:bottom w:val="none" w:sz="0" w:space="0" w:color="auto"/>
            <w:right w:val="none" w:sz="0" w:space="0" w:color="auto"/>
          </w:divBdr>
        </w:div>
        <w:div w:id="1685086726">
          <w:marLeft w:val="1440"/>
          <w:marRight w:val="0"/>
          <w:marTop w:val="0"/>
          <w:marBottom w:val="101"/>
          <w:divBdr>
            <w:top w:val="none" w:sz="0" w:space="0" w:color="auto"/>
            <w:left w:val="none" w:sz="0" w:space="0" w:color="auto"/>
            <w:bottom w:val="none" w:sz="0" w:space="0" w:color="auto"/>
            <w:right w:val="none" w:sz="0" w:space="0" w:color="auto"/>
          </w:divBdr>
        </w:div>
        <w:div w:id="1938323583">
          <w:marLeft w:val="1440"/>
          <w:marRight w:val="0"/>
          <w:marTop w:val="0"/>
          <w:marBottom w:val="101"/>
          <w:divBdr>
            <w:top w:val="none" w:sz="0" w:space="0" w:color="auto"/>
            <w:left w:val="none" w:sz="0" w:space="0" w:color="auto"/>
            <w:bottom w:val="none" w:sz="0" w:space="0" w:color="auto"/>
            <w:right w:val="none" w:sz="0" w:space="0" w:color="auto"/>
          </w:divBdr>
        </w:div>
      </w:divsChild>
    </w:div>
    <w:div w:id="1955164021">
      <w:bodyDiv w:val="1"/>
      <w:marLeft w:val="0"/>
      <w:marRight w:val="0"/>
      <w:marTop w:val="0"/>
      <w:marBottom w:val="0"/>
      <w:divBdr>
        <w:top w:val="none" w:sz="0" w:space="0" w:color="auto"/>
        <w:left w:val="none" w:sz="0" w:space="0" w:color="auto"/>
        <w:bottom w:val="none" w:sz="0" w:space="0" w:color="auto"/>
        <w:right w:val="none" w:sz="0" w:space="0" w:color="auto"/>
      </w:divBdr>
    </w:div>
    <w:div w:id="197632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dof.gob.mx/normasOficiales/4081/cofetel/cofetel.htm" TargetMode="External"/><Relationship Id="rId13" Type="http://schemas.openxmlformats.org/officeDocument/2006/relationships/hyperlink" Target="https://www.itu.int/pub/R-REP-SM.2153-7-2019/es" TargetMode="External"/><Relationship Id="rId18" Type="http://schemas.openxmlformats.org/officeDocument/2006/relationships/hyperlink" Target="https://www.ic.gc.ca/eic/site/smt-gst.nsf/vwapj/SMSE-07-18-CTFA-2018.pdf/$file/SMSE-07-18-CTFA-2018.pdf" TargetMode="External"/><Relationship Id="rId26" Type="http://schemas.openxmlformats.org/officeDocument/2006/relationships/hyperlink" Target="https://www.ic.gc.ca/eic/site/smt-gst.nsf/vwapj/sp120.pdf/$FILE/sp120.pdf" TargetMode="External"/><Relationship Id="rId3" Type="http://schemas.openxmlformats.org/officeDocument/2006/relationships/hyperlink" Target="https://www.itu.int/rec/R-REC-SM.2103-0-201709-I/es" TargetMode="External"/><Relationship Id="rId21" Type="http://schemas.openxmlformats.org/officeDocument/2006/relationships/hyperlink" Target="https://www.ic.gc.ca/eic/site/smt-gst.nsf/eng/sf09092.html" TargetMode="External"/><Relationship Id="rId7" Type="http://schemas.openxmlformats.org/officeDocument/2006/relationships/hyperlink" Target="https://www.itu.int/pub/R-REP-SM.2153/es" TargetMode="External"/><Relationship Id="rId12" Type="http://schemas.openxmlformats.org/officeDocument/2006/relationships/hyperlink" Target="https://www.itu.int/rec/R-REC-SM.1896-1-201809-I/es" TargetMode="External"/><Relationship Id="rId17" Type="http://schemas.openxmlformats.org/officeDocument/2006/relationships/hyperlink" Target="https://www.ecfr.gov/cgi-bin/text-idx?SID=7751ac4e65b2cb5157c0eab86ccfcfb9&amp;mc=true&amp;node=se47.1.15_1249&amp;rgn=div8" TargetMode="External"/><Relationship Id="rId25" Type="http://schemas.openxmlformats.org/officeDocument/2006/relationships/hyperlink" Target="https://www.ic.gc.ca/eic/site/smt-gst.nsf/eng/sf01320.html" TargetMode="External"/><Relationship Id="rId2" Type="http://schemas.openxmlformats.org/officeDocument/2006/relationships/hyperlink" Target="https://www.itu.int/dms_pub/itu-r/opb/hdb/R-HDB-21-2015-PDF-S.pdf" TargetMode="External"/><Relationship Id="rId16" Type="http://schemas.openxmlformats.org/officeDocument/2006/relationships/hyperlink" Target="https://www.ecfr.gov/cgi-bin/text-idx?SID=7751ac4e65b2cb5157c0eab86ccfcfb9&amp;mc=true&amp;node=se47.1.15_1245&amp;rgn=div8" TargetMode="External"/><Relationship Id="rId20" Type="http://schemas.openxmlformats.org/officeDocument/2006/relationships/hyperlink" Target="https://www.ic.gc.ca/eic/site/smt-gst.nsf/eng/h_sf06121.html" TargetMode="External"/><Relationship Id="rId29" Type="http://schemas.openxmlformats.org/officeDocument/2006/relationships/hyperlink" Target="https://micrositios.mintic.gov.co/ley_tic/pdf/ley_tic_1978.pdf" TargetMode="External"/><Relationship Id="rId1" Type="http://schemas.openxmlformats.org/officeDocument/2006/relationships/hyperlink" Target="http://legislacion.scjn.gob.mx/Buscador/Paginas/wfProcesoLegislativoCompleto.aspx?IdOrd=101766&amp;IdRef=1&amp;IdProc=1" TargetMode="External"/><Relationship Id="rId6" Type="http://schemas.openxmlformats.org/officeDocument/2006/relationships/hyperlink" Target="https://www.dof.gob.mx/nota_detalle.php?codigo=5539626&amp;fecha=01/10/2018" TargetMode="External"/><Relationship Id="rId11" Type="http://schemas.openxmlformats.org/officeDocument/2006/relationships/hyperlink" Target="https://www.dof.gob.mx/nota_detalle.php?codigo=5411997&amp;fecha=19/10/2015" TargetMode="External"/><Relationship Id="rId24" Type="http://schemas.openxmlformats.org/officeDocument/2006/relationships/hyperlink" Target="https://www.ic.gc.ca/eic/site/smt-gst.nsf/eng/sf10971.html" TargetMode="External"/><Relationship Id="rId32" Type="http://schemas.openxmlformats.org/officeDocument/2006/relationships/hyperlink" Target="https://www.itu.int/dms_pub/itu-r/opb/rep/R-REP-SM.2153-7-2019-PDF-S.pdf" TargetMode="External"/><Relationship Id="rId5" Type="http://schemas.openxmlformats.org/officeDocument/2006/relationships/hyperlink" Target="https://www.itu.int/md/R19-RA19-C-0054/es" TargetMode="External"/><Relationship Id="rId15" Type="http://schemas.openxmlformats.org/officeDocument/2006/relationships/hyperlink" Target="https://www.ecfr.gov/cgi-bin/text-idx?SID=7751ac4e65b2cb5157c0eab86ccfcfb9&amp;mc=true&amp;node=se47.1.15_1247&amp;rgn=div8" TargetMode="External"/><Relationship Id="rId23" Type="http://schemas.openxmlformats.org/officeDocument/2006/relationships/hyperlink" Target="https://www.ic.gc.ca/eic/site/smt-gst.nsf/eng/sf01320.html" TargetMode="External"/><Relationship Id="rId28" Type="http://schemas.openxmlformats.org/officeDocument/2006/relationships/hyperlink" Target="https://www.mintic.gov.co/portal/inicio/Ministerio/Acerca-del-MinTIC/" TargetMode="External"/><Relationship Id="rId10" Type="http://schemas.openxmlformats.org/officeDocument/2006/relationships/hyperlink" Target="http://www.ift.org.mx/industria/consultas-publicas/consulta-publica-sobre-el-anteproyecto-de-disposicion-tecnica-ift-008-2015-sistemas-de" TargetMode="External"/><Relationship Id="rId19" Type="http://schemas.openxmlformats.org/officeDocument/2006/relationships/hyperlink" Target="https://www.ic.gc.ca/eic/site/smt-gst.nsf/eng/sf01049.html" TargetMode="External"/><Relationship Id="rId31" Type="http://schemas.openxmlformats.org/officeDocument/2006/relationships/hyperlink" Target="http://www.ane.gov.co/Documentos%20compartidos/ArchivosDescargables/Normatividad/Planeacion_del_espectro/RESOLUCI%C3%93N%20No%20000105%20DE%2027-03-2020(1)%20(1).pdf" TargetMode="External"/><Relationship Id="rId4" Type="http://schemas.openxmlformats.org/officeDocument/2006/relationships/hyperlink" Target="https://www.itu.int/pub/R-REP-SM.2153-7-2019/es" TargetMode="External"/><Relationship Id="rId9" Type="http://schemas.openxmlformats.org/officeDocument/2006/relationships/hyperlink" Target="https://www.gob.mx/cms/uploads/attachment/file/107522/LEYFEDERALSOBREMETROLOGIAYNORMALIZACION.pdf" TargetMode="External"/><Relationship Id="rId14" Type="http://schemas.openxmlformats.org/officeDocument/2006/relationships/hyperlink" Target="https://www.itu.int/rec/R-REC-SM.1056-1-200704-I/en" TargetMode="External"/><Relationship Id="rId22" Type="http://schemas.openxmlformats.org/officeDocument/2006/relationships/hyperlink" Target="https://www.ic.gc.ca/eic/site/smt-gst.nsf/eng/sf10971.html" TargetMode="External"/><Relationship Id="rId27" Type="http://schemas.openxmlformats.org/officeDocument/2006/relationships/hyperlink" Target="https://www.mintic.gov.co/portal/inicio/Ministerio/Instituciones-Relacionadas/Agencia-Nacional-del-Espectro-ANE/" TargetMode="External"/><Relationship Id="rId30" Type="http://schemas.openxmlformats.org/officeDocument/2006/relationships/hyperlink" Target="https://portalespectro.ane.gov.co:10253/JsonConfigAne/CNABF.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38F44-7F05-4E2A-8787-5BF243EA0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9AE2CAA-B940-4EA3-9459-D679303C98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1FE77E-78C4-48AC-8ABB-A39AC666A637}">
  <ds:schemaRefs>
    <ds:schemaRef ds:uri="http://schemas.microsoft.com/sharepoint/v3/contenttype/forms"/>
  </ds:schemaRefs>
</ds:datastoreItem>
</file>

<file path=customXml/itemProps4.xml><?xml version="1.0" encoding="utf-8"?>
<ds:datastoreItem xmlns:ds="http://schemas.openxmlformats.org/officeDocument/2006/customXml" ds:itemID="{BFFF344F-49BF-46EC-BA67-4336283F7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16104</Words>
  <Characters>88575</Characters>
  <Application>Microsoft Office Word</Application>
  <DocSecurity>0</DocSecurity>
  <Lines>738</Lines>
  <Paragraphs>208</Paragraphs>
  <ScaleCrop>false</ScaleCrop>
  <HeadingPairs>
    <vt:vector size="2" baseType="variant">
      <vt:variant>
        <vt:lpstr>Título</vt:lpstr>
      </vt:variant>
      <vt:variant>
        <vt:i4>1</vt:i4>
      </vt:variant>
    </vt:vector>
  </HeadingPairs>
  <TitlesOfParts>
    <vt:vector size="1" baseType="lpstr">
      <vt:lpstr/>
    </vt:vector>
  </TitlesOfParts>
  <Manager>Secretaría Técnica del Pleno</Manager>
  <Company/>
  <LinksUpToDate>false</LinksUpToDate>
  <CharactersWithSpaces>104471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Técnica del Pleno</dc:creator>
  <cp:keywords/>
  <dc:description/>
  <cp:lastModifiedBy>Josue Teoyotl Calderon</cp:lastModifiedBy>
  <cp:revision>3</cp:revision>
  <cp:lastPrinted>2020-12-16T21:10:00Z</cp:lastPrinted>
  <dcterms:created xsi:type="dcterms:W3CDTF">2020-12-16T00:39:00Z</dcterms:created>
  <dcterms:modified xsi:type="dcterms:W3CDTF">2020-12-16T21:10:00Z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