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24F74" w14:textId="06F60FCA" w:rsidR="00FF0299" w:rsidRPr="00375996" w:rsidRDefault="00BC09A3" w:rsidP="006C321C">
      <w:pPr>
        <w:spacing w:after="0" w:line="276" w:lineRule="auto"/>
        <w:ind w:left="0" w:right="0" w:firstLine="0"/>
        <w:rPr>
          <w:rFonts w:ascii="ITC Avant Garde" w:hAnsi="ITC Avant Garde"/>
          <w:b/>
          <w:i/>
        </w:rPr>
      </w:pPr>
      <w:bookmarkStart w:id="0" w:name="_GoBack"/>
      <w:bookmarkEnd w:id="0"/>
      <w:r w:rsidRPr="00375996">
        <w:rPr>
          <w:rFonts w:ascii="ITC Avant Garde" w:eastAsiaTheme="minorHAnsi" w:hAnsi="ITC Avant Garde" w:cstheme="minorBidi"/>
          <w:b/>
          <w:color w:val="auto"/>
          <w:sz w:val="24"/>
          <w:szCs w:val="24"/>
          <w:lang w:eastAsia="en-US"/>
        </w:rPr>
        <w:t>RESPUESTAS GENERALES QUE BRINDA EL INSTITUTO FEDERAL DE TELECOMUNICACIONES A LAS MANIFESTACIONES, OPINIONES, COMENTARIOS Y PROPUESTAS CONCRETAS, PRESENTADAS DURANTE LA CONSULTA PÚBLICA DE</w:t>
      </w:r>
      <w:r w:rsidR="00BB163B" w:rsidRPr="00375996">
        <w:rPr>
          <w:rFonts w:ascii="ITC Avant Garde" w:eastAsiaTheme="minorHAnsi" w:hAnsi="ITC Avant Garde" w:cstheme="minorBidi"/>
          <w:b/>
          <w:color w:val="auto"/>
          <w:sz w:val="24"/>
          <w:szCs w:val="24"/>
          <w:lang w:eastAsia="en-US"/>
        </w:rPr>
        <w:t xml:space="preserve"> </w:t>
      </w:r>
      <w:r w:rsidRPr="00375996">
        <w:rPr>
          <w:rFonts w:ascii="ITC Avant Garde" w:eastAsiaTheme="minorHAnsi" w:hAnsi="ITC Avant Garde" w:cstheme="minorBidi"/>
          <w:b/>
          <w:color w:val="auto"/>
          <w:sz w:val="24"/>
          <w:szCs w:val="24"/>
          <w:lang w:eastAsia="en-US"/>
        </w:rPr>
        <w:t>L</w:t>
      </w:r>
      <w:r w:rsidR="00EB2BB8" w:rsidRPr="00375996">
        <w:rPr>
          <w:rFonts w:ascii="ITC Avant Garde" w:eastAsiaTheme="minorHAnsi" w:hAnsi="ITC Avant Garde" w:cstheme="minorBidi"/>
          <w:b/>
          <w:color w:val="auto"/>
          <w:sz w:val="24"/>
          <w:szCs w:val="24"/>
          <w:lang w:eastAsia="en-US"/>
        </w:rPr>
        <w:t>A</w:t>
      </w:r>
      <w:r w:rsidR="006C321C" w:rsidRPr="00375996">
        <w:rPr>
          <w:rFonts w:ascii="ITC Avant Garde" w:eastAsiaTheme="minorHAnsi" w:hAnsi="ITC Avant Garde" w:cstheme="minorBidi"/>
          <w:b/>
          <w:color w:val="auto"/>
          <w:sz w:val="24"/>
          <w:szCs w:val="24"/>
          <w:lang w:eastAsia="en-US"/>
        </w:rPr>
        <w:t>S</w:t>
      </w:r>
      <w:r w:rsidR="00FF0299" w:rsidRPr="00375996">
        <w:rPr>
          <w:rFonts w:ascii="ITC Avant Garde" w:eastAsiaTheme="minorHAnsi" w:hAnsi="ITC Avant Garde" w:cstheme="minorBidi"/>
          <w:b/>
          <w:color w:val="auto"/>
          <w:sz w:val="24"/>
          <w:szCs w:val="24"/>
          <w:lang w:eastAsia="en-US"/>
        </w:rPr>
        <w:t xml:space="preserve"> </w:t>
      </w:r>
      <w:r w:rsidR="00046E7F" w:rsidRPr="00375996">
        <w:rPr>
          <w:rFonts w:ascii="ITC Avant Garde" w:eastAsiaTheme="minorHAnsi" w:hAnsi="ITC Avant Garde" w:cstheme="minorBidi"/>
          <w:b/>
          <w:i/>
          <w:color w:val="auto"/>
          <w:sz w:val="24"/>
          <w:szCs w:val="24"/>
          <w:lang w:eastAsia="en-US"/>
        </w:rPr>
        <w:t>“PROPUESTAS DE OFERTAS DE REFERENCIA PARA LA PRESTACIÓN DE LOS SERVICIOS MAYORISTAS DE USUARIO VISITANTE; DE COMERCIALIZACIÓN O REVENTA DE SERVICIOS; DEL SERVICIO DE ACCESO Y USO COMPARTIDO DE INFRAESTRUCTURA PRESENTADAS POR EL AGENTE ECONÓMICO PREPONDERANTE EN EL SECTOR DE LAS TELECOMUNICACIONES”.</w:t>
      </w:r>
    </w:p>
    <w:p w14:paraId="3807B4DF" w14:textId="77777777" w:rsidR="00BC09A3" w:rsidRPr="00375996" w:rsidRDefault="00BC09A3" w:rsidP="00FF0299">
      <w:pPr>
        <w:spacing w:after="1" w:line="276" w:lineRule="auto"/>
        <w:ind w:left="0" w:right="0" w:firstLine="0"/>
        <w:rPr>
          <w:rFonts w:ascii="ITC Avant Garde" w:hAnsi="ITC Avant Garde"/>
        </w:rPr>
      </w:pPr>
    </w:p>
    <w:p w14:paraId="0A57018D" w14:textId="0407A5DC" w:rsidR="00104F67" w:rsidRPr="00375996" w:rsidRDefault="00104F67" w:rsidP="00104F67">
      <w:pPr>
        <w:spacing w:after="0" w:line="276" w:lineRule="auto"/>
        <w:ind w:left="-6" w:hanging="11"/>
        <w:rPr>
          <w:rFonts w:ascii="ITC Avant Garde" w:hAnsi="ITC Avant Garde" w:cs="ITC Avant Garde"/>
        </w:rPr>
      </w:pPr>
      <w:r w:rsidRPr="00375996">
        <w:rPr>
          <w:rFonts w:ascii="ITC Avant Garde" w:hAnsi="ITC Avant Garde" w:cs="ITC Avant Garde"/>
          <w:b/>
        </w:rPr>
        <w:t xml:space="preserve">Fecha de Elaboración del Informe de Consideraciones sobre los comentarios, opiniones y aportaciones recibidos en relación a la presente Consulta Pública: </w:t>
      </w:r>
      <w:r w:rsidR="00CC0CA4" w:rsidRPr="00375996">
        <w:rPr>
          <w:rFonts w:ascii="ITC Avant Garde" w:hAnsi="ITC Avant Garde" w:cs="ITC Avant Garde"/>
        </w:rPr>
        <w:t>0</w:t>
      </w:r>
      <w:r w:rsidR="00D12A8A" w:rsidRPr="00375996">
        <w:rPr>
          <w:rFonts w:ascii="ITC Avant Garde" w:hAnsi="ITC Avant Garde" w:cs="ITC Avant Garde"/>
        </w:rPr>
        <w:t>2</w:t>
      </w:r>
      <w:r w:rsidR="007D4BEE" w:rsidRPr="00375996">
        <w:rPr>
          <w:rFonts w:ascii="ITC Avant Garde" w:hAnsi="ITC Avant Garde" w:cs="ITC Avant Garde"/>
        </w:rPr>
        <w:t xml:space="preserve"> de </w:t>
      </w:r>
      <w:r w:rsidR="00525677" w:rsidRPr="00375996">
        <w:rPr>
          <w:rFonts w:ascii="ITC Avant Garde" w:hAnsi="ITC Avant Garde" w:cs="ITC Avant Garde"/>
        </w:rPr>
        <w:t>diciembre</w:t>
      </w:r>
      <w:r w:rsidR="00CC0CA4" w:rsidRPr="00375996">
        <w:rPr>
          <w:rFonts w:ascii="ITC Avant Garde" w:hAnsi="ITC Avant Garde" w:cs="ITC Avant Garde"/>
        </w:rPr>
        <w:t xml:space="preserve"> del 2020</w:t>
      </w:r>
      <w:r w:rsidRPr="00375996">
        <w:rPr>
          <w:rFonts w:ascii="ITC Avant Garde" w:hAnsi="ITC Avant Garde" w:cs="ITC Avant Garde"/>
        </w:rPr>
        <w:t>.</w:t>
      </w:r>
    </w:p>
    <w:p w14:paraId="122169D9" w14:textId="7E75A946" w:rsidR="00665D70" w:rsidRPr="00375996" w:rsidRDefault="00665D70" w:rsidP="00104F67">
      <w:pPr>
        <w:spacing w:after="0" w:line="276" w:lineRule="auto"/>
        <w:ind w:left="-6" w:hanging="11"/>
        <w:rPr>
          <w:rFonts w:ascii="ITC Avant Garde" w:hAnsi="ITC Avant Garde" w:cs="ITC Avant Garde"/>
        </w:rPr>
      </w:pPr>
    </w:p>
    <w:p w14:paraId="4D4296DD" w14:textId="77777777" w:rsidR="00665D70" w:rsidRPr="00375996" w:rsidRDefault="00665D70" w:rsidP="00665D70">
      <w:pPr>
        <w:spacing w:after="0" w:line="276" w:lineRule="auto"/>
        <w:ind w:left="-6" w:hanging="11"/>
        <w:rPr>
          <w:rFonts w:ascii="ITC Avant Garde" w:hAnsi="ITC Avant Garde" w:cs="ITC Avant Garde"/>
          <w:b/>
        </w:rPr>
      </w:pPr>
      <w:r w:rsidRPr="00375996">
        <w:rPr>
          <w:rFonts w:ascii="ITC Avant Garde" w:hAnsi="ITC Avant Garde" w:cs="ITC Avant Garde"/>
          <w:b/>
        </w:rPr>
        <w:t>Descripción de la Consulta Pública:</w:t>
      </w:r>
    </w:p>
    <w:p w14:paraId="0EA28AA8" w14:textId="75E46635" w:rsidR="00665D70" w:rsidRPr="00375996" w:rsidRDefault="002A50FC" w:rsidP="00665D70">
      <w:pPr>
        <w:spacing w:after="0" w:line="276" w:lineRule="auto"/>
        <w:ind w:left="-6" w:right="0" w:hanging="11"/>
        <w:rPr>
          <w:rFonts w:ascii="ITC Avant Garde" w:eastAsiaTheme="minorHAnsi" w:hAnsi="ITC Avant Garde" w:cs="ITC Avant Garde"/>
          <w:lang w:eastAsia="en-US"/>
        </w:rPr>
      </w:pPr>
      <w:r w:rsidRPr="00375996">
        <w:rPr>
          <w:rFonts w:ascii="ITC Avant Garde" w:hAnsi="ITC Avant Garde"/>
        </w:rPr>
        <w:t xml:space="preserve">El Instituto Federal de Telecomunicaciones (en lo sucesivo, “Instituto”) </w:t>
      </w:r>
      <w:r w:rsidR="00665D70" w:rsidRPr="00375996">
        <w:rPr>
          <w:rFonts w:ascii="ITC Avant Garde" w:eastAsiaTheme="minorHAnsi" w:hAnsi="ITC Avant Garde" w:cs="ITC Avant Garde"/>
          <w:lang w:eastAsia="en-US"/>
        </w:rPr>
        <w:t>recibió los comentarios, opiniones y aportaciones que se tuvieron con relación al contenido de las</w:t>
      </w:r>
      <w:r w:rsidR="00A14A58" w:rsidRPr="00375996">
        <w:rPr>
          <w:rFonts w:ascii="ITC Avant Garde" w:eastAsiaTheme="minorHAnsi" w:hAnsi="ITC Avant Garde" w:cs="ITC Avant Garde"/>
          <w:lang w:eastAsia="en-US"/>
        </w:rPr>
        <w:t xml:space="preserve"> </w:t>
      </w:r>
      <w:r w:rsidR="008B2ED4" w:rsidRPr="00375996">
        <w:rPr>
          <w:rFonts w:ascii="ITC Avant Garde" w:eastAsiaTheme="minorHAnsi" w:hAnsi="ITC Avant Garde" w:cs="ITC Avant Garde"/>
          <w:b/>
          <w:i/>
          <w:lang w:eastAsia="en-US"/>
        </w:rPr>
        <w:t>“Propuestas de Ofertas de Referencia para la prestación de los Servicios Mayoristas de Usuario Visitante; de Comercialización o Reventa de Servicios; del Servicio de Acceso y Uso Compartido de Infraestructura presentadas por el Agente Económico Preponderante en el sector de las telecomunicaciones”</w:t>
      </w:r>
      <w:r w:rsidR="00665D70" w:rsidRPr="00375996">
        <w:rPr>
          <w:rFonts w:ascii="ITC Avant Garde" w:eastAsiaTheme="minorHAnsi" w:hAnsi="ITC Avant Garde" w:cs="ITC Avant Garde"/>
          <w:lang w:eastAsia="en-US"/>
        </w:rPr>
        <w:t xml:space="preserve"> (en lo sucesivo, la</w:t>
      </w:r>
      <w:r w:rsidR="00515031" w:rsidRPr="00375996">
        <w:rPr>
          <w:rFonts w:ascii="ITC Avant Garde" w:eastAsiaTheme="minorHAnsi" w:hAnsi="ITC Avant Garde" w:cs="ITC Avant Garde"/>
          <w:lang w:eastAsia="en-US"/>
        </w:rPr>
        <w:t>s</w:t>
      </w:r>
      <w:r w:rsidR="00665D70" w:rsidRPr="00375996">
        <w:rPr>
          <w:rFonts w:ascii="ITC Avant Garde" w:eastAsiaTheme="minorHAnsi" w:hAnsi="ITC Avant Garde" w:cs="ITC Avant Garde"/>
          <w:lang w:eastAsia="en-US"/>
        </w:rPr>
        <w:t xml:space="preserve"> “</w:t>
      </w:r>
      <w:r w:rsidR="00515031" w:rsidRPr="00375996">
        <w:rPr>
          <w:rFonts w:ascii="ITC Avant Garde" w:eastAsiaTheme="minorHAnsi" w:hAnsi="ITC Avant Garde" w:cs="ITC Avant Garde"/>
          <w:lang w:eastAsia="en-US"/>
        </w:rPr>
        <w:t xml:space="preserve">Propuestas de </w:t>
      </w:r>
      <w:r w:rsidR="002C366C" w:rsidRPr="00375996">
        <w:rPr>
          <w:rFonts w:ascii="ITC Avant Garde" w:eastAsiaTheme="minorHAnsi" w:hAnsi="ITC Avant Garde" w:cs="ITC Avant Garde"/>
          <w:lang w:eastAsia="en-US"/>
        </w:rPr>
        <w:t>Oferta</w:t>
      </w:r>
      <w:r w:rsidR="00515031" w:rsidRPr="00375996">
        <w:rPr>
          <w:rFonts w:ascii="ITC Avant Garde" w:eastAsiaTheme="minorHAnsi" w:hAnsi="ITC Avant Garde" w:cs="ITC Avant Garde"/>
          <w:lang w:eastAsia="en-US"/>
        </w:rPr>
        <w:t>s</w:t>
      </w:r>
      <w:r w:rsidR="00665D70" w:rsidRPr="00375996">
        <w:rPr>
          <w:rFonts w:ascii="ITC Avant Garde" w:eastAsiaTheme="minorHAnsi" w:hAnsi="ITC Avant Garde" w:cs="ITC Avant Garde"/>
          <w:lang w:eastAsia="en-US"/>
        </w:rPr>
        <w:t xml:space="preserve">”) materia de la consulta pública de mérito, recibidas durante el periodo comprendido del </w:t>
      </w:r>
      <w:r w:rsidR="00C852B9" w:rsidRPr="00375996">
        <w:rPr>
          <w:rFonts w:ascii="ITC Avant Garde" w:eastAsiaTheme="minorHAnsi" w:hAnsi="ITC Avant Garde" w:cs="ITC Avant Garde"/>
          <w:lang w:eastAsia="en-US"/>
        </w:rPr>
        <w:t>20</w:t>
      </w:r>
      <w:r w:rsidR="00665D70" w:rsidRPr="00375996">
        <w:rPr>
          <w:rFonts w:ascii="ITC Avant Garde" w:eastAsiaTheme="minorHAnsi" w:hAnsi="ITC Avant Garde" w:cs="ITC Avant Garde"/>
          <w:lang w:eastAsia="en-US"/>
        </w:rPr>
        <w:t xml:space="preserve"> </w:t>
      </w:r>
      <w:r w:rsidR="00C852B9" w:rsidRPr="00375996">
        <w:rPr>
          <w:rFonts w:ascii="ITC Avant Garde" w:eastAsiaTheme="minorHAnsi" w:hAnsi="ITC Avant Garde" w:cs="ITC Avant Garde"/>
          <w:lang w:eastAsia="en-US"/>
        </w:rPr>
        <w:t>de agosto al 18</w:t>
      </w:r>
      <w:r w:rsidR="002C366C" w:rsidRPr="00375996">
        <w:rPr>
          <w:rFonts w:ascii="ITC Avant Garde" w:eastAsiaTheme="minorHAnsi" w:hAnsi="ITC Avant Garde" w:cs="ITC Avant Garde"/>
          <w:lang w:eastAsia="en-US"/>
        </w:rPr>
        <w:t xml:space="preserve"> de septiembre</w:t>
      </w:r>
      <w:r w:rsidR="00CC0CA4" w:rsidRPr="00375996">
        <w:rPr>
          <w:rFonts w:ascii="ITC Avant Garde" w:eastAsiaTheme="minorHAnsi" w:hAnsi="ITC Avant Garde" w:cs="ITC Avant Garde"/>
          <w:lang w:eastAsia="en-US"/>
        </w:rPr>
        <w:t xml:space="preserve"> de 2020</w:t>
      </w:r>
      <w:r w:rsidR="00665D70" w:rsidRPr="00375996">
        <w:rPr>
          <w:rFonts w:ascii="ITC Avant Garde" w:eastAsiaTheme="minorHAnsi" w:hAnsi="ITC Avant Garde" w:cs="ITC Avant Garde"/>
          <w:lang w:eastAsia="en-US"/>
        </w:rPr>
        <w:t xml:space="preserve"> a través de la dirección de correo electrónico </w:t>
      </w:r>
      <w:hyperlink r:id="rId8" w:history="1">
        <w:r w:rsidR="002C366C" w:rsidRPr="00375996">
          <w:rPr>
            <w:rFonts w:ascii="ITC Avant Garde" w:eastAsiaTheme="minorHAnsi" w:hAnsi="ITC Avant Garde" w:cs="ITC Avant Garde"/>
            <w:lang w:eastAsia="en-US"/>
          </w:rPr>
          <w:t>ofertas.referencia@ift.org.mx</w:t>
        </w:r>
      </w:hyperlink>
      <w:r w:rsidR="00665D70" w:rsidRPr="00375996">
        <w:rPr>
          <w:rFonts w:ascii="ITC Avant Garde" w:eastAsiaTheme="minorHAnsi" w:hAnsi="ITC Avant Garde" w:cs="ITC Avant Garde"/>
          <w:lang w:eastAsia="en-US"/>
        </w:rPr>
        <w:t>,</w:t>
      </w:r>
      <w:r w:rsidR="00AF285E" w:rsidRPr="00375996">
        <w:rPr>
          <w:rFonts w:ascii="ITC Avant Garde" w:eastAsiaTheme="minorHAnsi" w:hAnsi="ITC Avant Garde" w:cs="ITC Avant Garde"/>
          <w:lang w:eastAsia="en-US"/>
        </w:rPr>
        <w:t xml:space="preserve"> o </w:t>
      </w:r>
      <w:r w:rsidR="00665D70" w:rsidRPr="00375996">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Juárez, C.P. 03720, Ciudad de México.</w:t>
      </w:r>
    </w:p>
    <w:p w14:paraId="0D3822D8" w14:textId="1CC67CA2" w:rsidR="00A93E0C" w:rsidRPr="00375996" w:rsidRDefault="00A93E0C" w:rsidP="00665D70">
      <w:pPr>
        <w:spacing w:after="0" w:line="276" w:lineRule="auto"/>
        <w:ind w:left="-6" w:right="0" w:hanging="11"/>
        <w:rPr>
          <w:rFonts w:ascii="ITC Avant Garde" w:eastAsiaTheme="minorHAnsi" w:hAnsi="ITC Avant Garde" w:cs="ITC Avant Garde"/>
          <w:lang w:eastAsia="en-US"/>
        </w:rPr>
      </w:pPr>
    </w:p>
    <w:p w14:paraId="4778A247" w14:textId="77777777" w:rsidR="00A93E0C" w:rsidRPr="00375996" w:rsidRDefault="00A93E0C" w:rsidP="00A93E0C">
      <w:pPr>
        <w:spacing w:line="276" w:lineRule="auto"/>
        <w:ind w:left="-5"/>
        <w:rPr>
          <w:rFonts w:ascii="ITC Avant Garde" w:hAnsi="ITC Avant Garde" w:cs="ITC Avant Garde"/>
          <w:b/>
        </w:rPr>
      </w:pPr>
      <w:r w:rsidRPr="00375996">
        <w:rPr>
          <w:rFonts w:ascii="ITC Avant Garde" w:hAnsi="ITC Avant Garde" w:cs="ITC Avant Garde"/>
          <w:b/>
        </w:rPr>
        <w:t>Objetivo de la Consulta Pública:</w:t>
      </w:r>
    </w:p>
    <w:p w14:paraId="20229C35" w14:textId="1A6B44E3" w:rsidR="002A50FC" w:rsidRPr="00375996" w:rsidRDefault="002A50FC" w:rsidP="002A50FC">
      <w:pPr>
        <w:spacing w:line="276" w:lineRule="auto"/>
        <w:ind w:left="-5" w:right="0"/>
        <w:rPr>
          <w:rFonts w:ascii="ITC Avant Garde" w:hAnsi="ITC Avant Garde"/>
        </w:rPr>
      </w:pPr>
      <w:r w:rsidRPr="00375996">
        <w:rPr>
          <w:rFonts w:ascii="ITC Avant Garde" w:hAnsi="ITC Avant Garde"/>
        </w:rPr>
        <w:t>El Instituto convencido de la importancia y relevancia de transparentar su proceso de elaboración de nuevas regulaciones, a través de la consulta pública recibió los comentarios, opiniones y aportaciones de cualquier interesado a propósito de las </w:t>
      </w:r>
      <w:r w:rsidR="0020219B" w:rsidRPr="00375996">
        <w:rPr>
          <w:rFonts w:ascii="ITC Avant Garde" w:hAnsi="ITC Avant Garde"/>
        </w:rPr>
        <w:t xml:space="preserve">Propuestas de </w:t>
      </w:r>
      <w:r w:rsidRPr="00375996">
        <w:rPr>
          <w:rFonts w:ascii="ITC Avant Garde" w:hAnsi="ITC Avant Garde"/>
        </w:rPr>
        <w:t>Ofertas, las cuales se proponen con base en lo establecido en los artículos 1, 2, 7, 15, fracción XL y LXIII, 51 y 269 fracción III de la Ley Federal de Telecomunicaciones y Radiodifusión</w:t>
      </w:r>
      <w:r w:rsidR="00096849" w:rsidRPr="00375996">
        <w:rPr>
          <w:rFonts w:ascii="ITC Avant Garde" w:hAnsi="ITC Avant Garde"/>
        </w:rPr>
        <w:t xml:space="preserve"> (en lo sucesivo, la “LFTR”)</w:t>
      </w:r>
      <w:r w:rsidRPr="00375996">
        <w:rPr>
          <w:rFonts w:ascii="ITC Avant Garde" w:hAnsi="ITC Avant Garde"/>
        </w:rPr>
        <w:t>, y 1, 4, fracción I, 6, fracción XXXVIII y 26, fracción I del Estatuto Orgánico del Institut</w:t>
      </w:r>
      <w:r w:rsidR="00096849" w:rsidRPr="00375996">
        <w:rPr>
          <w:rFonts w:ascii="ITC Avant Garde" w:hAnsi="ITC Avant Garde"/>
        </w:rPr>
        <w:t xml:space="preserve">o Federal de Telecomunicaciones, y la “Resolución mediante la cual el Pleno del Instituto Federal de Telecomunicaciones determina al grupo de interés económico del que forman parte América Móvil, S.A.B. de C.V., Teléfonos de México, S.A.B. de C.V., Teléfonos del Noroeste, S.A. de C.V., </w:t>
      </w:r>
      <w:proofErr w:type="spellStart"/>
      <w:r w:rsidR="00096849" w:rsidRPr="00375996">
        <w:rPr>
          <w:rFonts w:ascii="ITC Avant Garde" w:hAnsi="ITC Avant Garde"/>
        </w:rPr>
        <w:t>Radiomóvil</w:t>
      </w:r>
      <w:proofErr w:type="spellEnd"/>
      <w:r w:rsidR="00096849" w:rsidRPr="00375996">
        <w:rPr>
          <w:rFonts w:ascii="ITC Avant Garde" w:hAnsi="ITC Avant Garde"/>
        </w:rPr>
        <w:t xml:space="preserve"> Dipsa, S.A.B. de C. V., Grupo Carso, S.A.B. de C.V., y Grupo Financiero Inbursa, S.A.B. de C.V., como Agente Económico Preponderante </w:t>
      </w:r>
      <w:r w:rsidR="00096849" w:rsidRPr="00375996">
        <w:rPr>
          <w:rFonts w:ascii="ITC Avant Garde" w:hAnsi="ITC Avant Garde"/>
        </w:rPr>
        <w:lastRenderedPageBreak/>
        <w:t>en el sector de telecomunicaciones y le impone las medidas necesarias para evitar que se afecte la competencia y la libre concurrencia”, aprobada mediante Acuerdo P/IFT/EXT/060314/76, y</w:t>
      </w:r>
      <w:r w:rsidR="00A758C1" w:rsidRPr="00375996">
        <w:rPr>
          <w:rFonts w:ascii="ITC Avant Garde" w:hAnsi="ITC Avant Garde"/>
        </w:rPr>
        <w:t xml:space="preserve"> la</w:t>
      </w:r>
      <w:r w:rsidR="00096849" w:rsidRPr="00375996">
        <w:rPr>
          <w:rFonts w:ascii="ITC Avant Garde" w:hAnsi="ITC Avant Garde"/>
        </w:rPr>
        <w:t xml:space="preserve"> “Resolución mediante la cual el Pleno del Instituto Federal de Telecomunicaciones suprime, modifica y adiciona las medidas impuestas al Agente Económico Preponderante en el sector de telecomunicaciones mediante resoluc</w:t>
      </w:r>
      <w:r w:rsidR="00EE4AD8">
        <w:rPr>
          <w:rFonts w:ascii="ITC Avant Garde" w:hAnsi="ITC Avant Garde"/>
        </w:rPr>
        <w:t>ión de fecha 6 de marzo de 2014</w:t>
      </w:r>
      <w:r w:rsidR="00096849" w:rsidRPr="00375996">
        <w:rPr>
          <w:rFonts w:ascii="ITC Avant Garde" w:hAnsi="ITC Avant Garde"/>
        </w:rPr>
        <w:t xml:space="preserve"> aprobada mediante Acuerdo P/IFT/EXT/270217/119</w:t>
      </w:r>
      <w:r w:rsidR="00EE4AD8">
        <w:rPr>
          <w:rFonts w:ascii="ITC Avant Garde" w:hAnsi="ITC Avant Garde"/>
        </w:rPr>
        <w:t>”</w:t>
      </w:r>
      <w:r w:rsidR="002C21AF" w:rsidRPr="00375996">
        <w:rPr>
          <w:rFonts w:ascii="ITC Avant Garde" w:hAnsi="ITC Avant Garde"/>
        </w:rPr>
        <w:t xml:space="preserve"> (en lo sucesivo, las “Medidas Móviles”)</w:t>
      </w:r>
      <w:r w:rsidR="00096849" w:rsidRPr="00375996">
        <w:rPr>
          <w:rFonts w:ascii="ITC Avant Garde" w:hAnsi="ITC Avant Garde"/>
        </w:rPr>
        <w:t>.</w:t>
      </w:r>
    </w:p>
    <w:p w14:paraId="1A164306" w14:textId="77777777" w:rsidR="002A50FC" w:rsidRPr="00375996" w:rsidRDefault="002A50FC" w:rsidP="002A50FC">
      <w:pPr>
        <w:spacing w:line="276" w:lineRule="auto"/>
        <w:ind w:left="-5" w:right="0"/>
        <w:rPr>
          <w:rFonts w:ascii="ITC Avant Garde" w:hAnsi="ITC Avant Garde"/>
        </w:rPr>
      </w:pPr>
    </w:p>
    <w:p w14:paraId="6ACF5692" w14:textId="30B678BE" w:rsidR="002A50FC" w:rsidRPr="00375996" w:rsidRDefault="002A50FC" w:rsidP="002A50FC">
      <w:pPr>
        <w:spacing w:line="276" w:lineRule="auto"/>
        <w:ind w:left="-5" w:right="0"/>
        <w:rPr>
          <w:rFonts w:ascii="ITC Avant Garde" w:hAnsi="ITC Avant Garde"/>
        </w:rPr>
      </w:pPr>
      <w:r w:rsidRPr="00375996">
        <w:rPr>
          <w:rFonts w:ascii="ITC Avant Garde" w:hAnsi="ITC Avant Garde"/>
        </w:rPr>
        <w:t xml:space="preserve">Los objetivos principales de la </w:t>
      </w:r>
      <w:r w:rsidR="00BB2237" w:rsidRPr="00375996">
        <w:rPr>
          <w:rFonts w:ascii="ITC Avant Garde" w:hAnsi="ITC Avant Garde"/>
        </w:rPr>
        <w:t>consulta pública consistieron</w:t>
      </w:r>
      <w:r w:rsidRPr="00375996">
        <w:rPr>
          <w:rFonts w:ascii="ITC Avant Garde" w:hAnsi="ITC Avant Garde"/>
        </w:rPr>
        <w:t xml:space="preserve"> en: i) contar con mayores elementos para determinar las condiciones bajo las cuales</w:t>
      </w:r>
      <w:r w:rsidR="00E37389" w:rsidRPr="00375996">
        <w:rPr>
          <w:rFonts w:ascii="ITC Avant Garde" w:hAnsi="ITC Avant Garde"/>
        </w:rPr>
        <w:t xml:space="preserve"> se deberán aprobar las </w:t>
      </w:r>
      <w:r w:rsidR="00C60FA1" w:rsidRPr="00375996">
        <w:rPr>
          <w:rFonts w:ascii="ITC Avant Garde" w:hAnsi="ITC Avant Garde"/>
        </w:rPr>
        <w:t xml:space="preserve">Propuestas de </w:t>
      </w:r>
      <w:r w:rsidR="00E37389" w:rsidRPr="00375996">
        <w:rPr>
          <w:rFonts w:ascii="ITC Avant Garde" w:hAnsi="ITC Avant Garde"/>
        </w:rPr>
        <w:t>Ofertas</w:t>
      </w:r>
      <w:r w:rsidRPr="00375996">
        <w:rPr>
          <w:rFonts w:ascii="ITC Avant Garde" w:hAnsi="ITC Avant Garde"/>
        </w:rPr>
        <w:t>; ii) favorecer la transparencia y participación ciudadana con el fin de recibir los comentarios y opiniones de regulados, cámaras</w:t>
      </w:r>
      <w:r w:rsidR="006F4A61" w:rsidRPr="00375996">
        <w:rPr>
          <w:rFonts w:ascii="ITC Avant Garde" w:hAnsi="ITC Avant Garde"/>
        </w:rPr>
        <w:t xml:space="preserve"> industriales</w:t>
      </w:r>
      <w:r w:rsidRPr="00375996">
        <w:rPr>
          <w:rFonts w:ascii="ITC Avant Garde" w:hAnsi="ITC Avant Garde"/>
        </w:rPr>
        <w:t>, usuarios y audiencias</w:t>
      </w:r>
      <w:r w:rsidR="00E37389" w:rsidRPr="00375996">
        <w:rPr>
          <w:rFonts w:ascii="ITC Avant Garde" w:hAnsi="ITC Avant Garde"/>
        </w:rPr>
        <w:t xml:space="preserve"> sobre las </w:t>
      </w:r>
      <w:r w:rsidR="00F11F9F" w:rsidRPr="00375996">
        <w:rPr>
          <w:rFonts w:ascii="ITC Avant Garde" w:hAnsi="ITC Avant Garde"/>
        </w:rPr>
        <w:t xml:space="preserve">Propuestas de </w:t>
      </w:r>
      <w:r w:rsidR="00E37389" w:rsidRPr="00375996">
        <w:rPr>
          <w:rFonts w:ascii="ITC Avant Garde" w:hAnsi="ITC Avant Garde"/>
        </w:rPr>
        <w:t>Ofertas</w:t>
      </w:r>
      <w:r w:rsidRPr="00375996">
        <w:rPr>
          <w:rFonts w:ascii="ITC Avant Garde" w:hAnsi="ITC Avant Garde"/>
        </w:rPr>
        <w:t>; y iii) establecer las bases para aprobar o modificar las mismas.</w:t>
      </w:r>
    </w:p>
    <w:p w14:paraId="1F5203D6" w14:textId="67E4CCD8" w:rsidR="00632D40" w:rsidRPr="00375996" w:rsidRDefault="00632D40" w:rsidP="002A50FC">
      <w:pPr>
        <w:spacing w:line="276" w:lineRule="auto"/>
        <w:ind w:left="-5" w:right="0"/>
        <w:rPr>
          <w:rFonts w:ascii="ITC Avant Garde" w:hAnsi="ITC Avant Garde"/>
        </w:rPr>
      </w:pPr>
    </w:p>
    <w:p w14:paraId="291DEE0D" w14:textId="77777777" w:rsidR="00632D40" w:rsidRPr="00375996" w:rsidRDefault="00632D40" w:rsidP="00632D40">
      <w:pPr>
        <w:spacing w:line="276" w:lineRule="auto"/>
        <w:ind w:left="-5"/>
        <w:rPr>
          <w:rFonts w:ascii="ITC Avant Garde" w:hAnsi="ITC Avant Garde" w:cs="ITC Avant Garde"/>
          <w:b/>
        </w:rPr>
      </w:pPr>
      <w:r w:rsidRPr="00375996">
        <w:rPr>
          <w:rFonts w:ascii="ITC Avant Garde" w:hAnsi="ITC Avant Garde" w:cs="ITC Avant Garde"/>
          <w:b/>
        </w:rPr>
        <w:t xml:space="preserve">Unidad Administrativa que promueve el proyecto: </w:t>
      </w:r>
      <w:r w:rsidRPr="00375996">
        <w:rPr>
          <w:rFonts w:ascii="ITC Avant Garde" w:hAnsi="ITC Avant Garde" w:cs="ITC Avant Garde"/>
        </w:rPr>
        <w:t>Unidad de Política Regulatoria.</w:t>
      </w:r>
    </w:p>
    <w:p w14:paraId="4C353835" w14:textId="0BB137A4" w:rsidR="00D44461" w:rsidRPr="00375996" w:rsidRDefault="00D44461" w:rsidP="00100519">
      <w:pPr>
        <w:spacing w:after="0" w:line="276" w:lineRule="auto"/>
        <w:ind w:left="0" w:right="0" w:firstLine="0"/>
        <w:jc w:val="left"/>
        <w:rPr>
          <w:rFonts w:ascii="ITC Avant Garde" w:hAnsi="ITC Avant Garde"/>
        </w:rPr>
      </w:pPr>
    </w:p>
    <w:p w14:paraId="7F5CBCD3" w14:textId="77777777" w:rsidR="00504D46" w:rsidRPr="00375996" w:rsidRDefault="00504D46" w:rsidP="00504D46">
      <w:pPr>
        <w:spacing w:after="0" w:line="276" w:lineRule="auto"/>
        <w:ind w:left="-6" w:hanging="11"/>
        <w:rPr>
          <w:rFonts w:ascii="ITC Avant Garde" w:hAnsi="ITC Avant Garde" w:cs="ITC Avant Garde"/>
        </w:rPr>
      </w:pPr>
      <w:r w:rsidRPr="00375996">
        <w:rPr>
          <w:rFonts w:ascii="ITC Avant Garde" w:hAnsi="ITC Avant Garde" w:cs="ITC Avant Garde"/>
          <w:b/>
        </w:rPr>
        <w:t>Participantes de la Consulta Pública:</w:t>
      </w:r>
    </w:p>
    <w:p w14:paraId="6268314B" w14:textId="0C8A4F2F" w:rsidR="00DD421A" w:rsidRPr="00375996" w:rsidRDefault="00A62960" w:rsidP="00100519">
      <w:pPr>
        <w:spacing w:line="276" w:lineRule="auto"/>
        <w:ind w:left="-5" w:right="0"/>
        <w:rPr>
          <w:rFonts w:ascii="ITC Avant Garde" w:hAnsi="ITC Avant Garde"/>
        </w:rPr>
      </w:pPr>
      <w:r w:rsidRPr="00375996">
        <w:rPr>
          <w:rFonts w:ascii="ITC Avant Garde" w:hAnsi="ITC Avant Garde"/>
        </w:rPr>
        <w:t xml:space="preserve">Durante </w:t>
      </w:r>
      <w:r w:rsidR="00BC09A3" w:rsidRPr="00375996">
        <w:rPr>
          <w:rFonts w:ascii="ITC Avant Garde" w:hAnsi="ITC Avant Garde"/>
        </w:rPr>
        <w:t xml:space="preserve">el </w:t>
      </w:r>
      <w:r w:rsidR="001D50AC" w:rsidRPr="00375996">
        <w:rPr>
          <w:rFonts w:ascii="ITC Avant Garde" w:hAnsi="ITC Avant Garde"/>
        </w:rPr>
        <w:t>periodo</w:t>
      </w:r>
      <w:r w:rsidR="00BC09A3" w:rsidRPr="00375996">
        <w:rPr>
          <w:rFonts w:ascii="ITC Avant Garde" w:hAnsi="ITC Avant Garde"/>
        </w:rPr>
        <w:t xml:space="preserve"> de la consulta pú</w:t>
      </w:r>
      <w:r w:rsidR="00D44461" w:rsidRPr="00375996">
        <w:rPr>
          <w:rFonts w:ascii="ITC Avant Garde" w:hAnsi="ITC Avant Garde"/>
        </w:rPr>
        <w:t>bl</w:t>
      </w:r>
      <w:r w:rsidR="007E006A" w:rsidRPr="00375996">
        <w:rPr>
          <w:rFonts w:ascii="ITC Avant Garde" w:hAnsi="ITC Avant Garde"/>
        </w:rPr>
        <w:t xml:space="preserve">ica de mérito, se recibieron </w:t>
      </w:r>
      <w:r w:rsidR="00D12A8A" w:rsidRPr="00375996">
        <w:rPr>
          <w:rFonts w:ascii="ITC Avant Garde" w:hAnsi="ITC Avant Garde"/>
        </w:rPr>
        <w:t>3</w:t>
      </w:r>
      <w:r w:rsidR="006751FC" w:rsidRPr="00375996">
        <w:rPr>
          <w:rFonts w:ascii="ITC Avant Garde" w:hAnsi="ITC Avant Garde"/>
        </w:rPr>
        <w:t xml:space="preserve"> </w:t>
      </w:r>
      <w:r w:rsidR="0076085E" w:rsidRPr="00375996">
        <w:rPr>
          <w:rFonts w:ascii="ITC Avant Garde" w:hAnsi="ITC Avant Garde"/>
        </w:rPr>
        <w:t>participaciones</w:t>
      </w:r>
      <w:r w:rsidR="00FF0C54" w:rsidRPr="00375996">
        <w:rPr>
          <w:rFonts w:ascii="ITC Avant Garde" w:hAnsi="ITC Avant Garde"/>
        </w:rPr>
        <w:t xml:space="preserve"> </w:t>
      </w:r>
      <w:r w:rsidR="003146CE" w:rsidRPr="00375996">
        <w:rPr>
          <w:rFonts w:ascii="ITC Avant Garde" w:hAnsi="ITC Avant Garde"/>
        </w:rPr>
        <w:t>por parte de las siguientes personas morales:</w:t>
      </w:r>
    </w:p>
    <w:p w14:paraId="30D7AFD0" w14:textId="77777777" w:rsidR="00442091" w:rsidRPr="00375996" w:rsidRDefault="00442091" w:rsidP="00100519">
      <w:pPr>
        <w:spacing w:line="276" w:lineRule="auto"/>
        <w:ind w:left="-5" w:right="0"/>
        <w:rPr>
          <w:rFonts w:ascii="ITC Avant Garde" w:hAnsi="ITC Avant Garde"/>
        </w:rPr>
      </w:pPr>
    </w:p>
    <w:p w14:paraId="5712C4AD" w14:textId="0EF6C95A" w:rsidR="00442091" w:rsidRPr="00375996" w:rsidRDefault="00432B9B"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proofErr w:type="spellStart"/>
      <w:r w:rsidRPr="00375996">
        <w:rPr>
          <w:rFonts w:ascii="ITC Avant Garde" w:eastAsiaTheme="minorHAnsi" w:hAnsi="ITC Avant Garde" w:cs="ITC Avant Garde"/>
          <w:lang w:eastAsia="en-US"/>
        </w:rPr>
        <w:t>Altán</w:t>
      </w:r>
      <w:proofErr w:type="spellEnd"/>
      <w:r w:rsidR="00442091" w:rsidRPr="00375996">
        <w:rPr>
          <w:rFonts w:ascii="ITC Avant Garde" w:eastAsiaTheme="minorHAnsi" w:hAnsi="ITC Avant Garde" w:cs="ITC Avant Garde"/>
          <w:lang w:eastAsia="en-US"/>
        </w:rPr>
        <w:t xml:space="preserve"> </w:t>
      </w:r>
      <w:r w:rsidRPr="00375996">
        <w:rPr>
          <w:rFonts w:ascii="ITC Avant Garde" w:eastAsiaTheme="minorHAnsi" w:hAnsi="ITC Avant Garde" w:cs="ITC Avant Garde"/>
          <w:lang w:eastAsia="en-US"/>
        </w:rPr>
        <w:t>Redes</w:t>
      </w:r>
      <w:r w:rsidR="00442091" w:rsidRPr="00375996">
        <w:rPr>
          <w:rFonts w:ascii="ITC Avant Garde" w:eastAsiaTheme="minorHAnsi" w:hAnsi="ITC Avant Garde" w:cs="ITC Avant Garde"/>
          <w:lang w:eastAsia="en-US"/>
        </w:rPr>
        <w:t xml:space="preserve">, S.A.P.I. </w:t>
      </w:r>
      <w:r w:rsidRPr="00375996">
        <w:rPr>
          <w:rFonts w:ascii="ITC Avant Garde" w:eastAsiaTheme="minorHAnsi" w:hAnsi="ITC Avant Garde" w:cs="ITC Avant Garde"/>
          <w:lang w:eastAsia="en-US"/>
        </w:rPr>
        <w:t>de</w:t>
      </w:r>
      <w:r w:rsidR="00442091" w:rsidRPr="00375996">
        <w:rPr>
          <w:rFonts w:ascii="ITC Avant Garde" w:eastAsiaTheme="minorHAnsi" w:hAnsi="ITC Avant Garde" w:cs="ITC Avant Garde"/>
          <w:lang w:eastAsia="en-US"/>
        </w:rPr>
        <w:t xml:space="preserve"> C.V. (</w:t>
      </w:r>
      <w:r w:rsidR="00D87CF7" w:rsidRPr="00375996">
        <w:rPr>
          <w:rFonts w:ascii="ITC Avant Garde" w:eastAsiaTheme="minorHAnsi" w:hAnsi="ITC Avant Garde" w:cs="ITC Avant Garde"/>
          <w:lang w:eastAsia="en-US"/>
        </w:rPr>
        <w:t xml:space="preserve">en lo sucesivo </w:t>
      </w:r>
      <w:r w:rsidR="00442091" w:rsidRPr="00375996">
        <w:rPr>
          <w:rFonts w:ascii="ITC Avant Garde" w:eastAsiaTheme="minorHAnsi" w:hAnsi="ITC Avant Garde" w:cs="ITC Avant Garde"/>
          <w:lang w:eastAsia="en-US"/>
        </w:rPr>
        <w:t>“</w:t>
      </w:r>
      <w:proofErr w:type="spellStart"/>
      <w:r w:rsidRPr="00375996">
        <w:rPr>
          <w:rFonts w:ascii="ITC Avant Garde" w:eastAsiaTheme="minorHAnsi" w:hAnsi="ITC Avant Garde" w:cs="ITC Avant Garde"/>
          <w:lang w:eastAsia="en-US"/>
        </w:rPr>
        <w:t>Altán</w:t>
      </w:r>
      <w:proofErr w:type="spellEnd"/>
      <w:r w:rsidR="00442091" w:rsidRPr="00375996">
        <w:rPr>
          <w:rFonts w:ascii="ITC Avant Garde" w:eastAsiaTheme="minorHAnsi" w:hAnsi="ITC Avant Garde" w:cs="ITC Avant Garde"/>
          <w:lang w:eastAsia="en-US"/>
        </w:rPr>
        <w:t>”)</w:t>
      </w:r>
    </w:p>
    <w:p w14:paraId="04115867" w14:textId="0DE54295" w:rsidR="00A70475" w:rsidRPr="00375996" w:rsidRDefault="00750FF4"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375996">
        <w:rPr>
          <w:rFonts w:ascii="ITC Avant Garde" w:eastAsiaTheme="minorHAnsi" w:hAnsi="ITC Avant Garde" w:cs="ITC Avant Garde"/>
          <w:lang w:eastAsia="en-US"/>
        </w:rPr>
        <w:t>Pegaso PCS, S.A. de C.V.</w:t>
      </w:r>
      <w:r w:rsidR="00BA7435" w:rsidRPr="00375996">
        <w:rPr>
          <w:rFonts w:ascii="ITC Avant Garde" w:eastAsiaTheme="minorHAnsi" w:hAnsi="ITC Avant Garde" w:cs="ITC Avant Garde"/>
          <w:lang w:eastAsia="en-US"/>
        </w:rPr>
        <w:t xml:space="preserve"> </w:t>
      </w:r>
      <w:r w:rsidR="00FF0299" w:rsidRPr="00375996">
        <w:rPr>
          <w:rFonts w:ascii="ITC Avant Garde" w:hAnsi="ITC Avant Garde"/>
        </w:rPr>
        <w:t>(</w:t>
      </w:r>
      <w:r w:rsidR="00D87CF7" w:rsidRPr="00375996">
        <w:rPr>
          <w:rFonts w:ascii="ITC Avant Garde" w:hAnsi="ITC Avant Garde"/>
        </w:rPr>
        <w:t xml:space="preserve">en lo sucesivo </w:t>
      </w:r>
      <w:r w:rsidR="00FF0299" w:rsidRPr="00375996">
        <w:rPr>
          <w:rFonts w:ascii="ITC Avant Garde" w:hAnsi="ITC Avant Garde"/>
        </w:rPr>
        <w:t>“Telefónica”)</w:t>
      </w:r>
    </w:p>
    <w:p w14:paraId="64A62527" w14:textId="77777777" w:rsidR="003C7090" w:rsidRPr="00375996" w:rsidRDefault="003C7090" w:rsidP="003C7090">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375996">
        <w:rPr>
          <w:rFonts w:ascii="ITC Avant Garde" w:eastAsiaTheme="minorHAnsi" w:hAnsi="ITC Avant Garde" w:cs="ITC Avant Garde"/>
          <w:lang w:eastAsia="en-US"/>
        </w:rPr>
        <w:t xml:space="preserve">AT&amp;T Comunicaciones Digitales, S. de R.L. de C.V., Grupo AT&amp;T </w:t>
      </w:r>
      <w:proofErr w:type="spellStart"/>
      <w:r w:rsidRPr="00375996">
        <w:rPr>
          <w:rFonts w:ascii="ITC Avant Garde" w:eastAsiaTheme="minorHAnsi" w:hAnsi="ITC Avant Garde" w:cs="ITC Avant Garde"/>
          <w:lang w:eastAsia="en-US"/>
        </w:rPr>
        <w:t>Celullar</w:t>
      </w:r>
      <w:proofErr w:type="spellEnd"/>
      <w:r w:rsidRPr="00375996">
        <w:rPr>
          <w:rFonts w:ascii="ITC Avant Garde" w:eastAsiaTheme="minorHAnsi" w:hAnsi="ITC Avant Garde" w:cs="ITC Avant Garde"/>
          <w:lang w:eastAsia="en-US"/>
        </w:rPr>
        <w:t>, S. de R.L. de C.V., AT&amp;T Norte, S. de R.L. de C.V., AT&amp;T Comercialización Móvil, S. de R.L. de C.V. y AT&amp;T Desarrollo en Comunicaciones de México, S. de R.L. de C.V. (en lo sucesivo conjuntamente, “AT&amp;T”)</w:t>
      </w:r>
    </w:p>
    <w:p w14:paraId="655DBB9A" w14:textId="77777777" w:rsidR="003C7090" w:rsidRPr="00375996" w:rsidRDefault="003C7090" w:rsidP="003C7090">
      <w:pPr>
        <w:pStyle w:val="Prrafodelista"/>
        <w:autoSpaceDE w:val="0"/>
        <w:autoSpaceDN w:val="0"/>
        <w:adjustRightInd w:val="0"/>
        <w:spacing w:after="0" w:line="276" w:lineRule="auto"/>
        <w:ind w:right="0" w:firstLine="0"/>
        <w:rPr>
          <w:rFonts w:ascii="ITC Avant Garde" w:eastAsiaTheme="minorHAnsi" w:hAnsi="ITC Avant Garde" w:cs="ITC Avant Garde"/>
          <w:lang w:eastAsia="en-US"/>
        </w:rPr>
      </w:pPr>
    </w:p>
    <w:p w14:paraId="1C638235" w14:textId="77777777" w:rsidR="0006356F" w:rsidRPr="00375996" w:rsidRDefault="0006356F" w:rsidP="0006356F">
      <w:pPr>
        <w:spacing w:after="0" w:line="276" w:lineRule="auto"/>
        <w:ind w:left="-6" w:hanging="11"/>
        <w:rPr>
          <w:rFonts w:ascii="ITC Avant Garde" w:hAnsi="ITC Avant Garde" w:cs="ITC Avant Garde"/>
        </w:rPr>
      </w:pPr>
      <w:r w:rsidRPr="00375996">
        <w:rPr>
          <w:rFonts w:ascii="ITC Avant Garde" w:hAnsi="ITC Avant Garde" w:cs="ITC Avant Garde"/>
          <w:b/>
        </w:rPr>
        <w:t>Respuestas y posicionamientos por parte del Instituto:</w:t>
      </w:r>
    </w:p>
    <w:p w14:paraId="6D4B1954" w14:textId="7081F2E8" w:rsidR="00352EEF" w:rsidRPr="00375996" w:rsidRDefault="002D64D5" w:rsidP="00100519">
      <w:pPr>
        <w:spacing w:line="276" w:lineRule="auto"/>
        <w:ind w:left="-5" w:right="0"/>
        <w:rPr>
          <w:rFonts w:ascii="ITC Avant Garde" w:hAnsi="ITC Avant Garde"/>
        </w:rPr>
      </w:pPr>
      <w:r w:rsidRPr="00375996">
        <w:rPr>
          <w:rFonts w:ascii="ITC Avant Garde" w:hAnsi="ITC Avant Garde"/>
        </w:rPr>
        <w:t>S</w:t>
      </w:r>
      <w:r w:rsidR="005C2139" w:rsidRPr="00375996">
        <w:rPr>
          <w:rFonts w:ascii="ITC Avant Garde" w:hAnsi="ITC Avant Garde"/>
        </w:rPr>
        <w:t xml:space="preserve">e señala que el orden en </w:t>
      </w:r>
      <w:r w:rsidR="005E75EF" w:rsidRPr="00375996">
        <w:rPr>
          <w:rFonts w:ascii="ITC Avant Garde" w:hAnsi="ITC Avant Garde"/>
        </w:rPr>
        <w:t xml:space="preserve">el </w:t>
      </w:r>
      <w:r w:rsidR="005C2139" w:rsidRPr="00375996">
        <w:rPr>
          <w:rFonts w:ascii="ITC Avant Garde" w:hAnsi="ITC Avant Garde"/>
        </w:rPr>
        <w:t>que son abordados cada uno de los temas y numerales genéricos mencionados, obedece primordialmente al orden en que cada uno de éstos aparece</w:t>
      </w:r>
      <w:r w:rsidR="001368EC" w:rsidRPr="00375996">
        <w:rPr>
          <w:rFonts w:ascii="ITC Avant Garde" w:hAnsi="ITC Avant Garde"/>
        </w:rPr>
        <w:t>n</w:t>
      </w:r>
      <w:r w:rsidR="005C2139" w:rsidRPr="00375996">
        <w:rPr>
          <w:rFonts w:ascii="ITC Avant Garde" w:hAnsi="ITC Avant Garde"/>
        </w:rPr>
        <w:t xml:space="preserve"> en</w:t>
      </w:r>
      <w:r w:rsidR="001368EC" w:rsidRPr="00375996">
        <w:rPr>
          <w:rFonts w:ascii="ITC Avant Garde" w:hAnsi="ITC Avant Garde"/>
        </w:rPr>
        <w:t xml:space="preserve"> </w:t>
      </w:r>
      <w:r w:rsidR="00AF285E" w:rsidRPr="00375996">
        <w:rPr>
          <w:rFonts w:ascii="ITC Avant Garde" w:hAnsi="ITC Avant Garde"/>
        </w:rPr>
        <w:t xml:space="preserve">la Propuesta de </w:t>
      </w:r>
      <w:r w:rsidR="00AF285E" w:rsidRPr="00375996">
        <w:rPr>
          <w:rFonts w:ascii="ITC Avant Garde" w:hAnsi="ITC Avant Garde" w:cs="Arial"/>
          <w:b/>
          <w:i/>
          <w:lang w:val="es-ES_tradnl"/>
        </w:rPr>
        <w:t>Oferta de Referencia para la Prestación del Servicio Mayorista de Usuario Visitante</w:t>
      </w:r>
      <w:r w:rsidR="00AF285E" w:rsidRPr="00375996">
        <w:rPr>
          <w:rFonts w:ascii="ITC Avant Garde" w:hAnsi="ITC Avant Garde"/>
          <w:b/>
        </w:rPr>
        <w:t xml:space="preserve"> </w:t>
      </w:r>
      <w:r w:rsidR="00AF285E" w:rsidRPr="00375996">
        <w:rPr>
          <w:rFonts w:ascii="ITC Avant Garde" w:hAnsi="ITC Avant Garde"/>
        </w:rPr>
        <w:t xml:space="preserve">(en lo sucesivo, la “Oferta”) </w:t>
      </w:r>
      <w:r w:rsidR="00A40194" w:rsidRPr="00375996">
        <w:rPr>
          <w:rFonts w:ascii="ITC Avant Garde" w:hAnsi="ITC Avant Garde"/>
        </w:rPr>
        <w:t>presentada por</w:t>
      </w:r>
      <w:r w:rsidR="00EE4AD8">
        <w:rPr>
          <w:rFonts w:ascii="ITC Avant Garde" w:hAnsi="ITC Avant Garde"/>
        </w:rPr>
        <w:t xml:space="preserve"> </w:t>
      </w:r>
      <w:proofErr w:type="spellStart"/>
      <w:r w:rsidR="00EE4AD8">
        <w:rPr>
          <w:rFonts w:ascii="ITC Avant Garde" w:hAnsi="ITC Avant Garde"/>
        </w:rPr>
        <w:t>Radiomóvil</w:t>
      </w:r>
      <w:proofErr w:type="spellEnd"/>
      <w:r w:rsidR="00EE4AD8">
        <w:rPr>
          <w:rFonts w:ascii="ITC Avant Garde" w:hAnsi="ITC Avant Garde"/>
        </w:rPr>
        <w:t xml:space="preserve"> Dipsa, S.A. de C.V.</w:t>
      </w:r>
      <w:r w:rsidR="00A40194" w:rsidRPr="00375996">
        <w:rPr>
          <w:rFonts w:ascii="ITC Avant Garde" w:hAnsi="ITC Avant Garde"/>
        </w:rPr>
        <w:t xml:space="preserve"> (en lo sucesivo, “Telcel”) integrante del Agente Económico Preponderante (e</w:t>
      </w:r>
      <w:r w:rsidR="00EE6F17">
        <w:rPr>
          <w:rFonts w:ascii="ITC Avant Garde" w:hAnsi="ITC Avant Garde"/>
        </w:rPr>
        <w:t>n lo sucesivo, el “AEP”) en el sector de las t</w:t>
      </w:r>
      <w:r w:rsidR="00A40194" w:rsidRPr="00375996">
        <w:rPr>
          <w:rFonts w:ascii="ITC Avant Garde" w:hAnsi="ITC Avant Garde"/>
        </w:rPr>
        <w:t>elecomunicaciones.</w:t>
      </w:r>
    </w:p>
    <w:p w14:paraId="1541E9EC" w14:textId="77777777" w:rsidR="00A40194" w:rsidRPr="00375996" w:rsidRDefault="00A40194" w:rsidP="00100519">
      <w:pPr>
        <w:spacing w:line="276" w:lineRule="auto"/>
        <w:ind w:left="-5" w:right="0"/>
        <w:rPr>
          <w:rFonts w:ascii="ITC Avant Garde" w:hAnsi="ITC Avant Garde"/>
          <w:color w:val="auto"/>
        </w:rPr>
      </w:pPr>
    </w:p>
    <w:p w14:paraId="68999CCE" w14:textId="08757305" w:rsidR="00802E6D" w:rsidRPr="00B64A2E" w:rsidRDefault="00BC09A3" w:rsidP="00B64A2E">
      <w:pPr>
        <w:spacing w:line="276" w:lineRule="auto"/>
        <w:ind w:left="-5" w:right="0"/>
        <w:rPr>
          <w:rFonts w:ascii="ITC Avant Garde" w:hAnsi="ITC Avant Garde"/>
        </w:rPr>
      </w:pPr>
      <w:r w:rsidRPr="00375996">
        <w:rPr>
          <w:rFonts w:ascii="ITC Avant Garde" w:hAnsi="ITC Avant Garde"/>
        </w:rPr>
        <w:t>Por lo anterior, el Instituto emite las siguientes respuestas y con</w:t>
      </w:r>
      <w:r w:rsidR="007B0E47" w:rsidRPr="00375996">
        <w:rPr>
          <w:rFonts w:ascii="ITC Avant Garde" w:hAnsi="ITC Avant Garde"/>
        </w:rPr>
        <w:t>sideraciones para cada una de la</w:t>
      </w:r>
      <w:r w:rsidRPr="00375996">
        <w:rPr>
          <w:rFonts w:ascii="ITC Avant Garde" w:hAnsi="ITC Avant Garde"/>
        </w:rPr>
        <w:t>s</w:t>
      </w:r>
      <w:r w:rsidR="007B0E47" w:rsidRPr="00375996">
        <w:rPr>
          <w:rFonts w:ascii="ITC Avant Garde" w:hAnsi="ITC Avant Garde"/>
        </w:rPr>
        <w:t xml:space="preserve"> participaciones</w:t>
      </w:r>
      <w:r w:rsidR="004B5491" w:rsidRPr="00375996">
        <w:rPr>
          <w:rFonts w:ascii="ITC Avant Garde" w:hAnsi="ITC Avant Garde"/>
        </w:rPr>
        <w:t xml:space="preserve"> recibidas</w:t>
      </w:r>
      <w:r w:rsidRPr="00375996">
        <w:rPr>
          <w:rFonts w:ascii="ITC Avant Garde" w:hAnsi="ITC Avant Garde"/>
        </w:rPr>
        <w:t xml:space="preserve">:  </w:t>
      </w:r>
    </w:p>
    <w:p w14:paraId="55705E80" w14:textId="77777777" w:rsidR="006D6D9E" w:rsidRPr="00375996" w:rsidRDefault="006D6D9E" w:rsidP="00C47F5D">
      <w:pPr>
        <w:autoSpaceDE w:val="0"/>
        <w:autoSpaceDN w:val="0"/>
        <w:adjustRightInd w:val="0"/>
        <w:ind w:left="0" w:firstLine="0"/>
        <w:rPr>
          <w:rFonts w:ascii="ITC Avant Garde" w:hAnsi="ITC Avant Garde" w:cs="Arial"/>
          <w:i/>
          <w:sz w:val="18"/>
          <w:szCs w:val="18"/>
        </w:rPr>
      </w:pPr>
    </w:p>
    <w:p w14:paraId="18437B07" w14:textId="77777777" w:rsidR="00C47F5D" w:rsidRPr="00375996" w:rsidRDefault="00C47F5D" w:rsidP="00C47F5D">
      <w:pPr>
        <w:spacing w:after="0" w:line="276" w:lineRule="auto"/>
        <w:ind w:left="-5" w:right="49"/>
        <w:rPr>
          <w:rFonts w:ascii="ITC Avant Garde" w:hAnsi="ITC Avant Garde"/>
          <w:b/>
          <w:color w:val="auto"/>
        </w:rPr>
      </w:pPr>
      <w:r w:rsidRPr="00375996">
        <w:rPr>
          <w:rFonts w:ascii="ITC Avant Garde" w:hAnsi="ITC Avant Garde"/>
          <w:b/>
          <w:color w:val="auto"/>
        </w:rPr>
        <w:t>ANEXO II Acuerdo Técnicos</w:t>
      </w:r>
    </w:p>
    <w:p w14:paraId="7E9EC2F8" w14:textId="2BAAAE57" w:rsidR="00C322D3" w:rsidRPr="00375996" w:rsidRDefault="00C322D3" w:rsidP="00C47F5D">
      <w:pPr>
        <w:spacing w:after="0" w:line="276" w:lineRule="auto"/>
        <w:ind w:left="-5" w:right="49"/>
        <w:rPr>
          <w:rFonts w:ascii="ITC Avant Garde" w:hAnsi="ITC Avant Garde"/>
          <w:b/>
          <w:color w:val="auto"/>
        </w:rPr>
      </w:pPr>
      <w:r w:rsidRPr="00375996">
        <w:rPr>
          <w:rFonts w:ascii="ITC Avant Garde" w:hAnsi="ITC Avant Garde"/>
          <w:b/>
          <w:color w:val="auto"/>
        </w:rPr>
        <w:lastRenderedPageBreak/>
        <w:t>Diagramas Técnicos</w:t>
      </w:r>
    </w:p>
    <w:p w14:paraId="37DD4893" w14:textId="77777777" w:rsidR="00B60C4D" w:rsidRDefault="00B60C4D" w:rsidP="00C47F5D">
      <w:pPr>
        <w:spacing w:after="0" w:line="276" w:lineRule="auto"/>
        <w:ind w:left="-5" w:right="49"/>
        <w:rPr>
          <w:rFonts w:ascii="ITC Avant Garde" w:hAnsi="ITC Avant Garde"/>
          <w:b/>
          <w:color w:val="auto"/>
        </w:rPr>
      </w:pPr>
    </w:p>
    <w:p w14:paraId="4DEEF807" w14:textId="0DA6176C" w:rsidR="00C322D3" w:rsidRPr="00375996" w:rsidRDefault="00810EE1" w:rsidP="00C47F5D">
      <w:pPr>
        <w:spacing w:after="0" w:line="276" w:lineRule="auto"/>
        <w:ind w:left="-5" w:right="49"/>
        <w:rPr>
          <w:rFonts w:ascii="ITC Avant Garde" w:hAnsi="ITC Avant Garde"/>
          <w:b/>
          <w:color w:val="auto"/>
        </w:rPr>
      </w:pPr>
      <w:r w:rsidRPr="00375996">
        <w:rPr>
          <w:rFonts w:ascii="ITC Avant Garde" w:hAnsi="ITC Avant Garde"/>
          <w:b/>
          <w:color w:val="auto"/>
        </w:rPr>
        <w:t>Telefónica:</w:t>
      </w:r>
    </w:p>
    <w:p w14:paraId="4E225557" w14:textId="112FD1F6" w:rsidR="00810EE1" w:rsidRPr="00375996" w:rsidRDefault="00810EE1" w:rsidP="00C47F5D">
      <w:pPr>
        <w:spacing w:after="0" w:line="276" w:lineRule="auto"/>
        <w:ind w:left="-5" w:right="49"/>
        <w:rPr>
          <w:rFonts w:ascii="ITC Avant Garde" w:hAnsi="ITC Avant Garde"/>
          <w:color w:val="auto"/>
        </w:rPr>
      </w:pPr>
      <w:r w:rsidRPr="00375996">
        <w:rPr>
          <w:rFonts w:ascii="ITC Avant Garde" w:hAnsi="ITC Avant Garde"/>
          <w:color w:val="auto"/>
        </w:rPr>
        <w:t xml:space="preserve">Solicita que </w:t>
      </w:r>
      <w:r w:rsidR="00771637" w:rsidRPr="00375996">
        <w:rPr>
          <w:rFonts w:ascii="ITC Avant Garde" w:hAnsi="ITC Avant Garde"/>
          <w:color w:val="auto"/>
        </w:rPr>
        <w:t xml:space="preserve">la Oferta </w:t>
      </w:r>
      <w:r w:rsidRPr="00375996">
        <w:rPr>
          <w:rFonts w:ascii="ITC Avant Garde" w:hAnsi="ITC Avant Garde"/>
          <w:color w:val="auto"/>
        </w:rPr>
        <w:t xml:space="preserve">incluya la posibilidad de acceso mediante </w:t>
      </w:r>
      <w:r w:rsidR="00A0191F" w:rsidRPr="00375996">
        <w:rPr>
          <w:rFonts w:ascii="ITC Avant Garde" w:hAnsi="ITC Avant Garde"/>
          <w:color w:val="auto"/>
        </w:rPr>
        <w:t>un esquema basado en</w:t>
      </w:r>
      <w:r w:rsidR="00771637" w:rsidRPr="00375996">
        <w:rPr>
          <w:rFonts w:ascii="ITC Avant Garde" w:hAnsi="ITC Avant Garde"/>
          <w:color w:val="auto"/>
        </w:rPr>
        <w:t xml:space="preserve"> </w:t>
      </w:r>
      <w:r w:rsidRPr="00375996">
        <w:rPr>
          <w:rFonts w:ascii="ITC Avant Garde" w:hAnsi="ITC Avant Garde"/>
          <w:color w:val="auto"/>
        </w:rPr>
        <w:t>MOCN (</w:t>
      </w:r>
      <w:proofErr w:type="spellStart"/>
      <w:r w:rsidRPr="00375996">
        <w:rPr>
          <w:rFonts w:ascii="ITC Avant Garde" w:hAnsi="ITC Avant Garde"/>
          <w:color w:val="auto"/>
        </w:rPr>
        <w:t>Multi-Operator</w:t>
      </w:r>
      <w:proofErr w:type="spellEnd"/>
      <w:r w:rsidRPr="00375996">
        <w:rPr>
          <w:rFonts w:ascii="ITC Avant Garde" w:hAnsi="ITC Avant Garde"/>
          <w:color w:val="auto"/>
        </w:rPr>
        <w:t xml:space="preserve"> Core Network), </w:t>
      </w:r>
      <w:r w:rsidR="00771637" w:rsidRPr="00375996">
        <w:rPr>
          <w:rFonts w:ascii="ITC Avant Garde" w:hAnsi="ITC Avant Garde"/>
          <w:color w:val="auto"/>
        </w:rPr>
        <w:t>argumentando que, con ello</w:t>
      </w:r>
      <w:r w:rsidRPr="00375996">
        <w:rPr>
          <w:rFonts w:ascii="ITC Avant Garde" w:hAnsi="ITC Avant Garde"/>
          <w:color w:val="auto"/>
        </w:rPr>
        <w:t xml:space="preserve"> el servicio de </w:t>
      </w:r>
      <w:proofErr w:type="spellStart"/>
      <w:r w:rsidRPr="00375996">
        <w:rPr>
          <w:rFonts w:ascii="ITC Avant Garde" w:hAnsi="ITC Avant Garde"/>
          <w:color w:val="auto"/>
        </w:rPr>
        <w:t>roaming</w:t>
      </w:r>
      <w:proofErr w:type="spellEnd"/>
      <w:r w:rsidRPr="00375996">
        <w:rPr>
          <w:rFonts w:ascii="ITC Avant Garde" w:hAnsi="ITC Avant Garde"/>
          <w:color w:val="auto"/>
        </w:rPr>
        <w:t xml:space="preserve"> nacional se llevaría a cabo de una manera más eficiente y </w:t>
      </w:r>
      <w:r w:rsidR="00EE4AD8">
        <w:rPr>
          <w:rFonts w:ascii="ITC Avant Garde" w:hAnsi="ITC Avant Garde"/>
          <w:color w:val="auto"/>
        </w:rPr>
        <w:t>a menores costo</w:t>
      </w:r>
      <w:r w:rsidR="00771637" w:rsidRPr="00375996">
        <w:rPr>
          <w:rFonts w:ascii="ITC Avant Garde" w:hAnsi="ITC Avant Garde"/>
          <w:color w:val="auto"/>
        </w:rPr>
        <w:t>s al requerir la utilización de</w:t>
      </w:r>
      <w:r w:rsidRPr="00375996">
        <w:rPr>
          <w:rFonts w:ascii="ITC Avant Garde" w:hAnsi="ITC Avant Garde"/>
          <w:color w:val="auto"/>
        </w:rPr>
        <w:t xml:space="preserve"> menores recursos de red</w:t>
      </w:r>
      <w:r w:rsidR="00771637" w:rsidRPr="00375996">
        <w:rPr>
          <w:rFonts w:ascii="ITC Avant Garde" w:hAnsi="ITC Avant Garde"/>
          <w:color w:val="auto"/>
        </w:rPr>
        <w:t xml:space="preserve"> y</w:t>
      </w:r>
      <w:r w:rsidRPr="00375996">
        <w:rPr>
          <w:rFonts w:ascii="ITC Avant Garde" w:hAnsi="ITC Avant Garde"/>
          <w:color w:val="auto"/>
        </w:rPr>
        <w:t xml:space="preserve"> haciendo entrega del tráfico en determinados puntos de presencia sin llegar a utilizar la red </w:t>
      </w:r>
      <w:proofErr w:type="spellStart"/>
      <w:r w:rsidRPr="00375996">
        <w:rPr>
          <w:rFonts w:ascii="ITC Avant Garde" w:hAnsi="ITC Avant Garde"/>
          <w:color w:val="auto"/>
        </w:rPr>
        <w:t>core</w:t>
      </w:r>
      <w:proofErr w:type="spellEnd"/>
      <w:r w:rsidRPr="00375996">
        <w:rPr>
          <w:rFonts w:ascii="ITC Avant Garde" w:hAnsi="ITC Avant Garde"/>
          <w:color w:val="auto"/>
        </w:rPr>
        <w:t xml:space="preserve"> del AEP.</w:t>
      </w:r>
    </w:p>
    <w:p w14:paraId="74116782" w14:textId="766353D8" w:rsidR="00810EE1" w:rsidRPr="00375996" w:rsidRDefault="00810EE1" w:rsidP="00C47F5D">
      <w:pPr>
        <w:spacing w:after="0" w:line="276" w:lineRule="auto"/>
        <w:ind w:left="-5" w:right="49"/>
        <w:rPr>
          <w:rFonts w:ascii="ITC Avant Garde" w:hAnsi="ITC Avant Garde"/>
          <w:color w:val="auto"/>
        </w:rPr>
      </w:pPr>
    </w:p>
    <w:p w14:paraId="5B946D2B" w14:textId="562E0BB8" w:rsidR="004F0121" w:rsidRPr="00375996" w:rsidRDefault="004F0121" w:rsidP="00C47F5D">
      <w:pPr>
        <w:spacing w:after="0" w:line="276" w:lineRule="auto"/>
        <w:ind w:left="-5" w:right="49"/>
        <w:rPr>
          <w:rFonts w:ascii="ITC Avant Garde" w:hAnsi="ITC Avant Garde"/>
          <w:color w:val="auto"/>
        </w:rPr>
      </w:pPr>
      <w:r w:rsidRPr="00375996">
        <w:rPr>
          <w:rFonts w:ascii="ITC Avant Garde" w:hAnsi="ITC Avant Garde"/>
          <w:color w:val="auto"/>
        </w:rPr>
        <w:t>En este sentido, solicita que sean establecidas las condiciones para el acceso al servicio bajo esta modalidad</w:t>
      </w:r>
      <w:r w:rsidR="000F31DF" w:rsidRPr="00375996">
        <w:rPr>
          <w:rFonts w:ascii="ITC Avant Garde" w:hAnsi="ITC Avant Garde"/>
          <w:color w:val="auto"/>
        </w:rPr>
        <w:t xml:space="preserve">, así como </w:t>
      </w:r>
      <w:r w:rsidRPr="00375996">
        <w:rPr>
          <w:rFonts w:ascii="ITC Avant Garde" w:hAnsi="ITC Avant Garde"/>
          <w:color w:val="auto"/>
        </w:rPr>
        <w:t xml:space="preserve">tarifas adaptadas al menor uso de ciertos elementos de la red del AEP, pues </w:t>
      </w:r>
      <w:r w:rsidR="000F31DF" w:rsidRPr="00375996">
        <w:rPr>
          <w:rFonts w:ascii="ITC Avant Garde" w:hAnsi="ITC Avant Garde"/>
          <w:color w:val="auto"/>
        </w:rPr>
        <w:t xml:space="preserve">señala, </w:t>
      </w:r>
      <w:r w:rsidRPr="00375996">
        <w:rPr>
          <w:rFonts w:ascii="ITC Avant Garde" w:hAnsi="ITC Avant Garde"/>
          <w:color w:val="auto"/>
        </w:rPr>
        <w:t>la entrega del tráfico puede hacerse en niveles inferiores de la jerarquía de la red.</w:t>
      </w:r>
    </w:p>
    <w:p w14:paraId="316154E2" w14:textId="77777777" w:rsidR="004F0121" w:rsidRPr="00375996" w:rsidRDefault="004F0121" w:rsidP="00C47F5D">
      <w:pPr>
        <w:spacing w:after="0" w:line="276" w:lineRule="auto"/>
        <w:ind w:left="-5" w:right="49"/>
        <w:rPr>
          <w:rFonts w:ascii="ITC Avant Garde" w:hAnsi="ITC Avant Garde"/>
          <w:color w:val="auto"/>
        </w:rPr>
      </w:pPr>
    </w:p>
    <w:p w14:paraId="1B06658A" w14:textId="382C463B" w:rsidR="00810EE1" w:rsidRPr="00375996" w:rsidRDefault="00810EE1" w:rsidP="00C47F5D">
      <w:pPr>
        <w:spacing w:after="0" w:line="276" w:lineRule="auto"/>
        <w:ind w:left="-5" w:right="49"/>
        <w:rPr>
          <w:rFonts w:ascii="ITC Avant Garde" w:hAnsi="ITC Avant Garde"/>
          <w:b/>
          <w:color w:val="auto"/>
        </w:rPr>
      </w:pPr>
      <w:r w:rsidRPr="00375996">
        <w:rPr>
          <w:rFonts w:ascii="ITC Avant Garde" w:hAnsi="ITC Avant Garde"/>
          <w:b/>
          <w:color w:val="auto"/>
        </w:rPr>
        <w:t>Consideraciones del Instituto</w:t>
      </w:r>
    </w:p>
    <w:p w14:paraId="72200DA3" w14:textId="3947FA78" w:rsidR="00EE4AD8" w:rsidRDefault="00810EE1" w:rsidP="00C47F5D">
      <w:pPr>
        <w:spacing w:after="0" w:line="276" w:lineRule="auto"/>
        <w:ind w:left="-5" w:right="49"/>
        <w:rPr>
          <w:rFonts w:ascii="ITC Avant Garde" w:hAnsi="ITC Avant Garde"/>
          <w:color w:val="auto"/>
        </w:rPr>
      </w:pPr>
      <w:r w:rsidRPr="00375996">
        <w:rPr>
          <w:rFonts w:ascii="ITC Avant Garde" w:hAnsi="ITC Avant Garde"/>
          <w:color w:val="auto"/>
        </w:rPr>
        <w:t>La obligación de prestar el servicio de Us</w:t>
      </w:r>
      <w:r w:rsidR="00EE4AD8">
        <w:rPr>
          <w:rFonts w:ascii="ITC Avant Garde" w:hAnsi="ITC Avant Garde"/>
          <w:color w:val="auto"/>
        </w:rPr>
        <w:t>uario Visitante deviene de las medidas a</w:t>
      </w:r>
      <w:r w:rsidRPr="00375996">
        <w:rPr>
          <w:rFonts w:ascii="ITC Avant Garde" w:hAnsi="ITC Avant Garde"/>
          <w:color w:val="auto"/>
        </w:rPr>
        <w:t>simétricas impuestas al A</w:t>
      </w:r>
      <w:r w:rsidR="00EE4AD8">
        <w:rPr>
          <w:rFonts w:ascii="ITC Avant Garde" w:hAnsi="ITC Avant Garde"/>
          <w:color w:val="auto"/>
        </w:rPr>
        <w:t xml:space="preserve">gente </w:t>
      </w:r>
      <w:r w:rsidRPr="00375996">
        <w:rPr>
          <w:rFonts w:ascii="ITC Avant Garde" w:hAnsi="ITC Avant Garde"/>
          <w:color w:val="auto"/>
        </w:rPr>
        <w:t>E</w:t>
      </w:r>
      <w:r w:rsidR="00EE4AD8">
        <w:rPr>
          <w:rFonts w:ascii="ITC Avant Garde" w:hAnsi="ITC Avant Garde"/>
          <w:color w:val="auto"/>
        </w:rPr>
        <w:t xml:space="preserve">conómico </w:t>
      </w:r>
      <w:r w:rsidRPr="00375996">
        <w:rPr>
          <w:rFonts w:ascii="ITC Avant Garde" w:hAnsi="ITC Avant Garde"/>
          <w:color w:val="auto"/>
        </w:rPr>
        <w:t>P</w:t>
      </w:r>
      <w:r w:rsidR="00EE4AD8">
        <w:rPr>
          <w:rFonts w:ascii="ITC Avant Garde" w:hAnsi="ITC Avant Garde"/>
          <w:color w:val="auto"/>
        </w:rPr>
        <w:t>reponderante (AEP)</w:t>
      </w:r>
      <w:r w:rsidRPr="00375996">
        <w:rPr>
          <w:rFonts w:ascii="ITC Avant Garde" w:hAnsi="ITC Avant Garde"/>
          <w:color w:val="auto"/>
        </w:rPr>
        <w:t xml:space="preserve">. </w:t>
      </w:r>
      <w:r w:rsidR="00EE4AD8">
        <w:rPr>
          <w:rFonts w:ascii="ITC Avant Garde" w:hAnsi="ITC Avant Garde"/>
          <w:color w:val="auto"/>
        </w:rPr>
        <w:t>En el</w:t>
      </w:r>
      <w:r w:rsidRPr="00375996">
        <w:rPr>
          <w:rFonts w:ascii="ITC Avant Garde" w:hAnsi="ITC Avant Garde"/>
          <w:color w:val="auto"/>
        </w:rPr>
        <w:t xml:space="preserve"> servicio </w:t>
      </w:r>
      <w:r w:rsidR="00EE4AD8">
        <w:rPr>
          <w:rFonts w:ascii="ITC Avant Garde" w:hAnsi="ITC Avant Garde"/>
          <w:color w:val="auto"/>
        </w:rPr>
        <w:t xml:space="preserve">de </w:t>
      </w:r>
      <w:r w:rsidRPr="00375996">
        <w:rPr>
          <w:rFonts w:ascii="ITC Avant Garde" w:hAnsi="ITC Avant Garde"/>
          <w:color w:val="auto"/>
        </w:rPr>
        <w:t xml:space="preserve">Usuario Visitante </w:t>
      </w:r>
      <w:r w:rsidR="00553ADE" w:rsidRPr="00375996">
        <w:rPr>
          <w:rFonts w:ascii="ITC Avant Garde" w:hAnsi="ITC Avant Garde"/>
          <w:color w:val="auto"/>
        </w:rPr>
        <w:t xml:space="preserve">o </w:t>
      </w:r>
      <w:proofErr w:type="spellStart"/>
      <w:r w:rsidR="00553ADE" w:rsidRPr="00375996">
        <w:rPr>
          <w:rFonts w:ascii="ITC Avant Garde" w:hAnsi="ITC Avant Garde"/>
          <w:color w:val="auto"/>
        </w:rPr>
        <w:t>itinerancia</w:t>
      </w:r>
      <w:proofErr w:type="spellEnd"/>
      <w:r w:rsidR="00553ADE" w:rsidRPr="00375996">
        <w:rPr>
          <w:rFonts w:ascii="ITC Avant Garde" w:hAnsi="ITC Avant Garde"/>
          <w:color w:val="auto"/>
        </w:rPr>
        <w:t xml:space="preserve"> </w:t>
      </w:r>
      <w:r w:rsidRPr="00375996">
        <w:rPr>
          <w:rFonts w:ascii="ITC Avant Garde" w:hAnsi="ITC Avant Garde"/>
          <w:color w:val="auto"/>
        </w:rPr>
        <w:t>(</w:t>
      </w:r>
      <w:proofErr w:type="spellStart"/>
      <w:r w:rsidRPr="00375996">
        <w:rPr>
          <w:rFonts w:ascii="ITC Avant Garde" w:hAnsi="ITC Avant Garde"/>
          <w:color w:val="auto"/>
        </w:rPr>
        <w:t>roaming</w:t>
      </w:r>
      <w:proofErr w:type="spellEnd"/>
      <w:r w:rsidRPr="00375996">
        <w:rPr>
          <w:rFonts w:ascii="ITC Avant Garde" w:hAnsi="ITC Avant Garde"/>
          <w:color w:val="auto"/>
        </w:rPr>
        <w:t>)</w:t>
      </w:r>
      <w:r w:rsidR="00CD708C" w:rsidRPr="00375996">
        <w:rPr>
          <w:rFonts w:ascii="ITC Avant Garde" w:hAnsi="ITC Avant Garde"/>
          <w:color w:val="auto"/>
        </w:rPr>
        <w:t>, los usuarios finales del concesionario solicitante acceden a los servicios de telecomunicaciones (voz, datos y mensajes cortos)</w:t>
      </w:r>
      <w:r w:rsidR="008039A2" w:rsidRPr="00375996">
        <w:rPr>
          <w:rFonts w:ascii="ITC Avant Garde" w:hAnsi="ITC Avant Garde"/>
          <w:color w:val="auto"/>
        </w:rPr>
        <w:t xml:space="preserve"> </w:t>
      </w:r>
      <w:r w:rsidR="00553ADE" w:rsidRPr="00375996">
        <w:rPr>
          <w:rFonts w:ascii="ITC Avant Garde" w:hAnsi="ITC Avant Garde"/>
          <w:color w:val="auto"/>
        </w:rPr>
        <w:t>de una red</w:t>
      </w:r>
      <w:r w:rsidR="005D3B48" w:rsidRPr="00375996">
        <w:rPr>
          <w:rFonts w:ascii="ITC Avant Garde" w:hAnsi="ITC Avant Garde"/>
          <w:color w:val="auto"/>
        </w:rPr>
        <w:t xml:space="preserve"> distinta de aquella con quien tiene contratados los servicios</w:t>
      </w:r>
      <w:r w:rsidR="00EE4AD8">
        <w:rPr>
          <w:rFonts w:ascii="ITC Avant Garde" w:hAnsi="ITC Avant Garde"/>
          <w:color w:val="auto"/>
        </w:rPr>
        <w:t>. De esta forma, el servicio permite extender la cobertura del concesionario solicitante para que los usuarios finales puedan utilizar sus servicios en una cobertura de una red distinta, de forma temporal.</w:t>
      </w:r>
    </w:p>
    <w:p w14:paraId="515D9C7A" w14:textId="77777777" w:rsidR="00EE4AD8" w:rsidRDefault="00EE4AD8" w:rsidP="00C47F5D">
      <w:pPr>
        <w:spacing w:after="0" w:line="276" w:lineRule="auto"/>
        <w:ind w:left="-5" w:right="49"/>
        <w:rPr>
          <w:rFonts w:ascii="ITC Avant Garde" w:hAnsi="ITC Avant Garde"/>
          <w:color w:val="auto"/>
        </w:rPr>
      </w:pPr>
    </w:p>
    <w:p w14:paraId="5F721F6B" w14:textId="49F68A52" w:rsidR="00810EE1" w:rsidRDefault="00EE4AD8" w:rsidP="00C47F5D">
      <w:pPr>
        <w:spacing w:after="0" w:line="276" w:lineRule="auto"/>
        <w:ind w:left="-5" w:right="49"/>
        <w:rPr>
          <w:rFonts w:ascii="ITC Avant Garde" w:hAnsi="ITC Avant Garde"/>
          <w:color w:val="auto"/>
        </w:rPr>
      </w:pPr>
      <w:r>
        <w:rPr>
          <w:rFonts w:ascii="ITC Avant Garde" w:hAnsi="ITC Avant Garde"/>
          <w:color w:val="auto"/>
        </w:rPr>
        <w:t>M</w:t>
      </w:r>
      <w:r w:rsidR="001B58A3" w:rsidRPr="00375996">
        <w:rPr>
          <w:rFonts w:ascii="ITC Avant Garde" w:hAnsi="ITC Avant Garde"/>
          <w:color w:val="auto"/>
        </w:rPr>
        <w:t xml:space="preserve">ientras </w:t>
      </w:r>
      <w:r>
        <w:rPr>
          <w:rFonts w:ascii="ITC Avant Garde" w:hAnsi="ITC Avant Garde"/>
          <w:color w:val="auto"/>
        </w:rPr>
        <w:t>que el servicio</w:t>
      </w:r>
      <w:r w:rsidR="00810EE1" w:rsidRPr="00375996">
        <w:rPr>
          <w:rFonts w:ascii="ITC Avant Garde" w:hAnsi="ITC Avant Garde"/>
          <w:color w:val="auto"/>
        </w:rPr>
        <w:t xml:space="preserve"> MOCN</w:t>
      </w:r>
      <w:r w:rsidR="005D1EB2" w:rsidRPr="00375996">
        <w:rPr>
          <w:rFonts w:ascii="ITC Avant Garde" w:hAnsi="ITC Avant Garde"/>
          <w:color w:val="auto"/>
        </w:rPr>
        <w:t xml:space="preserve"> consiste en la compartición de infraestructura</w:t>
      </w:r>
      <w:r w:rsidR="00D40D77" w:rsidRPr="00375996">
        <w:rPr>
          <w:rFonts w:ascii="ITC Avant Garde" w:hAnsi="ITC Avant Garde"/>
          <w:color w:val="auto"/>
        </w:rPr>
        <w:t xml:space="preserve"> de la </w:t>
      </w:r>
      <w:r w:rsidR="00553ADE" w:rsidRPr="00375996">
        <w:rPr>
          <w:rFonts w:ascii="ITC Avant Garde" w:hAnsi="ITC Avant Garde"/>
          <w:color w:val="auto"/>
        </w:rPr>
        <w:t xml:space="preserve">red de acceso </w:t>
      </w:r>
      <w:r w:rsidR="00C73B2D" w:rsidRPr="00375996">
        <w:rPr>
          <w:rFonts w:ascii="ITC Avant Garde" w:hAnsi="ITC Avant Garde"/>
          <w:color w:val="auto"/>
        </w:rPr>
        <w:t>de radio, por lo que e</w:t>
      </w:r>
      <w:r w:rsidR="00810EE1" w:rsidRPr="00375996">
        <w:rPr>
          <w:rFonts w:ascii="ITC Avant Garde" w:hAnsi="ITC Avant Garde"/>
          <w:color w:val="auto"/>
        </w:rPr>
        <w:t>l usu</w:t>
      </w:r>
      <w:r w:rsidR="00D4423D" w:rsidRPr="00375996">
        <w:rPr>
          <w:rFonts w:ascii="ITC Avant Garde" w:hAnsi="ITC Avant Garde"/>
          <w:color w:val="auto"/>
        </w:rPr>
        <w:t>a</w:t>
      </w:r>
      <w:r w:rsidR="00810EE1" w:rsidRPr="00375996">
        <w:rPr>
          <w:rFonts w:ascii="ITC Avant Garde" w:hAnsi="ITC Avant Garde"/>
          <w:color w:val="auto"/>
        </w:rPr>
        <w:t xml:space="preserve">rio final se mantiene </w:t>
      </w:r>
      <w:r w:rsidR="00660E11" w:rsidRPr="00375996">
        <w:rPr>
          <w:rFonts w:ascii="ITC Avant Garde" w:hAnsi="ITC Avant Garde"/>
          <w:color w:val="auto"/>
        </w:rPr>
        <w:t xml:space="preserve">en todo momento </w:t>
      </w:r>
      <w:r w:rsidR="00810EE1" w:rsidRPr="00375996">
        <w:rPr>
          <w:rFonts w:ascii="ITC Avant Garde" w:hAnsi="ITC Avant Garde"/>
          <w:color w:val="auto"/>
        </w:rPr>
        <w:t>suscrito</w:t>
      </w:r>
      <w:r w:rsidR="00C73B2D" w:rsidRPr="00375996">
        <w:rPr>
          <w:rFonts w:ascii="ITC Avant Garde" w:hAnsi="ITC Avant Garde"/>
          <w:color w:val="auto"/>
        </w:rPr>
        <w:t xml:space="preserve"> y haciendo uso de los servicios de telecomunicaciones de su </w:t>
      </w:r>
      <w:r w:rsidR="00810EE1" w:rsidRPr="00375996">
        <w:rPr>
          <w:rFonts w:ascii="ITC Avant Garde" w:hAnsi="ITC Avant Garde"/>
          <w:color w:val="auto"/>
        </w:rPr>
        <w:t>red origen</w:t>
      </w:r>
      <w:r w:rsidR="00C73B2D" w:rsidRPr="00375996">
        <w:rPr>
          <w:rFonts w:ascii="ITC Avant Garde" w:hAnsi="ITC Avant Garde"/>
          <w:color w:val="auto"/>
        </w:rPr>
        <w:t>.</w:t>
      </w:r>
      <w:r w:rsidR="00810EE1" w:rsidRPr="00375996">
        <w:rPr>
          <w:rFonts w:ascii="ITC Avant Garde" w:hAnsi="ITC Avant Garde"/>
          <w:color w:val="auto"/>
        </w:rPr>
        <w:t xml:space="preserve"> </w:t>
      </w:r>
    </w:p>
    <w:p w14:paraId="581DB63E" w14:textId="3285CB2D" w:rsidR="00A0191F" w:rsidRPr="00375996" w:rsidRDefault="00A0191F" w:rsidP="00EE4AD8">
      <w:pPr>
        <w:spacing w:after="0" w:line="276" w:lineRule="auto"/>
        <w:ind w:left="0" w:right="49" w:firstLine="0"/>
        <w:rPr>
          <w:rFonts w:ascii="ITC Avant Garde" w:hAnsi="ITC Avant Garde"/>
          <w:color w:val="auto"/>
        </w:rPr>
      </w:pPr>
    </w:p>
    <w:p w14:paraId="3DE87389" w14:textId="638640EE" w:rsidR="00A0191F" w:rsidRDefault="00C230F6" w:rsidP="00C47F5D">
      <w:pPr>
        <w:spacing w:after="0" w:line="276" w:lineRule="auto"/>
        <w:ind w:left="-5" w:right="49"/>
        <w:rPr>
          <w:rFonts w:ascii="ITC Avant Garde" w:hAnsi="ITC Avant Garde"/>
          <w:color w:val="auto"/>
        </w:rPr>
      </w:pPr>
      <w:r>
        <w:rPr>
          <w:rFonts w:ascii="ITC Avant Garde" w:hAnsi="ITC Avant Garde"/>
          <w:color w:val="auto"/>
        </w:rPr>
        <w:t>Por lo anterior, la prestación del servicio MOCN excede el alcance de la oferta de referencia de UV.</w:t>
      </w:r>
    </w:p>
    <w:p w14:paraId="3075D982" w14:textId="77777777" w:rsidR="00C230F6" w:rsidRPr="00375996" w:rsidRDefault="00C230F6" w:rsidP="00C47F5D">
      <w:pPr>
        <w:spacing w:after="0" w:line="276" w:lineRule="auto"/>
        <w:ind w:left="-5" w:right="49"/>
        <w:rPr>
          <w:rFonts w:ascii="ITC Avant Garde" w:hAnsi="ITC Avant Garde"/>
          <w:color w:val="auto"/>
        </w:rPr>
      </w:pPr>
    </w:p>
    <w:p w14:paraId="6FD3711D" w14:textId="17DF0487" w:rsidR="00C47F5D" w:rsidRPr="00375996" w:rsidRDefault="00AB17E0" w:rsidP="00AB17E0">
      <w:pPr>
        <w:spacing w:after="0" w:line="276" w:lineRule="auto"/>
        <w:ind w:right="0"/>
        <w:rPr>
          <w:rFonts w:ascii="ITC Avant Garde" w:hAnsi="ITC Avant Garde"/>
          <w:b/>
          <w:color w:val="auto"/>
        </w:rPr>
      </w:pPr>
      <w:r w:rsidRPr="00375996">
        <w:rPr>
          <w:rFonts w:ascii="ITC Avant Garde" w:hAnsi="ITC Avant Garde"/>
          <w:b/>
          <w:color w:val="auto"/>
        </w:rPr>
        <w:t>8. Tecnologías Disponibles</w:t>
      </w:r>
    </w:p>
    <w:p w14:paraId="3600E201" w14:textId="3E0E31D7" w:rsidR="002E13D4" w:rsidRPr="00375996" w:rsidRDefault="00AB17E0" w:rsidP="002E13D4">
      <w:pPr>
        <w:spacing w:after="0" w:line="276" w:lineRule="auto"/>
        <w:ind w:left="0" w:right="0" w:firstLine="0"/>
        <w:rPr>
          <w:rFonts w:ascii="ITC Avant Garde" w:hAnsi="ITC Avant Garde"/>
          <w:b/>
          <w:color w:val="auto"/>
        </w:rPr>
      </w:pPr>
      <w:r w:rsidRPr="00375996">
        <w:rPr>
          <w:rFonts w:ascii="ITC Avant Garde" w:hAnsi="ITC Avant Garde"/>
          <w:b/>
          <w:color w:val="auto"/>
        </w:rPr>
        <w:t>Telefónica</w:t>
      </w:r>
      <w:r w:rsidR="002E13D4" w:rsidRPr="00375996">
        <w:rPr>
          <w:rFonts w:ascii="ITC Avant Garde" w:hAnsi="ITC Avant Garde"/>
          <w:b/>
          <w:color w:val="auto"/>
        </w:rPr>
        <w:t>:</w:t>
      </w:r>
    </w:p>
    <w:p w14:paraId="5AEB0239" w14:textId="7415A0BA" w:rsidR="002E13D4" w:rsidRPr="00375996" w:rsidRDefault="00C70752" w:rsidP="002E13D4">
      <w:pPr>
        <w:spacing w:after="0" w:line="276" w:lineRule="auto"/>
        <w:ind w:left="-5" w:right="49"/>
        <w:rPr>
          <w:rFonts w:ascii="ITC Avant Garde" w:hAnsi="ITC Avant Garde"/>
          <w:color w:val="auto"/>
        </w:rPr>
      </w:pPr>
      <w:r w:rsidRPr="00375996">
        <w:rPr>
          <w:rFonts w:ascii="ITC Avant Garde" w:hAnsi="ITC Avant Garde"/>
          <w:color w:val="auto"/>
        </w:rPr>
        <w:t xml:space="preserve">Solicita </w:t>
      </w:r>
      <w:r w:rsidR="00C322D3" w:rsidRPr="00375996">
        <w:rPr>
          <w:rFonts w:ascii="ITC Avant Garde" w:hAnsi="ITC Avant Garde"/>
          <w:color w:val="auto"/>
        </w:rPr>
        <w:t xml:space="preserve">que </w:t>
      </w:r>
      <w:r w:rsidRPr="00375996">
        <w:rPr>
          <w:rFonts w:ascii="ITC Avant Garde" w:hAnsi="ITC Avant Garde"/>
          <w:color w:val="auto"/>
        </w:rPr>
        <w:t xml:space="preserve">la Oferta incluya el acceso a </w:t>
      </w:r>
      <w:r w:rsidR="00C322D3" w:rsidRPr="00375996">
        <w:rPr>
          <w:rFonts w:ascii="ITC Avant Garde" w:hAnsi="ITC Avant Garde"/>
          <w:color w:val="auto"/>
        </w:rPr>
        <w:t xml:space="preserve">tecnología 5G, </w:t>
      </w:r>
      <w:r w:rsidR="004B7F08" w:rsidRPr="00375996">
        <w:rPr>
          <w:rFonts w:ascii="ITC Avant Garde" w:hAnsi="ITC Avant Garde"/>
          <w:color w:val="auto"/>
        </w:rPr>
        <w:t>dado</w:t>
      </w:r>
      <w:r w:rsidR="00C322D3" w:rsidRPr="00375996">
        <w:rPr>
          <w:rFonts w:ascii="ITC Avant Garde" w:hAnsi="ITC Avant Garde"/>
          <w:color w:val="auto"/>
        </w:rPr>
        <w:t xml:space="preserve"> su lanzamiento inminente</w:t>
      </w:r>
      <w:r w:rsidR="004B7F08" w:rsidRPr="00375996">
        <w:rPr>
          <w:rFonts w:ascii="ITC Avant Garde" w:hAnsi="ITC Avant Garde"/>
          <w:color w:val="auto"/>
        </w:rPr>
        <w:t xml:space="preserve"> y considerando que</w:t>
      </w:r>
      <w:r w:rsidR="00C322D3" w:rsidRPr="00375996">
        <w:rPr>
          <w:rFonts w:ascii="ITC Avant Garde" w:hAnsi="ITC Avant Garde"/>
          <w:color w:val="auto"/>
        </w:rPr>
        <w:t xml:space="preserve"> el AEP ya cu</w:t>
      </w:r>
      <w:r w:rsidR="004B7F08" w:rsidRPr="00375996">
        <w:rPr>
          <w:rFonts w:ascii="ITC Avant Garde" w:hAnsi="ITC Avant Garde"/>
          <w:color w:val="auto"/>
        </w:rPr>
        <w:t>enta con las bandas de espectro para tal tecnología</w:t>
      </w:r>
      <w:r w:rsidR="00E2651E" w:rsidRPr="00375996">
        <w:rPr>
          <w:rFonts w:ascii="ITC Avant Garde" w:hAnsi="ITC Avant Garde"/>
          <w:color w:val="auto"/>
        </w:rPr>
        <w:t xml:space="preserve">, señalando se pretende </w:t>
      </w:r>
      <w:r w:rsidR="00E2651E" w:rsidRPr="00375996">
        <w:rPr>
          <w:rFonts w:ascii="ITC Avant Garde" w:hAnsi="ITC Avant Garde"/>
        </w:rPr>
        <w:t xml:space="preserve">evitar el problema recurrente e incumplimiento por parte del AEP del principio de </w:t>
      </w:r>
      <w:proofErr w:type="spellStart"/>
      <w:r w:rsidR="00E2651E" w:rsidRPr="00375996">
        <w:rPr>
          <w:rFonts w:ascii="ITC Avant Garde" w:hAnsi="ITC Avant Garde"/>
        </w:rPr>
        <w:t>replicabilidad</w:t>
      </w:r>
      <w:proofErr w:type="spellEnd"/>
      <w:r w:rsidR="00E2651E" w:rsidRPr="00375996">
        <w:rPr>
          <w:rFonts w:ascii="ITC Avant Garde" w:hAnsi="ITC Avant Garde"/>
        </w:rPr>
        <w:t xml:space="preserve"> técnica y acceso a los concesionarios solicitantes a las mismas tecnologías que el AEP utilizan en sus servicios y ofertas a sus clientes.</w:t>
      </w:r>
    </w:p>
    <w:p w14:paraId="04C137F3" w14:textId="77777777" w:rsidR="002E13D4" w:rsidRPr="00375996" w:rsidRDefault="002E13D4" w:rsidP="002E13D4">
      <w:pPr>
        <w:spacing w:after="0" w:line="276" w:lineRule="auto"/>
        <w:ind w:left="-5" w:right="49"/>
        <w:rPr>
          <w:rFonts w:ascii="ITC Avant Garde" w:hAnsi="ITC Avant Garde"/>
          <w:color w:val="auto"/>
        </w:rPr>
      </w:pPr>
    </w:p>
    <w:p w14:paraId="038C26B2" w14:textId="77777777" w:rsidR="002E13D4" w:rsidRPr="00375996" w:rsidRDefault="002E13D4" w:rsidP="002E13D4">
      <w:pPr>
        <w:spacing w:after="0" w:line="276" w:lineRule="auto"/>
        <w:ind w:left="0" w:right="0" w:firstLine="0"/>
        <w:rPr>
          <w:rFonts w:ascii="ITC Avant Garde" w:hAnsi="ITC Avant Garde"/>
          <w:b/>
          <w:color w:val="auto"/>
        </w:rPr>
      </w:pPr>
      <w:r w:rsidRPr="00375996">
        <w:rPr>
          <w:rFonts w:ascii="ITC Avant Garde" w:hAnsi="ITC Avant Garde"/>
          <w:b/>
          <w:color w:val="auto"/>
        </w:rPr>
        <w:t xml:space="preserve">Consideraciones del Instituto </w:t>
      </w:r>
    </w:p>
    <w:p w14:paraId="15A1122F" w14:textId="15C3B934" w:rsidR="00D377A0" w:rsidRPr="00375996" w:rsidRDefault="00677593" w:rsidP="00D377A0">
      <w:pPr>
        <w:spacing w:after="0" w:line="276" w:lineRule="auto"/>
        <w:ind w:left="-5" w:right="49"/>
        <w:rPr>
          <w:rFonts w:ascii="ITC Avant Garde" w:hAnsi="ITC Avant Garde"/>
          <w:color w:val="auto"/>
        </w:rPr>
      </w:pPr>
      <w:r w:rsidRPr="00375996">
        <w:rPr>
          <w:rFonts w:ascii="ITC Avant Garde" w:hAnsi="ITC Avant Garde"/>
          <w:bCs/>
        </w:rPr>
        <w:lastRenderedPageBreak/>
        <w:t xml:space="preserve">Se señala que la Medida Decimotercera de las Medidas Móviles establece que el AEP deberá ofrecer los servicios de telecomunicaciones mediante el uso de todas las tecnologías disponibles en su red, </w:t>
      </w:r>
      <w:r w:rsidR="007024FC">
        <w:rPr>
          <w:rFonts w:ascii="ITC Avant Garde" w:hAnsi="ITC Avant Garde"/>
          <w:bCs/>
        </w:rPr>
        <w:t xml:space="preserve">sin embargo, al momento el </w:t>
      </w:r>
      <w:r w:rsidR="00C322D3" w:rsidRPr="00375996">
        <w:rPr>
          <w:rFonts w:ascii="ITC Avant Garde" w:hAnsi="ITC Avant Garde"/>
          <w:color w:val="auto"/>
        </w:rPr>
        <w:t xml:space="preserve">AEP no </w:t>
      </w:r>
      <w:r w:rsidRPr="00375996">
        <w:rPr>
          <w:rFonts w:ascii="ITC Avant Garde" w:hAnsi="ITC Avant Garde"/>
          <w:color w:val="auto"/>
        </w:rPr>
        <w:t xml:space="preserve">provee servicios mediante redes 5G, por lo que </w:t>
      </w:r>
      <w:r w:rsidR="00C322D3" w:rsidRPr="00375996">
        <w:rPr>
          <w:rFonts w:ascii="ITC Avant Garde" w:hAnsi="ITC Avant Garde"/>
          <w:color w:val="auto"/>
        </w:rPr>
        <w:t xml:space="preserve">no </w:t>
      </w:r>
      <w:r w:rsidRPr="00375996">
        <w:rPr>
          <w:rFonts w:ascii="ITC Avant Garde" w:hAnsi="ITC Avant Garde"/>
          <w:color w:val="auto"/>
        </w:rPr>
        <w:t>se considera tal tecnología</w:t>
      </w:r>
      <w:r w:rsidR="00D377A0" w:rsidRPr="00375996">
        <w:rPr>
          <w:rFonts w:ascii="ITC Avant Garde" w:hAnsi="ITC Avant Garde"/>
          <w:color w:val="auto"/>
        </w:rPr>
        <w:t xml:space="preserve"> como</w:t>
      </w:r>
      <w:r w:rsidRPr="00375996">
        <w:rPr>
          <w:rFonts w:ascii="ITC Avant Garde" w:hAnsi="ITC Avant Garde"/>
          <w:color w:val="auto"/>
        </w:rPr>
        <w:t xml:space="preserve"> una </w:t>
      </w:r>
      <w:r w:rsidR="00D377A0" w:rsidRPr="00375996">
        <w:rPr>
          <w:rFonts w:ascii="ITC Avant Garde" w:hAnsi="ITC Avant Garde"/>
          <w:color w:val="auto"/>
        </w:rPr>
        <w:t xml:space="preserve">con las cuales </w:t>
      </w:r>
      <w:r w:rsidRPr="00375996">
        <w:rPr>
          <w:rFonts w:ascii="ITC Avant Garde" w:hAnsi="ITC Avant Garde"/>
          <w:color w:val="auto"/>
        </w:rPr>
        <w:t>pueden ser provistos los servicios objeto de la Oferta.</w:t>
      </w:r>
    </w:p>
    <w:p w14:paraId="4EB36C49" w14:textId="7A08BF49" w:rsidR="00D377A0" w:rsidRPr="00375996" w:rsidRDefault="00D377A0" w:rsidP="00D377A0">
      <w:pPr>
        <w:spacing w:after="0" w:line="276" w:lineRule="auto"/>
        <w:ind w:left="-5" w:right="49"/>
        <w:rPr>
          <w:rFonts w:ascii="ITC Avant Garde" w:hAnsi="ITC Avant Garde"/>
          <w:color w:val="auto"/>
        </w:rPr>
      </w:pPr>
    </w:p>
    <w:p w14:paraId="6286A973" w14:textId="7CF5340D" w:rsidR="00D377A0" w:rsidRPr="00375996" w:rsidRDefault="007024FC" w:rsidP="00D377A0">
      <w:pPr>
        <w:spacing w:after="0" w:line="276" w:lineRule="auto"/>
        <w:ind w:right="0"/>
        <w:rPr>
          <w:rFonts w:ascii="ITC Avant Garde" w:hAnsi="ITC Avant Garde"/>
          <w:color w:val="auto"/>
        </w:rPr>
      </w:pPr>
      <w:r>
        <w:rPr>
          <w:rFonts w:ascii="ITC Avant Garde" w:hAnsi="ITC Avant Garde"/>
          <w:color w:val="auto"/>
        </w:rPr>
        <w:t xml:space="preserve">Respecto a la </w:t>
      </w:r>
      <w:proofErr w:type="spellStart"/>
      <w:r>
        <w:rPr>
          <w:rFonts w:ascii="ITC Avant Garde" w:hAnsi="ITC Avant Garde"/>
          <w:color w:val="auto"/>
        </w:rPr>
        <w:t>replicabilidad</w:t>
      </w:r>
      <w:proofErr w:type="spellEnd"/>
      <w:r>
        <w:rPr>
          <w:rFonts w:ascii="ITC Avant Garde" w:hAnsi="ITC Avant Garde"/>
          <w:color w:val="auto"/>
        </w:rPr>
        <w:t xml:space="preserve"> técnica </w:t>
      </w:r>
      <w:r w:rsidR="00D377A0" w:rsidRPr="00375996">
        <w:rPr>
          <w:rFonts w:ascii="ITC Avant Garde" w:hAnsi="ITC Avant Garde"/>
          <w:color w:val="auto"/>
        </w:rPr>
        <w:t xml:space="preserve">excede el alcance de la consulta pública. </w:t>
      </w:r>
    </w:p>
    <w:p w14:paraId="3C9F4796" w14:textId="77777777" w:rsidR="00D377A0" w:rsidRPr="00375996" w:rsidRDefault="00D377A0" w:rsidP="00D377A0">
      <w:pPr>
        <w:spacing w:after="0" w:line="276" w:lineRule="auto"/>
        <w:ind w:left="-5" w:right="49"/>
        <w:rPr>
          <w:rFonts w:ascii="ITC Avant Garde" w:hAnsi="ITC Avant Garde"/>
          <w:color w:val="auto"/>
        </w:rPr>
      </w:pPr>
    </w:p>
    <w:p w14:paraId="7563A024" w14:textId="27F3FC27" w:rsidR="00810EE1" w:rsidRPr="00375996" w:rsidRDefault="00810EE1" w:rsidP="00C322D3">
      <w:pPr>
        <w:spacing w:line="276" w:lineRule="auto"/>
        <w:ind w:left="0" w:right="615" w:firstLine="0"/>
        <w:rPr>
          <w:rFonts w:ascii="ITC Avant Garde" w:hAnsi="ITC Avant Garde"/>
          <w:b/>
          <w:color w:val="auto"/>
        </w:rPr>
      </w:pPr>
      <w:proofErr w:type="spellStart"/>
      <w:r w:rsidRPr="00375996">
        <w:rPr>
          <w:rFonts w:ascii="ITC Avant Garde" w:hAnsi="ITC Avant Garde"/>
          <w:b/>
          <w:color w:val="auto"/>
        </w:rPr>
        <w:t>Subanexo</w:t>
      </w:r>
      <w:proofErr w:type="spellEnd"/>
      <w:r w:rsidRPr="00375996">
        <w:rPr>
          <w:rFonts w:ascii="ITC Avant Garde" w:hAnsi="ITC Avant Garde"/>
          <w:b/>
          <w:color w:val="auto"/>
        </w:rPr>
        <w:t xml:space="preserve"> C Alta y Baja de Coberturas</w:t>
      </w:r>
    </w:p>
    <w:p w14:paraId="052A60B2" w14:textId="479EA339" w:rsidR="00577FD6" w:rsidRPr="00375996" w:rsidRDefault="00810EE1" w:rsidP="00577FD6">
      <w:pPr>
        <w:spacing w:after="0" w:line="276" w:lineRule="auto"/>
        <w:ind w:right="0"/>
        <w:rPr>
          <w:rFonts w:ascii="ITC Avant Garde" w:hAnsi="ITC Avant Garde"/>
          <w:b/>
          <w:color w:val="auto"/>
        </w:rPr>
      </w:pPr>
      <w:r w:rsidRPr="00375996">
        <w:rPr>
          <w:rFonts w:ascii="ITC Avant Garde" w:hAnsi="ITC Avant Garde"/>
          <w:b/>
          <w:color w:val="auto"/>
        </w:rPr>
        <w:t>2.- Mapas de Cobertura por Área de Servicio</w:t>
      </w:r>
    </w:p>
    <w:p w14:paraId="7662919A" w14:textId="77777777" w:rsidR="00840F3A" w:rsidRDefault="00840F3A" w:rsidP="00577FD6">
      <w:pPr>
        <w:spacing w:after="0" w:line="276" w:lineRule="auto"/>
        <w:ind w:left="0" w:right="0" w:firstLine="0"/>
        <w:rPr>
          <w:rFonts w:ascii="ITC Avant Garde" w:hAnsi="ITC Avant Garde"/>
          <w:b/>
          <w:color w:val="auto"/>
        </w:rPr>
      </w:pPr>
    </w:p>
    <w:p w14:paraId="06C2E29D" w14:textId="223F6DC3" w:rsidR="00577FD6" w:rsidRPr="00375996" w:rsidRDefault="00810EE1" w:rsidP="00577FD6">
      <w:pPr>
        <w:spacing w:after="0" w:line="276" w:lineRule="auto"/>
        <w:ind w:left="0" w:right="0" w:firstLine="0"/>
        <w:rPr>
          <w:rFonts w:ascii="ITC Avant Garde" w:hAnsi="ITC Avant Garde"/>
          <w:b/>
          <w:color w:val="auto"/>
        </w:rPr>
      </w:pPr>
      <w:r w:rsidRPr="00375996">
        <w:rPr>
          <w:rFonts w:ascii="ITC Avant Garde" w:hAnsi="ITC Avant Garde"/>
          <w:b/>
          <w:color w:val="auto"/>
        </w:rPr>
        <w:t>Telefónica</w:t>
      </w:r>
      <w:r w:rsidR="00577FD6" w:rsidRPr="00375996">
        <w:rPr>
          <w:rFonts w:ascii="ITC Avant Garde" w:hAnsi="ITC Avant Garde"/>
          <w:b/>
          <w:color w:val="auto"/>
        </w:rPr>
        <w:t>:</w:t>
      </w:r>
    </w:p>
    <w:p w14:paraId="14E0987F" w14:textId="640507FF" w:rsidR="00395AB5" w:rsidRPr="00375996" w:rsidRDefault="006645C0" w:rsidP="00CA0ACF">
      <w:pPr>
        <w:spacing w:after="0" w:line="276" w:lineRule="auto"/>
        <w:ind w:right="0"/>
        <w:rPr>
          <w:rFonts w:ascii="ITC Avant Garde" w:hAnsi="ITC Avant Garde"/>
          <w:color w:val="auto"/>
        </w:rPr>
      </w:pPr>
      <w:r w:rsidRPr="00375996">
        <w:rPr>
          <w:rFonts w:ascii="ITC Avant Garde" w:hAnsi="ITC Avant Garde"/>
          <w:color w:val="auto"/>
        </w:rPr>
        <w:t>Solicita que la Oferta de Referencia permita</w:t>
      </w:r>
      <w:r w:rsidR="00810EE1" w:rsidRPr="00375996">
        <w:rPr>
          <w:rFonts w:ascii="ITC Avant Garde" w:hAnsi="ITC Avant Garde"/>
          <w:color w:val="auto"/>
        </w:rPr>
        <w:t xml:space="preserve"> </w:t>
      </w:r>
      <w:r w:rsidR="005C637C" w:rsidRPr="00375996">
        <w:rPr>
          <w:rFonts w:ascii="ITC Avant Garde" w:hAnsi="ITC Avant Garde"/>
          <w:color w:val="auto"/>
        </w:rPr>
        <w:t>la adaptación</w:t>
      </w:r>
      <w:r w:rsidR="00810EE1" w:rsidRPr="00375996">
        <w:rPr>
          <w:rFonts w:ascii="ITC Avant Garde" w:hAnsi="ITC Avant Garde"/>
          <w:color w:val="auto"/>
        </w:rPr>
        <w:t xml:space="preserve"> </w:t>
      </w:r>
      <w:r w:rsidR="005C637C" w:rsidRPr="00375996">
        <w:rPr>
          <w:rFonts w:ascii="ITC Avant Garde" w:hAnsi="ITC Avant Garde"/>
          <w:color w:val="auto"/>
        </w:rPr>
        <w:t>d</w:t>
      </w:r>
      <w:r w:rsidR="00810EE1" w:rsidRPr="00375996">
        <w:rPr>
          <w:rFonts w:ascii="ITC Avant Garde" w:hAnsi="ITC Avant Garde"/>
          <w:color w:val="auto"/>
        </w:rPr>
        <w:t>el tamaño de las zonas de cobertura</w:t>
      </w:r>
      <w:r w:rsidRPr="00375996">
        <w:rPr>
          <w:rFonts w:ascii="ITC Avant Garde" w:hAnsi="ITC Avant Garde"/>
          <w:color w:val="auto"/>
        </w:rPr>
        <w:t xml:space="preserve"> de acuerdo</w:t>
      </w:r>
      <w:r w:rsidR="00810EE1" w:rsidRPr="00375996">
        <w:rPr>
          <w:rFonts w:ascii="ITC Avant Garde" w:hAnsi="ITC Avant Garde"/>
          <w:color w:val="auto"/>
        </w:rPr>
        <w:t xml:space="preserve"> a las necesidades de los </w:t>
      </w:r>
      <w:r w:rsidRPr="00375996">
        <w:rPr>
          <w:rFonts w:ascii="ITC Avant Garde" w:hAnsi="ITC Avant Garde"/>
          <w:color w:val="auto"/>
        </w:rPr>
        <w:t xml:space="preserve">concesionarios solicitantes (tamaño de </w:t>
      </w:r>
      <w:r w:rsidR="00840F3A" w:rsidRPr="00375996">
        <w:rPr>
          <w:rFonts w:ascii="ITC Avant Garde" w:hAnsi="ITC Avant Garde"/>
          <w:color w:val="auto"/>
        </w:rPr>
        <w:t>(</w:t>
      </w:r>
      <w:r w:rsidR="00840F3A" w:rsidRPr="00375996">
        <w:rPr>
          <w:rFonts w:ascii="ITC Avant Garde" w:hAnsi="ITC Avant Garde"/>
          <w:i/>
          <w:color w:val="auto"/>
        </w:rPr>
        <w:t>“</w:t>
      </w:r>
      <w:proofErr w:type="spellStart"/>
      <w:r w:rsidR="00840F3A" w:rsidRPr="00375996">
        <w:rPr>
          <w:rFonts w:ascii="ITC Avant Garde" w:hAnsi="ITC Avant Garde"/>
          <w:i/>
          <w:color w:val="auto"/>
        </w:rPr>
        <w:t>Location</w:t>
      </w:r>
      <w:proofErr w:type="spellEnd"/>
      <w:r w:rsidR="00840F3A" w:rsidRPr="00375996">
        <w:rPr>
          <w:rFonts w:ascii="ITC Avant Garde" w:hAnsi="ITC Avant Garde"/>
          <w:i/>
          <w:color w:val="auto"/>
        </w:rPr>
        <w:t xml:space="preserve"> </w:t>
      </w:r>
      <w:proofErr w:type="spellStart"/>
      <w:r w:rsidR="00840F3A" w:rsidRPr="00375996">
        <w:rPr>
          <w:rFonts w:ascii="ITC Avant Garde" w:hAnsi="ITC Avant Garde"/>
          <w:i/>
          <w:color w:val="auto"/>
        </w:rPr>
        <w:t>Area</w:t>
      </w:r>
      <w:proofErr w:type="spellEnd"/>
      <w:r w:rsidR="00840F3A" w:rsidRPr="00375996">
        <w:rPr>
          <w:rFonts w:ascii="ITC Avant Garde" w:hAnsi="ITC Avant Garde"/>
          <w:i/>
          <w:color w:val="auto"/>
        </w:rPr>
        <w:t xml:space="preserve"> </w:t>
      </w:r>
      <w:proofErr w:type="spellStart"/>
      <w:r w:rsidR="00840F3A" w:rsidRPr="00375996">
        <w:rPr>
          <w:rFonts w:ascii="ITC Avant Garde" w:hAnsi="ITC Avant Garde"/>
          <w:i/>
          <w:color w:val="auto"/>
        </w:rPr>
        <w:t>Code</w:t>
      </w:r>
      <w:proofErr w:type="spellEnd"/>
      <w:r w:rsidR="00840F3A" w:rsidRPr="00375996">
        <w:rPr>
          <w:rFonts w:ascii="ITC Avant Garde" w:hAnsi="ITC Avant Garde"/>
          <w:i/>
          <w:color w:val="auto"/>
        </w:rPr>
        <w:t>”</w:t>
      </w:r>
      <w:r w:rsidR="00840F3A" w:rsidRPr="00375996">
        <w:rPr>
          <w:rFonts w:ascii="ITC Avant Garde" w:hAnsi="ITC Avant Garde"/>
          <w:color w:val="auto"/>
        </w:rPr>
        <w:t>), RAC (</w:t>
      </w:r>
      <w:r w:rsidR="00840F3A" w:rsidRPr="00375996">
        <w:rPr>
          <w:rFonts w:ascii="ITC Avant Garde" w:hAnsi="ITC Avant Garde"/>
          <w:i/>
          <w:color w:val="auto"/>
        </w:rPr>
        <w:t>“</w:t>
      </w:r>
      <w:proofErr w:type="spellStart"/>
      <w:r w:rsidR="00840F3A" w:rsidRPr="00375996">
        <w:rPr>
          <w:rFonts w:ascii="ITC Avant Garde" w:hAnsi="ITC Avant Garde"/>
          <w:i/>
          <w:color w:val="auto"/>
        </w:rPr>
        <w:t>Routing</w:t>
      </w:r>
      <w:proofErr w:type="spellEnd"/>
      <w:r w:rsidR="00840F3A" w:rsidRPr="00375996">
        <w:rPr>
          <w:rFonts w:ascii="ITC Avant Garde" w:hAnsi="ITC Avant Garde"/>
          <w:i/>
          <w:color w:val="auto"/>
        </w:rPr>
        <w:t xml:space="preserve"> </w:t>
      </w:r>
      <w:proofErr w:type="spellStart"/>
      <w:r w:rsidR="00840F3A" w:rsidRPr="00375996">
        <w:rPr>
          <w:rFonts w:ascii="ITC Avant Garde" w:hAnsi="ITC Avant Garde"/>
          <w:i/>
          <w:color w:val="auto"/>
        </w:rPr>
        <w:t>Area</w:t>
      </w:r>
      <w:proofErr w:type="spellEnd"/>
      <w:r w:rsidR="00840F3A" w:rsidRPr="00375996">
        <w:rPr>
          <w:rFonts w:ascii="ITC Avant Garde" w:hAnsi="ITC Avant Garde"/>
          <w:i/>
          <w:color w:val="auto"/>
        </w:rPr>
        <w:t xml:space="preserve"> </w:t>
      </w:r>
      <w:proofErr w:type="spellStart"/>
      <w:r w:rsidR="00840F3A" w:rsidRPr="00375996">
        <w:rPr>
          <w:rFonts w:ascii="ITC Avant Garde" w:hAnsi="ITC Avant Garde"/>
          <w:i/>
          <w:color w:val="auto"/>
        </w:rPr>
        <w:t>Code</w:t>
      </w:r>
      <w:proofErr w:type="spellEnd"/>
      <w:r w:rsidR="00840F3A" w:rsidRPr="00375996">
        <w:rPr>
          <w:rFonts w:ascii="ITC Avant Garde" w:hAnsi="ITC Avant Garde"/>
          <w:i/>
          <w:color w:val="auto"/>
        </w:rPr>
        <w:t>”</w:t>
      </w:r>
      <w:r w:rsidR="00840F3A" w:rsidRPr="00375996">
        <w:rPr>
          <w:rFonts w:ascii="ITC Avant Garde" w:hAnsi="ITC Avant Garde"/>
          <w:color w:val="auto"/>
        </w:rPr>
        <w:t>) y/o TAC (</w:t>
      </w:r>
      <w:r w:rsidR="00840F3A" w:rsidRPr="00375996">
        <w:rPr>
          <w:rFonts w:ascii="ITC Avant Garde" w:hAnsi="ITC Avant Garde"/>
          <w:i/>
          <w:color w:val="auto"/>
        </w:rPr>
        <w:t xml:space="preserve">“Tracking </w:t>
      </w:r>
      <w:proofErr w:type="spellStart"/>
      <w:r w:rsidR="00840F3A" w:rsidRPr="00375996">
        <w:rPr>
          <w:rFonts w:ascii="ITC Avant Garde" w:hAnsi="ITC Avant Garde"/>
          <w:i/>
          <w:color w:val="auto"/>
        </w:rPr>
        <w:t>Area</w:t>
      </w:r>
      <w:proofErr w:type="spellEnd"/>
      <w:r w:rsidR="00840F3A" w:rsidRPr="00375996">
        <w:rPr>
          <w:rFonts w:ascii="ITC Avant Garde" w:hAnsi="ITC Avant Garde"/>
          <w:i/>
          <w:color w:val="auto"/>
        </w:rPr>
        <w:t xml:space="preserve"> </w:t>
      </w:r>
      <w:proofErr w:type="spellStart"/>
      <w:r w:rsidR="00840F3A" w:rsidRPr="00375996">
        <w:rPr>
          <w:rFonts w:ascii="ITC Avant Garde" w:hAnsi="ITC Avant Garde"/>
          <w:i/>
          <w:color w:val="auto"/>
        </w:rPr>
        <w:t>Code</w:t>
      </w:r>
      <w:proofErr w:type="spellEnd"/>
      <w:r w:rsidR="00840F3A" w:rsidRPr="00375996">
        <w:rPr>
          <w:rFonts w:ascii="ITC Avant Garde" w:hAnsi="ITC Avant Garde"/>
          <w:i/>
          <w:color w:val="auto"/>
        </w:rPr>
        <w:t>)</w:t>
      </w:r>
      <w:r w:rsidRPr="00375996">
        <w:rPr>
          <w:rFonts w:ascii="ITC Avant Garde" w:hAnsi="ITC Avant Garde"/>
          <w:color w:val="auto"/>
        </w:rPr>
        <w:t xml:space="preserve">), de </w:t>
      </w:r>
      <w:r w:rsidR="00810EE1" w:rsidRPr="00375996">
        <w:rPr>
          <w:rFonts w:ascii="ITC Avant Garde" w:hAnsi="ITC Avant Garde"/>
          <w:color w:val="auto"/>
        </w:rPr>
        <w:t>ser posible</w:t>
      </w:r>
      <w:r w:rsidRPr="00375996">
        <w:rPr>
          <w:rFonts w:ascii="ITC Avant Garde" w:hAnsi="ITC Avant Garde"/>
          <w:color w:val="auto"/>
        </w:rPr>
        <w:t>,</w:t>
      </w:r>
      <w:r w:rsidR="00810EE1" w:rsidRPr="00375996">
        <w:rPr>
          <w:rFonts w:ascii="ITC Avant Garde" w:hAnsi="ITC Avant Garde"/>
          <w:color w:val="auto"/>
        </w:rPr>
        <w:t xml:space="preserve"> </w:t>
      </w:r>
      <w:r w:rsidRPr="00375996">
        <w:rPr>
          <w:rFonts w:ascii="ITC Avant Garde" w:hAnsi="ITC Avant Garde"/>
          <w:color w:val="auto"/>
        </w:rPr>
        <w:t xml:space="preserve">permitiendo </w:t>
      </w:r>
      <w:r w:rsidR="00810EE1" w:rsidRPr="00375996">
        <w:rPr>
          <w:rFonts w:ascii="ITC Avant Garde" w:hAnsi="ITC Avant Garde"/>
          <w:color w:val="auto"/>
        </w:rPr>
        <w:t xml:space="preserve">el nivel de cobertura de un emplazamiento individual. </w:t>
      </w:r>
    </w:p>
    <w:p w14:paraId="06F6B02D" w14:textId="30A87C2B" w:rsidR="006645C0" w:rsidRPr="00375996" w:rsidRDefault="006645C0" w:rsidP="00CA0ACF">
      <w:pPr>
        <w:spacing w:after="0" w:line="276" w:lineRule="auto"/>
        <w:ind w:right="0"/>
        <w:rPr>
          <w:rFonts w:ascii="ITC Avant Garde" w:hAnsi="ITC Avant Garde"/>
          <w:color w:val="auto"/>
        </w:rPr>
      </w:pPr>
    </w:p>
    <w:p w14:paraId="7546FB1E" w14:textId="18783258" w:rsidR="00395AB5" w:rsidRPr="00375996" w:rsidRDefault="006645C0" w:rsidP="00CA0ACF">
      <w:pPr>
        <w:spacing w:after="0" w:line="276" w:lineRule="auto"/>
        <w:ind w:right="0"/>
        <w:rPr>
          <w:rFonts w:ascii="ITC Avant Garde" w:hAnsi="ITC Avant Garde"/>
        </w:rPr>
      </w:pPr>
      <w:r w:rsidRPr="00375996">
        <w:rPr>
          <w:rFonts w:ascii="ITC Avant Garde" w:hAnsi="ITC Avant Garde"/>
          <w:color w:val="auto"/>
        </w:rPr>
        <w:t xml:space="preserve">Asimismo, señala que </w:t>
      </w:r>
      <w:r w:rsidRPr="00375996">
        <w:rPr>
          <w:rFonts w:ascii="ITC Avant Garde" w:hAnsi="ITC Avant Garde"/>
        </w:rPr>
        <w:t>para minimizar el tráfico en Usuario Visitante en zonas donde pueda existir un traslape parcial de cobertura, el AEP debe implementar los mecanismos estandarizados para el traspaso automático de la comunicación (</w:t>
      </w:r>
      <w:proofErr w:type="spellStart"/>
      <w:r w:rsidRPr="00375996">
        <w:rPr>
          <w:rFonts w:ascii="ITC Avant Garde" w:hAnsi="ITC Avant Garde"/>
        </w:rPr>
        <w:t>seamless</w:t>
      </w:r>
      <w:proofErr w:type="spellEnd"/>
      <w:r w:rsidRPr="00375996">
        <w:rPr>
          <w:rFonts w:ascii="ITC Avant Garde" w:hAnsi="ITC Avant Garde"/>
        </w:rPr>
        <w:t xml:space="preserve"> </w:t>
      </w:r>
      <w:proofErr w:type="spellStart"/>
      <w:r w:rsidRPr="00375996">
        <w:rPr>
          <w:rFonts w:ascii="ITC Avant Garde" w:hAnsi="ITC Avant Garde"/>
        </w:rPr>
        <w:t>handover</w:t>
      </w:r>
      <w:proofErr w:type="spellEnd"/>
      <w:r w:rsidRPr="00375996">
        <w:rPr>
          <w:rFonts w:ascii="ITC Avant Garde" w:hAnsi="ITC Avant Garde"/>
        </w:rPr>
        <w:t>) que garanticen que se haga el uso mínimo del servicio de Usuario Visitante cuando existe cobertura del concesionario solicitante y del AEP.</w:t>
      </w:r>
    </w:p>
    <w:p w14:paraId="56302053" w14:textId="07E6A6E9" w:rsidR="006645C0" w:rsidRPr="00375996" w:rsidRDefault="006645C0" w:rsidP="00CA0ACF">
      <w:pPr>
        <w:spacing w:after="0" w:line="276" w:lineRule="auto"/>
        <w:ind w:right="0"/>
        <w:rPr>
          <w:rFonts w:ascii="ITC Avant Garde" w:hAnsi="ITC Avant Garde"/>
        </w:rPr>
      </w:pPr>
    </w:p>
    <w:p w14:paraId="369DE9A6" w14:textId="131AF0D6" w:rsidR="006645C0" w:rsidRPr="00375996" w:rsidRDefault="006645C0" w:rsidP="006645C0">
      <w:pPr>
        <w:spacing w:after="0" w:line="276" w:lineRule="auto"/>
        <w:ind w:right="0"/>
        <w:rPr>
          <w:rFonts w:ascii="ITC Avant Garde" w:hAnsi="ITC Avant Garde"/>
        </w:rPr>
      </w:pPr>
      <w:r w:rsidRPr="00375996">
        <w:rPr>
          <w:rFonts w:ascii="ITC Avant Garde" w:hAnsi="ITC Avant Garde"/>
        </w:rPr>
        <w:t>También señala que, los ejes carreteros deben de tener una especial consideración para garantizar que el servicio de Usuario Visitante puede ser demandado de manera continua a lo largo de todo el eje carretero.</w:t>
      </w:r>
    </w:p>
    <w:p w14:paraId="0B95FDC3" w14:textId="032AFE21" w:rsidR="006645C0" w:rsidRPr="00375996" w:rsidRDefault="006645C0" w:rsidP="006645C0">
      <w:pPr>
        <w:spacing w:after="0" w:line="276" w:lineRule="auto"/>
        <w:ind w:right="0"/>
        <w:rPr>
          <w:rFonts w:ascii="ITC Avant Garde" w:hAnsi="ITC Avant Garde"/>
        </w:rPr>
      </w:pPr>
    </w:p>
    <w:p w14:paraId="2363E1E0" w14:textId="124DC33C" w:rsidR="006645C0" w:rsidRPr="00375996" w:rsidRDefault="007D7451" w:rsidP="006645C0">
      <w:pPr>
        <w:spacing w:after="0" w:line="276" w:lineRule="auto"/>
        <w:ind w:right="0"/>
        <w:rPr>
          <w:rFonts w:ascii="ITC Avant Garde" w:hAnsi="ITC Avant Garde"/>
        </w:rPr>
      </w:pPr>
      <w:r w:rsidRPr="00375996">
        <w:rPr>
          <w:rFonts w:ascii="ITC Avant Garde" w:hAnsi="ITC Avant Garde"/>
        </w:rPr>
        <w:t>Finalmente, señala que los concesionarios solicitantes debieran poder</w:t>
      </w:r>
      <w:r w:rsidR="006645C0" w:rsidRPr="00375996">
        <w:rPr>
          <w:rFonts w:ascii="ITC Avant Garde" w:hAnsi="ITC Avant Garde"/>
        </w:rPr>
        <w:t xml:space="preserve"> demandar una tecnología determinada o servicio del que no disponen de manera desglosada en una determinada zona cubierta por el servicio de Usuario Visitante a pesar de que puedan disponer de infraestructura de telecomunicaciones o cobertura de un servicio o tecnología distinta a la que demandan en esa zona.</w:t>
      </w:r>
    </w:p>
    <w:p w14:paraId="7E00849F" w14:textId="77777777" w:rsidR="006645C0" w:rsidRPr="00375996" w:rsidRDefault="006645C0" w:rsidP="00CA0ACF">
      <w:pPr>
        <w:spacing w:after="0" w:line="276" w:lineRule="auto"/>
        <w:ind w:right="0"/>
        <w:rPr>
          <w:rFonts w:ascii="ITC Avant Garde" w:hAnsi="ITC Avant Garde"/>
          <w:color w:val="auto"/>
        </w:rPr>
      </w:pPr>
    </w:p>
    <w:p w14:paraId="19234788" w14:textId="77777777" w:rsidR="00747C82" w:rsidRPr="00375996" w:rsidRDefault="00747C82" w:rsidP="00747C82">
      <w:pPr>
        <w:spacing w:after="0" w:line="276" w:lineRule="auto"/>
        <w:ind w:left="0" w:right="0" w:firstLine="0"/>
        <w:rPr>
          <w:rFonts w:ascii="ITC Avant Garde" w:hAnsi="ITC Avant Garde"/>
          <w:b/>
          <w:color w:val="auto"/>
        </w:rPr>
      </w:pPr>
      <w:r w:rsidRPr="00375996">
        <w:rPr>
          <w:rFonts w:ascii="ITC Avant Garde" w:hAnsi="ITC Avant Garde"/>
          <w:b/>
          <w:color w:val="auto"/>
        </w:rPr>
        <w:t xml:space="preserve">Consideraciones del Instituto </w:t>
      </w:r>
    </w:p>
    <w:p w14:paraId="0E7C68DE" w14:textId="7A9A232A" w:rsidR="00EA057B" w:rsidRPr="00375996" w:rsidRDefault="00DB26E9" w:rsidP="00EA057B">
      <w:pPr>
        <w:spacing w:after="0" w:line="276" w:lineRule="auto"/>
        <w:ind w:left="0" w:right="0" w:firstLine="0"/>
        <w:rPr>
          <w:rFonts w:ascii="ITC Avant Garde" w:hAnsi="ITC Avant Garde"/>
          <w:color w:val="auto"/>
        </w:rPr>
      </w:pPr>
      <w:r w:rsidRPr="00375996">
        <w:rPr>
          <w:rFonts w:ascii="ITC Avant Garde" w:hAnsi="ITC Avant Garde"/>
          <w:color w:val="auto"/>
        </w:rPr>
        <w:t>E</w:t>
      </w:r>
      <w:r w:rsidR="00EA057B" w:rsidRPr="00375996">
        <w:rPr>
          <w:rFonts w:ascii="ITC Avant Garde" w:hAnsi="ITC Avant Garde"/>
          <w:color w:val="auto"/>
        </w:rPr>
        <w:t xml:space="preserve">l numeral 2 del </w:t>
      </w:r>
      <w:proofErr w:type="spellStart"/>
      <w:r w:rsidR="00EA057B" w:rsidRPr="00375996">
        <w:rPr>
          <w:rFonts w:ascii="ITC Avant Garde" w:hAnsi="ITC Avant Garde"/>
          <w:color w:val="auto"/>
        </w:rPr>
        <w:t>Subanexo</w:t>
      </w:r>
      <w:proofErr w:type="spellEnd"/>
      <w:r w:rsidR="00EA057B" w:rsidRPr="00375996">
        <w:rPr>
          <w:rFonts w:ascii="ITC Avant Garde" w:hAnsi="ITC Avant Garde"/>
          <w:color w:val="auto"/>
        </w:rPr>
        <w:t xml:space="preserve"> C establece </w:t>
      </w:r>
      <w:r w:rsidRPr="00375996">
        <w:rPr>
          <w:rFonts w:ascii="ITC Avant Garde" w:hAnsi="ITC Avant Garde"/>
          <w:color w:val="auto"/>
        </w:rPr>
        <w:t xml:space="preserve">el mínimo de cobertura mediante el cual será provisto el servicio de usuario visitante son las áreas definidas mediante LAC, </w:t>
      </w:r>
      <w:r w:rsidR="00840F3A">
        <w:rPr>
          <w:rFonts w:ascii="ITC Avant Garde" w:hAnsi="ITC Avant Garde"/>
          <w:color w:val="auto"/>
        </w:rPr>
        <w:t>RAC o RAC</w:t>
      </w:r>
      <w:r w:rsidR="00407EEA" w:rsidRPr="00375996">
        <w:rPr>
          <w:rFonts w:ascii="ITC Avant Garde" w:hAnsi="ITC Avant Garde"/>
          <w:i/>
          <w:color w:val="auto"/>
        </w:rPr>
        <w:t>.</w:t>
      </w:r>
      <w:r w:rsidR="00407EEA" w:rsidRPr="00375996">
        <w:rPr>
          <w:rFonts w:ascii="ITC Avant Garde" w:hAnsi="ITC Avant Garde"/>
          <w:color w:val="auto"/>
        </w:rPr>
        <w:t xml:space="preserve"> </w:t>
      </w:r>
      <w:r w:rsidR="00840F3A">
        <w:rPr>
          <w:rFonts w:ascii="ITC Avant Garde" w:hAnsi="ITC Avant Garde"/>
          <w:color w:val="auto"/>
        </w:rPr>
        <w:t>Además, d</w:t>
      </w:r>
      <w:r w:rsidRPr="00375996">
        <w:rPr>
          <w:rFonts w:ascii="ITC Avant Garde" w:hAnsi="ITC Avant Garde"/>
          <w:color w:val="auto"/>
        </w:rPr>
        <w:t>efinir</w:t>
      </w:r>
      <w:r w:rsidR="00840F3A">
        <w:rPr>
          <w:rFonts w:ascii="ITC Avant Garde" w:hAnsi="ITC Avant Garde"/>
          <w:color w:val="auto"/>
        </w:rPr>
        <w:t xml:space="preserve"> la prestación del servicio a través de</w:t>
      </w:r>
      <w:r w:rsidRPr="00375996">
        <w:rPr>
          <w:rFonts w:ascii="ITC Avant Garde" w:hAnsi="ITC Avant Garde"/>
          <w:color w:val="auto"/>
        </w:rPr>
        <w:t xml:space="preserve"> niveles de cobertura al nivel de un emplazamiento individual resultaría técnicamente ineficiente pudiendo generar señalización excesiva </w:t>
      </w:r>
      <w:r w:rsidR="00591792" w:rsidRPr="00375996">
        <w:rPr>
          <w:rFonts w:ascii="ITC Avant Garde" w:hAnsi="ITC Avant Garde"/>
          <w:color w:val="auto"/>
        </w:rPr>
        <w:t xml:space="preserve">y </w:t>
      </w:r>
      <w:r w:rsidRPr="00375996">
        <w:rPr>
          <w:rFonts w:ascii="ITC Avant Garde" w:hAnsi="ITC Avant Garde"/>
          <w:color w:val="auto"/>
        </w:rPr>
        <w:t xml:space="preserve">disminuyendo con ello la calidad del servicio para los usuarios de los concesionarios solicitantes y de Telcel. Asimismo, </w:t>
      </w:r>
      <w:r w:rsidR="00840F3A">
        <w:rPr>
          <w:rFonts w:ascii="ITC Avant Garde" w:hAnsi="ITC Avant Garde"/>
          <w:color w:val="auto"/>
        </w:rPr>
        <w:t xml:space="preserve">la oferta </w:t>
      </w:r>
      <w:r w:rsidRPr="00375996">
        <w:rPr>
          <w:rFonts w:ascii="ITC Avant Garde" w:hAnsi="ITC Avant Garde"/>
          <w:color w:val="auto"/>
        </w:rPr>
        <w:t xml:space="preserve">establece </w:t>
      </w:r>
      <w:r w:rsidR="00591792" w:rsidRPr="00375996">
        <w:rPr>
          <w:rFonts w:ascii="ITC Avant Garde" w:hAnsi="ITC Avant Garde"/>
          <w:color w:val="auto"/>
        </w:rPr>
        <w:t xml:space="preserve">el </w:t>
      </w:r>
      <w:r w:rsidR="00591792" w:rsidRPr="00375996">
        <w:rPr>
          <w:rFonts w:ascii="ITC Avant Garde" w:hAnsi="ITC Avant Garde"/>
          <w:color w:val="auto"/>
        </w:rPr>
        <w:lastRenderedPageBreak/>
        <w:t xml:space="preserve">mecanismo mediante el cual podrán ser modificas las áreas de servicio en caso de que las solicitadas por un concesionario impliquen modificación </w:t>
      </w:r>
      <w:r w:rsidR="004D051D" w:rsidRPr="00375996">
        <w:rPr>
          <w:rFonts w:ascii="ITC Avant Garde" w:hAnsi="ITC Avant Garde"/>
          <w:color w:val="auto"/>
        </w:rPr>
        <w:t>respecto a</w:t>
      </w:r>
      <w:r w:rsidR="00840F3A">
        <w:rPr>
          <w:rFonts w:ascii="ITC Avant Garde" w:hAnsi="ITC Avant Garde"/>
          <w:color w:val="auto"/>
        </w:rPr>
        <w:t xml:space="preserve"> las definidas por Telcel.</w:t>
      </w:r>
    </w:p>
    <w:p w14:paraId="55CFB3E9" w14:textId="3D79599A" w:rsidR="00EA057B" w:rsidRPr="00375996" w:rsidRDefault="00EA057B" w:rsidP="00EA057B">
      <w:pPr>
        <w:spacing w:after="0" w:line="276" w:lineRule="auto"/>
        <w:ind w:left="0" w:right="0" w:firstLine="0"/>
        <w:rPr>
          <w:rFonts w:ascii="ITC Avant Garde" w:hAnsi="ITC Avant Garde"/>
          <w:color w:val="auto"/>
        </w:rPr>
      </w:pPr>
    </w:p>
    <w:p w14:paraId="19E6A33F" w14:textId="27F878EA" w:rsidR="00D94DAF" w:rsidRPr="00375996" w:rsidRDefault="00D94DAF" w:rsidP="00D94DAF">
      <w:pPr>
        <w:spacing w:after="0" w:line="276" w:lineRule="auto"/>
        <w:ind w:left="-5" w:right="49"/>
        <w:rPr>
          <w:rFonts w:ascii="ITC Avant Garde" w:hAnsi="ITC Avant Garde"/>
          <w:color w:val="auto"/>
        </w:rPr>
      </w:pPr>
      <w:r w:rsidRPr="00375996">
        <w:rPr>
          <w:rFonts w:ascii="ITC Avant Garde" w:hAnsi="ITC Avant Garde"/>
          <w:color w:val="auto"/>
        </w:rPr>
        <w:t>Asimismo, la Oferta no establece ninguna restricción para solicitar los servicios, incluso en aquellas zonas donde exista traslape de cobertura,</w:t>
      </w:r>
      <w:r w:rsidR="008D6D3A" w:rsidRPr="00375996">
        <w:rPr>
          <w:rFonts w:ascii="ITC Avant Garde" w:hAnsi="ITC Avant Garde"/>
          <w:color w:val="auto"/>
        </w:rPr>
        <w:t xml:space="preserve"> considerando el uso de herramientas para el </w:t>
      </w:r>
      <w:proofErr w:type="spellStart"/>
      <w:r w:rsidR="008D6D3A" w:rsidRPr="00375996">
        <w:rPr>
          <w:rFonts w:ascii="ITC Avant Garde" w:hAnsi="ITC Avant Garde"/>
          <w:color w:val="auto"/>
        </w:rPr>
        <w:t>redireccionamiento</w:t>
      </w:r>
      <w:proofErr w:type="spellEnd"/>
      <w:r w:rsidR="008D6D3A" w:rsidRPr="00375996">
        <w:rPr>
          <w:rFonts w:ascii="ITC Avant Garde" w:hAnsi="ITC Avant Garde"/>
          <w:color w:val="auto"/>
        </w:rPr>
        <w:t xml:space="preserve"> de</w:t>
      </w:r>
      <w:r w:rsidRPr="00375996">
        <w:rPr>
          <w:rFonts w:ascii="ITC Avant Garde" w:hAnsi="ITC Avant Garde"/>
          <w:color w:val="auto"/>
        </w:rPr>
        <w:t xml:space="preserve"> </w:t>
      </w:r>
      <w:r w:rsidR="008D6D3A" w:rsidRPr="00375996">
        <w:rPr>
          <w:rFonts w:ascii="ITC Avant Garde" w:hAnsi="ITC Avant Garde"/>
          <w:color w:val="auto"/>
        </w:rPr>
        <w:t xml:space="preserve">tráfico entre la red de Telcel y la red del concesionario solicitante, </w:t>
      </w:r>
      <w:r w:rsidRPr="00375996">
        <w:rPr>
          <w:rFonts w:ascii="ITC Avant Garde" w:hAnsi="ITC Avant Garde"/>
          <w:color w:val="auto"/>
        </w:rPr>
        <w:t>tal como establ</w:t>
      </w:r>
      <w:r w:rsidR="00840F3A">
        <w:rPr>
          <w:rFonts w:ascii="ITC Avant Garde" w:hAnsi="ITC Avant Garde"/>
          <w:color w:val="auto"/>
        </w:rPr>
        <w:t>ece el numeral 6.1 del Anexo II.</w:t>
      </w:r>
    </w:p>
    <w:p w14:paraId="33549808" w14:textId="7812176A" w:rsidR="00D94DAF" w:rsidRPr="00375996" w:rsidRDefault="00D94DAF" w:rsidP="00B64A2E">
      <w:pPr>
        <w:spacing w:after="0" w:line="276" w:lineRule="auto"/>
        <w:ind w:left="0" w:right="0" w:firstLine="0"/>
        <w:rPr>
          <w:rFonts w:ascii="ITC Avant Garde" w:hAnsi="ITC Avant Garde"/>
          <w:b/>
          <w:color w:val="auto"/>
          <w:u w:val="single"/>
        </w:rPr>
      </w:pPr>
    </w:p>
    <w:p w14:paraId="1EA98A73" w14:textId="60925FB6" w:rsidR="00D94DAF" w:rsidRPr="00375996" w:rsidRDefault="00D94DAF" w:rsidP="00840F3A">
      <w:pPr>
        <w:spacing w:after="0" w:line="276" w:lineRule="auto"/>
        <w:ind w:left="-5" w:right="49"/>
        <w:rPr>
          <w:rFonts w:ascii="ITC Avant Garde" w:eastAsia="Calibri" w:hAnsi="ITC Avant Garde" w:cs="Arial"/>
          <w:sz w:val="18"/>
          <w:szCs w:val="18"/>
          <w:lang w:eastAsia="en-US"/>
        </w:rPr>
      </w:pPr>
      <w:r w:rsidRPr="00375996">
        <w:rPr>
          <w:rFonts w:ascii="ITC Avant Garde" w:hAnsi="ITC Avant Garde"/>
          <w:color w:val="auto"/>
        </w:rPr>
        <w:t xml:space="preserve">Por otra parte, el numeral 3 del </w:t>
      </w:r>
      <w:proofErr w:type="spellStart"/>
      <w:r w:rsidRPr="00375996">
        <w:rPr>
          <w:rFonts w:ascii="ITC Avant Garde" w:hAnsi="ITC Avant Garde"/>
          <w:color w:val="auto"/>
        </w:rPr>
        <w:t>Subanexo</w:t>
      </w:r>
      <w:proofErr w:type="spellEnd"/>
      <w:r w:rsidRPr="00375996">
        <w:rPr>
          <w:rFonts w:ascii="ITC Avant Garde" w:hAnsi="ITC Avant Garde"/>
          <w:color w:val="auto"/>
        </w:rPr>
        <w:t xml:space="preserve"> C establece la obligación de definir las LAC</w:t>
      </w:r>
      <w:r w:rsidR="00407EEA" w:rsidRPr="00375996">
        <w:rPr>
          <w:rFonts w:ascii="ITC Avant Garde" w:hAnsi="ITC Avant Garde"/>
          <w:color w:val="auto"/>
        </w:rPr>
        <w:t>, RAC y TAC,</w:t>
      </w:r>
      <w:r w:rsidR="008D6D3A" w:rsidRPr="00375996">
        <w:rPr>
          <w:rFonts w:ascii="ITC Avant Garde" w:hAnsi="ITC Avant Garde"/>
          <w:color w:val="auto"/>
        </w:rPr>
        <w:t xml:space="preserve"> establec</w:t>
      </w:r>
      <w:r w:rsidR="00407EEA" w:rsidRPr="00375996">
        <w:rPr>
          <w:rFonts w:ascii="ITC Avant Garde" w:hAnsi="ITC Avant Garde"/>
          <w:color w:val="auto"/>
        </w:rPr>
        <w:t>iendo</w:t>
      </w:r>
      <w:r w:rsidR="008D6D3A" w:rsidRPr="00375996">
        <w:rPr>
          <w:rFonts w:ascii="ITC Avant Garde" w:hAnsi="ITC Avant Garde"/>
          <w:color w:val="auto"/>
        </w:rPr>
        <w:t xml:space="preserve"> consideraciones específicas para asegurar</w:t>
      </w:r>
      <w:r w:rsidRPr="00375996">
        <w:rPr>
          <w:rFonts w:ascii="ITC Avant Garde" w:hAnsi="ITC Avant Garde"/>
          <w:color w:val="auto"/>
        </w:rPr>
        <w:t xml:space="preserve"> la cobertura</w:t>
      </w:r>
      <w:r w:rsidR="008D6D3A" w:rsidRPr="00375996">
        <w:rPr>
          <w:rFonts w:ascii="ITC Avant Garde" w:hAnsi="ITC Avant Garde"/>
          <w:color w:val="auto"/>
        </w:rPr>
        <w:t xml:space="preserve"> del servicio</w:t>
      </w:r>
      <w:r w:rsidRPr="00375996">
        <w:rPr>
          <w:rFonts w:ascii="ITC Avant Garde" w:hAnsi="ITC Avant Garde"/>
          <w:color w:val="auto"/>
        </w:rPr>
        <w:t xml:space="preserve"> en tramos carreteros</w:t>
      </w:r>
      <w:r w:rsidR="00840F3A">
        <w:rPr>
          <w:rFonts w:ascii="ITC Avant Garde" w:hAnsi="ITC Avant Garde"/>
          <w:color w:val="auto"/>
        </w:rPr>
        <w:t>.</w:t>
      </w:r>
    </w:p>
    <w:p w14:paraId="255F966B" w14:textId="77777777" w:rsidR="00D94DAF" w:rsidRPr="00375996" w:rsidRDefault="00D94DAF" w:rsidP="009D1ED7">
      <w:pPr>
        <w:spacing w:after="0" w:line="276" w:lineRule="auto"/>
        <w:ind w:left="-5" w:right="49"/>
        <w:rPr>
          <w:rFonts w:ascii="ITC Avant Garde" w:hAnsi="ITC Avant Garde"/>
          <w:color w:val="auto"/>
        </w:rPr>
      </w:pPr>
    </w:p>
    <w:p w14:paraId="7FA70D4F" w14:textId="555863FA" w:rsidR="009D1ED7" w:rsidRPr="00375996" w:rsidRDefault="00591792" w:rsidP="009D1ED7">
      <w:pPr>
        <w:spacing w:after="0" w:line="276" w:lineRule="auto"/>
        <w:ind w:left="-5" w:right="49"/>
        <w:rPr>
          <w:rFonts w:ascii="ITC Avant Garde" w:hAnsi="ITC Avant Garde"/>
          <w:color w:val="auto"/>
        </w:rPr>
      </w:pPr>
      <w:r w:rsidRPr="00375996">
        <w:rPr>
          <w:rFonts w:ascii="ITC Avant Garde" w:hAnsi="ITC Avant Garde"/>
          <w:color w:val="auto"/>
        </w:rPr>
        <w:t>Asimismo, d</w:t>
      </w:r>
      <w:r w:rsidR="009D1ED7" w:rsidRPr="00375996">
        <w:rPr>
          <w:rFonts w:ascii="ITC Avant Garde" w:hAnsi="ITC Avant Garde"/>
          <w:color w:val="auto"/>
        </w:rPr>
        <w:t>e conformidad a la Medida Vigésimo Tercera de las Medidas Móviles, el servicio de usuario visitante se prestará de manera temporal y exclusivamente en las zonas en las que el concesionario no cuente con infraestructura o no preste el servicio móvil. Sin embargo, la oferta permite que el concesionario pueda utilizar la red de telecomunicaciones de Telcel como soporte en aquellas áreas donde ya brinde el servicio, tal como establ</w:t>
      </w:r>
      <w:r w:rsidR="00840F3A">
        <w:rPr>
          <w:rFonts w:ascii="ITC Avant Garde" w:hAnsi="ITC Avant Garde"/>
          <w:color w:val="auto"/>
        </w:rPr>
        <w:t xml:space="preserve">ece el numeral 1 del </w:t>
      </w:r>
      <w:proofErr w:type="spellStart"/>
      <w:r w:rsidR="00840F3A">
        <w:rPr>
          <w:rFonts w:ascii="ITC Avant Garde" w:hAnsi="ITC Avant Garde"/>
          <w:color w:val="auto"/>
        </w:rPr>
        <w:t>Subanexo</w:t>
      </w:r>
      <w:proofErr w:type="spellEnd"/>
      <w:r w:rsidR="00840F3A">
        <w:rPr>
          <w:rFonts w:ascii="ITC Avant Garde" w:hAnsi="ITC Avant Garde"/>
          <w:color w:val="auto"/>
        </w:rPr>
        <w:t xml:space="preserve"> C.</w:t>
      </w:r>
    </w:p>
    <w:p w14:paraId="3F3E0633" w14:textId="0FE057C1" w:rsidR="003C5837" w:rsidRPr="00375996" w:rsidRDefault="003C5837" w:rsidP="00810EE1">
      <w:pPr>
        <w:spacing w:after="0" w:line="276" w:lineRule="auto"/>
        <w:ind w:left="0" w:right="0" w:firstLine="0"/>
        <w:rPr>
          <w:rFonts w:ascii="ITC Avant Garde" w:hAnsi="ITC Avant Garde"/>
          <w:b/>
          <w:color w:val="auto"/>
        </w:rPr>
      </w:pPr>
    </w:p>
    <w:p w14:paraId="4980A420" w14:textId="5FEDDCC7" w:rsidR="003C5837" w:rsidRPr="00375996" w:rsidRDefault="003C5837" w:rsidP="003C5837">
      <w:pPr>
        <w:spacing w:after="0" w:line="276" w:lineRule="auto"/>
        <w:ind w:left="0" w:right="0" w:firstLine="0"/>
        <w:rPr>
          <w:rFonts w:ascii="ITC Avant Garde" w:hAnsi="ITC Avant Garde"/>
          <w:b/>
          <w:color w:val="auto"/>
        </w:rPr>
      </w:pPr>
      <w:r w:rsidRPr="00375996">
        <w:rPr>
          <w:rFonts w:ascii="ITC Avant Garde" w:hAnsi="ITC Avant Garde"/>
          <w:b/>
          <w:color w:val="auto"/>
        </w:rPr>
        <w:t>AT&amp;T:</w:t>
      </w:r>
    </w:p>
    <w:p w14:paraId="1DBBF1A3" w14:textId="73E2AD89" w:rsidR="00810EE1" w:rsidRPr="00375996" w:rsidRDefault="00F37C53" w:rsidP="00441380">
      <w:pPr>
        <w:spacing w:after="200" w:line="276" w:lineRule="auto"/>
        <w:ind w:left="11" w:right="0" w:hanging="11"/>
        <w:rPr>
          <w:rFonts w:ascii="ITC Avant Garde" w:hAnsi="ITC Avant Garde"/>
          <w:color w:val="auto"/>
        </w:rPr>
      </w:pPr>
      <w:r w:rsidRPr="00375996">
        <w:rPr>
          <w:rFonts w:ascii="ITC Avant Garde" w:hAnsi="ITC Avant Garde"/>
          <w:color w:val="auto"/>
        </w:rPr>
        <w:t>Para el caso de no ser técnicamente factible la modificación a la estructura de una determinada Área de Servicio requerida por un concesionario, s</w:t>
      </w:r>
      <w:r w:rsidR="00810EE1" w:rsidRPr="00375996">
        <w:rPr>
          <w:rFonts w:ascii="ITC Avant Garde" w:hAnsi="ITC Avant Garde"/>
          <w:color w:val="auto"/>
        </w:rPr>
        <w:t xml:space="preserve">ugiere </w:t>
      </w:r>
      <w:r w:rsidR="00EC438C">
        <w:rPr>
          <w:rFonts w:ascii="ITC Avant Garde" w:hAnsi="ITC Avant Garde"/>
          <w:color w:val="auto"/>
        </w:rPr>
        <w:t>modificar</w:t>
      </w:r>
      <w:r w:rsidR="00810EE1" w:rsidRPr="00375996">
        <w:rPr>
          <w:rFonts w:ascii="ITC Avant Garde" w:hAnsi="ITC Avant Garde"/>
          <w:color w:val="auto"/>
        </w:rPr>
        <w:t xml:space="preserve"> </w:t>
      </w:r>
      <w:r w:rsidR="00EC438C">
        <w:rPr>
          <w:rFonts w:ascii="ITC Avant Garde" w:hAnsi="ITC Avant Garde"/>
          <w:color w:val="auto"/>
        </w:rPr>
        <w:t>l</w:t>
      </w:r>
      <w:r w:rsidR="00180DBB" w:rsidRPr="00375996">
        <w:rPr>
          <w:rFonts w:ascii="ITC Avant Garde" w:hAnsi="ITC Avant Garde"/>
          <w:color w:val="auto"/>
        </w:rPr>
        <w:t>a</w:t>
      </w:r>
      <w:r w:rsidR="00EC438C">
        <w:rPr>
          <w:rFonts w:ascii="ITC Avant Garde" w:hAnsi="ITC Avant Garde"/>
          <w:color w:val="auto"/>
        </w:rPr>
        <w:t xml:space="preserve"> oferta</w:t>
      </w:r>
      <w:r w:rsidR="00180DBB" w:rsidRPr="00375996">
        <w:rPr>
          <w:rFonts w:ascii="ITC Avant Garde" w:hAnsi="ITC Avant Garde"/>
          <w:color w:val="auto"/>
        </w:rPr>
        <w:t xml:space="preserve"> efecto de</w:t>
      </w:r>
      <w:r w:rsidR="00810EE1" w:rsidRPr="00375996">
        <w:rPr>
          <w:rFonts w:ascii="ITC Avant Garde" w:hAnsi="ITC Avant Garde"/>
          <w:color w:val="auto"/>
        </w:rPr>
        <w:t xml:space="preserve"> </w:t>
      </w:r>
      <w:r w:rsidRPr="00375996">
        <w:rPr>
          <w:rFonts w:ascii="ITC Avant Garde" w:hAnsi="ITC Avant Garde"/>
          <w:color w:val="auto"/>
        </w:rPr>
        <w:t>establecer</w:t>
      </w:r>
      <w:r w:rsidR="00810EE1" w:rsidRPr="00375996">
        <w:rPr>
          <w:rFonts w:ascii="ITC Avant Garde" w:hAnsi="ITC Avant Garde"/>
          <w:color w:val="auto"/>
        </w:rPr>
        <w:t xml:space="preserve"> </w:t>
      </w:r>
      <w:r w:rsidRPr="00375996">
        <w:rPr>
          <w:rFonts w:ascii="ITC Avant Garde" w:hAnsi="ITC Avant Garde"/>
          <w:color w:val="auto"/>
        </w:rPr>
        <w:t>la obligación</w:t>
      </w:r>
      <w:r w:rsidR="00810EE1" w:rsidRPr="00375996">
        <w:rPr>
          <w:rFonts w:ascii="ITC Avant Garde" w:hAnsi="ITC Avant Garde"/>
          <w:color w:val="auto"/>
        </w:rPr>
        <w:t xml:space="preserve"> el AEP de presentar un reporte con </w:t>
      </w:r>
      <w:r w:rsidR="00180DBB" w:rsidRPr="00375996">
        <w:rPr>
          <w:rFonts w:ascii="ITC Avant Garde" w:hAnsi="ITC Avant Garde"/>
          <w:color w:val="auto"/>
        </w:rPr>
        <w:t xml:space="preserve">la </w:t>
      </w:r>
      <w:r w:rsidRPr="00375996">
        <w:rPr>
          <w:rFonts w:ascii="ITC Avant Garde" w:hAnsi="ITC Avant Garde"/>
          <w:color w:val="auto"/>
        </w:rPr>
        <w:t xml:space="preserve">debida </w:t>
      </w:r>
      <w:r w:rsidR="00D4423D" w:rsidRPr="00375996">
        <w:rPr>
          <w:rFonts w:ascii="ITC Avant Garde" w:hAnsi="ITC Avant Garde"/>
          <w:color w:val="auto"/>
        </w:rPr>
        <w:t>justificación</w:t>
      </w:r>
      <w:r w:rsidR="00810EE1" w:rsidRPr="00375996">
        <w:rPr>
          <w:rFonts w:ascii="ITC Avant Garde" w:hAnsi="ITC Avant Garde"/>
          <w:color w:val="auto"/>
        </w:rPr>
        <w:t xml:space="preserve"> </w:t>
      </w:r>
      <w:r w:rsidR="00D4423D" w:rsidRPr="00375996">
        <w:rPr>
          <w:rFonts w:ascii="ITC Avant Garde" w:hAnsi="ITC Avant Garde"/>
          <w:color w:val="auto"/>
        </w:rPr>
        <w:t>técnica</w:t>
      </w:r>
      <w:r w:rsidR="00810EE1" w:rsidRPr="00375996">
        <w:rPr>
          <w:rFonts w:ascii="ITC Avant Garde" w:hAnsi="ITC Avant Garde"/>
          <w:color w:val="auto"/>
        </w:rPr>
        <w:t xml:space="preserve"> y su consecuencia </w:t>
      </w:r>
      <w:r w:rsidRPr="00375996">
        <w:rPr>
          <w:rFonts w:ascii="ITC Avant Garde" w:hAnsi="ITC Avant Garde"/>
          <w:color w:val="auto"/>
        </w:rPr>
        <w:t xml:space="preserve">en caso de incumplimiento </w:t>
      </w:r>
      <w:r w:rsidR="00EC438C">
        <w:rPr>
          <w:rFonts w:ascii="ITC Avant Garde" w:hAnsi="ITC Avant Garde"/>
          <w:color w:val="auto"/>
        </w:rPr>
        <w:t xml:space="preserve"> de tal forma que el reporte deberá proporcionarse al momento de notificar a través del SEG la imposibilidad técnica y en caso contrario se considerará incumplimiento a las medidas asimétricas y solicita que en caso de que el AEP determine que no es factible la </w:t>
      </w:r>
      <w:r w:rsidR="00EC438C" w:rsidRPr="00EC438C">
        <w:rPr>
          <w:rFonts w:ascii="ITC Avant Garde" w:hAnsi="ITC Avant Garde"/>
          <w:color w:val="auto"/>
        </w:rPr>
        <w:t>baja parcial del servicio o la división de la zona de cobertura, el AEP no podrá cobrar el servicio Mayorista de Usuario Visitante a los Concesionarios Solicitantes en los sitios donde se solicitó la baja parcial del servicio o la división de dicha zona</w:t>
      </w:r>
      <w:r w:rsidR="00EC438C">
        <w:rPr>
          <w:rFonts w:ascii="ITC Avant Garde" w:hAnsi="ITC Avant Garde"/>
          <w:color w:val="auto"/>
        </w:rPr>
        <w:t xml:space="preserve"> de cobertura.</w:t>
      </w:r>
    </w:p>
    <w:p w14:paraId="60F6FBE3" w14:textId="77777777" w:rsidR="00BB4049" w:rsidRPr="00375996" w:rsidRDefault="00BB4049" w:rsidP="00BB4049">
      <w:pPr>
        <w:spacing w:after="0" w:line="276" w:lineRule="auto"/>
        <w:ind w:left="0" w:right="0" w:firstLine="0"/>
        <w:rPr>
          <w:rFonts w:ascii="ITC Avant Garde" w:hAnsi="ITC Avant Garde"/>
          <w:b/>
          <w:color w:val="auto"/>
        </w:rPr>
      </w:pPr>
      <w:r w:rsidRPr="00375996">
        <w:rPr>
          <w:rFonts w:ascii="ITC Avant Garde" w:hAnsi="ITC Avant Garde"/>
          <w:b/>
          <w:color w:val="auto"/>
        </w:rPr>
        <w:t xml:space="preserve">Consideraciones del Instituto </w:t>
      </w:r>
    </w:p>
    <w:p w14:paraId="63609884" w14:textId="7D25A85A" w:rsidR="006B6555" w:rsidRPr="00375996" w:rsidRDefault="00D64070" w:rsidP="00D64070">
      <w:pPr>
        <w:pStyle w:val="IFT1"/>
        <w:tabs>
          <w:tab w:val="left" w:pos="426"/>
        </w:tabs>
        <w:spacing w:after="0"/>
        <w:rPr>
          <w:bCs/>
        </w:rPr>
      </w:pPr>
      <w:r w:rsidRPr="00375996">
        <w:rPr>
          <w:bCs/>
        </w:rPr>
        <w:t>A fin de evitar negativas injustificadas a los requerimientos de los concesionarios y otorgar certeza a estos respecto a la evaluación de las solicitudes de modificación que realizan, s</w:t>
      </w:r>
      <w:r w:rsidR="00810EE1" w:rsidRPr="00375996">
        <w:rPr>
          <w:bCs/>
        </w:rPr>
        <w:t>e precisa el momento en el cual el AEP deberá</w:t>
      </w:r>
      <w:r w:rsidR="00EC438C">
        <w:rPr>
          <w:bCs/>
        </w:rPr>
        <w:t xml:space="preserve"> proporcionar al concesionario s</w:t>
      </w:r>
      <w:r w:rsidR="00810EE1" w:rsidRPr="00375996">
        <w:rPr>
          <w:bCs/>
        </w:rPr>
        <w:t>olicitante el reporte con la justificación que le impide realizar la modificación</w:t>
      </w:r>
      <w:r w:rsidRPr="00375996">
        <w:rPr>
          <w:bCs/>
        </w:rPr>
        <w:t xml:space="preserve"> solicitada</w:t>
      </w:r>
      <w:r w:rsidR="00810EE1" w:rsidRPr="00375996">
        <w:rPr>
          <w:bCs/>
        </w:rPr>
        <w:t xml:space="preserve"> a un Área de Servicio</w:t>
      </w:r>
      <w:r w:rsidR="006B6555" w:rsidRPr="00375996">
        <w:rPr>
          <w:bCs/>
        </w:rPr>
        <w:t>, en los siguientes términos:</w:t>
      </w:r>
    </w:p>
    <w:p w14:paraId="4913D5D7" w14:textId="77777777" w:rsidR="00D64070" w:rsidRPr="00375996" w:rsidRDefault="00D64070" w:rsidP="00D64070">
      <w:pPr>
        <w:spacing w:after="0"/>
        <w:rPr>
          <w:rFonts w:ascii="ITC Avant Garde" w:hAnsi="ITC Avant Garde"/>
        </w:rPr>
      </w:pPr>
    </w:p>
    <w:p w14:paraId="30EC1453" w14:textId="77777777" w:rsidR="006B6555" w:rsidRPr="00375996" w:rsidRDefault="006B6555" w:rsidP="00B64A2E">
      <w:pPr>
        <w:pStyle w:val="Default"/>
        <w:spacing w:after="200"/>
        <w:ind w:left="567" w:right="612"/>
        <w:jc w:val="both"/>
        <w:rPr>
          <w:rFonts w:ascii="ITC Avant Garde" w:eastAsia="Calibri" w:hAnsi="ITC Avant Garde"/>
          <w:b/>
          <w:i/>
          <w:color w:val="auto"/>
          <w:sz w:val="18"/>
          <w:szCs w:val="18"/>
        </w:rPr>
      </w:pPr>
      <w:r w:rsidRPr="00375996">
        <w:rPr>
          <w:rFonts w:ascii="ITC Avant Garde" w:eastAsia="Calibri" w:hAnsi="ITC Avant Garde"/>
          <w:b/>
          <w:i/>
          <w:color w:val="auto"/>
          <w:sz w:val="18"/>
          <w:szCs w:val="18"/>
        </w:rPr>
        <w:t>“2. Mapas de Cobertura por Área de Servicio.</w:t>
      </w:r>
    </w:p>
    <w:p w14:paraId="5BD02DF1" w14:textId="1E0C8E38" w:rsidR="006B6555" w:rsidRPr="00375996" w:rsidRDefault="006B6555" w:rsidP="00B64A2E">
      <w:pPr>
        <w:pStyle w:val="Default"/>
        <w:spacing w:after="200"/>
        <w:ind w:left="567" w:right="612"/>
        <w:jc w:val="both"/>
        <w:rPr>
          <w:rFonts w:ascii="ITC Avant Garde" w:eastAsia="Calibri" w:hAnsi="ITC Avant Garde"/>
          <w:i/>
          <w:color w:val="auto"/>
          <w:sz w:val="18"/>
          <w:szCs w:val="18"/>
        </w:rPr>
      </w:pPr>
      <w:r w:rsidRPr="00375996">
        <w:rPr>
          <w:rFonts w:ascii="ITC Avant Garde" w:eastAsia="Calibri" w:hAnsi="ITC Avant Garde"/>
          <w:i/>
          <w:color w:val="auto"/>
          <w:sz w:val="18"/>
          <w:szCs w:val="18"/>
        </w:rPr>
        <w:lastRenderedPageBreak/>
        <w:t xml:space="preserve">En los términos antes señalados, Telcel proporcionará la información por Área de Servicio (LAC, RAC y TAC según sea el caso), en el supuesto de que el Concesionario requiera el servicio en un Área de Servicio específica que implique modificaciones a la estructura actual de las Áreas de Servicio en la Red de Telcel y se determine que es técnicamente factible, el Servicio se proporcionará con el previo acuerdo entre las Partes, y se sujetará al plazo de implementación descrito en el Anexo IX Procedimiento de Solicitud de Servicios, numeral 3 y los costos que al efecto se determinen, serán cubiertos por el Concesionario. En caso de no ser técnicamente factible modificar la estructura actual del Área de Servicio de Telcel como lo solicitó el Concesionario, Telcel proporcionará al Concesionario a través del SEG un reporte justificando las razones por la que no es técnicamente factible hacerlo. </w:t>
      </w:r>
      <w:r w:rsidRPr="00375996">
        <w:rPr>
          <w:rFonts w:ascii="ITC Avant Garde" w:eastAsia="Calibri" w:hAnsi="ITC Avant Garde"/>
          <w:i/>
          <w:color w:val="auto"/>
          <w:sz w:val="18"/>
          <w:szCs w:val="18"/>
          <w:u w:val="single"/>
        </w:rPr>
        <w:t>Dicho reporte deberá proporcionarse al momento de notificar a través del SEG tal imposibilidad técnica.</w:t>
      </w:r>
      <w:r w:rsidRPr="00375996">
        <w:rPr>
          <w:rFonts w:ascii="ITC Avant Garde" w:eastAsia="Calibri" w:hAnsi="ITC Avant Garde"/>
          <w:i/>
          <w:color w:val="auto"/>
          <w:sz w:val="18"/>
          <w:szCs w:val="18"/>
        </w:rPr>
        <w:t>"</w:t>
      </w:r>
    </w:p>
    <w:p w14:paraId="2EB07AB9" w14:textId="29755B25" w:rsidR="006B6555" w:rsidRPr="00375996" w:rsidRDefault="006B6555" w:rsidP="00B64A2E">
      <w:pPr>
        <w:spacing w:after="200" w:line="240" w:lineRule="auto"/>
        <w:ind w:left="567" w:right="612" w:firstLine="0"/>
        <w:jc w:val="right"/>
        <w:rPr>
          <w:rFonts w:ascii="ITC Avant Garde" w:eastAsia="Calibri" w:hAnsi="ITC Avant Garde" w:cs="Arial"/>
          <w:color w:val="auto"/>
          <w:sz w:val="18"/>
          <w:szCs w:val="18"/>
          <w:lang w:eastAsia="en-US"/>
        </w:rPr>
      </w:pPr>
      <w:r w:rsidRPr="00375996">
        <w:rPr>
          <w:rFonts w:ascii="ITC Avant Garde" w:eastAsia="Calibri" w:hAnsi="ITC Avant Garde" w:cs="Arial"/>
          <w:color w:val="auto"/>
          <w:sz w:val="18"/>
          <w:szCs w:val="18"/>
          <w:lang w:eastAsia="en-US"/>
        </w:rPr>
        <w:t>Énfasis añadido</w:t>
      </w:r>
    </w:p>
    <w:p w14:paraId="53CB7DED" w14:textId="790D47C5" w:rsidR="00CE4949" w:rsidRPr="00375996" w:rsidRDefault="00EC438C" w:rsidP="00CE4949">
      <w:pPr>
        <w:pStyle w:val="IFT1"/>
        <w:tabs>
          <w:tab w:val="left" w:pos="426"/>
        </w:tabs>
        <w:spacing w:after="0"/>
      </w:pPr>
      <w:r>
        <w:rPr>
          <w:bCs/>
        </w:rPr>
        <w:t xml:space="preserve">Asimismo, la división y el diseño </w:t>
      </w:r>
      <w:r w:rsidR="00810EE1" w:rsidRPr="00375996">
        <w:rPr>
          <w:bCs/>
        </w:rPr>
        <w:t>de las áreas de servicio obedecen a distintos factores</w:t>
      </w:r>
      <w:r w:rsidR="00D64070" w:rsidRPr="00375996">
        <w:rPr>
          <w:bCs/>
        </w:rPr>
        <w:t xml:space="preserve"> de carácter técnico</w:t>
      </w:r>
      <w:r w:rsidR="00810EE1" w:rsidRPr="00375996">
        <w:rPr>
          <w:bCs/>
        </w:rPr>
        <w:t xml:space="preserve">, por lo que no se puede establecer el no cobro del servicio de </w:t>
      </w:r>
      <w:r w:rsidR="00D64070" w:rsidRPr="00375996">
        <w:rPr>
          <w:bCs/>
        </w:rPr>
        <w:t xml:space="preserve">usuario visitante </w:t>
      </w:r>
      <w:r w:rsidR="00810EE1" w:rsidRPr="00375996">
        <w:rPr>
          <w:bCs/>
        </w:rPr>
        <w:t xml:space="preserve">cuando exista una justificación técnica que impida la </w:t>
      </w:r>
      <w:r>
        <w:rPr>
          <w:bCs/>
        </w:rPr>
        <w:t>división</w:t>
      </w:r>
      <w:r w:rsidR="00810EE1" w:rsidRPr="00375996">
        <w:rPr>
          <w:bCs/>
        </w:rPr>
        <w:t xml:space="preserve"> del área de servicio</w:t>
      </w:r>
      <w:r w:rsidR="00CE4949" w:rsidRPr="00375996">
        <w:rPr>
          <w:bCs/>
        </w:rPr>
        <w:t xml:space="preserve">. </w:t>
      </w:r>
    </w:p>
    <w:p w14:paraId="54D2E3F2" w14:textId="5A7660BB" w:rsidR="006136F4" w:rsidRPr="00375996" w:rsidRDefault="006136F4" w:rsidP="00810EE1">
      <w:pPr>
        <w:spacing w:after="0" w:line="276" w:lineRule="auto"/>
        <w:ind w:left="0" w:right="0" w:firstLine="0"/>
        <w:rPr>
          <w:rFonts w:ascii="ITC Avant Garde" w:hAnsi="ITC Avant Garde"/>
          <w:b/>
          <w:color w:val="auto"/>
        </w:rPr>
      </w:pPr>
    </w:p>
    <w:p w14:paraId="56336FD3" w14:textId="26E8B8B3" w:rsidR="00815FFB" w:rsidRPr="00375996" w:rsidRDefault="00810EE1" w:rsidP="00815FFB">
      <w:pPr>
        <w:spacing w:after="0" w:line="276" w:lineRule="auto"/>
        <w:ind w:right="0"/>
        <w:rPr>
          <w:rFonts w:ascii="ITC Avant Garde" w:hAnsi="ITC Avant Garde" w:cs="Arial"/>
          <w:b/>
        </w:rPr>
      </w:pPr>
      <w:r w:rsidRPr="00375996">
        <w:rPr>
          <w:rFonts w:ascii="ITC Avant Garde" w:hAnsi="ITC Avant Garde" w:cs="Arial"/>
          <w:b/>
        </w:rPr>
        <w:t>Modificaciones de Cobertura</w:t>
      </w:r>
    </w:p>
    <w:p w14:paraId="6956DD96" w14:textId="625163B7" w:rsidR="006C139C" w:rsidRPr="00375996" w:rsidRDefault="006C139C" w:rsidP="00815FFB">
      <w:pPr>
        <w:spacing w:after="0" w:line="276" w:lineRule="auto"/>
        <w:ind w:right="0"/>
        <w:rPr>
          <w:rFonts w:ascii="ITC Avant Garde" w:hAnsi="ITC Avant Garde"/>
          <w:b/>
          <w:color w:val="auto"/>
        </w:rPr>
      </w:pPr>
      <w:r w:rsidRPr="00375996">
        <w:rPr>
          <w:rFonts w:ascii="ITC Avant Garde" w:hAnsi="ITC Avant Garde" w:cs="Arial"/>
          <w:b/>
        </w:rPr>
        <w:t>3. Cambios Mayores</w:t>
      </w:r>
    </w:p>
    <w:p w14:paraId="0E55DD8D" w14:textId="3CF2F072" w:rsidR="00815FFB" w:rsidRPr="00375996" w:rsidRDefault="006C139C" w:rsidP="00815FFB">
      <w:pPr>
        <w:spacing w:after="0" w:line="276" w:lineRule="auto"/>
        <w:ind w:left="0" w:right="0" w:firstLine="0"/>
        <w:rPr>
          <w:rFonts w:ascii="ITC Avant Garde" w:hAnsi="ITC Avant Garde"/>
          <w:b/>
          <w:color w:val="auto"/>
        </w:rPr>
      </w:pPr>
      <w:proofErr w:type="spellStart"/>
      <w:r w:rsidRPr="00375996">
        <w:rPr>
          <w:rFonts w:ascii="ITC Avant Garde" w:hAnsi="ITC Avant Garde"/>
          <w:b/>
          <w:color w:val="auto"/>
        </w:rPr>
        <w:t>Altán</w:t>
      </w:r>
      <w:proofErr w:type="spellEnd"/>
      <w:r w:rsidR="00815FFB" w:rsidRPr="00375996">
        <w:rPr>
          <w:rFonts w:ascii="ITC Avant Garde" w:hAnsi="ITC Avant Garde"/>
          <w:b/>
          <w:color w:val="auto"/>
        </w:rPr>
        <w:t>:</w:t>
      </w:r>
    </w:p>
    <w:p w14:paraId="14A0265F" w14:textId="60A43B9D" w:rsidR="00815FFB" w:rsidRPr="00375996" w:rsidRDefault="00726FB9" w:rsidP="006432CD">
      <w:pPr>
        <w:pStyle w:val="IFT1"/>
        <w:tabs>
          <w:tab w:val="left" w:pos="426"/>
        </w:tabs>
        <w:spacing w:after="0"/>
        <w:rPr>
          <w:bCs/>
        </w:rPr>
      </w:pPr>
      <w:r w:rsidRPr="00375996">
        <w:rPr>
          <w:bCs/>
        </w:rPr>
        <w:t>Referente a la posible ba</w:t>
      </w:r>
      <w:r w:rsidR="00F20E45">
        <w:rPr>
          <w:bCs/>
        </w:rPr>
        <w:t>ja de sitios considerada en el n</w:t>
      </w:r>
      <w:r w:rsidRPr="00375996">
        <w:rPr>
          <w:bCs/>
        </w:rPr>
        <w:t>umeral 3 Cambios Mayores, cuestiona</w:t>
      </w:r>
      <w:r w:rsidR="006C139C" w:rsidRPr="00375996">
        <w:rPr>
          <w:bCs/>
        </w:rPr>
        <w:t>, ¿</w:t>
      </w:r>
      <w:r w:rsidRPr="00375996">
        <w:rPr>
          <w:bCs/>
        </w:rPr>
        <w:t>q</w:t>
      </w:r>
      <w:r w:rsidR="006C139C" w:rsidRPr="00375996">
        <w:rPr>
          <w:bCs/>
        </w:rPr>
        <w:t>ué sucedería si da de baja un sitio en una zona determinada y no existe cobertura de ningún otro sitio</w:t>
      </w:r>
      <w:r w:rsidRPr="00375996">
        <w:rPr>
          <w:bCs/>
        </w:rPr>
        <w:t>,</w:t>
      </w:r>
      <w:r w:rsidR="006C139C" w:rsidRPr="00375996">
        <w:rPr>
          <w:bCs/>
        </w:rPr>
        <w:t xml:space="preserve"> como se garantizaría la continuidad del servicio al usuario final?</w:t>
      </w:r>
    </w:p>
    <w:p w14:paraId="4A03DC9E" w14:textId="13DD2B3E" w:rsidR="00C9202E" w:rsidRPr="00375996" w:rsidRDefault="00C9202E" w:rsidP="006432CD">
      <w:pPr>
        <w:pStyle w:val="IFT1"/>
        <w:tabs>
          <w:tab w:val="left" w:pos="426"/>
        </w:tabs>
        <w:spacing w:after="0"/>
        <w:rPr>
          <w:bCs/>
        </w:rPr>
      </w:pPr>
    </w:p>
    <w:p w14:paraId="26D0A325" w14:textId="54E82A10" w:rsidR="00C9202E" w:rsidRPr="00375996" w:rsidRDefault="00C9202E" w:rsidP="00C9202E">
      <w:pPr>
        <w:pStyle w:val="IFT1"/>
        <w:tabs>
          <w:tab w:val="left" w:pos="426"/>
        </w:tabs>
        <w:spacing w:after="0"/>
        <w:rPr>
          <w:bCs/>
        </w:rPr>
      </w:pPr>
      <w:r w:rsidRPr="00375996">
        <w:rPr>
          <w:b/>
        </w:rPr>
        <w:t>Consideraciones del Instituto</w:t>
      </w:r>
    </w:p>
    <w:p w14:paraId="1DE405AC" w14:textId="04D0B027" w:rsidR="00815FFB" w:rsidRPr="00375996" w:rsidRDefault="006C139C" w:rsidP="004012C2">
      <w:pPr>
        <w:pStyle w:val="IFT1"/>
        <w:tabs>
          <w:tab w:val="left" w:pos="426"/>
        </w:tabs>
        <w:spacing w:after="0"/>
        <w:rPr>
          <w:bCs/>
        </w:rPr>
      </w:pPr>
      <w:r w:rsidRPr="00375996">
        <w:rPr>
          <w:bCs/>
        </w:rPr>
        <w:t>Telcel se encuentra obligado a proveer el servicio de Usuario Visitante dentro de</w:t>
      </w:r>
      <w:r w:rsidR="00D64070" w:rsidRPr="00375996">
        <w:rPr>
          <w:bCs/>
        </w:rPr>
        <w:t>l</w:t>
      </w:r>
      <w:r w:rsidRPr="00375996">
        <w:rPr>
          <w:bCs/>
        </w:rPr>
        <w:t xml:space="preserve"> </w:t>
      </w:r>
      <w:r w:rsidR="00D64070" w:rsidRPr="00375996">
        <w:rPr>
          <w:bCs/>
        </w:rPr>
        <w:t xml:space="preserve">área de </w:t>
      </w:r>
      <w:r w:rsidRPr="00375996">
        <w:rPr>
          <w:bCs/>
        </w:rPr>
        <w:t xml:space="preserve">cobertura de su red de telecomunicaciones. </w:t>
      </w:r>
    </w:p>
    <w:p w14:paraId="7FBD24D3" w14:textId="77777777" w:rsidR="00345B1C" w:rsidRPr="00375996" w:rsidRDefault="00345B1C" w:rsidP="006C139C">
      <w:pPr>
        <w:spacing w:after="0" w:line="276" w:lineRule="auto"/>
        <w:ind w:left="0" w:right="0" w:firstLine="0"/>
        <w:rPr>
          <w:rFonts w:ascii="ITC Avant Garde" w:hAnsi="ITC Avant Garde"/>
          <w:b/>
          <w:color w:val="auto"/>
        </w:rPr>
      </w:pPr>
    </w:p>
    <w:p w14:paraId="2EB7913F" w14:textId="3715D01F" w:rsidR="006C139C" w:rsidRPr="00375996" w:rsidRDefault="006C139C" w:rsidP="006C139C">
      <w:pPr>
        <w:spacing w:after="0" w:line="276" w:lineRule="auto"/>
        <w:ind w:left="0" w:right="0" w:firstLine="0"/>
        <w:rPr>
          <w:rFonts w:ascii="ITC Avant Garde" w:hAnsi="ITC Avant Garde"/>
          <w:b/>
          <w:color w:val="auto"/>
        </w:rPr>
      </w:pPr>
      <w:proofErr w:type="spellStart"/>
      <w:r w:rsidRPr="00375996">
        <w:rPr>
          <w:rFonts w:ascii="ITC Avant Garde" w:hAnsi="ITC Avant Garde"/>
          <w:b/>
          <w:color w:val="auto"/>
        </w:rPr>
        <w:t>Subanexo</w:t>
      </w:r>
      <w:proofErr w:type="spellEnd"/>
      <w:r w:rsidRPr="00375996">
        <w:rPr>
          <w:rFonts w:ascii="ITC Avant Garde" w:hAnsi="ITC Avant Garde"/>
          <w:b/>
          <w:color w:val="auto"/>
        </w:rPr>
        <w:t xml:space="preserve"> E Pruebas de Certificación</w:t>
      </w:r>
    </w:p>
    <w:p w14:paraId="7BA1F8DC" w14:textId="5A6DCC25" w:rsidR="005B5EB5" w:rsidRPr="00375996" w:rsidRDefault="006C139C" w:rsidP="005B5EB5">
      <w:pPr>
        <w:spacing w:after="0" w:line="276" w:lineRule="auto"/>
        <w:ind w:right="0"/>
        <w:rPr>
          <w:rFonts w:ascii="ITC Avant Garde" w:hAnsi="ITC Avant Garde"/>
          <w:b/>
          <w:color w:val="auto"/>
        </w:rPr>
      </w:pPr>
      <w:r w:rsidRPr="00375996">
        <w:rPr>
          <w:rFonts w:ascii="ITC Avant Garde" w:hAnsi="ITC Avant Garde"/>
          <w:b/>
          <w:color w:val="auto"/>
        </w:rPr>
        <w:t>49.- Prueba de Rechazo de Servicio (</w:t>
      </w:r>
      <w:proofErr w:type="spellStart"/>
      <w:r w:rsidRPr="00375996">
        <w:rPr>
          <w:rFonts w:ascii="ITC Avant Garde" w:hAnsi="ITC Avant Garde"/>
          <w:b/>
          <w:color w:val="auto"/>
        </w:rPr>
        <w:t>Reject</w:t>
      </w:r>
      <w:proofErr w:type="spellEnd"/>
      <w:r w:rsidRPr="00375996">
        <w:rPr>
          <w:rFonts w:ascii="ITC Avant Garde" w:hAnsi="ITC Avant Garde"/>
          <w:b/>
          <w:color w:val="auto"/>
        </w:rPr>
        <w:t xml:space="preserve"> Cause </w:t>
      </w:r>
      <w:proofErr w:type="spellStart"/>
      <w:r w:rsidRPr="00375996">
        <w:rPr>
          <w:rFonts w:ascii="ITC Avant Garde" w:hAnsi="ITC Avant Garde"/>
          <w:b/>
          <w:color w:val="auto"/>
        </w:rPr>
        <w:t>Code</w:t>
      </w:r>
      <w:proofErr w:type="spellEnd"/>
      <w:r w:rsidRPr="00375996">
        <w:rPr>
          <w:rFonts w:ascii="ITC Avant Garde" w:hAnsi="ITC Avant Garde"/>
          <w:b/>
          <w:color w:val="auto"/>
        </w:rPr>
        <w:t xml:space="preserve"> #12)</w:t>
      </w:r>
    </w:p>
    <w:p w14:paraId="0FD5166C" w14:textId="545C4021" w:rsidR="005B5EB5" w:rsidRPr="00375996" w:rsidRDefault="005B5EB5" w:rsidP="005B5EB5">
      <w:pPr>
        <w:spacing w:after="0" w:line="276" w:lineRule="auto"/>
        <w:ind w:left="0" w:right="0" w:firstLine="0"/>
        <w:rPr>
          <w:rFonts w:ascii="ITC Avant Garde" w:hAnsi="ITC Avant Garde"/>
          <w:b/>
          <w:color w:val="auto"/>
        </w:rPr>
      </w:pPr>
      <w:r w:rsidRPr="00375996">
        <w:rPr>
          <w:rFonts w:ascii="ITC Avant Garde" w:hAnsi="ITC Avant Garde"/>
          <w:b/>
          <w:color w:val="auto"/>
        </w:rPr>
        <w:t>AT&amp;T:</w:t>
      </w:r>
    </w:p>
    <w:p w14:paraId="446D0343" w14:textId="48C81FD2" w:rsidR="006C139C" w:rsidRPr="00375996" w:rsidRDefault="00546B58" w:rsidP="00C9001E">
      <w:pPr>
        <w:spacing w:after="200" w:line="276" w:lineRule="auto"/>
        <w:ind w:left="11" w:right="0" w:hanging="11"/>
        <w:rPr>
          <w:rFonts w:ascii="ITC Avant Garde" w:hAnsi="ITC Avant Garde"/>
          <w:color w:val="auto"/>
        </w:rPr>
      </w:pPr>
      <w:r w:rsidRPr="00375996">
        <w:rPr>
          <w:rFonts w:ascii="ITC Avant Garde" w:hAnsi="ITC Avant Garde"/>
          <w:color w:val="auto"/>
        </w:rPr>
        <w:t xml:space="preserve">Señala que, si el código </w:t>
      </w:r>
      <w:proofErr w:type="spellStart"/>
      <w:r w:rsidR="00572A4A" w:rsidRPr="00375996">
        <w:rPr>
          <w:rFonts w:ascii="ITC Avant Garde" w:hAnsi="ITC Avant Garde"/>
          <w:color w:val="auto"/>
        </w:rPr>
        <w:t>R</w:t>
      </w:r>
      <w:r w:rsidRPr="00375996">
        <w:rPr>
          <w:rFonts w:ascii="ITC Avant Garde" w:hAnsi="ITC Avant Garde"/>
          <w:color w:val="auto"/>
        </w:rPr>
        <w:t>eject</w:t>
      </w:r>
      <w:proofErr w:type="spellEnd"/>
      <w:r w:rsidRPr="00375996">
        <w:rPr>
          <w:rFonts w:ascii="ITC Avant Garde" w:hAnsi="ITC Avant Garde"/>
          <w:color w:val="auto"/>
        </w:rPr>
        <w:t xml:space="preserve"> #12 es enviado a un suscriptor de </w:t>
      </w:r>
      <w:proofErr w:type="spellStart"/>
      <w:r w:rsidRPr="00375996">
        <w:rPr>
          <w:rFonts w:ascii="ITC Avant Garde" w:hAnsi="ITC Avant Garde"/>
          <w:color w:val="auto"/>
        </w:rPr>
        <w:t>Roaming</w:t>
      </w:r>
      <w:proofErr w:type="spellEnd"/>
      <w:r w:rsidR="00281711" w:rsidRPr="00375996">
        <w:rPr>
          <w:rFonts w:ascii="ITC Avant Garde" w:hAnsi="ITC Avant Garde"/>
          <w:color w:val="auto"/>
        </w:rPr>
        <w:t>,</w:t>
      </w:r>
      <w:r w:rsidR="00572A4A" w:rsidRPr="00375996">
        <w:rPr>
          <w:rFonts w:ascii="ITC Avant Garde" w:hAnsi="ITC Avant Garde"/>
          <w:color w:val="auto"/>
        </w:rPr>
        <w:t xml:space="preserve"> </w:t>
      </w:r>
      <w:r w:rsidR="00281711" w:rsidRPr="00375996">
        <w:rPr>
          <w:rFonts w:ascii="ITC Avant Garde" w:hAnsi="ITC Avant Garde"/>
          <w:color w:val="auto"/>
        </w:rPr>
        <w:t>ocasiona</w:t>
      </w:r>
      <w:r w:rsidR="00572A4A" w:rsidRPr="00375996">
        <w:rPr>
          <w:rFonts w:ascii="ITC Avant Garde" w:hAnsi="ITC Avant Garde"/>
          <w:color w:val="auto"/>
        </w:rPr>
        <w:t xml:space="preserve"> que </w:t>
      </w:r>
      <w:r w:rsidRPr="00375996">
        <w:rPr>
          <w:rFonts w:ascii="ITC Avant Garde" w:hAnsi="ITC Avant Garde"/>
          <w:color w:val="auto"/>
        </w:rPr>
        <w:t>se le nieg</w:t>
      </w:r>
      <w:r w:rsidR="00572A4A" w:rsidRPr="00375996">
        <w:rPr>
          <w:rFonts w:ascii="ITC Avant Garde" w:hAnsi="ITC Avant Garde"/>
          <w:color w:val="auto"/>
        </w:rPr>
        <w:t>ue</w:t>
      </w:r>
      <w:r w:rsidRPr="00375996">
        <w:rPr>
          <w:rFonts w:ascii="ITC Avant Garde" w:hAnsi="ITC Avant Garde"/>
          <w:color w:val="auto"/>
        </w:rPr>
        <w:t xml:space="preserve"> el servicio aun cuando otras áreas estén disponibles </w:t>
      </w:r>
      <w:r w:rsidR="00572A4A" w:rsidRPr="00375996">
        <w:rPr>
          <w:rFonts w:ascii="ITC Avant Garde" w:hAnsi="ITC Avant Garde"/>
          <w:color w:val="auto"/>
        </w:rPr>
        <w:t xml:space="preserve">y </w:t>
      </w:r>
      <w:r w:rsidRPr="00375996">
        <w:rPr>
          <w:rFonts w:ascii="ITC Avant Garde" w:hAnsi="ITC Avant Garde"/>
          <w:color w:val="auto"/>
        </w:rPr>
        <w:t xml:space="preserve">en las cuales el registro </w:t>
      </w:r>
      <w:r w:rsidR="00572A4A" w:rsidRPr="00375996">
        <w:rPr>
          <w:rFonts w:ascii="ITC Avant Garde" w:hAnsi="ITC Avant Garde"/>
          <w:color w:val="auto"/>
        </w:rPr>
        <w:t>puede ser</w:t>
      </w:r>
      <w:r w:rsidRPr="00375996">
        <w:rPr>
          <w:rFonts w:ascii="ITC Avant Garde" w:hAnsi="ITC Avant Garde"/>
          <w:color w:val="auto"/>
        </w:rPr>
        <w:t xml:space="preserve"> posible, lo cual no ocurre cuando </w:t>
      </w:r>
      <w:r w:rsidR="00281711" w:rsidRPr="00375996">
        <w:rPr>
          <w:rFonts w:ascii="ITC Avant Garde" w:hAnsi="ITC Avant Garde"/>
          <w:color w:val="auto"/>
        </w:rPr>
        <w:t>l</w:t>
      </w:r>
      <w:r w:rsidRPr="00375996">
        <w:rPr>
          <w:rFonts w:ascii="ITC Avant Garde" w:hAnsi="ITC Avant Garde"/>
          <w:color w:val="auto"/>
        </w:rPr>
        <w:t xml:space="preserve">a causa </w:t>
      </w:r>
      <w:proofErr w:type="spellStart"/>
      <w:r w:rsidR="00281711" w:rsidRPr="00375996">
        <w:rPr>
          <w:rFonts w:ascii="ITC Avant Garde" w:hAnsi="ITC Avant Garde"/>
          <w:color w:val="auto"/>
        </w:rPr>
        <w:t>R</w:t>
      </w:r>
      <w:r w:rsidRPr="00375996">
        <w:rPr>
          <w:rFonts w:ascii="ITC Avant Garde" w:hAnsi="ITC Avant Garde"/>
          <w:color w:val="auto"/>
        </w:rPr>
        <w:t>eject</w:t>
      </w:r>
      <w:proofErr w:type="spellEnd"/>
      <w:r w:rsidRPr="00375996">
        <w:rPr>
          <w:rFonts w:ascii="ITC Avant Garde" w:hAnsi="ITC Avant Garde"/>
          <w:color w:val="auto"/>
        </w:rPr>
        <w:t xml:space="preserve"> #13</w:t>
      </w:r>
      <w:r w:rsidR="00281711" w:rsidRPr="00375996">
        <w:rPr>
          <w:rFonts w:ascii="ITC Avant Garde" w:hAnsi="ITC Avant Garde"/>
          <w:color w:val="auto"/>
        </w:rPr>
        <w:t xml:space="preserve"> es enviada al usuario en </w:t>
      </w:r>
      <w:proofErr w:type="spellStart"/>
      <w:r w:rsidR="00281711" w:rsidRPr="00375996">
        <w:rPr>
          <w:rFonts w:ascii="ITC Avant Garde" w:hAnsi="ITC Avant Garde"/>
          <w:color w:val="auto"/>
        </w:rPr>
        <w:t>roaming</w:t>
      </w:r>
      <w:proofErr w:type="spellEnd"/>
      <w:r w:rsidRPr="00375996">
        <w:rPr>
          <w:rFonts w:ascii="ITC Avant Garde" w:hAnsi="ITC Avant Garde"/>
          <w:color w:val="auto"/>
        </w:rPr>
        <w:t>, por lo cual s</w:t>
      </w:r>
      <w:r w:rsidR="006C139C" w:rsidRPr="00375996">
        <w:rPr>
          <w:rFonts w:ascii="ITC Avant Garde" w:hAnsi="ITC Avant Garde"/>
          <w:color w:val="auto"/>
        </w:rPr>
        <w:t>ugiere agregar</w:t>
      </w:r>
      <w:r w:rsidR="002D152C">
        <w:rPr>
          <w:rFonts w:ascii="ITC Avant Garde" w:hAnsi="ITC Avant Garde"/>
          <w:color w:val="auto"/>
        </w:rPr>
        <w:t xml:space="preserve"> el texto </w:t>
      </w:r>
      <w:r w:rsidR="006C139C" w:rsidRPr="00375996">
        <w:rPr>
          <w:rFonts w:ascii="ITC Avant Garde" w:hAnsi="ITC Avant Garde"/>
          <w:color w:val="auto"/>
        </w:rPr>
        <w:t xml:space="preserve"> </w:t>
      </w:r>
      <w:r w:rsidR="002D152C">
        <w:rPr>
          <w:rFonts w:ascii="ITC Avant Garde" w:hAnsi="ITC Avant Garde"/>
          <w:color w:val="auto"/>
        </w:rPr>
        <w:t>“</w:t>
      </w:r>
      <w:r w:rsidR="002D152C" w:rsidRPr="002D152C">
        <w:rPr>
          <w:rFonts w:ascii="ITC Avant Garde" w:hAnsi="ITC Avant Garde"/>
          <w:i/>
          <w:color w:val="auto"/>
        </w:rPr>
        <w:t>En caso de que se detecte durante las pruebas o en la operación que con el reject#12 el equipo terminal del Usuario Final que no pueda volver a registrase en otro LAC, RAC o TAC de Telcel abierto o que no pueda volver a registrarse en la red del Concesionario, Telcel, a solicitud del Concesionario cambiará dicha causa de rechazo al reject#13 (que corresponde al estándar internacional para casos de servicio como el correspondiente a este contrato) en un plazo máximo de 20 (veinte) días hábiles</w:t>
      </w:r>
      <w:r w:rsidR="002D152C">
        <w:rPr>
          <w:rFonts w:ascii="ITC Avant Garde" w:hAnsi="ITC Avant Garde"/>
          <w:color w:val="auto"/>
        </w:rPr>
        <w:t>.”</w:t>
      </w:r>
    </w:p>
    <w:p w14:paraId="53D07EB3" w14:textId="77777777" w:rsidR="00912D7C" w:rsidRPr="00375996" w:rsidRDefault="00912D7C" w:rsidP="00912D7C">
      <w:pPr>
        <w:spacing w:after="0" w:line="276" w:lineRule="auto"/>
        <w:ind w:left="0" w:right="0" w:firstLine="0"/>
        <w:rPr>
          <w:rFonts w:ascii="ITC Avant Garde" w:hAnsi="ITC Avant Garde"/>
          <w:b/>
          <w:color w:val="auto"/>
        </w:rPr>
      </w:pPr>
      <w:r w:rsidRPr="00375996">
        <w:rPr>
          <w:rFonts w:ascii="ITC Avant Garde" w:hAnsi="ITC Avant Garde"/>
          <w:b/>
          <w:color w:val="auto"/>
        </w:rPr>
        <w:lastRenderedPageBreak/>
        <w:t xml:space="preserve">Consideraciones del Instituto </w:t>
      </w:r>
    </w:p>
    <w:p w14:paraId="14A784CF" w14:textId="5B8520D6" w:rsidR="00907BA5" w:rsidRPr="00375996" w:rsidRDefault="00907BA5" w:rsidP="00907BA5">
      <w:pPr>
        <w:pStyle w:val="IFT1"/>
        <w:tabs>
          <w:tab w:val="left" w:pos="426"/>
        </w:tabs>
        <w:spacing w:after="0"/>
        <w:rPr>
          <w:bCs/>
        </w:rPr>
      </w:pPr>
      <w:r w:rsidRPr="00375996">
        <w:rPr>
          <w:bCs/>
        </w:rPr>
        <w:t>Respecto al código de rechazo #12, se señala que el estándar TS.11 de la GSMA (</w:t>
      </w:r>
      <w:r w:rsidRPr="00375996">
        <w:rPr>
          <w:bCs/>
          <w:i/>
        </w:rPr>
        <w:t xml:space="preserve">“GSM </w:t>
      </w:r>
      <w:proofErr w:type="spellStart"/>
      <w:r w:rsidRPr="00375996">
        <w:rPr>
          <w:bCs/>
          <w:i/>
        </w:rPr>
        <w:t>Association</w:t>
      </w:r>
      <w:proofErr w:type="spellEnd"/>
      <w:r w:rsidRPr="00375996">
        <w:rPr>
          <w:bCs/>
          <w:i/>
        </w:rPr>
        <w:t>”</w:t>
      </w:r>
      <w:r w:rsidRPr="00375996">
        <w:rPr>
          <w:bCs/>
        </w:rPr>
        <w:t>), establece una serie de pruebas que deben realizarse a los dispositivos para asegurar el correcto comportamiento de una tecnología o característica (</w:t>
      </w:r>
      <w:r w:rsidRPr="00375996">
        <w:rPr>
          <w:bCs/>
          <w:i/>
        </w:rPr>
        <w:t>“</w:t>
      </w:r>
      <w:proofErr w:type="spellStart"/>
      <w:r w:rsidRPr="00375996">
        <w:rPr>
          <w:bCs/>
          <w:i/>
        </w:rPr>
        <w:t>feature</w:t>
      </w:r>
      <w:proofErr w:type="spellEnd"/>
      <w:r w:rsidRPr="00375996">
        <w:rPr>
          <w:bCs/>
          <w:i/>
        </w:rPr>
        <w:t>”</w:t>
      </w:r>
      <w:r w:rsidRPr="00375996">
        <w:rPr>
          <w:bCs/>
        </w:rPr>
        <w:t>), en el cual se señala que el equipo terminal deberá realizar con éxito el procedimiento de actualización de ubicación en otra área de servicio de la misma red móvil después de que éste fuera rechazado con la causa #12 (“</w:t>
      </w:r>
      <w:proofErr w:type="spellStart"/>
      <w:r w:rsidRPr="00375996">
        <w:rPr>
          <w:bCs/>
          <w:i/>
        </w:rPr>
        <w:t>Reject</w:t>
      </w:r>
      <w:proofErr w:type="spellEnd"/>
      <w:r w:rsidRPr="00375996">
        <w:rPr>
          <w:bCs/>
          <w:i/>
        </w:rPr>
        <w:t xml:space="preserve"> Cause </w:t>
      </w:r>
      <w:proofErr w:type="spellStart"/>
      <w:r w:rsidRPr="00375996">
        <w:rPr>
          <w:bCs/>
          <w:i/>
        </w:rPr>
        <w:t>Code</w:t>
      </w:r>
      <w:proofErr w:type="spellEnd"/>
      <w:r w:rsidRPr="00375996">
        <w:rPr>
          <w:bCs/>
          <w:i/>
        </w:rPr>
        <w:t xml:space="preserve"> #12</w:t>
      </w:r>
      <w:r w:rsidRPr="00375996">
        <w:rPr>
          <w:bCs/>
        </w:rPr>
        <w:t xml:space="preserve">”). </w:t>
      </w:r>
    </w:p>
    <w:p w14:paraId="799EC121" w14:textId="77777777" w:rsidR="00907BA5" w:rsidRPr="00375996" w:rsidRDefault="00907BA5" w:rsidP="00907BA5">
      <w:pPr>
        <w:pStyle w:val="IFT1"/>
        <w:tabs>
          <w:tab w:val="left" w:pos="426"/>
        </w:tabs>
        <w:spacing w:after="0"/>
        <w:rPr>
          <w:bCs/>
        </w:rPr>
      </w:pPr>
    </w:p>
    <w:p w14:paraId="5A63F736" w14:textId="60115868" w:rsidR="00907BA5" w:rsidRPr="00375996" w:rsidRDefault="00907BA5" w:rsidP="00907BA5">
      <w:pPr>
        <w:pStyle w:val="IFT1"/>
        <w:tabs>
          <w:tab w:val="left" w:pos="426"/>
        </w:tabs>
        <w:spacing w:after="0"/>
        <w:rPr>
          <w:bCs/>
        </w:rPr>
      </w:pPr>
      <w:r w:rsidRPr="00375996">
        <w:rPr>
          <w:bCs/>
        </w:rPr>
        <w:t>Asimismo, se señala que el estándar TS 24.008 de la 3GPP, señala que la causa de rechazo de servicio #12 es usada cuando un equipo terminal no tiene permitido registrarse en una determinada área de servicio debido a que, por suscripción,</w:t>
      </w:r>
      <w:r w:rsidRPr="00375996">
        <w:rPr>
          <w:b/>
          <w:bCs/>
        </w:rPr>
        <w:t xml:space="preserve"> </w:t>
      </w:r>
      <w:r w:rsidRPr="00375996">
        <w:rPr>
          <w:bCs/>
        </w:rPr>
        <w:t xml:space="preserve">no cuenta con el servicio de </w:t>
      </w:r>
      <w:proofErr w:type="spellStart"/>
      <w:r w:rsidRPr="00375996">
        <w:rPr>
          <w:bCs/>
          <w:i/>
        </w:rPr>
        <w:t>roaming</w:t>
      </w:r>
      <w:proofErr w:type="spellEnd"/>
      <w:r w:rsidRPr="00375996">
        <w:rPr>
          <w:bCs/>
          <w:i/>
        </w:rPr>
        <w:t xml:space="preserve">, </w:t>
      </w:r>
      <w:r w:rsidRPr="00375996">
        <w:rPr>
          <w:bCs/>
        </w:rPr>
        <w:t xml:space="preserve">mientras que el “Rechazo de servicio #13” es usado cuando un equipo terminal cuenta con el servicio de </w:t>
      </w:r>
      <w:proofErr w:type="spellStart"/>
      <w:r w:rsidRPr="00375996">
        <w:rPr>
          <w:bCs/>
          <w:i/>
        </w:rPr>
        <w:t>roaming</w:t>
      </w:r>
      <w:proofErr w:type="spellEnd"/>
      <w:r w:rsidRPr="00375996">
        <w:rPr>
          <w:bCs/>
        </w:rPr>
        <w:t xml:space="preserve"> pero no en el área de servicio en la cual intenta registrarse, es decir, </w:t>
      </w:r>
      <w:r w:rsidR="001E0D53">
        <w:rPr>
          <w:bCs/>
        </w:rPr>
        <w:t xml:space="preserve">los códigos de respuesta son utilizados en </w:t>
      </w:r>
      <w:r w:rsidRPr="00375996">
        <w:rPr>
          <w:bCs/>
        </w:rPr>
        <w:t>diferentes escenarios.</w:t>
      </w:r>
    </w:p>
    <w:p w14:paraId="3A8233D6" w14:textId="1CB46E6A" w:rsidR="008765FF" w:rsidRPr="00375996" w:rsidRDefault="008765FF" w:rsidP="009139A5">
      <w:pPr>
        <w:pStyle w:val="IFT1"/>
        <w:tabs>
          <w:tab w:val="left" w:pos="426"/>
        </w:tabs>
        <w:spacing w:after="0"/>
        <w:rPr>
          <w:bCs/>
        </w:rPr>
      </w:pPr>
    </w:p>
    <w:p w14:paraId="6390875E" w14:textId="2ED91A68" w:rsidR="006C139C" w:rsidRPr="00375996" w:rsidRDefault="006C139C" w:rsidP="006C139C">
      <w:pPr>
        <w:spacing w:after="0" w:line="276" w:lineRule="auto"/>
        <w:ind w:left="-5" w:right="49"/>
        <w:rPr>
          <w:rFonts w:ascii="ITC Avant Garde" w:hAnsi="ITC Avant Garde"/>
          <w:b/>
          <w:color w:val="auto"/>
        </w:rPr>
      </w:pPr>
      <w:r w:rsidRPr="00375996">
        <w:rPr>
          <w:rFonts w:ascii="ITC Avant Garde" w:hAnsi="ITC Avant Garde"/>
          <w:b/>
          <w:color w:val="auto"/>
        </w:rPr>
        <w:t>ANEXO XII Convenio de Servicios Mayoristas de Usuario Visitante</w:t>
      </w:r>
    </w:p>
    <w:p w14:paraId="3D5BDDCB" w14:textId="5E8DF2AF" w:rsidR="008765FF" w:rsidRPr="00375996" w:rsidRDefault="00FB23E8" w:rsidP="008765FF">
      <w:pPr>
        <w:spacing w:after="0" w:line="276" w:lineRule="auto"/>
        <w:ind w:right="0"/>
        <w:rPr>
          <w:rFonts w:ascii="ITC Avant Garde" w:hAnsi="ITC Avant Garde"/>
          <w:b/>
          <w:color w:val="auto"/>
        </w:rPr>
      </w:pPr>
      <w:r w:rsidRPr="00375996">
        <w:rPr>
          <w:rFonts w:ascii="ITC Avant Garde" w:hAnsi="ITC Avant Garde"/>
          <w:b/>
          <w:color w:val="auto"/>
        </w:rPr>
        <w:t>4.1.1. Tarifas</w:t>
      </w:r>
    </w:p>
    <w:p w14:paraId="4E750A64" w14:textId="75CB6B26" w:rsidR="00EF59C9" w:rsidRPr="00375996" w:rsidRDefault="00FB23E8" w:rsidP="00EF59C9">
      <w:pPr>
        <w:spacing w:after="0" w:line="276" w:lineRule="auto"/>
        <w:ind w:left="0" w:right="0" w:firstLine="0"/>
        <w:rPr>
          <w:rFonts w:ascii="ITC Avant Garde" w:hAnsi="ITC Avant Garde"/>
          <w:b/>
          <w:color w:val="auto"/>
        </w:rPr>
      </w:pPr>
      <w:proofErr w:type="spellStart"/>
      <w:r w:rsidRPr="00375996">
        <w:rPr>
          <w:rFonts w:ascii="ITC Avant Garde" w:hAnsi="ITC Avant Garde"/>
          <w:b/>
          <w:color w:val="auto"/>
        </w:rPr>
        <w:t>Altán</w:t>
      </w:r>
      <w:proofErr w:type="spellEnd"/>
      <w:r w:rsidR="00EF59C9" w:rsidRPr="00375996">
        <w:rPr>
          <w:rFonts w:ascii="ITC Avant Garde" w:hAnsi="ITC Avant Garde"/>
          <w:b/>
          <w:color w:val="auto"/>
        </w:rPr>
        <w:t>:</w:t>
      </w:r>
    </w:p>
    <w:p w14:paraId="5F5D8EA0" w14:textId="382760D5" w:rsidR="00BF3643" w:rsidRPr="001E0D53" w:rsidRDefault="00B85FA3" w:rsidP="001E0D53">
      <w:pPr>
        <w:pStyle w:val="IFT1"/>
        <w:tabs>
          <w:tab w:val="left" w:pos="426"/>
        </w:tabs>
        <w:rPr>
          <w:bCs/>
        </w:rPr>
      </w:pPr>
      <w:r w:rsidRPr="00375996">
        <w:rPr>
          <w:bCs/>
        </w:rPr>
        <w:t xml:space="preserve">Señala que el </w:t>
      </w:r>
      <w:r w:rsidR="00071CE5" w:rsidRPr="00375996">
        <w:rPr>
          <w:bCs/>
        </w:rPr>
        <w:t xml:space="preserve">principio de </w:t>
      </w:r>
      <w:r w:rsidRPr="00375996">
        <w:rPr>
          <w:bCs/>
        </w:rPr>
        <w:t>trato no discriminatorio no debe estar condicionado de forma alguna, por lo cual p</w:t>
      </w:r>
      <w:r w:rsidR="00FB23E8" w:rsidRPr="00375996">
        <w:rPr>
          <w:bCs/>
        </w:rPr>
        <w:t xml:space="preserve">ropone </w:t>
      </w:r>
      <w:r w:rsidR="00BF3643" w:rsidRPr="00375996">
        <w:rPr>
          <w:bCs/>
        </w:rPr>
        <w:t xml:space="preserve">eliminar el </w:t>
      </w:r>
      <w:r w:rsidR="001E0D53">
        <w:rPr>
          <w:bCs/>
        </w:rPr>
        <w:t>texto</w:t>
      </w:r>
      <w:r w:rsidR="00BF3643" w:rsidRPr="00375996">
        <w:rPr>
          <w:bCs/>
        </w:rPr>
        <w:t xml:space="preserve"> </w:t>
      </w:r>
      <w:r w:rsidR="001E0D53">
        <w:rPr>
          <w:bCs/>
        </w:rPr>
        <w:t>“</w:t>
      </w:r>
      <w:r w:rsidR="001E0D53" w:rsidRPr="001E0D53">
        <w:rPr>
          <w:bCs/>
        </w:rPr>
        <w:t>En caso de que, durante la vigencia del Convenio, Telcel ofreciera nuevos esquemas tarifarios a los Concesionarios, éstos podrán acceder a los mismos en tanto se encuentren al corriente en el cumplimiento de todas y cada una de sus obligaciones conforme a la Oferta y al Convenio</w:t>
      </w:r>
      <w:r w:rsidR="001E0D53">
        <w:rPr>
          <w:bCs/>
        </w:rPr>
        <w:t>”.</w:t>
      </w:r>
    </w:p>
    <w:p w14:paraId="229D21E3" w14:textId="77777777" w:rsidR="004223DC" w:rsidRPr="0085091D" w:rsidRDefault="004223DC" w:rsidP="004223DC">
      <w:pPr>
        <w:spacing w:after="0" w:line="276" w:lineRule="auto"/>
        <w:ind w:left="0" w:right="0" w:firstLine="0"/>
        <w:rPr>
          <w:rFonts w:ascii="ITC Avant Garde" w:hAnsi="ITC Avant Garde"/>
          <w:b/>
          <w:bCs/>
        </w:rPr>
      </w:pPr>
      <w:r w:rsidRPr="0085091D">
        <w:rPr>
          <w:rFonts w:ascii="ITC Avant Garde" w:hAnsi="ITC Avant Garde"/>
          <w:b/>
          <w:bCs/>
        </w:rPr>
        <w:t xml:space="preserve">Consideraciones del Instituto </w:t>
      </w:r>
    </w:p>
    <w:p w14:paraId="6FC2061E" w14:textId="3F457AE5" w:rsidR="008F3F5C" w:rsidRDefault="008F3F5C" w:rsidP="0085115F">
      <w:pPr>
        <w:pStyle w:val="IFT1"/>
        <w:tabs>
          <w:tab w:val="left" w:pos="426"/>
        </w:tabs>
        <w:rPr>
          <w:bCs/>
        </w:rPr>
      </w:pPr>
      <w:r w:rsidRPr="00375996">
        <w:rPr>
          <w:bCs/>
        </w:rPr>
        <w:t xml:space="preserve">Con el propósito de evitar la aplicación de condiciones que pudieran </w:t>
      </w:r>
      <w:r w:rsidR="0085115F">
        <w:rPr>
          <w:bCs/>
        </w:rPr>
        <w:t>derivar en trato no discriminatorio</w:t>
      </w:r>
      <w:r w:rsidRPr="00375996">
        <w:rPr>
          <w:bCs/>
        </w:rPr>
        <w:t>, s</w:t>
      </w:r>
      <w:r w:rsidR="00FB23E8" w:rsidRPr="00375996">
        <w:rPr>
          <w:bCs/>
        </w:rPr>
        <w:t xml:space="preserve">e </w:t>
      </w:r>
      <w:r w:rsidR="0085115F">
        <w:rPr>
          <w:bCs/>
        </w:rPr>
        <w:t>modificó el</w:t>
      </w:r>
      <w:r w:rsidRPr="00375996">
        <w:rPr>
          <w:bCs/>
        </w:rPr>
        <w:t xml:space="preserve"> numeral </w:t>
      </w:r>
      <w:r w:rsidR="00F64C7C" w:rsidRPr="00375996">
        <w:rPr>
          <w:bCs/>
        </w:rPr>
        <w:t>4.1.1 “Tarifas”</w:t>
      </w:r>
      <w:r w:rsidRPr="00375996">
        <w:rPr>
          <w:bCs/>
        </w:rPr>
        <w:t>,</w:t>
      </w:r>
      <w:r w:rsidR="00F64C7C" w:rsidRPr="00375996">
        <w:rPr>
          <w:bCs/>
        </w:rPr>
        <w:t xml:space="preserve"> en los siguientes términos:</w:t>
      </w:r>
    </w:p>
    <w:p w14:paraId="7ABE92BB" w14:textId="2C87C5F5" w:rsidR="00F64C7C" w:rsidRPr="00375996" w:rsidRDefault="00F64C7C" w:rsidP="00B64A2E">
      <w:pPr>
        <w:pStyle w:val="Default"/>
        <w:spacing w:after="200"/>
        <w:ind w:left="567" w:right="612"/>
        <w:jc w:val="both"/>
        <w:rPr>
          <w:rFonts w:ascii="ITC Avant Garde" w:eastAsia="Calibri" w:hAnsi="ITC Avant Garde"/>
          <w:b/>
          <w:i/>
          <w:color w:val="auto"/>
          <w:sz w:val="18"/>
          <w:szCs w:val="18"/>
        </w:rPr>
      </w:pPr>
      <w:r w:rsidRPr="00375996">
        <w:rPr>
          <w:rFonts w:ascii="ITC Avant Garde" w:eastAsia="Calibri" w:hAnsi="ITC Avant Garde"/>
          <w:b/>
          <w:i/>
          <w:color w:val="auto"/>
          <w:sz w:val="18"/>
          <w:szCs w:val="18"/>
        </w:rPr>
        <w:t>“4.1.1 Tarifas.</w:t>
      </w:r>
    </w:p>
    <w:p w14:paraId="720C0746" w14:textId="0C6BBF7F" w:rsidR="00F64C7C" w:rsidRPr="00375996" w:rsidRDefault="005A0098" w:rsidP="00B64A2E">
      <w:pPr>
        <w:pStyle w:val="Sangra2detindependiente"/>
        <w:spacing w:after="100" w:line="240" w:lineRule="auto"/>
        <w:ind w:left="567" w:right="612" w:hanging="11"/>
        <w:rPr>
          <w:rFonts w:ascii="ITC Avant Garde" w:eastAsia="Calibri" w:hAnsi="ITC Avant Garde" w:cs="Arial"/>
          <w:i/>
          <w:color w:val="auto"/>
          <w:sz w:val="18"/>
          <w:szCs w:val="18"/>
          <w:lang w:eastAsia="en-US"/>
        </w:rPr>
      </w:pPr>
      <w:r w:rsidRPr="00375996">
        <w:rPr>
          <w:rFonts w:ascii="ITC Avant Garde" w:eastAsia="Calibri" w:hAnsi="ITC Avant Garde" w:cs="Arial"/>
          <w:i/>
          <w:color w:val="auto"/>
          <w:sz w:val="18"/>
          <w:szCs w:val="18"/>
          <w:lang w:eastAsia="en-US"/>
        </w:rPr>
        <w:t>(…)</w:t>
      </w:r>
    </w:p>
    <w:p w14:paraId="7C0FF77B" w14:textId="1D20355D" w:rsidR="00F64C7C" w:rsidRPr="00375996" w:rsidRDefault="00F64C7C" w:rsidP="00B64A2E">
      <w:pPr>
        <w:pStyle w:val="Default"/>
        <w:spacing w:after="100"/>
        <w:ind w:left="567" w:right="612"/>
        <w:jc w:val="both"/>
        <w:rPr>
          <w:rFonts w:ascii="ITC Avant Garde" w:eastAsia="Calibri" w:hAnsi="ITC Avant Garde"/>
          <w:i/>
          <w:color w:val="auto"/>
          <w:sz w:val="18"/>
          <w:szCs w:val="18"/>
        </w:rPr>
      </w:pPr>
      <w:r w:rsidRPr="00375996">
        <w:rPr>
          <w:rFonts w:ascii="ITC Avant Garde" w:eastAsia="Calibri" w:hAnsi="ITC Avant Garde"/>
          <w:i/>
          <w:strike/>
          <w:color w:val="auto"/>
          <w:sz w:val="18"/>
          <w:szCs w:val="18"/>
        </w:rPr>
        <w:t xml:space="preserve">En caso de </w:t>
      </w:r>
      <w:proofErr w:type="gramStart"/>
      <w:r w:rsidRPr="00375996">
        <w:rPr>
          <w:rFonts w:ascii="ITC Avant Garde" w:eastAsia="Calibri" w:hAnsi="ITC Avant Garde"/>
          <w:i/>
          <w:strike/>
          <w:color w:val="auto"/>
          <w:sz w:val="18"/>
          <w:szCs w:val="18"/>
        </w:rPr>
        <w:t>que</w:t>
      </w:r>
      <w:proofErr w:type="gramEnd"/>
      <w:r w:rsidRPr="00375996">
        <w:rPr>
          <w:rFonts w:ascii="ITC Avant Garde" w:eastAsia="Calibri" w:hAnsi="ITC Avant Garde"/>
          <w:i/>
          <w:strike/>
          <w:color w:val="auto"/>
          <w:sz w:val="18"/>
          <w:szCs w:val="18"/>
        </w:rPr>
        <w:t xml:space="preserve"> durante la vigencia del Convenio, Telcel ofreciera nuevos esquemas tarifarios a los Concesionarios, éstos podrán acceder a los mismos en tanto se encuentren al corriente en el cumplimiento de todas y cada una de sus obligaciones conforme a la Oferta y al Convenio</w:t>
      </w:r>
      <w:r w:rsidRPr="00375996">
        <w:rPr>
          <w:rFonts w:ascii="ITC Avant Garde" w:eastAsia="Calibri" w:hAnsi="ITC Avant Garde"/>
          <w:i/>
          <w:color w:val="auto"/>
          <w:sz w:val="18"/>
          <w:szCs w:val="18"/>
        </w:rPr>
        <w:t>"</w:t>
      </w:r>
    </w:p>
    <w:p w14:paraId="09ED96CB" w14:textId="1AFFB925" w:rsidR="00F64C7C" w:rsidRPr="00375996" w:rsidRDefault="00F64C7C" w:rsidP="00B64A2E">
      <w:pPr>
        <w:spacing w:after="200" w:line="240" w:lineRule="auto"/>
        <w:ind w:left="567" w:right="612" w:firstLine="0"/>
        <w:jc w:val="right"/>
        <w:rPr>
          <w:rFonts w:ascii="ITC Avant Garde" w:eastAsia="Calibri" w:hAnsi="ITC Avant Garde" w:cs="Arial"/>
          <w:color w:val="auto"/>
          <w:sz w:val="18"/>
          <w:szCs w:val="18"/>
          <w:lang w:eastAsia="en-US"/>
        </w:rPr>
      </w:pPr>
      <w:r w:rsidRPr="00375996">
        <w:rPr>
          <w:rFonts w:ascii="ITC Avant Garde" w:eastAsia="Calibri" w:hAnsi="ITC Avant Garde" w:cs="Arial"/>
          <w:color w:val="auto"/>
          <w:sz w:val="18"/>
          <w:szCs w:val="18"/>
          <w:lang w:eastAsia="en-US"/>
        </w:rPr>
        <w:t>Énfasis añadido</w:t>
      </w:r>
    </w:p>
    <w:p w14:paraId="4F21696B" w14:textId="398B715B" w:rsidR="00BF6DAE" w:rsidRPr="00375996" w:rsidRDefault="00FB23E8" w:rsidP="00BF6DAE">
      <w:pPr>
        <w:spacing w:after="0" w:line="276" w:lineRule="auto"/>
        <w:ind w:right="0"/>
        <w:rPr>
          <w:rFonts w:ascii="ITC Avant Garde" w:hAnsi="ITC Avant Garde"/>
          <w:b/>
          <w:color w:val="auto"/>
        </w:rPr>
      </w:pPr>
      <w:r w:rsidRPr="00375996">
        <w:rPr>
          <w:rFonts w:ascii="ITC Avant Garde" w:hAnsi="ITC Avant Garde"/>
          <w:b/>
          <w:color w:val="auto"/>
        </w:rPr>
        <w:t>4</w:t>
      </w:r>
      <w:r w:rsidR="00BF6DAE" w:rsidRPr="00375996">
        <w:rPr>
          <w:rFonts w:ascii="ITC Avant Garde" w:hAnsi="ITC Avant Garde"/>
          <w:b/>
          <w:color w:val="auto"/>
        </w:rPr>
        <w:t>.</w:t>
      </w:r>
      <w:r w:rsidRPr="00375996">
        <w:rPr>
          <w:rFonts w:ascii="ITC Avant Garde" w:hAnsi="ITC Avant Garde"/>
          <w:b/>
          <w:color w:val="auto"/>
        </w:rPr>
        <w:t>3.1.1.</w:t>
      </w:r>
      <w:r w:rsidR="00BF6DAE" w:rsidRPr="00375996">
        <w:rPr>
          <w:rFonts w:ascii="ITC Avant Garde" w:hAnsi="ITC Avant Garde"/>
          <w:b/>
          <w:color w:val="auto"/>
        </w:rPr>
        <w:t xml:space="preserve"> </w:t>
      </w:r>
      <w:r w:rsidRPr="00375996">
        <w:rPr>
          <w:rFonts w:ascii="ITC Avant Garde" w:hAnsi="ITC Avant Garde"/>
          <w:b/>
          <w:color w:val="auto"/>
        </w:rPr>
        <w:t xml:space="preserve">Garantías Aplicables al Esquema de </w:t>
      </w:r>
      <w:proofErr w:type="spellStart"/>
      <w:r w:rsidRPr="00375996">
        <w:rPr>
          <w:rFonts w:ascii="ITC Avant Garde" w:hAnsi="ITC Avant Garde"/>
          <w:b/>
          <w:color w:val="auto"/>
        </w:rPr>
        <w:t>Pospago</w:t>
      </w:r>
      <w:proofErr w:type="spellEnd"/>
    </w:p>
    <w:p w14:paraId="4FD61B1E" w14:textId="521C2E5B" w:rsidR="00BF6DAE" w:rsidRPr="00375996" w:rsidRDefault="00BF6DAE" w:rsidP="00BF6DAE">
      <w:pPr>
        <w:spacing w:after="0" w:line="276" w:lineRule="auto"/>
        <w:ind w:left="0" w:right="0" w:firstLine="0"/>
        <w:rPr>
          <w:rFonts w:ascii="ITC Avant Garde" w:hAnsi="ITC Avant Garde"/>
          <w:b/>
          <w:color w:val="auto"/>
        </w:rPr>
      </w:pPr>
      <w:proofErr w:type="spellStart"/>
      <w:r w:rsidRPr="00375996">
        <w:rPr>
          <w:rFonts w:ascii="ITC Avant Garde" w:hAnsi="ITC Avant Garde"/>
          <w:b/>
          <w:color w:val="auto"/>
        </w:rPr>
        <w:t>Altán</w:t>
      </w:r>
      <w:proofErr w:type="spellEnd"/>
      <w:r w:rsidR="00CB1C1F" w:rsidRPr="00375996">
        <w:rPr>
          <w:rFonts w:ascii="ITC Avant Garde" w:hAnsi="ITC Avant Garde"/>
          <w:b/>
          <w:color w:val="auto"/>
        </w:rPr>
        <w:t>:</w:t>
      </w:r>
    </w:p>
    <w:p w14:paraId="6B446698" w14:textId="648B9F0C" w:rsidR="0043268A" w:rsidRPr="00375996" w:rsidRDefault="00071CE5" w:rsidP="00BF6DAE">
      <w:pPr>
        <w:spacing w:after="0" w:line="276" w:lineRule="auto"/>
        <w:ind w:left="-5" w:right="49"/>
        <w:rPr>
          <w:rFonts w:ascii="ITC Avant Garde" w:hAnsi="ITC Avant Garde"/>
          <w:color w:val="auto"/>
        </w:rPr>
      </w:pPr>
      <w:r w:rsidRPr="00375996">
        <w:rPr>
          <w:rFonts w:ascii="ITC Avant Garde" w:hAnsi="ITC Avant Garde"/>
          <w:bCs/>
        </w:rPr>
        <w:lastRenderedPageBreak/>
        <w:t xml:space="preserve">Referente al plazo establecido en el presente numeral </w:t>
      </w:r>
      <w:r w:rsidR="00414B24" w:rsidRPr="00375996">
        <w:rPr>
          <w:rFonts w:ascii="ITC Avant Garde" w:hAnsi="ITC Avant Garde"/>
          <w:bCs/>
        </w:rPr>
        <w:t>aplicable para</w:t>
      </w:r>
      <w:r w:rsidRPr="00375996">
        <w:rPr>
          <w:rFonts w:ascii="ITC Avant Garde" w:hAnsi="ITC Avant Garde"/>
          <w:bCs/>
        </w:rPr>
        <w:t xml:space="preserve"> el caso en que el concesionario solicitante deba actualizar la información del Anexo III Dimensionamiento, p</w:t>
      </w:r>
      <w:r w:rsidR="00FB23E8" w:rsidRPr="00375996">
        <w:rPr>
          <w:rFonts w:ascii="ITC Avant Garde" w:hAnsi="ITC Avant Garde"/>
          <w:bCs/>
        </w:rPr>
        <w:t>ropone modificar</w:t>
      </w:r>
      <w:r w:rsidR="00414B24" w:rsidRPr="00375996">
        <w:rPr>
          <w:rFonts w:ascii="ITC Avant Garde" w:hAnsi="ITC Avant Garde"/>
          <w:bCs/>
        </w:rPr>
        <w:t>lo en</w:t>
      </w:r>
      <w:r w:rsidR="00FB23E8" w:rsidRPr="00375996">
        <w:rPr>
          <w:rFonts w:ascii="ITC Avant Garde" w:hAnsi="ITC Avant Garde"/>
          <w:bCs/>
        </w:rPr>
        <w:t xml:space="preserve"> </w:t>
      </w:r>
      <w:r w:rsidRPr="00375996">
        <w:rPr>
          <w:rFonts w:ascii="ITC Avant Garde" w:hAnsi="ITC Avant Garde"/>
          <w:bCs/>
        </w:rPr>
        <w:t>al</w:t>
      </w:r>
      <w:r w:rsidR="00FB23E8" w:rsidRPr="00375996">
        <w:rPr>
          <w:rFonts w:ascii="ITC Avant Garde" w:hAnsi="ITC Avant Garde"/>
          <w:bCs/>
        </w:rPr>
        <w:t xml:space="preserve"> menos 10 días </w:t>
      </w:r>
      <w:r w:rsidR="007D121D" w:rsidRPr="00375996">
        <w:rPr>
          <w:rFonts w:ascii="ITC Avant Garde" w:hAnsi="ITC Avant Garde"/>
          <w:bCs/>
        </w:rPr>
        <w:t>hábiles</w:t>
      </w:r>
      <w:r w:rsidRPr="00375996">
        <w:rPr>
          <w:rFonts w:ascii="ITC Avant Garde" w:hAnsi="ITC Avant Garde"/>
          <w:bCs/>
        </w:rPr>
        <w:t>.</w:t>
      </w:r>
    </w:p>
    <w:p w14:paraId="49462297" w14:textId="77777777" w:rsidR="0043268A" w:rsidRPr="00375996" w:rsidRDefault="0043268A" w:rsidP="00BF6DAE">
      <w:pPr>
        <w:spacing w:after="0" w:line="276" w:lineRule="auto"/>
        <w:ind w:left="-5" w:right="49"/>
        <w:rPr>
          <w:rFonts w:ascii="ITC Avant Garde" w:hAnsi="ITC Avant Garde"/>
          <w:color w:val="auto"/>
        </w:rPr>
      </w:pPr>
    </w:p>
    <w:p w14:paraId="645393D5" w14:textId="77777777" w:rsidR="004B5964" w:rsidRPr="00375996" w:rsidRDefault="004B5964" w:rsidP="00AD4E55">
      <w:pPr>
        <w:pStyle w:val="IFT1"/>
        <w:tabs>
          <w:tab w:val="left" w:pos="426"/>
        </w:tabs>
        <w:spacing w:after="0"/>
        <w:rPr>
          <w:b/>
        </w:rPr>
      </w:pPr>
      <w:r w:rsidRPr="00375996">
        <w:rPr>
          <w:b/>
        </w:rPr>
        <w:t xml:space="preserve">Consideraciones del Instituto </w:t>
      </w:r>
    </w:p>
    <w:p w14:paraId="2B6EE3CF" w14:textId="266AF07F" w:rsidR="00CB1C1F" w:rsidRPr="00375996" w:rsidRDefault="00AD4E55" w:rsidP="00AD4E55">
      <w:pPr>
        <w:pStyle w:val="IFT1"/>
        <w:tabs>
          <w:tab w:val="left" w:pos="426"/>
        </w:tabs>
        <w:spacing w:after="0"/>
      </w:pPr>
      <w:r w:rsidRPr="00375996">
        <w:t>Se considera que el plazo establecido en la oferta resulta adecuado al permitir a Telcel realizar oportunamente el cálculo del monto de la Garantía, a fin de que éste refleje el valor real de las obligaciones de pago por los Servicios de la Oferta por parte del Concesionario.</w:t>
      </w:r>
    </w:p>
    <w:p w14:paraId="1105B6ED" w14:textId="0B15FEAA" w:rsidR="009812E8" w:rsidRPr="00375996" w:rsidRDefault="009812E8" w:rsidP="00FB23E8">
      <w:pPr>
        <w:spacing w:after="0" w:line="276" w:lineRule="auto"/>
        <w:ind w:left="0" w:right="49" w:firstLine="0"/>
        <w:rPr>
          <w:rFonts w:ascii="ITC Avant Garde" w:hAnsi="ITC Avant Garde"/>
          <w:bCs/>
        </w:rPr>
      </w:pPr>
    </w:p>
    <w:p w14:paraId="4EBF314F" w14:textId="74DE5295" w:rsidR="00B931B5" w:rsidRPr="00375996" w:rsidRDefault="00FB23E8" w:rsidP="00B931B5">
      <w:pPr>
        <w:spacing w:after="0" w:line="276" w:lineRule="auto"/>
        <w:ind w:right="0"/>
        <w:rPr>
          <w:rFonts w:ascii="ITC Avant Garde" w:hAnsi="ITC Avant Garde"/>
          <w:b/>
          <w:color w:val="auto"/>
        </w:rPr>
      </w:pPr>
      <w:r w:rsidRPr="00375996">
        <w:rPr>
          <w:rFonts w:ascii="ITC Avant Garde" w:hAnsi="ITC Avant Garde"/>
          <w:b/>
          <w:color w:val="auto"/>
        </w:rPr>
        <w:t>5.2 Responsabilidades del Concesionario</w:t>
      </w:r>
    </w:p>
    <w:p w14:paraId="6B262720" w14:textId="77777777" w:rsidR="006E1BA1" w:rsidRDefault="006E1BA1" w:rsidP="006E1BA1">
      <w:pPr>
        <w:spacing w:after="0" w:line="276" w:lineRule="auto"/>
        <w:ind w:right="0"/>
        <w:rPr>
          <w:rFonts w:ascii="ITC Avant Garde" w:hAnsi="ITC Avant Garde"/>
          <w:b/>
          <w:color w:val="auto"/>
        </w:rPr>
      </w:pPr>
    </w:p>
    <w:p w14:paraId="17D37201" w14:textId="2F80616C" w:rsidR="00B931B5" w:rsidRPr="00375996" w:rsidRDefault="00FB23E8" w:rsidP="006E1BA1">
      <w:pPr>
        <w:spacing w:after="0" w:line="276" w:lineRule="auto"/>
        <w:ind w:right="0"/>
        <w:rPr>
          <w:rFonts w:ascii="ITC Avant Garde" w:hAnsi="ITC Avant Garde"/>
          <w:b/>
          <w:color w:val="auto"/>
        </w:rPr>
      </w:pPr>
      <w:proofErr w:type="spellStart"/>
      <w:r w:rsidRPr="00375996">
        <w:rPr>
          <w:rFonts w:ascii="ITC Avant Garde" w:hAnsi="ITC Avant Garde"/>
          <w:b/>
          <w:color w:val="auto"/>
        </w:rPr>
        <w:t>Altán</w:t>
      </w:r>
      <w:proofErr w:type="spellEnd"/>
      <w:r w:rsidR="00B931B5" w:rsidRPr="00375996">
        <w:rPr>
          <w:rFonts w:ascii="ITC Avant Garde" w:hAnsi="ITC Avant Garde"/>
          <w:b/>
          <w:color w:val="auto"/>
        </w:rPr>
        <w:t>:</w:t>
      </w:r>
    </w:p>
    <w:p w14:paraId="4BBAC749" w14:textId="77777777" w:rsidR="00EF0D25" w:rsidRPr="00375996" w:rsidRDefault="00EF0D25" w:rsidP="00EF0D25">
      <w:pPr>
        <w:spacing w:after="0" w:line="276" w:lineRule="auto"/>
        <w:ind w:right="0"/>
        <w:rPr>
          <w:rFonts w:ascii="ITC Avant Garde" w:hAnsi="ITC Avant Garde"/>
          <w:color w:val="auto"/>
        </w:rPr>
      </w:pPr>
      <w:r w:rsidRPr="00375996">
        <w:rPr>
          <w:rFonts w:ascii="ITC Avant Garde" w:hAnsi="ITC Avant Garde"/>
          <w:color w:val="auto"/>
        </w:rPr>
        <w:t>Señala que esta cláusula crea indefensión para los concesionarios que quieren competir en el mercado utilizando un PLMN (</w:t>
      </w:r>
      <w:r w:rsidRPr="00375996">
        <w:rPr>
          <w:rFonts w:ascii="ITC Avant Garde" w:hAnsi="ITC Avant Garde"/>
          <w:i/>
          <w:color w:val="auto"/>
        </w:rPr>
        <w:t>“</w:t>
      </w:r>
      <w:proofErr w:type="spellStart"/>
      <w:r w:rsidRPr="00375996">
        <w:rPr>
          <w:rFonts w:ascii="ITC Avant Garde" w:hAnsi="ITC Avant Garde"/>
          <w:i/>
          <w:color w:val="auto"/>
        </w:rPr>
        <w:t>Public</w:t>
      </w:r>
      <w:proofErr w:type="spellEnd"/>
      <w:r w:rsidRPr="00375996">
        <w:rPr>
          <w:rFonts w:ascii="ITC Avant Garde" w:hAnsi="ITC Avant Garde"/>
          <w:i/>
          <w:color w:val="auto"/>
        </w:rPr>
        <w:t xml:space="preserve"> </w:t>
      </w:r>
      <w:proofErr w:type="spellStart"/>
      <w:r w:rsidRPr="00375996">
        <w:rPr>
          <w:rFonts w:ascii="ITC Avant Garde" w:hAnsi="ITC Avant Garde"/>
          <w:i/>
          <w:color w:val="auto"/>
        </w:rPr>
        <w:t>Land</w:t>
      </w:r>
      <w:proofErr w:type="spellEnd"/>
      <w:r w:rsidRPr="00375996">
        <w:rPr>
          <w:rFonts w:ascii="ITC Avant Garde" w:hAnsi="ITC Avant Garde"/>
          <w:i/>
          <w:color w:val="auto"/>
        </w:rPr>
        <w:t xml:space="preserve"> Mobile Network</w:t>
      </w:r>
      <w:r w:rsidRPr="00375996">
        <w:rPr>
          <w:rFonts w:ascii="ITC Avant Garde" w:hAnsi="ITC Avant Garde"/>
          <w:color w:val="auto"/>
        </w:rPr>
        <w:t>”) propio pero que dependen del servicio de un operador mayorista, incluyendo el acceso a los servicios de usuario visitante sobre la red del AEP. Asimismo, indica que la posibilidad de utilizar otros PLMN es un servicio básico que debe estar incluido en la Oferta y el cual no puede estar sometida a excepciones de costos o plazos de servicio.</w:t>
      </w:r>
    </w:p>
    <w:p w14:paraId="577C2551" w14:textId="77777777" w:rsidR="00EF0D25" w:rsidRPr="00375996" w:rsidRDefault="00EF0D25" w:rsidP="00EF0D25">
      <w:pPr>
        <w:spacing w:after="0" w:line="276" w:lineRule="auto"/>
        <w:ind w:right="0"/>
        <w:rPr>
          <w:rFonts w:ascii="ITC Avant Garde" w:hAnsi="ITC Avant Garde"/>
          <w:color w:val="auto"/>
        </w:rPr>
      </w:pPr>
    </w:p>
    <w:p w14:paraId="50B0808C" w14:textId="77777777" w:rsidR="00EF0D25" w:rsidRPr="00375996" w:rsidRDefault="00EF0D25" w:rsidP="00EF0D25">
      <w:pPr>
        <w:spacing w:after="0" w:line="276" w:lineRule="auto"/>
        <w:ind w:right="0"/>
        <w:rPr>
          <w:rFonts w:ascii="ITC Avant Garde" w:hAnsi="ITC Avant Garde"/>
          <w:color w:val="auto"/>
        </w:rPr>
      </w:pPr>
      <w:r w:rsidRPr="00375996">
        <w:rPr>
          <w:rFonts w:ascii="ITC Avant Garde" w:hAnsi="ITC Avant Garde"/>
          <w:color w:val="auto"/>
        </w:rPr>
        <w:t xml:space="preserve">Por lo anterior, sugiere contemplar modelos de negocios basados en operadores mayoristas, los cuales deben estar plenamente incorporados en la Oferta, así como la eliminación de la limitante referente al uso de PLMN distintos. </w:t>
      </w:r>
    </w:p>
    <w:p w14:paraId="35E8344D" w14:textId="116801AB" w:rsidR="00CB1C1F" w:rsidRPr="00375996" w:rsidRDefault="00CB1C1F" w:rsidP="00BF6DAE">
      <w:pPr>
        <w:spacing w:after="0" w:line="276" w:lineRule="auto"/>
        <w:ind w:left="-5" w:right="49"/>
        <w:rPr>
          <w:rFonts w:ascii="ITC Avant Garde" w:hAnsi="ITC Avant Garde"/>
          <w:bCs/>
        </w:rPr>
      </w:pPr>
    </w:p>
    <w:p w14:paraId="749C51E4" w14:textId="3F06EE6E" w:rsidR="00ED7EFE" w:rsidRPr="00375996" w:rsidRDefault="00ED7EFE" w:rsidP="00ED7EFE">
      <w:pPr>
        <w:spacing w:after="0" w:line="276" w:lineRule="auto"/>
        <w:ind w:left="0" w:right="0" w:firstLine="0"/>
        <w:rPr>
          <w:rFonts w:ascii="ITC Avant Garde" w:hAnsi="ITC Avant Garde"/>
          <w:b/>
          <w:color w:val="auto"/>
        </w:rPr>
      </w:pPr>
      <w:r w:rsidRPr="00375996">
        <w:rPr>
          <w:rFonts w:ascii="ITC Avant Garde" w:hAnsi="ITC Avant Garde"/>
          <w:b/>
          <w:color w:val="auto"/>
        </w:rPr>
        <w:t xml:space="preserve">Consideraciones del Instituto </w:t>
      </w:r>
    </w:p>
    <w:p w14:paraId="7DCD11D9" w14:textId="588AB87B" w:rsidR="00AD4E55" w:rsidRPr="00375996" w:rsidRDefault="00AD4E55" w:rsidP="006E1BA1">
      <w:pPr>
        <w:spacing w:after="0" w:line="276" w:lineRule="auto"/>
        <w:ind w:left="-5" w:right="49"/>
        <w:rPr>
          <w:rFonts w:ascii="ITC Avant Garde" w:hAnsi="ITC Avant Garde" w:cs="Arial"/>
          <w:sz w:val="18"/>
          <w:szCs w:val="18"/>
        </w:rPr>
      </w:pPr>
      <w:r w:rsidRPr="00375996">
        <w:rPr>
          <w:rFonts w:ascii="ITC Avant Garde" w:hAnsi="ITC Avant Garde"/>
          <w:color w:val="auto"/>
        </w:rPr>
        <w:t>El brindar el servicio de usuario visitante a una red mayorista implica modificaciones técnicas de mayor complejidad a las consideradas en</w:t>
      </w:r>
      <w:r w:rsidR="006E1BA1">
        <w:rPr>
          <w:rFonts w:ascii="ITC Avant Garde" w:hAnsi="ITC Avant Garde"/>
          <w:color w:val="auto"/>
        </w:rPr>
        <w:t xml:space="preserve"> la Oferta, por lo que dado que </w:t>
      </w:r>
      <w:r w:rsidRPr="00375996">
        <w:rPr>
          <w:rFonts w:ascii="ITC Avant Garde" w:hAnsi="ITC Avant Garde"/>
          <w:color w:val="auto"/>
        </w:rPr>
        <w:t xml:space="preserve">una oferta tiene </w:t>
      </w:r>
      <w:r w:rsidR="006E1BA1">
        <w:rPr>
          <w:rFonts w:ascii="ITC Avant Garde" w:hAnsi="ITC Avant Garde"/>
          <w:color w:val="auto"/>
        </w:rPr>
        <w:t>como propósito definir las condiciones bajo las cuales se prestará el servicio de usuario visitante aplicables a la mayoría de los concesionarios por lo tanto</w:t>
      </w:r>
      <w:r w:rsidRPr="00375996">
        <w:rPr>
          <w:rFonts w:ascii="ITC Avant Garde" w:hAnsi="ITC Avant Garde"/>
          <w:color w:val="auto"/>
        </w:rPr>
        <w:t>,</w:t>
      </w:r>
      <w:r w:rsidR="006E1BA1">
        <w:rPr>
          <w:rFonts w:ascii="ITC Avant Garde" w:hAnsi="ITC Avant Garde"/>
          <w:color w:val="auto"/>
        </w:rPr>
        <w:t xml:space="preserve"> en</w:t>
      </w:r>
      <w:r w:rsidRPr="00375996">
        <w:rPr>
          <w:rFonts w:ascii="ITC Avant Garde" w:hAnsi="ITC Avant Garde"/>
          <w:color w:val="auto"/>
        </w:rPr>
        <w:t xml:space="preserve"> la cláusula segunda </w:t>
      </w:r>
      <w:r w:rsidR="006E1BA1">
        <w:rPr>
          <w:rFonts w:ascii="ITC Avant Garde" w:hAnsi="ITC Avant Garde"/>
          <w:color w:val="auto"/>
        </w:rPr>
        <w:t xml:space="preserve">se </w:t>
      </w:r>
      <w:r w:rsidRPr="00375996">
        <w:rPr>
          <w:rFonts w:ascii="ITC Avant Garde" w:hAnsi="ITC Avant Garde"/>
          <w:color w:val="auto"/>
        </w:rPr>
        <w:t xml:space="preserve">establece </w:t>
      </w:r>
      <w:r w:rsidR="006E1BA1">
        <w:rPr>
          <w:rFonts w:ascii="ITC Avant Garde" w:hAnsi="ITC Avant Garde"/>
          <w:color w:val="auto"/>
        </w:rPr>
        <w:t xml:space="preserve">que las adecuaciones particulares para la prestación a redes mayoristas deberán ser definidas entre el AEP y la red mayorista correspondiente. </w:t>
      </w:r>
    </w:p>
    <w:p w14:paraId="20C2C8BD" w14:textId="7E6C405F" w:rsidR="00C50554" w:rsidRPr="00375996" w:rsidRDefault="00C50554" w:rsidP="00151B3B">
      <w:pPr>
        <w:pStyle w:val="IFT1"/>
        <w:tabs>
          <w:tab w:val="left" w:pos="426"/>
        </w:tabs>
        <w:spacing w:after="0"/>
        <w:rPr>
          <w:bCs/>
        </w:rPr>
      </w:pPr>
    </w:p>
    <w:p w14:paraId="2A93538D" w14:textId="6060DDE9" w:rsidR="006F36C6" w:rsidRPr="00375996" w:rsidRDefault="006F36C6" w:rsidP="006F36C6">
      <w:pPr>
        <w:spacing w:after="0" w:line="276" w:lineRule="auto"/>
        <w:ind w:left="-5" w:right="49"/>
        <w:rPr>
          <w:rFonts w:ascii="ITC Avant Garde" w:hAnsi="ITC Avant Garde"/>
          <w:b/>
          <w:color w:val="auto"/>
        </w:rPr>
      </w:pPr>
      <w:r w:rsidRPr="00375996">
        <w:rPr>
          <w:rFonts w:ascii="ITC Avant Garde" w:hAnsi="ITC Avant Garde"/>
          <w:b/>
          <w:color w:val="auto"/>
        </w:rPr>
        <w:t>Comentarios Generales</w:t>
      </w:r>
    </w:p>
    <w:p w14:paraId="70F90416" w14:textId="77777777" w:rsidR="006F36C6" w:rsidRPr="00375996" w:rsidRDefault="006F36C6" w:rsidP="006F36C6">
      <w:pPr>
        <w:spacing w:after="0" w:line="276" w:lineRule="auto"/>
        <w:ind w:left="0" w:right="0" w:firstLine="0"/>
        <w:rPr>
          <w:rFonts w:ascii="ITC Avant Garde" w:hAnsi="ITC Avant Garde"/>
          <w:b/>
          <w:color w:val="auto"/>
        </w:rPr>
      </w:pPr>
      <w:r w:rsidRPr="00375996">
        <w:rPr>
          <w:rFonts w:ascii="ITC Avant Garde" w:hAnsi="ITC Avant Garde"/>
          <w:b/>
          <w:color w:val="auto"/>
        </w:rPr>
        <w:t>Telefónica:</w:t>
      </w:r>
    </w:p>
    <w:p w14:paraId="1AE75025" w14:textId="1BEB5DB4" w:rsidR="008765FF" w:rsidRPr="00375996" w:rsidRDefault="00CB0F3A" w:rsidP="006F36C6">
      <w:pPr>
        <w:spacing w:after="0" w:line="276" w:lineRule="auto"/>
        <w:ind w:right="0"/>
        <w:rPr>
          <w:rFonts w:ascii="ITC Avant Garde" w:hAnsi="ITC Avant Garde"/>
          <w:color w:val="auto"/>
        </w:rPr>
      </w:pPr>
      <w:r w:rsidRPr="00375996">
        <w:rPr>
          <w:rFonts w:ascii="ITC Avant Garde" w:hAnsi="ITC Avant Garde"/>
          <w:color w:val="auto"/>
        </w:rPr>
        <w:t>Solicita prolongar la duración máxima de u</w:t>
      </w:r>
      <w:r w:rsidR="003C00F9" w:rsidRPr="00375996">
        <w:rPr>
          <w:rFonts w:ascii="ITC Avant Garde" w:hAnsi="ITC Avant Garde"/>
          <w:color w:val="auto"/>
        </w:rPr>
        <w:t>s</w:t>
      </w:r>
      <w:r w:rsidRPr="00375996">
        <w:rPr>
          <w:rFonts w:ascii="ITC Avant Garde" w:hAnsi="ITC Avant Garde"/>
          <w:color w:val="auto"/>
        </w:rPr>
        <w:t xml:space="preserve">o del servicio más allá de los </w:t>
      </w:r>
      <w:r w:rsidR="003C00F9" w:rsidRPr="00375996">
        <w:rPr>
          <w:rFonts w:ascii="ITC Avant Garde" w:hAnsi="ITC Avant Garde"/>
          <w:color w:val="auto"/>
        </w:rPr>
        <w:t xml:space="preserve">cinco </w:t>
      </w:r>
      <w:r w:rsidRPr="00375996">
        <w:rPr>
          <w:rFonts w:ascii="ITC Avant Garde" w:hAnsi="ITC Avant Garde"/>
          <w:color w:val="auto"/>
        </w:rPr>
        <w:t>años actuales, ya que es un importante condicionante y una limitación que impide un uso efectivo del servicio, teniendo en cuenta que durante los años transcurridos no ha podido conseguirse un uso eficaz del mismo</w:t>
      </w:r>
      <w:r w:rsidR="003C00F9" w:rsidRPr="00375996">
        <w:rPr>
          <w:rFonts w:ascii="ITC Avant Garde" w:hAnsi="ITC Avant Garde"/>
          <w:color w:val="auto"/>
        </w:rPr>
        <w:t xml:space="preserve"> por las barreras existentes a su uso</w:t>
      </w:r>
      <w:r w:rsidR="009113E5" w:rsidRPr="00375996">
        <w:rPr>
          <w:rFonts w:ascii="ITC Avant Garde" w:hAnsi="ITC Avant Garde"/>
          <w:color w:val="auto"/>
        </w:rPr>
        <w:t>.</w:t>
      </w:r>
      <w:r w:rsidR="007E5C19" w:rsidRPr="00375996">
        <w:rPr>
          <w:rFonts w:ascii="ITC Avant Garde" w:hAnsi="ITC Avant Garde"/>
          <w:color w:val="auto"/>
        </w:rPr>
        <w:t xml:space="preserve"> </w:t>
      </w:r>
    </w:p>
    <w:p w14:paraId="20222E54" w14:textId="36ED5F5F" w:rsidR="007E5C19" w:rsidRPr="00375996" w:rsidRDefault="007E5C19" w:rsidP="006F36C6">
      <w:pPr>
        <w:spacing w:after="0" w:line="276" w:lineRule="auto"/>
        <w:ind w:right="0"/>
        <w:rPr>
          <w:rFonts w:ascii="ITC Avant Garde" w:hAnsi="ITC Avant Garde"/>
          <w:color w:val="auto"/>
        </w:rPr>
      </w:pPr>
    </w:p>
    <w:p w14:paraId="73BFBC8A" w14:textId="77777777" w:rsidR="007E5C19" w:rsidRPr="00375996" w:rsidRDefault="007E5C19" w:rsidP="007E5C19">
      <w:pPr>
        <w:spacing w:after="0" w:line="276" w:lineRule="auto"/>
        <w:ind w:right="0"/>
        <w:rPr>
          <w:rFonts w:ascii="ITC Avant Garde" w:hAnsi="ITC Avant Garde"/>
          <w:b/>
          <w:color w:val="auto"/>
        </w:rPr>
      </w:pPr>
      <w:r w:rsidRPr="00375996">
        <w:rPr>
          <w:rFonts w:ascii="ITC Avant Garde" w:hAnsi="ITC Avant Garde"/>
          <w:b/>
          <w:color w:val="auto"/>
        </w:rPr>
        <w:lastRenderedPageBreak/>
        <w:t>Consideraciones del Instituto:</w:t>
      </w:r>
    </w:p>
    <w:p w14:paraId="739904DF" w14:textId="6A7A30F1" w:rsidR="008263CF" w:rsidRPr="00375996" w:rsidRDefault="00CB0F3A" w:rsidP="008263CF">
      <w:pPr>
        <w:spacing w:after="0" w:line="276" w:lineRule="auto"/>
        <w:ind w:left="0" w:right="0" w:firstLine="0"/>
        <w:rPr>
          <w:rFonts w:ascii="ITC Avant Garde" w:hAnsi="ITC Avant Garde"/>
          <w:color w:val="auto"/>
        </w:rPr>
      </w:pPr>
      <w:r w:rsidRPr="00375996">
        <w:rPr>
          <w:rFonts w:ascii="ITC Avant Garde" w:hAnsi="ITC Avant Garde"/>
          <w:color w:val="auto"/>
        </w:rPr>
        <w:t>La modificación a lo establecido en la medida Décima Transi</w:t>
      </w:r>
      <w:r w:rsidR="003745B3">
        <w:rPr>
          <w:rFonts w:ascii="ITC Avant Garde" w:hAnsi="ITC Avant Garde"/>
          <w:color w:val="auto"/>
        </w:rPr>
        <w:t xml:space="preserve">toria de las Medidas Móviles </w:t>
      </w:r>
      <w:r w:rsidR="008263CF" w:rsidRPr="00375996">
        <w:rPr>
          <w:rFonts w:ascii="ITC Avant Garde" w:hAnsi="ITC Avant Garde"/>
          <w:color w:val="auto"/>
        </w:rPr>
        <w:t>exceden el alcance de la presente consulta.</w:t>
      </w:r>
    </w:p>
    <w:p w14:paraId="6B4E8C9E" w14:textId="77777777" w:rsidR="008263CF" w:rsidRPr="00375996" w:rsidRDefault="008263CF" w:rsidP="006136F4">
      <w:pPr>
        <w:spacing w:after="0" w:line="276" w:lineRule="auto"/>
        <w:ind w:right="0"/>
        <w:rPr>
          <w:rFonts w:ascii="ITC Avant Garde" w:hAnsi="ITC Avant Garde"/>
          <w:b/>
          <w:color w:val="auto"/>
        </w:rPr>
      </w:pPr>
    </w:p>
    <w:p w14:paraId="3C06C09A" w14:textId="50B4B75B" w:rsidR="00CB0F3A" w:rsidRPr="00375996" w:rsidRDefault="00CB0F3A" w:rsidP="006136F4">
      <w:pPr>
        <w:spacing w:after="0" w:line="276" w:lineRule="auto"/>
        <w:ind w:right="0"/>
        <w:rPr>
          <w:rFonts w:ascii="ITC Avant Garde" w:hAnsi="ITC Avant Garde"/>
          <w:b/>
          <w:color w:val="auto"/>
        </w:rPr>
      </w:pPr>
      <w:r w:rsidRPr="00375996">
        <w:rPr>
          <w:rFonts w:ascii="ITC Avant Garde" w:hAnsi="ITC Avant Garde"/>
          <w:b/>
          <w:color w:val="auto"/>
        </w:rPr>
        <w:t xml:space="preserve">Telefónica: </w:t>
      </w:r>
    </w:p>
    <w:p w14:paraId="7BC75E40" w14:textId="77777777" w:rsidR="003C4A40" w:rsidRPr="00375996" w:rsidRDefault="003C00F9" w:rsidP="00065892">
      <w:pPr>
        <w:spacing w:after="200" w:line="276" w:lineRule="auto"/>
        <w:ind w:left="11" w:right="0" w:hanging="11"/>
        <w:rPr>
          <w:rFonts w:ascii="ITC Avant Garde" w:hAnsi="ITC Avant Garde"/>
        </w:rPr>
      </w:pPr>
      <w:r w:rsidRPr="00375996">
        <w:rPr>
          <w:rFonts w:ascii="ITC Avant Garde" w:hAnsi="ITC Avant Garde"/>
          <w:color w:val="auto"/>
        </w:rPr>
        <w:t>Señala que para el servicio de usuario visitante no hay garantía de que esté cumpliendo el principio de Equivalencia de Insumos</w:t>
      </w:r>
      <w:r w:rsidR="003C4A40" w:rsidRPr="00375996">
        <w:rPr>
          <w:rFonts w:ascii="ITC Avant Garde" w:hAnsi="ITC Avant Garde"/>
          <w:color w:val="auto"/>
        </w:rPr>
        <w:t>, indicando que</w:t>
      </w:r>
      <w:r w:rsidRPr="00375996">
        <w:rPr>
          <w:rFonts w:ascii="ITC Avant Garde" w:hAnsi="ITC Avant Garde"/>
          <w:color w:val="auto"/>
        </w:rPr>
        <w:t xml:space="preserve"> </w:t>
      </w:r>
      <w:r w:rsidR="003C4A40" w:rsidRPr="00375996">
        <w:rPr>
          <w:rFonts w:ascii="ITC Avant Garde" w:hAnsi="ITC Avant Garde"/>
          <w:color w:val="auto"/>
        </w:rPr>
        <w:t xml:space="preserve">tal servicio </w:t>
      </w:r>
      <w:r w:rsidR="003C4A40" w:rsidRPr="00375996">
        <w:rPr>
          <w:rFonts w:ascii="ITC Avant Garde" w:hAnsi="ITC Avant Garde"/>
        </w:rPr>
        <w:t xml:space="preserve">no tiene establecidos indicadores de desempeño que permitan certificar que el AEP no está priorizando su operación frente a los concesionarios solicitantes y/o dando un distinto trato entre los mismos. </w:t>
      </w:r>
    </w:p>
    <w:p w14:paraId="64A94DE3" w14:textId="607315CE" w:rsidR="00CB0F3A" w:rsidRPr="00375996" w:rsidRDefault="003C4A40" w:rsidP="00065892">
      <w:pPr>
        <w:spacing w:after="200" w:line="276" w:lineRule="auto"/>
        <w:ind w:left="11" w:right="0" w:hanging="11"/>
        <w:rPr>
          <w:rFonts w:ascii="ITC Avant Garde" w:hAnsi="ITC Avant Garde"/>
          <w:color w:val="auto"/>
        </w:rPr>
      </w:pPr>
      <w:r w:rsidRPr="00375996">
        <w:rPr>
          <w:rFonts w:ascii="ITC Avant Garde" w:hAnsi="ITC Avant Garde"/>
        </w:rPr>
        <w:t xml:space="preserve">En este sentido, </w:t>
      </w:r>
      <w:r w:rsidR="003C00F9" w:rsidRPr="00375996">
        <w:rPr>
          <w:rFonts w:ascii="ITC Avant Garde" w:hAnsi="ITC Avant Garde"/>
          <w:color w:val="auto"/>
        </w:rPr>
        <w:t>solicita que l</w:t>
      </w:r>
      <w:r w:rsidR="00CB0F3A" w:rsidRPr="00375996">
        <w:rPr>
          <w:rFonts w:ascii="ITC Avant Garde" w:hAnsi="ITC Avant Garde"/>
          <w:color w:val="auto"/>
        </w:rPr>
        <w:t xml:space="preserve">a oferta de referencia </w:t>
      </w:r>
      <w:r w:rsidRPr="00375996">
        <w:rPr>
          <w:rFonts w:ascii="ITC Avant Garde" w:hAnsi="ITC Avant Garde"/>
          <w:color w:val="auto"/>
        </w:rPr>
        <w:t>incorpore</w:t>
      </w:r>
      <w:r w:rsidR="00CB0F3A" w:rsidRPr="00375996">
        <w:rPr>
          <w:rFonts w:ascii="ITC Avant Garde" w:hAnsi="ITC Avant Garde"/>
          <w:color w:val="auto"/>
        </w:rPr>
        <w:t xml:space="preserve"> indicadores de desempeño </w:t>
      </w:r>
      <w:r w:rsidR="00E34DAF" w:rsidRPr="00375996">
        <w:rPr>
          <w:rFonts w:ascii="ITC Avant Garde" w:hAnsi="ITC Avant Garde"/>
          <w:color w:val="auto"/>
        </w:rPr>
        <w:t>específicos</w:t>
      </w:r>
      <w:r w:rsidR="00CB0F3A" w:rsidRPr="00375996">
        <w:rPr>
          <w:rFonts w:ascii="ITC Avant Garde" w:hAnsi="ITC Avant Garde"/>
          <w:color w:val="auto"/>
        </w:rPr>
        <w:t xml:space="preserve"> que garanticen el mismo trato que </w:t>
      </w:r>
      <w:r w:rsidR="0016339A" w:rsidRPr="00375996">
        <w:rPr>
          <w:rFonts w:ascii="ITC Avant Garde" w:hAnsi="ITC Avant Garde"/>
          <w:color w:val="auto"/>
        </w:rPr>
        <w:t>e</w:t>
      </w:r>
      <w:r w:rsidR="00CB0F3A" w:rsidRPr="00375996">
        <w:rPr>
          <w:rFonts w:ascii="ITC Avant Garde" w:hAnsi="ITC Avant Garde"/>
          <w:color w:val="auto"/>
        </w:rPr>
        <w:t xml:space="preserve">l AEP </w:t>
      </w:r>
      <w:r w:rsidR="0016339A" w:rsidRPr="00375996">
        <w:rPr>
          <w:rFonts w:ascii="ITC Avant Garde" w:hAnsi="ITC Avant Garde"/>
          <w:color w:val="auto"/>
        </w:rPr>
        <w:t xml:space="preserve">da </w:t>
      </w:r>
      <w:r w:rsidR="00CB0F3A" w:rsidRPr="00375996">
        <w:rPr>
          <w:rFonts w:ascii="ITC Avant Garde" w:hAnsi="ITC Avant Garde"/>
          <w:color w:val="auto"/>
        </w:rPr>
        <w:t xml:space="preserve">a su </w:t>
      </w:r>
      <w:r w:rsidR="00E34DAF" w:rsidRPr="00375996">
        <w:rPr>
          <w:rFonts w:ascii="ITC Avant Garde" w:hAnsi="ITC Avant Garde"/>
          <w:color w:val="auto"/>
        </w:rPr>
        <w:t>operación</w:t>
      </w:r>
      <w:r w:rsidR="00CB0F3A" w:rsidRPr="00375996">
        <w:rPr>
          <w:rFonts w:ascii="ITC Avant Garde" w:hAnsi="ITC Avant Garde"/>
          <w:color w:val="auto"/>
        </w:rPr>
        <w:t xml:space="preserve"> y a los</w:t>
      </w:r>
      <w:r w:rsidRPr="00375996">
        <w:rPr>
          <w:rFonts w:ascii="ITC Avant Garde" w:hAnsi="ITC Avant Garde"/>
          <w:color w:val="auto"/>
        </w:rPr>
        <w:t xml:space="preserve"> concesionarios solicitantes, </w:t>
      </w:r>
      <w:r w:rsidR="00E34DAF" w:rsidRPr="00375996">
        <w:rPr>
          <w:rFonts w:ascii="ITC Avant Garde" w:hAnsi="ITC Avant Garde"/>
          <w:color w:val="auto"/>
        </w:rPr>
        <w:t>así</w:t>
      </w:r>
      <w:r w:rsidR="00CB0F3A" w:rsidRPr="00375996">
        <w:rPr>
          <w:rFonts w:ascii="ITC Avant Garde" w:hAnsi="ITC Avant Garde"/>
          <w:color w:val="auto"/>
        </w:rPr>
        <w:t xml:space="preserve"> como el mismo trato entre </w:t>
      </w:r>
      <w:r w:rsidRPr="00375996">
        <w:rPr>
          <w:rFonts w:ascii="ITC Avant Garde" w:hAnsi="ITC Avant Garde"/>
          <w:color w:val="auto"/>
        </w:rPr>
        <w:t>estos</w:t>
      </w:r>
      <w:r w:rsidR="0016339A" w:rsidRPr="00375996">
        <w:rPr>
          <w:rFonts w:ascii="ITC Avant Garde" w:hAnsi="ITC Avant Garde"/>
          <w:color w:val="auto"/>
        </w:rPr>
        <w:t>, por lo que propone indicadores de desempeño en la provisión y mantenimiento (incidencias) del servicio, como en la calidad del mismo.</w:t>
      </w:r>
      <w:r w:rsidR="00CB0F3A" w:rsidRPr="00375996">
        <w:rPr>
          <w:rFonts w:ascii="ITC Avant Garde" w:hAnsi="ITC Avant Garde"/>
          <w:color w:val="auto"/>
        </w:rPr>
        <w:t xml:space="preserve"> </w:t>
      </w:r>
    </w:p>
    <w:p w14:paraId="27009BE4" w14:textId="5D69529E" w:rsidR="00E524C3" w:rsidRPr="00375996" w:rsidRDefault="00E524C3" w:rsidP="00E524C3">
      <w:pPr>
        <w:spacing w:after="0" w:line="276" w:lineRule="auto"/>
        <w:ind w:right="0"/>
        <w:rPr>
          <w:rFonts w:ascii="ITC Avant Garde" w:hAnsi="ITC Avant Garde"/>
          <w:b/>
          <w:color w:val="auto"/>
        </w:rPr>
      </w:pPr>
      <w:r w:rsidRPr="00375996">
        <w:rPr>
          <w:rFonts w:ascii="ITC Avant Garde" w:hAnsi="ITC Avant Garde"/>
          <w:b/>
          <w:color w:val="auto"/>
        </w:rPr>
        <w:t>Consideraciones del Instituto:</w:t>
      </w:r>
    </w:p>
    <w:p w14:paraId="77B11567" w14:textId="77777777" w:rsidR="00F75465" w:rsidRDefault="00E524C3" w:rsidP="00F75465">
      <w:pPr>
        <w:spacing w:after="200" w:line="276" w:lineRule="auto"/>
        <w:ind w:left="11" w:right="0" w:hanging="11"/>
        <w:rPr>
          <w:rFonts w:ascii="ITC Avant Garde" w:hAnsi="ITC Avant Garde"/>
        </w:rPr>
      </w:pPr>
      <w:r w:rsidRPr="00375996">
        <w:rPr>
          <w:rFonts w:ascii="ITC Avant Garde" w:hAnsi="ITC Avant Garde"/>
        </w:rPr>
        <w:t xml:space="preserve">Los indicadores clave de desempeño relacionados con la provisión de los servicios mayoristas regulados se establecen en el </w:t>
      </w:r>
      <w:r w:rsidR="00B14B79" w:rsidRPr="00375996">
        <w:rPr>
          <w:rFonts w:ascii="ITC Avant Garde" w:hAnsi="ITC Avant Garde"/>
        </w:rPr>
        <w:t>“Acuerdo mediante el cual el Pleno del Instituto Federal de Telecomunicaciones emite los indicadores clave de desempeño a que se refieren las Medidas Septuagésima Octava y Transitoria Quinta del Anexo 1 de la Resolución de fecha 27 de febrero de 2017, aprobada mediante Acuerdo P/IFT/EXT/270217/119 y términos, formatos y plazos para la presentación y seguimiento de los reportes de desempeño”</w:t>
      </w:r>
      <w:r w:rsidR="00F75465">
        <w:rPr>
          <w:rFonts w:ascii="ITC Avant Garde" w:hAnsi="ITC Avant Garde"/>
        </w:rPr>
        <w:t>, por lo que la definición de dichos indicadores de desempeño exceden el alcance del objeto de la consulta pública.</w:t>
      </w:r>
    </w:p>
    <w:p w14:paraId="311F00D6" w14:textId="55E633A3" w:rsidR="00FA5F05" w:rsidRPr="00F75465" w:rsidRDefault="007D7451" w:rsidP="00F75465">
      <w:pPr>
        <w:spacing w:after="200" w:line="276" w:lineRule="auto"/>
        <w:ind w:left="0" w:right="0" w:firstLine="0"/>
        <w:rPr>
          <w:rFonts w:ascii="ITC Avant Garde" w:hAnsi="ITC Avant Garde"/>
        </w:rPr>
      </w:pPr>
      <w:r w:rsidRPr="00375996">
        <w:rPr>
          <w:rFonts w:ascii="ITC Avant Garde" w:hAnsi="ITC Avant Garde"/>
          <w:b/>
          <w:color w:val="auto"/>
        </w:rPr>
        <w:t>Telefónica:</w:t>
      </w:r>
    </w:p>
    <w:p w14:paraId="69B83773" w14:textId="22683D03" w:rsidR="007D7451" w:rsidRPr="00375996" w:rsidRDefault="007D7451" w:rsidP="00E524C3">
      <w:pPr>
        <w:spacing w:after="0" w:line="276" w:lineRule="auto"/>
        <w:ind w:right="0"/>
        <w:rPr>
          <w:rFonts w:ascii="ITC Avant Garde" w:hAnsi="ITC Avant Garde"/>
        </w:rPr>
      </w:pPr>
      <w:r w:rsidRPr="00375996">
        <w:rPr>
          <w:rFonts w:ascii="ITC Avant Garde" w:hAnsi="ITC Avant Garde"/>
          <w:color w:val="auto"/>
        </w:rPr>
        <w:t xml:space="preserve">Solicita que la Oferta sea modificada para </w:t>
      </w:r>
      <w:r w:rsidRPr="00375996">
        <w:rPr>
          <w:rFonts w:ascii="ITC Avant Garde" w:hAnsi="ITC Avant Garde"/>
        </w:rPr>
        <w:t xml:space="preserve">permitir replicar los servicios minoristas del AEP de </w:t>
      </w:r>
      <w:proofErr w:type="spellStart"/>
      <w:r w:rsidRPr="00375996">
        <w:rPr>
          <w:rFonts w:ascii="ITC Avant Garde" w:hAnsi="ITC Avant Garde"/>
        </w:rPr>
        <w:t>IoT</w:t>
      </w:r>
      <w:proofErr w:type="spellEnd"/>
      <w:r w:rsidRPr="00375996">
        <w:rPr>
          <w:rFonts w:ascii="ITC Avant Garde" w:hAnsi="ITC Avant Garde"/>
        </w:rPr>
        <w:t xml:space="preserve"> y M2M, señalando que las ofertas de referencia deben ser actualizadas en cuanto el AEP saca al mercado para sus clientes un servicio, tecnología o producto, que su oferta mayorista no permite replicar al resto de los CS.</w:t>
      </w:r>
    </w:p>
    <w:p w14:paraId="13F9629A" w14:textId="266FA4F0" w:rsidR="007D7451" w:rsidRPr="00375996" w:rsidRDefault="007D7451" w:rsidP="00E524C3">
      <w:pPr>
        <w:spacing w:after="0" w:line="276" w:lineRule="auto"/>
        <w:ind w:right="0"/>
        <w:rPr>
          <w:rFonts w:ascii="ITC Avant Garde" w:hAnsi="ITC Avant Garde"/>
        </w:rPr>
      </w:pPr>
    </w:p>
    <w:p w14:paraId="24174ACE" w14:textId="255F33A3" w:rsidR="007D7451" w:rsidRPr="00375996" w:rsidRDefault="007D7451" w:rsidP="00E524C3">
      <w:pPr>
        <w:spacing w:after="0" w:line="276" w:lineRule="auto"/>
        <w:ind w:right="0"/>
        <w:rPr>
          <w:rFonts w:ascii="ITC Avant Garde" w:hAnsi="ITC Avant Garde"/>
        </w:rPr>
      </w:pPr>
      <w:r w:rsidRPr="00375996">
        <w:rPr>
          <w:rFonts w:ascii="ITC Avant Garde" w:hAnsi="ITC Avant Garde"/>
        </w:rPr>
        <w:t xml:space="preserve">Asimismo, en cuanto al servicio de Internet fijo inalámbrico sobre 4G (servicio minorista “Internet en tu casa” del AEP), indica que no es posible replicarlo ni técnica ni económicamente a partir tanto de la oferta de referencia de Usuario Visitante como la oferta de referencia de OMV, por lo que resulta necesario establecer tarifas específicas para este servicio que permitan su </w:t>
      </w:r>
      <w:proofErr w:type="spellStart"/>
      <w:r w:rsidRPr="00375996">
        <w:rPr>
          <w:rFonts w:ascii="ITC Avant Garde" w:hAnsi="ITC Avant Garde"/>
        </w:rPr>
        <w:t>replicabilidad</w:t>
      </w:r>
      <w:proofErr w:type="spellEnd"/>
      <w:r w:rsidRPr="00375996">
        <w:rPr>
          <w:rFonts w:ascii="ITC Avant Garde" w:hAnsi="ITC Avant Garde"/>
        </w:rPr>
        <w:t xml:space="preserve"> y, además, establecer esquemas de pago adicionales a los de pago por uso, como esquemas de pago por capacidad y modalidades “</w:t>
      </w:r>
      <w:proofErr w:type="spellStart"/>
      <w:r w:rsidRPr="00375996">
        <w:rPr>
          <w:rFonts w:ascii="ITC Avant Garde" w:hAnsi="ITC Avant Garde"/>
        </w:rPr>
        <w:t>bulk</w:t>
      </w:r>
      <w:proofErr w:type="spellEnd"/>
      <w:r w:rsidRPr="00375996">
        <w:rPr>
          <w:rFonts w:ascii="ITC Avant Garde" w:hAnsi="ITC Avant Garde"/>
        </w:rPr>
        <w:t xml:space="preserve">” o volumen de unidades que aseguren de manera general la </w:t>
      </w:r>
      <w:proofErr w:type="spellStart"/>
      <w:r w:rsidRPr="00375996">
        <w:rPr>
          <w:rFonts w:ascii="ITC Avant Garde" w:hAnsi="ITC Avant Garde"/>
        </w:rPr>
        <w:t>replicabilidad</w:t>
      </w:r>
      <w:proofErr w:type="spellEnd"/>
      <w:r w:rsidRPr="00375996">
        <w:rPr>
          <w:rFonts w:ascii="ITC Avant Garde" w:hAnsi="ITC Avant Garde"/>
        </w:rPr>
        <w:t xml:space="preserve"> e incentiven el uso del servicio mayorista.</w:t>
      </w:r>
    </w:p>
    <w:p w14:paraId="504CBE9E" w14:textId="7060281C" w:rsidR="003D5321" w:rsidRPr="00375996" w:rsidRDefault="003D5321" w:rsidP="00E524C3">
      <w:pPr>
        <w:spacing w:after="0" w:line="276" w:lineRule="auto"/>
        <w:ind w:right="0"/>
        <w:rPr>
          <w:rFonts w:ascii="ITC Avant Garde" w:hAnsi="ITC Avant Garde"/>
        </w:rPr>
      </w:pPr>
    </w:p>
    <w:p w14:paraId="0388377D" w14:textId="73B8F4F7" w:rsidR="003D5321" w:rsidRPr="00375996" w:rsidRDefault="003D5321" w:rsidP="003D5321">
      <w:pPr>
        <w:spacing w:after="0" w:line="276" w:lineRule="auto"/>
        <w:ind w:right="0"/>
        <w:rPr>
          <w:rFonts w:ascii="ITC Avant Garde" w:hAnsi="ITC Avant Garde"/>
          <w:b/>
          <w:color w:val="auto"/>
        </w:rPr>
      </w:pPr>
      <w:r w:rsidRPr="00375996">
        <w:rPr>
          <w:rFonts w:ascii="ITC Avant Garde" w:hAnsi="ITC Avant Garde"/>
          <w:b/>
          <w:color w:val="auto"/>
        </w:rPr>
        <w:lastRenderedPageBreak/>
        <w:t>Consideraciones del Instituto:</w:t>
      </w:r>
    </w:p>
    <w:p w14:paraId="63C4028A" w14:textId="77777777" w:rsidR="00521C36" w:rsidRPr="00375996" w:rsidRDefault="00521C36" w:rsidP="008B2687">
      <w:pPr>
        <w:spacing w:after="0" w:line="276" w:lineRule="auto"/>
        <w:ind w:right="0"/>
        <w:rPr>
          <w:rFonts w:ascii="ITC Avant Garde" w:hAnsi="ITC Avant Garde"/>
          <w:color w:val="auto"/>
        </w:rPr>
      </w:pPr>
      <w:r w:rsidRPr="00375996">
        <w:rPr>
          <w:rFonts w:ascii="ITC Avant Garde" w:hAnsi="ITC Avant Garde"/>
          <w:color w:val="auto"/>
        </w:rPr>
        <w:t>El numeral 10 “Funcionalidades o aplicaciones para servicios de datos” del Anexo II Acuerdos Técnicos, permite la integración de servicios máquina a máquina (M2M) e Internet de las Cosas (</w:t>
      </w:r>
      <w:proofErr w:type="spellStart"/>
      <w:r w:rsidRPr="00375996">
        <w:rPr>
          <w:rFonts w:ascii="ITC Avant Garde" w:hAnsi="ITC Avant Garde"/>
          <w:color w:val="auto"/>
        </w:rPr>
        <w:t>IoT</w:t>
      </w:r>
      <w:proofErr w:type="spellEnd"/>
      <w:r w:rsidRPr="00375996">
        <w:rPr>
          <w:rFonts w:ascii="ITC Avant Garde" w:hAnsi="ITC Avant Garde"/>
          <w:color w:val="auto"/>
        </w:rPr>
        <w:t xml:space="preserve">), privilegiando el acuerdo entre las partes en virtud de las diversas soluciones y esquemas de tasación que pudieran existir. </w:t>
      </w:r>
    </w:p>
    <w:p w14:paraId="7C550E48" w14:textId="77777777" w:rsidR="00521C36" w:rsidRPr="00375996" w:rsidRDefault="00521C36" w:rsidP="008B2687">
      <w:pPr>
        <w:spacing w:after="0" w:line="276" w:lineRule="auto"/>
        <w:ind w:right="0"/>
        <w:rPr>
          <w:rFonts w:ascii="ITC Avant Garde" w:hAnsi="ITC Avant Garde"/>
          <w:color w:val="auto"/>
        </w:rPr>
      </w:pPr>
    </w:p>
    <w:p w14:paraId="7A9DDAB9" w14:textId="088FD978" w:rsidR="00C74A3C" w:rsidRPr="00C74A3C" w:rsidRDefault="00521C36" w:rsidP="00521C36">
      <w:pPr>
        <w:spacing w:after="0" w:line="276" w:lineRule="auto"/>
        <w:ind w:right="0"/>
        <w:rPr>
          <w:rFonts w:ascii="ITC Avant Garde" w:hAnsi="ITC Avant Garde"/>
          <w:color w:val="auto"/>
        </w:rPr>
      </w:pPr>
      <w:r w:rsidRPr="00375996">
        <w:rPr>
          <w:rFonts w:ascii="ITC Avant Garde" w:hAnsi="ITC Avant Garde"/>
          <w:color w:val="auto"/>
        </w:rPr>
        <w:t>Asimismo, l</w:t>
      </w:r>
      <w:r w:rsidR="008B2687" w:rsidRPr="00375996">
        <w:rPr>
          <w:rFonts w:ascii="ITC Avant Garde" w:hAnsi="ITC Avant Garde"/>
          <w:color w:val="auto"/>
        </w:rPr>
        <w:t xml:space="preserve">a Medida Decimosexta de las Medidas Móviles establece los casos en los cuales la Oferta de Referencia que se encuentre </w:t>
      </w:r>
      <w:r w:rsidR="00FC41F7" w:rsidRPr="00375996">
        <w:rPr>
          <w:rFonts w:ascii="ITC Avant Garde" w:hAnsi="ITC Avant Garde"/>
          <w:color w:val="auto"/>
        </w:rPr>
        <w:t>vigente</w:t>
      </w:r>
      <w:r w:rsidR="008B2687" w:rsidRPr="00375996">
        <w:rPr>
          <w:rFonts w:ascii="ITC Avant Garde" w:hAnsi="ITC Avant Garde"/>
          <w:color w:val="auto"/>
        </w:rPr>
        <w:t>, podrá ser modificada</w:t>
      </w:r>
      <w:r w:rsidRPr="00375996">
        <w:rPr>
          <w:rFonts w:ascii="ITC Avant Garde" w:hAnsi="ITC Avant Garde"/>
          <w:color w:val="auto"/>
        </w:rPr>
        <w:t>, i</w:t>
      </w:r>
      <w:r w:rsidR="00C74A3C" w:rsidRPr="00375996">
        <w:rPr>
          <w:rFonts w:ascii="ITC Avant Garde" w:hAnsi="ITC Avant Garde"/>
          <w:color w:val="auto"/>
        </w:rPr>
        <w:t xml:space="preserve">ncluyendo </w:t>
      </w:r>
      <w:r w:rsidRPr="00375996">
        <w:rPr>
          <w:rFonts w:ascii="ITC Avant Garde" w:hAnsi="ITC Avant Garde"/>
          <w:color w:val="auto"/>
        </w:rPr>
        <w:t>aquel en que, con el objeto de</w:t>
      </w:r>
      <w:r w:rsidR="00C74A3C" w:rsidRPr="00C74A3C">
        <w:rPr>
          <w:rFonts w:ascii="ITC Avant Garde" w:hAnsi="ITC Avant Garde"/>
          <w:color w:val="auto"/>
        </w:rPr>
        <w:t xml:space="preserve"> asegurar la </w:t>
      </w:r>
      <w:proofErr w:type="spellStart"/>
      <w:r w:rsidR="00C74A3C" w:rsidRPr="00C74A3C">
        <w:rPr>
          <w:rFonts w:ascii="ITC Avant Garde" w:hAnsi="ITC Avant Garde"/>
          <w:color w:val="auto"/>
        </w:rPr>
        <w:t>replicabilidad</w:t>
      </w:r>
      <w:proofErr w:type="spellEnd"/>
      <w:r w:rsidR="00C74A3C" w:rsidRPr="00C74A3C">
        <w:rPr>
          <w:rFonts w:ascii="ITC Avant Garde" w:hAnsi="ITC Avant Garde"/>
          <w:color w:val="auto"/>
        </w:rPr>
        <w:t xml:space="preserve"> técnica y económica de una nueva oferta minorista o modificación a una existente, </w:t>
      </w:r>
      <w:r w:rsidRPr="00375996">
        <w:rPr>
          <w:rFonts w:ascii="ITC Avant Garde" w:hAnsi="ITC Avant Garde"/>
          <w:color w:val="auto"/>
        </w:rPr>
        <w:t>el AEP</w:t>
      </w:r>
      <w:r w:rsidR="00C74A3C" w:rsidRPr="00C74A3C">
        <w:rPr>
          <w:rFonts w:ascii="ITC Avant Garde" w:hAnsi="ITC Avant Garde"/>
          <w:color w:val="auto"/>
        </w:rPr>
        <w:t xml:space="preserve"> </w:t>
      </w:r>
      <w:r w:rsidRPr="00375996">
        <w:rPr>
          <w:rFonts w:ascii="ITC Avant Garde" w:hAnsi="ITC Avant Garde"/>
          <w:color w:val="auto"/>
        </w:rPr>
        <w:t xml:space="preserve">requiera </w:t>
      </w:r>
      <w:r w:rsidR="00C74A3C" w:rsidRPr="00C74A3C">
        <w:rPr>
          <w:rFonts w:ascii="ITC Avant Garde" w:hAnsi="ITC Avant Garde"/>
          <w:color w:val="auto"/>
        </w:rPr>
        <w:t>adecuar los servicios y/o tarifas incluidos en la Ofertas de Referencia</w:t>
      </w:r>
      <w:r w:rsidR="00744B29" w:rsidRPr="00375996">
        <w:rPr>
          <w:rFonts w:ascii="ITC Avant Garde" w:hAnsi="ITC Avant Garde"/>
          <w:color w:val="auto"/>
        </w:rPr>
        <w:t xml:space="preserve"> que se encuentre</w:t>
      </w:r>
      <w:r w:rsidR="00C74A3C" w:rsidRPr="00C74A3C">
        <w:rPr>
          <w:rFonts w:ascii="ITC Avant Garde" w:hAnsi="ITC Avant Garde"/>
          <w:color w:val="auto"/>
        </w:rPr>
        <w:t xml:space="preserve"> vigente. </w:t>
      </w:r>
    </w:p>
    <w:p w14:paraId="0653E5B2" w14:textId="77777777" w:rsidR="00C74A3C" w:rsidRPr="00375996" w:rsidRDefault="00C74A3C" w:rsidP="00E524C3">
      <w:pPr>
        <w:spacing w:after="0" w:line="276" w:lineRule="auto"/>
        <w:ind w:right="0"/>
        <w:rPr>
          <w:rFonts w:ascii="ITC Avant Garde" w:hAnsi="ITC Avant Garde"/>
          <w:color w:val="auto"/>
        </w:rPr>
      </w:pPr>
    </w:p>
    <w:p w14:paraId="5956E3B3" w14:textId="16BF2F60" w:rsidR="003D5321" w:rsidRPr="00CF47F8" w:rsidRDefault="002F2D16" w:rsidP="00521C36">
      <w:pPr>
        <w:spacing w:after="0" w:line="276" w:lineRule="auto"/>
        <w:ind w:right="0"/>
        <w:rPr>
          <w:rFonts w:ascii="ITC Avant Garde" w:hAnsi="ITC Avant Garde"/>
          <w:color w:val="auto"/>
        </w:rPr>
      </w:pPr>
      <w:r w:rsidRPr="00375996">
        <w:rPr>
          <w:rFonts w:ascii="ITC Avant Garde" w:hAnsi="ITC Avant Garde"/>
        </w:rPr>
        <w:t>En cuanto al servicio de Internet fijo inalámbrico, se señala que l</w:t>
      </w:r>
      <w:r w:rsidRPr="00375996">
        <w:rPr>
          <w:rFonts w:ascii="ITC Avant Garde" w:hAnsi="ITC Avant Garde"/>
          <w:color w:val="auto"/>
        </w:rPr>
        <w:t>os servicios de la O</w:t>
      </w:r>
      <w:r w:rsidR="003D5321" w:rsidRPr="00375996">
        <w:rPr>
          <w:rFonts w:ascii="ITC Avant Garde" w:hAnsi="ITC Avant Garde"/>
          <w:color w:val="auto"/>
        </w:rPr>
        <w:t xml:space="preserve">ferta tienen como objeto permitir el uso </w:t>
      </w:r>
      <w:r w:rsidRPr="00375996">
        <w:rPr>
          <w:rFonts w:ascii="ITC Avant Garde" w:hAnsi="ITC Avant Garde"/>
          <w:color w:val="auto"/>
        </w:rPr>
        <w:t>de la</w:t>
      </w:r>
      <w:r w:rsidR="003D5321" w:rsidRPr="00375996">
        <w:rPr>
          <w:rFonts w:ascii="ITC Avant Garde" w:hAnsi="ITC Avant Garde"/>
          <w:color w:val="auto"/>
        </w:rPr>
        <w:t xml:space="preserve"> infraestructura de la red de Telcel para que los usuarios </w:t>
      </w:r>
      <w:r w:rsidRPr="00375996">
        <w:rPr>
          <w:rFonts w:ascii="ITC Avant Garde" w:hAnsi="ITC Avant Garde"/>
          <w:color w:val="auto"/>
        </w:rPr>
        <w:t>del concesionario solicitante</w:t>
      </w:r>
      <w:r w:rsidR="003D5321" w:rsidRPr="00375996">
        <w:rPr>
          <w:rFonts w:ascii="ITC Avant Garde" w:hAnsi="ITC Avant Garde"/>
          <w:color w:val="auto"/>
        </w:rPr>
        <w:t xml:space="preserve"> puedan hacer uso de los servicios de usuario visitante o </w:t>
      </w:r>
      <w:proofErr w:type="spellStart"/>
      <w:r w:rsidR="003D5321" w:rsidRPr="00375996">
        <w:rPr>
          <w:rFonts w:ascii="ITC Avant Garde" w:hAnsi="ITC Avant Garde"/>
          <w:color w:val="auto"/>
        </w:rPr>
        <w:t>i</w:t>
      </w:r>
      <w:r w:rsidR="006F7935" w:rsidRPr="00375996">
        <w:rPr>
          <w:rFonts w:ascii="ITC Avant Garde" w:hAnsi="ITC Avant Garde"/>
          <w:color w:val="auto"/>
        </w:rPr>
        <w:t>tinerancia</w:t>
      </w:r>
      <w:proofErr w:type="spellEnd"/>
      <w:r w:rsidR="00171260" w:rsidRPr="00375996">
        <w:rPr>
          <w:rFonts w:ascii="ITC Avant Garde" w:hAnsi="ITC Avant Garde"/>
          <w:color w:val="auto"/>
        </w:rPr>
        <w:t xml:space="preserve">, </w:t>
      </w:r>
      <w:r w:rsidRPr="00375996">
        <w:rPr>
          <w:rFonts w:ascii="ITC Avant Garde" w:hAnsi="ITC Avant Garde"/>
          <w:color w:val="auto"/>
        </w:rPr>
        <w:t xml:space="preserve">en aquellas </w:t>
      </w:r>
      <w:r w:rsidR="00171260" w:rsidRPr="00375996">
        <w:rPr>
          <w:rFonts w:ascii="ITC Avant Garde" w:hAnsi="ITC Avant Garde"/>
          <w:color w:val="auto"/>
        </w:rPr>
        <w:t>áreas en las</w:t>
      </w:r>
      <w:r w:rsidRPr="00375996">
        <w:rPr>
          <w:rFonts w:ascii="ITC Avant Garde" w:hAnsi="ITC Avant Garde"/>
          <w:color w:val="auto"/>
        </w:rPr>
        <w:t xml:space="preserve"> cuales </w:t>
      </w:r>
      <w:r w:rsidR="00171260" w:rsidRPr="00375996">
        <w:rPr>
          <w:rFonts w:ascii="ITC Avant Garde" w:hAnsi="ITC Avant Garde"/>
          <w:color w:val="auto"/>
        </w:rPr>
        <w:t>su operador del servicio móvil no cuenta con cobertura</w:t>
      </w:r>
      <w:r w:rsidR="008A0F4D">
        <w:rPr>
          <w:rFonts w:ascii="ITC Avant Garde" w:hAnsi="ITC Avant Garde"/>
          <w:color w:val="auto"/>
        </w:rPr>
        <w:t>, de manera temporal</w:t>
      </w:r>
      <w:r w:rsidR="006F7935" w:rsidRPr="00375996">
        <w:rPr>
          <w:rFonts w:ascii="ITC Avant Garde" w:hAnsi="ITC Avant Garde"/>
          <w:color w:val="auto"/>
        </w:rPr>
        <w:t xml:space="preserve">. </w:t>
      </w:r>
      <w:r w:rsidR="00CF47F8" w:rsidRPr="00375996">
        <w:rPr>
          <w:rFonts w:ascii="ITC Avant Garde" w:hAnsi="ITC Avant Garde"/>
          <w:color w:val="auto"/>
        </w:rPr>
        <w:t xml:space="preserve">En este sentido, el servicio de internet fijo inalámbrico se encuentra </w:t>
      </w:r>
      <w:r w:rsidR="00CF47F8" w:rsidRPr="00CF47F8">
        <w:rPr>
          <w:rFonts w:ascii="ITC Avant Garde" w:hAnsi="ITC Avant Garde"/>
          <w:color w:val="auto"/>
        </w:rPr>
        <w:t xml:space="preserve">necesariamente asociado a la ubicación fija del usuario final, imposibilitando la </w:t>
      </w:r>
      <w:proofErr w:type="spellStart"/>
      <w:r w:rsidR="00CF47F8" w:rsidRPr="00CF47F8">
        <w:rPr>
          <w:rFonts w:ascii="ITC Avant Garde" w:hAnsi="ITC Avant Garde"/>
          <w:color w:val="auto"/>
        </w:rPr>
        <w:t>itinerancia</w:t>
      </w:r>
      <w:proofErr w:type="spellEnd"/>
      <w:r w:rsidR="00CF47F8" w:rsidRPr="00CF47F8">
        <w:rPr>
          <w:rFonts w:ascii="ITC Avant Garde" w:hAnsi="ITC Avant Garde"/>
          <w:color w:val="auto"/>
        </w:rPr>
        <w:t xml:space="preserve"> del mismo, por lo que tal servicio se encuentra fuera del alcance de la Oferta.   </w:t>
      </w:r>
    </w:p>
    <w:sectPr w:rsidR="003D5321" w:rsidRPr="00CF47F8" w:rsidSect="006B068D">
      <w:footerReference w:type="default" r:id="rId9"/>
      <w:pgSz w:w="12240" w:h="15840"/>
      <w:pgMar w:top="1417" w:right="160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70FE4" w14:textId="77777777" w:rsidR="00E329BE" w:rsidRDefault="00E329BE" w:rsidP="00493685">
      <w:pPr>
        <w:spacing w:after="0" w:line="240" w:lineRule="auto"/>
      </w:pPr>
      <w:r>
        <w:separator/>
      </w:r>
    </w:p>
  </w:endnote>
  <w:endnote w:type="continuationSeparator" w:id="0">
    <w:p w14:paraId="34B03691" w14:textId="77777777" w:rsidR="00E329BE" w:rsidRDefault="00E329BE"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927181"/>
      <w:docPartObj>
        <w:docPartGallery w:val="Page Numbers (Bottom of Page)"/>
        <w:docPartUnique/>
      </w:docPartObj>
    </w:sdtPr>
    <w:sdtEndPr/>
    <w:sdtContent>
      <w:p w14:paraId="2C1FCB72" w14:textId="68726D03" w:rsidR="008A0E18" w:rsidRDefault="008A0E18">
        <w:pPr>
          <w:pStyle w:val="Piedepgina"/>
          <w:jc w:val="right"/>
        </w:pPr>
        <w:r>
          <w:fldChar w:fldCharType="begin"/>
        </w:r>
        <w:r>
          <w:instrText>PAGE   \* MERGEFORMAT</w:instrText>
        </w:r>
        <w:r>
          <w:fldChar w:fldCharType="separate"/>
        </w:r>
        <w:r w:rsidR="00090FC7" w:rsidRPr="00090FC7">
          <w:rPr>
            <w:noProof/>
            <w:lang w:val="es-ES"/>
          </w:rPr>
          <w:t>6</w:t>
        </w:r>
        <w:r>
          <w:fldChar w:fldCharType="end"/>
        </w:r>
      </w:p>
    </w:sdtContent>
  </w:sdt>
  <w:p w14:paraId="17CF8DEA" w14:textId="77777777" w:rsidR="008A0E18" w:rsidRDefault="008A0E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4967F" w14:textId="77777777" w:rsidR="00E329BE" w:rsidRDefault="00E329BE" w:rsidP="00493685">
      <w:pPr>
        <w:spacing w:after="0" w:line="240" w:lineRule="auto"/>
      </w:pPr>
      <w:r>
        <w:separator/>
      </w:r>
    </w:p>
  </w:footnote>
  <w:footnote w:type="continuationSeparator" w:id="0">
    <w:p w14:paraId="3B9AC74C" w14:textId="77777777" w:rsidR="00E329BE" w:rsidRDefault="00E329BE" w:rsidP="00493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1A61741"/>
    <w:multiLevelType w:val="hybridMultilevel"/>
    <w:tmpl w:val="90126C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8" w15:restartNumberingAfterBreak="0">
    <w:nsid w:val="36DB30A0"/>
    <w:multiLevelType w:val="hybridMultilevel"/>
    <w:tmpl w:val="2230D9E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FA16A3"/>
    <w:multiLevelType w:val="hybridMultilevel"/>
    <w:tmpl w:val="526C620C"/>
    <w:lvl w:ilvl="0" w:tplc="19C2A996">
      <w:start w:val="1"/>
      <w:numFmt w:val="decimal"/>
      <w:lvlText w:val="%1."/>
      <w:lvlJc w:val="left"/>
      <w:pPr>
        <w:ind w:left="345" w:hanging="360"/>
      </w:pPr>
      <w:rPr>
        <w:rFonts w:hint="default"/>
        <w:u w:val="none"/>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10"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F07648"/>
    <w:multiLevelType w:val="hybridMultilevel"/>
    <w:tmpl w:val="17DA67A8"/>
    <w:lvl w:ilvl="0" w:tplc="D7240C52">
      <w:start w:val="1"/>
      <w:numFmt w:val="decimal"/>
      <w:lvlText w:val="%1."/>
      <w:lvlJc w:val="left"/>
      <w:pPr>
        <w:ind w:left="917" w:hanging="360"/>
      </w:pPr>
      <w:rPr>
        <w:rFonts w:hint="default"/>
      </w:rPr>
    </w:lvl>
    <w:lvl w:ilvl="1" w:tplc="080A0019" w:tentative="1">
      <w:start w:val="1"/>
      <w:numFmt w:val="lowerLetter"/>
      <w:lvlText w:val="%2."/>
      <w:lvlJc w:val="left"/>
      <w:pPr>
        <w:ind w:left="1637" w:hanging="360"/>
      </w:pPr>
    </w:lvl>
    <w:lvl w:ilvl="2" w:tplc="080A001B" w:tentative="1">
      <w:start w:val="1"/>
      <w:numFmt w:val="lowerRoman"/>
      <w:lvlText w:val="%3."/>
      <w:lvlJc w:val="right"/>
      <w:pPr>
        <w:ind w:left="2357" w:hanging="180"/>
      </w:pPr>
    </w:lvl>
    <w:lvl w:ilvl="3" w:tplc="080A000F" w:tentative="1">
      <w:start w:val="1"/>
      <w:numFmt w:val="decimal"/>
      <w:lvlText w:val="%4."/>
      <w:lvlJc w:val="left"/>
      <w:pPr>
        <w:ind w:left="3077" w:hanging="360"/>
      </w:pPr>
    </w:lvl>
    <w:lvl w:ilvl="4" w:tplc="080A0019" w:tentative="1">
      <w:start w:val="1"/>
      <w:numFmt w:val="lowerLetter"/>
      <w:lvlText w:val="%5."/>
      <w:lvlJc w:val="left"/>
      <w:pPr>
        <w:ind w:left="3797" w:hanging="360"/>
      </w:pPr>
    </w:lvl>
    <w:lvl w:ilvl="5" w:tplc="080A001B" w:tentative="1">
      <w:start w:val="1"/>
      <w:numFmt w:val="lowerRoman"/>
      <w:lvlText w:val="%6."/>
      <w:lvlJc w:val="right"/>
      <w:pPr>
        <w:ind w:left="4517" w:hanging="180"/>
      </w:pPr>
    </w:lvl>
    <w:lvl w:ilvl="6" w:tplc="080A000F" w:tentative="1">
      <w:start w:val="1"/>
      <w:numFmt w:val="decimal"/>
      <w:lvlText w:val="%7."/>
      <w:lvlJc w:val="left"/>
      <w:pPr>
        <w:ind w:left="5237" w:hanging="360"/>
      </w:pPr>
    </w:lvl>
    <w:lvl w:ilvl="7" w:tplc="080A0019" w:tentative="1">
      <w:start w:val="1"/>
      <w:numFmt w:val="lowerLetter"/>
      <w:lvlText w:val="%8."/>
      <w:lvlJc w:val="left"/>
      <w:pPr>
        <w:ind w:left="5957" w:hanging="360"/>
      </w:pPr>
    </w:lvl>
    <w:lvl w:ilvl="8" w:tplc="080A001B" w:tentative="1">
      <w:start w:val="1"/>
      <w:numFmt w:val="lowerRoman"/>
      <w:lvlText w:val="%9."/>
      <w:lvlJc w:val="right"/>
      <w:pPr>
        <w:ind w:left="6677" w:hanging="180"/>
      </w:pPr>
    </w:lvl>
  </w:abstractNum>
  <w:abstractNum w:abstractNumId="12" w15:restartNumberingAfterBreak="0">
    <w:nsid w:val="55630A5C"/>
    <w:multiLevelType w:val="multilevel"/>
    <w:tmpl w:val="07768C44"/>
    <w:lvl w:ilvl="0">
      <w:start w:val="1"/>
      <w:numFmt w:val="decimal"/>
      <w:lvlText w:val="%1"/>
      <w:lvlJc w:val="left"/>
      <w:pPr>
        <w:ind w:left="480" w:hanging="480"/>
      </w:pPr>
      <w:rPr>
        <w:rFonts w:hint="default"/>
      </w:rPr>
    </w:lvl>
    <w:lvl w:ilvl="1">
      <w:start w:val="5"/>
      <w:numFmt w:val="decimal"/>
      <w:lvlText w:val="%1.%2"/>
      <w:lvlJc w:val="left"/>
      <w:pPr>
        <w:ind w:left="906"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59124C12"/>
    <w:multiLevelType w:val="hybridMultilevel"/>
    <w:tmpl w:val="0F847D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6"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7"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E96E0E"/>
    <w:multiLevelType w:val="multilevel"/>
    <w:tmpl w:val="A1E66B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0"/>
  </w:num>
  <w:num w:numId="3">
    <w:abstractNumId w:val="1"/>
  </w:num>
  <w:num w:numId="4">
    <w:abstractNumId w:val="4"/>
  </w:num>
  <w:num w:numId="5">
    <w:abstractNumId w:val="2"/>
  </w:num>
  <w:num w:numId="6">
    <w:abstractNumId w:val="3"/>
  </w:num>
  <w:num w:numId="7">
    <w:abstractNumId w:val="16"/>
  </w:num>
  <w:num w:numId="8">
    <w:abstractNumId w:val="15"/>
  </w:num>
  <w:num w:numId="9">
    <w:abstractNumId w:val="17"/>
  </w:num>
  <w:num w:numId="10">
    <w:abstractNumId w:val="13"/>
  </w:num>
  <w:num w:numId="11">
    <w:abstractNumId w:val="10"/>
  </w:num>
  <w:num w:numId="12">
    <w:abstractNumId w:val="7"/>
  </w:num>
  <w:num w:numId="13">
    <w:abstractNumId w:val="5"/>
  </w:num>
  <w:num w:numId="14">
    <w:abstractNumId w:val="19"/>
  </w:num>
  <w:num w:numId="15">
    <w:abstractNumId w:val="11"/>
  </w:num>
  <w:num w:numId="16">
    <w:abstractNumId w:val="12"/>
  </w:num>
  <w:num w:numId="17">
    <w:abstractNumId w:val="6"/>
  </w:num>
  <w:num w:numId="18">
    <w:abstractNumId w:val="14"/>
  </w:num>
  <w:num w:numId="19">
    <w:abstractNumId w:val="9"/>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136"/>
    <w:rsid w:val="00000654"/>
    <w:rsid w:val="000006E1"/>
    <w:rsid w:val="000020FA"/>
    <w:rsid w:val="00002499"/>
    <w:rsid w:val="000025BB"/>
    <w:rsid w:val="00002981"/>
    <w:rsid w:val="00002ED7"/>
    <w:rsid w:val="00002F50"/>
    <w:rsid w:val="0000372C"/>
    <w:rsid w:val="00006716"/>
    <w:rsid w:val="000074F3"/>
    <w:rsid w:val="000075FB"/>
    <w:rsid w:val="0000795B"/>
    <w:rsid w:val="00007D66"/>
    <w:rsid w:val="00007DEB"/>
    <w:rsid w:val="00010FAF"/>
    <w:rsid w:val="00011146"/>
    <w:rsid w:val="00011186"/>
    <w:rsid w:val="000117B8"/>
    <w:rsid w:val="000118E7"/>
    <w:rsid w:val="00011B34"/>
    <w:rsid w:val="00011FD2"/>
    <w:rsid w:val="000120B1"/>
    <w:rsid w:val="000121FF"/>
    <w:rsid w:val="00012F72"/>
    <w:rsid w:val="0001331B"/>
    <w:rsid w:val="00013BAC"/>
    <w:rsid w:val="000146B8"/>
    <w:rsid w:val="00014926"/>
    <w:rsid w:val="00014D42"/>
    <w:rsid w:val="00015889"/>
    <w:rsid w:val="00015958"/>
    <w:rsid w:val="00015EB9"/>
    <w:rsid w:val="0001660E"/>
    <w:rsid w:val="00017027"/>
    <w:rsid w:val="0002034F"/>
    <w:rsid w:val="00021DD2"/>
    <w:rsid w:val="00021EB5"/>
    <w:rsid w:val="00022BFC"/>
    <w:rsid w:val="00022E01"/>
    <w:rsid w:val="00023182"/>
    <w:rsid w:val="0002377D"/>
    <w:rsid w:val="000239D1"/>
    <w:rsid w:val="00024A0F"/>
    <w:rsid w:val="00024B17"/>
    <w:rsid w:val="000252EF"/>
    <w:rsid w:val="00025C43"/>
    <w:rsid w:val="00025D0F"/>
    <w:rsid w:val="0002608C"/>
    <w:rsid w:val="0002647D"/>
    <w:rsid w:val="00026C88"/>
    <w:rsid w:val="00026F99"/>
    <w:rsid w:val="000271BB"/>
    <w:rsid w:val="00030395"/>
    <w:rsid w:val="00030F3E"/>
    <w:rsid w:val="000318C7"/>
    <w:rsid w:val="00031A90"/>
    <w:rsid w:val="00033962"/>
    <w:rsid w:val="00034189"/>
    <w:rsid w:val="000346C1"/>
    <w:rsid w:val="00034F2E"/>
    <w:rsid w:val="000363CC"/>
    <w:rsid w:val="00036AD3"/>
    <w:rsid w:val="00036D35"/>
    <w:rsid w:val="00037219"/>
    <w:rsid w:val="00037DC7"/>
    <w:rsid w:val="000400AF"/>
    <w:rsid w:val="0004079A"/>
    <w:rsid w:val="00040829"/>
    <w:rsid w:val="000410EF"/>
    <w:rsid w:val="00041A70"/>
    <w:rsid w:val="00041FB8"/>
    <w:rsid w:val="000426D2"/>
    <w:rsid w:val="000427ED"/>
    <w:rsid w:val="00044709"/>
    <w:rsid w:val="00045847"/>
    <w:rsid w:val="00045A86"/>
    <w:rsid w:val="00045D23"/>
    <w:rsid w:val="00045FF3"/>
    <w:rsid w:val="0004645C"/>
    <w:rsid w:val="0004667E"/>
    <w:rsid w:val="00046703"/>
    <w:rsid w:val="00046706"/>
    <w:rsid w:val="00046B10"/>
    <w:rsid w:val="00046E7F"/>
    <w:rsid w:val="00047282"/>
    <w:rsid w:val="000475CD"/>
    <w:rsid w:val="000475DB"/>
    <w:rsid w:val="00047749"/>
    <w:rsid w:val="0004775D"/>
    <w:rsid w:val="00047893"/>
    <w:rsid w:val="000479BC"/>
    <w:rsid w:val="00047CE4"/>
    <w:rsid w:val="000500CE"/>
    <w:rsid w:val="00050518"/>
    <w:rsid w:val="00050DEB"/>
    <w:rsid w:val="000513E3"/>
    <w:rsid w:val="00051637"/>
    <w:rsid w:val="00051EE7"/>
    <w:rsid w:val="00051FEC"/>
    <w:rsid w:val="00052A87"/>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DDC"/>
    <w:rsid w:val="00060EEF"/>
    <w:rsid w:val="000611EE"/>
    <w:rsid w:val="00062045"/>
    <w:rsid w:val="000624F5"/>
    <w:rsid w:val="000627D7"/>
    <w:rsid w:val="00062BC4"/>
    <w:rsid w:val="0006356F"/>
    <w:rsid w:val="00065892"/>
    <w:rsid w:val="000660A0"/>
    <w:rsid w:val="00066E87"/>
    <w:rsid w:val="00067B66"/>
    <w:rsid w:val="00067CCA"/>
    <w:rsid w:val="00067D53"/>
    <w:rsid w:val="00067F68"/>
    <w:rsid w:val="000702E6"/>
    <w:rsid w:val="0007113B"/>
    <w:rsid w:val="000713B2"/>
    <w:rsid w:val="00071815"/>
    <w:rsid w:val="00071CE5"/>
    <w:rsid w:val="00072D92"/>
    <w:rsid w:val="00072DA7"/>
    <w:rsid w:val="0007404A"/>
    <w:rsid w:val="000740E0"/>
    <w:rsid w:val="00074422"/>
    <w:rsid w:val="00074C2F"/>
    <w:rsid w:val="00075BCA"/>
    <w:rsid w:val="00076180"/>
    <w:rsid w:val="00076D97"/>
    <w:rsid w:val="00076DA6"/>
    <w:rsid w:val="0007752D"/>
    <w:rsid w:val="00077DE8"/>
    <w:rsid w:val="00077E39"/>
    <w:rsid w:val="00080AD0"/>
    <w:rsid w:val="000816D2"/>
    <w:rsid w:val="00081CBE"/>
    <w:rsid w:val="00081DCB"/>
    <w:rsid w:val="00082E6E"/>
    <w:rsid w:val="00083962"/>
    <w:rsid w:val="00084050"/>
    <w:rsid w:val="00084072"/>
    <w:rsid w:val="00085382"/>
    <w:rsid w:val="00085C21"/>
    <w:rsid w:val="000860A2"/>
    <w:rsid w:val="0008643B"/>
    <w:rsid w:val="000869C7"/>
    <w:rsid w:val="00086FC2"/>
    <w:rsid w:val="0008739D"/>
    <w:rsid w:val="00087545"/>
    <w:rsid w:val="00090469"/>
    <w:rsid w:val="00090FC7"/>
    <w:rsid w:val="00091380"/>
    <w:rsid w:val="00091B17"/>
    <w:rsid w:val="00091DAF"/>
    <w:rsid w:val="00093566"/>
    <w:rsid w:val="00093D2F"/>
    <w:rsid w:val="0009499D"/>
    <w:rsid w:val="0009533F"/>
    <w:rsid w:val="00095421"/>
    <w:rsid w:val="0009562E"/>
    <w:rsid w:val="000962FD"/>
    <w:rsid w:val="00096849"/>
    <w:rsid w:val="00097206"/>
    <w:rsid w:val="00097866"/>
    <w:rsid w:val="00097AE9"/>
    <w:rsid w:val="00097B7E"/>
    <w:rsid w:val="00097CD0"/>
    <w:rsid w:val="000A0137"/>
    <w:rsid w:val="000A0646"/>
    <w:rsid w:val="000A18EA"/>
    <w:rsid w:val="000A2D8A"/>
    <w:rsid w:val="000A2FE6"/>
    <w:rsid w:val="000A381D"/>
    <w:rsid w:val="000A3F9A"/>
    <w:rsid w:val="000A4328"/>
    <w:rsid w:val="000A4462"/>
    <w:rsid w:val="000A59DD"/>
    <w:rsid w:val="000A5F65"/>
    <w:rsid w:val="000A631B"/>
    <w:rsid w:val="000A7644"/>
    <w:rsid w:val="000B03AD"/>
    <w:rsid w:val="000B0DDB"/>
    <w:rsid w:val="000B24A7"/>
    <w:rsid w:val="000B2B19"/>
    <w:rsid w:val="000B30D0"/>
    <w:rsid w:val="000B3495"/>
    <w:rsid w:val="000B34D2"/>
    <w:rsid w:val="000B3A7A"/>
    <w:rsid w:val="000B435A"/>
    <w:rsid w:val="000B4616"/>
    <w:rsid w:val="000B4642"/>
    <w:rsid w:val="000B46AC"/>
    <w:rsid w:val="000B46CF"/>
    <w:rsid w:val="000B46EA"/>
    <w:rsid w:val="000B4BB5"/>
    <w:rsid w:val="000B4F36"/>
    <w:rsid w:val="000B53BD"/>
    <w:rsid w:val="000B55DF"/>
    <w:rsid w:val="000B5810"/>
    <w:rsid w:val="000B5D25"/>
    <w:rsid w:val="000B652D"/>
    <w:rsid w:val="000B7A04"/>
    <w:rsid w:val="000C01BA"/>
    <w:rsid w:val="000C18A7"/>
    <w:rsid w:val="000C191C"/>
    <w:rsid w:val="000C30F1"/>
    <w:rsid w:val="000C39B2"/>
    <w:rsid w:val="000C436F"/>
    <w:rsid w:val="000C4AA9"/>
    <w:rsid w:val="000C5059"/>
    <w:rsid w:val="000D151D"/>
    <w:rsid w:val="000D1B51"/>
    <w:rsid w:val="000D20BC"/>
    <w:rsid w:val="000D25F9"/>
    <w:rsid w:val="000D2D00"/>
    <w:rsid w:val="000D3E6A"/>
    <w:rsid w:val="000D4068"/>
    <w:rsid w:val="000D4EC6"/>
    <w:rsid w:val="000D5105"/>
    <w:rsid w:val="000D51FD"/>
    <w:rsid w:val="000D5954"/>
    <w:rsid w:val="000D5F43"/>
    <w:rsid w:val="000D6C71"/>
    <w:rsid w:val="000D6D9E"/>
    <w:rsid w:val="000E014D"/>
    <w:rsid w:val="000E106A"/>
    <w:rsid w:val="000E1EAD"/>
    <w:rsid w:val="000E223D"/>
    <w:rsid w:val="000E23EA"/>
    <w:rsid w:val="000E2576"/>
    <w:rsid w:val="000E2672"/>
    <w:rsid w:val="000E32A8"/>
    <w:rsid w:val="000E353D"/>
    <w:rsid w:val="000E3E0E"/>
    <w:rsid w:val="000E47CD"/>
    <w:rsid w:val="000E5B37"/>
    <w:rsid w:val="000E64F4"/>
    <w:rsid w:val="000E66E7"/>
    <w:rsid w:val="000E6A0C"/>
    <w:rsid w:val="000E6FE7"/>
    <w:rsid w:val="000E7E46"/>
    <w:rsid w:val="000F13C8"/>
    <w:rsid w:val="000F216A"/>
    <w:rsid w:val="000F22F2"/>
    <w:rsid w:val="000F23FD"/>
    <w:rsid w:val="000F25B0"/>
    <w:rsid w:val="000F2A96"/>
    <w:rsid w:val="000F3095"/>
    <w:rsid w:val="000F31DF"/>
    <w:rsid w:val="000F3283"/>
    <w:rsid w:val="000F347C"/>
    <w:rsid w:val="000F39E4"/>
    <w:rsid w:val="000F4004"/>
    <w:rsid w:val="000F40ED"/>
    <w:rsid w:val="000F43AD"/>
    <w:rsid w:val="000F5C39"/>
    <w:rsid w:val="000F5C83"/>
    <w:rsid w:val="000F6034"/>
    <w:rsid w:val="000F6E14"/>
    <w:rsid w:val="000F77F9"/>
    <w:rsid w:val="000F7DAE"/>
    <w:rsid w:val="001000C0"/>
    <w:rsid w:val="00100519"/>
    <w:rsid w:val="00102408"/>
    <w:rsid w:val="00102828"/>
    <w:rsid w:val="001035CC"/>
    <w:rsid w:val="00104651"/>
    <w:rsid w:val="00104F67"/>
    <w:rsid w:val="00105207"/>
    <w:rsid w:val="0010577B"/>
    <w:rsid w:val="00105BED"/>
    <w:rsid w:val="0010649B"/>
    <w:rsid w:val="00106D8A"/>
    <w:rsid w:val="00107206"/>
    <w:rsid w:val="00107A7F"/>
    <w:rsid w:val="00110D96"/>
    <w:rsid w:val="00110F3C"/>
    <w:rsid w:val="00111F64"/>
    <w:rsid w:val="001121F9"/>
    <w:rsid w:val="00112282"/>
    <w:rsid w:val="00112D38"/>
    <w:rsid w:val="00112DDF"/>
    <w:rsid w:val="00114092"/>
    <w:rsid w:val="0011414C"/>
    <w:rsid w:val="001144FF"/>
    <w:rsid w:val="00114CCB"/>
    <w:rsid w:val="00115579"/>
    <w:rsid w:val="00115FF1"/>
    <w:rsid w:val="00116D92"/>
    <w:rsid w:val="0011794D"/>
    <w:rsid w:val="00121796"/>
    <w:rsid w:val="0012200F"/>
    <w:rsid w:val="001222D3"/>
    <w:rsid w:val="00122BDC"/>
    <w:rsid w:val="0012302F"/>
    <w:rsid w:val="00123378"/>
    <w:rsid w:val="0012374A"/>
    <w:rsid w:val="001239A7"/>
    <w:rsid w:val="00123CFC"/>
    <w:rsid w:val="001240DD"/>
    <w:rsid w:val="0012443F"/>
    <w:rsid w:val="00124E0A"/>
    <w:rsid w:val="00124E68"/>
    <w:rsid w:val="00124E72"/>
    <w:rsid w:val="0012501E"/>
    <w:rsid w:val="00126E14"/>
    <w:rsid w:val="001275ED"/>
    <w:rsid w:val="00127741"/>
    <w:rsid w:val="0012784A"/>
    <w:rsid w:val="001278C3"/>
    <w:rsid w:val="00127BB4"/>
    <w:rsid w:val="00130481"/>
    <w:rsid w:val="00130F75"/>
    <w:rsid w:val="0013172A"/>
    <w:rsid w:val="0013185B"/>
    <w:rsid w:val="001318EA"/>
    <w:rsid w:val="00131916"/>
    <w:rsid w:val="001323BC"/>
    <w:rsid w:val="00132D1A"/>
    <w:rsid w:val="00133669"/>
    <w:rsid w:val="00133A30"/>
    <w:rsid w:val="00135B8B"/>
    <w:rsid w:val="001368EC"/>
    <w:rsid w:val="00136D1D"/>
    <w:rsid w:val="001378A7"/>
    <w:rsid w:val="00143024"/>
    <w:rsid w:val="00143996"/>
    <w:rsid w:val="00143A99"/>
    <w:rsid w:val="00145020"/>
    <w:rsid w:val="00145573"/>
    <w:rsid w:val="00145B79"/>
    <w:rsid w:val="00145EF7"/>
    <w:rsid w:val="00146A15"/>
    <w:rsid w:val="00146AD2"/>
    <w:rsid w:val="001475AC"/>
    <w:rsid w:val="00147EED"/>
    <w:rsid w:val="00151228"/>
    <w:rsid w:val="0015142D"/>
    <w:rsid w:val="0015149B"/>
    <w:rsid w:val="00151B3B"/>
    <w:rsid w:val="001523D2"/>
    <w:rsid w:val="00152517"/>
    <w:rsid w:val="00152D44"/>
    <w:rsid w:val="001532B7"/>
    <w:rsid w:val="001532BB"/>
    <w:rsid w:val="00153AE3"/>
    <w:rsid w:val="00153E95"/>
    <w:rsid w:val="00154285"/>
    <w:rsid w:val="001546E4"/>
    <w:rsid w:val="001549AF"/>
    <w:rsid w:val="00154B61"/>
    <w:rsid w:val="00155155"/>
    <w:rsid w:val="001551A8"/>
    <w:rsid w:val="0015580F"/>
    <w:rsid w:val="00155F3E"/>
    <w:rsid w:val="00156451"/>
    <w:rsid w:val="00156804"/>
    <w:rsid w:val="00157048"/>
    <w:rsid w:val="00157C35"/>
    <w:rsid w:val="00160E90"/>
    <w:rsid w:val="00160F50"/>
    <w:rsid w:val="00162151"/>
    <w:rsid w:val="001632EF"/>
    <w:rsid w:val="0016339A"/>
    <w:rsid w:val="001646A0"/>
    <w:rsid w:val="00164F64"/>
    <w:rsid w:val="00166A7B"/>
    <w:rsid w:val="00170BCA"/>
    <w:rsid w:val="00171260"/>
    <w:rsid w:val="00172482"/>
    <w:rsid w:val="00173372"/>
    <w:rsid w:val="00173460"/>
    <w:rsid w:val="00173A99"/>
    <w:rsid w:val="00174C34"/>
    <w:rsid w:val="0017518D"/>
    <w:rsid w:val="0017539B"/>
    <w:rsid w:val="0017613E"/>
    <w:rsid w:val="00176D5A"/>
    <w:rsid w:val="00177681"/>
    <w:rsid w:val="00177B38"/>
    <w:rsid w:val="00180209"/>
    <w:rsid w:val="00180690"/>
    <w:rsid w:val="00180DBB"/>
    <w:rsid w:val="001813B4"/>
    <w:rsid w:val="00181646"/>
    <w:rsid w:val="001817AE"/>
    <w:rsid w:val="00181847"/>
    <w:rsid w:val="00182545"/>
    <w:rsid w:val="00182EDF"/>
    <w:rsid w:val="0018339C"/>
    <w:rsid w:val="00183694"/>
    <w:rsid w:val="0018389D"/>
    <w:rsid w:val="00184791"/>
    <w:rsid w:val="00184811"/>
    <w:rsid w:val="00184EE0"/>
    <w:rsid w:val="00184FA9"/>
    <w:rsid w:val="0018652B"/>
    <w:rsid w:val="0018652E"/>
    <w:rsid w:val="0018654C"/>
    <w:rsid w:val="0018673E"/>
    <w:rsid w:val="00186BED"/>
    <w:rsid w:val="0019000D"/>
    <w:rsid w:val="00190D5C"/>
    <w:rsid w:val="0019208E"/>
    <w:rsid w:val="001929AB"/>
    <w:rsid w:val="00192F9F"/>
    <w:rsid w:val="00193095"/>
    <w:rsid w:val="001945D8"/>
    <w:rsid w:val="00194FC8"/>
    <w:rsid w:val="001959A6"/>
    <w:rsid w:val="00195E3D"/>
    <w:rsid w:val="00196E1F"/>
    <w:rsid w:val="001A0303"/>
    <w:rsid w:val="001A04B7"/>
    <w:rsid w:val="001A0A83"/>
    <w:rsid w:val="001A0E2F"/>
    <w:rsid w:val="001A11A2"/>
    <w:rsid w:val="001A11C5"/>
    <w:rsid w:val="001A4642"/>
    <w:rsid w:val="001A48E1"/>
    <w:rsid w:val="001A64F3"/>
    <w:rsid w:val="001A6C30"/>
    <w:rsid w:val="001A6CC9"/>
    <w:rsid w:val="001A6DE0"/>
    <w:rsid w:val="001A7828"/>
    <w:rsid w:val="001A7FCB"/>
    <w:rsid w:val="001B03A4"/>
    <w:rsid w:val="001B0D9E"/>
    <w:rsid w:val="001B2F10"/>
    <w:rsid w:val="001B31B0"/>
    <w:rsid w:val="001B3B3B"/>
    <w:rsid w:val="001B3B8E"/>
    <w:rsid w:val="001B3C65"/>
    <w:rsid w:val="001B4318"/>
    <w:rsid w:val="001B560B"/>
    <w:rsid w:val="001B58A3"/>
    <w:rsid w:val="001B5AD9"/>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FAF"/>
    <w:rsid w:val="001D2D3A"/>
    <w:rsid w:val="001D2D8A"/>
    <w:rsid w:val="001D476E"/>
    <w:rsid w:val="001D4C66"/>
    <w:rsid w:val="001D4D08"/>
    <w:rsid w:val="001D4F6E"/>
    <w:rsid w:val="001D50AC"/>
    <w:rsid w:val="001D5AEB"/>
    <w:rsid w:val="001D7A9C"/>
    <w:rsid w:val="001E09BF"/>
    <w:rsid w:val="001E0AA4"/>
    <w:rsid w:val="001E0C9C"/>
    <w:rsid w:val="001E0D53"/>
    <w:rsid w:val="001E1182"/>
    <w:rsid w:val="001E11B3"/>
    <w:rsid w:val="001E20F2"/>
    <w:rsid w:val="001E27D8"/>
    <w:rsid w:val="001E462C"/>
    <w:rsid w:val="001E5E2F"/>
    <w:rsid w:val="001E5E93"/>
    <w:rsid w:val="001E607F"/>
    <w:rsid w:val="001E6314"/>
    <w:rsid w:val="001E635C"/>
    <w:rsid w:val="001E673A"/>
    <w:rsid w:val="001F10C3"/>
    <w:rsid w:val="001F1968"/>
    <w:rsid w:val="001F1BCC"/>
    <w:rsid w:val="001F2635"/>
    <w:rsid w:val="001F33A2"/>
    <w:rsid w:val="001F4098"/>
    <w:rsid w:val="001F48F6"/>
    <w:rsid w:val="001F4C39"/>
    <w:rsid w:val="001F5026"/>
    <w:rsid w:val="001F628F"/>
    <w:rsid w:val="001F78C1"/>
    <w:rsid w:val="002000A2"/>
    <w:rsid w:val="0020012C"/>
    <w:rsid w:val="002002F1"/>
    <w:rsid w:val="00201EAD"/>
    <w:rsid w:val="0020202A"/>
    <w:rsid w:val="0020219B"/>
    <w:rsid w:val="00202EFC"/>
    <w:rsid w:val="002038F5"/>
    <w:rsid w:val="00203BF7"/>
    <w:rsid w:val="002041A9"/>
    <w:rsid w:val="0020457B"/>
    <w:rsid w:val="00205399"/>
    <w:rsid w:val="0020547F"/>
    <w:rsid w:val="002056A3"/>
    <w:rsid w:val="00206023"/>
    <w:rsid w:val="00206D64"/>
    <w:rsid w:val="00206DF8"/>
    <w:rsid w:val="00207956"/>
    <w:rsid w:val="00207D97"/>
    <w:rsid w:val="00210065"/>
    <w:rsid w:val="00210148"/>
    <w:rsid w:val="002101FF"/>
    <w:rsid w:val="00210F65"/>
    <w:rsid w:val="002112F4"/>
    <w:rsid w:val="002114C3"/>
    <w:rsid w:val="0021194D"/>
    <w:rsid w:val="0021380F"/>
    <w:rsid w:val="00214A6E"/>
    <w:rsid w:val="00214E2F"/>
    <w:rsid w:val="002157E9"/>
    <w:rsid w:val="0021646E"/>
    <w:rsid w:val="002168E1"/>
    <w:rsid w:val="00216C22"/>
    <w:rsid w:val="002170E6"/>
    <w:rsid w:val="00217892"/>
    <w:rsid w:val="00217E09"/>
    <w:rsid w:val="00217E5D"/>
    <w:rsid w:val="00220623"/>
    <w:rsid w:val="00220AA3"/>
    <w:rsid w:val="002218EB"/>
    <w:rsid w:val="00221F39"/>
    <w:rsid w:val="00222C0C"/>
    <w:rsid w:val="00223ED1"/>
    <w:rsid w:val="002258D1"/>
    <w:rsid w:val="0022799A"/>
    <w:rsid w:val="00227A48"/>
    <w:rsid w:val="0023025E"/>
    <w:rsid w:val="00231441"/>
    <w:rsid w:val="00231A96"/>
    <w:rsid w:val="00231E1E"/>
    <w:rsid w:val="002340B9"/>
    <w:rsid w:val="00234A35"/>
    <w:rsid w:val="002351B6"/>
    <w:rsid w:val="00235388"/>
    <w:rsid w:val="00237428"/>
    <w:rsid w:val="00237B45"/>
    <w:rsid w:val="00240574"/>
    <w:rsid w:val="00241391"/>
    <w:rsid w:val="00241474"/>
    <w:rsid w:val="002427AB"/>
    <w:rsid w:val="00242A75"/>
    <w:rsid w:val="00243709"/>
    <w:rsid w:val="002439E1"/>
    <w:rsid w:val="00243FEA"/>
    <w:rsid w:val="002448ED"/>
    <w:rsid w:val="0024504B"/>
    <w:rsid w:val="00245509"/>
    <w:rsid w:val="00247051"/>
    <w:rsid w:val="00247864"/>
    <w:rsid w:val="002506E4"/>
    <w:rsid w:val="00250912"/>
    <w:rsid w:val="00250D0C"/>
    <w:rsid w:val="00250D72"/>
    <w:rsid w:val="00252099"/>
    <w:rsid w:val="00252A34"/>
    <w:rsid w:val="00253DB4"/>
    <w:rsid w:val="00253DED"/>
    <w:rsid w:val="0025481C"/>
    <w:rsid w:val="00254B5F"/>
    <w:rsid w:val="00254EC9"/>
    <w:rsid w:val="00254EE8"/>
    <w:rsid w:val="002551C4"/>
    <w:rsid w:val="002561F0"/>
    <w:rsid w:val="002562C4"/>
    <w:rsid w:val="002566F4"/>
    <w:rsid w:val="00256900"/>
    <w:rsid w:val="00256D40"/>
    <w:rsid w:val="00257C25"/>
    <w:rsid w:val="00262859"/>
    <w:rsid w:val="0026402D"/>
    <w:rsid w:val="00266777"/>
    <w:rsid w:val="002668B7"/>
    <w:rsid w:val="002702AE"/>
    <w:rsid w:val="002710E0"/>
    <w:rsid w:val="00271552"/>
    <w:rsid w:val="00271A36"/>
    <w:rsid w:val="00271B7F"/>
    <w:rsid w:val="0027218B"/>
    <w:rsid w:val="0027248F"/>
    <w:rsid w:val="002725D4"/>
    <w:rsid w:val="00272D78"/>
    <w:rsid w:val="00272EDE"/>
    <w:rsid w:val="002732E2"/>
    <w:rsid w:val="00273AE5"/>
    <w:rsid w:val="00273B26"/>
    <w:rsid w:val="00273EF6"/>
    <w:rsid w:val="002742E3"/>
    <w:rsid w:val="002746A9"/>
    <w:rsid w:val="002746EB"/>
    <w:rsid w:val="00274CEF"/>
    <w:rsid w:val="002750B4"/>
    <w:rsid w:val="00275308"/>
    <w:rsid w:val="00276697"/>
    <w:rsid w:val="00277614"/>
    <w:rsid w:val="00280421"/>
    <w:rsid w:val="00280780"/>
    <w:rsid w:val="00280C75"/>
    <w:rsid w:val="00281711"/>
    <w:rsid w:val="00281DFC"/>
    <w:rsid w:val="0028208B"/>
    <w:rsid w:val="0028353C"/>
    <w:rsid w:val="00284828"/>
    <w:rsid w:val="0028567D"/>
    <w:rsid w:val="002856EC"/>
    <w:rsid w:val="00285A94"/>
    <w:rsid w:val="0028705A"/>
    <w:rsid w:val="0028789C"/>
    <w:rsid w:val="002878F1"/>
    <w:rsid w:val="002907B0"/>
    <w:rsid w:val="00291A24"/>
    <w:rsid w:val="00291AB7"/>
    <w:rsid w:val="0029262E"/>
    <w:rsid w:val="002928B2"/>
    <w:rsid w:val="00292DCA"/>
    <w:rsid w:val="00293A11"/>
    <w:rsid w:val="00293C6A"/>
    <w:rsid w:val="00294DDC"/>
    <w:rsid w:val="00295195"/>
    <w:rsid w:val="0029526D"/>
    <w:rsid w:val="00295449"/>
    <w:rsid w:val="002959C1"/>
    <w:rsid w:val="00296904"/>
    <w:rsid w:val="00296E04"/>
    <w:rsid w:val="002A0167"/>
    <w:rsid w:val="002A0455"/>
    <w:rsid w:val="002A0831"/>
    <w:rsid w:val="002A1A41"/>
    <w:rsid w:val="002A355F"/>
    <w:rsid w:val="002A38B3"/>
    <w:rsid w:val="002A3FCE"/>
    <w:rsid w:val="002A41A0"/>
    <w:rsid w:val="002A48BC"/>
    <w:rsid w:val="002A4B71"/>
    <w:rsid w:val="002A50FC"/>
    <w:rsid w:val="002A52F9"/>
    <w:rsid w:val="002A5610"/>
    <w:rsid w:val="002A5B98"/>
    <w:rsid w:val="002A67C9"/>
    <w:rsid w:val="002A70BE"/>
    <w:rsid w:val="002A71BB"/>
    <w:rsid w:val="002A7903"/>
    <w:rsid w:val="002A7B8E"/>
    <w:rsid w:val="002A7E0A"/>
    <w:rsid w:val="002B016A"/>
    <w:rsid w:val="002B0353"/>
    <w:rsid w:val="002B058F"/>
    <w:rsid w:val="002B1C11"/>
    <w:rsid w:val="002B1C47"/>
    <w:rsid w:val="002B1ECF"/>
    <w:rsid w:val="002B2933"/>
    <w:rsid w:val="002B35B9"/>
    <w:rsid w:val="002B4812"/>
    <w:rsid w:val="002B5C9D"/>
    <w:rsid w:val="002B5DAC"/>
    <w:rsid w:val="002B64C9"/>
    <w:rsid w:val="002B68FA"/>
    <w:rsid w:val="002B6EEA"/>
    <w:rsid w:val="002B6F88"/>
    <w:rsid w:val="002B7021"/>
    <w:rsid w:val="002B7719"/>
    <w:rsid w:val="002B79B8"/>
    <w:rsid w:val="002B7F7A"/>
    <w:rsid w:val="002C14DB"/>
    <w:rsid w:val="002C1740"/>
    <w:rsid w:val="002C21AF"/>
    <w:rsid w:val="002C2F35"/>
    <w:rsid w:val="002C3451"/>
    <w:rsid w:val="002C366C"/>
    <w:rsid w:val="002C375C"/>
    <w:rsid w:val="002C3A95"/>
    <w:rsid w:val="002C3EAC"/>
    <w:rsid w:val="002C433A"/>
    <w:rsid w:val="002C4C54"/>
    <w:rsid w:val="002C50D0"/>
    <w:rsid w:val="002C6703"/>
    <w:rsid w:val="002C6811"/>
    <w:rsid w:val="002C7ECB"/>
    <w:rsid w:val="002C7F0F"/>
    <w:rsid w:val="002D083F"/>
    <w:rsid w:val="002D152C"/>
    <w:rsid w:val="002D2268"/>
    <w:rsid w:val="002D2818"/>
    <w:rsid w:val="002D4A1C"/>
    <w:rsid w:val="002D4BE8"/>
    <w:rsid w:val="002D55B8"/>
    <w:rsid w:val="002D5A80"/>
    <w:rsid w:val="002D5FE4"/>
    <w:rsid w:val="002D6486"/>
    <w:rsid w:val="002D64D5"/>
    <w:rsid w:val="002D75B1"/>
    <w:rsid w:val="002D76C9"/>
    <w:rsid w:val="002E06EC"/>
    <w:rsid w:val="002E07D7"/>
    <w:rsid w:val="002E0860"/>
    <w:rsid w:val="002E09C8"/>
    <w:rsid w:val="002E0CB1"/>
    <w:rsid w:val="002E13D4"/>
    <w:rsid w:val="002E144E"/>
    <w:rsid w:val="002E1DF9"/>
    <w:rsid w:val="002E1EB4"/>
    <w:rsid w:val="002E23A9"/>
    <w:rsid w:val="002E2868"/>
    <w:rsid w:val="002E2B95"/>
    <w:rsid w:val="002E2C9D"/>
    <w:rsid w:val="002E3889"/>
    <w:rsid w:val="002E3CDD"/>
    <w:rsid w:val="002E4014"/>
    <w:rsid w:val="002E45B0"/>
    <w:rsid w:val="002E4DC8"/>
    <w:rsid w:val="002E4E84"/>
    <w:rsid w:val="002E4F6E"/>
    <w:rsid w:val="002E5364"/>
    <w:rsid w:val="002E5677"/>
    <w:rsid w:val="002E615F"/>
    <w:rsid w:val="002E61A3"/>
    <w:rsid w:val="002E62FE"/>
    <w:rsid w:val="002E6853"/>
    <w:rsid w:val="002E6A32"/>
    <w:rsid w:val="002E6DE0"/>
    <w:rsid w:val="002E76F2"/>
    <w:rsid w:val="002F0087"/>
    <w:rsid w:val="002F06CB"/>
    <w:rsid w:val="002F074E"/>
    <w:rsid w:val="002F1284"/>
    <w:rsid w:val="002F143D"/>
    <w:rsid w:val="002F1CC1"/>
    <w:rsid w:val="002F2D16"/>
    <w:rsid w:val="002F339F"/>
    <w:rsid w:val="002F3457"/>
    <w:rsid w:val="002F3CB2"/>
    <w:rsid w:val="002F3D01"/>
    <w:rsid w:val="002F4FC7"/>
    <w:rsid w:val="002F6DDF"/>
    <w:rsid w:val="002F71F0"/>
    <w:rsid w:val="002F7BB7"/>
    <w:rsid w:val="002F7D35"/>
    <w:rsid w:val="002F7F2F"/>
    <w:rsid w:val="0030018B"/>
    <w:rsid w:val="003006F2"/>
    <w:rsid w:val="003014DB"/>
    <w:rsid w:val="00301EA8"/>
    <w:rsid w:val="0030210E"/>
    <w:rsid w:val="0030245D"/>
    <w:rsid w:val="003029B2"/>
    <w:rsid w:val="003033BB"/>
    <w:rsid w:val="00303986"/>
    <w:rsid w:val="00304815"/>
    <w:rsid w:val="003051CB"/>
    <w:rsid w:val="003053DE"/>
    <w:rsid w:val="0030545A"/>
    <w:rsid w:val="0030587E"/>
    <w:rsid w:val="0030627E"/>
    <w:rsid w:val="00307709"/>
    <w:rsid w:val="00307B3C"/>
    <w:rsid w:val="00307CAA"/>
    <w:rsid w:val="00310A51"/>
    <w:rsid w:val="00311C2C"/>
    <w:rsid w:val="00311C7B"/>
    <w:rsid w:val="003120D8"/>
    <w:rsid w:val="0031216F"/>
    <w:rsid w:val="0031249A"/>
    <w:rsid w:val="00313105"/>
    <w:rsid w:val="003141BE"/>
    <w:rsid w:val="003141D7"/>
    <w:rsid w:val="00314293"/>
    <w:rsid w:val="003146CE"/>
    <w:rsid w:val="00315149"/>
    <w:rsid w:val="003152E6"/>
    <w:rsid w:val="0031565E"/>
    <w:rsid w:val="00315CEB"/>
    <w:rsid w:val="00315E64"/>
    <w:rsid w:val="00315E81"/>
    <w:rsid w:val="00316096"/>
    <w:rsid w:val="0031757D"/>
    <w:rsid w:val="0031766B"/>
    <w:rsid w:val="00317713"/>
    <w:rsid w:val="00317763"/>
    <w:rsid w:val="003203AE"/>
    <w:rsid w:val="00321D9D"/>
    <w:rsid w:val="00322348"/>
    <w:rsid w:val="003225F8"/>
    <w:rsid w:val="00322EC6"/>
    <w:rsid w:val="00323632"/>
    <w:rsid w:val="0032366D"/>
    <w:rsid w:val="00323C80"/>
    <w:rsid w:val="00323F4A"/>
    <w:rsid w:val="003243D8"/>
    <w:rsid w:val="00324C88"/>
    <w:rsid w:val="00324E4C"/>
    <w:rsid w:val="00325E77"/>
    <w:rsid w:val="003260DF"/>
    <w:rsid w:val="00327B44"/>
    <w:rsid w:val="003310CC"/>
    <w:rsid w:val="003322FD"/>
    <w:rsid w:val="003328AF"/>
    <w:rsid w:val="00333176"/>
    <w:rsid w:val="00333A7C"/>
    <w:rsid w:val="00333ED4"/>
    <w:rsid w:val="003340CA"/>
    <w:rsid w:val="00334E2D"/>
    <w:rsid w:val="00334E75"/>
    <w:rsid w:val="0033532F"/>
    <w:rsid w:val="00335E1A"/>
    <w:rsid w:val="00335F0E"/>
    <w:rsid w:val="00336A1C"/>
    <w:rsid w:val="00336D48"/>
    <w:rsid w:val="0033732E"/>
    <w:rsid w:val="00337D5D"/>
    <w:rsid w:val="00337FD0"/>
    <w:rsid w:val="0034000A"/>
    <w:rsid w:val="00340185"/>
    <w:rsid w:val="0034096C"/>
    <w:rsid w:val="003413AF"/>
    <w:rsid w:val="00341DBC"/>
    <w:rsid w:val="00342A96"/>
    <w:rsid w:val="00342C06"/>
    <w:rsid w:val="00342C6D"/>
    <w:rsid w:val="0034368A"/>
    <w:rsid w:val="00343A4F"/>
    <w:rsid w:val="00343D3E"/>
    <w:rsid w:val="0034423E"/>
    <w:rsid w:val="0034470D"/>
    <w:rsid w:val="00344D7E"/>
    <w:rsid w:val="00344F53"/>
    <w:rsid w:val="00344F58"/>
    <w:rsid w:val="003457A4"/>
    <w:rsid w:val="00345B1C"/>
    <w:rsid w:val="00345D31"/>
    <w:rsid w:val="003461F9"/>
    <w:rsid w:val="003470BB"/>
    <w:rsid w:val="00347B01"/>
    <w:rsid w:val="00350010"/>
    <w:rsid w:val="00350666"/>
    <w:rsid w:val="003508B6"/>
    <w:rsid w:val="00350AE0"/>
    <w:rsid w:val="00350D18"/>
    <w:rsid w:val="0035148F"/>
    <w:rsid w:val="00352184"/>
    <w:rsid w:val="00352A0E"/>
    <w:rsid w:val="00352EEF"/>
    <w:rsid w:val="00352FC2"/>
    <w:rsid w:val="00353596"/>
    <w:rsid w:val="003535F8"/>
    <w:rsid w:val="00353B69"/>
    <w:rsid w:val="00354744"/>
    <w:rsid w:val="00354A65"/>
    <w:rsid w:val="00354D78"/>
    <w:rsid w:val="00355E21"/>
    <w:rsid w:val="00355E50"/>
    <w:rsid w:val="00355FE5"/>
    <w:rsid w:val="00356FBC"/>
    <w:rsid w:val="00357CEA"/>
    <w:rsid w:val="00357E91"/>
    <w:rsid w:val="003602B7"/>
    <w:rsid w:val="003602F1"/>
    <w:rsid w:val="003605DF"/>
    <w:rsid w:val="003606A1"/>
    <w:rsid w:val="00360BE0"/>
    <w:rsid w:val="00361B88"/>
    <w:rsid w:val="00362618"/>
    <w:rsid w:val="00363C01"/>
    <w:rsid w:val="00363D3E"/>
    <w:rsid w:val="00363E43"/>
    <w:rsid w:val="00365566"/>
    <w:rsid w:val="003665A4"/>
    <w:rsid w:val="00366BD6"/>
    <w:rsid w:val="00366DFE"/>
    <w:rsid w:val="00366E31"/>
    <w:rsid w:val="0036712A"/>
    <w:rsid w:val="00367EF4"/>
    <w:rsid w:val="00370CE1"/>
    <w:rsid w:val="003722E4"/>
    <w:rsid w:val="003726DF"/>
    <w:rsid w:val="0037286C"/>
    <w:rsid w:val="00372EB8"/>
    <w:rsid w:val="00372EE1"/>
    <w:rsid w:val="00373A37"/>
    <w:rsid w:val="00373BE9"/>
    <w:rsid w:val="00373FDF"/>
    <w:rsid w:val="003745B3"/>
    <w:rsid w:val="00374DDC"/>
    <w:rsid w:val="00374FA6"/>
    <w:rsid w:val="00374FAA"/>
    <w:rsid w:val="003750A9"/>
    <w:rsid w:val="00375996"/>
    <w:rsid w:val="003761D3"/>
    <w:rsid w:val="00376750"/>
    <w:rsid w:val="00376DD6"/>
    <w:rsid w:val="00377BFA"/>
    <w:rsid w:val="00377DDF"/>
    <w:rsid w:val="00380A58"/>
    <w:rsid w:val="00380C08"/>
    <w:rsid w:val="0038166F"/>
    <w:rsid w:val="00381D83"/>
    <w:rsid w:val="00381FE2"/>
    <w:rsid w:val="00382010"/>
    <w:rsid w:val="0038206F"/>
    <w:rsid w:val="00382F0C"/>
    <w:rsid w:val="0038327C"/>
    <w:rsid w:val="00383F45"/>
    <w:rsid w:val="00384310"/>
    <w:rsid w:val="00384835"/>
    <w:rsid w:val="00384A18"/>
    <w:rsid w:val="00385389"/>
    <w:rsid w:val="00385529"/>
    <w:rsid w:val="0038564B"/>
    <w:rsid w:val="00385913"/>
    <w:rsid w:val="003861D6"/>
    <w:rsid w:val="00386614"/>
    <w:rsid w:val="0038718B"/>
    <w:rsid w:val="00387FC3"/>
    <w:rsid w:val="0039034F"/>
    <w:rsid w:val="003908B0"/>
    <w:rsid w:val="00390E03"/>
    <w:rsid w:val="00390F37"/>
    <w:rsid w:val="003912EF"/>
    <w:rsid w:val="003918D3"/>
    <w:rsid w:val="00392193"/>
    <w:rsid w:val="0039228A"/>
    <w:rsid w:val="00392711"/>
    <w:rsid w:val="003927A0"/>
    <w:rsid w:val="00392B8C"/>
    <w:rsid w:val="00393DDF"/>
    <w:rsid w:val="00393FEC"/>
    <w:rsid w:val="0039472B"/>
    <w:rsid w:val="00395A83"/>
    <w:rsid w:val="00395AB5"/>
    <w:rsid w:val="00395D87"/>
    <w:rsid w:val="003A0208"/>
    <w:rsid w:val="003A1610"/>
    <w:rsid w:val="003A17EA"/>
    <w:rsid w:val="003A1ABA"/>
    <w:rsid w:val="003A1D1D"/>
    <w:rsid w:val="003A251C"/>
    <w:rsid w:val="003A3015"/>
    <w:rsid w:val="003A33DA"/>
    <w:rsid w:val="003A3583"/>
    <w:rsid w:val="003A39F1"/>
    <w:rsid w:val="003A4377"/>
    <w:rsid w:val="003A4568"/>
    <w:rsid w:val="003A4D98"/>
    <w:rsid w:val="003A4E43"/>
    <w:rsid w:val="003A4FC9"/>
    <w:rsid w:val="003A60A5"/>
    <w:rsid w:val="003A69F1"/>
    <w:rsid w:val="003A6C45"/>
    <w:rsid w:val="003A6C97"/>
    <w:rsid w:val="003A72B3"/>
    <w:rsid w:val="003A72BF"/>
    <w:rsid w:val="003A7FB4"/>
    <w:rsid w:val="003B07BE"/>
    <w:rsid w:val="003B12ED"/>
    <w:rsid w:val="003B2488"/>
    <w:rsid w:val="003B30E0"/>
    <w:rsid w:val="003B3BD8"/>
    <w:rsid w:val="003B4034"/>
    <w:rsid w:val="003B56CC"/>
    <w:rsid w:val="003B5ACF"/>
    <w:rsid w:val="003B5CF5"/>
    <w:rsid w:val="003B5E47"/>
    <w:rsid w:val="003B6BEE"/>
    <w:rsid w:val="003B7045"/>
    <w:rsid w:val="003B7672"/>
    <w:rsid w:val="003B783E"/>
    <w:rsid w:val="003B7D21"/>
    <w:rsid w:val="003C00F9"/>
    <w:rsid w:val="003C03B7"/>
    <w:rsid w:val="003C13CC"/>
    <w:rsid w:val="003C1926"/>
    <w:rsid w:val="003C287F"/>
    <w:rsid w:val="003C4331"/>
    <w:rsid w:val="003C4A40"/>
    <w:rsid w:val="003C5374"/>
    <w:rsid w:val="003C5837"/>
    <w:rsid w:val="003C678D"/>
    <w:rsid w:val="003C6815"/>
    <w:rsid w:val="003C6E8E"/>
    <w:rsid w:val="003C7090"/>
    <w:rsid w:val="003C742D"/>
    <w:rsid w:val="003D004D"/>
    <w:rsid w:val="003D07B4"/>
    <w:rsid w:val="003D0922"/>
    <w:rsid w:val="003D0936"/>
    <w:rsid w:val="003D11ED"/>
    <w:rsid w:val="003D1EB1"/>
    <w:rsid w:val="003D1FA8"/>
    <w:rsid w:val="003D203A"/>
    <w:rsid w:val="003D3458"/>
    <w:rsid w:val="003D3749"/>
    <w:rsid w:val="003D3885"/>
    <w:rsid w:val="003D3886"/>
    <w:rsid w:val="003D3931"/>
    <w:rsid w:val="003D3EA0"/>
    <w:rsid w:val="003D4494"/>
    <w:rsid w:val="003D484F"/>
    <w:rsid w:val="003D4A06"/>
    <w:rsid w:val="003D5155"/>
    <w:rsid w:val="003D5321"/>
    <w:rsid w:val="003D5459"/>
    <w:rsid w:val="003D5965"/>
    <w:rsid w:val="003D5CC0"/>
    <w:rsid w:val="003D76A1"/>
    <w:rsid w:val="003D7F08"/>
    <w:rsid w:val="003E0258"/>
    <w:rsid w:val="003E0B47"/>
    <w:rsid w:val="003E0D98"/>
    <w:rsid w:val="003E10D3"/>
    <w:rsid w:val="003E1D25"/>
    <w:rsid w:val="003E1D46"/>
    <w:rsid w:val="003E28EA"/>
    <w:rsid w:val="003E2BA4"/>
    <w:rsid w:val="003E2D3B"/>
    <w:rsid w:val="003E3AA6"/>
    <w:rsid w:val="003E3E34"/>
    <w:rsid w:val="003E4A67"/>
    <w:rsid w:val="003E500C"/>
    <w:rsid w:val="003E74B1"/>
    <w:rsid w:val="003F031C"/>
    <w:rsid w:val="003F08F6"/>
    <w:rsid w:val="003F0A7E"/>
    <w:rsid w:val="003F25A9"/>
    <w:rsid w:val="003F305C"/>
    <w:rsid w:val="003F3995"/>
    <w:rsid w:val="003F59DD"/>
    <w:rsid w:val="003F6159"/>
    <w:rsid w:val="003F62D3"/>
    <w:rsid w:val="003F734F"/>
    <w:rsid w:val="003F7C53"/>
    <w:rsid w:val="003F7F76"/>
    <w:rsid w:val="0040024E"/>
    <w:rsid w:val="00400B78"/>
    <w:rsid w:val="00400E24"/>
    <w:rsid w:val="004012C2"/>
    <w:rsid w:val="0040178A"/>
    <w:rsid w:val="00401C06"/>
    <w:rsid w:val="00401CDC"/>
    <w:rsid w:val="0040203F"/>
    <w:rsid w:val="00402FD6"/>
    <w:rsid w:val="00403461"/>
    <w:rsid w:val="00404E7F"/>
    <w:rsid w:val="004055AD"/>
    <w:rsid w:val="00405674"/>
    <w:rsid w:val="00405A85"/>
    <w:rsid w:val="00405F8D"/>
    <w:rsid w:val="00406C14"/>
    <w:rsid w:val="00406DAD"/>
    <w:rsid w:val="004072C6"/>
    <w:rsid w:val="00407B24"/>
    <w:rsid w:val="00407EEA"/>
    <w:rsid w:val="00407EF7"/>
    <w:rsid w:val="004106BA"/>
    <w:rsid w:val="00410CB3"/>
    <w:rsid w:val="00411D3A"/>
    <w:rsid w:val="00412378"/>
    <w:rsid w:val="0041297C"/>
    <w:rsid w:val="00412AEF"/>
    <w:rsid w:val="00412D46"/>
    <w:rsid w:val="00413693"/>
    <w:rsid w:val="00414B24"/>
    <w:rsid w:val="0041506B"/>
    <w:rsid w:val="00415934"/>
    <w:rsid w:val="00415C8F"/>
    <w:rsid w:val="004161EA"/>
    <w:rsid w:val="004164AC"/>
    <w:rsid w:val="004171B1"/>
    <w:rsid w:val="004174A4"/>
    <w:rsid w:val="00420047"/>
    <w:rsid w:val="004223DC"/>
    <w:rsid w:val="004225BE"/>
    <w:rsid w:val="00422A14"/>
    <w:rsid w:val="004232D8"/>
    <w:rsid w:val="004245DD"/>
    <w:rsid w:val="00424AB3"/>
    <w:rsid w:val="0042514D"/>
    <w:rsid w:val="00425D07"/>
    <w:rsid w:val="00426811"/>
    <w:rsid w:val="0043012E"/>
    <w:rsid w:val="00430C44"/>
    <w:rsid w:val="00431032"/>
    <w:rsid w:val="004315E5"/>
    <w:rsid w:val="00431F67"/>
    <w:rsid w:val="00431F9F"/>
    <w:rsid w:val="0043268A"/>
    <w:rsid w:val="00432B9B"/>
    <w:rsid w:val="00432C0D"/>
    <w:rsid w:val="00433000"/>
    <w:rsid w:val="004338C4"/>
    <w:rsid w:val="00435BD5"/>
    <w:rsid w:val="00435D92"/>
    <w:rsid w:val="00436656"/>
    <w:rsid w:val="00436837"/>
    <w:rsid w:val="004377BA"/>
    <w:rsid w:val="00437E58"/>
    <w:rsid w:val="00440430"/>
    <w:rsid w:val="00441380"/>
    <w:rsid w:val="0044160B"/>
    <w:rsid w:val="00441776"/>
    <w:rsid w:val="00441C6C"/>
    <w:rsid w:val="00442091"/>
    <w:rsid w:val="0044348D"/>
    <w:rsid w:val="0044395D"/>
    <w:rsid w:val="00443E15"/>
    <w:rsid w:val="00444990"/>
    <w:rsid w:val="004455B6"/>
    <w:rsid w:val="004455C8"/>
    <w:rsid w:val="004461CF"/>
    <w:rsid w:val="0044659A"/>
    <w:rsid w:val="00446D69"/>
    <w:rsid w:val="004501D8"/>
    <w:rsid w:val="00450526"/>
    <w:rsid w:val="00451D40"/>
    <w:rsid w:val="00451DA7"/>
    <w:rsid w:val="00452433"/>
    <w:rsid w:val="00454AB3"/>
    <w:rsid w:val="004560A0"/>
    <w:rsid w:val="00456437"/>
    <w:rsid w:val="004565FA"/>
    <w:rsid w:val="0045679C"/>
    <w:rsid w:val="00456882"/>
    <w:rsid w:val="00456AA1"/>
    <w:rsid w:val="00456B75"/>
    <w:rsid w:val="00456FDA"/>
    <w:rsid w:val="00461905"/>
    <w:rsid w:val="00462304"/>
    <w:rsid w:val="00462311"/>
    <w:rsid w:val="004626A8"/>
    <w:rsid w:val="004639A5"/>
    <w:rsid w:val="00463CD3"/>
    <w:rsid w:val="00463F6E"/>
    <w:rsid w:val="004645FA"/>
    <w:rsid w:val="0046463F"/>
    <w:rsid w:val="00464910"/>
    <w:rsid w:val="00466212"/>
    <w:rsid w:val="00466BB7"/>
    <w:rsid w:val="0047077B"/>
    <w:rsid w:val="004709B2"/>
    <w:rsid w:val="00470BE2"/>
    <w:rsid w:val="0047148D"/>
    <w:rsid w:val="00472630"/>
    <w:rsid w:val="00472780"/>
    <w:rsid w:val="00473857"/>
    <w:rsid w:val="00473DF9"/>
    <w:rsid w:val="00474155"/>
    <w:rsid w:val="00474E85"/>
    <w:rsid w:val="00474EA6"/>
    <w:rsid w:val="0047507D"/>
    <w:rsid w:val="00475107"/>
    <w:rsid w:val="00475645"/>
    <w:rsid w:val="00475994"/>
    <w:rsid w:val="00475E49"/>
    <w:rsid w:val="004763DA"/>
    <w:rsid w:val="00476734"/>
    <w:rsid w:val="00476CDA"/>
    <w:rsid w:val="004800B2"/>
    <w:rsid w:val="00480456"/>
    <w:rsid w:val="004813BE"/>
    <w:rsid w:val="0048337D"/>
    <w:rsid w:val="004845CC"/>
    <w:rsid w:val="00485214"/>
    <w:rsid w:val="00485452"/>
    <w:rsid w:val="00487615"/>
    <w:rsid w:val="004879FB"/>
    <w:rsid w:val="00487B08"/>
    <w:rsid w:val="00487DF1"/>
    <w:rsid w:val="00487EA4"/>
    <w:rsid w:val="004909E7"/>
    <w:rsid w:val="0049122F"/>
    <w:rsid w:val="004912D6"/>
    <w:rsid w:val="004919B7"/>
    <w:rsid w:val="00492308"/>
    <w:rsid w:val="00493001"/>
    <w:rsid w:val="004930E5"/>
    <w:rsid w:val="00493685"/>
    <w:rsid w:val="00493BA3"/>
    <w:rsid w:val="00494096"/>
    <w:rsid w:val="004953E0"/>
    <w:rsid w:val="00495B56"/>
    <w:rsid w:val="00495C6B"/>
    <w:rsid w:val="004962D3"/>
    <w:rsid w:val="004966B4"/>
    <w:rsid w:val="0049671D"/>
    <w:rsid w:val="0049711A"/>
    <w:rsid w:val="00497632"/>
    <w:rsid w:val="004A089B"/>
    <w:rsid w:val="004A0F1B"/>
    <w:rsid w:val="004A0F43"/>
    <w:rsid w:val="004A2DF1"/>
    <w:rsid w:val="004A30A3"/>
    <w:rsid w:val="004A3202"/>
    <w:rsid w:val="004A4078"/>
    <w:rsid w:val="004A43EB"/>
    <w:rsid w:val="004A4882"/>
    <w:rsid w:val="004A4BDC"/>
    <w:rsid w:val="004A59A7"/>
    <w:rsid w:val="004A624B"/>
    <w:rsid w:val="004A72AC"/>
    <w:rsid w:val="004A73A8"/>
    <w:rsid w:val="004A74D2"/>
    <w:rsid w:val="004B07AC"/>
    <w:rsid w:val="004B1E82"/>
    <w:rsid w:val="004B24A5"/>
    <w:rsid w:val="004B2AFF"/>
    <w:rsid w:val="004B300D"/>
    <w:rsid w:val="004B4628"/>
    <w:rsid w:val="004B49AE"/>
    <w:rsid w:val="004B504F"/>
    <w:rsid w:val="004B50E4"/>
    <w:rsid w:val="004B5491"/>
    <w:rsid w:val="004B5964"/>
    <w:rsid w:val="004B68CA"/>
    <w:rsid w:val="004B7E72"/>
    <w:rsid w:val="004B7F08"/>
    <w:rsid w:val="004C04DA"/>
    <w:rsid w:val="004C05D6"/>
    <w:rsid w:val="004C12AE"/>
    <w:rsid w:val="004C29F9"/>
    <w:rsid w:val="004C2EEC"/>
    <w:rsid w:val="004C321C"/>
    <w:rsid w:val="004C338D"/>
    <w:rsid w:val="004C3E0B"/>
    <w:rsid w:val="004C4C20"/>
    <w:rsid w:val="004C51E7"/>
    <w:rsid w:val="004C5977"/>
    <w:rsid w:val="004C65CF"/>
    <w:rsid w:val="004C6BDB"/>
    <w:rsid w:val="004C7048"/>
    <w:rsid w:val="004D021A"/>
    <w:rsid w:val="004D051D"/>
    <w:rsid w:val="004D1128"/>
    <w:rsid w:val="004D1155"/>
    <w:rsid w:val="004D15C4"/>
    <w:rsid w:val="004D1923"/>
    <w:rsid w:val="004D1F0C"/>
    <w:rsid w:val="004D317E"/>
    <w:rsid w:val="004D3EA0"/>
    <w:rsid w:val="004D4214"/>
    <w:rsid w:val="004D45ED"/>
    <w:rsid w:val="004D47C9"/>
    <w:rsid w:val="004D50D7"/>
    <w:rsid w:val="004D5451"/>
    <w:rsid w:val="004D5CCF"/>
    <w:rsid w:val="004D5E34"/>
    <w:rsid w:val="004D6A4A"/>
    <w:rsid w:val="004D6D41"/>
    <w:rsid w:val="004D7385"/>
    <w:rsid w:val="004D7623"/>
    <w:rsid w:val="004D7CE3"/>
    <w:rsid w:val="004D7FC7"/>
    <w:rsid w:val="004E0A17"/>
    <w:rsid w:val="004E1DFF"/>
    <w:rsid w:val="004E2586"/>
    <w:rsid w:val="004E2828"/>
    <w:rsid w:val="004E361A"/>
    <w:rsid w:val="004E36F1"/>
    <w:rsid w:val="004E48E0"/>
    <w:rsid w:val="004E4B10"/>
    <w:rsid w:val="004E51C1"/>
    <w:rsid w:val="004E5B94"/>
    <w:rsid w:val="004E5C86"/>
    <w:rsid w:val="004E647C"/>
    <w:rsid w:val="004E6A51"/>
    <w:rsid w:val="004E6AB0"/>
    <w:rsid w:val="004E7363"/>
    <w:rsid w:val="004E7A65"/>
    <w:rsid w:val="004F0121"/>
    <w:rsid w:val="004F039B"/>
    <w:rsid w:val="004F0D68"/>
    <w:rsid w:val="004F10CB"/>
    <w:rsid w:val="004F26E3"/>
    <w:rsid w:val="004F3310"/>
    <w:rsid w:val="004F3D93"/>
    <w:rsid w:val="004F42EA"/>
    <w:rsid w:val="004F7124"/>
    <w:rsid w:val="004F7238"/>
    <w:rsid w:val="004F79BB"/>
    <w:rsid w:val="004F7B34"/>
    <w:rsid w:val="004F7CC5"/>
    <w:rsid w:val="00500100"/>
    <w:rsid w:val="00500315"/>
    <w:rsid w:val="0050135A"/>
    <w:rsid w:val="005014C4"/>
    <w:rsid w:val="00501643"/>
    <w:rsid w:val="005016BA"/>
    <w:rsid w:val="00501E30"/>
    <w:rsid w:val="00502674"/>
    <w:rsid w:val="00502743"/>
    <w:rsid w:val="00502CF7"/>
    <w:rsid w:val="00502F82"/>
    <w:rsid w:val="00504D46"/>
    <w:rsid w:val="00504EC8"/>
    <w:rsid w:val="0050524B"/>
    <w:rsid w:val="0050529A"/>
    <w:rsid w:val="00505A4C"/>
    <w:rsid w:val="005060F4"/>
    <w:rsid w:val="0050625F"/>
    <w:rsid w:val="00506EC6"/>
    <w:rsid w:val="00507513"/>
    <w:rsid w:val="005078D4"/>
    <w:rsid w:val="00507F62"/>
    <w:rsid w:val="005106BB"/>
    <w:rsid w:val="00512408"/>
    <w:rsid w:val="00512E29"/>
    <w:rsid w:val="00513F54"/>
    <w:rsid w:val="00514765"/>
    <w:rsid w:val="00514928"/>
    <w:rsid w:val="00515031"/>
    <w:rsid w:val="005150F0"/>
    <w:rsid w:val="00515E11"/>
    <w:rsid w:val="00515F51"/>
    <w:rsid w:val="00516C4B"/>
    <w:rsid w:val="005202DF"/>
    <w:rsid w:val="0052134B"/>
    <w:rsid w:val="00521C36"/>
    <w:rsid w:val="00522091"/>
    <w:rsid w:val="00522DCF"/>
    <w:rsid w:val="00523100"/>
    <w:rsid w:val="0052352F"/>
    <w:rsid w:val="00523794"/>
    <w:rsid w:val="00524F8A"/>
    <w:rsid w:val="00524FAB"/>
    <w:rsid w:val="005250D6"/>
    <w:rsid w:val="00525677"/>
    <w:rsid w:val="00525CBD"/>
    <w:rsid w:val="00525E2C"/>
    <w:rsid w:val="00526137"/>
    <w:rsid w:val="00526172"/>
    <w:rsid w:val="00526613"/>
    <w:rsid w:val="0053062A"/>
    <w:rsid w:val="00530CDE"/>
    <w:rsid w:val="005312F2"/>
    <w:rsid w:val="00531658"/>
    <w:rsid w:val="005318ED"/>
    <w:rsid w:val="00532911"/>
    <w:rsid w:val="00532D12"/>
    <w:rsid w:val="00533C41"/>
    <w:rsid w:val="00533D88"/>
    <w:rsid w:val="0053526B"/>
    <w:rsid w:val="00535898"/>
    <w:rsid w:val="005363AD"/>
    <w:rsid w:val="00536401"/>
    <w:rsid w:val="00536C44"/>
    <w:rsid w:val="00536DFD"/>
    <w:rsid w:val="00536FE3"/>
    <w:rsid w:val="005370D0"/>
    <w:rsid w:val="00537395"/>
    <w:rsid w:val="00537A83"/>
    <w:rsid w:val="00537D0D"/>
    <w:rsid w:val="00540386"/>
    <w:rsid w:val="005405ED"/>
    <w:rsid w:val="00540E23"/>
    <w:rsid w:val="005435BE"/>
    <w:rsid w:val="0054426A"/>
    <w:rsid w:val="005447EE"/>
    <w:rsid w:val="0054498D"/>
    <w:rsid w:val="00544A32"/>
    <w:rsid w:val="00545BC0"/>
    <w:rsid w:val="00545CE7"/>
    <w:rsid w:val="00545F5C"/>
    <w:rsid w:val="005461E1"/>
    <w:rsid w:val="0054654B"/>
    <w:rsid w:val="00546B58"/>
    <w:rsid w:val="00547375"/>
    <w:rsid w:val="005475E3"/>
    <w:rsid w:val="005479B7"/>
    <w:rsid w:val="00547F30"/>
    <w:rsid w:val="00550ED3"/>
    <w:rsid w:val="005514E2"/>
    <w:rsid w:val="0055177F"/>
    <w:rsid w:val="00553673"/>
    <w:rsid w:val="00553ADE"/>
    <w:rsid w:val="00555206"/>
    <w:rsid w:val="005554BC"/>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8AB"/>
    <w:rsid w:val="00564B24"/>
    <w:rsid w:val="00564B2E"/>
    <w:rsid w:val="00564F21"/>
    <w:rsid w:val="00565491"/>
    <w:rsid w:val="005661B9"/>
    <w:rsid w:val="00566239"/>
    <w:rsid w:val="00566F61"/>
    <w:rsid w:val="00567260"/>
    <w:rsid w:val="005674D8"/>
    <w:rsid w:val="00570149"/>
    <w:rsid w:val="005701CA"/>
    <w:rsid w:val="00572A4A"/>
    <w:rsid w:val="00574C37"/>
    <w:rsid w:val="0057502A"/>
    <w:rsid w:val="00575349"/>
    <w:rsid w:val="00575A1F"/>
    <w:rsid w:val="00576E3E"/>
    <w:rsid w:val="005770D2"/>
    <w:rsid w:val="00577FD6"/>
    <w:rsid w:val="00580D17"/>
    <w:rsid w:val="005812E0"/>
    <w:rsid w:val="0058160F"/>
    <w:rsid w:val="00582FE8"/>
    <w:rsid w:val="005831A5"/>
    <w:rsid w:val="0058351D"/>
    <w:rsid w:val="00583623"/>
    <w:rsid w:val="005836B4"/>
    <w:rsid w:val="0058425C"/>
    <w:rsid w:val="005843E9"/>
    <w:rsid w:val="00584F2D"/>
    <w:rsid w:val="0058531C"/>
    <w:rsid w:val="005857DA"/>
    <w:rsid w:val="005857E0"/>
    <w:rsid w:val="00586279"/>
    <w:rsid w:val="0058797B"/>
    <w:rsid w:val="00590CF3"/>
    <w:rsid w:val="00590D4B"/>
    <w:rsid w:val="00591300"/>
    <w:rsid w:val="0059155B"/>
    <w:rsid w:val="00591792"/>
    <w:rsid w:val="005939A3"/>
    <w:rsid w:val="005945A4"/>
    <w:rsid w:val="005954FA"/>
    <w:rsid w:val="0059556E"/>
    <w:rsid w:val="0059575D"/>
    <w:rsid w:val="005962F2"/>
    <w:rsid w:val="00597188"/>
    <w:rsid w:val="00597C08"/>
    <w:rsid w:val="00597C71"/>
    <w:rsid w:val="005A0098"/>
    <w:rsid w:val="005A0159"/>
    <w:rsid w:val="005A0470"/>
    <w:rsid w:val="005A0F30"/>
    <w:rsid w:val="005A13C3"/>
    <w:rsid w:val="005A156C"/>
    <w:rsid w:val="005A2C79"/>
    <w:rsid w:val="005A2C95"/>
    <w:rsid w:val="005A34FE"/>
    <w:rsid w:val="005A4489"/>
    <w:rsid w:val="005A4824"/>
    <w:rsid w:val="005A4A67"/>
    <w:rsid w:val="005A7600"/>
    <w:rsid w:val="005A7990"/>
    <w:rsid w:val="005A7BB3"/>
    <w:rsid w:val="005A7D7B"/>
    <w:rsid w:val="005A7F25"/>
    <w:rsid w:val="005B0016"/>
    <w:rsid w:val="005B0023"/>
    <w:rsid w:val="005B083D"/>
    <w:rsid w:val="005B0897"/>
    <w:rsid w:val="005B08EA"/>
    <w:rsid w:val="005B0C61"/>
    <w:rsid w:val="005B0CCD"/>
    <w:rsid w:val="005B1077"/>
    <w:rsid w:val="005B265A"/>
    <w:rsid w:val="005B27DE"/>
    <w:rsid w:val="005B2A79"/>
    <w:rsid w:val="005B2B1D"/>
    <w:rsid w:val="005B33CB"/>
    <w:rsid w:val="005B35BE"/>
    <w:rsid w:val="005B36F9"/>
    <w:rsid w:val="005B439E"/>
    <w:rsid w:val="005B4B5E"/>
    <w:rsid w:val="005B5EB5"/>
    <w:rsid w:val="005B78EE"/>
    <w:rsid w:val="005B7955"/>
    <w:rsid w:val="005B7968"/>
    <w:rsid w:val="005C038E"/>
    <w:rsid w:val="005C05E7"/>
    <w:rsid w:val="005C0C70"/>
    <w:rsid w:val="005C0D72"/>
    <w:rsid w:val="005C1E2A"/>
    <w:rsid w:val="005C2139"/>
    <w:rsid w:val="005C2456"/>
    <w:rsid w:val="005C2AF9"/>
    <w:rsid w:val="005C2EA8"/>
    <w:rsid w:val="005C3AC1"/>
    <w:rsid w:val="005C3D3E"/>
    <w:rsid w:val="005C4650"/>
    <w:rsid w:val="005C4B4F"/>
    <w:rsid w:val="005C5B1A"/>
    <w:rsid w:val="005C5DB7"/>
    <w:rsid w:val="005C616B"/>
    <w:rsid w:val="005C637C"/>
    <w:rsid w:val="005C63EC"/>
    <w:rsid w:val="005C687D"/>
    <w:rsid w:val="005C6D2D"/>
    <w:rsid w:val="005C6E03"/>
    <w:rsid w:val="005C741B"/>
    <w:rsid w:val="005D0FBC"/>
    <w:rsid w:val="005D1042"/>
    <w:rsid w:val="005D1171"/>
    <w:rsid w:val="005D1252"/>
    <w:rsid w:val="005D1811"/>
    <w:rsid w:val="005D1EB2"/>
    <w:rsid w:val="005D200F"/>
    <w:rsid w:val="005D268B"/>
    <w:rsid w:val="005D3A88"/>
    <w:rsid w:val="005D3B48"/>
    <w:rsid w:val="005D42A4"/>
    <w:rsid w:val="005D46D5"/>
    <w:rsid w:val="005D5FAF"/>
    <w:rsid w:val="005D61A6"/>
    <w:rsid w:val="005D6594"/>
    <w:rsid w:val="005D676C"/>
    <w:rsid w:val="005D7C9B"/>
    <w:rsid w:val="005E0B04"/>
    <w:rsid w:val="005E1FF9"/>
    <w:rsid w:val="005E2651"/>
    <w:rsid w:val="005E29F7"/>
    <w:rsid w:val="005E3815"/>
    <w:rsid w:val="005E3AF7"/>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08"/>
    <w:rsid w:val="005F025C"/>
    <w:rsid w:val="005F0618"/>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6234"/>
    <w:rsid w:val="005F7268"/>
    <w:rsid w:val="006007A0"/>
    <w:rsid w:val="00600E31"/>
    <w:rsid w:val="00602665"/>
    <w:rsid w:val="006031BB"/>
    <w:rsid w:val="006041D9"/>
    <w:rsid w:val="006049AB"/>
    <w:rsid w:val="00604C63"/>
    <w:rsid w:val="006051D9"/>
    <w:rsid w:val="0060527B"/>
    <w:rsid w:val="00605E1F"/>
    <w:rsid w:val="00605FEF"/>
    <w:rsid w:val="00606A0F"/>
    <w:rsid w:val="00606B4E"/>
    <w:rsid w:val="00607983"/>
    <w:rsid w:val="00607D53"/>
    <w:rsid w:val="00610396"/>
    <w:rsid w:val="00610611"/>
    <w:rsid w:val="00610D2B"/>
    <w:rsid w:val="00610F9E"/>
    <w:rsid w:val="0061285E"/>
    <w:rsid w:val="00612A1C"/>
    <w:rsid w:val="006136F4"/>
    <w:rsid w:val="00613F1C"/>
    <w:rsid w:val="00614061"/>
    <w:rsid w:val="00614ACF"/>
    <w:rsid w:val="00614D30"/>
    <w:rsid w:val="00614DD3"/>
    <w:rsid w:val="00615291"/>
    <w:rsid w:val="00615805"/>
    <w:rsid w:val="006158C1"/>
    <w:rsid w:val="00616000"/>
    <w:rsid w:val="006160CF"/>
    <w:rsid w:val="006163CD"/>
    <w:rsid w:val="00616B11"/>
    <w:rsid w:val="00617FA8"/>
    <w:rsid w:val="00621D97"/>
    <w:rsid w:val="00621F81"/>
    <w:rsid w:val="00623045"/>
    <w:rsid w:val="00623633"/>
    <w:rsid w:val="00624558"/>
    <w:rsid w:val="00624F7E"/>
    <w:rsid w:val="006262A8"/>
    <w:rsid w:val="006270DE"/>
    <w:rsid w:val="006279FF"/>
    <w:rsid w:val="00627BC7"/>
    <w:rsid w:val="00627C5A"/>
    <w:rsid w:val="006300F5"/>
    <w:rsid w:val="00631456"/>
    <w:rsid w:val="00632D40"/>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2CD"/>
    <w:rsid w:val="00643C5D"/>
    <w:rsid w:val="00644C9C"/>
    <w:rsid w:val="00644DF4"/>
    <w:rsid w:val="00645C6F"/>
    <w:rsid w:val="0064782E"/>
    <w:rsid w:val="00650096"/>
    <w:rsid w:val="0065066B"/>
    <w:rsid w:val="0065093A"/>
    <w:rsid w:val="00650D31"/>
    <w:rsid w:val="0065133F"/>
    <w:rsid w:val="00651716"/>
    <w:rsid w:val="00651FAB"/>
    <w:rsid w:val="00652EF5"/>
    <w:rsid w:val="006540C9"/>
    <w:rsid w:val="00654894"/>
    <w:rsid w:val="006549C2"/>
    <w:rsid w:val="00654E32"/>
    <w:rsid w:val="006551C8"/>
    <w:rsid w:val="006552AF"/>
    <w:rsid w:val="006554B7"/>
    <w:rsid w:val="006555A3"/>
    <w:rsid w:val="00655A75"/>
    <w:rsid w:val="00655EF8"/>
    <w:rsid w:val="00655F87"/>
    <w:rsid w:val="006569BA"/>
    <w:rsid w:val="00656D24"/>
    <w:rsid w:val="006570B7"/>
    <w:rsid w:val="006575A4"/>
    <w:rsid w:val="00657AD5"/>
    <w:rsid w:val="006602DA"/>
    <w:rsid w:val="00660E11"/>
    <w:rsid w:val="006610E5"/>
    <w:rsid w:val="00661271"/>
    <w:rsid w:val="006613C5"/>
    <w:rsid w:val="006622E9"/>
    <w:rsid w:val="00662CEF"/>
    <w:rsid w:val="00663000"/>
    <w:rsid w:val="00663DA7"/>
    <w:rsid w:val="00663E31"/>
    <w:rsid w:val="00663E94"/>
    <w:rsid w:val="006641CC"/>
    <w:rsid w:val="006645C0"/>
    <w:rsid w:val="006645E3"/>
    <w:rsid w:val="00665A6A"/>
    <w:rsid w:val="00665D70"/>
    <w:rsid w:val="00666B73"/>
    <w:rsid w:val="00667610"/>
    <w:rsid w:val="00667A94"/>
    <w:rsid w:val="00670617"/>
    <w:rsid w:val="00670B76"/>
    <w:rsid w:val="00671BBC"/>
    <w:rsid w:val="00671EB0"/>
    <w:rsid w:val="00672082"/>
    <w:rsid w:val="006732C7"/>
    <w:rsid w:val="00673CD5"/>
    <w:rsid w:val="006751FC"/>
    <w:rsid w:val="00675895"/>
    <w:rsid w:val="0067601C"/>
    <w:rsid w:val="006761D8"/>
    <w:rsid w:val="006764DC"/>
    <w:rsid w:val="00676584"/>
    <w:rsid w:val="00676C3A"/>
    <w:rsid w:val="00677593"/>
    <w:rsid w:val="006776ED"/>
    <w:rsid w:val="00677A1C"/>
    <w:rsid w:val="00677D20"/>
    <w:rsid w:val="0068006E"/>
    <w:rsid w:val="006809CB"/>
    <w:rsid w:val="00680C7E"/>
    <w:rsid w:val="006826E6"/>
    <w:rsid w:val="00682A19"/>
    <w:rsid w:val="00682F41"/>
    <w:rsid w:val="006830C1"/>
    <w:rsid w:val="006835E8"/>
    <w:rsid w:val="00684056"/>
    <w:rsid w:val="006843F9"/>
    <w:rsid w:val="00684BD3"/>
    <w:rsid w:val="00684CCA"/>
    <w:rsid w:val="006862B8"/>
    <w:rsid w:val="00686568"/>
    <w:rsid w:val="00687E40"/>
    <w:rsid w:val="00690B0F"/>
    <w:rsid w:val="00691EEB"/>
    <w:rsid w:val="00692297"/>
    <w:rsid w:val="0069247E"/>
    <w:rsid w:val="00693982"/>
    <w:rsid w:val="00693B7A"/>
    <w:rsid w:val="00694303"/>
    <w:rsid w:val="006943B3"/>
    <w:rsid w:val="006948D6"/>
    <w:rsid w:val="00694A02"/>
    <w:rsid w:val="00695418"/>
    <w:rsid w:val="00696EE6"/>
    <w:rsid w:val="00697172"/>
    <w:rsid w:val="006A0378"/>
    <w:rsid w:val="006A0EB6"/>
    <w:rsid w:val="006A0F7A"/>
    <w:rsid w:val="006A20A0"/>
    <w:rsid w:val="006A33DE"/>
    <w:rsid w:val="006A3840"/>
    <w:rsid w:val="006A4417"/>
    <w:rsid w:val="006A514E"/>
    <w:rsid w:val="006A5EC2"/>
    <w:rsid w:val="006A5FAF"/>
    <w:rsid w:val="006A7394"/>
    <w:rsid w:val="006A7A64"/>
    <w:rsid w:val="006A7FDE"/>
    <w:rsid w:val="006B02CB"/>
    <w:rsid w:val="006B068D"/>
    <w:rsid w:val="006B0F62"/>
    <w:rsid w:val="006B0FC0"/>
    <w:rsid w:val="006B14BB"/>
    <w:rsid w:val="006B2E67"/>
    <w:rsid w:val="006B32D3"/>
    <w:rsid w:val="006B3AAB"/>
    <w:rsid w:val="006B3B25"/>
    <w:rsid w:val="006B477C"/>
    <w:rsid w:val="006B5074"/>
    <w:rsid w:val="006B5D28"/>
    <w:rsid w:val="006B5E6B"/>
    <w:rsid w:val="006B6555"/>
    <w:rsid w:val="006B68D9"/>
    <w:rsid w:val="006B6E59"/>
    <w:rsid w:val="006B7697"/>
    <w:rsid w:val="006B7994"/>
    <w:rsid w:val="006C04F6"/>
    <w:rsid w:val="006C051A"/>
    <w:rsid w:val="006C06C8"/>
    <w:rsid w:val="006C1381"/>
    <w:rsid w:val="006C139C"/>
    <w:rsid w:val="006C152C"/>
    <w:rsid w:val="006C1F2D"/>
    <w:rsid w:val="006C321C"/>
    <w:rsid w:val="006C47C3"/>
    <w:rsid w:val="006C49A3"/>
    <w:rsid w:val="006C4E80"/>
    <w:rsid w:val="006C5444"/>
    <w:rsid w:val="006C654A"/>
    <w:rsid w:val="006C675A"/>
    <w:rsid w:val="006C70E7"/>
    <w:rsid w:val="006C7F2B"/>
    <w:rsid w:val="006D0E13"/>
    <w:rsid w:val="006D0FCB"/>
    <w:rsid w:val="006D27BA"/>
    <w:rsid w:val="006D318D"/>
    <w:rsid w:val="006D3806"/>
    <w:rsid w:val="006D3E3C"/>
    <w:rsid w:val="006D4083"/>
    <w:rsid w:val="006D435A"/>
    <w:rsid w:val="006D4C22"/>
    <w:rsid w:val="006D4F10"/>
    <w:rsid w:val="006D5781"/>
    <w:rsid w:val="006D62C4"/>
    <w:rsid w:val="006D6D9E"/>
    <w:rsid w:val="006D704D"/>
    <w:rsid w:val="006D7263"/>
    <w:rsid w:val="006D72D6"/>
    <w:rsid w:val="006D72E7"/>
    <w:rsid w:val="006E0CD7"/>
    <w:rsid w:val="006E1597"/>
    <w:rsid w:val="006E1BA1"/>
    <w:rsid w:val="006E3510"/>
    <w:rsid w:val="006E3C57"/>
    <w:rsid w:val="006E4678"/>
    <w:rsid w:val="006E4C40"/>
    <w:rsid w:val="006E55B8"/>
    <w:rsid w:val="006E5922"/>
    <w:rsid w:val="006E657D"/>
    <w:rsid w:val="006E6CBC"/>
    <w:rsid w:val="006E6F98"/>
    <w:rsid w:val="006E7F30"/>
    <w:rsid w:val="006F0A2E"/>
    <w:rsid w:val="006F1011"/>
    <w:rsid w:val="006F10E4"/>
    <w:rsid w:val="006F36C6"/>
    <w:rsid w:val="006F37B1"/>
    <w:rsid w:val="006F3F8F"/>
    <w:rsid w:val="006F40A1"/>
    <w:rsid w:val="006F4A61"/>
    <w:rsid w:val="006F4D51"/>
    <w:rsid w:val="006F50AF"/>
    <w:rsid w:val="006F5CB8"/>
    <w:rsid w:val="006F5FBB"/>
    <w:rsid w:val="006F6416"/>
    <w:rsid w:val="006F6553"/>
    <w:rsid w:val="006F6C3C"/>
    <w:rsid w:val="006F7935"/>
    <w:rsid w:val="006F7E03"/>
    <w:rsid w:val="006F7ECF"/>
    <w:rsid w:val="007001E9"/>
    <w:rsid w:val="00700273"/>
    <w:rsid w:val="00700B5E"/>
    <w:rsid w:val="007014FF"/>
    <w:rsid w:val="00701D00"/>
    <w:rsid w:val="007024FC"/>
    <w:rsid w:val="00704004"/>
    <w:rsid w:val="007041F2"/>
    <w:rsid w:val="00704477"/>
    <w:rsid w:val="00704FB2"/>
    <w:rsid w:val="00705989"/>
    <w:rsid w:val="00706DB4"/>
    <w:rsid w:val="00710AE8"/>
    <w:rsid w:val="00710D28"/>
    <w:rsid w:val="0071123F"/>
    <w:rsid w:val="00711355"/>
    <w:rsid w:val="007119D3"/>
    <w:rsid w:val="00712F80"/>
    <w:rsid w:val="00713635"/>
    <w:rsid w:val="00713B6C"/>
    <w:rsid w:val="00713DB7"/>
    <w:rsid w:val="007150CD"/>
    <w:rsid w:val="00715AE9"/>
    <w:rsid w:val="00716890"/>
    <w:rsid w:val="00716B63"/>
    <w:rsid w:val="00717369"/>
    <w:rsid w:val="00720775"/>
    <w:rsid w:val="007218C0"/>
    <w:rsid w:val="00721BD9"/>
    <w:rsid w:val="00722060"/>
    <w:rsid w:val="007223FC"/>
    <w:rsid w:val="007227D6"/>
    <w:rsid w:val="007229F6"/>
    <w:rsid w:val="0072389C"/>
    <w:rsid w:val="007238E9"/>
    <w:rsid w:val="00723C8F"/>
    <w:rsid w:val="0072427F"/>
    <w:rsid w:val="00724AC7"/>
    <w:rsid w:val="00726128"/>
    <w:rsid w:val="0072622F"/>
    <w:rsid w:val="00726486"/>
    <w:rsid w:val="0072652F"/>
    <w:rsid w:val="00726896"/>
    <w:rsid w:val="00726B0D"/>
    <w:rsid w:val="00726FB9"/>
    <w:rsid w:val="0072756C"/>
    <w:rsid w:val="00730458"/>
    <w:rsid w:val="00730E37"/>
    <w:rsid w:val="007310D9"/>
    <w:rsid w:val="00732359"/>
    <w:rsid w:val="0073261A"/>
    <w:rsid w:val="00733735"/>
    <w:rsid w:val="007343C9"/>
    <w:rsid w:val="00734659"/>
    <w:rsid w:val="00734718"/>
    <w:rsid w:val="00734C32"/>
    <w:rsid w:val="00735E4E"/>
    <w:rsid w:val="00735F36"/>
    <w:rsid w:val="0073766E"/>
    <w:rsid w:val="007378CE"/>
    <w:rsid w:val="00740B17"/>
    <w:rsid w:val="007418D6"/>
    <w:rsid w:val="007433D6"/>
    <w:rsid w:val="00743653"/>
    <w:rsid w:val="00743BE2"/>
    <w:rsid w:val="00743F5F"/>
    <w:rsid w:val="00744B29"/>
    <w:rsid w:val="007459F9"/>
    <w:rsid w:val="0074780B"/>
    <w:rsid w:val="00747C82"/>
    <w:rsid w:val="00747D9E"/>
    <w:rsid w:val="00750FF4"/>
    <w:rsid w:val="00751457"/>
    <w:rsid w:val="00751493"/>
    <w:rsid w:val="007516F5"/>
    <w:rsid w:val="00752E32"/>
    <w:rsid w:val="0075347F"/>
    <w:rsid w:val="00753619"/>
    <w:rsid w:val="00753DB7"/>
    <w:rsid w:val="007548A1"/>
    <w:rsid w:val="00754CD2"/>
    <w:rsid w:val="00755BCF"/>
    <w:rsid w:val="00755D57"/>
    <w:rsid w:val="00756546"/>
    <w:rsid w:val="00757425"/>
    <w:rsid w:val="00757E44"/>
    <w:rsid w:val="007601EB"/>
    <w:rsid w:val="0076085E"/>
    <w:rsid w:val="00760ACC"/>
    <w:rsid w:val="007614E1"/>
    <w:rsid w:val="00761E50"/>
    <w:rsid w:val="00762E91"/>
    <w:rsid w:val="0076343E"/>
    <w:rsid w:val="00763E6A"/>
    <w:rsid w:val="00764539"/>
    <w:rsid w:val="00764A2C"/>
    <w:rsid w:val="00764D9A"/>
    <w:rsid w:val="00764DD4"/>
    <w:rsid w:val="007660DA"/>
    <w:rsid w:val="0076614C"/>
    <w:rsid w:val="00766183"/>
    <w:rsid w:val="00766603"/>
    <w:rsid w:val="007670C5"/>
    <w:rsid w:val="00767491"/>
    <w:rsid w:val="00767B60"/>
    <w:rsid w:val="00767B61"/>
    <w:rsid w:val="00767F7A"/>
    <w:rsid w:val="007702AE"/>
    <w:rsid w:val="0077051C"/>
    <w:rsid w:val="00771637"/>
    <w:rsid w:val="00771EC4"/>
    <w:rsid w:val="00774037"/>
    <w:rsid w:val="0077410B"/>
    <w:rsid w:val="00774395"/>
    <w:rsid w:val="00774CD6"/>
    <w:rsid w:val="007752B8"/>
    <w:rsid w:val="00776085"/>
    <w:rsid w:val="007767A0"/>
    <w:rsid w:val="0077684A"/>
    <w:rsid w:val="00776907"/>
    <w:rsid w:val="00776A94"/>
    <w:rsid w:val="00776DD1"/>
    <w:rsid w:val="00777758"/>
    <w:rsid w:val="00780182"/>
    <w:rsid w:val="0078035D"/>
    <w:rsid w:val="0078141F"/>
    <w:rsid w:val="007816C1"/>
    <w:rsid w:val="0078278F"/>
    <w:rsid w:val="00782DBD"/>
    <w:rsid w:val="00783320"/>
    <w:rsid w:val="00783AAD"/>
    <w:rsid w:val="007840AF"/>
    <w:rsid w:val="00784A00"/>
    <w:rsid w:val="00784BFD"/>
    <w:rsid w:val="0078503E"/>
    <w:rsid w:val="00785C21"/>
    <w:rsid w:val="00785D45"/>
    <w:rsid w:val="0078733A"/>
    <w:rsid w:val="00787791"/>
    <w:rsid w:val="0078795A"/>
    <w:rsid w:val="00787CDB"/>
    <w:rsid w:val="00790323"/>
    <w:rsid w:val="007903BD"/>
    <w:rsid w:val="00791328"/>
    <w:rsid w:val="00791C3F"/>
    <w:rsid w:val="00792E3A"/>
    <w:rsid w:val="007930BF"/>
    <w:rsid w:val="0079413F"/>
    <w:rsid w:val="00794527"/>
    <w:rsid w:val="0079473A"/>
    <w:rsid w:val="007947C9"/>
    <w:rsid w:val="00796767"/>
    <w:rsid w:val="00796C3A"/>
    <w:rsid w:val="00797066"/>
    <w:rsid w:val="00797824"/>
    <w:rsid w:val="007A016B"/>
    <w:rsid w:val="007A068D"/>
    <w:rsid w:val="007A0FCA"/>
    <w:rsid w:val="007A17B1"/>
    <w:rsid w:val="007A17E7"/>
    <w:rsid w:val="007A236F"/>
    <w:rsid w:val="007A2802"/>
    <w:rsid w:val="007A2C24"/>
    <w:rsid w:val="007A2E8C"/>
    <w:rsid w:val="007A4E67"/>
    <w:rsid w:val="007A5FB3"/>
    <w:rsid w:val="007A688C"/>
    <w:rsid w:val="007A70A3"/>
    <w:rsid w:val="007A70D6"/>
    <w:rsid w:val="007A7764"/>
    <w:rsid w:val="007B0E47"/>
    <w:rsid w:val="007B1555"/>
    <w:rsid w:val="007B1608"/>
    <w:rsid w:val="007B1A17"/>
    <w:rsid w:val="007B31DC"/>
    <w:rsid w:val="007B41C6"/>
    <w:rsid w:val="007B4671"/>
    <w:rsid w:val="007B53A6"/>
    <w:rsid w:val="007B5D3A"/>
    <w:rsid w:val="007B656B"/>
    <w:rsid w:val="007B73AB"/>
    <w:rsid w:val="007B7735"/>
    <w:rsid w:val="007B7E52"/>
    <w:rsid w:val="007C013D"/>
    <w:rsid w:val="007C1E41"/>
    <w:rsid w:val="007C227F"/>
    <w:rsid w:val="007C2B54"/>
    <w:rsid w:val="007C3292"/>
    <w:rsid w:val="007C3939"/>
    <w:rsid w:val="007C40E7"/>
    <w:rsid w:val="007C4BF3"/>
    <w:rsid w:val="007C7179"/>
    <w:rsid w:val="007C763E"/>
    <w:rsid w:val="007D02CE"/>
    <w:rsid w:val="007D05A6"/>
    <w:rsid w:val="007D121D"/>
    <w:rsid w:val="007D26E0"/>
    <w:rsid w:val="007D3019"/>
    <w:rsid w:val="007D36B5"/>
    <w:rsid w:val="007D3FC8"/>
    <w:rsid w:val="007D47D4"/>
    <w:rsid w:val="007D4BEE"/>
    <w:rsid w:val="007D5396"/>
    <w:rsid w:val="007D57EC"/>
    <w:rsid w:val="007D5B30"/>
    <w:rsid w:val="007D5BCF"/>
    <w:rsid w:val="007D6112"/>
    <w:rsid w:val="007D6886"/>
    <w:rsid w:val="007D6A67"/>
    <w:rsid w:val="007D7377"/>
    <w:rsid w:val="007D7451"/>
    <w:rsid w:val="007D75F9"/>
    <w:rsid w:val="007D7A78"/>
    <w:rsid w:val="007E0059"/>
    <w:rsid w:val="007E006A"/>
    <w:rsid w:val="007E0152"/>
    <w:rsid w:val="007E0215"/>
    <w:rsid w:val="007E155B"/>
    <w:rsid w:val="007E17BF"/>
    <w:rsid w:val="007E1C06"/>
    <w:rsid w:val="007E2A9E"/>
    <w:rsid w:val="007E2E74"/>
    <w:rsid w:val="007E35AA"/>
    <w:rsid w:val="007E3E5E"/>
    <w:rsid w:val="007E462F"/>
    <w:rsid w:val="007E5C19"/>
    <w:rsid w:val="007E6191"/>
    <w:rsid w:val="007E6C94"/>
    <w:rsid w:val="007E7C1F"/>
    <w:rsid w:val="007E7FEA"/>
    <w:rsid w:val="007F0C5D"/>
    <w:rsid w:val="007F1DC9"/>
    <w:rsid w:val="007F2C37"/>
    <w:rsid w:val="007F3006"/>
    <w:rsid w:val="007F3E0B"/>
    <w:rsid w:val="007F465A"/>
    <w:rsid w:val="007F5FF4"/>
    <w:rsid w:val="007F69AB"/>
    <w:rsid w:val="007F718C"/>
    <w:rsid w:val="008002EB"/>
    <w:rsid w:val="00800C09"/>
    <w:rsid w:val="008015E0"/>
    <w:rsid w:val="00801C97"/>
    <w:rsid w:val="0080206D"/>
    <w:rsid w:val="00802408"/>
    <w:rsid w:val="00802E6D"/>
    <w:rsid w:val="008039A2"/>
    <w:rsid w:val="008039B6"/>
    <w:rsid w:val="00803E83"/>
    <w:rsid w:val="00804090"/>
    <w:rsid w:val="00804AD4"/>
    <w:rsid w:val="00804E73"/>
    <w:rsid w:val="00804F1A"/>
    <w:rsid w:val="0080577D"/>
    <w:rsid w:val="00805C39"/>
    <w:rsid w:val="008060D0"/>
    <w:rsid w:val="008064E7"/>
    <w:rsid w:val="00806705"/>
    <w:rsid w:val="00807310"/>
    <w:rsid w:val="00810D4F"/>
    <w:rsid w:val="00810EE1"/>
    <w:rsid w:val="00812E1E"/>
    <w:rsid w:val="008138FB"/>
    <w:rsid w:val="0081408A"/>
    <w:rsid w:val="00814444"/>
    <w:rsid w:val="00815FFB"/>
    <w:rsid w:val="00816448"/>
    <w:rsid w:val="00816AE5"/>
    <w:rsid w:val="00817D79"/>
    <w:rsid w:val="0082015A"/>
    <w:rsid w:val="00820AC6"/>
    <w:rsid w:val="00820DA5"/>
    <w:rsid w:val="00822C19"/>
    <w:rsid w:val="0082361D"/>
    <w:rsid w:val="008237D0"/>
    <w:rsid w:val="00823BFA"/>
    <w:rsid w:val="0082414B"/>
    <w:rsid w:val="0082421B"/>
    <w:rsid w:val="0082610F"/>
    <w:rsid w:val="00826115"/>
    <w:rsid w:val="00826397"/>
    <w:rsid w:val="008263CF"/>
    <w:rsid w:val="00826B47"/>
    <w:rsid w:val="00827665"/>
    <w:rsid w:val="00827B67"/>
    <w:rsid w:val="00827E0C"/>
    <w:rsid w:val="00830B1D"/>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0F3A"/>
    <w:rsid w:val="008417E5"/>
    <w:rsid w:val="008424E1"/>
    <w:rsid w:val="00842FF0"/>
    <w:rsid w:val="00843481"/>
    <w:rsid w:val="008439D9"/>
    <w:rsid w:val="008442E0"/>
    <w:rsid w:val="008447D0"/>
    <w:rsid w:val="008448ED"/>
    <w:rsid w:val="00844A37"/>
    <w:rsid w:val="00844D8D"/>
    <w:rsid w:val="00846CAB"/>
    <w:rsid w:val="00847466"/>
    <w:rsid w:val="008501C8"/>
    <w:rsid w:val="0085091D"/>
    <w:rsid w:val="0085115F"/>
    <w:rsid w:val="008512D7"/>
    <w:rsid w:val="0085167E"/>
    <w:rsid w:val="00851D57"/>
    <w:rsid w:val="00851ECA"/>
    <w:rsid w:val="008521D3"/>
    <w:rsid w:val="00852838"/>
    <w:rsid w:val="00854332"/>
    <w:rsid w:val="008543F0"/>
    <w:rsid w:val="0085469A"/>
    <w:rsid w:val="00854B67"/>
    <w:rsid w:val="00854C1E"/>
    <w:rsid w:val="0085515E"/>
    <w:rsid w:val="008554FE"/>
    <w:rsid w:val="008556A5"/>
    <w:rsid w:val="00855769"/>
    <w:rsid w:val="00855878"/>
    <w:rsid w:val="0085613F"/>
    <w:rsid w:val="00856862"/>
    <w:rsid w:val="00856CB3"/>
    <w:rsid w:val="00856FFD"/>
    <w:rsid w:val="00857929"/>
    <w:rsid w:val="00857A19"/>
    <w:rsid w:val="00860EE1"/>
    <w:rsid w:val="00861FA6"/>
    <w:rsid w:val="00862066"/>
    <w:rsid w:val="0086312B"/>
    <w:rsid w:val="0086346A"/>
    <w:rsid w:val="008641E7"/>
    <w:rsid w:val="008647FC"/>
    <w:rsid w:val="00864990"/>
    <w:rsid w:val="0086569E"/>
    <w:rsid w:val="00865999"/>
    <w:rsid w:val="00867A79"/>
    <w:rsid w:val="00867D37"/>
    <w:rsid w:val="00870E6F"/>
    <w:rsid w:val="00870EBF"/>
    <w:rsid w:val="00871407"/>
    <w:rsid w:val="00871AD5"/>
    <w:rsid w:val="00871D62"/>
    <w:rsid w:val="008729E4"/>
    <w:rsid w:val="0087300A"/>
    <w:rsid w:val="00873ACC"/>
    <w:rsid w:val="008748FB"/>
    <w:rsid w:val="00874B3A"/>
    <w:rsid w:val="00874CBE"/>
    <w:rsid w:val="00875071"/>
    <w:rsid w:val="00875484"/>
    <w:rsid w:val="0087578E"/>
    <w:rsid w:val="008765FF"/>
    <w:rsid w:val="00876737"/>
    <w:rsid w:val="008768C2"/>
    <w:rsid w:val="00880005"/>
    <w:rsid w:val="00880B5A"/>
    <w:rsid w:val="00880F91"/>
    <w:rsid w:val="0088174B"/>
    <w:rsid w:val="00881DA2"/>
    <w:rsid w:val="00882205"/>
    <w:rsid w:val="008832D9"/>
    <w:rsid w:val="00883AA5"/>
    <w:rsid w:val="00884A2C"/>
    <w:rsid w:val="008852F2"/>
    <w:rsid w:val="00885523"/>
    <w:rsid w:val="00885968"/>
    <w:rsid w:val="0088597B"/>
    <w:rsid w:val="00886533"/>
    <w:rsid w:val="00886848"/>
    <w:rsid w:val="008879CF"/>
    <w:rsid w:val="00891335"/>
    <w:rsid w:val="0089180C"/>
    <w:rsid w:val="00891F39"/>
    <w:rsid w:val="00893211"/>
    <w:rsid w:val="0089372D"/>
    <w:rsid w:val="008938A6"/>
    <w:rsid w:val="00894965"/>
    <w:rsid w:val="008954E4"/>
    <w:rsid w:val="00895A11"/>
    <w:rsid w:val="0089634A"/>
    <w:rsid w:val="0089635F"/>
    <w:rsid w:val="00896C55"/>
    <w:rsid w:val="00896C61"/>
    <w:rsid w:val="00897764"/>
    <w:rsid w:val="00897A87"/>
    <w:rsid w:val="008A02EE"/>
    <w:rsid w:val="008A0801"/>
    <w:rsid w:val="008A0E18"/>
    <w:rsid w:val="008A0F4D"/>
    <w:rsid w:val="008A1544"/>
    <w:rsid w:val="008A2BCC"/>
    <w:rsid w:val="008A3D8D"/>
    <w:rsid w:val="008A3DDC"/>
    <w:rsid w:val="008A55D2"/>
    <w:rsid w:val="008B0AAD"/>
    <w:rsid w:val="008B1648"/>
    <w:rsid w:val="008B1B3B"/>
    <w:rsid w:val="008B2687"/>
    <w:rsid w:val="008B2C45"/>
    <w:rsid w:val="008B2ED4"/>
    <w:rsid w:val="008B3D9A"/>
    <w:rsid w:val="008B48DB"/>
    <w:rsid w:val="008B496B"/>
    <w:rsid w:val="008B508B"/>
    <w:rsid w:val="008B5B27"/>
    <w:rsid w:val="008B6125"/>
    <w:rsid w:val="008B74DD"/>
    <w:rsid w:val="008B77C5"/>
    <w:rsid w:val="008B7869"/>
    <w:rsid w:val="008C0079"/>
    <w:rsid w:val="008C0A51"/>
    <w:rsid w:val="008C0C3D"/>
    <w:rsid w:val="008C2218"/>
    <w:rsid w:val="008C295E"/>
    <w:rsid w:val="008C2F28"/>
    <w:rsid w:val="008C2F2B"/>
    <w:rsid w:val="008C36A3"/>
    <w:rsid w:val="008C37E4"/>
    <w:rsid w:val="008C45F5"/>
    <w:rsid w:val="008C499F"/>
    <w:rsid w:val="008C4BDF"/>
    <w:rsid w:val="008C515C"/>
    <w:rsid w:val="008C58B9"/>
    <w:rsid w:val="008C5B6B"/>
    <w:rsid w:val="008C60A2"/>
    <w:rsid w:val="008C6B6B"/>
    <w:rsid w:val="008C7415"/>
    <w:rsid w:val="008C7439"/>
    <w:rsid w:val="008C79E5"/>
    <w:rsid w:val="008C7C52"/>
    <w:rsid w:val="008D0D0D"/>
    <w:rsid w:val="008D0E3A"/>
    <w:rsid w:val="008D16D0"/>
    <w:rsid w:val="008D2188"/>
    <w:rsid w:val="008D2304"/>
    <w:rsid w:val="008D2482"/>
    <w:rsid w:val="008D2D43"/>
    <w:rsid w:val="008D2FBB"/>
    <w:rsid w:val="008D32D3"/>
    <w:rsid w:val="008D3349"/>
    <w:rsid w:val="008D345A"/>
    <w:rsid w:val="008D36E8"/>
    <w:rsid w:val="008D3E7E"/>
    <w:rsid w:val="008D4388"/>
    <w:rsid w:val="008D45E9"/>
    <w:rsid w:val="008D4EBE"/>
    <w:rsid w:val="008D5D65"/>
    <w:rsid w:val="008D61CE"/>
    <w:rsid w:val="008D63F1"/>
    <w:rsid w:val="008D6C35"/>
    <w:rsid w:val="008D6D3A"/>
    <w:rsid w:val="008E0250"/>
    <w:rsid w:val="008E058E"/>
    <w:rsid w:val="008E072B"/>
    <w:rsid w:val="008E27D0"/>
    <w:rsid w:val="008E3071"/>
    <w:rsid w:val="008E495F"/>
    <w:rsid w:val="008E5F21"/>
    <w:rsid w:val="008E6A63"/>
    <w:rsid w:val="008E6A7D"/>
    <w:rsid w:val="008E6CF8"/>
    <w:rsid w:val="008E722E"/>
    <w:rsid w:val="008E7CFA"/>
    <w:rsid w:val="008F02D0"/>
    <w:rsid w:val="008F0CC0"/>
    <w:rsid w:val="008F1201"/>
    <w:rsid w:val="008F12C1"/>
    <w:rsid w:val="008F1CCF"/>
    <w:rsid w:val="008F20D8"/>
    <w:rsid w:val="008F21D7"/>
    <w:rsid w:val="008F341F"/>
    <w:rsid w:val="008F370D"/>
    <w:rsid w:val="008F38F4"/>
    <w:rsid w:val="008F3F5C"/>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176"/>
    <w:rsid w:val="00906339"/>
    <w:rsid w:val="009063DB"/>
    <w:rsid w:val="009065BD"/>
    <w:rsid w:val="009074D4"/>
    <w:rsid w:val="00907BA5"/>
    <w:rsid w:val="00907E56"/>
    <w:rsid w:val="00907E99"/>
    <w:rsid w:val="00907EA3"/>
    <w:rsid w:val="009113E5"/>
    <w:rsid w:val="00912394"/>
    <w:rsid w:val="00912C69"/>
    <w:rsid w:val="00912D7C"/>
    <w:rsid w:val="0091304E"/>
    <w:rsid w:val="009138DD"/>
    <w:rsid w:val="009139A5"/>
    <w:rsid w:val="0091467C"/>
    <w:rsid w:val="009148AE"/>
    <w:rsid w:val="00914ACD"/>
    <w:rsid w:val="0091524F"/>
    <w:rsid w:val="009153EA"/>
    <w:rsid w:val="009154C0"/>
    <w:rsid w:val="00915EE1"/>
    <w:rsid w:val="00916B7A"/>
    <w:rsid w:val="009176B3"/>
    <w:rsid w:val="009200AF"/>
    <w:rsid w:val="00920590"/>
    <w:rsid w:val="00921FCD"/>
    <w:rsid w:val="00924971"/>
    <w:rsid w:val="00924F5E"/>
    <w:rsid w:val="009252E5"/>
    <w:rsid w:val="00926594"/>
    <w:rsid w:val="0092695B"/>
    <w:rsid w:val="00926A46"/>
    <w:rsid w:val="0092736B"/>
    <w:rsid w:val="00930669"/>
    <w:rsid w:val="00930A66"/>
    <w:rsid w:val="00930A91"/>
    <w:rsid w:val="0093160A"/>
    <w:rsid w:val="00931763"/>
    <w:rsid w:val="00931CA2"/>
    <w:rsid w:val="0093237F"/>
    <w:rsid w:val="009328A7"/>
    <w:rsid w:val="00932F92"/>
    <w:rsid w:val="00934541"/>
    <w:rsid w:val="009347D5"/>
    <w:rsid w:val="00935936"/>
    <w:rsid w:val="00935E30"/>
    <w:rsid w:val="00935FFF"/>
    <w:rsid w:val="0093646F"/>
    <w:rsid w:val="00936A93"/>
    <w:rsid w:val="009375E6"/>
    <w:rsid w:val="0094056F"/>
    <w:rsid w:val="0094066A"/>
    <w:rsid w:val="0094115F"/>
    <w:rsid w:val="00943E10"/>
    <w:rsid w:val="00944855"/>
    <w:rsid w:val="009448F1"/>
    <w:rsid w:val="00945E65"/>
    <w:rsid w:val="00946D0E"/>
    <w:rsid w:val="0094705A"/>
    <w:rsid w:val="009507AF"/>
    <w:rsid w:val="0095142F"/>
    <w:rsid w:val="0095184D"/>
    <w:rsid w:val="009529C5"/>
    <w:rsid w:val="00953139"/>
    <w:rsid w:val="009537D9"/>
    <w:rsid w:val="00953C3F"/>
    <w:rsid w:val="00954FA4"/>
    <w:rsid w:val="0095546E"/>
    <w:rsid w:val="00955B31"/>
    <w:rsid w:val="00955B80"/>
    <w:rsid w:val="009563C8"/>
    <w:rsid w:val="00957203"/>
    <w:rsid w:val="00957CA8"/>
    <w:rsid w:val="00960C8B"/>
    <w:rsid w:val="00961394"/>
    <w:rsid w:val="00961864"/>
    <w:rsid w:val="009618D8"/>
    <w:rsid w:val="00962056"/>
    <w:rsid w:val="00962B42"/>
    <w:rsid w:val="00962B47"/>
    <w:rsid w:val="009631BF"/>
    <w:rsid w:val="009638A6"/>
    <w:rsid w:val="0096403F"/>
    <w:rsid w:val="00964B4E"/>
    <w:rsid w:val="0096656D"/>
    <w:rsid w:val="009667DE"/>
    <w:rsid w:val="00966D5B"/>
    <w:rsid w:val="00967B50"/>
    <w:rsid w:val="00967EDC"/>
    <w:rsid w:val="009717F0"/>
    <w:rsid w:val="00971B99"/>
    <w:rsid w:val="00971B9B"/>
    <w:rsid w:val="00971E06"/>
    <w:rsid w:val="00972349"/>
    <w:rsid w:val="0097271B"/>
    <w:rsid w:val="0097286D"/>
    <w:rsid w:val="00973212"/>
    <w:rsid w:val="00973823"/>
    <w:rsid w:val="0097390B"/>
    <w:rsid w:val="009756AB"/>
    <w:rsid w:val="0097589E"/>
    <w:rsid w:val="00976729"/>
    <w:rsid w:val="0097686A"/>
    <w:rsid w:val="00980170"/>
    <w:rsid w:val="00981087"/>
    <w:rsid w:val="009812E8"/>
    <w:rsid w:val="00981326"/>
    <w:rsid w:val="009818EE"/>
    <w:rsid w:val="00981B05"/>
    <w:rsid w:val="00982047"/>
    <w:rsid w:val="00983BE8"/>
    <w:rsid w:val="00983CD6"/>
    <w:rsid w:val="00983E28"/>
    <w:rsid w:val="00984902"/>
    <w:rsid w:val="009852C8"/>
    <w:rsid w:val="00985F3B"/>
    <w:rsid w:val="00986CA0"/>
    <w:rsid w:val="00990115"/>
    <w:rsid w:val="0099011B"/>
    <w:rsid w:val="0099177C"/>
    <w:rsid w:val="00991EBE"/>
    <w:rsid w:val="0099207D"/>
    <w:rsid w:val="00992506"/>
    <w:rsid w:val="009928D9"/>
    <w:rsid w:val="009929E5"/>
    <w:rsid w:val="009936C3"/>
    <w:rsid w:val="00993C93"/>
    <w:rsid w:val="00994065"/>
    <w:rsid w:val="00994E04"/>
    <w:rsid w:val="00995304"/>
    <w:rsid w:val="00995BA4"/>
    <w:rsid w:val="00995DC5"/>
    <w:rsid w:val="00996052"/>
    <w:rsid w:val="009966C3"/>
    <w:rsid w:val="00996D6E"/>
    <w:rsid w:val="00996DCE"/>
    <w:rsid w:val="0099759B"/>
    <w:rsid w:val="00997632"/>
    <w:rsid w:val="0099786F"/>
    <w:rsid w:val="00997D3E"/>
    <w:rsid w:val="009A0059"/>
    <w:rsid w:val="009A04FF"/>
    <w:rsid w:val="009A1664"/>
    <w:rsid w:val="009A25A4"/>
    <w:rsid w:val="009A2734"/>
    <w:rsid w:val="009A2805"/>
    <w:rsid w:val="009A2CF1"/>
    <w:rsid w:val="009A2E1D"/>
    <w:rsid w:val="009A3EE4"/>
    <w:rsid w:val="009A449F"/>
    <w:rsid w:val="009A4527"/>
    <w:rsid w:val="009A45F7"/>
    <w:rsid w:val="009A4AF0"/>
    <w:rsid w:val="009A5FFB"/>
    <w:rsid w:val="009A608C"/>
    <w:rsid w:val="009A62EA"/>
    <w:rsid w:val="009A65EB"/>
    <w:rsid w:val="009A68E8"/>
    <w:rsid w:val="009B109B"/>
    <w:rsid w:val="009B1302"/>
    <w:rsid w:val="009B136D"/>
    <w:rsid w:val="009B1E7E"/>
    <w:rsid w:val="009B1F0E"/>
    <w:rsid w:val="009B2680"/>
    <w:rsid w:val="009B2CDB"/>
    <w:rsid w:val="009B5892"/>
    <w:rsid w:val="009B5958"/>
    <w:rsid w:val="009B597F"/>
    <w:rsid w:val="009B63D5"/>
    <w:rsid w:val="009C0B95"/>
    <w:rsid w:val="009C0ECF"/>
    <w:rsid w:val="009C2177"/>
    <w:rsid w:val="009C231C"/>
    <w:rsid w:val="009C23F0"/>
    <w:rsid w:val="009C2A14"/>
    <w:rsid w:val="009C2C83"/>
    <w:rsid w:val="009C31D6"/>
    <w:rsid w:val="009C3BF9"/>
    <w:rsid w:val="009C4FE5"/>
    <w:rsid w:val="009C61DB"/>
    <w:rsid w:val="009C6451"/>
    <w:rsid w:val="009D07C2"/>
    <w:rsid w:val="009D1ED7"/>
    <w:rsid w:val="009D2C65"/>
    <w:rsid w:val="009D2FB0"/>
    <w:rsid w:val="009D3358"/>
    <w:rsid w:val="009D38AE"/>
    <w:rsid w:val="009D3F05"/>
    <w:rsid w:val="009D5CAD"/>
    <w:rsid w:val="009D6703"/>
    <w:rsid w:val="009D6713"/>
    <w:rsid w:val="009D6F74"/>
    <w:rsid w:val="009D74EB"/>
    <w:rsid w:val="009D7CC1"/>
    <w:rsid w:val="009D7E51"/>
    <w:rsid w:val="009E04D2"/>
    <w:rsid w:val="009E0A3F"/>
    <w:rsid w:val="009E0D5C"/>
    <w:rsid w:val="009E1C61"/>
    <w:rsid w:val="009E1E06"/>
    <w:rsid w:val="009E20E5"/>
    <w:rsid w:val="009E2317"/>
    <w:rsid w:val="009E360E"/>
    <w:rsid w:val="009E3733"/>
    <w:rsid w:val="009E3D70"/>
    <w:rsid w:val="009E3D91"/>
    <w:rsid w:val="009E3E45"/>
    <w:rsid w:val="009E3FCC"/>
    <w:rsid w:val="009E461F"/>
    <w:rsid w:val="009E5744"/>
    <w:rsid w:val="009E6BFE"/>
    <w:rsid w:val="009F034C"/>
    <w:rsid w:val="009F0449"/>
    <w:rsid w:val="009F065A"/>
    <w:rsid w:val="009F10C3"/>
    <w:rsid w:val="009F1151"/>
    <w:rsid w:val="009F12B2"/>
    <w:rsid w:val="009F1314"/>
    <w:rsid w:val="009F15CB"/>
    <w:rsid w:val="009F1ABA"/>
    <w:rsid w:val="009F23F9"/>
    <w:rsid w:val="009F5B63"/>
    <w:rsid w:val="009F6D92"/>
    <w:rsid w:val="00A00E27"/>
    <w:rsid w:val="00A013E1"/>
    <w:rsid w:val="00A01693"/>
    <w:rsid w:val="00A01729"/>
    <w:rsid w:val="00A0191F"/>
    <w:rsid w:val="00A01DB4"/>
    <w:rsid w:val="00A0305E"/>
    <w:rsid w:val="00A0354D"/>
    <w:rsid w:val="00A04888"/>
    <w:rsid w:val="00A0511D"/>
    <w:rsid w:val="00A05D55"/>
    <w:rsid w:val="00A0648D"/>
    <w:rsid w:val="00A07557"/>
    <w:rsid w:val="00A0760D"/>
    <w:rsid w:val="00A1042A"/>
    <w:rsid w:val="00A1047B"/>
    <w:rsid w:val="00A10F85"/>
    <w:rsid w:val="00A1143A"/>
    <w:rsid w:val="00A11E98"/>
    <w:rsid w:val="00A120C0"/>
    <w:rsid w:val="00A121AB"/>
    <w:rsid w:val="00A12761"/>
    <w:rsid w:val="00A1309B"/>
    <w:rsid w:val="00A1309F"/>
    <w:rsid w:val="00A13461"/>
    <w:rsid w:val="00A14A58"/>
    <w:rsid w:val="00A14CB2"/>
    <w:rsid w:val="00A1533A"/>
    <w:rsid w:val="00A208E0"/>
    <w:rsid w:val="00A2258E"/>
    <w:rsid w:val="00A225EE"/>
    <w:rsid w:val="00A22897"/>
    <w:rsid w:val="00A22DFE"/>
    <w:rsid w:val="00A26BC2"/>
    <w:rsid w:val="00A27434"/>
    <w:rsid w:val="00A317EF"/>
    <w:rsid w:val="00A324D0"/>
    <w:rsid w:val="00A33261"/>
    <w:rsid w:val="00A3353E"/>
    <w:rsid w:val="00A336C6"/>
    <w:rsid w:val="00A345FE"/>
    <w:rsid w:val="00A348D5"/>
    <w:rsid w:val="00A34D2F"/>
    <w:rsid w:val="00A36106"/>
    <w:rsid w:val="00A364E6"/>
    <w:rsid w:val="00A36C1B"/>
    <w:rsid w:val="00A37D5D"/>
    <w:rsid w:val="00A40194"/>
    <w:rsid w:val="00A41457"/>
    <w:rsid w:val="00A42214"/>
    <w:rsid w:val="00A42E4C"/>
    <w:rsid w:val="00A42EA0"/>
    <w:rsid w:val="00A45013"/>
    <w:rsid w:val="00A45137"/>
    <w:rsid w:val="00A45CA9"/>
    <w:rsid w:val="00A4663B"/>
    <w:rsid w:val="00A466D2"/>
    <w:rsid w:val="00A46DF5"/>
    <w:rsid w:val="00A47066"/>
    <w:rsid w:val="00A47D82"/>
    <w:rsid w:val="00A502AB"/>
    <w:rsid w:val="00A5054B"/>
    <w:rsid w:val="00A51210"/>
    <w:rsid w:val="00A51243"/>
    <w:rsid w:val="00A51826"/>
    <w:rsid w:val="00A5203F"/>
    <w:rsid w:val="00A524E1"/>
    <w:rsid w:val="00A526EB"/>
    <w:rsid w:val="00A5321A"/>
    <w:rsid w:val="00A53334"/>
    <w:rsid w:val="00A53AA8"/>
    <w:rsid w:val="00A53E29"/>
    <w:rsid w:val="00A54DC4"/>
    <w:rsid w:val="00A5502B"/>
    <w:rsid w:val="00A55BC8"/>
    <w:rsid w:val="00A55E0B"/>
    <w:rsid w:val="00A569A4"/>
    <w:rsid w:val="00A56EF8"/>
    <w:rsid w:val="00A5713C"/>
    <w:rsid w:val="00A574BC"/>
    <w:rsid w:val="00A57AF8"/>
    <w:rsid w:val="00A62960"/>
    <w:rsid w:val="00A63102"/>
    <w:rsid w:val="00A647C5"/>
    <w:rsid w:val="00A64C58"/>
    <w:rsid w:val="00A65DB6"/>
    <w:rsid w:val="00A664C2"/>
    <w:rsid w:val="00A66A5E"/>
    <w:rsid w:val="00A66C26"/>
    <w:rsid w:val="00A703D4"/>
    <w:rsid w:val="00A70475"/>
    <w:rsid w:val="00A70B83"/>
    <w:rsid w:val="00A70FC2"/>
    <w:rsid w:val="00A71872"/>
    <w:rsid w:val="00A71AE7"/>
    <w:rsid w:val="00A72068"/>
    <w:rsid w:val="00A7263F"/>
    <w:rsid w:val="00A72EBA"/>
    <w:rsid w:val="00A73A88"/>
    <w:rsid w:val="00A745BA"/>
    <w:rsid w:val="00A747E4"/>
    <w:rsid w:val="00A74CE9"/>
    <w:rsid w:val="00A7534A"/>
    <w:rsid w:val="00A7537A"/>
    <w:rsid w:val="00A758C1"/>
    <w:rsid w:val="00A76128"/>
    <w:rsid w:val="00A81473"/>
    <w:rsid w:val="00A822B1"/>
    <w:rsid w:val="00A82836"/>
    <w:rsid w:val="00A82BD8"/>
    <w:rsid w:val="00A83546"/>
    <w:rsid w:val="00A835AA"/>
    <w:rsid w:val="00A844E9"/>
    <w:rsid w:val="00A849CA"/>
    <w:rsid w:val="00A87B9E"/>
    <w:rsid w:val="00A87DB0"/>
    <w:rsid w:val="00A9003E"/>
    <w:rsid w:val="00A91A35"/>
    <w:rsid w:val="00A91AF0"/>
    <w:rsid w:val="00A9206A"/>
    <w:rsid w:val="00A92369"/>
    <w:rsid w:val="00A926BE"/>
    <w:rsid w:val="00A9334E"/>
    <w:rsid w:val="00A93C15"/>
    <w:rsid w:val="00A93E0C"/>
    <w:rsid w:val="00A93EF8"/>
    <w:rsid w:val="00A9403F"/>
    <w:rsid w:val="00A944E0"/>
    <w:rsid w:val="00A953BC"/>
    <w:rsid w:val="00A95CCD"/>
    <w:rsid w:val="00A95D52"/>
    <w:rsid w:val="00A95E7C"/>
    <w:rsid w:val="00A9664F"/>
    <w:rsid w:val="00A96801"/>
    <w:rsid w:val="00A96B18"/>
    <w:rsid w:val="00A97FEA"/>
    <w:rsid w:val="00AA0013"/>
    <w:rsid w:val="00AA027D"/>
    <w:rsid w:val="00AA02C2"/>
    <w:rsid w:val="00AA04C9"/>
    <w:rsid w:val="00AA0AF4"/>
    <w:rsid w:val="00AA1361"/>
    <w:rsid w:val="00AA144E"/>
    <w:rsid w:val="00AA1E7D"/>
    <w:rsid w:val="00AA27D6"/>
    <w:rsid w:val="00AA3A87"/>
    <w:rsid w:val="00AA4491"/>
    <w:rsid w:val="00AA46AD"/>
    <w:rsid w:val="00AA472F"/>
    <w:rsid w:val="00AA4A2F"/>
    <w:rsid w:val="00AA59F9"/>
    <w:rsid w:val="00AA5AE6"/>
    <w:rsid w:val="00AA70C4"/>
    <w:rsid w:val="00AB070A"/>
    <w:rsid w:val="00AB0AD1"/>
    <w:rsid w:val="00AB17E0"/>
    <w:rsid w:val="00AB1F30"/>
    <w:rsid w:val="00AB26C9"/>
    <w:rsid w:val="00AB2785"/>
    <w:rsid w:val="00AB2A36"/>
    <w:rsid w:val="00AB3411"/>
    <w:rsid w:val="00AB34D7"/>
    <w:rsid w:val="00AB4179"/>
    <w:rsid w:val="00AB5CA1"/>
    <w:rsid w:val="00AB798D"/>
    <w:rsid w:val="00AC0D2A"/>
    <w:rsid w:val="00AC1A4D"/>
    <w:rsid w:val="00AC200A"/>
    <w:rsid w:val="00AC2531"/>
    <w:rsid w:val="00AC408E"/>
    <w:rsid w:val="00AC478D"/>
    <w:rsid w:val="00AC4ED3"/>
    <w:rsid w:val="00AD02E0"/>
    <w:rsid w:val="00AD067A"/>
    <w:rsid w:val="00AD0C46"/>
    <w:rsid w:val="00AD0F27"/>
    <w:rsid w:val="00AD1CAC"/>
    <w:rsid w:val="00AD2626"/>
    <w:rsid w:val="00AD2744"/>
    <w:rsid w:val="00AD2980"/>
    <w:rsid w:val="00AD2BED"/>
    <w:rsid w:val="00AD2C08"/>
    <w:rsid w:val="00AD2F56"/>
    <w:rsid w:val="00AD3591"/>
    <w:rsid w:val="00AD4311"/>
    <w:rsid w:val="00AD454B"/>
    <w:rsid w:val="00AD4E55"/>
    <w:rsid w:val="00AD6CFA"/>
    <w:rsid w:val="00AD6F5F"/>
    <w:rsid w:val="00AD73C8"/>
    <w:rsid w:val="00AD7834"/>
    <w:rsid w:val="00AE04E4"/>
    <w:rsid w:val="00AE0AB7"/>
    <w:rsid w:val="00AE0B3F"/>
    <w:rsid w:val="00AE0B66"/>
    <w:rsid w:val="00AE1406"/>
    <w:rsid w:val="00AE281E"/>
    <w:rsid w:val="00AE2B57"/>
    <w:rsid w:val="00AE2E25"/>
    <w:rsid w:val="00AE30F9"/>
    <w:rsid w:val="00AE32ED"/>
    <w:rsid w:val="00AE365B"/>
    <w:rsid w:val="00AE397C"/>
    <w:rsid w:val="00AE5A69"/>
    <w:rsid w:val="00AE66E5"/>
    <w:rsid w:val="00AE6827"/>
    <w:rsid w:val="00AE7D04"/>
    <w:rsid w:val="00AE7D0F"/>
    <w:rsid w:val="00AE7FB0"/>
    <w:rsid w:val="00AF130F"/>
    <w:rsid w:val="00AF1380"/>
    <w:rsid w:val="00AF1EAF"/>
    <w:rsid w:val="00AF24D0"/>
    <w:rsid w:val="00AF285E"/>
    <w:rsid w:val="00AF304F"/>
    <w:rsid w:val="00AF37A3"/>
    <w:rsid w:val="00AF426F"/>
    <w:rsid w:val="00AF44E0"/>
    <w:rsid w:val="00AF4DA2"/>
    <w:rsid w:val="00AF586E"/>
    <w:rsid w:val="00AF6871"/>
    <w:rsid w:val="00AF755F"/>
    <w:rsid w:val="00AF761E"/>
    <w:rsid w:val="00AF7983"/>
    <w:rsid w:val="00AF7B16"/>
    <w:rsid w:val="00B00516"/>
    <w:rsid w:val="00B0068D"/>
    <w:rsid w:val="00B01326"/>
    <w:rsid w:val="00B01F26"/>
    <w:rsid w:val="00B02239"/>
    <w:rsid w:val="00B0275D"/>
    <w:rsid w:val="00B02BEC"/>
    <w:rsid w:val="00B0366F"/>
    <w:rsid w:val="00B04081"/>
    <w:rsid w:val="00B04873"/>
    <w:rsid w:val="00B06B3C"/>
    <w:rsid w:val="00B06F5C"/>
    <w:rsid w:val="00B078F1"/>
    <w:rsid w:val="00B07F37"/>
    <w:rsid w:val="00B10774"/>
    <w:rsid w:val="00B10B14"/>
    <w:rsid w:val="00B11E3F"/>
    <w:rsid w:val="00B12419"/>
    <w:rsid w:val="00B12C3E"/>
    <w:rsid w:val="00B13906"/>
    <w:rsid w:val="00B1436A"/>
    <w:rsid w:val="00B14396"/>
    <w:rsid w:val="00B148CC"/>
    <w:rsid w:val="00B14B79"/>
    <w:rsid w:val="00B15103"/>
    <w:rsid w:val="00B1663C"/>
    <w:rsid w:val="00B16EA0"/>
    <w:rsid w:val="00B16F42"/>
    <w:rsid w:val="00B175EE"/>
    <w:rsid w:val="00B17814"/>
    <w:rsid w:val="00B17BB0"/>
    <w:rsid w:val="00B17BF4"/>
    <w:rsid w:val="00B2129A"/>
    <w:rsid w:val="00B215D4"/>
    <w:rsid w:val="00B2180D"/>
    <w:rsid w:val="00B22AB2"/>
    <w:rsid w:val="00B2513D"/>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1B8"/>
    <w:rsid w:val="00B3529C"/>
    <w:rsid w:val="00B358D9"/>
    <w:rsid w:val="00B367B5"/>
    <w:rsid w:val="00B37455"/>
    <w:rsid w:val="00B37891"/>
    <w:rsid w:val="00B400CA"/>
    <w:rsid w:val="00B40AFF"/>
    <w:rsid w:val="00B41A92"/>
    <w:rsid w:val="00B421E5"/>
    <w:rsid w:val="00B4266B"/>
    <w:rsid w:val="00B42840"/>
    <w:rsid w:val="00B42C0C"/>
    <w:rsid w:val="00B43A91"/>
    <w:rsid w:val="00B443A6"/>
    <w:rsid w:val="00B44803"/>
    <w:rsid w:val="00B4562D"/>
    <w:rsid w:val="00B45D81"/>
    <w:rsid w:val="00B46622"/>
    <w:rsid w:val="00B4689B"/>
    <w:rsid w:val="00B4757F"/>
    <w:rsid w:val="00B513EE"/>
    <w:rsid w:val="00B515F7"/>
    <w:rsid w:val="00B5185B"/>
    <w:rsid w:val="00B51C63"/>
    <w:rsid w:val="00B527D1"/>
    <w:rsid w:val="00B541AE"/>
    <w:rsid w:val="00B547C9"/>
    <w:rsid w:val="00B5506A"/>
    <w:rsid w:val="00B55B76"/>
    <w:rsid w:val="00B56363"/>
    <w:rsid w:val="00B56A08"/>
    <w:rsid w:val="00B56D15"/>
    <w:rsid w:val="00B56FA6"/>
    <w:rsid w:val="00B57B37"/>
    <w:rsid w:val="00B57C1A"/>
    <w:rsid w:val="00B57D54"/>
    <w:rsid w:val="00B57FCF"/>
    <w:rsid w:val="00B604CE"/>
    <w:rsid w:val="00B60C4D"/>
    <w:rsid w:val="00B612B0"/>
    <w:rsid w:val="00B616D6"/>
    <w:rsid w:val="00B61B33"/>
    <w:rsid w:val="00B62850"/>
    <w:rsid w:val="00B62F5A"/>
    <w:rsid w:val="00B632C3"/>
    <w:rsid w:val="00B63ABC"/>
    <w:rsid w:val="00B6412B"/>
    <w:rsid w:val="00B64A2E"/>
    <w:rsid w:val="00B65162"/>
    <w:rsid w:val="00B658BA"/>
    <w:rsid w:val="00B66EDF"/>
    <w:rsid w:val="00B67A7F"/>
    <w:rsid w:val="00B707AB"/>
    <w:rsid w:val="00B70C34"/>
    <w:rsid w:val="00B71141"/>
    <w:rsid w:val="00B71C05"/>
    <w:rsid w:val="00B71D1C"/>
    <w:rsid w:val="00B724C6"/>
    <w:rsid w:val="00B73608"/>
    <w:rsid w:val="00B742EF"/>
    <w:rsid w:val="00B74583"/>
    <w:rsid w:val="00B75BFD"/>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5FA3"/>
    <w:rsid w:val="00B86AD3"/>
    <w:rsid w:val="00B86E4D"/>
    <w:rsid w:val="00B875FA"/>
    <w:rsid w:val="00B87705"/>
    <w:rsid w:val="00B87FF8"/>
    <w:rsid w:val="00B90778"/>
    <w:rsid w:val="00B912FA"/>
    <w:rsid w:val="00B91642"/>
    <w:rsid w:val="00B91781"/>
    <w:rsid w:val="00B918AB"/>
    <w:rsid w:val="00B91C1B"/>
    <w:rsid w:val="00B92C61"/>
    <w:rsid w:val="00B92F64"/>
    <w:rsid w:val="00B93110"/>
    <w:rsid w:val="00B931B5"/>
    <w:rsid w:val="00B933DD"/>
    <w:rsid w:val="00B93B09"/>
    <w:rsid w:val="00B94762"/>
    <w:rsid w:val="00B95532"/>
    <w:rsid w:val="00B95892"/>
    <w:rsid w:val="00B95BB7"/>
    <w:rsid w:val="00B9723D"/>
    <w:rsid w:val="00B975E1"/>
    <w:rsid w:val="00B977CA"/>
    <w:rsid w:val="00B97FDB"/>
    <w:rsid w:val="00BA0166"/>
    <w:rsid w:val="00BA0172"/>
    <w:rsid w:val="00BA03D4"/>
    <w:rsid w:val="00BA1981"/>
    <w:rsid w:val="00BA1D6E"/>
    <w:rsid w:val="00BA21F8"/>
    <w:rsid w:val="00BA24AA"/>
    <w:rsid w:val="00BA26AD"/>
    <w:rsid w:val="00BA2BBD"/>
    <w:rsid w:val="00BA39A8"/>
    <w:rsid w:val="00BA3C80"/>
    <w:rsid w:val="00BA56E3"/>
    <w:rsid w:val="00BA5A57"/>
    <w:rsid w:val="00BA5C92"/>
    <w:rsid w:val="00BA60A4"/>
    <w:rsid w:val="00BA6491"/>
    <w:rsid w:val="00BA6A9A"/>
    <w:rsid w:val="00BA6D48"/>
    <w:rsid w:val="00BA7435"/>
    <w:rsid w:val="00BB0862"/>
    <w:rsid w:val="00BB163B"/>
    <w:rsid w:val="00BB2237"/>
    <w:rsid w:val="00BB24DA"/>
    <w:rsid w:val="00BB25D9"/>
    <w:rsid w:val="00BB2B9D"/>
    <w:rsid w:val="00BB2EDC"/>
    <w:rsid w:val="00BB383D"/>
    <w:rsid w:val="00BB3CE5"/>
    <w:rsid w:val="00BB3EA5"/>
    <w:rsid w:val="00BB4049"/>
    <w:rsid w:val="00BB5136"/>
    <w:rsid w:val="00BB5ACB"/>
    <w:rsid w:val="00BB608E"/>
    <w:rsid w:val="00BB681F"/>
    <w:rsid w:val="00BB6A48"/>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DCE"/>
    <w:rsid w:val="00BC6D71"/>
    <w:rsid w:val="00BC7399"/>
    <w:rsid w:val="00BD0164"/>
    <w:rsid w:val="00BD0959"/>
    <w:rsid w:val="00BD0A1E"/>
    <w:rsid w:val="00BD0CC4"/>
    <w:rsid w:val="00BD0F95"/>
    <w:rsid w:val="00BD128A"/>
    <w:rsid w:val="00BD1403"/>
    <w:rsid w:val="00BD1E32"/>
    <w:rsid w:val="00BD2C1B"/>
    <w:rsid w:val="00BD2F8F"/>
    <w:rsid w:val="00BD31B8"/>
    <w:rsid w:val="00BD3408"/>
    <w:rsid w:val="00BD5502"/>
    <w:rsid w:val="00BD5801"/>
    <w:rsid w:val="00BD58E0"/>
    <w:rsid w:val="00BD60CB"/>
    <w:rsid w:val="00BD6B4C"/>
    <w:rsid w:val="00BD750C"/>
    <w:rsid w:val="00BD7D12"/>
    <w:rsid w:val="00BE1C7B"/>
    <w:rsid w:val="00BE1F7D"/>
    <w:rsid w:val="00BE30BC"/>
    <w:rsid w:val="00BE323E"/>
    <w:rsid w:val="00BE35EE"/>
    <w:rsid w:val="00BE3706"/>
    <w:rsid w:val="00BE39AA"/>
    <w:rsid w:val="00BE3A35"/>
    <w:rsid w:val="00BE3B56"/>
    <w:rsid w:val="00BE433B"/>
    <w:rsid w:val="00BE468A"/>
    <w:rsid w:val="00BE46D0"/>
    <w:rsid w:val="00BE48F9"/>
    <w:rsid w:val="00BE4A90"/>
    <w:rsid w:val="00BE53BA"/>
    <w:rsid w:val="00BE6EDD"/>
    <w:rsid w:val="00BE7E7F"/>
    <w:rsid w:val="00BF02DC"/>
    <w:rsid w:val="00BF1106"/>
    <w:rsid w:val="00BF129D"/>
    <w:rsid w:val="00BF13DA"/>
    <w:rsid w:val="00BF16A8"/>
    <w:rsid w:val="00BF2CD1"/>
    <w:rsid w:val="00BF3643"/>
    <w:rsid w:val="00BF4720"/>
    <w:rsid w:val="00BF4BD1"/>
    <w:rsid w:val="00BF50EF"/>
    <w:rsid w:val="00BF6506"/>
    <w:rsid w:val="00BF6B90"/>
    <w:rsid w:val="00BF6DAE"/>
    <w:rsid w:val="00BF7C11"/>
    <w:rsid w:val="00BF7E27"/>
    <w:rsid w:val="00C01C5C"/>
    <w:rsid w:val="00C01E01"/>
    <w:rsid w:val="00C02001"/>
    <w:rsid w:val="00C03880"/>
    <w:rsid w:val="00C03E9E"/>
    <w:rsid w:val="00C042D4"/>
    <w:rsid w:val="00C045C4"/>
    <w:rsid w:val="00C048D8"/>
    <w:rsid w:val="00C0496B"/>
    <w:rsid w:val="00C04D2D"/>
    <w:rsid w:val="00C0527E"/>
    <w:rsid w:val="00C057C4"/>
    <w:rsid w:val="00C05E66"/>
    <w:rsid w:val="00C06541"/>
    <w:rsid w:val="00C06CE5"/>
    <w:rsid w:val="00C07438"/>
    <w:rsid w:val="00C07835"/>
    <w:rsid w:val="00C0789C"/>
    <w:rsid w:val="00C10267"/>
    <w:rsid w:val="00C10785"/>
    <w:rsid w:val="00C1105A"/>
    <w:rsid w:val="00C11CFC"/>
    <w:rsid w:val="00C11F32"/>
    <w:rsid w:val="00C12B77"/>
    <w:rsid w:val="00C1307D"/>
    <w:rsid w:val="00C13139"/>
    <w:rsid w:val="00C1333A"/>
    <w:rsid w:val="00C13923"/>
    <w:rsid w:val="00C13E68"/>
    <w:rsid w:val="00C140F9"/>
    <w:rsid w:val="00C15506"/>
    <w:rsid w:val="00C15A3B"/>
    <w:rsid w:val="00C15D6A"/>
    <w:rsid w:val="00C16D9B"/>
    <w:rsid w:val="00C177D3"/>
    <w:rsid w:val="00C17ABA"/>
    <w:rsid w:val="00C214C9"/>
    <w:rsid w:val="00C21BB8"/>
    <w:rsid w:val="00C227F2"/>
    <w:rsid w:val="00C2297F"/>
    <w:rsid w:val="00C230F6"/>
    <w:rsid w:val="00C235BF"/>
    <w:rsid w:val="00C24AF9"/>
    <w:rsid w:val="00C25232"/>
    <w:rsid w:val="00C253FD"/>
    <w:rsid w:val="00C25F88"/>
    <w:rsid w:val="00C26EF8"/>
    <w:rsid w:val="00C27223"/>
    <w:rsid w:val="00C30207"/>
    <w:rsid w:val="00C30288"/>
    <w:rsid w:val="00C30CDE"/>
    <w:rsid w:val="00C31BE0"/>
    <w:rsid w:val="00C322D3"/>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404"/>
    <w:rsid w:val="00C40A9A"/>
    <w:rsid w:val="00C40D96"/>
    <w:rsid w:val="00C4150E"/>
    <w:rsid w:val="00C41C71"/>
    <w:rsid w:val="00C4290C"/>
    <w:rsid w:val="00C430AB"/>
    <w:rsid w:val="00C43365"/>
    <w:rsid w:val="00C43C6A"/>
    <w:rsid w:val="00C44CF8"/>
    <w:rsid w:val="00C45DBE"/>
    <w:rsid w:val="00C46E1A"/>
    <w:rsid w:val="00C47F5D"/>
    <w:rsid w:val="00C50554"/>
    <w:rsid w:val="00C505B0"/>
    <w:rsid w:val="00C50977"/>
    <w:rsid w:val="00C509EB"/>
    <w:rsid w:val="00C513C7"/>
    <w:rsid w:val="00C51A43"/>
    <w:rsid w:val="00C521C0"/>
    <w:rsid w:val="00C52709"/>
    <w:rsid w:val="00C5272E"/>
    <w:rsid w:val="00C528BB"/>
    <w:rsid w:val="00C531DC"/>
    <w:rsid w:val="00C5349F"/>
    <w:rsid w:val="00C55C3C"/>
    <w:rsid w:val="00C562A5"/>
    <w:rsid w:val="00C578D8"/>
    <w:rsid w:val="00C6042B"/>
    <w:rsid w:val="00C608D3"/>
    <w:rsid w:val="00C60FA1"/>
    <w:rsid w:val="00C61077"/>
    <w:rsid w:val="00C612F2"/>
    <w:rsid w:val="00C625C8"/>
    <w:rsid w:val="00C6286E"/>
    <w:rsid w:val="00C62B78"/>
    <w:rsid w:val="00C62FD9"/>
    <w:rsid w:val="00C6359B"/>
    <w:rsid w:val="00C63D92"/>
    <w:rsid w:val="00C641EC"/>
    <w:rsid w:val="00C64739"/>
    <w:rsid w:val="00C648E8"/>
    <w:rsid w:val="00C64CB7"/>
    <w:rsid w:val="00C65C1C"/>
    <w:rsid w:val="00C66530"/>
    <w:rsid w:val="00C673F7"/>
    <w:rsid w:val="00C70084"/>
    <w:rsid w:val="00C702C5"/>
    <w:rsid w:val="00C70752"/>
    <w:rsid w:val="00C7076B"/>
    <w:rsid w:val="00C711FA"/>
    <w:rsid w:val="00C719FC"/>
    <w:rsid w:val="00C720DA"/>
    <w:rsid w:val="00C73B2D"/>
    <w:rsid w:val="00C74A3C"/>
    <w:rsid w:val="00C74DC7"/>
    <w:rsid w:val="00C76E5F"/>
    <w:rsid w:val="00C77792"/>
    <w:rsid w:val="00C77AFC"/>
    <w:rsid w:val="00C8041E"/>
    <w:rsid w:val="00C80479"/>
    <w:rsid w:val="00C805EB"/>
    <w:rsid w:val="00C806DD"/>
    <w:rsid w:val="00C80798"/>
    <w:rsid w:val="00C8168A"/>
    <w:rsid w:val="00C819C7"/>
    <w:rsid w:val="00C82779"/>
    <w:rsid w:val="00C833E7"/>
    <w:rsid w:val="00C83613"/>
    <w:rsid w:val="00C8365B"/>
    <w:rsid w:val="00C83E6D"/>
    <w:rsid w:val="00C84205"/>
    <w:rsid w:val="00C848A5"/>
    <w:rsid w:val="00C84EE1"/>
    <w:rsid w:val="00C852B9"/>
    <w:rsid w:val="00C85952"/>
    <w:rsid w:val="00C85B18"/>
    <w:rsid w:val="00C8684B"/>
    <w:rsid w:val="00C86ED0"/>
    <w:rsid w:val="00C870D1"/>
    <w:rsid w:val="00C876EF"/>
    <w:rsid w:val="00C9001E"/>
    <w:rsid w:val="00C90127"/>
    <w:rsid w:val="00C901EE"/>
    <w:rsid w:val="00C90A67"/>
    <w:rsid w:val="00C9202E"/>
    <w:rsid w:val="00C9400F"/>
    <w:rsid w:val="00C9477B"/>
    <w:rsid w:val="00C9514C"/>
    <w:rsid w:val="00C95585"/>
    <w:rsid w:val="00C958AC"/>
    <w:rsid w:val="00C96A15"/>
    <w:rsid w:val="00C97CDD"/>
    <w:rsid w:val="00C97F3E"/>
    <w:rsid w:val="00CA004F"/>
    <w:rsid w:val="00CA0ACF"/>
    <w:rsid w:val="00CA1B99"/>
    <w:rsid w:val="00CA28FA"/>
    <w:rsid w:val="00CA295E"/>
    <w:rsid w:val="00CA2E2E"/>
    <w:rsid w:val="00CA357F"/>
    <w:rsid w:val="00CA391F"/>
    <w:rsid w:val="00CA3D26"/>
    <w:rsid w:val="00CA3F8E"/>
    <w:rsid w:val="00CA4E7E"/>
    <w:rsid w:val="00CA5512"/>
    <w:rsid w:val="00CA5739"/>
    <w:rsid w:val="00CA5B26"/>
    <w:rsid w:val="00CA5EDF"/>
    <w:rsid w:val="00CA6515"/>
    <w:rsid w:val="00CA67F7"/>
    <w:rsid w:val="00CA70A4"/>
    <w:rsid w:val="00CA73A7"/>
    <w:rsid w:val="00CA7657"/>
    <w:rsid w:val="00CA7B14"/>
    <w:rsid w:val="00CA7CF3"/>
    <w:rsid w:val="00CA7FC7"/>
    <w:rsid w:val="00CB04EF"/>
    <w:rsid w:val="00CB0C2E"/>
    <w:rsid w:val="00CB0F3A"/>
    <w:rsid w:val="00CB11F8"/>
    <w:rsid w:val="00CB1308"/>
    <w:rsid w:val="00CB16F9"/>
    <w:rsid w:val="00CB1C1F"/>
    <w:rsid w:val="00CB1C20"/>
    <w:rsid w:val="00CB1EE3"/>
    <w:rsid w:val="00CB2E8A"/>
    <w:rsid w:val="00CB2F66"/>
    <w:rsid w:val="00CB3106"/>
    <w:rsid w:val="00CB43F2"/>
    <w:rsid w:val="00CB4587"/>
    <w:rsid w:val="00CB5CAF"/>
    <w:rsid w:val="00CB6153"/>
    <w:rsid w:val="00CB6253"/>
    <w:rsid w:val="00CB6FD5"/>
    <w:rsid w:val="00CB70C4"/>
    <w:rsid w:val="00CB7632"/>
    <w:rsid w:val="00CB77C1"/>
    <w:rsid w:val="00CC0048"/>
    <w:rsid w:val="00CC0407"/>
    <w:rsid w:val="00CC0A10"/>
    <w:rsid w:val="00CC0A17"/>
    <w:rsid w:val="00CC0CA4"/>
    <w:rsid w:val="00CC0CFA"/>
    <w:rsid w:val="00CC0E2A"/>
    <w:rsid w:val="00CC206D"/>
    <w:rsid w:val="00CC24AA"/>
    <w:rsid w:val="00CC3A82"/>
    <w:rsid w:val="00CC42CE"/>
    <w:rsid w:val="00CC4857"/>
    <w:rsid w:val="00CC5564"/>
    <w:rsid w:val="00CC55EF"/>
    <w:rsid w:val="00CC5F56"/>
    <w:rsid w:val="00CC6714"/>
    <w:rsid w:val="00CC67C5"/>
    <w:rsid w:val="00CC6F12"/>
    <w:rsid w:val="00CC72B9"/>
    <w:rsid w:val="00CC7339"/>
    <w:rsid w:val="00CD0B8B"/>
    <w:rsid w:val="00CD1697"/>
    <w:rsid w:val="00CD16E2"/>
    <w:rsid w:val="00CD1A2B"/>
    <w:rsid w:val="00CD1CBD"/>
    <w:rsid w:val="00CD2DF3"/>
    <w:rsid w:val="00CD371E"/>
    <w:rsid w:val="00CD4718"/>
    <w:rsid w:val="00CD4AB4"/>
    <w:rsid w:val="00CD53C9"/>
    <w:rsid w:val="00CD5574"/>
    <w:rsid w:val="00CD5D2F"/>
    <w:rsid w:val="00CD64E0"/>
    <w:rsid w:val="00CD66DD"/>
    <w:rsid w:val="00CD6DED"/>
    <w:rsid w:val="00CD708C"/>
    <w:rsid w:val="00CD7350"/>
    <w:rsid w:val="00CD74DA"/>
    <w:rsid w:val="00CD7928"/>
    <w:rsid w:val="00CE02EA"/>
    <w:rsid w:val="00CE0E44"/>
    <w:rsid w:val="00CE101F"/>
    <w:rsid w:val="00CE15F5"/>
    <w:rsid w:val="00CE1652"/>
    <w:rsid w:val="00CE1CFC"/>
    <w:rsid w:val="00CE2EEE"/>
    <w:rsid w:val="00CE34FE"/>
    <w:rsid w:val="00CE35B2"/>
    <w:rsid w:val="00CE40A2"/>
    <w:rsid w:val="00CE4144"/>
    <w:rsid w:val="00CE48BE"/>
    <w:rsid w:val="00CE4949"/>
    <w:rsid w:val="00CE4A00"/>
    <w:rsid w:val="00CE50AF"/>
    <w:rsid w:val="00CE58E1"/>
    <w:rsid w:val="00CE5E24"/>
    <w:rsid w:val="00CE6ADB"/>
    <w:rsid w:val="00CE74AD"/>
    <w:rsid w:val="00CE76D3"/>
    <w:rsid w:val="00CE7D0F"/>
    <w:rsid w:val="00CF0247"/>
    <w:rsid w:val="00CF0855"/>
    <w:rsid w:val="00CF1A56"/>
    <w:rsid w:val="00CF275A"/>
    <w:rsid w:val="00CF2F08"/>
    <w:rsid w:val="00CF32E1"/>
    <w:rsid w:val="00CF3888"/>
    <w:rsid w:val="00CF417A"/>
    <w:rsid w:val="00CF41A7"/>
    <w:rsid w:val="00CF47F8"/>
    <w:rsid w:val="00CF48D9"/>
    <w:rsid w:val="00CF5B16"/>
    <w:rsid w:val="00CF6318"/>
    <w:rsid w:val="00CF6C78"/>
    <w:rsid w:val="00CF6FC8"/>
    <w:rsid w:val="00CF704C"/>
    <w:rsid w:val="00D006AB"/>
    <w:rsid w:val="00D008EA"/>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07A45"/>
    <w:rsid w:val="00D110FB"/>
    <w:rsid w:val="00D11763"/>
    <w:rsid w:val="00D119AB"/>
    <w:rsid w:val="00D11BD2"/>
    <w:rsid w:val="00D1241C"/>
    <w:rsid w:val="00D12671"/>
    <w:rsid w:val="00D12A8A"/>
    <w:rsid w:val="00D12DAE"/>
    <w:rsid w:val="00D12EAF"/>
    <w:rsid w:val="00D13FD7"/>
    <w:rsid w:val="00D1421B"/>
    <w:rsid w:val="00D144ED"/>
    <w:rsid w:val="00D14B0F"/>
    <w:rsid w:val="00D14D08"/>
    <w:rsid w:val="00D158E3"/>
    <w:rsid w:val="00D15A93"/>
    <w:rsid w:val="00D15C03"/>
    <w:rsid w:val="00D16316"/>
    <w:rsid w:val="00D173BF"/>
    <w:rsid w:val="00D17F2E"/>
    <w:rsid w:val="00D20517"/>
    <w:rsid w:val="00D20E2A"/>
    <w:rsid w:val="00D2221E"/>
    <w:rsid w:val="00D223B5"/>
    <w:rsid w:val="00D22775"/>
    <w:rsid w:val="00D22B3E"/>
    <w:rsid w:val="00D2316F"/>
    <w:rsid w:val="00D2373C"/>
    <w:rsid w:val="00D24269"/>
    <w:rsid w:val="00D24344"/>
    <w:rsid w:val="00D24C71"/>
    <w:rsid w:val="00D24D8B"/>
    <w:rsid w:val="00D24DB6"/>
    <w:rsid w:val="00D25C98"/>
    <w:rsid w:val="00D25DD9"/>
    <w:rsid w:val="00D260C4"/>
    <w:rsid w:val="00D26540"/>
    <w:rsid w:val="00D272C5"/>
    <w:rsid w:val="00D2731A"/>
    <w:rsid w:val="00D27C25"/>
    <w:rsid w:val="00D27EFA"/>
    <w:rsid w:val="00D3001E"/>
    <w:rsid w:val="00D30723"/>
    <w:rsid w:val="00D3128F"/>
    <w:rsid w:val="00D3241E"/>
    <w:rsid w:val="00D326DD"/>
    <w:rsid w:val="00D32EC6"/>
    <w:rsid w:val="00D35169"/>
    <w:rsid w:val="00D35C12"/>
    <w:rsid w:val="00D362BA"/>
    <w:rsid w:val="00D36E45"/>
    <w:rsid w:val="00D3742A"/>
    <w:rsid w:val="00D377A0"/>
    <w:rsid w:val="00D37E18"/>
    <w:rsid w:val="00D4006D"/>
    <w:rsid w:val="00D400AF"/>
    <w:rsid w:val="00D401CD"/>
    <w:rsid w:val="00D4028C"/>
    <w:rsid w:val="00D40D77"/>
    <w:rsid w:val="00D40E9E"/>
    <w:rsid w:val="00D40FDA"/>
    <w:rsid w:val="00D4197D"/>
    <w:rsid w:val="00D41D16"/>
    <w:rsid w:val="00D42A72"/>
    <w:rsid w:val="00D43A38"/>
    <w:rsid w:val="00D43B16"/>
    <w:rsid w:val="00D43EFC"/>
    <w:rsid w:val="00D43FB4"/>
    <w:rsid w:val="00D4423D"/>
    <w:rsid w:val="00D44461"/>
    <w:rsid w:val="00D44DFC"/>
    <w:rsid w:val="00D44E13"/>
    <w:rsid w:val="00D44E2F"/>
    <w:rsid w:val="00D450C5"/>
    <w:rsid w:val="00D45527"/>
    <w:rsid w:val="00D45631"/>
    <w:rsid w:val="00D461AA"/>
    <w:rsid w:val="00D46902"/>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C38"/>
    <w:rsid w:val="00D57F8E"/>
    <w:rsid w:val="00D604DC"/>
    <w:rsid w:val="00D60672"/>
    <w:rsid w:val="00D61A6D"/>
    <w:rsid w:val="00D61BF6"/>
    <w:rsid w:val="00D628F9"/>
    <w:rsid w:val="00D630D9"/>
    <w:rsid w:val="00D635B2"/>
    <w:rsid w:val="00D636C6"/>
    <w:rsid w:val="00D63860"/>
    <w:rsid w:val="00D63CBA"/>
    <w:rsid w:val="00D63D18"/>
    <w:rsid w:val="00D64070"/>
    <w:rsid w:val="00D647A3"/>
    <w:rsid w:val="00D647AC"/>
    <w:rsid w:val="00D65646"/>
    <w:rsid w:val="00D6606A"/>
    <w:rsid w:val="00D66B01"/>
    <w:rsid w:val="00D677EE"/>
    <w:rsid w:val="00D7075F"/>
    <w:rsid w:val="00D70C4F"/>
    <w:rsid w:val="00D71083"/>
    <w:rsid w:val="00D72A98"/>
    <w:rsid w:val="00D72CF9"/>
    <w:rsid w:val="00D72DC5"/>
    <w:rsid w:val="00D73060"/>
    <w:rsid w:val="00D735A7"/>
    <w:rsid w:val="00D73BAE"/>
    <w:rsid w:val="00D7407B"/>
    <w:rsid w:val="00D74416"/>
    <w:rsid w:val="00D748C5"/>
    <w:rsid w:val="00D74D4C"/>
    <w:rsid w:val="00D74F67"/>
    <w:rsid w:val="00D74F73"/>
    <w:rsid w:val="00D7547D"/>
    <w:rsid w:val="00D75548"/>
    <w:rsid w:val="00D75AE1"/>
    <w:rsid w:val="00D77BA4"/>
    <w:rsid w:val="00D77E38"/>
    <w:rsid w:val="00D81657"/>
    <w:rsid w:val="00D81EA4"/>
    <w:rsid w:val="00D82287"/>
    <w:rsid w:val="00D82A59"/>
    <w:rsid w:val="00D82B84"/>
    <w:rsid w:val="00D837CB"/>
    <w:rsid w:val="00D83AE3"/>
    <w:rsid w:val="00D8450B"/>
    <w:rsid w:val="00D84610"/>
    <w:rsid w:val="00D84A39"/>
    <w:rsid w:val="00D85357"/>
    <w:rsid w:val="00D85561"/>
    <w:rsid w:val="00D857D4"/>
    <w:rsid w:val="00D87560"/>
    <w:rsid w:val="00D87CF7"/>
    <w:rsid w:val="00D90D99"/>
    <w:rsid w:val="00D9189B"/>
    <w:rsid w:val="00D91C72"/>
    <w:rsid w:val="00D91D88"/>
    <w:rsid w:val="00D93948"/>
    <w:rsid w:val="00D93DA7"/>
    <w:rsid w:val="00D945F6"/>
    <w:rsid w:val="00D94DAF"/>
    <w:rsid w:val="00D9541E"/>
    <w:rsid w:val="00D9547F"/>
    <w:rsid w:val="00D95568"/>
    <w:rsid w:val="00D9678C"/>
    <w:rsid w:val="00DA0260"/>
    <w:rsid w:val="00DA046C"/>
    <w:rsid w:val="00DA0A6C"/>
    <w:rsid w:val="00DA0F6F"/>
    <w:rsid w:val="00DA0FFE"/>
    <w:rsid w:val="00DA1394"/>
    <w:rsid w:val="00DA1780"/>
    <w:rsid w:val="00DA2289"/>
    <w:rsid w:val="00DA2D4A"/>
    <w:rsid w:val="00DA2E0B"/>
    <w:rsid w:val="00DA42C2"/>
    <w:rsid w:val="00DA4876"/>
    <w:rsid w:val="00DA4C57"/>
    <w:rsid w:val="00DA4E40"/>
    <w:rsid w:val="00DA5309"/>
    <w:rsid w:val="00DA5E33"/>
    <w:rsid w:val="00DA6233"/>
    <w:rsid w:val="00DA6EBA"/>
    <w:rsid w:val="00DB03E4"/>
    <w:rsid w:val="00DB0B9B"/>
    <w:rsid w:val="00DB104F"/>
    <w:rsid w:val="00DB1198"/>
    <w:rsid w:val="00DB13A8"/>
    <w:rsid w:val="00DB17E6"/>
    <w:rsid w:val="00DB21FE"/>
    <w:rsid w:val="00DB26E9"/>
    <w:rsid w:val="00DB2F0A"/>
    <w:rsid w:val="00DB3473"/>
    <w:rsid w:val="00DB3A63"/>
    <w:rsid w:val="00DB5E1E"/>
    <w:rsid w:val="00DB644D"/>
    <w:rsid w:val="00DB6EAA"/>
    <w:rsid w:val="00DC0D3E"/>
    <w:rsid w:val="00DC16C1"/>
    <w:rsid w:val="00DC1BFB"/>
    <w:rsid w:val="00DC3582"/>
    <w:rsid w:val="00DC59F0"/>
    <w:rsid w:val="00DC65AB"/>
    <w:rsid w:val="00DC7B9F"/>
    <w:rsid w:val="00DD060C"/>
    <w:rsid w:val="00DD075B"/>
    <w:rsid w:val="00DD111C"/>
    <w:rsid w:val="00DD13FA"/>
    <w:rsid w:val="00DD178D"/>
    <w:rsid w:val="00DD17AB"/>
    <w:rsid w:val="00DD194A"/>
    <w:rsid w:val="00DD2889"/>
    <w:rsid w:val="00DD36F6"/>
    <w:rsid w:val="00DD421A"/>
    <w:rsid w:val="00DD42FC"/>
    <w:rsid w:val="00DD4633"/>
    <w:rsid w:val="00DD46E1"/>
    <w:rsid w:val="00DD56A3"/>
    <w:rsid w:val="00DD5B72"/>
    <w:rsid w:val="00DD604A"/>
    <w:rsid w:val="00DD656D"/>
    <w:rsid w:val="00DD6FC3"/>
    <w:rsid w:val="00DD7458"/>
    <w:rsid w:val="00DD7A21"/>
    <w:rsid w:val="00DE0B42"/>
    <w:rsid w:val="00DE0CF3"/>
    <w:rsid w:val="00DE1802"/>
    <w:rsid w:val="00DE22A4"/>
    <w:rsid w:val="00DE2335"/>
    <w:rsid w:val="00DE2962"/>
    <w:rsid w:val="00DE2BF5"/>
    <w:rsid w:val="00DE327C"/>
    <w:rsid w:val="00DE3758"/>
    <w:rsid w:val="00DE465D"/>
    <w:rsid w:val="00DE4EF1"/>
    <w:rsid w:val="00DE5013"/>
    <w:rsid w:val="00DE5239"/>
    <w:rsid w:val="00DE595A"/>
    <w:rsid w:val="00DE5D2F"/>
    <w:rsid w:val="00DE6A62"/>
    <w:rsid w:val="00DE794E"/>
    <w:rsid w:val="00DF0E7F"/>
    <w:rsid w:val="00DF1DCF"/>
    <w:rsid w:val="00DF2DCF"/>
    <w:rsid w:val="00DF34D0"/>
    <w:rsid w:val="00DF3EA7"/>
    <w:rsid w:val="00DF453C"/>
    <w:rsid w:val="00DF4B5F"/>
    <w:rsid w:val="00DF5023"/>
    <w:rsid w:val="00DF533B"/>
    <w:rsid w:val="00DF55DD"/>
    <w:rsid w:val="00DF5689"/>
    <w:rsid w:val="00DF6158"/>
    <w:rsid w:val="00DF67E6"/>
    <w:rsid w:val="00DF6AD0"/>
    <w:rsid w:val="00DF6BF7"/>
    <w:rsid w:val="00E00218"/>
    <w:rsid w:val="00E01101"/>
    <w:rsid w:val="00E01162"/>
    <w:rsid w:val="00E0153B"/>
    <w:rsid w:val="00E0217C"/>
    <w:rsid w:val="00E0253F"/>
    <w:rsid w:val="00E0283B"/>
    <w:rsid w:val="00E02875"/>
    <w:rsid w:val="00E03F29"/>
    <w:rsid w:val="00E04FA1"/>
    <w:rsid w:val="00E05285"/>
    <w:rsid w:val="00E0568F"/>
    <w:rsid w:val="00E05EDF"/>
    <w:rsid w:val="00E06B53"/>
    <w:rsid w:val="00E06C2F"/>
    <w:rsid w:val="00E06C8C"/>
    <w:rsid w:val="00E07387"/>
    <w:rsid w:val="00E0750E"/>
    <w:rsid w:val="00E10D05"/>
    <w:rsid w:val="00E10D93"/>
    <w:rsid w:val="00E115B1"/>
    <w:rsid w:val="00E125CE"/>
    <w:rsid w:val="00E13616"/>
    <w:rsid w:val="00E15AC3"/>
    <w:rsid w:val="00E161CE"/>
    <w:rsid w:val="00E1641B"/>
    <w:rsid w:val="00E1649E"/>
    <w:rsid w:val="00E167F2"/>
    <w:rsid w:val="00E167F4"/>
    <w:rsid w:val="00E17309"/>
    <w:rsid w:val="00E17719"/>
    <w:rsid w:val="00E17917"/>
    <w:rsid w:val="00E17A06"/>
    <w:rsid w:val="00E17A48"/>
    <w:rsid w:val="00E2081A"/>
    <w:rsid w:val="00E20822"/>
    <w:rsid w:val="00E214A5"/>
    <w:rsid w:val="00E23E51"/>
    <w:rsid w:val="00E241F6"/>
    <w:rsid w:val="00E24241"/>
    <w:rsid w:val="00E2507A"/>
    <w:rsid w:val="00E25AB3"/>
    <w:rsid w:val="00E26017"/>
    <w:rsid w:val="00E2651E"/>
    <w:rsid w:val="00E27163"/>
    <w:rsid w:val="00E276EA"/>
    <w:rsid w:val="00E27AFE"/>
    <w:rsid w:val="00E30D7D"/>
    <w:rsid w:val="00E30EA8"/>
    <w:rsid w:val="00E313C4"/>
    <w:rsid w:val="00E322F6"/>
    <w:rsid w:val="00E3235C"/>
    <w:rsid w:val="00E32604"/>
    <w:rsid w:val="00E329BE"/>
    <w:rsid w:val="00E32F8E"/>
    <w:rsid w:val="00E333AF"/>
    <w:rsid w:val="00E3432C"/>
    <w:rsid w:val="00E348AE"/>
    <w:rsid w:val="00E34DAF"/>
    <w:rsid w:val="00E3593E"/>
    <w:rsid w:val="00E35CF0"/>
    <w:rsid w:val="00E35FFB"/>
    <w:rsid w:val="00E36FBF"/>
    <w:rsid w:val="00E37389"/>
    <w:rsid w:val="00E378BD"/>
    <w:rsid w:val="00E37CD6"/>
    <w:rsid w:val="00E40C33"/>
    <w:rsid w:val="00E41149"/>
    <w:rsid w:val="00E4118F"/>
    <w:rsid w:val="00E415AE"/>
    <w:rsid w:val="00E41AE2"/>
    <w:rsid w:val="00E423B3"/>
    <w:rsid w:val="00E4242E"/>
    <w:rsid w:val="00E424E0"/>
    <w:rsid w:val="00E425B9"/>
    <w:rsid w:val="00E42EAC"/>
    <w:rsid w:val="00E43F81"/>
    <w:rsid w:val="00E4400C"/>
    <w:rsid w:val="00E44A5B"/>
    <w:rsid w:val="00E45043"/>
    <w:rsid w:val="00E45554"/>
    <w:rsid w:val="00E476AA"/>
    <w:rsid w:val="00E47DF4"/>
    <w:rsid w:val="00E50803"/>
    <w:rsid w:val="00E50A07"/>
    <w:rsid w:val="00E50BE7"/>
    <w:rsid w:val="00E51A73"/>
    <w:rsid w:val="00E51DC2"/>
    <w:rsid w:val="00E51EAE"/>
    <w:rsid w:val="00E522F7"/>
    <w:rsid w:val="00E524C3"/>
    <w:rsid w:val="00E5335C"/>
    <w:rsid w:val="00E54D7C"/>
    <w:rsid w:val="00E55BF8"/>
    <w:rsid w:val="00E55E0E"/>
    <w:rsid w:val="00E5691B"/>
    <w:rsid w:val="00E56C37"/>
    <w:rsid w:val="00E57262"/>
    <w:rsid w:val="00E60044"/>
    <w:rsid w:val="00E61D00"/>
    <w:rsid w:val="00E62CB9"/>
    <w:rsid w:val="00E6322A"/>
    <w:rsid w:val="00E634EB"/>
    <w:rsid w:val="00E6359E"/>
    <w:rsid w:val="00E635C5"/>
    <w:rsid w:val="00E63713"/>
    <w:rsid w:val="00E63CBD"/>
    <w:rsid w:val="00E63D03"/>
    <w:rsid w:val="00E657FF"/>
    <w:rsid w:val="00E663D6"/>
    <w:rsid w:val="00E663DD"/>
    <w:rsid w:val="00E66C34"/>
    <w:rsid w:val="00E70081"/>
    <w:rsid w:val="00E709CC"/>
    <w:rsid w:val="00E71B98"/>
    <w:rsid w:val="00E71BD6"/>
    <w:rsid w:val="00E722E5"/>
    <w:rsid w:val="00E724B2"/>
    <w:rsid w:val="00E72684"/>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2137"/>
    <w:rsid w:val="00E84A16"/>
    <w:rsid w:val="00E854F1"/>
    <w:rsid w:val="00E85509"/>
    <w:rsid w:val="00E85DB7"/>
    <w:rsid w:val="00E86357"/>
    <w:rsid w:val="00E871D0"/>
    <w:rsid w:val="00E87379"/>
    <w:rsid w:val="00E8740E"/>
    <w:rsid w:val="00E90274"/>
    <w:rsid w:val="00E90E96"/>
    <w:rsid w:val="00E91533"/>
    <w:rsid w:val="00E9287A"/>
    <w:rsid w:val="00E92A36"/>
    <w:rsid w:val="00E9460D"/>
    <w:rsid w:val="00E94660"/>
    <w:rsid w:val="00E94E05"/>
    <w:rsid w:val="00E95242"/>
    <w:rsid w:val="00E9542B"/>
    <w:rsid w:val="00E95BB5"/>
    <w:rsid w:val="00E95F6E"/>
    <w:rsid w:val="00E96FE8"/>
    <w:rsid w:val="00E97BEA"/>
    <w:rsid w:val="00EA0261"/>
    <w:rsid w:val="00EA03A7"/>
    <w:rsid w:val="00EA057B"/>
    <w:rsid w:val="00EA0B7F"/>
    <w:rsid w:val="00EA0D99"/>
    <w:rsid w:val="00EA10D9"/>
    <w:rsid w:val="00EA14C0"/>
    <w:rsid w:val="00EA16EE"/>
    <w:rsid w:val="00EA1D37"/>
    <w:rsid w:val="00EA29D4"/>
    <w:rsid w:val="00EA29F2"/>
    <w:rsid w:val="00EA2CD3"/>
    <w:rsid w:val="00EA381B"/>
    <w:rsid w:val="00EA38B3"/>
    <w:rsid w:val="00EA38C4"/>
    <w:rsid w:val="00EA3C99"/>
    <w:rsid w:val="00EA45A9"/>
    <w:rsid w:val="00EA45FF"/>
    <w:rsid w:val="00EA51A1"/>
    <w:rsid w:val="00EA5EC0"/>
    <w:rsid w:val="00EA622E"/>
    <w:rsid w:val="00EA6BE3"/>
    <w:rsid w:val="00EA7344"/>
    <w:rsid w:val="00EA7749"/>
    <w:rsid w:val="00EA7B1F"/>
    <w:rsid w:val="00EB0EE4"/>
    <w:rsid w:val="00EB27E8"/>
    <w:rsid w:val="00EB29FF"/>
    <w:rsid w:val="00EB2BB8"/>
    <w:rsid w:val="00EB4990"/>
    <w:rsid w:val="00EB5374"/>
    <w:rsid w:val="00EB550A"/>
    <w:rsid w:val="00EB59E0"/>
    <w:rsid w:val="00EB68AC"/>
    <w:rsid w:val="00EB6CED"/>
    <w:rsid w:val="00EC0804"/>
    <w:rsid w:val="00EC09C8"/>
    <w:rsid w:val="00EC1101"/>
    <w:rsid w:val="00EC114A"/>
    <w:rsid w:val="00EC18E0"/>
    <w:rsid w:val="00EC1F39"/>
    <w:rsid w:val="00EC2495"/>
    <w:rsid w:val="00EC2612"/>
    <w:rsid w:val="00EC266D"/>
    <w:rsid w:val="00EC28BE"/>
    <w:rsid w:val="00EC390C"/>
    <w:rsid w:val="00EC3C07"/>
    <w:rsid w:val="00EC3DE1"/>
    <w:rsid w:val="00EC409E"/>
    <w:rsid w:val="00EC40CE"/>
    <w:rsid w:val="00EC438C"/>
    <w:rsid w:val="00EC45B6"/>
    <w:rsid w:val="00EC4F13"/>
    <w:rsid w:val="00EC54EC"/>
    <w:rsid w:val="00EC578A"/>
    <w:rsid w:val="00EC6436"/>
    <w:rsid w:val="00EC67A0"/>
    <w:rsid w:val="00EC692E"/>
    <w:rsid w:val="00EC6E74"/>
    <w:rsid w:val="00EC7138"/>
    <w:rsid w:val="00ED020C"/>
    <w:rsid w:val="00ED0DAE"/>
    <w:rsid w:val="00ED1058"/>
    <w:rsid w:val="00ED194C"/>
    <w:rsid w:val="00ED31FF"/>
    <w:rsid w:val="00ED37D8"/>
    <w:rsid w:val="00ED412B"/>
    <w:rsid w:val="00ED57FE"/>
    <w:rsid w:val="00ED5DF4"/>
    <w:rsid w:val="00ED68CC"/>
    <w:rsid w:val="00ED712A"/>
    <w:rsid w:val="00ED75CF"/>
    <w:rsid w:val="00ED7679"/>
    <w:rsid w:val="00ED7961"/>
    <w:rsid w:val="00ED79A9"/>
    <w:rsid w:val="00ED7EFE"/>
    <w:rsid w:val="00EE0823"/>
    <w:rsid w:val="00EE082F"/>
    <w:rsid w:val="00EE22A0"/>
    <w:rsid w:val="00EE2EDC"/>
    <w:rsid w:val="00EE3D59"/>
    <w:rsid w:val="00EE42A7"/>
    <w:rsid w:val="00EE4AD8"/>
    <w:rsid w:val="00EE4BD1"/>
    <w:rsid w:val="00EE4CD7"/>
    <w:rsid w:val="00EE50C5"/>
    <w:rsid w:val="00EE6F17"/>
    <w:rsid w:val="00EE6FCF"/>
    <w:rsid w:val="00EE72DC"/>
    <w:rsid w:val="00EE73C5"/>
    <w:rsid w:val="00EF01AC"/>
    <w:rsid w:val="00EF0D25"/>
    <w:rsid w:val="00EF17E0"/>
    <w:rsid w:val="00EF1EB8"/>
    <w:rsid w:val="00EF23C2"/>
    <w:rsid w:val="00EF23EE"/>
    <w:rsid w:val="00EF5085"/>
    <w:rsid w:val="00EF54EB"/>
    <w:rsid w:val="00EF55A5"/>
    <w:rsid w:val="00EF59C9"/>
    <w:rsid w:val="00EF5F0E"/>
    <w:rsid w:val="00EF623C"/>
    <w:rsid w:val="00EF6CF2"/>
    <w:rsid w:val="00EF6D14"/>
    <w:rsid w:val="00EF6D65"/>
    <w:rsid w:val="00EF70A8"/>
    <w:rsid w:val="00EF7E76"/>
    <w:rsid w:val="00F00A1A"/>
    <w:rsid w:val="00F0265C"/>
    <w:rsid w:val="00F038A8"/>
    <w:rsid w:val="00F03B29"/>
    <w:rsid w:val="00F06613"/>
    <w:rsid w:val="00F070CB"/>
    <w:rsid w:val="00F071ED"/>
    <w:rsid w:val="00F07B6A"/>
    <w:rsid w:val="00F10909"/>
    <w:rsid w:val="00F11EBE"/>
    <w:rsid w:val="00F11F36"/>
    <w:rsid w:val="00F11F9F"/>
    <w:rsid w:val="00F12A63"/>
    <w:rsid w:val="00F12AF0"/>
    <w:rsid w:val="00F12F4C"/>
    <w:rsid w:val="00F133AD"/>
    <w:rsid w:val="00F142B6"/>
    <w:rsid w:val="00F143CA"/>
    <w:rsid w:val="00F16C8B"/>
    <w:rsid w:val="00F16F9B"/>
    <w:rsid w:val="00F17A2E"/>
    <w:rsid w:val="00F208D3"/>
    <w:rsid w:val="00F20B38"/>
    <w:rsid w:val="00F20D46"/>
    <w:rsid w:val="00F20E45"/>
    <w:rsid w:val="00F21266"/>
    <w:rsid w:val="00F2146F"/>
    <w:rsid w:val="00F214C0"/>
    <w:rsid w:val="00F219E7"/>
    <w:rsid w:val="00F22A94"/>
    <w:rsid w:val="00F22FE6"/>
    <w:rsid w:val="00F23339"/>
    <w:rsid w:val="00F24D82"/>
    <w:rsid w:val="00F252F6"/>
    <w:rsid w:val="00F25B2D"/>
    <w:rsid w:val="00F25ECF"/>
    <w:rsid w:val="00F263B7"/>
    <w:rsid w:val="00F274E1"/>
    <w:rsid w:val="00F3094C"/>
    <w:rsid w:val="00F30B72"/>
    <w:rsid w:val="00F315EA"/>
    <w:rsid w:val="00F31C29"/>
    <w:rsid w:val="00F32784"/>
    <w:rsid w:val="00F32825"/>
    <w:rsid w:val="00F32857"/>
    <w:rsid w:val="00F3285D"/>
    <w:rsid w:val="00F32B4C"/>
    <w:rsid w:val="00F32C83"/>
    <w:rsid w:val="00F32CDF"/>
    <w:rsid w:val="00F32F79"/>
    <w:rsid w:val="00F33442"/>
    <w:rsid w:val="00F33E55"/>
    <w:rsid w:val="00F340BD"/>
    <w:rsid w:val="00F3469D"/>
    <w:rsid w:val="00F34B38"/>
    <w:rsid w:val="00F353FF"/>
    <w:rsid w:val="00F3554D"/>
    <w:rsid w:val="00F35706"/>
    <w:rsid w:val="00F35808"/>
    <w:rsid w:val="00F35A65"/>
    <w:rsid w:val="00F374A5"/>
    <w:rsid w:val="00F374C6"/>
    <w:rsid w:val="00F37A2F"/>
    <w:rsid w:val="00F37C53"/>
    <w:rsid w:val="00F410C8"/>
    <w:rsid w:val="00F4119B"/>
    <w:rsid w:val="00F421C1"/>
    <w:rsid w:val="00F423AF"/>
    <w:rsid w:val="00F42DD0"/>
    <w:rsid w:val="00F43E16"/>
    <w:rsid w:val="00F43E29"/>
    <w:rsid w:val="00F4447B"/>
    <w:rsid w:val="00F44F3C"/>
    <w:rsid w:val="00F45748"/>
    <w:rsid w:val="00F45F1E"/>
    <w:rsid w:val="00F47057"/>
    <w:rsid w:val="00F47775"/>
    <w:rsid w:val="00F47A5D"/>
    <w:rsid w:val="00F50FDA"/>
    <w:rsid w:val="00F51196"/>
    <w:rsid w:val="00F527FC"/>
    <w:rsid w:val="00F537A6"/>
    <w:rsid w:val="00F53F23"/>
    <w:rsid w:val="00F5450A"/>
    <w:rsid w:val="00F55242"/>
    <w:rsid w:val="00F557E6"/>
    <w:rsid w:val="00F55D04"/>
    <w:rsid w:val="00F570C6"/>
    <w:rsid w:val="00F570FA"/>
    <w:rsid w:val="00F60BE6"/>
    <w:rsid w:val="00F61DD4"/>
    <w:rsid w:val="00F639BA"/>
    <w:rsid w:val="00F639FC"/>
    <w:rsid w:val="00F64C7C"/>
    <w:rsid w:val="00F64F4A"/>
    <w:rsid w:val="00F650E7"/>
    <w:rsid w:val="00F65423"/>
    <w:rsid w:val="00F65CFA"/>
    <w:rsid w:val="00F66015"/>
    <w:rsid w:val="00F66959"/>
    <w:rsid w:val="00F70B13"/>
    <w:rsid w:val="00F71A34"/>
    <w:rsid w:val="00F71B22"/>
    <w:rsid w:val="00F71E57"/>
    <w:rsid w:val="00F72413"/>
    <w:rsid w:val="00F72874"/>
    <w:rsid w:val="00F731AF"/>
    <w:rsid w:val="00F73470"/>
    <w:rsid w:val="00F73F02"/>
    <w:rsid w:val="00F74628"/>
    <w:rsid w:val="00F74A45"/>
    <w:rsid w:val="00F74D41"/>
    <w:rsid w:val="00F75465"/>
    <w:rsid w:val="00F75B39"/>
    <w:rsid w:val="00F75FBD"/>
    <w:rsid w:val="00F7671F"/>
    <w:rsid w:val="00F76999"/>
    <w:rsid w:val="00F76C00"/>
    <w:rsid w:val="00F76CED"/>
    <w:rsid w:val="00F77090"/>
    <w:rsid w:val="00F7775A"/>
    <w:rsid w:val="00F77D7B"/>
    <w:rsid w:val="00F804EC"/>
    <w:rsid w:val="00F80E34"/>
    <w:rsid w:val="00F8194D"/>
    <w:rsid w:val="00F81AA6"/>
    <w:rsid w:val="00F82023"/>
    <w:rsid w:val="00F821E6"/>
    <w:rsid w:val="00F83091"/>
    <w:rsid w:val="00F84A3D"/>
    <w:rsid w:val="00F84A4E"/>
    <w:rsid w:val="00F84FA1"/>
    <w:rsid w:val="00F85C53"/>
    <w:rsid w:val="00F86A5C"/>
    <w:rsid w:val="00F86EA1"/>
    <w:rsid w:val="00F87465"/>
    <w:rsid w:val="00F90C6D"/>
    <w:rsid w:val="00F91A8B"/>
    <w:rsid w:val="00F91EFB"/>
    <w:rsid w:val="00F9244B"/>
    <w:rsid w:val="00F93307"/>
    <w:rsid w:val="00F94080"/>
    <w:rsid w:val="00F94224"/>
    <w:rsid w:val="00F9422F"/>
    <w:rsid w:val="00F94826"/>
    <w:rsid w:val="00F9582C"/>
    <w:rsid w:val="00F95896"/>
    <w:rsid w:val="00F96FDE"/>
    <w:rsid w:val="00F97E50"/>
    <w:rsid w:val="00FA003B"/>
    <w:rsid w:val="00FA020F"/>
    <w:rsid w:val="00FA30BF"/>
    <w:rsid w:val="00FA3480"/>
    <w:rsid w:val="00FA4128"/>
    <w:rsid w:val="00FA4E0E"/>
    <w:rsid w:val="00FA5A70"/>
    <w:rsid w:val="00FA5F05"/>
    <w:rsid w:val="00FA73A0"/>
    <w:rsid w:val="00FA7676"/>
    <w:rsid w:val="00FB0740"/>
    <w:rsid w:val="00FB1245"/>
    <w:rsid w:val="00FB18C9"/>
    <w:rsid w:val="00FB19F4"/>
    <w:rsid w:val="00FB1A31"/>
    <w:rsid w:val="00FB23E8"/>
    <w:rsid w:val="00FB26F0"/>
    <w:rsid w:val="00FB5146"/>
    <w:rsid w:val="00FB52B2"/>
    <w:rsid w:val="00FB5C65"/>
    <w:rsid w:val="00FB60DF"/>
    <w:rsid w:val="00FB6259"/>
    <w:rsid w:val="00FB6C6B"/>
    <w:rsid w:val="00FB7168"/>
    <w:rsid w:val="00FB7266"/>
    <w:rsid w:val="00FB73F5"/>
    <w:rsid w:val="00FB746D"/>
    <w:rsid w:val="00FB7C82"/>
    <w:rsid w:val="00FC031A"/>
    <w:rsid w:val="00FC050D"/>
    <w:rsid w:val="00FC0B38"/>
    <w:rsid w:val="00FC0C44"/>
    <w:rsid w:val="00FC119E"/>
    <w:rsid w:val="00FC14E8"/>
    <w:rsid w:val="00FC1DD3"/>
    <w:rsid w:val="00FC236B"/>
    <w:rsid w:val="00FC28DA"/>
    <w:rsid w:val="00FC293E"/>
    <w:rsid w:val="00FC3152"/>
    <w:rsid w:val="00FC35B2"/>
    <w:rsid w:val="00FC3A88"/>
    <w:rsid w:val="00FC3BA8"/>
    <w:rsid w:val="00FC41F7"/>
    <w:rsid w:val="00FC4BA0"/>
    <w:rsid w:val="00FC61E6"/>
    <w:rsid w:val="00FC711D"/>
    <w:rsid w:val="00FC74FC"/>
    <w:rsid w:val="00FC7C50"/>
    <w:rsid w:val="00FD0549"/>
    <w:rsid w:val="00FD0851"/>
    <w:rsid w:val="00FD2737"/>
    <w:rsid w:val="00FD2A58"/>
    <w:rsid w:val="00FD397A"/>
    <w:rsid w:val="00FD4701"/>
    <w:rsid w:val="00FD4EF6"/>
    <w:rsid w:val="00FD56D6"/>
    <w:rsid w:val="00FD5FEC"/>
    <w:rsid w:val="00FD6B4C"/>
    <w:rsid w:val="00FD782C"/>
    <w:rsid w:val="00FE0BDF"/>
    <w:rsid w:val="00FE11EE"/>
    <w:rsid w:val="00FE215C"/>
    <w:rsid w:val="00FE216E"/>
    <w:rsid w:val="00FE2B7C"/>
    <w:rsid w:val="00FE2F4C"/>
    <w:rsid w:val="00FE44DF"/>
    <w:rsid w:val="00FE45BC"/>
    <w:rsid w:val="00FE4D25"/>
    <w:rsid w:val="00FE4D2E"/>
    <w:rsid w:val="00FE54EA"/>
    <w:rsid w:val="00FE5AF8"/>
    <w:rsid w:val="00FE60B2"/>
    <w:rsid w:val="00FE613B"/>
    <w:rsid w:val="00FE674D"/>
    <w:rsid w:val="00FE67A2"/>
    <w:rsid w:val="00FE78CA"/>
    <w:rsid w:val="00FE7C16"/>
    <w:rsid w:val="00FF0299"/>
    <w:rsid w:val="00FF0692"/>
    <w:rsid w:val="00FF0C54"/>
    <w:rsid w:val="00FF1148"/>
    <w:rsid w:val="00FF1497"/>
    <w:rsid w:val="00FF22E3"/>
    <w:rsid w:val="00FF32E4"/>
    <w:rsid w:val="00FF3E9A"/>
    <w:rsid w:val="00FF4BF4"/>
    <w:rsid w:val="00FF533B"/>
    <w:rsid w:val="00FF6795"/>
    <w:rsid w:val="00FF6F31"/>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2E911187-2A47-4894-A9E9-79983EB0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Bullet List,FooterText,numbered,List Paragraph1,Paragraphe de liste1,Bulletr List Paragraph,列出段落,列出段落1,Cuadros,Lista general,Párrafo de tabla"/>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Bullet List Car,FooterText Car,numbered Car,List Paragraph1 Car,Paragraphe de liste1 Car,Bulletr List Paragraph Car,列出段落 Car,列出段落1 Car,Cuadros Car,Lista general Car,Párrafo de tabla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Style 6,Footnote Reference Superscript"/>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qFormat/>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character" w:styleId="Textoennegrita">
    <w:name w:val="Strong"/>
    <w:basedOn w:val="Fuentedeprrafopredeter"/>
    <w:uiPriority w:val="22"/>
    <w:qFormat/>
    <w:rsid w:val="002A50FC"/>
    <w:rPr>
      <w:b/>
      <w:bCs/>
    </w:rPr>
  </w:style>
  <w:style w:type="table" w:styleId="Cuadrculadetablaclara">
    <w:name w:val="Grid Table Light"/>
    <w:basedOn w:val="Tablanormal"/>
    <w:uiPriority w:val="40"/>
    <w:rsid w:val="00CE49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link w:val="SubttuloCar"/>
    <w:uiPriority w:val="99"/>
    <w:qFormat/>
    <w:rsid w:val="006D4083"/>
    <w:pPr>
      <w:spacing w:after="200" w:line="276" w:lineRule="auto"/>
      <w:ind w:left="0" w:right="0" w:firstLine="0"/>
    </w:pPr>
    <w:rPr>
      <w:rFonts w:ascii="ITC Avant Garde" w:eastAsia="Calibri" w:hAnsi="ITC Avant Garde" w:cs="Times New Roman"/>
      <w:b/>
      <w:color w:val="auto"/>
      <w:lang w:eastAsia="en-US"/>
    </w:rPr>
  </w:style>
  <w:style w:type="character" w:customStyle="1" w:styleId="SubttuloCar">
    <w:name w:val="Subtítulo Car"/>
    <w:basedOn w:val="Fuentedeprrafopredeter"/>
    <w:link w:val="Subttulo"/>
    <w:uiPriority w:val="99"/>
    <w:rsid w:val="006D4083"/>
    <w:rPr>
      <w:rFonts w:ascii="ITC Avant Garde" w:eastAsia="Calibri" w:hAnsi="ITC Avant Garde" w:cs="Times New Roman"/>
      <w:b/>
    </w:rPr>
  </w:style>
  <w:style w:type="paragraph" w:customStyle="1" w:styleId="Listavistosa-nfasis11">
    <w:name w:val="Lista vistosa - Énfasis 11"/>
    <w:basedOn w:val="Normal"/>
    <w:link w:val="Listavistosa-nfasis1Car"/>
    <w:uiPriority w:val="34"/>
    <w:qFormat/>
    <w:rsid w:val="00D40E9E"/>
    <w:pPr>
      <w:spacing w:after="0" w:line="240" w:lineRule="auto"/>
      <w:ind w:left="708" w:right="0" w:firstLine="0"/>
      <w:jc w:val="left"/>
    </w:pPr>
    <w:rPr>
      <w:rFonts w:ascii="Arial" w:eastAsia="Calibri" w:hAnsi="Arial" w:cs="Times New Roman"/>
      <w:color w:val="auto"/>
      <w:sz w:val="24"/>
      <w:szCs w:val="24"/>
    </w:rPr>
  </w:style>
  <w:style w:type="character" w:customStyle="1" w:styleId="Listavistosa-nfasis1Car">
    <w:name w:val="Lista vistosa - Énfasis 1 Car"/>
    <w:link w:val="Listavistosa-nfasis11"/>
    <w:uiPriority w:val="34"/>
    <w:rsid w:val="00D40E9E"/>
    <w:rPr>
      <w:rFonts w:ascii="Arial" w:eastAsia="Calibri" w:hAnsi="Arial" w:cs="Times New Roman"/>
      <w:sz w:val="24"/>
      <w:szCs w:val="24"/>
      <w:lang w:eastAsia="es-MX"/>
    </w:rPr>
  </w:style>
  <w:style w:type="paragraph" w:styleId="Sangra2detindependiente">
    <w:name w:val="Body Text Indent 2"/>
    <w:basedOn w:val="Normal"/>
    <w:link w:val="Sangra2detindependienteCar"/>
    <w:uiPriority w:val="99"/>
    <w:unhideWhenUsed/>
    <w:rsid w:val="00F64C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64C7C"/>
    <w:rPr>
      <w:rFonts w:ascii="Avant Garde" w:eastAsia="Avant Garde" w:hAnsi="Avant Garde" w:cs="Avant Garde"/>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2482">
      <w:bodyDiv w:val="1"/>
      <w:marLeft w:val="0"/>
      <w:marRight w:val="0"/>
      <w:marTop w:val="0"/>
      <w:marBottom w:val="0"/>
      <w:divBdr>
        <w:top w:val="none" w:sz="0" w:space="0" w:color="auto"/>
        <w:left w:val="none" w:sz="0" w:space="0" w:color="auto"/>
        <w:bottom w:val="none" w:sz="0" w:space="0" w:color="auto"/>
        <w:right w:val="none" w:sz="0" w:space="0" w:color="auto"/>
      </w:divBdr>
    </w:div>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11399372">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289630464">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as.referencia@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BF0A8-C799-47AA-838D-B2A8303B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3582</Words>
  <Characters>19707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Williams Hernandez</dc:creator>
  <cp:lastModifiedBy>Nely Veronica Pizano Medina</cp:lastModifiedBy>
  <cp:revision>2</cp:revision>
  <cp:lastPrinted>2021-01-22T19:12:00Z</cp:lastPrinted>
  <dcterms:created xsi:type="dcterms:W3CDTF">2021-01-22T19:12:00Z</dcterms:created>
  <dcterms:modified xsi:type="dcterms:W3CDTF">2021-01-22T19:12:00Z</dcterms:modified>
</cp:coreProperties>
</file>