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7CD2D" w14:textId="77777777" w:rsidR="00416A22" w:rsidRPr="00DC1034" w:rsidRDefault="00416A22" w:rsidP="002A524D">
      <w:pPr>
        <w:spacing w:after="0" w:line="276" w:lineRule="auto"/>
        <w:ind w:left="-851" w:right="0" w:firstLine="0"/>
        <w:rPr>
          <w:rFonts w:ascii="ITC Avant Garde" w:hAnsi="ITC Avant Garde"/>
          <w:b/>
        </w:rPr>
      </w:pPr>
      <w:bookmarkStart w:id="0" w:name="_GoBack"/>
      <w:bookmarkEnd w:id="0"/>
      <w:r w:rsidRPr="00DC1034">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PRESENTADAS DURANTE LA CONSULTA PÚBLICA DE LAS “</w:t>
      </w:r>
      <w:r w:rsidRPr="00DC1034">
        <w:rPr>
          <w:rFonts w:ascii="ITC Avant Garde" w:eastAsiaTheme="minorHAnsi" w:hAnsi="ITC Avant Garde" w:cstheme="minorBidi"/>
          <w:b/>
          <w:i/>
          <w:color w:val="auto"/>
          <w:sz w:val="24"/>
          <w:szCs w:val="24"/>
          <w:lang w:eastAsia="en-US"/>
        </w:rPr>
        <w:t>PROPUESTAS DE OFERTAS DE REFERENCIA PARA LOS SERVICIOS MAYORISTAS DE USUARIO VISITANTE; COMERCIALIZACIÓN O REVENTA DE SERVICIOS; ACCESO Y USO COMPARTIDO DE INFRAESTRUCTURA, Y ARRENDAMIENTO DE ENLACES DEDICADOS PRESENTADOS POR EL AEP</w:t>
      </w:r>
      <w:r w:rsidRPr="00DC1034">
        <w:rPr>
          <w:rFonts w:ascii="ITC Avant Garde" w:hAnsi="ITC Avant Garde"/>
          <w:b/>
        </w:rPr>
        <w:t>”.</w:t>
      </w:r>
    </w:p>
    <w:p w14:paraId="62670366" w14:textId="77777777" w:rsidR="00416A22" w:rsidRPr="00DC1034" w:rsidRDefault="00416A22" w:rsidP="002A524D">
      <w:pPr>
        <w:spacing w:after="1" w:line="276" w:lineRule="auto"/>
        <w:ind w:left="-851" w:right="0" w:firstLine="0"/>
        <w:rPr>
          <w:rFonts w:ascii="ITC Avant Garde" w:hAnsi="ITC Avant Garde"/>
        </w:rPr>
      </w:pPr>
    </w:p>
    <w:p w14:paraId="24FA47E8" w14:textId="3CB5AAAA" w:rsidR="00416A22" w:rsidRPr="00DC1034" w:rsidRDefault="00416A22" w:rsidP="002A524D">
      <w:pPr>
        <w:spacing w:after="0" w:line="276" w:lineRule="auto"/>
        <w:ind w:left="-851" w:hanging="11"/>
        <w:rPr>
          <w:rFonts w:ascii="ITC Avant Garde" w:hAnsi="ITC Avant Garde" w:cs="ITC Avant Garde"/>
        </w:rPr>
      </w:pPr>
      <w:r w:rsidRPr="00DC1034">
        <w:rPr>
          <w:rFonts w:ascii="ITC Avant Garde" w:hAnsi="ITC Avant Garde" w:cs="ITC Avant Garde"/>
          <w:b/>
        </w:rPr>
        <w:t xml:space="preserve">Fecha de Elaboración del Informe de Consideraciones sobre los comentarios, opiniones y aportaciones recibidos en relación a la presente Consulta Pública: </w:t>
      </w:r>
      <w:r w:rsidR="003E6A0C" w:rsidRPr="00DC1034">
        <w:rPr>
          <w:rFonts w:ascii="ITC Avant Garde" w:hAnsi="ITC Avant Garde" w:cs="ITC Avant Garde"/>
        </w:rPr>
        <w:t>0</w:t>
      </w:r>
      <w:r w:rsidR="00D874BB">
        <w:rPr>
          <w:rFonts w:ascii="ITC Avant Garde" w:hAnsi="ITC Avant Garde" w:cs="ITC Avant Garde"/>
        </w:rPr>
        <w:t>2</w:t>
      </w:r>
      <w:r w:rsidRPr="00DC1034">
        <w:rPr>
          <w:rFonts w:ascii="ITC Avant Garde" w:hAnsi="ITC Avant Garde" w:cs="ITC Avant Garde"/>
        </w:rPr>
        <w:t xml:space="preserve"> de diciembre</w:t>
      </w:r>
      <w:r w:rsidR="003E6A0C" w:rsidRPr="00DC1034">
        <w:rPr>
          <w:rFonts w:ascii="ITC Avant Garde" w:hAnsi="ITC Avant Garde" w:cs="ITC Avant Garde"/>
        </w:rPr>
        <w:t xml:space="preserve"> del 2020.</w:t>
      </w:r>
    </w:p>
    <w:p w14:paraId="30A55FAE" w14:textId="77777777" w:rsidR="00416A22" w:rsidRPr="00DC1034" w:rsidRDefault="00416A22" w:rsidP="002A524D">
      <w:pPr>
        <w:spacing w:after="0" w:line="276" w:lineRule="auto"/>
        <w:ind w:left="-851" w:hanging="11"/>
        <w:rPr>
          <w:rFonts w:ascii="ITC Avant Garde" w:hAnsi="ITC Avant Garde" w:cs="ITC Avant Garde"/>
        </w:rPr>
      </w:pPr>
    </w:p>
    <w:p w14:paraId="46BB2049" w14:textId="77777777" w:rsidR="00C15421" w:rsidRPr="00DC1034" w:rsidRDefault="00C15421" w:rsidP="002A524D">
      <w:pPr>
        <w:spacing w:after="0" w:line="276" w:lineRule="auto"/>
        <w:ind w:left="-851" w:hanging="11"/>
        <w:rPr>
          <w:rFonts w:ascii="ITC Avant Garde" w:hAnsi="ITC Avant Garde" w:cs="ITC Avant Garde"/>
          <w:b/>
        </w:rPr>
      </w:pPr>
      <w:r w:rsidRPr="00DC1034">
        <w:rPr>
          <w:rFonts w:ascii="ITC Avant Garde" w:hAnsi="ITC Avant Garde" w:cs="ITC Avant Garde"/>
          <w:b/>
        </w:rPr>
        <w:t>Descripción de la Consulta Pública:</w:t>
      </w:r>
    </w:p>
    <w:p w14:paraId="13D272AE" w14:textId="63666230" w:rsidR="00C15421" w:rsidRPr="00DC1034" w:rsidRDefault="00C15421" w:rsidP="002A524D">
      <w:pPr>
        <w:spacing w:after="0" w:line="276" w:lineRule="auto"/>
        <w:ind w:left="-851" w:right="0" w:hanging="11"/>
        <w:rPr>
          <w:rFonts w:ascii="ITC Avant Garde" w:eastAsiaTheme="minorHAnsi" w:hAnsi="ITC Avant Garde" w:cs="ITC Avant Garde"/>
          <w:lang w:eastAsia="en-US"/>
        </w:rPr>
      </w:pPr>
      <w:r w:rsidRPr="00DC1034">
        <w:rPr>
          <w:rFonts w:ascii="ITC Avant Garde" w:hAnsi="ITC Avant Garde"/>
        </w:rPr>
        <w:t xml:space="preserve">El Instituto Federal de Telecomunicaciones (en lo sucesivo, “Instituto”) </w:t>
      </w:r>
      <w:r w:rsidRPr="00DC1034">
        <w:rPr>
          <w:rFonts w:ascii="ITC Avant Garde" w:eastAsiaTheme="minorHAnsi" w:hAnsi="ITC Avant Garde" w:cs="ITC Avant Garde"/>
          <w:lang w:eastAsia="en-US"/>
        </w:rPr>
        <w:t xml:space="preserve">recibió los comentarios, opiniones y aportaciones que se tuvieron con relación al contenido de las </w:t>
      </w:r>
      <w:r w:rsidRPr="00DC1034">
        <w:rPr>
          <w:rFonts w:ascii="ITC Avant Garde" w:eastAsiaTheme="minorHAnsi" w:hAnsi="ITC Avant Garde" w:cs="ITC Avant Garde"/>
          <w:b/>
          <w:i/>
          <w:lang w:eastAsia="en-US"/>
        </w:rPr>
        <w:t>“Propuestas de Ofertas de Referencia para la prestación de los Servicios Mayoristas de Usuario Visitante; de Comercialización o Reventa de Servicios; del Servicio de Acceso y Uso Compartido de Infraestructura presentadas por el Agente Económico Preponderante en el sector de las telecomunicaciones”</w:t>
      </w:r>
      <w:r w:rsidRPr="00DC1034">
        <w:rPr>
          <w:rFonts w:ascii="ITC Avant Garde" w:eastAsiaTheme="minorHAnsi" w:hAnsi="ITC Avant Garde" w:cs="ITC Avant Garde"/>
          <w:lang w:eastAsia="en-US"/>
        </w:rPr>
        <w:t xml:space="preserve"> (en lo sucesivo, las “Propuestas de Ofertas”) materia de la consulta pública de mérito, recibidas durante el periodo comprendido del </w:t>
      </w:r>
      <w:r w:rsidR="003E6A0C" w:rsidRPr="00DC1034">
        <w:rPr>
          <w:rFonts w:ascii="ITC Avant Garde" w:eastAsiaTheme="minorHAnsi" w:hAnsi="ITC Avant Garde" w:cs="ITC Avant Garde"/>
          <w:lang w:eastAsia="en-US"/>
        </w:rPr>
        <w:t xml:space="preserve">20 de agosto al 18 de septiembre de 2020 </w:t>
      </w:r>
      <w:r w:rsidRPr="00DC1034">
        <w:rPr>
          <w:rFonts w:ascii="ITC Avant Garde" w:eastAsiaTheme="minorHAnsi" w:hAnsi="ITC Avant Garde" w:cs="ITC Avant Garde"/>
          <w:lang w:eastAsia="en-US"/>
        </w:rPr>
        <w:t>a través de la dirección de correo electrónico </w:t>
      </w:r>
      <w:hyperlink r:id="rId8" w:history="1">
        <w:r w:rsidRPr="00DC1034">
          <w:rPr>
            <w:rFonts w:ascii="ITC Avant Garde" w:eastAsiaTheme="minorHAnsi" w:hAnsi="ITC Avant Garde" w:cs="ITC Avant Garde"/>
            <w:lang w:eastAsia="en-US"/>
          </w:rPr>
          <w:t>ofertas.referencia@ift.org.mx</w:t>
        </w:r>
      </w:hyperlink>
      <w:r w:rsidRPr="00DC1034">
        <w:rPr>
          <w:rFonts w:ascii="ITC Avant Garde" w:eastAsiaTheme="minorHAnsi" w:hAnsi="ITC Avant Garde" w:cs="ITC Avant Garde"/>
          <w:lang w:eastAsia="en-US"/>
        </w:rPr>
        <w:t>, o bien, mediante escrito presentado en la Oficialía de Partes Común del Instituto ubicada en Insurgentes Sur 1143, colonia Nochebuena, Delegación Benito Juárez, C.P. 03720, Ciudad de México.</w:t>
      </w:r>
    </w:p>
    <w:p w14:paraId="7C8607A7" w14:textId="77777777" w:rsidR="00416A22" w:rsidRPr="00DC1034" w:rsidRDefault="00416A22" w:rsidP="002A524D">
      <w:pPr>
        <w:spacing w:after="0" w:line="276" w:lineRule="auto"/>
        <w:ind w:left="-851" w:right="0" w:hanging="11"/>
        <w:rPr>
          <w:rFonts w:ascii="ITC Avant Garde" w:eastAsiaTheme="minorHAnsi" w:hAnsi="ITC Avant Garde" w:cs="ITC Avant Garde"/>
          <w:lang w:eastAsia="en-US"/>
        </w:rPr>
      </w:pPr>
    </w:p>
    <w:p w14:paraId="37A9866C" w14:textId="77777777" w:rsidR="00C15421" w:rsidRPr="00DC1034" w:rsidRDefault="00C15421" w:rsidP="002A524D">
      <w:pPr>
        <w:spacing w:line="276" w:lineRule="auto"/>
        <w:ind w:left="-851"/>
        <w:rPr>
          <w:rFonts w:ascii="ITC Avant Garde" w:hAnsi="ITC Avant Garde" w:cs="ITC Avant Garde"/>
          <w:b/>
        </w:rPr>
      </w:pPr>
      <w:r w:rsidRPr="00DC1034">
        <w:rPr>
          <w:rFonts w:ascii="ITC Avant Garde" w:hAnsi="ITC Avant Garde" w:cs="ITC Avant Garde"/>
          <w:b/>
        </w:rPr>
        <w:t>Objetivo de la Consulta Pública:</w:t>
      </w:r>
    </w:p>
    <w:p w14:paraId="7D969E6B" w14:textId="32E66603" w:rsidR="00C15421" w:rsidRPr="00DC1034" w:rsidRDefault="00C15421" w:rsidP="002A524D">
      <w:pPr>
        <w:spacing w:line="276" w:lineRule="auto"/>
        <w:ind w:left="-851" w:right="0"/>
        <w:rPr>
          <w:rFonts w:ascii="ITC Avant Garde" w:hAnsi="ITC Avant Garde"/>
        </w:rPr>
      </w:pPr>
      <w:r w:rsidRPr="00DC1034">
        <w:rPr>
          <w:rFonts w:ascii="ITC Avant Garde" w:hAnsi="ITC Avant Garde"/>
        </w:rPr>
        <w:t xml:space="preserve">El Instituto convencido de la importancia y relevancia de transparentar su proceso de elaboración de nuevas regulaciones, a través de la consulta pública recibió los comentarios, opiniones y aportaciones de cualquier interesado a propósito de las Propuestas de Ofertas, las cuales se proponen con base en lo establecido en los artículos 1, 2, 7, 15, fracción XL y LXIII, 51 y 269 fracción III de la Ley Federal de Telecomunicaciones y Radiodifusión (en lo sucesivo, la “LFTR”), y 1, 4, fracción I, 6, fracción XXXVIII y 26, fracción I del Estatuto Orgánico del Instituto Federal de Telecomunicaciones, y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w:t>
      </w:r>
      <w:r w:rsidRPr="00DC1034">
        <w:rPr>
          <w:rFonts w:ascii="ITC Avant Garde" w:hAnsi="ITC Avant Garde"/>
        </w:rPr>
        <w:lastRenderedPageBreak/>
        <w:t>aprobada mediante Acuerdo P/IFT/EXT/060314/76, y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P/IFT/EXT/270217/119 (en lo sucesivo, las “Medidas Móviles”).</w:t>
      </w:r>
    </w:p>
    <w:p w14:paraId="16487020" w14:textId="77777777" w:rsidR="00C15421" w:rsidRPr="00DC1034" w:rsidRDefault="00C15421" w:rsidP="002A524D">
      <w:pPr>
        <w:spacing w:line="276" w:lineRule="auto"/>
        <w:ind w:left="-851" w:right="0"/>
        <w:rPr>
          <w:rFonts w:ascii="ITC Avant Garde" w:hAnsi="ITC Avant Garde"/>
        </w:rPr>
      </w:pPr>
    </w:p>
    <w:p w14:paraId="74023BD6" w14:textId="77777777" w:rsidR="00C15421" w:rsidRPr="00DC1034" w:rsidRDefault="00C15421" w:rsidP="002A524D">
      <w:pPr>
        <w:spacing w:line="276" w:lineRule="auto"/>
        <w:ind w:left="-851" w:right="0"/>
        <w:rPr>
          <w:rFonts w:ascii="ITC Avant Garde" w:hAnsi="ITC Avant Garde"/>
        </w:rPr>
      </w:pPr>
      <w:r w:rsidRPr="00DC1034">
        <w:rPr>
          <w:rFonts w:ascii="ITC Avant Garde" w:hAnsi="ITC Avant Garde"/>
        </w:rPr>
        <w:t>Los objetivos principales de la consulta pública consistieron en: i) contar con mayores elementos para determinar las condiciones bajo las cuales se deberán aprobar las Propuestas de Ofertas; ii) favorecer la transparencia y participación ciudadana con el fin de recibir los comentarios y opiniones de regulados, cámaras industriales, usuarios y audiencias sobre las Propuestas de Ofertas; y iii) establecer las bases para aprobar o modificar las mismas.</w:t>
      </w:r>
    </w:p>
    <w:p w14:paraId="691E3E98" w14:textId="77777777" w:rsidR="00416A22" w:rsidRPr="00DC1034" w:rsidRDefault="00416A22" w:rsidP="002A524D">
      <w:pPr>
        <w:spacing w:line="276" w:lineRule="auto"/>
        <w:ind w:left="-851" w:right="0"/>
        <w:rPr>
          <w:rFonts w:ascii="ITC Avant Garde" w:hAnsi="ITC Avant Garde"/>
        </w:rPr>
      </w:pPr>
    </w:p>
    <w:p w14:paraId="48544448" w14:textId="77777777" w:rsidR="00416A22" w:rsidRPr="00DC1034" w:rsidRDefault="00416A22" w:rsidP="002A524D">
      <w:pPr>
        <w:spacing w:line="276" w:lineRule="auto"/>
        <w:ind w:left="-851"/>
        <w:rPr>
          <w:rFonts w:ascii="ITC Avant Garde" w:hAnsi="ITC Avant Garde" w:cs="ITC Avant Garde"/>
          <w:b/>
        </w:rPr>
      </w:pPr>
      <w:r w:rsidRPr="00DC1034">
        <w:rPr>
          <w:rFonts w:ascii="ITC Avant Garde" w:hAnsi="ITC Avant Garde" w:cs="ITC Avant Garde"/>
          <w:b/>
        </w:rPr>
        <w:t xml:space="preserve">Unidad Administrativa que promueve el proyecto: </w:t>
      </w:r>
      <w:r w:rsidRPr="00DC1034">
        <w:rPr>
          <w:rFonts w:ascii="ITC Avant Garde" w:hAnsi="ITC Avant Garde" w:cs="ITC Avant Garde"/>
        </w:rPr>
        <w:t>Unidad de Política Regulatoria.</w:t>
      </w:r>
    </w:p>
    <w:p w14:paraId="63CC49AF" w14:textId="77777777" w:rsidR="00416A22" w:rsidRPr="00DC1034" w:rsidRDefault="00416A22" w:rsidP="002A524D">
      <w:pPr>
        <w:spacing w:after="0" w:line="276" w:lineRule="auto"/>
        <w:ind w:left="-851" w:right="0" w:firstLine="0"/>
        <w:jc w:val="left"/>
        <w:rPr>
          <w:rFonts w:ascii="ITC Avant Garde" w:hAnsi="ITC Avant Garde"/>
        </w:rPr>
      </w:pPr>
    </w:p>
    <w:p w14:paraId="62629393" w14:textId="77777777" w:rsidR="00C15421" w:rsidRPr="00DC1034" w:rsidRDefault="00C15421" w:rsidP="002A524D">
      <w:pPr>
        <w:spacing w:after="0" w:line="276" w:lineRule="auto"/>
        <w:ind w:left="-851" w:hanging="11"/>
        <w:rPr>
          <w:rFonts w:ascii="ITC Avant Garde" w:hAnsi="ITC Avant Garde" w:cs="ITC Avant Garde"/>
        </w:rPr>
      </w:pPr>
      <w:r w:rsidRPr="00DC1034">
        <w:rPr>
          <w:rFonts w:ascii="ITC Avant Garde" w:hAnsi="ITC Avant Garde" w:cs="ITC Avant Garde"/>
          <w:b/>
        </w:rPr>
        <w:t>Participantes de la Consulta Pública:</w:t>
      </w:r>
    </w:p>
    <w:p w14:paraId="7AC44ADC" w14:textId="02A9233C" w:rsidR="00C15421" w:rsidRPr="00DC1034" w:rsidRDefault="00C15421" w:rsidP="002A524D">
      <w:pPr>
        <w:spacing w:line="276" w:lineRule="auto"/>
        <w:ind w:left="-851" w:right="0"/>
        <w:rPr>
          <w:rFonts w:ascii="ITC Avant Garde" w:hAnsi="ITC Avant Garde"/>
        </w:rPr>
      </w:pPr>
      <w:r w:rsidRPr="00DC1034">
        <w:rPr>
          <w:rFonts w:ascii="ITC Avant Garde" w:hAnsi="ITC Avant Garde"/>
        </w:rPr>
        <w:t xml:space="preserve">Durante el periodo de la consulta pública de mérito, se </w:t>
      </w:r>
      <w:r w:rsidR="00B67C6F" w:rsidRPr="00DC1034">
        <w:rPr>
          <w:rFonts w:ascii="ITC Avant Garde" w:hAnsi="ITC Avant Garde"/>
        </w:rPr>
        <w:t>recibieron 3</w:t>
      </w:r>
      <w:r w:rsidRPr="00DC1034">
        <w:rPr>
          <w:rFonts w:ascii="ITC Avant Garde" w:hAnsi="ITC Avant Garde"/>
        </w:rPr>
        <w:t xml:space="preserve"> participaciones por parte de las siguientes personas morales:</w:t>
      </w:r>
    </w:p>
    <w:p w14:paraId="5778DFAB" w14:textId="77777777" w:rsidR="00C15421" w:rsidRPr="00DC1034" w:rsidRDefault="00C15421" w:rsidP="002A524D">
      <w:pPr>
        <w:spacing w:line="276" w:lineRule="auto"/>
        <w:ind w:left="-851" w:right="0"/>
        <w:rPr>
          <w:rFonts w:ascii="ITC Avant Garde" w:hAnsi="ITC Avant Garde"/>
        </w:rPr>
      </w:pPr>
    </w:p>
    <w:p w14:paraId="20A8171F" w14:textId="1887AEA4" w:rsidR="00C15421" w:rsidRPr="00DC1034" w:rsidRDefault="003E6A0C" w:rsidP="00221F60">
      <w:pPr>
        <w:pStyle w:val="Prrafodelista"/>
        <w:numPr>
          <w:ilvl w:val="0"/>
          <w:numId w:val="1"/>
        </w:numPr>
        <w:autoSpaceDE w:val="0"/>
        <w:autoSpaceDN w:val="0"/>
        <w:adjustRightInd w:val="0"/>
        <w:spacing w:after="0" w:line="276" w:lineRule="auto"/>
        <w:ind w:left="0" w:right="616"/>
        <w:rPr>
          <w:rFonts w:ascii="ITC Avant Garde" w:eastAsiaTheme="minorHAnsi" w:hAnsi="ITC Avant Garde" w:cs="ITC Avant Garde"/>
          <w:lang w:eastAsia="en-US"/>
        </w:rPr>
      </w:pPr>
      <w:r w:rsidRPr="00DC1034">
        <w:rPr>
          <w:rFonts w:ascii="ITC Avant Garde" w:eastAsiaTheme="minorHAnsi" w:hAnsi="ITC Avant Garde" w:cs="ITC Avant Garde"/>
          <w:lang w:eastAsia="en-US"/>
        </w:rPr>
        <w:t xml:space="preserve">Axtel, S.A.B. de C.V. </w:t>
      </w:r>
      <w:r w:rsidR="00C15421" w:rsidRPr="00DC1034">
        <w:rPr>
          <w:rFonts w:ascii="ITC Avant Garde" w:eastAsiaTheme="minorHAnsi" w:hAnsi="ITC Avant Garde" w:cs="ITC Avant Garde"/>
          <w:lang w:eastAsia="en-US"/>
        </w:rPr>
        <w:t xml:space="preserve"> (en lo sucesivo “</w:t>
      </w:r>
      <w:r w:rsidRPr="00DC1034">
        <w:rPr>
          <w:rFonts w:ascii="ITC Avant Garde" w:eastAsiaTheme="minorHAnsi" w:hAnsi="ITC Avant Garde" w:cs="ITC Avant Garde"/>
          <w:lang w:eastAsia="en-US"/>
        </w:rPr>
        <w:t>Axtel</w:t>
      </w:r>
      <w:r w:rsidR="00C15421" w:rsidRPr="00DC1034">
        <w:rPr>
          <w:rFonts w:ascii="ITC Avant Garde" w:eastAsiaTheme="minorHAnsi" w:hAnsi="ITC Avant Garde" w:cs="ITC Avant Garde"/>
          <w:lang w:eastAsia="en-US"/>
        </w:rPr>
        <w:t>”)</w:t>
      </w:r>
    </w:p>
    <w:p w14:paraId="070DF845" w14:textId="365F50E2" w:rsidR="009E1B8A" w:rsidRPr="00DC1034" w:rsidRDefault="003E6A0C" w:rsidP="00221F60">
      <w:pPr>
        <w:pStyle w:val="Prrafodelista"/>
        <w:numPr>
          <w:ilvl w:val="0"/>
          <w:numId w:val="1"/>
        </w:numPr>
        <w:autoSpaceDE w:val="0"/>
        <w:autoSpaceDN w:val="0"/>
        <w:adjustRightInd w:val="0"/>
        <w:spacing w:after="0" w:line="276" w:lineRule="auto"/>
        <w:ind w:left="0" w:right="616"/>
        <w:rPr>
          <w:rFonts w:ascii="ITC Avant Garde" w:eastAsiaTheme="minorHAnsi" w:hAnsi="ITC Avant Garde" w:cs="ITC Avant Garde"/>
          <w:lang w:eastAsia="en-US"/>
        </w:rPr>
      </w:pPr>
      <w:r w:rsidRPr="00DC1034">
        <w:rPr>
          <w:rFonts w:ascii="ITC Avant Garde" w:eastAsiaTheme="minorHAnsi" w:hAnsi="ITC Avant Garde" w:cs="ITC Avant Garde"/>
          <w:lang w:eastAsia="en-US"/>
        </w:rPr>
        <w:t xml:space="preserve">Cablevisión, S.A. de C.V., Operbes, S.A. de C.V., Cablemás Telecomunicaciones, S.A. de C.V., México Red de Telecomunicaciones, S. de R.L. de C.V., Televisión Internacional, S.A. de C.V., Cablevisión Red, S.A. de C.V. y TV Cable de Oriente, S.A. de C.V. (en lo sucesivo, </w:t>
      </w:r>
      <w:r w:rsidR="00B67C6F" w:rsidRPr="00DC1034">
        <w:rPr>
          <w:rFonts w:ascii="ITC Avant Garde" w:eastAsiaTheme="minorHAnsi" w:hAnsi="ITC Avant Garde" w:cs="ITC Avant Garde"/>
          <w:lang w:eastAsia="en-US"/>
        </w:rPr>
        <w:t>“</w:t>
      </w:r>
      <w:r w:rsidRPr="00DC1034">
        <w:rPr>
          <w:rFonts w:ascii="ITC Avant Garde" w:eastAsiaTheme="minorHAnsi" w:hAnsi="ITC Avant Garde" w:cs="ITC Avant Garde"/>
          <w:lang w:eastAsia="en-US"/>
        </w:rPr>
        <w:t>Televisa</w:t>
      </w:r>
      <w:r w:rsidR="009E1B8A" w:rsidRPr="00DC1034">
        <w:rPr>
          <w:rFonts w:ascii="ITC Avant Garde" w:eastAsiaTheme="minorHAnsi" w:hAnsi="ITC Avant Garde" w:cs="ITC Avant Garde"/>
          <w:lang w:eastAsia="en-US"/>
        </w:rPr>
        <w:t>”)</w:t>
      </w:r>
    </w:p>
    <w:p w14:paraId="4183EB7B" w14:textId="31589E5D" w:rsidR="009E1B8A" w:rsidRPr="00DC1034" w:rsidRDefault="009E1B8A" w:rsidP="00221F60">
      <w:pPr>
        <w:pStyle w:val="Prrafodelista"/>
        <w:numPr>
          <w:ilvl w:val="0"/>
          <w:numId w:val="1"/>
        </w:numPr>
        <w:autoSpaceDE w:val="0"/>
        <w:autoSpaceDN w:val="0"/>
        <w:adjustRightInd w:val="0"/>
        <w:spacing w:after="0" w:line="276" w:lineRule="auto"/>
        <w:ind w:left="0" w:right="616"/>
        <w:rPr>
          <w:rFonts w:ascii="ITC Avant Garde" w:eastAsiaTheme="minorHAnsi" w:hAnsi="ITC Avant Garde" w:cs="ITC Avant Garde"/>
          <w:lang w:eastAsia="en-US"/>
        </w:rPr>
      </w:pPr>
      <w:r w:rsidRPr="00DC1034">
        <w:rPr>
          <w:rFonts w:ascii="ITC Avant Garde" w:eastAsiaTheme="minorHAnsi" w:hAnsi="ITC Avant Garde" w:cs="ITC Avant Garde"/>
          <w:lang w:eastAsia="en-US"/>
        </w:rPr>
        <w:t>Telecomunicaciones 360, S.A. de C.V. (en lo sucesivo, “Telecomunicaciones 360</w:t>
      </w:r>
      <w:r w:rsidR="003E6A0C" w:rsidRPr="00DC1034">
        <w:rPr>
          <w:rFonts w:ascii="ITC Avant Garde" w:eastAsiaTheme="minorHAnsi" w:hAnsi="ITC Avant Garde" w:cs="ITC Avant Garde"/>
          <w:lang w:eastAsia="en-US"/>
        </w:rPr>
        <w:t>”</w:t>
      </w:r>
      <w:r w:rsidRPr="00DC1034">
        <w:rPr>
          <w:rFonts w:ascii="ITC Avant Garde" w:eastAsiaTheme="minorHAnsi" w:hAnsi="ITC Avant Garde" w:cs="ITC Avant Garde"/>
          <w:lang w:eastAsia="en-US"/>
        </w:rPr>
        <w:t>)</w:t>
      </w:r>
    </w:p>
    <w:p w14:paraId="4D75981A" w14:textId="77777777" w:rsidR="000B5810" w:rsidRPr="00DC1034" w:rsidRDefault="000B5810" w:rsidP="002A524D">
      <w:pPr>
        <w:autoSpaceDE w:val="0"/>
        <w:autoSpaceDN w:val="0"/>
        <w:adjustRightInd w:val="0"/>
        <w:spacing w:after="0" w:line="276" w:lineRule="auto"/>
        <w:ind w:left="-851" w:right="0" w:firstLine="0"/>
        <w:rPr>
          <w:rFonts w:ascii="ITC Avant Garde" w:eastAsiaTheme="minorHAnsi" w:hAnsi="ITC Avant Garde" w:cs="ITC Avant Garde"/>
          <w:lang w:eastAsia="en-US"/>
        </w:rPr>
      </w:pPr>
    </w:p>
    <w:p w14:paraId="64A799EB" w14:textId="77777777" w:rsidR="00416A22" w:rsidRPr="00DC1034" w:rsidRDefault="00416A22" w:rsidP="002A524D">
      <w:pPr>
        <w:spacing w:after="0" w:line="276" w:lineRule="auto"/>
        <w:ind w:left="-851" w:hanging="11"/>
        <w:rPr>
          <w:rFonts w:ascii="ITC Avant Garde" w:hAnsi="ITC Avant Garde" w:cs="ITC Avant Garde"/>
        </w:rPr>
      </w:pPr>
      <w:r w:rsidRPr="00DC1034">
        <w:rPr>
          <w:rFonts w:ascii="ITC Avant Garde" w:hAnsi="ITC Avant Garde" w:cs="ITC Avant Garde"/>
          <w:b/>
        </w:rPr>
        <w:t>Respuestas y posicionamientos por parte del Instituto:</w:t>
      </w:r>
    </w:p>
    <w:p w14:paraId="6D4B1954" w14:textId="2ADD35B0" w:rsidR="00352EEF" w:rsidRPr="00DC1034" w:rsidRDefault="00C15421" w:rsidP="00541C18">
      <w:pPr>
        <w:spacing w:after="200" w:line="276" w:lineRule="auto"/>
        <w:ind w:left="-851" w:right="0" w:hanging="11"/>
        <w:rPr>
          <w:rFonts w:ascii="ITC Avant Garde" w:hAnsi="ITC Avant Garde"/>
        </w:rPr>
      </w:pPr>
      <w:r w:rsidRPr="00DC1034">
        <w:rPr>
          <w:rFonts w:ascii="ITC Avant Garde" w:hAnsi="ITC Avant Garde"/>
        </w:rPr>
        <w:t>S</w:t>
      </w:r>
      <w:r w:rsidR="005C2139" w:rsidRPr="00DC1034">
        <w:rPr>
          <w:rFonts w:ascii="ITC Avant Garde" w:hAnsi="ITC Avant Garde"/>
        </w:rPr>
        <w:t xml:space="preserve">e señala que el orden en </w:t>
      </w:r>
      <w:r w:rsidR="005E75EF" w:rsidRPr="00DC1034">
        <w:rPr>
          <w:rFonts w:ascii="ITC Avant Garde" w:hAnsi="ITC Avant Garde"/>
        </w:rPr>
        <w:t xml:space="preserve">el </w:t>
      </w:r>
      <w:r w:rsidR="005C2139" w:rsidRPr="00DC1034">
        <w:rPr>
          <w:rFonts w:ascii="ITC Avant Garde" w:hAnsi="ITC Avant Garde"/>
        </w:rPr>
        <w:t>que son abordados cada uno de los temas y numerales genéricos mencionados, obedece primordialmente al orden en que cada uno de éstos aparece</w:t>
      </w:r>
      <w:r w:rsidR="001368EC" w:rsidRPr="00DC1034">
        <w:rPr>
          <w:rFonts w:ascii="ITC Avant Garde" w:hAnsi="ITC Avant Garde"/>
        </w:rPr>
        <w:t>n</w:t>
      </w:r>
      <w:r w:rsidR="005C2139" w:rsidRPr="00DC1034">
        <w:rPr>
          <w:rFonts w:ascii="ITC Avant Garde" w:hAnsi="ITC Avant Garde"/>
        </w:rPr>
        <w:t xml:space="preserve"> en</w:t>
      </w:r>
      <w:r w:rsidR="001368EC" w:rsidRPr="00DC1034">
        <w:rPr>
          <w:rFonts w:ascii="ITC Avant Garde" w:hAnsi="ITC Avant Garde"/>
        </w:rPr>
        <w:t xml:space="preserve"> la Propuesta de </w:t>
      </w:r>
      <w:r w:rsidR="00FE4F8F">
        <w:rPr>
          <w:rFonts w:ascii="ITC Avant Garde" w:hAnsi="ITC Avant Garde"/>
        </w:rPr>
        <w:t>“</w:t>
      </w:r>
      <w:r w:rsidR="007D20DF" w:rsidRPr="00DC1034">
        <w:rPr>
          <w:rFonts w:ascii="ITC Avant Garde" w:hAnsi="ITC Avant Garde"/>
          <w:b/>
          <w:i/>
        </w:rPr>
        <w:t>Oferta de Referencia para la Prestación del Servicio Mayorista de Comercialización o Reventa de Servicios prestado por el Agente Económico Preponderante en el Sector de las Telecomunicaciones</w:t>
      </w:r>
      <w:r w:rsidR="00FE4F8F">
        <w:rPr>
          <w:rFonts w:ascii="ITC Avant Garde" w:hAnsi="ITC Avant Garde"/>
          <w:b/>
          <w:i/>
        </w:rPr>
        <w:t>”</w:t>
      </w:r>
      <w:r w:rsidR="00FE4F8F">
        <w:rPr>
          <w:rFonts w:ascii="ITC Avant Garde" w:hAnsi="ITC Avant Garde"/>
        </w:rPr>
        <w:t xml:space="preserve"> (en lo</w:t>
      </w:r>
      <w:r w:rsidR="007D20DF" w:rsidRPr="00DC1034">
        <w:rPr>
          <w:rFonts w:ascii="ITC Avant Garde" w:hAnsi="ITC Avant Garde"/>
        </w:rPr>
        <w:t xml:space="preserve"> sucesivo, la “Oferta”)</w:t>
      </w:r>
      <w:r w:rsidR="004210F9" w:rsidRPr="00DC1034">
        <w:rPr>
          <w:rFonts w:ascii="ITC Avant Garde" w:hAnsi="ITC Avant Garde"/>
        </w:rPr>
        <w:t>,</w:t>
      </w:r>
      <w:r w:rsidR="007D20DF" w:rsidRPr="00DC1034">
        <w:rPr>
          <w:rFonts w:ascii="ITC Avant Garde" w:hAnsi="ITC Avant Garde"/>
        </w:rPr>
        <w:t xml:space="preserve"> pres</w:t>
      </w:r>
      <w:r w:rsidR="00FE4F8F">
        <w:rPr>
          <w:rFonts w:ascii="ITC Avant Garde" w:hAnsi="ITC Avant Garde"/>
        </w:rPr>
        <w:t>en</w:t>
      </w:r>
      <w:r w:rsidR="007D20DF" w:rsidRPr="00DC1034">
        <w:rPr>
          <w:rFonts w:ascii="ITC Avant Garde" w:hAnsi="ITC Avant Garde"/>
        </w:rPr>
        <w:t xml:space="preserve">tada por </w:t>
      </w:r>
      <w:r w:rsidR="00FE4F8F">
        <w:rPr>
          <w:rFonts w:ascii="ITC Avant Garde" w:hAnsi="ITC Avant Garde"/>
        </w:rPr>
        <w:t xml:space="preserve">Radiomóvil Dipsa, S.A. de C.V. </w:t>
      </w:r>
      <w:r w:rsidR="007D20DF" w:rsidRPr="00DC1034">
        <w:rPr>
          <w:rFonts w:ascii="ITC Avant Garde" w:hAnsi="ITC Avant Garde"/>
        </w:rPr>
        <w:t>(en lo sucesivo, “Telcel”) integrante del Agente Económico Preponderante (en lo sucesivo,</w:t>
      </w:r>
      <w:r w:rsidR="00FE4F8F">
        <w:rPr>
          <w:rFonts w:ascii="ITC Avant Garde" w:hAnsi="ITC Avant Garde"/>
        </w:rPr>
        <w:t xml:space="preserve"> el “AEP”) en el sector de las t</w:t>
      </w:r>
      <w:r w:rsidR="007D20DF" w:rsidRPr="00DC1034">
        <w:rPr>
          <w:rFonts w:ascii="ITC Avant Garde" w:hAnsi="ITC Avant Garde"/>
        </w:rPr>
        <w:t>elecomunicaciones.</w:t>
      </w:r>
    </w:p>
    <w:p w14:paraId="1503769A" w14:textId="376C83EA" w:rsidR="00F96416" w:rsidRPr="00DC1034" w:rsidRDefault="00BC09A3" w:rsidP="00541C18">
      <w:pPr>
        <w:spacing w:after="200" w:line="276" w:lineRule="auto"/>
        <w:ind w:left="-851" w:right="0" w:hanging="11"/>
        <w:rPr>
          <w:rFonts w:ascii="ITC Avant Garde" w:hAnsi="ITC Avant Garde"/>
        </w:rPr>
      </w:pPr>
      <w:r w:rsidRPr="00DC1034">
        <w:rPr>
          <w:rFonts w:ascii="ITC Avant Garde" w:hAnsi="ITC Avant Garde"/>
        </w:rPr>
        <w:t>Por lo anterior, el Instituto emite las siguientes respuestas y con</w:t>
      </w:r>
      <w:r w:rsidR="007B0E47" w:rsidRPr="00DC1034">
        <w:rPr>
          <w:rFonts w:ascii="ITC Avant Garde" w:hAnsi="ITC Avant Garde"/>
        </w:rPr>
        <w:t>sideraciones para cada una de la</w:t>
      </w:r>
      <w:r w:rsidRPr="00DC1034">
        <w:rPr>
          <w:rFonts w:ascii="ITC Avant Garde" w:hAnsi="ITC Avant Garde"/>
        </w:rPr>
        <w:t>s</w:t>
      </w:r>
      <w:r w:rsidR="007B0E47" w:rsidRPr="00DC1034">
        <w:rPr>
          <w:rFonts w:ascii="ITC Avant Garde" w:hAnsi="ITC Avant Garde"/>
        </w:rPr>
        <w:t xml:space="preserve"> participaciones</w:t>
      </w:r>
      <w:r w:rsidR="004B5491" w:rsidRPr="00DC1034">
        <w:rPr>
          <w:rFonts w:ascii="ITC Avant Garde" w:hAnsi="ITC Avant Garde"/>
        </w:rPr>
        <w:t xml:space="preserve"> recibidas</w:t>
      </w:r>
      <w:r w:rsidR="009F1686">
        <w:rPr>
          <w:rFonts w:ascii="ITC Avant Garde" w:hAnsi="ITC Avant Garde"/>
        </w:rPr>
        <w:t>:</w:t>
      </w:r>
    </w:p>
    <w:p w14:paraId="0181DB3A" w14:textId="48609F49" w:rsidR="00B06926" w:rsidRPr="00DC1034" w:rsidRDefault="00B06926" w:rsidP="002A524D">
      <w:pPr>
        <w:spacing w:after="0" w:line="276" w:lineRule="auto"/>
        <w:ind w:left="-851" w:right="49"/>
        <w:rPr>
          <w:rFonts w:ascii="ITC Avant Garde" w:hAnsi="ITC Avant Garde"/>
          <w:b/>
          <w:color w:val="auto"/>
          <w:u w:val="single"/>
        </w:rPr>
      </w:pPr>
      <w:r w:rsidRPr="00DC1034">
        <w:rPr>
          <w:rFonts w:ascii="ITC Avant Garde" w:hAnsi="ITC Avant Garde"/>
          <w:b/>
          <w:color w:val="auto"/>
          <w:u w:val="single"/>
        </w:rPr>
        <w:t>3. Definiciones</w:t>
      </w:r>
    </w:p>
    <w:p w14:paraId="6DC3EBFA" w14:textId="72EB2176" w:rsidR="00B06926" w:rsidRPr="00DC1034" w:rsidRDefault="003E6A0C"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lastRenderedPageBreak/>
        <w:t>Axtel:</w:t>
      </w:r>
    </w:p>
    <w:p w14:paraId="46DAB442" w14:textId="19133F31" w:rsidR="00472A64" w:rsidRPr="00DC1034" w:rsidRDefault="003E6A0C" w:rsidP="000429F8">
      <w:pPr>
        <w:spacing w:after="200" w:line="276" w:lineRule="auto"/>
        <w:ind w:left="-851" w:right="0" w:hanging="11"/>
        <w:rPr>
          <w:rFonts w:ascii="ITC Avant Garde" w:eastAsia="Calibri" w:hAnsi="ITC Avant Garde" w:cs="Arial"/>
          <w:color w:val="auto"/>
          <w:sz w:val="18"/>
          <w:szCs w:val="18"/>
          <w:lang w:eastAsia="en-US"/>
        </w:rPr>
      </w:pPr>
      <w:r w:rsidRPr="00DC1034">
        <w:rPr>
          <w:rFonts w:ascii="ITC Avant Garde" w:hAnsi="ITC Avant Garde"/>
        </w:rPr>
        <w:t xml:space="preserve">Solicita </w:t>
      </w:r>
      <w:r w:rsidR="00617BCC" w:rsidRPr="00DC1034">
        <w:rPr>
          <w:rFonts w:ascii="ITC Avant Garde" w:hAnsi="ITC Avant Garde"/>
        </w:rPr>
        <w:t xml:space="preserve">que en las </w:t>
      </w:r>
      <w:r w:rsidRPr="00DC1034">
        <w:rPr>
          <w:rFonts w:ascii="ITC Avant Garde" w:hAnsi="ITC Avant Garde"/>
        </w:rPr>
        <w:t xml:space="preserve">definiciones de "Flooding" y "Prácticas Prohibidas" </w:t>
      </w:r>
      <w:r w:rsidR="00617BCC" w:rsidRPr="00DC1034">
        <w:rPr>
          <w:rFonts w:ascii="ITC Avant Garde" w:hAnsi="ITC Avant Garde"/>
        </w:rPr>
        <w:t>se clarifique</w:t>
      </w:r>
      <w:r w:rsidRPr="00DC1034">
        <w:rPr>
          <w:rFonts w:ascii="ITC Avant Garde" w:hAnsi="ITC Avant Garde"/>
        </w:rPr>
        <w:t xml:space="preserve"> el escenario para OMV </w:t>
      </w:r>
      <w:r w:rsidR="00013447" w:rsidRPr="00DC1034">
        <w:rPr>
          <w:rFonts w:ascii="ITC Avant Garde" w:hAnsi="ITC Avant Garde"/>
        </w:rPr>
        <w:t>C</w:t>
      </w:r>
      <w:r w:rsidRPr="00DC1034">
        <w:rPr>
          <w:rFonts w:ascii="ITC Avant Garde" w:hAnsi="ITC Avant Garde"/>
        </w:rPr>
        <w:t xml:space="preserve">ompletos y </w:t>
      </w:r>
      <w:r w:rsidR="00013447" w:rsidRPr="00DC1034">
        <w:rPr>
          <w:rFonts w:ascii="ITC Avant Garde" w:hAnsi="ITC Avant Garde"/>
        </w:rPr>
        <w:t xml:space="preserve">como </w:t>
      </w:r>
      <w:r w:rsidRPr="00DC1034">
        <w:rPr>
          <w:rFonts w:ascii="ITC Avant Garde" w:hAnsi="ITC Avant Garde"/>
        </w:rPr>
        <w:t>concesionarios, debido a que en este caso y como parte de su estrategia comercial</w:t>
      </w:r>
      <w:r w:rsidR="00770D93" w:rsidRPr="00DC1034">
        <w:rPr>
          <w:rFonts w:ascii="ITC Avant Garde" w:hAnsi="ITC Avant Garde"/>
        </w:rPr>
        <w:t>,</w:t>
      </w:r>
      <w:r w:rsidRPr="00DC1034">
        <w:rPr>
          <w:rFonts w:ascii="ITC Avant Garde" w:hAnsi="ITC Avant Garde"/>
        </w:rPr>
        <w:t xml:space="preserve"> est</w:t>
      </w:r>
      <w:r w:rsidR="00617BCC" w:rsidRPr="00DC1034">
        <w:rPr>
          <w:rFonts w:ascii="ITC Avant Garde" w:hAnsi="ITC Avant Garde"/>
        </w:rPr>
        <w:t>os</w:t>
      </w:r>
      <w:r w:rsidRPr="00DC1034">
        <w:rPr>
          <w:rFonts w:ascii="ITC Avant Garde" w:hAnsi="ITC Avant Garde"/>
        </w:rPr>
        <w:t xml:space="preserve"> pudiera</w:t>
      </w:r>
      <w:r w:rsidR="00617BCC" w:rsidRPr="00DC1034">
        <w:rPr>
          <w:rFonts w:ascii="ITC Avant Garde" w:hAnsi="ITC Avant Garde"/>
        </w:rPr>
        <w:t>n</w:t>
      </w:r>
      <w:r w:rsidRPr="00DC1034">
        <w:rPr>
          <w:rFonts w:ascii="ITC Avant Garde" w:hAnsi="ITC Avant Garde"/>
        </w:rPr>
        <w:t xml:space="preserve"> desarrollar campañas vía SMS hacia sus propios clientes y/o usuarios finales, </w:t>
      </w:r>
      <w:r w:rsidR="00013447" w:rsidRPr="00DC1034">
        <w:rPr>
          <w:rFonts w:ascii="ITC Avant Garde" w:hAnsi="ITC Avant Garde"/>
        </w:rPr>
        <w:t>dado</w:t>
      </w:r>
      <w:r w:rsidRPr="00DC1034">
        <w:rPr>
          <w:rFonts w:ascii="ITC Avant Garde" w:hAnsi="ITC Avant Garde"/>
        </w:rPr>
        <w:t xml:space="preserve"> que cuenta</w:t>
      </w:r>
      <w:r w:rsidR="00617BCC" w:rsidRPr="00DC1034">
        <w:rPr>
          <w:rFonts w:ascii="ITC Avant Garde" w:hAnsi="ITC Avant Garde"/>
        </w:rPr>
        <w:t>n</w:t>
      </w:r>
      <w:r w:rsidRPr="00DC1034">
        <w:rPr>
          <w:rFonts w:ascii="ITC Avant Garde" w:hAnsi="ITC Avant Garde"/>
        </w:rPr>
        <w:t xml:space="preserve"> con su propia plataforma de </w:t>
      </w:r>
      <w:r w:rsidR="00FE4F8F">
        <w:rPr>
          <w:rFonts w:ascii="ITC Avant Garde" w:hAnsi="ITC Avant Garde"/>
        </w:rPr>
        <w:t>m</w:t>
      </w:r>
      <w:r w:rsidR="000429F8" w:rsidRPr="00DC1034">
        <w:rPr>
          <w:rFonts w:ascii="ITC Avant Garde" w:hAnsi="ITC Avant Garde"/>
        </w:rPr>
        <w:t>ensajería</w:t>
      </w:r>
      <w:r w:rsidRPr="00DC1034">
        <w:rPr>
          <w:rFonts w:ascii="ITC Avant Garde" w:hAnsi="ITC Avant Garde"/>
        </w:rPr>
        <w:t xml:space="preserve"> SMSC, sin que esto deba ser </w:t>
      </w:r>
      <w:r w:rsidR="00013447" w:rsidRPr="00DC1034">
        <w:rPr>
          <w:rFonts w:ascii="ITC Avant Garde" w:hAnsi="ITC Avant Garde"/>
        </w:rPr>
        <w:t>clasificado como Flooding</w:t>
      </w:r>
      <w:r w:rsidR="000D6FCA" w:rsidRPr="00DC1034">
        <w:rPr>
          <w:rFonts w:ascii="ITC Avant Garde" w:hAnsi="ITC Avant Garde"/>
        </w:rPr>
        <w:t xml:space="preserve"> y/o Spam.</w:t>
      </w:r>
    </w:p>
    <w:p w14:paraId="4695B476" w14:textId="735DF313" w:rsidR="00B8761F" w:rsidRPr="00DC1034" w:rsidRDefault="00B8761F" w:rsidP="00B8761F">
      <w:pPr>
        <w:spacing w:after="0" w:line="276" w:lineRule="auto"/>
        <w:ind w:left="-851" w:right="0" w:firstLine="0"/>
        <w:rPr>
          <w:rFonts w:ascii="ITC Avant Garde" w:hAnsi="ITC Avant Garde"/>
          <w:b/>
          <w:color w:val="auto"/>
        </w:rPr>
      </w:pPr>
      <w:r w:rsidRPr="00DC1034">
        <w:rPr>
          <w:rFonts w:ascii="ITC Avant Garde" w:hAnsi="ITC Avant Garde"/>
          <w:b/>
          <w:color w:val="auto"/>
        </w:rPr>
        <w:t>Telecomunicaciones 360:</w:t>
      </w:r>
    </w:p>
    <w:p w14:paraId="435B1DAF" w14:textId="39E500B2" w:rsidR="000429F8" w:rsidRDefault="00B8761F" w:rsidP="00FE4F8F">
      <w:pPr>
        <w:pStyle w:val="Default"/>
        <w:spacing w:after="200"/>
        <w:ind w:left="-851"/>
        <w:jc w:val="both"/>
        <w:rPr>
          <w:rFonts w:ascii="ITC Avant Garde" w:eastAsia="Avant Garde" w:hAnsi="ITC Avant Garde" w:cs="Avant Garde"/>
          <w:color w:val="auto"/>
          <w:sz w:val="22"/>
          <w:szCs w:val="22"/>
          <w:lang w:eastAsia="es-MX"/>
        </w:rPr>
      </w:pPr>
      <w:r w:rsidRPr="00DC1034">
        <w:rPr>
          <w:rFonts w:ascii="ITC Avant Garde" w:hAnsi="ITC Avant Garde"/>
          <w:color w:val="auto"/>
          <w:sz w:val="22"/>
          <w:szCs w:val="22"/>
        </w:rPr>
        <w:t>Propone</w:t>
      </w:r>
      <w:r w:rsidRPr="00DC1034">
        <w:rPr>
          <w:rFonts w:ascii="ITC Avant Garde" w:eastAsia="Avant Garde" w:hAnsi="ITC Avant Garde" w:cs="Avant Garde"/>
          <w:color w:val="auto"/>
          <w:sz w:val="22"/>
          <w:szCs w:val="22"/>
          <w:lang w:eastAsia="es-MX"/>
        </w:rPr>
        <w:t xml:space="preserve"> </w:t>
      </w:r>
      <w:r w:rsidR="000429F8" w:rsidRPr="00DC1034">
        <w:rPr>
          <w:rFonts w:ascii="ITC Avant Garde" w:eastAsia="Avant Garde" w:hAnsi="ITC Avant Garde" w:cs="Avant Garde"/>
          <w:color w:val="auto"/>
          <w:sz w:val="22"/>
          <w:szCs w:val="22"/>
          <w:lang w:eastAsia="es-MX"/>
        </w:rPr>
        <w:t xml:space="preserve">modificar la definición </w:t>
      </w:r>
      <w:r w:rsidR="00BB063D" w:rsidRPr="00DC1034">
        <w:rPr>
          <w:rFonts w:ascii="ITC Avant Garde" w:eastAsia="Avant Garde" w:hAnsi="ITC Avant Garde" w:cs="Avant Garde"/>
          <w:color w:val="auto"/>
          <w:sz w:val="22"/>
          <w:szCs w:val="22"/>
          <w:lang w:eastAsia="es-MX"/>
        </w:rPr>
        <w:t>de “</w:t>
      </w:r>
      <w:r w:rsidR="000429F8" w:rsidRPr="00DC1034">
        <w:rPr>
          <w:rFonts w:ascii="ITC Avant Garde" w:eastAsia="Avant Garde" w:hAnsi="ITC Avant Garde" w:cs="Avant Garde"/>
          <w:color w:val="auto"/>
          <w:sz w:val="22"/>
          <w:szCs w:val="22"/>
          <w:lang w:eastAsia="es-MX"/>
        </w:rPr>
        <w:t>Prácticas Prohibidas para el envío SMS</w:t>
      </w:r>
      <w:r w:rsidR="00BB063D" w:rsidRPr="00DC1034">
        <w:rPr>
          <w:rFonts w:ascii="ITC Avant Garde" w:eastAsia="Avant Garde" w:hAnsi="ITC Avant Garde" w:cs="Avant Garde"/>
          <w:color w:val="auto"/>
          <w:sz w:val="22"/>
          <w:szCs w:val="22"/>
          <w:lang w:eastAsia="es-MX"/>
        </w:rPr>
        <w:t>”</w:t>
      </w:r>
      <w:r w:rsidR="000429F8" w:rsidRPr="00DC1034">
        <w:rPr>
          <w:rFonts w:ascii="ITC Avant Garde" w:eastAsia="Avant Garde" w:hAnsi="ITC Avant Garde" w:cs="Avant Garde"/>
          <w:color w:val="auto"/>
          <w:sz w:val="22"/>
          <w:szCs w:val="22"/>
          <w:lang w:eastAsia="es-MX"/>
        </w:rPr>
        <w:t xml:space="preserve">, </w:t>
      </w:r>
      <w:r w:rsidRPr="00DC1034">
        <w:rPr>
          <w:rFonts w:ascii="ITC Avant Garde" w:hAnsi="ITC Avant Garde"/>
          <w:color w:val="auto"/>
          <w:sz w:val="22"/>
          <w:szCs w:val="22"/>
        </w:rPr>
        <w:t xml:space="preserve">a fin de excluir aquellos números que son operados por el OMV para efectuar una comunicación </w:t>
      </w:r>
      <w:r w:rsidR="00BB063D" w:rsidRPr="00DC1034">
        <w:rPr>
          <w:rFonts w:ascii="ITC Avant Garde" w:hAnsi="ITC Avant Garde"/>
          <w:color w:val="auto"/>
          <w:sz w:val="22"/>
          <w:szCs w:val="22"/>
        </w:rPr>
        <w:t>d</w:t>
      </w:r>
      <w:r w:rsidRPr="00DC1034">
        <w:rPr>
          <w:rFonts w:ascii="ITC Avant Garde" w:hAnsi="ITC Avant Garde"/>
          <w:color w:val="auto"/>
          <w:sz w:val="22"/>
          <w:szCs w:val="22"/>
        </w:rPr>
        <w:t xml:space="preserve">irecta con sus </w:t>
      </w:r>
      <w:r w:rsidRPr="00DC1034">
        <w:rPr>
          <w:rFonts w:ascii="ITC Avant Garde" w:eastAsia="Avant Garde" w:hAnsi="ITC Avant Garde" w:cs="Avant Garde"/>
          <w:color w:val="auto"/>
          <w:sz w:val="22"/>
          <w:szCs w:val="22"/>
          <w:lang w:eastAsia="es-MX"/>
        </w:rPr>
        <w:t>clientes</w:t>
      </w:r>
      <w:r w:rsidR="00FE4F8F">
        <w:rPr>
          <w:rFonts w:ascii="ITC Avant Garde" w:eastAsia="Avant Garde" w:hAnsi="ITC Avant Garde" w:cs="Avant Garde"/>
          <w:color w:val="auto"/>
          <w:sz w:val="22"/>
          <w:szCs w:val="22"/>
          <w:lang w:eastAsia="es-MX"/>
        </w:rPr>
        <w:t>, señalando que</w:t>
      </w:r>
      <w:r w:rsidR="00FE4F8F" w:rsidRPr="00FE4F8F">
        <w:rPr>
          <w:rFonts w:ascii="ITC Avant Garde" w:eastAsia="Avant Garde" w:hAnsi="ITC Avant Garde" w:cs="Avant Garde"/>
          <w:color w:val="auto"/>
          <w:sz w:val="22"/>
          <w:szCs w:val="22"/>
          <w:lang w:eastAsia="es-MX"/>
        </w:rPr>
        <w:t xml:space="preserve"> e</w:t>
      </w:r>
      <w:r w:rsidRPr="00FE4F8F">
        <w:rPr>
          <w:rFonts w:ascii="ITC Avant Garde" w:eastAsia="Avant Garde" w:hAnsi="ITC Avant Garde" w:cs="Avant Garde"/>
          <w:color w:val="auto"/>
          <w:sz w:val="22"/>
          <w:szCs w:val="22"/>
          <w:lang w:eastAsia="es-MX"/>
        </w:rPr>
        <w:t>n ningún momento se entenderán Prácticas Prohibidas para el envío SMS aquellas que deriven de las comunicaciones directas entre el OMV y sus usuarios finales, sin importar el número de mensajes SMS de que se trate ni la categoría de la que se trate (P2P, M2P o M2M).</w:t>
      </w:r>
    </w:p>
    <w:p w14:paraId="35F77919" w14:textId="786D691C" w:rsidR="00B8761F" w:rsidRPr="00DC1034" w:rsidRDefault="00B8761F" w:rsidP="00B8761F">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1866573A" w14:textId="46555C12" w:rsidR="00B8761F" w:rsidRPr="00DC1034" w:rsidRDefault="001020AA" w:rsidP="000429F8">
      <w:pPr>
        <w:spacing w:after="200" w:line="276" w:lineRule="auto"/>
        <w:ind w:left="-851" w:right="0" w:firstLine="0"/>
        <w:rPr>
          <w:rFonts w:ascii="ITC Avant Garde" w:hAnsi="ITC Avant Garde"/>
          <w:color w:val="auto"/>
        </w:rPr>
      </w:pPr>
      <w:r w:rsidRPr="00DC1034">
        <w:rPr>
          <w:rFonts w:ascii="ITC Avant Garde" w:hAnsi="ITC Avant Garde"/>
          <w:color w:val="auto"/>
        </w:rPr>
        <w:t>Con el fin de</w:t>
      </w:r>
      <w:r w:rsidR="00B8761F" w:rsidRPr="00DC1034">
        <w:rPr>
          <w:rFonts w:ascii="ITC Avant Garde" w:hAnsi="ITC Avant Garde"/>
          <w:color w:val="auto"/>
        </w:rPr>
        <w:t xml:space="preserve"> </w:t>
      </w:r>
      <w:r w:rsidR="00900737">
        <w:rPr>
          <w:rFonts w:ascii="ITC Avant Garde" w:hAnsi="ITC Avant Garde"/>
          <w:color w:val="auto"/>
        </w:rPr>
        <w:t>señalar</w:t>
      </w:r>
      <w:r w:rsidR="00B8761F" w:rsidRPr="00DC1034">
        <w:rPr>
          <w:rFonts w:ascii="ITC Avant Garde" w:hAnsi="ITC Avant Garde"/>
          <w:color w:val="auto"/>
        </w:rPr>
        <w:t xml:space="preserve"> que la comunicación relacionada con la prestación del servicio entre el OMV y sus usuarios no </w:t>
      </w:r>
      <w:r w:rsidR="00900737">
        <w:rPr>
          <w:rFonts w:ascii="ITC Avant Garde" w:hAnsi="ITC Avant Garde"/>
          <w:color w:val="auto"/>
        </w:rPr>
        <w:t>debe ser</w:t>
      </w:r>
      <w:r w:rsidR="00B8761F" w:rsidRPr="00DC1034">
        <w:rPr>
          <w:rFonts w:ascii="ITC Avant Garde" w:hAnsi="ITC Avant Garde"/>
          <w:color w:val="auto"/>
        </w:rPr>
        <w:t xml:space="preserve"> considerada como práctica prohibida</w:t>
      </w:r>
      <w:r w:rsidR="00900737">
        <w:rPr>
          <w:rFonts w:ascii="ITC Avant Garde" w:hAnsi="ITC Avant Garde"/>
          <w:color w:val="auto"/>
        </w:rPr>
        <w:t>, se modificó</w:t>
      </w:r>
      <w:r w:rsidRPr="00DC1034">
        <w:rPr>
          <w:rFonts w:ascii="ITC Avant Garde" w:hAnsi="ITC Avant Garde"/>
          <w:color w:val="auto"/>
        </w:rPr>
        <w:t xml:space="preserve"> </w:t>
      </w:r>
      <w:r w:rsidR="006F1908" w:rsidRPr="00DC1034">
        <w:rPr>
          <w:rFonts w:ascii="ITC Avant Garde" w:hAnsi="ITC Avant Garde"/>
          <w:color w:val="auto"/>
        </w:rPr>
        <w:t xml:space="preserve">la definición de “Prácticas Prohibidas para el envío SMS” </w:t>
      </w:r>
      <w:r w:rsidRPr="00DC1034">
        <w:rPr>
          <w:rFonts w:ascii="ITC Avant Garde" w:hAnsi="ITC Avant Garde"/>
          <w:color w:val="auto"/>
        </w:rPr>
        <w:t xml:space="preserve">en los siguientes términos: </w:t>
      </w:r>
    </w:p>
    <w:p w14:paraId="0C6F1A29" w14:textId="7FB816DF" w:rsidR="007F21CE" w:rsidRDefault="00900737" w:rsidP="001020AA">
      <w:pPr>
        <w:pStyle w:val="Default"/>
        <w:spacing w:after="200"/>
        <w:ind w:left="-284" w:right="612"/>
        <w:jc w:val="both"/>
        <w:rPr>
          <w:rFonts w:ascii="ITC Avant Garde" w:eastAsia="Calibri" w:hAnsi="ITC Avant Garde"/>
          <w:i/>
          <w:color w:val="auto"/>
          <w:sz w:val="18"/>
          <w:szCs w:val="18"/>
        </w:rPr>
      </w:pPr>
      <w:r>
        <w:rPr>
          <w:rFonts w:ascii="ITC Avant Garde" w:eastAsia="Calibri" w:hAnsi="ITC Avant Garde"/>
          <w:i/>
          <w:color w:val="auto"/>
          <w:sz w:val="18"/>
          <w:szCs w:val="18"/>
        </w:rPr>
        <w:t>“</w:t>
      </w:r>
      <w:r w:rsidR="001020AA" w:rsidRPr="00DC1034">
        <w:rPr>
          <w:rFonts w:ascii="ITC Avant Garde" w:eastAsia="Calibri" w:hAnsi="ITC Avant Garde"/>
          <w:b/>
          <w:i/>
          <w:color w:val="auto"/>
          <w:sz w:val="18"/>
          <w:szCs w:val="18"/>
        </w:rPr>
        <w:t>Prácticas Prohibidas para el envío SMS:</w:t>
      </w:r>
      <w:r w:rsidR="001020AA" w:rsidRPr="00DC1034">
        <w:rPr>
          <w:rFonts w:ascii="ITC Avant Garde" w:eastAsia="Calibri" w:hAnsi="ITC Avant Garde"/>
          <w:i/>
          <w:color w:val="auto"/>
          <w:sz w:val="18"/>
          <w:szCs w:val="18"/>
        </w:rPr>
        <w:t xml:space="preserve"> </w:t>
      </w:r>
    </w:p>
    <w:p w14:paraId="0C192907" w14:textId="15A10AC4" w:rsidR="00900737" w:rsidRPr="00DC1034" w:rsidRDefault="00900737" w:rsidP="001020AA">
      <w:pPr>
        <w:pStyle w:val="Default"/>
        <w:spacing w:after="200"/>
        <w:ind w:left="-284" w:right="612"/>
        <w:jc w:val="both"/>
        <w:rPr>
          <w:rFonts w:ascii="ITC Avant Garde" w:eastAsia="Calibri" w:hAnsi="ITC Avant Garde"/>
          <w:i/>
          <w:color w:val="auto"/>
          <w:sz w:val="18"/>
          <w:szCs w:val="18"/>
        </w:rPr>
      </w:pPr>
      <w:r>
        <w:rPr>
          <w:rFonts w:ascii="ITC Avant Garde" w:eastAsia="Calibri" w:hAnsi="ITC Avant Garde"/>
          <w:i/>
          <w:color w:val="auto"/>
          <w:sz w:val="18"/>
          <w:szCs w:val="18"/>
        </w:rPr>
        <w:t>(…)</w:t>
      </w:r>
    </w:p>
    <w:p w14:paraId="77EBB17E" w14:textId="12E8B364" w:rsidR="001020AA" w:rsidRPr="00DC1034" w:rsidRDefault="001020AA" w:rsidP="001020AA">
      <w:pPr>
        <w:pStyle w:val="Default"/>
        <w:spacing w:after="200"/>
        <w:ind w:left="-284" w:right="612"/>
        <w:jc w:val="both"/>
        <w:rPr>
          <w:rFonts w:ascii="ITC Avant Garde" w:eastAsia="Calibri" w:hAnsi="ITC Avant Garde"/>
          <w:i/>
          <w:color w:val="auto"/>
          <w:sz w:val="18"/>
          <w:szCs w:val="18"/>
        </w:rPr>
      </w:pPr>
      <w:r w:rsidRPr="00DC1034">
        <w:rPr>
          <w:rFonts w:ascii="ITC Avant Garde" w:eastAsia="Calibri" w:hAnsi="ITC Avant Garde"/>
          <w:i/>
          <w:color w:val="auto"/>
          <w:sz w:val="18"/>
          <w:szCs w:val="18"/>
          <w:u w:val="single"/>
        </w:rPr>
        <w:t>En ningún momento se entenderán como Prácticas Prohibidas para el envío SMS aquellas que deriven de las comunicaciones relacionadas con la prestación del servicio entre el OMV y sus usuarios finales.</w:t>
      </w:r>
      <w:r w:rsidR="00900737">
        <w:rPr>
          <w:rFonts w:ascii="ITC Avant Garde" w:eastAsia="Calibri" w:hAnsi="ITC Avant Garde"/>
          <w:i/>
          <w:color w:val="auto"/>
          <w:sz w:val="18"/>
          <w:szCs w:val="18"/>
        </w:rPr>
        <w:t>”</w:t>
      </w:r>
    </w:p>
    <w:p w14:paraId="08F48F3D" w14:textId="760F8870" w:rsidR="001020AA" w:rsidRPr="00DC1034" w:rsidRDefault="001020AA" w:rsidP="001020AA">
      <w:pPr>
        <w:spacing w:after="200" w:line="276" w:lineRule="auto"/>
        <w:ind w:left="-284" w:right="612" w:firstLine="0"/>
        <w:jc w:val="right"/>
        <w:rPr>
          <w:rFonts w:ascii="ITC Avant Garde" w:eastAsia="Calibri" w:hAnsi="ITC Avant Garde" w:cs="Arial"/>
          <w:color w:val="auto"/>
          <w:sz w:val="18"/>
          <w:szCs w:val="18"/>
          <w:lang w:eastAsia="en-US"/>
        </w:rPr>
      </w:pPr>
      <w:r w:rsidRPr="00DC1034">
        <w:rPr>
          <w:rFonts w:ascii="ITC Avant Garde" w:eastAsia="Calibri" w:hAnsi="ITC Avant Garde" w:cs="Arial"/>
          <w:color w:val="auto"/>
          <w:sz w:val="18"/>
          <w:szCs w:val="18"/>
          <w:lang w:eastAsia="en-US"/>
        </w:rPr>
        <w:t>Énfasis añadido</w:t>
      </w:r>
    </w:p>
    <w:p w14:paraId="1A819182" w14:textId="4694FF54" w:rsidR="00852FF0" w:rsidRPr="00D874BB" w:rsidRDefault="00852FF0" w:rsidP="002A524D">
      <w:pPr>
        <w:spacing w:after="0" w:line="276" w:lineRule="auto"/>
        <w:ind w:left="-851" w:right="49"/>
        <w:rPr>
          <w:rFonts w:ascii="ITC Avant Garde" w:hAnsi="ITC Avant Garde"/>
          <w:b/>
          <w:color w:val="auto"/>
          <w:u w:val="single"/>
        </w:rPr>
      </w:pPr>
      <w:r w:rsidRPr="00D874BB">
        <w:rPr>
          <w:rFonts w:ascii="ITC Avant Garde" w:hAnsi="ITC Avant Garde"/>
          <w:b/>
          <w:color w:val="auto"/>
          <w:u w:val="single"/>
        </w:rPr>
        <w:t>ANEXO I OFERTA DE SERVICIOS</w:t>
      </w:r>
    </w:p>
    <w:p w14:paraId="62302B7F" w14:textId="77777777" w:rsidR="00844DB7" w:rsidRDefault="00844DB7" w:rsidP="002A524D">
      <w:pPr>
        <w:spacing w:after="0" w:line="276" w:lineRule="auto"/>
        <w:ind w:left="-851" w:right="49"/>
        <w:rPr>
          <w:rFonts w:ascii="ITC Avant Garde" w:hAnsi="ITC Avant Garde"/>
          <w:b/>
          <w:color w:val="auto"/>
        </w:rPr>
      </w:pPr>
    </w:p>
    <w:p w14:paraId="303DB9F6" w14:textId="4A560CA6" w:rsidR="00B8761F" w:rsidRPr="00DC1034" w:rsidRDefault="00B8761F" w:rsidP="002A524D">
      <w:pPr>
        <w:spacing w:after="0" w:line="276" w:lineRule="auto"/>
        <w:ind w:left="-851" w:right="49"/>
        <w:rPr>
          <w:rFonts w:ascii="ITC Avant Garde" w:hAnsi="ITC Avant Garde"/>
          <w:b/>
          <w:color w:val="auto"/>
        </w:rPr>
      </w:pPr>
      <w:r w:rsidRPr="00DC1034">
        <w:rPr>
          <w:rFonts w:ascii="ITC Avant Garde" w:hAnsi="ITC Avant Garde"/>
          <w:b/>
          <w:color w:val="auto"/>
        </w:rPr>
        <w:t>Axtel:</w:t>
      </w:r>
    </w:p>
    <w:p w14:paraId="7202BDB2" w14:textId="1997D2CF" w:rsidR="00B8761F" w:rsidRPr="00DC1034" w:rsidRDefault="00B8761F" w:rsidP="00FC48FB">
      <w:pPr>
        <w:spacing w:after="200" w:line="276" w:lineRule="auto"/>
        <w:ind w:left="-851" w:right="51" w:hanging="11"/>
        <w:rPr>
          <w:rFonts w:ascii="ITC Avant Garde" w:hAnsi="ITC Avant Garde"/>
          <w:color w:val="auto"/>
        </w:rPr>
      </w:pPr>
      <w:r w:rsidRPr="00DC1034">
        <w:rPr>
          <w:rFonts w:ascii="ITC Avant Garde" w:hAnsi="ITC Avant Garde"/>
          <w:color w:val="auto"/>
        </w:rPr>
        <w:t>Solicita que se incluyan las condiciones y alcances para la contratación y acceso a servicios y funcionalidades M2M</w:t>
      </w:r>
      <w:r w:rsidR="00573DD5" w:rsidRPr="00DC1034">
        <w:rPr>
          <w:rFonts w:ascii="ITC Avant Garde" w:hAnsi="ITC Avant Garde"/>
          <w:color w:val="auto"/>
        </w:rPr>
        <w:t xml:space="preserve"> e </w:t>
      </w:r>
      <w:r w:rsidRPr="00DC1034">
        <w:rPr>
          <w:rFonts w:ascii="ITC Avant Garde" w:hAnsi="ITC Avant Garde"/>
          <w:color w:val="auto"/>
        </w:rPr>
        <w:t xml:space="preserve">IoT, que permitan a los OMV desarrollar casos de negocio. </w:t>
      </w:r>
    </w:p>
    <w:p w14:paraId="6E344096" w14:textId="590D7B40" w:rsidR="00B8761F" w:rsidRPr="00DC1034" w:rsidRDefault="009D4CFE" w:rsidP="00FC48FB">
      <w:pPr>
        <w:spacing w:after="200" w:line="276" w:lineRule="auto"/>
        <w:ind w:left="-851" w:right="51" w:hanging="11"/>
        <w:rPr>
          <w:rFonts w:ascii="ITC Avant Garde" w:hAnsi="ITC Avant Garde"/>
          <w:color w:val="auto"/>
        </w:rPr>
      </w:pPr>
      <w:r w:rsidRPr="00DC1034">
        <w:rPr>
          <w:rFonts w:ascii="ITC Avant Garde" w:hAnsi="ITC Avant Garde"/>
          <w:color w:val="auto"/>
        </w:rPr>
        <w:t>Requiere que</w:t>
      </w:r>
      <w:r w:rsidR="00B8761F" w:rsidRPr="00DC1034">
        <w:rPr>
          <w:rFonts w:ascii="ITC Avant Garde" w:hAnsi="ITC Avant Garde"/>
          <w:color w:val="auto"/>
        </w:rPr>
        <w:t xml:space="preserve"> en la oferta se incluyan al menos las definiciones y servicios con base en lo que el AEP ya presta </w:t>
      </w:r>
      <w:r w:rsidR="00573DD5" w:rsidRPr="00DC1034">
        <w:rPr>
          <w:rFonts w:ascii="ITC Avant Garde" w:hAnsi="ITC Avant Garde"/>
          <w:color w:val="auto"/>
        </w:rPr>
        <w:t xml:space="preserve">a sus propios usuarios </w:t>
      </w:r>
      <w:r w:rsidR="00B8761F" w:rsidRPr="00DC1034">
        <w:rPr>
          <w:rFonts w:ascii="ITC Avant Garde" w:hAnsi="ITC Avant Garde"/>
          <w:color w:val="auto"/>
        </w:rPr>
        <w:t xml:space="preserve">en </w:t>
      </w:r>
      <w:r w:rsidR="00770D93" w:rsidRPr="00DC1034">
        <w:rPr>
          <w:rFonts w:ascii="ITC Avant Garde" w:hAnsi="ITC Avant Garde"/>
          <w:color w:val="auto"/>
        </w:rPr>
        <w:t>los</w:t>
      </w:r>
      <w:r w:rsidR="00B8761F" w:rsidRPr="00DC1034">
        <w:rPr>
          <w:rFonts w:ascii="ITC Avant Garde" w:hAnsi="ITC Avant Garde"/>
          <w:color w:val="auto"/>
        </w:rPr>
        <w:t xml:space="preserve"> </w:t>
      </w:r>
      <w:r w:rsidR="00770D93" w:rsidRPr="00DC1034">
        <w:rPr>
          <w:rFonts w:ascii="ITC Avant Garde" w:hAnsi="ITC Avant Garde"/>
          <w:color w:val="auto"/>
        </w:rPr>
        <w:t xml:space="preserve">esquemas </w:t>
      </w:r>
      <w:r w:rsidR="00B8761F" w:rsidRPr="00DC1034">
        <w:rPr>
          <w:rFonts w:ascii="ITC Avant Garde" w:hAnsi="ITC Avant Garde"/>
          <w:color w:val="auto"/>
        </w:rPr>
        <w:t>principales</w:t>
      </w:r>
      <w:r w:rsidR="00770D93" w:rsidRPr="00DC1034">
        <w:rPr>
          <w:rFonts w:ascii="ITC Avant Garde" w:hAnsi="ITC Avant Garde"/>
          <w:color w:val="auto"/>
        </w:rPr>
        <w:t xml:space="preserve"> </w:t>
      </w:r>
      <w:r w:rsidR="00B8761F" w:rsidRPr="00DC1034">
        <w:rPr>
          <w:rFonts w:ascii="ITC Avant Garde" w:hAnsi="ITC Avant Garde"/>
          <w:color w:val="auto"/>
        </w:rPr>
        <w:t>existentes</w:t>
      </w:r>
      <w:r w:rsidR="00770D93" w:rsidRPr="00DC1034">
        <w:rPr>
          <w:rFonts w:ascii="ITC Avant Garde" w:hAnsi="ITC Avant Garde"/>
          <w:color w:val="auto"/>
        </w:rPr>
        <w:t>:</w:t>
      </w:r>
    </w:p>
    <w:p w14:paraId="659E9C1F" w14:textId="77777777" w:rsidR="00B8761F" w:rsidRPr="00DC1034" w:rsidRDefault="00B8761F" w:rsidP="00573DD5">
      <w:pPr>
        <w:spacing w:after="0" w:line="240" w:lineRule="auto"/>
        <w:ind w:left="0" w:right="49"/>
        <w:rPr>
          <w:rFonts w:ascii="ITC Avant Garde" w:hAnsi="ITC Avant Garde"/>
          <w:color w:val="auto"/>
        </w:rPr>
      </w:pPr>
      <w:r w:rsidRPr="00DC1034">
        <w:rPr>
          <w:rFonts w:ascii="ITC Avant Garde" w:hAnsi="ITC Avant Garde"/>
          <w:color w:val="auto"/>
        </w:rPr>
        <w:t>• Masivo o de bajo consumo de datos (p.e. transporte y logística, Industrial, Utilities, entre otros)</w:t>
      </w:r>
    </w:p>
    <w:p w14:paraId="10D8452E" w14:textId="77777777" w:rsidR="00B8761F" w:rsidRPr="00DC1034" w:rsidRDefault="00B8761F" w:rsidP="00573DD5">
      <w:pPr>
        <w:spacing w:after="0" w:line="240" w:lineRule="auto"/>
        <w:ind w:left="0" w:right="49"/>
        <w:rPr>
          <w:rFonts w:ascii="ITC Avant Garde" w:hAnsi="ITC Avant Garde"/>
          <w:color w:val="auto"/>
        </w:rPr>
      </w:pPr>
      <w:r w:rsidRPr="00DC1034">
        <w:rPr>
          <w:rFonts w:ascii="ITC Avant Garde" w:hAnsi="ITC Avant Garde"/>
          <w:color w:val="auto"/>
        </w:rPr>
        <w:t>• Banda ancha o con altas velocidades de datos (p.e. wearables, cámaras, sensores, entre otros)</w:t>
      </w:r>
    </w:p>
    <w:p w14:paraId="2AAE316C" w14:textId="77777777" w:rsidR="00B8761F" w:rsidRPr="00DC1034" w:rsidRDefault="00B8761F" w:rsidP="00573DD5">
      <w:pPr>
        <w:spacing w:after="200" w:line="240" w:lineRule="auto"/>
        <w:ind w:left="0" w:right="51" w:hanging="11"/>
        <w:rPr>
          <w:rFonts w:ascii="ITC Avant Garde" w:hAnsi="ITC Avant Garde"/>
          <w:color w:val="auto"/>
        </w:rPr>
      </w:pPr>
      <w:r w:rsidRPr="00DC1034">
        <w:rPr>
          <w:rFonts w:ascii="ITC Avant Garde" w:hAnsi="ITC Avant Garde"/>
          <w:color w:val="auto"/>
        </w:rPr>
        <w:lastRenderedPageBreak/>
        <w:t>• IoT Crítico con exigentes requerimientos de baja latencia y acceso de alta confiabilidad (transporte inteligente, telemedicina, etc.)</w:t>
      </w:r>
    </w:p>
    <w:p w14:paraId="2DBE25EB" w14:textId="4CD44DD4" w:rsidR="00B8761F" w:rsidRPr="00DC1034" w:rsidRDefault="00013447" w:rsidP="001E1229">
      <w:pPr>
        <w:spacing w:after="200" w:line="276" w:lineRule="auto"/>
        <w:ind w:left="-851" w:right="51" w:hanging="11"/>
        <w:rPr>
          <w:rFonts w:ascii="ITC Avant Garde" w:hAnsi="ITC Avant Garde"/>
          <w:color w:val="auto"/>
        </w:rPr>
      </w:pPr>
      <w:r w:rsidRPr="00DC1034">
        <w:rPr>
          <w:rFonts w:ascii="ITC Avant Garde" w:hAnsi="ITC Avant Garde"/>
          <w:color w:val="auto"/>
        </w:rPr>
        <w:t>T</w:t>
      </w:r>
      <w:r w:rsidR="00B8761F" w:rsidRPr="00DC1034">
        <w:rPr>
          <w:rFonts w:ascii="ITC Avant Garde" w:hAnsi="ITC Avant Garde"/>
          <w:color w:val="auto"/>
        </w:rPr>
        <w:t xml:space="preserve">ambién </w:t>
      </w:r>
      <w:r w:rsidRPr="00DC1034">
        <w:rPr>
          <w:rFonts w:ascii="ITC Avant Garde" w:hAnsi="ITC Avant Garde"/>
          <w:color w:val="auto"/>
        </w:rPr>
        <w:t xml:space="preserve">solicita se incorporen </w:t>
      </w:r>
      <w:r w:rsidR="00B8761F" w:rsidRPr="00DC1034">
        <w:rPr>
          <w:rFonts w:ascii="ITC Avant Garde" w:hAnsi="ITC Avant Garde"/>
          <w:color w:val="auto"/>
        </w:rPr>
        <w:t xml:space="preserve">los tipos de </w:t>
      </w:r>
      <w:r w:rsidRPr="00DC1034">
        <w:rPr>
          <w:rFonts w:ascii="ITC Avant Garde" w:hAnsi="ITC Avant Garde"/>
          <w:color w:val="auto"/>
        </w:rPr>
        <w:t>c</w:t>
      </w:r>
      <w:r w:rsidR="00B8761F" w:rsidRPr="00DC1034">
        <w:rPr>
          <w:rFonts w:ascii="ITC Avant Garde" w:hAnsi="ITC Avant Garde"/>
          <w:color w:val="auto"/>
        </w:rPr>
        <w:t>obro</w:t>
      </w:r>
      <w:r w:rsidRPr="00DC1034">
        <w:rPr>
          <w:rFonts w:ascii="ITC Avant Garde" w:hAnsi="ITC Avant Garde"/>
          <w:color w:val="auto"/>
        </w:rPr>
        <w:t>, como, por ejemplo, por tráfico, MSU basado en señalización</w:t>
      </w:r>
      <w:r w:rsidR="00770D93" w:rsidRPr="00DC1034">
        <w:rPr>
          <w:rFonts w:ascii="ITC Avant Garde" w:hAnsi="ITC Avant Garde"/>
          <w:color w:val="auto"/>
        </w:rPr>
        <w:t>,</w:t>
      </w:r>
      <w:r w:rsidRPr="00DC1034">
        <w:rPr>
          <w:rFonts w:ascii="ITC Avant Garde" w:hAnsi="ITC Avant Garde"/>
          <w:color w:val="auto"/>
        </w:rPr>
        <w:t xml:space="preserve"> bundle, entre otros.  </w:t>
      </w:r>
    </w:p>
    <w:p w14:paraId="5B8C2C72" w14:textId="4B37A53E" w:rsidR="00CC7771" w:rsidRPr="00AD48B0" w:rsidRDefault="00B8761F" w:rsidP="00AD48B0">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74EB7D1D" w14:textId="26D69E7B" w:rsidR="007C1965" w:rsidRPr="00DC1034" w:rsidRDefault="00CC7771" w:rsidP="007C1965">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El numeral 6 “Funcionalidades o aplicaciones para servicios de datos” del Anexo II Acuerdos Técnicos, permite la integración de servicios </w:t>
      </w:r>
      <w:r w:rsidR="007C1965" w:rsidRPr="00DC1034">
        <w:rPr>
          <w:rFonts w:ascii="ITC Avant Garde" w:hAnsi="ITC Avant Garde"/>
          <w:color w:val="auto"/>
        </w:rPr>
        <w:t xml:space="preserve">máquina a máquina (M2M) e Internet de las Cosas (IoT), </w:t>
      </w:r>
      <w:r w:rsidRPr="00DC1034">
        <w:rPr>
          <w:rFonts w:ascii="ITC Avant Garde" w:hAnsi="ITC Avant Garde"/>
          <w:color w:val="auto"/>
        </w:rPr>
        <w:t xml:space="preserve">privilegiando el acuerdo entre las partes en virtud de las diversas soluciones y esquemas de tasación que pudieran existir. </w:t>
      </w:r>
    </w:p>
    <w:p w14:paraId="00E6DF4B" w14:textId="19CFCC84" w:rsidR="007C1965" w:rsidRPr="003E1EDE" w:rsidRDefault="00CC7771" w:rsidP="003E1EDE">
      <w:pPr>
        <w:spacing w:after="200" w:line="276" w:lineRule="auto"/>
        <w:ind w:left="-851" w:right="51" w:hanging="11"/>
        <w:rPr>
          <w:rFonts w:ascii="ITC Avant Garde" w:hAnsi="ITC Avant Garde"/>
          <w:color w:val="auto"/>
        </w:rPr>
      </w:pPr>
      <w:r w:rsidRPr="00DC1034">
        <w:rPr>
          <w:rFonts w:ascii="ITC Avant Garde" w:hAnsi="ITC Avant Garde"/>
          <w:color w:val="auto"/>
        </w:rPr>
        <w:t>No obstante, con el propósito de brindar certeza respecto a los esquemas generales mediante los cuales AEP deberá prestar funcionalidades o aplicaciones para servicios de datos como servicios M2M</w:t>
      </w:r>
      <w:r w:rsidR="007C1965" w:rsidRPr="00DC1034">
        <w:rPr>
          <w:rFonts w:ascii="ITC Avant Garde" w:hAnsi="ITC Avant Garde"/>
          <w:color w:val="auto"/>
        </w:rPr>
        <w:t xml:space="preserve"> e </w:t>
      </w:r>
      <w:r w:rsidRPr="00DC1034">
        <w:rPr>
          <w:rFonts w:ascii="ITC Avant Garde" w:hAnsi="ITC Avant Garde"/>
          <w:color w:val="auto"/>
        </w:rPr>
        <w:t>IoT,</w:t>
      </w:r>
      <w:r w:rsidR="007C1965" w:rsidRPr="00DC1034">
        <w:rPr>
          <w:rFonts w:ascii="ITC Avant Garde" w:hAnsi="ITC Avant Garde"/>
          <w:color w:val="auto"/>
        </w:rPr>
        <w:t xml:space="preserve"> sin restringir los posibles esquemas de prestación de dichos servicios y que</w:t>
      </w:r>
      <w:r w:rsidR="00844DB7">
        <w:rPr>
          <w:rFonts w:ascii="ITC Avant Garde" w:hAnsi="ITC Avant Garde"/>
          <w:color w:val="auto"/>
        </w:rPr>
        <w:t xml:space="preserve"> estos se encuentren apegados </w:t>
      </w:r>
      <w:r w:rsidR="007C1965" w:rsidRPr="00DC1034">
        <w:rPr>
          <w:rFonts w:ascii="ITC Avant Garde" w:hAnsi="ITC Avant Garde"/>
          <w:color w:val="auto"/>
        </w:rPr>
        <w:t>a los estándares y recomendaciones internacionales</w:t>
      </w:r>
      <w:r w:rsidR="00844DB7">
        <w:rPr>
          <w:rFonts w:ascii="ITC Avant Garde" w:hAnsi="ITC Avant Garde"/>
          <w:color w:val="auto"/>
        </w:rPr>
        <w:t>, se modificó</w:t>
      </w:r>
      <w:r w:rsidR="007C1965" w:rsidRPr="00DC1034">
        <w:rPr>
          <w:rFonts w:ascii="ITC Avant Garde" w:hAnsi="ITC Avant Garde"/>
          <w:color w:val="auto"/>
        </w:rPr>
        <w:t xml:space="preserve"> el numeral 6 del Anexo II Acuerdos Técnicos en los siguientes términos: </w:t>
      </w:r>
    </w:p>
    <w:p w14:paraId="341101CF" w14:textId="77777777" w:rsidR="007C1965" w:rsidRPr="00DC1034" w:rsidRDefault="007C1965" w:rsidP="00AD48B0">
      <w:pPr>
        <w:spacing w:after="160" w:line="218" w:lineRule="auto"/>
        <w:ind w:left="-273" w:right="612" w:hanging="11"/>
        <w:rPr>
          <w:rFonts w:ascii="ITC Avant Garde" w:hAnsi="ITC Avant Garde" w:cs="Arial"/>
          <w:i/>
          <w:sz w:val="18"/>
          <w:szCs w:val="18"/>
        </w:rPr>
      </w:pPr>
      <w:r w:rsidRPr="00DC1034">
        <w:rPr>
          <w:rFonts w:ascii="ITC Avant Garde" w:hAnsi="ITC Avant Garde" w:cs="Arial"/>
          <w:i/>
          <w:sz w:val="18"/>
          <w:szCs w:val="18"/>
        </w:rPr>
        <w:t>“6. FUNCIONALIDADES O APLICACIONES PARA SERVICIOS DE DATOS.</w:t>
      </w:r>
    </w:p>
    <w:p w14:paraId="0B7F3992" w14:textId="3FBDA218" w:rsidR="007C1965" w:rsidRPr="00DC1034" w:rsidRDefault="00844DB7" w:rsidP="00AD48B0">
      <w:pPr>
        <w:spacing w:after="160" w:line="218" w:lineRule="auto"/>
        <w:ind w:left="-273" w:right="612" w:hanging="11"/>
        <w:rPr>
          <w:rFonts w:ascii="ITC Avant Garde" w:hAnsi="ITC Avant Garde" w:cs="Arial"/>
          <w:i/>
          <w:sz w:val="18"/>
          <w:szCs w:val="18"/>
        </w:rPr>
      </w:pPr>
      <w:r>
        <w:rPr>
          <w:rFonts w:ascii="ITC Avant Garde" w:hAnsi="ITC Avant Garde" w:cs="Arial"/>
          <w:i/>
          <w:sz w:val="18"/>
          <w:szCs w:val="18"/>
        </w:rPr>
        <w:t>(…)</w:t>
      </w:r>
      <w:r w:rsidR="007C1965" w:rsidRPr="00DC1034">
        <w:rPr>
          <w:rFonts w:ascii="ITC Avant Garde" w:hAnsi="ITC Avant Garde" w:cs="Arial"/>
          <w:i/>
          <w:sz w:val="18"/>
          <w:szCs w:val="18"/>
        </w:rPr>
        <w:t xml:space="preserve"> </w:t>
      </w:r>
    </w:p>
    <w:p w14:paraId="2AD04D13" w14:textId="77777777" w:rsidR="007C1965" w:rsidRPr="00DC1034" w:rsidRDefault="007C1965" w:rsidP="00AD48B0">
      <w:pPr>
        <w:spacing w:after="160" w:line="218" w:lineRule="auto"/>
        <w:ind w:left="-273" w:right="612" w:hanging="11"/>
        <w:rPr>
          <w:rFonts w:ascii="ITC Avant Garde" w:hAnsi="ITC Avant Garde" w:cs="Arial"/>
          <w:i/>
          <w:sz w:val="18"/>
          <w:szCs w:val="18"/>
          <w:u w:val="single"/>
        </w:rPr>
      </w:pPr>
      <w:r w:rsidRPr="00DC1034">
        <w:rPr>
          <w:rFonts w:ascii="ITC Avant Garde" w:hAnsi="ITC Avant Garde" w:cs="Arial"/>
          <w:i/>
          <w:sz w:val="18"/>
          <w:szCs w:val="18"/>
          <w:u w:val="single"/>
        </w:rPr>
        <w:t>Las funcionalidades o aplicaciones para servicios de datos como Internet de las Cosas y/o Máquina a Máquina deberán apegarse, de manera no limitativa, a los estándares y recomendaciones de la GSMA, permitiendo al menos esquemas de baja tasa de transmisión de datos, alta tasa de transmisión de datos y bajos niveles latencia, mediante el uso de las tecnologías LTE y LTE-M (LTE-MTC low power wide area).</w:t>
      </w:r>
    </w:p>
    <w:p w14:paraId="1429A87C" w14:textId="77777777" w:rsidR="007C1965" w:rsidRPr="00DC1034" w:rsidRDefault="007C1965" w:rsidP="00AD48B0">
      <w:pPr>
        <w:spacing w:after="160" w:line="218" w:lineRule="auto"/>
        <w:ind w:left="-273" w:right="612" w:hanging="11"/>
        <w:rPr>
          <w:rFonts w:ascii="ITC Avant Garde" w:hAnsi="ITC Avant Garde" w:cs="Arial"/>
          <w:i/>
          <w:sz w:val="18"/>
          <w:szCs w:val="18"/>
        </w:rPr>
      </w:pPr>
      <w:r w:rsidRPr="00DC1034">
        <w:rPr>
          <w:rFonts w:ascii="ITC Avant Garde" w:hAnsi="ITC Avant Garde" w:cs="Arial"/>
          <w:i/>
          <w:sz w:val="18"/>
          <w:szCs w:val="18"/>
        </w:rPr>
        <w:t xml:space="preserve"> (…)”</w:t>
      </w:r>
    </w:p>
    <w:p w14:paraId="7BC02A26" w14:textId="0EC3EF93" w:rsidR="00637386" w:rsidRDefault="007C1965" w:rsidP="003E1EDE">
      <w:pPr>
        <w:spacing w:line="218" w:lineRule="auto"/>
        <w:ind w:left="-273" w:right="612" w:hanging="11"/>
        <w:jc w:val="right"/>
        <w:rPr>
          <w:rFonts w:ascii="ITC Avant Garde" w:hAnsi="ITC Avant Garde" w:cs="Arial"/>
          <w:sz w:val="18"/>
          <w:szCs w:val="18"/>
        </w:rPr>
      </w:pPr>
      <w:r w:rsidRPr="00DC1034">
        <w:rPr>
          <w:rFonts w:ascii="ITC Avant Garde" w:hAnsi="ITC Avant Garde" w:cs="Arial"/>
          <w:sz w:val="18"/>
          <w:szCs w:val="18"/>
        </w:rPr>
        <w:t>Énfasis añadido</w:t>
      </w:r>
    </w:p>
    <w:p w14:paraId="0DCA820B" w14:textId="77777777" w:rsidR="00844DB7" w:rsidRPr="003E1EDE" w:rsidRDefault="00844DB7" w:rsidP="003E1EDE">
      <w:pPr>
        <w:spacing w:line="218" w:lineRule="auto"/>
        <w:ind w:left="-273" w:right="612" w:hanging="11"/>
        <w:jc w:val="right"/>
        <w:rPr>
          <w:rFonts w:ascii="ITC Avant Garde" w:hAnsi="ITC Avant Garde" w:cs="Arial"/>
        </w:rPr>
      </w:pPr>
    </w:p>
    <w:p w14:paraId="5F118D81" w14:textId="4A8AF113" w:rsidR="00341B24" w:rsidRDefault="00341B24" w:rsidP="00B8761F">
      <w:pPr>
        <w:spacing w:after="0" w:line="276" w:lineRule="auto"/>
        <w:ind w:left="-851" w:right="49"/>
        <w:rPr>
          <w:rFonts w:ascii="ITC Avant Garde" w:hAnsi="ITC Avant Garde"/>
          <w:b/>
          <w:color w:val="auto"/>
          <w:u w:val="single"/>
        </w:rPr>
      </w:pPr>
      <w:r w:rsidRPr="00DC1034">
        <w:rPr>
          <w:rFonts w:ascii="ITC Avant Garde" w:hAnsi="ITC Avant Garde"/>
          <w:b/>
          <w:color w:val="auto"/>
          <w:u w:val="single"/>
        </w:rPr>
        <w:t>II. Servicios Asociados Disponibles para OMV bajo el esquema de Revendedor y/o Telcel como Habilitador de Red</w:t>
      </w:r>
    </w:p>
    <w:p w14:paraId="4F4F30FB" w14:textId="77777777" w:rsidR="00844DB7" w:rsidRPr="00DC1034" w:rsidRDefault="00844DB7" w:rsidP="00B8761F">
      <w:pPr>
        <w:spacing w:after="0" w:line="276" w:lineRule="auto"/>
        <w:ind w:left="-851" w:right="49"/>
        <w:rPr>
          <w:rFonts w:ascii="ITC Avant Garde" w:hAnsi="ITC Avant Garde"/>
          <w:b/>
          <w:color w:val="auto"/>
          <w:u w:val="single"/>
        </w:rPr>
      </w:pPr>
    </w:p>
    <w:p w14:paraId="0C253831" w14:textId="4019B2A9" w:rsidR="00341B24" w:rsidRPr="00DC1034" w:rsidRDefault="00DD31E8" w:rsidP="00B8761F">
      <w:pPr>
        <w:spacing w:after="0" w:line="276" w:lineRule="auto"/>
        <w:ind w:left="-851" w:right="49"/>
        <w:rPr>
          <w:rFonts w:ascii="ITC Avant Garde" w:hAnsi="ITC Avant Garde"/>
          <w:b/>
          <w:color w:val="auto"/>
        </w:rPr>
      </w:pPr>
      <w:r w:rsidRPr="00DC1034">
        <w:rPr>
          <w:rFonts w:ascii="ITC Avant Garde" w:hAnsi="ITC Avant Garde"/>
          <w:b/>
          <w:color w:val="auto"/>
        </w:rPr>
        <w:t xml:space="preserve">2. </w:t>
      </w:r>
      <w:r w:rsidR="00341B24" w:rsidRPr="00DC1034">
        <w:rPr>
          <w:rFonts w:ascii="ITC Avant Garde" w:hAnsi="ITC Avant Garde"/>
          <w:b/>
          <w:color w:val="auto"/>
        </w:rPr>
        <w:t>Modalidad de Prepago</w:t>
      </w:r>
    </w:p>
    <w:p w14:paraId="3D5E8D47" w14:textId="77777777" w:rsidR="00770D93" w:rsidRPr="00DC1034" w:rsidRDefault="00770D93" w:rsidP="00B8761F">
      <w:pPr>
        <w:spacing w:after="0" w:line="276" w:lineRule="auto"/>
        <w:ind w:left="-851" w:right="49"/>
        <w:rPr>
          <w:rFonts w:ascii="ITC Avant Garde" w:hAnsi="ITC Avant Garde"/>
          <w:b/>
          <w:color w:val="auto"/>
        </w:rPr>
      </w:pPr>
    </w:p>
    <w:p w14:paraId="626D990B" w14:textId="77777777" w:rsidR="00DE5AD8" w:rsidRPr="00DC1034" w:rsidRDefault="00341B24" w:rsidP="00DE5AD8">
      <w:pPr>
        <w:spacing w:after="0" w:line="276" w:lineRule="auto"/>
        <w:ind w:left="-851" w:right="49"/>
        <w:rPr>
          <w:rFonts w:ascii="ITC Avant Garde" w:hAnsi="ITC Avant Garde"/>
          <w:b/>
          <w:color w:val="auto"/>
        </w:rPr>
      </w:pPr>
      <w:r w:rsidRPr="00DC1034">
        <w:rPr>
          <w:rFonts w:ascii="ITC Avant Garde" w:hAnsi="ITC Avant Garde"/>
          <w:b/>
          <w:color w:val="auto"/>
        </w:rPr>
        <w:t>Telecomunicaciones 360:</w:t>
      </w:r>
    </w:p>
    <w:p w14:paraId="5320A82D" w14:textId="4D4F1A17" w:rsidR="00341B24" w:rsidRPr="00DC1034" w:rsidRDefault="00562186" w:rsidP="00DE5AD8">
      <w:pPr>
        <w:spacing w:after="0" w:line="276" w:lineRule="auto"/>
        <w:ind w:left="-851" w:right="49"/>
        <w:rPr>
          <w:rFonts w:ascii="ITC Avant Garde" w:hAnsi="ITC Avant Garde"/>
          <w:color w:val="auto"/>
        </w:rPr>
      </w:pPr>
      <w:r w:rsidRPr="00DC1034">
        <w:rPr>
          <w:rFonts w:ascii="ITC Avant Garde" w:hAnsi="ITC Avant Garde"/>
          <w:color w:val="auto"/>
        </w:rPr>
        <w:t xml:space="preserve">Con relación a </w:t>
      </w:r>
      <w:r w:rsidR="00844DB7">
        <w:rPr>
          <w:rFonts w:ascii="ITC Avant Garde" w:hAnsi="ITC Avant Garde"/>
          <w:color w:val="auto"/>
        </w:rPr>
        <w:t xml:space="preserve">la </w:t>
      </w:r>
      <w:r w:rsidRPr="00DC1034">
        <w:rPr>
          <w:rFonts w:ascii="ITC Avant Garde" w:hAnsi="ITC Avant Garde"/>
          <w:color w:val="auto"/>
        </w:rPr>
        <w:t xml:space="preserve">suspensión de usuarios que realicen prácticas prohibidas para el envío de SMS, spamming y/o flooding considerada en </w:t>
      </w:r>
      <w:r w:rsidR="006B4928" w:rsidRPr="00DC1034">
        <w:rPr>
          <w:rFonts w:ascii="ITC Avant Garde" w:hAnsi="ITC Avant Garde"/>
          <w:color w:val="auto"/>
        </w:rPr>
        <w:t xml:space="preserve">la definición de </w:t>
      </w:r>
      <w:r w:rsidRPr="00DC1034">
        <w:rPr>
          <w:rFonts w:ascii="ITC Avant Garde" w:hAnsi="ITC Avant Garde"/>
          <w:color w:val="auto"/>
        </w:rPr>
        <w:t>“</w:t>
      </w:r>
      <w:r w:rsidR="006B4928" w:rsidRPr="00DC1034">
        <w:rPr>
          <w:rFonts w:ascii="ITC Avant Garde" w:hAnsi="ITC Avant Garde"/>
          <w:color w:val="auto"/>
        </w:rPr>
        <w:t>Servicio de SMS</w:t>
      </w:r>
      <w:r w:rsidRPr="00DC1034">
        <w:rPr>
          <w:rFonts w:ascii="ITC Avant Garde" w:hAnsi="ITC Avant Garde"/>
          <w:color w:val="auto"/>
        </w:rPr>
        <w:t>”</w:t>
      </w:r>
      <w:r w:rsidR="006B4928" w:rsidRPr="00DC1034">
        <w:rPr>
          <w:rFonts w:ascii="ITC Avant Garde" w:hAnsi="ITC Avant Garde"/>
          <w:color w:val="auto"/>
        </w:rPr>
        <w:t xml:space="preserve"> del</w:t>
      </w:r>
      <w:r w:rsidR="00341B24" w:rsidRPr="00DC1034">
        <w:rPr>
          <w:rFonts w:ascii="ITC Avant Garde" w:hAnsi="ITC Avant Garde"/>
          <w:color w:val="auto"/>
        </w:rPr>
        <w:t xml:space="preserve"> </w:t>
      </w:r>
      <w:r w:rsidR="00DE5AD8" w:rsidRPr="00DC1034">
        <w:rPr>
          <w:rFonts w:ascii="ITC Avant Garde" w:hAnsi="ITC Avant Garde"/>
          <w:color w:val="auto"/>
        </w:rPr>
        <w:t>inciso</w:t>
      </w:r>
      <w:r w:rsidR="00341B24" w:rsidRPr="00DC1034">
        <w:rPr>
          <w:rFonts w:ascii="ITC Avant Garde" w:hAnsi="ITC Avant Garde"/>
          <w:color w:val="auto"/>
        </w:rPr>
        <w:t xml:space="preserve"> </w:t>
      </w:r>
      <w:r w:rsidR="00F11F23" w:rsidRPr="00DC1034">
        <w:rPr>
          <w:rFonts w:ascii="ITC Avant Garde" w:hAnsi="ITC Avant Garde"/>
          <w:color w:val="auto"/>
        </w:rPr>
        <w:t>8)</w:t>
      </w:r>
      <w:r w:rsidRPr="00DC1034">
        <w:rPr>
          <w:rFonts w:ascii="ITC Avant Garde" w:hAnsi="ITC Avant Garde"/>
          <w:color w:val="auto"/>
        </w:rPr>
        <w:t xml:space="preserve"> sugiere que la oferta debe excluir </w:t>
      </w:r>
      <w:r w:rsidR="00DE5AD8" w:rsidRPr="00DC1034">
        <w:rPr>
          <w:rFonts w:ascii="ITC Avant Garde" w:hAnsi="ITC Avant Garde"/>
          <w:color w:val="auto"/>
        </w:rPr>
        <w:t>de la misma</w:t>
      </w:r>
      <w:r w:rsidR="006B4928" w:rsidRPr="00DC1034">
        <w:rPr>
          <w:rFonts w:ascii="ITC Avant Garde" w:hAnsi="ITC Avant Garde"/>
          <w:color w:val="auto"/>
        </w:rPr>
        <w:t xml:space="preserve"> aquellos números que son operados por el OMV mediante los cuales realiza comunicación directa con </w:t>
      </w:r>
      <w:r w:rsidR="00546A89" w:rsidRPr="00DC1034">
        <w:rPr>
          <w:rFonts w:ascii="ITC Avant Garde" w:hAnsi="ITC Avant Garde"/>
          <w:color w:val="auto"/>
        </w:rPr>
        <w:t>sus clientes</w:t>
      </w:r>
      <w:r w:rsidR="006B4928" w:rsidRPr="00DC1034">
        <w:rPr>
          <w:rFonts w:ascii="ITC Avant Garde" w:hAnsi="ITC Avant Garde"/>
          <w:color w:val="auto"/>
        </w:rPr>
        <w:t xml:space="preserve"> y/o usuarios</w:t>
      </w:r>
      <w:r w:rsidRPr="00DC1034">
        <w:rPr>
          <w:rFonts w:ascii="ITC Avant Garde" w:hAnsi="ITC Avant Garde"/>
          <w:color w:val="auto"/>
        </w:rPr>
        <w:t xml:space="preserve"> con el objeto de comunicarles información relacionada con los servicios que les provee</w:t>
      </w:r>
      <w:r w:rsidR="00DE5AD8" w:rsidRPr="00DC1034">
        <w:rPr>
          <w:rFonts w:ascii="ITC Avant Garde" w:hAnsi="ITC Avant Garde"/>
          <w:color w:val="auto"/>
        </w:rPr>
        <w:t>.</w:t>
      </w:r>
    </w:p>
    <w:p w14:paraId="002C4F93" w14:textId="77777777" w:rsidR="00DE5AD8" w:rsidRPr="00DC1034" w:rsidRDefault="00DE5AD8" w:rsidP="00B8761F">
      <w:pPr>
        <w:spacing w:after="0" w:line="276" w:lineRule="auto"/>
        <w:ind w:left="-851" w:right="49"/>
        <w:rPr>
          <w:rFonts w:ascii="ITC Avant Garde" w:hAnsi="ITC Avant Garde"/>
          <w:b/>
          <w:color w:val="auto"/>
        </w:rPr>
      </w:pPr>
    </w:p>
    <w:p w14:paraId="26E09A92" w14:textId="40E083C7" w:rsidR="00341B24" w:rsidRPr="00DC1034" w:rsidRDefault="00341B24" w:rsidP="00B8761F">
      <w:pPr>
        <w:spacing w:after="0" w:line="276" w:lineRule="auto"/>
        <w:ind w:left="-851" w:right="49"/>
        <w:rPr>
          <w:rFonts w:ascii="ITC Avant Garde" w:hAnsi="ITC Avant Garde"/>
          <w:b/>
          <w:color w:val="auto"/>
        </w:rPr>
      </w:pPr>
      <w:r w:rsidRPr="00DC1034">
        <w:rPr>
          <w:rFonts w:ascii="ITC Avant Garde" w:hAnsi="ITC Avant Garde"/>
          <w:b/>
          <w:color w:val="auto"/>
        </w:rPr>
        <w:t>Consideraciones del Instituto</w:t>
      </w:r>
    </w:p>
    <w:p w14:paraId="6692E716" w14:textId="2CDD8842" w:rsidR="00CF76B5" w:rsidRPr="00DC1034" w:rsidRDefault="00CF76B5" w:rsidP="00CF76B5">
      <w:pPr>
        <w:spacing w:after="200" w:line="276" w:lineRule="auto"/>
        <w:ind w:left="-851" w:right="51" w:hanging="11"/>
        <w:rPr>
          <w:rFonts w:ascii="ITC Avant Garde" w:hAnsi="ITC Avant Garde"/>
          <w:color w:val="auto"/>
        </w:rPr>
      </w:pPr>
      <w:r w:rsidRPr="00DC1034">
        <w:rPr>
          <w:rFonts w:ascii="ITC Avant Garde" w:hAnsi="ITC Avant Garde"/>
          <w:color w:val="auto"/>
        </w:rPr>
        <w:lastRenderedPageBreak/>
        <w:t>Se modificó el inciso 8) del numeral II del Anexo I Oferta de Servicios, precisando que no se considerará como práctica prohibida el envío de mensajes cortos entre el OMV y sus usuarios en el siguiente sentido:</w:t>
      </w:r>
    </w:p>
    <w:p w14:paraId="05FD1199" w14:textId="77777777" w:rsidR="00CF76B5" w:rsidRPr="00DC1034" w:rsidRDefault="00CF76B5" w:rsidP="00CF76B5">
      <w:pPr>
        <w:pStyle w:val="Default"/>
        <w:spacing w:after="200"/>
        <w:ind w:left="-284" w:right="612"/>
        <w:jc w:val="both"/>
        <w:rPr>
          <w:rFonts w:ascii="ITC Avant Garde" w:eastAsia="Calibri" w:hAnsi="ITC Avant Garde"/>
          <w:i/>
          <w:color w:val="auto"/>
          <w:sz w:val="18"/>
          <w:szCs w:val="18"/>
        </w:rPr>
      </w:pPr>
      <w:r w:rsidRPr="00DC1034">
        <w:rPr>
          <w:rFonts w:ascii="ITC Avant Garde" w:eastAsia="Calibri" w:hAnsi="ITC Avant Garde"/>
          <w:i/>
          <w:color w:val="auto"/>
          <w:sz w:val="18"/>
          <w:szCs w:val="18"/>
        </w:rPr>
        <w:t xml:space="preserve">8) </w:t>
      </w:r>
      <w:r w:rsidRPr="00DC1034">
        <w:rPr>
          <w:rFonts w:ascii="ITC Avant Garde" w:eastAsia="Calibri" w:hAnsi="ITC Avant Garde"/>
          <w:b/>
          <w:i/>
          <w:color w:val="auto"/>
          <w:sz w:val="18"/>
          <w:szCs w:val="18"/>
        </w:rPr>
        <w:t>Servicio de SMS</w:t>
      </w:r>
      <w:r w:rsidRPr="00DC1034">
        <w:rPr>
          <w:rFonts w:ascii="ITC Avant Garde" w:eastAsia="Calibri" w:hAnsi="ITC Avant Garde"/>
          <w:i/>
          <w:color w:val="auto"/>
          <w:sz w:val="18"/>
          <w:szCs w:val="18"/>
        </w:rPr>
        <w:t xml:space="preserve">: en el supuesto de que Telcel detecte a algún Usuario Origen realizando Prácticas Prohibidas para el envío SMS, Spamming y/o Flooding, Telcel quedará facultado para suspender a dicho Usuario, sin responsabilidad alguna a su cargo. </w:t>
      </w:r>
      <w:r w:rsidRPr="00DC1034">
        <w:rPr>
          <w:rFonts w:ascii="ITC Avant Garde" w:eastAsia="Calibri" w:hAnsi="ITC Avant Garde"/>
          <w:i/>
          <w:color w:val="auto"/>
          <w:sz w:val="18"/>
          <w:szCs w:val="18"/>
          <w:u w:val="single"/>
        </w:rPr>
        <w:t>Lo anterior, en el entendido de que bajo ningún caso podrán ser suspendidas las comunicaciones relacionadas con la prestación del servicio entre el OMV y sus usuarios finales.</w:t>
      </w:r>
      <w:r w:rsidRPr="00DC1034">
        <w:rPr>
          <w:rFonts w:ascii="ITC Avant Garde" w:eastAsia="Calibri" w:hAnsi="ITC Avant Garde"/>
          <w:i/>
          <w:color w:val="auto"/>
          <w:sz w:val="18"/>
          <w:szCs w:val="18"/>
        </w:rPr>
        <w:t xml:space="preserve"> </w:t>
      </w:r>
    </w:p>
    <w:p w14:paraId="5898D5B3" w14:textId="77777777" w:rsidR="00CF76B5" w:rsidRPr="00DC1034" w:rsidRDefault="00CF76B5" w:rsidP="00CF76B5">
      <w:pPr>
        <w:pStyle w:val="Default"/>
        <w:spacing w:after="200"/>
        <w:ind w:left="-284" w:right="612"/>
        <w:jc w:val="right"/>
        <w:rPr>
          <w:rFonts w:ascii="ITC Avant Garde" w:eastAsia="Calibri" w:hAnsi="ITC Avant Garde"/>
          <w:i/>
          <w:color w:val="auto"/>
          <w:sz w:val="18"/>
          <w:szCs w:val="18"/>
        </w:rPr>
      </w:pPr>
      <w:r w:rsidRPr="00DC1034">
        <w:rPr>
          <w:rFonts w:ascii="ITC Avant Garde" w:eastAsia="Calibri" w:hAnsi="ITC Avant Garde"/>
          <w:i/>
          <w:color w:val="auto"/>
          <w:sz w:val="18"/>
          <w:szCs w:val="18"/>
        </w:rPr>
        <w:t>Énfasis añadido</w:t>
      </w:r>
    </w:p>
    <w:p w14:paraId="2BE287C4" w14:textId="155E55D8" w:rsidR="003B53CC" w:rsidRDefault="003B53CC" w:rsidP="00B8761F">
      <w:pPr>
        <w:spacing w:after="0" w:line="276" w:lineRule="auto"/>
        <w:ind w:left="-851" w:right="49"/>
        <w:rPr>
          <w:rFonts w:ascii="ITC Avant Garde" w:hAnsi="ITC Avant Garde"/>
          <w:b/>
          <w:color w:val="auto"/>
          <w:u w:val="single"/>
        </w:rPr>
      </w:pPr>
      <w:r w:rsidRPr="00DC1034">
        <w:rPr>
          <w:rFonts w:ascii="ITC Avant Garde" w:hAnsi="ITC Avant Garde"/>
          <w:b/>
          <w:color w:val="auto"/>
          <w:u w:val="single"/>
        </w:rPr>
        <w:t>V. Plazo para la liberación comercial</w:t>
      </w:r>
      <w:r w:rsidR="000164B8" w:rsidRPr="00DC1034">
        <w:rPr>
          <w:rFonts w:ascii="ITC Avant Garde" w:hAnsi="ITC Avant Garde"/>
          <w:b/>
          <w:color w:val="auto"/>
          <w:u w:val="single"/>
        </w:rPr>
        <w:t xml:space="preserve"> d</w:t>
      </w:r>
      <w:r w:rsidRPr="00DC1034">
        <w:rPr>
          <w:rFonts w:ascii="ITC Avant Garde" w:hAnsi="ITC Avant Garde"/>
          <w:b/>
          <w:color w:val="auto"/>
          <w:u w:val="single"/>
        </w:rPr>
        <w:t>e los Servicios de la Oferta para el OMV Completo y/o Habilitador de Red, así como el OMV Revendedor y/o Telcel como Habilitador de Red, y los esquemas intermedios</w:t>
      </w:r>
    </w:p>
    <w:p w14:paraId="5F100D8B" w14:textId="77777777" w:rsidR="00546A89" w:rsidRPr="00DC1034" w:rsidRDefault="00546A89" w:rsidP="00B8761F">
      <w:pPr>
        <w:spacing w:after="0" w:line="276" w:lineRule="auto"/>
        <w:ind w:left="-851" w:right="49"/>
        <w:rPr>
          <w:rFonts w:ascii="ITC Avant Garde" w:hAnsi="ITC Avant Garde"/>
          <w:b/>
          <w:color w:val="auto"/>
          <w:u w:val="single"/>
        </w:rPr>
      </w:pPr>
    </w:p>
    <w:p w14:paraId="516CB5C4" w14:textId="7BCA47A7" w:rsidR="003B53CC" w:rsidRPr="00DC1034" w:rsidRDefault="003B53CC" w:rsidP="00B8761F">
      <w:pPr>
        <w:spacing w:after="0" w:line="276" w:lineRule="auto"/>
        <w:ind w:left="-851" w:right="49"/>
        <w:rPr>
          <w:rFonts w:ascii="ITC Avant Garde" w:hAnsi="ITC Avant Garde"/>
          <w:b/>
          <w:color w:val="auto"/>
        </w:rPr>
      </w:pPr>
      <w:r w:rsidRPr="00DC1034">
        <w:rPr>
          <w:rFonts w:ascii="ITC Avant Garde" w:hAnsi="ITC Avant Garde"/>
          <w:b/>
          <w:color w:val="auto"/>
        </w:rPr>
        <w:t>Televisa:</w:t>
      </w:r>
    </w:p>
    <w:p w14:paraId="40CC92CB" w14:textId="5106C3EF" w:rsidR="003B53CC" w:rsidRPr="00DC1034" w:rsidRDefault="005530FC" w:rsidP="00DF3E74">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Solicita </w:t>
      </w:r>
      <w:r w:rsidR="003B53CC" w:rsidRPr="00DC1034">
        <w:rPr>
          <w:rFonts w:ascii="ITC Avant Garde" w:hAnsi="ITC Avant Garde"/>
          <w:color w:val="auto"/>
        </w:rPr>
        <w:t xml:space="preserve">que se establezca la obligación de las Partes de suscribir </w:t>
      </w:r>
      <w:r w:rsidRPr="00DC1034">
        <w:rPr>
          <w:rFonts w:ascii="ITC Avant Garde" w:hAnsi="ITC Avant Garde"/>
          <w:color w:val="auto"/>
        </w:rPr>
        <w:t>el documento “</w:t>
      </w:r>
      <w:r w:rsidR="003B53CC" w:rsidRPr="00DC1034">
        <w:rPr>
          <w:rFonts w:ascii="ITC Avant Garde" w:hAnsi="ITC Avant Garde"/>
          <w:color w:val="auto"/>
        </w:rPr>
        <w:t>Términos y Lineamientos Técnicos</w:t>
      </w:r>
      <w:r w:rsidRPr="00DC1034">
        <w:rPr>
          <w:rFonts w:ascii="ITC Avant Garde" w:hAnsi="ITC Avant Garde"/>
          <w:color w:val="auto"/>
        </w:rPr>
        <w:t>”</w:t>
      </w:r>
      <w:r w:rsidR="003B53CC" w:rsidRPr="00DC1034">
        <w:rPr>
          <w:rFonts w:ascii="ITC Avant Garde" w:hAnsi="ITC Avant Garde"/>
          <w:color w:val="auto"/>
        </w:rPr>
        <w:t xml:space="preserve"> en un plazo máximo de 90 días naturales contados a partir de la Solicitud del Servicio.</w:t>
      </w:r>
    </w:p>
    <w:p w14:paraId="0A271C8D" w14:textId="5C49B159" w:rsidR="003B53CC" w:rsidRPr="00DC1034" w:rsidRDefault="00A529B2" w:rsidP="00A529B2">
      <w:pPr>
        <w:spacing w:after="0" w:line="276" w:lineRule="auto"/>
        <w:ind w:left="-851" w:right="49"/>
        <w:rPr>
          <w:rFonts w:ascii="ITC Avant Garde" w:hAnsi="ITC Avant Garde"/>
          <w:b/>
          <w:color w:val="auto"/>
        </w:rPr>
      </w:pPr>
      <w:r w:rsidRPr="00DC1034">
        <w:rPr>
          <w:rFonts w:ascii="ITC Avant Garde" w:hAnsi="ITC Avant Garde"/>
          <w:b/>
          <w:color w:val="auto"/>
        </w:rPr>
        <w:t>Consideraciones del Instituto</w:t>
      </w:r>
    </w:p>
    <w:p w14:paraId="7795BCBC" w14:textId="6646D21C" w:rsidR="00CE4540" w:rsidRPr="00DC1034" w:rsidRDefault="00546A89" w:rsidP="00F02AD2">
      <w:pPr>
        <w:spacing w:after="200" w:line="276" w:lineRule="auto"/>
        <w:ind w:left="-851" w:right="51" w:hanging="11"/>
        <w:rPr>
          <w:rFonts w:ascii="ITC Avant Garde" w:hAnsi="ITC Avant Garde"/>
          <w:color w:val="auto"/>
        </w:rPr>
      </w:pPr>
      <w:r>
        <w:rPr>
          <w:rFonts w:ascii="ITC Avant Garde" w:hAnsi="ITC Avant Garde"/>
          <w:color w:val="auto"/>
        </w:rPr>
        <w:t>L</w:t>
      </w:r>
      <w:r w:rsidR="00D67556" w:rsidRPr="00DC1034">
        <w:rPr>
          <w:rFonts w:ascii="ITC Avant Garde" w:hAnsi="ITC Avant Garde"/>
          <w:color w:val="auto"/>
        </w:rPr>
        <w:t>a suscripción de los</w:t>
      </w:r>
      <w:r w:rsidR="00A529B2" w:rsidRPr="00DC1034">
        <w:rPr>
          <w:rFonts w:ascii="ITC Avant Garde" w:hAnsi="ITC Avant Garde"/>
          <w:color w:val="auto"/>
        </w:rPr>
        <w:t xml:space="preserve"> Términos y Lineamientos Técnicos </w:t>
      </w:r>
      <w:r w:rsidR="00D67556" w:rsidRPr="00DC1034">
        <w:rPr>
          <w:rFonts w:ascii="ITC Avant Garde" w:hAnsi="ITC Avant Garde"/>
          <w:color w:val="auto"/>
        </w:rPr>
        <w:t xml:space="preserve">depende de </w:t>
      </w:r>
      <w:r w:rsidR="00F02AD2" w:rsidRPr="00DC1034">
        <w:rPr>
          <w:rFonts w:ascii="ITC Avant Garde" w:hAnsi="ITC Avant Garde"/>
          <w:color w:val="auto"/>
        </w:rPr>
        <w:t xml:space="preserve">distintos factores </w:t>
      </w:r>
      <w:r>
        <w:rPr>
          <w:rFonts w:ascii="ITC Avant Garde" w:hAnsi="ITC Avant Garde"/>
          <w:color w:val="auto"/>
        </w:rPr>
        <w:t xml:space="preserve">que son </w:t>
      </w:r>
      <w:r w:rsidR="00D67556" w:rsidRPr="00DC1034">
        <w:rPr>
          <w:rFonts w:ascii="ITC Avant Garde" w:hAnsi="ITC Avant Garde"/>
          <w:color w:val="auto"/>
        </w:rPr>
        <w:t xml:space="preserve">responsabilidad de las partes, </w:t>
      </w:r>
      <w:r w:rsidR="00F02AD2" w:rsidRPr="00DC1034">
        <w:rPr>
          <w:rFonts w:ascii="ITC Avant Garde" w:hAnsi="ITC Avant Garde"/>
          <w:color w:val="auto"/>
        </w:rPr>
        <w:t>como</w:t>
      </w:r>
      <w:r>
        <w:rPr>
          <w:rFonts w:ascii="ITC Avant Garde" w:hAnsi="ITC Avant Garde"/>
          <w:color w:val="auto"/>
        </w:rPr>
        <w:t>:</w:t>
      </w:r>
      <w:r w:rsidR="00F02AD2" w:rsidRPr="00DC1034">
        <w:rPr>
          <w:rFonts w:ascii="ITC Avant Garde" w:hAnsi="ITC Avant Garde"/>
          <w:color w:val="auto"/>
        </w:rPr>
        <w:t xml:space="preserve"> </w:t>
      </w:r>
      <w:r w:rsidR="00463DCE" w:rsidRPr="00DC1034">
        <w:rPr>
          <w:rFonts w:ascii="ITC Avant Garde" w:hAnsi="ITC Avant Garde"/>
          <w:color w:val="auto"/>
        </w:rPr>
        <w:t>el</w:t>
      </w:r>
      <w:r w:rsidR="00F02AD2" w:rsidRPr="00DC1034">
        <w:rPr>
          <w:rFonts w:ascii="ITC Avant Garde" w:hAnsi="ITC Avant Garde"/>
          <w:color w:val="auto"/>
        </w:rPr>
        <w:t xml:space="preserve"> calendario de reuniones acordado,</w:t>
      </w:r>
      <w:r w:rsidR="00CE4540" w:rsidRPr="00DC1034">
        <w:rPr>
          <w:rFonts w:ascii="ITC Avant Garde" w:hAnsi="ITC Avant Garde"/>
          <w:color w:val="auto"/>
        </w:rPr>
        <w:t xml:space="preserve"> la</w:t>
      </w:r>
      <w:r w:rsidR="00F02AD2" w:rsidRPr="00DC1034">
        <w:rPr>
          <w:rFonts w:ascii="ITC Avant Garde" w:hAnsi="ITC Avant Garde"/>
          <w:color w:val="auto"/>
        </w:rPr>
        <w:t xml:space="preserve"> </w:t>
      </w:r>
      <w:r w:rsidR="003A71C4" w:rsidRPr="00DC1034">
        <w:rPr>
          <w:rFonts w:ascii="ITC Avant Garde" w:hAnsi="ITC Avant Garde"/>
          <w:color w:val="auto"/>
        </w:rPr>
        <w:t>definici</w:t>
      </w:r>
      <w:r w:rsidR="00CE4540" w:rsidRPr="00DC1034">
        <w:rPr>
          <w:rFonts w:ascii="ITC Avant Garde" w:hAnsi="ITC Avant Garde"/>
          <w:color w:val="auto"/>
        </w:rPr>
        <w:t>ón</w:t>
      </w:r>
      <w:r>
        <w:rPr>
          <w:rFonts w:ascii="ITC Avant Garde" w:hAnsi="ITC Avant Garde"/>
          <w:color w:val="auto"/>
        </w:rPr>
        <w:t xml:space="preserve"> de los servicios requeridos, el</w:t>
      </w:r>
      <w:r w:rsidR="00CE4540" w:rsidRPr="00DC1034">
        <w:rPr>
          <w:rFonts w:ascii="ITC Avant Garde" w:hAnsi="ITC Avant Garde"/>
          <w:color w:val="auto"/>
        </w:rPr>
        <w:t xml:space="preserve"> alcance</w:t>
      </w:r>
      <w:r w:rsidR="003A71C4" w:rsidRPr="00DC1034">
        <w:rPr>
          <w:rFonts w:ascii="ITC Avant Garde" w:hAnsi="ITC Avant Garde"/>
          <w:color w:val="auto"/>
        </w:rPr>
        <w:t xml:space="preserve"> técnic</w:t>
      </w:r>
      <w:r w:rsidR="00CE4540" w:rsidRPr="00DC1034">
        <w:rPr>
          <w:rFonts w:ascii="ITC Avant Garde" w:hAnsi="ITC Avant Garde"/>
          <w:color w:val="auto"/>
        </w:rPr>
        <w:t>o de la implementación</w:t>
      </w:r>
      <w:r>
        <w:rPr>
          <w:rFonts w:ascii="ITC Avant Garde" w:hAnsi="ITC Avant Garde"/>
          <w:color w:val="auto"/>
        </w:rPr>
        <w:t xml:space="preserve"> de los mismos</w:t>
      </w:r>
      <w:r w:rsidR="00CE4540" w:rsidRPr="00DC1034">
        <w:rPr>
          <w:rFonts w:ascii="ITC Avant Garde" w:hAnsi="ITC Avant Garde"/>
          <w:color w:val="auto"/>
        </w:rPr>
        <w:t>, así</w:t>
      </w:r>
      <w:r w:rsidR="003A71C4" w:rsidRPr="00DC1034">
        <w:rPr>
          <w:rFonts w:ascii="ITC Avant Garde" w:hAnsi="ITC Avant Garde"/>
          <w:color w:val="auto"/>
        </w:rPr>
        <w:t xml:space="preserve"> </w:t>
      </w:r>
      <w:r w:rsidR="00CE4540" w:rsidRPr="00DC1034">
        <w:rPr>
          <w:rFonts w:ascii="ITC Avant Garde" w:hAnsi="ITC Avant Garde"/>
          <w:color w:val="auto"/>
        </w:rPr>
        <w:t>como</w:t>
      </w:r>
      <w:r w:rsidR="003A71C4" w:rsidRPr="00DC1034">
        <w:rPr>
          <w:rFonts w:ascii="ITC Avant Garde" w:hAnsi="ITC Avant Garde"/>
          <w:color w:val="auto"/>
        </w:rPr>
        <w:t xml:space="preserve"> </w:t>
      </w:r>
      <w:r>
        <w:rPr>
          <w:rFonts w:ascii="ITC Avant Garde" w:hAnsi="ITC Avant Garde"/>
          <w:color w:val="auto"/>
        </w:rPr>
        <w:t>de los requerimientos específicos de</w:t>
      </w:r>
      <w:r w:rsidR="00F02AD2" w:rsidRPr="00DC1034">
        <w:rPr>
          <w:rFonts w:ascii="ITC Avant Garde" w:hAnsi="ITC Avant Garde"/>
          <w:color w:val="auto"/>
        </w:rPr>
        <w:t xml:space="preserve"> cada OMV,</w:t>
      </w:r>
      <w:r w:rsidR="003A71C4" w:rsidRPr="00DC1034">
        <w:rPr>
          <w:rFonts w:ascii="ITC Avant Garde" w:hAnsi="ITC Avant Garde"/>
          <w:color w:val="auto"/>
        </w:rPr>
        <w:t xml:space="preserve"> l</w:t>
      </w:r>
      <w:r w:rsidR="00CE4540" w:rsidRPr="00DC1034">
        <w:rPr>
          <w:rFonts w:ascii="ITC Avant Garde" w:hAnsi="ITC Avant Garde"/>
          <w:color w:val="auto"/>
        </w:rPr>
        <w:t>o</w:t>
      </w:r>
      <w:r w:rsidR="003A71C4" w:rsidRPr="00DC1034">
        <w:rPr>
          <w:rFonts w:ascii="ITC Avant Garde" w:hAnsi="ITC Avant Garde"/>
          <w:color w:val="auto"/>
        </w:rPr>
        <w:t xml:space="preserve"> cual requier</w:t>
      </w:r>
      <w:r w:rsidR="00CE4540" w:rsidRPr="00DC1034">
        <w:rPr>
          <w:rFonts w:ascii="ITC Avant Garde" w:hAnsi="ITC Avant Garde"/>
          <w:color w:val="auto"/>
        </w:rPr>
        <w:t>e</w:t>
      </w:r>
      <w:r>
        <w:rPr>
          <w:rFonts w:ascii="ITC Avant Garde" w:hAnsi="ITC Avant Garde"/>
          <w:color w:val="auto"/>
        </w:rPr>
        <w:t xml:space="preserve"> de coordinación y colaboración de ambas partes</w:t>
      </w:r>
      <w:r w:rsidR="00CE4540" w:rsidRPr="00DC1034">
        <w:rPr>
          <w:rFonts w:ascii="ITC Avant Garde" w:hAnsi="ITC Avant Garde"/>
          <w:color w:val="auto"/>
        </w:rPr>
        <w:t xml:space="preserve">. </w:t>
      </w:r>
    </w:p>
    <w:p w14:paraId="0C7C0B72" w14:textId="39DA53E6" w:rsidR="003B2F70" w:rsidRPr="00DC1034" w:rsidRDefault="00CE4540" w:rsidP="00F02AD2">
      <w:pPr>
        <w:spacing w:after="200" w:line="276" w:lineRule="auto"/>
        <w:ind w:left="-851" w:right="51" w:hanging="11"/>
        <w:rPr>
          <w:rFonts w:ascii="ITC Avant Garde" w:hAnsi="ITC Avant Garde"/>
          <w:color w:val="auto"/>
        </w:rPr>
      </w:pPr>
      <w:r w:rsidRPr="00DC1034">
        <w:rPr>
          <w:rFonts w:ascii="ITC Avant Garde" w:hAnsi="ITC Avant Garde"/>
          <w:color w:val="auto"/>
        </w:rPr>
        <w:t>En este sentido,</w:t>
      </w:r>
      <w:r w:rsidR="00F02AD2" w:rsidRPr="00DC1034">
        <w:rPr>
          <w:rFonts w:ascii="ITC Avant Garde" w:hAnsi="ITC Avant Garde"/>
          <w:color w:val="auto"/>
        </w:rPr>
        <w:t xml:space="preserve"> el establecimiento de un plazo insuficiente </w:t>
      </w:r>
      <w:r w:rsidR="00F95FB2">
        <w:rPr>
          <w:rFonts w:ascii="ITC Avant Garde" w:hAnsi="ITC Avant Garde"/>
          <w:color w:val="auto"/>
        </w:rPr>
        <w:t xml:space="preserve">para la suscripción </w:t>
      </w:r>
      <w:r w:rsidR="00F02AD2" w:rsidRPr="00DC1034">
        <w:rPr>
          <w:rFonts w:ascii="ITC Avant Garde" w:hAnsi="ITC Avant Garde"/>
          <w:color w:val="auto"/>
        </w:rPr>
        <w:t xml:space="preserve">pudiera tener </w:t>
      </w:r>
      <w:r w:rsidR="001A021C" w:rsidRPr="00DC1034">
        <w:rPr>
          <w:rFonts w:ascii="ITC Avant Garde" w:hAnsi="ITC Avant Garde"/>
          <w:color w:val="auto"/>
        </w:rPr>
        <w:t xml:space="preserve">como consecuencia </w:t>
      </w:r>
      <w:r w:rsidR="003B2F70" w:rsidRPr="00DC1034">
        <w:rPr>
          <w:rFonts w:ascii="ITC Avant Garde" w:hAnsi="ITC Avant Garde"/>
          <w:color w:val="auto"/>
        </w:rPr>
        <w:t xml:space="preserve">un análisis deficiente del alcance del proyecto, requiriendo </w:t>
      </w:r>
      <w:r w:rsidRPr="00DC1034">
        <w:rPr>
          <w:rFonts w:ascii="ITC Avant Garde" w:hAnsi="ITC Avant Garde"/>
          <w:color w:val="auto"/>
        </w:rPr>
        <w:t>la modificación d</w:t>
      </w:r>
      <w:r w:rsidR="001E4595" w:rsidRPr="00DC1034">
        <w:rPr>
          <w:rFonts w:ascii="ITC Avant Garde" w:hAnsi="ITC Avant Garde"/>
          <w:color w:val="auto"/>
        </w:rPr>
        <w:t xml:space="preserve">el </w:t>
      </w:r>
      <w:r w:rsidR="003B2F70" w:rsidRPr="00DC1034">
        <w:rPr>
          <w:rFonts w:ascii="ITC Avant Garde" w:hAnsi="ITC Avant Garde"/>
          <w:color w:val="auto"/>
        </w:rPr>
        <w:t>mis</w:t>
      </w:r>
      <w:r w:rsidR="008A5B83" w:rsidRPr="00DC1034">
        <w:rPr>
          <w:rFonts w:ascii="ITC Avant Garde" w:hAnsi="ITC Avant Garde"/>
          <w:color w:val="auto"/>
        </w:rPr>
        <w:t>mo</w:t>
      </w:r>
      <w:r w:rsidR="003B2F70" w:rsidRPr="00DC1034">
        <w:rPr>
          <w:rFonts w:ascii="ITC Avant Garde" w:hAnsi="ITC Avant Garde"/>
          <w:color w:val="auto"/>
        </w:rPr>
        <w:t xml:space="preserve"> </w:t>
      </w:r>
      <w:r w:rsidR="001E4595" w:rsidRPr="00DC1034">
        <w:rPr>
          <w:rFonts w:ascii="ITC Avant Garde" w:hAnsi="ITC Avant Garde"/>
          <w:color w:val="auto"/>
        </w:rPr>
        <w:t xml:space="preserve">durante </w:t>
      </w:r>
      <w:r w:rsidR="008A5B83" w:rsidRPr="00DC1034">
        <w:rPr>
          <w:rFonts w:ascii="ITC Avant Garde" w:hAnsi="ITC Avant Garde"/>
          <w:color w:val="auto"/>
        </w:rPr>
        <w:t xml:space="preserve">su </w:t>
      </w:r>
      <w:r w:rsidR="001E4595" w:rsidRPr="00DC1034">
        <w:rPr>
          <w:rFonts w:ascii="ITC Avant Garde" w:hAnsi="ITC Avant Garde"/>
          <w:color w:val="auto"/>
        </w:rPr>
        <w:t xml:space="preserve">implementación </w:t>
      </w:r>
      <w:r w:rsidR="003B2F70" w:rsidRPr="00DC1034">
        <w:rPr>
          <w:rFonts w:ascii="ITC Avant Garde" w:hAnsi="ITC Avant Garde"/>
          <w:color w:val="auto"/>
        </w:rPr>
        <w:t xml:space="preserve">y </w:t>
      </w:r>
      <w:r w:rsidR="001E4595" w:rsidRPr="00DC1034">
        <w:rPr>
          <w:rFonts w:ascii="ITC Avant Garde" w:hAnsi="ITC Avant Garde"/>
          <w:color w:val="auto"/>
        </w:rPr>
        <w:t>ocasionando</w:t>
      </w:r>
      <w:r w:rsidRPr="00DC1034">
        <w:rPr>
          <w:rFonts w:ascii="ITC Avant Garde" w:hAnsi="ITC Avant Garde"/>
          <w:color w:val="auto"/>
        </w:rPr>
        <w:t xml:space="preserve"> </w:t>
      </w:r>
      <w:r w:rsidR="003B2F70" w:rsidRPr="00DC1034">
        <w:rPr>
          <w:rFonts w:ascii="ITC Avant Garde" w:hAnsi="ITC Avant Garde"/>
          <w:color w:val="auto"/>
        </w:rPr>
        <w:t xml:space="preserve">con ello </w:t>
      </w:r>
      <w:r w:rsidRPr="00DC1034">
        <w:rPr>
          <w:rFonts w:ascii="ITC Avant Garde" w:hAnsi="ITC Avant Garde"/>
          <w:color w:val="auto"/>
        </w:rPr>
        <w:t>reprocesos y cost</w:t>
      </w:r>
      <w:r w:rsidR="00F95FB2">
        <w:rPr>
          <w:rFonts w:ascii="ITC Avant Garde" w:hAnsi="ITC Avant Garde"/>
          <w:color w:val="auto"/>
        </w:rPr>
        <w:t>os adicionales para las partes.</w:t>
      </w:r>
    </w:p>
    <w:p w14:paraId="0192755C" w14:textId="11FC888D" w:rsidR="00F02AD2" w:rsidRPr="00DC1034" w:rsidRDefault="00F95FB2" w:rsidP="00F02AD2">
      <w:pPr>
        <w:spacing w:after="200" w:line="276" w:lineRule="auto"/>
        <w:ind w:left="-851" w:right="51" w:hanging="11"/>
        <w:rPr>
          <w:rFonts w:ascii="ITC Avant Garde" w:hAnsi="ITC Avant Garde"/>
          <w:color w:val="auto"/>
        </w:rPr>
      </w:pPr>
      <w:r>
        <w:rPr>
          <w:rFonts w:ascii="ITC Avant Garde" w:hAnsi="ITC Avant Garde"/>
          <w:color w:val="auto"/>
        </w:rPr>
        <w:t>De acuerdo con lo anterior y considerando que dicho plazo no depende únicamente del AEP,</w:t>
      </w:r>
      <w:r w:rsidR="00CE4540" w:rsidRPr="00DC1034">
        <w:rPr>
          <w:rFonts w:ascii="ITC Avant Garde" w:hAnsi="ITC Avant Garde"/>
          <w:color w:val="auto"/>
        </w:rPr>
        <w:t xml:space="preserve"> </w:t>
      </w:r>
      <w:r w:rsidR="003A71C4" w:rsidRPr="00DC1034">
        <w:rPr>
          <w:rFonts w:ascii="ITC Avant Garde" w:hAnsi="ITC Avant Garde"/>
          <w:color w:val="auto"/>
        </w:rPr>
        <w:t xml:space="preserve">se considera que </w:t>
      </w:r>
      <w:r>
        <w:rPr>
          <w:rFonts w:ascii="ITC Avant Garde" w:hAnsi="ITC Avant Garde"/>
          <w:color w:val="auto"/>
        </w:rPr>
        <w:t xml:space="preserve">establecer un plazo </w:t>
      </w:r>
      <w:r w:rsidR="00CE4540" w:rsidRPr="00DC1034">
        <w:rPr>
          <w:rFonts w:ascii="ITC Avant Garde" w:hAnsi="ITC Avant Garde"/>
          <w:color w:val="auto"/>
        </w:rPr>
        <w:t>máximo para la suscripción de</w:t>
      </w:r>
      <w:r w:rsidR="008A5B83" w:rsidRPr="00DC1034">
        <w:rPr>
          <w:rFonts w:ascii="ITC Avant Garde" w:hAnsi="ITC Avant Garde"/>
          <w:color w:val="auto"/>
        </w:rPr>
        <w:t>l</w:t>
      </w:r>
      <w:r w:rsidR="00CE4540" w:rsidRPr="00DC1034">
        <w:rPr>
          <w:rFonts w:ascii="ITC Avant Garde" w:hAnsi="ITC Avant Garde"/>
          <w:color w:val="auto"/>
        </w:rPr>
        <w:t xml:space="preserve"> documento</w:t>
      </w:r>
      <w:r w:rsidR="008A5B83" w:rsidRPr="00DC1034">
        <w:rPr>
          <w:rFonts w:ascii="ITC Avant Garde" w:hAnsi="ITC Avant Garde"/>
          <w:color w:val="auto"/>
        </w:rPr>
        <w:t xml:space="preserve"> Términos y Lineamientos Técnicos</w:t>
      </w:r>
      <w:r w:rsidR="00CE4540" w:rsidRPr="00DC1034">
        <w:rPr>
          <w:rFonts w:ascii="ITC Avant Garde" w:hAnsi="ITC Avant Garde"/>
          <w:color w:val="auto"/>
        </w:rPr>
        <w:t>, limitaría y podría resultar insuficiente</w:t>
      </w:r>
      <w:r w:rsidR="00463DCE" w:rsidRPr="00DC1034">
        <w:rPr>
          <w:rFonts w:ascii="ITC Avant Garde" w:hAnsi="ITC Avant Garde"/>
          <w:color w:val="auto"/>
        </w:rPr>
        <w:t xml:space="preserve"> </w:t>
      </w:r>
      <w:r w:rsidR="00CE4540" w:rsidRPr="00DC1034">
        <w:rPr>
          <w:rFonts w:ascii="ITC Avant Garde" w:hAnsi="ITC Avant Garde"/>
          <w:color w:val="auto"/>
        </w:rPr>
        <w:t>para que</w:t>
      </w:r>
      <w:r w:rsidR="00463DCE" w:rsidRPr="00DC1034">
        <w:rPr>
          <w:rFonts w:ascii="ITC Avant Garde" w:hAnsi="ITC Avant Garde"/>
          <w:color w:val="auto"/>
        </w:rPr>
        <w:t xml:space="preserve"> las partes reali</w:t>
      </w:r>
      <w:r w:rsidR="003B2F70" w:rsidRPr="00DC1034">
        <w:rPr>
          <w:rFonts w:ascii="ITC Avant Garde" w:hAnsi="ITC Avant Garde"/>
          <w:color w:val="auto"/>
        </w:rPr>
        <w:t>cen</w:t>
      </w:r>
      <w:r w:rsidR="00463DCE" w:rsidRPr="00DC1034">
        <w:rPr>
          <w:rFonts w:ascii="ITC Avant Garde" w:hAnsi="ITC Avant Garde"/>
          <w:color w:val="auto"/>
        </w:rPr>
        <w:t xml:space="preserve"> el debido análisis y definición de las características del proyecto</w:t>
      </w:r>
      <w:r>
        <w:rPr>
          <w:rFonts w:ascii="ITC Avant Garde" w:hAnsi="ITC Avant Garde"/>
          <w:color w:val="auto"/>
        </w:rPr>
        <w:t xml:space="preserve"> a implementar</w:t>
      </w:r>
      <w:r w:rsidR="00CE4540" w:rsidRPr="00DC1034">
        <w:rPr>
          <w:rFonts w:ascii="ITC Avant Garde" w:hAnsi="ITC Avant Garde"/>
          <w:color w:val="auto"/>
        </w:rPr>
        <w:t xml:space="preserve"> por lo que la Oferta se mantiene en los mismos términos.</w:t>
      </w:r>
    </w:p>
    <w:p w14:paraId="71C8FFC0" w14:textId="77777777" w:rsidR="008F13D7" w:rsidRPr="00D874BB" w:rsidRDefault="008F13D7" w:rsidP="002A524D">
      <w:pPr>
        <w:spacing w:after="0" w:line="276" w:lineRule="auto"/>
        <w:ind w:left="-851" w:right="0" w:firstLine="0"/>
        <w:rPr>
          <w:rFonts w:ascii="ITC Avant Garde" w:hAnsi="ITC Avant Garde"/>
          <w:b/>
          <w:u w:val="single"/>
        </w:rPr>
      </w:pPr>
      <w:r w:rsidRPr="00D874BB">
        <w:rPr>
          <w:rFonts w:ascii="ITC Avant Garde" w:hAnsi="ITC Avant Garde"/>
          <w:b/>
          <w:u w:val="single"/>
        </w:rPr>
        <w:t>ANEXO II ACUERDOS TÉCNICOS</w:t>
      </w:r>
    </w:p>
    <w:p w14:paraId="5FABEEB2" w14:textId="77301A38" w:rsidR="00330D9C" w:rsidRPr="00DC1034" w:rsidRDefault="00330D9C" w:rsidP="002A524D">
      <w:pPr>
        <w:spacing w:after="0" w:line="276" w:lineRule="auto"/>
        <w:ind w:left="-851" w:right="0" w:firstLine="0"/>
        <w:rPr>
          <w:rFonts w:ascii="ITC Avant Garde" w:hAnsi="ITC Avant Garde"/>
          <w:b/>
        </w:rPr>
      </w:pPr>
      <w:r w:rsidRPr="00DC1034">
        <w:rPr>
          <w:rFonts w:ascii="ITC Avant Garde" w:hAnsi="ITC Avant Garde"/>
          <w:b/>
        </w:rPr>
        <w:t>Axtel:</w:t>
      </w:r>
    </w:p>
    <w:p w14:paraId="526B6441" w14:textId="1DA62DFA" w:rsidR="00330D9C" w:rsidRPr="00DC1034" w:rsidRDefault="00573DD5" w:rsidP="0057769B">
      <w:pPr>
        <w:spacing w:after="200" w:line="276" w:lineRule="auto"/>
        <w:ind w:left="-851" w:right="0" w:firstLine="0"/>
        <w:rPr>
          <w:rFonts w:ascii="ITC Avant Garde" w:hAnsi="ITC Avant Garde"/>
        </w:rPr>
      </w:pPr>
      <w:r w:rsidRPr="00DC1034">
        <w:rPr>
          <w:rFonts w:ascii="ITC Avant Garde" w:hAnsi="ITC Avant Garde"/>
        </w:rPr>
        <w:t>Requiere</w:t>
      </w:r>
      <w:r w:rsidR="00330D9C" w:rsidRPr="00DC1034">
        <w:rPr>
          <w:rFonts w:ascii="ITC Avant Garde" w:hAnsi="ITC Avant Garde"/>
        </w:rPr>
        <w:t xml:space="preserve"> incluir en el alcance y condiciones técnicas para las Funcionalidades o aplicaciones para servicios de datos como son servicios Máquina a Máquina (M2M), Internet de las Cosas (IoT) y/o servicios de internet en el hogar en el que podrá ser </w:t>
      </w:r>
      <w:r w:rsidR="00330D9C" w:rsidRPr="00DC1034">
        <w:rPr>
          <w:rFonts w:ascii="ITC Avant Garde" w:hAnsi="ITC Avant Garde"/>
        </w:rPr>
        <w:lastRenderedPageBreak/>
        <w:t>integrado un OMV Completo</w:t>
      </w:r>
      <w:r w:rsidRPr="00DC1034">
        <w:rPr>
          <w:rFonts w:ascii="ITC Avant Garde" w:hAnsi="ITC Avant Garde"/>
        </w:rPr>
        <w:t>, e</w:t>
      </w:r>
      <w:r w:rsidR="00330D9C" w:rsidRPr="00DC1034">
        <w:rPr>
          <w:rFonts w:ascii="ITC Avant Garde" w:hAnsi="ITC Avant Garde"/>
        </w:rPr>
        <w:t>specificando los estándares de GSMA a que hace referencia en el glosario de definiciones y términos.</w:t>
      </w:r>
    </w:p>
    <w:p w14:paraId="6B12EE15" w14:textId="77777777" w:rsidR="00330D9C" w:rsidRPr="00DC1034" w:rsidRDefault="00330D9C" w:rsidP="00330D9C">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321DA56A" w14:textId="187969F2" w:rsidR="00210FFF" w:rsidRPr="00DC1034" w:rsidRDefault="00210FFF" w:rsidP="00210FFF">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El numeral 6 “Funcionalidades o aplicaciones para servicios de datos” del presente Anexo II permite la integración de servicios M2M e IoT privilegiando el acuerdo entre las partes a efecto de no restringir las diversas soluciones técnicas que pudieran existir. </w:t>
      </w:r>
    </w:p>
    <w:p w14:paraId="6091FEAF" w14:textId="6D67928A" w:rsidR="00DB229F" w:rsidRPr="003E1EDE" w:rsidRDefault="00210FFF" w:rsidP="003E1EDE">
      <w:pPr>
        <w:spacing w:after="200" w:line="276" w:lineRule="auto"/>
        <w:ind w:left="-851" w:right="0" w:firstLine="0"/>
        <w:rPr>
          <w:rFonts w:ascii="ITC Avant Garde" w:hAnsi="ITC Avant Garde"/>
        </w:rPr>
      </w:pPr>
      <w:r w:rsidRPr="00DC1034">
        <w:rPr>
          <w:rFonts w:ascii="ITC Avant Garde" w:hAnsi="ITC Avant Garde"/>
        </w:rPr>
        <w:t>No obstante, c</w:t>
      </w:r>
      <w:r w:rsidR="00330D9C" w:rsidRPr="00DC1034">
        <w:rPr>
          <w:rFonts w:ascii="ITC Avant Garde" w:hAnsi="ITC Avant Garde"/>
        </w:rPr>
        <w:t xml:space="preserve">on el propósito de especificar los esquemas generales de servicios IoT y M2M y las tecnologías </w:t>
      </w:r>
      <w:r w:rsidR="00017322" w:rsidRPr="00DC1034">
        <w:rPr>
          <w:rFonts w:ascii="ITC Avant Garde" w:hAnsi="ITC Avant Garde"/>
        </w:rPr>
        <w:t xml:space="preserve">mediante las cuales el AEP </w:t>
      </w:r>
      <w:r w:rsidR="00DB229F" w:rsidRPr="00DC1034">
        <w:rPr>
          <w:rFonts w:ascii="ITC Avant Garde" w:hAnsi="ITC Avant Garde"/>
        </w:rPr>
        <w:t>es capaz de prestar funcionalidades o aplic</w:t>
      </w:r>
      <w:r w:rsidR="00017322" w:rsidRPr="00DC1034">
        <w:rPr>
          <w:rFonts w:ascii="ITC Avant Garde" w:hAnsi="ITC Avant Garde"/>
        </w:rPr>
        <w:t xml:space="preserve">aciones para servicios de datos, sin que ello limite </w:t>
      </w:r>
      <w:r w:rsidR="00DB229F" w:rsidRPr="00DC1034">
        <w:rPr>
          <w:rFonts w:ascii="ITC Avant Garde" w:hAnsi="ITC Avant Garde"/>
        </w:rPr>
        <w:t>los posibles esquemas de prestación de servicios de datos aplicados a soluciones M2M e IoT</w:t>
      </w:r>
      <w:r w:rsidRPr="00DC1034">
        <w:rPr>
          <w:rFonts w:ascii="ITC Avant Garde" w:hAnsi="ITC Avant Garde"/>
        </w:rPr>
        <w:t xml:space="preserve"> conforme a las recomendaciones y estándares de la GSMA</w:t>
      </w:r>
      <w:r w:rsidR="00DB229F" w:rsidRPr="00DC1034">
        <w:rPr>
          <w:rFonts w:ascii="ITC Avant Garde" w:hAnsi="ITC Avant Garde"/>
        </w:rPr>
        <w:t>,</w:t>
      </w:r>
      <w:r w:rsidR="00017322" w:rsidRPr="00DC1034">
        <w:rPr>
          <w:rFonts w:ascii="ITC Avant Garde" w:hAnsi="ITC Avant Garde"/>
        </w:rPr>
        <w:t xml:space="preserve"> s</w:t>
      </w:r>
      <w:r w:rsidR="00DB229F" w:rsidRPr="00DC1034">
        <w:rPr>
          <w:rFonts w:ascii="ITC Avant Garde" w:hAnsi="ITC Avant Garde"/>
        </w:rPr>
        <w:t xml:space="preserve">e modifica el numeral 6 del Anexo II Acuerdos Técnicos en los siguientes términos: </w:t>
      </w:r>
    </w:p>
    <w:p w14:paraId="5BE46F84" w14:textId="77777777" w:rsidR="00DB229F" w:rsidRPr="00DC1034" w:rsidRDefault="00DB229F" w:rsidP="00017322">
      <w:pPr>
        <w:pStyle w:val="Default"/>
        <w:spacing w:after="200"/>
        <w:ind w:left="-284" w:right="612"/>
        <w:jc w:val="both"/>
        <w:rPr>
          <w:rFonts w:ascii="ITC Avant Garde" w:eastAsia="Calibri" w:hAnsi="ITC Avant Garde"/>
          <w:i/>
          <w:color w:val="auto"/>
          <w:sz w:val="18"/>
          <w:szCs w:val="18"/>
        </w:rPr>
      </w:pPr>
      <w:r w:rsidRPr="00DC1034">
        <w:rPr>
          <w:rFonts w:ascii="ITC Avant Garde" w:eastAsia="Calibri" w:hAnsi="ITC Avant Garde"/>
          <w:i/>
          <w:color w:val="auto"/>
          <w:sz w:val="18"/>
          <w:szCs w:val="18"/>
        </w:rPr>
        <w:t>“6. FUNCIONALIDADES O APLICACIONES PARA SERVICIOS DE DATOS.</w:t>
      </w:r>
    </w:p>
    <w:p w14:paraId="65970307" w14:textId="00301B39" w:rsidR="00DB229F" w:rsidRPr="00DC1034" w:rsidRDefault="0049267F" w:rsidP="00017322">
      <w:pPr>
        <w:pStyle w:val="Default"/>
        <w:spacing w:after="200"/>
        <w:ind w:left="-284" w:right="612"/>
        <w:jc w:val="both"/>
        <w:rPr>
          <w:rFonts w:ascii="ITC Avant Garde" w:eastAsia="Calibri" w:hAnsi="ITC Avant Garde"/>
          <w:i/>
          <w:color w:val="auto"/>
          <w:sz w:val="18"/>
          <w:szCs w:val="18"/>
        </w:rPr>
      </w:pPr>
      <w:r>
        <w:rPr>
          <w:rFonts w:ascii="ITC Avant Garde" w:eastAsia="Calibri" w:hAnsi="ITC Avant Garde"/>
          <w:i/>
          <w:color w:val="auto"/>
          <w:sz w:val="18"/>
          <w:szCs w:val="18"/>
        </w:rPr>
        <w:t>(…)</w:t>
      </w:r>
      <w:r w:rsidR="00DB229F" w:rsidRPr="00DC1034">
        <w:rPr>
          <w:rFonts w:ascii="ITC Avant Garde" w:eastAsia="Calibri" w:hAnsi="ITC Avant Garde"/>
          <w:i/>
          <w:color w:val="auto"/>
          <w:sz w:val="18"/>
          <w:szCs w:val="18"/>
        </w:rPr>
        <w:t xml:space="preserve"> </w:t>
      </w:r>
    </w:p>
    <w:p w14:paraId="6D5C08D8" w14:textId="77777777" w:rsidR="00DB229F" w:rsidRPr="00DC1034" w:rsidRDefault="00DB229F" w:rsidP="00017322">
      <w:pPr>
        <w:pStyle w:val="Default"/>
        <w:spacing w:after="200"/>
        <w:ind w:left="-284" w:right="612"/>
        <w:jc w:val="both"/>
        <w:rPr>
          <w:rFonts w:ascii="ITC Avant Garde" w:eastAsia="Calibri" w:hAnsi="ITC Avant Garde"/>
          <w:i/>
          <w:color w:val="auto"/>
          <w:sz w:val="18"/>
          <w:szCs w:val="18"/>
          <w:u w:val="single"/>
        </w:rPr>
      </w:pPr>
      <w:r w:rsidRPr="00DC1034">
        <w:rPr>
          <w:rFonts w:ascii="ITC Avant Garde" w:eastAsia="Calibri" w:hAnsi="ITC Avant Garde"/>
          <w:i/>
          <w:color w:val="auto"/>
          <w:sz w:val="18"/>
          <w:szCs w:val="18"/>
          <w:u w:val="single"/>
        </w:rPr>
        <w:t>Las funcionalidades o aplicaciones para servicios de datos como Internet de las Cosas y/o Máquina a Máquina deberán apegarse, de manera no limitativa, a los estándares y recomendaciones de la GSMA, permitiendo al menos esquemas de baja tasa de transmisión de datos, alta tasa de transmisión de datos y bajos niveles latencia, mediante el uso de las tecnologías LTE y LTE-M (LTE-MTC low power wide area).</w:t>
      </w:r>
    </w:p>
    <w:p w14:paraId="7ECC367C" w14:textId="77777777" w:rsidR="00DB229F" w:rsidRPr="00DC1034" w:rsidRDefault="00DB229F" w:rsidP="00017322">
      <w:pPr>
        <w:pStyle w:val="Default"/>
        <w:spacing w:after="200"/>
        <w:ind w:left="-284" w:right="612"/>
        <w:jc w:val="both"/>
        <w:rPr>
          <w:rFonts w:ascii="ITC Avant Garde" w:eastAsia="Calibri" w:hAnsi="ITC Avant Garde"/>
          <w:i/>
          <w:color w:val="auto"/>
          <w:sz w:val="18"/>
          <w:szCs w:val="18"/>
        </w:rPr>
      </w:pPr>
      <w:r w:rsidRPr="00DC1034">
        <w:rPr>
          <w:rFonts w:ascii="ITC Avant Garde" w:eastAsia="Calibri" w:hAnsi="ITC Avant Garde"/>
          <w:i/>
          <w:color w:val="auto"/>
          <w:sz w:val="18"/>
          <w:szCs w:val="18"/>
        </w:rPr>
        <w:t xml:space="preserve"> (…)”</w:t>
      </w:r>
    </w:p>
    <w:p w14:paraId="7B53222A" w14:textId="77777777" w:rsidR="00DB229F" w:rsidRPr="00DC1034" w:rsidRDefault="00DB229F" w:rsidP="00017322">
      <w:pPr>
        <w:pStyle w:val="Default"/>
        <w:spacing w:after="200"/>
        <w:ind w:left="-284" w:right="612"/>
        <w:jc w:val="right"/>
        <w:rPr>
          <w:rFonts w:ascii="ITC Avant Garde" w:eastAsia="Calibri" w:hAnsi="ITC Avant Garde"/>
          <w:i/>
          <w:color w:val="auto"/>
          <w:sz w:val="18"/>
          <w:szCs w:val="18"/>
        </w:rPr>
      </w:pPr>
      <w:r w:rsidRPr="00DC1034">
        <w:rPr>
          <w:rFonts w:ascii="ITC Avant Garde" w:eastAsia="Calibri" w:hAnsi="ITC Avant Garde"/>
          <w:i/>
          <w:color w:val="auto"/>
          <w:sz w:val="18"/>
          <w:szCs w:val="18"/>
        </w:rPr>
        <w:t>Énfasis añadido</w:t>
      </w:r>
    </w:p>
    <w:p w14:paraId="7CB3A7A9" w14:textId="5604880B" w:rsidR="008F13D7" w:rsidRPr="00DC1034" w:rsidRDefault="00330D9C" w:rsidP="002A524D">
      <w:pPr>
        <w:spacing w:line="276" w:lineRule="auto"/>
        <w:ind w:left="-851" w:right="0"/>
        <w:rPr>
          <w:rFonts w:ascii="ITC Avant Garde" w:hAnsi="ITC Avant Garde"/>
          <w:color w:val="auto"/>
          <w:u w:val="single"/>
        </w:rPr>
      </w:pPr>
      <w:r w:rsidRPr="00DC1034">
        <w:rPr>
          <w:rFonts w:ascii="ITC Avant Garde" w:eastAsia="Calibri" w:hAnsi="ITC Avant Garde" w:cs="Arial"/>
          <w:b/>
          <w:u w:val="single"/>
        </w:rPr>
        <w:t>3.1.6.2 Roaming Internacional</w:t>
      </w:r>
    </w:p>
    <w:p w14:paraId="5F9FB2EF" w14:textId="1B48E2A3" w:rsidR="00BA6F4E" w:rsidRPr="00DC1034" w:rsidRDefault="00330D9C"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Televisa</w:t>
      </w:r>
      <w:r w:rsidR="008F13D7" w:rsidRPr="00DC1034">
        <w:rPr>
          <w:rFonts w:ascii="ITC Avant Garde" w:hAnsi="ITC Avant Garde"/>
          <w:b/>
          <w:color w:val="auto"/>
        </w:rPr>
        <w:t>:</w:t>
      </w:r>
    </w:p>
    <w:p w14:paraId="4D5AACE3" w14:textId="7B1C1CF1" w:rsidR="008B4AA4" w:rsidRPr="00DC1034" w:rsidRDefault="0049267F" w:rsidP="00FC48FB">
      <w:pPr>
        <w:spacing w:after="200" w:line="276" w:lineRule="auto"/>
        <w:ind w:left="-851" w:right="0" w:hanging="11"/>
        <w:rPr>
          <w:rFonts w:ascii="ITC Avant Garde" w:hAnsi="ITC Avant Garde"/>
          <w:color w:val="auto"/>
        </w:rPr>
      </w:pPr>
      <w:r>
        <w:rPr>
          <w:rFonts w:ascii="ITC Avant Garde" w:hAnsi="ITC Avant Garde"/>
          <w:color w:val="auto"/>
        </w:rPr>
        <w:t>Solicita</w:t>
      </w:r>
      <w:r w:rsidR="00330D9C" w:rsidRPr="00DC1034">
        <w:rPr>
          <w:rFonts w:ascii="ITC Avant Garde" w:hAnsi="ITC Avant Garde"/>
          <w:color w:val="auto"/>
        </w:rPr>
        <w:t xml:space="preserve"> que un OMV Completo pueda celebrar sus propios acuerdos de Roaming o solicitar al AEP el servicio de Roaming Internacional, bajo las mismas condiciones de los acuerdos de Roaming Internacional que </w:t>
      </w:r>
      <w:r w:rsidR="00547000" w:rsidRPr="00DC1034">
        <w:rPr>
          <w:rFonts w:ascii="ITC Avant Garde" w:hAnsi="ITC Avant Garde"/>
          <w:color w:val="auto"/>
        </w:rPr>
        <w:t>éste tenga suscritos, a efecto de</w:t>
      </w:r>
      <w:r w:rsidR="00330D9C" w:rsidRPr="00DC1034">
        <w:rPr>
          <w:rFonts w:ascii="ITC Avant Garde" w:hAnsi="ITC Avant Garde"/>
          <w:color w:val="auto"/>
        </w:rPr>
        <w:t xml:space="preserve"> incluir a los OMV que cuenten con IMSI propio,</w:t>
      </w:r>
      <w:r w:rsidR="0027495F" w:rsidRPr="00DC1034">
        <w:rPr>
          <w:rFonts w:ascii="ITC Avant Garde" w:hAnsi="ITC Avant Garde"/>
          <w:color w:val="auto"/>
        </w:rPr>
        <w:t xml:space="preserve"> lo anterior conforme </w:t>
      </w:r>
      <w:r w:rsidR="00330D9C" w:rsidRPr="00DC1034">
        <w:rPr>
          <w:rFonts w:ascii="ITC Avant Garde" w:hAnsi="ITC Avant Garde"/>
          <w:color w:val="auto"/>
        </w:rPr>
        <w:t xml:space="preserve">a </w:t>
      </w:r>
      <w:r w:rsidR="0027495F" w:rsidRPr="00DC1034">
        <w:rPr>
          <w:rFonts w:ascii="ITC Avant Garde" w:hAnsi="ITC Avant Garde"/>
          <w:color w:val="auto"/>
        </w:rPr>
        <w:t xml:space="preserve">la </w:t>
      </w:r>
      <w:r w:rsidR="00330D9C" w:rsidRPr="00DC1034">
        <w:rPr>
          <w:rFonts w:ascii="ITC Avant Garde" w:hAnsi="ITC Avant Garde"/>
          <w:color w:val="auto"/>
        </w:rPr>
        <w:t xml:space="preserve">normatividad vigente y de </w:t>
      </w:r>
      <w:r w:rsidR="0027495F" w:rsidRPr="00DC1034">
        <w:rPr>
          <w:rFonts w:ascii="ITC Avant Garde" w:hAnsi="ITC Avant Garde"/>
          <w:color w:val="auto"/>
        </w:rPr>
        <w:t>la imposibilidad de un OMV para</w:t>
      </w:r>
      <w:r w:rsidR="00330D9C" w:rsidRPr="00DC1034">
        <w:rPr>
          <w:rFonts w:ascii="ITC Avant Garde" w:hAnsi="ITC Avant Garde"/>
          <w:color w:val="auto"/>
        </w:rPr>
        <w:t xml:space="preserve"> competir con otros operadores móviles </w:t>
      </w:r>
      <w:r w:rsidR="00547000" w:rsidRPr="00DC1034">
        <w:rPr>
          <w:rFonts w:ascii="ITC Avant Garde" w:hAnsi="ITC Avant Garde"/>
          <w:color w:val="auto"/>
        </w:rPr>
        <w:t xml:space="preserve">respecto al </w:t>
      </w:r>
      <w:r w:rsidR="00330D9C" w:rsidRPr="00DC1034">
        <w:rPr>
          <w:rFonts w:ascii="ITC Avant Garde" w:hAnsi="ITC Avant Garde"/>
          <w:color w:val="auto"/>
        </w:rPr>
        <w:t xml:space="preserve">poder de negociación </w:t>
      </w:r>
      <w:r w:rsidR="00547000" w:rsidRPr="00DC1034">
        <w:rPr>
          <w:rFonts w:ascii="ITC Avant Garde" w:hAnsi="ITC Avant Garde"/>
          <w:color w:val="auto"/>
        </w:rPr>
        <w:t>con la cuenta el</w:t>
      </w:r>
      <w:r w:rsidR="00330D9C" w:rsidRPr="00DC1034">
        <w:rPr>
          <w:rFonts w:ascii="ITC Avant Garde" w:hAnsi="ITC Avant Garde"/>
          <w:color w:val="auto"/>
        </w:rPr>
        <w:t xml:space="preserve"> AEP </w:t>
      </w:r>
      <w:r w:rsidR="00547000" w:rsidRPr="00DC1034">
        <w:rPr>
          <w:rFonts w:ascii="ITC Avant Garde" w:hAnsi="ITC Avant Garde"/>
          <w:color w:val="auto"/>
        </w:rPr>
        <w:t xml:space="preserve">con </w:t>
      </w:r>
      <w:r w:rsidR="006D43D7" w:rsidRPr="00DC1034">
        <w:rPr>
          <w:rFonts w:ascii="ITC Avant Garde" w:hAnsi="ITC Avant Garde"/>
          <w:color w:val="auto"/>
        </w:rPr>
        <w:t xml:space="preserve">los </w:t>
      </w:r>
      <w:r w:rsidR="00330D9C" w:rsidRPr="00DC1034">
        <w:rPr>
          <w:rFonts w:ascii="ITC Avant Garde" w:hAnsi="ITC Avant Garde"/>
          <w:color w:val="auto"/>
        </w:rPr>
        <w:t>proveedores de Roaming Internacional</w:t>
      </w:r>
      <w:r w:rsidR="00547000" w:rsidRPr="00DC1034">
        <w:rPr>
          <w:rFonts w:ascii="ITC Avant Garde" w:hAnsi="ITC Avant Garde"/>
          <w:color w:val="auto"/>
        </w:rPr>
        <w:t>.</w:t>
      </w:r>
    </w:p>
    <w:p w14:paraId="3465F5D3" w14:textId="77777777" w:rsidR="00BB6C41" w:rsidRPr="00DC1034" w:rsidRDefault="00BB6C41"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7FC6C277" w14:textId="3BF3F60D" w:rsidR="00A33077" w:rsidRPr="00DC1034" w:rsidRDefault="003964CA" w:rsidP="00A33077">
      <w:pPr>
        <w:spacing w:after="200" w:line="276" w:lineRule="auto"/>
        <w:ind w:left="-851" w:right="51" w:hanging="11"/>
        <w:rPr>
          <w:rFonts w:ascii="ITC Avant Garde" w:hAnsi="ITC Avant Garde"/>
          <w:color w:val="auto"/>
        </w:rPr>
      </w:pPr>
      <w:r w:rsidRPr="00DC1034">
        <w:rPr>
          <w:rFonts w:ascii="ITC Avant Garde" w:eastAsia="Calibri" w:hAnsi="ITC Avant Garde" w:cs="Arial"/>
        </w:rPr>
        <w:t xml:space="preserve">De conformidad con lo </w:t>
      </w:r>
      <w:r w:rsidR="00330D9C" w:rsidRPr="00DC1034">
        <w:rPr>
          <w:rFonts w:ascii="ITC Avant Garde" w:eastAsia="Calibri" w:hAnsi="ITC Avant Garde" w:cs="Arial"/>
        </w:rPr>
        <w:t>establecido en el artículo 8</w:t>
      </w:r>
      <w:r w:rsidRPr="00DC1034">
        <w:rPr>
          <w:rFonts w:ascii="ITC Avant Garde" w:eastAsia="Calibri" w:hAnsi="ITC Avant Garde" w:cs="Arial"/>
        </w:rPr>
        <w:t>, fracción II</w:t>
      </w:r>
      <w:r w:rsidR="00330D9C" w:rsidRPr="00DC1034">
        <w:rPr>
          <w:rFonts w:ascii="ITC Avant Garde" w:eastAsia="Calibri" w:hAnsi="ITC Avant Garde" w:cs="Arial"/>
        </w:rPr>
        <w:t xml:space="preserve"> de los Lineamientos </w:t>
      </w:r>
      <w:r w:rsidR="00007DB7" w:rsidRPr="00DC1034">
        <w:rPr>
          <w:rFonts w:ascii="ITC Avant Garde" w:eastAsia="Calibri" w:hAnsi="ITC Avant Garde" w:cs="Arial"/>
        </w:rPr>
        <w:t>de OMV</w:t>
      </w:r>
      <w:r w:rsidRPr="00DC1034">
        <w:rPr>
          <w:rStyle w:val="Refdenotaalpie"/>
          <w:rFonts w:ascii="ITC Avant Garde" w:eastAsia="Calibri" w:hAnsi="ITC Avant Garde" w:cs="Arial"/>
        </w:rPr>
        <w:footnoteReference w:id="1"/>
      </w:r>
      <w:r w:rsidRPr="00DC1034">
        <w:rPr>
          <w:rFonts w:ascii="ITC Avant Garde" w:eastAsia="Calibri" w:hAnsi="ITC Avant Garde" w:cs="Arial"/>
        </w:rPr>
        <w:t xml:space="preserve">, el AEP se encuentra obligado a poner a disposición de los OMV los </w:t>
      </w:r>
      <w:r w:rsidRPr="00DC1034">
        <w:rPr>
          <w:rFonts w:ascii="ITC Avant Garde" w:eastAsia="Calibri" w:hAnsi="ITC Avant Garde" w:cs="Arial"/>
        </w:rPr>
        <w:lastRenderedPageBreak/>
        <w:t xml:space="preserve">términos de los acuerdos </w:t>
      </w:r>
      <w:r w:rsidR="00026CC6" w:rsidRPr="00DC1034">
        <w:rPr>
          <w:rFonts w:ascii="ITC Avant Garde" w:eastAsia="Calibri" w:hAnsi="ITC Avant Garde" w:cs="Arial"/>
        </w:rPr>
        <w:t xml:space="preserve">de Roaming Internacional </w:t>
      </w:r>
      <w:r w:rsidRPr="00DC1034">
        <w:rPr>
          <w:rFonts w:ascii="ITC Avant Garde" w:eastAsia="Calibri" w:hAnsi="ITC Avant Garde" w:cs="Arial"/>
        </w:rPr>
        <w:t xml:space="preserve">que </w:t>
      </w:r>
      <w:r w:rsidR="00026CC6" w:rsidRPr="00DC1034">
        <w:rPr>
          <w:rFonts w:ascii="ITC Avant Garde" w:eastAsia="Calibri" w:hAnsi="ITC Avant Garde" w:cs="Arial"/>
        </w:rPr>
        <w:t>tenga suscritos, p</w:t>
      </w:r>
      <w:r w:rsidR="00A33077" w:rsidRPr="00DC1034">
        <w:rPr>
          <w:rFonts w:ascii="ITC Avant Garde" w:hAnsi="ITC Avant Garde"/>
          <w:color w:val="auto"/>
        </w:rPr>
        <w:t>or lo</w:t>
      </w:r>
      <w:r w:rsidR="00026CC6" w:rsidRPr="00DC1034">
        <w:rPr>
          <w:rFonts w:ascii="ITC Avant Garde" w:hAnsi="ITC Avant Garde"/>
          <w:color w:val="auto"/>
        </w:rPr>
        <w:t xml:space="preserve"> que </w:t>
      </w:r>
      <w:r w:rsidR="0049267F">
        <w:rPr>
          <w:rFonts w:ascii="ITC Avant Garde" w:hAnsi="ITC Avant Garde"/>
          <w:color w:val="auto"/>
        </w:rPr>
        <w:t>se modificó</w:t>
      </w:r>
      <w:r w:rsidR="00A33077" w:rsidRPr="00DC1034">
        <w:rPr>
          <w:rFonts w:ascii="ITC Avant Garde" w:hAnsi="ITC Avant Garde"/>
          <w:color w:val="auto"/>
        </w:rPr>
        <w:t xml:space="preserve"> la Oferta en los siguientes términos:</w:t>
      </w:r>
    </w:p>
    <w:p w14:paraId="2155A720" w14:textId="00158C96" w:rsidR="00A33077" w:rsidRPr="00DC1034" w:rsidRDefault="00A33077" w:rsidP="00AD48B0">
      <w:pPr>
        <w:spacing w:after="200" w:line="276" w:lineRule="auto"/>
        <w:ind w:left="-284" w:right="612" w:firstLine="0"/>
        <w:rPr>
          <w:rFonts w:ascii="ITC Avant Garde" w:eastAsia="Calibri" w:hAnsi="ITC Avant Garde" w:cs="Arial"/>
          <w:i/>
          <w:color w:val="auto"/>
          <w:sz w:val="18"/>
          <w:szCs w:val="18"/>
          <w:lang w:eastAsia="en-US"/>
        </w:rPr>
      </w:pPr>
      <w:r w:rsidRPr="00DC1034">
        <w:rPr>
          <w:rFonts w:ascii="ITC Avant Garde" w:eastAsia="Calibri" w:hAnsi="ITC Avant Garde" w:cs="Arial"/>
          <w:i/>
          <w:color w:val="auto"/>
          <w:sz w:val="18"/>
          <w:szCs w:val="18"/>
          <w:lang w:eastAsia="en-US"/>
        </w:rPr>
        <w:t xml:space="preserve">“3.1.6.2.1. Considerando que el OMV cuenta con su rango de IMSI MCC+MNC (Mobile Country Code + Mobile Network Code),  este </w:t>
      </w:r>
      <w:r w:rsidRPr="00DC1034">
        <w:rPr>
          <w:rFonts w:ascii="ITC Avant Garde" w:eastAsia="Calibri" w:hAnsi="ITC Avant Garde" w:cs="Arial"/>
          <w:i/>
          <w:color w:val="auto"/>
          <w:sz w:val="18"/>
          <w:szCs w:val="18"/>
          <w:u w:val="single"/>
          <w:lang w:eastAsia="en-US"/>
        </w:rPr>
        <w:t>podrá</w:t>
      </w:r>
      <w:r w:rsidRPr="00DC1034">
        <w:rPr>
          <w:rFonts w:ascii="ITC Avant Garde" w:eastAsia="Calibri" w:hAnsi="ITC Avant Garde" w:cs="Arial"/>
          <w:i/>
          <w:color w:val="auto"/>
          <w:sz w:val="18"/>
          <w:szCs w:val="18"/>
          <w:lang w:eastAsia="en-US"/>
        </w:rPr>
        <w:t xml:space="preserve"> establecer sus propios acuerdos de Roaming</w:t>
      </w:r>
      <w:r w:rsidRPr="00DC1034">
        <w:rPr>
          <w:rFonts w:ascii="ITC Avant Garde" w:eastAsia="Calibri" w:hAnsi="ITC Avant Garde" w:cs="Arial"/>
          <w:i/>
          <w:color w:val="auto"/>
          <w:sz w:val="18"/>
          <w:szCs w:val="18"/>
          <w:u w:val="single"/>
          <w:lang w:eastAsia="en-US"/>
        </w:rPr>
        <w:t>, o solicitar a Telcel el servicio de Roaming Internacional, para lo cual deberá poner a disposición del OMV los mismos términos de los acuerdos que tiene suscritos con operadores internacionales</w:t>
      </w:r>
      <w:r w:rsidRPr="00DC1034">
        <w:rPr>
          <w:rFonts w:ascii="ITC Avant Garde" w:eastAsia="Calibri" w:hAnsi="ITC Avant Garde" w:cs="Arial"/>
          <w:i/>
          <w:color w:val="auto"/>
          <w:sz w:val="18"/>
          <w:szCs w:val="18"/>
          <w:lang w:eastAsia="en-US"/>
        </w:rPr>
        <w:t>.”</w:t>
      </w:r>
    </w:p>
    <w:p w14:paraId="6D8FCF49" w14:textId="16B8FABD" w:rsidR="008F34A6" w:rsidRPr="00DC1034" w:rsidRDefault="00A33077" w:rsidP="00AD48B0">
      <w:pPr>
        <w:spacing w:after="200" w:line="276" w:lineRule="auto"/>
        <w:ind w:left="-284" w:right="612" w:firstLine="0"/>
        <w:jc w:val="right"/>
        <w:rPr>
          <w:rFonts w:ascii="ITC Avant Garde" w:eastAsia="Calibri" w:hAnsi="ITC Avant Garde" w:cs="Arial"/>
          <w:color w:val="auto"/>
          <w:sz w:val="18"/>
          <w:szCs w:val="18"/>
          <w:lang w:eastAsia="en-US"/>
        </w:rPr>
      </w:pPr>
      <w:r w:rsidRPr="00DC1034">
        <w:rPr>
          <w:rFonts w:ascii="ITC Avant Garde" w:eastAsia="Calibri" w:hAnsi="ITC Avant Garde" w:cs="Arial"/>
          <w:color w:val="auto"/>
          <w:sz w:val="18"/>
          <w:szCs w:val="18"/>
          <w:lang w:eastAsia="en-US"/>
        </w:rPr>
        <w:t>Énfasis añadido</w:t>
      </w:r>
    </w:p>
    <w:p w14:paraId="34569B07" w14:textId="268B5ED1" w:rsidR="00330D9C" w:rsidRPr="00D874BB" w:rsidRDefault="00330D9C" w:rsidP="00330D9C">
      <w:pPr>
        <w:spacing w:after="0" w:line="276" w:lineRule="auto"/>
        <w:ind w:left="-851" w:right="0" w:firstLine="0"/>
        <w:rPr>
          <w:rFonts w:ascii="ITC Avant Garde" w:hAnsi="ITC Avant Garde"/>
          <w:b/>
          <w:u w:val="single"/>
        </w:rPr>
      </w:pPr>
      <w:r w:rsidRPr="00D874BB">
        <w:rPr>
          <w:rFonts w:ascii="ITC Avant Garde" w:hAnsi="ITC Avant Garde"/>
          <w:b/>
          <w:u w:val="single"/>
        </w:rPr>
        <w:t>ANEXO VI CALIDAD DEL SERVICIO</w:t>
      </w:r>
    </w:p>
    <w:p w14:paraId="41F8F1EC" w14:textId="77777777" w:rsidR="00013489" w:rsidRDefault="00013489" w:rsidP="002A524D">
      <w:pPr>
        <w:spacing w:after="0" w:line="276" w:lineRule="auto"/>
        <w:ind w:left="-851" w:right="49"/>
        <w:rPr>
          <w:rFonts w:ascii="ITC Avant Garde" w:hAnsi="ITC Avant Garde"/>
          <w:b/>
          <w:color w:val="auto"/>
        </w:rPr>
      </w:pPr>
    </w:p>
    <w:p w14:paraId="7297604F" w14:textId="172001FD" w:rsidR="00330D9C" w:rsidRPr="00DC1034" w:rsidRDefault="00330D9C" w:rsidP="002A524D">
      <w:pPr>
        <w:spacing w:after="0" w:line="276" w:lineRule="auto"/>
        <w:ind w:left="-851" w:right="49"/>
        <w:rPr>
          <w:rFonts w:ascii="ITC Avant Garde" w:hAnsi="ITC Avant Garde"/>
          <w:b/>
          <w:color w:val="auto"/>
        </w:rPr>
      </w:pPr>
      <w:r w:rsidRPr="00DC1034">
        <w:rPr>
          <w:rFonts w:ascii="ITC Avant Garde" w:hAnsi="ITC Avant Garde"/>
          <w:b/>
          <w:color w:val="auto"/>
        </w:rPr>
        <w:t>Axtel:</w:t>
      </w:r>
    </w:p>
    <w:p w14:paraId="1712CFD1" w14:textId="5C721E8D" w:rsidR="00330D9C" w:rsidRPr="00DC1034" w:rsidRDefault="00330D9C" w:rsidP="002A524D">
      <w:pPr>
        <w:spacing w:after="0" w:line="276" w:lineRule="auto"/>
        <w:ind w:left="-851" w:right="49"/>
        <w:rPr>
          <w:rFonts w:ascii="ITC Avant Garde" w:hAnsi="ITC Avant Garde"/>
          <w:color w:val="auto"/>
        </w:rPr>
      </w:pPr>
      <w:r w:rsidRPr="00DC1034">
        <w:rPr>
          <w:rFonts w:ascii="ITC Avant Garde" w:hAnsi="ITC Avant Garde"/>
          <w:color w:val="auto"/>
        </w:rPr>
        <w:t xml:space="preserve">Sugiere </w:t>
      </w:r>
      <w:r w:rsidR="006A1696" w:rsidRPr="00DC1034">
        <w:rPr>
          <w:rFonts w:ascii="ITC Avant Garde" w:hAnsi="ITC Avant Garde"/>
          <w:color w:val="auto"/>
        </w:rPr>
        <w:t>incluir</w:t>
      </w:r>
      <w:r w:rsidRPr="00DC1034">
        <w:rPr>
          <w:rFonts w:ascii="ITC Avant Garde" w:hAnsi="ITC Avant Garde"/>
          <w:color w:val="auto"/>
        </w:rPr>
        <w:t xml:space="preserve"> un apartado con los estándares relativos a los servicios de datos Máquina a Máquina (M2M), Internet de las Cosas (IoT) y/o servicios de internet.</w:t>
      </w:r>
    </w:p>
    <w:p w14:paraId="3B299B83" w14:textId="77777777" w:rsidR="00330D9C" w:rsidRPr="00DC1034" w:rsidRDefault="00330D9C" w:rsidP="002A524D">
      <w:pPr>
        <w:spacing w:after="0" w:line="276" w:lineRule="auto"/>
        <w:ind w:left="-851" w:right="49"/>
        <w:rPr>
          <w:rFonts w:ascii="ITC Avant Garde" w:hAnsi="ITC Avant Garde"/>
          <w:color w:val="auto"/>
        </w:rPr>
      </w:pPr>
    </w:p>
    <w:p w14:paraId="18AA4B1C" w14:textId="7FAB16D8" w:rsidR="00330D9C" w:rsidRPr="00DC1034" w:rsidRDefault="00330D9C" w:rsidP="002A524D">
      <w:pPr>
        <w:spacing w:after="0" w:line="276" w:lineRule="auto"/>
        <w:ind w:left="-851" w:right="49"/>
        <w:rPr>
          <w:rFonts w:ascii="ITC Avant Garde" w:hAnsi="ITC Avant Garde"/>
          <w:b/>
          <w:color w:val="auto"/>
        </w:rPr>
      </w:pPr>
      <w:r w:rsidRPr="00DC1034">
        <w:rPr>
          <w:rFonts w:ascii="ITC Avant Garde" w:hAnsi="ITC Avant Garde"/>
          <w:b/>
          <w:color w:val="auto"/>
        </w:rPr>
        <w:t>Consideraciones del Instituto</w:t>
      </w:r>
    </w:p>
    <w:p w14:paraId="41553285" w14:textId="609EAA5A" w:rsidR="00330D9C" w:rsidRPr="00DC1034" w:rsidRDefault="002006C0" w:rsidP="009D01F6">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La inclusión de un listado con estándares referentes a la calidad del servicio para </w:t>
      </w:r>
      <w:r w:rsidR="00DD1145" w:rsidRPr="00DC1034">
        <w:rPr>
          <w:rFonts w:ascii="ITC Avant Garde" w:hAnsi="ITC Avant Garde"/>
          <w:color w:val="auto"/>
        </w:rPr>
        <w:t>funcionalidades o aplicaciones para servicios de datos M2M e IoT, limitaría los diversos esquemas de prestación de los mismos, por lo que se considera que las partes deben apegarse de manera no limitativa a los estándares y recomendaciones de la GSMA en términos del numeral 6 del Anexo II Acuerdos Técnicos señalado anteriormente</w:t>
      </w:r>
      <w:r w:rsidR="00330D9C" w:rsidRPr="00DC1034">
        <w:rPr>
          <w:rFonts w:ascii="ITC Avant Garde" w:hAnsi="ITC Avant Garde"/>
          <w:color w:val="auto"/>
        </w:rPr>
        <w:t>.</w:t>
      </w:r>
    </w:p>
    <w:p w14:paraId="000214ED" w14:textId="7CD7EAF4" w:rsidR="002A27EA" w:rsidRPr="00D874BB" w:rsidRDefault="002A27EA" w:rsidP="002A524D">
      <w:pPr>
        <w:spacing w:after="0" w:line="276" w:lineRule="auto"/>
        <w:ind w:left="-851" w:right="0" w:firstLine="0"/>
        <w:rPr>
          <w:rFonts w:ascii="ITC Avant Garde" w:hAnsi="ITC Avant Garde"/>
          <w:b/>
          <w:u w:val="single"/>
        </w:rPr>
      </w:pPr>
      <w:r w:rsidRPr="00D874BB">
        <w:rPr>
          <w:rFonts w:ascii="ITC Avant Garde" w:hAnsi="ITC Avant Garde"/>
          <w:b/>
          <w:u w:val="single"/>
        </w:rPr>
        <w:t>ANEXO VII PROCEDIMIENTOS DE LA ATENCIÓN DE INCIDENCIAS</w:t>
      </w:r>
    </w:p>
    <w:p w14:paraId="006E3830" w14:textId="77777777" w:rsidR="00013489" w:rsidRDefault="00013489" w:rsidP="002A524D">
      <w:pPr>
        <w:spacing w:after="0" w:line="276" w:lineRule="auto"/>
        <w:ind w:left="-851" w:right="0"/>
        <w:rPr>
          <w:rFonts w:ascii="ITC Avant Garde" w:eastAsia="Calibri" w:hAnsi="ITC Avant Garde" w:cs="Arial"/>
          <w:b/>
          <w:spacing w:val="4"/>
          <w:u w:val="single"/>
        </w:rPr>
      </w:pPr>
    </w:p>
    <w:p w14:paraId="025D7CF8" w14:textId="448A15AC" w:rsidR="002A27EA" w:rsidRPr="00DC1034" w:rsidRDefault="00330D9C" w:rsidP="002A524D">
      <w:pPr>
        <w:spacing w:after="0" w:line="276" w:lineRule="auto"/>
        <w:ind w:left="-851" w:right="0"/>
        <w:rPr>
          <w:rFonts w:ascii="ITC Avant Garde" w:eastAsia="Calibri" w:hAnsi="ITC Avant Garde" w:cs="Arial"/>
          <w:b/>
          <w:spacing w:val="4"/>
          <w:u w:val="single"/>
        </w:rPr>
      </w:pPr>
      <w:r w:rsidRPr="00DC1034">
        <w:rPr>
          <w:rFonts w:ascii="ITC Avant Garde" w:eastAsia="Calibri" w:hAnsi="ITC Avant Garde" w:cs="Arial"/>
          <w:b/>
          <w:spacing w:val="4"/>
          <w:u w:val="single"/>
        </w:rPr>
        <w:t>9</w:t>
      </w:r>
      <w:r w:rsidR="002A27EA" w:rsidRPr="00DC1034">
        <w:rPr>
          <w:rFonts w:ascii="ITC Avant Garde" w:eastAsia="Calibri" w:hAnsi="ITC Avant Garde" w:cs="Arial"/>
          <w:b/>
          <w:spacing w:val="4"/>
          <w:u w:val="single"/>
        </w:rPr>
        <w:t xml:space="preserve">. </w:t>
      </w:r>
      <w:r w:rsidRPr="00DC1034">
        <w:rPr>
          <w:rFonts w:ascii="ITC Avant Garde" w:eastAsia="Calibri" w:hAnsi="ITC Avant Garde" w:cs="Arial"/>
          <w:b/>
          <w:spacing w:val="4"/>
          <w:u w:val="single"/>
        </w:rPr>
        <w:t>Ventanas de Mantenimiento</w:t>
      </w:r>
    </w:p>
    <w:p w14:paraId="3479C79F" w14:textId="2777A52B" w:rsidR="00E87C05" w:rsidRPr="00DC1034" w:rsidRDefault="00330D9C" w:rsidP="002A524D">
      <w:pPr>
        <w:spacing w:after="0" w:line="276" w:lineRule="auto"/>
        <w:ind w:left="-851" w:right="0"/>
        <w:rPr>
          <w:rFonts w:ascii="ITC Avant Garde" w:eastAsia="Calibri" w:hAnsi="ITC Avant Garde" w:cs="Arial"/>
          <w:b/>
        </w:rPr>
      </w:pPr>
      <w:r w:rsidRPr="00DC1034">
        <w:rPr>
          <w:rFonts w:ascii="ITC Avant Garde" w:eastAsia="Calibri" w:hAnsi="ITC Avant Garde" w:cs="Arial"/>
          <w:b/>
        </w:rPr>
        <w:t>Axtel</w:t>
      </w:r>
      <w:r w:rsidR="00E87C05" w:rsidRPr="00DC1034">
        <w:rPr>
          <w:rFonts w:ascii="ITC Avant Garde" w:eastAsia="Calibri" w:hAnsi="ITC Avant Garde" w:cs="Arial"/>
          <w:b/>
        </w:rPr>
        <w:t>:</w:t>
      </w:r>
    </w:p>
    <w:p w14:paraId="7EB434F0" w14:textId="7B92AEDA" w:rsidR="00D7118D" w:rsidRPr="00DC1034" w:rsidRDefault="00330D9C" w:rsidP="009D01F6">
      <w:pPr>
        <w:pStyle w:val="IFT1"/>
        <w:tabs>
          <w:tab w:val="left" w:pos="426"/>
        </w:tabs>
        <w:ind w:left="-851"/>
        <w:rPr>
          <w:bCs/>
        </w:rPr>
      </w:pPr>
      <w:r w:rsidRPr="00DC1034">
        <w:rPr>
          <w:bCs/>
        </w:rPr>
        <w:t xml:space="preserve">Solicita </w:t>
      </w:r>
      <w:r w:rsidR="0036660E" w:rsidRPr="00DC1034">
        <w:rPr>
          <w:bCs/>
        </w:rPr>
        <w:t>establecer</w:t>
      </w:r>
      <w:r w:rsidRPr="00DC1034">
        <w:rPr>
          <w:bCs/>
        </w:rPr>
        <w:t xml:space="preserve"> un proceso para evitar que sean ejecutadas ventanas de mantenimiento cuando se presenten fallas previas al inicio de las actividades de mantenimiento y no sean afectados los tiempos de atención y solución de falla</w:t>
      </w:r>
      <w:r w:rsidR="00E1503A" w:rsidRPr="00DC1034">
        <w:rPr>
          <w:bCs/>
        </w:rPr>
        <w:t xml:space="preserve">s, o </w:t>
      </w:r>
      <w:r w:rsidRPr="00DC1034">
        <w:rPr>
          <w:bCs/>
        </w:rPr>
        <w:t>bien</w:t>
      </w:r>
      <w:r w:rsidR="00E1503A" w:rsidRPr="00DC1034">
        <w:rPr>
          <w:bCs/>
        </w:rPr>
        <w:t>,</w:t>
      </w:r>
      <w:r w:rsidRPr="00DC1034">
        <w:rPr>
          <w:bCs/>
        </w:rPr>
        <w:t xml:space="preserve"> si la falla reportada no tuviera asociación con la ejecución de actividades, se asegure la atención y seguimiento a la falla que haya reportado el OMV</w:t>
      </w:r>
      <w:r w:rsidR="00C958BA" w:rsidRPr="00DC1034">
        <w:rPr>
          <w:bCs/>
        </w:rPr>
        <w:t>.</w:t>
      </w:r>
    </w:p>
    <w:p w14:paraId="31AD0E73" w14:textId="77777777" w:rsidR="00CB6E6D" w:rsidRPr="00DC1034" w:rsidRDefault="00D7118D" w:rsidP="00CB6E6D">
      <w:pPr>
        <w:spacing w:after="0" w:line="276" w:lineRule="auto"/>
        <w:ind w:left="-851"/>
        <w:rPr>
          <w:rFonts w:ascii="ITC Avant Garde" w:eastAsia="Calibri" w:hAnsi="ITC Avant Garde" w:cs="Arial"/>
        </w:rPr>
      </w:pPr>
      <w:r w:rsidRPr="00DC1034">
        <w:rPr>
          <w:rFonts w:ascii="ITC Avant Garde" w:hAnsi="ITC Avant Garde"/>
          <w:b/>
          <w:color w:val="auto"/>
        </w:rPr>
        <w:t>Consideraciones del Instituto</w:t>
      </w:r>
    </w:p>
    <w:p w14:paraId="715AFF90" w14:textId="346A31E3" w:rsidR="00BC558D" w:rsidRPr="00DC1034" w:rsidRDefault="005738D9" w:rsidP="0010799C">
      <w:pPr>
        <w:spacing w:after="200" w:line="276" w:lineRule="auto"/>
        <w:ind w:left="-851" w:right="0" w:hanging="11"/>
        <w:rPr>
          <w:rFonts w:ascii="ITC Avant Garde" w:hAnsi="ITC Avant Garde"/>
          <w:b/>
        </w:rPr>
      </w:pPr>
      <w:r w:rsidRPr="00DC1034">
        <w:rPr>
          <w:rFonts w:ascii="ITC Avant Garde" w:hAnsi="ITC Avant Garde"/>
          <w:color w:val="auto"/>
        </w:rPr>
        <w:t>La Oferta</w:t>
      </w:r>
      <w:r w:rsidR="00330D9C" w:rsidRPr="00DC1034">
        <w:rPr>
          <w:rFonts w:ascii="ITC Avant Garde" w:hAnsi="ITC Avant Garde"/>
          <w:color w:val="auto"/>
        </w:rPr>
        <w:t xml:space="preserve"> establece que</w:t>
      </w:r>
      <w:r w:rsidR="00CB6E6D" w:rsidRPr="00DC1034">
        <w:rPr>
          <w:rFonts w:ascii="ITC Avant Garde" w:hAnsi="ITC Avant Garde"/>
          <w:color w:val="auto"/>
        </w:rPr>
        <w:t xml:space="preserve"> el </w:t>
      </w:r>
      <w:r w:rsidR="00BC558D" w:rsidRPr="00DC1034">
        <w:rPr>
          <w:rFonts w:ascii="ITC Avant Garde" w:hAnsi="ITC Avant Garde"/>
          <w:color w:val="auto"/>
        </w:rPr>
        <w:t>AEP notificará</w:t>
      </w:r>
      <w:r w:rsidR="00CB6E6D" w:rsidRPr="00DC1034">
        <w:rPr>
          <w:rFonts w:ascii="ITC Avant Garde" w:hAnsi="ITC Avant Garde"/>
          <w:color w:val="auto"/>
        </w:rPr>
        <w:t xml:space="preserve"> al OMV a través del SEG las ventanas para la realización de mantenimientos, ampliaciones de capacidad, y </w:t>
      </w:r>
      <w:r w:rsidR="00BC558D" w:rsidRPr="00DC1034">
        <w:rPr>
          <w:rFonts w:ascii="ITC Avant Garde" w:hAnsi="ITC Avant Garde"/>
          <w:color w:val="auto"/>
        </w:rPr>
        <w:t xml:space="preserve">la incorporación de </w:t>
      </w:r>
      <w:r w:rsidR="00CB6E6D" w:rsidRPr="00DC1034">
        <w:rPr>
          <w:rFonts w:ascii="ITC Avant Garde" w:hAnsi="ITC Avant Garde"/>
          <w:color w:val="auto"/>
        </w:rPr>
        <w:t>nuevas funcionalidades por lo menos 48 horas previas a la ejecución de las mismas</w:t>
      </w:r>
      <w:r w:rsidR="00BC558D" w:rsidRPr="00DC1034">
        <w:rPr>
          <w:rFonts w:ascii="ITC Avant Garde" w:hAnsi="ITC Avant Garde"/>
          <w:color w:val="auto"/>
        </w:rPr>
        <w:t xml:space="preserve">, </w:t>
      </w:r>
      <w:r w:rsidR="00013489">
        <w:rPr>
          <w:rFonts w:ascii="ITC Avant Garde" w:hAnsi="ITC Avant Garde"/>
          <w:color w:val="auto"/>
        </w:rPr>
        <w:t>plazo que</w:t>
      </w:r>
      <w:r w:rsidR="00BC558D" w:rsidRPr="00DC1034">
        <w:rPr>
          <w:rFonts w:ascii="ITC Avant Garde" w:hAnsi="ITC Avant Garde"/>
          <w:color w:val="auto"/>
        </w:rPr>
        <w:t xml:space="preserve"> </w:t>
      </w:r>
      <w:r w:rsidR="00330D9C" w:rsidRPr="00DC1034">
        <w:rPr>
          <w:rFonts w:ascii="ITC Avant Garde" w:hAnsi="ITC Avant Garde"/>
          <w:color w:val="auto"/>
        </w:rPr>
        <w:t xml:space="preserve">permite </w:t>
      </w:r>
      <w:r w:rsidR="00013489">
        <w:rPr>
          <w:rFonts w:ascii="ITC Avant Garde" w:hAnsi="ITC Avant Garde"/>
          <w:color w:val="auto"/>
        </w:rPr>
        <w:t>la</w:t>
      </w:r>
      <w:r w:rsidR="00BC558D" w:rsidRPr="00DC1034">
        <w:rPr>
          <w:rFonts w:ascii="ITC Avant Garde" w:hAnsi="ITC Avant Garde"/>
          <w:color w:val="auto"/>
        </w:rPr>
        <w:t xml:space="preserve"> coordinación</w:t>
      </w:r>
      <w:r w:rsidR="00330D9C" w:rsidRPr="00DC1034">
        <w:rPr>
          <w:rFonts w:ascii="ITC Avant Garde" w:hAnsi="ITC Avant Garde"/>
          <w:color w:val="auto"/>
        </w:rPr>
        <w:t xml:space="preserve"> entre el OMV y </w:t>
      </w:r>
      <w:r w:rsidR="0010799C" w:rsidRPr="00DC1034">
        <w:rPr>
          <w:rFonts w:ascii="ITC Avant Garde" w:hAnsi="ITC Avant Garde"/>
          <w:color w:val="auto"/>
        </w:rPr>
        <w:t>AEP</w:t>
      </w:r>
      <w:r w:rsidR="00013489">
        <w:rPr>
          <w:rFonts w:ascii="ITC Avant Garde" w:hAnsi="ITC Avant Garde"/>
          <w:color w:val="auto"/>
        </w:rPr>
        <w:t xml:space="preserve"> antes de su realización</w:t>
      </w:r>
      <w:r w:rsidR="006E3DBF" w:rsidRPr="00DC1034">
        <w:rPr>
          <w:rFonts w:ascii="ITC Avant Garde" w:hAnsi="ITC Avant Garde"/>
          <w:color w:val="auto"/>
        </w:rPr>
        <w:t xml:space="preserve"> por lo que no se considera necesaria la modificación requerida</w:t>
      </w:r>
      <w:r w:rsidR="0010799C" w:rsidRPr="00DC1034">
        <w:rPr>
          <w:rFonts w:ascii="ITC Avant Garde" w:hAnsi="ITC Avant Garde"/>
          <w:color w:val="auto"/>
        </w:rPr>
        <w:t xml:space="preserve">.  </w:t>
      </w:r>
    </w:p>
    <w:p w14:paraId="450E8364" w14:textId="506943CD" w:rsidR="00A614A7" w:rsidRPr="00D874BB" w:rsidRDefault="00A614A7" w:rsidP="002A524D">
      <w:pPr>
        <w:spacing w:after="0" w:line="276" w:lineRule="auto"/>
        <w:ind w:left="-851" w:right="0" w:firstLine="0"/>
        <w:rPr>
          <w:rFonts w:ascii="ITC Avant Garde" w:hAnsi="ITC Avant Garde"/>
          <w:b/>
          <w:u w:val="single"/>
        </w:rPr>
      </w:pPr>
      <w:r w:rsidRPr="00D874BB">
        <w:rPr>
          <w:rFonts w:ascii="ITC Avant Garde" w:hAnsi="ITC Avant Garde"/>
          <w:b/>
          <w:u w:val="single"/>
        </w:rPr>
        <w:t>ANEXO X COMPROBACIÓN DE EQUIPOS TERMINALES</w:t>
      </w:r>
    </w:p>
    <w:p w14:paraId="04050132" w14:textId="77777777" w:rsidR="00A455F6" w:rsidRDefault="00A455F6" w:rsidP="002A524D">
      <w:pPr>
        <w:spacing w:after="0" w:line="276" w:lineRule="auto"/>
        <w:ind w:left="-851" w:right="0" w:firstLine="0"/>
        <w:rPr>
          <w:rFonts w:ascii="ITC Avant Garde" w:hAnsi="ITC Avant Garde"/>
          <w:b/>
          <w:color w:val="auto"/>
        </w:rPr>
      </w:pPr>
    </w:p>
    <w:p w14:paraId="3FCB366B" w14:textId="06FF1CEA" w:rsidR="00A614A7" w:rsidRPr="00DC1034" w:rsidRDefault="00A614A7"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lastRenderedPageBreak/>
        <w:t>Axtel:</w:t>
      </w:r>
    </w:p>
    <w:p w14:paraId="0B989A52" w14:textId="66156A7E" w:rsidR="00105622" w:rsidRPr="00DC1034" w:rsidRDefault="00330D9C" w:rsidP="009D01F6">
      <w:pPr>
        <w:spacing w:after="200" w:line="276" w:lineRule="auto"/>
        <w:ind w:left="-851" w:right="0" w:hanging="11"/>
        <w:rPr>
          <w:rFonts w:ascii="ITC Avant Garde" w:hAnsi="ITC Avant Garde"/>
          <w:color w:val="auto"/>
        </w:rPr>
      </w:pPr>
      <w:r w:rsidRPr="00DC1034">
        <w:rPr>
          <w:rFonts w:ascii="ITC Avant Garde" w:hAnsi="ITC Avant Garde"/>
          <w:color w:val="auto"/>
        </w:rPr>
        <w:t xml:space="preserve">Solicita </w:t>
      </w:r>
      <w:r w:rsidR="00EB2642" w:rsidRPr="00DC1034">
        <w:rPr>
          <w:rFonts w:ascii="ITC Avant Garde" w:hAnsi="ITC Avant Garde"/>
          <w:color w:val="auto"/>
        </w:rPr>
        <w:t>incluir</w:t>
      </w:r>
      <w:r w:rsidRPr="00DC1034">
        <w:rPr>
          <w:rFonts w:ascii="ITC Avant Garde" w:hAnsi="ITC Avant Garde"/>
          <w:color w:val="auto"/>
        </w:rPr>
        <w:t xml:space="preserve"> </w:t>
      </w:r>
      <w:r w:rsidR="00850487" w:rsidRPr="00DC1034">
        <w:rPr>
          <w:rFonts w:ascii="ITC Avant Garde" w:hAnsi="ITC Avant Garde"/>
          <w:color w:val="auto"/>
        </w:rPr>
        <w:t xml:space="preserve">los </w:t>
      </w:r>
      <w:r w:rsidRPr="00DC1034">
        <w:rPr>
          <w:rFonts w:ascii="ITC Avant Garde" w:hAnsi="ITC Avant Garde"/>
          <w:color w:val="auto"/>
        </w:rPr>
        <w:t>requerimientos, alcance y tipo de equipos que requieran correr el proceso de comprobación como parte del alcance de los servicios y funcionalidades de servicios Máquina a Máquina (M2M)</w:t>
      </w:r>
      <w:r w:rsidR="00850487" w:rsidRPr="00DC1034">
        <w:rPr>
          <w:rFonts w:ascii="ITC Avant Garde" w:hAnsi="ITC Avant Garde"/>
          <w:color w:val="auto"/>
        </w:rPr>
        <w:t xml:space="preserve"> e</w:t>
      </w:r>
      <w:r w:rsidRPr="00DC1034">
        <w:rPr>
          <w:rFonts w:ascii="ITC Avant Garde" w:hAnsi="ITC Avant Garde"/>
          <w:color w:val="auto"/>
        </w:rPr>
        <w:t xml:space="preserve"> Internet de las Cosas (IoT) </w:t>
      </w:r>
      <w:r w:rsidR="00850487" w:rsidRPr="00DC1034">
        <w:rPr>
          <w:rFonts w:ascii="ITC Avant Garde" w:hAnsi="ITC Avant Garde"/>
          <w:color w:val="auto"/>
        </w:rPr>
        <w:t>a efecto de g</w:t>
      </w:r>
      <w:r w:rsidRPr="00DC1034">
        <w:rPr>
          <w:rFonts w:ascii="ITC Avant Garde" w:hAnsi="ITC Avant Garde"/>
          <w:color w:val="auto"/>
        </w:rPr>
        <w:t>arantizar su correcta operación</w:t>
      </w:r>
      <w:r w:rsidR="00BD45A0" w:rsidRPr="00DC1034">
        <w:rPr>
          <w:rFonts w:ascii="ITC Avant Garde" w:hAnsi="ITC Avant Garde"/>
          <w:color w:val="auto"/>
        </w:rPr>
        <w:t>.</w:t>
      </w:r>
    </w:p>
    <w:p w14:paraId="40050DBA" w14:textId="77777777" w:rsidR="00105622" w:rsidRPr="00DC1034" w:rsidRDefault="00105622" w:rsidP="002A524D">
      <w:pPr>
        <w:spacing w:after="0" w:line="276" w:lineRule="auto"/>
        <w:ind w:left="-851"/>
        <w:rPr>
          <w:rFonts w:ascii="ITC Avant Garde" w:eastAsia="Calibri" w:hAnsi="ITC Avant Garde" w:cs="Arial"/>
        </w:rPr>
      </w:pPr>
      <w:r w:rsidRPr="00DC1034">
        <w:rPr>
          <w:rFonts w:ascii="ITC Avant Garde" w:hAnsi="ITC Avant Garde"/>
          <w:b/>
          <w:color w:val="auto"/>
        </w:rPr>
        <w:t>Consideraciones del Instituto</w:t>
      </w:r>
    </w:p>
    <w:p w14:paraId="0F8F58A9" w14:textId="3F3A9D46" w:rsidR="00685E57" w:rsidRPr="00DC1034" w:rsidRDefault="001610E5" w:rsidP="00685E57">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El establecimiento de </w:t>
      </w:r>
      <w:r w:rsidR="006E3DBF" w:rsidRPr="00DC1034">
        <w:rPr>
          <w:rFonts w:ascii="ITC Avant Garde" w:hAnsi="ITC Avant Garde"/>
          <w:color w:val="auto"/>
        </w:rPr>
        <w:t xml:space="preserve">los </w:t>
      </w:r>
      <w:r w:rsidRPr="00DC1034">
        <w:rPr>
          <w:rFonts w:ascii="ITC Avant Garde" w:hAnsi="ITC Avant Garde"/>
          <w:color w:val="auto"/>
        </w:rPr>
        <w:t xml:space="preserve">requerimientos, alcance y tipo de equipos </w:t>
      </w:r>
      <w:r w:rsidR="00685E57" w:rsidRPr="00DC1034">
        <w:rPr>
          <w:rFonts w:ascii="ITC Avant Garde" w:hAnsi="ITC Avant Garde"/>
          <w:color w:val="auto"/>
        </w:rPr>
        <w:t xml:space="preserve">IoT y M2M </w:t>
      </w:r>
      <w:r w:rsidR="006E3DBF" w:rsidRPr="00DC1034">
        <w:rPr>
          <w:rFonts w:ascii="ITC Avant Garde" w:hAnsi="ITC Avant Garde"/>
          <w:color w:val="auto"/>
        </w:rPr>
        <w:t>considerados como</w:t>
      </w:r>
      <w:r w:rsidR="00685E57" w:rsidRPr="00DC1034">
        <w:rPr>
          <w:rFonts w:ascii="ITC Avant Garde" w:hAnsi="ITC Avant Garde"/>
          <w:color w:val="auto"/>
        </w:rPr>
        <w:t xml:space="preserve"> parte del proceso de comprobación de equipos terminales, limitaría los distintos esquemas de prestación de tales servicios, por lo que se considera que las partes deben apegarse de manera no limitativa a los estándares y recomendaciones de la GSMA en términos del numeral 6 del Anexo II Acuerdos Técnicos señalado anteriormente.</w:t>
      </w:r>
    </w:p>
    <w:p w14:paraId="221074A0" w14:textId="77777777" w:rsidR="00D874BB" w:rsidRPr="00D874BB" w:rsidRDefault="004967DB" w:rsidP="00D874BB">
      <w:pPr>
        <w:spacing w:after="0" w:line="276" w:lineRule="auto"/>
        <w:ind w:left="-851" w:right="49"/>
        <w:rPr>
          <w:rFonts w:ascii="ITC Avant Garde" w:hAnsi="ITC Avant Garde"/>
          <w:b/>
          <w:color w:val="auto"/>
          <w:u w:val="single"/>
        </w:rPr>
      </w:pPr>
      <w:r w:rsidRPr="00D874BB">
        <w:rPr>
          <w:rFonts w:ascii="ITC Avant Garde" w:hAnsi="ITC Avant Garde"/>
          <w:b/>
          <w:color w:val="auto"/>
          <w:u w:val="single"/>
        </w:rPr>
        <w:t>ANEXO XIII PENAS CONVENCIONALES</w:t>
      </w:r>
    </w:p>
    <w:p w14:paraId="5912F871" w14:textId="13F11071" w:rsidR="003158DC" w:rsidRPr="00DC1034" w:rsidRDefault="003158DC" w:rsidP="00D874BB">
      <w:pPr>
        <w:spacing w:after="0" w:line="276" w:lineRule="auto"/>
        <w:ind w:left="-851" w:right="49"/>
        <w:rPr>
          <w:rFonts w:ascii="ITC Avant Garde" w:hAnsi="ITC Avant Garde"/>
          <w:b/>
          <w:color w:val="auto"/>
          <w:u w:val="single"/>
        </w:rPr>
      </w:pPr>
      <w:r w:rsidRPr="00DC1034">
        <w:rPr>
          <w:rFonts w:ascii="ITC Avant Garde" w:hAnsi="ITC Avant Garde"/>
          <w:b/>
          <w:color w:val="auto"/>
          <w:u w:val="single"/>
        </w:rPr>
        <w:t>1.1 Plataforma de Habilitación de los Servicios</w:t>
      </w:r>
    </w:p>
    <w:p w14:paraId="41340612" w14:textId="77777777" w:rsidR="00A455F6" w:rsidRDefault="00A455F6" w:rsidP="002A524D">
      <w:pPr>
        <w:spacing w:after="0" w:line="276" w:lineRule="auto"/>
        <w:ind w:left="-851" w:right="49"/>
        <w:rPr>
          <w:rFonts w:ascii="ITC Avant Garde" w:hAnsi="ITC Avant Garde"/>
          <w:b/>
          <w:color w:val="auto"/>
        </w:rPr>
      </w:pPr>
    </w:p>
    <w:p w14:paraId="2C2A0F31" w14:textId="44B725DA" w:rsidR="003158DC" w:rsidRPr="00DC1034" w:rsidRDefault="003158DC" w:rsidP="002A524D">
      <w:pPr>
        <w:spacing w:after="0" w:line="276" w:lineRule="auto"/>
        <w:ind w:left="-851" w:right="49"/>
        <w:rPr>
          <w:rFonts w:ascii="ITC Avant Garde" w:hAnsi="ITC Avant Garde"/>
          <w:b/>
          <w:color w:val="auto"/>
        </w:rPr>
      </w:pPr>
      <w:r w:rsidRPr="00DC1034">
        <w:rPr>
          <w:rFonts w:ascii="ITC Avant Garde" w:hAnsi="ITC Avant Garde"/>
          <w:b/>
          <w:color w:val="auto"/>
        </w:rPr>
        <w:t>Telecomunicaciones 360:</w:t>
      </w:r>
    </w:p>
    <w:p w14:paraId="712CB633" w14:textId="0AC02374" w:rsidR="00AF39B5" w:rsidRPr="00DC1034" w:rsidRDefault="00E44B4E" w:rsidP="009D01F6">
      <w:pPr>
        <w:spacing w:after="200" w:line="276" w:lineRule="auto"/>
        <w:ind w:left="-851" w:right="0" w:hanging="11"/>
        <w:rPr>
          <w:rFonts w:ascii="ITC Avant Garde" w:hAnsi="ITC Avant Garde"/>
        </w:rPr>
      </w:pPr>
      <w:r w:rsidRPr="00DC1034">
        <w:rPr>
          <w:rFonts w:ascii="ITC Avant Garde" w:hAnsi="ITC Avant Garde"/>
        </w:rPr>
        <w:t>Respecto a la disponibilidad del nivel del servicio, p</w:t>
      </w:r>
      <w:r w:rsidR="003158DC" w:rsidRPr="00DC1034">
        <w:rPr>
          <w:rFonts w:ascii="ITC Avant Garde" w:hAnsi="ITC Avant Garde"/>
        </w:rPr>
        <w:t xml:space="preserve">ropone conservar la compensación a favor del OMV en lo referente a multiplicar por tres las horas correspondientes a la falta de </w:t>
      </w:r>
      <w:r w:rsidR="00DD31E8" w:rsidRPr="00DC1034">
        <w:rPr>
          <w:rFonts w:ascii="ITC Avant Garde" w:hAnsi="ITC Avant Garde"/>
        </w:rPr>
        <w:t>disponibilidad del 99.5 mensual</w:t>
      </w:r>
      <w:r w:rsidR="00AF39B5" w:rsidRPr="00DC1034">
        <w:rPr>
          <w:rFonts w:ascii="ITC Avant Garde" w:hAnsi="ITC Avant Garde"/>
        </w:rPr>
        <w:t xml:space="preserve"> y mantener el texto conforme a la redacción de lo oferta vigente para el año 2020.</w:t>
      </w:r>
    </w:p>
    <w:p w14:paraId="0EB5CCDA" w14:textId="77777777" w:rsidR="009D64E3" w:rsidRPr="00DC1034" w:rsidRDefault="009D64E3" w:rsidP="002A524D">
      <w:pPr>
        <w:spacing w:after="0" w:line="276" w:lineRule="auto"/>
        <w:ind w:left="-851"/>
        <w:rPr>
          <w:rFonts w:ascii="ITC Avant Garde" w:eastAsia="Calibri" w:hAnsi="ITC Avant Garde" w:cs="Arial"/>
        </w:rPr>
      </w:pPr>
      <w:r w:rsidRPr="00DC1034">
        <w:rPr>
          <w:rFonts w:ascii="ITC Avant Garde" w:hAnsi="ITC Avant Garde"/>
          <w:b/>
          <w:color w:val="auto"/>
        </w:rPr>
        <w:t>Consideraciones del Instituto</w:t>
      </w:r>
    </w:p>
    <w:p w14:paraId="74DE6BD7" w14:textId="1B65302D" w:rsidR="009D64E3" w:rsidRPr="00DC1034" w:rsidRDefault="009D64E3" w:rsidP="009D01F6">
      <w:pPr>
        <w:spacing w:after="200" w:line="276" w:lineRule="auto"/>
        <w:ind w:left="-851" w:right="0" w:hanging="11"/>
        <w:rPr>
          <w:rFonts w:ascii="ITC Avant Garde" w:hAnsi="ITC Avant Garde"/>
          <w:color w:val="auto"/>
        </w:rPr>
      </w:pPr>
      <w:r w:rsidRPr="00DC1034">
        <w:rPr>
          <w:rFonts w:ascii="ITC Avant Garde" w:hAnsi="ITC Avant Garde"/>
          <w:color w:val="auto"/>
        </w:rPr>
        <w:t>Para asegurar condiciones equivalentes a la Oferta vigente de conformidad a la medida Décimo Sexta de las Medidas Móviles, en el numeral 1.1.1 y 1.2.2 del Anexo XI</w:t>
      </w:r>
      <w:r w:rsidR="002C2E1A" w:rsidRPr="00DC1034">
        <w:rPr>
          <w:rFonts w:ascii="ITC Avant Garde" w:hAnsi="ITC Avant Garde"/>
          <w:color w:val="auto"/>
        </w:rPr>
        <w:t>II se precisó</w:t>
      </w:r>
      <w:r w:rsidRPr="00DC1034">
        <w:rPr>
          <w:rFonts w:ascii="ITC Avant Garde" w:hAnsi="ITC Avant Garde"/>
          <w:color w:val="auto"/>
        </w:rPr>
        <w:t xml:space="preserve"> que las horas correspondientes a la falta de disponibilidad de la Plataforma de Habilitación de los Servicios se multiplicará por 3 veces para determinar la compensación a favor del OMV, en los siguientes términos:</w:t>
      </w:r>
    </w:p>
    <w:p w14:paraId="13DC1117" w14:textId="77777777" w:rsidR="009D64E3" w:rsidRPr="00DC1034" w:rsidRDefault="009D64E3" w:rsidP="00AD48B0">
      <w:pPr>
        <w:spacing w:after="0" w:line="276" w:lineRule="auto"/>
        <w:ind w:left="-295" w:right="612" w:firstLine="0"/>
        <w:rPr>
          <w:rFonts w:ascii="ITC Avant Garde" w:eastAsia="Calibri" w:hAnsi="ITC Avant Garde" w:cs="Arial"/>
          <w:i/>
          <w:sz w:val="18"/>
          <w:szCs w:val="18"/>
        </w:rPr>
      </w:pPr>
      <w:r w:rsidRPr="00DC1034">
        <w:rPr>
          <w:rFonts w:ascii="ITC Avant Garde" w:eastAsia="Calibri" w:hAnsi="ITC Avant Garde" w:cs="Arial"/>
          <w:i/>
          <w:sz w:val="18"/>
          <w:szCs w:val="18"/>
        </w:rPr>
        <w:t>“1.1.1</w:t>
      </w:r>
      <w:r w:rsidRPr="00DC1034">
        <w:rPr>
          <w:rFonts w:ascii="ITC Avant Garde" w:eastAsia="Calibri" w:hAnsi="ITC Avant Garde" w:cs="Arial"/>
          <w:i/>
          <w:sz w:val="18"/>
          <w:szCs w:val="18"/>
        </w:rPr>
        <w:tab/>
      </w:r>
      <w:r w:rsidRPr="00DC1034">
        <w:rPr>
          <w:rFonts w:ascii="ITC Avant Garde" w:eastAsia="Calibri" w:hAnsi="ITC Avant Garde" w:cs="Arial"/>
          <w:b/>
          <w:i/>
          <w:sz w:val="18"/>
          <w:szCs w:val="18"/>
        </w:rPr>
        <w:t>Disponibilidad del nivel de servicio</w:t>
      </w:r>
      <w:r w:rsidRPr="00DC1034">
        <w:rPr>
          <w:rFonts w:ascii="ITC Avant Garde" w:eastAsia="Calibri" w:hAnsi="ITC Avant Garde" w:cs="Arial"/>
          <w:i/>
          <w:sz w:val="18"/>
          <w:szCs w:val="18"/>
        </w:rPr>
        <w:t>: se refiere a la capacidad operativa de la plataforma de por lo menos el 99.5% (noventa y nueve punto cinco por ciento) durante el mes calendario.</w:t>
      </w:r>
    </w:p>
    <w:p w14:paraId="7C886E1A" w14:textId="77777777" w:rsidR="009D64E3" w:rsidRPr="00DC1034" w:rsidRDefault="009D64E3" w:rsidP="00AD48B0">
      <w:pPr>
        <w:spacing w:after="0" w:line="276" w:lineRule="auto"/>
        <w:ind w:left="-295" w:right="612" w:firstLine="0"/>
        <w:rPr>
          <w:rFonts w:ascii="ITC Avant Garde" w:eastAsia="Calibri" w:hAnsi="ITC Avant Garde" w:cs="Arial"/>
          <w:i/>
          <w:sz w:val="18"/>
          <w:szCs w:val="18"/>
        </w:rPr>
      </w:pPr>
      <w:r w:rsidRPr="00DC1034">
        <w:rPr>
          <w:rFonts w:ascii="ITC Avant Garde" w:eastAsia="Calibri" w:hAnsi="ITC Avant Garde" w:cs="Arial"/>
          <w:i/>
          <w:sz w:val="18"/>
          <w:szCs w:val="18"/>
        </w:rPr>
        <w:t xml:space="preserve">La disponibilidad del nivel de servicio de la plataforma se medirá con base a los servicios integrales proporcionados por la misma. Compensación a favor del OMV: será la diferencia del 99.5% (noventa y nueve punto cinco por ciento) frente al porcentaje total de funcionamiento durante el mes calendario. Esa diferencia se multiplicará por </w:t>
      </w:r>
      <w:r w:rsidRPr="00DC1034">
        <w:rPr>
          <w:rFonts w:ascii="ITC Avant Garde" w:eastAsia="Calibri" w:hAnsi="ITC Avant Garde" w:cs="Arial"/>
          <w:i/>
          <w:sz w:val="18"/>
          <w:szCs w:val="18"/>
          <w:u w:val="single"/>
        </w:rPr>
        <w:t>3 (tres) veces</w:t>
      </w:r>
      <w:r w:rsidRPr="00DC1034">
        <w:rPr>
          <w:rFonts w:ascii="ITC Avant Garde" w:eastAsia="Calibri" w:hAnsi="ITC Avant Garde" w:cs="Arial"/>
          <w:i/>
          <w:sz w:val="18"/>
          <w:szCs w:val="18"/>
        </w:rPr>
        <w:t xml:space="preserve"> las horas correspondientes a la falta de disponibilidad respecto al 99.5% (noventa y nueve punto cinco por ciento) y se aplicará la reducción proporcional del cobro dentro del periodo de facturación posterior a aquél en que la misma sea exigible.”</w:t>
      </w:r>
    </w:p>
    <w:p w14:paraId="69F74DC4" w14:textId="0C361BC8" w:rsidR="00AF39B5" w:rsidRPr="00DC1034" w:rsidRDefault="009D64E3" w:rsidP="009D01F6">
      <w:pPr>
        <w:spacing w:after="200" w:line="276" w:lineRule="auto"/>
        <w:ind w:left="-284" w:right="612" w:hanging="11"/>
        <w:jc w:val="right"/>
        <w:rPr>
          <w:rFonts w:ascii="ITC Avant Garde" w:eastAsia="Calibri" w:hAnsi="ITC Avant Garde" w:cs="Arial"/>
          <w:sz w:val="18"/>
          <w:szCs w:val="18"/>
        </w:rPr>
      </w:pPr>
      <w:r w:rsidRPr="00DC1034">
        <w:rPr>
          <w:rFonts w:ascii="ITC Avant Garde" w:eastAsia="Calibri" w:hAnsi="ITC Avant Garde" w:cs="Arial"/>
          <w:sz w:val="18"/>
          <w:szCs w:val="18"/>
        </w:rPr>
        <w:t>Énfasis añadido</w:t>
      </w:r>
    </w:p>
    <w:p w14:paraId="1EBFDB5B" w14:textId="1363A31D" w:rsidR="00827D07" w:rsidRPr="00D874BB" w:rsidRDefault="00CA12A9" w:rsidP="002A524D">
      <w:pPr>
        <w:spacing w:after="0" w:line="276" w:lineRule="auto"/>
        <w:ind w:left="-851" w:right="49"/>
        <w:rPr>
          <w:rFonts w:ascii="ITC Avant Garde" w:hAnsi="ITC Avant Garde"/>
          <w:b/>
          <w:color w:val="auto"/>
          <w:u w:val="single"/>
        </w:rPr>
      </w:pPr>
      <w:r w:rsidRPr="00D874BB">
        <w:rPr>
          <w:rFonts w:ascii="ITC Avant Garde" w:hAnsi="ITC Avant Garde"/>
          <w:b/>
          <w:color w:val="auto"/>
          <w:u w:val="single"/>
        </w:rPr>
        <w:t>ANEXO XIV</w:t>
      </w:r>
      <w:r w:rsidR="00827D07" w:rsidRPr="00D874BB">
        <w:rPr>
          <w:rFonts w:ascii="ITC Avant Garde" w:hAnsi="ITC Avant Garde"/>
          <w:b/>
          <w:color w:val="auto"/>
          <w:u w:val="single"/>
        </w:rPr>
        <w:t xml:space="preserve"> </w:t>
      </w:r>
      <w:r w:rsidR="004967DB" w:rsidRPr="00D874BB">
        <w:rPr>
          <w:rFonts w:ascii="ITC Avant Garde" w:hAnsi="ITC Avant Garde"/>
          <w:b/>
          <w:color w:val="auto"/>
          <w:u w:val="single"/>
        </w:rPr>
        <w:t>CONVENIO MARCO</w:t>
      </w:r>
    </w:p>
    <w:p w14:paraId="79BE496E" w14:textId="77777777" w:rsidR="00A455F6" w:rsidRDefault="00A455F6" w:rsidP="002A524D">
      <w:pPr>
        <w:spacing w:after="0" w:line="276" w:lineRule="auto"/>
        <w:ind w:left="-851" w:right="49"/>
        <w:rPr>
          <w:rFonts w:ascii="ITC Avant Garde" w:hAnsi="ITC Avant Garde"/>
          <w:b/>
          <w:color w:val="auto"/>
          <w:u w:val="single"/>
        </w:rPr>
      </w:pPr>
    </w:p>
    <w:p w14:paraId="730772FE" w14:textId="56D9B9EB" w:rsidR="00AF39B5" w:rsidRPr="00DC1034" w:rsidRDefault="00AF39B5" w:rsidP="002A524D">
      <w:pPr>
        <w:spacing w:after="0" w:line="276" w:lineRule="auto"/>
        <w:ind w:left="-851" w:right="49"/>
        <w:rPr>
          <w:rFonts w:ascii="ITC Avant Garde" w:hAnsi="ITC Avant Garde"/>
          <w:b/>
          <w:color w:val="auto"/>
          <w:u w:val="single"/>
        </w:rPr>
      </w:pPr>
      <w:r w:rsidRPr="00DC1034">
        <w:rPr>
          <w:rFonts w:ascii="ITC Avant Garde" w:hAnsi="ITC Avant Garde"/>
          <w:b/>
          <w:color w:val="auto"/>
          <w:u w:val="single"/>
        </w:rPr>
        <w:t>CLÁUSULA CUARTA. Contraprestaciones.</w:t>
      </w:r>
    </w:p>
    <w:p w14:paraId="60488792" w14:textId="01E743E6" w:rsidR="00013C76" w:rsidRPr="00DC1034" w:rsidRDefault="00013C76" w:rsidP="002A524D">
      <w:pPr>
        <w:spacing w:after="0" w:line="276" w:lineRule="auto"/>
        <w:ind w:left="-851" w:right="0" w:firstLine="0"/>
        <w:rPr>
          <w:rFonts w:ascii="ITC Avant Garde" w:hAnsi="ITC Avant Garde"/>
          <w:b/>
          <w:color w:val="auto"/>
          <w:u w:val="single"/>
        </w:rPr>
      </w:pPr>
      <w:r w:rsidRPr="00DC1034">
        <w:rPr>
          <w:rFonts w:ascii="ITC Avant Garde" w:hAnsi="ITC Avant Garde"/>
          <w:b/>
          <w:color w:val="auto"/>
          <w:u w:val="single"/>
        </w:rPr>
        <w:lastRenderedPageBreak/>
        <w:t>4.</w:t>
      </w:r>
      <w:r w:rsidR="00AF39B5" w:rsidRPr="00DC1034">
        <w:rPr>
          <w:rFonts w:ascii="ITC Avant Garde" w:hAnsi="ITC Avant Garde"/>
          <w:b/>
          <w:color w:val="auto"/>
          <w:u w:val="single"/>
        </w:rPr>
        <w:t>3.1.1 Garantías Aplicables al Esquema de Pospago</w:t>
      </w:r>
    </w:p>
    <w:p w14:paraId="5985C727" w14:textId="455B5CBA" w:rsidR="00013C76" w:rsidRPr="00DC1034" w:rsidRDefault="00AF39B5"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Televisa</w:t>
      </w:r>
      <w:r w:rsidR="00013C76" w:rsidRPr="00DC1034">
        <w:rPr>
          <w:rFonts w:ascii="ITC Avant Garde" w:hAnsi="ITC Avant Garde"/>
          <w:b/>
          <w:color w:val="auto"/>
        </w:rPr>
        <w:t>:</w:t>
      </w:r>
    </w:p>
    <w:p w14:paraId="0AD0264F" w14:textId="77777777" w:rsidR="00A67E5C" w:rsidRPr="00DC1034" w:rsidRDefault="00A67E5C" w:rsidP="00A67E5C">
      <w:pPr>
        <w:spacing w:after="0" w:line="276" w:lineRule="auto"/>
        <w:ind w:left="-851" w:right="0"/>
        <w:rPr>
          <w:rFonts w:ascii="ITC Avant Garde" w:hAnsi="ITC Avant Garde"/>
          <w:color w:val="auto"/>
        </w:rPr>
      </w:pPr>
      <w:r w:rsidRPr="00DC1034">
        <w:rPr>
          <w:rFonts w:ascii="ITC Avant Garde" w:hAnsi="ITC Avant Garde"/>
          <w:color w:val="auto"/>
        </w:rPr>
        <w:t>Solicitan que sean modificadas las siguientes condiciones para alinear el proceso con las mejores prácticas internacionales:</w:t>
      </w:r>
    </w:p>
    <w:p w14:paraId="6E5A662F" w14:textId="77777777" w:rsidR="00A67E5C" w:rsidRPr="00DC1034" w:rsidRDefault="00A67E5C" w:rsidP="00A67E5C">
      <w:pPr>
        <w:spacing w:after="0" w:line="276" w:lineRule="auto"/>
        <w:ind w:left="0" w:right="0" w:firstLine="0"/>
        <w:rPr>
          <w:rFonts w:ascii="ITC Avant Garde" w:hAnsi="ITC Avant Garde"/>
          <w:color w:val="auto"/>
        </w:rPr>
      </w:pPr>
    </w:p>
    <w:p w14:paraId="1D0F1B57" w14:textId="77777777" w:rsidR="00A67E5C" w:rsidRPr="00DC1034" w:rsidRDefault="00A67E5C" w:rsidP="00A67E5C">
      <w:pPr>
        <w:pStyle w:val="Prrafodelista"/>
        <w:numPr>
          <w:ilvl w:val="0"/>
          <w:numId w:val="4"/>
        </w:numPr>
        <w:spacing w:after="0" w:line="276" w:lineRule="auto"/>
        <w:ind w:left="0" w:right="0"/>
        <w:rPr>
          <w:rFonts w:ascii="ITC Avant Garde" w:hAnsi="ITC Avant Garde"/>
          <w:color w:val="auto"/>
        </w:rPr>
      </w:pPr>
      <w:r w:rsidRPr="00DC1034">
        <w:rPr>
          <w:rFonts w:ascii="ITC Avant Garde" w:hAnsi="ITC Avant Garde"/>
          <w:color w:val="auto"/>
        </w:rPr>
        <w:t>Ligar la revisión del monto de la garantía a la facturación generada por el OMV y no a su consumo. Además, recomienda realizar dichas actualizaciones de forma anual para evitar que el OMV tenga que incurrir en gastos innecesarios y gastar demasiado tiempo en gestionar la renovación de las condiciones de la garantía.</w:t>
      </w:r>
    </w:p>
    <w:p w14:paraId="67989705" w14:textId="1DE43C5D" w:rsidR="00A67E5C" w:rsidRPr="00DC1034" w:rsidRDefault="00A67E5C" w:rsidP="00A67E5C">
      <w:pPr>
        <w:pStyle w:val="Prrafodelista"/>
        <w:numPr>
          <w:ilvl w:val="0"/>
          <w:numId w:val="4"/>
        </w:numPr>
        <w:spacing w:after="0" w:line="276" w:lineRule="auto"/>
        <w:ind w:left="0" w:right="0"/>
        <w:rPr>
          <w:rFonts w:ascii="ITC Avant Garde" w:hAnsi="ITC Avant Garde"/>
          <w:color w:val="auto"/>
        </w:rPr>
      </w:pPr>
      <w:r w:rsidRPr="00DC1034">
        <w:rPr>
          <w:rFonts w:ascii="ITC Avant Garde" w:hAnsi="ITC Avant Garde"/>
          <w:color w:val="auto"/>
        </w:rPr>
        <w:t xml:space="preserve">Solicita ampliar el plazo para aumentar o añadir fondos a la garantía a un mínimo de 30 días.  </w:t>
      </w:r>
    </w:p>
    <w:p w14:paraId="57EC7AB9" w14:textId="77777777" w:rsidR="00A67E5C" w:rsidRPr="00DC1034" w:rsidRDefault="00A67E5C" w:rsidP="008A29D3">
      <w:pPr>
        <w:pStyle w:val="Prrafodelista"/>
        <w:spacing w:after="0" w:line="276" w:lineRule="auto"/>
        <w:ind w:left="0" w:right="0" w:firstLine="0"/>
        <w:rPr>
          <w:rFonts w:ascii="ITC Avant Garde" w:hAnsi="ITC Avant Garde"/>
          <w:color w:val="auto"/>
        </w:rPr>
      </w:pPr>
    </w:p>
    <w:p w14:paraId="642245D0" w14:textId="77777777" w:rsidR="00FB3352" w:rsidRPr="00DC1034" w:rsidRDefault="00FB3352" w:rsidP="002A524D">
      <w:pPr>
        <w:spacing w:after="0" w:line="276" w:lineRule="auto"/>
        <w:ind w:left="-851"/>
        <w:rPr>
          <w:rFonts w:ascii="ITC Avant Garde" w:eastAsia="Calibri" w:hAnsi="ITC Avant Garde" w:cs="Arial"/>
        </w:rPr>
      </w:pPr>
      <w:r w:rsidRPr="00DC1034">
        <w:rPr>
          <w:rFonts w:ascii="ITC Avant Garde" w:hAnsi="ITC Avant Garde"/>
          <w:b/>
          <w:color w:val="auto"/>
        </w:rPr>
        <w:t>Consideraciones del Instituto</w:t>
      </w:r>
    </w:p>
    <w:p w14:paraId="3F84E0BC" w14:textId="65C6F812" w:rsidR="009D01F6" w:rsidRPr="00DC1034" w:rsidRDefault="009D01F6" w:rsidP="00D819C3">
      <w:pPr>
        <w:spacing w:after="200" w:line="276" w:lineRule="auto"/>
        <w:ind w:left="-851" w:right="0" w:hanging="11"/>
        <w:rPr>
          <w:rFonts w:ascii="ITC Avant Garde" w:hAnsi="ITC Avant Garde"/>
          <w:color w:val="auto"/>
        </w:rPr>
      </w:pPr>
      <w:r w:rsidRPr="00DC1034">
        <w:rPr>
          <w:rFonts w:ascii="ITC Avant Garde" w:hAnsi="ITC Avant Garde"/>
          <w:color w:val="auto"/>
        </w:rPr>
        <w:t>Se señala que el numeral en cuestión establece que Telcel notificará al OMV la necesidad de ajustar la garantía, la cual se realizará en observanc</w:t>
      </w:r>
      <w:r w:rsidR="00D819C3">
        <w:rPr>
          <w:rFonts w:ascii="ITC Avant Garde" w:hAnsi="ITC Avant Garde"/>
          <w:color w:val="auto"/>
        </w:rPr>
        <w:t>ia al consumo de los servicios, e</w:t>
      </w:r>
      <w:r w:rsidRPr="00DC1034">
        <w:rPr>
          <w:rFonts w:ascii="ITC Avant Garde" w:hAnsi="ITC Avant Garde"/>
          <w:color w:val="auto"/>
        </w:rPr>
        <w:t>s importante precisar que la facturación está relacionada directamente con el consumo efectivo de los servicios.</w:t>
      </w:r>
    </w:p>
    <w:p w14:paraId="276BEB94" w14:textId="5F0EE4B5" w:rsidR="009D01F6" w:rsidRPr="00DC1034" w:rsidRDefault="009D01F6" w:rsidP="009D01F6">
      <w:pPr>
        <w:spacing w:after="200" w:line="276" w:lineRule="auto"/>
        <w:ind w:left="-851" w:right="0" w:hanging="11"/>
        <w:rPr>
          <w:rFonts w:ascii="ITC Avant Garde" w:hAnsi="ITC Avant Garde"/>
          <w:color w:val="auto"/>
        </w:rPr>
      </w:pPr>
      <w:r w:rsidRPr="00DC1034">
        <w:rPr>
          <w:rFonts w:ascii="ITC Avant Garde" w:hAnsi="ITC Avant Garde"/>
          <w:color w:val="auto"/>
        </w:rPr>
        <w:t>Asimismo, el numeral también establece que la Garantía será calculada con base en la facturación de los últimos tres meses, tal como se muestra a continuación:</w:t>
      </w:r>
    </w:p>
    <w:p w14:paraId="38D0B780" w14:textId="77777777" w:rsidR="00D819C3" w:rsidRDefault="009D01F6" w:rsidP="00D819C3">
      <w:pPr>
        <w:spacing w:after="200" w:line="276" w:lineRule="auto"/>
        <w:ind w:left="-851" w:right="0" w:hanging="11"/>
        <w:rPr>
          <w:rFonts w:ascii="ITC Avant Garde" w:hAnsi="ITC Avant Garde"/>
          <w:color w:val="auto"/>
        </w:rPr>
      </w:pPr>
      <w:r w:rsidRPr="00D819C3">
        <w:rPr>
          <w:rFonts w:ascii="ITC Avant Garde" w:hAnsi="ITC Avant Garde"/>
          <w:color w:val="auto"/>
        </w:rPr>
        <w:t>Es así que la garantía no se actualizará hasta que el consumo real lo requiera, así mismo la garantía tiene por objeto cubrir algún evento de incumplimiento de pago por el servicio prestado por lo que de actualizarse anualmente dicha garantía el objetivo de la misma no se cumpliría</w:t>
      </w:r>
      <w:r w:rsidR="00AF39B5" w:rsidRPr="00D819C3">
        <w:rPr>
          <w:rFonts w:ascii="ITC Avant Garde" w:hAnsi="ITC Avant Garde"/>
          <w:color w:val="auto"/>
        </w:rPr>
        <w:t>.</w:t>
      </w:r>
    </w:p>
    <w:p w14:paraId="738E507F" w14:textId="29D3AE41" w:rsidR="00AF39B5" w:rsidRPr="00D819C3" w:rsidRDefault="00AF39B5" w:rsidP="00D819C3">
      <w:pPr>
        <w:spacing w:after="200" w:line="276" w:lineRule="auto"/>
        <w:ind w:left="-851" w:right="0" w:hanging="11"/>
        <w:rPr>
          <w:rFonts w:ascii="ITC Avant Garde" w:hAnsi="ITC Avant Garde"/>
          <w:color w:val="auto"/>
        </w:rPr>
      </w:pPr>
      <w:r w:rsidRPr="00DC1034">
        <w:rPr>
          <w:rFonts w:ascii="ITC Avant Garde" w:hAnsi="ITC Avant Garde"/>
          <w:b/>
          <w:color w:val="auto"/>
          <w:u w:val="single"/>
        </w:rPr>
        <w:t xml:space="preserve">CLÁUSULA QUINTA. Diversas Obligaciones a Cargo de las Partes </w:t>
      </w:r>
    </w:p>
    <w:p w14:paraId="22085A0F" w14:textId="4B7ED3E6" w:rsidR="003F3A52" w:rsidRPr="00DC1034" w:rsidRDefault="00AF39B5" w:rsidP="00AF39B5">
      <w:pPr>
        <w:spacing w:after="0" w:line="276" w:lineRule="auto"/>
        <w:ind w:left="-851" w:right="0" w:firstLine="0"/>
        <w:rPr>
          <w:rFonts w:ascii="ITC Avant Garde" w:hAnsi="ITC Avant Garde"/>
          <w:b/>
        </w:rPr>
      </w:pPr>
      <w:r w:rsidRPr="00DC1034">
        <w:rPr>
          <w:rFonts w:ascii="ITC Avant Garde" w:hAnsi="ITC Avant Garde"/>
          <w:b/>
          <w:color w:val="auto"/>
          <w:u w:val="single"/>
        </w:rPr>
        <w:t>5.2.1 Responsabilidades del OMV</w:t>
      </w:r>
    </w:p>
    <w:p w14:paraId="3573B137" w14:textId="7DFD14E0" w:rsidR="003F3A52" w:rsidRPr="00DC1034" w:rsidRDefault="00FB6540"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Televisa</w:t>
      </w:r>
      <w:r w:rsidR="003F3A52" w:rsidRPr="00DC1034">
        <w:rPr>
          <w:rFonts w:ascii="ITC Avant Garde" w:hAnsi="ITC Avant Garde"/>
          <w:b/>
          <w:color w:val="auto"/>
        </w:rPr>
        <w:t>:</w:t>
      </w:r>
    </w:p>
    <w:p w14:paraId="422C280F" w14:textId="24CE8B93" w:rsidR="00A67E5C" w:rsidRPr="00DC1034" w:rsidRDefault="00A67E5C" w:rsidP="008A29D3">
      <w:pPr>
        <w:spacing w:after="200" w:line="276" w:lineRule="auto"/>
        <w:ind w:left="-851" w:right="0" w:firstLine="0"/>
        <w:rPr>
          <w:rFonts w:ascii="ITC Avant Garde" w:hAnsi="ITC Avant Garde"/>
          <w:color w:val="auto"/>
        </w:rPr>
      </w:pPr>
      <w:r w:rsidRPr="00DC1034">
        <w:rPr>
          <w:rFonts w:ascii="ITC Avant Garde" w:hAnsi="ITC Avant Garde"/>
          <w:color w:val="auto"/>
        </w:rPr>
        <w:t xml:space="preserve">Solicita que la Oferta señale que el OMV se hará responsable de su parte de los gastos causados en la comercialización del servicio, el cual será proporcional al uso que hará de los elementos nuevos instalados para ello. </w:t>
      </w:r>
    </w:p>
    <w:p w14:paraId="1443BCA2" w14:textId="70B60E10" w:rsidR="00A67E5C" w:rsidRPr="00DC1034" w:rsidRDefault="004B0283" w:rsidP="008A29D3">
      <w:pPr>
        <w:spacing w:after="200" w:line="276" w:lineRule="auto"/>
        <w:ind w:left="-851" w:right="0" w:firstLine="0"/>
        <w:rPr>
          <w:rFonts w:ascii="ITC Avant Garde" w:hAnsi="ITC Avant Garde"/>
          <w:color w:val="auto"/>
        </w:rPr>
      </w:pPr>
      <w:r w:rsidRPr="00DC1034">
        <w:rPr>
          <w:rFonts w:ascii="ITC Avant Garde" w:hAnsi="ITC Avant Garde"/>
          <w:color w:val="auto"/>
        </w:rPr>
        <w:t>Indica</w:t>
      </w:r>
      <w:r w:rsidR="00A67E5C" w:rsidRPr="00DC1034">
        <w:rPr>
          <w:rFonts w:ascii="ITC Avant Garde" w:hAnsi="ITC Avant Garde"/>
          <w:color w:val="auto"/>
        </w:rPr>
        <w:t xml:space="preserve"> que los gastos por la conexión de los elementos necesarios para la comercialización o reventa de los servicios ofrecidos por el AEP a cargo del OMV deben ser calculados con adherencia a los principios de causalidad y proporcionalidad. </w:t>
      </w:r>
    </w:p>
    <w:p w14:paraId="759A8BBA" w14:textId="3708E87C" w:rsidR="00A67E5C" w:rsidRPr="00DC1034" w:rsidRDefault="006D3E97" w:rsidP="008A29D3">
      <w:pPr>
        <w:spacing w:after="200" w:line="276" w:lineRule="auto"/>
        <w:ind w:left="-851" w:right="0" w:firstLine="0"/>
        <w:rPr>
          <w:rFonts w:ascii="ITC Avant Garde" w:hAnsi="ITC Avant Garde"/>
          <w:color w:val="auto"/>
        </w:rPr>
      </w:pPr>
      <w:r w:rsidRPr="00DC1034">
        <w:rPr>
          <w:rFonts w:ascii="ITC Avant Garde" w:hAnsi="ITC Avant Garde"/>
          <w:color w:val="auto"/>
        </w:rPr>
        <w:t>Asimismo,</w:t>
      </w:r>
      <w:r w:rsidR="00A67E5C" w:rsidRPr="00DC1034">
        <w:rPr>
          <w:rFonts w:ascii="ITC Avant Garde" w:hAnsi="ITC Avant Garde"/>
          <w:color w:val="auto"/>
        </w:rPr>
        <w:t xml:space="preserve"> solicita que se defina un costo total de implementación para evitar que el AEP imponga barreras de entrada e incurra en prácticas abusivas.</w:t>
      </w:r>
    </w:p>
    <w:p w14:paraId="6D45C42F" w14:textId="77777777" w:rsidR="00592906" w:rsidRPr="00DC1034" w:rsidRDefault="00592906"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486C4389" w14:textId="26B9E98D" w:rsidR="00FB6540" w:rsidRPr="00DC1034" w:rsidRDefault="00FB6540" w:rsidP="00DF3DD9">
      <w:pPr>
        <w:spacing w:after="200" w:line="276" w:lineRule="auto"/>
        <w:ind w:left="-851" w:right="0" w:hanging="11"/>
        <w:rPr>
          <w:rFonts w:ascii="ITC Avant Garde" w:hAnsi="ITC Avant Garde"/>
          <w:color w:val="auto"/>
          <w:lang w:val="es-ES_tradnl"/>
        </w:rPr>
      </w:pPr>
      <w:r w:rsidRPr="00DC1034">
        <w:rPr>
          <w:rFonts w:ascii="ITC Avant Garde" w:hAnsi="ITC Avant Garde"/>
          <w:color w:val="auto"/>
        </w:rPr>
        <w:lastRenderedPageBreak/>
        <w:t>El modelo de negocios y la operación de cada OMV tiene características particulares que no siempre coinciden con las de otros OMV, ya que esto depende tanto del tipo de OMV como de la infraestructura con la que cuenta, por lo que el OMV debe pagar al AEP los costos que se generen para la conexión de los elementos necesarios para la prestación del servicio</w:t>
      </w:r>
      <w:r w:rsidR="002C2E1A" w:rsidRPr="00DC1034">
        <w:rPr>
          <w:rFonts w:ascii="ITC Avant Garde" w:hAnsi="ITC Avant Garde"/>
          <w:color w:val="auto"/>
          <w:lang w:val="es-ES_tradnl"/>
        </w:rPr>
        <w:t>.</w:t>
      </w:r>
    </w:p>
    <w:p w14:paraId="4A0E04B8" w14:textId="77777777" w:rsidR="006B0B8F" w:rsidRDefault="006B0B8F" w:rsidP="002A524D">
      <w:pPr>
        <w:spacing w:after="0" w:line="276" w:lineRule="auto"/>
        <w:ind w:left="-851" w:right="0" w:firstLine="0"/>
        <w:rPr>
          <w:rFonts w:ascii="ITC Avant Garde" w:hAnsi="ITC Avant Garde"/>
          <w:b/>
          <w:color w:val="auto"/>
          <w:u w:val="single"/>
        </w:rPr>
      </w:pPr>
    </w:p>
    <w:p w14:paraId="6EC92816" w14:textId="4F42A057" w:rsidR="00B2609D" w:rsidRPr="00DC1034" w:rsidRDefault="00B2609D" w:rsidP="002A524D">
      <w:pPr>
        <w:spacing w:after="0" w:line="276" w:lineRule="auto"/>
        <w:ind w:left="-851" w:right="0" w:firstLine="0"/>
        <w:rPr>
          <w:rFonts w:ascii="ITC Avant Garde" w:hAnsi="ITC Avant Garde"/>
          <w:b/>
          <w:color w:val="auto"/>
          <w:u w:val="single"/>
        </w:rPr>
      </w:pPr>
      <w:r w:rsidRPr="00DC1034">
        <w:rPr>
          <w:rFonts w:ascii="ITC Avant Garde" w:hAnsi="ITC Avant Garde"/>
          <w:b/>
          <w:color w:val="auto"/>
          <w:u w:val="single"/>
        </w:rPr>
        <w:t xml:space="preserve">CLÁUSULA </w:t>
      </w:r>
      <w:r w:rsidR="00FB6540" w:rsidRPr="00DC1034">
        <w:rPr>
          <w:rFonts w:ascii="ITC Avant Garde" w:hAnsi="ITC Avant Garde"/>
          <w:b/>
          <w:color w:val="auto"/>
          <w:u w:val="single"/>
        </w:rPr>
        <w:t>VIGÉSIMA SEGUNDA. DIVERSOS</w:t>
      </w:r>
    </w:p>
    <w:p w14:paraId="5261DAF4" w14:textId="37023501" w:rsidR="00FB6540" w:rsidRPr="00DC1034" w:rsidRDefault="00FB6540" w:rsidP="002A524D">
      <w:pPr>
        <w:spacing w:after="0" w:line="276" w:lineRule="auto"/>
        <w:ind w:left="-851" w:right="0" w:firstLine="0"/>
        <w:rPr>
          <w:rFonts w:ascii="ITC Avant Garde" w:hAnsi="ITC Avant Garde"/>
          <w:b/>
          <w:color w:val="auto"/>
          <w:u w:val="single"/>
        </w:rPr>
      </w:pPr>
      <w:r w:rsidRPr="00DC1034">
        <w:rPr>
          <w:rFonts w:ascii="ITC Avant Garde" w:hAnsi="ITC Avant Garde"/>
          <w:b/>
          <w:color w:val="auto"/>
          <w:u w:val="single"/>
        </w:rPr>
        <w:t>22.12 Datos Personales</w:t>
      </w:r>
    </w:p>
    <w:p w14:paraId="45FF141D" w14:textId="0225730E" w:rsidR="00B2609D" w:rsidRPr="00DC1034" w:rsidRDefault="00FB6540"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Televisa</w:t>
      </w:r>
      <w:r w:rsidR="00B2609D" w:rsidRPr="00DC1034">
        <w:rPr>
          <w:rFonts w:ascii="ITC Avant Garde" w:hAnsi="ITC Avant Garde"/>
          <w:b/>
          <w:color w:val="auto"/>
        </w:rPr>
        <w:t>:</w:t>
      </w:r>
    </w:p>
    <w:p w14:paraId="41CE12E2" w14:textId="6BCE76C5" w:rsidR="00591DAC" w:rsidRPr="00DC1034" w:rsidRDefault="00B4062D" w:rsidP="00DF3DD9">
      <w:pPr>
        <w:spacing w:after="200" w:line="276" w:lineRule="auto"/>
        <w:ind w:left="-851" w:right="0" w:firstLine="0"/>
        <w:rPr>
          <w:rFonts w:ascii="ITC Avant Garde" w:hAnsi="ITC Avant Garde"/>
          <w:color w:val="auto"/>
        </w:rPr>
      </w:pPr>
      <w:r w:rsidRPr="00DC1034">
        <w:rPr>
          <w:rFonts w:ascii="ITC Avant Garde" w:hAnsi="ITC Avant Garde"/>
          <w:color w:val="auto"/>
        </w:rPr>
        <w:t>Señala</w:t>
      </w:r>
      <w:r w:rsidR="00FB6540" w:rsidRPr="00DC1034">
        <w:rPr>
          <w:rFonts w:ascii="ITC Avant Garde" w:hAnsi="ITC Avant Garde"/>
          <w:color w:val="auto"/>
        </w:rPr>
        <w:t xml:space="preserve"> que resulta necesario para los OMV que son encargados del manejo y tratamiento de datos personales, la inclusión de una cláusula dentro del Convenio Marco que cumpla con lo establecido en el penúltimo párrafo del artículo 52 del Reglamento de la </w:t>
      </w:r>
      <w:r w:rsidR="00404D37" w:rsidRPr="00DC1034">
        <w:rPr>
          <w:rFonts w:ascii="ITC Avant Garde" w:hAnsi="ITC Avant Garde"/>
          <w:color w:val="auto"/>
        </w:rPr>
        <w:t xml:space="preserve">Ley Federal de Protección de Datos Personales en Posesión de los Particulares (en lo sucesivo, la LFPDPPP) y su Reglamento, </w:t>
      </w:r>
      <w:r w:rsidR="00FB6540" w:rsidRPr="00DC1034">
        <w:rPr>
          <w:rFonts w:ascii="ITC Avant Garde" w:hAnsi="ITC Avant Garde"/>
          <w:color w:val="auto"/>
        </w:rPr>
        <w:t xml:space="preserve">al considerar el servicio objeto de la </w:t>
      </w:r>
      <w:r w:rsidR="00404D37" w:rsidRPr="00DC1034">
        <w:rPr>
          <w:rFonts w:ascii="ITC Avant Garde" w:hAnsi="ITC Avant Garde"/>
          <w:color w:val="auto"/>
        </w:rPr>
        <w:t>O</w:t>
      </w:r>
      <w:r w:rsidR="00FB6540" w:rsidRPr="00DC1034">
        <w:rPr>
          <w:rFonts w:ascii="ITC Avant Garde" w:hAnsi="ITC Avant Garde"/>
          <w:color w:val="auto"/>
        </w:rPr>
        <w:t xml:space="preserve">ferta </w:t>
      </w:r>
      <w:r w:rsidR="00404D37" w:rsidRPr="00DC1034">
        <w:rPr>
          <w:rFonts w:ascii="ITC Avant Garde" w:hAnsi="ITC Avant Garde"/>
          <w:color w:val="auto"/>
        </w:rPr>
        <w:t xml:space="preserve">de Referencia </w:t>
      </w:r>
      <w:r w:rsidR="00FB6540" w:rsidRPr="00DC1034">
        <w:rPr>
          <w:rFonts w:ascii="ITC Avant Garde" w:hAnsi="ITC Avant Garde"/>
          <w:color w:val="auto"/>
        </w:rPr>
        <w:t>c</w:t>
      </w:r>
      <w:r w:rsidR="00DF3DD9" w:rsidRPr="00DC1034">
        <w:rPr>
          <w:rFonts w:ascii="ITC Avant Garde" w:hAnsi="ITC Avant Garde"/>
          <w:color w:val="auto"/>
        </w:rPr>
        <w:t>omo "Cómputo en la Nube"</w:t>
      </w:r>
      <w:r w:rsidR="00404D37" w:rsidRPr="00DC1034">
        <w:rPr>
          <w:rFonts w:ascii="ITC Avant Garde" w:hAnsi="ITC Avant Garde"/>
          <w:color w:val="auto"/>
        </w:rPr>
        <w:t>. De igual manera</w:t>
      </w:r>
      <w:r w:rsidR="00DF3DD9" w:rsidRPr="00DC1034">
        <w:rPr>
          <w:rFonts w:ascii="ITC Avant Garde" w:hAnsi="ITC Avant Garde"/>
          <w:color w:val="auto"/>
        </w:rPr>
        <w:t xml:space="preserve"> </w:t>
      </w:r>
      <w:r w:rsidR="00404D37" w:rsidRPr="00DC1034">
        <w:rPr>
          <w:rFonts w:ascii="ITC Avant Garde" w:hAnsi="ITC Avant Garde"/>
          <w:color w:val="auto"/>
        </w:rPr>
        <w:t xml:space="preserve">solicita establecer cláusulas contractuales mediante las cuales se defina el alcance y contenido del manejo de dicha información, esto conforme al </w:t>
      </w:r>
      <w:r w:rsidR="00FB6540" w:rsidRPr="00DC1034">
        <w:rPr>
          <w:rFonts w:ascii="ITC Avant Garde" w:hAnsi="ITC Avant Garde"/>
          <w:color w:val="auto"/>
        </w:rPr>
        <w:t xml:space="preserve">artículo 51 del Reglamento de la </w:t>
      </w:r>
      <w:r w:rsidR="00404D37" w:rsidRPr="00DC1034">
        <w:rPr>
          <w:rFonts w:ascii="ITC Avant Garde" w:hAnsi="ITC Avant Garde"/>
          <w:color w:val="auto"/>
        </w:rPr>
        <w:t xml:space="preserve">señalada </w:t>
      </w:r>
      <w:r w:rsidR="00FB6540" w:rsidRPr="00DC1034">
        <w:rPr>
          <w:rFonts w:ascii="ITC Avant Garde" w:hAnsi="ITC Avant Garde"/>
          <w:color w:val="auto"/>
        </w:rPr>
        <w:t>LFPDPPP</w:t>
      </w:r>
      <w:r w:rsidR="00930889" w:rsidRPr="00DC1034">
        <w:rPr>
          <w:rFonts w:ascii="ITC Avant Garde" w:hAnsi="ITC Avant Garde"/>
          <w:color w:val="auto"/>
        </w:rPr>
        <w:t>.</w:t>
      </w:r>
    </w:p>
    <w:p w14:paraId="5B7BB075" w14:textId="77777777" w:rsidR="00591DAC" w:rsidRPr="00DC1034" w:rsidRDefault="00591DAC"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Consideraciones del Instituto:</w:t>
      </w:r>
    </w:p>
    <w:p w14:paraId="5EA1A3ED" w14:textId="665F0280" w:rsidR="0012589B" w:rsidRPr="00DC1034" w:rsidRDefault="00FB6540" w:rsidP="0012589B">
      <w:pPr>
        <w:spacing w:after="200" w:line="276" w:lineRule="auto"/>
        <w:ind w:left="-851" w:right="0" w:firstLine="0"/>
        <w:rPr>
          <w:rFonts w:ascii="ITC Avant Garde" w:hAnsi="ITC Avant Garde"/>
          <w:color w:val="auto"/>
        </w:rPr>
      </w:pPr>
      <w:r w:rsidRPr="00DC1034">
        <w:rPr>
          <w:rFonts w:ascii="ITC Avant Garde" w:hAnsi="ITC Avant Garde"/>
          <w:color w:val="auto"/>
        </w:rPr>
        <w:t>El numeral 22.12 del Convenio Marco ya considera lo referente al manejo de datos de personales</w:t>
      </w:r>
      <w:r w:rsidR="0012589B" w:rsidRPr="00DC1034">
        <w:rPr>
          <w:rFonts w:ascii="ITC Avant Garde" w:hAnsi="ITC Avant Garde"/>
          <w:color w:val="auto"/>
        </w:rPr>
        <w:t xml:space="preserve"> aplicable para las partes que suscriben el convenio y </w:t>
      </w:r>
      <w:r w:rsidR="00BC74C0" w:rsidRPr="00DC1034">
        <w:rPr>
          <w:rFonts w:ascii="ITC Avant Garde" w:hAnsi="ITC Avant Garde"/>
          <w:color w:val="auto"/>
        </w:rPr>
        <w:t>conforme a la legislación vigente en tal</w:t>
      </w:r>
      <w:r w:rsidR="0012589B" w:rsidRPr="00DC1034">
        <w:rPr>
          <w:rFonts w:ascii="ITC Avant Garde" w:hAnsi="ITC Avant Garde"/>
          <w:color w:val="auto"/>
        </w:rPr>
        <w:t xml:space="preserve"> materia, esto es,  lo dispuesto en la Ley Federal de Protección de Datos Personales en Posesión de los Particulares, en su reglamento, lineamientos y cualquier otra disposición aplicable, así como de conformidad con los términos y condiciones establecidos en el aviso de priv</w:t>
      </w:r>
      <w:r w:rsidR="006B0B8F">
        <w:rPr>
          <w:rFonts w:ascii="ITC Avant Garde" w:hAnsi="ITC Avant Garde"/>
          <w:color w:val="auto"/>
        </w:rPr>
        <w:t>acidad respectivo de las partes</w:t>
      </w:r>
      <w:r w:rsidR="0012589B" w:rsidRPr="00DC1034">
        <w:rPr>
          <w:rFonts w:ascii="ITC Avant Garde" w:hAnsi="ITC Avant Garde"/>
          <w:color w:val="auto"/>
        </w:rPr>
        <w:t>.</w:t>
      </w:r>
    </w:p>
    <w:p w14:paraId="5050DEBA" w14:textId="206C2B21" w:rsidR="00135279" w:rsidRPr="00DC1034" w:rsidRDefault="00135279" w:rsidP="002A524D">
      <w:pPr>
        <w:spacing w:after="0" w:line="276" w:lineRule="auto"/>
        <w:ind w:left="-851" w:right="49"/>
        <w:rPr>
          <w:rFonts w:ascii="ITC Avant Garde" w:hAnsi="ITC Avant Garde"/>
          <w:b/>
          <w:color w:val="auto"/>
          <w:u w:val="single"/>
        </w:rPr>
      </w:pPr>
      <w:r w:rsidRPr="00DC1034">
        <w:rPr>
          <w:rFonts w:ascii="ITC Avant Garde" w:hAnsi="ITC Avant Garde"/>
          <w:b/>
          <w:color w:val="auto"/>
          <w:u w:val="single"/>
        </w:rPr>
        <w:t>ANEXO A Precios y Tarifas</w:t>
      </w:r>
    </w:p>
    <w:p w14:paraId="3D917533" w14:textId="77777777" w:rsidR="00074801" w:rsidRPr="00DC1034" w:rsidRDefault="00074801" w:rsidP="00074801">
      <w:pPr>
        <w:pStyle w:val="IFT1"/>
        <w:tabs>
          <w:tab w:val="left" w:pos="426"/>
        </w:tabs>
        <w:spacing w:after="0"/>
        <w:ind w:left="-851"/>
        <w:rPr>
          <w:b/>
        </w:rPr>
      </w:pPr>
      <w:r w:rsidRPr="00DC1034">
        <w:rPr>
          <w:b/>
        </w:rPr>
        <w:t>Axtel:</w:t>
      </w:r>
    </w:p>
    <w:p w14:paraId="030A1CFD" w14:textId="62133309" w:rsidR="00074801" w:rsidRPr="00DC1034" w:rsidRDefault="004A5191" w:rsidP="00074801">
      <w:pPr>
        <w:pStyle w:val="IFT1"/>
        <w:tabs>
          <w:tab w:val="left" w:pos="426"/>
        </w:tabs>
        <w:ind w:left="-851"/>
      </w:pPr>
      <w:r w:rsidRPr="00DC1034">
        <w:t>Señala</w:t>
      </w:r>
      <w:r w:rsidR="00074801" w:rsidRPr="00DC1034">
        <w:t xml:space="preserve"> que para un OMV Completo resulta complicado replicar los planes que comercializa el AEP, ya que este también incurre en costos de inversión técnicos, administrativos, operativos, de sistemas, entre otros que son necesarios para la prestación de los servicios a sus clientes y usuarios.</w:t>
      </w:r>
      <w:r w:rsidRPr="00DC1034">
        <w:t xml:space="preserve"> </w:t>
      </w:r>
      <w:r w:rsidR="00074801" w:rsidRPr="00DC1034">
        <w:t xml:space="preserve">Debido a lo anterior solicita que sean incluidos en la oferta </w:t>
      </w:r>
      <w:r w:rsidRPr="00DC1034">
        <w:t>los siguientes</w:t>
      </w:r>
      <w:r w:rsidR="00074801" w:rsidRPr="00DC1034">
        <w:t xml:space="preserve"> rubros</w:t>
      </w:r>
      <w:r w:rsidRPr="00DC1034">
        <w:t>:</w:t>
      </w:r>
      <w:r w:rsidR="00074801" w:rsidRPr="00DC1034">
        <w:t xml:space="preserve"> </w:t>
      </w:r>
    </w:p>
    <w:p w14:paraId="3606B5FB" w14:textId="77777777" w:rsidR="00074801" w:rsidRPr="00DC1034" w:rsidRDefault="00074801" w:rsidP="006D3432">
      <w:pPr>
        <w:pStyle w:val="IFT1"/>
        <w:tabs>
          <w:tab w:val="left" w:pos="426"/>
        </w:tabs>
        <w:spacing w:after="0"/>
      </w:pPr>
      <w:r w:rsidRPr="00DC1034">
        <w:t>• Ampliación de Rangos de descuento por volumen.</w:t>
      </w:r>
    </w:p>
    <w:p w14:paraId="3A802E23" w14:textId="77777777" w:rsidR="00074801" w:rsidRPr="00DC1034" w:rsidRDefault="00074801" w:rsidP="006D3432">
      <w:pPr>
        <w:pStyle w:val="IFT1"/>
        <w:tabs>
          <w:tab w:val="left" w:pos="426"/>
        </w:tabs>
        <w:spacing w:after="0"/>
      </w:pPr>
      <w:r w:rsidRPr="00DC1034">
        <w:t>• Crear un apartado de Tarifas Mayorista (“Promocionales”) para que los clientes del OMV y sus usuarios finales también cuenten con Tarifas Promocionales (temporales).</w:t>
      </w:r>
    </w:p>
    <w:p w14:paraId="6276B7EC" w14:textId="77777777" w:rsidR="00074801" w:rsidRPr="00DC1034" w:rsidRDefault="00074801" w:rsidP="006D3432">
      <w:pPr>
        <w:pStyle w:val="IFT1"/>
        <w:tabs>
          <w:tab w:val="left" w:pos="426"/>
        </w:tabs>
      </w:pPr>
      <w:r w:rsidRPr="00DC1034">
        <w:t xml:space="preserve">• Incluir el apartado de Tarifas para Servicios y funcionalidades de Datos servicios Máquina a Máquina (M2M), Internet de las Cosas (IoT) y/o servicios </w:t>
      </w:r>
      <w:r w:rsidRPr="00DC1034">
        <w:lastRenderedPageBreak/>
        <w:t>de internet en el hogar conforme a los diferentes tipos de cobro, cuando menos de aquellos servicios que hoy el AEP ya comercializa a sus usuarios finales.</w:t>
      </w:r>
    </w:p>
    <w:p w14:paraId="6B713D6A" w14:textId="2096478F" w:rsidR="00135279" w:rsidRPr="00DC1034" w:rsidRDefault="00135279"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Televisa:</w:t>
      </w:r>
    </w:p>
    <w:p w14:paraId="316F4DEE" w14:textId="67209CC8" w:rsidR="00365B08" w:rsidRPr="00DC1034" w:rsidRDefault="00365B08" w:rsidP="00365B08">
      <w:pPr>
        <w:spacing w:line="276" w:lineRule="auto"/>
        <w:ind w:left="-851" w:right="0"/>
        <w:rPr>
          <w:rFonts w:ascii="ITC Avant Garde" w:hAnsi="ITC Avant Garde"/>
          <w:color w:val="auto"/>
        </w:rPr>
      </w:pPr>
      <w:r w:rsidRPr="00DC1034">
        <w:rPr>
          <w:rFonts w:ascii="ITC Avant Garde" w:hAnsi="ITC Avant Garde"/>
          <w:color w:val="auto"/>
        </w:rPr>
        <w:t>Solicita se ajusten las tarifas actuales, las cuales señala son muy altas para poder competir con algunos de los productos que se encuentran en el mercado actualmente,</w:t>
      </w:r>
      <w:r w:rsidR="0054186B" w:rsidRPr="00DC1034">
        <w:rPr>
          <w:rFonts w:ascii="ITC Avant Garde" w:hAnsi="ITC Avant Garde"/>
          <w:color w:val="auto"/>
        </w:rPr>
        <w:t xml:space="preserve"> </w:t>
      </w:r>
      <w:r w:rsidRPr="00DC1034">
        <w:rPr>
          <w:rFonts w:ascii="ITC Avant Garde" w:hAnsi="ITC Avant Garde"/>
          <w:color w:val="auto"/>
        </w:rPr>
        <w:t xml:space="preserve">resultando insuficientes para que un OMV estructure ofertas comerciales que puedan competir con las del AEP. </w:t>
      </w:r>
    </w:p>
    <w:p w14:paraId="160D7FB3" w14:textId="77777777" w:rsidR="00365B08" w:rsidRPr="00DC1034" w:rsidRDefault="00365B08" w:rsidP="00365B08">
      <w:pPr>
        <w:spacing w:line="276" w:lineRule="auto"/>
        <w:ind w:left="-851" w:right="0"/>
        <w:rPr>
          <w:rFonts w:ascii="ITC Avant Garde" w:hAnsi="ITC Avant Garde"/>
          <w:color w:val="auto"/>
        </w:rPr>
      </w:pPr>
    </w:p>
    <w:p w14:paraId="1EE8C082" w14:textId="39AE6C3C" w:rsidR="00365B08" w:rsidRPr="00DC1034" w:rsidRDefault="00365B08" w:rsidP="00365B08">
      <w:pPr>
        <w:spacing w:line="276" w:lineRule="auto"/>
        <w:ind w:left="-851" w:right="0"/>
        <w:rPr>
          <w:rFonts w:ascii="ITC Avant Garde" w:hAnsi="ITC Avant Garde"/>
          <w:color w:val="auto"/>
        </w:rPr>
      </w:pPr>
      <w:r w:rsidRPr="00DC1034">
        <w:rPr>
          <w:rFonts w:ascii="ITC Avant Garde" w:hAnsi="ITC Avant Garde"/>
          <w:color w:val="auto"/>
        </w:rPr>
        <w:t>Asimismo, indica que no es posible replicar los paquetes que el AEP ofrece a sus clientes debido a que no pude incluir los servicios de valor agregado que éste incluye en sus paquetes minoristas como redes sociales ilimitadas y Claro Video, entre otras.</w:t>
      </w:r>
    </w:p>
    <w:p w14:paraId="622E03D5" w14:textId="77777777" w:rsidR="00365B08" w:rsidRPr="00DC1034" w:rsidRDefault="00365B08" w:rsidP="00365B08">
      <w:pPr>
        <w:spacing w:line="276" w:lineRule="auto"/>
        <w:ind w:left="-851" w:right="0"/>
        <w:rPr>
          <w:rFonts w:ascii="ITC Avant Garde" w:hAnsi="ITC Avant Garde"/>
          <w:color w:val="auto"/>
        </w:rPr>
      </w:pPr>
    </w:p>
    <w:p w14:paraId="1A55DC98" w14:textId="54ACB4C3" w:rsidR="00365B08" w:rsidRPr="00DC1034" w:rsidRDefault="0054186B" w:rsidP="00365B08">
      <w:pPr>
        <w:spacing w:line="276" w:lineRule="auto"/>
        <w:ind w:left="-851" w:right="0"/>
        <w:rPr>
          <w:rFonts w:ascii="ITC Avant Garde" w:hAnsi="ITC Avant Garde"/>
          <w:color w:val="auto"/>
        </w:rPr>
      </w:pPr>
      <w:r w:rsidRPr="00DC1034">
        <w:rPr>
          <w:rFonts w:ascii="ITC Avant Garde" w:hAnsi="ITC Avant Garde"/>
          <w:color w:val="auto"/>
        </w:rPr>
        <w:t>También</w:t>
      </w:r>
      <w:r w:rsidR="00365B08" w:rsidRPr="00DC1034">
        <w:rPr>
          <w:rFonts w:ascii="ITC Avant Garde" w:hAnsi="ITC Avant Garde"/>
          <w:color w:val="auto"/>
        </w:rPr>
        <w:t xml:space="preserve"> refiere que se deben eliminar los esquemas tarifarios atados a compromisos de volúmenes de tráfico o a periodos de contratación. Además, señala que las tarifas unitarias para minutos, mensajes cortos y datos obtenidas mediante el modelo de costos deberán considerarse como las tarifas aplicables a todos los OMV y, en caso de que algún OMV llegue a acuerdos más favorables con el AEP, las tarifas deben ser públicas y aplicables a todos los OMV.</w:t>
      </w:r>
    </w:p>
    <w:p w14:paraId="1D74EBE5" w14:textId="4DBF891E" w:rsidR="00365B08" w:rsidRPr="00DC1034" w:rsidRDefault="00365B08" w:rsidP="002A524D">
      <w:pPr>
        <w:spacing w:line="276" w:lineRule="auto"/>
        <w:ind w:left="-851" w:right="0"/>
        <w:rPr>
          <w:rFonts w:ascii="ITC Avant Garde" w:hAnsi="ITC Avant Garde"/>
          <w:color w:val="auto"/>
        </w:rPr>
      </w:pPr>
    </w:p>
    <w:p w14:paraId="48F7C075" w14:textId="699C6B28" w:rsidR="00FB6540" w:rsidRPr="00DC1034" w:rsidRDefault="00FB6540" w:rsidP="002A524D">
      <w:pPr>
        <w:spacing w:after="0" w:line="276" w:lineRule="auto"/>
        <w:ind w:left="-851" w:right="49"/>
        <w:rPr>
          <w:rFonts w:ascii="ITC Avant Garde" w:hAnsi="ITC Avant Garde"/>
          <w:b/>
          <w:color w:val="auto"/>
        </w:rPr>
      </w:pPr>
      <w:r w:rsidRPr="00DC1034">
        <w:rPr>
          <w:rFonts w:ascii="ITC Avant Garde" w:hAnsi="ITC Avant Garde"/>
          <w:b/>
          <w:color w:val="auto"/>
        </w:rPr>
        <w:t xml:space="preserve">Televisa: </w:t>
      </w:r>
    </w:p>
    <w:p w14:paraId="7845B02C" w14:textId="24FAE322" w:rsidR="00FB6540" w:rsidRPr="00DC1034" w:rsidRDefault="00FF6B7F" w:rsidP="001133DE">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Solicita la eliminación de la </w:t>
      </w:r>
      <w:r w:rsidR="00FB6540" w:rsidRPr="00DC1034">
        <w:rPr>
          <w:rFonts w:ascii="ITC Avant Garde" w:hAnsi="ITC Avant Garde"/>
          <w:color w:val="auto"/>
        </w:rPr>
        <w:t xml:space="preserve">cuota obligatoria </w:t>
      </w:r>
      <w:r w:rsidR="005530FC" w:rsidRPr="00DC1034">
        <w:rPr>
          <w:rFonts w:ascii="ITC Avant Garde" w:hAnsi="ITC Avant Garde"/>
          <w:color w:val="auto"/>
        </w:rPr>
        <w:t>para</w:t>
      </w:r>
      <w:r w:rsidRPr="00DC1034">
        <w:rPr>
          <w:rFonts w:ascii="ITC Avant Garde" w:hAnsi="ITC Avant Garde"/>
          <w:color w:val="auto"/>
        </w:rPr>
        <w:t xml:space="preserve"> la administración de usuarios, señalando que l</w:t>
      </w:r>
      <w:r w:rsidR="00FB6540" w:rsidRPr="00DC1034">
        <w:rPr>
          <w:rFonts w:ascii="ITC Avant Garde" w:hAnsi="ITC Avant Garde"/>
          <w:color w:val="auto"/>
        </w:rPr>
        <w:t xml:space="preserve">a administración de usuarios debería ser establecida </w:t>
      </w:r>
      <w:r w:rsidR="00FB62C8" w:rsidRPr="00DC1034">
        <w:rPr>
          <w:rFonts w:ascii="ITC Avant Garde" w:hAnsi="ITC Avant Garde"/>
          <w:color w:val="auto"/>
        </w:rPr>
        <w:t xml:space="preserve">con </w:t>
      </w:r>
      <w:r w:rsidR="00FB6540" w:rsidRPr="00DC1034">
        <w:rPr>
          <w:rFonts w:ascii="ITC Avant Garde" w:hAnsi="ITC Avant Garde"/>
          <w:color w:val="auto"/>
        </w:rPr>
        <w:t xml:space="preserve">base </w:t>
      </w:r>
      <w:r w:rsidR="00FB62C8" w:rsidRPr="00DC1034">
        <w:rPr>
          <w:rFonts w:ascii="ITC Avant Garde" w:hAnsi="ITC Avant Garde"/>
          <w:color w:val="auto"/>
        </w:rPr>
        <w:t>en</w:t>
      </w:r>
      <w:r w:rsidR="00FB6540" w:rsidRPr="00DC1034">
        <w:rPr>
          <w:rFonts w:ascii="ITC Avant Garde" w:hAnsi="ITC Avant Garde"/>
          <w:color w:val="auto"/>
        </w:rPr>
        <w:t xml:space="preserve"> los usuarios</w:t>
      </w:r>
      <w:r w:rsidR="005530FC" w:rsidRPr="00DC1034">
        <w:rPr>
          <w:rFonts w:ascii="ITC Avant Garde" w:hAnsi="ITC Avant Garde"/>
          <w:color w:val="auto"/>
        </w:rPr>
        <w:t xml:space="preserve"> y</w:t>
      </w:r>
      <w:r w:rsidR="00FB6540" w:rsidRPr="00DC1034">
        <w:rPr>
          <w:rFonts w:ascii="ITC Avant Garde" w:hAnsi="ITC Avant Garde"/>
          <w:color w:val="auto"/>
        </w:rPr>
        <w:t xml:space="preserve"> desde un inicio para no representar una barrera a nuevos operadores</w:t>
      </w:r>
      <w:r w:rsidR="001133DE" w:rsidRPr="00DC1034">
        <w:rPr>
          <w:rFonts w:ascii="ITC Avant Garde" w:hAnsi="ITC Avant Garde"/>
          <w:color w:val="auto"/>
        </w:rPr>
        <w:t>.</w:t>
      </w:r>
    </w:p>
    <w:p w14:paraId="2A4D2848" w14:textId="77777777" w:rsidR="00C13898" w:rsidRPr="00DC1034" w:rsidRDefault="00C13898" w:rsidP="00C13898">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6D0F0CF9" w14:textId="77777777" w:rsidR="00C13898" w:rsidRPr="00DC1034" w:rsidRDefault="00C13898" w:rsidP="00C13898">
      <w:pPr>
        <w:spacing w:after="0" w:line="276" w:lineRule="auto"/>
        <w:ind w:left="-851" w:right="0" w:firstLine="0"/>
        <w:rPr>
          <w:rFonts w:ascii="ITC Avant Garde" w:eastAsia="Calibri" w:hAnsi="ITC Avant Garde" w:cs="Arial"/>
          <w:color w:val="auto"/>
          <w:sz w:val="18"/>
          <w:szCs w:val="18"/>
          <w:lang w:eastAsia="en-US"/>
        </w:rPr>
      </w:pPr>
      <w:r>
        <w:rPr>
          <w:rFonts w:ascii="ITC Avant Garde" w:hAnsi="ITC Avant Garde"/>
          <w:color w:val="auto"/>
        </w:rPr>
        <w:t xml:space="preserve">Al respecto se señala que en caso de desacuerdo con la tarifa aplicable a los servicios prestados a través de la Oferta el OMV podrá solicitar al Instituto que resuelva sobre los términos, condiciones y tarifas que no lograron acordar. </w:t>
      </w:r>
    </w:p>
    <w:p w14:paraId="317E3737" w14:textId="77777777" w:rsidR="00E47FFE" w:rsidRPr="00DC1034" w:rsidRDefault="00E47FFE" w:rsidP="00FB6540">
      <w:pPr>
        <w:spacing w:after="0" w:line="276" w:lineRule="auto"/>
        <w:ind w:left="-851" w:right="49"/>
        <w:rPr>
          <w:rFonts w:ascii="ITC Avant Garde" w:hAnsi="ITC Avant Garde"/>
          <w:b/>
          <w:color w:val="auto"/>
        </w:rPr>
      </w:pPr>
    </w:p>
    <w:p w14:paraId="03092CB2" w14:textId="136C0165" w:rsidR="00F52DEB" w:rsidRPr="00D874BB" w:rsidRDefault="007D41E5" w:rsidP="00FB6540">
      <w:pPr>
        <w:spacing w:after="0" w:line="276" w:lineRule="auto"/>
        <w:ind w:left="-851" w:right="49"/>
        <w:rPr>
          <w:rFonts w:ascii="ITC Avant Garde" w:hAnsi="ITC Avant Garde"/>
          <w:b/>
          <w:color w:val="auto"/>
          <w:u w:val="single"/>
        </w:rPr>
      </w:pPr>
      <w:r w:rsidRPr="00D874BB">
        <w:rPr>
          <w:rFonts w:ascii="ITC Avant Garde" w:hAnsi="ITC Avant Garde"/>
          <w:b/>
          <w:color w:val="auto"/>
          <w:u w:val="single"/>
        </w:rPr>
        <w:t>ANEXO C ACUERDO DE PRESTACIÓN DE SERVICIOS DE GESTIÓN</w:t>
      </w:r>
    </w:p>
    <w:p w14:paraId="770F8792" w14:textId="0472E32C" w:rsidR="00F52DEB" w:rsidRPr="00DC1034" w:rsidRDefault="00FB6540" w:rsidP="002A524D">
      <w:pPr>
        <w:spacing w:after="0" w:line="276" w:lineRule="auto"/>
        <w:ind w:left="-851" w:right="49"/>
        <w:rPr>
          <w:rFonts w:ascii="ITC Avant Garde" w:hAnsi="ITC Avant Garde"/>
          <w:b/>
          <w:color w:val="auto"/>
        </w:rPr>
      </w:pPr>
      <w:r w:rsidRPr="00DC1034">
        <w:rPr>
          <w:rFonts w:ascii="ITC Avant Garde" w:hAnsi="ITC Avant Garde"/>
          <w:b/>
          <w:color w:val="auto"/>
        </w:rPr>
        <w:t>Televisa</w:t>
      </w:r>
      <w:r w:rsidR="00F52DEB" w:rsidRPr="00DC1034">
        <w:rPr>
          <w:rFonts w:ascii="ITC Avant Garde" w:hAnsi="ITC Avant Garde"/>
          <w:b/>
          <w:color w:val="auto"/>
        </w:rPr>
        <w:t>:</w:t>
      </w:r>
    </w:p>
    <w:p w14:paraId="2B62D821" w14:textId="5B21AB6A" w:rsidR="00FB6540" w:rsidRPr="00DC1034" w:rsidRDefault="00370B7D" w:rsidP="001133DE">
      <w:pPr>
        <w:pStyle w:val="IFT1"/>
        <w:tabs>
          <w:tab w:val="left" w:pos="426"/>
        </w:tabs>
        <w:ind w:left="-851"/>
      </w:pPr>
      <w:r w:rsidRPr="00DC1034">
        <w:t>Solicita establecer</w:t>
      </w:r>
      <w:r w:rsidR="00FB6540" w:rsidRPr="00DC1034">
        <w:t xml:space="preserve"> la </w:t>
      </w:r>
      <w:r w:rsidR="006656BE" w:rsidRPr="00DC1034">
        <w:t>obligación</w:t>
      </w:r>
      <w:r w:rsidR="00FB6540" w:rsidRPr="00DC1034">
        <w:t xml:space="preserve"> de Telcel de proporcionar a los OMV los Mapas de Precisión y Rendimiento,</w:t>
      </w:r>
      <w:r w:rsidR="00957247" w:rsidRPr="00DC1034">
        <w:t xml:space="preserve"> </w:t>
      </w:r>
      <w:r w:rsidRPr="00DC1034">
        <w:t>a efecto de</w:t>
      </w:r>
      <w:r w:rsidR="00957247" w:rsidRPr="00DC1034">
        <w:t xml:space="preserve"> que éstos puedan dar cumplimiento a las obligaciones establecidas en la fracción IV del numeral 2 de la Metodología para la Evaluación de los Parámetros de Precisión</w:t>
      </w:r>
      <w:r w:rsidR="00957247" w:rsidRPr="00DC1034">
        <w:rPr>
          <w:vertAlign w:val="superscript"/>
        </w:rPr>
        <w:footnoteReference w:id="2"/>
      </w:r>
      <w:r w:rsidR="00957247" w:rsidRPr="00DC1034">
        <w:t>,</w:t>
      </w:r>
      <w:r w:rsidR="00957247" w:rsidRPr="00DC1034">
        <w:rPr>
          <w:rFonts w:cs="Arial"/>
        </w:rPr>
        <w:t xml:space="preserve"> </w:t>
      </w:r>
      <w:r w:rsidR="00FB6540" w:rsidRPr="00DC1034">
        <w:t xml:space="preserve">y no únicamente lo referente a la </w:t>
      </w:r>
      <w:r w:rsidR="00FB6540" w:rsidRPr="00DC1034">
        <w:lastRenderedPageBreak/>
        <w:t>atención de requerimientos de autoridades, por lo que</w:t>
      </w:r>
      <w:r w:rsidR="001133DE" w:rsidRPr="00DC1034">
        <w:t xml:space="preserve"> propone </w:t>
      </w:r>
      <w:r w:rsidR="00C13898">
        <w:t>una redacción para ser considerada en la oferta.</w:t>
      </w:r>
    </w:p>
    <w:p w14:paraId="4B173025" w14:textId="77777777" w:rsidR="0095640A" w:rsidRPr="00DC1034" w:rsidRDefault="0095640A" w:rsidP="002A524D">
      <w:pPr>
        <w:spacing w:after="0" w:line="276" w:lineRule="auto"/>
        <w:ind w:left="-851" w:right="49"/>
        <w:rPr>
          <w:rFonts w:ascii="ITC Avant Garde" w:hAnsi="ITC Avant Garde"/>
          <w:color w:val="auto"/>
          <w:lang w:val="es-ES_tradnl"/>
        </w:rPr>
      </w:pPr>
      <w:r w:rsidRPr="00DC1034">
        <w:rPr>
          <w:rFonts w:ascii="ITC Avant Garde" w:hAnsi="ITC Avant Garde"/>
          <w:b/>
          <w:color w:val="auto"/>
        </w:rPr>
        <w:t>Consideraciones del Instituto</w:t>
      </w:r>
    </w:p>
    <w:p w14:paraId="39B122CA" w14:textId="3ECE447F" w:rsidR="00247991" w:rsidRPr="00DC1034" w:rsidRDefault="00CA0D7D" w:rsidP="00247991">
      <w:pPr>
        <w:pStyle w:val="IFT1"/>
        <w:tabs>
          <w:tab w:val="left" w:pos="426"/>
        </w:tabs>
        <w:ind w:left="-851"/>
      </w:pPr>
      <w:r w:rsidRPr="00DC1034">
        <w:t xml:space="preserve">De </w:t>
      </w:r>
      <w:r w:rsidR="00FB6540" w:rsidRPr="00DC1034">
        <w:t xml:space="preserve">conformidad con el </w:t>
      </w:r>
      <w:r w:rsidR="008F2FB1" w:rsidRPr="00DC1034">
        <w:t>artículo</w:t>
      </w:r>
      <w:r w:rsidR="00FB6540" w:rsidRPr="00DC1034">
        <w:t xml:space="preserve"> 18 fracción XVIII de los Lineamientos de OMV, </w:t>
      </w:r>
      <w:r w:rsidRPr="00DC1034">
        <w:t xml:space="preserve">se modifica el Anexo C para señalar la obligación de Telcel de </w:t>
      </w:r>
      <w:r w:rsidR="00C13898">
        <w:t>proporcionar</w:t>
      </w:r>
      <w:r w:rsidRPr="00DC1034">
        <w:t xml:space="preserve"> los Mapas de Precisión y rendimiento si así lo requiere el OMV, </w:t>
      </w:r>
      <w:r w:rsidR="00247991" w:rsidRPr="00DC1034">
        <w:t>en los siguientes términos:</w:t>
      </w:r>
    </w:p>
    <w:p w14:paraId="6CBEDD70" w14:textId="77777777" w:rsidR="00247991" w:rsidRPr="00DC1034" w:rsidRDefault="00247991" w:rsidP="00247991">
      <w:pPr>
        <w:spacing w:after="0" w:line="276" w:lineRule="auto"/>
        <w:ind w:left="-284" w:right="615"/>
        <w:rPr>
          <w:rFonts w:ascii="ITC Avant Garde" w:eastAsia="Calibri" w:hAnsi="ITC Avant Garde" w:cs="Arial"/>
          <w:b/>
          <w:i/>
          <w:sz w:val="18"/>
          <w:szCs w:val="18"/>
        </w:rPr>
      </w:pPr>
      <w:r w:rsidRPr="00DC1034">
        <w:rPr>
          <w:rFonts w:ascii="ITC Avant Garde" w:eastAsia="Calibri" w:hAnsi="ITC Avant Garde" w:cs="Arial"/>
          <w:i/>
          <w:sz w:val="18"/>
          <w:szCs w:val="18"/>
        </w:rPr>
        <w:t>“</w:t>
      </w:r>
      <w:r w:rsidRPr="00DC1034">
        <w:rPr>
          <w:rFonts w:ascii="ITC Avant Garde" w:eastAsia="Calibri" w:hAnsi="ITC Avant Garde" w:cs="Arial"/>
          <w:b/>
          <w:i/>
          <w:sz w:val="18"/>
          <w:szCs w:val="18"/>
        </w:rPr>
        <w:t>VI. ENTREGA DE INFORMACIÓN DE TELCEL AL OMV.</w:t>
      </w:r>
    </w:p>
    <w:p w14:paraId="1F020172" w14:textId="6EA8C352" w:rsidR="00247991" w:rsidRPr="00DC1034" w:rsidRDefault="00C13898" w:rsidP="001C333D">
      <w:pPr>
        <w:spacing w:after="200" w:line="276" w:lineRule="auto"/>
        <w:ind w:left="-284" w:right="612" w:hanging="11"/>
        <w:rPr>
          <w:rFonts w:ascii="ITC Avant Garde" w:eastAsia="Calibri" w:hAnsi="ITC Avant Garde" w:cs="Arial"/>
          <w:i/>
          <w:sz w:val="18"/>
          <w:szCs w:val="18"/>
        </w:rPr>
      </w:pPr>
      <w:r>
        <w:rPr>
          <w:rFonts w:ascii="ITC Avant Garde" w:eastAsia="Calibri" w:hAnsi="ITC Avant Garde" w:cs="Arial"/>
          <w:i/>
          <w:sz w:val="18"/>
          <w:szCs w:val="18"/>
        </w:rPr>
        <w:t>(…)</w:t>
      </w:r>
    </w:p>
    <w:p w14:paraId="4E986932" w14:textId="179AE697" w:rsidR="00247991" w:rsidRPr="00DC1034" w:rsidRDefault="00247991" w:rsidP="00247991">
      <w:pPr>
        <w:spacing w:after="200" w:line="276" w:lineRule="auto"/>
        <w:ind w:left="-284" w:right="612" w:hanging="11"/>
        <w:rPr>
          <w:rFonts w:ascii="ITC Avant Garde" w:eastAsia="Calibri" w:hAnsi="ITC Avant Garde" w:cs="Arial"/>
          <w:i/>
          <w:sz w:val="18"/>
          <w:szCs w:val="18"/>
        </w:rPr>
      </w:pPr>
      <w:r w:rsidRPr="00DC1034">
        <w:rPr>
          <w:rFonts w:ascii="ITC Avant Garde" w:eastAsia="Calibri" w:hAnsi="ITC Avant Garde" w:cs="Arial"/>
          <w:i/>
          <w:sz w:val="18"/>
          <w:szCs w:val="18"/>
          <w:u w:val="single"/>
        </w:rPr>
        <w:t>Con independencia de lo anterior, cuando el OMV así lo requiera, Telcel deberá proporcionarle los Mapas de Precisión y Rendimiento a los que se refiere la Metodología para evaluar el cumplimiento de los parámetros de precisión y rendimiento relativos a la localización geográfica en tiempo real de llamadas de emergencia al número 911 establecidos en los Lineamientos de Seguridad, antes de los primeros 20 días hábiles de enero de cada año, a partir de las llamadas y envío de mensajes cortos realizados por los usuarios del OMV con destino al número 911</w:t>
      </w:r>
      <w:r w:rsidRPr="00DC1034">
        <w:rPr>
          <w:rFonts w:ascii="ITC Avant Garde" w:eastAsia="Calibri" w:hAnsi="ITC Avant Garde" w:cs="Arial"/>
          <w:i/>
          <w:sz w:val="18"/>
          <w:szCs w:val="18"/>
        </w:rPr>
        <w:t>.”</w:t>
      </w:r>
    </w:p>
    <w:p w14:paraId="5B90831C" w14:textId="4F0BDFD2" w:rsidR="00247991" w:rsidRPr="00DC1034" w:rsidRDefault="00247991" w:rsidP="00247991">
      <w:pPr>
        <w:spacing w:after="200" w:line="276" w:lineRule="auto"/>
        <w:ind w:left="-284" w:right="612" w:hanging="11"/>
        <w:jc w:val="right"/>
        <w:rPr>
          <w:rFonts w:ascii="ITC Avant Garde" w:eastAsia="Calibri" w:hAnsi="ITC Avant Garde" w:cs="Arial"/>
          <w:sz w:val="18"/>
          <w:szCs w:val="18"/>
        </w:rPr>
      </w:pPr>
      <w:r w:rsidRPr="00DC1034">
        <w:rPr>
          <w:rFonts w:ascii="ITC Avant Garde" w:eastAsia="Calibri" w:hAnsi="ITC Avant Garde" w:cs="Arial"/>
          <w:sz w:val="18"/>
          <w:szCs w:val="18"/>
        </w:rPr>
        <w:t>Énfasis añadido</w:t>
      </w:r>
    </w:p>
    <w:p w14:paraId="06680AF5" w14:textId="622B3E7D" w:rsidR="00431233" w:rsidRPr="00DC1034" w:rsidRDefault="00FB6540" w:rsidP="002A524D">
      <w:pPr>
        <w:spacing w:after="0" w:line="276" w:lineRule="auto"/>
        <w:ind w:left="-851" w:right="49"/>
        <w:rPr>
          <w:rFonts w:ascii="ITC Avant Garde" w:hAnsi="ITC Avant Garde"/>
          <w:b/>
          <w:color w:val="auto"/>
        </w:rPr>
      </w:pPr>
      <w:r w:rsidRPr="00DC1034">
        <w:rPr>
          <w:rFonts w:ascii="ITC Avant Garde" w:hAnsi="ITC Avant Garde"/>
          <w:b/>
          <w:color w:val="auto"/>
        </w:rPr>
        <w:t>Televisa:</w:t>
      </w:r>
    </w:p>
    <w:p w14:paraId="4FD5E93C" w14:textId="7AD49A68" w:rsidR="00FB6540" w:rsidRPr="00DC1034" w:rsidRDefault="00FB6540" w:rsidP="001C333D">
      <w:pPr>
        <w:pStyle w:val="IFT1"/>
        <w:tabs>
          <w:tab w:val="left" w:pos="426"/>
        </w:tabs>
        <w:ind w:left="-851"/>
      </w:pPr>
      <w:r w:rsidRPr="00DC1034">
        <w:t xml:space="preserve">Solicita que </w:t>
      </w:r>
      <w:r w:rsidR="00A665B0" w:rsidRPr="00DC1034">
        <w:t xml:space="preserve">en la </w:t>
      </w:r>
      <w:r w:rsidRPr="00DC1034">
        <w:t xml:space="preserve">Oferta </w:t>
      </w:r>
      <w:r w:rsidR="00A665B0" w:rsidRPr="00DC1034">
        <w:t xml:space="preserve">se </w:t>
      </w:r>
      <w:r w:rsidRPr="00DC1034">
        <w:t>permit</w:t>
      </w:r>
      <w:r w:rsidR="00A665B0" w:rsidRPr="00DC1034">
        <w:t>a</w:t>
      </w:r>
      <w:r w:rsidRPr="00DC1034">
        <w:t xml:space="preserve"> </w:t>
      </w:r>
      <w:r w:rsidR="00A665B0" w:rsidRPr="00DC1034">
        <w:t xml:space="preserve">a los </w:t>
      </w:r>
      <w:r w:rsidRPr="00DC1034">
        <w:t xml:space="preserve">OMV hacer uso de la Aplicación Móvil que </w:t>
      </w:r>
      <w:r w:rsidR="00A665B0" w:rsidRPr="00DC1034">
        <w:t xml:space="preserve">el AEP </w:t>
      </w:r>
      <w:r w:rsidRPr="00DC1034">
        <w:t xml:space="preserve">desarrolle, y mediante la cual puedan ser difundidos a los usuarios de los OMV los </w:t>
      </w:r>
      <w:r w:rsidR="008F2FB1" w:rsidRPr="00DC1034">
        <w:t>m</w:t>
      </w:r>
      <w:r w:rsidRPr="00DC1034">
        <w:t xml:space="preserve">ensajes de </w:t>
      </w:r>
      <w:r w:rsidR="008F2FB1" w:rsidRPr="00DC1034">
        <w:t>a</w:t>
      </w:r>
      <w:r w:rsidRPr="00DC1034">
        <w:t xml:space="preserve">lerta emitidos </w:t>
      </w:r>
      <w:r w:rsidR="00220D68" w:rsidRPr="00DC1034">
        <w:t xml:space="preserve">por las autoridades competentes, a efecto de </w:t>
      </w:r>
      <w:r w:rsidR="0007640F" w:rsidRPr="00DC1034">
        <w:t xml:space="preserve">que se encuentren en posibilidad de </w:t>
      </w:r>
      <w:r w:rsidR="00220D68" w:rsidRPr="00DC1034">
        <w:t xml:space="preserve">dar cumplimiento a lo establecido en </w:t>
      </w:r>
      <w:r w:rsidRPr="00DC1034">
        <w:t xml:space="preserve">los Lineamientos </w:t>
      </w:r>
      <w:r w:rsidR="008F2FB1" w:rsidRPr="00DC1034">
        <w:t xml:space="preserve">que establecen </w:t>
      </w:r>
      <w:r w:rsidRPr="00DC1034">
        <w:t>el Protocolo de Alerta Común</w:t>
      </w:r>
      <w:r w:rsidR="00A8452B" w:rsidRPr="00DC1034">
        <w:rPr>
          <w:rStyle w:val="Refdenotaalpie"/>
        </w:rPr>
        <w:footnoteReference w:id="3"/>
      </w:r>
      <w:r w:rsidRPr="00DC1034">
        <w:t>.</w:t>
      </w:r>
    </w:p>
    <w:p w14:paraId="42868D7D" w14:textId="77777777" w:rsidR="000626A0" w:rsidRPr="00DC1034" w:rsidRDefault="000626A0" w:rsidP="002A524D">
      <w:pPr>
        <w:spacing w:after="0" w:line="276" w:lineRule="auto"/>
        <w:ind w:left="-851" w:right="49"/>
        <w:rPr>
          <w:rFonts w:ascii="ITC Avant Garde" w:hAnsi="ITC Avant Garde"/>
          <w:color w:val="auto"/>
          <w:lang w:val="es-ES_tradnl"/>
        </w:rPr>
      </w:pPr>
      <w:r w:rsidRPr="00DC1034">
        <w:rPr>
          <w:rFonts w:ascii="ITC Avant Garde" w:hAnsi="ITC Avant Garde"/>
          <w:b/>
          <w:color w:val="auto"/>
        </w:rPr>
        <w:t>Consideraciones del Instituto</w:t>
      </w:r>
    </w:p>
    <w:p w14:paraId="6206725B" w14:textId="308F80CA" w:rsidR="00E47FFE" w:rsidRPr="00DC1034" w:rsidRDefault="00730BF0" w:rsidP="00F44807">
      <w:pPr>
        <w:pStyle w:val="IFT1"/>
        <w:tabs>
          <w:tab w:val="left" w:pos="426"/>
        </w:tabs>
        <w:ind w:left="-851"/>
      </w:pPr>
      <w:r>
        <w:t>Conforme al lineamiento</w:t>
      </w:r>
      <w:r w:rsidR="00FB6540" w:rsidRPr="00DC1034">
        <w:t xml:space="preserve"> </w:t>
      </w:r>
      <w:r>
        <w:t>Vigésimo S</w:t>
      </w:r>
      <w:r w:rsidRPr="00DC1034">
        <w:t xml:space="preserve">egundo </w:t>
      </w:r>
      <w:r w:rsidR="00FB6540" w:rsidRPr="00DC1034">
        <w:t xml:space="preserve">de los Lineamientos que establecen el Protocolo de Alerta Común, la </w:t>
      </w:r>
      <w:r w:rsidR="00AA381E" w:rsidRPr="00DC1034">
        <w:t>aplicación</w:t>
      </w:r>
      <w:r w:rsidR="00FB6540" w:rsidRPr="00DC1034">
        <w:t xml:space="preserve"> móvil</w:t>
      </w:r>
      <w:r w:rsidR="00E47FFE" w:rsidRPr="00DC1034">
        <w:t xml:space="preserve"> mediante la cual se realizará la difusión de mensajes de alerta será</w:t>
      </w:r>
      <w:r w:rsidR="00F44807" w:rsidRPr="00DC1034">
        <w:t xml:space="preserve"> </w:t>
      </w:r>
      <w:r w:rsidR="00FB6540" w:rsidRPr="00DC1034">
        <w:t xml:space="preserve">administrada y gestionada por la Coordinación Nacional de Protección </w:t>
      </w:r>
      <w:r w:rsidR="00AA381E" w:rsidRPr="00DC1034">
        <w:t>Civil</w:t>
      </w:r>
      <w:r w:rsidR="00AA11FC" w:rsidRPr="00DC1034">
        <w:t>.</w:t>
      </w:r>
      <w:r w:rsidR="00E47FFE" w:rsidRPr="00DC1034">
        <w:t xml:space="preserve"> </w:t>
      </w:r>
    </w:p>
    <w:p w14:paraId="14E987FF" w14:textId="5B51DA2F" w:rsidR="00E47FFE" w:rsidRPr="00DC1034" w:rsidRDefault="00E47FFE" w:rsidP="00F44807">
      <w:pPr>
        <w:pStyle w:val="IFT1"/>
        <w:tabs>
          <w:tab w:val="left" w:pos="426"/>
        </w:tabs>
        <w:ind w:left="-851"/>
      </w:pPr>
      <w:r w:rsidRPr="00DC1034">
        <w:t xml:space="preserve">Asimismo, </w:t>
      </w:r>
      <w:r w:rsidR="00730BF0">
        <w:t>los Lineamientos</w:t>
      </w:r>
      <w:r w:rsidR="00F44807" w:rsidRPr="00DC1034">
        <w:t xml:space="preserve"> establecen la integración de una Mesa de Trabajo integrada por las autoridades competentes, concesionarios, y en su caso, autorizados, mediante la cual se dará seguimiento, entre otros, a la definición del alance de la implementación y seguimiento de la difusión de mensajes de alerta a través de la aplicación móvil y mediante el servicio de radiodifusión celular, por lo que lo referente a dicha aplicación excede el alcance de la presente consulta.</w:t>
      </w:r>
    </w:p>
    <w:p w14:paraId="0552A134" w14:textId="77777777" w:rsidR="00F44807" w:rsidRPr="00D874BB" w:rsidRDefault="00F44807" w:rsidP="002A524D">
      <w:pPr>
        <w:spacing w:after="0" w:line="276" w:lineRule="auto"/>
        <w:ind w:left="-851" w:right="49"/>
        <w:rPr>
          <w:rFonts w:ascii="ITC Avant Garde" w:hAnsi="ITC Avant Garde"/>
          <w:b/>
          <w:color w:val="auto"/>
          <w:u w:val="single"/>
        </w:rPr>
      </w:pPr>
    </w:p>
    <w:p w14:paraId="60A4164E" w14:textId="38C554CA" w:rsidR="007F3EE9" w:rsidRPr="00D874BB" w:rsidRDefault="007F3EE9" w:rsidP="002A524D">
      <w:pPr>
        <w:spacing w:after="0" w:line="276" w:lineRule="auto"/>
        <w:ind w:left="-851" w:right="49"/>
        <w:rPr>
          <w:rFonts w:ascii="ITC Avant Garde" w:hAnsi="ITC Avant Garde"/>
          <w:b/>
          <w:color w:val="auto"/>
          <w:u w:val="single"/>
        </w:rPr>
      </w:pPr>
      <w:r w:rsidRPr="00D874BB">
        <w:rPr>
          <w:rFonts w:ascii="ITC Avant Garde" w:hAnsi="ITC Avant Garde"/>
          <w:b/>
          <w:color w:val="auto"/>
          <w:u w:val="single"/>
        </w:rPr>
        <w:t>Comentarios Generales</w:t>
      </w:r>
    </w:p>
    <w:p w14:paraId="772137F9" w14:textId="56B498BD" w:rsidR="001956D9" w:rsidRPr="00DC1034" w:rsidRDefault="002A6880" w:rsidP="002A524D">
      <w:pPr>
        <w:spacing w:after="0" w:line="276" w:lineRule="auto"/>
        <w:ind w:left="-851" w:right="49"/>
        <w:rPr>
          <w:rFonts w:ascii="ITC Avant Garde" w:hAnsi="ITC Avant Garde"/>
          <w:b/>
          <w:color w:val="auto"/>
        </w:rPr>
      </w:pPr>
      <w:r w:rsidRPr="00DC1034">
        <w:rPr>
          <w:rFonts w:ascii="ITC Avant Garde" w:hAnsi="ITC Avant Garde"/>
          <w:b/>
          <w:color w:val="auto"/>
        </w:rPr>
        <w:t>Axtel</w:t>
      </w:r>
      <w:r w:rsidR="001956D9" w:rsidRPr="00DC1034">
        <w:rPr>
          <w:rFonts w:ascii="ITC Avant Garde" w:hAnsi="ITC Avant Garde"/>
          <w:b/>
          <w:color w:val="auto"/>
        </w:rPr>
        <w:t>:</w:t>
      </w:r>
    </w:p>
    <w:p w14:paraId="36B0125E" w14:textId="1F1ACCDB" w:rsidR="00392757" w:rsidRPr="00DC1034" w:rsidRDefault="00392757" w:rsidP="00AD06CC">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Considera </w:t>
      </w:r>
      <w:r w:rsidR="00AA7A7E" w:rsidRPr="00DC1034">
        <w:rPr>
          <w:rFonts w:ascii="ITC Avant Garde" w:hAnsi="ITC Avant Garde"/>
          <w:color w:val="auto"/>
        </w:rPr>
        <w:t xml:space="preserve">necesario </w:t>
      </w:r>
      <w:r w:rsidRPr="00DC1034">
        <w:rPr>
          <w:rFonts w:ascii="ITC Avant Garde" w:hAnsi="ITC Avant Garde"/>
          <w:color w:val="auto"/>
        </w:rPr>
        <w:t xml:space="preserve">dirigir esfuerzos a efecto de alcanzar los principios de equivalencia de insumos que comprende la replicabilidad Técnica y Económica. </w:t>
      </w:r>
    </w:p>
    <w:p w14:paraId="69E57747" w14:textId="4CF2C3FA" w:rsidR="002A6880" w:rsidRPr="00DC1034" w:rsidRDefault="00392757" w:rsidP="00AD06CC">
      <w:pPr>
        <w:spacing w:after="200" w:line="276" w:lineRule="auto"/>
        <w:ind w:left="-851" w:right="51" w:hanging="11"/>
        <w:rPr>
          <w:rFonts w:ascii="ITC Avant Garde" w:hAnsi="ITC Avant Garde"/>
          <w:color w:val="auto"/>
        </w:rPr>
      </w:pPr>
      <w:r w:rsidRPr="00DC1034">
        <w:rPr>
          <w:rFonts w:ascii="ITC Avant Garde" w:hAnsi="ITC Avant Garde"/>
          <w:color w:val="auto"/>
        </w:rPr>
        <w:t>Asimismo, p</w:t>
      </w:r>
      <w:r w:rsidR="002A6880" w:rsidRPr="00DC1034">
        <w:rPr>
          <w:rFonts w:ascii="ITC Avant Garde" w:hAnsi="ITC Avant Garde"/>
          <w:color w:val="auto"/>
        </w:rPr>
        <w:t xml:space="preserve">ropone </w:t>
      </w:r>
      <w:r w:rsidRPr="00DC1034">
        <w:rPr>
          <w:rFonts w:ascii="ITC Avant Garde" w:hAnsi="ITC Avant Garde"/>
          <w:color w:val="auto"/>
        </w:rPr>
        <w:t xml:space="preserve">que la Oferta </w:t>
      </w:r>
      <w:r w:rsidR="002A6880" w:rsidRPr="00DC1034">
        <w:rPr>
          <w:rFonts w:ascii="ITC Avant Garde" w:hAnsi="ITC Avant Garde"/>
          <w:color w:val="auto"/>
        </w:rPr>
        <w:t>contemple y detalle en el anexo correspondiente los siguientes puntos</w:t>
      </w:r>
      <w:r w:rsidRPr="00DC1034">
        <w:rPr>
          <w:rFonts w:ascii="ITC Avant Garde" w:hAnsi="ITC Avant Garde"/>
          <w:color w:val="auto"/>
        </w:rPr>
        <w:t xml:space="preserve"> a efecto de permitir el </w:t>
      </w:r>
      <w:r w:rsidR="00833895" w:rsidRPr="00DC1034">
        <w:rPr>
          <w:rFonts w:ascii="ITC Avant Garde" w:hAnsi="ITC Avant Garde"/>
          <w:color w:val="auto"/>
        </w:rPr>
        <w:t>desarrollo</w:t>
      </w:r>
      <w:r w:rsidR="00AD06CC" w:rsidRPr="00DC1034">
        <w:rPr>
          <w:rFonts w:ascii="ITC Avant Garde" w:hAnsi="ITC Avant Garde"/>
          <w:color w:val="auto"/>
        </w:rPr>
        <w:t xml:space="preserve"> y presta</w:t>
      </w:r>
      <w:r w:rsidRPr="00DC1034">
        <w:rPr>
          <w:rFonts w:ascii="ITC Avant Garde" w:hAnsi="ITC Avant Garde"/>
          <w:color w:val="auto"/>
        </w:rPr>
        <w:t>ción de</w:t>
      </w:r>
      <w:r w:rsidR="00AD06CC" w:rsidRPr="00DC1034">
        <w:rPr>
          <w:rFonts w:ascii="ITC Avant Garde" w:hAnsi="ITC Avant Garde"/>
          <w:color w:val="auto"/>
        </w:rPr>
        <w:t xml:space="preserve"> servicios M2M</w:t>
      </w:r>
      <w:r w:rsidRPr="00DC1034">
        <w:rPr>
          <w:rFonts w:ascii="ITC Avant Garde" w:hAnsi="ITC Avant Garde"/>
          <w:color w:val="auto"/>
        </w:rPr>
        <w:t xml:space="preserve"> e </w:t>
      </w:r>
      <w:r w:rsidR="00AD06CC" w:rsidRPr="00DC1034">
        <w:rPr>
          <w:rFonts w:ascii="ITC Avant Garde" w:hAnsi="ITC Avant Garde"/>
          <w:color w:val="auto"/>
        </w:rPr>
        <w:t>IoT.</w:t>
      </w:r>
    </w:p>
    <w:p w14:paraId="231DD0FC" w14:textId="4E584131" w:rsidR="002A6880" w:rsidRPr="00DC1034" w:rsidRDefault="00392757" w:rsidP="00392757">
      <w:pPr>
        <w:spacing w:after="0" w:line="276" w:lineRule="auto"/>
        <w:ind w:left="0" w:right="49"/>
        <w:rPr>
          <w:rFonts w:ascii="ITC Avant Garde" w:hAnsi="ITC Avant Garde"/>
          <w:color w:val="auto"/>
        </w:rPr>
      </w:pPr>
      <w:r w:rsidRPr="00DC1034">
        <w:rPr>
          <w:rFonts w:ascii="ITC Avant Garde" w:hAnsi="ITC Avant Garde"/>
          <w:color w:val="auto"/>
        </w:rPr>
        <w:t>i</w:t>
      </w:r>
      <w:r w:rsidR="002A6880" w:rsidRPr="00DC1034">
        <w:rPr>
          <w:rFonts w:ascii="ITC Avant Garde" w:hAnsi="ITC Avant Garde"/>
          <w:color w:val="auto"/>
        </w:rPr>
        <w:t>. Condiciones técnicas de integración.</w:t>
      </w:r>
    </w:p>
    <w:p w14:paraId="49E7267E" w14:textId="0042911A" w:rsidR="002A6880" w:rsidRPr="00DC1034" w:rsidRDefault="00392757" w:rsidP="00392757">
      <w:pPr>
        <w:spacing w:after="0" w:line="276" w:lineRule="auto"/>
        <w:ind w:left="0" w:right="49"/>
        <w:rPr>
          <w:rFonts w:ascii="ITC Avant Garde" w:hAnsi="ITC Avant Garde"/>
          <w:color w:val="auto"/>
        </w:rPr>
      </w:pPr>
      <w:r w:rsidRPr="00DC1034">
        <w:rPr>
          <w:rFonts w:ascii="ITC Avant Garde" w:hAnsi="ITC Avant Garde"/>
          <w:color w:val="auto"/>
        </w:rPr>
        <w:t xml:space="preserve">ii. </w:t>
      </w:r>
      <w:r w:rsidR="002A6880" w:rsidRPr="00DC1034">
        <w:rPr>
          <w:rFonts w:ascii="ITC Avant Garde" w:hAnsi="ITC Avant Garde"/>
          <w:color w:val="auto"/>
        </w:rPr>
        <w:t xml:space="preserve">Operación, calidad y atención de incidencias. </w:t>
      </w:r>
    </w:p>
    <w:p w14:paraId="43BC8C89" w14:textId="062C4785" w:rsidR="002A6880" w:rsidRPr="00DC1034" w:rsidRDefault="00392757" w:rsidP="00392757">
      <w:pPr>
        <w:spacing w:after="0" w:line="276" w:lineRule="auto"/>
        <w:ind w:left="0" w:right="49"/>
        <w:rPr>
          <w:rFonts w:ascii="ITC Avant Garde" w:hAnsi="ITC Avant Garde"/>
          <w:color w:val="auto"/>
        </w:rPr>
      </w:pPr>
      <w:r w:rsidRPr="00DC1034">
        <w:rPr>
          <w:rFonts w:ascii="ITC Avant Garde" w:hAnsi="ITC Avant Garde"/>
          <w:color w:val="auto"/>
        </w:rPr>
        <w:t>iii.</w:t>
      </w:r>
      <w:r w:rsidR="002A6880" w:rsidRPr="00DC1034">
        <w:rPr>
          <w:rFonts w:ascii="ITC Avant Garde" w:hAnsi="ITC Avant Garde"/>
          <w:color w:val="auto"/>
        </w:rPr>
        <w:t xml:space="preserve"> Comprobación de equipos terminales. </w:t>
      </w:r>
    </w:p>
    <w:p w14:paraId="4052A3E1" w14:textId="32D10E7A" w:rsidR="002A6880" w:rsidRPr="00DC1034" w:rsidRDefault="00392757" w:rsidP="00392757">
      <w:pPr>
        <w:spacing w:after="200" w:line="276" w:lineRule="auto"/>
        <w:ind w:left="0" w:right="51" w:hanging="11"/>
        <w:rPr>
          <w:rFonts w:ascii="ITC Avant Garde" w:hAnsi="ITC Avant Garde"/>
          <w:color w:val="auto"/>
        </w:rPr>
      </w:pPr>
      <w:r w:rsidRPr="00DC1034">
        <w:rPr>
          <w:rFonts w:ascii="ITC Avant Garde" w:hAnsi="ITC Avant Garde"/>
          <w:color w:val="auto"/>
        </w:rPr>
        <w:t xml:space="preserve">iv. </w:t>
      </w:r>
      <w:r w:rsidR="00AD06CC" w:rsidRPr="00DC1034">
        <w:rPr>
          <w:rFonts w:ascii="ITC Avant Garde" w:hAnsi="ITC Avant Garde"/>
          <w:color w:val="auto"/>
        </w:rPr>
        <w:t xml:space="preserve">Conceptos tarifarios de cobro. </w:t>
      </w:r>
    </w:p>
    <w:p w14:paraId="5E848C2E" w14:textId="4B7AB2D2" w:rsidR="00080B99" w:rsidRPr="00DC1034" w:rsidRDefault="006A7595" w:rsidP="00AD06CC">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Finalmente, sugiere </w:t>
      </w:r>
      <w:r w:rsidR="00221FDC" w:rsidRPr="00DC1034">
        <w:rPr>
          <w:rFonts w:ascii="ITC Avant Garde" w:hAnsi="ITC Avant Garde"/>
          <w:color w:val="auto"/>
        </w:rPr>
        <w:t xml:space="preserve">la creación y aplicación de Promociones Mayoristas </w:t>
      </w:r>
      <w:r w:rsidR="002A6880" w:rsidRPr="00DC1034">
        <w:rPr>
          <w:rFonts w:ascii="ITC Avant Garde" w:hAnsi="ITC Avant Garde"/>
          <w:color w:val="auto"/>
        </w:rPr>
        <w:t xml:space="preserve">que </w:t>
      </w:r>
      <w:r w:rsidR="00221FDC" w:rsidRPr="00DC1034">
        <w:rPr>
          <w:rFonts w:ascii="ITC Avant Garde" w:hAnsi="ITC Avant Garde"/>
          <w:color w:val="auto"/>
        </w:rPr>
        <w:t xml:space="preserve">permitan a </w:t>
      </w:r>
      <w:r w:rsidR="002A6880" w:rsidRPr="00DC1034">
        <w:rPr>
          <w:rFonts w:ascii="ITC Avant Garde" w:hAnsi="ITC Avant Garde"/>
          <w:color w:val="auto"/>
        </w:rPr>
        <w:t>los OMV</w:t>
      </w:r>
      <w:r w:rsidR="00221FDC" w:rsidRPr="00DC1034">
        <w:rPr>
          <w:rFonts w:ascii="ITC Avant Garde" w:hAnsi="ITC Avant Garde"/>
          <w:color w:val="auto"/>
        </w:rPr>
        <w:t xml:space="preserve"> </w:t>
      </w:r>
      <w:r w:rsidR="002A6880" w:rsidRPr="00DC1034">
        <w:rPr>
          <w:rFonts w:ascii="ITC Avant Garde" w:hAnsi="ITC Avant Garde"/>
          <w:color w:val="auto"/>
        </w:rPr>
        <w:t>replicar y ofrecer a sus clientes y usuarios las diferentes promociones que el AEP lanza para sus propios usuarios finale</w:t>
      </w:r>
      <w:r w:rsidR="00221FDC" w:rsidRPr="00DC1034">
        <w:rPr>
          <w:rFonts w:ascii="ITC Avant Garde" w:hAnsi="ITC Avant Garde"/>
          <w:color w:val="auto"/>
        </w:rPr>
        <w:t>s.</w:t>
      </w:r>
    </w:p>
    <w:p w14:paraId="1ACC8121" w14:textId="77777777" w:rsidR="00080B99" w:rsidRPr="00DC1034" w:rsidRDefault="00080B99" w:rsidP="002A524D">
      <w:pPr>
        <w:pStyle w:val="IFT1"/>
        <w:tabs>
          <w:tab w:val="left" w:pos="426"/>
        </w:tabs>
        <w:spacing w:after="0"/>
        <w:ind w:left="-851"/>
        <w:rPr>
          <w:b/>
        </w:rPr>
      </w:pPr>
      <w:r w:rsidRPr="00DC1034">
        <w:rPr>
          <w:b/>
        </w:rPr>
        <w:t>Consideraciones del Instituto</w:t>
      </w:r>
    </w:p>
    <w:p w14:paraId="6B086593" w14:textId="550F5FD0" w:rsidR="00AB5CE7" w:rsidRPr="00DC1034" w:rsidRDefault="00AB5CE7" w:rsidP="004141E2">
      <w:pPr>
        <w:spacing w:after="200" w:line="276" w:lineRule="auto"/>
        <w:ind w:left="-851" w:right="51" w:hanging="11"/>
        <w:rPr>
          <w:rFonts w:ascii="ITC Avant Garde" w:hAnsi="ITC Avant Garde"/>
          <w:color w:val="auto"/>
        </w:rPr>
      </w:pPr>
      <w:r w:rsidRPr="00DC1034">
        <w:rPr>
          <w:rFonts w:ascii="ITC Avant Garde" w:hAnsi="ITC Avant Garde"/>
          <w:color w:val="auto"/>
        </w:rPr>
        <w:t>Se señala que la definición de las pruebas de replicabilidad excede</w:t>
      </w:r>
      <w:r w:rsidR="00B7141E" w:rsidRPr="00DC1034">
        <w:rPr>
          <w:rFonts w:ascii="ITC Avant Garde" w:hAnsi="ITC Avant Garde"/>
          <w:color w:val="auto"/>
        </w:rPr>
        <w:t>n</w:t>
      </w:r>
      <w:r w:rsidRPr="00DC1034">
        <w:rPr>
          <w:rFonts w:ascii="ITC Avant Garde" w:hAnsi="ITC Avant Garde"/>
          <w:color w:val="auto"/>
        </w:rPr>
        <w:t xml:space="preserve"> el alcance de la presente consulta.</w:t>
      </w:r>
    </w:p>
    <w:p w14:paraId="71131FDB" w14:textId="7BDDB713" w:rsidR="00CB2635" w:rsidRPr="00DC1034" w:rsidRDefault="00CB2635" w:rsidP="00CB2635">
      <w:pPr>
        <w:spacing w:after="200" w:line="276" w:lineRule="auto"/>
        <w:ind w:left="-851" w:right="51" w:hanging="11"/>
        <w:rPr>
          <w:rFonts w:ascii="ITC Avant Garde" w:hAnsi="ITC Avant Garde"/>
          <w:color w:val="auto"/>
        </w:rPr>
      </w:pPr>
      <w:r w:rsidRPr="00DC1034">
        <w:rPr>
          <w:rFonts w:ascii="ITC Avant Garde" w:hAnsi="ITC Avant Garde"/>
          <w:color w:val="auto"/>
        </w:rPr>
        <w:t xml:space="preserve">Referente a que la Oferta permita el desarrollo y prestación de servicios M2M e IoT. se señala que el numeral 6 “Funcionalidades o aplicaciones para servicios de datos” del Anexo II Acuerdos Técnicos, permite la integración de tales servicios, privilegiando el acuerdo entre las partes en los términos señalas anteriormente en virtud de las diversas soluciones y esquemas de tasación que pudieran existir. </w:t>
      </w:r>
    </w:p>
    <w:p w14:paraId="11F898AA" w14:textId="6522E0BE" w:rsidR="007F3EE9" w:rsidRPr="00DC1034" w:rsidRDefault="007F3EE9"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Televisa:</w:t>
      </w:r>
    </w:p>
    <w:p w14:paraId="16E7083B" w14:textId="189482FC" w:rsidR="004A5244" w:rsidRPr="00DC1034" w:rsidRDefault="002A6880" w:rsidP="004141E2">
      <w:pPr>
        <w:spacing w:after="200" w:line="276" w:lineRule="auto"/>
        <w:ind w:left="-851" w:right="0" w:firstLine="0"/>
        <w:rPr>
          <w:rFonts w:ascii="ITC Avant Garde" w:hAnsi="ITC Avant Garde"/>
          <w:color w:val="auto"/>
        </w:rPr>
      </w:pPr>
      <w:r w:rsidRPr="00DC1034">
        <w:rPr>
          <w:rFonts w:ascii="ITC Avant Garde" w:hAnsi="ITC Avant Garde"/>
          <w:color w:val="auto"/>
        </w:rPr>
        <w:t xml:space="preserve">El </w:t>
      </w:r>
      <w:r w:rsidR="00730BF0">
        <w:rPr>
          <w:rFonts w:ascii="ITC Avant Garde" w:hAnsi="ITC Avant Garde"/>
          <w:color w:val="auto"/>
        </w:rPr>
        <w:t>Instituto</w:t>
      </w:r>
      <w:r w:rsidRPr="00DC1034">
        <w:rPr>
          <w:rFonts w:ascii="ITC Avant Garde" w:hAnsi="ITC Avant Garde"/>
          <w:color w:val="auto"/>
        </w:rPr>
        <w:t xml:space="preserve"> debe utilizar el modelo de costos evitados no sólo para definir las tarifas mayoristas unitarias, sino el costo de los </w:t>
      </w:r>
      <w:r w:rsidR="0054186B" w:rsidRPr="00DC1034">
        <w:rPr>
          <w:rFonts w:ascii="ITC Avant Garde" w:hAnsi="ITC Avant Garde"/>
          <w:color w:val="auto"/>
        </w:rPr>
        <w:t>paquetes</w:t>
      </w:r>
      <w:r w:rsidRPr="00DC1034">
        <w:rPr>
          <w:rFonts w:ascii="ITC Avant Garde" w:hAnsi="ITC Avant Garde"/>
          <w:color w:val="auto"/>
        </w:rPr>
        <w:t xml:space="preserve"> que el AEPT ofrece a los usuarios finales puedan replicarse siempre con el objetivo de permitir que los concesionarios poder competir en igualdad de condiciones con las ofertas lanzadas por el AEPT. </w:t>
      </w:r>
    </w:p>
    <w:p w14:paraId="0A49FCED" w14:textId="77777777" w:rsidR="00B92AE1" w:rsidRPr="00DC1034" w:rsidRDefault="00B92AE1" w:rsidP="002A524D">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0EAF206B" w14:textId="1AB4D0C9" w:rsidR="00AA7A7E" w:rsidRPr="00DC1034" w:rsidRDefault="00730BF0" w:rsidP="00AA7A7E">
      <w:pPr>
        <w:spacing w:after="0" w:line="276" w:lineRule="auto"/>
        <w:ind w:left="-851" w:right="0" w:firstLine="0"/>
        <w:rPr>
          <w:rFonts w:ascii="ITC Avant Garde" w:eastAsia="Calibri" w:hAnsi="ITC Avant Garde" w:cs="Arial"/>
          <w:color w:val="auto"/>
          <w:sz w:val="18"/>
          <w:szCs w:val="18"/>
          <w:lang w:eastAsia="en-US"/>
        </w:rPr>
      </w:pPr>
      <w:r>
        <w:rPr>
          <w:rFonts w:ascii="ITC Avant Garde" w:hAnsi="ITC Avant Garde"/>
          <w:color w:val="auto"/>
        </w:rPr>
        <w:t>L</w:t>
      </w:r>
      <w:r w:rsidR="00AA7A7E" w:rsidRPr="00DC1034">
        <w:rPr>
          <w:rFonts w:ascii="ITC Avant Garde" w:hAnsi="ITC Avant Garde"/>
          <w:color w:val="auto"/>
        </w:rPr>
        <w:t>a definición de los esquemas tarifarios y los lineamientos metodológicos para la elaboración del modelo de cos</w:t>
      </w:r>
      <w:r>
        <w:rPr>
          <w:rFonts w:ascii="ITC Avant Garde" w:hAnsi="ITC Avant Garde"/>
          <w:color w:val="auto"/>
        </w:rPr>
        <w:t xml:space="preserve">tos utilizado por el Instituto </w:t>
      </w:r>
      <w:r w:rsidR="00AA7A7E" w:rsidRPr="00DC1034">
        <w:rPr>
          <w:rFonts w:ascii="ITC Avant Garde" w:hAnsi="ITC Avant Garde"/>
          <w:color w:val="auto"/>
        </w:rPr>
        <w:t>excede el alcance de la presente consulta.</w:t>
      </w:r>
    </w:p>
    <w:p w14:paraId="0FDA1241" w14:textId="52756CA8" w:rsidR="0054186B" w:rsidRPr="00DC1034" w:rsidRDefault="0054186B" w:rsidP="000617FF">
      <w:pPr>
        <w:spacing w:after="0" w:line="276" w:lineRule="auto"/>
        <w:ind w:left="-851" w:right="49"/>
        <w:rPr>
          <w:rFonts w:ascii="ITC Avant Garde" w:hAnsi="ITC Avant Garde"/>
          <w:color w:val="auto"/>
        </w:rPr>
      </w:pPr>
    </w:p>
    <w:p w14:paraId="1D9DCD4D" w14:textId="41B682CF" w:rsidR="0054186B" w:rsidRPr="00DC1034" w:rsidRDefault="0054186B" w:rsidP="0054186B">
      <w:pPr>
        <w:spacing w:after="0" w:line="276" w:lineRule="auto"/>
        <w:ind w:left="-851" w:right="0" w:firstLine="0"/>
        <w:rPr>
          <w:rFonts w:ascii="ITC Avant Garde" w:hAnsi="ITC Avant Garde"/>
          <w:b/>
          <w:color w:val="auto"/>
        </w:rPr>
      </w:pPr>
      <w:r w:rsidRPr="00DC1034">
        <w:rPr>
          <w:rFonts w:ascii="ITC Avant Garde" w:hAnsi="ITC Avant Garde"/>
          <w:b/>
          <w:color w:val="auto"/>
        </w:rPr>
        <w:t>Televisa:</w:t>
      </w:r>
    </w:p>
    <w:p w14:paraId="49D9C4FC" w14:textId="77777777" w:rsidR="0054186B" w:rsidRPr="00DC1034" w:rsidRDefault="0054186B" w:rsidP="0054186B">
      <w:pPr>
        <w:spacing w:after="0" w:line="276" w:lineRule="auto"/>
        <w:ind w:left="-851" w:right="0" w:firstLine="0"/>
        <w:rPr>
          <w:rFonts w:ascii="ITC Avant Garde" w:hAnsi="ITC Avant Garde"/>
          <w:color w:val="auto"/>
        </w:rPr>
      </w:pPr>
      <w:r w:rsidRPr="00DC1034">
        <w:rPr>
          <w:rFonts w:ascii="ITC Avant Garde" w:hAnsi="ITC Avant Garde"/>
          <w:color w:val="auto"/>
        </w:rPr>
        <w:t xml:space="preserve">Señala que las pruebas de replicabilidad económica deben realizarse de manera ex ante sobre las tarifas unitarias y sobre los paquetes. Además, indica que las pruebas de replicabilidad económica deben realizarse sobre todos los paquetes </w:t>
      </w:r>
      <w:r w:rsidRPr="00DC1034">
        <w:rPr>
          <w:rFonts w:ascii="ITC Avant Garde" w:hAnsi="ITC Avant Garde"/>
          <w:color w:val="auto"/>
        </w:rPr>
        <w:lastRenderedPageBreak/>
        <w:t xml:space="preserve">comerciales de manera individual, incluyendo las promociones del AEP, las cuales deberán ser aprobadas por el Instituto antes de su lanzamiento comercial. </w:t>
      </w:r>
    </w:p>
    <w:p w14:paraId="7DD63EAC" w14:textId="59F92BAD" w:rsidR="0054186B" w:rsidRPr="00DC1034" w:rsidRDefault="0054186B" w:rsidP="000617FF">
      <w:pPr>
        <w:spacing w:after="0" w:line="276" w:lineRule="auto"/>
        <w:ind w:left="-851" w:right="49"/>
        <w:rPr>
          <w:rFonts w:ascii="ITC Avant Garde" w:eastAsia="Calibri" w:hAnsi="ITC Avant Garde" w:cs="Arial"/>
          <w:color w:val="auto"/>
          <w:sz w:val="18"/>
          <w:szCs w:val="18"/>
          <w:lang w:eastAsia="en-US"/>
        </w:rPr>
      </w:pPr>
    </w:p>
    <w:p w14:paraId="6072A56B" w14:textId="77777777" w:rsidR="0054186B" w:rsidRPr="00DC1034" w:rsidRDefault="0054186B" w:rsidP="0054186B">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6603EC28" w14:textId="77777777" w:rsidR="00AA7A7E" w:rsidRPr="00DC1034" w:rsidRDefault="00AA7A7E" w:rsidP="00AA7A7E">
      <w:pPr>
        <w:spacing w:after="0" w:line="276" w:lineRule="auto"/>
        <w:ind w:left="-851" w:right="49"/>
        <w:rPr>
          <w:rFonts w:ascii="ITC Avant Garde" w:eastAsia="Calibri" w:hAnsi="ITC Avant Garde" w:cs="Arial"/>
          <w:color w:val="auto"/>
          <w:sz w:val="18"/>
          <w:szCs w:val="18"/>
          <w:lang w:eastAsia="en-US"/>
        </w:rPr>
      </w:pPr>
      <w:r w:rsidRPr="00DC1034">
        <w:rPr>
          <w:rFonts w:ascii="ITC Avant Garde" w:hAnsi="ITC Avant Garde"/>
          <w:color w:val="auto"/>
        </w:rPr>
        <w:t>Se señala que la definición de las pruebas de replicabilidad económica excede el alcance de la presente consulta. No obstante, se indica que la medida Sexagésima cuarta de las Medidas Móviles establece que el Instituto validará de manera ex post la replicabilidad económica de las tarifas de los servicios mayoristas regulados y, en caso de que estas no pasen la prueba, el AEP podrá modificar las tarifas de los servicios mayoristas regulados o las del usuario final.</w:t>
      </w:r>
    </w:p>
    <w:p w14:paraId="3F87B736" w14:textId="77777777" w:rsidR="00AA7A7E" w:rsidRPr="00DC1034" w:rsidRDefault="00AA7A7E" w:rsidP="00AA7A7E">
      <w:pPr>
        <w:spacing w:after="0" w:line="276" w:lineRule="auto"/>
        <w:ind w:left="-284" w:right="49"/>
        <w:rPr>
          <w:rFonts w:ascii="ITC Avant Garde" w:hAnsi="ITC Avant Garde"/>
          <w:color w:val="auto"/>
        </w:rPr>
      </w:pPr>
    </w:p>
    <w:p w14:paraId="548C760C" w14:textId="77777777" w:rsidR="00AA7A7E" w:rsidRPr="00DC1034" w:rsidRDefault="00AA7A7E" w:rsidP="00AA7A7E">
      <w:pPr>
        <w:spacing w:after="0" w:line="276" w:lineRule="auto"/>
        <w:ind w:left="-851" w:right="49"/>
        <w:rPr>
          <w:rFonts w:ascii="ITC Avant Garde" w:eastAsia="Calibri" w:hAnsi="ITC Avant Garde" w:cs="Arial"/>
          <w:i/>
          <w:color w:val="auto"/>
          <w:sz w:val="18"/>
          <w:szCs w:val="18"/>
          <w:lang w:eastAsia="en-US"/>
        </w:rPr>
      </w:pPr>
      <w:r w:rsidRPr="00DC1034">
        <w:rPr>
          <w:rFonts w:ascii="ITC Avant Garde" w:hAnsi="ITC Avant Garde"/>
          <w:color w:val="auto"/>
        </w:rPr>
        <w:t>Asimismo, el Acuerdo de Replicabilidad Económica</w:t>
      </w:r>
      <w:r w:rsidRPr="00DC1034">
        <w:rPr>
          <w:rStyle w:val="Refdenotaalpie"/>
          <w:rFonts w:ascii="ITC Avant Garde" w:hAnsi="ITC Avant Garde"/>
          <w:color w:val="auto"/>
        </w:rPr>
        <w:footnoteReference w:id="4"/>
      </w:r>
      <w:r w:rsidRPr="00DC1034">
        <w:rPr>
          <w:rFonts w:ascii="ITC Avant Garde" w:hAnsi="ITC Avant Garde"/>
          <w:color w:val="auto"/>
        </w:rPr>
        <w:t xml:space="preserve"> establece que esta prueba se realizará de manera ex post cada tres meses, aplicándose de manera separada tanto a la cartera de Prepago como a la de Pospago, así como a las ofertas insignia.</w:t>
      </w:r>
    </w:p>
    <w:p w14:paraId="2B9985A0" w14:textId="77777777" w:rsidR="00AA7A7E" w:rsidRPr="00DC1034" w:rsidRDefault="00AA7A7E" w:rsidP="00AA7A7E">
      <w:pPr>
        <w:spacing w:after="0" w:line="276" w:lineRule="auto"/>
        <w:ind w:left="-851" w:right="49"/>
        <w:rPr>
          <w:rFonts w:ascii="ITC Avant Garde" w:hAnsi="ITC Avant Garde"/>
          <w:color w:val="auto"/>
        </w:rPr>
      </w:pPr>
    </w:p>
    <w:p w14:paraId="634B35A9" w14:textId="2905D17B" w:rsidR="00920AA4" w:rsidRPr="00DC1034" w:rsidRDefault="00AA7A7E" w:rsidP="000617FF">
      <w:pPr>
        <w:spacing w:after="0" w:line="276" w:lineRule="auto"/>
        <w:ind w:left="-851" w:right="49"/>
        <w:rPr>
          <w:rFonts w:ascii="ITC Avant Garde" w:eastAsia="Calibri" w:hAnsi="ITC Avant Garde" w:cs="Arial"/>
          <w:color w:val="auto"/>
          <w:sz w:val="18"/>
          <w:szCs w:val="18"/>
          <w:lang w:eastAsia="en-US"/>
        </w:rPr>
      </w:pPr>
      <w:r w:rsidRPr="00DC1034">
        <w:rPr>
          <w:rFonts w:ascii="ITC Avant Garde" w:hAnsi="ITC Avant Garde"/>
          <w:b/>
          <w:color w:val="auto"/>
        </w:rPr>
        <w:t>Televisa:</w:t>
      </w:r>
    </w:p>
    <w:p w14:paraId="6055CECD" w14:textId="1FD3ED63" w:rsidR="00920AA4" w:rsidRPr="00DC1034" w:rsidRDefault="00920AA4" w:rsidP="000617FF">
      <w:pPr>
        <w:spacing w:after="0" w:line="276" w:lineRule="auto"/>
        <w:ind w:left="-851" w:right="49"/>
        <w:rPr>
          <w:rFonts w:ascii="ITC Avant Garde" w:hAnsi="ITC Avant Garde"/>
        </w:rPr>
      </w:pPr>
      <w:r w:rsidRPr="00DC1034">
        <w:rPr>
          <w:rFonts w:ascii="ITC Avant Garde" w:hAnsi="ITC Avant Garde"/>
        </w:rPr>
        <w:t>Refieren que la OREDA vigente establece que los servicios de “Reventa” permite a los concesionarios comercializar los servicios o paquetes comerciales que en la actualidad el AEP tiene autorizados y registrados ante el Instituto, en los mismos términos y condiciones que ofrece a sus usuarios finales. Señala que, al igual que en la OREDA, el AEP debe ofrecer a los concesionarios las nuevas ofertas comerciales de paquetes una vez que las autorice el Instituto, por lo que Telcel deberá publicar en el SEG las ofertas registradas y autorizadas por el Instituto para que los concesionarios puedan seleccionarlas directamente</w:t>
      </w:r>
      <w:r w:rsidR="00B71E13" w:rsidRPr="00DC1034">
        <w:rPr>
          <w:rFonts w:ascii="ITC Avant Garde" w:hAnsi="ITC Avant Garde"/>
        </w:rPr>
        <w:t xml:space="preserve"> sobre la plataforma y no tengan que esperar los 30 días calendario en tratar de igualar ofertas no replicables del AEP</w:t>
      </w:r>
      <w:r w:rsidRPr="00DC1034">
        <w:rPr>
          <w:rFonts w:ascii="ITC Avant Garde" w:hAnsi="ITC Avant Garde"/>
        </w:rPr>
        <w:t>.</w:t>
      </w:r>
    </w:p>
    <w:p w14:paraId="6A491BD8" w14:textId="0E02070F" w:rsidR="00920AA4" w:rsidRPr="00DC1034" w:rsidRDefault="00920AA4" w:rsidP="000617FF">
      <w:pPr>
        <w:spacing w:after="0" w:line="276" w:lineRule="auto"/>
        <w:ind w:left="-851" w:right="49"/>
        <w:rPr>
          <w:rFonts w:ascii="ITC Avant Garde" w:hAnsi="ITC Avant Garde"/>
        </w:rPr>
      </w:pPr>
    </w:p>
    <w:p w14:paraId="5904288B" w14:textId="77777777" w:rsidR="00920AA4" w:rsidRPr="00DC1034" w:rsidRDefault="00920AA4" w:rsidP="00920AA4">
      <w:pPr>
        <w:spacing w:after="0" w:line="276" w:lineRule="auto"/>
        <w:ind w:left="-851" w:right="0" w:firstLine="0"/>
        <w:rPr>
          <w:rFonts w:ascii="ITC Avant Garde" w:hAnsi="ITC Avant Garde"/>
          <w:b/>
          <w:color w:val="auto"/>
        </w:rPr>
      </w:pPr>
      <w:r w:rsidRPr="00DC1034">
        <w:rPr>
          <w:rFonts w:ascii="ITC Avant Garde" w:hAnsi="ITC Avant Garde"/>
          <w:b/>
          <w:color w:val="auto"/>
        </w:rPr>
        <w:t xml:space="preserve">Consideraciones del Instituto </w:t>
      </w:r>
    </w:p>
    <w:p w14:paraId="2157DB53" w14:textId="1191C154" w:rsidR="00AA7A7E" w:rsidRPr="00DC1034" w:rsidRDefault="00AA7A7E" w:rsidP="00AA7A7E">
      <w:pPr>
        <w:spacing w:line="276" w:lineRule="auto"/>
        <w:ind w:left="-851" w:right="0"/>
        <w:rPr>
          <w:rFonts w:ascii="ITC Avant Garde" w:hAnsi="ITC Avant Garde"/>
          <w:color w:val="auto"/>
        </w:rPr>
      </w:pPr>
      <w:r w:rsidRPr="00DC1034">
        <w:rPr>
          <w:rFonts w:ascii="ITC Avant Garde" w:hAnsi="ITC Avant Garde"/>
          <w:color w:val="auto"/>
        </w:rPr>
        <w:t xml:space="preserve">Al respecto se señala que el Anexo I Oferta de Servicios, ya considera poner a disposición de los OMV la oferta comercial de Telcel. </w:t>
      </w:r>
    </w:p>
    <w:p w14:paraId="4285B89F" w14:textId="77777777" w:rsidR="00AA7A7E" w:rsidRPr="00DC1034" w:rsidRDefault="00AA7A7E" w:rsidP="00AA7A7E">
      <w:pPr>
        <w:spacing w:line="276" w:lineRule="auto"/>
        <w:ind w:left="-851" w:right="0"/>
        <w:rPr>
          <w:rFonts w:ascii="ITC Avant Garde" w:hAnsi="ITC Avant Garde"/>
          <w:color w:val="auto"/>
        </w:rPr>
      </w:pPr>
    </w:p>
    <w:p w14:paraId="26CEC18A" w14:textId="77777777" w:rsidR="00AA7A7E" w:rsidRPr="00DC1034" w:rsidRDefault="00AA7A7E" w:rsidP="00535CC8">
      <w:pPr>
        <w:spacing w:after="0" w:line="276" w:lineRule="auto"/>
        <w:ind w:left="-284" w:right="612" w:firstLine="0"/>
        <w:rPr>
          <w:rFonts w:ascii="ITC Avant Garde" w:eastAsia="Calibri" w:hAnsi="ITC Avant Garde" w:cs="Arial"/>
          <w:b/>
          <w:i/>
          <w:sz w:val="18"/>
          <w:szCs w:val="18"/>
        </w:rPr>
      </w:pPr>
      <w:r w:rsidRPr="00DC1034">
        <w:rPr>
          <w:rFonts w:ascii="ITC Avant Garde" w:eastAsia="Calibri" w:hAnsi="ITC Avant Garde" w:cs="Arial"/>
          <w:b/>
          <w:i/>
          <w:sz w:val="18"/>
          <w:szCs w:val="18"/>
        </w:rPr>
        <w:t>VI Servicios Adicionales para el OMV.</w:t>
      </w:r>
    </w:p>
    <w:p w14:paraId="64E390F7" w14:textId="77777777" w:rsidR="00AA7A7E" w:rsidRPr="00DC1034" w:rsidRDefault="00AA7A7E" w:rsidP="00535CC8">
      <w:pPr>
        <w:spacing w:after="0" w:line="276" w:lineRule="auto"/>
        <w:ind w:left="-284" w:right="612" w:firstLine="0"/>
        <w:rPr>
          <w:rFonts w:ascii="ITC Avant Garde" w:eastAsia="Calibri" w:hAnsi="ITC Avant Garde" w:cs="Arial"/>
          <w:i/>
          <w:sz w:val="18"/>
          <w:szCs w:val="18"/>
        </w:rPr>
      </w:pPr>
    </w:p>
    <w:p w14:paraId="093D38AA" w14:textId="77777777" w:rsidR="00AA7A7E" w:rsidRPr="00DC1034" w:rsidRDefault="00AA7A7E" w:rsidP="00535CC8">
      <w:pPr>
        <w:spacing w:after="0" w:line="276" w:lineRule="auto"/>
        <w:ind w:left="-284" w:right="612" w:firstLine="0"/>
        <w:rPr>
          <w:rFonts w:ascii="ITC Avant Garde" w:eastAsia="Calibri" w:hAnsi="ITC Avant Garde" w:cs="Arial"/>
          <w:i/>
          <w:sz w:val="18"/>
          <w:szCs w:val="18"/>
        </w:rPr>
      </w:pPr>
      <w:r w:rsidRPr="00DC1034">
        <w:rPr>
          <w:rFonts w:ascii="ITC Avant Garde" w:eastAsia="Calibri" w:hAnsi="ITC Avant Garde" w:cs="Arial"/>
          <w:i/>
          <w:sz w:val="18"/>
          <w:szCs w:val="18"/>
        </w:rPr>
        <w:t>(…)</w:t>
      </w:r>
    </w:p>
    <w:p w14:paraId="0CB37893" w14:textId="77777777" w:rsidR="00AA7A7E" w:rsidRPr="00DC1034" w:rsidRDefault="00AA7A7E" w:rsidP="00535CC8">
      <w:pPr>
        <w:spacing w:after="0" w:line="276" w:lineRule="auto"/>
        <w:ind w:left="-284" w:right="612" w:firstLine="0"/>
        <w:rPr>
          <w:rFonts w:ascii="ITC Avant Garde" w:eastAsia="Calibri" w:hAnsi="ITC Avant Garde" w:cs="Arial"/>
          <w:i/>
          <w:sz w:val="18"/>
          <w:szCs w:val="18"/>
        </w:rPr>
      </w:pPr>
      <w:r w:rsidRPr="00DC1034">
        <w:rPr>
          <w:rFonts w:ascii="ITC Avant Garde" w:eastAsia="Calibri" w:hAnsi="ITC Avant Garde" w:cs="Arial"/>
          <w:i/>
          <w:sz w:val="18"/>
          <w:szCs w:val="18"/>
        </w:rPr>
        <w:t xml:space="preserve">En el supuesto de que el OMV solicite nuevos planes y productos de pospago y prepago que se asemejen a productos y servicios minoristas de Telcel, el plazo de liberación comercial no podrá exceder de 15 (quince) días hábiles. </w:t>
      </w:r>
    </w:p>
    <w:p w14:paraId="5C255653" w14:textId="77777777" w:rsidR="00AA7A7E" w:rsidRPr="00DC1034" w:rsidRDefault="00AA7A7E" w:rsidP="00535CC8">
      <w:pPr>
        <w:spacing w:after="0" w:line="276" w:lineRule="auto"/>
        <w:ind w:left="-284" w:right="612" w:firstLine="0"/>
        <w:rPr>
          <w:rFonts w:ascii="ITC Avant Garde" w:eastAsia="Calibri" w:hAnsi="ITC Avant Garde" w:cs="Arial"/>
          <w:i/>
          <w:sz w:val="18"/>
          <w:szCs w:val="18"/>
        </w:rPr>
      </w:pPr>
    </w:p>
    <w:p w14:paraId="1F6D8D77" w14:textId="77777777" w:rsidR="00AA7A7E" w:rsidRPr="00DC1034" w:rsidRDefault="00AA7A7E" w:rsidP="00535CC8">
      <w:pPr>
        <w:spacing w:after="0" w:line="276" w:lineRule="auto"/>
        <w:ind w:left="-284" w:right="612" w:firstLine="0"/>
        <w:rPr>
          <w:rFonts w:ascii="ITC Avant Garde" w:eastAsia="Calibri" w:hAnsi="ITC Avant Garde" w:cs="Arial"/>
          <w:i/>
          <w:sz w:val="18"/>
          <w:szCs w:val="18"/>
        </w:rPr>
      </w:pPr>
      <w:r w:rsidRPr="00DC1034">
        <w:rPr>
          <w:rFonts w:ascii="ITC Avant Garde" w:eastAsia="Calibri" w:hAnsi="ITC Avant Garde" w:cs="Arial"/>
          <w:i/>
          <w:sz w:val="18"/>
          <w:szCs w:val="18"/>
        </w:rPr>
        <w:t>Para el caso de que los nuevos planes y productos de pospago y prepago solicitados por el OMV no se asemejen a productos y servicios minoristas de Telcel y requieran inversiones adicionales por parte de Telcel, éste emitirá un documento en el que se justifique la ampliación del plazo.</w:t>
      </w:r>
    </w:p>
    <w:p w14:paraId="48D8C381" w14:textId="77777777" w:rsidR="00AA7A7E" w:rsidRPr="00DC1034" w:rsidRDefault="00AA7A7E" w:rsidP="00535CC8">
      <w:pPr>
        <w:spacing w:after="0" w:line="276" w:lineRule="auto"/>
        <w:ind w:left="-284" w:right="612" w:firstLine="0"/>
        <w:rPr>
          <w:rFonts w:ascii="ITC Avant Garde" w:eastAsia="Calibri" w:hAnsi="ITC Avant Garde" w:cs="Arial"/>
          <w:i/>
          <w:sz w:val="18"/>
          <w:szCs w:val="18"/>
        </w:rPr>
      </w:pPr>
      <w:r w:rsidRPr="00DC1034">
        <w:rPr>
          <w:rFonts w:ascii="ITC Avant Garde" w:eastAsia="Calibri" w:hAnsi="ITC Avant Garde" w:cs="Arial"/>
          <w:i/>
          <w:sz w:val="18"/>
          <w:szCs w:val="18"/>
        </w:rPr>
        <w:t>(…)</w:t>
      </w:r>
    </w:p>
    <w:p w14:paraId="74143BF0" w14:textId="681E0710" w:rsidR="0065571E" w:rsidRPr="00DC1034" w:rsidRDefault="0065571E" w:rsidP="00535CC8">
      <w:pPr>
        <w:spacing w:after="0" w:line="276" w:lineRule="auto"/>
        <w:ind w:left="0" w:right="49" w:firstLine="0"/>
        <w:rPr>
          <w:rFonts w:ascii="ITC Avant Garde" w:eastAsia="Calibri" w:hAnsi="ITC Avant Garde" w:cs="Arial"/>
          <w:color w:val="auto"/>
          <w:sz w:val="18"/>
          <w:szCs w:val="18"/>
          <w:lang w:eastAsia="en-US"/>
        </w:rPr>
      </w:pPr>
    </w:p>
    <w:p w14:paraId="68B36677" w14:textId="77777777" w:rsidR="0065571E" w:rsidRPr="00DC1034" w:rsidRDefault="0065571E" w:rsidP="0065571E">
      <w:pPr>
        <w:spacing w:after="0" w:line="276" w:lineRule="auto"/>
        <w:ind w:left="-851" w:right="49"/>
        <w:rPr>
          <w:rFonts w:ascii="ITC Avant Garde" w:hAnsi="ITC Avant Garde"/>
          <w:b/>
          <w:color w:val="auto"/>
        </w:rPr>
      </w:pPr>
      <w:r w:rsidRPr="00DC1034">
        <w:rPr>
          <w:rFonts w:ascii="ITC Avant Garde" w:hAnsi="ITC Avant Garde"/>
          <w:b/>
          <w:color w:val="auto"/>
        </w:rPr>
        <w:t>Televisa:</w:t>
      </w:r>
    </w:p>
    <w:p w14:paraId="456EC5E9" w14:textId="25FFE617" w:rsidR="0065571E" w:rsidRPr="00DC1034" w:rsidRDefault="0065571E" w:rsidP="0065571E">
      <w:pPr>
        <w:spacing w:after="0" w:line="276" w:lineRule="auto"/>
        <w:ind w:left="-851" w:right="49"/>
        <w:rPr>
          <w:rFonts w:ascii="ITC Avant Garde" w:hAnsi="ITC Avant Garde"/>
          <w:color w:val="auto"/>
        </w:rPr>
      </w:pPr>
      <w:r w:rsidRPr="00DC1034">
        <w:rPr>
          <w:rFonts w:ascii="ITC Avant Garde" w:hAnsi="ITC Avant Garde"/>
          <w:color w:val="auto"/>
        </w:rPr>
        <w:t>Solicitan la inclusión del servicio de “</w:t>
      </w:r>
      <w:r w:rsidRPr="00DC1034">
        <w:rPr>
          <w:rFonts w:ascii="ITC Avant Garde" w:hAnsi="ITC Avant Garde"/>
          <w:i/>
          <w:color w:val="auto"/>
        </w:rPr>
        <w:t>Fixed-Wireless</w:t>
      </w:r>
      <w:r w:rsidRPr="00DC1034">
        <w:rPr>
          <w:rFonts w:ascii="ITC Avant Garde" w:hAnsi="ITC Avant Garde"/>
          <w:color w:val="auto"/>
        </w:rPr>
        <w:t xml:space="preserve">” dentro de las Medidas Móviles como un servicio de la Oferta, el cual deberá incluir </w:t>
      </w:r>
      <w:r w:rsidR="00730BF0">
        <w:rPr>
          <w:rFonts w:ascii="ITC Avant Garde" w:hAnsi="ITC Avant Garde"/>
          <w:color w:val="auto"/>
        </w:rPr>
        <w:t>los procedimientos, tarifas y mó</w:t>
      </w:r>
      <w:r w:rsidRPr="00DC1034">
        <w:rPr>
          <w:rFonts w:ascii="ITC Avant Garde" w:hAnsi="ITC Avant Garde"/>
          <w:color w:val="auto"/>
        </w:rPr>
        <w:t>dulo dentro del modelo de costos con el fin de dar cumplimiento a los principios de replicabilidad económica, técnica y la equivalencia de insumos. Asimismo, solicita que este servicio sea sometido a un test de replicabilidad comercial ex ante para garantizar que los concesionarios puedan replicarlo.</w:t>
      </w:r>
    </w:p>
    <w:p w14:paraId="10C978D0" w14:textId="77777777" w:rsidR="00D874BB" w:rsidRDefault="00D874BB" w:rsidP="0065571E">
      <w:pPr>
        <w:spacing w:after="0" w:line="276" w:lineRule="auto"/>
        <w:ind w:left="-851" w:right="49"/>
        <w:rPr>
          <w:rFonts w:ascii="ITC Avant Garde" w:hAnsi="ITC Avant Garde"/>
          <w:b/>
          <w:color w:val="auto"/>
        </w:rPr>
      </w:pPr>
    </w:p>
    <w:p w14:paraId="5A40191B" w14:textId="37C4B7BC" w:rsidR="0065571E" w:rsidRPr="00DC1034" w:rsidRDefault="0065571E" w:rsidP="0065571E">
      <w:pPr>
        <w:spacing w:after="0" w:line="276" w:lineRule="auto"/>
        <w:ind w:left="-851" w:right="49"/>
        <w:rPr>
          <w:rFonts w:ascii="ITC Avant Garde" w:hAnsi="ITC Avant Garde"/>
          <w:b/>
          <w:color w:val="auto"/>
        </w:rPr>
      </w:pPr>
      <w:r w:rsidRPr="00DC1034">
        <w:rPr>
          <w:rFonts w:ascii="ITC Avant Garde" w:hAnsi="ITC Avant Garde"/>
          <w:b/>
          <w:color w:val="auto"/>
        </w:rPr>
        <w:t>Consideraciones del Instituto</w:t>
      </w:r>
    </w:p>
    <w:p w14:paraId="680FF4E0" w14:textId="7FE69961" w:rsidR="0065571E" w:rsidRPr="00DC1034" w:rsidRDefault="0065571E" w:rsidP="0065571E">
      <w:pPr>
        <w:spacing w:after="0" w:line="276" w:lineRule="auto"/>
        <w:ind w:left="-851" w:right="0" w:firstLine="0"/>
        <w:rPr>
          <w:rFonts w:ascii="ITC Avant Garde" w:hAnsi="ITC Avant Garde"/>
          <w:b/>
          <w:color w:val="auto"/>
        </w:rPr>
      </w:pPr>
      <w:r w:rsidRPr="00DC1034">
        <w:rPr>
          <w:rFonts w:ascii="ITC Avant Garde" w:hAnsi="ITC Avant Garde"/>
          <w:color w:val="auto"/>
        </w:rPr>
        <w:t>Se señala que la inclusión del servicio dentro de las Medidas Móviles, así como definición de las pruebas de replicabilidad exceden el alcance de la presente consulta.</w:t>
      </w:r>
    </w:p>
    <w:p w14:paraId="47322DEF" w14:textId="77777777" w:rsidR="0065571E" w:rsidRPr="00DC1034" w:rsidRDefault="0065571E" w:rsidP="0065571E">
      <w:pPr>
        <w:pStyle w:val="IFT1"/>
        <w:tabs>
          <w:tab w:val="left" w:pos="426"/>
        </w:tabs>
        <w:spacing w:after="0"/>
        <w:ind w:left="-851"/>
        <w:rPr>
          <w:rFonts w:cs="Arial"/>
        </w:rPr>
      </w:pPr>
    </w:p>
    <w:p w14:paraId="6B190DA0" w14:textId="502CEBF9" w:rsidR="0065571E" w:rsidRPr="00DC1034" w:rsidRDefault="00730BF0" w:rsidP="0065571E">
      <w:pPr>
        <w:pStyle w:val="IFT1"/>
        <w:tabs>
          <w:tab w:val="left" w:pos="426"/>
        </w:tabs>
        <w:spacing w:after="0"/>
        <w:ind w:left="-851"/>
        <w:rPr>
          <w:rFonts w:cs="Arial"/>
          <w:snapToGrid w:val="0"/>
        </w:rPr>
      </w:pPr>
      <w:r>
        <w:rPr>
          <w:rFonts w:cs="Arial"/>
        </w:rPr>
        <w:t>Además,</w:t>
      </w:r>
      <w:r w:rsidR="0065571E" w:rsidRPr="00DC1034">
        <w:rPr>
          <w:rFonts w:cs="Arial"/>
        </w:rPr>
        <w:t xml:space="preserve"> </w:t>
      </w:r>
      <w:r>
        <w:rPr>
          <w:rFonts w:cs="Arial"/>
        </w:rPr>
        <w:t xml:space="preserve">respecto a </w:t>
      </w:r>
      <w:r w:rsidR="0065571E" w:rsidRPr="00DC1034">
        <w:rPr>
          <w:rFonts w:cs="Arial"/>
        </w:rPr>
        <w:t xml:space="preserve">las condiciones para la prestación del servicio, la Oferta contempla la prestación de servicios como IoT, M2M y servicios de internet en el hogar o </w:t>
      </w:r>
      <w:r w:rsidR="0065571E" w:rsidRPr="00DC1034">
        <w:rPr>
          <w:rFonts w:cs="Arial"/>
          <w:i/>
        </w:rPr>
        <w:t>“Fixed-Wireless”</w:t>
      </w:r>
      <w:r w:rsidR="0065571E" w:rsidRPr="00DC1034">
        <w:rPr>
          <w:rFonts w:cs="Arial"/>
        </w:rPr>
        <w:t xml:space="preserve">, tal como establece </w:t>
      </w:r>
      <w:r w:rsidR="0065571E" w:rsidRPr="00DC1034">
        <w:rPr>
          <w:rFonts w:cs="Arial"/>
          <w:snapToGrid w:val="0"/>
        </w:rPr>
        <w:t>la definición de “Funcionalidades o aplicaciones para servicios de datos”:</w:t>
      </w:r>
    </w:p>
    <w:p w14:paraId="3B2CB13B" w14:textId="77777777" w:rsidR="0065571E" w:rsidRPr="00DC1034" w:rsidRDefault="0065571E" w:rsidP="0065571E">
      <w:pPr>
        <w:pStyle w:val="IFT1"/>
        <w:tabs>
          <w:tab w:val="left" w:pos="426"/>
        </w:tabs>
        <w:spacing w:after="0"/>
        <w:ind w:left="-851"/>
        <w:rPr>
          <w:rFonts w:cs="Arial"/>
          <w:snapToGrid w:val="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5317"/>
      </w:tblGrid>
      <w:tr w:rsidR="0065571E" w:rsidRPr="00DC1034" w14:paraId="4BF92FC2" w14:textId="77777777" w:rsidTr="00DE5AD8">
        <w:tc>
          <w:tcPr>
            <w:tcW w:w="2742" w:type="dxa"/>
          </w:tcPr>
          <w:p w14:paraId="3C97F2E2" w14:textId="77777777" w:rsidR="0065571E" w:rsidRPr="00DC1034" w:rsidRDefault="0065571E" w:rsidP="00DE5AD8">
            <w:pPr>
              <w:spacing w:after="0" w:line="276" w:lineRule="auto"/>
              <w:ind w:left="-250" w:right="612"/>
              <w:jc w:val="right"/>
              <w:rPr>
                <w:rFonts w:ascii="ITC Avant Garde" w:hAnsi="ITC Avant Garde" w:cs="Arial"/>
                <w:i/>
                <w:spacing w:val="-1"/>
                <w:sz w:val="18"/>
                <w:szCs w:val="18"/>
              </w:rPr>
            </w:pPr>
            <w:r w:rsidRPr="00DC1034">
              <w:rPr>
                <w:rFonts w:ascii="ITC Avant Garde" w:hAnsi="ITC Avant Garde" w:cs="Arial"/>
                <w:i/>
                <w:spacing w:val="-1"/>
                <w:sz w:val="18"/>
                <w:szCs w:val="18"/>
              </w:rPr>
              <w:t>“Funcionalidades o aplicaciones para servicios de datos:</w:t>
            </w:r>
          </w:p>
        </w:tc>
        <w:tc>
          <w:tcPr>
            <w:tcW w:w="5495" w:type="dxa"/>
          </w:tcPr>
          <w:p w14:paraId="2C4DA8C3" w14:textId="77777777" w:rsidR="0065571E" w:rsidRPr="00DC1034" w:rsidRDefault="0065571E" w:rsidP="00DE5AD8">
            <w:pPr>
              <w:spacing w:after="0" w:line="276" w:lineRule="auto"/>
              <w:ind w:left="-11" w:right="612"/>
              <w:rPr>
                <w:rFonts w:ascii="ITC Avant Garde" w:hAnsi="ITC Avant Garde" w:cs="Arial"/>
                <w:i/>
                <w:spacing w:val="-1"/>
                <w:sz w:val="18"/>
                <w:szCs w:val="18"/>
              </w:rPr>
            </w:pPr>
            <w:r w:rsidRPr="00DC1034">
              <w:rPr>
                <w:rFonts w:ascii="ITC Avant Garde" w:hAnsi="ITC Avant Garde" w:cs="Arial"/>
                <w:i/>
                <w:spacing w:val="-1"/>
                <w:sz w:val="18"/>
                <w:szCs w:val="18"/>
              </w:rPr>
              <w:t xml:space="preserve">Funcionalidades o aplicaciones para servicios de datos como son servicios Máquina a Máquina (M2M), Internet de las Cosas (IoT) </w:t>
            </w:r>
            <w:r w:rsidRPr="00DC1034">
              <w:rPr>
                <w:rFonts w:ascii="ITC Avant Garde" w:hAnsi="ITC Avant Garde" w:cs="Arial"/>
                <w:i/>
                <w:spacing w:val="-1"/>
                <w:sz w:val="18"/>
                <w:szCs w:val="18"/>
                <w:u w:val="single"/>
              </w:rPr>
              <w:t>y/o servicios de internet en el hogar.</w:t>
            </w:r>
            <w:r w:rsidRPr="00DC1034">
              <w:rPr>
                <w:rFonts w:ascii="ITC Avant Garde" w:hAnsi="ITC Avant Garde" w:cs="Arial"/>
                <w:i/>
                <w:spacing w:val="-1"/>
                <w:sz w:val="18"/>
                <w:szCs w:val="18"/>
              </w:rPr>
              <w:t xml:space="preserve"> Las Partes reconocen que los funcionalidades o aplicaciones para servicios de datos como Internet de las cosas y/o Máquina a Máquina deberán apegarse, de manera no limitativa, a los estándares y recomendaciones de la GSMA. “</w:t>
            </w:r>
          </w:p>
          <w:p w14:paraId="3A500074" w14:textId="77777777" w:rsidR="0065571E" w:rsidRPr="00DC1034" w:rsidRDefault="0065571E" w:rsidP="00DE5AD8">
            <w:pPr>
              <w:spacing w:after="0" w:line="276" w:lineRule="auto"/>
              <w:ind w:left="-851" w:right="612"/>
              <w:jc w:val="right"/>
              <w:rPr>
                <w:rFonts w:ascii="ITC Avant Garde" w:hAnsi="ITC Avant Garde" w:cs="Arial"/>
                <w:spacing w:val="-1"/>
                <w:sz w:val="18"/>
                <w:szCs w:val="18"/>
              </w:rPr>
            </w:pPr>
            <w:r w:rsidRPr="00DC1034">
              <w:rPr>
                <w:rFonts w:ascii="ITC Avant Garde" w:hAnsi="ITC Avant Garde" w:cs="Arial"/>
                <w:spacing w:val="-1"/>
                <w:sz w:val="18"/>
                <w:szCs w:val="18"/>
              </w:rPr>
              <w:t>Énfasis añadido</w:t>
            </w:r>
          </w:p>
          <w:p w14:paraId="2A2E4426" w14:textId="77777777" w:rsidR="0065571E" w:rsidRPr="00DC1034" w:rsidRDefault="0065571E" w:rsidP="00DE5AD8">
            <w:pPr>
              <w:spacing w:after="0" w:line="276" w:lineRule="auto"/>
              <w:ind w:left="-851" w:right="612"/>
              <w:rPr>
                <w:rFonts w:ascii="ITC Avant Garde" w:hAnsi="ITC Avant Garde" w:cs="Arial"/>
                <w:i/>
                <w:spacing w:val="-1"/>
                <w:sz w:val="18"/>
                <w:szCs w:val="18"/>
              </w:rPr>
            </w:pPr>
          </w:p>
        </w:tc>
      </w:tr>
    </w:tbl>
    <w:p w14:paraId="6301D597" w14:textId="77777777" w:rsidR="0065571E" w:rsidRPr="00DC1034" w:rsidRDefault="0065571E" w:rsidP="000617FF">
      <w:pPr>
        <w:spacing w:after="0" w:line="276" w:lineRule="auto"/>
        <w:ind w:left="-851" w:right="49"/>
        <w:rPr>
          <w:rFonts w:ascii="ITC Avant Garde" w:eastAsia="Calibri" w:hAnsi="ITC Avant Garde" w:cs="Arial"/>
          <w:color w:val="auto"/>
          <w:sz w:val="18"/>
          <w:szCs w:val="18"/>
          <w:lang w:eastAsia="en-US"/>
        </w:rPr>
      </w:pPr>
    </w:p>
    <w:sectPr w:rsidR="0065571E" w:rsidRPr="00DC1034" w:rsidSect="005E5201">
      <w:footerReference w:type="default" r:id="rId9"/>
      <w:pgSz w:w="12240" w:h="15840"/>
      <w:pgMar w:top="1417" w:right="1701" w:bottom="1417" w:left="241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9268A" w16cid:durableId="1DD9478A"/>
  <w16cid:commentId w16cid:paraId="46524846" w16cid:durableId="1DD9478B"/>
  <w16cid:commentId w16cid:paraId="7F440B07" w16cid:durableId="1DD9478C"/>
  <w16cid:commentId w16cid:paraId="14C00981" w16cid:durableId="1DD9478D"/>
  <w16cid:commentId w16cid:paraId="1AFF13EC" w16cid:durableId="1DD9478E"/>
  <w16cid:commentId w16cid:paraId="144641A8" w16cid:durableId="1DD9478F"/>
  <w16cid:commentId w16cid:paraId="7D54DE88" w16cid:durableId="1DD94790"/>
  <w16cid:commentId w16cid:paraId="21DFEC6C" w16cid:durableId="1E0B611C"/>
  <w16cid:commentId w16cid:paraId="29F40C8F" w16cid:durableId="1DD94791"/>
  <w16cid:commentId w16cid:paraId="78A87DD2" w16cid:durableId="1DD94792"/>
  <w16cid:commentId w16cid:paraId="394ADD52" w16cid:durableId="1DD94793"/>
  <w16cid:commentId w16cid:paraId="37BE0E9E" w16cid:durableId="1DD94794"/>
  <w16cid:commentId w16cid:paraId="0B621C89" w16cid:durableId="1D83D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8613E" w14:textId="77777777" w:rsidR="00431647" w:rsidRDefault="00431647" w:rsidP="00493685">
      <w:pPr>
        <w:spacing w:after="0" w:line="240" w:lineRule="auto"/>
      </w:pPr>
      <w:r>
        <w:separator/>
      </w:r>
    </w:p>
  </w:endnote>
  <w:endnote w:type="continuationSeparator" w:id="0">
    <w:p w14:paraId="751E5CB7" w14:textId="77777777" w:rsidR="00431647" w:rsidRDefault="00431647"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31"/>
      <w:docPartObj>
        <w:docPartGallery w:val="Page Numbers (Bottom of Page)"/>
        <w:docPartUnique/>
      </w:docPartObj>
    </w:sdtPr>
    <w:sdtEndPr/>
    <w:sdtContent>
      <w:p w14:paraId="2C1FCB72" w14:textId="40DFFAD9" w:rsidR="00DE5AD8" w:rsidRDefault="00DE5AD8">
        <w:pPr>
          <w:pStyle w:val="Piedepgina"/>
          <w:jc w:val="right"/>
        </w:pPr>
        <w:r>
          <w:fldChar w:fldCharType="begin"/>
        </w:r>
        <w:r>
          <w:instrText>PAGE   \* MERGEFORMAT</w:instrText>
        </w:r>
        <w:r>
          <w:fldChar w:fldCharType="separate"/>
        </w:r>
        <w:r w:rsidR="00404BA3" w:rsidRPr="00404BA3">
          <w:rPr>
            <w:noProof/>
            <w:lang w:val="es-ES"/>
          </w:rPr>
          <w:t>2</w:t>
        </w:r>
        <w:r>
          <w:fldChar w:fldCharType="end"/>
        </w:r>
      </w:p>
    </w:sdtContent>
  </w:sdt>
  <w:p w14:paraId="17CF8DEA" w14:textId="77777777" w:rsidR="00DE5AD8" w:rsidRDefault="00DE5A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DB656" w14:textId="77777777" w:rsidR="00431647" w:rsidRDefault="00431647" w:rsidP="00493685">
      <w:pPr>
        <w:spacing w:after="0" w:line="240" w:lineRule="auto"/>
      </w:pPr>
      <w:r>
        <w:separator/>
      </w:r>
    </w:p>
  </w:footnote>
  <w:footnote w:type="continuationSeparator" w:id="0">
    <w:p w14:paraId="612960F1" w14:textId="77777777" w:rsidR="00431647" w:rsidRDefault="00431647" w:rsidP="00493685">
      <w:pPr>
        <w:spacing w:after="0" w:line="240" w:lineRule="auto"/>
      </w:pPr>
      <w:r>
        <w:continuationSeparator/>
      </w:r>
    </w:p>
  </w:footnote>
  <w:footnote w:id="1">
    <w:p w14:paraId="271BBD70" w14:textId="05B83C80" w:rsidR="00DE5AD8" w:rsidRPr="003964CA" w:rsidRDefault="00DE5AD8" w:rsidP="00784C67">
      <w:pPr>
        <w:pStyle w:val="Textonotapie"/>
        <w:ind w:left="-851"/>
        <w:jc w:val="both"/>
        <w:rPr>
          <w:lang w:val="es-MX"/>
        </w:rPr>
      </w:pPr>
      <w:r>
        <w:rPr>
          <w:rStyle w:val="Refdenotaalpie"/>
        </w:rPr>
        <w:footnoteRef/>
      </w:r>
      <w:r w:rsidR="001615C3">
        <w:rPr>
          <w:rFonts w:ascii="ITC Avant Garde" w:hAnsi="ITC Avant Garde"/>
          <w:i/>
          <w:sz w:val="18"/>
          <w:szCs w:val="18"/>
        </w:rPr>
        <w:t>“</w:t>
      </w:r>
      <w:r w:rsidRPr="001615C3">
        <w:rPr>
          <w:rFonts w:ascii="ITC Avant Garde" w:hAnsi="ITC Avant Garde"/>
          <w:i/>
          <w:sz w:val="18"/>
          <w:szCs w:val="18"/>
        </w:rPr>
        <w:t>ACUERDO mediante el cual el Pleno del Instituto Federal de Telecomunicaciones emite los Lineamientos para la comercialización de servicios móviles por parte de operadores móviles virtuales</w:t>
      </w:r>
      <w:r w:rsidR="001615C3">
        <w:rPr>
          <w:rFonts w:ascii="ITC Avant Garde" w:hAnsi="ITC Avant Garde"/>
          <w:i/>
          <w:sz w:val="18"/>
          <w:szCs w:val="18"/>
        </w:rPr>
        <w:t xml:space="preserve">”, </w:t>
      </w:r>
      <w:r w:rsidR="001615C3">
        <w:rPr>
          <w:rFonts w:ascii="ITC Avant Garde" w:hAnsi="ITC Avant Garde"/>
          <w:sz w:val="18"/>
          <w:szCs w:val="18"/>
        </w:rPr>
        <w:t>publicado en el DOF el 9 de marzo de</w:t>
      </w:r>
      <w:r w:rsidR="001615C3">
        <w:rPr>
          <w:rFonts w:ascii="ITC Avant Garde" w:hAnsi="ITC Avant Garde"/>
          <w:i/>
          <w:sz w:val="18"/>
          <w:szCs w:val="18"/>
        </w:rPr>
        <w:t xml:space="preserve"> 2016.</w:t>
      </w:r>
    </w:p>
  </w:footnote>
  <w:footnote w:id="2">
    <w:p w14:paraId="6AAE154F" w14:textId="7D2CC65D" w:rsidR="00DE5AD8" w:rsidRPr="008F2FB1" w:rsidRDefault="00DE5AD8" w:rsidP="008F2FB1">
      <w:pPr>
        <w:pStyle w:val="Textonotapie"/>
        <w:ind w:left="-851"/>
        <w:jc w:val="both"/>
        <w:rPr>
          <w:rFonts w:ascii="ITC Avant Garde" w:hAnsi="ITC Avant Garde"/>
          <w:sz w:val="18"/>
          <w:szCs w:val="18"/>
        </w:rPr>
      </w:pPr>
      <w:r w:rsidRPr="008F2FB1">
        <w:rPr>
          <w:rStyle w:val="Refdenotaalpie"/>
        </w:rPr>
        <w:footnoteRef/>
      </w:r>
      <w:r w:rsidRPr="008F2FB1">
        <w:rPr>
          <w:rStyle w:val="Refdenotaalpie"/>
        </w:rPr>
        <w:t xml:space="preserve">  </w:t>
      </w:r>
      <w:r w:rsidR="008F2FB1">
        <w:t>“</w:t>
      </w:r>
      <w:r w:rsidRPr="008F2FB1">
        <w:rPr>
          <w:rFonts w:ascii="ITC Avant Garde" w:hAnsi="ITC Avant Garde"/>
          <w:i/>
          <w:sz w:val="18"/>
          <w:szCs w:val="18"/>
        </w:rPr>
        <w:t>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w:t>
      </w:r>
      <w:r w:rsidR="008F2FB1">
        <w:rPr>
          <w:rFonts w:ascii="ITC Avant Garde" w:hAnsi="ITC Avant Garde"/>
          <w:i/>
          <w:sz w:val="18"/>
          <w:szCs w:val="18"/>
        </w:rPr>
        <w:t>”</w:t>
      </w:r>
      <w:r w:rsidRPr="008F2FB1">
        <w:rPr>
          <w:rFonts w:ascii="ITC Avant Garde" w:hAnsi="ITC Avant Garde"/>
          <w:i/>
          <w:sz w:val="18"/>
          <w:szCs w:val="18"/>
        </w:rPr>
        <w:t xml:space="preserve">, </w:t>
      </w:r>
      <w:r w:rsidR="008F2FB1" w:rsidRPr="008F2FB1">
        <w:rPr>
          <w:rFonts w:ascii="ITC Avant Garde" w:hAnsi="ITC Avant Garde"/>
          <w:sz w:val="18"/>
          <w:szCs w:val="18"/>
        </w:rPr>
        <w:t>publicado en el DOF el 2 de diciembre de 2015.</w:t>
      </w:r>
    </w:p>
  </w:footnote>
  <w:footnote w:id="3">
    <w:p w14:paraId="741A79D0" w14:textId="25B204F0" w:rsidR="00DE5AD8" w:rsidRPr="00D90405" w:rsidRDefault="00DE5AD8" w:rsidP="00D90405">
      <w:pPr>
        <w:pStyle w:val="Textonotapie"/>
        <w:ind w:left="-851"/>
        <w:jc w:val="both"/>
        <w:rPr>
          <w:rFonts w:ascii="ITC Avant Garde" w:hAnsi="ITC Avant Garde"/>
          <w:i/>
          <w:sz w:val="18"/>
          <w:szCs w:val="18"/>
        </w:rPr>
      </w:pPr>
      <w:r>
        <w:rPr>
          <w:rStyle w:val="Refdenotaalpie"/>
        </w:rPr>
        <w:footnoteRef/>
      </w:r>
      <w:r w:rsidRPr="00D90405">
        <w:rPr>
          <w:rStyle w:val="Refdenotaalpie"/>
        </w:rPr>
        <w:t xml:space="preserve"> </w:t>
      </w:r>
      <w:r w:rsidR="00D90405">
        <w:t>“</w:t>
      </w:r>
      <w:r w:rsidRPr="00D90405">
        <w:rPr>
          <w:rFonts w:ascii="ITC Avant Garde" w:hAnsi="ITC Avant Garde"/>
          <w:i/>
          <w:sz w:val="18"/>
          <w:szCs w:val="18"/>
        </w:rPr>
        <w:t>ACUERDO mediante el cual el Pleno del Instituto Federal de Telecomunicaciones expide los Lineamientos que establecen el Protocolo de Alerta Común conforme al lineamiento cuadragésimo noveno de los Lineamientos de Colaboración en Materia de Seguridad y Justicia</w:t>
      </w:r>
      <w:r w:rsidR="00D90405">
        <w:rPr>
          <w:rFonts w:ascii="ITC Avant Garde" w:hAnsi="ITC Avant Garde"/>
          <w:i/>
          <w:sz w:val="18"/>
          <w:szCs w:val="18"/>
        </w:rPr>
        <w:t>”</w:t>
      </w:r>
      <w:r w:rsidRPr="00D90405">
        <w:rPr>
          <w:rFonts w:ascii="ITC Avant Garde" w:hAnsi="ITC Avant Garde"/>
          <w:i/>
          <w:sz w:val="18"/>
          <w:szCs w:val="18"/>
        </w:rPr>
        <w:t>,</w:t>
      </w:r>
      <w:r w:rsidRPr="00D90405">
        <w:rPr>
          <w:rFonts w:ascii="ITC Avant Garde" w:hAnsi="ITC Avant Garde"/>
          <w:sz w:val="18"/>
          <w:szCs w:val="18"/>
        </w:rPr>
        <w:t xml:space="preserve"> publicado en el DOF el 30 de enero de 2020.</w:t>
      </w:r>
    </w:p>
    <w:p w14:paraId="1CBD77DA" w14:textId="70D7314B" w:rsidR="00DE5AD8" w:rsidRPr="00A8452B" w:rsidRDefault="00DE5AD8">
      <w:pPr>
        <w:pStyle w:val="Textonotapie"/>
        <w:rPr>
          <w:lang w:val="es-MX"/>
        </w:rPr>
      </w:pPr>
    </w:p>
  </w:footnote>
  <w:footnote w:id="4">
    <w:p w14:paraId="383DDBD7" w14:textId="77777777" w:rsidR="00DE5AD8" w:rsidRPr="00D65D5C" w:rsidRDefault="00DE5AD8" w:rsidP="00AA7A7E">
      <w:pPr>
        <w:pStyle w:val="Ttulo1"/>
        <w:spacing w:line="276" w:lineRule="auto"/>
        <w:ind w:left="-851" w:hanging="11"/>
        <w:jc w:val="both"/>
        <w:rPr>
          <w:rFonts w:ascii="ITC Avant Garde" w:eastAsia="Times New Roman" w:hAnsi="ITC Avant Garde" w:cs="Times New Roman"/>
          <w:i/>
          <w:color w:val="auto"/>
          <w:sz w:val="18"/>
          <w:szCs w:val="18"/>
          <w:lang w:val="es-ES" w:eastAsia="es-ES"/>
        </w:rPr>
      </w:pPr>
      <w:r w:rsidRPr="00D65D5C">
        <w:rPr>
          <w:rFonts w:ascii="ITC Avant Garde" w:eastAsia="Times New Roman" w:hAnsi="ITC Avant Garde" w:cs="Times New Roman"/>
          <w:i/>
          <w:color w:val="auto"/>
          <w:sz w:val="18"/>
          <w:szCs w:val="18"/>
          <w:vertAlign w:val="superscript"/>
          <w:lang w:val="es-ES" w:eastAsia="es-ES"/>
        </w:rPr>
        <w:footnoteRef/>
      </w:r>
      <w:r w:rsidRPr="00D65D5C">
        <w:rPr>
          <w:rFonts w:ascii="ITC Avant Garde" w:eastAsia="Times New Roman" w:hAnsi="ITC Avant Garde" w:cs="Times New Roman"/>
          <w:i/>
          <w:color w:val="auto"/>
          <w:sz w:val="18"/>
          <w:szCs w:val="18"/>
          <w:lang w:val="es-ES" w:eastAsia="es-ES"/>
        </w:rPr>
        <w:t xml:space="preserve"> </w:t>
      </w:r>
      <w:r>
        <w:rPr>
          <w:rFonts w:ascii="ITC Avant Garde" w:eastAsia="Times New Roman" w:hAnsi="ITC Avant Garde" w:cs="Times New Roman"/>
          <w:i/>
          <w:color w:val="auto"/>
          <w:sz w:val="18"/>
          <w:szCs w:val="18"/>
          <w:lang w:val="es-ES" w:eastAsia="es-ES"/>
        </w:rPr>
        <w:t>“</w:t>
      </w:r>
      <w:r w:rsidRPr="00D65D5C">
        <w:rPr>
          <w:rFonts w:ascii="ITC Avant Garde" w:eastAsia="Times New Roman" w:hAnsi="ITC Avant Garde" w:cs="Times New Roman"/>
          <w:i/>
          <w:color w:val="auto"/>
          <w:sz w:val="18"/>
          <w:szCs w:val="18"/>
          <w:lang w:val="es-ES" w:eastAsia="es-ES"/>
        </w:rPr>
        <w:t>METODOLOGÍA, TÉRMINOS Y CONDICIONES PARA LLEVAR A CABO LAS PRUEBAS DE REPLICABILIDAD ECONÓMICA APLICABLES A LOS SERVICIOS DEL AGENTE ECONÓMICO PREPONDERANTE EN TELECOMUNICACIONES A QUE SE REFIERE LA MEDIDA SEXAGÉSIMA CUARTA DEL ANEXO 1 DE LA RESOLUCIÓN DE FECHA 27 DE FEBRERO DE 2017 APROBADA MEDIAN</w:t>
      </w:r>
      <w:r>
        <w:rPr>
          <w:rFonts w:ascii="ITC Avant Garde" w:eastAsia="Times New Roman" w:hAnsi="ITC Avant Garde" w:cs="Times New Roman"/>
          <w:i/>
          <w:color w:val="auto"/>
          <w:sz w:val="18"/>
          <w:szCs w:val="18"/>
          <w:lang w:val="es-ES" w:eastAsia="es-ES"/>
        </w:rPr>
        <w:t xml:space="preserve">TE ACUERDO P/IFT/EXT/270217/119”, </w:t>
      </w:r>
      <w:r w:rsidRPr="004F6A9C">
        <w:rPr>
          <w:rFonts w:ascii="ITC Avant Garde" w:eastAsia="Times New Roman" w:hAnsi="ITC Avant Garde" w:cs="Times New Roman"/>
          <w:color w:val="auto"/>
          <w:sz w:val="18"/>
          <w:szCs w:val="18"/>
          <w:lang w:val="es-ES" w:eastAsia="es-ES"/>
        </w:rPr>
        <w:t>aprobado mediante Acuerdo P/IFT/120917/548.</w:t>
      </w:r>
    </w:p>
    <w:p w14:paraId="38279C73" w14:textId="77777777" w:rsidR="00DE5AD8" w:rsidRPr="00D65D5C" w:rsidRDefault="00DE5AD8" w:rsidP="00AA7A7E">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1B94635"/>
    <w:multiLevelType w:val="hybridMultilevel"/>
    <w:tmpl w:val="2174BD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304515C"/>
    <w:multiLevelType w:val="hybridMultilevel"/>
    <w:tmpl w:val="C41C0FCA"/>
    <w:lvl w:ilvl="0" w:tplc="87C2854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B25C2D"/>
    <w:multiLevelType w:val="hybridMultilevel"/>
    <w:tmpl w:val="0E3A1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922523"/>
    <w:multiLevelType w:val="hybridMultilevel"/>
    <w:tmpl w:val="C71E8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ED0C23"/>
    <w:multiLevelType w:val="hybridMultilevel"/>
    <w:tmpl w:val="8D5A3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73471"/>
    <w:multiLevelType w:val="hybridMultilevel"/>
    <w:tmpl w:val="2280D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4953D2"/>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9" w15:restartNumberingAfterBreak="0">
    <w:nsid w:val="25DE5C4B"/>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10" w15:restartNumberingAfterBreak="0">
    <w:nsid w:val="26B06F2A"/>
    <w:multiLevelType w:val="hybridMultilevel"/>
    <w:tmpl w:val="E0C47A3A"/>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11" w15:restartNumberingAfterBreak="0">
    <w:nsid w:val="27FD4A29"/>
    <w:multiLevelType w:val="hybridMultilevel"/>
    <w:tmpl w:val="53CC1648"/>
    <w:lvl w:ilvl="0" w:tplc="080A0003">
      <w:start w:val="1"/>
      <w:numFmt w:val="bullet"/>
      <w:lvlText w:val="o"/>
      <w:lvlJc w:val="left"/>
      <w:pPr>
        <w:ind w:left="3027" w:hanging="360"/>
      </w:pPr>
      <w:rPr>
        <w:rFonts w:ascii="Courier New" w:hAnsi="Courier New" w:cs="Courier New" w:hint="default"/>
      </w:rPr>
    </w:lvl>
    <w:lvl w:ilvl="1" w:tplc="080A0003">
      <w:start w:val="1"/>
      <w:numFmt w:val="bullet"/>
      <w:lvlText w:val="o"/>
      <w:lvlJc w:val="left"/>
      <w:pPr>
        <w:ind w:left="3747" w:hanging="360"/>
      </w:pPr>
      <w:rPr>
        <w:rFonts w:ascii="Courier New" w:hAnsi="Courier New" w:cs="Courier New" w:hint="default"/>
      </w:rPr>
    </w:lvl>
    <w:lvl w:ilvl="2" w:tplc="080A0005" w:tentative="1">
      <w:start w:val="1"/>
      <w:numFmt w:val="bullet"/>
      <w:lvlText w:val=""/>
      <w:lvlJc w:val="left"/>
      <w:pPr>
        <w:ind w:left="4467" w:hanging="360"/>
      </w:pPr>
      <w:rPr>
        <w:rFonts w:ascii="Wingdings" w:hAnsi="Wingdings" w:hint="default"/>
      </w:rPr>
    </w:lvl>
    <w:lvl w:ilvl="3" w:tplc="080A0001" w:tentative="1">
      <w:start w:val="1"/>
      <w:numFmt w:val="bullet"/>
      <w:lvlText w:val=""/>
      <w:lvlJc w:val="left"/>
      <w:pPr>
        <w:ind w:left="5187" w:hanging="360"/>
      </w:pPr>
      <w:rPr>
        <w:rFonts w:ascii="Symbol" w:hAnsi="Symbol" w:hint="default"/>
      </w:rPr>
    </w:lvl>
    <w:lvl w:ilvl="4" w:tplc="080A0003" w:tentative="1">
      <w:start w:val="1"/>
      <w:numFmt w:val="bullet"/>
      <w:lvlText w:val="o"/>
      <w:lvlJc w:val="left"/>
      <w:pPr>
        <w:ind w:left="5907" w:hanging="360"/>
      </w:pPr>
      <w:rPr>
        <w:rFonts w:ascii="Courier New" w:hAnsi="Courier New" w:cs="Courier New" w:hint="default"/>
      </w:rPr>
    </w:lvl>
    <w:lvl w:ilvl="5" w:tplc="080A0005" w:tentative="1">
      <w:start w:val="1"/>
      <w:numFmt w:val="bullet"/>
      <w:lvlText w:val=""/>
      <w:lvlJc w:val="left"/>
      <w:pPr>
        <w:ind w:left="6627" w:hanging="360"/>
      </w:pPr>
      <w:rPr>
        <w:rFonts w:ascii="Wingdings" w:hAnsi="Wingdings" w:hint="default"/>
      </w:rPr>
    </w:lvl>
    <w:lvl w:ilvl="6" w:tplc="080A0001" w:tentative="1">
      <w:start w:val="1"/>
      <w:numFmt w:val="bullet"/>
      <w:lvlText w:val=""/>
      <w:lvlJc w:val="left"/>
      <w:pPr>
        <w:ind w:left="7347" w:hanging="360"/>
      </w:pPr>
      <w:rPr>
        <w:rFonts w:ascii="Symbol" w:hAnsi="Symbol" w:hint="default"/>
      </w:rPr>
    </w:lvl>
    <w:lvl w:ilvl="7" w:tplc="080A0003" w:tentative="1">
      <w:start w:val="1"/>
      <w:numFmt w:val="bullet"/>
      <w:lvlText w:val="o"/>
      <w:lvlJc w:val="left"/>
      <w:pPr>
        <w:ind w:left="8067" w:hanging="360"/>
      </w:pPr>
      <w:rPr>
        <w:rFonts w:ascii="Courier New" w:hAnsi="Courier New" w:cs="Courier New" w:hint="default"/>
      </w:rPr>
    </w:lvl>
    <w:lvl w:ilvl="8" w:tplc="080A0005" w:tentative="1">
      <w:start w:val="1"/>
      <w:numFmt w:val="bullet"/>
      <w:lvlText w:val=""/>
      <w:lvlJc w:val="left"/>
      <w:pPr>
        <w:ind w:left="8787" w:hanging="360"/>
      </w:pPr>
      <w:rPr>
        <w:rFonts w:ascii="Wingdings" w:hAnsi="Wingdings" w:hint="default"/>
      </w:rPr>
    </w:lvl>
  </w:abstractNum>
  <w:abstractNum w:abstractNumId="12" w15:restartNumberingAfterBreak="0">
    <w:nsid w:val="2D280CB8"/>
    <w:multiLevelType w:val="hybridMultilevel"/>
    <w:tmpl w:val="56F2F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4F5981"/>
    <w:multiLevelType w:val="multilevel"/>
    <w:tmpl w:val="9EB4094C"/>
    <w:name w:val="ListBulletList"/>
    <w:lvl w:ilvl="0">
      <w:start w:val="1"/>
      <w:numFmt w:val="bullet"/>
      <w:lvlText w:val=""/>
      <w:lvlJc w:val="left"/>
      <w:pPr>
        <w:tabs>
          <w:tab w:val="num" w:pos="340"/>
        </w:tabs>
        <w:ind w:left="340" w:hanging="340"/>
      </w:pPr>
      <w:rPr>
        <w:rFonts w:ascii="Wingdings 2" w:hAnsi="Wingdings 2" w:hint="default"/>
        <w:color w:val="5F5F5F"/>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15:restartNumberingAfterBreak="0">
    <w:nsid w:val="4B925474"/>
    <w:multiLevelType w:val="hybridMultilevel"/>
    <w:tmpl w:val="59FEF202"/>
    <w:lvl w:ilvl="0" w:tplc="5BA40A3A">
      <w:start w:val="3"/>
      <w:numFmt w:val="upp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672136"/>
    <w:multiLevelType w:val="hybridMultilevel"/>
    <w:tmpl w:val="BD7CEA08"/>
    <w:lvl w:ilvl="0" w:tplc="3EF801CE">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6A360E"/>
    <w:multiLevelType w:val="hybridMultilevel"/>
    <w:tmpl w:val="EE945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783FC3"/>
    <w:multiLevelType w:val="multilevel"/>
    <w:tmpl w:val="16505A54"/>
    <w:lvl w:ilvl="0">
      <w:start w:val="3"/>
      <w:numFmt w:val="decimal"/>
      <w:lvlText w:val="%1."/>
      <w:lvlJc w:val="left"/>
      <w:pPr>
        <w:ind w:left="540" w:hanging="540"/>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2"/>
      <w:numFmt w:val="decimal"/>
      <w:lvlText w:val="%1.%2.%3."/>
      <w:lvlJc w:val="left"/>
      <w:pPr>
        <w:ind w:left="1146"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8" w15:restartNumberingAfterBreak="0">
    <w:nsid w:val="6AE06363"/>
    <w:multiLevelType w:val="hybridMultilevel"/>
    <w:tmpl w:val="C37AAEFC"/>
    <w:lvl w:ilvl="0" w:tplc="A09E6888">
      <w:start w:val="1"/>
      <w:numFmt w:val="upperRoman"/>
      <w:lvlText w:val="%1."/>
      <w:lvlJc w:val="left"/>
      <w:pPr>
        <w:ind w:left="1332" w:hanging="720"/>
      </w:pPr>
      <w:rPr>
        <w:rFonts w:hint="default"/>
      </w:rPr>
    </w:lvl>
    <w:lvl w:ilvl="1" w:tplc="080A0019" w:tentative="1">
      <w:start w:val="1"/>
      <w:numFmt w:val="lowerLetter"/>
      <w:lvlText w:val="%2."/>
      <w:lvlJc w:val="left"/>
      <w:pPr>
        <w:ind w:left="1692" w:hanging="360"/>
      </w:pPr>
    </w:lvl>
    <w:lvl w:ilvl="2" w:tplc="080A001B" w:tentative="1">
      <w:start w:val="1"/>
      <w:numFmt w:val="lowerRoman"/>
      <w:lvlText w:val="%3."/>
      <w:lvlJc w:val="right"/>
      <w:pPr>
        <w:ind w:left="2412" w:hanging="180"/>
      </w:pPr>
    </w:lvl>
    <w:lvl w:ilvl="3" w:tplc="080A000F" w:tentative="1">
      <w:start w:val="1"/>
      <w:numFmt w:val="decimal"/>
      <w:lvlText w:val="%4."/>
      <w:lvlJc w:val="left"/>
      <w:pPr>
        <w:ind w:left="3132" w:hanging="360"/>
      </w:pPr>
    </w:lvl>
    <w:lvl w:ilvl="4" w:tplc="080A0019" w:tentative="1">
      <w:start w:val="1"/>
      <w:numFmt w:val="lowerLetter"/>
      <w:lvlText w:val="%5."/>
      <w:lvlJc w:val="left"/>
      <w:pPr>
        <w:ind w:left="3852" w:hanging="360"/>
      </w:pPr>
    </w:lvl>
    <w:lvl w:ilvl="5" w:tplc="080A001B" w:tentative="1">
      <w:start w:val="1"/>
      <w:numFmt w:val="lowerRoman"/>
      <w:lvlText w:val="%6."/>
      <w:lvlJc w:val="right"/>
      <w:pPr>
        <w:ind w:left="4572" w:hanging="180"/>
      </w:pPr>
    </w:lvl>
    <w:lvl w:ilvl="6" w:tplc="080A000F" w:tentative="1">
      <w:start w:val="1"/>
      <w:numFmt w:val="decimal"/>
      <w:lvlText w:val="%7."/>
      <w:lvlJc w:val="left"/>
      <w:pPr>
        <w:ind w:left="5292" w:hanging="360"/>
      </w:pPr>
    </w:lvl>
    <w:lvl w:ilvl="7" w:tplc="080A0019" w:tentative="1">
      <w:start w:val="1"/>
      <w:numFmt w:val="lowerLetter"/>
      <w:lvlText w:val="%8."/>
      <w:lvlJc w:val="left"/>
      <w:pPr>
        <w:ind w:left="6012" w:hanging="360"/>
      </w:pPr>
    </w:lvl>
    <w:lvl w:ilvl="8" w:tplc="080A001B" w:tentative="1">
      <w:start w:val="1"/>
      <w:numFmt w:val="lowerRoman"/>
      <w:lvlText w:val="%9."/>
      <w:lvlJc w:val="right"/>
      <w:pPr>
        <w:ind w:left="6732" w:hanging="180"/>
      </w:pPr>
    </w:lvl>
  </w:abstractNum>
  <w:abstractNum w:abstractNumId="19" w15:restartNumberingAfterBreak="0">
    <w:nsid w:val="709F500C"/>
    <w:multiLevelType w:val="hybridMultilevel"/>
    <w:tmpl w:val="D250C592"/>
    <w:lvl w:ilvl="0" w:tplc="080A0013">
      <w:start w:val="1"/>
      <w:numFmt w:val="upperRoman"/>
      <w:lvlText w:val="%1."/>
      <w:lvlJc w:val="righ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0E3027A"/>
    <w:multiLevelType w:val="hybridMultilevel"/>
    <w:tmpl w:val="4F8C24C0"/>
    <w:lvl w:ilvl="0" w:tplc="0EDEE1C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1813A6C"/>
    <w:multiLevelType w:val="hybridMultilevel"/>
    <w:tmpl w:val="F56493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AD161D"/>
    <w:multiLevelType w:val="multilevel"/>
    <w:tmpl w:val="1E62F81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741232A8"/>
    <w:multiLevelType w:val="hybridMultilevel"/>
    <w:tmpl w:val="4A8C5642"/>
    <w:lvl w:ilvl="0" w:tplc="080A0017">
      <w:start w:val="1"/>
      <w:numFmt w:val="lowerLetter"/>
      <w:lvlText w:val="%1)"/>
      <w:lvlJc w:val="left"/>
      <w:pPr>
        <w:ind w:left="1277" w:hanging="360"/>
      </w:pPr>
    </w:lvl>
    <w:lvl w:ilvl="1" w:tplc="080A0019" w:tentative="1">
      <w:start w:val="1"/>
      <w:numFmt w:val="lowerLetter"/>
      <w:lvlText w:val="%2."/>
      <w:lvlJc w:val="left"/>
      <w:pPr>
        <w:ind w:left="1997" w:hanging="360"/>
      </w:pPr>
    </w:lvl>
    <w:lvl w:ilvl="2" w:tplc="080A001B" w:tentative="1">
      <w:start w:val="1"/>
      <w:numFmt w:val="lowerRoman"/>
      <w:lvlText w:val="%3."/>
      <w:lvlJc w:val="right"/>
      <w:pPr>
        <w:ind w:left="2717" w:hanging="180"/>
      </w:pPr>
    </w:lvl>
    <w:lvl w:ilvl="3" w:tplc="080A000F" w:tentative="1">
      <w:start w:val="1"/>
      <w:numFmt w:val="decimal"/>
      <w:lvlText w:val="%4."/>
      <w:lvlJc w:val="left"/>
      <w:pPr>
        <w:ind w:left="3437" w:hanging="360"/>
      </w:pPr>
    </w:lvl>
    <w:lvl w:ilvl="4" w:tplc="080A0019" w:tentative="1">
      <w:start w:val="1"/>
      <w:numFmt w:val="lowerLetter"/>
      <w:lvlText w:val="%5."/>
      <w:lvlJc w:val="left"/>
      <w:pPr>
        <w:ind w:left="4157" w:hanging="360"/>
      </w:pPr>
    </w:lvl>
    <w:lvl w:ilvl="5" w:tplc="080A001B" w:tentative="1">
      <w:start w:val="1"/>
      <w:numFmt w:val="lowerRoman"/>
      <w:lvlText w:val="%6."/>
      <w:lvlJc w:val="right"/>
      <w:pPr>
        <w:ind w:left="4877" w:hanging="180"/>
      </w:pPr>
    </w:lvl>
    <w:lvl w:ilvl="6" w:tplc="080A000F" w:tentative="1">
      <w:start w:val="1"/>
      <w:numFmt w:val="decimal"/>
      <w:lvlText w:val="%7."/>
      <w:lvlJc w:val="left"/>
      <w:pPr>
        <w:ind w:left="5597" w:hanging="360"/>
      </w:pPr>
    </w:lvl>
    <w:lvl w:ilvl="7" w:tplc="080A0019" w:tentative="1">
      <w:start w:val="1"/>
      <w:numFmt w:val="lowerLetter"/>
      <w:lvlText w:val="%8."/>
      <w:lvlJc w:val="left"/>
      <w:pPr>
        <w:ind w:left="6317" w:hanging="360"/>
      </w:pPr>
    </w:lvl>
    <w:lvl w:ilvl="8" w:tplc="080A001B" w:tentative="1">
      <w:start w:val="1"/>
      <w:numFmt w:val="lowerRoman"/>
      <w:lvlText w:val="%9."/>
      <w:lvlJc w:val="right"/>
      <w:pPr>
        <w:ind w:left="7037" w:hanging="180"/>
      </w:pPr>
    </w:lvl>
  </w:abstractNum>
  <w:abstractNum w:abstractNumId="24" w15:restartNumberingAfterBreak="0">
    <w:nsid w:val="7460510F"/>
    <w:multiLevelType w:val="hybridMultilevel"/>
    <w:tmpl w:val="0C00A656"/>
    <w:lvl w:ilvl="0" w:tplc="3EF801CE">
      <w:start w:val="1"/>
      <w:numFmt w:val="decimal"/>
      <w:lvlText w:val="%1.1"/>
      <w:lvlJc w:val="left"/>
      <w:pPr>
        <w:ind w:left="720" w:hanging="360"/>
      </w:pPr>
      <w:rPr>
        <w:rFonts w:hint="default"/>
      </w:rPr>
    </w:lvl>
    <w:lvl w:ilvl="1" w:tplc="4346592E">
      <w:start w:val="1"/>
      <w:numFmt w:val="decimal"/>
      <w:lvlText w:val="%2.1.1"/>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267EFA"/>
    <w:multiLevelType w:val="multilevel"/>
    <w:tmpl w:val="2794AE2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10"/>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D171C59"/>
    <w:multiLevelType w:val="hybridMultilevel"/>
    <w:tmpl w:val="566A720E"/>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25"/>
  </w:num>
  <w:num w:numId="2">
    <w:abstractNumId w:val="0"/>
  </w:num>
  <w:num w:numId="3">
    <w:abstractNumId w:val="2"/>
  </w:num>
  <w:num w:numId="4">
    <w:abstractNumId w:val="6"/>
  </w:num>
  <w:num w:numId="5">
    <w:abstractNumId w:val="12"/>
  </w:num>
  <w:num w:numId="6">
    <w:abstractNumId w:val="5"/>
  </w:num>
  <w:num w:numId="7">
    <w:abstractNumId w:val="7"/>
  </w:num>
  <w:num w:numId="8">
    <w:abstractNumId w:val="4"/>
  </w:num>
  <w:num w:numId="9">
    <w:abstractNumId w:val="16"/>
  </w:num>
  <w:num w:numId="10">
    <w:abstractNumId w:val="10"/>
  </w:num>
  <w:num w:numId="11">
    <w:abstractNumId w:val="19"/>
  </w:num>
  <w:num w:numId="12">
    <w:abstractNumId w:val="1"/>
  </w:num>
  <w:num w:numId="13">
    <w:abstractNumId w:val="22"/>
  </w:num>
  <w:num w:numId="14">
    <w:abstractNumId w:val="18"/>
  </w:num>
  <w:num w:numId="15">
    <w:abstractNumId w:val="21"/>
  </w:num>
  <w:num w:numId="16">
    <w:abstractNumId w:val="11"/>
  </w:num>
  <w:num w:numId="17">
    <w:abstractNumId w:val="23"/>
  </w:num>
  <w:num w:numId="18">
    <w:abstractNumId w:val="20"/>
  </w:num>
  <w:num w:numId="19">
    <w:abstractNumId w:val="14"/>
  </w:num>
  <w:num w:numId="20">
    <w:abstractNumId w:val="17"/>
  </w:num>
  <w:num w:numId="21">
    <w:abstractNumId w:val="15"/>
  </w:num>
  <w:num w:numId="22">
    <w:abstractNumId w:val="8"/>
  </w:num>
  <w:num w:numId="23">
    <w:abstractNumId w:val="24"/>
  </w:num>
  <w:num w:numId="24">
    <w:abstractNumId w:val="9"/>
  </w:num>
  <w:num w:numId="25">
    <w:abstractNumId w:val="3"/>
  </w:num>
  <w:num w:numId="26">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SV"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654"/>
    <w:rsid w:val="000006E1"/>
    <w:rsid w:val="00000F63"/>
    <w:rsid w:val="00002499"/>
    <w:rsid w:val="000025BB"/>
    <w:rsid w:val="000028FD"/>
    <w:rsid w:val="00002981"/>
    <w:rsid w:val="00002ED7"/>
    <w:rsid w:val="0000372C"/>
    <w:rsid w:val="0000403B"/>
    <w:rsid w:val="000049A6"/>
    <w:rsid w:val="00004F6C"/>
    <w:rsid w:val="00005353"/>
    <w:rsid w:val="000074F3"/>
    <w:rsid w:val="000075FB"/>
    <w:rsid w:val="00007D66"/>
    <w:rsid w:val="00007DB7"/>
    <w:rsid w:val="00007DEB"/>
    <w:rsid w:val="000102D3"/>
    <w:rsid w:val="00010FAF"/>
    <w:rsid w:val="00010FC1"/>
    <w:rsid w:val="00011146"/>
    <w:rsid w:val="00011186"/>
    <w:rsid w:val="000117B8"/>
    <w:rsid w:val="000118E7"/>
    <w:rsid w:val="00011FD2"/>
    <w:rsid w:val="00011FF7"/>
    <w:rsid w:val="00012022"/>
    <w:rsid w:val="000120B1"/>
    <w:rsid w:val="000121FF"/>
    <w:rsid w:val="0001331B"/>
    <w:rsid w:val="00013361"/>
    <w:rsid w:val="00013447"/>
    <w:rsid w:val="00013489"/>
    <w:rsid w:val="00013BAC"/>
    <w:rsid w:val="00013C76"/>
    <w:rsid w:val="00013EC6"/>
    <w:rsid w:val="00014926"/>
    <w:rsid w:val="000149CF"/>
    <w:rsid w:val="00014D42"/>
    <w:rsid w:val="000154C3"/>
    <w:rsid w:val="00015889"/>
    <w:rsid w:val="00015958"/>
    <w:rsid w:val="00015EB9"/>
    <w:rsid w:val="000164B8"/>
    <w:rsid w:val="0001660E"/>
    <w:rsid w:val="00016CB6"/>
    <w:rsid w:val="00017027"/>
    <w:rsid w:val="00017322"/>
    <w:rsid w:val="0001777E"/>
    <w:rsid w:val="0002034F"/>
    <w:rsid w:val="00021DD2"/>
    <w:rsid w:val="00021EB5"/>
    <w:rsid w:val="000223F9"/>
    <w:rsid w:val="00022BFC"/>
    <w:rsid w:val="00022E01"/>
    <w:rsid w:val="00023182"/>
    <w:rsid w:val="0002377D"/>
    <w:rsid w:val="00023880"/>
    <w:rsid w:val="000239D1"/>
    <w:rsid w:val="00023D38"/>
    <w:rsid w:val="00024A0F"/>
    <w:rsid w:val="00024B17"/>
    <w:rsid w:val="00024C29"/>
    <w:rsid w:val="000252EF"/>
    <w:rsid w:val="00025C43"/>
    <w:rsid w:val="00025D0F"/>
    <w:rsid w:val="0002608C"/>
    <w:rsid w:val="0002647D"/>
    <w:rsid w:val="00026C88"/>
    <w:rsid w:val="00026CC6"/>
    <w:rsid w:val="00026F99"/>
    <w:rsid w:val="000271BB"/>
    <w:rsid w:val="00030395"/>
    <w:rsid w:val="00030D40"/>
    <w:rsid w:val="00031153"/>
    <w:rsid w:val="000313D2"/>
    <w:rsid w:val="000318C7"/>
    <w:rsid w:val="00031A90"/>
    <w:rsid w:val="00032372"/>
    <w:rsid w:val="000338F4"/>
    <w:rsid w:val="00033962"/>
    <w:rsid w:val="00034189"/>
    <w:rsid w:val="000346C1"/>
    <w:rsid w:val="00034F2E"/>
    <w:rsid w:val="00035F7D"/>
    <w:rsid w:val="00036572"/>
    <w:rsid w:val="00036743"/>
    <w:rsid w:val="00036991"/>
    <w:rsid w:val="00036AD3"/>
    <w:rsid w:val="00036D35"/>
    <w:rsid w:val="00037219"/>
    <w:rsid w:val="00037DC7"/>
    <w:rsid w:val="000400AF"/>
    <w:rsid w:val="0004079A"/>
    <w:rsid w:val="00040829"/>
    <w:rsid w:val="000410EF"/>
    <w:rsid w:val="00041A70"/>
    <w:rsid w:val="00042086"/>
    <w:rsid w:val="0004238D"/>
    <w:rsid w:val="000426D2"/>
    <w:rsid w:val="000427ED"/>
    <w:rsid w:val="000429F8"/>
    <w:rsid w:val="00042FC4"/>
    <w:rsid w:val="0004326A"/>
    <w:rsid w:val="00043301"/>
    <w:rsid w:val="0004358B"/>
    <w:rsid w:val="00044709"/>
    <w:rsid w:val="0004599A"/>
    <w:rsid w:val="00045A86"/>
    <w:rsid w:val="00045D23"/>
    <w:rsid w:val="00045FF3"/>
    <w:rsid w:val="0004645C"/>
    <w:rsid w:val="0004667E"/>
    <w:rsid w:val="00046703"/>
    <w:rsid w:val="00046B10"/>
    <w:rsid w:val="0004701C"/>
    <w:rsid w:val="00047282"/>
    <w:rsid w:val="000475CD"/>
    <w:rsid w:val="000475DB"/>
    <w:rsid w:val="00047716"/>
    <w:rsid w:val="00047749"/>
    <w:rsid w:val="0004775D"/>
    <w:rsid w:val="000479BC"/>
    <w:rsid w:val="00047CE4"/>
    <w:rsid w:val="000500CE"/>
    <w:rsid w:val="00050510"/>
    <w:rsid w:val="00050518"/>
    <w:rsid w:val="0005070B"/>
    <w:rsid w:val="00050DEB"/>
    <w:rsid w:val="000513E3"/>
    <w:rsid w:val="00051637"/>
    <w:rsid w:val="00051EE7"/>
    <w:rsid w:val="00051FEC"/>
    <w:rsid w:val="00052005"/>
    <w:rsid w:val="00052A87"/>
    <w:rsid w:val="00052E60"/>
    <w:rsid w:val="000532AA"/>
    <w:rsid w:val="00053445"/>
    <w:rsid w:val="000534CC"/>
    <w:rsid w:val="000534FC"/>
    <w:rsid w:val="00053A43"/>
    <w:rsid w:val="00054268"/>
    <w:rsid w:val="00054404"/>
    <w:rsid w:val="000551FF"/>
    <w:rsid w:val="0005536B"/>
    <w:rsid w:val="00055671"/>
    <w:rsid w:val="000557B1"/>
    <w:rsid w:val="00056381"/>
    <w:rsid w:val="00056469"/>
    <w:rsid w:val="00056649"/>
    <w:rsid w:val="0005664D"/>
    <w:rsid w:val="000569DC"/>
    <w:rsid w:val="00056AF9"/>
    <w:rsid w:val="00056DC9"/>
    <w:rsid w:val="00056F91"/>
    <w:rsid w:val="000579B5"/>
    <w:rsid w:val="00057EEA"/>
    <w:rsid w:val="00057EEB"/>
    <w:rsid w:val="00057EF2"/>
    <w:rsid w:val="0006007E"/>
    <w:rsid w:val="000602A1"/>
    <w:rsid w:val="00060EEF"/>
    <w:rsid w:val="000611EE"/>
    <w:rsid w:val="000617FF"/>
    <w:rsid w:val="00061BCA"/>
    <w:rsid w:val="00061BFC"/>
    <w:rsid w:val="00062045"/>
    <w:rsid w:val="00062216"/>
    <w:rsid w:val="000624F5"/>
    <w:rsid w:val="000626A0"/>
    <w:rsid w:val="000627D7"/>
    <w:rsid w:val="00062BC4"/>
    <w:rsid w:val="000641E5"/>
    <w:rsid w:val="00064D53"/>
    <w:rsid w:val="000660A0"/>
    <w:rsid w:val="00066E87"/>
    <w:rsid w:val="000674B5"/>
    <w:rsid w:val="00067B66"/>
    <w:rsid w:val="00067CCA"/>
    <w:rsid w:val="00067D53"/>
    <w:rsid w:val="00067F68"/>
    <w:rsid w:val="000702E6"/>
    <w:rsid w:val="0007031A"/>
    <w:rsid w:val="00070FF8"/>
    <w:rsid w:val="0007113B"/>
    <w:rsid w:val="000713B2"/>
    <w:rsid w:val="00071815"/>
    <w:rsid w:val="00072D92"/>
    <w:rsid w:val="00072DA7"/>
    <w:rsid w:val="000734D5"/>
    <w:rsid w:val="000740E0"/>
    <w:rsid w:val="00074422"/>
    <w:rsid w:val="0007444E"/>
    <w:rsid w:val="00074801"/>
    <w:rsid w:val="00074C2F"/>
    <w:rsid w:val="00075BCA"/>
    <w:rsid w:val="00076180"/>
    <w:rsid w:val="0007640F"/>
    <w:rsid w:val="00076D97"/>
    <w:rsid w:val="00076DA6"/>
    <w:rsid w:val="00077081"/>
    <w:rsid w:val="0007752D"/>
    <w:rsid w:val="0007768C"/>
    <w:rsid w:val="00077DE8"/>
    <w:rsid w:val="00077E39"/>
    <w:rsid w:val="0008007C"/>
    <w:rsid w:val="00080AD0"/>
    <w:rsid w:val="00080B99"/>
    <w:rsid w:val="00081CBE"/>
    <w:rsid w:val="00081CF3"/>
    <w:rsid w:val="00081DCB"/>
    <w:rsid w:val="00081F9A"/>
    <w:rsid w:val="00082A63"/>
    <w:rsid w:val="00082E6E"/>
    <w:rsid w:val="00083398"/>
    <w:rsid w:val="00083962"/>
    <w:rsid w:val="00083B36"/>
    <w:rsid w:val="00084072"/>
    <w:rsid w:val="000840DA"/>
    <w:rsid w:val="00085382"/>
    <w:rsid w:val="00085C21"/>
    <w:rsid w:val="000860A2"/>
    <w:rsid w:val="0008643B"/>
    <w:rsid w:val="000869C7"/>
    <w:rsid w:val="00086FC2"/>
    <w:rsid w:val="0008739D"/>
    <w:rsid w:val="00087545"/>
    <w:rsid w:val="00087B78"/>
    <w:rsid w:val="00090469"/>
    <w:rsid w:val="00090D7B"/>
    <w:rsid w:val="00091B17"/>
    <w:rsid w:val="00091C84"/>
    <w:rsid w:val="00091DAF"/>
    <w:rsid w:val="00092464"/>
    <w:rsid w:val="00093566"/>
    <w:rsid w:val="00093D2F"/>
    <w:rsid w:val="00093EC4"/>
    <w:rsid w:val="00094781"/>
    <w:rsid w:val="0009499D"/>
    <w:rsid w:val="0009533F"/>
    <w:rsid w:val="00095421"/>
    <w:rsid w:val="0009562E"/>
    <w:rsid w:val="000962FD"/>
    <w:rsid w:val="0009666B"/>
    <w:rsid w:val="00097866"/>
    <w:rsid w:val="000979DC"/>
    <w:rsid w:val="00097AE9"/>
    <w:rsid w:val="00097B7E"/>
    <w:rsid w:val="00097C1C"/>
    <w:rsid w:val="000A0137"/>
    <w:rsid w:val="000A0646"/>
    <w:rsid w:val="000A18EA"/>
    <w:rsid w:val="000A2D8A"/>
    <w:rsid w:val="000A2FE6"/>
    <w:rsid w:val="000A381D"/>
    <w:rsid w:val="000A3926"/>
    <w:rsid w:val="000A3F9A"/>
    <w:rsid w:val="000A4328"/>
    <w:rsid w:val="000A4462"/>
    <w:rsid w:val="000A44F6"/>
    <w:rsid w:val="000A59DD"/>
    <w:rsid w:val="000A5CB2"/>
    <w:rsid w:val="000A631B"/>
    <w:rsid w:val="000A70DC"/>
    <w:rsid w:val="000A7644"/>
    <w:rsid w:val="000B03AD"/>
    <w:rsid w:val="000B080B"/>
    <w:rsid w:val="000B0DDB"/>
    <w:rsid w:val="000B1667"/>
    <w:rsid w:val="000B239D"/>
    <w:rsid w:val="000B24A7"/>
    <w:rsid w:val="000B2C57"/>
    <w:rsid w:val="000B30D0"/>
    <w:rsid w:val="000B3495"/>
    <w:rsid w:val="000B3A7A"/>
    <w:rsid w:val="000B3F2D"/>
    <w:rsid w:val="000B40D2"/>
    <w:rsid w:val="000B435A"/>
    <w:rsid w:val="000B4616"/>
    <w:rsid w:val="000B4642"/>
    <w:rsid w:val="000B46AC"/>
    <w:rsid w:val="000B46CF"/>
    <w:rsid w:val="000B46EA"/>
    <w:rsid w:val="000B4F36"/>
    <w:rsid w:val="000B53BD"/>
    <w:rsid w:val="000B5810"/>
    <w:rsid w:val="000B5837"/>
    <w:rsid w:val="000B587E"/>
    <w:rsid w:val="000B5D25"/>
    <w:rsid w:val="000B652D"/>
    <w:rsid w:val="000B7A04"/>
    <w:rsid w:val="000C01BA"/>
    <w:rsid w:val="000C186F"/>
    <w:rsid w:val="000C18A7"/>
    <w:rsid w:val="000C191C"/>
    <w:rsid w:val="000C30F1"/>
    <w:rsid w:val="000C3B23"/>
    <w:rsid w:val="000C46FF"/>
    <w:rsid w:val="000C4AA9"/>
    <w:rsid w:val="000C5059"/>
    <w:rsid w:val="000C5C5C"/>
    <w:rsid w:val="000C66E3"/>
    <w:rsid w:val="000C67E4"/>
    <w:rsid w:val="000C718C"/>
    <w:rsid w:val="000C7230"/>
    <w:rsid w:val="000C7FF7"/>
    <w:rsid w:val="000D05D3"/>
    <w:rsid w:val="000D151D"/>
    <w:rsid w:val="000D1B51"/>
    <w:rsid w:val="000D1BEE"/>
    <w:rsid w:val="000D246C"/>
    <w:rsid w:val="000D24E3"/>
    <w:rsid w:val="000D25F9"/>
    <w:rsid w:val="000D2B22"/>
    <w:rsid w:val="000D2D00"/>
    <w:rsid w:val="000D31F9"/>
    <w:rsid w:val="000D3E6A"/>
    <w:rsid w:val="000D4068"/>
    <w:rsid w:val="000D4EC6"/>
    <w:rsid w:val="000D5105"/>
    <w:rsid w:val="000D51FD"/>
    <w:rsid w:val="000D57A7"/>
    <w:rsid w:val="000D5954"/>
    <w:rsid w:val="000D5F43"/>
    <w:rsid w:val="000D6C71"/>
    <w:rsid w:val="000D6D9E"/>
    <w:rsid w:val="000D6FCA"/>
    <w:rsid w:val="000D7065"/>
    <w:rsid w:val="000D71E2"/>
    <w:rsid w:val="000E0663"/>
    <w:rsid w:val="000E106A"/>
    <w:rsid w:val="000E1D2F"/>
    <w:rsid w:val="000E1EAD"/>
    <w:rsid w:val="000E2212"/>
    <w:rsid w:val="000E223D"/>
    <w:rsid w:val="000E2576"/>
    <w:rsid w:val="000E2672"/>
    <w:rsid w:val="000E26A1"/>
    <w:rsid w:val="000E2AC3"/>
    <w:rsid w:val="000E2E08"/>
    <w:rsid w:val="000E32A8"/>
    <w:rsid w:val="000E353D"/>
    <w:rsid w:val="000E3E0E"/>
    <w:rsid w:val="000E3F90"/>
    <w:rsid w:val="000E47CD"/>
    <w:rsid w:val="000E4FE9"/>
    <w:rsid w:val="000E5B37"/>
    <w:rsid w:val="000E64F4"/>
    <w:rsid w:val="000E65E4"/>
    <w:rsid w:val="000E6A0C"/>
    <w:rsid w:val="000E6CCC"/>
    <w:rsid w:val="000E6FE7"/>
    <w:rsid w:val="000E7BE5"/>
    <w:rsid w:val="000F13C8"/>
    <w:rsid w:val="000F216A"/>
    <w:rsid w:val="000F22F2"/>
    <w:rsid w:val="000F23D0"/>
    <w:rsid w:val="000F23FD"/>
    <w:rsid w:val="000F25B0"/>
    <w:rsid w:val="000F2B7B"/>
    <w:rsid w:val="000F3095"/>
    <w:rsid w:val="000F3283"/>
    <w:rsid w:val="000F347C"/>
    <w:rsid w:val="000F39E4"/>
    <w:rsid w:val="000F3C05"/>
    <w:rsid w:val="000F4004"/>
    <w:rsid w:val="000F40ED"/>
    <w:rsid w:val="000F43AD"/>
    <w:rsid w:val="000F47F5"/>
    <w:rsid w:val="000F5734"/>
    <w:rsid w:val="000F5C39"/>
    <w:rsid w:val="000F5C83"/>
    <w:rsid w:val="000F6E14"/>
    <w:rsid w:val="000F76EE"/>
    <w:rsid w:val="000F77F9"/>
    <w:rsid w:val="000F7DAE"/>
    <w:rsid w:val="00100519"/>
    <w:rsid w:val="001020AA"/>
    <w:rsid w:val="00102408"/>
    <w:rsid w:val="00102828"/>
    <w:rsid w:val="001031EB"/>
    <w:rsid w:val="001035CC"/>
    <w:rsid w:val="00103C26"/>
    <w:rsid w:val="0010413E"/>
    <w:rsid w:val="00104EF2"/>
    <w:rsid w:val="00104F8C"/>
    <w:rsid w:val="00105207"/>
    <w:rsid w:val="0010540F"/>
    <w:rsid w:val="00105622"/>
    <w:rsid w:val="0010577B"/>
    <w:rsid w:val="00105896"/>
    <w:rsid w:val="00105996"/>
    <w:rsid w:val="00105BED"/>
    <w:rsid w:val="0010649B"/>
    <w:rsid w:val="0010698A"/>
    <w:rsid w:val="00106D8A"/>
    <w:rsid w:val="00107206"/>
    <w:rsid w:val="0010799C"/>
    <w:rsid w:val="00107A7F"/>
    <w:rsid w:val="001102B3"/>
    <w:rsid w:val="00110BD3"/>
    <w:rsid w:val="00110D96"/>
    <w:rsid w:val="00110F3C"/>
    <w:rsid w:val="00111654"/>
    <w:rsid w:val="00111801"/>
    <w:rsid w:val="00111DD1"/>
    <w:rsid w:val="00111F64"/>
    <w:rsid w:val="001121F9"/>
    <w:rsid w:val="00112282"/>
    <w:rsid w:val="00112D38"/>
    <w:rsid w:val="00112DDF"/>
    <w:rsid w:val="001133DE"/>
    <w:rsid w:val="001138E6"/>
    <w:rsid w:val="00114036"/>
    <w:rsid w:val="00114092"/>
    <w:rsid w:val="001144FF"/>
    <w:rsid w:val="00114CCB"/>
    <w:rsid w:val="00115117"/>
    <w:rsid w:val="00115579"/>
    <w:rsid w:val="00115FF1"/>
    <w:rsid w:val="00116D92"/>
    <w:rsid w:val="0011794D"/>
    <w:rsid w:val="00120D0A"/>
    <w:rsid w:val="001213A6"/>
    <w:rsid w:val="001214F2"/>
    <w:rsid w:val="00121796"/>
    <w:rsid w:val="00121889"/>
    <w:rsid w:val="0012200F"/>
    <w:rsid w:val="00122849"/>
    <w:rsid w:val="00122BDC"/>
    <w:rsid w:val="0012302F"/>
    <w:rsid w:val="00123378"/>
    <w:rsid w:val="0012374A"/>
    <w:rsid w:val="001239A7"/>
    <w:rsid w:val="00123B4F"/>
    <w:rsid w:val="00123CFC"/>
    <w:rsid w:val="001240DD"/>
    <w:rsid w:val="001241C1"/>
    <w:rsid w:val="0012443F"/>
    <w:rsid w:val="00124E0A"/>
    <w:rsid w:val="00124E68"/>
    <w:rsid w:val="00124E72"/>
    <w:rsid w:val="0012501E"/>
    <w:rsid w:val="00125517"/>
    <w:rsid w:val="0012589B"/>
    <w:rsid w:val="00126B7B"/>
    <w:rsid w:val="00126E14"/>
    <w:rsid w:val="001275ED"/>
    <w:rsid w:val="00127741"/>
    <w:rsid w:val="0012784A"/>
    <w:rsid w:val="001278C3"/>
    <w:rsid w:val="00127BB4"/>
    <w:rsid w:val="00130169"/>
    <w:rsid w:val="00130481"/>
    <w:rsid w:val="0013049F"/>
    <w:rsid w:val="00130F75"/>
    <w:rsid w:val="0013172A"/>
    <w:rsid w:val="0013185B"/>
    <w:rsid w:val="001318EA"/>
    <w:rsid w:val="00131916"/>
    <w:rsid w:val="00132224"/>
    <w:rsid w:val="001323BC"/>
    <w:rsid w:val="00132D1A"/>
    <w:rsid w:val="00133669"/>
    <w:rsid w:val="00133A30"/>
    <w:rsid w:val="00133DEC"/>
    <w:rsid w:val="00135279"/>
    <w:rsid w:val="00135B8B"/>
    <w:rsid w:val="00135F51"/>
    <w:rsid w:val="00136068"/>
    <w:rsid w:val="001368EC"/>
    <w:rsid w:val="00136D1D"/>
    <w:rsid w:val="001378A7"/>
    <w:rsid w:val="00141BA4"/>
    <w:rsid w:val="0014235D"/>
    <w:rsid w:val="00142B8F"/>
    <w:rsid w:val="00142BF6"/>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7DD"/>
    <w:rsid w:val="001549AF"/>
    <w:rsid w:val="00154B61"/>
    <w:rsid w:val="00155155"/>
    <w:rsid w:val="0015580F"/>
    <w:rsid w:val="00155F3E"/>
    <w:rsid w:val="00156451"/>
    <w:rsid w:val="00156804"/>
    <w:rsid w:val="00157598"/>
    <w:rsid w:val="00157C35"/>
    <w:rsid w:val="00160E90"/>
    <w:rsid w:val="00160F50"/>
    <w:rsid w:val="001610E5"/>
    <w:rsid w:val="001615C3"/>
    <w:rsid w:val="00161A08"/>
    <w:rsid w:val="001632EF"/>
    <w:rsid w:val="001646A0"/>
    <w:rsid w:val="00164F64"/>
    <w:rsid w:val="00165B3B"/>
    <w:rsid w:val="00166A7B"/>
    <w:rsid w:val="00170BCA"/>
    <w:rsid w:val="00171215"/>
    <w:rsid w:val="00171D1A"/>
    <w:rsid w:val="00172482"/>
    <w:rsid w:val="00173372"/>
    <w:rsid w:val="00173460"/>
    <w:rsid w:val="00173747"/>
    <w:rsid w:val="00173A7A"/>
    <w:rsid w:val="001744B1"/>
    <w:rsid w:val="0017484C"/>
    <w:rsid w:val="00174C34"/>
    <w:rsid w:val="0017518D"/>
    <w:rsid w:val="0017613E"/>
    <w:rsid w:val="00176D5A"/>
    <w:rsid w:val="00177681"/>
    <w:rsid w:val="00177B38"/>
    <w:rsid w:val="00180209"/>
    <w:rsid w:val="00180690"/>
    <w:rsid w:val="001813B4"/>
    <w:rsid w:val="00181646"/>
    <w:rsid w:val="001817AE"/>
    <w:rsid w:val="00181847"/>
    <w:rsid w:val="00181906"/>
    <w:rsid w:val="00182545"/>
    <w:rsid w:val="00182D67"/>
    <w:rsid w:val="0018339C"/>
    <w:rsid w:val="00183694"/>
    <w:rsid w:val="00184791"/>
    <w:rsid w:val="00184811"/>
    <w:rsid w:val="00184EE0"/>
    <w:rsid w:val="00186326"/>
    <w:rsid w:val="0018652B"/>
    <w:rsid w:val="0018652E"/>
    <w:rsid w:val="0018654C"/>
    <w:rsid w:val="0018673E"/>
    <w:rsid w:val="00186BED"/>
    <w:rsid w:val="00187A70"/>
    <w:rsid w:val="0019000D"/>
    <w:rsid w:val="00190D5C"/>
    <w:rsid w:val="0019195F"/>
    <w:rsid w:val="00191A46"/>
    <w:rsid w:val="00191EC3"/>
    <w:rsid w:val="0019208E"/>
    <w:rsid w:val="001921F3"/>
    <w:rsid w:val="001929AB"/>
    <w:rsid w:val="00192F9F"/>
    <w:rsid w:val="00193095"/>
    <w:rsid w:val="00193A88"/>
    <w:rsid w:val="001945D8"/>
    <w:rsid w:val="00194FC8"/>
    <w:rsid w:val="0019566A"/>
    <w:rsid w:val="001956D9"/>
    <w:rsid w:val="001959A6"/>
    <w:rsid w:val="00195AF3"/>
    <w:rsid w:val="00195E3D"/>
    <w:rsid w:val="00196E1F"/>
    <w:rsid w:val="00196FAA"/>
    <w:rsid w:val="00197CD1"/>
    <w:rsid w:val="001A021C"/>
    <w:rsid w:val="001A0303"/>
    <w:rsid w:val="001A04B7"/>
    <w:rsid w:val="001A06F0"/>
    <w:rsid w:val="001A0A83"/>
    <w:rsid w:val="001A0E2F"/>
    <w:rsid w:val="001A11A2"/>
    <w:rsid w:val="001A11C5"/>
    <w:rsid w:val="001A2F69"/>
    <w:rsid w:val="001A336D"/>
    <w:rsid w:val="001A3395"/>
    <w:rsid w:val="001A4642"/>
    <w:rsid w:val="001A5F2F"/>
    <w:rsid w:val="001A64F3"/>
    <w:rsid w:val="001A65DA"/>
    <w:rsid w:val="001A6C30"/>
    <w:rsid w:val="001A6CC9"/>
    <w:rsid w:val="001A6DE0"/>
    <w:rsid w:val="001A77EF"/>
    <w:rsid w:val="001A7828"/>
    <w:rsid w:val="001A7857"/>
    <w:rsid w:val="001A7FCB"/>
    <w:rsid w:val="001B03A4"/>
    <w:rsid w:val="001B073B"/>
    <w:rsid w:val="001B0940"/>
    <w:rsid w:val="001B0D9E"/>
    <w:rsid w:val="001B1955"/>
    <w:rsid w:val="001B2CB7"/>
    <w:rsid w:val="001B2F10"/>
    <w:rsid w:val="001B3B8E"/>
    <w:rsid w:val="001B3C65"/>
    <w:rsid w:val="001B4318"/>
    <w:rsid w:val="001B560B"/>
    <w:rsid w:val="001B5F12"/>
    <w:rsid w:val="001B61C6"/>
    <w:rsid w:val="001B6ABE"/>
    <w:rsid w:val="001B6B9D"/>
    <w:rsid w:val="001B776D"/>
    <w:rsid w:val="001B78E6"/>
    <w:rsid w:val="001B7B33"/>
    <w:rsid w:val="001B7DD8"/>
    <w:rsid w:val="001C0572"/>
    <w:rsid w:val="001C0C62"/>
    <w:rsid w:val="001C0D45"/>
    <w:rsid w:val="001C13CD"/>
    <w:rsid w:val="001C1979"/>
    <w:rsid w:val="001C1FE5"/>
    <w:rsid w:val="001C24C9"/>
    <w:rsid w:val="001C2991"/>
    <w:rsid w:val="001C2B17"/>
    <w:rsid w:val="001C2DE2"/>
    <w:rsid w:val="001C2F8A"/>
    <w:rsid w:val="001C3238"/>
    <w:rsid w:val="001C333D"/>
    <w:rsid w:val="001C363E"/>
    <w:rsid w:val="001C38A6"/>
    <w:rsid w:val="001C3C77"/>
    <w:rsid w:val="001C4228"/>
    <w:rsid w:val="001C4607"/>
    <w:rsid w:val="001C4DE6"/>
    <w:rsid w:val="001C5530"/>
    <w:rsid w:val="001C5553"/>
    <w:rsid w:val="001C6AD8"/>
    <w:rsid w:val="001C6D65"/>
    <w:rsid w:val="001C781F"/>
    <w:rsid w:val="001C7D24"/>
    <w:rsid w:val="001D0569"/>
    <w:rsid w:val="001D1731"/>
    <w:rsid w:val="001D1BA6"/>
    <w:rsid w:val="001D1FAF"/>
    <w:rsid w:val="001D279D"/>
    <w:rsid w:val="001D2D3A"/>
    <w:rsid w:val="001D2D8A"/>
    <w:rsid w:val="001D354A"/>
    <w:rsid w:val="001D476E"/>
    <w:rsid w:val="001D4F6E"/>
    <w:rsid w:val="001D50AC"/>
    <w:rsid w:val="001D5AEB"/>
    <w:rsid w:val="001D7A9C"/>
    <w:rsid w:val="001E0AA4"/>
    <w:rsid w:val="001E0C9C"/>
    <w:rsid w:val="001E0F46"/>
    <w:rsid w:val="001E1182"/>
    <w:rsid w:val="001E11B3"/>
    <w:rsid w:val="001E1229"/>
    <w:rsid w:val="001E20F2"/>
    <w:rsid w:val="001E2E57"/>
    <w:rsid w:val="001E4595"/>
    <w:rsid w:val="001E462C"/>
    <w:rsid w:val="001E51D3"/>
    <w:rsid w:val="001E5E2F"/>
    <w:rsid w:val="001E5E93"/>
    <w:rsid w:val="001E607F"/>
    <w:rsid w:val="001E6314"/>
    <w:rsid w:val="001E635C"/>
    <w:rsid w:val="001E673A"/>
    <w:rsid w:val="001F10C3"/>
    <w:rsid w:val="001F1121"/>
    <w:rsid w:val="001F1BCC"/>
    <w:rsid w:val="001F1D9A"/>
    <w:rsid w:val="001F2433"/>
    <w:rsid w:val="001F2635"/>
    <w:rsid w:val="001F33A2"/>
    <w:rsid w:val="001F3687"/>
    <w:rsid w:val="001F4098"/>
    <w:rsid w:val="001F48F6"/>
    <w:rsid w:val="001F4C39"/>
    <w:rsid w:val="001F5562"/>
    <w:rsid w:val="001F56CD"/>
    <w:rsid w:val="001F61B9"/>
    <w:rsid w:val="001F628F"/>
    <w:rsid w:val="001F6676"/>
    <w:rsid w:val="001F78C1"/>
    <w:rsid w:val="002000A2"/>
    <w:rsid w:val="002002F1"/>
    <w:rsid w:val="002006C0"/>
    <w:rsid w:val="0020079B"/>
    <w:rsid w:val="00201EAD"/>
    <w:rsid w:val="0020202A"/>
    <w:rsid w:val="00202696"/>
    <w:rsid w:val="00202BEC"/>
    <w:rsid w:val="00202EFC"/>
    <w:rsid w:val="002038F5"/>
    <w:rsid w:val="002041A9"/>
    <w:rsid w:val="0020457B"/>
    <w:rsid w:val="0020547F"/>
    <w:rsid w:val="002056A3"/>
    <w:rsid w:val="00205A9D"/>
    <w:rsid w:val="00206023"/>
    <w:rsid w:val="00206D64"/>
    <w:rsid w:val="00206DF8"/>
    <w:rsid w:val="00207956"/>
    <w:rsid w:val="00207D97"/>
    <w:rsid w:val="00210148"/>
    <w:rsid w:val="002101FF"/>
    <w:rsid w:val="0021020A"/>
    <w:rsid w:val="00210F65"/>
    <w:rsid w:val="00210FFF"/>
    <w:rsid w:val="002112F4"/>
    <w:rsid w:val="002114C3"/>
    <w:rsid w:val="0021194D"/>
    <w:rsid w:val="002125A3"/>
    <w:rsid w:val="00212D9D"/>
    <w:rsid w:val="0021380F"/>
    <w:rsid w:val="00214A6E"/>
    <w:rsid w:val="00214B2C"/>
    <w:rsid w:val="00214E2F"/>
    <w:rsid w:val="002157E9"/>
    <w:rsid w:val="002160DC"/>
    <w:rsid w:val="0021646E"/>
    <w:rsid w:val="002168E1"/>
    <w:rsid w:val="00216C22"/>
    <w:rsid w:val="002170E6"/>
    <w:rsid w:val="00217892"/>
    <w:rsid w:val="00217BEE"/>
    <w:rsid w:val="00217E09"/>
    <w:rsid w:val="00217E5D"/>
    <w:rsid w:val="00220623"/>
    <w:rsid w:val="00220AA3"/>
    <w:rsid w:val="00220D68"/>
    <w:rsid w:val="00221122"/>
    <w:rsid w:val="002218EB"/>
    <w:rsid w:val="00221F39"/>
    <w:rsid w:val="00221F60"/>
    <w:rsid w:val="00221FDC"/>
    <w:rsid w:val="00222134"/>
    <w:rsid w:val="002221C0"/>
    <w:rsid w:val="00222B7F"/>
    <w:rsid w:val="00222C0C"/>
    <w:rsid w:val="00222E25"/>
    <w:rsid w:val="00224ED1"/>
    <w:rsid w:val="002258D1"/>
    <w:rsid w:val="0022799A"/>
    <w:rsid w:val="00227A48"/>
    <w:rsid w:val="0023025E"/>
    <w:rsid w:val="00230A60"/>
    <w:rsid w:val="0023115D"/>
    <w:rsid w:val="0023117B"/>
    <w:rsid w:val="00231441"/>
    <w:rsid w:val="00231558"/>
    <w:rsid w:val="00231A96"/>
    <w:rsid w:val="00231C00"/>
    <w:rsid w:val="00231E1E"/>
    <w:rsid w:val="002340B9"/>
    <w:rsid w:val="00234A35"/>
    <w:rsid w:val="002351B6"/>
    <w:rsid w:val="002356FF"/>
    <w:rsid w:val="00237428"/>
    <w:rsid w:val="00237784"/>
    <w:rsid w:val="00237B45"/>
    <w:rsid w:val="00240574"/>
    <w:rsid w:val="00240781"/>
    <w:rsid w:val="00241391"/>
    <w:rsid w:val="00241474"/>
    <w:rsid w:val="002422E1"/>
    <w:rsid w:val="002427AB"/>
    <w:rsid w:val="00242A75"/>
    <w:rsid w:val="00243709"/>
    <w:rsid w:val="002439E1"/>
    <w:rsid w:val="00243FEA"/>
    <w:rsid w:val="002448ED"/>
    <w:rsid w:val="0024504B"/>
    <w:rsid w:val="002450EC"/>
    <w:rsid w:val="0024541E"/>
    <w:rsid w:val="00245509"/>
    <w:rsid w:val="00247051"/>
    <w:rsid w:val="0024739C"/>
    <w:rsid w:val="00247864"/>
    <w:rsid w:val="00247991"/>
    <w:rsid w:val="002506E4"/>
    <w:rsid w:val="002508A9"/>
    <w:rsid w:val="00250912"/>
    <w:rsid w:val="00250D0C"/>
    <w:rsid w:val="00250D72"/>
    <w:rsid w:val="002513C0"/>
    <w:rsid w:val="00252A34"/>
    <w:rsid w:val="00253075"/>
    <w:rsid w:val="00253519"/>
    <w:rsid w:val="00253DB4"/>
    <w:rsid w:val="00253DED"/>
    <w:rsid w:val="00254B5F"/>
    <w:rsid w:val="00254C9B"/>
    <w:rsid w:val="00254EC9"/>
    <w:rsid w:val="002551C4"/>
    <w:rsid w:val="002561F0"/>
    <w:rsid w:val="002562C4"/>
    <w:rsid w:val="002566F4"/>
    <w:rsid w:val="00256900"/>
    <w:rsid w:val="00256D40"/>
    <w:rsid w:val="00257C25"/>
    <w:rsid w:val="00257E2A"/>
    <w:rsid w:val="0026050E"/>
    <w:rsid w:val="00262859"/>
    <w:rsid w:val="00263A91"/>
    <w:rsid w:val="0026402D"/>
    <w:rsid w:val="00264351"/>
    <w:rsid w:val="002668B7"/>
    <w:rsid w:val="00266CE2"/>
    <w:rsid w:val="002702AE"/>
    <w:rsid w:val="002710E0"/>
    <w:rsid w:val="00271552"/>
    <w:rsid w:val="00271686"/>
    <w:rsid w:val="00271A36"/>
    <w:rsid w:val="00271B7F"/>
    <w:rsid w:val="0027218B"/>
    <w:rsid w:val="0027248F"/>
    <w:rsid w:val="002725D4"/>
    <w:rsid w:val="00272D78"/>
    <w:rsid w:val="00272EDE"/>
    <w:rsid w:val="002732E2"/>
    <w:rsid w:val="00273B26"/>
    <w:rsid w:val="00273EF6"/>
    <w:rsid w:val="002742E3"/>
    <w:rsid w:val="002746A9"/>
    <w:rsid w:val="002746EB"/>
    <w:rsid w:val="0027495F"/>
    <w:rsid w:val="00274CEF"/>
    <w:rsid w:val="00275125"/>
    <w:rsid w:val="00276603"/>
    <w:rsid w:val="00276697"/>
    <w:rsid w:val="00276B0F"/>
    <w:rsid w:val="002771C3"/>
    <w:rsid w:val="00277614"/>
    <w:rsid w:val="00280421"/>
    <w:rsid w:val="00280780"/>
    <w:rsid w:val="00280C75"/>
    <w:rsid w:val="00281DFC"/>
    <w:rsid w:val="0028208B"/>
    <w:rsid w:val="002832EB"/>
    <w:rsid w:val="00284828"/>
    <w:rsid w:val="0028559B"/>
    <w:rsid w:val="0028567D"/>
    <w:rsid w:val="002856EC"/>
    <w:rsid w:val="00285760"/>
    <w:rsid w:val="00285A94"/>
    <w:rsid w:val="00286C6A"/>
    <w:rsid w:val="0028705A"/>
    <w:rsid w:val="0028789C"/>
    <w:rsid w:val="002878F1"/>
    <w:rsid w:val="002907B0"/>
    <w:rsid w:val="00291349"/>
    <w:rsid w:val="00291A24"/>
    <w:rsid w:val="00291AB7"/>
    <w:rsid w:val="0029262E"/>
    <w:rsid w:val="0029286F"/>
    <w:rsid w:val="002928B2"/>
    <w:rsid w:val="00292DCA"/>
    <w:rsid w:val="0029302D"/>
    <w:rsid w:val="00293A66"/>
    <w:rsid w:val="00293C6A"/>
    <w:rsid w:val="00294DDC"/>
    <w:rsid w:val="00294FCB"/>
    <w:rsid w:val="00295195"/>
    <w:rsid w:val="0029526D"/>
    <w:rsid w:val="00295449"/>
    <w:rsid w:val="002959C1"/>
    <w:rsid w:val="00295BB7"/>
    <w:rsid w:val="00295E35"/>
    <w:rsid w:val="00295F61"/>
    <w:rsid w:val="00296904"/>
    <w:rsid w:val="00296E04"/>
    <w:rsid w:val="0029742D"/>
    <w:rsid w:val="002977F4"/>
    <w:rsid w:val="00297CC6"/>
    <w:rsid w:val="002A0167"/>
    <w:rsid w:val="002A0455"/>
    <w:rsid w:val="002A0831"/>
    <w:rsid w:val="002A1891"/>
    <w:rsid w:val="002A1A41"/>
    <w:rsid w:val="002A27EA"/>
    <w:rsid w:val="002A355F"/>
    <w:rsid w:val="002A38B3"/>
    <w:rsid w:val="002A3FCE"/>
    <w:rsid w:val="002A41A0"/>
    <w:rsid w:val="002A48BC"/>
    <w:rsid w:val="002A4B71"/>
    <w:rsid w:val="002A524D"/>
    <w:rsid w:val="002A52F9"/>
    <w:rsid w:val="002A5312"/>
    <w:rsid w:val="002A5610"/>
    <w:rsid w:val="002A575D"/>
    <w:rsid w:val="002A5B98"/>
    <w:rsid w:val="002A5CCD"/>
    <w:rsid w:val="002A67C9"/>
    <w:rsid w:val="002A6880"/>
    <w:rsid w:val="002A6ACE"/>
    <w:rsid w:val="002A6AD9"/>
    <w:rsid w:val="002A70BE"/>
    <w:rsid w:val="002A71BB"/>
    <w:rsid w:val="002A7903"/>
    <w:rsid w:val="002A7B8E"/>
    <w:rsid w:val="002A7E0A"/>
    <w:rsid w:val="002B016A"/>
    <w:rsid w:val="002B058F"/>
    <w:rsid w:val="002B1C11"/>
    <w:rsid w:val="002B1C47"/>
    <w:rsid w:val="002B1ECF"/>
    <w:rsid w:val="002B2933"/>
    <w:rsid w:val="002B37B2"/>
    <w:rsid w:val="002B4812"/>
    <w:rsid w:val="002B484D"/>
    <w:rsid w:val="002B4DAD"/>
    <w:rsid w:val="002B5DAC"/>
    <w:rsid w:val="002B5E89"/>
    <w:rsid w:val="002B64C9"/>
    <w:rsid w:val="002B65B5"/>
    <w:rsid w:val="002B68FA"/>
    <w:rsid w:val="002B6A90"/>
    <w:rsid w:val="002B6EEA"/>
    <w:rsid w:val="002B6F88"/>
    <w:rsid w:val="002B7671"/>
    <w:rsid w:val="002B79B8"/>
    <w:rsid w:val="002B7DF5"/>
    <w:rsid w:val="002B7F7A"/>
    <w:rsid w:val="002C026A"/>
    <w:rsid w:val="002C0AC7"/>
    <w:rsid w:val="002C14DB"/>
    <w:rsid w:val="002C1740"/>
    <w:rsid w:val="002C1D82"/>
    <w:rsid w:val="002C1E2F"/>
    <w:rsid w:val="002C2E1A"/>
    <w:rsid w:val="002C3451"/>
    <w:rsid w:val="002C34AE"/>
    <w:rsid w:val="002C375C"/>
    <w:rsid w:val="002C3A95"/>
    <w:rsid w:val="002C3EAC"/>
    <w:rsid w:val="002C433A"/>
    <w:rsid w:val="002C4488"/>
    <w:rsid w:val="002C4C54"/>
    <w:rsid w:val="002C50D0"/>
    <w:rsid w:val="002C6703"/>
    <w:rsid w:val="002C6811"/>
    <w:rsid w:val="002C7379"/>
    <w:rsid w:val="002C7D9F"/>
    <w:rsid w:val="002C7ECB"/>
    <w:rsid w:val="002C7F0F"/>
    <w:rsid w:val="002D06CE"/>
    <w:rsid w:val="002D083F"/>
    <w:rsid w:val="002D09FE"/>
    <w:rsid w:val="002D11D2"/>
    <w:rsid w:val="002D1C2C"/>
    <w:rsid w:val="002D2268"/>
    <w:rsid w:val="002D2818"/>
    <w:rsid w:val="002D3233"/>
    <w:rsid w:val="002D4522"/>
    <w:rsid w:val="002D4A1C"/>
    <w:rsid w:val="002D55B8"/>
    <w:rsid w:val="002D5A80"/>
    <w:rsid w:val="002D5FE4"/>
    <w:rsid w:val="002D6486"/>
    <w:rsid w:val="002D6606"/>
    <w:rsid w:val="002D75B1"/>
    <w:rsid w:val="002D76C9"/>
    <w:rsid w:val="002E06EC"/>
    <w:rsid w:val="002E0860"/>
    <w:rsid w:val="002E09C8"/>
    <w:rsid w:val="002E0CB1"/>
    <w:rsid w:val="002E144E"/>
    <w:rsid w:val="002E1DF9"/>
    <w:rsid w:val="002E23A9"/>
    <w:rsid w:val="002E24EF"/>
    <w:rsid w:val="002E2562"/>
    <w:rsid w:val="002E2868"/>
    <w:rsid w:val="002E2A1E"/>
    <w:rsid w:val="002E2B95"/>
    <w:rsid w:val="002E2C9D"/>
    <w:rsid w:val="002E3397"/>
    <w:rsid w:val="002E3889"/>
    <w:rsid w:val="002E4014"/>
    <w:rsid w:val="002E45B0"/>
    <w:rsid w:val="002E4AF1"/>
    <w:rsid w:val="002E4DC8"/>
    <w:rsid w:val="002E4F6E"/>
    <w:rsid w:val="002E5677"/>
    <w:rsid w:val="002E5C2E"/>
    <w:rsid w:val="002E5F5E"/>
    <w:rsid w:val="002E615F"/>
    <w:rsid w:val="002E61A3"/>
    <w:rsid w:val="002E62FE"/>
    <w:rsid w:val="002E673F"/>
    <w:rsid w:val="002E6853"/>
    <w:rsid w:val="002E6DE0"/>
    <w:rsid w:val="002E7322"/>
    <w:rsid w:val="002E76F2"/>
    <w:rsid w:val="002E7C5D"/>
    <w:rsid w:val="002E7D33"/>
    <w:rsid w:val="002F0087"/>
    <w:rsid w:val="002F06CB"/>
    <w:rsid w:val="002F074E"/>
    <w:rsid w:val="002F1284"/>
    <w:rsid w:val="002F1CC1"/>
    <w:rsid w:val="002F1EBC"/>
    <w:rsid w:val="002F339F"/>
    <w:rsid w:val="002F3457"/>
    <w:rsid w:val="002F355E"/>
    <w:rsid w:val="002F3CB2"/>
    <w:rsid w:val="002F4B7C"/>
    <w:rsid w:val="002F4FC7"/>
    <w:rsid w:val="002F6DDF"/>
    <w:rsid w:val="002F7130"/>
    <w:rsid w:val="002F71F0"/>
    <w:rsid w:val="002F72F8"/>
    <w:rsid w:val="002F7589"/>
    <w:rsid w:val="002F7BB7"/>
    <w:rsid w:val="002F7D35"/>
    <w:rsid w:val="002F7F2F"/>
    <w:rsid w:val="0030018B"/>
    <w:rsid w:val="0030065D"/>
    <w:rsid w:val="003006F2"/>
    <w:rsid w:val="003007C6"/>
    <w:rsid w:val="003014DB"/>
    <w:rsid w:val="00301EA8"/>
    <w:rsid w:val="0030210E"/>
    <w:rsid w:val="0030245D"/>
    <w:rsid w:val="0030255E"/>
    <w:rsid w:val="003033BB"/>
    <w:rsid w:val="00303986"/>
    <w:rsid w:val="00303A59"/>
    <w:rsid w:val="003046CA"/>
    <w:rsid w:val="00304815"/>
    <w:rsid w:val="003051CB"/>
    <w:rsid w:val="003053DE"/>
    <w:rsid w:val="0030545A"/>
    <w:rsid w:val="0030549B"/>
    <w:rsid w:val="0030587E"/>
    <w:rsid w:val="00306025"/>
    <w:rsid w:val="00307709"/>
    <w:rsid w:val="00307B3C"/>
    <w:rsid w:val="00307CAA"/>
    <w:rsid w:val="00310A51"/>
    <w:rsid w:val="00310A79"/>
    <w:rsid w:val="00311861"/>
    <w:rsid w:val="00311C2C"/>
    <w:rsid w:val="003120D8"/>
    <w:rsid w:val="0031216F"/>
    <w:rsid w:val="00313105"/>
    <w:rsid w:val="003141BE"/>
    <w:rsid w:val="003141D7"/>
    <w:rsid w:val="003146CE"/>
    <w:rsid w:val="0031498B"/>
    <w:rsid w:val="00315149"/>
    <w:rsid w:val="003152E6"/>
    <w:rsid w:val="0031565E"/>
    <w:rsid w:val="003158CC"/>
    <w:rsid w:val="003158DC"/>
    <w:rsid w:val="00315CEB"/>
    <w:rsid w:val="00315E81"/>
    <w:rsid w:val="00316391"/>
    <w:rsid w:val="003163FF"/>
    <w:rsid w:val="0031757D"/>
    <w:rsid w:val="00317713"/>
    <w:rsid w:val="00317763"/>
    <w:rsid w:val="003203AE"/>
    <w:rsid w:val="0032140A"/>
    <w:rsid w:val="00321D9D"/>
    <w:rsid w:val="00322348"/>
    <w:rsid w:val="003225F8"/>
    <w:rsid w:val="00322EC6"/>
    <w:rsid w:val="0032300D"/>
    <w:rsid w:val="00323632"/>
    <w:rsid w:val="0032366D"/>
    <w:rsid w:val="00323C80"/>
    <w:rsid w:val="00323F4A"/>
    <w:rsid w:val="003243D8"/>
    <w:rsid w:val="003247FF"/>
    <w:rsid w:val="00324C88"/>
    <w:rsid w:val="00324E4C"/>
    <w:rsid w:val="00325E77"/>
    <w:rsid w:val="003260DF"/>
    <w:rsid w:val="00326E74"/>
    <w:rsid w:val="00327B44"/>
    <w:rsid w:val="00330D9C"/>
    <w:rsid w:val="003310CC"/>
    <w:rsid w:val="00331D98"/>
    <w:rsid w:val="003328AF"/>
    <w:rsid w:val="00332BF7"/>
    <w:rsid w:val="00333176"/>
    <w:rsid w:val="00333A7C"/>
    <w:rsid w:val="00333C87"/>
    <w:rsid w:val="00333EA0"/>
    <w:rsid w:val="00333ED4"/>
    <w:rsid w:val="003340CA"/>
    <w:rsid w:val="00334E2D"/>
    <w:rsid w:val="00334E75"/>
    <w:rsid w:val="0033532F"/>
    <w:rsid w:val="00335D50"/>
    <w:rsid w:val="00335E1A"/>
    <w:rsid w:val="00335E32"/>
    <w:rsid w:val="00335F0E"/>
    <w:rsid w:val="003367EB"/>
    <w:rsid w:val="00336A1C"/>
    <w:rsid w:val="00336D48"/>
    <w:rsid w:val="0033732E"/>
    <w:rsid w:val="00337894"/>
    <w:rsid w:val="00337CB5"/>
    <w:rsid w:val="00337D5D"/>
    <w:rsid w:val="00337FD0"/>
    <w:rsid w:val="0034000A"/>
    <w:rsid w:val="00340185"/>
    <w:rsid w:val="0034096C"/>
    <w:rsid w:val="0034195B"/>
    <w:rsid w:val="00341B24"/>
    <w:rsid w:val="00341DBC"/>
    <w:rsid w:val="00342A96"/>
    <w:rsid w:val="00342C06"/>
    <w:rsid w:val="00342C6D"/>
    <w:rsid w:val="0034368A"/>
    <w:rsid w:val="00343A4F"/>
    <w:rsid w:val="00343D3E"/>
    <w:rsid w:val="00343EDB"/>
    <w:rsid w:val="00343FE3"/>
    <w:rsid w:val="0034470D"/>
    <w:rsid w:val="00344D7E"/>
    <w:rsid w:val="00344F53"/>
    <w:rsid w:val="003457A4"/>
    <w:rsid w:val="003459BB"/>
    <w:rsid w:val="00345D31"/>
    <w:rsid w:val="003461F9"/>
    <w:rsid w:val="003464E8"/>
    <w:rsid w:val="00346934"/>
    <w:rsid w:val="00347B01"/>
    <w:rsid w:val="00350010"/>
    <w:rsid w:val="00350666"/>
    <w:rsid w:val="00350AE0"/>
    <w:rsid w:val="00350D18"/>
    <w:rsid w:val="00351006"/>
    <w:rsid w:val="00351334"/>
    <w:rsid w:val="0035148F"/>
    <w:rsid w:val="00352184"/>
    <w:rsid w:val="00352A0E"/>
    <w:rsid w:val="00352EEF"/>
    <w:rsid w:val="00352FC2"/>
    <w:rsid w:val="003535F8"/>
    <w:rsid w:val="00353B69"/>
    <w:rsid w:val="00353C4C"/>
    <w:rsid w:val="00354744"/>
    <w:rsid w:val="00354A65"/>
    <w:rsid w:val="00354C90"/>
    <w:rsid w:val="00354D78"/>
    <w:rsid w:val="00355294"/>
    <w:rsid w:val="003558F7"/>
    <w:rsid w:val="00355E21"/>
    <w:rsid w:val="00355FE5"/>
    <w:rsid w:val="00356FBC"/>
    <w:rsid w:val="00357CEA"/>
    <w:rsid w:val="00357E91"/>
    <w:rsid w:val="003602B7"/>
    <w:rsid w:val="003602F1"/>
    <w:rsid w:val="003606A1"/>
    <w:rsid w:val="00360BE0"/>
    <w:rsid w:val="0036118B"/>
    <w:rsid w:val="00361B88"/>
    <w:rsid w:val="00362618"/>
    <w:rsid w:val="00363C01"/>
    <w:rsid w:val="00363D3E"/>
    <w:rsid w:val="00363E43"/>
    <w:rsid w:val="003648E4"/>
    <w:rsid w:val="00364E94"/>
    <w:rsid w:val="00365296"/>
    <w:rsid w:val="00365566"/>
    <w:rsid w:val="00365B08"/>
    <w:rsid w:val="00366217"/>
    <w:rsid w:val="00366228"/>
    <w:rsid w:val="003665A4"/>
    <w:rsid w:val="0036660E"/>
    <w:rsid w:val="00366825"/>
    <w:rsid w:val="00366DFE"/>
    <w:rsid w:val="00366E31"/>
    <w:rsid w:val="0036712A"/>
    <w:rsid w:val="00367637"/>
    <w:rsid w:val="00367A01"/>
    <w:rsid w:val="00370391"/>
    <w:rsid w:val="00370B7D"/>
    <w:rsid w:val="00370CE1"/>
    <w:rsid w:val="003722E4"/>
    <w:rsid w:val="003726DF"/>
    <w:rsid w:val="0037286C"/>
    <w:rsid w:val="00372EB8"/>
    <w:rsid w:val="00373A37"/>
    <w:rsid w:val="00373BE9"/>
    <w:rsid w:val="00373FDF"/>
    <w:rsid w:val="00374359"/>
    <w:rsid w:val="003747E1"/>
    <w:rsid w:val="0037499E"/>
    <w:rsid w:val="00374D7E"/>
    <w:rsid w:val="00374DDC"/>
    <w:rsid w:val="00374FA6"/>
    <w:rsid w:val="00374FAA"/>
    <w:rsid w:val="003750A9"/>
    <w:rsid w:val="003761D3"/>
    <w:rsid w:val="00376750"/>
    <w:rsid w:val="00376DD6"/>
    <w:rsid w:val="00377BFA"/>
    <w:rsid w:val="00377DDF"/>
    <w:rsid w:val="00380428"/>
    <w:rsid w:val="00380A58"/>
    <w:rsid w:val="00380C08"/>
    <w:rsid w:val="00381577"/>
    <w:rsid w:val="0038166F"/>
    <w:rsid w:val="00381FE2"/>
    <w:rsid w:val="00382010"/>
    <w:rsid w:val="00382599"/>
    <w:rsid w:val="00382F0C"/>
    <w:rsid w:val="0038327C"/>
    <w:rsid w:val="0038334D"/>
    <w:rsid w:val="00383F45"/>
    <w:rsid w:val="00384310"/>
    <w:rsid w:val="0038454F"/>
    <w:rsid w:val="00384835"/>
    <w:rsid w:val="00384A18"/>
    <w:rsid w:val="00384A37"/>
    <w:rsid w:val="00385389"/>
    <w:rsid w:val="00385529"/>
    <w:rsid w:val="0038564B"/>
    <w:rsid w:val="00385913"/>
    <w:rsid w:val="003861D6"/>
    <w:rsid w:val="00386456"/>
    <w:rsid w:val="00386614"/>
    <w:rsid w:val="0038718B"/>
    <w:rsid w:val="00387399"/>
    <w:rsid w:val="00387FC3"/>
    <w:rsid w:val="0039034F"/>
    <w:rsid w:val="003908B0"/>
    <w:rsid w:val="00390E03"/>
    <w:rsid w:val="00390F37"/>
    <w:rsid w:val="003912EF"/>
    <w:rsid w:val="003918B1"/>
    <w:rsid w:val="003918D3"/>
    <w:rsid w:val="00392193"/>
    <w:rsid w:val="0039228A"/>
    <w:rsid w:val="00392711"/>
    <w:rsid w:val="00392757"/>
    <w:rsid w:val="003927A0"/>
    <w:rsid w:val="00392B8C"/>
    <w:rsid w:val="0039391C"/>
    <w:rsid w:val="00393E87"/>
    <w:rsid w:val="00393FEC"/>
    <w:rsid w:val="00395A83"/>
    <w:rsid w:val="00395D1B"/>
    <w:rsid w:val="00395D87"/>
    <w:rsid w:val="003964CA"/>
    <w:rsid w:val="003A0208"/>
    <w:rsid w:val="003A1610"/>
    <w:rsid w:val="003A17EA"/>
    <w:rsid w:val="003A1ABA"/>
    <w:rsid w:val="003A1C8F"/>
    <w:rsid w:val="003A1D1D"/>
    <w:rsid w:val="003A1F99"/>
    <w:rsid w:val="003A2054"/>
    <w:rsid w:val="003A251C"/>
    <w:rsid w:val="003A2E35"/>
    <w:rsid w:val="003A3015"/>
    <w:rsid w:val="003A3583"/>
    <w:rsid w:val="003A3749"/>
    <w:rsid w:val="003A39F1"/>
    <w:rsid w:val="003A4377"/>
    <w:rsid w:val="003A4496"/>
    <w:rsid w:val="003A4568"/>
    <w:rsid w:val="003A4D98"/>
    <w:rsid w:val="003A4FC9"/>
    <w:rsid w:val="003A60A5"/>
    <w:rsid w:val="003A6710"/>
    <w:rsid w:val="003A69F1"/>
    <w:rsid w:val="003A6C97"/>
    <w:rsid w:val="003A6DE4"/>
    <w:rsid w:val="003A71C4"/>
    <w:rsid w:val="003A72B3"/>
    <w:rsid w:val="003A73DD"/>
    <w:rsid w:val="003A7E10"/>
    <w:rsid w:val="003A7FB4"/>
    <w:rsid w:val="003B07BE"/>
    <w:rsid w:val="003B16CA"/>
    <w:rsid w:val="003B2488"/>
    <w:rsid w:val="003B2CCD"/>
    <w:rsid w:val="003B2F70"/>
    <w:rsid w:val="003B343F"/>
    <w:rsid w:val="003B36E6"/>
    <w:rsid w:val="003B4034"/>
    <w:rsid w:val="003B53CC"/>
    <w:rsid w:val="003B56CC"/>
    <w:rsid w:val="003B56F4"/>
    <w:rsid w:val="003B5ACF"/>
    <w:rsid w:val="003B5CF5"/>
    <w:rsid w:val="003B5E47"/>
    <w:rsid w:val="003B62C6"/>
    <w:rsid w:val="003B6BEE"/>
    <w:rsid w:val="003B7045"/>
    <w:rsid w:val="003B75F5"/>
    <w:rsid w:val="003B7672"/>
    <w:rsid w:val="003B783E"/>
    <w:rsid w:val="003B7D21"/>
    <w:rsid w:val="003C1926"/>
    <w:rsid w:val="003C2D04"/>
    <w:rsid w:val="003C4331"/>
    <w:rsid w:val="003C5374"/>
    <w:rsid w:val="003C5557"/>
    <w:rsid w:val="003C678D"/>
    <w:rsid w:val="003C6815"/>
    <w:rsid w:val="003C6E8E"/>
    <w:rsid w:val="003C742D"/>
    <w:rsid w:val="003C7A80"/>
    <w:rsid w:val="003D004D"/>
    <w:rsid w:val="003D00F0"/>
    <w:rsid w:val="003D07B4"/>
    <w:rsid w:val="003D0922"/>
    <w:rsid w:val="003D0936"/>
    <w:rsid w:val="003D1EB1"/>
    <w:rsid w:val="003D1FA8"/>
    <w:rsid w:val="003D203A"/>
    <w:rsid w:val="003D215E"/>
    <w:rsid w:val="003D29C8"/>
    <w:rsid w:val="003D3458"/>
    <w:rsid w:val="003D3749"/>
    <w:rsid w:val="003D3931"/>
    <w:rsid w:val="003D3EA0"/>
    <w:rsid w:val="003D4A06"/>
    <w:rsid w:val="003D5155"/>
    <w:rsid w:val="003D52A8"/>
    <w:rsid w:val="003D5459"/>
    <w:rsid w:val="003D5965"/>
    <w:rsid w:val="003D5CC0"/>
    <w:rsid w:val="003D5FA0"/>
    <w:rsid w:val="003D76A1"/>
    <w:rsid w:val="003D7F08"/>
    <w:rsid w:val="003E0258"/>
    <w:rsid w:val="003E034C"/>
    <w:rsid w:val="003E0B47"/>
    <w:rsid w:val="003E0D98"/>
    <w:rsid w:val="003E10D3"/>
    <w:rsid w:val="003E1D25"/>
    <w:rsid w:val="003E1D46"/>
    <w:rsid w:val="003E1EDE"/>
    <w:rsid w:val="003E2685"/>
    <w:rsid w:val="003E28EA"/>
    <w:rsid w:val="003E293C"/>
    <w:rsid w:val="003E2BA4"/>
    <w:rsid w:val="003E2D3B"/>
    <w:rsid w:val="003E3326"/>
    <w:rsid w:val="003E3AA6"/>
    <w:rsid w:val="003E3E34"/>
    <w:rsid w:val="003E4A67"/>
    <w:rsid w:val="003E500C"/>
    <w:rsid w:val="003E5F07"/>
    <w:rsid w:val="003E6A0C"/>
    <w:rsid w:val="003E74B1"/>
    <w:rsid w:val="003F031C"/>
    <w:rsid w:val="003F08F6"/>
    <w:rsid w:val="003F0A7E"/>
    <w:rsid w:val="003F109A"/>
    <w:rsid w:val="003F25A9"/>
    <w:rsid w:val="003F276D"/>
    <w:rsid w:val="003F305C"/>
    <w:rsid w:val="003F3995"/>
    <w:rsid w:val="003F3A52"/>
    <w:rsid w:val="003F3A5F"/>
    <w:rsid w:val="003F444A"/>
    <w:rsid w:val="003F4A0D"/>
    <w:rsid w:val="003F5926"/>
    <w:rsid w:val="003F59DD"/>
    <w:rsid w:val="003F6044"/>
    <w:rsid w:val="003F6159"/>
    <w:rsid w:val="003F62D3"/>
    <w:rsid w:val="003F6496"/>
    <w:rsid w:val="003F734F"/>
    <w:rsid w:val="003F7936"/>
    <w:rsid w:val="003F7C02"/>
    <w:rsid w:val="003F7C53"/>
    <w:rsid w:val="003F7F76"/>
    <w:rsid w:val="00400095"/>
    <w:rsid w:val="004000E4"/>
    <w:rsid w:val="0040024E"/>
    <w:rsid w:val="00400B78"/>
    <w:rsid w:val="00400E24"/>
    <w:rsid w:val="0040178A"/>
    <w:rsid w:val="00401C06"/>
    <w:rsid w:val="00401CDC"/>
    <w:rsid w:val="0040203F"/>
    <w:rsid w:val="00402FD6"/>
    <w:rsid w:val="00403461"/>
    <w:rsid w:val="00404BA3"/>
    <w:rsid w:val="00404D37"/>
    <w:rsid w:val="00404D95"/>
    <w:rsid w:val="00404E07"/>
    <w:rsid w:val="00404E7F"/>
    <w:rsid w:val="00405279"/>
    <w:rsid w:val="004055AD"/>
    <w:rsid w:val="00405674"/>
    <w:rsid w:val="00405A85"/>
    <w:rsid w:val="00405CED"/>
    <w:rsid w:val="00405F8D"/>
    <w:rsid w:val="004062A9"/>
    <w:rsid w:val="00406831"/>
    <w:rsid w:val="00406DAD"/>
    <w:rsid w:val="00407A44"/>
    <w:rsid w:val="00407B24"/>
    <w:rsid w:val="00407EF7"/>
    <w:rsid w:val="00410342"/>
    <w:rsid w:val="00410A70"/>
    <w:rsid w:val="00410CB3"/>
    <w:rsid w:val="00411705"/>
    <w:rsid w:val="00411D3A"/>
    <w:rsid w:val="00412378"/>
    <w:rsid w:val="004127A6"/>
    <w:rsid w:val="0041297C"/>
    <w:rsid w:val="00412AEF"/>
    <w:rsid w:val="00412D46"/>
    <w:rsid w:val="00413478"/>
    <w:rsid w:val="00413693"/>
    <w:rsid w:val="004141E2"/>
    <w:rsid w:val="004146CC"/>
    <w:rsid w:val="0041482D"/>
    <w:rsid w:val="0041506B"/>
    <w:rsid w:val="0041575C"/>
    <w:rsid w:val="00415934"/>
    <w:rsid w:val="00415C8F"/>
    <w:rsid w:val="00415F23"/>
    <w:rsid w:val="004161EA"/>
    <w:rsid w:val="004164AC"/>
    <w:rsid w:val="00416618"/>
    <w:rsid w:val="00416664"/>
    <w:rsid w:val="00416A22"/>
    <w:rsid w:val="004171B1"/>
    <w:rsid w:val="004174A4"/>
    <w:rsid w:val="00417DDE"/>
    <w:rsid w:val="00420047"/>
    <w:rsid w:val="00420848"/>
    <w:rsid w:val="004210F9"/>
    <w:rsid w:val="0042112B"/>
    <w:rsid w:val="00422201"/>
    <w:rsid w:val="004225BE"/>
    <w:rsid w:val="00422A14"/>
    <w:rsid w:val="004232D8"/>
    <w:rsid w:val="004244C5"/>
    <w:rsid w:val="004245DD"/>
    <w:rsid w:val="0042489D"/>
    <w:rsid w:val="00424AB3"/>
    <w:rsid w:val="004250E1"/>
    <w:rsid w:val="0042514D"/>
    <w:rsid w:val="0042528A"/>
    <w:rsid w:val="00426811"/>
    <w:rsid w:val="00426AC9"/>
    <w:rsid w:val="0043012E"/>
    <w:rsid w:val="0043061B"/>
    <w:rsid w:val="00430C44"/>
    <w:rsid w:val="00431032"/>
    <w:rsid w:val="00431233"/>
    <w:rsid w:val="004315E5"/>
    <w:rsid w:val="00431647"/>
    <w:rsid w:val="00431F67"/>
    <w:rsid w:val="00431F9F"/>
    <w:rsid w:val="00431FD2"/>
    <w:rsid w:val="00432928"/>
    <w:rsid w:val="00432B9B"/>
    <w:rsid w:val="00432C0D"/>
    <w:rsid w:val="00432ECC"/>
    <w:rsid w:val="00433000"/>
    <w:rsid w:val="00433346"/>
    <w:rsid w:val="004338C4"/>
    <w:rsid w:val="00434B2C"/>
    <w:rsid w:val="00435BD5"/>
    <w:rsid w:val="00435D92"/>
    <w:rsid w:val="00436498"/>
    <w:rsid w:val="00436837"/>
    <w:rsid w:val="004377BA"/>
    <w:rsid w:val="00440430"/>
    <w:rsid w:val="00440A77"/>
    <w:rsid w:val="00440EF8"/>
    <w:rsid w:val="00441203"/>
    <w:rsid w:val="0044160B"/>
    <w:rsid w:val="00441776"/>
    <w:rsid w:val="00442091"/>
    <w:rsid w:val="004423AC"/>
    <w:rsid w:val="00442E40"/>
    <w:rsid w:val="004430DB"/>
    <w:rsid w:val="0044348D"/>
    <w:rsid w:val="00443958"/>
    <w:rsid w:val="0044395D"/>
    <w:rsid w:val="00443E15"/>
    <w:rsid w:val="00444990"/>
    <w:rsid w:val="00444E26"/>
    <w:rsid w:val="004455B6"/>
    <w:rsid w:val="004455C8"/>
    <w:rsid w:val="00445A23"/>
    <w:rsid w:val="00445E55"/>
    <w:rsid w:val="004461CF"/>
    <w:rsid w:val="0044659A"/>
    <w:rsid w:val="00446D69"/>
    <w:rsid w:val="00447742"/>
    <w:rsid w:val="004501D8"/>
    <w:rsid w:val="00450526"/>
    <w:rsid w:val="00450D00"/>
    <w:rsid w:val="00451DA7"/>
    <w:rsid w:val="00452085"/>
    <w:rsid w:val="00452433"/>
    <w:rsid w:val="0045279B"/>
    <w:rsid w:val="00455488"/>
    <w:rsid w:val="00455601"/>
    <w:rsid w:val="004560A0"/>
    <w:rsid w:val="00456437"/>
    <w:rsid w:val="004565FA"/>
    <w:rsid w:val="0045679C"/>
    <w:rsid w:val="00456AA1"/>
    <w:rsid w:val="00456B75"/>
    <w:rsid w:val="00456FDA"/>
    <w:rsid w:val="00460235"/>
    <w:rsid w:val="00460597"/>
    <w:rsid w:val="004605EB"/>
    <w:rsid w:val="00460E83"/>
    <w:rsid w:val="00461905"/>
    <w:rsid w:val="00461F3C"/>
    <w:rsid w:val="00462304"/>
    <w:rsid w:val="00462311"/>
    <w:rsid w:val="004626A8"/>
    <w:rsid w:val="0046294A"/>
    <w:rsid w:val="00463CD3"/>
    <w:rsid w:val="00463DCE"/>
    <w:rsid w:val="00463F35"/>
    <w:rsid w:val="00463F6E"/>
    <w:rsid w:val="004645FA"/>
    <w:rsid w:val="0046463F"/>
    <w:rsid w:val="00464910"/>
    <w:rsid w:val="00466BB7"/>
    <w:rsid w:val="00466BBB"/>
    <w:rsid w:val="004670A8"/>
    <w:rsid w:val="00467A1A"/>
    <w:rsid w:val="00467B04"/>
    <w:rsid w:val="00467ED4"/>
    <w:rsid w:val="004703A6"/>
    <w:rsid w:val="0047077B"/>
    <w:rsid w:val="004709B2"/>
    <w:rsid w:val="00470B0B"/>
    <w:rsid w:val="00470BE2"/>
    <w:rsid w:val="0047148D"/>
    <w:rsid w:val="00472550"/>
    <w:rsid w:val="00472630"/>
    <w:rsid w:val="00472780"/>
    <w:rsid w:val="00472A64"/>
    <w:rsid w:val="00472E6F"/>
    <w:rsid w:val="00473857"/>
    <w:rsid w:val="00473DF9"/>
    <w:rsid w:val="00474144"/>
    <w:rsid w:val="00474155"/>
    <w:rsid w:val="00474361"/>
    <w:rsid w:val="004749D6"/>
    <w:rsid w:val="00474E85"/>
    <w:rsid w:val="00474EA6"/>
    <w:rsid w:val="0047507D"/>
    <w:rsid w:val="00475107"/>
    <w:rsid w:val="00475645"/>
    <w:rsid w:val="00475994"/>
    <w:rsid w:val="00475E49"/>
    <w:rsid w:val="004763DA"/>
    <w:rsid w:val="00476734"/>
    <w:rsid w:val="00476CDA"/>
    <w:rsid w:val="00477D3B"/>
    <w:rsid w:val="004800B2"/>
    <w:rsid w:val="00480847"/>
    <w:rsid w:val="004813BE"/>
    <w:rsid w:val="0048337D"/>
    <w:rsid w:val="004845CC"/>
    <w:rsid w:val="00485214"/>
    <w:rsid w:val="00485452"/>
    <w:rsid w:val="00486055"/>
    <w:rsid w:val="004868CC"/>
    <w:rsid w:val="00487615"/>
    <w:rsid w:val="004879FB"/>
    <w:rsid w:val="00487B08"/>
    <w:rsid w:val="00487DF1"/>
    <w:rsid w:val="00487EA4"/>
    <w:rsid w:val="00490083"/>
    <w:rsid w:val="004909E7"/>
    <w:rsid w:val="0049122F"/>
    <w:rsid w:val="004912D6"/>
    <w:rsid w:val="004919B7"/>
    <w:rsid w:val="0049267F"/>
    <w:rsid w:val="0049276E"/>
    <w:rsid w:val="00493001"/>
    <w:rsid w:val="0049354D"/>
    <w:rsid w:val="00493685"/>
    <w:rsid w:val="00493BA3"/>
    <w:rsid w:val="00493DC9"/>
    <w:rsid w:val="00494069"/>
    <w:rsid w:val="00494096"/>
    <w:rsid w:val="00494464"/>
    <w:rsid w:val="004953E0"/>
    <w:rsid w:val="00495B56"/>
    <w:rsid w:val="00495C6B"/>
    <w:rsid w:val="004962D3"/>
    <w:rsid w:val="004966B4"/>
    <w:rsid w:val="004967DB"/>
    <w:rsid w:val="0049711A"/>
    <w:rsid w:val="00497632"/>
    <w:rsid w:val="004A089B"/>
    <w:rsid w:val="004A0C49"/>
    <w:rsid w:val="004A0F1B"/>
    <w:rsid w:val="004A0F43"/>
    <w:rsid w:val="004A168A"/>
    <w:rsid w:val="004A232B"/>
    <w:rsid w:val="004A2486"/>
    <w:rsid w:val="004A2DF1"/>
    <w:rsid w:val="004A30A3"/>
    <w:rsid w:val="004A3202"/>
    <w:rsid w:val="004A4078"/>
    <w:rsid w:val="004A479E"/>
    <w:rsid w:val="004A4882"/>
    <w:rsid w:val="004A5191"/>
    <w:rsid w:val="004A5244"/>
    <w:rsid w:val="004A58F1"/>
    <w:rsid w:val="004A59A7"/>
    <w:rsid w:val="004A624B"/>
    <w:rsid w:val="004A6501"/>
    <w:rsid w:val="004A72AC"/>
    <w:rsid w:val="004A73A8"/>
    <w:rsid w:val="004A74D2"/>
    <w:rsid w:val="004B0283"/>
    <w:rsid w:val="004B06BB"/>
    <w:rsid w:val="004B07AC"/>
    <w:rsid w:val="004B124A"/>
    <w:rsid w:val="004B17E3"/>
    <w:rsid w:val="004B1D2E"/>
    <w:rsid w:val="004B1E82"/>
    <w:rsid w:val="004B1F46"/>
    <w:rsid w:val="004B24A5"/>
    <w:rsid w:val="004B268B"/>
    <w:rsid w:val="004B2AFF"/>
    <w:rsid w:val="004B300D"/>
    <w:rsid w:val="004B3884"/>
    <w:rsid w:val="004B4628"/>
    <w:rsid w:val="004B49AE"/>
    <w:rsid w:val="004B4DCA"/>
    <w:rsid w:val="004B50E4"/>
    <w:rsid w:val="004B5491"/>
    <w:rsid w:val="004B68CA"/>
    <w:rsid w:val="004B7E72"/>
    <w:rsid w:val="004C04DA"/>
    <w:rsid w:val="004C12AE"/>
    <w:rsid w:val="004C29F9"/>
    <w:rsid w:val="004C2EEC"/>
    <w:rsid w:val="004C321C"/>
    <w:rsid w:val="004C338D"/>
    <w:rsid w:val="004C3AA2"/>
    <w:rsid w:val="004C4C20"/>
    <w:rsid w:val="004C4EA8"/>
    <w:rsid w:val="004C51E7"/>
    <w:rsid w:val="004C5938"/>
    <w:rsid w:val="004C5960"/>
    <w:rsid w:val="004C5977"/>
    <w:rsid w:val="004C5D71"/>
    <w:rsid w:val="004C647F"/>
    <w:rsid w:val="004C65CF"/>
    <w:rsid w:val="004C6BDB"/>
    <w:rsid w:val="004C7048"/>
    <w:rsid w:val="004C7577"/>
    <w:rsid w:val="004C7F56"/>
    <w:rsid w:val="004D021A"/>
    <w:rsid w:val="004D1128"/>
    <w:rsid w:val="004D1155"/>
    <w:rsid w:val="004D15C4"/>
    <w:rsid w:val="004D1923"/>
    <w:rsid w:val="004D1F0C"/>
    <w:rsid w:val="004D2CDE"/>
    <w:rsid w:val="004D317E"/>
    <w:rsid w:val="004D327C"/>
    <w:rsid w:val="004D3EA0"/>
    <w:rsid w:val="004D4214"/>
    <w:rsid w:val="004D45ED"/>
    <w:rsid w:val="004D47C9"/>
    <w:rsid w:val="004D50D7"/>
    <w:rsid w:val="004D5451"/>
    <w:rsid w:val="004D5E34"/>
    <w:rsid w:val="004D6A4A"/>
    <w:rsid w:val="004D6BD0"/>
    <w:rsid w:val="004D7385"/>
    <w:rsid w:val="004D7623"/>
    <w:rsid w:val="004D7796"/>
    <w:rsid w:val="004D7CE3"/>
    <w:rsid w:val="004D7F94"/>
    <w:rsid w:val="004E0A17"/>
    <w:rsid w:val="004E1DFF"/>
    <w:rsid w:val="004E2586"/>
    <w:rsid w:val="004E2828"/>
    <w:rsid w:val="004E346B"/>
    <w:rsid w:val="004E361A"/>
    <w:rsid w:val="004E36F1"/>
    <w:rsid w:val="004E46AF"/>
    <w:rsid w:val="004E48E0"/>
    <w:rsid w:val="004E4B10"/>
    <w:rsid w:val="004E51D2"/>
    <w:rsid w:val="004E59F7"/>
    <w:rsid w:val="004E5B94"/>
    <w:rsid w:val="004E61B1"/>
    <w:rsid w:val="004E627F"/>
    <w:rsid w:val="004E647C"/>
    <w:rsid w:val="004E6A51"/>
    <w:rsid w:val="004E6AB0"/>
    <w:rsid w:val="004E7363"/>
    <w:rsid w:val="004E7A65"/>
    <w:rsid w:val="004F039B"/>
    <w:rsid w:val="004F0D68"/>
    <w:rsid w:val="004F10CB"/>
    <w:rsid w:val="004F127E"/>
    <w:rsid w:val="004F139A"/>
    <w:rsid w:val="004F1725"/>
    <w:rsid w:val="004F1BEC"/>
    <w:rsid w:val="004F1EA0"/>
    <w:rsid w:val="004F26E3"/>
    <w:rsid w:val="004F26F0"/>
    <w:rsid w:val="004F3310"/>
    <w:rsid w:val="004F3D93"/>
    <w:rsid w:val="004F43A9"/>
    <w:rsid w:val="004F6A9C"/>
    <w:rsid w:val="004F7124"/>
    <w:rsid w:val="004F7238"/>
    <w:rsid w:val="004F7573"/>
    <w:rsid w:val="004F79BB"/>
    <w:rsid w:val="004F7B34"/>
    <w:rsid w:val="004F7CC5"/>
    <w:rsid w:val="005000A5"/>
    <w:rsid w:val="00500100"/>
    <w:rsid w:val="00500315"/>
    <w:rsid w:val="005014D6"/>
    <w:rsid w:val="005016BA"/>
    <w:rsid w:val="00501E30"/>
    <w:rsid w:val="00502674"/>
    <w:rsid w:val="00502CF7"/>
    <w:rsid w:val="00502F82"/>
    <w:rsid w:val="0050310F"/>
    <w:rsid w:val="005041F9"/>
    <w:rsid w:val="00504EC8"/>
    <w:rsid w:val="00504FA5"/>
    <w:rsid w:val="0050524B"/>
    <w:rsid w:val="00505A4C"/>
    <w:rsid w:val="005060F4"/>
    <w:rsid w:val="0050625F"/>
    <w:rsid w:val="00506A05"/>
    <w:rsid w:val="00506EC6"/>
    <w:rsid w:val="00507513"/>
    <w:rsid w:val="005078D4"/>
    <w:rsid w:val="00507F62"/>
    <w:rsid w:val="005106BB"/>
    <w:rsid w:val="00510962"/>
    <w:rsid w:val="00511D8D"/>
    <w:rsid w:val="00512408"/>
    <w:rsid w:val="00512D60"/>
    <w:rsid w:val="00512E29"/>
    <w:rsid w:val="00514765"/>
    <w:rsid w:val="005150F0"/>
    <w:rsid w:val="00515E11"/>
    <w:rsid w:val="00515F51"/>
    <w:rsid w:val="00516C4B"/>
    <w:rsid w:val="00517930"/>
    <w:rsid w:val="005201A3"/>
    <w:rsid w:val="005202DF"/>
    <w:rsid w:val="0052134B"/>
    <w:rsid w:val="005219C2"/>
    <w:rsid w:val="00521E2E"/>
    <w:rsid w:val="00522091"/>
    <w:rsid w:val="00522158"/>
    <w:rsid w:val="00522DCF"/>
    <w:rsid w:val="00523100"/>
    <w:rsid w:val="0052352F"/>
    <w:rsid w:val="00523794"/>
    <w:rsid w:val="0052474C"/>
    <w:rsid w:val="00524FAB"/>
    <w:rsid w:val="00525751"/>
    <w:rsid w:val="0052576C"/>
    <w:rsid w:val="00525CBD"/>
    <w:rsid w:val="00525E2C"/>
    <w:rsid w:val="00526613"/>
    <w:rsid w:val="00526D9F"/>
    <w:rsid w:val="0053062A"/>
    <w:rsid w:val="00530CDE"/>
    <w:rsid w:val="005312F2"/>
    <w:rsid w:val="00531658"/>
    <w:rsid w:val="005318ED"/>
    <w:rsid w:val="00531C03"/>
    <w:rsid w:val="00531EC1"/>
    <w:rsid w:val="00532485"/>
    <w:rsid w:val="00532911"/>
    <w:rsid w:val="005330DF"/>
    <w:rsid w:val="00533751"/>
    <w:rsid w:val="00533D88"/>
    <w:rsid w:val="0053475C"/>
    <w:rsid w:val="0053526B"/>
    <w:rsid w:val="00535898"/>
    <w:rsid w:val="00535CC8"/>
    <w:rsid w:val="005363AD"/>
    <w:rsid w:val="00536401"/>
    <w:rsid w:val="00536DFD"/>
    <w:rsid w:val="00536FE3"/>
    <w:rsid w:val="00537395"/>
    <w:rsid w:val="005374F5"/>
    <w:rsid w:val="00537856"/>
    <w:rsid w:val="00537A83"/>
    <w:rsid w:val="00537D0D"/>
    <w:rsid w:val="00540386"/>
    <w:rsid w:val="005405ED"/>
    <w:rsid w:val="00540E23"/>
    <w:rsid w:val="0054162E"/>
    <w:rsid w:val="0054186B"/>
    <w:rsid w:val="00541C18"/>
    <w:rsid w:val="005420D9"/>
    <w:rsid w:val="005423B4"/>
    <w:rsid w:val="005435BE"/>
    <w:rsid w:val="0054426A"/>
    <w:rsid w:val="0054427B"/>
    <w:rsid w:val="005447EE"/>
    <w:rsid w:val="0054498D"/>
    <w:rsid w:val="00544A32"/>
    <w:rsid w:val="005454FF"/>
    <w:rsid w:val="00545BC0"/>
    <w:rsid w:val="00545CE7"/>
    <w:rsid w:val="00545EDF"/>
    <w:rsid w:val="00545F5C"/>
    <w:rsid w:val="005461E1"/>
    <w:rsid w:val="0054654B"/>
    <w:rsid w:val="00546978"/>
    <w:rsid w:val="00546A89"/>
    <w:rsid w:val="00547000"/>
    <w:rsid w:val="0054734F"/>
    <w:rsid w:val="005475E3"/>
    <w:rsid w:val="005479B7"/>
    <w:rsid w:val="00547F30"/>
    <w:rsid w:val="005508A0"/>
    <w:rsid w:val="00550ED3"/>
    <w:rsid w:val="005514E2"/>
    <w:rsid w:val="0055177F"/>
    <w:rsid w:val="005518A9"/>
    <w:rsid w:val="0055196D"/>
    <w:rsid w:val="005530FC"/>
    <w:rsid w:val="00553673"/>
    <w:rsid w:val="005538A6"/>
    <w:rsid w:val="0055510E"/>
    <w:rsid w:val="005554BC"/>
    <w:rsid w:val="00555EBB"/>
    <w:rsid w:val="005573DA"/>
    <w:rsid w:val="005577EF"/>
    <w:rsid w:val="005600F9"/>
    <w:rsid w:val="0056012C"/>
    <w:rsid w:val="00560132"/>
    <w:rsid w:val="0056039B"/>
    <w:rsid w:val="005606D7"/>
    <w:rsid w:val="005607B3"/>
    <w:rsid w:val="00560B50"/>
    <w:rsid w:val="00561A4F"/>
    <w:rsid w:val="00561C39"/>
    <w:rsid w:val="00561CEC"/>
    <w:rsid w:val="00561F86"/>
    <w:rsid w:val="00562186"/>
    <w:rsid w:val="00562362"/>
    <w:rsid w:val="0056244A"/>
    <w:rsid w:val="00562D59"/>
    <w:rsid w:val="00562D9A"/>
    <w:rsid w:val="00563652"/>
    <w:rsid w:val="00563734"/>
    <w:rsid w:val="00563DCE"/>
    <w:rsid w:val="005641AC"/>
    <w:rsid w:val="0056422A"/>
    <w:rsid w:val="00564511"/>
    <w:rsid w:val="005648AB"/>
    <w:rsid w:val="00564B24"/>
    <w:rsid w:val="00564E73"/>
    <w:rsid w:val="00564F21"/>
    <w:rsid w:val="00565491"/>
    <w:rsid w:val="0056551F"/>
    <w:rsid w:val="00565DB3"/>
    <w:rsid w:val="005661B9"/>
    <w:rsid w:val="00566239"/>
    <w:rsid w:val="00566F61"/>
    <w:rsid w:val="005674D8"/>
    <w:rsid w:val="00567800"/>
    <w:rsid w:val="00570149"/>
    <w:rsid w:val="005701CA"/>
    <w:rsid w:val="005704FE"/>
    <w:rsid w:val="00570E3A"/>
    <w:rsid w:val="005736AA"/>
    <w:rsid w:val="005738D9"/>
    <w:rsid w:val="00573DD5"/>
    <w:rsid w:val="0057502A"/>
    <w:rsid w:val="00575049"/>
    <w:rsid w:val="00575349"/>
    <w:rsid w:val="00575A1F"/>
    <w:rsid w:val="00576E3E"/>
    <w:rsid w:val="005770D2"/>
    <w:rsid w:val="0057769B"/>
    <w:rsid w:val="00580D17"/>
    <w:rsid w:val="00580FA6"/>
    <w:rsid w:val="005812E0"/>
    <w:rsid w:val="0058160F"/>
    <w:rsid w:val="00582FE8"/>
    <w:rsid w:val="005831A5"/>
    <w:rsid w:val="0058351D"/>
    <w:rsid w:val="00583623"/>
    <w:rsid w:val="005836B4"/>
    <w:rsid w:val="00583B6E"/>
    <w:rsid w:val="0058425C"/>
    <w:rsid w:val="005843E9"/>
    <w:rsid w:val="00584F2D"/>
    <w:rsid w:val="0058531C"/>
    <w:rsid w:val="005857DA"/>
    <w:rsid w:val="00585D7E"/>
    <w:rsid w:val="00586279"/>
    <w:rsid w:val="005871DE"/>
    <w:rsid w:val="0058797B"/>
    <w:rsid w:val="00590CF3"/>
    <w:rsid w:val="00590D4B"/>
    <w:rsid w:val="0059126A"/>
    <w:rsid w:val="00591300"/>
    <w:rsid w:val="0059155B"/>
    <w:rsid w:val="00591DAC"/>
    <w:rsid w:val="00592906"/>
    <w:rsid w:val="005939A3"/>
    <w:rsid w:val="005945A4"/>
    <w:rsid w:val="005954FA"/>
    <w:rsid w:val="0059556E"/>
    <w:rsid w:val="0059575D"/>
    <w:rsid w:val="005962F2"/>
    <w:rsid w:val="00596C31"/>
    <w:rsid w:val="005979F7"/>
    <w:rsid w:val="00597C08"/>
    <w:rsid w:val="00597C71"/>
    <w:rsid w:val="005A0159"/>
    <w:rsid w:val="005A0470"/>
    <w:rsid w:val="005A0F30"/>
    <w:rsid w:val="005A13C3"/>
    <w:rsid w:val="005A156C"/>
    <w:rsid w:val="005A227B"/>
    <w:rsid w:val="005A2C79"/>
    <w:rsid w:val="005A2C95"/>
    <w:rsid w:val="005A3124"/>
    <w:rsid w:val="005A34FE"/>
    <w:rsid w:val="005A3B0A"/>
    <w:rsid w:val="005A3D8E"/>
    <w:rsid w:val="005A4489"/>
    <w:rsid w:val="005A4824"/>
    <w:rsid w:val="005A4A67"/>
    <w:rsid w:val="005A4D22"/>
    <w:rsid w:val="005A5ACE"/>
    <w:rsid w:val="005A5D18"/>
    <w:rsid w:val="005A70C9"/>
    <w:rsid w:val="005A70D5"/>
    <w:rsid w:val="005A7600"/>
    <w:rsid w:val="005A7990"/>
    <w:rsid w:val="005A7BB3"/>
    <w:rsid w:val="005A7D7B"/>
    <w:rsid w:val="005A7F25"/>
    <w:rsid w:val="005B0016"/>
    <w:rsid w:val="005B0023"/>
    <w:rsid w:val="005B083D"/>
    <w:rsid w:val="005B0897"/>
    <w:rsid w:val="005B0C61"/>
    <w:rsid w:val="005B0CC4"/>
    <w:rsid w:val="005B0CCD"/>
    <w:rsid w:val="005B1077"/>
    <w:rsid w:val="005B1C1E"/>
    <w:rsid w:val="005B1E15"/>
    <w:rsid w:val="005B22DB"/>
    <w:rsid w:val="005B265A"/>
    <w:rsid w:val="005B27DE"/>
    <w:rsid w:val="005B2A79"/>
    <w:rsid w:val="005B2C43"/>
    <w:rsid w:val="005B35BE"/>
    <w:rsid w:val="005B36F9"/>
    <w:rsid w:val="005B384E"/>
    <w:rsid w:val="005B3C86"/>
    <w:rsid w:val="005B4B5E"/>
    <w:rsid w:val="005B6C1D"/>
    <w:rsid w:val="005B74B6"/>
    <w:rsid w:val="005B78EE"/>
    <w:rsid w:val="005B7955"/>
    <w:rsid w:val="005B7968"/>
    <w:rsid w:val="005C038E"/>
    <w:rsid w:val="005C0AF6"/>
    <w:rsid w:val="005C0C70"/>
    <w:rsid w:val="005C0D36"/>
    <w:rsid w:val="005C0D72"/>
    <w:rsid w:val="005C1E2A"/>
    <w:rsid w:val="005C2139"/>
    <w:rsid w:val="005C2456"/>
    <w:rsid w:val="005C2AF9"/>
    <w:rsid w:val="005C2CF0"/>
    <w:rsid w:val="005C2EA8"/>
    <w:rsid w:val="005C4B4F"/>
    <w:rsid w:val="005C5B1A"/>
    <w:rsid w:val="005C5DB7"/>
    <w:rsid w:val="005C616B"/>
    <w:rsid w:val="005C63EC"/>
    <w:rsid w:val="005C63F3"/>
    <w:rsid w:val="005C687D"/>
    <w:rsid w:val="005C6D2D"/>
    <w:rsid w:val="005C6E03"/>
    <w:rsid w:val="005D039E"/>
    <w:rsid w:val="005D0D0A"/>
    <w:rsid w:val="005D0FBC"/>
    <w:rsid w:val="005D1042"/>
    <w:rsid w:val="005D1171"/>
    <w:rsid w:val="005D1252"/>
    <w:rsid w:val="005D1811"/>
    <w:rsid w:val="005D200F"/>
    <w:rsid w:val="005D23BA"/>
    <w:rsid w:val="005D268B"/>
    <w:rsid w:val="005D35A8"/>
    <w:rsid w:val="005D3804"/>
    <w:rsid w:val="005D3E84"/>
    <w:rsid w:val="005D422D"/>
    <w:rsid w:val="005D42A4"/>
    <w:rsid w:val="005D46D5"/>
    <w:rsid w:val="005D5FAF"/>
    <w:rsid w:val="005D603A"/>
    <w:rsid w:val="005D61A6"/>
    <w:rsid w:val="005D6594"/>
    <w:rsid w:val="005D676C"/>
    <w:rsid w:val="005D6D23"/>
    <w:rsid w:val="005D7C9B"/>
    <w:rsid w:val="005E0252"/>
    <w:rsid w:val="005E0E40"/>
    <w:rsid w:val="005E1F27"/>
    <w:rsid w:val="005E1FF9"/>
    <w:rsid w:val="005E2364"/>
    <w:rsid w:val="005E2651"/>
    <w:rsid w:val="005E29F7"/>
    <w:rsid w:val="005E3815"/>
    <w:rsid w:val="005E3C1B"/>
    <w:rsid w:val="005E4522"/>
    <w:rsid w:val="005E4581"/>
    <w:rsid w:val="005E4C95"/>
    <w:rsid w:val="005E4EFB"/>
    <w:rsid w:val="005E4F8A"/>
    <w:rsid w:val="005E5080"/>
    <w:rsid w:val="005E5201"/>
    <w:rsid w:val="005E5B0C"/>
    <w:rsid w:val="005E5C35"/>
    <w:rsid w:val="005E64F2"/>
    <w:rsid w:val="005E65B8"/>
    <w:rsid w:val="005E66B1"/>
    <w:rsid w:val="005E676D"/>
    <w:rsid w:val="005E6A02"/>
    <w:rsid w:val="005E6E71"/>
    <w:rsid w:val="005E6E8C"/>
    <w:rsid w:val="005E72FC"/>
    <w:rsid w:val="005E75EF"/>
    <w:rsid w:val="005E77D6"/>
    <w:rsid w:val="005F025C"/>
    <w:rsid w:val="005F0809"/>
    <w:rsid w:val="005F0A9E"/>
    <w:rsid w:val="005F0AA6"/>
    <w:rsid w:val="005F0C02"/>
    <w:rsid w:val="005F0ED0"/>
    <w:rsid w:val="005F0F25"/>
    <w:rsid w:val="005F0FAA"/>
    <w:rsid w:val="005F0FBC"/>
    <w:rsid w:val="005F1803"/>
    <w:rsid w:val="005F185D"/>
    <w:rsid w:val="005F18D6"/>
    <w:rsid w:val="005F1E25"/>
    <w:rsid w:val="005F20CE"/>
    <w:rsid w:val="005F22DA"/>
    <w:rsid w:val="005F2379"/>
    <w:rsid w:val="005F30A8"/>
    <w:rsid w:val="005F320B"/>
    <w:rsid w:val="005F3955"/>
    <w:rsid w:val="005F3C54"/>
    <w:rsid w:val="005F3D55"/>
    <w:rsid w:val="005F4323"/>
    <w:rsid w:val="005F4A3A"/>
    <w:rsid w:val="005F4B1D"/>
    <w:rsid w:val="005F5BAC"/>
    <w:rsid w:val="005F5C68"/>
    <w:rsid w:val="005F5E5B"/>
    <w:rsid w:val="005F6C0C"/>
    <w:rsid w:val="005F7268"/>
    <w:rsid w:val="005F73DD"/>
    <w:rsid w:val="005F75FB"/>
    <w:rsid w:val="006006F6"/>
    <w:rsid w:val="006007A0"/>
    <w:rsid w:val="00600E31"/>
    <w:rsid w:val="00600E4D"/>
    <w:rsid w:val="00602665"/>
    <w:rsid w:val="00603432"/>
    <w:rsid w:val="00604C63"/>
    <w:rsid w:val="006051D9"/>
    <w:rsid w:val="006055E0"/>
    <w:rsid w:val="00605E1F"/>
    <w:rsid w:val="00605FEF"/>
    <w:rsid w:val="00606296"/>
    <w:rsid w:val="00606A03"/>
    <w:rsid w:val="00606A0F"/>
    <w:rsid w:val="00606B4E"/>
    <w:rsid w:val="00606B90"/>
    <w:rsid w:val="00607983"/>
    <w:rsid w:val="00610396"/>
    <w:rsid w:val="00610611"/>
    <w:rsid w:val="00610D2B"/>
    <w:rsid w:val="00610F9E"/>
    <w:rsid w:val="0061285E"/>
    <w:rsid w:val="00612A1C"/>
    <w:rsid w:val="006136F4"/>
    <w:rsid w:val="006136FC"/>
    <w:rsid w:val="00613F1C"/>
    <w:rsid w:val="00614061"/>
    <w:rsid w:val="006144C5"/>
    <w:rsid w:val="00614ACF"/>
    <w:rsid w:val="00614D30"/>
    <w:rsid w:val="00614DD3"/>
    <w:rsid w:val="00615291"/>
    <w:rsid w:val="006158C1"/>
    <w:rsid w:val="00615D2B"/>
    <w:rsid w:val="00616000"/>
    <w:rsid w:val="006160CF"/>
    <w:rsid w:val="006163CD"/>
    <w:rsid w:val="00616B11"/>
    <w:rsid w:val="00617BCC"/>
    <w:rsid w:val="00617FA8"/>
    <w:rsid w:val="006217DF"/>
    <w:rsid w:val="00621D97"/>
    <w:rsid w:val="00621F81"/>
    <w:rsid w:val="00623045"/>
    <w:rsid w:val="00623633"/>
    <w:rsid w:val="00623F23"/>
    <w:rsid w:val="00624558"/>
    <w:rsid w:val="00624C75"/>
    <w:rsid w:val="00624F7E"/>
    <w:rsid w:val="00625DCC"/>
    <w:rsid w:val="006262A8"/>
    <w:rsid w:val="0062674A"/>
    <w:rsid w:val="00626EC3"/>
    <w:rsid w:val="006270DE"/>
    <w:rsid w:val="006279FF"/>
    <w:rsid w:val="00627BC7"/>
    <w:rsid w:val="006300F5"/>
    <w:rsid w:val="0063121F"/>
    <w:rsid w:val="00631456"/>
    <w:rsid w:val="00633539"/>
    <w:rsid w:val="00633749"/>
    <w:rsid w:val="006337F1"/>
    <w:rsid w:val="0063380B"/>
    <w:rsid w:val="00633EEB"/>
    <w:rsid w:val="00634253"/>
    <w:rsid w:val="00634364"/>
    <w:rsid w:val="00634798"/>
    <w:rsid w:val="006347F3"/>
    <w:rsid w:val="00634E07"/>
    <w:rsid w:val="00634E5A"/>
    <w:rsid w:val="006351A4"/>
    <w:rsid w:val="00635474"/>
    <w:rsid w:val="006359BF"/>
    <w:rsid w:val="00635A70"/>
    <w:rsid w:val="00635B8C"/>
    <w:rsid w:val="00635F57"/>
    <w:rsid w:val="00636219"/>
    <w:rsid w:val="00636906"/>
    <w:rsid w:val="00637386"/>
    <w:rsid w:val="006376ED"/>
    <w:rsid w:val="0063797D"/>
    <w:rsid w:val="00637D3F"/>
    <w:rsid w:val="00637E93"/>
    <w:rsid w:val="0064007B"/>
    <w:rsid w:val="00640A73"/>
    <w:rsid w:val="00641331"/>
    <w:rsid w:val="00641509"/>
    <w:rsid w:val="00641665"/>
    <w:rsid w:val="00642040"/>
    <w:rsid w:val="00642B75"/>
    <w:rsid w:val="00642C04"/>
    <w:rsid w:val="00642C58"/>
    <w:rsid w:val="00642FAD"/>
    <w:rsid w:val="0064323E"/>
    <w:rsid w:val="006438F5"/>
    <w:rsid w:val="00643C5D"/>
    <w:rsid w:val="00644C9C"/>
    <w:rsid w:val="00645C6F"/>
    <w:rsid w:val="00646551"/>
    <w:rsid w:val="00647068"/>
    <w:rsid w:val="0064782E"/>
    <w:rsid w:val="00650096"/>
    <w:rsid w:val="0065066B"/>
    <w:rsid w:val="0065093A"/>
    <w:rsid w:val="00650BC0"/>
    <w:rsid w:val="00650D31"/>
    <w:rsid w:val="0065133F"/>
    <w:rsid w:val="00651607"/>
    <w:rsid w:val="00651716"/>
    <w:rsid w:val="00651FAB"/>
    <w:rsid w:val="006520ED"/>
    <w:rsid w:val="006522D2"/>
    <w:rsid w:val="00652EF5"/>
    <w:rsid w:val="006540C9"/>
    <w:rsid w:val="00654567"/>
    <w:rsid w:val="00654894"/>
    <w:rsid w:val="006549C2"/>
    <w:rsid w:val="00654A12"/>
    <w:rsid w:val="00654E32"/>
    <w:rsid w:val="006551C8"/>
    <w:rsid w:val="006552AF"/>
    <w:rsid w:val="00655374"/>
    <w:rsid w:val="006554B7"/>
    <w:rsid w:val="006555A3"/>
    <w:rsid w:val="0065571E"/>
    <w:rsid w:val="00655A75"/>
    <w:rsid w:val="00655EF8"/>
    <w:rsid w:val="00655F87"/>
    <w:rsid w:val="006569BA"/>
    <w:rsid w:val="00656D24"/>
    <w:rsid w:val="006570B7"/>
    <w:rsid w:val="006575A4"/>
    <w:rsid w:val="00657AD5"/>
    <w:rsid w:val="00657EC2"/>
    <w:rsid w:val="006602DA"/>
    <w:rsid w:val="006610E5"/>
    <w:rsid w:val="00661271"/>
    <w:rsid w:val="006613C5"/>
    <w:rsid w:val="006616D9"/>
    <w:rsid w:val="00661EC0"/>
    <w:rsid w:val="00662A96"/>
    <w:rsid w:val="00662CEF"/>
    <w:rsid w:val="00663000"/>
    <w:rsid w:val="00663DA7"/>
    <w:rsid w:val="00663E31"/>
    <w:rsid w:val="00663E94"/>
    <w:rsid w:val="006641CC"/>
    <w:rsid w:val="006645E3"/>
    <w:rsid w:val="006656BE"/>
    <w:rsid w:val="00665A6A"/>
    <w:rsid w:val="00665AA2"/>
    <w:rsid w:val="0066709C"/>
    <w:rsid w:val="00667610"/>
    <w:rsid w:val="00667A94"/>
    <w:rsid w:val="0067021F"/>
    <w:rsid w:val="006705B3"/>
    <w:rsid w:val="00670617"/>
    <w:rsid w:val="00670977"/>
    <w:rsid w:val="00670979"/>
    <w:rsid w:val="00670B76"/>
    <w:rsid w:val="00670C7B"/>
    <w:rsid w:val="00671BBC"/>
    <w:rsid w:val="00671EB0"/>
    <w:rsid w:val="00672082"/>
    <w:rsid w:val="006721E1"/>
    <w:rsid w:val="00672BD7"/>
    <w:rsid w:val="006732C7"/>
    <w:rsid w:val="0067369B"/>
    <w:rsid w:val="006738E8"/>
    <w:rsid w:val="00673CD5"/>
    <w:rsid w:val="00673ED7"/>
    <w:rsid w:val="0067515A"/>
    <w:rsid w:val="006751FC"/>
    <w:rsid w:val="00675895"/>
    <w:rsid w:val="006759AF"/>
    <w:rsid w:val="00675E9A"/>
    <w:rsid w:val="0067601C"/>
    <w:rsid w:val="006761D8"/>
    <w:rsid w:val="00676492"/>
    <w:rsid w:val="006764DC"/>
    <w:rsid w:val="0067653B"/>
    <w:rsid w:val="00676584"/>
    <w:rsid w:val="0067658F"/>
    <w:rsid w:val="006765A4"/>
    <w:rsid w:val="00676823"/>
    <w:rsid w:val="00676A5E"/>
    <w:rsid w:val="00676C3A"/>
    <w:rsid w:val="00676C8D"/>
    <w:rsid w:val="0067717E"/>
    <w:rsid w:val="006776ED"/>
    <w:rsid w:val="00677A1C"/>
    <w:rsid w:val="00677D20"/>
    <w:rsid w:val="0068006E"/>
    <w:rsid w:val="00680C7E"/>
    <w:rsid w:val="006826E6"/>
    <w:rsid w:val="0068292D"/>
    <w:rsid w:val="00682A19"/>
    <w:rsid w:val="00682F41"/>
    <w:rsid w:val="006830C1"/>
    <w:rsid w:val="006835E8"/>
    <w:rsid w:val="00684056"/>
    <w:rsid w:val="006843F9"/>
    <w:rsid w:val="00684BD3"/>
    <w:rsid w:val="00685E57"/>
    <w:rsid w:val="006862B8"/>
    <w:rsid w:val="00687E40"/>
    <w:rsid w:val="006903D6"/>
    <w:rsid w:val="00690B0F"/>
    <w:rsid w:val="0069156F"/>
    <w:rsid w:val="00692226"/>
    <w:rsid w:val="00692297"/>
    <w:rsid w:val="0069247E"/>
    <w:rsid w:val="006926E6"/>
    <w:rsid w:val="0069309C"/>
    <w:rsid w:val="00693982"/>
    <w:rsid w:val="00694303"/>
    <w:rsid w:val="006943B3"/>
    <w:rsid w:val="006948D6"/>
    <w:rsid w:val="00694A02"/>
    <w:rsid w:val="00694FB6"/>
    <w:rsid w:val="00695418"/>
    <w:rsid w:val="006968B0"/>
    <w:rsid w:val="00696EE6"/>
    <w:rsid w:val="00697172"/>
    <w:rsid w:val="00697F2C"/>
    <w:rsid w:val="006A0378"/>
    <w:rsid w:val="006A03E5"/>
    <w:rsid w:val="006A0C29"/>
    <w:rsid w:val="006A0EB6"/>
    <w:rsid w:val="006A0F7A"/>
    <w:rsid w:val="006A1696"/>
    <w:rsid w:val="006A20A0"/>
    <w:rsid w:val="006A31BA"/>
    <w:rsid w:val="006A33DE"/>
    <w:rsid w:val="006A41AA"/>
    <w:rsid w:val="006A4417"/>
    <w:rsid w:val="006A45CE"/>
    <w:rsid w:val="006A4D6E"/>
    <w:rsid w:val="006A514E"/>
    <w:rsid w:val="006A5EC2"/>
    <w:rsid w:val="006A5FAF"/>
    <w:rsid w:val="006A7394"/>
    <w:rsid w:val="006A7595"/>
    <w:rsid w:val="006A7A64"/>
    <w:rsid w:val="006A7B0A"/>
    <w:rsid w:val="006A7FDE"/>
    <w:rsid w:val="006B02CB"/>
    <w:rsid w:val="006B0B8F"/>
    <w:rsid w:val="006B0DB3"/>
    <w:rsid w:val="006B0F62"/>
    <w:rsid w:val="006B0FC0"/>
    <w:rsid w:val="006B14BB"/>
    <w:rsid w:val="006B18A2"/>
    <w:rsid w:val="006B2509"/>
    <w:rsid w:val="006B2BD9"/>
    <w:rsid w:val="006B2E67"/>
    <w:rsid w:val="006B31F1"/>
    <w:rsid w:val="006B32D3"/>
    <w:rsid w:val="006B3AAB"/>
    <w:rsid w:val="006B3B25"/>
    <w:rsid w:val="006B3FB1"/>
    <w:rsid w:val="006B402E"/>
    <w:rsid w:val="006B477C"/>
    <w:rsid w:val="006B4928"/>
    <w:rsid w:val="006B4E48"/>
    <w:rsid w:val="006B5074"/>
    <w:rsid w:val="006B585F"/>
    <w:rsid w:val="006B5D28"/>
    <w:rsid w:val="006B5E6B"/>
    <w:rsid w:val="006B68D9"/>
    <w:rsid w:val="006B6E59"/>
    <w:rsid w:val="006B7697"/>
    <w:rsid w:val="006B7994"/>
    <w:rsid w:val="006C04F6"/>
    <w:rsid w:val="006C051A"/>
    <w:rsid w:val="006C06C8"/>
    <w:rsid w:val="006C1381"/>
    <w:rsid w:val="006C152C"/>
    <w:rsid w:val="006C1D4A"/>
    <w:rsid w:val="006C1F2D"/>
    <w:rsid w:val="006C2EE1"/>
    <w:rsid w:val="006C2FEA"/>
    <w:rsid w:val="006C39F2"/>
    <w:rsid w:val="006C3B5E"/>
    <w:rsid w:val="006C3E65"/>
    <w:rsid w:val="006C47C3"/>
    <w:rsid w:val="006C49A3"/>
    <w:rsid w:val="006C4CC8"/>
    <w:rsid w:val="006C4E63"/>
    <w:rsid w:val="006C4E80"/>
    <w:rsid w:val="006C5444"/>
    <w:rsid w:val="006C6097"/>
    <w:rsid w:val="006C62B2"/>
    <w:rsid w:val="006C64D6"/>
    <w:rsid w:val="006C654A"/>
    <w:rsid w:val="006C675A"/>
    <w:rsid w:val="006C6972"/>
    <w:rsid w:val="006C6EFE"/>
    <w:rsid w:val="006C7C0E"/>
    <w:rsid w:val="006C7C21"/>
    <w:rsid w:val="006D0E13"/>
    <w:rsid w:val="006D0FCB"/>
    <w:rsid w:val="006D18F5"/>
    <w:rsid w:val="006D2408"/>
    <w:rsid w:val="006D27BA"/>
    <w:rsid w:val="006D3432"/>
    <w:rsid w:val="006D3806"/>
    <w:rsid w:val="006D3D45"/>
    <w:rsid w:val="006D3E3C"/>
    <w:rsid w:val="006D3E97"/>
    <w:rsid w:val="006D435A"/>
    <w:rsid w:val="006D43D7"/>
    <w:rsid w:val="006D4416"/>
    <w:rsid w:val="006D4C22"/>
    <w:rsid w:val="006D5440"/>
    <w:rsid w:val="006D5781"/>
    <w:rsid w:val="006D59CB"/>
    <w:rsid w:val="006D6189"/>
    <w:rsid w:val="006D62C4"/>
    <w:rsid w:val="006D704D"/>
    <w:rsid w:val="006D7263"/>
    <w:rsid w:val="006D72D6"/>
    <w:rsid w:val="006D72E7"/>
    <w:rsid w:val="006E0CD7"/>
    <w:rsid w:val="006E1597"/>
    <w:rsid w:val="006E25AC"/>
    <w:rsid w:val="006E28DD"/>
    <w:rsid w:val="006E3510"/>
    <w:rsid w:val="006E3C57"/>
    <w:rsid w:val="006E3DBF"/>
    <w:rsid w:val="006E42A8"/>
    <w:rsid w:val="006E440D"/>
    <w:rsid w:val="006E4678"/>
    <w:rsid w:val="006E469C"/>
    <w:rsid w:val="006E5223"/>
    <w:rsid w:val="006E55B8"/>
    <w:rsid w:val="006E5922"/>
    <w:rsid w:val="006E5C82"/>
    <w:rsid w:val="006E657D"/>
    <w:rsid w:val="006E6CBC"/>
    <w:rsid w:val="006E6F98"/>
    <w:rsid w:val="006E7F30"/>
    <w:rsid w:val="006F0A2E"/>
    <w:rsid w:val="006F1011"/>
    <w:rsid w:val="006F10E4"/>
    <w:rsid w:val="006F1908"/>
    <w:rsid w:val="006F3462"/>
    <w:rsid w:val="006F37F2"/>
    <w:rsid w:val="006F3F8F"/>
    <w:rsid w:val="006F40A1"/>
    <w:rsid w:val="006F4D51"/>
    <w:rsid w:val="006F50AF"/>
    <w:rsid w:val="006F51A0"/>
    <w:rsid w:val="006F5CB8"/>
    <w:rsid w:val="006F5FBB"/>
    <w:rsid w:val="006F6416"/>
    <w:rsid w:val="006F6513"/>
    <w:rsid w:val="006F6553"/>
    <w:rsid w:val="006F6C3C"/>
    <w:rsid w:val="006F723E"/>
    <w:rsid w:val="006F7E03"/>
    <w:rsid w:val="007001E9"/>
    <w:rsid w:val="00700273"/>
    <w:rsid w:val="00700B5E"/>
    <w:rsid w:val="00700C31"/>
    <w:rsid w:val="0070112E"/>
    <w:rsid w:val="007014FF"/>
    <w:rsid w:val="00701B38"/>
    <w:rsid w:val="00701D00"/>
    <w:rsid w:val="00702237"/>
    <w:rsid w:val="00704FB2"/>
    <w:rsid w:val="00705989"/>
    <w:rsid w:val="00705A88"/>
    <w:rsid w:val="00706DB4"/>
    <w:rsid w:val="00710AE8"/>
    <w:rsid w:val="00710D28"/>
    <w:rsid w:val="00711140"/>
    <w:rsid w:val="0071123F"/>
    <w:rsid w:val="00711E70"/>
    <w:rsid w:val="00712F80"/>
    <w:rsid w:val="00713635"/>
    <w:rsid w:val="00713B6C"/>
    <w:rsid w:val="00713DB7"/>
    <w:rsid w:val="00713FB6"/>
    <w:rsid w:val="00714605"/>
    <w:rsid w:val="0071511B"/>
    <w:rsid w:val="00715276"/>
    <w:rsid w:val="00715AE9"/>
    <w:rsid w:val="00716890"/>
    <w:rsid w:val="00716B63"/>
    <w:rsid w:val="0071727B"/>
    <w:rsid w:val="0071734E"/>
    <w:rsid w:val="00717369"/>
    <w:rsid w:val="00720775"/>
    <w:rsid w:val="00720D84"/>
    <w:rsid w:val="0072156C"/>
    <w:rsid w:val="00721BD9"/>
    <w:rsid w:val="00722848"/>
    <w:rsid w:val="007229F6"/>
    <w:rsid w:val="0072389C"/>
    <w:rsid w:val="007238E9"/>
    <w:rsid w:val="00723C8F"/>
    <w:rsid w:val="0072419D"/>
    <w:rsid w:val="0072427F"/>
    <w:rsid w:val="00724632"/>
    <w:rsid w:val="00724AC7"/>
    <w:rsid w:val="007259CF"/>
    <w:rsid w:val="0072603E"/>
    <w:rsid w:val="00726128"/>
    <w:rsid w:val="0072622F"/>
    <w:rsid w:val="00726486"/>
    <w:rsid w:val="0072652F"/>
    <w:rsid w:val="00726896"/>
    <w:rsid w:val="00726B0D"/>
    <w:rsid w:val="00726BA9"/>
    <w:rsid w:val="0072756C"/>
    <w:rsid w:val="00730458"/>
    <w:rsid w:val="00730BF0"/>
    <w:rsid w:val="00730E37"/>
    <w:rsid w:val="007310D9"/>
    <w:rsid w:val="00732022"/>
    <w:rsid w:val="0073212F"/>
    <w:rsid w:val="00732359"/>
    <w:rsid w:val="0073287A"/>
    <w:rsid w:val="00732FEE"/>
    <w:rsid w:val="007338E6"/>
    <w:rsid w:val="00733943"/>
    <w:rsid w:val="007340E5"/>
    <w:rsid w:val="007343C9"/>
    <w:rsid w:val="00734659"/>
    <w:rsid w:val="00734718"/>
    <w:rsid w:val="00734C32"/>
    <w:rsid w:val="00734EE1"/>
    <w:rsid w:val="00735224"/>
    <w:rsid w:val="00735E4E"/>
    <w:rsid w:val="00735F36"/>
    <w:rsid w:val="0073766E"/>
    <w:rsid w:val="00737844"/>
    <w:rsid w:val="007379DC"/>
    <w:rsid w:val="00740431"/>
    <w:rsid w:val="007407F8"/>
    <w:rsid w:val="00740B17"/>
    <w:rsid w:val="0074179B"/>
    <w:rsid w:val="007418D6"/>
    <w:rsid w:val="0074240A"/>
    <w:rsid w:val="00742F04"/>
    <w:rsid w:val="007433D6"/>
    <w:rsid w:val="00743653"/>
    <w:rsid w:val="00743BE2"/>
    <w:rsid w:val="00743D35"/>
    <w:rsid w:val="00743EB0"/>
    <w:rsid w:val="007459F9"/>
    <w:rsid w:val="00746404"/>
    <w:rsid w:val="007467D2"/>
    <w:rsid w:val="00746B31"/>
    <w:rsid w:val="0074780B"/>
    <w:rsid w:val="00747D9E"/>
    <w:rsid w:val="007500AB"/>
    <w:rsid w:val="00750D45"/>
    <w:rsid w:val="00751457"/>
    <w:rsid w:val="00751493"/>
    <w:rsid w:val="007516F5"/>
    <w:rsid w:val="007525D4"/>
    <w:rsid w:val="007526E2"/>
    <w:rsid w:val="00752E32"/>
    <w:rsid w:val="0075347F"/>
    <w:rsid w:val="00753619"/>
    <w:rsid w:val="00753C1E"/>
    <w:rsid w:val="007548A1"/>
    <w:rsid w:val="00754CD2"/>
    <w:rsid w:val="0075598A"/>
    <w:rsid w:val="00755BCF"/>
    <w:rsid w:val="00755D57"/>
    <w:rsid w:val="00756652"/>
    <w:rsid w:val="007567D9"/>
    <w:rsid w:val="00756EAE"/>
    <w:rsid w:val="00757425"/>
    <w:rsid w:val="00757E44"/>
    <w:rsid w:val="007601EB"/>
    <w:rsid w:val="0076085E"/>
    <w:rsid w:val="00760ACC"/>
    <w:rsid w:val="00760B36"/>
    <w:rsid w:val="00760CC0"/>
    <w:rsid w:val="007614E1"/>
    <w:rsid w:val="00761DF3"/>
    <w:rsid w:val="00761E50"/>
    <w:rsid w:val="007627B0"/>
    <w:rsid w:val="007629B6"/>
    <w:rsid w:val="00762E91"/>
    <w:rsid w:val="0076343E"/>
    <w:rsid w:val="00763E6A"/>
    <w:rsid w:val="00764539"/>
    <w:rsid w:val="00764712"/>
    <w:rsid w:val="00764A2C"/>
    <w:rsid w:val="00764C2B"/>
    <w:rsid w:val="00764DD4"/>
    <w:rsid w:val="00765991"/>
    <w:rsid w:val="007660DA"/>
    <w:rsid w:val="0076614C"/>
    <w:rsid w:val="00766183"/>
    <w:rsid w:val="00766603"/>
    <w:rsid w:val="007670C5"/>
    <w:rsid w:val="00767491"/>
    <w:rsid w:val="00767B60"/>
    <w:rsid w:val="00767B61"/>
    <w:rsid w:val="00767DCC"/>
    <w:rsid w:val="00767F7A"/>
    <w:rsid w:val="007702AE"/>
    <w:rsid w:val="0077051C"/>
    <w:rsid w:val="00770D93"/>
    <w:rsid w:val="00771EC4"/>
    <w:rsid w:val="00774037"/>
    <w:rsid w:val="0077410B"/>
    <w:rsid w:val="00774395"/>
    <w:rsid w:val="00774555"/>
    <w:rsid w:val="00774CD6"/>
    <w:rsid w:val="00774F37"/>
    <w:rsid w:val="007752B8"/>
    <w:rsid w:val="00776085"/>
    <w:rsid w:val="00776694"/>
    <w:rsid w:val="007766F6"/>
    <w:rsid w:val="007767A0"/>
    <w:rsid w:val="00776907"/>
    <w:rsid w:val="00776A94"/>
    <w:rsid w:val="00776DD1"/>
    <w:rsid w:val="007771F1"/>
    <w:rsid w:val="00777758"/>
    <w:rsid w:val="00777A84"/>
    <w:rsid w:val="00780182"/>
    <w:rsid w:val="0078035D"/>
    <w:rsid w:val="0078141F"/>
    <w:rsid w:val="007816C1"/>
    <w:rsid w:val="0078278F"/>
    <w:rsid w:val="00782A9C"/>
    <w:rsid w:val="00782DBD"/>
    <w:rsid w:val="00783320"/>
    <w:rsid w:val="00783AAD"/>
    <w:rsid w:val="007840AF"/>
    <w:rsid w:val="007848E8"/>
    <w:rsid w:val="00784BFD"/>
    <w:rsid w:val="00784C67"/>
    <w:rsid w:val="0078503E"/>
    <w:rsid w:val="00785C21"/>
    <w:rsid w:val="00785D45"/>
    <w:rsid w:val="00787791"/>
    <w:rsid w:val="0078795A"/>
    <w:rsid w:val="00787CDB"/>
    <w:rsid w:val="00787EE3"/>
    <w:rsid w:val="00790323"/>
    <w:rsid w:val="007903BD"/>
    <w:rsid w:val="007903FE"/>
    <w:rsid w:val="00791C3F"/>
    <w:rsid w:val="00792E3A"/>
    <w:rsid w:val="007930BF"/>
    <w:rsid w:val="0079413F"/>
    <w:rsid w:val="00794221"/>
    <w:rsid w:val="00794527"/>
    <w:rsid w:val="0079473A"/>
    <w:rsid w:val="007947C9"/>
    <w:rsid w:val="00794C7D"/>
    <w:rsid w:val="0079665D"/>
    <w:rsid w:val="00796767"/>
    <w:rsid w:val="0079680A"/>
    <w:rsid w:val="00796C3A"/>
    <w:rsid w:val="00797824"/>
    <w:rsid w:val="007A068D"/>
    <w:rsid w:val="007A0FCA"/>
    <w:rsid w:val="007A1433"/>
    <w:rsid w:val="007A17B1"/>
    <w:rsid w:val="007A17E7"/>
    <w:rsid w:val="007A236F"/>
    <w:rsid w:val="007A2802"/>
    <w:rsid w:val="007A28DE"/>
    <w:rsid w:val="007A2C24"/>
    <w:rsid w:val="007A2E8C"/>
    <w:rsid w:val="007A2FC8"/>
    <w:rsid w:val="007A3347"/>
    <w:rsid w:val="007A464F"/>
    <w:rsid w:val="007A4E67"/>
    <w:rsid w:val="007A4EF4"/>
    <w:rsid w:val="007A5417"/>
    <w:rsid w:val="007A5F11"/>
    <w:rsid w:val="007A688C"/>
    <w:rsid w:val="007A70A3"/>
    <w:rsid w:val="007A70D6"/>
    <w:rsid w:val="007A7764"/>
    <w:rsid w:val="007B0E47"/>
    <w:rsid w:val="007B1608"/>
    <w:rsid w:val="007B18CE"/>
    <w:rsid w:val="007B1A17"/>
    <w:rsid w:val="007B2B08"/>
    <w:rsid w:val="007B31DC"/>
    <w:rsid w:val="007B338F"/>
    <w:rsid w:val="007B4671"/>
    <w:rsid w:val="007B49C8"/>
    <w:rsid w:val="007B53A6"/>
    <w:rsid w:val="007B55DB"/>
    <w:rsid w:val="007B5D3A"/>
    <w:rsid w:val="007B6511"/>
    <w:rsid w:val="007B6E91"/>
    <w:rsid w:val="007B73AB"/>
    <w:rsid w:val="007B7735"/>
    <w:rsid w:val="007B78DC"/>
    <w:rsid w:val="007B7A6A"/>
    <w:rsid w:val="007B7A88"/>
    <w:rsid w:val="007B7E52"/>
    <w:rsid w:val="007C013D"/>
    <w:rsid w:val="007C1162"/>
    <w:rsid w:val="007C172C"/>
    <w:rsid w:val="007C1965"/>
    <w:rsid w:val="007C1E41"/>
    <w:rsid w:val="007C227F"/>
    <w:rsid w:val="007C2B54"/>
    <w:rsid w:val="007C3292"/>
    <w:rsid w:val="007C3939"/>
    <w:rsid w:val="007C3DD8"/>
    <w:rsid w:val="007C3F7D"/>
    <w:rsid w:val="007C40E7"/>
    <w:rsid w:val="007C4310"/>
    <w:rsid w:val="007C4975"/>
    <w:rsid w:val="007C4BF3"/>
    <w:rsid w:val="007C5AD7"/>
    <w:rsid w:val="007C7179"/>
    <w:rsid w:val="007C72A2"/>
    <w:rsid w:val="007C763E"/>
    <w:rsid w:val="007D0527"/>
    <w:rsid w:val="007D05A6"/>
    <w:rsid w:val="007D09C8"/>
    <w:rsid w:val="007D20DF"/>
    <w:rsid w:val="007D26E0"/>
    <w:rsid w:val="007D2BBE"/>
    <w:rsid w:val="007D2D32"/>
    <w:rsid w:val="007D3019"/>
    <w:rsid w:val="007D3220"/>
    <w:rsid w:val="007D36B5"/>
    <w:rsid w:val="007D3FC8"/>
    <w:rsid w:val="007D41E5"/>
    <w:rsid w:val="007D47D4"/>
    <w:rsid w:val="007D5396"/>
    <w:rsid w:val="007D57EC"/>
    <w:rsid w:val="007D5B30"/>
    <w:rsid w:val="007D5BCF"/>
    <w:rsid w:val="007D5CBD"/>
    <w:rsid w:val="007D5EAC"/>
    <w:rsid w:val="007D6112"/>
    <w:rsid w:val="007D6886"/>
    <w:rsid w:val="007D6A67"/>
    <w:rsid w:val="007D7377"/>
    <w:rsid w:val="007D75F9"/>
    <w:rsid w:val="007D7A78"/>
    <w:rsid w:val="007E0059"/>
    <w:rsid w:val="007E006A"/>
    <w:rsid w:val="007E0152"/>
    <w:rsid w:val="007E0215"/>
    <w:rsid w:val="007E155B"/>
    <w:rsid w:val="007E17BF"/>
    <w:rsid w:val="007E26C5"/>
    <w:rsid w:val="007E2911"/>
    <w:rsid w:val="007E2A9E"/>
    <w:rsid w:val="007E2E74"/>
    <w:rsid w:val="007E35AA"/>
    <w:rsid w:val="007E3D3B"/>
    <w:rsid w:val="007E3E5E"/>
    <w:rsid w:val="007E462F"/>
    <w:rsid w:val="007E46D7"/>
    <w:rsid w:val="007E4A42"/>
    <w:rsid w:val="007E6191"/>
    <w:rsid w:val="007E6C94"/>
    <w:rsid w:val="007E74E2"/>
    <w:rsid w:val="007E7663"/>
    <w:rsid w:val="007E7C1F"/>
    <w:rsid w:val="007E7D6E"/>
    <w:rsid w:val="007F0C5D"/>
    <w:rsid w:val="007F19D0"/>
    <w:rsid w:val="007F1DC9"/>
    <w:rsid w:val="007F1F42"/>
    <w:rsid w:val="007F21CE"/>
    <w:rsid w:val="007F23FF"/>
    <w:rsid w:val="007F2C37"/>
    <w:rsid w:val="007F3149"/>
    <w:rsid w:val="007F31BF"/>
    <w:rsid w:val="007F3EE9"/>
    <w:rsid w:val="007F465A"/>
    <w:rsid w:val="007F5FF4"/>
    <w:rsid w:val="007F625D"/>
    <w:rsid w:val="007F69AB"/>
    <w:rsid w:val="007F718C"/>
    <w:rsid w:val="008002EB"/>
    <w:rsid w:val="008008C1"/>
    <w:rsid w:val="00800C09"/>
    <w:rsid w:val="00800E39"/>
    <w:rsid w:val="0080150A"/>
    <w:rsid w:val="008015E0"/>
    <w:rsid w:val="00801C97"/>
    <w:rsid w:val="0080206D"/>
    <w:rsid w:val="00802252"/>
    <w:rsid w:val="00802408"/>
    <w:rsid w:val="00802758"/>
    <w:rsid w:val="00802E6D"/>
    <w:rsid w:val="008038FC"/>
    <w:rsid w:val="008039B6"/>
    <w:rsid w:val="00803DA2"/>
    <w:rsid w:val="00803E83"/>
    <w:rsid w:val="00804090"/>
    <w:rsid w:val="00804496"/>
    <w:rsid w:val="00804A40"/>
    <w:rsid w:val="00804AD4"/>
    <w:rsid w:val="00804E73"/>
    <w:rsid w:val="00804F1A"/>
    <w:rsid w:val="008053BD"/>
    <w:rsid w:val="0080577D"/>
    <w:rsid w:val="008060D0"/>
    <w:rsid w:val="00806705"/>
    <w:rsid w:val="00806CA9"/>
    <w:rsid w:val="00806CE3"/>
    <w:rsid w:val="00807267"/>
    <w:rsid w:val="00807310"/>
    <w:rsid w:val="00807BAD"/>
    <w:rsid w:val="00812559"/>
    <w:rsid w:val="00812E1E"/>
    <w:rsid w:val="008138FB"/>
    <w:rsid w:val="00813D0F"/>
    <w:rsid w:val="0081408A"/>
    <w:rsid w:val="008143E7"/>
    <w:rsid w:val="00814444"/>
    <w:rsid w:val="00814A63"/>
    <w:rsid w:val="0081545B"/>
    <w:rsid w:val="00815465"/>
    <w:rsid w:val="00816448"/>
    <w:rsid w:val="008165F4"/>
    <w:rsid w:val="00816AE5"/>
    <w:rsid w:val="00817AE7"/>
    <w:rsid w:val="00817D79"/>
    <w:rsid w:val="0082015A"/>
    <w:rsid w:val="00820970"/>
    <w:rsid w:val="00820AC6"/>
    <w:rsid w:val="00820D61"/>
    <w:rsid w:val="00820DA5"/>
    <w:rsid w:val="00822161"/>
    <w:rsid w:val="00822C19"/>
    <w:rsid w:val="008237D0"/>
    <w:rsid w:val="00823BFA"/>
    <w:rsid w:val="0082414B"/>
    <w:rsid w:val="0082610F"/>
    <w:rsid w:val="00826115"/>
    <w:rsid w:val="00826259"/>
    <w:rsid w:val="00826397"/>
    <w:rsid w:val="00826438"/>
    <w:rsid w:val="00826B47"/>
    <w:rsid w:val="00827665"/>
    <w:rsid w:val="00827B67"/>
    <w:rsid w:val="00827D07"/>
    <w:rsid w:val="00827E0C"/>
    <w:rsid w:val="008309FC"/>
    <w:rsid w:val="0083101F"/>
    <w:rsid w:val="00831567"/>
    <w:rsid w:val="008315A0"/>
    <w:rsid w:val="00831753"/>
    <w:rsid w:val="00831D5B"/>
    <w:rsid w:val="00831E2A"/>
    <w:rsid w:val="0083233C"/>
    <w:rsid w:val="00832401"/>
    <w:rsid w:val="00832A5F"/>
    <w:rsid w:val="00832B8B"/>
    <w:rsid w:val="00832F8B"/>
    <w:rsid w:val="00833895"/>
    <w:rsid w:val="00834593"/>
    <w:rsid w:val="00834706"/>
    <w:rsid w:val="00834CCF"/>
    <w:rsid w:val="00836212"/>
    <w:rsid w:val="00836944"/>
    <w:rsid w:val="00836E2B"/>
    <w:rsid w:val="008370C3"/>
    <w:rsid w:val="008370F8"/>
    <w:rsid w:val="0083740B"/>
    <w:rsid w:val="00837839"/>
    <w:rsid w:val="00840195"/>
    <w:rsid w:val="00840915"/>
    <w:rsid w:val="00840E9E"/>
    <w:rsid w:val="00840F00"/>
    <w:rsid w:val="008412BE"/>
    <w:rsid w:val="008439D9"/>
    <w:rsid w:val="008442E0"/>
    <w:rsid w:val="008447D0"/>
    <w:rsid w:val="008448ED"/>
    <w:rsid w:val="00844912"/>
    <w:rsid w:val="0084496E"/>
    <w:rsid w:val="00844DB7"/>
    <w:rsid w:val="00846CAB"/>
    <w:rsid w:val="00847FFC"/>
    <w:rsid w:val="00850487"/>
    <w:rsid w:val="00851188"/>
    <w:rsid w:val="008512D7"/>
    <w:rsid w:val="00851440"/>
    <w:rsid w:val="0085167E"/>
    <w:rsid w:val="00851D57"/>
    <w:rsid w:val="00851ECA"/>
    <w:rsid w:val="008521D3"/>
    <w:rsid w:val="00852838"/>
    <w:rsid w:val="00852FF0"/>
    <w:rsid w:val="0085369D"/>
    <w:rsid w:val="0085381F"/>
    <w:rsid w:val="00853ED5"/>
    <w:rsid w:val="00854332"/>
    <w:rsid w:val="008543F0"/>
    <w:rsid w:val="0085469A"/>
    <w:rsid w:val="00854916"/>
    <w:rsid w:val="00854B67"/>
    <w:rsid w:val="00854C1E"/>
    <w:rsid w:val="0085515E"/>
    <w:rsid w:val="008554FE"/>
    <w:rsid w:val="00855563"/>
    <w:rsid w:val="008556A5"/>
    <w:rsid w:val="00855769"/>
    <w:rsid w:val="008568D7"/>
    <w:rsid w:val="00856A5E"/>
    <w:rsid w:val="00856CB3"/>
    <w:rsid w:val="00856FFD"/>
    <w:rsid w:val="00857929"/>
    <w:rsid w:val="00857992"/>
    <w:rsid w:val="0086074F"/>
    <w:rsid w:val="00860EE1"/>
    <w:rsid w:val="00861A23"/>
    <w:rsid w:val="00861FA6"/>
    <w:rsid w:val="00862628"/>
    <w:rsid w:val="0086312B"/>
    <w:rsid w:val="00863618"/>
    <w:rsid w:val="008641E7"/>
    <w:rsid w:val="008647FC"/>
    <w:rsid w:val="00864990"/>
    <w:rsid w:val="0086569E"/>
    <w:rsid w:val="008656E9"/>
    <w:rsid w:val="00865999"/>
    <w:rsid w:val="00867211"/>
    <w:rsid w:val="00867A79"/>
    <w:rsid w:val="00870E6F"/>
    <w:rsid w:val="00870EBF"/>
    <w:rsid w:val="00871AD5"/>
    <w:rsid w:val="00871B77"/>
    <w:rsid w:val="00871D62"/>
    <w:rsid w:val="00872187"/>
    <w:rsid w:val="008729E4"/>
    <w:rsid w:val="0087300A"/>
    <w:rsid w:val="00873194"/>
    <w:rsid w:val="00873ACC"/>
    <w:rsid w:val="008745A0"/>
    <w:rsid w:val="008748FB"/>
    <w:rsid w:val="00874B3A"/>
    <w:rsid w:val="00874CBE"/>
    <w:rsid w:val="00875195"/>
    <w:rsid w:val="00875484"/>
    <w:rsid w:val="0087578E"/>
    <w:rsid w:val="008761DD"/>
    <w:rsid w:val="00876737"/>
    <w:rsid w:val="008768C2"/>
    <w:rsid w:val="0087719C"/>
    <w:rsid w:val="00877267"/>
    <w:rsid w:val="00880B5A"/>
    <w:rsid w:val="00880F91"/>
    <w:rsid w:val="0088174B"/>
    <w:rsid w:val="00881796"/>
    <w:rsid w:val="00881A7B"/>
    <w:rsid w:val="00881D2B"/>
    <w:rsid w:val="00881DA2"/>
    <w:rsid w:val="00881E0D"/>
    <w:rsid w:val="008824B8"/>
    <w:rsid w:val="008832D9"/>
    <w:rsid w:val="00884A2C"/>
    <w:rsid w:val="008850F5"/>
    <w:rsid w:val="008852F2"/>
    <w:rsid w:val="00885523"/>
    <w:rsid w:val="00885968"/>
    <w:rsid w:val="0088597B"/>
    <w:rsid w:val="00885BDD"/>
    <w:rsid w:val="00886533"/>
    <w:rsid w:val="00886592"/>
    <w:rsid w:val="00886848"/>
    <w:rsid w:val="008879CF"/>
    <w:rsid w:val="00890FB8"/>
    <w:rsid w:val="00891335"/>
    <w:rsid w:val="00891F39"/>
    <w:rsid w:val="00891F96"/>
    <w:rsid w:val="008926A9"/>
    <w:rsid w:val="008928D4"/>
    <w:rsid w:val="00893211"/>
    <w:rsid w:val="0089372D"/>
    <w:rsid w:val="008938A6"/>
    <w:rsid w:val="00894170"/>
    <w:rsid w:val="00894965"/>
    <w:rsid w:val="008954E4"/>
    <w:rsid w:val="00895A11"/>
    <w:rsid w:val="00895B10"/>
    <w:rsid w:val="0089635F"/>
    <w:rsid w:val="008967BE"/>
    <w:rsid w:val="008969F5"/>
    <w:rsid w:val="00896C55"/>
    <w:rsid w:val="00896C61"/>
    <w:rsid w:val="00897764"/>
    <w:rsid w:val="00897A87"/>
    <w:rsid w:val="008A02EE"/>
    <w:rsid w:val="008A0801"/>
    <w:rsid w:val="008A1544"/>
    <w:rsid w:val="008A1754"/>
    <w:rsid w:val="008A29D3"/>
    <w:rsid w:val="008A2BCC"/>
    <w:rsid w:val="008A2F57"/>
    <w:rsid w:val="008A37D2"/>
    <w:rsid w:val="008A3D8D"/>
    <w:rsid w:val="008A3DDC"/>
    <w:rsid w:val="008A4482"/>
    <w:rsid w:val="008A4D05"/>
    <w:rsid w:val="008A55D2"/>
    <w:rsid w:val="008A56A9"/>
    <w:rsid w:val="008A5B83"/>
    <w:rsid w:val="008A6014"/>
    <w:rsid w:val="008A75EA"/>
    <w:rsid w:val="008A7F0A"/>
    <w:rsid w:val="008B0240"/>
    <w:rsid w:val="008B051E"/>
    <w:rsid w:val="008B0662"/>
    <w:rsid w:val="008B0AAD"/>
    <w:rsid w:val="008B0FD1"/>
    <w:rsid w:val="008B1523"/>
    <w:rsid w:val="008B1648"/>
    <w:rsid w:val="008B1B3B"/>
    <w:rsid w:val="008B2904"/>
    <w:rsid w:val="008B2C45"/>
    <w:rsid w:val="008B48DB"/>
    <w:rsid w:val="008B496B"/>
    <w:rsid w:val="008B4AA4"/>
    <w:rsid w:val="008B4FD6"/>
    <w:rsid w:val="008B508B"/>
    <w:rsid w:val="008B579D"/>
    <w:rsid w:val="008B5B27"/>
    <w:rsid w:val="008B6125"/>
    <w:rsid w:val="008B63A0"/>
    <w:rsid w:val="008B6721"/>
    <w:rsid w:val="008B74DD"/>
    <w:rsid w:val="008B77C5"/>
    <w:rsid w:val="008B7869"/>
    <w:rsid w:val="008B7B82"/>
    <w:rsid w:val="008C0079"/>
    <w:rsid w:val="008C0A51"/>
    <w:rsid w:val="008C0C3D"/>
    <w:rsid w:val="008C0E38"/>
    <w:rsid w:val="008C2218"/>
    <w:rsid w:val="008C295E"/>
    <w:rsid w:val="008C36A3"/>
    <w:rsid w:val="008C37E4"/>
    <w:rsid w:val="008C3C0B"/>
    <w:rsid w:val="008C3E93"/>
    <w:rsid w:val="008C4300"/>
    <w:rsid w:val="008C45F5"/>
    <w:rsid w:val="008C463F"/>
    <w:rsid w:val="008C499F"/>
    <w:rsid w:val="008C4BDF"/>
    <w:rsid w:val="008C515C"/>
    <w:rsid w:val="008C58B9"/>
    <w:rsid w:val="008C5B6B"/>
    <w:rsid w:val="008C60A2"/>
    <w:rsid w:val="008C65DC"/>
    <w:rsid w:val="008C6AAA"/>
    <w:rsid w:val="008C6B6B"/>
    <w:rsid w:val="008C7415"/>
    <w:rsid w:val="008C7439"/>
    <w:rsid w:val="008C79E5"/>
    <w:rsid w:val="008C7C52"/>
    <w:rsid w:val="008D0AB5"/>
    <w:rsid w:val="008D0CB8"/>
    <w:rsid w:val="008D0D0D"/>
    <w:rsid w:val="008D0E3A"/>
    <w:rsid w:val="008D16D0"/>
    <w:rsid w:val="008D1DE4"/>
    <w:rsid w:val="008D2188"/>
    <w:rsid w:val="008D2304"/>
    <w:rsid w:val="008D2482"/>
    <w:rsid w:val="008D278C"/>
    <w:rsid w:val="008D2D43"/>
    <w:rsid w:val="008D2FBB"/>
    <w:rsid w:val="008D32D3"/>
    <w:rsid w:val="008D3349"/>
    <w:rsid w:val="008D345A"/>
    <w:rsid w:val="008D36E8"/>
    <w:rsid w:val="008D3E7E"/>
    <w:rsid w:val="008D4321"/>
    <w:rsid w:val="008D4388"/>
    <w:rsid w:val="008D45E9"/>
    <w:rsid w:val="008D4C61"/>
    <w:rsid w:val="008D4EBE"/>
    <w:rsid w:val="008D53B7"/>
    <w:rsid w:val="008D5725"/>
    <w:rsid w:val="008D5D65"/>
    <w:rsid w:val="008D61CE"/>
    <w:rsid w:val="008D64C5"/>
    <w:rsid w:val="008D6C35"/>
    <w:rsid w:val="008D7EC8"/>
    <w:rsid w:val="008E0250"/>
    <w:rsid w:val="008E058E"/>
    <w:rsid w:val="008E1C32"/>
    <w:rsid w:val="008E27D0"/>
    <w:rsid w:val="008E2DB1"/>
    <w:rsid w:val="008E3071"/>
    <w:rsid w:val="008E476A"/>
    <w:rsid w:val="008E4912"/>
    <w:rsid w:val="008E5F21"/>
    <w:rsid w:val="008E61AF"/>
    <w:rsid w:val="008E69EE"/>
    <w:rsid w:val="008E6A63"/>
    <w:rsid w:val="008E6CF8"/>
    <w:rsid w:val="008E7437"/>
    <w:rsid w:val="008E7CFA"/>
    <w:rsid w:val="008F02D0"/>
    <w:rsid w:val="008F0CC0"/>
    <w:rsid w:val="008F0D7C"/>
    <w:rsid w:val="008F12C1"/>
    <w:rsid w:val="008F13D7"/>
    <w:rsid w:val="008F1CCF"/>
    <w:rsid w:val="008F20D8"/>
    <w:rsid w:val="008F21D7"/>
    <w:rsid w:val="008F2574"/>
    <w:rsid w:val="008F25C4"/>
    <w:rsid w:val="008F2CBB"/>
    <w:rsid w:val="008F2FB1"/>
    <w:rsid w:val="008F31D9"/>
    <w:rsid w:val="008F341F"/>
    <w:rsid w:val="008F34A6"/>
    <w:rsid w:val="008F370D"/>
    <w:rsid w:val="008F38F4"/>
    <w:rsid w:val="008F4AA1"/>
    <w:rsid w:val="008F4D11"/>
    <w:rsid w:val="008F5B3D"/>
    <w:rsid w:val="008F5CE9"/>
    <w:rsid w:val="008F6B1D"/>
    <w:rsid w:val="008F7179"/>
    <w:rsid w:val="00900737"/>
    <w:rsid w:val="00900D11"/>
    <w:rsid w:val="00900DC6"/>
    <w:rsid w:val="0090132B"/>
    <w:rsid w:val="0090287F"/>
    <w:rsid w:val="00902AAC"/>
    <w:rsid w:val="00902DF2"/>
    <w:rsid w:val="00902F38"/>
    <w:rsid w:val="00902FA1"/>
    <w:rsid w:val="00903410"/>
    <w:rsid w:val="0090383A"/>
    <w:rsid w:val="00903EBE"/>
    <w:rsid w:val="009046D2"/>
    <w:rsid w:val="00905402"/>
    <w:rsid w:val="009059D8"/>
    <w:rsid w:val="009063DB"/>
    <w:rsid w:val="0090715C"/>
    <w:rsid w:val="009074D4"/>
    <w:rsid w:val="00907C29"/>
    <w:rsid w:val="00907E56"/>
    <w:rsid w:val="00907E99"/>
    <w:rsid w:val="00907EA3"/>
    <w:rsid w:val="00910A06"/>
    <w:rsid w:val="009119A5"/>
    <w:rsid w:val="00912394"/>
    <w:rsid w:val="0091304E"/>
    <w:rsid w:val="009138DD"/>
    <w:rsid w:val="00913F2F"/>
    <w:rsid w:val="0091467C"/>
    <w:rsid w:val="00914ACD"/>
    <w:rsid w:val="00914F58"/>
    <w:rsid w:val="00914FC2"/>
    <w:rsid w:val="0091524F"/>
    <w:rsid w:val="009153EA"/>
    <w:rsid w:val="009154C0"/>
    <w:rsid w:val="00915B15"/>
    <w:rsid w:val="00915EE1"/>
    <w:rsid w:val="00916AF1"/>
    <w:rsid w:val="00916B7A"/>
    <w:rsid w:val="009176B3"/>
    <w:rsid w:val="009200AF"/>
    <w:rsid w:val="00920590"/>
    <w:rsid w:val="00920AA4"/>
    <w:rsid w:val="00920EAD"/>
    <w:rsid w:val="00921FCD"/>
    <w:rsid w:val="00924F1B"/>
    <w:rsid w:val="00924F5E"/>
    <w:rsid w:val="009252E5"/>
    <w:rsid w:val="00925A94"/>
    <w:rsid w:val="00926594"/>
    <w:rsid w:val="0092695B"/>
    <w:rsid w:val="00927B52"/>
    <w:rsid w:val="00930889"/>
    <w:rsid w:val="00930A66"/>
    <w:rsid w:val="00930A6C"/>
    <w:rsid w:val="00930A91"/>
    <w:rsid w:val="00930EFB"/>
    <w:rsid w:val="00930EFC"/>
    <w:rsid w:val="00930F01"/>
    <w:rsid w:val="00931065"/>
    <w:rsid w:val="00931100"/>
    <w:rsid w:val="0093160A"/>
    <w:rsid w:val="00931763"/>
    <w:rsid w:val="0093223A"/>
    <w:rsid w:val="0093237F"/>
    <w:rsid w:val="009328A7"/>
    <w:rsid w:val="00932F92"/>
    <w:rsid w:val="009342A5"/>
    <w:rsid w:val="00934541"/>
    <w:rsid w:val="009347D5"/>
    <w:rsid w:val="009356EE"/>
    <w:rsid w:val="00935936"/>
    <w:rsid w:val="00935E30"/>
    <w:rsid w:val="00935FFF"/>
    <w:rsid w:val="0093646F"/>
    <w:rsid w:val="00936A93"/>
    <w:rsid w:val="009375E6"/>
    <w:rsid w:val="00937DA0"/>
    <w:rsid w:val="0094056F"/>
    <w:rsid w:val="0094066A"/>
    <w:rsid w:val="0094115F"/>
    <w:rsid w:val="00943E10"/>
    <w:rsid w:val="00944813"/>
    <w:rsid w:val="00944855"/>
    <w:rsid w:val="009448F1"/>
    <w:rsid w:val="00945E65"/>
    <w:rsid w:val="00946D0E"/>
    <w:rsid w:val="0094705A"/>
    <w:rsid w:val="009507AF"/>
    <w:rsid w:val="00950B92"/>
    <w:rsid w:val="009513FB"/>
    <w:rsid w:val="0095184D"/>
    <w:rsid w:val="009529C5"/>
    <w:rsid w:val="009529FE"/>
    <w:rsid w:val="00953139"/>
    <w:rsid w:val="009537D9"/>
    <w:rsid w:val="00953C3F"/>
    <w:rsid w:val="00954FA4"/>
    <w:rsid w:val="0095546E"/>
    <w:rsid w:val="00955B31"/>
    <w:rsid w:val="00955B80"/>
    <w:rsid w:val="009563C8"/>
    <w:rsid w:val="0095640A"/>
    <w:rsid w:val="00957203"/>
    <w:rsid w:val="00957247"/>
    <w:rsid w:val="00957CA8"/>
    <w:rsid w:val="00960401"/>
    <w:rsid w:val="00960B1C"/>
    <w:rsid w:val="00960C8B"/>
    <w:rsid w:val="0096129D"/>
    <w:rsid w:val="00961394"/>
    <w:rsid w:val="00961864"/>
    <w:rsid w:val="009618D8"/>
    <w:rsid w:val="0096255D"/>
    <w:rsid w:val="00962B42"/>
    <w:rsid w:val="00962B47"/>
    <w:rsid w:val="009631BF"/>
    <w:rsid w:val="009638A6"/>
    <w:rsid w:val="00963E11"/>
    <w:rsid w:val="0096403F"/>
    <w:rsid w:val="00964B4E"/>
    <w:rsid w:val="00966269"/>
    <w:rsid w:val="0096656D"/>
    <w:rsid w:val="009667DE"/>
    <w:rsid w:val="0096684B"/>
    <w:rsid w:val="0096694A"/>
    <w:rsid w:val="00966D5B"/>
    <w:rsid w:val="00967040"/>
    <w:rsid w:val="00967EDC"/>
    <w:rsid w:val="00970F8F"/>
    <w:rsid w:val="00971798"/>
    <w:rsid w:val="00971B99"/>
    <w:rsid w:val="00971B9B"/>
    <w:rsid w:val="00971D90"/>
    <w:rsid w:val="00971E06"/>
    <w:rsid w:val="0097228E"/>
    <w:rsid w:val="00972349"/>
    <w:rsid w:val="00972551"/>
    <w:rsid w:val="0097271B"/>
    <w:rsid w:val="0097286D"/>
    <w:rsid w:val="00973212"/>
    <w:rsid w:val="009733F6"/>
    <w:rsid w:val="00973523"/>
    <w:rsid w:val="00973823"/>
    <w:rsid w:val="0097390B"/>
    <w:rsid w:val="00973C80"/>
    <w:rsid w:val="0097403A"/>
    <w:rsid w:val="009743D9"/>
    <w:rsid w:val="0097445D"/>
    <w:rsid w:val="00975A0B"/>
    <w:rsid w:val="00975B66"/>
    <w:rsid w:val="00975CD0"/>
    <w:rsid w:val="00976729"/>
    <w:rsid w:val="0097686A"/>
    <w:rsid w:val="00980170"/>
    <w:rsid w:val="00981087"/>
    <w:rsid w:val="00981326"/>
    <w:rsid w:val="00981616"/>
    <w:rsid w:val="009818EE"/>
    <w:rsid w:val="00981B05"/>
    <w:rsid w:val="00982D8E"/>
    <w:rsid w:val="00983BE8"/>
    <w:rsid w:val="00983CD6"/>
    <w:rsid w:val="00984902"/>
    <w:rsid w:val="009852C8"/>
    <w:rsid w:val="00985F3B"/>
    <w:rsid w:val="00986CA0"/>
    <w:rsid w:val="00990115"/>
    <w:rsid w:val="0099011B"/>
    <w:rsid w:val="00990B2C"/>
    <w:rsid w:val="00990CDE"/>
    <w:rsid w:val="0099177C"/>
    <w:rsid w:val="00991A9A"/>
    <w:rsid w:val="00991EBE"/>
    <w:rsid w:val="00991F66"/>
    <w:rsid w:val="0099207D"/>
    <w:rsid w:val="00992506"/>
    <w:rsid w:val="009928D9"/>
    <w:rsid w:val="009936C3"/>
    <w:rsid w:val="00993C93"/>
    <w:rsid w:val="00994065"/>
    <w:rsid w:val="00994E04"/>
    <w:rsid w:val="00995304"/>
    <w:rsid w:val="00995BA4"/>
    <w:rsid w:val="00995DC5"/>
    <w:rsid w:val="00996052"/>
    <w:rsid w:val="0099656A"/>
    <w:rsid w:val="009966C3"/>
    <w:rsid w:val="00996C4C"/>
    <w:rsid w:val="00996D6E"/>
    <w:rsid w:val="00996E34"/>
    <w:rsid w:val="00997231"/>
    <w:rsid w:val="0099759B"/>
    <w:rsid w:val="00997632"/>
    <w:rsid w:val="0099786F"/>
    <w:rsid w:val="00997D3E"/>
    <w:rsid w:val="009A0059"/>
    <w:rsid w:val="009A04FF"/>
    <w:rsid w:val="009A1664"/>
    <w:rsid w:val="009A1838"/>
    <w:rsid w:val="009A1E1E"/>
    <w:rsid w:val="009A25A4"/>
    <w:rsid w:val="009A26EE"/>
    <w:rsid w:val="009A2734"/>
    <w:rsid w:val="009A2805"/>
    <w:rsid w:val="009A2CF1"/>
    <w:rsid w:val="009A2E1D"/>
    <w:rsid w:val="009A36B3"/>
    <w:rsid w:val="009A3D09"/>
    <w:rsid w:val="009A449F"/>
    <w:rsid w:val="009A4527"/>
    <w:rsid w:val="009A45BF"/>
    <w:rsid w:val="009A45F7"/>
    <w:rsid w:val="009A4A20"/>
    <w:rsid w:val="009A4AF0"/>
    <w:rsid w:val="009A4E0F"/>
    <w:rsid w:val="009A5B04"/>
    <w:rsid w:val="009A5FFB"/>
    <w:rsid w:val="009A608C"/>
    <w:rsid w:val="009A62EA"/>
    <w:rsid w:val="009A65EB"/>
    <w:rsid w:val="009A68E8"/>
    <w:rsid w:val="009B1302"/>
    <w:rsid w:val="009B136D"/>
    <w:rsid w:val="009B1E7E"/>
    <w:rsid w:val="009B1F0E"/>
    <w:rsid w:val="009B2320"/>
    <w:rsid w:val="009B5892"/>
    <w:rsid w:val="009B5958"/>
    <w:rsid w:val="009B597F"/>
    <w:rsid w:val="009B63D5"/>
    <w:rsid w:val="009B7180"/>
    <w:rsid w:val="009B76E5"/>
    <w:rsid w:val="009C0B95"/>
    <w:rsid w:val="009C0E18"/>
    <w:rsid w:val="009C0ECF"/>
    <w:rsid w:val="009C123B"/>
    <w:rsid w:val="009C192C"/>
    <w:rsid w:val="009C2177"/>
    <w:rsid w:val="009C231C"/>
    <w:rsid w:val="009C23F0"/>
    <w:rsid w:val="009C2A14"/>
    <w:rsid w:val="009C2BA0"/>
    <w:rsid w:val="009C2C83"/>
    <w:rsid w:val="009C31D6"/>
    <w:rsid w:val="009C31F2"/>
    <w:rsid w:val="009C356F"/>
    <w:rsid w:val="009C357B"/>
    <w:rsid w:val="009C367B"/>
    <w:rsid w:val="009C3903"/>
    <w:rsid w:val="009C3BF9"/>
    <w:rsid w:val="009C4FE5"/>
    <w:rsid w:val="009C61DB"/>
    <w:rsid w:val="009C6451"/>
    <w:rsid w:val="009C6F72"/>
    <w:rsid w:val="009D01F6"/>
    <w:rsid w:val="009D07C2"/>
    <w:rsid w:val="009D160D"/>
    <w:rsid w:val="009D2C65"/>
    <w:rsid w:val="009D2FB0"/>
    <w:rsid w:val="009D3358"/>
    <w:rsid w:val="009D38AE"/>
    <w:rsid w:val="009D38DA"/>
    <w:rsid w:val="009D39EF"/>
    <w:rsid w:val="009D4CFE"/>
    <w:rsid w:val="009D5CAD"/>
    <w:rsid w:val="009D5FA2"/>
    <w:rsid w:val="009D64E3"/>
    <w:rsid w:val="009D6703"/>
    <w:rsid w:val="009D6713"/>
    <w:rsid w:val="009D6F74"/>
    <w:rsid w:val="009D74EB"/>
    <w:rsid w:val="009D7CC1"/>
    <w:rsid w:val="009D7E06"/>
    <w:rsid w:val="009D7E51"/>
    <w:rsid w:val="009E0444"/>
    <w:rsid w:val="009E04D2"/>
    <w:rsid w:val="009E0A3F"/>
    <w:rsid w:val="009E0D5C"/>
    <w:rsid w:val="009E1B8A"/>
    <w:rsid w:val="009E1C61"/>
    <w:rsid w:val="009E1E06"/>
    <w:rsid w:val="009E20E5"/>
    <w:rsid w:val="009E2317"/>
    <w:rsid w:val="009E360E"/>
    <w:rsid w:val="009E3733"/>
    <w:rsid w:val="009E3D70"/>
    <w:rsid w:val="009E3D91"/>
    <w:rsid w:val="009E3FCC"/>
    <w:rsid w:val="009E4507"/>
    <w:rsid w:val="009E461F"/>
    <w:rsid w:val="009E4F43"/>
    <w:rsid w:val="009E5252"/>
    <w:rsid w:val="009E55C8"/>
    <w:rsid w:val="009E5744"/>
    <w:rsid w:val="009E6DBD"/>
    <w:rsid w:val="009E761E"/>
    <w:rsid w:val="009F034C"/>
    <w:rsid w:val="009F0449"/>
    <w:rsid w:val="009F065A"/>
    <w:rsid w:val="009F10C3"/>
    <w:rsid w:val="009F1151"/>
    <w:rsid w:val="009F12B2"/>
    <w:rsid w:val="009F1314"/>
    <w:rsid w:val="009F15CB"/>
    <w:rsid w:val="009F1686"/>
    <w:rsid w:val="009F1905"/>
    <w:rsid w:val="009F1ABA"/>
    <w:rsid w:val="009F23F9"/>
    <w:rsid w:val="009F3BED"/>
    <w:rsid w:val="009F5B63"/>
    <w:rsid w:val="009F6D92"/>
    <w:rsid w:val="009F7CC0"/>
    <w:rsid w:val="00A013E1"/>
    <w:rsid w:val="00A01693"/>
    <w:rsid w:val="00A01729"/>
    <w:rsid w:val="00A01B03"/>
    <w:rsid w:val="00A01B47"/>
    <w:rsid w:val="00A01DB4"/>
    <w:rsid w:val="00A0305E"/>
    <w:rsid w:val="00A0354D"/>
    <w:rsid w:val="00A05D55"/>
    <w:rsid w:val="00A0648D"/>
    <w:rsid w:val="00A06C7F"/>
    <w:rsid w:val="00A07557"/>
    <w:rsid w:val="00A0760D"/>
    <w:rsid w:val="00A076F3"/>
    <w:rsid w:val="00A10121"/>
    <w:rsid w:val="00A1042A"/>
    <w:rsid w:val="00A1047B"/>
    <w:rsid w:val="00A10F85"/>
    <w:rsid w:val="00A1143A"/>
    <w:rsid w:val="00A11E98"/>
    <w:rsid w:val="00A120C0"/>
    <w:rsid w:val="00A121AB"/>
    <w:rsid w:val="00A12BE1"/>
    <w:rsid w:val="00A1309B"/>
    <w:rsid w:val="00A1309F"/>
    <w:rsid w:val="00A13141"/>
    <w:rsid w:val="00A13461"/>
    <w:rsid w:val="00A14B9B"/>
    <w:rsid w:val="00A14CB2"/>
    <w:rsid w:val="00A16E1E"/>
    <w:rsid w:val="00A1705C"/>
    <w:rsid w:val="00A176E2"/>
    <w:rsid w:val="00A17F86"/>
    <w:rsid w:val="00A208E0"/>
    <w:rsid w:val="00A20B72"/>
    <w:rsid w:val="00A21819"/>
    <w:rsid w:val="00A21F35"/>
    <w:rsid w:val="00A2258E"/>
    <w:rsid w:val="00A225EE"/>
    <w:rsid w:val="00A22897"/>
    <w:rsid w:val="00A22DFE"/>
    <w:rsid w:val="00A22E58"/>
    <w:rsid w:val="00A236DB"/>
    <w:rsid w:val="00A23954"/>
    <w:rsid w:val="00A257F5"/>
    <w:rsid w:val="00A267F2"/>
    <w:rsid w:val="00A26BC2"/>
    <w:rsid w:val="00A26ED2"/>
    <w:rsid w:val="00A27434"/>
    <w:rsid w:val="00A276F2"/>
    <w:rsid w:val="00A317EF"/>
    <w:rsid w:val="00A324D0"/>
    <w:rsid w:val="00A33077"/>
    <w:rsid w:val="00A3353E"/>
    <w:rsid w:val="00A336C6"/>
    <w:rsid w:val="00A345DB"/>
    <w:rsid w:val="00A345FE"/>
    <w:rsid w:val="00A348D5"/>
    <w:rsid w:val="00A34D2F"/>
    <w:rsid w:val="00A354D6"/>
    <w:rsid w:val="00A36106"/>
    <w:rsid w:val="00A3638A"/>
    <w:rsid w:val="00A364E6"/>
    <w:rsid w:val="00A36C1B"/>
    <w:rsid w:val="00A36CCF"/>
    <w:rsid w:val="00A375C4"/>
    <w:rsid w:val="00A37C28"/>
    <w:rsid w:val="00A407E7"/>
    <w:rsid w:val="00A4091E"/>
    <w:rsid w:val="00A40E76"/>
    <w:rsid w:val="00A41457"/>
    <w:rsid w:val="00A414C0"/>
    <w:rsid w:val="00A41C9B"/>
    <w:rsid w:val="00A41F05"/>
    <w:rsid w:val="00A42214"/>
    <w:rsid w:val="00A42E4C"/>
    <w:rsid w:val="00A42EA0"/>
    <w:rsid w:val="00A43BE3"/>
    <w:rsid w:val="00A44EDB"/>
    <w:rsid w:val="00A45013"/>
    <w:rsid w:val="00A455F6"/>
    <w:rsid w:val="00A45CA9"/>
    <w:rsid w:val="00A4663B"/>
    <w:rsid w:val="00A47D82"/>
    <w:rsid w:val="00A50099"/>
    <w:rsid w:val="00A502AB"/>
    <w:rsid w:val="00A5054B"/>
    <w:rsid w:val="00A5077A"/>
    <w:rsid w:val="00A51210"/>
    <w:rsid w:val="00A51243"/>
    <w:rsid w:val="00A51826"/>
    <w:rsid w:val="00A51FAF"/>
    <w:rsid w:val="00A5203F"/>
    <w:rsid w:val="00A524E1"/>
    <w:rsid w:val="00A526EB"/>
    <w:rsid w:val="00A529B2"/>
    <w:rsid w:val="00A529D7"/>
    <w:rsid w:val="00A529F5"/>
    <w:rsid w:val="00A5321A"/>
    <w:rsid w:val="00A53334"/>
    <w:rsid w:val="00A53AA8"/>
    <w:rsid w:val="00A53E29"/>
    <w:rsid w:val="00A54DC4"/>
    <w:rsid w:val="00A5502B"/>
    <w:rsid w:val="00A55BC8"/>
    <w:rsid w:val="00A55BF7"/>
    <w:rsid w:val="00A55E0B"/>
    <w:rsid w:val="00A566F0"/>
    <w:rsid w:val="00A569A4"/>
    <w:rsid w:val="00A56EF8"/>
    <w:rsid w:val="00A5713C"/>
    <w:rsid w:val="00A574FD"/>
    <w:rsid w:val="00A57AF8"/>
    <w:rsid w:val="00A60C12"/>
    <w:rsid w:val="00A614A7"/>
    <w:rsid w:val="00A62960"/>
    <w:rsid w:val="00A63102"/>
    <w:rsid w:val="00A6332F"/>
    <w:rsid w:val="00A647C5"/>
    <w:rsid w:val="00A64C58"/>
    <w:rsid w:val="00A64EC2"/>
    <w:rsid w:val="00A6540A"/>
    <w:rsid w:val="00A65DB6"/>
    <w:rsid w:val="00A6610C"/>
    <w:rsid w:val="00A664C2"/>
    <w:rsid w:val="00A665B0"/>
    <w:rsid w:val="00A66980"/>
    <w:rsid w:val="00A66A5E"/>
    <w:rsid w:val="00A66C26"/>
    <w:rsid w:val="00A66D5B"/>
    <w:rsid w:val="00A67D3F"/>
    <w:rsid w:val="00A67E5C"/>
    <w:rsid w:val="00A7027B"/>
    <w:rsid w:val="00A70475"/>
    <w:rsid w:val="00A70B83"/>
    <w:rsid w:val="00A70FC2"/>
    <w:rsid w:val="00A712A1"/>
    <w:rsid w:val="00A71872"/>
    <w:rsid w:val="00A71A20"/>
    <w:rsid w:val="00A71AE7"/>
    <w:rsid w:val="00A72068"/>
    <w:rsid w:val="00A7227E"/>
    <w:rsid w:val="00A7232D"/>
    <w:rsid w:val="00A7263F"/>
    <w:rsid w:val="00A72EBA"/>
    <w:rsid w:val="00A745BA"/>
    <w:rsid w:val="00A747E4"/>
    <w:rsid w:val="00A74CE9"/>
    <w:rsid w:val="00A7534A"/>
    <w:rsid w:val="00A7537A"/>
    <w:rsid w:val="00A76128"/>
    <w:rsid w:val="00A81473"/>
    <w:rsid w:val="00A81BF5"/>
    <w:rsid w:val="00A81C52"/>
    <w:rsid w:val="00A822B1"/>
    <w:rsid w:val="00A82836"/>
    <w:rsid w:val="00A82BD8"/>
    <w:rsid w:val="00A83546"/>
    <w:rsid w:val="00A835AA"/>
    <w:rsid w:val="00A84123"/>
    <w:rsid w:val="00A844E9"/>
    <w:rsid w:val="00A8452B"/>
    <w:rsid w:val="00A849CA"/>
    <w:rsid w:val="00A86042"/>
    <w:rsid w:val="00A86183"/>
    <w:rsid w:val="00A8787D"/>
    <w:rsid w:val="00A87B9E"/>
    <w:rsid w:val="00A87C4D"/>
    <w:rsid w:val="00A87DB0"/>
    <w:rsid w:val="00A9003E"/>
    <w:rsid w:val="00A90CB9"/>
    <w:rsid w:val="00A91951"/>
    <w:rsid w:val="00A91A35"/>
    <w:rsid w:val="00A91AF0"/>
    <w:rsid w:val="00A9206A"/>
    <w:rsid w:val="00A92369"/>
    <w:rsid w:val="00A92681"/>
    <w:rsid w:val="00A926BE"/>
    <w:rsid w:val="00A92773"/>
    <w:rsid w:val="00A92902"/>
    <w:rsid w:val="00A92EC8"/>
    <w:rsid w:val="00A92F8A"/>
    <w:rsid w:val="00A92FCD"/>
    <w:rsid w:val="00A9334E"/>
    <w:rsid w:val="00A93953"/>
    <w:rsid w:val="00A93C15"/>
    <w:rsid w:val="00A93EF8"/>
    <w:rsid w:val="00A9403F"/>
    <w:rsid w:val="00A944E0"/>
    <w:rsid w:val="00A9485A"/>
    <w:rsid w:val="00A95CCD"/>
    <w:rsid w:val="00A95D52"/>
    <w:rsid w:val="00A95E7C"/>
    <w:rsid w:val="00A9664F"/>
    <w:rsid w:val="00A96801"/>
    <w:rsid w:val="00A96A7B"/>
    <w:rsid w:val="00A96B18"/>
    <w:rsid w:val="00A96FA5"/>
    <w:rsid w:val="00A96FF2"/>
    <w:rsid w:val="00A97FEA"/>
    <w:rsid w:val="00AA0013"/>
    <w:rsid w:val="00AA027D"/>
    <w:rsid w:val="00AA02C2"/>
    <w:rsid w:val="00AA04C9"/>
    <w:rsid w:val="00AA0AF4"/>
    <w:rsid w:val="00AA11FC"/>
    <w:rsid w:val="00AA1253"/>
    <w:rsid w:val="00AA1E7D"/>
    <w:rsid w:val="00AA27D6"/>
    <w:rsid w:val="00AA381E"/>
    <w:rsid w:val="00AA46AD"/>
    <w:rsid w:val="00AA472F"/>
    <w:rsid w:val="00AA4874"/>
    <w:rsid w:val="00AA4A2F"/>
    <w:rsid w:val="00AA59F9"/>
    <w:rsid w:val="00AA5AE6"/>
    <w:rsid w:val="00AA70C4"/>
    <w:rsid w:val="00AA792F"/>
    <w:rsid w:val="00AA7A7E"/>
    <w:rsid w:val="00AB0423"/>
    <w:rsid w:val="00AB070A"/>
    <w:rsid w:val="00AB15A6"/>
    <w:rsid w:val="00AB1984"/>
    <w:rsid w:val="00AB1A7E"/>
    <w:rsid w:val="00AB1F30"/>
    <w:rsid w:val="00AB26C9"/>
    <w:rsid w:val="00AB2785"/>
    <w:rsid w:val="00AB2A36"/>
    <w:rsid w:val="00AB33A3"/>
    <w:rsid w:val="00AB3411"/>
    <w:rsid w:val="00AB34D7"/>
    <w:rsid w:val="00AB4179"/>
    <w:rsid w:val="00AB4943"/>
    <w:rsid w:val="00AB5A6B"/>
    <w:rsid w:val="00AB5CA1"/>
    <w:rsid w:val="00AB5CB3"/>
    <w:rsid w:val="00AB5CE7"/>
    <w:rsid w:val="00AB798D"/>
    <w:rsid w:val="00AC0D2A"/>
    <w:rsid w:val="00AC1A4D"/>
    <w:rsid w:val="00AC1D3B"/>
    <w:rsid w:val="00AC200A"/>
    <w:rsid w:val="00AC3419"/>
    <w:rsid w:val="00AC408E"/>
    <w:rsid w:val="00AC478D"/>
    <w:rsid w:val="00AC4DAD"/>
    <w:rsid w:val="00AC4ED3"/>
    <w:rsid w:val="00AC520E"/>
    <w:rsid w:val="00AC6402"/>
    <w:rsid w:val="00AC77A9"/>
    <w:rsid w:val="00AC7ADA"/>
    <w:rsid w:val="00AD02E0"/>
    <w:rsid w:val="00AD06CC"/>
    <w:rsid w:val="00AD0C46"/>
    <w:rsid w:val="00AD0F27"/>
    <w:rsid w:val="00AD102E"/>
    <w:rsid w:val="00AD1CAC"/>
    <w:rsid w:val="00AD2626"/>
    <w:rsid w:val="00AD2744"/>
    <w:rsid w:val="00AD2980"/>
    <w:rsid w:val="00AD2BED"/>
    <w:rsid w:val="00AD2C08"/>
    <w:rsid w:val="00AD2F56"/>
    <w:rsid w:val="00AD3585"/>
    <w:rsid w:val="00AD3591"/>
    <w:rsid w:val="00AD3ED2"/>
    <w:rsid w:val="00AD4311"/>
    <w:rsid w:val="00AD454B"/>
    <w:rsid w:val="00AD47A0"/>
    <w:rsid w:val="00AD48B0"/>
    <w:rsid w:val="00AD4A7E"/>
    <w:rsid w:val="00AD5821"/>
    <w:rsid w:val="00AD66BC"/>
    <w:rsid w:val="00AD6CFA"/>
    <w:rsid w:val="00AD6F19"/>
    <w:rsid w:val="00AD6F5F"/>
    <w:rsid w:val="00AD73C8"/>
    <w:rsid w:val="00AD7834"/>
    <w:rsid w:val="00AD7CDF"/>
    <w:rsid w:val="00AE04E4"/>
    <w:rsid w:val="00AE0AB7"/>
    <w:rsid w:val="00AE0B3F"/>
    <w:rsid w:val="00AE0B66"/>
    <w:rsid w:val="00AE11D6"/>
    <w:rsid w:val="00AE1406"/>
    <w:rsid w:val="00AE1A96"/>
    <w:rsid w:val="00AE2B57"/>
    <w:rsid w:val="00AE2E25"/>
    <w:rsid w:val="00AE30F9"/>
    <w:rsid w:val="00AE3270"/>
    <w:rsid w:val="00AE32ED"/>
    <w:rsid w:val="00AE365B"/>
    <w:rsid w:val="00AE379F"/>
    <w:rsid w:val="00AE397C"/>
    <w:rsid w:val="00AE45D1"/>
    <w:rsid w:val="00AE46C4"/>
    <w:rsid w:val="00AE5770"/>
    <w:rsid w:val="00AE5E0F"/>
    <w:rsid w:val="00AE66E5"/>
    <w:rsid w:val="00AE6827"/>
    <w:rsid w:val="00AE6CAD"/>
    <w:rsid w:val="00AE7D04"/>
    <w:rsid w:val="00AE7D0F"/>
    <w:rsid w:val="00AE7FB0"/>
    <w:rsid w:val="00AF130F"/>
    <w:rsid w:val="00AF1380"/>
    <w:rsid w:val="00AF1EAF"/>
    <w:rsid w:val="00AF304F"/>
    <w:rsid w:val="00AF32BE"/>
    <w:rsid w:val="00AF341B"/>
    <w:rsid w:val="00AF37A3"/>
    <w:rsid w:val="00AF39B5"/>
    <w:rsid w:val="00AF426F"/>
    <w:rsid w:val="00AF44E0"/>
    <w:rsid w:val="00AF4DA2"/>
    <w:rsid w:val="00AF586E"/>
    <w:rsid w:val="00AF58B6"/>
    <w:rsid w:val="00AF5A04"/>
    <w:rsid w:val="00AF6871"/>
    <w:rsid w:val="00AF755F"/>
    <w:rsid w:val="00AF761E"/>
    <w:rsid w:val="00AF7983"/>
    <w:rsid w:val="00AF7B16"/>
    <w:rsid w:val="00AF7C2C"/>
    <w:rsid w:val="00B0068D"/>
    <w:rsid w:val="00B00AB9"/>
    <w:rsid w:val="00B01326"/>
    <w:rsid w:val="00B01F26"/>
    <w:rsid w:val="00B02239"/>
    <w:rsid w:val="00B0275D"/>
    <w:rsid w:val="00B02BEC"/>
    <w:rsid w:val="00B0366F"/>
    <w:rsid w:val="00B04081"/>
    <w:rsid w:val="00B047EF"/>
    <w:rsid w:val="00B04873"/>
    <w:rsid w:val="00B04AE6"/>
    <w:rsid w:val="00B06926"/>
    <w:rsid w:val="00B06B3C"/>
    <w:rsid w:val="00B07E56"/>
    <w:rsid w:val="00B07F37"/>
    <w:rsid w:val="00B10774"/>
    <w:rsid w:val="00B10B14"/>
    <w:rsid w:val="00B112DD"/>
    <w:rsid w:val="00B11E3F"/>
    <w:rsid w:val="00B12419"/>
    <w:rsid w:val="00B124A2"/>
    <w:rsid w:val="00B12C3E"/>
    <w:rsid w:val="00B12E99"/>
    <w:rsid w:val="00B1310F"/>
    <w:rsid w:val="00B1354B"/>
    <w:rsid w:val="00B13906"/>
    <w:rsid w:val="00B1426A"/>
    <w:rsid w:val="00B1436A"/>
    <w:rsid w:val="00B14396"/>
    <w:rsid w:val="00B148CC"/>
    <w:rsid w:val="00B15103"/>
    <w:rsid w:val="00B16513"/>
    <w:rsid w:val="00B1663C"/>
    <w:rsid w:val="00B16716"/>
    <w:rsid w:val="00B16B35"/>
    <w:rsid w:val="00B16EA0"/>
    <w:rsid w:val="00B16F42"/>
    <w:rsid w:val="00B175EE"/>
    <w:rsid w:val="00B17814"/>
    <w:rsid w:val="00B17BB0"/>
    <w:rsid w:val="00B17BF4"/>
    <w:rsid w:val="00B2129A"/>
    <w:rsid w:val="00B2180D"/>
    <w:rsid w:val="00B21C4D"/>
    <w:rsid w:val="00B22AB2"/>
    <w:rsid w:val="00B23164"/>
    <w:rsid w:val="00B23184"/>
    <w:rsid w:val="00B23D3A"/>
    <w:rsid w:val="00B248A4"/>
    <w:rsid w:val="00B2513D"/>
    <w:rsid w:val="00B25651"/>
    <w:rsid w:val="00B259DE"/>
    <w:rsid w:val="00B25A82"/>
    <w:rsid w:val="00B25FCD"/>
    <w:rsid w:val="00B2609D"/>
    <w:rsid w:val="00B26B9C"/>
    <w:rsid w:val="00B26F24"/>
    <w:rsid w:val="00B270EB"/>
    <w:rsid w:val="00B271E3"/>
    <w:rsid w:val="00B27995"/>
    <w:rsid w:val="00B27BC1"/>
    <w:rsid w:val="00B27CA0"/>
    <w:rsid w:val="00B30616"/>
    <w:rsid w:val="00B30D80"/>
    <w:rsid w:val="00B30EB1"/>
    <w:rsid w:val="00B31628"/>
    <w:rsid w:val="00B31A08"/>
    <w:rsid w:val="00B31AE4"/>
    <w:rsid w:val="00B32209"/>
    <w:rsid w:val="00B329F2"/>
    <w:rsid w:val="00B32D63"/>
    <w:rsid w:val="00B32EED"/>
    <w:rsid w:val="00B331BD"/>
    <w:rsid w:val="00B34386"/>
    <w:rsid w:val="00B343AF"/>
    <w:rsid w:val="00B344A3"/>
    <w:rsid w:val="00B345F4"/>
    <w:rsid w:val="00B346EA"/>
    <w:rsid w:val="00B351B8"/>
    <w:rsid w:val="00B35295"/>
    <w:rsid w:val="00B3529C"/>
    <w:rsid w:val="00B352E8"/>
    <w:rsid w:val="00B35427"/>
    <w:rsid w:val="00B358D9"/>
    <w:rsid w:val="00B36101"/>
    <w:rsid w:val="00B36790"/>
    <w:rsid w:val="00B367B5"/>
    <w:rsid w:val="00B36848"/>
    <w:rsid w:val="00B37166"/>
    <w:rsid w:val="00B37455"/>
    <w:rsid w:val="00B3745B"/>
    <w:rsid w:val="00B37557"/>
    <w:rsid w:val="00B37891"/>
    <w:rsid w:val="00B4062D"/>
    <w:rsid w:val="00B41A92"/>
    <w:rsid w:val="00B421E5"/>
    <w:rsid w:val="00B4266B"/>
    <w:rsid w:val="00B426EE"/>
    <w:rsid w:val="00B42840"/>
    <w:rsid w:val="00B42C0C"/>
    <w:rsid w:val="00B43A91"/>
    <w:rsid w:val="00B44260"/>
    <w:rsid w:val="00B443A6"/>
    <w:rsid w:val="00B44803"/>
    <w:rsid w:val="00B452D8"/>
    <w:rsid w:val="00B4561C"/>
    <w:rsid w:val="00B4562D"/>
    <w:rsid w:val="00B4570D"/>
    <w:rsid w:val="00B45D81"/>
    <w:rsid w:val="00B46086"/>
    <w:rsid w:val="00B46622"/>
    <w:rsid w:val="00B4689B"/>
    <w:rsid w:val="00B4757F"/>
    <w:rsid w:val="00B47674"/>
    <w:rsid w:val="00B47BCE"/>
    <w:rsid w:val="00B50C0F"/>
    <w:rsid w:val="00B50D26"/>
    <w:rsid w:val="00B513EE"/>
    <w:rsid w:val="00B515F7"/>
    <w:rsid w:val="00B5185B"/>
    <w:rsid w:val="00B51C63"/>
    <w:rsid w:val="00B527D1"/>
    <w:rsid w:val="00B540E4"/>
    <w:rsid w:val="00B541AE"/>
    <w:rsid w:val="00B547C9"/>
    <w:rsid w:val="00B54F6E"/>
    <w:rsid w:val="00B5506A"/>
    <w:rsid w:val="00B55B76"/>
    <w:rsid w:val="00B56363"/>
    <w:rsid w:val="00B56A08"/>
    <w:rsid w:val="00B56D15"/>
    <w:rsid w:val="00B56FA6"/>
    <w:rsid w:val="00B57B37"/>
    <w:rsid w:val="00B57C1A"/>
    <w:rsid w:val="00B57D54"/>
    <w:rsid w:val="00B57FCF"/>
    <w:rsid w:val="00B60207"/>
    <w:rsid w:val="00B604CE"/>
    <w:rsid w:val="00B613C7"/>
    <w:rsid w:val="00B616D6"/>
    <w:rsid w:val="00B61B33"/>
    <w:rsid w:val="00B61B9F"/>
    <w:rsid w:val="00B62614"/>
    <w:rsid w:val="00B62850"/>
    <w:rsid w:val="00B62F5A"/>
    <w:rsid w:val="00B632C3"/>
    <w:rsid w:val="00B63ABC"/>
    <w:rsid w:val="00B64094"/>
    <w:rsid w:val="00B6412B"/>
    <w:rsid w:val="00B64211"/>
    <w:rsid w:val="00B64297"/>
    <w:rsid w:val="00B6453C"/>
    <w:rsid w:val="00B658BA"/>
    <w:rsid w:val="00B65B8A"/>
    <w:rsid w:val="00B65F92"/>
    <w:rsid w:val="00B65FD3"/>
    <w:rsid w:val="00B661ED"/>
    <w:rsid w:val="00B66661"/>
    <w:rsid w:val="00B66EDF"/>
    <w:rsid w:val="00B670A7"/>
    <w:rsid w:val="00B67A7F"/>
    <w:rsid w:val="00B67C6F"/>
    <w:rsid w:val="00B704AE"/>
    <w:rsid w:val="00B707AB"/>
    <w:rsid w:val="00B70C34"/>
    <w:rsid w:val="00B71141"/>
    <w:rsid w:val="00B7141E"/>
    <w:rsid w:val="00B71C05"/>
    <w:rsid w:val="00B71D1C"/>
    <w:rsid w:val="00B71E13"/>
    <w:rsid w:val="00B71F47"/>
    <w:rsid w:val="00B724C6"/>
    <w:rsid w:val="00B72C7A"/>
    <w:rsid w:val="00B72DF4"/>
    <w:rsid w:val="00B73608"/>
    <w:rsid w:val="00B742EF"/>
    <w:rsid w:val="00B74583"/>
    <w:rsid w:val="00B76D67"/>
    <w:rsid w:val="00B77134"/>
    <w:rsid w:val="00B77398"/>
    <w:rsid w:val="00B77433"/>
    <w:rsid w:val="00B77436"/>
    <w:rsid w:val="00B776DB"/>
    <w:rsid w:val="00B77A50"/>
    <w:rsid w:val="00B77F7A"/>
    <w:rsid w:val="00B804B2"/>
    <w:rsid w:val="00B8054B"/>
    <w:rsid w:val="00B80923"/>
    <w:rsid w:val="00B80FDA"/>
    <w:rsid w:val="00B81C06"/>
    <w:rsid w:val="00B824E5"/>
    <w:rsid w:val="00B8297F"/>
    <w:rsid w:val="00B82C37"/>
    <w:rsid w:val="00B83624"/>
    <w:rsid w:val="00B8408E"/>
    <w:rsid w:val="00B840D4"/>
    <w:rsid w:val="00B844E0"/>
    <w:rsid w:val="00B8470E"/>
    <w:rsid w:val="00B84E01"/>
    <w:rsid w:val="00B85B31"/>
    <w:rsid w:val="00B86AD3"/>
    <w:rsid w:val="00B86B65"/>
    <w:rsid w:val="00B86E4D"/>
    <w:rsid w:val="00B86F3B"/>
    <w:rsid w:val="00B86FA5"/>
    <w:rsid w:val="00B8761F"/>
    <w:rsid w:val="00B87705"/>
    <w:rsid w:val="00B879C9"/>
    <w:rsid w:val="00B87FF8"/>
    <w:rsid w:val="00B90778"/>
    <w:rsid w:val="00B912FA"/>
    <w:rsid w:val="00B91642"/>
    <w:rsid w:val="00B91781"/>
    <w:rsid w:val="00B918AB"/>
    <w:rsid w:val="00B91C1B"/>
    <w:rsid w:val="00B91E67"/>
    <w:rsid w:val="00B92112"/>
    <w:rsid w:val="00B92AE1"/>
    <w:rsid w:val="00B92C61"/>
    <w:rsid w:val="00B92F64"/>
    <w:rsid w:val="00B93110"/>
    <w:rsid w:val="00B933DD"/>
    <w:rsid w:val="00B94762"/>
    <w:rsid w:val="00B95532"/>
    <w:rsid w:val="00B95BB7"/>
    <w:rsid w:val="00B95DEC"/>
    <w:rsid w:val="00B9709B"/>
    <w:rsid w:val="00B9723D"/>
    <w:rsid w:val="00B975E1"/>
    <w:rsid w:val="00B977CA"/>
    <w:rsid w:val="00B97EBB"/>
    <w:rsid w:val="00B97FDB"/>
    <w:rsid w:val="00BA0166"/>
    <w:rsid w:val="00BA0172"/>
    <w:rsid w:val="00BA075C"/>
    <w:rsid w:val="00BA1981"/>
    <w:rsid w:val="00BA1D6E"/>
    <w:rsid w:val="00BA2100"/>
    <w:rsid w:val="00BA21F8"/>
    <w:rsid w:val="00BA24AA"/>
    <w:rsid w:val="00BA2BBD"/>
    <w:rsid w:val="00BA39A8"/>
    <w:rsid w:val="00BA3C80"/>
    <w:rsid w:val="00BA4223"/>
    <w:rsid w:val="00BA4314"/>
    <w:rsid w:val="00BA516C"/>
    <w:rsid w:val="00BA56E3"/>
    <w:rsid w:val="00BA57C3"/>
    <w:rsid w:val="00BA5A57"/>
    <w:rsid w:val="00BA5C92"/>
    <w:rsid w:val="00BA60A4"/>
    <w:rsid w:val="00BA6A9A"/>
    <w:rsid w:val="00BA6CBB"/>
    <w:rsid w:val="00BA6D48"/>
    <w:rsid w:val="00BA6E02"/>
    <w:rsid w:val="00BA6F4E"/>
    <w:rsid w:val="00BA7435"/>
    <w:rsid w:val="00BA78EC"/>
    <w:rsid w:val="00BB063D"/>
    <w:rsid w:val="00BB0862"/>
    <w:rsid w:val="00BB163B"/>
    <w:rsid w:val="00BB24DA"/>
    <w:rsid w:val="00BB25D9"/>
    <w:rsid w:val="00BB2B9D"/>
    <w:rsid w:val="00BB2C74"/>
    <w:rsid w:val="00BB2EDC"/>
    <w:rsid w:val="00BB300E"/>
    <w:rsid w:val="00BB32F3"/>
    <w:rsid w:val="00BB383D"/>
    <w:rsid w:val="00BB3CE5"/>
    <w:rsid w:val="00BB3EA5"/>
    <w:rsid w:val="00BB43D0"/>
    <w:rsid w:val="00BB4A0A"/>
    <w:rsid w:val="00BB4C84"/>
    <w:rsid w:val="00BB55A2"/>
    <w:rsid w:val="00BB5A0E"/>
    <w:rsid w:val="00BB5A25"/>
    <w:rsid w:val="00BB5ACB"/>
    <w:rsid w:val="00BB608E"/>
    <w:rsid w:val="00BB681F"/>
    <w:rsid w:val="00BB6868"/>
    <w:rsid w:val="00BB6A48"/>
    <w:rsid w:val="00BB6B53"/>
    <w:rsid w:val="00BB6C41"/>
    <w:rsid w:val="00BB7669"/>
    <w:rsid w:val="00BB78F4"/>
    <w:rsid w:val="00BB7BEE"/>
    <w:rsid w:val="00BB7DB1"/>
    <w:rsid w:val="00BB7FB3"/>
    <w:rsid w:val="00BC005F"/>
    <w:rsid w:val="00BC0275"/>
    <w:rsid w:val="00BC051F"/>
    <w:rsid w:val="00BC0776"/>
    <w:rsid w:val="00BC08D3"/>
    <w:rsid w:val="00BC09A3"/>
    <w:rsid w:val="00BC0C4E"/>
    <w:rsid w:val="00BC0D8B"/>
    <w:rsid w:val="00BC0E40"/>
    <w:rsid w:val="00BC1450"/>
    <w:rsid w:val="00BC166A"/>
    <w:rsid w:val="00BC1755"/>
    <w:rsid w:val="00BC1D15"/>
    <w:rsid w:val="00BC1E1B"/>
    <w:rsid w:val="00BC23DE"/>
    <w:rsid w:val="00BC2584"/>
    <w:rsid w:val="00BC2686"/>
    <w:rsid w:val="00BC2EFC"/>
    <w:rsid w:val="00BC324C"/>
    <w:rsid w:val="00BC341C"/>
    <w:rsid w:val="00BC3533"/>
    <w:rsid w:val="00BC369E"/>
    <w:rsid w:val="00BC4781"/>
    <w:rsid w:val="00BC48F3"/>
    <w:rsid w:val="00BC4AF9"/>
    <w:rsid w:val="00BC5548"/>
    <w:rsid w:val="00BC558D"/>
    <w:rsid w:val="00BC5BCD"/>
    <w:rsid w:val="00BC5DCE"/>
    <w:rsid w:val="00BC6D71"/>
    <w:rsid w:val="00BC7399"/>
    <w:rsid w:val="00BC74C0"/>
    <w:rsid w:val="00BC7D9D"/>
    <w:rsid w:val="00BD0164"/>
    <w:rsid w:val="00BD0959"/>
    <w:rsid w:val="00BD0A1E"/>
    <w:rsid w:val="00BD0CC4"/>
    <w:rsid w:val="00BD0F95"/>
    <w:rsid w:val="00BD128A"/>
    <w:rsid w:val="00BD1403"/>
    <w:rsid w:val="00BD1E32"/>
    <w:rsid w:val="00BD2596"/>
    <w:rsid w:val="00BD2C1B"/>
    <w:rsid w:val="00BD31B8"/>
    <w:rsid w:val="00BD3408"/>
    <w:rsid w:val="00BD45A0"/>
    <w:rsid w:val="00BD4D81"/>
    <w:rsid w:val="00BD5502"/>
    <w:rsid w:val="00BD5801"/>
    <w:rsid w:val="00BD58E0"/>
    <w:rsid w:val="00BD5FB0"/>
    <w:rsid w:val="00BD60CB"/>
    <w:rsid w:val="00BD6B4C"/>
    <w:rsid w:val="00BD7477"/>
    <w:rsid w:val="00BD750C"/>
    <w:rsid w:val="00BD7AFE"/>
    <w:rsid w:val="00BD7D12"/>
    <w:rsid w:val="00BE0E74"/>
    <w:rsid w:val="00BE0E78"/>
    <w:rsid w:val="00BE197B"/>
    <w:rsid w:val="00BE1C7B"/>
    <w:rsid w:val="00BE1F7D"/>
    <w:rsid w:val="00BE24D3"/>
    <w:rsid w:val="00BE323E"/>
    <w:rsid w:val="00BE35EE"/>
    <w:rsid w:val="00BE3706"/>
    <w:rsid w:val="00BE39AA"/>
    <w:rsid w:val="00BE3A35"/>
    <w:rsid w:val="00BE3B56"/>
    <w:rsid w:val="00BE433B"/>
    <w:rsid w:val="00BE468A"/>
    <w:rsid w:val="00BE46D0"/>
    <w:rsid w:val="00BE4A90"/>
    <w:rsid w:val="00BE53BA"/>
    <w:rsid w:val="00BE6EDD"/>
    <w:rsid w:val="00BE7DE2"/>
    <w:rsid w:val="00BE7E7F"/>
    <w:rsid w:val="00BF02DC"/>
    <w:rsid w:val="00BF1106"/>
    <w:rsid w:val="00BF129D"/>
    <w:rsid w:val="00BF13DA"/>
    <w:rsid w:val="00BF16A8"/>
    <w:rsid w:val="00BF25F0"/>
    <w:rsid w:val="00BF2CD1"/>
    <w:rsid w:val="00BF4720"/>
    <w:rsid w:val="00BF50EF"/>
    <w:rsid w:val="00BF54DA"/>
    <w:rsid w:val="00BF6B90"/>
    <w:rsid w:val="00BF7C11"/>
    <w:rsid w:val="00BF7E27"/>
    <w:rsid w:val="00BF7EF3"/>
    <w:rsid w:val="00C01C3F"/>
    <w:rsid w:val="00C01C5C"/>
    <w:rsid w:val="00C01E01"/>
    <w:rsid w:val="00C02001"/>
    <w:rsid w:val="00C02613"/>
    <w:rsid w:val="00C03D4A"/>
    <w:rsid w:val="00C03E9E"/>
    <w:rsid w:val="00C042D4"/>
    <w:rsid w:val="00C045C4"/>
    <w:rsid w:val="00C048D8"/>
    <w:rsid w:val="00C0496B"/>
    <w:rsid w:val="00C04D2D"/>
    <w:rsid w:val="00C0527E"/>
    <w:rsid w:val="00C0570F"/>
    <w:rsid w:val="00C057C4"/>
    <w:rsid w:val="00C058B7"/>
    <w:rsid w:val="00C05E46"/>
    <w:rsid w:val="00C05E66"/>
    <w:rsid w:val="00C06541"/>
    <w:rsid w:val="00C068FF"/>
    <w:rsid w:val="00C069B6"/>
    <w:rsid w:val="00C06CE5"/>
    <w:rsid w:val="00C07438"/>
    <w:rsid w:val="00C07835"/>
    <w:rsid w:val="00C0789C"/>
    <w:rsid w:val="00C07D47"/>
    <w:rsid w:val="00C07F43"/>
    <w:rsid w:val="00C10267"/>
    <w:rsid w:val="00C10785"/>
    <w:rsid w:val="00C1105A"/>
    <w:rsid w:val="00C11CFC"/>
    <w:rsid w:val="00C11F32"/>
    <w:rsid w:val="00C12B77"/>
    <w:rsid w:val="00C13139"/>
    <w:rsid w:val="00C1333A"/>
    <w:rsid w:val="00C13898"/>
    <w:rsid w:val="00C13923"/>
    <w:rsid w:val="00C13E68"/>
    <w:rsid w:val="00C140F9"/>
    <w:rsid w:val="00C15421"/>
    <w:rsid w:val="00C15436"/>
    <w:rsid w:val="00C15506"/>
    <w:rsid w:val="00C15942"/>
    <w:rsid w:val="00C15F24"/>
    <w:rsid w:val="00C16752"/>
    <w:rsid w:val="00C16D9B"/>
    <w:rsid w:val="00C177D3"/>
    <w:rsid w:val="00C17ABA"/>
    <w:rsid w:val="00C2009F"/>
    <w:rsid w:val="00C2071C"/>
    <w:rsid w:val="00C20D93"/>
    <w:rsid w:val="00C20E19"/>
    <w:rsid w:val="00C20FB3"/>
    <w:rsid w:val="00C2116F"/>
    <w:rsid w:val="00C214C9"/>
    <w:rsid w:val="00C21BB8"/>
    <w:rsid w:val="00C227F2"/>
    <w:rsid w:val="00C2297F"/>
    <w:rsid w:val="00C22CB9"/>
    <w:rsid w:val="00C235BF"/>
    <w:rsid w:val="00C24AF9"/>
    <w:rsid w:val="00C25131"/>
    <w:rsid w:val="00C25232"/>
    <w:rsid w:val="00C253FD"/>
    <w:rsid w:val="00C25D07"/>
    <w:rsid w:val="00C25F88"/>
    <w:rsid w:val="00C26123"/>
    <w:rsid w:val="00C26EF8"/>
    <w:rsid w:val="00C27223"/>
    <w:rsid w:val="00C27BAD"/>
    <w:rsid w:val="00C30207"/>
    <w:rsid w:val="00C30288"/>
    <w:rsid w:val="00C30CDE"/>
    <w:rsid w:val="00C3164D"/>
    <w:rsid w:val="00C31BE0"/>
    <w:rsid w:val="00C32A7B"/>
    <w:rsid w:val="00C32DB9"/>
    <w:rsid w:val="00C32E98"/>
    <w:rsid w:val="00C333E4"/>
    <w:rsid w:val="00C33688"/>
    <w:rsid w:val="00C34380"/>
    <w:rsid w:val="00C347F5"/>
    <w:rsid w:val="00C34E39"/>
    <w:rsid w:val="00C357F3"/>
    <w:rsid w:val="00C35BBA"/>
    <w:rsid w:val="00C35F1D"/>
    <w:rsid w:val="00C35FE5"/>
    <w:rsid w:val="00C365D3"/>
    <w:rsid w:val="00C3776B"/>
    <w:rsid w:val="00C37CC9"/>
    <w:rsid w:val="00C37D27"/>
    <w:rsid w:val="00C37E4B"/>
    <w:rsid w:val="00C4030B"/>
    <w:rsid w:val="00C40A9A"/>
    <w:rsid w:val="00C40D96"/>
    <w:rsid w:val="00C4150E"/>
    <w:rsid w:val="00C41B2F"/>
    <w:rsid w:val="00C41C71"/>
    <w:rsid w:val="00C4290C"/>
    <w:rsid w:val="00C430AB"/>
    <w:rsid w:val="00C43365"/>
    <w:rsid w:val="00C43C6A"/>
    <w:rsid w:val="00C43DB7"/>
    <w:rsid w:val="00C44CF8"/>
    <w:rsid w:val="00C45DB8"/>
    <w:rsid w:val="00C46121"/>
    <w:rsid w:val="00C46E1A"/>
    <w:rsid w:val="00C505B0"/>
    <w:rsid w:val="00C50977"/>
    <w:rsid w:val="00C509EB"/>
    <w:rsid w:val="00C50F5F"/>
    <w:rsid w:val="00C51256"/>
    <w:rsid w:val="00C513C7"/>
    <w:rsid w:val="00C51635"/>
    <w:rsid w:val="00C5198B"/>
    <w:rsid w:val="00C51A43"/>
    <w:rsid w:val="00C521C0"/>
    <w:rsid w:val="00C52709"/>
    <w:rsid w:val="00C5272E"/>
    <w:rsid w:val="00C528BB"/>
    <w:rsid w:val="00C531DC"/>
    <w:rsid w:val="00C55018"/>
    <w:rsid w:val="00C55C3C"/>
    <w:rsid w:val="00C55DF0"/>
    <w:rsid w:val="00C562A5"/>
    <w:rsid w:val="00C569A8"/>
    <w:rsid w:val="00C574BF"/>
    <w:rsid w:val="00C57570"/>
    <w:rsid w:val="00C578D8"/>
    <w:rsid w:val="00C57F7E"/>
    <w:rsid w:val="00C600DC"/>
    <w:rsid w:val="00C608D3"/>
    <w:rsid w:val="00C6106C"/>
    <w:rsid w:val="00C61077"/>
    <w:rsid w:val="00C612F2"/>
    <w:rsid w:val="00C625C8"/>
    <w:rsid w:val="00C62B78"/>
    <w:rsid w:val="00C6359B"/>
    <w:rsid w:val="00C63D92"/>
    <w:rsid w:val="00C64025"/>
    <w:rsid w:val="00C641EC"/>
    <w:rsid w:val="00C64739"/>
    <w:rsid w:val="00C648E8"/>
    <w:rsid w:val="00C64CB7"/>
    <w:rsid w:val="00C65BC4"/>
    <w:rsid w:val="00C65C1C"/>
    <w:rsid w:val="00C66597"/>
    <w:rsid w:val="00C67151"/>
    <w:rsid w:val="00C673F7"/>
    <w:rsid w:val="00C702C5"/>
    <w:rsid w:val="00C70526"/>
    <w:rsid w:val="00C7076B"/>
    <w:rsid w:val="00C711FA"/>
    <w:rsid w:val="00C712FF"/>
    <w:rsid w:val="00C719FC"/>
    <w:rsid w:val="00C720DA"/>
    <w:rsid w:val="00C72191"/>
    <w:rsid w:val="00C72633"/>
    <w:rsid w:val="00C7429D"/>
    <w:rsid w:val="00C74DC7"/>
    <w:rsid w:val="00C75618"/>
    <w:rsid w:val="00C75CC5"/>
    <w:rsid w:val="00C75ED0"/>
    <w:rsid w:val="00C76E5F"/>
    <w:rsid w:val="00C77792"/>
    <w:rsid w:val="00C77AFC"/>
    <w:rsid w:val="00C800FD"/>
    <w:rsid w:val="00C8041E"/>
    <w:rsid w:val="00C80479"/>
    <w:rsid w:val="00C806DD"/>
    <w:rsid w:val="00C80798"/>
    <w:rsid w:val="00C81053"/>
    <w:rsid w:val="00C8168A"/>
    <w:rsid w:val="00C819C7"/>
    <w:rsid w:val="00C82779"/>
    <w:rsid w:val="00C831D8"/>
    <w:rsid w:val="00C833E7"/>
    <w:rsid w:val="00C83613"/>
    <w:rsid w:val="00C8365B"/>
    <w:rsid w:val="00C83E6D"/>
    <w:rsid w:val="00C84205"/>
    <w:rsid w:val="00C848A5"/>
    <w:rsid w:val="00C84EE1"/>
    <w:rsid w:val="00C84EFE"/>
    <w:rsid w:val="00C853BD"/>
    <w:rsid w:val="00C858B8"/>
    <w:rsid w:val="00C85948"/>
    <w:rsid w:val="00C85952"/>
    <w:rsid w:val="00C85B18"/>
    <w:rsid w:val="00C8684B"/>
    <w:rsid w:val="00C86ED0"/>
    <w:rsid w:val="00C870D1"/>
    <w:rsid w:val="00C876EF"/>
    <w:rsid w:val="00C87A53"/>
    <w:rsid w:val="00C87F46"/>
    <w:rsid w:val="00C90127"/>
    <w:rsid w:val="00C901EE"/>
    <w:rsid w:val="00C90A67"/>
    <w:rsid w:val="00C91B68"/>
    <w:rsid w:val="00C92056"/>
    <w:rsid w:val="00C923B3"/>
    <w:rsid w:val="00C92820"/>
    <w:rsid w:val="00C9400F"/>
    <w:rsid w:val="00C9477B"/>
    <w:rsid w:val="00C94A7A"/>
    <w:rsid w:val="00C9514C"/>
    <w:rsid w:val="00C95585"/>
    <w:rsid w:val="00C95625"/>
    <w:rsid w:val="00C958AC"/>
    <w:rsid w:val="00C958BA"/>
    <w:rsid w:val="00C965D7"/>
    <w:rsid w:val="00C96A15"/>
    <w:rsid w:val="00C97CDD"/>
    <w:rsid w:val="00CA004F"/>
    <w:rsid w:val="00CA0ACF"/>
    <w:rsid w:val="00CA0D7D"/>
    <w:rsid w:val="00CA12A9"/>
    <w:rsid w:val="00CA28FA"/>
    <w:rsid w:val="00CA295E"/>
    <w:rsid w:val="00CA2B7E"/>
    <w:rsid w:val="00CA3244"/>
    <w:rsid w:val="00CA391F"/>
    <w:rsid w:val="00CA3D26"/>
    <w:rsid w:val="00CA4E7E"/>
    <w:rsid w:val="00CA5512"/>
    <w:rsid w:val="00CA5739"/>
    <w:rsid w:val="00CA5843"/>
    <w:rsid w:val="00CA5B26"/>
    <w:rsid w:val="00CA5B6D"/>
    <w:rsid w:val="00CA5D66"/>
    <w:rsid w:val="00CA5EDF"/>
    <w:rsid w:val="00CA6515"/>
    <w:rsid w:val="00CA6566"/>
    <w:rsid w:val="00CA67F7"/>
    <w:rsid w:val="00CA70A4"/>
    <w:rsid w:val="00CA73A7"/>
    <w:rsid w:val="00CA7B14"/>
    <w:rsid w:val="00CA7CF3"/>
    <w:rsid w:val="00CA7FC7"/>
    <w:rsid w:val="00CB04EF"/>
    <w:rsid w:val="00CB11F8"/>
    <w:rsid w:val="00CB1308"/>
    <w:rsid w:val="00CB16F9"/>
    <w:rsid w:val="00CB1B4A"/>
    <w:rsid w:val="00CB1EE3"/>
    <w:rsid w:val="00CB2635"/>
    <w:rsid w:val="00CB2E8A"/>
    <w:rsid w:val="00CB2F42"/>
    <w:rsid w:val="00CB2F66"/>
    <w:rsid w:val="00CB3106"/>
    <w:rsid w:val="00CB423F"/>
    <w:rsid w:val="00CB43F2"/>
    <w:rsid w:val="00CB4587"/>
    <w:rsid w:val="00CB46DB"/>
    <w:rsid w:val="00CB5416"/>
    <w:rsid w:val="00CB5CAF"/>
    <w:rsid w:val="00CB6153"/>
    <w:rsid w:val="00CB6746"/>
    <w:rsid w:val="00CB6E6D"/>
    <w:rsid w:val="00CB6FD5"/>
    <w:rsid w:val="00CB70C4"/>
    <w:rsid w:val="00CB7632"/>
    <w:rsid w:val="00CB77C1"/>
    <w:rsid w:val="00CB7E02"/>
    <w:rsid w:val="00CC0407"/>
    <w:rsid w:val="00CC0670"/>
    <w:rsid w:val="00CC0A17"/>
    <w:rsid w:val="00CC0CFA"/>
    <w:rsid w:val="00CC0E2A"/>
    <w:rsid w:val="00CC206D"/>
    <w:rsid w:val="00CC24AA"/>
    <w:rsid w:val="00CC3A82"/>
    <w:rsid w:val="00CC3BD3"/>
    <w:rsid w:val="00CC4857"/>
    <w:rsid w:val="00CC48E9"/>
    <w:rsid w:val="00CC5564"/>
    <w:rsid w:val="00CC55EF"/>
    <w:rsid w:val="00CC5F56"/>
    <w:rsid w:val="00CC647A"/>
    <w:rsid w:val="00CC6714"/>
    <w:rsid w:val="00CC67C5"/>
    <w:rsid w:val="00CC6F63"/>
    <w:rsid w:val="00CC72B9"/>
    <w:rsid w:val="00CC7339"/>
    <w:rsid w:val="00CC7771"/>
    <w:rsid w:val="00CD0B8B"/>
    <w:rsid w:val="00CD131B"/>
    <w:rsid w:val="00CD143E"/>
    <w:rsid w:val="00CD1697"/>
    <w:rsid w:val="00CD1A2B"/>
    <w:rsid w:val="00CD1CB1"/>
    <w:rsid w:val="00CD1CBD"/>
    <w:rsid w:val="00CD225D"/>
    <w:rsid w:val="00CD2DF3"/>
    <w:rsid w:val="00CD4269"/>
    <w:rsid w:val="00CD4718"/>
    <w:rsid w:val="00CD4AB4"/>
    <w:rsid w:val="00CD53C9"/>
    <w:rsid w:val="00CD5574"/>
    <w:rsid w:val="00CD5893"/>
    <w:rsid w:val="00CD5B75"/>
    <w:rsid w:val="00CD5D2F"/>
    <w:rsid w:val="00CD64E0"/>
    <w:rsid w:val="00CD66DD"/>
    <w:rsid w:val="00CD6DED"/>
    <w:rsid w:val="00CD7350"/>
    <w:rsid w:val="00CD74DA"/>
    <w:rsid w:val="00CD7928"/>
    <w:rsid w:val="00CE02EA"/>
    <w:rsid w:val="00CE085A"/>
    <w:rsid w:val="00CE09DC"/>
    <w:rsid w:val="00CE0E44"/>
    <w:rsid w:val="00CE101F"/>
    <w:rsid w:val="00CE153E"/>
    <w:rsid w:val="00CE1CFC"/>
    <w:rsid w:val="00CE279A"/>
    <w:rsid w:val="00CE2EEE"/>
    <w:rsid w:val="00CE34AE"/>
    <w:rsid w:val="00CE34FE"/>
    <w:rsid w:val="00CE35B2"/>
    <w:rsid w:val="00CE40A2"/>
    <w:rsid w:val="00CE4144"/>
    <w:rsid w:val="00CE4540"/>
    <w:rsid w:val="00CE48BE"/>
    <w:rsid w:val="00CE4A00"/>
    <w:rsid w:val="00CE50AF"/>
    <w:rsid w:val="00CE58E1"/>
    <w:rsid w:val="00CE5E24"/>
    <w:rsid w:val="00CE6306"/>
    <w:rsid w:val="00CE6ADB"/>
    <w:rsid w:val="00CE745B"/>
    <w:rsid w:val="00CE74AD"/>
    <w:rsid w:val="00CE76D3"/>
    <w:rsid w:val="00CE7D0F"/>
    <w:rsid w:val="00CF0247"/>
    <w:rsid w:val="00CF04A0"/>
    <w:rsid w:val="00CF0855"/>
    <w:rsid w:val="00CF1A56"/>
    <w:rsid w:val="00CF275A"/>
    <w:rsid w:val="00CF2F08"/>
    <w:rsid w:val="00CF32E1"/>
    <w:rsid w:val="00CF417A"/>
    <w:rsid w:val="00CF41A7"/>
    <w:rsid w:val="00CF48D9"/>
    <w:rsid w:val="00CF53A8"/>
    <w:rsid w:val="00CF5B16"/>
    <w:rsid w:val="00CF6318"/>
    <w:rsid w:val="00CF6FC8"/>
    <w:rsid w:val="00CF704C"/>
    <w:rsid w:val="00CF76B5"/>
    <w:rsid w:val="00D006AB"/>
    <w:rsid w:val="00D01716"/>
    <w:rsid w:val="00D01CAE"/>
    <w:rsid w:val="00D033BD"/>
    <w:rsid w:val="00D0346D"/>
    <w:rsid w:val="00D03698"/>
    <w:rsid w:val="00D03BC8"/>
    <w:rsid w:val="00D03D6A"/>
    <w:rsid w:val="00D03F69"/>
    <w:rsid w:val="00D04318"/>
    <w:rsid w:val="00D048BD"/>
    <w:rsid w:val="00D048EA"/>
    <w:rsid w:val="00D04990"/>
    <w:rsid w:val="00D05340"/>
    <w:rsid w:val="00D0555B"/>
    <w:rsid w:val="00D05839"/>
    <w:rsid w:val="00D05A45"/>
    <w:rsid w:val="00D05BDD"/>
    <w:rsid w:val="00D06101"/>
    <w:rsid w:val="00D06621"/>
    <w:rsid w:val="00D06822"/>
    <w:rsid w:val="00D06D0B"/>
    <w:rsid w:val="00D07230"/>
    <w:rsid w:val="00D07B3B"/>
    <w:rsid w:val="00D110FB"/>
    <w:rsid w:val="00D11BD2"/>
    <w:rsid w:val="00D1241C"/>
    <w:rsid w:val="00D12671"/>
    <w:rsid w:val="00D12B65"/>
    <w:rsid w:val="00D12DAE"/>
    <w:rsid w:val="00D12EAF"/>
    <w:rsid w:val="00D13F79"/>
    <w:rsid w:val="00D13FD7"/>
    <w:rsid w:val="00D1421B"/>
    <w:rsid w:val="00D14B0F"/>
    <w:rsid w:val="00D14D08"/>
    <w:rsid w:val="00D158E3"/>
    <w:rsid w:val="00D15C03"/>
    <w:rsid w:val="00D16316"/>
    <w:rsid w:val="00D173BF"/>
    <w:rsid w:val="00D173E8"/>
    <w:rsid w:val="00D17F2E"/>
    <w:rsid w:val="00D20517"/>
    <w:rsid w:val="00D20E2A"/>
    <w:rsid w:val="00D21401"/>
    <w:rsid w:val="00D21E5D"/>
    <w:rsid w:val="00D2221E"/>
    <w:rsid w:val="00D223B5"/>
    <w:rsid w:val="00D22775"/>
    <w:rsid w:val="00D22B3E"/>
    <w:rsid w:val="00D2316F"/>
    <w:rsid w:val="00D2373C"/>
    <w:rsid w:val="00D24344"/>
    <w:rsid w:val="00D24D8B"/>
    <w:rsid w:val="00D24DB6"/>
    <w:rsid w:val="00D25C98"/>
    <w:rsid w:val="00D25DD9"/>
    <w:rsid w:val="00D260C4"/>
    <w:rsid w:val="00D26540"/>
    <w:rsid w:val="00D267E7"/>
    <w:rsid w:val="00D272C5"/>
    <w:rsid w:val="00D2731A"/>
    <w:rsid w:val="00D27703"/>
    <w:rsid w:val="00D27742"/>
    <w:rsid w:val="00D27EFA"/>
    <w:rsid w:val="00D3001E"/>
    <w:rsid w:val="00D3063F"/>
    <w:rsid w:val="00D30723"/>
    <w:rsid w:val="00D30F14"/>
    <w:rsid w:val="00D3128F"/>
    <w:rsid w:val="00D326DD"/>
    <w:rsid w:val="00D35169"/>
    <w:rsid w:val="00D35C12"/>
    <w:rsid w:val="00D362BA"/>
    <w:rsid w:val="00D36E45"/>
    <w:rsid w:val="00D3742A"/>
    <w:rsid w:val="00D37E18"/>
    <w:rsid w:val="00D37FC4"/>
    <w:rsid w:val="00D4006D"/>
    <w:rsid w:val="00D400AF"/>
    <w:rsid w:val="00D401CD"/>
    <w:rsid w:val="00D40255"/>
    <w:rsid w:val="00D408E8"/>
    <w:rsid w:val="00D40FDA"/>
    <w:rsid w:val="00D4197D"/>
    <w:rsid w:val="00D41D16"/>
    <w:rsid w:val="00D4232F"/>
    <w:rsid w:val="00D42A22"/>
    <w:rsid w:val="00D42A72"/>
    <w:rsid w:val="00D43A38"/>
    <w:rsid w:val="00D43ACD"/>
    <w:rsid w:val="00D43B16"/>
    <w:rsid w:val="00D43EFC"/>
    <w:rsid w:val="00D43FB4"/>
    <w:rsid w:val="00D44461"/>
    <w:rsid w:val="00D44DFC"/>
    <w:rsid w:val="00D44E13"/>
    <w:rsid w:val="00D44E2F"/>
    <w:rsid w:val="00D450C5"/>
    <w:rsid w:val="00D45527"/>
    <w:rsid w:val="00D45631"/>
    <w:rsid w:val="00D45822"/>
    <w:rsid w:val="00D461AA"/>
    <w:rsid w:val="00D461E2"/>
    <w:rsid w:val="00D46F98"/>
    <w:rsid w:val="00D47639"/>
    <w:rsid w:val="00D47A23"/>
    <w:rsid w:val="00D47CF7"/>
    <w:rsid w:val="00D508C6"/>
    <w:rsid w:val="00D50C9A"/>
    <w:rsid w:val="00D5124F"/>
    <w:rsid w:val="00D51548"/>
    <w:rsid w:val="00D51D94"/>
    <w:rsid w:val="00D52132"/>
    <w:rsid w:val="00D52C33"/>
    <w:rsid w:val="00D52E98"/>
    <w:rsid w:val="00D53902"/>
    <w:rsid w:val="00D53D0A"/>
    <w:rsid w:val="00D53EDF"/>
    <w:rsid w:val="00D5408D"/>
    <w:rsid w:val="00D54629"/>
    <w:rsid w:val="00D54DB7"/>
    <w:rsid w:val="00D54F1C"/>
    <w:rsid w:val="00D5544E"/>
    <w:rsid w:val="00D55538"/>
    <w:rsid w:val="00D5554D"/>
    <w:rsid w:val="00D55AD0"/>
    <w:rsid w:val="00D5635C"/>
    <w:rsid w:val="00D56E3B"/>
    <w:rsid w:val="00D57594"/>
    <w:rsid w:val="00D575E1"/>
    <w:rsid w:val="00D57705"/>
    <w:rsid w:val="00D57F8E"/>
    <w:rsid w:val="00D604DC"/>
    <w:rsid w:val="00D60672"/>
    <w:rsid w:val="00D61A6D"/>
    <w:rsid w:val="00D61BF6"/>
    <w:rsid w:val="00D628F9"/>
    <w:rsid w:val="00D62F4C"/>
    <w:rsid w:val="00D635B2"/>
    <w:rsid w:val="00D636C6"/>
    <w:rsid w:val="00D63860"/>
    <w:rsid w:val="00D63CBA"/>
    <w:rsid w:val="00D647A3"/>
    <w:rsid w:val="00D647AC"/>
    <w:rsid w:val="00D651DB"/>
    <w:rsid w:val="00D65646"/>
    <w:rsid w:val="00D65D5C"/>
    <w:rsid w:val="00D6606A"/>
    <w:rsid w:val="00D66B01"/>
    <w:rsid w:val="00D67556"/>
    <w:rsid w:val="00D677EE"/>
    <w:rsid w:val="00D7033D"/>
    <w:rsid w:val="00D7075F"/>
    <w:rsid w:val="00D70C4F"/>
    <w:rsid w:val="00D71083"/>
    <w:rsid w:val="00D7118D"/>
    <w:rsid w:val="00D71980"/>
    <w:rsid w:val="00D71FD9"/>
    <w:rsid w:val="00D72642"/>
    <w:rsid w:val="00D72A98"/>
    <w:rsid w:val="00D72DC5"/>
    <w:rsid w:val="00D73060"/>
    <w:rsid w:val="00D7322A"/>
    <w:rsid w:val="00D73527"/>
    <w:rsid w:val="00D735A7"/>
    <w:rsid w:val="00D73BAE"/>
    <w:rsid w:val="00D7407B"/>
    <w:rsid w:val="00D74416"/>
    <w:rsid w:val="00D748C5"/>
    <w:rsid w:val="00D74D4C"/>
    <w:rsid w:val="00D74F67"/>
    <w:rsid w:val="00D74F73"/>
    <w:rsid w:val="00D75548"/>
    <w:rsid w:val="00D75AE1"/>
    <w:rsid w:val="00D77BA4"/>
    <w:rsid w:val="00D77E38"/>
    <w:rsid w:val="00D81657"/>
    <w:rsid w:val="00D819C3"/>
    <w:rsid w:val="00D81BEE"/>
    <w:rsid w:val="00D81EA4"/>
    <w:rsid w:val="00D81EB9"/>
    <w:rsid w:val="00D82287"/>
    <w:rsid w:val="00D82A59"/>
    <w:rsid w:val="00D82B84"/>
    <w:rsid w:val="00D837CB"/>
    <w:rsid w:val="00D83AE3"/>
    <w:rsid w:val="00D84610"/>
    <w:rsid w:val="00D84977"/>
    <w:rsid w:val="00D84A39"/>
    <w:rsid w:val="00D8521A"/>
    <w:rsid w:val="00D85357"/>
    <w:rsid w:val="00D85561"/>
    <w:rsid w:val="00D857D4"/>
    <w:rsid w:val="00D85A95"/>
    <w:rsid w:val="00D874BB"/>
    <w:rsid w:val="00D87560"/>
    <w:rsid w:val="00D8792A"/>
    <w:rsid w:val="00D87CF7"/>
    <w:rsid w:val="00D90405"/>
    <w:rsid w:val="00D90D99"/>
    <w:rsid w:val="00D9153A"/>
    <w:rsid w:val="00D9189B"/>
    <w:rsid w:val="00D91C72"/>
    <w:rsid w:val="00D91D88"/>
    <w:rsid w:val="00D92AAE"/>
    <w:rsid w:val="00D92BF5"/>
    <w:rsid w:val="00D937AD"/>
    <w:rsid w:val="00D93948"/>
    <w:rsid w:val="00D945F6"/>
    <w:rsid w:val="00D949F2"/>
    <w:rsid w:val="00D9541E"/>
    <w:rsid w:val="00D9547F"/>
    <w:rsid w:val="00D95568"/>
    <w:rsid w:val="00D95971"/>
    <w:rsid w:val="00DA0260"/>
    <w:rsid w:val="00DA046C"/>
    <w:rsid w:val="00DA0A6C"/>
    <w:rsid w:val="00DA0F6F"/>
    <w:rsid w:val="00DA0FFE"/>
    <w:rsid w:val="00DA1394"/>
    <w:rsid w:val="00DA1773"/>
    <w:rsid w:val="00DA1780"/>
    <w:rsid w:val="00DA185F"/>
    <w:rsid w:val="00DA1F63"/>
    <w:rsid w:val="00DA201C"/>
    <w:rsid w:val="00DA21FE"/>
    <w:rsid w:val="00DA2289"/>
    <w:rsid w:val="00DA296C"/>
    <w:rsid w:val="00DA2D4A"/>
    <w:rsid w:val="00DA2E0B"/>
    <w:rsid w:val="00DA3529"/>
    <w:rsid w:val="00DA3DB6"/>
    <w:rsid w:val="00DA42C2"/>
    <w:rsid w:val="00DA4876"/>
    <w:rsid w:val="00DA4C57"/>
    <w:rsid w:val="00DA4E40"/>
    <w:rsid w:val="00DA5E33"/>
    <w:rsid w:val="00DA5F81"/>
    <w:rsid w:val="00DA6233"/>
    <w:rsid w:val="00DA6EBA"/>
    <w:rsid w:val="00DA79D0"/>
    <w:rsid w:val="00DB03E4"/>
    <w:rsid w:val="00DB0B9B"/>
    <w:rsid w:val="00DB1198"/>
    <w:rsid w:val="00DB13A8"/>
    <w:rsid w:val="00DB1647"/>
    <w:rsid w:val="00DB17E6"/>
    <w:rsid w:val="00DB229F"/>
    <w:rsid w:val="00DB24A2"/>
    <w:rsid w:val="00DB26F2"/>
    <w:rsid w:val="00DB2708"/>
    <w:rsid w:val="00DB2F0A"/>
    <w:rsid w:val="00DB3473"/>
    <w:rsid w:val="00DB3A63"/>
    <w:rsid w:val="00DB5E1E"/>
    <w:rsid w:val="00DB6EAA"/>
    <w:rsid w:val="00DC000B"/>
    <w:rsid w:val="00DC0BDF"/>
    <w:rsid w:val="00DC0D3E"/>
    <w:rsid w:val="00DC1034"/>
    <w:rsid w:val="00DC16C1"/>
    <w:rsid w:val="00DC1BFB"/>
    <w:rsid w:val="00DC3492"/>
    <w:rsid w:val="00DC3582"/>
    <w:rsid w:val="00DC49A1"/>
    <w:rsid w:val="00DC59F0"/>
    <w:rsid w:val="00DC5B81"/>
    <w:rsid w:val="00DC65AB"/>
    <w:rsid w:val="00DC7004"/>
    <w:rsid w:val="00DC701C"/>
    <w:rsid w:val="00DC7195"/>
    <w:rsid w:val="00DC79E1"/>
    <w:rsid w:val="00DC7A18"/>
    <w:rsid w:val="00DC7B9F"/>
    <w:rsid w:val="00DD0342"/>
    <w:rsid w:val="00DD060C"/>
    <w:rsid w:val="00DD06C2"/>
    <w:rsid w:val="00DD075B"/>
    <w:rsid w:val="00DD111C"/>
    <w:rsid w:val="00DD1145"/>
    <w:rsid w:val="00DD13FA"/>
    <w:rsid w:val="00DD17AB"/>
    <w:rsid w:val="00DD194A"/>
    <w:rsid w:val="00DD2889"/>
    <w:rsid w:val="00DD2E8D"/>
    <w:rsid w:val="00DD31E8"/>
    <w:rsid w:val="00DD36F6"/>
    <w:rsid w:val="00DD3E9E"/>
    <w:rsid w:val="00DD421A"/>
    <w:rsid w:val="00DD42FC"/>
    <w:rsid w:val="00DD4633"/>
    <w:rsid w:val="00DD46E1"/>
    <w:rsid w:val="00DD56A3"/>
    <w:rsid w:val="00DD5B72"/>
    <w:rsid w:val="00DD656D"/>
    <w:rsid w:val="00DD6FC3"/>
    <w:rsid w:val="00DD7458"/>
    <w:rsid w:val="00DD7A21"/>
    <w:rsid w:val="00DE0B42"/>
    <w:rsid w:val="00DE0CF3"/>
    <w:rsid w:val="00DE1802"/>
    <w:rsid w:val="00DE188D"/>
    <w:rsid w:val="00DE2335"/>
    <w:rsid w:val="00DE2962"/>
    <w:rsid w:val="00DE2BF5"/>
    <w:rsid w:val="00DE327C"/>
    <w:rsid w:val="00DE3758"/>
    <w:rsid w:val="00DE3ED1"/>
    <w:rsid w:val="00DE465D"/>
    <w:rsid w:val="00DE4A28"/>
    <w:rsid w:val="00DE4EF1"/>
    <w:rsid w:val="00DE5013"/>
    <w:rsid w:val="00DE51F2"/>
    <w:rsid w:val="00DE5239"/>
    <w:rsid w:val="00DE595A"/>
    <w:rsid w:val="00DE5AD8"/>
    <w:rsid w:val="00DE5D2F"/>
    <w:rsid w:val="00DE603D"/>
    <w:rsid w:val="00DE6A62"/>
    <w:rsid w:val="00DE794E"/>
    <w:rsid w:val="00DE7F1A"/>
    <w:rsid w:val="00DF0330"/>
    <w:rsid w:val="00DF0580"/>
    <w:rsid w:val="00DF0724"/>
    <w:rsid w:val="00DF1DCF"/>
    <w:rsid w:val="00DF29E7"/>
    <w:rsid w:val="00DF2DCF"/>
    <w:rsid w:val="00DF34D0"/>
    <w:rsid w:val="00DF3766"/>
    <w:rsid w:val="00DF3D7B"/>
    <w:rsid w:val="00DF3DD9"/>
    <w:rsid w:val="00DF3E74"/>
    <w:rsid w:val="00DF401A"/>
    <w:rsid w:val="00DF4827"/>
    <w:rsid w:val="00DF490B"/>
    <w:rsid w:val="00DF4B5F"/>
    <w:rsid w:val="00DF4EE3"/>
    <w:rsid w:val="00DF5023"/>
    <w:rsid w:val="00DF533B"/>
    <w:rsid w:val="00DF55DD"/>
    <w:rsid w:val="00DF5689"/>
    <w:rsid w:val="00DF6158"/>
    <w:rsid w:val="00DF6AD0"/>
    <w:rsid w:val="00DF6BF7"/>
    <w:rsid w:val="00E001B8"/>
    <w:rsid w:val="00E00218"/>
    <w:rsid w:val="00E01101"/>
    <w:rsid w:val="00E01162"/>
    <w:rsid w:val="00E0153B"/>
    <w:rsid w:val="00E01692"/>
    <w:rsid w:val="00E0217C"/>
    <w:rsid w:val="00E02839"/>
    <w:rsid w:val="00E0283B"/>
    <w:rsid w:val="00E02875"/>
    <w:rsid w:val="00E038BA"/>
    <w:rsid w:val="00E03F29"/>
    <w:rsid w:val="00E04FA1"/>
    <w:rsid w:val="00E05285"/>
    <w:rsid w:val="00E05EDF"/>
    <w:rsid w:val="00E06B53"/>
    <w:rsid w:val="00E06C2F"/>
    <w:rsid w:val="00E06C8C"/>
    <w:rsid w:val="00E07387"/>
    <w:rsid w:val="00E0750E"/>
    <w:rsid w:val="00E102BC"/>
    <w:rsid w:val="00E103AE"/>
    <w:rsid w:val="00E10B11"/>
    <w:rsid w:val="00E10D05"/>
    <w:rsid w:val="00E10D93"/>
    <w:rsid w:val="00E115B1"/>
    <w:rsid w:val="00E119F9"/>
    <w:rsid w:val="00E12353"/>
    <w:rsid w:val="00E125CE"/>
    <w:rsid w:val="00E12D79"/>
    <w:rsid w:val="00E13397"/>
    <w:rsid w:val="00E13616"/>
    <w:rsid w:val="00E1503A"/>
    <w:rsid w:val="00E15441"/>
    <w:rsid w:val="00E161CE"/>
    <w:rsid w:val="00E1641B"/>
    <w:rsid w:val="00E167F2"/>
    <w:rsid w:val="00E167F4"/>
    <w:rsid w:val="00E17719"/>
    <w:rsid w:val="00E17871"/>
    <w:rsid w:val="00E17A06"/>
    <w:rsid w:val="00E17A48"/>
    <w:rsid w:val="00E201EA"/>
    <w:rsid w:val="00E2081A"/>
    <w:rsid w:val="00E20822"/>
    <w:rsid w:val="00E214A5"/>
    <w:rsid w:val="00E2174A"/>
    <w:rsid w:val="00E21F08"/>
    <w:rsid w:val="00E2279B"/>
    <w:rsid w:val="00E238C4"/>
    <w:rsid w:val="00E24096"/>
    <w:rsid w:val="00E241F6"/>
    <w:rsid w:val="00E24241"/>
    <w:rsid w:val="00E24297"/>
    <w:rsid w:val="00E243B6"/>
    <w:rsid w:val="00E24FBC"/>
    <w:rsid w:val="00E2507A"/>
    <w:rsid w:val="00E251F7"/>
    <w:rsid w:val="00E25AB3"/>
    <w:rsid w:val="00E26017"/>
    <w:rsid w:val="00E26B5D"/>
    <w:rsid w:val="00E27163"/>
    <w:rsid w:val="00E27566"/>
    <w:rsid w:val="00E276EA"/>
    <w:rsid w:val="00E27AFE"/>
    <w:rsid w:val="00E27BD1"/>
    <w:rsid w:val="00E30D71"/>
    <w:rsid w:val="00E30EA8"/>
    <w:rsid w:val="00E313C4"/>
    <w:rsid w:val="00E322F6"/>
    <w:rsid w:val="00E3235C"/>
    <w:rsid w:val="00E325CF"/>
    <w:rsid w:val="00E32604"/>
    <w:rsid w:val="00E3299F"/>
    <w:rsid w:val="00E32F8E"/>
    <w:rsid w:val="00E33284"/>
    <w:rsid w:val="00E333AF"/>
    <w:rsid w:val="00E3432C"/>
    <w:rsid w:val="00E346C8"/>
    <w:rsid w:val="00E348AE"/>
    <w:rsid w:val="00E3593E"/>
    <w:rsid w:val="00E35CF0"/>
    <w:rsid w:val="00E35FFB"/>
    <w:rsid w:val="00E364CB"/>
    <w:rsid w:val="00E36774"/>
    <w:rsid w:val="00E3699C"/>
    <w:rsid w:val="00E36FBF"/>
    <w:rsid w:val="00E375B0"/>
    <w:rsid w:val="00E378BD"/>
    <w:rsid w:val="00E37CD6"/>
    <w:rsid w:val="00E40C33"/>
    <w:rsid w:val="00E41149"/>
    <w:rsid w:val="00E4118F"/>
    <w:rsid w:val="00E415AE"/>
    <w:rsid w:val="00E41AE2"/>
    <w:rsid w:val="00E41F79"/>
    <w:rsid w:val="00E423B3"/>
    <w:rsid w:val="00E4242E"/>
    <w:rsid w:val="00E424E0"/>
    <w:rsid w:val="00E425B9"/>
    <w:rsid w:val="00E42BC2"/>
    <w:rsid w:val="00E42EAC"/>
    <w:rsid w:val="00E431C9"/>
    <w:rsid w:val="00E4400C"/>
    <w:rsid w:val="00E443C2"/>
    <w:rsid w:val="00E44B4E"/>
    <w:rsid w:val="00E45043"/>
    <w:rsid w:val="00E45554"/>
    <w:rsid w:val="00E46F59"/>
    <w:rsid w:val="00E470E7"/>
    <w:rsid w:val="00E476AA"/>
    <w:rsid w:val="00E47799"/>
    <w:rsid w:val="00E47DF4"/>
    <w:rsid w:val="00E47FFE"/>
    <w:rsid w:val="00E50217"/>
    <w:rsid w:val="00E50803"/>
    <w:rsid w:val="00E50A07"/>
    <w:rsid w:val="00E50BE7"/>
    <w:rsid w:val="00E51A73"/>
    <w:rsid w:val="00E51DC2"/>
    <w:rsid w:val="00E51EAE"/>
    <w:rsid w:val="00E522F7"/>
    <w:rsid w:val="00E5335C"/>
    <w:rsid w:val="00E54D7C"/>
    <w:rsid w:val="00E55BF8"/>
    <w:rsid w:val="00E55E0E"/>
    <w:rsid w:val="00E55FFB"/>
    <w:rsid w:val="00E56796"/>
    <w:rsid w:val="00E5691B"/>
    <w:rsid w:val="00E56C37"/>
    <w:rsid w:val="00E56F24"/>
    <w:rsid w:val="00E57262"/>
    <w:rsid w:val="00E57C46"/>
    <w:rsid w:val="00E60044"/>
    <w:rsid w:val="00E603B4"/>
    <w:rsid w:val="00E60CB0"/>
    <w:rsid w:val="00E61D00"/>
    <w:rsid w:val="00E622C3"/>
    <w:rsid w:val="00E62CB9"/>
    <w:rsid w:val="00E6322A"/>
    <w:rsid w:val="00E6335F"/>
    <w:rsid w:val="00E634EB"/>
    <w:rsid w:val="00E63713"/>
    <w:rsid w:val="00E63CBD"/>
    <w:rsid w:val="00E63D03"/>
    <w:rsid w:val="00E64138"/>
    <w:rsid w:val="00E65C09"/>
    <w:rsid w:val="00E663D6"/>
    <w:rsid w:val="00E663DD"/>
    <w:rsid w:val="00E66C34"/>
    <w:rsid w:val="00E67B98"/>
    <w:rsid w:val="00E70081"/>
    <w:rsid w:val="00E709CC"/>
    <w:rsid w:val="00E71063"/>
    <w:rsid w:val="00E713AA"/>
    <w:rsid w:val="00E71B98"/>
    <w:rsid w:val="00E71BD6"/>
    <w:rsid w:val="00E722E5"/>
    <w:rsid w:val="00E724B2"/>
    <w:rsid w:val="00E72684"/>
    <w:rsid w:val="00E72692"/>
    <w:rsid w:val="00E72712"/>
    <w:rsid w:val="00E738E5"/>
    <w:rsid w:val="00E73AD4"/>
    <w:rsid w:val="00E73E4A"/>
    <w:rsid w:val="00E7410E"/>
    <w:rsid w:val="00E74195"/>
    <w:rsid w:val="00E7478C"/>
    <w:rsid w:val="00E748A2"/>
    <w:rsid w:val="00E748A4"/>
    <w:rsid w:val="00E74A6E"/>
    <w:rsid w:val="00E7525D"/>
    <w:rsid w:val="00E758E9"/>
    <w:rsid w:val="00E7602C"/>
    <w:rsid w:val="00E7621B"/>
    <w:rsid w:val="00E763AA"/>
    <w:rsid w:val="00E76642"/>
    <w:rsid w:val="00E76894"/>
    <w:rsid w:val="00E768A2"/>
    <w:rsid w:val="00E76C9F"/>
    <w:rsid w:val="00E76DFB"/>
    <w:rsid w:val="00E76F1C"/>
    <w:rsid w:val="00E77FDF"/>
    <w:rsid w:val="00E80802"/>
    <w:rsid w:val="00E80C9D"/>
    <w:rsid w:val="00E80DD0"/>
    <w:rsid w:val="00E80E1E"/>
    <w:rsid w:val="00E80F8E"/>
    <w:rsid w:val="00E84C28"/>
    <w:rsid w:val="00E84DE3"/>
    <w:rsid w:val="00E854F1"/>
    <w:rsid w:val="00E85509"/>
    <w:rsid w:val="00E85DB7"/>
    <w:rsid w:val="00E86404"/>
    <w:rsid w:val="00E871D0"/>
    <w:rsid w:val="00E87379"/>
    <w:rsid w:val="00E8740E"/>
    <w:rsid w:val="00E87C05"/>
    <w:rsid w:val="00E87D60"/>
    <w:rsid w:val="00E90E96"/>
    <w:rsid w:val="00E91533"/>
    <w:rsid w:val="00E92110"/>
    <w:rsid w:val="00E9287A"/>
    <w:rsid w:val="00E9460D"/>
    <w:rsid w:val="00E94660"/>
    <w:rsid w:val="00E94E05"/>
    <w:rsid w:val="00E951FC"/>
    <w:rsid w:val="00E95242"/>
    <w:rsid w:val="00E9542B"/>
    <w:rsid w:val="00E95BB5"/>
    <w:rsid w:val="00E95F6E"/>
    <w:rsid w:val="00E96FE8"/>
    <w:rsid w:val="00E97B24"/>
    <w:rsid w:val="00E97BEA"/>
    <w:rsid w:val="00E97E93"/>
    <w:rsid w:val="00EA0261"/>
    <w:rsid w:val="00EA03A7"/>
    <w:rsid w:val="00EA0B7F"/>
    <w:rsid w:val="00EA0D99"/>
    <w:rsid w:val="00EA107A"/>
    <w:rsid w:val="00EA10D9"/>
    <w:rsid w:val="00EA149A"/>
    <w:rsid w:val="00EA14C0"/>
    <w:rsid w:val="00EA29D4"/>
    <w:rsid w:val="00EA29F2"/>
    <w:rsid w:val="00EA2C15"/>
    <w:rsid w:val="00EA2CD3"/>
    <w:rsid w:val="00EA38B3"/>
    <w:rsid w:val="00EA38C4"/>
    <w:rsid w:val="00EA3C99"/>
    <w:rsid w:val="00EA4463"/>
    <w:rsid w:val="00EA45A9"/>
    <w:rsid w:val="00EA45FF"/>
    <w:rsid w:val="00EA4B72"/>
    <w:rsid w:val="00EA4DCA"/>
    <w:rsid w:val="00EA51A1"/>
    <w:rsid w:val="00EA5517"/>
    <w:rsid w:val="00EA5EC0"/>
    <w:rsid w:val="00EA610D"/>
    <w:rsid w:val="00EA622E"/>
    <w:rsid w:val="00EA6BE3"/>
    <w:rsid w:val="00EA7344"/>
    <w:rsid w:val="00EA7749"/>
    <w:rsid w:val="00EA78D4"/>
    <w:rsid w:val="00EA7B1F"/>
    <w:rsid w:val="00EA7D28"/>
    <w:rsid w:val="00EB0B18"/>
    <w:rsid w:val="00EB0D97"/>
    <w:rsid w:val="00EB0EE4"/>
    <w:rsid w:val="00EB174E"/>
    <w:rsid w:val="00EB20E8"/>
    <w:rsid w:val="00EB2325"/>
    <w:rsid w:val="00EB2642"/>
    <w:rsid w:val="00EB27E8"/>
    <w:rsid w:val="00EB29FF"/>
    <w:rsid w:val="00EB2BB8"/>
    <w:rsid w:val="00EB4990"/>
    <w:rsid w:val="00EB5374"/>
    <w:rsid w:val="00EB53F8"/>
    <w:rsid w:val="00EB59E0"/>
    <w:rsid w:val="00EB5C28"/>
    <w:rsid w:val="00EB6795"/>
    <w:rsid w:val="00EB68AC"/>
    <w:rsid w:val="00EB6CED"/>
    <w:rsid w:val="00EC06DF"/>
    <w:rsid w:val="00EC0721"/>
    <w:rsid w:val="00EC0804"/>
    <w:rsid w:val="00EC0D6C"/>
    <w:rsid w:val="00EC1101"/>
    <w:rsid w:val="00EC114A"/>
    <w:rsid w:val="00EC18E0"/>
    <w:rsid w:val="00EC1F39"/>
    <w:rsid w:val="00EC2337"/>
    <w:rsid w:val="00EC2495"/>
    <w:rsid w:val="00EC254C"/>
    <w:rsid w:val="00EC266D"/>
    <w:rsid w:val="00EC390C"/>
    <w:rsid w:val="00EC3C07"/>
    <w:rsid w:val="00EC40CE"/>
    <w:rsid w:val="00EC4415"/>
    <w:rsid w:val="00EC45B6"/>
    <w:rsid w:val="00EC4D13"/>
    <w:rsid w:val="00EC4DAA"/>
    <w:rsid w:val="00EC4F13"/>
    <w:rsid w:val="00EC53BB"/>
    <w:rsid w:val="00EC54EC"/>
    <w:rsid w:val="00EC578A"/>
    <w:rsid w:val="00EC6436"/>
    <w:rsid w:val="00EC64D6"/>
    <w:rsid w:val="00EC67A0"/>
    <w:rsid w:val="00EC692E"/>
    <w:rsid w:val="00EC7138"/>
    <w:rsid w:val="00EC7185"/>
    <w:rsid w:val="00EC7534"/>
    <w:rsid w:val="00EC7752"/>
    <w:rsid w:val="00ED020C"/>
    <w:rsid w:val="00ED07D8"/>
    <w:rsid w:val="00ED0DAE"/>
    <w:rsid w:val="00ED0E47"/>
    <w:rsid w:val="00ED1058"/>
    <w:rsid w:val="00ED1427"/>
    <w:rsid w:val="00ED194C"/>
    <w:rsid w:val="00ED3038"/>
    <w:rsid w:val="00ED31FF"/>
    <w:rsid w:val="00ED37D8"/>
    <w:rsid w:val="00ED3CD7"/>
    <w:rsid w:val="00ED412B"/>
    <w:rsid w:val="00ED57FE"/>
    <w:rsid w:val="00ED5DF4"/>
    <w:rsid w:val="00ED6834"/>
    <w:rsid w:val="00ED6B00"/>
    <w:rsid w:val="00ED712A"/>
    <w:rsid w:val="00ED73B9"/>
    <w:rsid w:val="00ED75CF"/>
    <w:rsid w:val="00ED7679"/>
    <w:rsid w:val="00ED7961"/>
    <w:rsid w:val="00ED79A9"/>
    <w:rsid w:val="00EE0823"/>
    <w:rsid w:val="00EE082F"/>
    <w:rsid w:val="00EE09A9"/>
    <w:rsid w:val="00EE17E3"/>
    <w:rsid w:val="00EE22A0"/>
    <w:rsid w:val="00EE2EDC"/>
    <w:rsid w:val="00EE33E6"/>
    <w:rsid w:val="00EE37D3"/>
    <w:rsid w:val="00EE3D59"/>
    <w:rsid w:val="00EE42A7"/>
    <w:rsid w:val="00EE4BD1"/>
    <w:rsid w:val="00EE4C8D"/>
    <w:rsid w:val="00EE4CD7"/>
    <w:rsid w:val="00EE50C5"/>
    <w:rsid w:val="00EE5D4B"/>
    <w:rsid w:val="00EE6186"/>
    <w:rsid w:val="00EE68E6"/>
    <w:rsid w:val="00EE6BEA"/>
    <w:rsid w:val="00EE6FCF"/>
    <w:rsid w:val="00EE72DC"/>
    <w:rsid w:val="00EE73C5"/>
    <w:rsid w:val="00EF01AC"/>
    <w:rsid w:val="00EF1EB8"/>
    <w:rsid w:val="00EF23C2"/>
    <w:rsid w:val="00EF23EE"/>
    <w:rsid w:val="00EF2D8F"/>
    <w:rsid w:val="00EF54EB"/>
    <w:rsid w:val="00EF55A5"/>
    <w:rsid w:val="00EF623C"/>
    <w:rsid w:val="00EF6CF2"/>
    <w:rsid w:val="00EF6D14"/>
    <w:rsid w:val="00EF6D65"/>
    <w:rsid w:val="00EF70A8"/>
    <w:rsid w:val="00EF7397"/>
    <w:rsid w:val="00EF7E76"/>
    <w:rsid w:val="00F00A1A"/>
    <w:rsid w:val="00F013D3"/>
    <w:rsid w:val="00F01B88"/>
    <w:rsid w:val="00F0265C"/>
    <w:rsid w:val="00F02AD2"/>
    <w:rsid w:val="00F032B2"/>
    <w:rsid w:val="00F03EF4"/>
    <w:rsid w:val="00F042C4"/>
    <w:rsid w:val="00F05CE1"/>
    <w:rsid w:val="00F06613"/>
    <w:rsid w:val="00F06DA2"/>
    <w:rsid w:val="00F06FA3"/>
    <w:rsid w:val="00F070CB"/>
    <w:rsid w:val="00F07B6A"/>
    <w:rsid w:val="00F102C4"/>
    <w:rsid w:val="00F107C6"/>
    <w:rsid w:val="00F10909"/>
    <w:rsid w:val="00F116B5"/>
    <w:rsid w:val="00F11EBE"/>
    <w:rsid w:val="00F11F23"/>
    <w:rsid w:val="00F11F36"/>
    <w:rsid w:val="00F12A63"/>
    <w:rsid w:val="00F12AF0"/>
    <w:rsid w:val="00F12F4C"/>
    <w:rsid w:val="00F133AD"/>
    <w:rsid w:val="00F142B6"/>
    <w:rsid w:val="00F14305"/>
    <w:rsid w:val="00F143CA"/>
    <w:rsid w:val="00F15959"/>
    <w:rsid w:val="00F16C8B"/>
    <w:rsid w:val="00F16F9B"/>
    <w:rsid w:val="00F17244"/>
    <w:rsid w:val="00F17A2E"/>
    <w:rsid w:val="00F17B3C"/>
    <w:rsid w:val="00F20477"/>
    <w:rsid w:val="00F208D3"/>
    <w:rsid w:val="00F20B38"/>
    <w:rsid w:val="00F20D46"/>
    <w:rsid w:val="00F21266"/>
    <w:rsid w:val="00F217F7"/>
    <w:rsid w:val="00F219E7"/>
    <w:rsid w:val="00F21EC8"/>
    <w:rsid w:val="00F21FF9"/>
    <w:rsid w:val="00F22070"/>
    <w:rsid w:val="00F22A94"/>
    <w:rsid w:val="00F23339"/>
    <w:rsid w:val="00F23FA4"/>
    <w:rsid w:val="00F24D82"/>
    <w:rsid w:val="00F252F6"/>
    <w:rsid w:val="00F257E8"/>
    <w:rsid w:val="00F25B2D"/>
    <w:rsid w:val="00F25ECF"/>
    <w:rsid w:val="00F26658"/>
    <w:rsid w:val="00F274E1"/>
    <w:rsid w:val="00F27E8F"/>
    <w:rsid w:val="00F301F3"/>
    <w:rsid w:val="00F3094C"/>
    <w:rsid w:val="00F30A99"/>
    <w:rsid w:val="00F30B72"/>
    <w:rsid w:val="00F30FB6"/>
    <w:rsid w:val="00F3132A"/>
    <w:rsid w:val="00F315EA"/>
    <w:rsid w:val="00F31C29"/>
    <w:rsid w:val="00F32784"/>
    <w:rsid w:val="00F32825"/>
    <w:rsid w:val="00F32857"/>
    <w:rsid w:val="00F3285D"/>
    <w:rsid w:val="00F32B4C"/>
    <w:rsid w:val="00F32C83"/>
    <w:rsid w:val="00F32CDF"/>
    <w:rsid w:val="00F32F79"/>
    <w:rsid w:val="00F330EB"/>
    <w:rsid w:val="00F33442"/>
    <w:rsid w:val="00F3359C"/>
    <w:rsid w:val="00F33E55"/>
    <w:rsid w:val="00F340BD"/>
    <w:rsid w:val="00F3469D"/>
    <w:rsid w:val="00F34B38"/>
    <w:rsid w:val="00F351F1"/>
    <w:rsid w:val="00F353FF"/>
    <w:rsid w:val="00F35706"/>
    <w:rsid w:val="00F35808"/>
    <w:rsid w:val="00F35873"/>
    <w:rsid w:val="00F35A65"/>
    <w:rsid w:val="00F374A5"/>
    <w:rsid w:val="00F374C6"/>
    <w:rsid w:val="00F37617"/>
    <w:rsid w:val="00F37A2F"/>
    <w:rsid w:val="00F410C8"/>
    <w:rsid w:val="00F4119B"/>
    <w:rsid w:val="00F411E5"/>
    <w:rsid w:val="00F421C1"/>
    <w:rsid w:val="00F423AF"/>
    <w:rsid w:val="00F42423"/>
    <w:rsid w:val="00F42DD0"/>
    <w:rsid w:val="00F43DB9"/>
    <w:rsid w:val="00F43E16"/>
    <w:rsid w:val="00F43E29"/>
    <w:rsid w:val="00F4447B"/>
    <w:rsid w:val="00F44807"/>
    <w:rsid w:val="00F449F3"/>
    <w:rsid w:val="00F44F3C"/>
    <w:rsid w:val="00F450E3"/>
    <w:rsid w:val="00F45748"/>
    <w:rsid w:val="00F45F1E"/>
    <w:rsid w:val="00F47057"/>
    <w:rsid w:val="00F4761B"/>
    <w:rsid w:val="00F47775"/>
    <w:rsid w:val="00F47840"/>
    <w:rsid w:val="00F47843"/>
    <w:rsid w:val="00F47A5D"/>
    <w:rsid w:val="00F50FDA"/>
    <w:rsid w:val="00F51196"/>
    <w:rsid w:val="00F511F0"/>
    <w:rsid w:val="00F52904"/>
    <w:rsid w:val="00F52DEB"/>
    <w:rsid w:val="00F53316"/>
    <w:rsid w:val="00F537A6"/>
    <w:rsid w:val="00F53F23"/>
    <w:rsid w:val="00F54238"/>
    <w:rsid w:val="00F5450A"/>
    <w:rsid w:val="00F5451E"/>
    <w:rsid w:val="00F548D6"/>
    <w:rsid w:val="00F55242"/>
    <w:rsid w:val="00F557E6"/>
    <w:rsid w:val="00F55D04"/>
    <w:rsid w:val="00F570C6"/>
    <w:rsid w:val="00F570FA"/>
    <w:rsid w:val="00F6036F"/>
    <w:rsid w:val="00F60BE6"/>
    <w:rsid w:val="00F6149C"/>
    <w:rsid w:val="00F618DB"/>
    <w:rsid w:val="00F61D9D"/>
    <w:rsid w:val="00F61DD4"/>
    <w:rsid w:val="00F61F1E"/>
    <w:rsid w:val="00F639BA"/>
    <w:rsid w:val="00F639FC"/>
    <w:rsid w:val="00F63C89"/>
    <w:rsid w:val="00F64F4A"/>
    <w:rsid w:val="00F650E7"/>
    <w:rsid w:val="00F65423"/>
    <w:rsid w:val="00F6573D"/>
    <w:rsid w:val="00F65CFA"/>
    <w:rsid w:val="00F66015"/>
    <w:rsid w:val="00F6602F"/>
    <w:rsid w:val="00F66959"/>
    <w:rsid w:val="00F6717B"/>
    <w:rsid w:val="00F70B13"/>
    <w:rsid w:val="00F71332"/>
    <w:rsid w:val="00F71946"/>
    <w:rsid w:val="00F71B22"/>
    <w:rsid w:val="00F71E57"/>
    <w:rsid w:val="00F7233E"/>
    <w:rsid w:val="00F72413"/>
    <w:rsid w:val="00F72874"/>
    <w:rsid w:val="00F731AF"/>
    <w:rsid w:val="00F73470"/>
    <w:rsid w:val="00F7375E"/>
    <w:rsid w:val="00F73F02"/>
    <w:rsid w:val="00F74628"/>
    <w:rsid w:val="00F74A45"/>
    <w:rsid w:val="00F74D41"/>
    <w:rsid w:val="00F75FBD"/>
    <w:rsid w:val="00F7671F"/>
    <w:rsid w:val="00F76999"/>
    <w:rsid w:val="00F76C00"/>
    <w:rsid w:val="00F77090"/>
    <w:rsid w:val="00F7775A"/>
    <w:rsid w:val="00F77D7B"/>
    <w:rsid w:val="00F804EC"/>
    <w:rsid w:val="00F80E34"/>
    <w:rsid w:val="00F81818"/>
    <w:rsid w:val="00F81AA6"/>
    <w:rsid w:val="00F81D09"/>
    <w:rsid w:val="00F82023"/>
    <w:rsid w:val="00F83091"/>
    <w:rsid w:val="00F8454B"/>
    <w:rsid w:val="00F84A3D"/>
    <w:rsid w:val="00F84A4E"/>
    <w:rsid w:val="00F84FA1"/>
    <w:rsid w:val="00F85B6C"/>
    <w:rsid w:val="00F85C53"/>
    <w:rsid w:val="00F868F4"/>
    <w:rsid w:val="00F86A5C"/>
    <w:rsid w:val="00F86EA1"/>
    <w:rsid w:val="00F87465"/>
    <w:rsid w:val="00F87CBE"/>
    <w:rsid w:val="00F90C6D"/>
    <w:rsid w:val="00F91A8B"/>
    <w:rsid w:val="00F91EFB"/>
    <w:rsid w:val="00F9244B"/>
    <w:rsid w:val="00F930A7"/>
    <w:rsid w:val="00F94080"/>
    <w:rsid w:val="00F9420A"/>
    <w:rsid w:val="00F94224"/>
    <w:rsid w:val="00F9422F"/>
    <w:rsid w:val="00F945D7"/>
    <w:rsid w:val="00F94826"/>
    <w:rsid w:val="00F94C74"/>
    <w:rsid w:val="00F9582C"/>
    <w:rsid w:val="00F95FB2"/>
    <w:rsid w:val="00F96416"/>
    <w:rsid w:val="00F96FDE"/>
    <w:rsid w:val="00F974A6"/>
    <w:rsid w:val="00F97E50"/>
    <w:rsid w:val="00FA007B"/>
    <w:rsid w:val="00FA020F"/>
    <w:rsid w:val="00FA02C1"/>
    <w:rsid w:val="00FA1160"/>
    <w:rsid w:val="00FA2F86"/>
    <w:rsid w:val="00FA30BF"/>
    <w:rsid w:val="00FA3394"/>
    <w:rsid w:val="00FA3480"/>
    <w:rsid w:val="00FA4128"/>
    <w:rsid w:val="00FA4D5A"/>
    <w:rsid w:val="00FA5300"/>
    <w:rsid w:val="00FA5A70"/>
    <w:rsid w:val="00FA6045"/>
    <w:rsid w:val="00FA73A0"/>
    <w:rsid w:val="00FB0740"/>
    <w:rsid w:val="00FB0E2B"/>
    <w:rsid w:val="00FB1245"/>
    <w:rsid w:val="00FB12DA"/>
    <w:rsid w:val="00FB18C9"/>
    <w:rsid w:val="00FB19F4"/>
    <w:rsid w:val="00FB1A31"/>
    <w:rsid w:val="00FB1DFC"/>
    <w:rsid w:val="00FB26F0"/>
    <w:rsid w:val="00FB3352"/>
    <w:rsid w:val="00FB3603"/>
    <w:rsid w:val="00FB5146"/>
    <w:rsid w:val="00FB52B2"/>
    <w:rsid w:val="00FB5C65"/>
    <w:rsid w:val="00FB60DF"/>
    <w:rsid w:val="00FB62C8"/>
    <w:rsid w:val="00FB6540"/>
    <w:rsid w:val="00FB6623"/>
    <w:rsid w:val="00FB6C6B"/>
    <w:rsid w:val="00FB7168"/>
    <w:rsid w:val="00FB7266"/>
    <w:rsid w:val="00FB73F5"/>
    <w:rsid w:val="00FB746D"/>
    <w:rsid w:val="00FB7C82"/>
    <w:rsid w:val="00FC0017"/>
    <w:rsid w:val="00FC031A"/>
    <w:rsid w:val="00FC050D"/>
    <w:rsid w:val="00FC0B38"/>
    <w:rsid w:val="00FC0C44"/>
    <w:rsid w:val="00FC1DD3"/>
    <w:rsid w:val="00FC236B"/>
    <w:rsid w:val="00FC28DA"/>
    <w:rsid w:val="00FC293E"/>
    <w:rsid w:val="00FC3152"/>
    <w:rsid w:val="00FC35B2"/>
    <w:rsid w:val="00FC3BA8"/>
    <w:rsid w:val="00FC48FB"/>
    <w:rsid w:val="00FC4BA0"/>
    <w:rsid w:val="00FC61E6"/>
    <w:rsid w:val="00FC62F0"/>
    <w:rsid w:val="00FC711D"/>
    <w:rsid w:val="00FC74FC"/>
    <w:rsid w:val="00FC7C50"/>
    <w:rsid w:val="00FC7D9F"/>
    <w:rsid w:val="00FD0049"/>
    <w:rsid w:val="00FD0549"/>
    <w:rsid w:val="00FD0851"/>
    <w:rsid w:val="00FD10B1"/>
    <w:rsid w:val="00FD2497"/>
    <w:rsid w:val="00FD2737"/>
    <w:rsid w:val="00FD2A58"/>
    <w:rsid w:val="00FD2DFC"/>
    <w:rsid w:val="00FD32BA"/>
    <w:rsid w:val="00FD438C"/>
    <w:rsid w:val="00FD4587"/>
    <w:rsid w:val="00FD4701"/>
    <w:rsid w:val="00FD51A9"/>
    <w:rsid w:val="00FD56D6"/>
    <w:rsid w:val="00FD5E6E"/>
    <w:rsid w:val="00FD5FEC"/>
    <w:rsid w:val="00FD60CF"/>
    <w:rsid w:val="00FD6A9E"/>
    <w:rsid w:val="00FD6B4C"/>
    <w:rsid w:val="00FD73F1"/>
    <w:rsid w:val="00FD782C"/>
    <w:rsid w:val="00FE03C4"/>
    <w:rsid w:val="00FE0BDF"/>
    <w:rsid w:val="00FE11EE"/>
    <w:rsid w:val="00FE216E"/>
    <w:rsid w:val="00FE2F4C"/>
    <w:rsid w:val="00FE44DF"/>
    <w:rsid w:val="00FE45BC"/>
    <w:rsid w:val="00FE4D25"/>
    <w:rsid w:val="00FE4D2E"/>
    <w:rsid w:val="00FE4F8F"/>
    <w:rsid w:val="00FE566C"/>
    <w:rsid w:val="00FE5AF8"/>
    <w:rsid w:val="00FE60B2"/>
    <w:rsid w:val="00FE613B"/>
    <w:rsid w:val="00FE65AB"/>
    <w:rsid w:val="00FE6702"/>
    <w:rsid w:val="00FE67A2"/>
    <w:rsid w:val="00FE78CA"/>
    <w:rsid w:val="00FE7C16"/>
    <w:rsid w:val="00FF0299"/>
    <w:rsid w:val="00FF0553"/>
    <w:rsid w:val="00FF0692"/>
    <w:rsid w:val="00FF06DA"/>
    <w:rsid w:val="00FF0C54"/>
    <w:rsid w:val="00FF1148"/>
    <w:rsid w:val="00FF1497"/>
    <w:rsid w:val="00FF22E3"/>
    <w:rsid w:val="00FF32E4"/>
    <w:rsid w:val="00FF4A4D"/>
    <w:rsid w:val="00FF4BF4"/>
    <w:rsid w:val="00FF533B"/>
    <w:rsid w:val="00FF5773"/>
    <w:rsid w:val="00FF6795"/>
    <w:rsid w:val="00FF6B7F"/>
    <w:rsid w:val="00FF7063"/>
    <w:rsid w:val="00FF72BF"/>
    <w:rsid w:val="00FF72CE"/>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B4EC89C6-069A-4260-A030-9510F6D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Estilo0,CNBV Parrafo1,4 Viñ 1nivel,prueba1,Numeración 1,Romano,Romanos,Listas,lp1,Footnote,Bullet List,FooterText,numbered,List Paragraph1,Paragraphe de liste1,Bulletr List Paragraph,列出段落,列出段落1,Cuadros,Lista general,Párrafo de tabla"/>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Estilo0 Car,CNBV Parrafo1 Car,4 Viñ 1nivel Car,prueba1 Car,Numeración 1 Car,Romano Car,Romanos Car,Listas Car,lp1 Car,Footnote Car,Bullet List Car,FooterText Car,numbered Car,List Paragraph1 Car,Paragraphe de liste1 Car,列出段落 Car"/>
    <w:basedOn w:val="Fuentedeprrafopredeter"/>
    <w:link w:val="Prrafodelista"/>
    <w:uiPriority w:val="34"/>
    <w:qFormat/>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FootnoteRef,Footnote symbol,Footnote Reference/,Style 13,FR,Style 17,Appel note de bas de p + 11 pt,Italic,Appel note de bas de p1"/>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5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paragraph" w:customStyle="1" w:styleId="Listavistosa-nfasis11">
    <w:name w:val="Lista vistosa - Énfasis 11"/>
    <w:basedOn w:val="Normal"/>
    <w:link w:val="Listavistosa-nfasis1Car"/>
    <w:uiPriority w:val="34"/>
    <w:qFormat/>
    <w:rsid w:val="00CC3BD3"/>
    <w:pPr>
      <w:spacing w:after="0" w:line="240" w:lineRule="auto"/>
      <w:ind w:left="708" w:right="0" w:firstLine="0"/>
      <w:jc w:val="left"/>
    </w:pPr>
    <w:rPr>
      <w:rFonts w:ascii="Arial" w:eastAsia="Calibri" w:hAnsi="Arial" w:cs="Times New Roman"/>
      <w:color w:val="auto"/>
      <w:sz w:val="24"/>
      <w:szCs w:val="24"/>
    </w:rPr>
  </w:style>
  <w:style w:type="character" w:customStyle="1" w:styleId="Listavistosa-nfasis1Car">
    <w:name w:val="Lista vistosa - Énfasis 1 Car"/>
    <w:link w:val="Listavistosa-nfasis11"/>
    <w:uiPriority w:val="34"/>
    <w:rsid w:val="00CC3BD3"/>
    <w:rPr>
      <w:rFonts w:ascii="Arial" w:eastAsia="Calibri" w:hAnsi="Arial" w:cs="Times New Roman"/>
      <w:sz w:val="24"/>
      <w:szCs w:val="24"/>
      <w:lang w:eastAsia="es-MX"/>
    </w:rPr>
  </w:style>
  <w:style w:type="paragraph" w:customStyle="1" w:styleId="Normal1">
    <w:name w:val="Normal1"/>
    <w:rsid w:val="00EA149A"/>
    <w:pPr>
      <w:spacing w:after="0" w:line="276" w:lineRule="auto"/>
    </w:pPr>
    <w:rPr>
      <w:rFonts w:ascii="Arial" w:eastAsia="Arial" w:hAnsi="Arial" w:cs="Arial"/>
      <w:color w:val="000000"/>
      <w:szCs w:val="24"/>
      <w:lang w:eastAsia="es-ES"/>
    </w:rPr>
  </w:style>
  <w:style w:type="paragraph" w:customStyle="1" w:styleId="Sombreadovistoso-nfasis31">
    <w:name w:val="Sombreado vistoso - Énfasis 31"/>
    <w:basedOn w:val="Normal"/>
    <w:uiPriority w:val="72"/>
    <w:qFormat/>
    <w:rsid w:val="005E5C35"/>
    <w:pPr>
      <w:widowControl w:val="0"/>
      <w:kinsoku w:val="0"/>
      <w:spacing w:after="0" w:line="240" w:lineRule="auto"/>
      <w:ind w:left="720" w:right="0" w:firstLine="0"/>
      <w:contextualSpacing/>
      <w:jc w:val="left"/>
    </w:pPr>
    <w:rPr>
      <w:rFonts w:ascii="Times New Roman" w:eastAsia="Times New Roman" w:hAnsi="Times New Roman" w:cs="Times New Roman"/>
      <w:color w:val="auto"/>
      <w:sz w:val="24"/>
      <w:szCs w:val="24"/>
      <w:lang w:val="en-US"/>
    </w:rPr>
  </w:style>
  <w:style w:type="paragraph" w:customStyle="1" w:styleId="Cuadrculamedia1-nfasis21">
    <w:name w:val="Cuadrícula media 1 - Énfasis 21"/>
    <w:basedOn w:val="Normal"/>
    <w:uiPriority w:val="34"/>
    <w:qFormat/>
    <w:rsid w:val="00CA2B7E"/>
    <w:pPr>
      <w:spacing w:after="0" w:line="240" w:lineRule="auto"/>
      <w:ind w:left="708" w:right="0" w:firstLine="0"/>
      <w:jc w:val="left"/>
    </w:pPr>
    <w:rPr>
      <w:rFonts w:ascii="Arial" w:eastAsia="Calibri" w:hAnsi="Arial" w:cs="Times New Roman"/>
      <w:color w:val="auto"/>
      <w:sz w:val="24"/>
      <w:szCs w:val="24"/>
    </w:rPr>
  </w:style>
  <w:style w:type="paragraph" w:styleId="Ttulo">
    <w:name w:val="Title"/>
    <w:basedOn w:val="Normal"/>
    <w:link w:val="TtuloCar"/>
    <w:qFormat/>
    <w:rsid w:val="0097445D"/>
    <w:pPr>
      <w:spacing w:after="0" w:line="240" w:lineRule="auto"/>
      <w:ind w:left="0" w:right="0" w:firstLine="0"/>
      <w:jc w:val="center"/>
    </w:pPr>
    <w:rPr>
      <w:rFonts w:ascii="Arial" w:eastAsia="Times New Roman" w:hAnsi="Arial" w:cs="Times New Roman"/>
      <w:b/>
      <w:color w:val="auto"/>
      <w:szCs w:val="20"/>
      <w:lang w:val="x-none" w:eastAsia="en-US"/>
    </w:rPr>
  </w:style>
  <w:style w:type="character" w:customStyle="1" w:styleId="TtuloCar">
    <w:name w:val="Título Car"/>
    <w:basedOn w:val="Fuentedeprrafopredeter"/>
    <w:link w:val="Ttulo"/>
    <w:rsid w:val="0097445D"/>
    <w:rPr>
      <w:rFonts w:ascii="Arial" w:eastAsia="Times New Roman" w:hAnsi="Arial" w:cs="Times New Roman"/>
      <w:b/>
      <w:szCs w:val="20"/>
      <w:lang w:val="x-none"/>
    </w:rPr>
  </w:style>
  <w:style w:type="character" w:styleId="Textoennegrita">
    <w:name w:val="Strong"/>
    <w:basedOn w:val="Fuentedeprrafopredeter"/>
    <w:uiPriority w:val="22"/>
    <w:qFormat/>
    <w:rsid w:val="00365296"/>
    <w:rPr>
      <w:b/>
      <w:bCs/>
    </w:rPr>
  </w:style>
  <w:style w:type="paragraph" w:styleId="Lista">
    <w:name w:val="List"/>
    <w:basedOn w:val="Normal"/>
    <w:uiPriority w:val="99"/>
    <w:unhideWhenUsed/>
    <w:rsid w:val="00B65B8A"/>
    <w:pPr>
      <w:ind w:left="283" w:hanging="283"/>
      <w:contextualSpacing/>
    </w:pPr>
  </w:style>
  <w:style w:type="paragraph" w:styleId="Lista2">
    <w:name w:val="List 2"/>
    <w:basedOn w:val="Normal"/>
    <w:uiPriority w:val="99"/>
    <w:unhideWhenUsed/>
    <w:rsid w:val="00B65B8A"/>
    <w:pPr>
      <w:ind w:left="566" w:hanging="283"/>
      <w:contextualSpacing/>
    </w:pPr>
  </w:style>
  <w:style w:type="paragraph" w:styleId="Saludo">
    <w:name w:val="Salutation"/>
    <w:basedOn w:val="Normal"/>
    <w:next w:val="Normal"/>
    <w:link w:val="SaludoCar"/>
    <w:uiPriority w:val="99"/>
    <w:unhideWhenUsed/>
    <w:rsid w:val="00B65B8A"/>
  </w:style>
  <w:style w:type="character" w:customStyle="1" w:styleId="SaludoCar">
    <w:name w:val="Saludo Car"/>
    <w:basedOn w:val="Fuentedeprrafopredeter"/>
    <w:link w:val="Saludo"/>
    <w:uiPriority w:val="99"/>
    <w:rsid w:val="00B65B8A"/>
    <w:rPr>
      <w:rFonts w:ascii="Avant Garde" w:eastAsia="Avant Garde" w:hAnsi="Avant Garde" w:cs="Avant Garde"/>
      <w:color w:val="000000"/>
      <w:lang w:eastAsia="es-MX"/>
    </w:rPr>
  </w:style>
  <w:style w:type="paragraph" w:styleId="Fecha">
    <w:name w:val="Date"/>
    <w:basedOn w:val="Normal"/>
    <w:next w:val="Normal"/>
    <w:link w:val="FechaCar"/>
    <w:uiPriority w:val="99"/>
    <w:unhideWhenUsed/>
    <w:rsid w:val="00B65B8A"/>
  </w:style>
  <w:style w:type="character" w:customStyle="1" w:styleId="FechaCar">
    <w:name w:val="Fecha Car"/>
    <w:basedOn w:val="Fuentedeprrafopredeter"/>
    <w:link w:val="Fecha"/>
    <w:uiPriority w:val="99"/>
    <w:rsid w:val="00B65B8A"/>
    <w:rPr>
      <w:rFonts w:ascii="Avant Garde" w:eastAsia="Avant Garde" w:hAnsi="Avant Garde" w:cs="Avant Garde"/>
      <w:color w:val="000000"/>
      <w:lang w:eastAsia="es-MX"/>
    </w:rPr>
  </w:style>
  <w:style w:type="paragraph" w:styleId="Continuarlista">
    <w:name w:val="List Continue"/>
    <w:basedOn w:val="Normal"/>
    <w:uiPriority w:val="99"/>
    <w:unhideWhenUsed/>
    <w:rsid w:val="00B65B8A"/>
    <w:pPr>
      <w:spacing w:after="120"/>
      <w:ind w:left="283"/>
      <w:contextualSpacing/>
    </w:pPr>
  </w:style>
  <w:style w:type="paragraph" w:styleId="Textoindependiente">
    <w:name w:val="Body Text"/>
    <w:basedOn w:val="Normal"/>
    <w:link w:val="TextoindependienteCar"/>
    <w:uiPriority w:val="99"/>
    <w:unhideWhenUsed/>
    <w:rsid w:val="00B65B8A"/>
    <w:pPr>
      <w:spacing w:after="120"/>
    </w:pPr>
  </w:style>
  <w:style w:type="character" w:customStyle="1" w:styleId="TextoindependienteCar">
    <w:name w:val="Texto independiente Car"/>
    <w:basedOn w:val="Fuentedeprrafopredeter"/>
    <w:link w:val="Textoindependiente"/>
    <w:uiPriority w:val="99"/>
    <w:rsid w:val="00B65B8A"/>
    <w:rPr>
      <w:rFonts w:ascii="Avant Garde" w:eastAsia="Avant Garde" w:hAnsi="Avant Garde" w:cs="Avant Garde"/>
      <w:color w:val="000000"/>
      <w:lang w:eastAsia="es-MX"/>
    </w:rPr>
  </w:style>
  <w:style w:type="paragraph" w:styleId="Sangradetextonormal">
    <w:name w:val="Body Text Indent"/>
    <w:basedOn w:val="Normal"/>
    <w:link w:val="SangradetextonormalCar"/>
    <w:uiPriority w:val="99"/>
    <w:semiHidden/>
    <w:unhideWhenUsed/>
    <w:rsid w:val="00B65B8A"/>
    <w:pPr>
      <w:spacing w:after="120"/>
      <w:ind w:left="283"/>
    </w:pPr>
  </w:style>
  <w:style w:type="character" w:customStyle="1" w:styleId="SangradetextonormalCar">
    <w:name w:val="Sangría de texto normal Car"/>
    <w:basedOn w:val="Fuentedeprrafopredeter"/>
    <w:link w:val="Sangradetextonormal"/>
    <w:uiPriority w:val="99"/>
    <w:semiHidden/>
    <w:rsid w:val="00B65B8A"/>
    <w:rPr>
      <w:rFonts w:ascii="Avant Garde" w:eastAsia="Avant Garde" w:hAnsi="Avant Garde" w:cs="Avant Garde"/>
      <w:color w:val="000000"/>
      <w:lang w:eastAsia="es-MX"/>
    </w:rPr>
  </w:style>
  <w:style w:type="paragraph" w:styleId="Textoindependienteprimerasangra2">
    <w:name w:val="Body Text First Indent 2"/>
    <w:basedOn w:val="Sangradetextonormal"/>
    <w:link w:val="Textoindependienteprimerasangra2Car"/>
    <w:uiPriority w:val="99"/>
    <w:unhideWhenUsed/>
    <w:rsid w:val="00B65B8A"/>
    <w:pPr>
      <w:spacing w:after="3"/>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65B8A"/>
    <w:rPr>
      <w:rFonts w:ascii="Avant Garde" w:eastAsia="Avant Garde" w:hAnsi="Avant Garde" w:cs="Avant Garde"/>
      <w:color w:val="000000"/>
      <w:lang w:eastAsia="es-MX"/>
    </w:rPr>
  </w:style>
  <w:style w:type="paragraph" w:customStyle="1" w:styleId="1BulletsPrimero">
    <w:name w:val="1 Bullets Primero"/>
    <w:basedOn w:val="Normal"/>
    <w:link w:val="1BulletsPrimeroCar"/>
    <w:autoRedefine/>
    <w:uiPriority w:val="3"/>
    <w:qFormat/>
    <w:rsid w:val="001E2E57"/>
    <w:pPr>
      <w:spacing w:before="60" w:after="60" w:line="276" w:lineRule="auto"/>
      <w:ind w:left="567" w:right="0" w:hanging="340"/>
    </w:pPr>
    <w:rPr>
      <w:rFonts w:ascii="ITC Avant Garde" w:eastAsiaTheme="minorHAnsi" w:hAnsi="ITC Avant Garde" w:cs="Arial"/>
      <w:color w:val="auto"/>
      <w:lang w:val="es-ES" w:eastAsia="es-ES"/>
    </w:rPr>
  </w:style>
  <w:style w:type="character" w:customStyle="1" w:styleId="1BulletsPrimeroCar">
    <w:name w:val="1 Bullets Primero Car"/>
    <w:basedOn w:val="Fuentedeprrafopredeter"/>
    <w:link w:val="1BulletsPrimero"/>
    <w:uiPriority w:val="3"/>
    <w:rsid w:val="001E2E57"/>
    <w:rPr>
      <w:rFonts w:ascii="ITC Avant Garde" w:hAnsi="ITC Avant Garde" w:cs="Arial"/>
      <w:lang w:val="es-ES" w:eastAsia="es-ES"/>
    </w:rPr>
  </w:style>
  <w:style w:type="paragraph" w:customStyle="1" w:styleId="Normalresolucion">
    <w:name w:val="Normal resolucion"/>
    <w:basedOn w:val="Texto"/>
    <w:link w:val="NormalresolucionChar"/>
    <w:qFormat/>
    <w:rsid w:val="00056F91"/>
    <w:pPr>
      <w:spacing w:before="240" w:after="120" w:line="240" w:lineRule="auto"/>
    </w:pPr>
    <w:rPr>
      <w:rFonts w:eastAsia="Times New Roman" w:cs="Arial"/>
      <w:color w:val="auto"/>
      <w:lang w:val="es-ES" w:eastAsia="es-ES"/>
    </w:rPr>
  </w:style>
  <w:style w:type="character" w:customStyle="1" w:styleId="NormalresolucionChar">
    <w:name w:val="Normal resolucion Char"/>
    <w:basedOn w:val="Fuentedeprrafopredeter"/>
    <w:link w:val="Normalresolucion"/>
    <w:rsid w:val="00056F91"/>
    <w:rPr>
      <w:rFonts w:ascii="ITC Avant Garde" w:eastAsia="Times New Roman" w:hAnsi="ITC Avant Garde"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0815">
      <w:bodyDiv w:val="1"/>
      <w:marLeft w:val="0"/>
      <w:marRight w:val="0"/>
      <w:marTop w:val="0"/>
      <w:marBottom w:val="0"/>
      <w:divBdr>
        <w:top w:val="none" w:sz="0" w:space="0" w:color="auto"/>
        <w:left w:val="none" w:sz="0" w:space="0" w:color="auto"/>
        <w:bottom w:val="none" w:sz="0" w:space="0" w:color="auto"/>
        <w:right w:val="none" w:sz="0" w:space="0" w:color="auto"/>
      </w:divBdr>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 w:id="2146308901">
      <w:bodyDiv w:val="1"/>
      <w:marLeft w:val="0"/>
      <w:marRight w:val="0"/>
      <w:marTop w:val="0"/>
      <w:marBottom w:val="0"/>
      <w:divBdr>
        <w:top w:val="none" w:sz="0" w:space="0" w:color="auto"/>
        <w:left w:val="none" w:sz="0" w:space="0" w:color="auto"/>
        <w:bottom w:val="none" w:sz="0" w:space="0" w:color="auto"/>
        <w:right w:val="none" w:sz="0" w:space="0" w:color="auto"/>
      </w:divBdr>
      <w:divsChild>
        <w:div w:id="1998848615">
          <w:marLeft w:val="0"/>
          <w:marRight w:val="0"/>
          <w:marTop w:val="0"/>
          <w:marBottom w:val="101"/>
          <w:divBdr>
            <w:top w:val="none" w:sz="0" w:space="0" w:color="auto"/>
            <w:left w:val="none" w:sz="0" w:space="0" w:color="auto"/>
            <w:bottom w:val="none" w:sz="0" w:space="0" w:color="auto"/>
            <w:right w:val="none" w:sz="0" w:space="0" w:color="auto"/>
          </w:divBdr>
        </w:div>
        <w:div w:id="1123574384">
          <w:marLeft w:val="864"/>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FE08-0D2F-47D9-B870-F3C5FB58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5110</Words>
  <Characters>28106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Nely Veronica Pizano Medina</cp:lastModifiedBy>
  <cp:revision>2</cp:revision>
  <cp:lastPrinted>2021-01-21T19:15:00Z</cp:lastPrinted>
  <dcterms:created xsi:type="dcterms:W3CDTF">2021-01-21T19:15:00Z</dcterms:created>
  <dcterms:modified xsi:type="dcterms:W3CDTF">2021-01-21T19:15:00Z</dcterms:modified>
</cp:coreProperties>
</file>