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9BE" w:rsidRPr="00DE6B98" w:rsidRDefault="008639BE" w:rsidP="008639BE">
      <w:pPr>
        <w:spacing w:after="0" w:line="240" w:lineRule="auto"/>
        <w:jc w:val="both"/>
        <w:rPr>
          <w:rFonts w:ascii="ITC Avant Garde Std Bk" w:hAnsi="ITC Avant Garde Std Bk" w:cs="Tahoma"/>
          <w:b/>
          <w:bCs/>
          <w:color w:val="000000"/>
          <w:szCs w:val="20"/>
        </w:rPr>
      </w:pPr>
      <w:r w:rsidRPr="004F6097">
        <w:rPr>
          <w:rFonts w:ascii="ITC Avant Garde Std Bk" w:hAnsi="ITC Avant Garde Std Bk" w:cs="Tahoma"/>
          <w:b/>
          <w:bCs/>
          <w:color w:val="000000"/>
          <w:szCs w:val="20"/>
        </w:rPr>
        <w:t xml:space="preserve">INFORME </w:t>
      </w:r>
      <w:r>
        <w:rPr>
          <w:rFonts w:ascii="ITC Avant Garde Std Bk" w:hAnsi="ITC Avant Garde Std Bk" w:cs="Tahoma"/>
          <w:b/>
          <w:bCs/>
          <w:color w:val="000000"/>
          <w:szCs w:val="20"/>
        </w:rPr>
        <w:t xml:space="preserve">DE CONSIDERACIONES A LA CONSULTA PÚBLICA </w:t>
      </w:r>
      <w:r w:rsidR="00E2766D">
        <w:rPr>
          <w:rFonts w:ascii="ITC Avant Garde Std Bk" w:hAnsi="ITC Avant Garde Std Bk" w:cs="Tahoma"/>
          <w:b/>
          <w:bCs/>
          <w:color w:val="000000"/>
          <w:szCs w:val="20"/>
        </w:rPr>
        <w:t>del</w:t>
      </w:r>
      <w:r w:rsidRPr="00EE1C7D">
        <w:rPr>
          <w:rFonts w:ascii="ITC Avant Garde Std Bk" w:hAnsi="ITC Avant Garde Std Bk" w:cs="Tahoma"/>
          <w:b/>
          <w:bCs/>
          <w:color w:val="000000"/>
          <w:szCs w:val="20"/>
        </w:rPr>
        <w:t xml:space="preserve"> “</w:t>
      </w:r>
      <w:r>
        <w:rPr>
          <w:rFonts w:ascii="ITC Avant Garde Std Bk" w:hAnsi="ITC Avant Garde Std Bk" w:cs="Tahoma"/>
          <w:b/>
          <w:bCs/>
          <w:color w:val="000000"/>
          <w:szCs w:val="20"/>
        </w:rPr>
        <w:t xml:space="preserve">Anteproyecto de Acuerdo </w:t>
      </w:r>
      <w:r w:rsidRPr="00DE6B98">
        <w:rPr>
          <w:rFonts w:ascii="ITC Avant Garde Std Bk" w:hAnsi="ITC Avant Garde Std Bk" w:cs="Tahoma"/>
          <w:b/>
          <w:bCs/>
          <w:color w:val="000000"/>
          <w:szCs w:val="20"/>
        </w:rPr>
        <w:t xml:space="preserve">mediante el cual se emiten los formatos que deberán utilizarse para realizar diversos trámites y servicios ante el </w:t>
      </w:r>
      <w:r>
        <w:rPr>
          <w:rFonts w:ascii="ITC Avant Garde Std Bk" w:hAnsi="ITC Avant Garde Std Bk" w:cs="Tahoma"/>
          <w:b/>
          <w:bCs/>
          <w:color w:val="000000"/>
          <w:szCs w:val="20"/>
        </w:rPr>
        <w:t>I</w:t>
      </w:r>
      <w:r w:rsidRPr="00DE6B98">
        <w:rPr>
          <w:rFonts w:ascii="ITC Avant Garde Std Bk" w:hAnsi="ITC Avant Garde Std Bk" w:cs="Tahoma"/>
          <w:b/>
          <w:bCs/>
          <w:color w:val="000000"/>
          <w:szCs w:val="20"/>
        </w:rPr>
        <w:t xml:space="preserve">nstituto </w:t>
      </w:r>
      <w:r>
        <w:rPr>
          <w:rFonts w:ascii="ITC Avant Garde Std Bk" w:hAnsi="ITC Avant Garde Std Bk" w:cs="Tahoma"/>
          <w:b/>
          <w:bCs/>
          <w:color w:val="000000"/>
          <w:szCs w:val="20"/>
        </w:rPr>
        <w:t>F</w:t>
      </w:r>
      <w:r w:rsidRPr="00DE6B98">
        <w:rPr>
          <w:rFonts w:ascii="ITC Avant Garde Std Bk" w:hAnsi="ITC Avant Garde Std Bk" w:cs="Tahoma"/>
          <w:b/>
          <w:bCs/>
          <w:color w:val="000000"/>
          <w:szCs w:val="20"/>
        </w:rPr>
        <w:t xml:space="preserve">ederal de </w:t>
      </w:r>
      <w:r>
        <w:rPr>
          <w:rFonts w:ascii="ITC Avant Garde Std Bk" w:hAnsi="ITC Avant Garde Std Bk" w:cs="Tahoma"/>
          <w:b/>
          <w:bCs/>
          <w:color w:val="000000"/>
          <w:szCs w:val="20"/>
        </w:rPr>
        <w:t>T</w:t>
      </w:r>
      <w:r w:rsidRPr="00DE6B98">
        <w:rPr>
          <w:rFonts w:ascii="ITC Avant Garde Std Bk" w:hAnsi="ITC Avant Garde Std Bk" w:cs="Tahoma"/>
          <w:b/>
          <w:bCs/>
          <w:color w:val="000000"/>
          <w:szCs w:val="20"/>
        </w:rPr>
        <w:t xml:space="preserve">elecomunicaciones, y se modifican los </w:t>
      </w:r>
      <w:r>
        <w:rPr>
          <w:rFonts w:ascii="ITC Avant Garde Std Bk" w:hAnsi="ITC Avant Garde Std Bk" w:cs="Tahoma"/>
          <w:b/>
          <w:bCs/>
          <w:color w:val="000000"/>
          <w:szCs w:val="20"/>
        </w:rPr>
        <w:t>L</w:t>
      </w:r>
      <w:r w:rsidRPr="00DE6B98">
        <w:rPr>
          <w:rFonts w:ascii="ITC Avant Garde Std Bk" w:hAnsi="ITC Avant Garde Std Bk" w:cs="Tahoma"/>
          <w:b/>
          <w:bCs/>
          <w:color w:val="000000"/>
          <w:szCs w:val="20"/>
        </w:rPr>
        <w:t>ineamientos que fijan los índices y parámetros de calidad a que deberán sujetarse los prestadores del servicio móvil</w:t>
      </w:r>
      <w:r>
        <w:rPr>
          <w:rFonts w:ascii="ITC Avant Garde Std Bk" w:hAnsi="ITC Avant Garde Std Bk" w:cs="Tahoma"/>
          <w:b/>
          <w:bCs/>
          <w:color w:val="000000"/>
          <w:szCs w:val="20"/>
        </w:rPr>
        <w:t xml:space="preserve">” </w:t>
      </w:r>
      <w:r w:rsidRPr="00EE1C7D">
        <w:rPr>
          <w:rFonts w:ascii="ITC Avant Garde Std Bk" w:hAnsi="ITC Avant Garde Std Bk" w:cs="Tahoma"/>
          <w:b/>
          <w:bCs/>
          <w:color w:val="000000"/>
          <w:szCs w:val="20"/>
        </w:rPr>
        <w:t>(</w:t>
      </w:r>
      <w:r>
        <w:rPr>
          <w:rFonts w:ascii="ITC Avant Garde Std Bk" w:hAnsi="ITC Avant Garde Std Bk" w:cs="Tahoma"/>
          <w:b/>
          <w:bCs/>
          <w:color w:val="000000"/>
          <w:szCs w:val="20"/>
        </w:rPr>
        <w:t>el</w:t>
      </w:r>
      <w:r w:rsidRPr="00EE1C7D">
        <w:rPr>
          <w:rFonts w:ascii="ITC Avant Garde Std Bk" w:hAnsi="ITC Avant Garde Std Bk" w:cs="Tahoma"/>
          <w:b/>
          <w:bCs/>
          <w:color w:val="000000"/>
          <w:szCs w:val="20"/>
        </w:rPr>
        <w:t xml:space="preserve"> “A</w:t>
      </w:r>
      <w:r>
        <w:rPr>
          <w:rFonts w:ascii="ITC Avant Garde Std Bk" w:hAnsi="ITC Avant Garde Std Bk" w:cs="Tahoma"/>
          <w:b/>
          <w:bCs/>
          <w:color w:val="000000"/>
          <w:szCs w:val="20"/>
        </w:rPr>
        <w:t>nteproyecto</w:t>
      </w:r>
      <w:r w:rsidRPr="00EE1C7D">
        <w:rPr>
          <w:rFonts w:ascii="ITC Avant Garde Std Bk" w:hAnsi="ITC Avant Garde Std Bk" w:cs="Tahoma"/>
          <w:b/>
          <w:bCs/>
          <w:color w:val="000000"/>
          <w:szCs w:val="20"/>
        </w:rPr>
        <w:t>”),</w:t>
      </w:r>
      <w:r>
        <w:rPr>
          <w:rFonts w:ascii="ITC Avant Garde Std Bk" w:hAnsi="ITC Avant Garde Std Bk" w:cs="Tahoma"/>
          <w:b/>
          <w:bCs/>
          <w:color w:val="000000"/>
          <w:szCs w:val="20"/>
        </w:rPr>
        <w:t xml:space="preserve"> </w:t>
      </w:r>
      <w:r w:rsidR="00E97100">
        <w:rPr>
          <w:rFonts w:ascii="ITC Avant Garde Std Bk" w:hAnsi="ITC Avant Garde Std Bk" w:cs="Tahoma"/>
          <w:b/>
          <w:bCs/>
          <w:color w:val="000000"/>
          <w:szCs w:val="20"/>
        </w:rPr>
        <w:t>realizado</w:t>
      </w:r>
      <w:r w:rsidRPr="00EE1C7D">
        <w:rPr>
          <w:rFonts w:ascii="ITC Avant Garde Std Bk" w:hAnsi="ITC Avant Garde Std Bk" w:cs="Tahoma"/>
          <w:b/>
          <w:bCs/>
          <w:color w:val="000000"/>
          <w:szCs w:val="20"/>
        </w:rPr>
        <w:t xml:space="preserve"> </w:t>
      </w:r>
      <w:bookmarkStart w:id="0" w:name="_GoBack"/>
      <w:bookmarkEnd w:id="0"/>
      <w:r w:rsidRPr="00EE1C7D">
        <w:rPr>
          <w:rFonts w:ascii="ITC Avant Garde Std Bk" w:hAnsi="ITC Avant Garde Std Bk" w:cs="Tahoma"/>
          <w:b/>
          <w:bCs/>
          <w:color w:val="000000"/>
          <w:szCs w:val="20"/>
        </w:rPr>
        <w:t xml:space="preserve">por la </w:t>
      </w:r>
      <w:r>
        <w:rPr>
          <w:rFonts w:ascii="ITC Avant Garde Std Bk" w:hAnsi="ITC Avant Garde Std Bk" w:cs="Tahoma"/>
          <w:b/>
          <w:bCs/>
          <w:color w:val="000000"/>
          <w:szCs w:val="20"/>
        </w:rPr>
        <w:t>C</w:t>
      </w:r>
      <w:r w:rsidRPr="00EE1C7D">
        <w:rPr>
          <w:rFonts w:ascii="ITC Avant Garde Std Bk" w:hAnsi="ITC Avant Garde Std Bk" w:cs="Tahoma"/>
          <w:b/>
          <w:bCs/>
          <w:color w:val="000000"/>
          <w:szCs w:val="20"/>
        </w:rPr>
        <w:t xml:space="preserve">oordinación </w:t>
      </w:r>
      <w:r>
        <w:rPr>
          <w:rFonts w:ascii="ITC Avant Garde Std Bk" w:hAnsi="ITC Avant Garde Std Bk" w:cs="Tahoma"/>
          <w:b/>
          <w:bCs/>
          <w:color w:val="000000"/>
          <w:szCs w:val="20"/>
        </w:rPr>
        <w:t>G</w:t>
      </w:r>
      <w:r w:rsidRPr="00EE1C7D">
        <w:rPr>
          <w:rFonts w:ascii="ITC Avant Garde Std Bk" w:hAnsi="ITC Avant Garde Std Bk" w:cs="Tahoma"/>
          <w:b/>
          <w:bCs/>
          <w:color w:val="000000"/>
          <w:szCs w:val="20"/>
        </w:rPr>
        <w:t xml:space="preserve">eneral de </w:t>
      </w:r>
      <w:r>
        <w:rPr>
          <w:rFonts w:ascii="ITC Avant Garde Std Bk" w:hAnsi="ITC Avant Garde Std Bk" w:cs="Tahoma"/>
          <w:b/>
          <w:bCs/>
          <w:color w:val="000000"/>
          <w:szCs w:val="20"/>
        </w:rPr>
        <w:t>M</w:t>
      </w:r>
      <w:r w:rsidRPr="00EE1C7D">
        <w:rPr>
          <w:rFonts w:ascii="ITC Avant Garde Std Bk" w:hAnsi="ITC Avant Garde Std Bk" w:cs="Tahoma"/>
          <w:b/>
          <w:bCs/>
          <w:color w:val="000000"/>
          <w:szCs w:val="20"/>
        </w:rPr>
        <w:t xml:space="preserve">ejora </w:t>
      </w:r>
      <w:r>
        <w:rPr>
          <w:rFonts w:ascii="ITC Avant Garde Std Bk" w:hAnsi="ITC Avant Garde Std Bk" w:cs="Tahoma"/>
          <w:b/>
          <w:bCs/>
          <w:color w:val="000000"/>
          <w:szCs w:val="20"/>
        </w:rPr>
        <w:t>R</w:t>
      </w:r>
      <w:r w:rsidRPr="00EE1C7D">
        <w:rPr>
          <w:rFonts w:ascii="ITC Avant Garde Std Bk" w:hAnsi="ITC Avant Garde Std Bk" w:cs="Tahoma"/>
          <w:b/>
          <w:bCs/>
          <w:color w:val="000000"/>
          <w:szCs w:val="20"/>
        </w:rPr>
        <w:t xml:space="preserve">egulatoria, la </w:t>
      </w:r>
      <w:r>
        <w:rPr>
          <w:rFonts w:ascii="ITC Avant Garde Std Bk" w:hAnsi="ITC Avant Garde Std Bk" w:cs="Tahoma"/>
          <w:b/>
          <w:bCs/>
          <w:color w:val="000000"/>
          <w:szCs w:val="20"/>
        </w:rPr>
        <w:t>U</w:t>
      </w:r>
      <w:r w:rsidRPr="00EE1C7D">
        <w:rPr>
          <w:rFonts w:ascii="ITC Avant Garde Std Bk" w:hAnsi="ITC Avant Garde Std Bk" w:cs="Tahoma"/>
          <w:b/>
          <w:bCs/>
          <w:color w:val="000000"/>
          <w:szCs w:val="20"/>
        </w:rPr>
        <w:t xml:space="preserve">nidad de </w:t>
      </w:r>
      <w:r>
        <w:rPr>
          <w:rFonts w:ascii="ITC Avant Garde Std Bk" w:hAnsi="ITC Avant Garde Std Bk" w:cs="Tahoma"/>
          <w:b/>
          <w:bCs/>
          <w:color w:val="000000"/>
          <w:szCs w:val="20"/>
        </w:rPr>
        <w:t>C</w:t>
      </w:r>
      <w:r w:rsidRPr="00EE1C7D">
        <w:rPr>
          <w:rFonts w:ascii="ITC Avant Garde Std Bk" w:hAnsi="ITC Avant Garde Std Bk" w:cs="Tahoma"/>
          <w:b/>
          <w:bCs/>
          <w:color w:val="000000"/>
          <w:szCs w:val="20"/>
        </w:rPr>
        <w:t xml:space="preserve">umplimiento, la </w:t>
      </w:r>
      <w:r>
        <w:rPr>
          <w:rFonts w:ascii="ITC Avant Garde Std Bk" w:hAnsi="ITC Avant Garde Std Bk" w:cs="Tahoma"/>
          <w:b/>
          <w:bCs/>
          <w:color w:val="000000"/>
          <w:szCs w:val="20"/>
        </w:rPr>
        <w:t>U</w:t>
      </w:r>
      <w:r w:rsidRPr="00EE1C7D">
        <w:rPr>
          <w:rFonts w:ascii="ITC Avant Garde Std Bk" w:hAnsi="ITC Avant Garde Std Bk" w:cs="Tahoma"/>
          <w:b/>
          <w:bCs/>
          <w:color w:val="000000"/>
          <w:szCs w:val="20"/>
        </w:rPr>
        <w:t xml:space="preserve">nidad de </w:t>
      </w:r>
      <w:r>
        <w:rPr>
          <w:rFonts w:ascii="ITC Avant Garde Std Bk" w:hAnsi="ITC Avant Garde Std Bk" w:cs="Tahoma"/>
          <w:b/>
          <w:bCs/>
          <w:color w:val="000000"/>
          <w:szCs w:val="20"/>
        </w:rPr>
        <w:t>P</w:t>
      </w:r>
      <w:r w:rsidRPr="00EE1C7D">
        <w:rPr>
          <w:rFonts w:ascii="ITC Avant Garde Std Bk" w:hAnsi="ITC Avant Garde Std Bk" w:cs="Tahoma"/>
          <w:b/>
          <w:bCs/>
          <w:color w:val="000000"/>
          <w:szCs w:val="20"/>
        </w:rPr>
        <w:t xml:space="preserve">olítica </w:t>
      </w:r>
      <w:r>
        <w:rPr>
          <w:rFonts w:ascii="ITC Avant Garde Std Bk" w:hAnsi="ITC Avant Garde Std Bk" w:cs="Tahoma"/>
          <w:b/>
          <w:bCs/>
          <w:color w:val="000000"/>
          <w:szCs w:val="20"/>
        </w:rPr>
        <w:t>R</w:t>
      </w:r>
      <w:r w:rsidRPr="00EE1C7D">
        <w:rPr>
          <w:rFonts w:ascii="ITC Avant Garde Std Bk" w:hAnsi="ITC Avant Garde Std Bk" w:cs="Tahoma"/>
          <w:b/>
          <w:bCs/>
          <w:color w:val="000000"/>
          <w:szCs w:val="20"/>
        </w:rPr>
        <w:t xml:space="preserve">egulatoria, y la </w:t>
      </w:r>
      <w:r>
        <w:rPr>
          <w:rFonts w:ascii="ITC Avant Garde Std Bk" w:hAnsi="ITC Avant Garde Std Bk" w:cs="Tahoma"/>
          <w:b/>
          <w:bCs/>
          <w:color w:val="000000"/>
          <w:szCs w:val="20"/>
        </w:rPr>
        <w:t>U</w:t>
      </w:r>
      <w:r w:rsidRPr="00EE1C7D">
        <w:rPr>
          <w:rFonts w:ascii="ITC Avant Garde Std Bk" w:hAnsi="ITC Avant Garde Std Bk" w:cs="Tahoma"/>
          <w:b/>
          <w:bCs/>
          <w:color w:val="000000"/>
          <w:szCs w:val="20"/>
        </w:rPr>
        <w:t xml:space="preserve">nidad de </w:t>
      </w:r>
      <w:r>
        <w:rPr>
          <w:rFonts w:ascii="ITC Avant Garde Std Bk" w:hAnsi="ITC Avant Garde Std Bk" w:cs="Tahoma"/>
          <w:b/>
          <w:bCs/>
          <w:color w:val="000000"/>
          <w:szCs w:val="20"/>
        </w:rPr>
        <w:t>M</w:t>
      </w:r>
      <w:r w:rsidRPr="00EE1C7D">
        <w:rPr>
          <w:rFonts w:ascii="ITC Avant Garde Std Bk" w:hAnsi="ITC Avant Garde Std Bk" w:cs="Tahoma"/>
          <w:b/>
          <w:bCs/>
          <w:color w:val="000000"/>
          <w:szCs w:val="20"/>
        </w:rPr>
        <w:t xml:space="preserve">edios y </w:t>
      </w:r>
      <w:r>
        <w:rPr>
          <w:rFonts w:ascii="ITC Avant Garde Std Bk" w:hAnsi="ITC Avant Garde Std Bk" w:cs="Tahoma"/>
          <w:b/>
          <w:bCs/>
          <w:color w:val="000000"/>
          <w:szCs w:val="20"/>
        </w:rPr>
        <w:t>C</w:t>
      </w:r>
      <w:r w:rsidRPr="00EE1C7D">
        <w:rPr>
          <w:rFonts w:ascii="ITC Avant Garde Std Bk" w:hAnsi="ITC Avant Garde Std Bk" w:cs="Tahoma"/>
          <w:b/>
          <w:bCs/>
          <w:color w:val="000000"/>
          <w:szCs w:val="20"/>
        </w:rPr>
        <w:t xml:space="preserve">ontenidos </w:t>
      </w:r>
      <w:r>
        <w:rPr>
          <w:rFonts w:ascii="ITC Avant Garde Std Bk" w:hAnsi="ITC Avant Garde Std Bk" w:cs="Tahoma"/>
          <w:b/>
          <w:bCs/>
          <w:color w:val="000000"/>
          <w:szCs w:val="20"/>
        </w:rPr>
        <w:t>A</w:t>
      </w:r>
      <w:r w:rsidRPr="00EE1C7D">
        <w:rPr>
          <w:rFonts w:ascii="ITC Avant Garde Std Bk" w:hAnsi="ITC Avant Garde Std Bk" w:cs="Tahoma"/>
          <w:b/>
          <w:bCs/>
          <w:color w:val="000000"/>
          <w:szCs w:val="20"/>
        </w:rPr>
        <w:t>udiovisuales</w:t>
      </w:r>
      <w:r>
        <w:rPr>
          <w:rFonts w:ascii="ITC Avant Garde Std Bk" w:hAnsi="ITC Avant Garde Std Bk" w:cs="Tahoma"/>
          <w:b/>
          <w:bCs/>
          <w:color w:val="000000"/>
          <w:szCs w:val="20"/>
        </w:rPr>
        <w:t>.</w:t>
      </w:r>
    </w:p>
    <w:p w:rsidR="008639BE" w:rsidRPr="00DE6B98" w:rsidRDefault="008639BE" w:rsidP="008639BE">
      <w:pPr>
        <w:spacing w:after="0" w:line="240" w:lineRule="auto"/>
        <w:jc w:val="center"/>
        <w:rPr>
          <w:rFonts w:ascii="ITC Avant Garde Std Bk" w:hAnsi="ITC Avant Garde Std Bk" w:cs="Tahoma"/>
          <w:b/>
          <w:bCs/>
          <w:color w:val="000000"/>
          <w:szCs w:val="20"/>
        </w:rPr>
      </w:pPr>
    </w:p>
    <w:p w:rsidR="008639BE" w:rsidRPr="00AF67AC" w:rsidRDefault="008639BE" w:rsidP="008639BE">
      <w:pPr>
        <w:spacing w:after="0" w:line="240" w:lineRule="auto"/>
        <w:jc w:val="center"/>
        <w:rPr>
          <w:rFonts w:ascii="ITC Avant Garde Std Bk" w:hAnsi="ITC Avant Garde Std Bk" w:cs="Tahoma"/>
          <w:bCs/>
          <w:color w:val="000000"/>
          <w:sz w:val="20"/>
          <w:szCs w:val="20"/>
        </w:rPr>
      </w:pPr>
    </w:p>
    <w:p w:rsidR="008639BE" w:rsidRPr="004F6097"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4F6097">
        <w:rPr>
          <w:rFonts w:ascii="ITC Avant Garde Std Bk" w:eastAsia="Calibri" w:hAnsi="ITC Avant Garde Std Bk" w:cs="Tahoma"/>
          <w:b/>
          <w:bCs/>
          <w:color w:val="000000"/>
          <w:sz w:val="20"/>
          <w:szCs w:val="20"/>
        </w:rPr>
        <w:t>PRESENTACIÓN</w:t>
      </w:r>
    </w:p>
    <w:p w:rsidR="008639BE" w:rsidRPr="00AF67AC" w:rsidRDefault="008639BE" w:rsidP="008639BE">
      <w:pPr>
        <w:pStyle w:val="Seccin"/>
        <w:spacing w:before="0" w:line="240" w:lineRule="auto"/>
        <w:rPr>
          <w:rFonts w:ascii="ITC Avant Garde Std Bk" w:eastAsia="Calibri" w:hAnsi="ITC Avant Garde Std Bk" w:cs="Tahoma"/>
          <w:b w:val="0"/>
          <w:bCs/>
          <w:smallCaps w:val="0"/>
          <w:color w:val="000000"/>
          <w:szCs w:val="20"/>
          <w:lang w:eastAsia="en-US"/>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En la Ciudad de México a </w:t>
      </w:r>
      <w:r w:rsidRPr="00E0513D">
        <w:rPr>
          <w:rFonts w:ascii="ITC Avant Garde Std Bk" w:hAnsi="ITC Avant Garde Std Bk" w:cs="Tahoma"/>
          <w:bCs/>
          <w:color w:val="000000"/>
          <w:sz w:val="20"/>
          <w:szCs w:val="20"/>
        </w:rPr>
        <w:t xml:space="preserve">los </w:t>
      </w:r>
      <w:r w:rsidR="003F23EF">
        <w:rPr>
          <w:rFonts w:ascii="ITC Avant Garde Std Bk" w:hAnsi="ITC Avant Garde Std Bk" w:cs="Tahoma"/>
          <w:bCs/>
          <w:color w:val="000000"/>
          <w:sz w:val="20"/>
          <w:szCs w:val="20"/>
        </w:rPr>
        <w:t>ocho</w:t>
      </w:r>
      <w:r w:rsidR="009E7172" w:rsidRPr="009E7172">
        <w:rPr>
          <w:rFonts w:ascii="ITC Avant Garde Std Bk" w:hAnsi="ITC Avant Garde Std Bk" w:cs="Tahoma"/>
          <w:bCs/>
          <w:color w:val="000000"/>
          <w:sz w:val="20"/>
          <w:szCs w:val="20"/>
        </w:rPr>
        <w:t xml:space="preserve"> </w:t>
      </w:r>
      <w:r w:rsidRPr="009E7172">
        <w:rPr>
          <w:rFonts w:ascii="ITC Avant Garde Std Bk" w:hAnsi="ITC Avant Garde Std Bk" w:cs="Tahoma"/>
          <w:bCs/>
          <w:color w:val="000000"/>
          <w:sz w:val="20"/>
          <w:szCs w:val="20"/>
        </w:rPr>
        <w:t xml:space="preserve">días del mes de </w:t>
      </w:r>
      <w:r w:rsidR="00017406">
        <w:rPr>
          <w:rFonts w:ascii="ITC Avant Garde Std Bk" w:hAnsi="ITC Avant Garde Std Bk" w:cs="Tahoma"/>
          <w:bCs/>
          <w:color w:val="000000"/>
          <w:sz w:val="20"/>
          <w:szCs w:val="20"/>
        </w:rPr>
        <w:t>diciembre</w:t>
      </w:r>
      <w:r w:rsidR="009E7172" w:rsidRPr="009E7172">
        <w:rPr>
          <w:rFonts w:ascii="ITC Avant Garde Std Bk" w:hAnsi="ITC Avant Garde Std Bk" w:cs="Tahoma"/>
          <w:bCs/>
          <w:color w:val="000000"/>
          <w:sz w:val="20"/>
          <w:szCs w:val="20"/>
        </w:rPr>
        <w:t xml:space="preserve"> </w:t>
      </w:r>
      <w:r w:rsidRPr="009E7172">
        <w:rPr>
          <w:rFonts w:ascii="ITC Avant Garde Std Bk" w:hAnsi="ITC Avant Garde Std Bk" w:cs="Tahoma"/>
          <w:bCs/>
          <w:color w:val="000000"/>
          <w:sz w:val="20"/>
          <w:szCs w:val="20"/>
        </w:rPr>
        <w:t>de</w:t>
      </w:r>
      <w:r w:rsidRPr="003F1EE4">
        <w:rPr>
          <w:rFonts w:ascii="ITC Avant Garde Std Bk" w:hAnsi="ITC Avant Garde Std Bk" w:cs="Tahoma"/>
          <w:bCs/>
          <w:color w:val="000000"/>
          <w:sz w:val="20"/>
          <w:szCs w:val="20"/>
        </w:rPr>
        <w:t xml:space="preserve"> dos mil </w:t>
      </w:r>
      <w:r>
        <w:rPr>
          <w:rFonts w:ascii="ITC Avant Garde Std Bk" w:hAnsi="ITC Avant Garde Std Bk" w:cs="Tahoma"/>
          <w:bCs/>
          <w:color w:val="000000"/>
          <w:sz w:val="20"/>
          <w:szCs w:val="20"/>
        </w:rPr>
        <w:t>veinte</w:t>
      </w:r>
      <w:r w:rsidRPr="00E373B0">
        <w:rPr>
          <w:rFonts w:ascii="ITC Avant Garde Std Bk" w:hAnsi="ITC Avant Garde Std Bk" w:cs="Tahoma"/>
          <w:bCs/>
          <w:color w:val="000000"/>
          <w:sz w:val="20"/>
          <w:szCs w:val="20"/>
        </w:rPr>
        <w:t>,</w:t>
      </w:r>
      <w:r w:rsidRPr="00AF67AC">
        <w:rPr>
          <w:rFonts w:ascii="ITC Avant Garde Std Bk" w:hAnsi="ITC Avant Garde Std Bk" w:cs="Tahoma"/>
          <w:bCs/>
          <w:color w:val="000000"/>
          <w:sz w:val="20"/>
          <w:szCs w:val="20"/>
        </w:rPr>
        <w:t xml:space="preserve"> </w:t>
      </w:r>
      <w:r w:rsidRPr="00DA2247">
        <w:rPr>
          <w:rFonts w:ascii="ITC Avant Garde Std Bk" w:hAnsi="ITC Avant Garde Std Bk" w:cs="Tahoma"/>
          <w:bCs/>
          <w:color w:val="000000"/>
          <w:sz w:val="20"/>
          <w:szCs w:val="20"/>
        </w:rPr>
        <w:t xml:space="preserve">la Unidad de </w:t>
      </w:r>
      <w:r>
        <w:rPr>
          <w:rFonts w:ascii="ITC Avant Garde Std Bk" w:hAnsi="ITC Avant Garde Std Bk" w:cs="Tahoma"/>
          <w:bCs/>
          <w:color w:val="000000"/>
          <w:sz w:val="20"/>
          <w:szCs w:val="20"/>
        </w:rPr>
        <w:t>Cumplimiento,</w:t>
      </w:r>
      <w:r w:rsidRPr="00DA2247">
        <w:rPr>
          <w:rFonts w:ascii="ITC Avant Garde Std Bk" w:hAnsi="ITC Avant Garde Std Bk" w:cs="Tahoma"/>
          <w:bCs/>
          <w:color w:val="000000"/>
          <w:sz w:val="20"/>
          <w:szCs w:val="20"/>
        </w:rPr>
        <w:t xml:space="preserve"> la Unidad de </w:t>
      </w:r>
      <w:r>
        <w:rPr>
          <w:rFonts w:ascii="ITC Avant Garde Std Bk" w:hAnsi="ITC Avant Garde Std Bk" w:cs="Tahoma"/>
          <w:bCs/>
          <w:color w:val="000000"/>
          <w:sz w:val="20"/>
          <w:szCs w:val="20"/>
        </w:rPr>
        <w:t xml:space="preserve">Política Regulatoria, la Unidad de Medios y Contenidos Audiovisuales </w:t>
      </w:r>
      <w:r w:rsidRPr="00DA2247">
        <w:rPr>
          <w:rFonts w:ascii="ITC Avant Garde Std Bk" w:hAnsi="ITC Avant Garde Std Bk" w:cs="Tahoma"/>
          <w:bCs/>
          <w:color w:val="000000"/>
          <w:sz w:val="20"/>
          <w:szCs w:val="20"/>
        </w:rPr>
        <w:t xml:space="preserve">y </w:t>
      </w:r>
      <w:r w:rsidRPr="00AF67AC">
        <w:rPr>
          <w:rFonts w:ascii="ITC Avant Garde Std Bk" w:hAnsi="ITC Avant Garde Std Bk" w:cs="Tahoma"/>
          <w:bCs/>
          <w:color w:val="000000"/>
          <w:sz w:val="20"/>
          <w:szCs w:val="20"/>
        </w:rPr>
        <w:t>la Coordinación G</w:t>
      </w:r>
      <w:r>
        <w:rPr>
          <w:rFonts w:ascii="ITC Avant Garde Std Bk" w:hAnsi="ITC Avant Garde Std Bk" w:cs="Tahoma"/>
          <w:bCs/>
          <w:color w:val="000000"/>
          <w:sz w:val="20"/>
          <w:szCs w:val="20"/>
        </w:rPr>
        <w:t>eneral de Mejora Regulatoria (en su conjunto</w:t>
      </w:r>
      <w:r w:rsidRPr="00AF67AC">
        <w:rPr>
          <w:rFonts w:ascii="ITC Avant Garde Std Bk" w:hAnsi="ITC Avant Garde Std Bk" w:cs="Tahoma"/>
          <w:bCs/>
          <w:color w:val="000000"/>
          <w:sz w:val="20"/>
          <w:szCs w:val="20"/>
        </w:rPr>
        <w:t>, la</w:t>
      </w:r>
      <w:r>
        <w:rPr>
          <w:rFonts w:ascii="ITC Avant Garde Std Bk" w:hAnsi="ITC Avant Garde Std Bk" w:cs="Tahoma"/>
          <w:bCs/>
          <w:color w:val="000000"/>
          <w:sz w:val="20"/>
          <w:szCs w:val="20"/>
        </w:rPr>
        <w:t>s</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Unidades</w:t>
      </w:r>
      <w:r w:rsidRPr="00AF67AC">
        <w:rPr>
          <w:rFonts w:ascii="ITC Avant Garde Std Bk" w:hAnsi="ITC Avant Garde Std Bk" w:cs="Tahoma"/>
          <w:bCs/>
          <w:color w:val="000000"/>
          <w:sz w:val="20"/>
          <w:szCs w:val="20"/>
        </w:rPr>
        <w:t>”), presenta</w:t>
      </w:r>
      <w:r>
        <w:rPr>
          <w:rFonts w:ascii="ITC Avant Garde Std Bk" w:hAnsi="ITC Avant Garde Std Bk" w:cs="Tahoma"/>
          <w:bCs/>
          <w:color w:val="000000"/>
          <w:sz w:val="20"/>
          <w:szCs w:val="20"/>
        </w:rPr>
        <w:t>n</w:t>
      </w:r>
      <w:r w:rsidRPr="00AF67AC">
        <w:rPr>
          <w:rFonts w:ascii="ITC Avant Garde Std Bk" w:hAnsi="ITC Avant Garde Std Bk" w:cs="Tahoma"/>
          <w:bCs/>
          <w:color w:val="000000"/>
          <w:sz w:val="20"/>
          <w:szCs w:val="20"/>
        </w:rPr>
        <w:t xml:space="preserve"> el siguiente informe que contiene un resumen de los comentarios recibidos</w:t>
      </w:r>
      <w:r>
        <w:rPr>
          <w:rFonts w:ascii="ITC Avant Garde Std Bk" w:hAnsi="ITC Avant Garde Std Bk" w:cs="Tahoma"/>
          <w:bCs/>
          <w:color w:val="000000"/>
          <w:sz w:val="20"/>
          <w:szCs w:val="20"/>
        </w:rPr>
        <w:t xml:space="preserve"> durante la consulta pública del </w:t>
      </w:r>
      <w:r w:rsidRPr="00DE6B98">
        <w:rPr>
          <w:rFonts w:ascii="ITC Avant Garde Std Bk" w:hAnsi="ITC Avant Garde Std Bk" w:cs="Tahoma"/>
          <w:bCs/>
          <w:i/>
          <w:color w:val="000000"/>
          <w:sz w:val="20"/>
          <w:szCs w:val="20"/>
        </w:rPr>
        <w:t>“A</w:t>
      </w:r>
      <w:r w:rsidRPr="00E822C9">
        <w:rPr>
          <w:rFonts w:ascii="ITC Avant Garde Std Bk" w:hAnsi="ITC Avant Garde Std Bk" w:cs="Tahoma"/>
          <w:bCs/>
          <w:i/>
          <w:color w:val="000000"/>
          <w:sz w:val="20"/>
          <w:szCs w:val="20"/>
        </w:rPr>
        <w:t>nteproyecto de A</w:t>
      </w:r>
      <w:r w:rsidRPr="00DE6B98">
        <w:rPr>
          <w:rFonts w:ascii="ITC Avant Garde Std Bk" w:hAnsi="ITC Avant Garde Std Bk" w:cs="Tahoma"/>
          <w:bCs/>
          <w:i/>
          <w:color w:val="000000"/>
          <w:sz w:val="20"/>
          <w:szCs w:val="20"/>
        </w:rPr>
        <w:t>cuerdo mediante el cual se emiten los formatos que deberán utilizarse para realizar diverso</w:t>
      </w:r>
      <w:r w:rsidRPr="00E822C9">
        <w:rPr>
          <w:rFonts w:ascii="ITC Avant Garde Std Bk" w:hAnsi="ITC Avant Garde Std Bk" w:cs="Tahoma"/>
          <w:bCs/>
          <w:i/>
          <w:color w:val="000000"/>
          <w:sz w:val="20"/>
          <w:szCs w:val="20"/>
        </w:rPr>
        <w:t xml:space="preserve">s trámites y servicios ante el </w:t>
      </w:r>
      <w:r>
        <w:rPr>
          <w:rFonts w:ascii="ITC Avant Garde Std Bk" w:hAnsi="ITC Avant Garde Std Bk" w:cs="Tahoma"/>
          <w:bCs/>
          <w:i/>
          <w:color w:val="000000"/>
          <w:sz w:val="20"/>
          <w:szCs w:val="20"/>
        </w:rPr>
        <w:t>I</w:t>
      </w:r>
      <w:r w:rsidRPr="00E822C9">
        <w:rPr>
          <w:rFonts w:ascii="ITC Avant Garde Std Bk" w:hAnsi="ITC Avant Garde Std Bk" w:cs="Tahoma"/>
          <w:bCs/>
          <w:i/>
          <w:color w:val="000000"/>
          <w:sz w:val="20"/>
          <w:szCs w:val="20"/>
        </w:rPr>
        <w:t>nstituto Federal de T</w:t>
      </w:r>
      <w:r w:rsidRPr="00DE6B98">
        <w:rPr>
          <w:rFonts w:ascii="ITC Avant Garde Std Bk" w:hAnsi="ITC Avant Garde Std Bk" w:cs="Tahoma"/>
          <w:bCs/>
          <w:i/>
          <w:color w:val="000000"/>
          <w:sz w:val="20"/>
          <w:szCs w:val="20"/>
        </w:rPr>
        <w:t>elecomu</w:t>
      </w:r>
      <w:r w:rsidRPr="00E822C9">
        <w:rPr>
          <w:rFonts w:ascii="ITC Avant Garde Std Bk" w:hAnsi="ITC Avant Garde Std Bk" w:cs="Tahoma"/>
          <w:bCs/>
          <w:i/>
          <w:color w:val="000000"/>
          <w:sz w:val="20"/>
          <w:szCs w:val="20"/>
        </w:rPr>
        <w:t>nicaciones, y se modifican los L</w:t>
      </w:r>
      <w:r w:rsidRPr="00DE6B98">
        <w:rPr>
          <w:rFonts w:ascii="ITC Avant Garde Std Bk" w:hAnsi="ITC Avant Garde Std Bk" w:cs="Tahoma"/>
          <w:bCs/>
          <w:i/>
          <w:color w:val="000000"/>
          <w:sz w:val="20"/>
          <w:szCs w:val="20"/>
        </w:rPr>
        <w:t>ineamientos que fijan los índices y parámetros de calidad a que deberán sujetarse los prestadores del servicio móvil”</w:t>
      </w:r>
      <w:r w:rsidRPr="00AF67AC">
        <w:rPr>
          <w:rFonts w:ascii="ITC Avant Garde Std Bk" w:hAnsi="ITC Avant Garde Std Bk" w:cs="Tahoma"/>
          <w:bCs/>
          <w:color w:val="000000"/>
          <w:sz w:val="20"/>
          <w:szCs w:val="20"/>
        </w:rPr>
        <w:t>, así como sus respectivas consideraciones, mismo que se emite de conformidad con lo dispuesto en los artículos 51 de la Ley Federal de Tel</w:t>
      </w:r>
      <w:r>
        <w:rPr>
          <w:rFonts w:ascii="ITC Avant Garde Std Bk" w:hAnsi="ITC Avant Garde Std Bk" w:cs="Tahoma"/>
          <w:bCs/>
          <w:color w:val="000000"/>
          <w:sz w:val="20"/>
          <w:szCs w:val="20"/>
        </w:rPr>
        <w:t>ecomunicaciones y Radiodifusión y</w:t>
      </w:r>
      <w:r w:rsidRPr="00AF67AC">
        <w:rPr>
          <w:rFonts w:ascii="ITC Avant Garde Std Bk" w:hAnsi="ITC Avant Garde Std Bk" w:cs="Tahoma"/>
          <w:bCs/>
          <w:color w:val="000000"/>
          <w:sz w:val="20"/>
          <w:szCs w:val="20"/>
        </w:rPr>
        <w:t xml:space="preserve"> </w:t>
      </w:r>
      <w:r w:rsidRPr="000C7196">
        <w:rPr>
          <w:rFonts w:ascii="ITC Avant Garde Std Bk" w:hAnsi="ITC Avant Garde Std Bk" w:cs="Tahoma"/>
          <w:bCs/>
          <w:color w:val="000000"/>
          <w:sz w:val="20"/>
          <w:szCs w:val="20"/>
        </w:rPr>
        <w:t>75, fracciones V y X</w:t>
      </w:r>
      <w:r w:rsidRPr="00AF67AC">
        <w:rPr>
          <w:rFonts w:ascii="ITC Avant Garde Std Bk" w:hAnsi="ITC Avant Garde Std Bk" w:cs="Tahoma"/>
          <w:bCs/>
          <w:color w:val="000000"/>
          <w:sz w:val="20"/>
          <w:szCs w:val="20"/>
        </w:rPr>
        <w:t xml:space="preserve"> del Estatuto Orgánico del Instituto Federal de Telecomunicaciones</w:t>
      </w:r>
      <w:r>
        <w:rPr>
          <w:rFonts w:ascii="ITC Avant Garde Std Bk" w:hAnsi="ITC Avant Garde Std Bk" w:cs="Tahoma"/>
          <w:bCs/>
          <w:color w:val="000000"/>
          <w:sz w:val="20"/>
          <w:szCs w:val="20"/>
        </w:rPr>
        <w:t>.</w:t>
      </w:r>
    </w:p>
    <w:p w:rsidR="008639BE" w:rsidRPr="00AF67AC" w:rsidRDefault="008639BE" w:rsidP="008639BE">
      <w:pPr>
        <w:pStyle w:val="Ttulo1"/>
        <w:tabs>
          <w:tab w:val="left" w:pos="2700"/>
        </w:tabs>
        <w:spacing w:before="0" w:line="240" w:lineRule="auto"/>
        <w:jc w:val="both"/>
        <w:rPr>
          <w:rFonts w:ascii="ITC Avant Garde Std Bk" w:eastAsia="Calibri" w:hAnsi="ITC Avant Garde Std Bk" w:cs="Tahoma"/>
          <w:bCs/>
          <w:color w:val="000000"/>
          <w:sz w:val="20"/>
          <w:szCs w:val="20"/>
        </w:rPr>
      </w:pPr>
    </w:p>
    <w:p w:rsidR="008639BE" w:rsidRPr="0062566F"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62566F">
        <w:rPr>
          <w:rFonts w:ascii="ITC Avant Garde Std Bk" w:eastAsia="Calibri" w:hAnsi="ITC Avant Garde Std Bk" w:cs="Tahoma"/>
          <w:b/>
          <w:bCs/>
          <w:color w:val="000000"/>
          <w:sz w:val="20"/>
          <w:szCs w:val="20"/>
        </w:rPr>
        <w:t xml:space="preserve">GLOSARIO </w:t>
      </w:r>
    </w:p>
    <w:p w:rsidR="008639BE" w:rsidRPr="005F7866" w:rsidRDefault="008639BE" w:rsidP="008639BE">
      <w:pPr>
        <w:autoSpaceDE w:val="0"/>
        <w:autoSpaceDN w:val="0"/>
        <w:adjustRightInd w:val="0"/>
        <w:spacing w:after="0" w:line="240" w:lineRule="auto"/>
        <w:rPr>
          <w:rFonts w:ascii="ITC Avant Garde" w:hAnsi="ITC Avant Garde" w:cs="ITC Avant Garde"/>
          <w:color w:val="000000"/>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8113"/>
      </w:tblGrid>
      <w:tr w:rsidR="008639BE" w:rsidRPr="00AF67AC" w:rsidTr="00D43A33">
        <w:trPr>
          <w:trHeight w:val="77"/>
        </w:trPr>
        <w:tc>
          <w:tcPr>
            <w:tcW w:w="1952" w:type="dxa"/>
            <w:shd w:val="clear" w:color="auto" w:fill="296624"/>
          </w:tcPr>
          <w:p w:rsidR="008639BE" w:rsidRPr="00856424" w:rsidRDefault="008639BE" w:rsidP="00D43A33">
            <w:pPr>
              <w:autoSpaceDE w:val="0"/>
              <w:autoSpaceDN w:val="0"/>
              <w:adjustRightInd w:val="0"/>
              <w:spacing w:after="0" w:line="240" w:lineRule="auto"/>
              <w:jc w:val="center"/>
              <w:rPr>
                <w:rFonts w:ascii="ITC Avant Garde Std Bk" w:hAnsi="ITC Avant Garde Std Bk" w:cs="Tahoma"/>
                <w:bCs/>
                <w:color w:val="FFFFFF" w:themeColor="background1"/>
                <w:sz w:val="16"/>
                <w:szCs w:val="16"/>
              </w:rPr>
            </w:pPr>
            <w:r w:rsidRPr="00856424">
              <w:rPr>
                <w:rFonts w:ascii="ITC Avant Garde Std Bk" w:hAnsi="ITC Avant Garde Std Bk" w:cs="Tahoma"/>
                <w:bCs/>
                <w:color w:val="FFFFFF" w:themeColor="background1"/>
                <w:sz w:val="16"/>
                <w:szCs w:val="16"/>
              </w:rPr>
              <w:t>Concepto</w:t>
            </w:r>
          </w:p>
        </w:tc>
        <w:tc>
          <w:tcPr>
            <w:tcW w:w="8113" w:type="dxa"/>
            <w:shd w:val="clear" w:color="auto" w:fill="296624"/>
          </w:tcPr>
          <w:p w:rsidR="008639BE" w:rsidRPr="00856424" w:rsidRDefault="008639BE" w:rsidP="00D43A33">
            <w:pPr>
              <w:autoSpaceDE w:val="0"/>
              <w:autoSpaceDN w:val="0"/>
              <w:adjustRightInd w:val="0"/>
              <w:spacing w:after="0" w:line="240" w:lineRule="auto"/>
              <w:jc w:val="center"/>
              <w:rPr>
                <w:rFonts w:ascii="ITC Avant Garde Std Bk" w:hAnsi="ITC Avant Garde Std Bk" w:cs="Tahoma"/>
                <w:bCs/>
                <w:color w:val="FFFFFF" w:themeColor="background1"/>
                <w:sz w:val="16"/>
                <w:szCs w:val="16"/>
              </w:rPr>
            </w:pPr>
            <w:r w:rsidRPr="00856424">
              <w:rPr>
                <w:rFonts w:ascii="ITC Avant Garde Std Bk" w:hAnsi="ITC Avant Garde Std Bk" w:cs="Tahoma"/>
                <w:bCs/>
                <w:color w:val="FFFFFF" w:themeColor="background1"/>
                <w:sz w:val="16"/>
                <w:szCs w:val="16"/>
              </w:rPr>
              <w:t>Significado</w:t>
            </w:r>
          </w:p>
        </w:tc>
      </w:tr>
      <w:tr w:rsidR="008639BE" w:rsidRPr="00AF67AC" w:rsidTr="00D43A33">
        <w:trPr>
          <w:trHeight w:val="77"/>
        </w:trPr>
        <w:tc>
          <w:tcPr>
            <w:tcW w:w="1952" w:type="dxa"/>
            <w:shd w:val="clear" w:color="auto" w:fill="D6E3BC" w:themeFill="accent3" w:themeFillTint="66"/>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ANIR</w:t>
            </w:r>
          </w:p>
        </w:tc>
        <w:tc>
          <w:tcPr>
            <w:tcW w:w="8113" w:type="dxa"/>
            <w:shd w:val="clear" w:color="auto" w:fill="D6E3BC" w:themeFill="accent3" w:themeFillTint="66"/>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Análisis de Nulo Impacto Regulatorio</w:t>
            </w:r>
            <w:r>
              <w:rPr>
                <w:rFonts w:ascii="ITC Avant Garde Std Bk" w:hAnsi="ITC Avant Garde Std Bk" w:cs="Tahoma"/>
                <w:bCs/>
                <w:color w:val="000000"/>
                <w:sz w:val="16"/>
                <w:szCs w:val="16"/>
              </w:rPr>
              <w:t>.</w:t>
            </w:r>
          </w:p>
        </w:tc>
      </w:tr>
      <w:tr w:rsidR="008639BE" w:rsidRPr="00AF67AC" w:rsidTr="00D43A33">
        <w:trPr>
          <w:trHeight w:val="77"/>
        </w:trPr>
        <w:tc>
          <w:tcPr>
            <w:tcW w:w="1952" w:type="dxa"/>
            <w:shd w:val="clear" w:color="auto" w:fill="C2D69B" w:themeFill="accent3" w:themeFillTint="99"/>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CGMR</w:t>
            </w:r>
          </w:p>
        </w:tc>
        <w:tc>
          <w:tcPr>
            <w:tcW w:w="8113" w:type="dxa"/>
            <w:shd w:val="clear" w:color="auto" w:fill="C2D69B" w:themeFill="accent3" w:themeFillTint="99"/>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Coordinación General de Mejora Regulatoria</w:t>
            </w:r>
            <w:r>
              <w:rPr>
                <w:rFonts w:ascii="ITC Avant Garde Std Bk" w:hAnsi="ITC Avant Garde Std Bk" w:cs="Tahoma"/>
                <w:bCs/>
                <w:color w:val="000000"/>
                <w:sz w:val="16"/>
                <w:szCs w:val="16"/>
              </w:rPr>
              <w:t>.</w:t>
            </w:r>
          </w:p>
        </w:tc>
      </w:tr>
      <w:tr w:rsidR="008639BE" w:rsidRPr="00AF67AC" w:rsidTr="00D43A33">
        <w:trPr>
          <w:trHeight w:val="77"/>
        </w:trPr>
        <w:tc>
          <w:tcPr>
            <w:tcW w:w="1952" w:type="dxa"/>
            <w:shd w:val="clear" w:color="auto" w:fill="D6E3BC" w:themeFill="accent3" w:themeFillTint="66"/>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Constitución</w:t>
            </w:r>
          </w:p>
        </w:tc>
        <w:tc>
          <w:tcPr>
            <w:tcW w:w="8113" w:type="dxa"/>
            <w:shd w:val="clear" w:color="auto" w:fill="D6E3BC" w:themeFill="accent3" w:themeFillTint="66"/>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Constitución Política de los Estados Unidos Mexicanos.</w:t>
            </w:r>
          </w:p>
        </w:tc>
      </w:tr>
      <w:tr w:rsidR="008639BE" w:rsidRPr="00AF67AC" w:rsidTr="00D43A33">
        <w:trPr>
          <w:trHeight w:val="77"/>
        </w:trPr>
        <w:tc>
          <w:tcPr>
            <w:tcW w:w="1952" w:type="dxa"/>
            <w:shd w:val="clear" w:color="auto" w:fill="C2D69B" w:themeFill="accent3" w:themeFillTint="99"/>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DOF</w:t>
            </w:r>
          </w:p>
        </w:tc>
        <w:tc>
          <w:tcPr>
            <w:tcW w:w="8113" w:type="dxa"/>
            <w:shd w:val="clear" w:color="auto" w:fill="C2D69B" w:themeFill="accent3" w:themeFillTint="99"/>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Diario Oficial de la Federación</w:t>
            </w:r>
            <w:r>
              <w:rPr>
                <w:rFonts w:ascii="ITC Avant Garde Std Bk" w:hAnsi="ITC Avant Garde Std Bk" w:cs="Tahoma"/>
                <w:bCs/>
                <w:color w:val="000000"/>
                <w:sz w:val="16"/>
                <w:szCs w:val="16"/>
              </w:rPr>
              <w:t>.</w:t>
            </w:r>
          </w:p>
        </w:tc>
      </w:tr>
      <w:tr w:rsidR="008639BE" w:rsidRPr="00AF67AC" w:rsidTr="00D43A33">
        <w:trPr>
          <w:trHeight w:val="77"/>
        </w:trPr>
        <w:tc>
          <w:tcPr>
            <w:tcW w:w="1952" w:type="dxa"/>
            <w:shd w:val="clear" w:color="auto" w:fill="D6E3BC" w:themeFill="accent3" w:themeFillTint="66"/>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Estatuto Orgánico</w:t>
            </w:r>
          </w:p>
        </w:tc>
        <w:tc>
          <w:tcPr>
            <w:tcW w:w="8113" w:type="dxa"/>
            <w:shd w:val="clear" w:color="auto" w:fill="D6E3BC" w:themeFill="accent3" w:themeFillTint="66"/>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Estatuto Orgánico del Instituto Federal de Telecomunicaciones.</w:t>
            </w:r>
          </w:p>
        </w:tc>
      </w:tr>
      <w:tr w:rsidR="008639BE" w:rsidRPr="00AF67AC" w:rsidTr="00D43A33">
        <w:trPr>
          <w:trHeight w:val="77"/>
        </w:trPr>
        <w:tc>
          <w:tcPr>
            <w:tcW w:w="1952" w:type="dxa"/>
            <w:shd w:val="clear" w:color="auto" w:fill="C2D69B" w:themeFill="accent3" w:themeFillTint="99"/>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Instituto</w:t>
            </w:r>
          </w:p>
        </w:tc>
        <w:tc>
          <w:tcPr>
            <w:tcW w:w="8113" w:type="dxa"/>
            <w:shd w:val="clear" w:color="auto" w:fill="C2D69B" w:themeFill="accent3" w:themeFillTint="99"/>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Instituto Federal de Telecomunicaciones</w:t>
            </w:r>
            <w:r>
              <w:rPr>
                <w:rFonts w:ascii="ITC Avant Garde Std Bk" w:hAnsi="ITC Avant Garde Std Bk" w:cs="Tahoma"/>
                <w:bCs/>
                <w:color w:val="000000"/>
                <w:sz w:val="16"/>
                <w:szCs w:val="16"/>
              </w:rPr>
              <w:t>.</w:t>
            </w:r>
          </w:p>
        </w:tc>
      </w:tr>
      <w:tr w:rsidR="008639BE" w:rsidRPr="00AF67AC" w:rsidTr="00D43A33">
        <w:trPr>
          <w:trHeight w:val="77"/>
        </w:trPr>
        <w:tc>
          <w:tcPr>
            <w:tcW w:w="1952" w:type="dxa"/>
            <w:shd w:val="clear" w:color="auto" w:fill="D6E3BC" w:themeFill="accent3" w:themeFillTint="66"/>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L</w:t>
            </w:r>
            <w:r>
              <w:rPr>
                <w:rFonts w:ascii="ITC Avant Garde Std Bk" w:hAnsi="ITC Avant Garde Std Bk" w:cs="Tahoma"/>
                <w:bCs/>
                <w:color w:val="000000"/>
                <w:sz w:val="16"/>
                <w:szCs w:val="16"/>
              </w:rPr>
              <w:t>ey</w:t>
            </w:r>
          </w:p>
        </w:tc>
        <w:tc>
          <w:tcPr>
            <w:tcW w:w="8113" w:type="dxa"/>
            <w:shd w:val="clear" w:color="auto" w:fill="D6E3BC" w:themeFill="accent3" w:themeFillTint="66"/>
          </w:tcPr>
          <w:p w:rsidR="008639BE" w:rsidRPr="00AF67AC" w:rsidRDefault="008639BE" w:rsidP="00D43A33">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Ley Federal de Telecomunicaciones y Radiodifusión</w:t>
            </w:r>
            <w:r>
              <w:rPr>
                <w:rFonts w:ascii="ITC Avant Garde Std Bk" w:hAnsi="ITC Avant Garde Std Bk" w:cs="Tahoma"/>
                <w:bCs/>
                <w:color w:val="000000"/>
                <w:sz w:val="16"/>
                <w:szCs w:val="16"/>
              </w:rPr>
              <w:t>.</w:t>
            </w:r>
          </w:p>
        </w:tc>
      </w:tr>
      <w:tr w:rsidR="008639BE" w:rsidRPr="00AF67AC" w:rsidTr="00D43A33">
        <w:trPr>
          <w:trHeight w:val="77"/>
        </w:trPr>
        <w:tc>
          <w:tcPr>
            <w:tcW w:w="1952" w:type="dxa"/>
            <w:shd w:val="clear" w:color="auto" w:fill="C2D69B" w:themeFill="accent3" w:themeFillTint="99"/>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Pleno</w:t>
            </w:r>
          </w:p>
        </w:tc>
        <w:tc>
          <w:tcPr>
            <w:tcW w:w="8113" w:type="dxa"/>
            <w:shd w:val="clear" w:color="auto" w:fill="C2D69B" w:themeFill="accent3" w:themeFillTint="99"/>
          </w:tcPr>
          <w:p w:rsidR="008639BE" w:rsidRPr="00AF67AC" w:rsidRDefault="008639BE" w:rsidP="00D43A33">
            <w:pPr>
              <w:autoSpaceDE w:val="0"/>
              <w:autoSpaceDN w:val="0"/>
              <w:adjustRightInd w:val="0"/>
              <w:spacing w:after="0" w:line="240" w:lineRule="auto"/>
              <w:jc w:val="both"/>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Órgano máximo de gobierno y decisión del Instituto, integrado por siete comisionados con voz y voto, incluido su Presidente.</w:t>
            </w:r>
          </w:p>
        </w:tc>
      </w:tr>
      <w:tr w:rsidR="008639BE" w:rsidRPr="00AF67AC" w:rsidTr="00D43A33">
        <w:trPr>
          <w:trHeight w:val="77"/>
        </w:trPr>
        <w:tc>
          <w:tcPr>
            <w:tcW w:w="1952" w:type="dxa"/>
            <w:shd w:val="clear" w:color="auto" w:fill="D6E3BC" w:themeFill="accent3" w:themeFillTint="66"/>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UC</w:t>
            </w:r>
          </w:p>
        </w:tc>
        <w:tc>
          <w:tcPr>
            <w:tcW w:w="8113" w:type="dxa"/>
            <w:shd w:val="clear" w:color="auto" w:fill="D6E3BC" w:themeFill="accent3" w:themeFillTint="66"/>
          </w:tcPr>
          <w:p w:rsidR="008639BE" w:rsidRPr="00AF67AC" w:rsidRDefault="008639BE" w:rsidP="00D43A33">
            <w:pPr>
              <w:autoSpaceDE w:val="0"/>
              <w:autoSpaceDN w:val="0"/>
              <w:adjustRightInd w:val="0"/>
              <w:spacing w:after="0" w:line="240" w:lineRule="auto"/>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Unidad de Cumplimiento</w:t>
            </w:r>
          </w:p>
        </w:tc>
      </w:tr>
      <w:tr w:rsidR="008639BE" w:rsidRPr="00AF67AC" w:rsidTr="00D43A33">
        <w:trPr>
          <w:trHeight w:val="77"/>
        </w:trPr>
        <w:tc>
          <w:tcPr>
            <w:tcW w:w="1952" w:type="dxa"/>
            <w:shd w:val="clear" w:color="auto" w:fill="C2D69B" w:themeFill="accent3" w:themeFillTint="99"/>
          </w:tcPr>
          <w:p w:rsidR="008639BE" w:rsidRPr="00AF67AC"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 xml:space="preserve">UMCA </w:t>
            </w:r>
          </w:p>
        </w:tc>
        <w:tc>
          <w:tcPr>
            <w:tcW w:w="8113" w:type="dxa"/>
            <w:shd w:val="clear" w:color="auto" w:fill="C2D69B" w:themeFill="accent3" w:themeFillTint="99"/>
          </w:tcPr>
          <w:p w:rsidR="008639BE" w:rsidRPr="00AF67AC" w:rsidRDefault="008639BE" w:rsidP="00D43A33">
            <w:pPr>
              <w:autoSpaceDE w:val="0"/>
              <w:autoSpaceDN w:val="0"/>
              <w:adjustRightInd w:val="0"/>
              <w:spacing w:after="0" w:line="240" w:lineRule="auto"/>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Unidad de Medios y Contenidos Audiovisuales</w:t>
            </w:r>
          </w:p>
        </w:tc>
      </w:tr>
      <w:tr w:rsidR="008639BE" w:rsidRPr="00AF67AC" w:rsidTr="00D43A33">
        <w:trPr>
          <w:trHeight w:val="77"/>
        </w:trPr>
        <w:tc>
          <w:tcPr>
            <w:tcW w:w="1952" w:type="dxa"/>
            <w:shd w:val="clear" w:color="auto" w:fill="D6E3BC" w:themeFill="accent3" w:themeFillTint="66"/>
          </w:tcPr>
          <w:p w:rsidR="008639BE" w:rsidRDefault="008639BE" w:rsidP="00D43A33">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 xml:space="preserve">UPR </w:t>
            </w:r>
          </w:p>
        </w:tc>
        <w:tc>
          <w:tcPr>
            <w:tcW w:w="8113" w:type="dxa"/>
            <w:shd w:val="clear" w:color="auto" w:fill="D6E3BC" w:themeFill="accent3" w:themeFillTint="66"/>
          </w:tcPr>
          <w:p w:rsidR="008639BE" w:rsidRDefault="008639BE" w:rsidP="00D43A33">
            <w:pPr>
              <w:autoSpaceDE w:val="0"/>
              <w:autoSpaceDN w:val="0"/>
              <w:adjustRightInd w:val="0"/>
              <w:spacing w:after="0" w:line="240" w:lineRule="auto"/>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Unidad de Política Regulatoria</w:t>
            </w:r>
          </w:p>
        </w:tc>
      </w:tr>
    </w:tbl>
    <w:p w:rsidR="008639BE" w:rsidRDefault="008639BE" w:rsidP="008639BE">
      <w:pPr>
        <w:tabs>
          <w:tab w:val="left" w:pos="4035"/>
        </w:tabs>
        <w:spacing w:after="0" w:line="240" w:lineRule="auto"/>
        <w:jc w:val="both"/>
        <w:rPr>
          <w:rFonts w:ascii="ITC Avant Garde" w:hAnsi="ITC Avant Garde"/>
        </w:rPr>
      </w:pPr>
    </w:p>
    <w:p w:rsidR="008639BE" w:rsidRPr="0062566F"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62566F">
        <w:rPr>
          <w:rFonts w:ascii="ITC Avant Garde Std Bk" w:eastAsia="Calibri" w:hAnsi="ITC Avant Garde Std Bk" w:cs="Tahoma"/>
          <w:b/>
          <w:bCs/>
          <w:color w:val="000000"/>
          <w:sz w:val="20"/>
          <w:szCs w:val="20"/>
        </w:rPr>
        <w:t>1. ANTECEDENTES</w:t>
      </w:r>
    </w:p>
    <w:p w:rsidR="008639BE" w:rsidRDefault="008639BE" w:rsidP="008639BE">
      <w:pPr>
        <w:spacing w:after="0" w:line="240" w:lineRule="auto"/>
        <w:jc w:val="both"/>
        <w:rPr>
          <w:rFonts w:ascii="ITC Avant Garde Std Bk" w:hAnsi="ITC Avant Garde Std Bk" w:cs="Tahoma"/>
          <w:bCs/>
          <w:color w:val="000000"/>
          <w:sz w:val="20"/>
          <w:szCs w:val="20"/>
        </w:rPr>
      </w:pPr>
    </w:p>
    <w:p w:rsidR="008639BE"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El Inst</w:t>
      </w:r>
      <w:r>
        <w:rPr>
          <w:rFonts w:ascii="ITC Avant Garde Std Bk" w:hAnsi="ITC Avant Garde Std Bk" w:cs="Tahoma"/>
          <w:bCs/>
          <w:color w:val="000000"/>
          <w:sz w:val="20"/>
          <w:szCs w:val="20"/>
        </w:rPr>
        <w:t xml:space="preserve">ituto, </w:t>
      </w:r>
      <w:r w:rsidRPr="00AF67AC">
        <w:rPr>
          <w:rFonts w:ascii="ITC Avant Garde Std Bk" w:hAnsi="ITC Avant Garde Std Bk" w:cs="Tahoma"/>
          <w:bCs/>
          <w:color w:val="000000"/>
          <w:sz w:val="20"/>
          <w:szCs w:val="20"/>
        </w:rPr>
        <w:t xml:space="preserve">con fundamento en los artículos </w:t>
      </w:r>
      <w:r w:rsidRPr="000C7196">
        <w:rPr>
          <w:rFonts w:ascii="ITC Avant Garde Std Bk" w:hAnsi="ITC Avant Garde Std Bk" w:cs="Tahoma"/>
          <w:bCs/>
          <w:color w:val="000000"/>
          <w:sz w:val="20"/>
          <w:szCs w:val="20"/>
        </w:rPr>
        <w:t xml:space="preserve">28, </w:t>
      </w:r>
      <w:proofErr w:type="gramStart"/>
      <w:r w:rsidRPr="000C7196">
        <w:rPr>
          <w:rFonts w:ascii="ITC Avant Garde Std Bk" w:hAnsi="ITC Avant Garde Std Bk" w:cs="Tahoma"/>
          <w:bCs/>
          <w:color w:val="000000"/>
          <w:sz w:val="20"/>
          <w:szCs w:val="20"/>
        </w:rPr>
        <w:t>párrafo</w:t>
      </w:r>
      <w:r>
        <w:rPr>
          <w:rFonts w:ascii="ITC Avant Garde Std Bk" w:hAnsi="ITC Avant Garde Std Bk" w:cs="Tahoma"/>
          <w:bCs/>
          <w:color w:val="000000"/>
          <w:sz w:val="20"/>
          <w:szCs w:val="20"/>
        </w:rPr>
        <w:t>s</w:t>
      </w:r>
      <w:r w:rsidR="00944B22">
        <w:rPr>
          <w:rFonts w:ascii="ITC Avant Garde Std Bk" w:hAnsi="ITC Avant Garde Std Bk" w:cs="Tahoma"/>
          <w:bCs/>
          <w:color w:val="000000"/>
          <w:sz w:val="20"/>
          <w:szCs w:val="20"/>
        </w:rPr>
        <w:t xml:space="preserve"> </w:t>
      </w:r>
      <w:r w:rsidRPr="000C7196">
        <w:rPr>
          <w:rFonts w:ascii="ITC Avant Garde Std Bk" w:hAnsi="ITC Avant Garde Std Bk" w:cs="Tahoma"/>
          <w:bCs/>
          <w:color w:val="000000"/>
          <w:sz w:val="20"/>
          <w:szCs w:val="20"/>
        </w:rPr>
        <w:t>décimo quinto</w:t>
      </w:r>
      <w:proofErr w:type="gramEnd"/>
      <w:r w:rsidRPr="000C7196">
        <w:rPr>
          <w:rFonts w:ascii="ITC Avant Garde Std Bk" w:hAnsi="ITC Avant Garde Std Bk" w:cs="Tahoma"/>
          <w:bCs/>
          <w:color w:val="000000"/>
          <w:sz w:val="20"/>
          <w:szCs w:val="20"/>
        </w:rPr>
        <w:t xml:space="preserve">, décimo sexto y vigésimo, fracción IV, </w:t>
      </w:r>
      <w:r w:rsidRPr="008A37B9">
        <w:rPr>
          <w:rFonts w:ascii="ITC Avant Garde Std Bk" w:hAnsi="ITC Avant Garde Std Bk" w:cs="Tahoma"/>
          <w:bCs/>
          <w:color w:val="000000"/>
          <w:sz w:val="20"/>
          <w:szCs w:val="20"/>
        </w:rPr>
        <w:t>de la Constitución; 7, párrafos primero y segundo, y 15, fracción I, de la Ley; así como 1, párrafos primero y segundo,</w:t>
      </w:r>
      <w:r w:rsidRPr="006E632C">
        <w:rPr>
          <w:rFonts w:ascii="ITC Avant Garde Std Bk" w:hAnsi="ITC Avant Garde Std Bk" w:cs="Tahoma"/>
          <w:bCs/>
          <w:color w:val="000000"/>
          <w:sz w:val="20"/>
          <w:szCs w:val="20"/>
        </w:rPr>
        <w:t xml:space="preserve"> del Estatuto Orgánico</w:t>
      </w:r>
      <w:r w:rsidRPr="00AF67AC">
        <w:rPr>
          <w:rFonts w:ascii="ITC Avant Garde Std Bk" w:hAnsi="ITC Avant Garde Std Bk" w:cs="Tahoma"/>
          <w:bCs/>
          <w:color w:val="000000"/>
          <w:sz w:val="20"/>
          <w:szCs w:val="20"/>
        </w:rPr>
        <w:t xml:space="preserve">, es competente para emitir </w:t>
      </w:r>
      <w:r>
        <w:rPr>
          <w:rFonts w:ascii="ITC Avant Garde Std Bk" w:hAnsi="ITC Avant Garde Std Bk" w:cs="Tahoma"/>
          <w:bCs/>
          <w:color w:val="000000"/>
          <w:sz w:val="20"/>
          <w:szCs w:val="20"/>
        </w:rPr>
        <w:t xml:space="preserve">el Acuerdo mediante </w:t>
      </w:r>
      <w:r>
        <w:rPr>
          <w:rFonts w:ascii="ITC Avant Garde Std Bk" w:hAnsi="ITC Avant Garde Std Bk" w:cs="Tahoma"/>
          <w:bCs/>
          <w:color w:val="000000"/>
          <w:sz w:val="20"/>
          <w:szCs w:val="20"/>
        </w:rPr>
        <w:lastRenderedPageBreak/>
        <w:t>el cual se dan a conocer los formatos que se emplearán, así como la información que se deberá presentar, para su solicitud.</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Para efectos de </w:t>
      </w:r>
      <w:r>
        <w:rPr>
          <w:rFonts w:ascii="ITC Avant Garde Std Bk" w:hAnsi="ITC Avant Garde Std Bk" w:cs="Tahoma"/>
          <w:bCs/>
          <w:color w:val="000000"/>
          <w:sz w:val="20"/>
          <w:szCs w:val="20"/>
        </w:rPr>
        <w:t>lo anterior, e</w:t>
      </w:r>
      <w:r w:rsidRPr="00AF67AC">
        <w:rPr>
          <w:rFonts w:ascii="ITC Avant Garde Std Bk" w:hAnsi="ITC Avant Garde Std Bk" w:cs="Tahoma"/>
          <w:bCs/>
          <w:color w:val="000000"/>
          <w:sz w:val="20"/>
          <w:szCs w:val="20"/>
        </w:rPr>
        <w:t xml:space="preserve">l </w:t>
      </w:r>
      <w:r>
        <w:rPr>
          <w:rFonts w:ascii="ITC Avant Garde Std Bk" w:hAnsi="ITC Avant Garde Std Bk" w:cs="Tahoma"/>
          <w:bCs/>
          <w:color w:val="000000"/>
          <w:sz w:val="20"/>
          <w:szCs w:val="20"/>
        </w:rPr>
        <w:t>treinta</w:t>
      </w:r>
      <w:r w:rsidRPr="00AF67AC">
        <w:rPr>
          <w:rFonts w:ascii="ITC Avant Garde Std Bk" w:hAnsi="ITC Avant Garde Std Bk" w:cs="Tahoma"/>
          <w:bCs/>
          <w:color w:val="000000"/>
          <w:sz w:val="20"/>
          <w:szCs w:val="20"/>
        </w:rPr>
        <w:t xml:space="preserve"> de </w:t>
      </w:r>
      <w:r>
        <w:rPr>
          <w:rFonts w:ascii="ITC Avant Garde Std Bk" w:hAnsi="ITC Avant Garde Std Bk" w:cs="Tahoma"/>
          <w:bCs/>
          <w:color w:val="000000"/>
          <w:sz w:val="20"/>
          <w:szCs w:val="20"/>
        </w:rPr>
        <w:t>octubre</w:t>
      </w:r>
      <w:r w:rsidRPr="00AF67AC">
        <w:rPr>
          <w:rFonts w:ascii="ITC Avant Garde Std Bk" w:hAnsi="ITC Avant Garde Std Bk" w:cs="Tahoma"/>
          <w:bCs/>
          <w:color w:val="000000"/>
          <w:sz w:val="20"/>
          <w:szCs w:val="20"/>
        </w:rPr>
        <w:t xml:space="preserve"> de dos mil dieci</w:t>
      </w:r>
      <w:r>
        <w:rPr>
          <w:rFonts w:ascii="ITC Avant Garde Std Bk" w:hAnsi="ITC Avant Garde Std Bk" w:cs="Tahoma"/>
          <w:bCs/>
          <w:color w:val="000000"/>
          <w:sz w:val="20"/>
          <w:szCs w:val="20"/>
        </w:rPr>
        <w:t>nueve, mediante Acuerdo P/IFT/301019</w:t>
      </w:r>
      <w:r w:rsidRPr="00AF67AC">
        <w:rPr>
          <w:rFonts w:ascii="ITC Avant Garde Std Bk" w:hAnsi="ITC Avant Garde Std Bk" w:cs="Tahoma"/>
          <w:bCs/>
          <w:color w:val="000000"/>
          <w:sz w:val="20"/>
          <w:szCs w:val="20"/>
        </w:rPr>
        <w:t>/</w:t>
      </w:r>
      <w:r>
        <w:rPr>
          <w:rFonts w:ascii="ITC Avant Garde Std Bk" w:hAnsi="ITC Avant Garde Std Bk" w:cs="Tahoma"/>
          <w:bCs/>
          <w:color w:val="000000"/>
          <w:sz w:val="20"/>
          <w:szCs w:val="20"/>
        </w:rPr>
        <w:t>532</w:t>
      </w:r>
      <w:r w:rsidRPr="00AF67AC">
        <w:rPr>
          <w:rFonts w:ascii="ITC Avant Garde Std Bk" w:hAnsi="ITC Avant Garde Std Bk" w:cs="Tahoma"/>
          <w:bCs/>
          <w:color w:val="000000"/>
          <w:sz w:val="20"/>
          <w:szCs w:val="20"/>
        </w:rPr>
        <w:t xml:space="preserve">, en su </w:t>
      </w:r>
      <w:r>
        <w:rPr>
          <w:rFonts w:ascii="ITC Avant Garde Std Bk" w:hAnsi="ITC Avant Garde Std Bk" w:cs="Tahoma"/>
          <w:bCs/>
          <w:color w:val="000000"/>
          <w:sz w:val="20"/>
          <w:szCs w:val="20"/>
        </w:rPr>
        <w:t>XXVII</w:t>
      </w:r>
      <w:r w:rsidRPr="00AF67AC">
        <w:rPr>
          <w:rFonts w:ascii="ITC Avant Garde Std Bk" w:hAnsi="ITC Avant Garde Std Bk" w:cs="Tahoma"/>
          <w:bCs/>
          <w:color w:val="000000"/>
          <w:sz w:val="20"/>
          <w:szCs w:val="20"/>
        </w:rPr>
        <w:t xml:space="preserve"> Sesión Ordinaria el Pleno acordó someter a consulta pública el Anteproyecto, el cual señala:</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Default="008639BE" w:rsidP="008639BE">
      <w:pPr>
        <w:pStyle w:val="Default"/>
        <w:ind w:left="709" w:right="724"/>
        <w:jc w:val="both"/>
        <w:rPr>
          <w:rFonts w:ascii="ITC Avant Garde Std Bk" w:hAnsi="ITC Avant Garde Std Bk"/>
          <w:bCs/>
          <w:sz w:val="20"/>
          <w:szCs w:val="20"/>
          <w:lang w:eastAsia="en-US"/>
        </w:rPr>
      </w:pPr>
      <w:r>
        <w:rPr>
          <w:rFonts w:ascii="ITC Avant Garde Std Bk" w:hAnsi="ITC Avant Garde Std Bk"/>
          <w:bCs/>
          <w:sz w:val="20"/>
          <w:szCs w:val="20"/>
          <w:lang w:eastAsia="en-US"/>
        </w:rPr>
        <w:t xml:space="preserve">“PRIMERO. - </w:t>
      </w:r>
      <w:r w:rsidRPr="00AA28B1">
        <w:rPr>
          <w:rFonts w:ascii="ITC Avant Garde Std Bk" w:hAnsi="ITC Avant Garde Std Bk"/>
          <w:bCs/>
          <w:sz w:val="20"/>
          <w:szCs w:val="20"/>
          <w:lang w:eastAsia="en-US"/>
        </w:rPr>
        <w:t xml:space="preserve">Se determina someter a consulta pública por un </w:t>
      </w:r>
      <w:r>
        <w:rPr>
          <w:rFonts w:ascii="ITC Avant Garde Std Bk" w:hAnsi="ITC Avant Garde Std Bk"/>
          <w:bCs/>
          <w:sz w:val="20"/>
          <w:szCs w:val="20"/>
          <w:lang w:eastAsia="en-US"/>
        </w:rPr>
        <w:t>periodo</w:t>
      </w:r>
      <w:r w:rsidRPr="00AA28B1">
        <w:rPr>
          <w:rFonts w:ascii="ITC Avant Garde Std Bk" w:hAnsi="ITC Avant Garde Std Bk"/>
          <w:bCs/>
          <w:sz w:val="20"/>
          <w:szCs w:val="20"/>
          <w:lang w:eastAsia="en-US"/>
        </w:rPr>
        <w:t xml:space="preserve"> de 20 (veinte) días hábiles, contados a partir </w:t>
      </w:r>
      <w:r w:rsidRPr="00DE6B98">
        <w:rPr>
          <w:rFonts w:ascii="ITC Avant Garde Std Bk" w:hAnsi="ITC Avant Garde Std Bk"/>
          <w:bCs/>
          <w:sz w:val="20"/>
          <w:szCs w:val="20"/>
          <w:lang w:eastAsia="en-US"/>
        </w:rPr>
        <w:t xml:space="preserve">del día hábil siguiente al de su publicación en el portal de Internet del Instituto, el “Anteproyecto de Acuerdo mediante el cual se emiten los formatos que deberán utilizarse para realizar diversos trámites y servicios ante el Instituto Federal de Telecomunicaciones, y se modifican los Lineamientos que fijan los índices y parámetros de calidad a que deberán sujetarse los prestadores del servicio móvil”, mismo que se acompaña al presente como Anexo Único, junto con su respectivo ANIR, con la finalidad de que cualquier interesado conozca las medidas regulatorias que el Instituto propone con la emisión de los formatos y esté en condiciones de emitir sus comentarios, opiniones y propuestas a este órgano constitucional autónomo, así como cualquier otro elemento de análisis que estime conveniente compartirle. </w:t>
      </w:r>
    </w:p>
    <w:p w:rsidR="008639BE" w:rsidRPr="00AF67AC" w:rsidRDefault="008639BE" w:rsidP="008639BE">
      <w:pPr>
        <w:pStyle w:val="Default"/>
        <w:ind w:left="709" w:right="724"/>
        <w:jc w:val="both"/>
        <w:rPr>
          <w:rFonts w:ascii="ITC Avant Garde Std Bk" w:hAnsi="ITC Avant Garde Std Bk"/>
          <w:bCs/>
          <w:sz w:val="20"/>
          <w:szCs w:val="20"/>
          <w:lang w:eastAsia="en-US"/>
        </w:rPr>
      </w:pPr>
    </w:p>
    <w:p w:rsidR="008639BE" w:rsidRPr="00DE6B98" w:rsidRDefault="008639BE" w:rsidP="008639BE">
      <w:pPr>
        <w:spacing w:after="0" w:line="240" w:lineRule="auto"/>
        <w:ind w:left="709" w:right="724"/>
        <w:jc w:val="both"/>
        <w:rPr>
          <w:rFonts w:ascii="ITC Avant Garde Std Bk" w:eastAsia="Calibri" w:hAnsi="ITC Avant Garde Std Bk" w:cs="Tahoma"/>
          <w:bCs/>
          <w:color w:val="000000"/>
          <w:sz w:val="20"/>
          <w:szCs w:val="20"/>
        </w:rPr>
      </w:pPr>
      <w:r w:rsidRPr="00AF67AC">
        <w:rPr>
          <w:rFonts w:ascii="ITC Avant Garde Std Bk" w:hAnsi="ITC Avant Garde Std Bk" w:cs="Tahoma"/>
          <w:bCs/>
          <w:color w:val="000000"/>
          <w:sz w:val="20"/>
          <w:szCs w:val="20"/>
        </w:rPr>
        <w:t xml:space="preserve">SEGUNDO. - </w:t>
      </w:r>
      <w:r w:rsidRPr="00DE6B98">
        <w:rPr>
          <w:rFonts w:ascii="ITC Avant Garde Std Bk" w:eastAsia="Calibri" w:hAnsi="ITC Avant Garde Std Bk" w:cs="Tahoma"/>
          <w:bCs/>
          <w:color w:val="000000"/>
          <w:sz w:val="20"/>
          <w:szCs w:val="20"/>
        </w:rPr>
        <w:t>Se instruye a la Coordinación General de Mejora Regulatoria atender el presente proceso consultivo, así como recibir y dar atención, en el ámbito de sus respectivas atribuciones, a los comentarios, opiniones y/o propuestas que sean vertidas por los interesados a razón de la consulta pública materia del presente Acuerdo, con el apoyo de las Unidades de Cumplimiento, de Política Regulatoria, y de Medios y Contenidos Audiovisuales”</w:t>
      </w:r>
    </w:p>
    <w:p w:rsidR="008639BE" w:rsidRPr="00AF67AC" w:rsidRDefault="008639BE" w:rsidP="008639BE">
      <w:pPr>
        <w:spacing w:after="0" w:line="240" w:lineRule="auto"/>
        <w:ind w:left="709" w:right="724"/>
        <w:jc w:val="both"/>
        <w:rPr>
          <w:rFonts w:ascii="ITC Avant Garde Std Bk" w:hAnsi="ITC Avant Garde Std Bk" w:cs="Tahoma"/>
          <w:bCs/>
          <w:color w:val="000000"/>
          <w:sz w:val="20"/>
          <w:szCs w:val="20"/>
        </w:rPr>
      </w:pPr>
    </w:p>
    <w:p w:rsidR="008639BE" w:rsidRPr="00DE6B98" w:rsidRDefault="008639BE" w:rsidP="008639BE">
      <w:pPr>
        <w:spacing w:after="0" w:line="240" w:lineRule="auto"/>
        <w:jc w:val="both"/>
        <w:rPr>
          <w:rFonts w:ascii="ITC Avant Garde Std Bk" w:hAnsi="ITC Avant Garde Std Bk" w:cs="Tahoma"/>
          <w:bCs/>
          <w:color w:val="000000"/>
          <w:sz w:val="20"/>
          <w:szCs w:val="20"/>
        </w:rPr>
      </w:pPr>
      <w:r w:rsidRPr="00A63466">
        <w:rPr>
          <w:rFonts w:ascii="ITC Avant Garde Std Bk" w:hAnsi="ITC Avant Garde Std Bk" w:cs="Tahoma"/>
          <w:bCs/>
          <w:color w:val="000000"/>
          <w:sz w:val="20"/>
          <w:szCs w:val="20"/>
        </w:rPr>
        <w:t>La consulta pública tuvo como objetivo</w:t>
      </w:r>
      <w:r>
        <w:rPr>
          <w:rFonts w:ascii="Helvetica" w:hAnsi="Helvetica" w:cs="Helvetica"/>
          <w:color w:val="000000"/>
          <w:sz w:val="21"/>
          <w:szCs w:val="21"/>
          <w:shd w:val="clear" w:color="auto" w:fill="FFFFFF"/>
        </w:rPr>
        <w:t> (</w:t>
      </w:r>
      <w:r w:rsidRPr="00DE6B98">
        <w:rPr>
          <w:rFonts w:ascii="ITC Avant Garde Std Bk" w:hAnsi="ITC Avant Garde Std Bk" w:cs="Tahoma"/>
          <w:bCs/>
          <w:color w:val="000000"/>
          <w:sz w:val="20"/>
          <w:szCs w:val="20"/>
        </w:rPr>
        <w:t xml:space="preserve">i) </w:t>
      </w:r>
      <w:proofErr w:type="spellStart"/>
      <w:r w:rsidRPr="00DE6B98">
        <w:rPr>
          <w:rFonts w:ascii="ITC Avant Garde Std Bk" w:hAnsi="ITC Avant Garde Std Bk" w:cs="Tahoma"/>
          <w:bCs/>
          <w:color w:val="000000"/>
          <w:sz w:val="20"/>
          <w:szCs w:val="20"/>
        </w:rPr>
        <w:t>eficientar</w:t>
      </w:r>
      <w:proofErr w:type="spellEnd"/>
      <w:r w:rsidRPr="00DE6B98">
        <w:rPr>
          <w:rFonts w:ascii="ITC Avant Garde Std Bk" w:hAnsi="ITC Avant Garde Std Bk" w:cs="Tahoma"/>
          <w:bCs/>
          <w:color w:val="000000"/>
          <w:sz w:val="20"/>
          <w:szCs w:val="20"/>
        </w:rPr>
        <w:t>, agilizar y transparentar la gestión de diversos trámites y servicios a cargo del Instituto, a través del uso de formatos, y (ii) reducir la carga administrativa asociada a éstos mediante el empleo de la simplificación administrativa.</w:t>
      </w:r>
    </w:p>
    <w:p w:rsidR="008639BE"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Dicha consulta pública se llevó a cabo por un periodo de </w:t>
      </w:r>
      <w:r>
        <w:rPr>
          <w:rFonts w:ascii="ITC Avant Garde Std Bk" w:hAnsi="ITC Avant Garde Std Bk" w:cs="Tahoma"/>
          <w:bCs/>
          <w:color w:val="000000"/>
          <w:sz w:val="20"/>
          <w:szCs w:val="20"/>
        </w:rPr>
        <w:t>20</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veinte</w:t>
      </w:r>
      <w:r w:rsidRPr="00AF67AC">
        <w:rPr>
          <w:rFonts w:ascii="ITC Avant Garde Std Bk" w:hAnsi="ITC Avant Garde Std Bk" w:cs="Tahoma"/>
          <w:bCs/>
          <w:color w:val="000000"/>
          <w:sz w:val="20"/>
          <w:szCs w:val="20"/>
        </w:rPr>
        <w:t>) días hábil</w:t>
      </w:r>
      <w:r>
        <w:rPr>
          <w:rFonts w:ascii="ITC Avant Garde Std Bk" w:hAnsi="ITC Avant Garde Std Bk" w:cs="Tahoma"/>
          <w:bCs/>
          <w:color w:val="000000"/>
          <w:sz w:val="20"/>
          <w:szCs w:val="20"/>
        </w:rPr>
        <w:t>es, mismo que transcurrió del 4</w:t>
      </w:r>
      <w:r w:rsidRPr="00AF67AC">
        <w:rPr>
          <w:rFonts w:ascii="ITC Avant Garde Std Bk" w:hAnsi="ITC Avant Garde Std Bk" w:cs="Tahoma"/>
          <w:bCs/>
          <w:color w:val="000000"/>
          <w:sz w:val="20"/>
          <w:szCs w:val="20"/>
        </w:rPr>
        <w:t xml:space="preserve"> de </w:t>
      </w:r>
      <w:r>
        <w:rPr>
          <w:rFonts w:ascii="ITC Avant Garde Std Bk" w:hAnsi="ITC Avant Garde Std Bk" w:cs="Tahoma"/>
          <w:bCs/>
          <w:color w:val="000000"/>
          <w:sz w:val="20"/>
          <w:szCs w:val="20"/>
        </w:rPr>
        <w:t>noviembre de 2019</w:t>
      </w:r>
      <w:r w:rsidRPr="00AF67AC">
        <w:rPr>
          <w:rFonts w:ascii="ITC Avant Garde Std Bk" w:hAnsi="ITC Avant Garde Std Bk" w:cs="Tahoma"/>
          <w:bCs/>
          <w:color w:val="000000"/>
          <w:sz w:val="20"/>
          <w:szCs w:val="20"/>
        </w:rPr>
        <w:t xml:space="preserve"> al </w:t>
      </w:r>
      <w:r>
        <w:rPr>
          <w:rFonts w:ascii="ITC Avant Garde Std Bk" w:hAnsi="ITC Avant Garde Std Bk" w:cs="Tahoma"/>
          <w:bCs/>
          <w:color w:val="000000"/>
          <w:sz w:val="20"/>
          <w:szCs w:val="20"/>
        </w:rPr>
        <w:t>2</w:t>
      </w:r>
      <w:r w:rsidRPr="00AF67AC">
        <w:rPr>
          <w:rFonts w:ascii="ITC Avant Garde Std Bk" w:hAnsi="ITC Avant Garde Std Bk" w:cs="Tahoma"/>
          <w:bCs/>
          <w:color w:val="000000"/>
          <w:sz w:val="20"/>
          <w:szCs w:val="20"/>
        </w:rPr>
        <w:t xml:space="preserve"> de </w:t>
      </w:r>
      <w:r>
        <w:rPr>
          <w:rFonts w:ascii="ITC Avant Garde Std Bk" w:hAnsi="ITC Avant Garde Std Bk" w:cs="Tahoma"/>
          <w:bCs/>
          <w:color w:val="000000"/>
          <w:sz w:val="20"/>
          <w:szCs w:val="20"/>
        </w:rPr>
        <w:t>diciembre</w:t>
      </w:r>
      <w:r w:rsidRPr="00AF67AC">
        <w:rPr>
          <w:rFonts w:ascii="ITC Avant Garde Std Bk" w:hAnsi="ITC Avant Garde Std Bk" w:cs="Tahoma"/>
          <w:bCs/>
          <w:color w:val="000000"/>
          <w:sz w:val="20"/>
          <w:szCs w:val="20"/>
        </w:rPr>
        <w:t xml:space="preserve"> de 201</w:t>
      </w:r>
      <w:r>
        <w:rPr>
          <w:rFonts w:ascii="ITC Avant Garde Std Bk" w:hAnsi="ITC Avant Garde Std Bk" w:cs="Tahoma"/>
          <w:bCs/>
          <w:color w:val="000000"/>
          <w:sz w:val="20"/>
          <w:szCs w:val="20"/>
        </w:rPr>
        <w:t>9</w:t>
      </w:r>
      <w:r w:rsidRPr="00AF67AC">
        <w:rPr>
          <w:rFonts w:ascii="ITC Avant Garde Std Bk" w:hAnsi="ITC Avant Garde Std Bk" w:cs="Tahoma"/>
          <w:bCs/>
          <w:color w:val="000000"/>
          <w:sz w:val="20"/>
          <w:szCs w:val="20"/>
        </w:rPr>
        <w:t>.</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w:t>
      </w:r>
      <w:r>
        <w:rPr>
          <w:rFonts w:ascii="ITC Avant Garde Std Bk" w:hAnsi="ITC Avant Garde Std Bk" w:cs="Tahoma"/>
          <w:bCs/>
          <w:color w:val="000000"/>
          <w:sz w:val="20"/>
          <w:szCs w:val="20"/>
        </w:rPr>
        <w:t>s</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Unidades</w:t>
      </w:r>
      <w:r w:rsidRPr="00AF67AC">
        <w:rPr>
          <w:rFonts w:ascii="ITC Avant Garde Std Bk" w:hAnsi="ITC Avant Garde Std Bk" w:cs="Tahoma"/>
          <w:bCs/>
          <w:color w:val="000000"/>
          <w:sz w:val="20"/>
          <w:szCs w:val="20"/>
        </w:rPr>
        <w:t xml:space="preserve">, en cumplimiento al acuerdo Segundo del Acuerdo </w:t>
      </w:r>
      <w:r>
        <w:rPr>
          <w:rFonts w:ascii="ITC Avant Garde Std Bk" w:hAnsi="ITC Avant Garde Std Bk" w:cs="Tahoma"/>
          <w:bCs/>
          <w:color w:val="000000"/>
          <w:sz w:val="20"/>
          <w:szCs w:val="20"/>
        </w:rPr>
        <w:t>P/IFT/301019</w:t>
      </w:r>
      <w:r w:rsidRPr="00AF67AC">
        <w:rPr>
          <w:rFonts w:ascii="ITC Avant Garde Std Bk" w:hAnsi="ITC Avant Garde Std Bk" w:cs="Tahoma"/>
          <w:bCs/>
          <w:color w:val="000000"/>
          <w:sz w:val="20"/>
          <w:szCs w:val="20"/>
        </w:rPr>
        <w:t>/</w:t>
      </w:r>
      <w:r>
        <w:rPr>
          <w:rFonts w:ascii="ITC Avant Garde Std Bk" w:hAnsi="ITC Avant Garde Std Bk" w:cs="Tahoma"/>
          <w:bCs/>
          <w:color w:val="000000"/>
          <w:sz w:val="20"/>
          <w:szCs w:val="20"/>
        </w:rPr>
        <w:t>532, se encargaron</w:t>
      </w:r>
      <w:r w:rsidRPr="00AF67AC">
        <w:rPr>
          <w:rFonts w:ascii="ITC Avant Garde Std Bk" w:hAnsi="ITC Avant Garde Std Bk" w:cs="Tahoma"/>
          <w:bCs/>
          <w:color w:val="000000"/>
          <w:sz w:val="20"/>
          <w:szCs w:val="20"/>
        </w:rPr>
        <w:t xml:space="preserve"> de llevar a cabo la recepción y atención de los comentarios y aportaciones realizados durante el periodo de consulta pública.</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681731"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t>2. PUBLICACIÓN DEL INFORME</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w:t>
      </w:r>
      <w:r>
        <w:rPr>
          <w:rFonts w:ascii="ITC Avant Garde Std Bk" w:hAnsi="ITC Avant Garde Std Bk" w:cs="Tahoma"/>
          <w:bCs/>
          <w:color w:val="000000"/>
          <w:sz w:val="20"/>
          <w:szCs w:val="20"/>
        </w:rPr>
        <w:t>s</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Unidades</w:t>
      </w:r>
      <w:r w:rsidRPr="00AF67AC">
        <w:rPr>
          <w:rFonts w:ascii="ITC Avant Garde Std Bk" w:hAnsi="ITC Avant Garde Std Bk" w:cs="Tahoma"/>
          <w:bCs/>
          <w:color w:val="000000"/>
          <w:sz w:val="20"/>
          <w:szCs w:val="20"/>
        </w:rPr>
        <w:t>, de conformidad con las disposiciones referidas en la sección anterior, emite</w:t>
      </w:r>
      <w:r>
        <w:rPr>
          <w:rFonts w:ascii="ITC Avant Garde Std Bk" w:hAnsi="ITC Avant Garde Std Bk" w:cs="Tahoma"/>
          <w:bCs/>
          <w:color w:val="000000"/>
          <w:sz w:val="20"/>
          <w:szCs w:val="20"/>
        </w:rPr>
        <w:t>n</w:t>
      </w:r>
      <w:r w:rsidRPr="00AF67AC">
        <w:rPr>
          <w:rFonts w:ascii="ITC Avant Garde Std Bk" w:hAnsi="ITC Avant Garde Std Bk" w:cs="Tahoma"/>
          <w:bCs/>
          <w:color w:val="000000"/>
          <w:sz w:val="20"/>
          <w:szCs w:val="20"/>
        </w:rPr>
        <w:t xml:space="preserve"> este informe para su difusión general el cual, una vez integrado, deberá publicarse en el sitio de Internet del Instituto.</w:t>
      </w:r>
    </w:p>
    <w:p w:rsidR="008639BE" w:rsidRDefault="008639BE" w:rsidP="008639BE">
      <w:pPr>
        <w:spacing w:after="0" w:line="240" w:lineRule="auto"/>
        <w:jc w:val="both"/>
        <w:rPr>
          <w:rFonts w:ascii="ITC Avant Garde Std Bk" w:hAnsi="ITC Avant Garde Std Bk" w:cs="Tahoma"/>
          <w:bCs/>
          <w:color w:val="000000"/>
          <w:sz w:val="20"/>
          <w:szCs w:val="20"/>
        </w:rPr>
      </w:pPr>
    </w:p>
    <w:p w:rsidR="008639BE" w:rsidRPr="00681731"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lastRenderedPageBreak/>
        <w:t>3. ESTRUCTURA DEL INFORME</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 revisión y la evaluación de los comentarios recibidos se realizaron bajo la siguiente estructura:</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pStyle w:val="Prrafodelista"/>
        <w:numPr>
          <w:ilvl w:val="0"/>
          <w:numId w:val="5"/>
        </w:num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Identificación de las secciones y apartados del Anteproyecto</w:t>
      </w:r>
      <w:r>
        <w:rPr>
          <w:rFonts w:ascii="ITC Avant Garde Std Bk" w:hAnsi="ITC Avant Garde Std Bk" w:cs="Tahoma"/>
          <w:bCs/>
          <w:color w:val="000000"/>
          <w:sz w:val="20"/>
          <w:szCs w:val="20"/>
        </w:rPr>
        <w:t xml:space="preserve"> </w:t>
      </w:r>
      <w:r w:rsidRPr="00AF67AC">
        <w:rPr>
          <w:rFonts w:ascii="ITC Avant Garde Std Bk" w:hAnsi="ITC Avant Garde Std Bk" w:cs="Tahoma"/>
          <w:bCs/>
          <w:color w:val="000000"/>
          <w:sz w:val="20"/>
          <w:szCs w:val="20"/>
        </w:rPr>
        <w:t xml:space="preserve">sobre los que se recibieron comentarios en el periodo de consulta pública; </w:t>
      </w:r>
    </w:p>
    <w:p w:rsidR="008639BE" w:rsidRPr="00AF67AC" w:rsidRDefault="008639BE" w:rsidP="008639BE">
      <w:pPr>
        <w:pStyle w:val="Prrafodelista"/>
        <w:numPr>
          <w:ilvl w:val="0"/>
          <w:numId w:val="5"/>
        </w:num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Agrupación de los comentarios relacionados entre sí; </w:t>
      </w:r>
    </w:p>
    <w:p w:rsidR="008639BE" w:rsidRDefault="008639BE" w:rsidP="008639BE">
      <w:pPr>
        <w:pStyle w:val="Prrafodelista"/>
        <w:numPr>
          <w:ilvl w:val="0"/>
          <w:numId w:val="5"/>
        </w:numPr>
        <w:spacing w:after="0" w:line="240" w:lineRule="auto"/>
        <w:jc w:val="both"/>
        <w:rPr>
          <w:rFonts w:ascii="ITC Avant Garde Std Bk" w:hAnsi="ITC Avant Garde Std Bk" w:cs="Tahoma"/>
          <w:bCs/>
          <w:color w:val="000000"/>
          <w:sz w:val="20"/>
          <w:szCs w:val="20"/>
        </w:rPr>
      </w:pPr>
      <w:r>
        <w:rPr>
          <w:rFonts w:ascii="ITC Avant Garde Std Bk" w:hAnsi="ITC Avant Garde Std Bk" w:cs="Tahoma"/>
          <w:bCs/>
          <w:color w:val="000000"/>
          <w:sz w:val="20"/>
          <w:szCs w:val="20"/>
        </w:rPr>
        <w:t>Análisis de los comentarios</w:t>
      </w:r>
      <w:r w:rsidRPr="002B775B">
        <w:rPr>
          <w:rFonts w:ascii="ITC Avant Garde Std Bk" w:hAnsi="ITC Avant Garde Std Bk" w:cs="Tahoma"/>
          <w:bCs/>
          <w:color w:val="000000"/>
          <w:sz w:val="20"/>
          <w:szCs w:val="20"/>
        </w:rPr>
        <w:t xml:space="preserve"> y</w:t>
      </w:r>
      <w:r>
        <w:rPr>
          <w:rFonts w:ascii="ITC Avant Garde Std Bk" w:hAnsi="ITC Avant Garde Std Bk" w:cs="Tahoma"/>
          <w:bCs/>
          <w:color w:val="000000"/>
          <w:sz w:val="20"/>
          <w:szCs w:val="20"/>
        </w:rPr>
        <w:t xml:space="preserve"> e</w:t>
      </w:r>
      <w:r w:rsidRPr="002B775B">
        <w:rPr>
          <w:rFonts w:ascii="ITC Avant Garde Std Bk" w:hAnsi="ITC Avant Garde Std Bk" w:cs="Tahoma"/>
          <w:bCs/>
          <w:color w:val="000000"/>
          <w:sz w:val="20"/>
          <w:szCs w:val="20"/>
        </w:rPr>
        <w:t>laboración de las consideraciones sobre cada comentario o grupo de comentarios.</w:t>
      </w:r>
    </w:p>
    <w:p w:rsidR="004E57E5" w:rsidRPr="002B775B" w:rsidRDefault="004E57E5" w:rsidP="004E57E5">
      <w:pPr>
        <w:pStyle w:val="Prrafodelista"/>
        <w:spacing w:after="0" w:line="240" w:lineRule="auto"/>
        <w:jc w:val="both"/>
        <w:rPr>
          <w:rFonts w:ascii="ITC Avant Garde Std Bk" w:hAnsi="ITC Avant Garde Std Bk" w:cs="Tahoma"/>
          <w:bCs/>
          <w:color w:val="000000"/>
          <w:sz w:val="20"/>
          <w:szCs w:val="20"/>
        </w:rPr>
      </w:pPr>
    </w:p>
    <w:p w:rsidR="008639BE" w:rsidRPr="00164865" w:rsidRDefault="008639BE" w:rsidP="008639BE">
      <w:pPr>
        <w:spacing w:after="0" w:line="240" w:lineRule="auto"/>
        <w:jc w:val="both"/>
        <w:rPr>
          <w:rFonts w:ascii="ITC Avant Garde" w:hAnsi="ITC Avant Garde"/>
          <w:sz w:val="20"/>
          <w:szCs w:val="20"/>
        </w:rPr>
      </w:pPr>
    </w:p>
    <w:p w:rsidR="008639BE" w:rsidRPr="00681731"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t xml:space="preserve">4. </w:t>
      </w:r>
      <w:r>
        <w:rPr>
          <w:rFonts w:ascii="ITC Avant Garde Std Bk" w:eastAsia="Calibri" w:hAnsi="ITC Avant Garde Std Bk" w:cs="Tahoma"/>
          <w:b/>
          <w:bCs/>
          <w:color w:val="000000"/>
          <w:sz w:val="20"/>
          <w:szCs w:val="20"/>
        </w:rPr>
        <w:t>PARTICIPACIONES RECIBIDA</w:t>
      </w:r>
      <w:r w:rsidRPr="00681731">
        <w:rPr>
          <w:rFonts w:ascii="ITC Avant Garde Std Bk" w:eastAsia="Calibri" w:hAnsi="ITC Avant Garde Std Bk" w:cs="Tahoma"/>
          <w:b/>
          <w:bCs/>
          <w:color w:val="000000"/>
          <w:sz w:val="20"/>
          <w:szCs w:val="20"/>
        </w:rPr>
        <w:t>S DURANTE LA CONSULTA PÚBLICA</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En el sig</w:t>
      </w:r>
      <w:r>
        <w:rPr>
          <w:rFonts w:ascii="ITC Avant Garde Std Bk" w:hAnsi="ITC Avant Garde Std Bk" w:cs="Tahoma"/>
          <w:bCs/>
          <w:color w:val="000000"/>
          <w:sz w:val="20"/>
          <w:szCs w:val="20"/>
        </w:rPr>
        <w:t>uiente cuadro se esquematizan la</w:t>
      </w:r>
      <w:r w:rsidRPr="00AF67AC">
        <w:rPr>
          <w:rFonts w:ascii="ITC Avant Garde Std Bk" w:hAnsi="ITC Avant Garde Std Bk" w:cs="Tahoma"/>
          <w:bCs/>
          <w:color w:val="000000"/>
          <w:sz w:val="20"/>
          <w:szCs w:val="20"/>
        </w:rPr>
        <w:t xml:space="preserve">s </w:t>
      </w:r>
      <w:r>
        <w:rPr>
          <w:rFonts w:ascii="ITC Avant Garde Std Bk" w:hAnsi="ITC Avant Garde Std Bk" w:cs="Tahoma"/>
          <w:bCs/>
          <w:color w:val="000000"/>
          <w:sz w:val="20"/>
          <w:szCs w:val="20"/>
        </w:rPr>
        <w:t>participaciones recibida</w:t>
      </w:r>
      <w:r w:rsidRPr="00AF67AC">
        <w:rPr>
          <w:rFonts w:ascii="ITC Avant Garde Std Bk" w:hAnsi="ITC Avant Garde Std Bk" w:cs="Tahoma"/>
          <w:bCs/>
          <w:color w:val="000000"/>
          <w:sz w:val="20"/>
          <w:szCs w:val="20"/>
        </w:rPr>
        <w:t>s durante la consulta pública:</w:t>
      </w:r>
    </w:p>
    <w:p w:rsidR="008639BE" w:rsidRPr="005F7866" w:rsidRDefault="008639BE" w:rsidP="008639BE">
      <w:pPr>
        <w:spacing w:after="0" w:line="240" w:lineRule="auto"/>
        <w:jc w:val="both"/>
        <w:rPr>
          <w:rFonts w:ascii="ITC Avant Garde" w:hAnsi="ITC Avant Garde"/>
        </w:rPr>
      </w:pPr>
    </w:p>
    <w:tbl>
      <w:tblPr>
        <w:tblStyle w:val="Tablaconcuadrcula"/>
        <w:tblW w:w="0" w:type="auto"/>
        <w:jc w:val="center"/>
        <w:tblLook w:val="04A0" w:firstRow="1" w:lastRow="0" w:firstColumn="1" w:lastColumn="0" w:noHBand="0" w:noVBand="1"/>
      </w:tblPr>
      <w:tblGrid>
        <w:gridCol w:w="2420"/>
        <w:gridCol w:w="2816"/>
        <w:gridCol w:w="1539"/>
        <w:gridCol w:w="1547"/>
        <w:gridCol w:w="1640"/>
      </w:tblGrid>
      <w:tr w:rsidR="008639BE" w:rsidRPr="00AE5B90" w:rsidTr="00D43A33">
        <w:trPr>
          <w:tblHeader/>
          <w:jc w:val="center"/>
        </w:trPr>
        <w:tc>
          <w:tcPr>
            <w:tcW w:w="2420" w:type="dxa"/>
            <w:shd w:val="clear" w:color="auto" w:fill="296624"/>
            <w:vAlign w:val="center"/>
          </w:tcPr>
          <w:p w:rsidR="008639BE" w:rsidRPr="00AE5B90" w:rsidRDefault="008639BE" w:rsidP="00D43A33">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PARTICIPANTES</w:t>
            </w:r>
          </w:p>
        </w:tc>
        <w:tc>
          <w:tcPr>
            <w:tcW w:w="2816" w:type="dxa"/>
            <w:shd w:val="clear" w:color="auto" w:fill="296624"/>
            <w:vAlign w:val="center"/>
          </w:tcPr>
          <w:p w:rsidR="008639BE" w:rsidRPr="00AE5B90" w:rsidRDefault="008639BE" w:rsidP="00D43A33">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EMPRESA(S) QUE REPRESENTA(N)</w:t>
            </w:r>
          </w:p>
        </w:tc>
        <w:tc>
          <w:tcPr>
            <w:tcW w:w="1539" w:type="dxa"/>
            <w:shd w:val="clear" w:color="auto" w:fill="296624"/>
            <w:vAlign w:val="center"/>
          </w:tcPr>
          <w:p w:rsidR="008639BE" w:rsidRPr="00AE5B90" w:rsidRDefault="008639BE" w:rsidP="00D43A33">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TIPO DE ESCRITO</w:t>
            </w:r>
          </w:p>
        </w:tc>
        <w:tc>
          <w:tcPr>
            <w:tcW w:w="1547" w:type="dxa"/>
            <w:shd w:val="clear" w:color="auto" w:fill="296624"/>
            <w:vAlign w:val="center"/>
          </w:tcPr>
          <w:p w:rsidR="008639BE" w:rsidRPr="00AE5B90" w:rsidRDefault="008639BE" w:rsidP="00D43A33">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FECHA DE PRESENTACIÓN</w:t>
            </w:r>
          </w:p>
        </w:tc>
        <w:tc>
          <w:tcPr>
            <w:tcW w:w="1640" w:type="dxa"/>
            <w:shd w:val="clear" w:color="auto" w:fill="296624"/>
            <w:vAlign w:val="center"/>
          </w:tcPr>
          <w:p w:rsidR="008639BE" w:rsidRPr="00AE5B90" w:rsidRDefault="008639BE" w:rsidP="00D43A33">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FORMATO DE PRESENTACIÓN</w:t>
            </w:r>
          </w:p>
        </w:tc>
      </w:tr>
      <w:tr w:rsidR="008639BE" w:rsidRPr="00AE5B90" w:rsidTr="00D43A33">
        <w:trPr>
          <w:jc w:val="center"/>
        </w:trPr>
        <w:tc>
          <w:tcPr>
            <w:tcW w:w="2420" w:type="dxa"/>
            <w:shd w:val="clear" w:color="auto" w:fill="C2D69B" w:themeFill="accent3" w:themeFillTint="99"/>
            <w:vAlign w:val="center"/>
          </w:tcPr>
          <w:p w:rsidR="008639BE" w:rsidRPr="00DE6B98" w:rsidRDefault="008639BE" w:rsidP="00017406">
            <w:pPr>
              <w:numPr>
                <w:ilvl w:val="0"/>
                <w:numId w:val="4"/>
              </w:numPr>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Ángel BG</w:t>
            </w:r>
          </w:p>
        </w:tc>
        <w:tc>
          <w:tcPr>
            <w:tcW w:w="2816" w:type="dxa"/>
            <w:shd w:val="clear" w:color="auto" w:fill="C2D69B" w:themeFill="accent3" w:themeFillTint="99"/>
            <w:vAlign w:val="center"/>
          </w:tcPr>
          <w:p w:rsidR="008639BE" w:rsidRPr="00DE6B98" w:rsidRDefault="008639BE" w:rsidP="00017406">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Por su propio derecho</w:t>
            </w:r>
          </w:p>
        </w:tc>
        <w:tc>
          <w:tcPr>
            <w:tcW w:w="1539" w:type="dxa"/>
            <w:shd w:val="clear" w:color="auto" w:fill="C2D69B" w:themeFill="accent3" w:themeFillTint="99"/>
            <w:vAlign w:val="center"/>
          </w:tcPr>
          <w:p w:rsidR="008639BE" w:rsidRPr="00AE5B90"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Escrito libre</w:t>
            </w:r>
            <w:r w:rsidRPr="00AE5B90">
              <w:rPr>
                <w:rFonts w:ascii="ITC Avant Garde Std Bk" w:hAnsi="ITC Avant Garde Std Bk" w:cs="Tahoma"/>
                <w:bCs/>
                <w:color w:val="000000"/>
                <w:sz w:val="16"/>
                <w:szCs w:val="16"/>
              </w:rPr>
              <w:t xml:space="preserve"> </w:t>
            </w:r>
          </w:p>
        </w:tc>
        <w:tc>
          <w:tcPr>
            <w:tcW w:w="1547" w:type="dxa"/>
            <w:shd w:val="clear" w:color="auto" w:fill="C2D69B" w:themeFill="accent3" w:themeFillTint="99"/>
            <w:vAlign w:val="center"/>
          </w:tcPr>
          <w:p w:rsidR="008639BE" w:rsidRDefault="008639BE" w:rsidP="00D43A33">
            <w:pPr>
              <w:jc w:val="center"/>
              <w:rPr>
                <w:rFonts w:ascii="ITC Avant Garde Std Bk" w:hAnsi="ITC Avant Garde Std Bk" w:cs="Tahoma"/>
                <w:bCs/>
                <w:color w:val="000000"/>
                <w:sz w:val="16"/>
                <w:szCs w:val="16"/>
              </w:rPr>
            </w:pPr>
          </w:p>
          <w:p w:rsidR="008639BE" w:rsidRPr="00AE5B90"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26</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1</w:t>
            </w:r>
            <w:r w:rsidRPr="00AE5B90">
              <w:rPr>
                <w:rFonts w:ascii="ITC Avant Garde Std Bk" w:hAnsi="ITC Avant Garde Std Bk" w:cs="Tahoma"/>
                <w:bCs/>
                <w:color w:val="000000"/>
                <w:sz w:val="16"/>
                <w:szCs w:val="16"/>
              </w:rPr>
              <w:t>1/201</w:t>
            </w:r>
            <w:r>
              <w:rPr>
                <w:rFonts w:ascii="ITC Avant Garde Std Bk" w:hAnsi="ITC Avant Garde Std Bk" w:cs="Tahoma"/>
                <w:bCs/>
                <w:color w:val="000000"/>
                <w:sz w:val="16"/>
                <w:szCs w:val="16"/>
              </w:rPr>
              <w:t>9</w:t>
            </w:r>
          </w:p>
          <w:p w:rsidR="008639BE" w:rsidRPr="00AE5B90" w:rsidRDefault="008639BE" w:rsidP="00D43A33">
            <w:pPr>
              <w:jc w:val="center"/>
              <w:rPr>
                <w:rFonts w:ascii="ITC Avant Garde Std Bk" w:hAnsi="ITC Avant Garde Std Bk" w:cs="Tahoma"/>
                <w:bCs/>
                <w:color w:val="000000"/>
                <w:sz w:val="16"/>
                <w:szCs w:val="16"/>
              </w:rPr>
            </w:pPr>
          </w:p>
        </w:tc>
        <w:tc>
          <w:tcPr>
            <w:tcW w:w="1640" w:type="dxa"/>
            <w:shd w:val="clear" w:color="auto" w:fill="C2D69B" w:themeFill="accent3" w:themeFillTint="99"/>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r w:rsidR="008639BE" w:rsidRPr="00AE5B90" w:rsidTr="00D43A33">
        <w:trPr>
          <w:jc w:val="center"/>
        </w:trPr>
        <w:tc>
          <w:tcPr>
            <w:tcW w:w="2420" w:type="dxa"/>
            <w:shd w:val="clear" w:color="auto" w:fill="C2D69B" w:themeFill="accent3" w:themeFillTint="99"/>
            <w:vAlign w:val="center"/>
          </w:tcPr>
          <w:p w:rsidR="008639BE" w:rsidRPr="00DE6B98" w:rsidRDefault="008639BE" w:rsidP="00017406">
            <w:pPr>
              <w:numPr>
                <w:ilvl w:val="0"/>
                <w:numId w:val="4"/>
              </w:numPr>
              <w:jc w:val="both"/>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Víctor Tomás López</w:t>
            </w:r>
            <w:r>
              <w:rPr>
                <w:rFonts w:ascii="ITC Avant Garde Std Bk" w:hAnsi="ITC Avant Garde Std Bk" w:cs="Tahoma"/>
                <w:bCs/>
                <w:color w:val="000000"/>
                <w:sz w:val="16"/>
                <w:szCs w:val="16"/>
              </w:rPr>
              <w:t xml:space="preserve"> </w:t>
            </w:r>
            <w:proofErr w:type="spellStart"/>
            <w:r w:rsidRPr="00DE6B98">
              <w:rPr>
                <w:rFonts w:ascii="ITC Avant Garde Std Bk" w:hAnsi="ITC Avant Garde Std Bk" w:cs="Tahoma"/>
                <w:bCs/>
                <w:color w:val="000000"/>
                <w:sz w:val="16"/>
                <w:szCs w:val="16"/>
              </w:rPr>
              <w:t>Baltierra</w:t>
            </w:r>
            <w:proofErr w:type="spellEnd"/>
          </w:p>
        </w:tc>
        <w:tc>
          <w:tcPr>
            <w:tcW w:w="2816" w:type="dxa"/>
            <w:shd w:val="clear" w:color="auto" w:fill="C2D69B" w:themeFill="accent3" w:themeFillTint="99"/>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 xml:space="preserve">Cablevisión, S.A. de C.V., México Red de Telecomunicaciones, S. de R.L. de C.V., Televisión Internacional S.A. de C.V., Cablevisión Red, S.A. de C.V., </w:t>
            </w:r>
            <w:proofErr w:type="spellStart"/>
            <w:r w:rsidRPr="00DE6B98">
              <w:rPr>
                <w:rFonts w:ascii="ITC Avant Garde Std Bk" w:hAnsi="ITC Avant Garde Std Bk" w:cs="Tahoma"/>
                <w:bCs/>
                <w:color w:val="000000"/>
                <w:sz w:val="16"/>
                <w:szCs w:val="16"/>
              </w:rPr>
              <w:t>Operbes</w:t>
            </w:r>
            <w:proofErr w:type="spellEnd"/>
            <w:r w:rsidRPr="00DE6B98">
              <w:rPr>
                <w:rFonts w:ascii="ITC Avant Garde Std Bk" w:hAnsi="ITC Avant Garde Std Bk" w:cs="Tahoma"/>
                <w:bCs/>
                <w:color w:val="000000"/>
                <w:sz w:val="16"/>
                <w:szCs w:val="16"/>
              </w:rPr>
              <w:t xml:space="preserve">, S.A. de C.V., </w:t>
            </w:r>
            <w:proofErr w:type="spellStart"/>
            <w:r w:rsidRPr="00DE6B98">
              <w:rPr>
                <w:rFonts w:ascii="ITC Avant Garde Std Bk" w:hAnsi="ITC Avant Garde Std Bk" w:cs="Tahoma"/>
                <w:bCs/>
                <w:color w:val="000000"/>
                <w:sz w:val="16"/>
                <w:szCs w:val="16"/>
              </w:rPr>
              <w:t>Cablemás</w:t>
            </w:r>
            <w:proofErr w:type="spellEnd"/>
            <w:r w:rsidRPr="00DE6B98">
              <w:rPr>
                <w:rFonts w:ascii="ITC Avant Garde Std Bk" w:hAnsi="ITC Avant Garde Std Bk" w:cs="Tahoma"/>
                <w:bCs/>
                <w:color w:val="000000"/>
                <w:sz w:val="16"/>
                <w:szCs w:val="16"/>
              </w:rPr>
              <w:t xml:space="preserve"> Telecomunicaciones, S.A. de C.V. y TV Cable de Oriente S.A. de C.V</w:t>
            </w:r>
            <w:r>
              <w:rPr>
                <w:rFonts w:ascii="ITC Avant Garde Std Bk" w:hAnsi="ITC Avant Garde Std Bk" w:cs="Tahoma"/>
                <w:bCs/>
                <w:color w:val="000000"/>
                <w:sz w:val="16"/>
                <w:szCs w:val="16"/>
              </w:rPr>
              <w:t>.</w:t>
            </w:r>
          </w:p>
        </w:tc>
        <w:tc>
          <w:tcPr>
            <w:tcW w:w="1539" w:type="dxa"/>
            <w:shd w:val="clear" w:color="auto" w:fill="C2D69B" w:themeFill="accent3" w:themeFillTint="99"/>
            <w:vAlign w:val="center"/>
          </w:tcPr>
          <w:p w:rsidR="008639BE" w:rsidRPr="00AE5B90" w:rsidRDefault="008639BE" w:rsidP="00D43A33">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C2D69B" w:themeFill="accent3" w:themeFillTint="99"/>
            <w:vAlign w:val="center"/>
          </w:tcPr>
          <w:p w:rsidR="008639BE"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02</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12</w:t>
            </w:r>
            <w:r w:rsidRPr="00AE5B90">
              <w:rPr>
                <w:rFonts w:ascii="ITC Avant Garde Std Bk" w:hAnsi="ITC Avant Garde Std Bk" w:cs="Tahoma"/>
                <w:bCs/>
                <w:color w:val="000000"/>
                <w:sz w:val="16"/>
                <w:szCs w:val="16"/>
              </w:rPr>
              <w:t>/2019</w:t>
            </w:r>
          </w:p>
        </w:tc>
        <w:tc>
          <w:tcPr>
            <w:tcW w:w="1640" w:type="dxa"/>
            <w:shd w:val="clear" w:color="auto" w:fill="C2D69B" w:themeFill="accent3" w:themeFillTint="99"/>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r w:rsidR="008639BE" w:rsidRPr="00AE5B90" w:rsidTr="00D43A33">
        <w:trPr>
          <w:jc w:val="center"/>
        </w:trPr>
        <w:tc>
          <w:tcPr>
            <w:tcW w:w="2420" w:type="dxa"/>
            <w:shd w:val="clear" w:color="auto" w:fill="D6E3BC" w:themeFill="accent3" w:themeFillTint="66"/>
            <w:vAlign w:val="center"/>
          </w:tcPr>
          <w:p w:rsidR="008639BE" w:rsidRPr="00DE6B98" w:rsidRDefault="008639BE" w:rsidP="008639BE">
            <w:pPr>
              <w:numPr>
                <w:ilvl w:val="0"/>
                <w:numId w:val="4"/>
              </w:numP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Daniel Bernal Salazar</w:t>
            </w:r>
          </w:p>
        </w:tc>
        <w:tc>
          <w:tcPr>
            <w:tcW w:w="2816" w:type="dxa"/>
            <w:shd w:val="clear" w:color="auto" w:fill="D6E3BC" w:themeFill="accent3" w:themeFillTint="66"/>
            <w:vAlign w:val="center"/>
          </w:tcPr>
          <w:p w:rsidR="008639BE" w:rsidRPr="00AE5B90" w:rsidRDefault="00456B43" w:rsidP="00D43A33">
            <w:pPr>
              <w:jc w:val="center"/>
              <w:rPr>
                <w:rFonts w:ascii="ITC Avant Garde Std Bk" w:hAnsi="ITC Avant Garde Std Bk" w:cs="Tahoma"/>
                <w:bCs/>
                <w:color w:val="000000"/>
                <w:sz w:val="16"/>
                <w:szCs w:val="16"/>
              </w:rPr>
            </w:pPr>
            <w:hyperlink r:id="rId7" w:tgtFrame="_blank" w:tooltip="Se abrirá en otra pestaña el Archivo PDF" w:history="1">
              <w:r w:rsidR="008639BE" w:rsidRPr="00DE6B98">
                <w:rPr>
                  <w:rFonts w:ascii="ITC Avant Garde Std Bk" w:hAnsi="ITC Avant Garde Std Bk" w:cs="Tahoma"/>
                  <w:bCs/>
                  <w:sz w:val="16"/>
                  <w:szCs w:val="16"/>
                </w:rPr>
                <w:t> </w:t>
              </w:r>
              <w:proofErr w:type="spellStart"/>
              <w:r w:rsidR="00434C2C">
                <w:rPr>
                  <w:rFonts w:ascii="ITC Avant Garde Std Bk" w:hAnsi="ITC Avant Garde Std Bk" w:cs="Tahoma"/>
                  <w:bCs/>
                  <w:sz w:val="16"/>
                  <w:szCs w:val="16"/>
                </w:rPr>
                <w:t>Radio</w:t>
              </w:r>
              <w:r w:rsidR="00434C2C" w:rsidRPr="00DE6B98">
                <w:rPr>
                  <w:rFonts w:ascii="ITC Avant Garde Std Bk" w:hAnsi="ITC Avant Garde Std Bk" w:cs="Tahoma"/>
                  <w:bCs/>
                  <w:sz w:val="16"/>
                  <w:szCs w:val="16"/>
                </w:rPr>
                <w:t>móvil</w:t>
              </w:r>
              <w:proofErr w:type="spellEnd"/>
              <w:r w:rsidR="008639BE" w:rsidRPr="00DE6B98">
                <w:rPr>
                  <w:rFonts w:ascii="ITC Avant Garde Std Bk" w:hAnsi="ITC Avant Garde Std Bk" w:cs="Tahoma"/>
                  <w:bCs/>
                  <w:sz w:val="16"/>
                  <w:szCs w:val="16"/>
                </w:rPr>
                <w:t xml:space="preserve"> </w:t>
              </w:r>
              <w:proofErr w:type="spellStart"/>
              <w:r w:rsidR="008639BE" w:rsidRPr="00DE6B98">
                <w:rPr>
                  <w:rFonts w:ascii="ITC Avant Garde Std Bk" w:hAnsi="ITC Avant Garde Std Bk" w:cs="Tahoma"/>
                  <w:bCs/>
                  <w:sz w:val="16"/>
                  <w:szCs w:val="16"/>
                </w:rPr>
                <w:t>Dipsa</w:t>
              </w:r>
              <w:proofErr w:type="spellEnd"/>
              <w:r w:rsidR="008639BE" w:rsidRPr="00DE6B98">
                <w:rPr>
                  <w:rFonts w:ascii="ITC Avant Garde Std Bk" w:hAnsi="ITC Avant Garde Std Bk" w:cs="Tahoma"/>
                  <w:bCs/>
                  <w:sz w:val="16"/>
                  <w:szCs w:val="16"/>
                </w:rPr>
                <w:t>, S.A. de C.V</w:t>
              </w:r>
            </w:hyperlink>
          </w:p>
        </w:tc>
        <w:tc>
          <w:tcPr>
            <w:tcW w:w="1539" w:type="dxa"/>
            <w:shd w:val="clear" w:color="auto" w:fill="D6E3BC" w:themeFill="accent3" w:themeFillTint="66"/>
            <w:vAlign w:val="center"/>
          </w:tcPr>
          <w:p w:rsidR="008639BE" w:rsidRPr="00AE5B90" w:rsidRDefault="008639BE" w:rsidP="00D43A33">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D6E3BC" w:themeFill="accent3" w:themeFillTint="66"/>
            <w:vAlign w:val="center"/>
          </w:tcPr>
          <w:p w:rsidR="008639BE" w:rsidRPr="00AE5B90"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02</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12</w:t>
            </w:r>
            <w:r w:rsidRPr="00AE5B90">
              <w:rPr>
                <w:rFonts w:ascii="ITC Avant Garde Std Bk" w:hAnsi="ITC Avant Garde Std Bk" w:cs="Tahoma"/>
                <w:bCs/>
                <w:color w:val="000000"/>
                <w:sz w:val="16"/>
                <w:szCs w:val="16"/>
              </w:rPr>
              <w:t>/2019</w:t>
            </w:r>
          </w:p>
        </w:tc>
        <w:tc>
          <w:tcPr>
            <w:tcW w:w="1640" w:type="dxa"/>
            <w:shd w:val="clear" w:color="auto" w:fill="D6E3BC" w:themeFill="accent3" w:themeFillTint="66"/>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r w:rsidR="008639BE" w:rsidRPr="00AE5B90" w:rsidTr="00D43A33">
        <w:trPr>
          <w:jc w:val="center"/>
        </w:trPr>
        <w:tc>
          <w:tcPr>
            <w:tcW w:w="2420" w:type="dxa"/>
            <w:shd w:val="clear" w:color="auto" w:fill="C2D69B" w:themeFill="accent3" w:themeFillTint="99"/>
            <w:vAlign w:val="center"/>
          </w:tcPr>
          <w:p w:rsidR="008639BE" w:rsidRPr="00DE6B98" w:rsidRDefault="008639BE" w:rsidP="008639BE">
            <w:pPr>
              <w:numPr>
                <w:ilvl w:val="0"/>
                <w:numId w:val="4"/>
              </w:numP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 xml:space="preserve">Gabriel </w:t>
            </w:r>
            <w:proofErr w:type="spellStart"/>
            <w:r w:rsidRPr="00DE6B98">
              <w:rPr>
                <w:rFonts w:ascii="ITC Avant Garde Std Bk" w:hAnsi="ITC Avant Garde Std Bk" w:cs="Tahoma"/>
                <w:bCs/>
                <w:color w:val="000000"/>
                <w:sz w:val="16"/>
                <w:szCs w:val="16"/>
              </w:rPr>
              <w:t>Székely</w:t>
            </w:r>
            <w:proofErr w:type="spellEnd"/>
          </w:p>
        </w:tc>
        <w:tc>
          <w:tcPr>
            <w:tcW w:w="2816" w:type="dxa"/>
            <w:shd w:val="clear" w:color="auto" w:fill="C2D69B" w:themeFill="accent3" w:themeFillTint="99"/>
            <w:vAlign w:val="center"/>
          </w:tcPr>
          <w:p w:rsidR="008639BE" w:rsidRPr="00AE5B90" w:rsidRDefault="00456B43" w:rsidP="00D43A33">
            <w:pPr>
              <w:jc w:val="center"/>
              <w:rPr>
                <w:rFonts w:ascii="ITC Avant Garde Std Bk" w:hAnsi="ITC Avant Garde Std Bk" w:cs="Tahoma"/>
                <w:bCs/>
                <w:color w:val="000000"/>
                <w:sz w:val="16"/>
                <w:szCs w:val="16"/>
              </w:rPr>
            </w:pPr>
            <w:hyperlink r:id="rId8" w:tgtFrame="_blank" w:tooltip="Se abrirá en otra pestaña el Archivo PDF" w:history="1">
              <w:r w:rsidR="008639BE" w:rsidRPr="00DE6B98">
                <w:rPr>
                  <w:rFonts w:ascii="ITC Avant Garde Std Bk" w:hAnsi="ITC Avant Garde Std Bk" w:cs="Tahoma"/>
                  <w:bCs/>
                  <w:sz w:val="16"/>
                  <w:szCs w:val="16"/>
                </w:rPr>
                <w:t> Asociación Nacional de Telecomunicaciones, A.C.</w:t>
              </w:r>
            </w:hyperlink>
          </w:p>
        </w:tc>
        <w:tc>
          <w:tcPr>
            <w:tcW w:w="1539" w:type="dxa"/>
            <w:shd w:val="clear" w:color="auto" w:fill="C2D69B" w:themeFill="accent3" w:themeFillTint="99"/>
            <w:vAlign w:val="center"/>
          </w:tcPr>
          <w:p w:rsidR="008639BE" w:rsidRPr="00AE5B90" w:rsidRDefault="008639BE" w:rsidP="00D43A33">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C2D69B" w:themeFill="accent3" w:themeFillTint="99"/>
            <w:vAlign w:val="center"/>
          </w:tcPr>
          <w:p w:rsidR="008639BE" w:rsidRPr="00AE5B90"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02</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12</w:t>
            </w:r>
            <w:r w:rsidRPr="00AE5B90">
              <w:rPr>
                <w:rFonts w:ascii="ITC Avant Garde Std Bk" w:hAnsi="ITC Avant Garde Std Bk" w:cs="Tahoma"/>
                <w:bCs/>
                <w:color w:val="000000"/>
                <w:sz w:val="16"/>
                <w:szCs w:val="16"/>
              </w:rPr>
              <w:t>/2019</w:t>
            </w:r>
          </w:p>
        </w:tc>
        <w:tc>
          <w:tcPr>
            <w:tcW w:w="1640" w:type="dxa"/>
            <w:shd w:val="clear" w:color="auto" w:fill="C2D69B" w:themeFill="accent3" w:themeFillTint="99"/>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r w:rsidR="008639BE" w:rsidRPr="00AE5B90" w:rsidTr="00D43A33">
        <w:trPr>
          <w:jc w:val="center"/>
        </w:trPr>
        <w:tc>
          <w:tcPr>
            <w:tcW w:w="2420" w:type="dxa"/>
            <w:shd w:val="clear" w:color="auto" w:fill="D6E3BC" w:themeFill="accent3" w:themeFillTint="66"/>
            <w:vAlign w:val="center"/>
          </w:tcPr>
          <w:p w:rsidR="008639BE" w:rsidRPr="00DE6B98" w:rsidRDefault="008639BE" w:rsidP="008639BE">
            <w:pPr>
              <w:numPr>
                <w:ilvl w:val="0"/>
                <w:numId w:val="4"/>
              </w:numP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 xml:space="preserve">Jorge Luis Hernández </w:t>
            </w:r>
            <w:proofErr w:type="spellStart"/>
            <w:r w:rsidRPr="00DE6B98">
              <w:rPr>
                <w:rFonts w:ascii="ITC Avant Garde Std Bk" w:hAnsi="ITC Avant Garde Std Bk" w:cs="Tahoma"/>
                <w:bCs/>
                <w:color w:val="000000"/>
                <w:sz w:val="16"/>
                <w:szCs w:val="16"/>
              </w:rPr>
              <w:t>Castuera</w:t>
            </w:r>
            <w:proofErr w:type="spellEnd"/>
          </w:p>
        </w:tc>
        <w:tc>
          <w:tcPr>
            <w:tcW w:w="2816" w:type="dxa"/>
            <w:shd w:val="clear" w:color="auto" w:fill="D6E3BC" w:themeFill="accent3" w:themeFillTint="66"/>
            <w:vAlign w:val="center"/>
          </w:tcPr>
          <w:p w:rsidR="008639BE" w:rsidRPr="00AE5B90" w:rsidRDefault="00456B43" w:rsidP="00D43A33">
            <w:pPr>
              <w:jc w:val="center"/>
              <w:rPr>
                <w:rFonts w:ascii="ITC Avant Garde Std Bk" w:hAnsi="ITC Avant Garde Std Bk" w:cs="Tahoma"/>
                <w:bCs/>
                <w:color w:val="000000"/>
                <w:sz w:val="16"/>
                <w:szCs w:val="16"/>
              </w:rPr>
            </w:pPr>
            <w:hyperlink r:id="rId9" w:tgtFrame="_blank" w:tooltip="Se abrirá en otra pestaña el Archivo PDF" w:history="1">
              <w:proofErr w:type="spellStart"/>
              <w:r w:rsidR="008639BE" w:rsidRPr="00DE6B98">
                <w:rPr>
                  <w:rFonts w:ascii="ITC Avant Garde Std Bk" w:hAnsi="ITC Avant Garde Std Bk" w:cs="Tahoma"/>
                  <w:bCs/>
                  <w:sz w:val="16"/>
                  <w:szCs w:val="16"/>
                </w:rPr>
                <w:t>Altán</w:t>
              </w:r>
              <w:proofErr w:type="spellEnd"/>
              <w:r w:rsidR="008639BE" w:rsidRPr="00DE6B98">
                <w:rPr>
                  <w:rFonts w:ascii="ITC Avant Garde Std Bk" w:hAnsi="ITC Avant Garde Std Bk" w:cs="Tahoma"/>
                  <w:bCs/>
                  <w:sz w:val="16"/>
                  <w:szCs w:val="16"/>
                </w:rPr>
                <w:t xml:space="preserve"> Redes, S.A.P.I. de C.V.</w:t>
              </w:r>
            </w:hyperlink>
          </w:p>
        </w:tc>
        <w:tc>
          <w:tcPr>
            <w:tcW w:w="1539" w:type="dxa"/>
            <w:shd w:val="clear" w:color="auto" w:fill="D6E3BC" w:themeFill="accent3" w:themeFillTint="66"/>
            <w:vAlign w:val="center"/>
          </w:tcPr>
          <w:p w:rsidR="008639BE" w:rsidRPr="00AE5B90" w:rsidRDefault="008639BE" w:rsidP="00D43A33">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D6E3BC" w:themeFill="accent3" w:themeFillTint="66"/>
            <w:vAlign w:val="center"/>
          </w:tcPr>
          <w:p w:rsidR="008639BE" w:rsidRPr="00AE5B90" w:rsidRDefault="008639BE" w:rsidP="00D43A33">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02</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12</w:t>
            </w:r>
            <w:r w:rsidRPr="00AE5B90">
              <w:rPr>
                <w:rFonts w:ascii="ITC Avant Garde Std Bk" w:hAnsi="ITC Avant Garde Std Bk" w:cs="Tahoma"/>
                <w:bCs/>
                <w:color w:val="000000"/>
                <w:sz w:val="16"/>
                <w:szCs w:val="16"/>
              </w:rPr>
              <w:t>/2019</w:t>
            </w:r>
          </w:p>
        </w:tc>
        <w:tc>
          <w:tcPr>
            <w:tcW w:w="1640" w:type="dxa"/>
            <w:shd w:val="clear" w:color="auto" w:fill="D6E3BC" w:themeFill="accent3" w:themeFillTint="66"/>
            <w:vAlign w:val="center"/>
          </w:tcPr>
          <w:p w:rsidR="008639BE" w:rsidRPr="00DE6B98" w:rsidRDefault="008639BE" w:rsidP="00D43A33">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bl>
    <w:p w:rsidR="008639BE"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Todos los escritos</w:t>
      </w:r>
      <w:r>
        <w:rPr>
          <w:rFonts w:ascii="ITC Avant Garde Std Bk" w:hAnsi="ITC Avant Garde Std Bk" w:cs="Tahoma"/>
          <w:bCs/>
          <w:color w:val="000000"/>
          <w:sz w:val="20"/>
          <w:szCs w:val="20"/>
        </w:rPr>
        <w:t xml:space="preserve"> y formatos de participación</w:t>
      </w:r>
      <w:r w:rsidRPr="00AF67AC">
        <w:rPr>
          <w:rFonts w:ascii="ITC Avant Garde Std Bk" w:hAnsi="ITC Avant Garde Std Bk" w:cs="Tahoma"/>
          <w:bCs/>
          <w:color w:val="000000"/>
          <w:sz w:val="20"/>
          <w:szCs w:val="20"/>
        </w:rPr>
        <w:t xml:space="preserve"> fueron presentados dentro del periodo habilitado </w:t>
      </w:r>
      <w:r>
        <w:rPr>
          <w:rFonts w:ascii="ITC Avant Garde Std Bk" w:hAnsi="ITC Avant Garde Std Bk" w:cs="Tahoma"/>
          <w:bCs/>
          <w:color w:val="000000"/>
          <w:sz w:val="20"/>
          <w:szCs w:val="20"/>
        </w:rPr>
        <w:t>para</w:t>
      </w:r>
      <w:r w:rsidRPr="00AF67AC">
        <w:rPr>
          <w:rFonts w:ascii="ITC Avant Garde Std Bk" w:hAnsi="ITC Avant Garde Std Bk" w:cs="Tahoma"/>
          <w:bCs/>
          <w:color w:val="000000"/>
          <w:sz w:val="20"/>
          <w:szCs w:val="20"/>
        </w:rPr>
        <w:t xml:space="preserve"> la consulta pública correspondiente y su contenido</w:t>
      </w:r>
      <w:r>
        <w:rPr>
          <w:rFonts w:ascii="ITC Avant Garde Std Bk" w:hAnsi="ITC Avant Garde Std Bk" w:cs="Tahoma"/>
          <w:bCs/>
          <w:color w:val="000000"/>
          <w:sz w:val="20"/>
          <w:szCs w:val="20"/>
        </w:rPr>
        <w:t xml:space="preserve">, </w:t>
      </w:r>
      <w:r w:rsidRPr="00AF67AC">
        <w:rPr>
          <w:rFonts w:ascii="ITC Avant Garde Std Bk" w:hAnsi="ITC Avant Garde Std Bk" w:cs="Tahoma"/>
          <w:bCs/>
          <w:color w:val="000000"/>
          <w:sz w:val="20"/>
          <w:szCs w:val="20"/>
        </w:rPr>
        <w:t>por lo que es procedente considerarlos en el presente informe.</w:t>
      </w:r>
    </w:p>
    <w:p w:rsidR="004E57E5" w:rsidRPr="00AF67AC" w:rsidRDefault="004E57E5" w:rsidP="008639BE">
      <w:pPr>
        <w:spacing w:after="0" w:line="240" w:lineRule="auto"/>
        <w:jc w:val="both"/>
        <w:rPr>
          <w:rFonts w:ascii="ITC Avant Garde Std Bk" w:hAnsi="ITC Avant Garde Std Bk" w:cs="Tahoma"/>
          <w:bCs/>
          <w:color w:val="000000"/>
          <w:sz w:val="20"/>
          <w:szCs w:val="20"/>
        </w:rPr>
      </w:pPr>
    </w:p>
    <w:p w:rsidR="008639BE" w:rsidRDefault="008639BE" w:rsidP="008639BE">
      <w:pPr>
        <w:spacing w:after="0" w:line="240" w:lineRule="auto"/>
        <w:jc w:val="both"/>
        <w:rPr>
          <w:rFonts w:ascii="ITC Avant Garde" w:hAnsi="ITC Avant Garde"/>
          <w:sz w:val="20"/>
          <w:szCs w:val="20"/>
        </w:rPr>
      </w:pPr>
    </w:p>
    <w:p w:rsidR="008639BE" w:rsidRPr="005647B8"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5647B8">
        <w:rPr>
          <w:rFonts w:ascii="ITC Avant Garde Std Bk" w:eastAsia="Calibri" w:hAnsi="ITC Avant Garde Std Bk" w:cs="Tahoma"/>
          <w:b/>
          <w:bCs/>
          <w:color w:val="000000"/>
          <w:sz w:val="20"/>
          <w:szCs w:val="20"/>
        </w:rPr>
        <w:t>5. APARTADOS SOBRE LOS QUE SE RECIBIERON COMENTARIOS AL ANTEPROYECTO</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Pr>
          <w:rFonts w:ascii="ITC Avant Garde Std Bk" w:hAnsi="ITC Avant Garde Std Bk" w:cs="Tahoma"/>
          <w:bCs/>
          <w:color w:val="000000"/>
          <w:sz w:val="20"/>
          <w:szCs w:val="20"/>
        </w:rPr>
        <w:t>En total se recibieron 5 (cinco) participaciones con 30 (treinta)</w:t>
      </w:r>
      <w:r w:rsidRPr="00AF67AC">
        <w:rPr>
          <w:rFonts w:ascii="ITC Avant Garde Std Bk" w:hAnsi="ITC Avant Garde Std Bk" w:cs="Tahoma"/>
          <w:bCs/>
          <w:color w:val="000000"/>
          <w:sz w:val="20"/>
          <w:szCs w:val="20"/>
        </w:rPr>
        <w:t xml:space="preserve"> comentarios</w:t>
      </w:r>
      <w:r>
        <w:rPr>
          <w:rFonts w:ascii="ITC Avant Garde Std Bk" w:hAnsi="ITC Avant Garde Std Bk" w:cs="Tahoma"/>
          <w:bCs/>
          <w:color w:val="000000"/>
          <w:sz w:val="20"/>
          <w:szCs w:val="20"/>
        </w:rPr>
        <w:t>, los cuales se refieren a continuación</w:t>
      </w:r>
      <w:r w:rsidRPr="00AF67AC">
        <w:rPr>
          <w:rFonts w:ascii="ITC Avant Garde Std Bk" w:hAnsi="ITC Avant Garde Std Bk" w:cs="Tahoma"/>
          <w:bCs/>
          <w:color w:val="000000"/>
          <w:sz w:val="20"/>
          <w:szCs w:val="20"/>
        </w:rPr>
        <w:t xml:space="preserve">: </w:t>
      </w:r>
    </w:p>
    <w:tbl>
      <w:tblPr>
        <w:tblStyle w:val="Tablaconcuadrcula"/>
        <w:tblW w:w="0" w:type="auto"/>
        <w:tblLook w:val="04A0" w:firstRow="1" w:lastRow="0" w:firstColumn="1" w:lastColumn="0" w:noHBand="0" w:noVBand="1"/>
      </w:tblPr>
      <w:tblGrid>
        <w:gridCol w:w="3926"/>
        <w:gridCol w:w="3157"/>
        <w:gridCol w:w="2879"/>
      </w:tblGrid>
      <w:tr w:rsidR="008639BE" w:rsidRPr="00EE4B7C" w:rsidTr="00D43A33">
        <w:tc>
          <w:tcPr>
            <w:tcW w:w="3926" w:type="dxa"/>
            <w:shd w:val="clear" w:color="auto" w:fill="296624"/>
            <w:vAlign w:val="center"/>
          </w:tcPr>
          <w:p w:rsidR="008639BE" w:rsidRPr="00AE5B90" w:rsidRDefault="008639BE" w:rsidP="00D43A33">
            <w:pPr>
              <w:spacing w:after="240" w:line="240" w:lineRule="atLeast"/>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lastRenderedPageBreak/>
              <w:t>APARTADO DEL ANTEPROYECTO</w:t>
            </w:r>
          </w:p>
        </w:tc>
        <w:tc>
          <w:tcPr>
            <w:tcW w:w="3157" w:type="dxa"/>
            <w:shd w:val="clear" w:color="auto" w:fill="296624"/>
            <w:vAlign w:val="center"/>
          </w:tcPr>
          <w:p w:rsidR="008639BE" w:rsidRPr="00AE5B90" w:rsidRDefault="008639BE" w:rsidP="00D43A33">
            <w:pPr>
              <w:spacing w:after="240" w:line="240" w:lineRule="atLeast"/>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t>NÚMERO DE COMENTARIOS RECIBIDOS</w:t>
            </w:r>
          </w:p>
        </w:tc>
        <w:tc>
          <w:tcPr>
            <w:tcW w:w="2879" w:type="dxa"/>
            <w:shd w:val="clear" w:color="auto" w:fill="296624"/>
            <w:vAlign w:val="center"/>
          </w:tcPr>
          <w:p w:rsidR="008639BE" w:rsidRPr="00AE5B90" w:rsidRDefault="008639BE" w:rsidP="00D43A33">
            <w:pPr>
              <w:spacing w:after="240" w:line="240" w:lineRule="atLeast"/>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t>NÚMERO DE PARTICIPANTES INVOLUCRADOS</w:t>
            </w:r>
          </w:p>
        </w:tc>
      </w:tr>
      <w:tr w:rsidR="008639BE" w:rsidRPr="00EE4B7C" w:rsidTr="00D43A33">
        <w:tc>
          <w:tcPr>
            <w:tcW w:w="3926" w:type="dxa"/>
            <w:shd w:val="clear" w:color="auto" w:fill="C2D69B" w:themeFill="accent3" w:themeFillTint="99"/>
            <w:vAlign w:val="center"/>
          </w:tcPr>
          <w:p w:rsidR="008639BE" w:rsidRPr="00EE4B7C" w:rsidRDefault="008639BE" w:rsidP="00D43A33">
            <w:pPr>
              <w:spacing w:after="240" w:line="240" w:lineRule="atLeast"/>
              <w:contextualSpacing/>
              <w:rPr>
                <w:rFonts w:ascii="ITC Avant Garde" w:hAnsi="ITC Avant Garde"/>
                <w:sz w:val="18"/>
                <w:szCs w:val="18"/>
              </w:rPr>
            </w:pPr>
            <w:r w:rsidRPr="00101698">
              <w:rPr>
                <w:rFonts w:ascii="ITC Avant Garde" w:hAnsi="ITC Avant Garde"/>
                <w:sz w:val="18"/>
                <w:szCs w:val="18"/>
              </w:rPr>
              <w:t>Comentarios, opiniones y aportaciones generales del participante</w:t>
            </w:r>
          </w:p>
        </w:tc>
        <w:tc>
          <w:tcPr>
            <w:tcW w:w="3157" w:type="dxa"/>
            <w:shd w:val="clear" w:color="auto" w:fill="C2D69B"/>
            <w:vAlign w:val="center"/>
          </w:tcPr>
          <w:p w:rsidR="008639BE" w:rsidRPr="00EE4B7C"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4</w:t>
            </w:r>
          </w:p>
        </w:tc>
        <w:tc>
          <w:tcPr>
            <w:tcW w:w="2879" w:type="dxa"/>
            <w:shd w:val="clear" w:color="auto" w:fill="C2D69B" w:themeFill="accent3" w:themeFillTint="99"/>
            <w:vAlign w:val="center"/>
          </w:tcPr>
          <w:p w:rsidR="008639BE" w:rsidRPr="00EE4B7C"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4</w:t>
            </w:r>
          </w:p>
        </w:tc>
      </w:tr>
      <w:tr w:rsidR="008639BE" w:rsidRPr="00EE4B7C" w:rsidTr="00D43A33">
        <w:tc>
          <w:tcPr>
            <w:tcW w:w="3926" w:type="dxa"/>
            <w:shd w:val="clear" w:color="auto" w:fill="D6E3BC" w:themeFill="accent3" w:themeFillTint="66"/>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Anexo C</w:t>
            </w:r>
          </w:p>
        </w:tc>
        <w:tc>
          <w:tcPr>
            <w:tcW w:w="3157" w:type="dxa"/>
            <w:shd w:val="clear" w:color="auto" w:fill="D6E3BC" w:themeFill="accent3" w:themeFillTint="66"/>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5</w:t>
            </w:r>
          </w:p>
        </w:tc>
        <w:tc>
          <w:tcPr>
            <w:tcW w:w="2879" w:type="dxa"/>
            <w:shd w:val="clear" w:color="auto" w:fill="D6E3BC" w:themeFill="accent3" w:themeFillTint="66"/>
            <w:vAlign w:val="center"/>
          </w:tcPr>
          <w:p w:rsidR="008639BE" w:rsidRPr="007F5031" w:rsidRDefault="008639BE" w:rsidP="00D43A33">
            <w:pPr>
              <w:spacing w:after="240" w:line="240" w:lineRule="atLeast"/>
              <w:contextualSpacing/>
              <w:jc w:val="center"/>
              <w:rPr>
                <w:rFonts w:ascii="ITC Avant Garde" w:hAnsi="ITC Avant Garde"/>
                <w:sz w:val="18"/>
                <w:szCs w:val="18"/>
              </w:rPr>
            </w:pPr>
            <w:r w:rsidRPr="007F5031">
              <w:rPr>
                <w:rFonts w:ascii="ITC Avant Garde" w:hAnsi="ITC Avant Garde"/>
                <w:sz w:val="18"/>
                <w:szCs w:val="18"/>
              </w:rPr>
              <w:t>2</w:t>
            </w:r>
          </w:p>
        </w:tc>
      </w:tr>
      <w:tr w:rsidR="008639BE" w:rsidRPr="00EE4B7C" w:rsidTr="00D43A33">
        <w:tc>
          <w:tcPr>
            <w:tcW w:w="3926" w:type="dxa"/>
            <w:shd w:val="clear" w:color="auto" w:fill="C2D69B"/>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Anexo F</w:t>
            </w:r>
          </w:p>
        </w:tc>
        <w:tc>
          <w:tcPr>
            <w:tcW w:w="3157" w:type="dxa"/>
            <w:shd w:val="clear" w:color="auto" w:fill="C2D69B"/>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15</w:t>
            </w:r>
          </w:p>
        </w:tc>
        <w:tc>
          <w:tcPr>
            <w:tcW w:w="2879" w:type="dxa"/>
            <w:shd w:val="clear" w:color="auto" w:fill="C2D69B"/>
            <w:vAlign w:val="center"/>
          </w:tcPr>
          <w:p w:rsidR="008639BE" w:rsidRPr="007F5031" w:rsidRDefault="008639BE" w:rsidP="00D43A33">
            <w:pPr>
              <w:spacing w:after="240" w:line="240" w:lineRule="atLeast"/>
              <w:contextualSpacing/>
              <w:jc w:val="center"/>
              <w:rPr>
                <w:rFonts w:ascii="ITC Avant Garde" w:hAnsi="ITC Avant Garde"/>
                <w:sz w:val="18"/>
                <w:szCs w:val="18"/>
              </w:rPr>
            </w:pPr>
            <w:r w:rsidRPr="007F5031">
              <w:rPr>
                <w:rFonts w:ascii="ITC Avant Garde" w:hAnsi="ITC Avant Garde"/>
                <w:sz w:val="18"/>
                <w:szCs w:val="18"/>
              </w:rPr>
              <w:t>1</w:t>
            </w:r>
          </w:p>
        </w:tc>
      </w:tr>
      <w:tr w:rsidR="008639BE" w:rsidRPr="00EE4B7C" w:rsidTr="00D43A33">
        <w:tc>
          <w:tcPr>
            <w:tcW w:w="3926" w:type="dxa"/>
            <w:shd w:val="clear" w:color="auto" w:fill="D6E3BC" w:themeFill="accent3" w:themeFillTint="66"/>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Anexo H</w:t>
            </w:r>
          </w:p>
        </w:tc>
        <w:tc>
          <w:tcPr>
            <w:tcW w:w="3157" w:type="dxa"/>
            <w:shd w:val="clear" w:color="auto" w:fill="D6E3BC" w:themeFill="accent3" w:themeFillTint="66"/>
            <w:vAlign w:val="center"/>
          </w:tcPr>
          <w:p w:rsidR="008639BE" w:rsidDel="002510A4" w:rsidRDefault="008639BE" w:rsidP="00D43A33">
            <w:pPr>
              <w:spacing w:after="240" w:line="240" w:lineRule="atLeast"/>
              <w:contextualSpacing/>
              <w:jc w:val="center"/>
              <w:rPr>
                <w:rFonts w:ascii="ITC Avant Garde" w:hAnsi="ITC Avant Garde"/>
                <w:sz w:val="18"/>
                <w:szCs w:val="18"/>
              </w:rPr>
            </w:pPr>
            <w:r>
              <w:rPr>
                <w:rFonts w:ascii="ITC Avant Garde" w:hAnsi="ITC Avant Garde"/>
                <w:sz w:val="18"/>
                <w:szCs w:val="18"/>
              </w:rPr>
              <w:t>6</w:t>
            </w:r>
          </w:p>
        </w:tc>
        <w:tc>
          <w:tcPr>
            <w:tcW w:w="2879" w:type="dxa"/>
            <w:shd w:val="clear" w:color="auto" w:fill="D6E3BC" w:themeFill="accent3" w:themeFillTint="66"/>
            <w:vAlign w:val="center"/>
          </w:tcPr>
          <w:p w:rsidR="008639BE" w:rsidRPr="007F5031" w:rsidRDefault="008639BE" w:rsidP="00D43A33">
            <w:pPr>
              <w:spacing w:after="240" w:line="240" w:lineRule="atLeast"/>
              <w:contextualSpacing/>
              <w:jc w:val="center"/>
              <w:rPr>
                <w:rFonts w:ascii="ITC Avant Garde" w:hAnsi="ITC Avant Garde"/>
                <w:sz w:val="18"/>
                <w:szCs w:val="18"/>
              </w:rPr>
            </w:pPr>
            <w:r w:rsidRPr="007F5031">
              <w:rPr>
                <w:rFonts w:ascii="ITC Avant Garde" w:hAnsi="ITC Avant Garde"/>
                <w:sz w:val="18"/>
                <w:szCs w:val="18"/>
              </w:rPr>
              <w:t>2</w:t>
            </w:r>
          </w:p>
        </w:tc>
      </w:tr>
    </w:tbl>
    <w:p w:rsidR="008639BE" w:rsidRDefault="008639BE" w:rsidP="008639BE">
      <w:pPr>
        <w:spacing w:after="0" w:line="240" w:lineRule="auto"/>
        <w:jc w:val="both"/>
        <w:rPr>
          <w:rFonts w:ascii="ITC Avant Garde Std Bk" w:hAnsi="ITC Avant Garde Std Bk" w:cs="Tahoma"/>
          <w:bCs/>
          <w:color w:val="000000"/>
          <w:sz w:val="20"/>
          <w:szCs w:val="20"/>
        </w:rPr>
      </w:pPr>
    </w:p>
    <w:p w:rsidR="004E57E5" w:rsidRPr="00AF67AC" w:rsidRDefault="004E57E5" w:rsidP="008639BE">
      <w:pPr>
        <w:spacing w:after="0" w:line="240" w:lineRule="auto"/>
        <w:jc w:val="both"/>
        <w:rPr>
          <w:rFonts w:ascii="ITC Avant Garde Std Bk" w:hAnsi="ITC Avant Garde Std Bk" w:cs="Tahoma"/>
          <w:bCs/>
          <w:color w:val="000000"/>
          <w:sz w:val="20"/>
          <w:szCs w:val="20"/>
        </w:rPr>
      </w:pPr>
    </w:p>
    <w:p w:rsidR="008639BE" w:rsidRPr="00800A2E" w:rsidRDefault="008639BE" w:rsidP="008639BE">
      <w:pPr>
        <w:pStyle w:val="Ttulo1"/>
        <w:spacing w:before="0" w:line="240" w:lineRule="auto"/>
        <w:jc w:val="both"/>
        <w:rPr>
          <w:rFonts w:ascii="ITC Avant Garde Std Bk" w:eastAsia="Calibri" w:hAnsi="ITC Avant Garde Std Bk" w:cs="Tahoma"/>
          <w:b/>
          <w:bCs/>
          <w:color w:val="000000"/>
          <w:sz w:val="20"/>
          <w:szCs w:val="20"/>
        </w:rPr>
      </w:pPr>
      <w:r w:rsidRPr="00800A2E">
        <w:rPr>
          <w:rFonts w:ascii="ITC Avant Garde Std Bk" w:eastAsia="Calibri" w:hAnsi="ITC Avant Garde Std Bk" w:cs="Tahoma"/>
          <w:b/>
          <w:bCs/>
          <w:color w:val="000000"/>
          <w:sz w:val="20"/>
          <w:szCs w:val="20"/>
        </w:rPr>
        <w:t xml:space="preserve">6. CONSIDERACIONES </w:t>
      </w:r>
    </w:p>
    <w:p w:rsidR="008639BE" w:rsidRPr="00AF67AC" w:rsidRDefault="008639BE" w:rsidP="008639BE">
      <w:pPr>
        <w:spacing w:after="0" w:line="240" w:lineRule="auto"/>
        <w:jc w:val="both"/>
        <w:rPr>
          <w:rFonts w:ascii="ITC Avant Garde Std Bk" w:hAnsi="ITC Avant Garde Std Bk" w:cs="Tahoma"/>
          <w:bCs/>
          <w:color w:val="000000"/>
          <w:sz w:val="20"/>
          <w:szCs w:val="20"/>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Los comentarios recibidos se agrupan </w:t>
      </w:r>
      <w:r>
        <w:rPr>
          <w:rFonts w:ascii="ITC Avant Garde Std Bk" w:hAnsi="ITC Avant Garde Std Bk" w:cs="Tahoma"/>
          <w:bCs/>
          <w:color w:val="000000"/>
          <w:sz w:val="20"/>
          <w:szCs w:val="20"/>
        </w:rPr>
        <w:t>tomando en consideración la tabla del numeral inmediato anterior</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 xml:space="preserve">misma que </w:t>
      </w:r>
      <w:r w:rsidRPr="00AF67AC">
        <w:rPr>
          <w:rFonts w:ascii="ITC Avant Garde Std Bk" w:hAnsi="ITC Avant Garde Std Bk" w:cs="Tahoma"/>
          <w:bCs/>
          <w:color w:val="000000"/>
          <w:sz w:val="20"/>
          <w:szCs w:val="20"/>
        </w:rPr>
        <w:t>sigue el orden del Anteproyecto.</w:t>
      </w:r>
    </w:p>
    <w:p w:rsidR="008639BE" w:rsidRDefault="008639BE" w:rsidP="008639BE">
      <w:pPr>
        <w:spacing w:after="0" w:line="240" w:lineRule="auto"/>
        <w:jc w:val="both"/>
        <w:rPr>
          <w:rFonts w:ascii="ITC Avant Garde" w:hAnsi="ITC Avant Garde"/>
          <w:sz w:val="20"/>
          <w:szCs w:val="20"/>
        </w:rPr>
      </w:pPr>
    </w:p>
    <w:p w:rsidR="008639BE" w:rsidRPr="00164865" w:rsidRDefault="008639BE" w:rsidP="008639BE">
      <w:pPr>
        <w:spacing w:after="0" w:line="240" w:lineRule="auto"/>
        <w:jc w:val="both"/>
        <w:rPr>
          <w:rFonts w:ascii="ITC Avant Garde" w:hAnsi="ITC Avant Garde"/>
          <w:sz w:val="20"/>
          <w:szCs w:val="20"/>
        </w:rPr>
      </w:pPr>
    </w:p>
    <w:p w:rsidR="008639BE" w:rsidRDefault="008639BE" w:rsidP="008639BE">
      <w:pPr>
        <w:pStyle w:val="Ttulo2"/>
        <w:spacing w:line="240" w:lineRule="auto"/>
        <w:rPr>
          <w:rFonts w:ascii="ITC Avant Garde Std Bk" w:eastAsia="Calibri" w:hAnsi="ITC Avant Garde Std Bk" w:cs="Tahoma"/>
          <w:b/>
          <w:bCs/>
          <w:color w:val="000000"/>
          <w:sz w:val="20"/>
          <w:szCs w:val="20"/>
          <w:u w:val="single"/>
        </w:rPr>
      </w:pPr>
      <w:r w:rsidRPr="00AF67AC">
        <w:rPr>
          <w:rFonts w:ascii="ITC Avant Garde Std Bk" w:eastAsia="Calibri" w:hAnsi="ITC Avant Garde Std Bk" w:cs="Tahoma"/>
          <w:bCs/>
          <w:color w:val="000000"/>
          <w:sz w:val="20"/>
          <w:szCs w:val="20"/>
        </w:rPr>
        <w:t>6.1</w:t>
      </w:r>
      <w:r>
        <w:rPr>
          <w:rFonts w:ascii="ITC Avant Garde Std Bk" w:eastAsia="Calibri" w:hAnsi="ITC Avant Garde Std Bk" w:cs="Tahoma"/>
          <w:bCs/>
          <w:color w:val="000000"/>
          <w:sz w:val="20"/>
          <w:szCs w:val="20"/>
        </w:rPr>
        <w:t>.</w:t>
      </w:r>
      <w:r w:rsidRPr="00AF67AC">
        <w:rPr>
          <w:rFonts w:ascii="ITC Avant Garde" w:hAnsi="ITC Avant Garde"/>
          <w:smallCaps/>
          <w:color w:val="000000" w:themeColor="text1"/>
          <w:sz w:val="20"/>
          <w:szCs w:val="20"/>
        </w:rPr>
        <w:tab/>
      </w:r>
      <w:r w:rsidRPr="00AE5B90">
        <w:rPr>
          <w:rFonts w:ascii="ITC Avant Garde Std Bk" w:eastAsia="Calibri" w:hAnsi="ITC Avant Garde Std Bk" w:cs="Tahoma"/>
          <w:b/>
          <w:bCs/>
          <w:color w:val="000000"/>
          <w:sz w:val="20"/>
          <w:szCs w:val="20"/>
          <w:u w:val="single"/>
        </w:rPr>
        <w:t>Comentarios, opiniones y aportaciones generales del participante</w:t>
      </w:r>
    </w:p>
    <w:p w:rsidR="008639BE" w:rsidRDefault="008639BE" w:rsidP="008639BE"/>
    <w:tbl>
      <w:tblPr>
        <w:tblStyle w:val="Tablaconcuadrcula"/>
        <w:tblW w:w="0" w:type="auto"/>
        <w:tblLook w:val="04A0" w:firstRow="1" w:lastRow="0" w:firstColumn="1" w:lastColumn="0" w:noHBand="0" w:noVBand="1"/>
      </w:tblPr>
      <w:tblGrid>
        <w:gridCol w:w="2547"/>
        <w:gridCol w:w="4094"/>
        <w:gridCol w:w="3321"/>
      </w:tblGrid>
      <w:tr w:rsidR="008639BE" w:rsidTr="00D43A33">
        <w:tc>
          <w:tcPr>
            <w:tcW w:w="2547" w:type="dxa"/>
            <w:shd w:val="clear" w:color="auto" w:fill="296624"/>
          </w:tcPr>
          <w:p w:rsidR="008639BE" w:rsidRDefault="008639BE" w:rsidP="00D43A33">
            <w:pPr>
              <w:pStyle w:val="Default"/>
              <w:jc w:val="center"/>
              <w:rPr>
                <w:rFonts w:ascii="ITC Avant Garde Std Bk" w:hAnsi="ITC Avant Garde Std Bk"/>
                <w:bCs/>
                <w:color w:val="FFFFFF" w:themeColor="background1"/>
                <w:sz w:val="16"/>
                <w:szCs w:val="16"/>
              </w:rPr>
            </w:pPr>
          </w:p>
          <w:p w:rsidR="008639BE" w:rsidRDefault="008639BE" w:rsidP="00D43A33">
            <w:pPr>
              <w:pStyle w:val="Default"/>
              <w:jc w:val="center"/>
              <w:rPr>
                <w:rFonts w:ascii="ITC Avant Garde Std Bk" w:hAnsi="ITC Avant Garde Std Bk"/>
                <w:bCs/>
                <w:color w:val="FFFFFF" w:themeColor="background1"/>
                <w:sz w:val="16"/>
                <w:szCs w:val="16"/>
              </w:rPr>
            </w:pPr>
            <w:r w:rsidRPr="00DE6B98">
              <w:rPr>
                <w:rFonts w:ascii="ITC Avant Garde Std Bk" w:hAnsi="ITC Avant Garde Std Bk"/>
                <w:bCs/>
                <w:color w:val="FFFFFF" w:themeColor="background1"/>
                <w:sz w:val="16"/>
                <w:szCs w:val="16"/>
              </w:rPr>
              <w:t>PARTICIPANTE</w:t>
            </w:r>
          </w:p>
          <w:p w:rsidR="008639BE" w:rsidRPr="00DE6B98" w:rsidRDefault="008639BE" w:rsidP="00D43A33">
            <w:pPr>
              <w:pStyle w:val="Default"/>
              <w:jc w:val="center"/>
              <w:rPr>
                <w:color w:val="FFFFFF" w:themeColor="background1"/>
              </w:rPr>
            </w:pPr>
          </w:p>
        </w:tc>
        <w:tc>
          <w:tcPr>
            <w:tcW w:w="4094"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DE6B98"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332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DE6B98"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DE6B98" w:rsidTr="00D43A33">
        <w:tc>
          <w:tcPr>
            <w:tcW w:w="2547" w:type="dxa"/>
            <w:shd w:val="clear" w:color="auto" w:fill="C2D69B"/>
          </w:tcPr>
          <w:p w:rsidR="008639BE" w:rsidRPr="00B165DD" w:rsidRDefault="008639BE" w:rsidP="00D43A33">
            <w:pPr>
              <w:jc w:val="center"/>
              <w:rPr>
                <w:rFonts w:ascii="ITC Avant Garde Std Bk" w:hAnsi="ITC Avant Garde Std Bk"/>
                <w:bCs/>
                <w:sz w:val="16"/>
                <w:szCs w:val="16"/>
              </w:rPr>
            </w:pPr>
          </w:p>
          <w:p w:rsidR="008639BE" w:rsidRPr="00B165DD" w:rsidRDefault="008639BE" w:rsidP="00D43A33">
            <w:pPr>
              <w:jc w:val="center"/>
              <w:rPr>
                <w:rFonts w:ascii="ITC Avant Garde Std Bk" w:hAnsi="ITC Avant Garde Std Bk"/>
                <w:bCs/>
                <w:sz w:val="16"/>
                <w:szCs w:val="16"/>
              </w:rPr>
            </w:pPr>
          </w:p>
          <w:p w:rsidR="008639BE" w:rsidRPr="00B165DD" w:rsidRDefault="008639BE" w:rsidP="00D43A33">
            <w:pPr>
              <w:jc w:val="center"/>
            </w:pPr>
            <w:r w:rsidRPr="00B165DD">
              <w:rPr>
                <w:rFonts w:ascii="ITC Avant Garde Std Bk" w:hAnsi="ITC Avant Garde Std Bk"/>
                <w:bCs/>
                <w:sz w:val="16"/>
                <w:szCs w:val="16"/>
              </w:rPr>
              <w:t>Angel BG</w:t>
            </w:r>
          </w:p>
        </w:tc>
        <w:tc>
          <w:tcPr>
            <w:tcW w:w="4094" w:type="dxa"/>
            <w:shd w:val="clear" w:color="auto" w:fill="C2D69B"/>
          </w:tcPr>
          <w:p w:rsidR="008639BE" w:rsidRPr="00B165DD" w:rsidRDefault="008639BE" w:rsidP="00D43A33">
            <w:pPr>
              <w:rPr>
                <w:rFonts w:ascii="ITC Avant Garde Std Bk" w:hAnsi="ITC Avant Garde Std Bk"/>
                <w:bCs/>
                <w:sz w:val="16"/>
                <w:szCs w:val="16"/>
              </w:rPr>
            </w:pPr>
          </w:p>
          <w:p w:rsidR="008639BE" w:rsidRPr="00B165DD" w:rsidRDefault="008639BE" w:rsidP="00D43A33">
            <w:pPr>
              <w:jc w:val="both"/>
              <w:rPr>
                <w:rFonts w:ascii="ITC Avant Garde Std Bk" w:hAnsi="ITC Avant Garde Std Bk"/>
                <w:bCs/>
                <w:sz w:val="16"/>
                <w:szCs w:val="16"/>
              </w:rPr>
            </w:pPr>
            <w:r w:rsidRPr="00B165DD">
              <w:rPr>
                <w:rFonts w:ascii="ITC Avant Garde Std Bk" w:hAnsi="ITC Avant Garde Std Bk"/>
                <w:bCs/>
                <w:sz w:val="16"/>
                <w:szCs w:val="16"/>
              </w:rPr>
              <w:t>El susodicho proyecto, ¿A qué instituciones afectaría?</w:t>
            </w:r>
          </w:p>
          <w:p w:rsidR="008639BE" w:rsidRPr="00B165DD" w:rsidRDefault="008639BE" w:rsidP="00D43A33"/>
        </w:tc>
        <w:tc>
          <w:tcPr>
            <w:tcW w:w="3321" w:type="dxa"/>
            <w:shd w:val="clear" w:color="auto" w:fill="C2D69B"/>
          </w:tcPr>
          <w:p w:rsidR="008639BE" w:rsidRPr="00B165DD" w:rsidRDefault="008639BE" w:rsidP="00D43A33">
            <w:pPr>
              <w:jc w:val="both"/>
              <w:rPr>
                <w:rFonts w:ascii="ITC Avant Garde Std Bk" w:hAnsi="ITC Avant Garde Std Bk"/>
                <w:bCs/>
                <w:sz w:val="16"/>
                <w:szCs w:val="16"/>
              </w:rPr>
            </w:pPr>
            <w:r w:rsidRPr="00B165DD">
              <w:rPr>
                <w:rFonts w:ascii="ITC Avant Garde Std Bk" w:hAnsi="ITC Avant Garde Std Bk"/>
                <w:bCs/>
                <w:sz w:val="16"/>
                <w:szCs w:val="16"/>
              </w:rPr>
              <w:t>El proyecto está dirigido a la sustitución de escritos libres por un formato con la información específica para atender los trámites y servicios que el Instituto Federal de Telecomunicaciones pone a disposición de todos los interesados. En ese sentido, el presente el Acuerdo sirve de apoyo a todos los interesados u obligados que deseen presentar dichos trámites ante el Instituto Federal de Telecomunicaciones.</w:t>
            </w:r>
          </w:p>
        </w:tc>
      </w:tr>
      <w:tr w:rsidR="008639BE" w:rsidRPr="00DE6B98" w:rsidTr="00D43A33">
        <w:tc>
          <w:tcPr>
            <w:tcW w:w="2547" w:type="dxa"/>
            <w:shd w:val="clear" w:color="auto" w:fill="D6E3BC" w:themeFill="accent3" w:themeFillTint="66"/>
          </w:tcPr>
          <w:p w:rsidR="008639BE" w:rsidRPr="00B165DD" w:rsidRDefault="008639BE" w:rsidP="00D43A33">
            <w:pPr>
              <w:rPr>
                <w:rFonts w:ascii="ITC Avant Garde Std Bk" w:hAnsi="ITC Avant Garde Std Bk"/>
                <w:bCs/>
                <w:sz w:val="16"/>
                <w:szCs w:val="16"/>
              </w:rPr>
            </w:pPr>
          </w:p>
          <w:p w:rsidR="008639BE" w:rsidRPr="00B165DD" w:rsidRDefault="008639BE" w:rsidP="00D43A33">
            <w:pPr>
              <w:jc w:val="center"/>
              <w:rPr>
                <w:rFonts w:ascii="ITC Avant Garde Std Bk" w:hAnsi="ITC Avant Garde Std Bk"/>
                <w:bCs/>
                <w:sz w:val="16"/>
                <w:szCs w:val="16"/>
              </w:rPr>
            </w:pPr>
          </w:p>
          <w:p w:rsidR="008639BE" w:rsidRPr="00B165DD" w:rsidRDefault="008639BE" w:rsidP="00D43A33">
            <w:pPr>
              <w:jc w:val="center"/>
              <w:rPr>
                <w:rFonts w:ascii="ITC Avant Garde Std Bk" w:hAnsi="ITC Avant Garde Std Bk"/>
                <w:bCs/>
                <w:sz w:val="16"/>
                <w:szCs w:val="16"/>
              </w:rPr>
            </w:pPr>
          </w:p>
          <w:p w:rsidR="008639BE" w:rsidRPr="00B165DD" w:rsidRDefault="008639BE" w:rsidP="00D43A33">
            <w:pPr>
              <w:jc w:val="center"/>
              <w:rPr>
                <w:rFonts w:ascii="ITC Avant Garde Std Bk" w:hAnsi="ITC Avant Garde Std Bk"/>
                <w:bCs/>
                <w:sz w:val="16"/>
                <w:szCs w:val="16"/>
              </w:rPr>
            </w:pPr>
          </w:p>
          <w:p w:rsidR="008639BE" w:rsidRPr="00B165DD" w:rsidRDefault="008639BE" w:rsidP="00D43A33">
            <w:pPr>
              <w:jc w:val="center"/>
              <w:rPr>
                <w:rFonts w:ascii="ITC Avant Garde Std Bk" w:hAnsi="ITC Avant Garde Std Bk"/>
                <w:bCs/>
                <w:sz w:val="16"/>
                <w:szCs w:val="16"/>
              </w:rPr>
            </w:pPr>
            <w:proofErr w:type="spellStart"/>
            <w:r w:rsidRPr="00B165DD">
              <w:rPr>
                <w:rFonts w:ascii="ITC Avant Garde Std Bk" w:hAnsi="ITC Avant Garde Std Bk"/>
                <w:bCs/>
                <w:sz w:val="16"/>
                <w:szCs w:val="16"/>
              </w:rPr>
              <w:t>Altán</w:t>
            </w:r>
            <w:proofErr w:type="spellEnd"/>
            <w:r w:rsidRPr="00B165DD">
              <w:rPr>
                <w:rFonts w:ascii="ITC Avant Garde Std Bk" w:hAnsi="ITC Avant Garde Std Bk"/>
                <w:bCs/>
                <w:sz w:val="16"/>
                <w:szCs w:val="16"/>
              </w:rPr>
              <w:t xml:space="preserve"> Redes, S.A.P.I. de C.V.</w:t>
            </w:r>
          </w:p>
        </w:tc>
        <w:tc>
          <w:tcPr>
            <w:tcW w:w="4094" w:type="dxa"/>
            <w:shd w:val="clear" w:color="auto" w:fill="D6E3BC"/>
          </w:tcPr>
          <w:p w:rsidR="008639BE" w:rsidRPr="00B165DD" w:rsidRDefault="008639BE" w:rsidP="00D43A33">
            <w:pPr>
              <w:rPr>
                <w:rFonts w:ascii="ITC Avant Garde Std Bk" w:hAnsi="ITC Avant Garde Std Bk"/>
                <w:bCs/>
                <w:sz w:val="16"/>
                <w:szCs w:val="16"/>
              </w:rPr>
            </w:pPr>
          </w:p>
          <w:p w:rsidR="008639BE" w:rsidRPr="00B165DD" w:rsidRDefault="008639BE" w:rsidP="00D43A33">
            <w:pPr>
              <w:rPr>
                <w:rFonts w:ascii="ITC Avant Garde Std Bk" w:hAnsi="ITC Avant Garde Std Bk"/>
                <w:bCs/>
                <w:sz w:val="16"/>
                <w:szCs w:val="16"/>
              </w:rPr>
            </w:pPr>
          </w:p>
          <w:p w:rsidR="008639BE" w:rsidRPr="00B165DD" w:rsidRDefault="008639BE" w:rsidP="00D43A33">
            <w:pPr>
              <w:rPr>
                <w:rFonts w:ascii="ITC Avant Garde Std Bk" w:hAnsi="ITC Avant Garde Std Bk"/>
                <w:bCs/>
                <w:sz w:val="16"/>
                <w:szCs w:val="16"/>
              </w:rPr>
            </w:pPr>
            <w:r w:rsidRPr="00B165DD">
              <w:rPr>
                <w:rFonts w:ascii="ITC Avant Garde Std Bk" w:hAnsi="ITC Avant Garde Std Bk"/>
                <w:bCs/>
                <w:sz w:val="16"/>
                <w:szCs w:val="16"/>
              </w:rPr>
              <w:t>Sección 1</w:t>
            </w:r>
          </w:p>
          <w:p w:rsidR="008639BE" w:rsidRPr="00B165DD" w:rsidRDefault="008639BE" w:rsidP="00D43A33">
            <w:pPr>
              <w:jc w:val="both"/>
              <w:rPr>
                <w:rFonts w:ascii="ITC Avant Garde Std Bk" w:hAnsi="ITC Avant Garde Std Bk"/>
                <w:bCs/>
                <w:sz w:val="16"/>
                <w:szCs w:val="16"/>
              </w:rPr>
            </w:pPr>
            <w:r w:rsidRPr="00B165DD">
              <w:rPr>
                <w:rFonts w:ascii="ITC Avant Garde Std Bk" w:hAnsi="ITC Avant Garde Std Bk"/>
                <w:bCs/>
                <w:sz w:val="16"/>
                <w:szCs w:val="16"/>
              </w:rPr>
              <w:t>Se solicita Homologar la sección 1 de todos los formatos, a efecto de que todos prevean las casillas con opción de “inicio de trámite”, “prevención”, “desahogo de vista” y “alcance”.</w:t>
            </w:r>
          </w:p>
        </w:tc>
        <w:tc>
          <w:tcPr>
            <w:tcW w:w="3321" w:type="dxa"/>
            <w:shd w:val="clear" w:color="auto" w:fill="D6E3BC"/>
          </w:tcPr>
          <w:p w:rsidR="008639BE" w:rsidRDefault="008639BE" w:rsidP="00D43A33">
            <w:pPr>
              <w:jc w:val="both"/>
              <w:rPr>
                <w:rFonts w:ascii="ITC Avant Garde Std Bk" w:hAnsi="ITC Avant Garde Std Bk"/>
                <w:sz w:val="16"/>
                <w:szCs w:val="16"/>
              </w:rPr>
            </w:pPr>
          </w:p>
          <w:p w:rsidR="008639BE" w:rsidRPr="00B165DD" w:rsidRDefault="008639BE" w:rsidP="00D43A33">
            <w:pPr>
              <w:jc w:val="both"/>
              <w:rPr>
                <w:rFonts w:ascii="ITC Avant Garde Std Bk" w:hAnsi="ITC Avant Garde Std Bk"/>
                <w:sz w:val="16"/>
                <w:szCs w:val="16"/>
              </w:rPr>
            </w:pPr>
            <w:r w:rsidRPr="00B165DD">
              <w:rPr>
                <w:rFonts w:ascii="ITC Avant Garde Std Bk" w:hAnsi="ITC Avant Garde Std Bk"/>
                <w:sz w:val="16"/>
                <w:szCs w:val="16"/>
              </w:rPr>
              <w:t>No procede el comentario.</w:t>
            </w:r>
          </w:p>
          <w:p w:rsidR="008639BE" w:rsidRPr="00B165DD" w:rsidRDefault="008639BE" w:rsidP="00D43A33">
            <w:pPr>
              <w:jc w:val="both"/>
              <w:rPr>
                <w:rFonts w:ascii="ITC Avant Garde Std Bk" w:hAnsi="ITC Avant Garde Std Bk"/>
                <w:sz w:val="16"/>
                <w:szCs w:val="16"/>
              </w:rPr>
            </w:pPr>
          </w:p>
          <w:p w:rsidR="008639BE" w:rsidRPr="00B165DD" w:rsidRDefault="008639BE" w:rsidP="00D43A33">
            <w:pPr>
              <w:jc w:val="both"/>
              <w:rPr>
                <w:rFonts w:ascii="ITC Avant Garde Std Bk" w:hAnsi="ITC Avant Garde Std Bk"/>
                <w:sz w:val="16"/>
                <w:szCs w:val="16"/>
              </w:rPr>
            </w:pPr>
            <w:r w:rsidRPr="00B165DD">
              <w:rPr>
                <w:rFonts w:ascii="ITC Avant Garde Std Bk" w:hAnsi="ITC Avant Garde Std Bk"/>
                <w:sz w:val="16"/>
                <w:szCs w:val="16"/>
              </w:rPr>
              <w:t xml:space="preserve">Por lo que respecta a los formatos a cargo de la Unidad de Cumplimiento en ninguno se actualiza el supuesto de "desahogo de vista", en adición a lo anterior, el artículo 17-A de la Ley Federal de Procedimiento Administrativo establece la "prevención" y no el "desahogo de vista". </w:t>
            </w:r>
          </w:p>
          <w:p w:rsidR="008639BE" w:rsidRPr="00B165DD" w:rsidRDefault="008639BE" w:rsidP="00D43A33">
            <w:pPr>
              <w:jc w:val="both"/>
              <w:rPr>
                <w:rFonts w:ascii="ITC Avant Garde Std Bk" w:hAnsi="ITC Avant Garde Std Bk"/>
                <w:sz w:val="16"/>
                <w:szCs w:val="16"/>
              </w:rPr>
            </w:pPr>
          </w:p>
          <w:p w:rsidR="008639BE" w:rsidRPr="00B165DD" w:rsidRDefault="008639BE" w:rsidP="00D43A33">
            <w:pPr>
              <w:jc w:val="both"/>
              <w:rPr>
                <w:rFonts w:ascii="ITC Avant Garde Std Bk" w:hAnsi="ITC Avant Garde Std Bk"/>
                <w:sz w:val="16"/>
                <w:szCs w:val="16"/>
              </w:rPr>
            </w:pPr>
            <w:r w:rsidRPr="00B165DD">
              <w:rPr>
                <w:rFonts w:ascii="ITC Avant Garde Std Bk" w:hAnsi="ITC Avant Garde Std Bk"/>
                <w:sz w:val="16"/>
                <w:szCs w:val="16"/>
              </w:rPr>
              <w:t xml:space="preserve">Ahora bien, por lo que hace a los formatos de la Unidad de Política Regulatoria por el tipo de trámite de </w:t>
            </w:r>
            <w:r w:rsidRPr="00B165DD">
              <w:rPr>
                <w:rFonts w:ascii="ITC Avant Garde Std Bk" w:hAnsi="ITC Avant Garde Std Bk"/>
                <w:sz w:val="16"/>
                <w:szCs w:val="16"/>
              </w:rPr>
              <w:lastRenderedPageBreak/>
              <w:t>que se trata no le aplica la opción de desahogo de vista.</w:t>
            </w:r>
          </w:p>
          <w:p w:rsidR="008639BE" w:rsidRPr="00B165DD" w:rsidRDefault="008639BE" w:rsidP="00D43A33">
            <w:pPr>
              <w:jc w:val="both"/>
              <w:rPr>
                <w:rFonts w:ascii="ITC Avant Garde Std Bk" w:hAnsi="ITC Avant Garde Std Bk"/>
                <w:sz w:val="16"/>
                <w:szCs w:val="16"/>
              </w:rPr>
            </w:pPr>
          </w:p>
          <w:p w:rsidR="008639BE" w:rsidRPr="00B165DD" w:rsidRDefault="008639BE" w:rsidP="00D43A33">
            <w:pPr>
              <w:jc w:val="both"/>
              <w:rPr>
                <w:rFonts w:ascii="ITC Avant Garde Std Bk" w:hAnsi="ITC Avant Garde Std Bk"/>
                <w:sz w:val="16"/>
                <w:szCs w:val="16"/>
              </w:rPr>
            </w:pPr>
            <w:r w:rsidRPr="00B165DD">
              <w:rPr>
                <w:rFonts w:ascii="ITC Avant Garde Std Bk" w:hAnsi="ITC Avant Garde Std Bk"/>
                <w:sz w:val="16"/>
                <w:szCs w:val="16"/>
              </w:rPr>
              <w:t>Y finalmente por lo que se refiere al formato a cargo de la Unidad de Medios y Contenidos Audiovisuales no procede en virtud de que éste tiene por objeto y alcance someter a consideración del Instituto cualquier controversia con motivo de la aplicación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más no así la instrumentación de los actos procedimentales durante la sustanciación del procedimiento de desacuerdo, una vez admitido este.</w:t>
            </w:r>
          </w:p>
        </w:tc>
      </w:tr>
      <w:tr w:rsidR="008639BE" w:rsidRPr="00DE6B98" w:rsidTr="00D43A33">
        <w:tc>
          <w:tcPr>
            <w:tcW w:w="2547" w:type="dxa"/>
            <w:shd w:val="clear" w:color="auto" w:fill="C2D69B"/>
          </w:tcPr>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p>
          <w:p w:rsidR="008639BE" w:rsidRDefault="00434C2C" w:rsidP="00D43A33">
            <w:pPr>
              <w:jc w:val="center"/>
              <w:rPr>
                <w:rFonts w:ascii="ITC Avant Garde Std Bk" w:hAnsi="ITC Avant Garde Std Bk"/>
                <w:bCs/>
                <w:sz w:val="16"/>
                <w:szCs w:val="16"/>
              </w:rPr>
            </w:pPr>
            <w:proofErr w:type="spellStart"/>
            <w:r>
              <w:rPr>
                <w:rFonts w:ascii="ITC Avant Garde Std Bk" w:hAnsi="ITC Avant Garde Std Bk"/>
                <w:bCs/>
                <w:sz w:val="16"/>
                <w:szCs w:val="16"/>
              </w:rPr>
              <w:t>Radio</w:t>
            </w:r>
            <w:r w:rsidRPr="00955A46">
              <w:rPr>
                <w:rFonts w:ascii="ITC Avant Garde Std Bk" w:hAnsi="ITC Avant Garde Std Bk"/>
                <w:bCs/>
                <w:sz w:val="16"/>
                <w:szCs w:val="16"/>
              </w:rPr>
              <w:t>móvil</w:t>
            </w:r>
            <w:proofErr w:type="spellEnd"/>
            <w:r w:rsidR="008639BE" w:rsidRPr="00955A46">
              <w:rPr>
                <w:rFonts w:ascii="ITC Avant Garde Std Bk" w:hAnsi="ITC Avant Garde Std Bk"/>
                <w:bCs/>
                <w:sz w:val="16"/>
                <w:szCs w:val="16"/>
              </w:rPr>
              <w:t xml:space="preserve"> </w:t>
            </w:r>
            <w:proofErr w:type="spellStart"/>
            <w:r w:rsidR="008639BE" w:rsidRPr="00955A46">
              <w:rPr>
                <w:rFonts w:ascii="ITC Avant Garde Std Bk" w:hAnsi="ITC Avant Garde Std Bk"/>
                <w:bCs/>
                <w:sz w:val="16"/>
                <w:szCs w:val="16"/>
              </w:rPr>
              <w:t>Dipsa</w:t>
            </w:r>
            <w:proofErr w:type="spellEnd"/>
            <w:r w:rsidR="008639BE" w:rsidRPr="00955A46">
              <w:rPr>
                <w:rFonts w:ascii="ITC Avant Garde Std Bk" w:hAnsi="ITC Avant Garde Std Bk"/>
                <w:bCs/>
                <w:sz w:val="16"/>
                <w:szCs w:val="16"/>
              </w:rPr>
              <w:t>, S.A. de C.V.</w:t>
            </w:r>
          </w:p>
        </w:tc>
        <w:tc>
          <w:tcPr>
            <w:tcW w:w="4094" w:type="dxa"/>
            <w:shd w:val="clear" w:color="auto" w:fill="C2D69B"/>
          </w:tcPr>
          <w:p w:rsidR="008639BE" w:rsidRDefault="008639BE" w:rsidP="00D43A33">
            <w:pPr>
              <w:jc w:val="both"/>
              <w:rPr>
                <w:rFonts w:ascii="ITC Avant Garde Std Bk" w:hAnsi="ITC Avant Garde Std Bk"/>
                <w:bCs/>
                <w:sz w:val="16"/>
                <w:szCs w:val="16"/>
              </w:rPr>
            </w:pPr>
          </w:p>
          <w:p w:rsidR="008639BE" w:rsidRPr="00955A46" w:rsidRDefault="008639BE" w:rsidP="00D43A33">
            <w:pPr>
              <w:jc w:val="both"/>
              <w:rPr>
                <w:rFonts w:ascii="ITC Avant Garde Std Bk" w:hAnsi="ITC Avant Garde Std Bk"/>
                <w:bCs/>
                <w:sz w:val="16"/>
                <w:szCs w:val="16"/>
              </w:rPr>
            </w:pPr>
            <w:r w:rsidRPr="00955A46">
              <w:rPr>
                <w:rFonts w:ascii="ITC Avant Garde Std Bk" w:hAnsi="ITC Avant Garde Std Bk"/>
                <w:bCs/>
                <w:sz w:val="16"/>
                <w:szCs w:val="16"/>
              </w:rPr>
              <w:t>Considerando que los trámites contenidos en los Formatos anexos a la presente consulta pública son aplicables a todos los títulos de concesión que un concesionario detenta, recomendamos por simplificación administrativa y economía procesal, eliminar los rubros “Folio FET” y/o “Folio electrónico”, “Servicios que presta” y “Cobertura”. Complementa lo anterior, el hecho que en los registros a cargo de ese Instituto existe ya una vinculación de los títulos aplicables a cada operador, de acuerdo a su cobertura y servicio.</w:t>
            </w:r>
          </w:p>
          <w:p w:rsidR="008639BE" w:rsidRPr="00955A46" w:rsidRDefault="008639BE" w:rsidP="00D43A33">
            <w:pPr>
              <w:rPr>
                <w:rFonts w:ascii="ITC Avant Garde Std Bk" w:hAnsi="ITC Avant Garde Std Bk"/>
                <w:bCs/>
                <w:sz w:val="16"/>
                <w:szCs w:val="16"/>
              </w:rPr>
            </w:pPr>
          </w:p>
          <w:p w:rsidR="008639BE" w:rsidRPr="00955A46" w:rsidRDefault="008639BE" w:rsidP="00D43A33">
            <w:pPr>
              <w:jc w:val="both"/>
              <w:rPr>
                <w:rFonts w:ascii="ITC Avant Garde Std Bk" w:hAnsi="ITC Avant Garde Std Bk"/>
                <w:bCs/>
                <w:sz w:val="16"/>
                <w:szCs w:val="16"/>
              </w:rPr>
            </w:pPr>
            <w:r w:rsidRPr="00955A46">
              <w:rPr>
                <w:rFonts w:ascii="ITC Avant Garde Std Bk" w:hAnsi="ITC Avant Garde Std Bk"/>
                <w:bCs/>
                <w:sz w:val="16"/>
                <w:szCs w:val="16"/>
              </w:rPr>
              <w:t>Ahora bien, en caso de no optar la eliminación de los rubros “Folio FET” y/o “Folio electrónico”, respetuosamente pedimos se unifiquen estos conceptos y, en consecuencia, se permita –por lo anteriormente expuesto-, incluir solamente un folio o registro por operador, en el entendido que, con ello, se tendrá por cumplido el llenado de este apartado.</w:t>
            </w:r>
          </w:p>
          <w:p w:rsidR="008639BE" w:rsidRPr="00955A46" w:rsidRDefault="008639BE" w:rsidP="00D43A33">
            <w:pPr>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955A46">
              <w:rPr>
                <w:rFonts w:ascii="ITC Avant Garde Std Bk" w:hAnsi="ITC Avant Garde Std Bk"/>
                <w:bCs/>
                <w:sz w:val="16"/>
                <w:szCs w:val="16"/>
              </w:rPr>
              <w:t>Resulta complicado, tanto para los concesionarios móviles, como para ese Instituto, la introducción de más de 50 folios FET por registro, puesto que ello ocuparía igualmente mucho espacio en el llenado de los presentes formatos según sea el caso.</w:t>
            </w:r>
          </w:p>
        </w:tc>
        <w:tc>
          <w:tcPr>
            <w:tcW w:w="3321" w:type="dxa"/>
            <w:shd w:val="clear" w:color="auto" w:fill="C2D69B"/>
          </w:tcPr>
          <w:p w:rsidR="008639BE" w:rsidRDefault="008639BE" w:rsidP="00D43A33">
            <w:pPr>
              <w:jc w:val="both"/>
              <w:rPr>
                <w:rFonts w:ascii="ITC Avant Garde Std Bk" w:hAnsi="ITC Avant Garde Std Bk"/>
                <w:sz w:val="16"/>
                <w:szCs w:val="16"/>
              </w:rPr>
            </w:pPr>
          </w:p>
          <w:p w:rsidR="008639BE" w:rsidRDefault="008639BE" w:rsidP="00D43A33">
            <w:pPr>
              <w:jc w:val="both"/>
              <w:rPr>
                <w:rFonts w:ascii="ITC Avant Garde Std Bk" w:hAnsi="ITC Avant Garde Std Bk"/>
                <w:sz w:val="16"/>
                <w:szCs w:val="16"/>
              </w:rPr>
            </w:pPr>
            <w:r>
              <w:rPr>
                <w:rFonts w:ascii="ITC Avant Garde Std Bk" w:hAnsi="ITC Avant Garde Std Bk"/>
                <w:sz w:val="16"/>
                <w:szCs w:val="16"/>
              </w:rPr>
              <w:t xml:space="preserve">El comentario es aplicable únicamente por lo que hace a los formatos que componen los Anexos A, B, C, D, E, F y G, considerándose </w:t>
            </w:r>
            <w:r w:rsidRPr="00955A46">
              <w:rPr>
                <w:rFonts w:ascii="ITC Avant Garde Std Bk" w:hAnsi="ITC Avant Garde Std Bk"/>
                <w:sz w:val="16"/>
                <w:szCs w:val="16"/>
              </w:rPr>
              <w:t xml:space="preserve">pertinente el comentario únicamente respecto de los </w:t>
            </w:r>
            <w:r w:rsidRPr="004E57E5">
              <w:rPr>
                <w:rFonts w:ascii="ITC Avant Garde Std Bk" w:hAnsi="ITC Avant Garde Std Bk"/>
                <w:sz w:val="16"/>
                <w:szCs w:val="16"/>
              </w:rPr>
              <w:t>apartados "Servicios que presta" y "Cobertura". No procede el comentario respecto del "Folio FET", toda vez que el mismo resulta</w:t>
            </w:r>
            <w:r w:rsidRPr="00955A46">
              <w:rPr>
                <w:rFonts w:ascii="ITC Avant Garde Std Bk" w:hAnsi="ITC Avant Garde Std Bk"/>
                <w:sz w:val="16"/>
                <w:szCs w:val="16"/>
              </w:rPr>
              <w:t xml:space="preserve"> indispensable para identificar el (los) título (s) habilitante(s) que le (s) corresponde el cumplimiento de la obligación que reporta. Sin embargo, con la finalidad de facilitar el llenado de dicho campo, se agregará en el instructivo de llenado: "...en caso de reportar la información respecto de todos los Folios FET a nombre del regulado, señalar la palabra "Todos".</w:t>
            </w:r>
          </w:p>
          <w:p w:rsidR="008639BE" w:rsidRDefault="008639BE" w:rsidP="00D43A33">
            <w:pPr>
              <w:jc w:val="both"/>
              <w:rPr>
                <w:rFonts w:ascii="ITC Avant Garde Std Bk" w:hAnsi="ITC Avant Garde Std Bk"/>
                <w:sz w:val="16"/>
                <w:szCs w:val="16"/>
              </w:rPr>
            </w:pPr>
          </w:p>
          <w:p w:rsidR="008639BE" w:rsidRPr="007F5031" w:rsidRDefault="008639BE" w:rsidP="00D43A33">
            <w:pPr>
              <w:jc w:val="both"/>
              <w:rPr>
                <w:rFonts w:ascii="ITC Avant Garde Std Bk" w:hAnsi="ITC Avant Garde Std Bk"/>
                <w:sz w:val="16"/>
                <w:szCs w:val="16"/>
              </w:rPr>
            </w:pPr>
            <w:r w:rsidRPr="00477127">
              <w:rPr>
                <w:rFonts w:ascii="ITC Avant Garde Std Bk" w:hAnsi="ITC Avant Garde Std Bk"/>
                <w:sz w:val="16"/>
                <w:szCs w:val="16"/>
              </w:rPr>
              <w:t>*</w:t>
            </w:r>
            <w:r w:rsidRPr="007F5031">
              <w:rPr>
                <w:rFonts w:ascii="ITC Avant Garde Std Bk" w:hAnsi="ITC Avant Garde Std Bk"/>
                <w:sz w:val="16"/>
                <w:szCs w:val="16"/>
              </w:rPr>
              <w:t>NOTA*</w:t>
            </w:r>
          </w:p>
          <w:p w:rsidR="008639BE" w:rsidRPr="007F5031" w:rsidRDefault="008639BE" w:rsidP="00D43A33">
            <w:pPr>
              <w:jc w:val="both"/>
              <w:rPr>
                <w:rFonts w:ascii="ITC Avant Garde Std Bk" w:hAnsi="ITC Avant Garde Std Bk"/>
                <w:sz w:val="16"/>
                <w:szCs w:val="16"/>
              </w:rPr>
            </w:pPr>
          </w:p>
          <w:p w:rsidR="008639BE" w:rsidRPr="00E349F1" w:rsidRDefault="008639BE" w:rsidP="00D43A33">
            <w:pPr>
              <w:jc w:val="both"/>
              <w:rPr>
                <w:rFonts w:ascii="ITC Avant Garde Std Bk" w:hAnsi="ITC Avant Garde Std Bk"/>
                <w:sz w:val="16"/>
                <w:szCs w:val="16"/>
              </w:rPr>
            </w:pPr>
            <w:r w:rsidRPr="007F5031">
              <w:rPr>
                <w:rFonts w:ascii="ITC Avant Garde Std Bk" w:hAnsi="ITC Avant Garde Std Bk"/>
                <w:sz w:val="16"/>
                <w:szCs w:val="16"/>
              </w:rPr>
              <w:t>Los formatos que componen los Anexos</w:t>
            </w:r>
            <w:r>
              <w:rPr>
                <w:rFonts w:ascii="ITC Avant Garde Std Bk" w:hAnsi="ITC Avant Garde Std Bk"/>
                <w:sz w:val="16"/>
                <w:szCs w:val="16"/>
              </w:rPr>
              <w:t xml:space="preserve"> </w:t>
            </w:r>
            <w:r w:rsidRPr="007F5031">
              <w:rPr>
                <w:rFonts w:ascii="ITC Avant Garde Std Bk" w:hAnsi="ITC Avant Garde Std Bk"/>
                <w:sz w:val="16"/>
                <w:szCs w:val="16"/>
              </w:rPr>
              <w:t xml:space="preserve">H, I, J, K, L, M (Modalidades  A, B, y C) y N, </w:t>
            </w:r>
            <w:r w:rsidRPr="00477127">
              <w:rPr>
                <w:rFonts w:ascii="ITC Avant Garde Std Bk" w:hAnsi="ITC Avant Garde Std Bk"/>
                <w:sz w:val="16"/>
                <w:szCs w:val="16"/>
              </w:rPr>
              <w:t>no contienen los rubros referidos en el comentario de participación.</w:t>
            </w:r>
          </w:p>
        </w:tc>
      </w:tr>
      <w:tr w:rsidR="008639BE" w:rsidRPr="00DE6B98" w:rsidTr="00694FF2">
        <w:tc>
          <w:tcPr>
            <w:tcW w:w="2547" w:type="dxa"/>
            <w:shd w:val="clear" w:color="auto" w:fill="D6E3BC" w:themeFill="accent3" w:themeFillTint="66"/>
            <w:vAlign w:val="center"/>
          </w:tcPr>
          <w:p w:rsidR="008639BE" w:rsidRDefault="008639BE" w:rsidP="00D43A33">
            <w:pPr>
              <w:jc w:val="center"/>
              <w:rPr>
                <w:rFonts w:ascii="ITC Avant Garde Std Bk" w:hAnsi="ITC Avant Garde Std Bk"/>
                <w:bCs/>
                <w:sz w:val="16"/>
                <w:szCs w:val="16"/>
              </w:rPr>
            </w:pPr>
            <w:r w:rsidRPr="003A0F21">
              <w:rPr>
                <w:rFonts w:ascii="ITC Avant Garde Std Bk" w:hAnsi="ITC Avant Garde Std Bk"/>
                <w:bCs/>
                <w:sz w:val="16"/>
                <w:szCs w:val="16"/>
              </w:rPr>
              <w:lastRenderedPageBreak/>
              <w:t xml:space="preserve">Cablevisión, S.A. de C.V., México Red de Telecomunicaciones, S. de R.L. de C.V., Televisión Internacional S.A. de C.V., Cablevisión Red, S.A. de C.V., </w:t>
            </w:r>
            <w:proofErr w:type="spellStart"/>
            <w:r w:rsidRPr="003A0F21">
              <w:rPr>
                <w:rFonts w:ascii="ITC Avant Garde Std Bk" w:hAnsi="ITC Avant Garde Std Bk"/>
                <w:bCs/>
                <w:sz w:val="16"/>
                <w:szCs w:val="16"/>
              </w:rPr>
              <w:t>Operbes</w:t>
            </w:r>
            <w:proofErr w:type="spellEnd"/>
            <w:r w:rsidRPr="003A0F21">
              <w:rPr>
                <w:rFonts w:ascii="ITC Avant Garde Std Bk" w:hAnsi="ITC Avant Garde Std Bk"/>
                <w:bCs/>
                <w:sz w:val="16"/>
                <w:szCs w:val="16"/>
              </w:rPr>
              <w:t xml:space="preserve">, S.A. de C.V., </w:t>
            </w:r>
            <w:proofErr w:type="spellStart"/>
            <w:r w:rsidRPr="003A0F21">
              <w:rPr>
                <w:rFonts w:ascii="ITC Avant Garde Std Bk" w:hAnsi="ITC Avant Garde Std Bk"/>
                <w:bCs/>
                <w:sz w:val="16"/>
                <w:szCs w:val="16"/>
              </w:rPr>
              <w:t>Cablemás</w:t>
            </w:r>
            <w:proofErr w:type="spellEnd"/>
            <w:r w:rsidRPr="003A0F21">
              <w:rPr>
                <w:rFonts w:ascii="ITC Avant Garde Std Bk" w:hAnsi="ITC Avant Garde Std Bk"/>
                <w:bCs/>
                <w:sz w:val="16"/>
                <w:szCs w:val="16"/>
              </w:rPr>
              <w:t xml:space="preserve">          Telecomunicaciones, S.A. de C.V. y TV Cable de Oriente S.A. de C.V.</w:t>
            </w:r>
          </w:p>
        </w:tc>
        <w:tc>
          <w:tcPr>
            <w:tcW w:w="4094" w:type="dxa"/>
            <w:shd w:val="clear" w:color="auto" w:fill="D6E3BC" w:themeFill="accent3" w:themeFillTint="66"/>
          </w:tcPr>
          <w:p w:rsidR="008639BE" w:rsidRDefault="008639BE" w:rsidP="00D43A33">
            <w:pPr>
              <w:jc w:val="both"/>
              <w:rPr>
                <w:rFonts w:ascii="ITC Avant Garde Std Bk" w:hAnsi="ITC Avant Garde Std Bk"/>
                <w:bCs/>
                <w:sz w:val="16"/>
                <w:szCs w:val="16"/>
              </w:rPr>
            </w:pPr>
          </w:p>
          <w:p w:rsidR="008639BE" w:rsidRPr="003A0F21" w:rsidRDefault="008639BE" w:rsidP="00D43A33">
            <w:pPr>
              <w:pStyle w:val="Default"/>
              <w:jc w:val="both"/>
              <w:rPr>
                <w:rFonts w:ascii="ITC Avant Garde Std Bk" w:hAnsi="ITC Avant Garde Std Bk"/>
                <w:bCs/>
                <w:sz w:val="16"/>
                <w:szCs w:val="16"/>
              </w:rPr>
            </w:pPr>
            <w:r w:rsidRPr="003A0F21">
              <w:rPr>
                <w:rFonts w:ascii="ITC Avant Garde Std Bk" w:hAnsi="ITC Avant Garde Std Bk"/>
                <w:bCs/>
                <w:sz w:val="16"/>
                <w:szCs w:val="16"/>
              </w:rPr>
              <w:t xml:space="preserve">En relación con los Formatos H, J, K, L, </w:t>
            </w:r>
            <w:proofErr w:type="spellStart"/>
            <w:r w:rsidRPr="003A0F21">
              <w:rPr>
                <w:rFonts w:ascii="ITC Avant Garde Std Bk" w:hAnsi="ITC Avant Garde Std Bk"/>
                <w:bCs/>
                <w:sz w:val="16"/>
                <w:szCs w:val="16"/>
              </w:rPr>
              <w:t>Ma</w:t>
            </w:r>
            <w:proofErr w:type="spellEnd"/>
            <w:r w:rsidRPr="003A0F21">
              <w:rPr>
                <w:rFonts w:ascii="ITC Avant Garde Std Bk" w:hAnsi="ITC Avant Garde Std Bk"/>
                <w:bCs/>
                <w:sz w:val="16"/>
                <w:szCs w:val="16"/>
              </w:rPr>
              <w:t xml:space="preserve">, Mb, Mc y N que hacen referencia a la solicitud de desacuerdos, dichos tramites no deberían de obrar en el presente Anteproyecto, lo anterior en virtud de que los mismos derivan de procedimientos normados por la propia Ley Federal de Telecomunicaciones y Radiodifusión (en adelante “LFTR”), de manera particular lo establecido en el artículo 129, el cual establece un procedimiento consistente en (i) inicio de negociaciones a través del SESI (respecto de los desacuerdos de interconexión), (ii) presentación del  desacuerdo, (iii) requerimiento de información (en caso necesario), (iv) contestación, (v) ofrecimiento y admisión de pruebas, (vi) alegatos, (vii) turno para resolución y (viii) emisión de la misma. </w:t>
            </w:r>
          </w:p>
          <w:p w:rsidR="008639BE" w:rsidRPr="003A0F21" w:rsidRDefault="008639BE" w:rsidP="00D43A33">
            <w:pPr>
              <w:pStyle w:val="Default"/>
              <w:jc w:val="both"/>
              <w:rPr>
                <w:rFonts w:ascii="ITC Avant Garde Std Bk" w:hAnsi="ITC Avant Garde Std Bk"/>
                <w:bCs/>
                <w:sz w:val="16"/>
                <w:szCs w:val="16"/>
              </w:rPr>
            </w:pPr>
          </w:p>
          <w:p w:rsidR="008639BE" w:rsidRPr="003A0F21" w:rsidRDefault="008639BE" w:rsidP="00D43A33">
            <w:pPr>
              <w:pStyle w:val="Default"/>
              <w:jc w:val="both"/>
              <w:rPr>
                <w:rFonts w:ascii="ITC Avant Garde Std Bk" w:hAnsi="ITC Avant Garde Std Bk"/>
                <w:bCs/>
                <w:sz w:val="16"/>
                <w:szCs w:val="16"/>
              </w:rPr>
            </w:pPr>
            <w:r w:rsidRPr="003A0F21">
              <w:rPr>
                <w:rFonts w:ascii="ITC Avant Garde Std Bk" w:hAnsi="ITC Avant Garde Std Bk"/>
                <w:bCs/>
                <w:sz w:val="16"/>
                <w:szCs w:val="16"/>
              </w:rPr>
              <w:t xml:space="preserve">Con los presentes formatos no se especifica que sucederá o de qué manera se continuará con el procedimiento, ni en donde los concesionarios podrán encontrar el o los formatos subsecuentes para poder conocer del inicio del desacuerdo de interconexión, manifestaciones, pruebas, alegatos, inclusive prórrogas que por la naturaleza del mismo se solicitan en determinadas etapas. Con el formato se restringe al concesionario que inicia el desacuerdo a </w:t>
            </w:r>
            <w:proofErr w:type="spellStart"/>
            <w:r w:rsidRPr="003A0F21">
              <w:rPr>
                <w:rFonts w:ascii="ITC Avant Garde Std Bk" w:hAnsi="ITC Avant Garde Std Bk"/>
                <w:bCs/>
                <w:sz w:val="16"/>
                <w:szCs w:val="16"/>
              </w:rPr>
              <w:t>requisitar</w:t>
            </w:r>
            <w:proofErr w:type="spellEnd"/>
            <w:r w:rsidRPr="003A0F21">
              <w:rPr>
                <w:rFonts w:ascii="ITC Avant Garde Std Bk" w:hAnsi="ITC Avant Garde Std Bk"/>
                <w:bCs/>
                <w:sz w:val="16"/>
                <w:szCs w:val="16"/>
              </w:rPr>
              <w:t xml:space="preserve"> de manera puntual un formato, mientras que la empresa que dé respuesta podrá hacerlo en escrito libre sin ninguna restricción, dejando en estado de indefensión a la parte que inicia el desacuerdo.</w:t>
            </w:r>
          </w:p>
          <w:p w:rsidR="008639BE" w:rsidRPr="003A0F21" w:rsidRDefault="008639BE" w:rsidP="00D43A33">
            <w:pPr>
              <w:pStyle w:val="Default"/>
              <w:jc w:val="both"/>
              <w:rPr>
                <w:rFonts w:ascii="ITC Avant Garde Std Bk" w:hAnsi="ITC Avant Garde Std Bk"/>
                <w:bCs/>
                <w:sz w:val="16"/>
                <w:szCs w:val="16"/>
              </w:rPr>
            </w:pPr>
          </w:p>
          <w:p w:rsidR="008639BE" w:rsidRPr="00955A46"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Por lo que se propone que no solo el inicio de desacuerdo se haga mediante un formato sino, la adición de las etapas subsecuentes en el desarrollo del desacuerdo, es decir, manifestaciones, alegatos, solicitud de prórrogas, alcances, o en su caso la emisión de un nuevo formato para la presentación de los mismos, ya que no existe certeza jurídica de que, si bien, las etapas del desacuerdo mencionadas serán desahogadas en escritos libres, o por medio de los formatos aludidos. Lo anterior siguiendo lo establecido en el 129 de la LFTR, y atendiendo a los principios de mejora regulatoria, simplificación administrativa, rapidez en el procedimiento y </w:t>
            </w:r>
            <w:proofErr w:type="spellStart"/>
            <w:r w:rsidRPr="003A0F21">
              <w:rPr>
                <w:rFonts w:ascii="ITC Avant Garde Std Bk" w:hAnsi="ITC Avant Garde Std Bk"/>
                <w:bCs/>
                <w:sz w:val="16"/>
                <w:szCs w:val="16"/>
              </w:rPr>
              <w:t>eficientando</w:t>
            </w:r>
            <w:proofErr w:type="spellEnd"/>
            <w:r w:rsidRPr="003A0F21">
              <w:rPr>
                <w:rFonts w:ascii="ITC Avant Garde Std Bk" w:hAnsi="ITC Avant Garde Std Bk"/>
                <w:bCs/>
                <w:sz w:val="16"/>
                <w:szCs w:val="16"/>
              </w:rPr>
              <w:t xml:space="preserve"> trámites finalidad del anteproyecto en consulta.</w:t>
            </w:r>
          </w:p>
        </w:tc>
        <w:tc>
          <w:tcPr>
            <w:tcW w:w="3321" w:type="dxa"/>
            <w:shd w:val="clear" w:color="auto" w:fill="D6E3BC" w:themeFill="accent3" w:themeFillTint="66"/>
          </w:tcPr>
          <w:p w:rsidR="008639BE" w:rsidRDefault="008639BE" w:rsidP="00D43A33">
            <w:pPr>
              <w:jc w:val="both"/>
              <w:rPr>
                <w:rFonts w:ascii="ITC Avant Garde Std Bk" w:hAnsi="ITC Avant Garde Std Bk" w:cs="Tahoma"/>
                <w:bCs/>
                <w:color w:val="000000"/>
                <w:sz w:val="16"/>
                <w:szCs w:val="16"/>
              </w:rPr>
            </w:pPr>
          </w:p>
          <w:p w:rsidR="008639BE" w:rsidRDefault="008639BE" w:rsidP="00D43A33">
            <w:pPr>
              <w:jc w:val="both"/>
              <w:rPr>
                <w:rFonts w:ascii="ITC Avant Garde Std Bk" w:hAnsi="ITC Avant Garde Std Bk" w:cs="Tahoma"/>
                <w:bCs/>
                <w:color w:val="000000"/>
                <w:sz w:val="16"/>
                <w:szCs w:val="16"/>
              </w:rPr>
            </w:pPr>
            <w:r w:rsidRPr="003A0F21">
              <w:rPr>
                <w:rFonts w:ascii="ITC Avant Garde Std Bk" w:hAnsi="ITC Avant Garde Std Bk" w:cs="Tahoma"/>
                <w:bCs/>
                <w:color w:val="000000"/>
                <w:sz w:val="16"/>
                <w:szCs w:val="16"/>
              </w:rPr>
              <w:t>Los comentarios y propuestas realizados en el sentido de que los formatos,</w:t>
            </w:r>
            <w:r>
              <w:rPr>
                <w:rFonts w:ascii="ITC Avant Garde Std Bk" w:hAnsi="ITC Avant Garde Std Bk" w:cs="Tahoma"/>
                <w:bCs/>
                <w:color w:val="000000"/>
                <w:sz w:val="16"/>
                <w:szCs w:val="16"/>
              </w:rPr>
              <w:t xml:space="preserve"> </w:t>
            </w:r>
            <w:r w:rsidRPr="00F27B3C">
              <w:rPr>
                <w:rFonts w:ascii="ITC Avant Garde Std Bk" w:hAnsi="ITC Avant Garde Std Bk"/>
                <w:sz w:val="16"/>
                <w:szCs w:val="16"/>
              </w:rPr>
              <w:t>que componen los Anexos H, I, J, K, L, M</w:t>
            </w:r>
            <w:r>
              <w:rPr>
                <w:rFonts w:ascii="ITC Avant Garde Std Bk" w:hAnsi="ITC Avant Garde Std Bk"/>
                <w:sz w:val="16"/>
                <w:szCs w:val="16"/>
              </w:rPr>
              <w:t>.A., M.B. y M.C.,</w:t>
            </w:r>
            <w:r w:rsidRPr="00F27B3C">
              <w:rPr>
                <w:rFonts w:ascii="ITC Avant Garde Std Bk" w:hAnsi="ITC Avant Garde Std Bk"/>
                <w:sz w:val="16"/>
                <w:szCs w:val="16"/>
              </w:rPr>
              <w:t xml:space="preserve"> y N,</w:t>
            </w:r>
            <w:r>
              <w:rPr>
                <w:rFonts w:ascii="ITC Avant Garde Std Bk" w:hAnsi="ITC Avant Garde Std Bk"/>
                <w:sz w:val="16"/>
                <w:szCs w:val="16"/>
              </w:rPr>
              <w:t xml:space="preserve"> </w:t>
            </w:r>
            <w:r w:rsidRPr="003A0F21">
              <w:rPr>
                <w:rFonts w:ascii="ITC Avant Garde Std Bk" w:hAnsi="ITC Avant Garde Std Bk" w:cs="Tahoma"/>
                <w:bCs/>
                <w:color w:val="000000"/>
                <w:sz w:val="16"/>
                <w:szCs w:val="16"/>
              </w:rPr>
              <w:t>son tramites que no deberían de obrar en el anteproyecto, en virtud de que los mismos derivan de procedimientos normados por la propia Ley Federal de Telecomunicaciones y Radiodifusión, no resultan atendibles</w:t>
            </w:r>
            <w:r>
              <w:rPr>
                <w:rFonts w:ascii="ITC Avant Garde Std Bk" w:hAnsi="ITC Avant Garde Std Bk" w:cs="Tahoma"/>
                <w:bCs/>
                <w:color w:val="000000"/>
                <w:sz w:val="16"/>
                <w:szCs w:val="16"/>
              </w:rPr>
              <w:t>, en razón de lo siguiente:</w:t>
            </w:r>
          </w:p>
          <w:p w:rsidR="008639BE" w:rsidRDefault="008639BE" w:rsidP="00D43A33">
            <w:pPr>
              <w:jc w:val="both"/>
              <w:rPr>
                <w:rFonts w:ascii="ITC Avant Garde Std Bk" w:hAnsi="ITC Avant Garde Std Bk"/>
                <w:sz w:val="16"/>
                <w:szCs w:val="16"/>
              </w:rPr>
            </w:pPr>
          </w:p>
          <w:p w:rsidR="008639BE" w:rsidRPr="003A0F21" w:rsidRDefault="008639BE" w:rsidP="00D43A33">
            <w:pPr>
              <w:jc w:val="both"/>
              <w:rPr>
                <w:rFonts w:ascii="ITC Avant Garde Std Bk" w:hAnsi="ITC Avant Garde Std Bk" w:cs="Tahoma"/>
                <w:bCs/>
                <w:color w:val="000000"/>
                <w:sz w:val="16"/>
                <w:szCs w:val="16"/>
              </w:rPr>
            </w:pPr>
            <w:r w:rsidRPr="003A0F21">
              <w:rPr>
                <w:rFonts w:ascii="ITC Avant Garde Std Bk" w:hAnsi="ITC Avant Garde Std Bk" w:cs="Tahoma"/>
                <w:bCs/>
                <w:color w:val="000000"/>
                <w:sz w:val="16"/>
                <w:szCs w:val="16"/>
              </w:rPr>
              <w:t>Los formatos</w:t>
            </w:r>
            <w:r>
              <w:rPr>
                <w:rFonts w:ascii="ITC Avant Garde Std Bk" w:hAnsi="ITC Avant Garde Std Bk" w:cs="Tahoma"/>
                <w:bCs/>
                <w:color w:val="000000"/>
                <w:sz w:val="16"/>
                <w:szCs w:val="16"/>
              </w:rPr>
              <w:t xml:space="preserve"> </w:t>
            </w:r>
            <w:r w:rsidRPr="00F27B3C">
              <w:rPr>
                <w:rFonts w:ascii="ITC Avant Garde Std Bk" w:hAnsi="ITC Avant Garde Std Bk"/>
                <w:sz w:val="16"/>
                <w:szCs w:val="16"/>
              </w:rPr>
              <w:t>que componen los Anexos H, I, J, K, L, M</w:t>
            </w:r>
            <w:r>
              <w:rPr>
                <w:rFonts w:ascii="ITC Avant Garde Std Bk" w:hAnsi="ITC Avant Garde Std Bk"/>
                <w:sz w:val="16"/>
                <w:szCs w:val="16"/>
              </w:rPr>
              <w:t xml:space="preserve">.A., M.B. y M.C., </w:t>
            </w:r>
            <w:r w:rsidRPr="003A0F21">
              <w:rPr>
                <w:rFonts w:ascii="ITC Avant Garde Std Bk" w:hAnsi="ITC Avant Garde Std Bk" w:cs="Tahoma"/>
                <w:bCs/>
                <w:color w:val="000000"/>
                <w:sz w:val="16"/>
                <w:szCs w:val="16"/>
              </w:rPr>
              <w:t>son únicamente para solicitar el inicio de procedimiento, mismo que se llevará a</w:t>
            </w:r>
            <w:r>
              <w:rPr>
                <w:rFonts w:ascii="ITC Avant Garde Std Bk" w:hAnsi="ITC Avant Garde Std Bk" w:cs="Tahoma"/>
                <w:bCs/>
                <w:color w:val="000000"/>
                <w:sz w:val="16"/>
                <w:szCs w:val="16"/>
              </w:rPr>
              <w:t xml:space="preserve"> cabo conforme al 129 de la Ley</w:t>
            </w:r>
            <w:r w:rsidRPr="003A0F21">
              <w:rPr>
                <w:rFonts w:ascii="ITC Avant Garde Std Bk" w:hAnsi="ITC Avant Garde Std Bk" w:cs="Tahoma"/>
                <w:bCs/>
                <w:color w:val="000000"/>
                <w:sz w:val="16"/>
                <w:szCs w:val="16"/>
              </w:rPr>
              <w:t xml:space="preserve">. Las posteriores actuaciones se llevarán de conformidad y en estricto apego al artículo anteriormente </w:t>
            </w:r>
            <w:r>
              <w:rPr>
                <w:rFonts w:ascii="ITC Avant Garde Std Bk" w:hAnsi="ITC Avant Garde Std Bk" w:cs="Tahoma"/>
                <w:bCs/>
                <w:color w:val="000000"/>
                <w:sz w:val="16"/>
                <w:szCs w:val="16"/>
              </w:rPr>
              <w:t>señalado</w:t>
            </w:r>
            <w:r w:rsidRPr="003A0F21">
              <w:rPr>
                <w:rFonts w:ascii="ITC Avant Garde Std Bk" w:hAnsi="ITC Avant Garde Std Bk" w:cs="Tahoma"/>
                <w:bCs/>
                <w:color w:val="000000"/>
                <w:sz w:val="16"/>
                <w:szCs w:val="16"/>
              </w:rPr>
              <w:t xml:space="preserve"> en forma de escrito libre conforme se ha venido realizando.</w:t>
            </w:r>
          </w:p>
          <w:p w:rsidR="008639BE" w:rsidRPr="003A0F21" w:rsidRDefault="008639BE" w:rsidP="00D43A33">
            <w:pPr>
              <w:jc w:val="both"/>
              <w:rPr>
                <w:rFonts w:ascii="ITC Avant Garde Std Bk" w:hAnsi="ITC Avant Garde Std Bk" w:cs="Tahoma"/>
                <w:bCs/>
                <w:color w:val="000000"/>
                <w:sz w:val="16"/>
                <w:szCs w:val="16"/>
              </w:rPr>
            </w:pPr>
          </w:p>
          <w:p w:rsidR="008639BE" w:rsidRPr="003A0F21" w:rsidRDefault="008639BE" w:rsidP="00D43A33">
            <w:pPr>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Asimismo, l</w:t>
            </w:r>
            <w:r w:rsidRPr="003A0F21">
              <w:rPr>
                <w:rFonts w:ascii="ITC Avant Garde Std Bk" w:hAnsi="ITC Avant Garde Std Bk" w:cs="Tahoma"/>
                <w:bCs/>
                <w:color w:val="000000"/>
                <w:sz w:val="16"/>
                <w:szCs w:val="16"/>
              </w:rPr>
              <w:t>as actuaciones derivadas del procedimiento de desacuerdo de interconexión</w:t>
            </w:r>
            <w:r>
              <w:rPr>
                <w:rFonts w:ascii="ITC Avant Garde Std Bk" w:hAnsi="ITC Avant Garde Std Bk" w:cs="Tahoma"/>
                <w:bCs/>
                <w:color w:val="000000"/>
                <w:sz w:val="16"/>
                <w:szCs w:val="16"/>
              </w:rPr>
              <w:t>,</w:t>
            </w:r>
            <w:r w:rsidRPr="003A0F21">
              <w:rPr>
                <w:rFonts w:ascii="ITC Avant Garde Std Bk" w:hAnsi="ITC Avant Garde Std Bk" w:cs="Tahoma"/>
                <w:bCs/>
                <w:color w:val="000000"/>
                <w:sz w:val="16"/>
                <w:szCs w:val="16"/>
              </w:rPr>
              <w:t xml:space="preserve"> no constituyen un trámite sino etapas de la sustanciación del procedimiento seguido en forma de juicio.</w:t>
            </w:r>
          </w:p>
          <w:p w:rsidR="008639BE" w:rsidRPr="003A0F21" w:rsidRDefault="008639BE" w:rsidP="00D43A33">
            <w:pPr>
              <w:jc w:val="both"/>
              <w:rPr>
                <w:rFonts w:ascii="ITC Avant Garde Std Bk" w:hAnsi="ITC Avant Garde Std Bk" w:cs="Tahoma"/>
                <w:bCs/>
                <w:color w:val="000000"/>
                <w:sz w:val="16"/>
                <w:szCs w:val="16"/>
              </w:rPr>
            </w:pPr>
          </w:p>
          <w:p w:rsidR="008639BE" w:rsidRDefault="008639BE" w:rsidP="00D43A33">
            <w:pPr>
              <w:jc w:val="both"/>
              <w:rPr>
                <w:rFonts w:ascii="ITC Avant Garde Std Bk" w:hAnsi="ITC Avant Garde Std Bk" w:cs="Tahoma"/>
                <w:bCs/>
                <w:color w:val="000000"/>
                <w:sz w:val="16"/>
                <w:szCs w:val="16"/>
              </w:rPr>
            </w:pPr>
            <w:r w:rsidRPr="004E57E5">
              <w:rPr>
                <w:rFonts w:ascii="ITC Avant Garde Std Bk" w:hAnsi="ITC Avant Garde Std Bk" w:cs="Tahoma"/>
                <w:bCs/>
                <w:color w:val="000000"/>
                <w:sz w:val="16"/>
                <w:szCs w:val="16"/>
              </w:rPr>
              <w:t>La solicitud de desacuerdo de interconexión a través de este formato no limita la posibilidad de que el solicitante anexe un escrito libre a dicho formato.</w:t>
            </w:r>
          </w:p>
          <w:p w:rsidR="008639BE" w:rsidRDefault="008639BE" w:rsidP="00D43A33">
            <w:pPr>
              <w:jc w:val="both"/>
              <w:rPr>
                <w:rFonts w:ascii="ITC Avant Garde Std Bk" w:hAnsi="ITC Avant Garde Std Bk" w:cs="Tahoma"/>
                <w:bCs/>
                <w:color w:val="000000"/>
                <w:sz w:val="16"/>
                <w:szCs w:val="16"/>
              </w:rPr>
            </w:pPr>
          </w:p>
          <w:p w:rsidR="008639BE" w:rsidRPr="003A0F21" w:rsidRDefault="008639BE" w:rsidP="00D43A33">
            <w:pPr>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 xml:space="preserve">Ahora bien, por lo que hace al Anexo N, </w:t>
            </w:r>
            <w:r w:rsidRPr="003A0F21">
              <w:rPr>
                <w:rFonts w:ascii="ITC Avant Garde Std Bk" w:hAnsi="ITC Avant Garde Std Bk" w:cs="Tahoma"/>
                <w:bCs/>
                <w:color w:val="000000"/>
                <w:sz w:val="16"/>
                <w:szCs w:val="16"/>
              </w:rPr>
              <w:t>por la naturaleza del mismo y por su forma de sustanciación, como se expone, hace uso de formatos, en sustitución del escrito libre, y tiene por objeto emplear la simplificación administrativa como herramienta para hacer eficiente, agilizar e incluso transparentar la gestión del proceso relacionado con los trámites y servicios en materia de telecomunicaciones y radiodifusión a cargo del Instituto, así como para reducir la carga administrativa asociada a éstos.</w:t>
            </w:r>
          </w:p>
          <w:p w:rsidR="008639BE" w:rsidRPr="003A0F21" w:rsidRDefault="008639BE" w:rsidP="00D43A33">
            <w:pPr>
              <w:jc w:val="both"/>
              <w:rPr>
                <w:rFonts w:ascii="ITC Avant Garde Std Bk" w:hAnsi="ITC Avant Garde Std Bk" w:cs="Tahoma"/>
                <w:bCs/>
                <w:color w:val="000000"/>
                <w:sz w:val="16"/>
                <w:szCs w:val="16"/>
              </w:rPr>
            </w:pPr>
          </w:p>
          <w:p w:rsidR="008639BE" w:rsidRPr="003A0F21" w:rsidRDefault="008639BE" w:rsidP="00D43A33">
            <w:pPr>
              <w:jc w:val="both"/>
              <w:rPr>
                <w:rFonts w:ascii="ITC Avant Garde Std Bk" w:hAnsi="ITC Avant Garde Std Bk" w:cs="Tahoma"/>
                <w:bCs/>
                <w:color w:val="000000"/>
                <w:sz w:val="16"/>
                <w:szCs w:val="16"/>
              </w:rPr>
            </w:pPr>
            <w:r w:rsidRPr="003A0F21">
              <w:rPr>
                <w:rFonts w:ascii="ITC Avant Garde Std Bk" w:hAnsi="ITC Avant Garde Std Bk" w:cs="Tahoma"/>
                <w:bCs/>
                <w:color w:val="000000"/>
                <w:sz w:val="16"/>
                <w:szCs w:val="16"/>
              </w:rPr>
              <w:t xml:space="preserve">Cabe mencionar que, el trámite de desacuerdo en materia de </w:t>
            </w:r>
            <w:r w:rsidRPr="003A0F21">
              <w:rPr>
                <w:rFonts w:ascii="ITC Avant Garde Std Bk" w:hAnsi="ITC Avant Garde Std Bk" w:cs="Tahoma"/>
                <w:bCs/>
                <w:color w:val="000000"/>
                <w:sz w:val="16"/>
                <w:szCs w:val="16"/>
              </w:rPr>
              <w:lastRenderedPageBreak/>
              <w:t>retransmisión de contenidos tiene su fundamento en los artículos 159, 164 al 169 y 232 de la Ley Federal de Telecomunicaciones y Radiodifusión, y no así en el artículo 129 de esta ley.</w:t>
            </w:r>
          </w:p>
          <w:p w:rsidR="008639BE" w:rsidRPr="003A0F21" w:rsidRDefault="008639BE" w:rsidP="00D43A33">
            <w:pPr>
              <w:jc w:val="both"/>
              <w:rPr>
                <w:rFonts w:ascii="ITC Avant Garde Std Bk" w:hAnsi="ITC Avant Garde Std Bk" w:cs="Tahoma"/>
                <w:bCs/>
                <w:color w:val="000000"/>
                <w:sz w:val="16"/>
                <w:szCs w:val="16"/>
              </w:rPr>
            </w:pPr>
          </w:p>
          <w:p w:rsidR="008639BE" w:rsidRPr="003A0F21" w:rsidRDefault="008639BE" w:rsidP="00D43A33">
            <w:pPr>
              <w:jc w:val="both"/>
              <w:rPr>
                <w:rFonts w:ascii="ITC Avant Garde Std Bk" w:hAnsi="ITC Avant Garde Std Bk" w:cs="Tahoma"/>
                <w:bCs/>
                <w:color w:val="000000"/>
                <w:sz w:val="16"/>
                <w:szCs w:val="16"/>
              </w:rPr>
            </w:pPr>
            <w:r w:rsidRPr="003A0F21">
              <w:rPr>
                <w:rFonts w:ascii="ITC Avant Garde Std Bk" w:hAnsi="ITC Avant Garde Std Bk" w:cs="Tahoma"/>
                <w:bCs/>
                <w:color w:val="000000"/>
                <w:sz w:val="16"/>
                <w:szCs w:val="16"/>
              </w:rPr>
              <w:t xml:space="preserve">Por otro lado, los comentarios y propuestas realizados en el sentido de que no solo el inicio de desacuerdo se haga mediante un formato, sino también las etapas subsecuentes en su desarrollo, ya que se deja en estado de indefensión a la parte que inicia el desacuerdo, no resultan atendibles. </w:t>
            </w:r>
          </w:p>
          <w:p w:rsidR="008639BE" w:rsidRPr="003A0F21" w:rsidRDefault="008639BE" w:rsidP="00D43A33">
            <w:pPr>
              <w:jc w:val="both"/>
              <w:rPr>
                <w:rFonts w:ascii="ITC Avant Garde Std Bk" w:hAnsi="ITC Avant Garde Std Bk" w:cs="Tahoma"/>
                <w:bCs/>
                <w:color w:val="000000"/>
                <w:sz w:val="16"/>
                <w:szCs w:val="16"/>
              </w:rPr>
            </w:pPr>
          </w:p>
          <w:p w:rsidR="008639BE" w:rsidRPr="003A0F21" w:rsidRDefault="008639BE" w:rsidP="00D43A33">
            <w:pPr>
              <w:jc w:val="both"/>
              <w:rPr>
                <w:rFonts w:ascii="ITC Avant Garde Std Bk" w:hAnsi="ITC Avant Garde Std Bk" w:cs="Tahoma"/>
                <w:bCs/>
                <w:color w:val="000000"/>
                <w:sz w:val="16"/>
                <w:szCs w:val="16"/>
              </w:rPr>
            </w:pPr>
            <w:r w:rsidRPr="003A0F21">
              <w:rPr>
                <w:rFonts w:ascii="ITC Avant Garde Std Bk" w:hAnsi="ITC Avant Garde Std Bk" w:cs="Tahoma"/>
                <w:bCs/>
                <w:color w:val="000000"/>
                <w:sz w:val="16"/>
                <w:szCs w:val="16"/>
              </w:rPr>
              <w:t xml:space="preserve">Lo anterior, en virtud de que, como se expuso en relación al comentario realizado por </w:t>
            </w:r>
            <w:proofErr w:type="spellStart"/>
            <w:r w:rsidRPr="003A0F21">
              <w:rPr>
                <w:rFonts w:ascii="ITC Avant Garde Std Bk" w:hAnsi="ITC Avant Garde Std Bk" w:cs="Tahoma"/>
                <w:bCs/>
                <w:color w:val="000000"/>
                <w:sz w:val="16"/>
                <w:szCs w:val="16"/>
              </w:rPr>
              <w:t>Altán</w:t>
            </w:r>
            <w:proofErr w:type="spellEnd"/>
            <w:r w:rsidRPr="003A0F21">
              <w:rPr>
                <w:rFonts w:ascii="ITC Avant Garde Std Bk" w:hAnsi="ITC Avant Garde Std Bk" w:cs="Tahoma"/>
                <w:bCs/>
                <w:color w:val="000000"/>
                <w:sz w:val="16"/>
                <w:szCs w:val="16"/>
              </w:rPr>
              <w:t xml:space="preserve"> Redes, S.A.P.I. de C.V., respecto a la Sección 1 de los formatos objeto de la consulta pública, el formato para la resolución de desacuerdos en materia de retransmisión de contenidos tendrá por objeto someter a consideración del Instituto cualquier controversia con motivo de la aplicación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más no así la instrumentación de los actos procedimentales durante la sustanciación del procedimiento de desacuerdo, una vez admitido este.</w:t>
            </w:r>
          </w:p>
          <w:p w:rsidR="008639BE" w:rsidRPr="003A0F21" w:rsidRDefault="008639BE" w:rsidP="00D43A33">
            <w:pPr>
              <w:jc w:val="both"/>
              <w:rPr>
                <w:rFonts w:ascii="ITC Avant Garde Std Bk" w:hAnsi="ITC Avant Garde Std Bk" w:cs="Tahoma"/>
                <w:bCs/>
                <w:color w:val="000000"/>
                <w:sz w:val="16"/>
                <w:szCs w:val="16"/>
              </w:rPr>
            </w:pPr>
          </w:p>
          <w:p w:rsidR="008639BE" w:rsidRDefault="008639BE" w:rsidP="00D43A33">
            <w:pPr>
              <w:jc w:val="both"/>
              <w:rPr>
                <w:rFonts w:ascii="ITC Avant Garde Std Bk" w:hAnsi="ITC Avant Garde Std Bk"/>
                <w:sz w:val="16"/>
                <w:szCs w:val="16"/>
              </w:rPr>
            </w:pPr>
            <w:r w:rsidRPr="003A0F21">
              <w:rPr>
                <w:rFonts w:ascii="ITC Avant Garde Std Bk" w:hAnsi="ITC Avant Garde Std Bk" w:cs="Tahoma"/>
                <w:bCs/>
                <w:color w:val="000000"/>
                <w:sz w:val="16"/>
                <w:szCs w:val="16"/>
              </w:rPr>
              <w:t>De esta manera, se precisa que una vez admitido el procedimiento administrativo de desacuerdo por la Unidad de Medios y Contenidos Audiovisuales, para la sustanciación del mismo -dada la naturaleza sui generis de la controversia, pueden existir tantos actos procedimentales como sean necesarios, lo cual hace inviable que su instrumentación se realice a través del propio formato del trámite de desacuerdo u otros adicionales. De ahí su alcance establecido.</w:t>
            </w:r>
          </w:p>
        </w:tc>
      </w:tr>
    </w:tbl>
    <w:p w:rsidR="008639BE" w:rsidRPr="007F5031" w:rsidRDefault="008639BE" w:rsidP="008639BE">
      <w:pPr>
        <w:pStyle w:val="Default"/>
        <w:jc w:val="both"/>
        <w:rPr>
          <w:rFonts w:ascii="ITC Avant Garde Std Bk" w:hAnsi="ITC Avant Garde Std Bk"/>
          <w:b/>
          <w:bCs/>
          <w:sz w:val="20"/>
          <w:szCs w:val="20"/>
          <w:u w:val="single"/>
          <w:lang w:eastAsia="en-US"/>
        </w:rPr>
      </w:pPr>
      <w:r>
        <w:rPr>
          <w:rFonts w:ascii="ITC Avant Garde Std Bk" w:hAnsi="ITC Avant Garde Std Bk"/>
          <w:bCs/>
          <w:sz w:val="20"/>
          <w:szCs w:val="20"/>
          <w:lang w:eastAsia="en-US"/>
        </w:rPr>
        <w:lastRenderedPageBreak/>
        <w:t xml:space="preserve">6.2.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w:t>
      </w:r>
      <w:r w:rsidRPr="007F5031">
        <w:rPr>
          <w:rFonts w:ascii="ITC Avant Garde Std Bk" w:hAnsi="ITC Avant Garde Std Bk"/>
          <w:b/>
          <w:bCs/>
          <w:sz w:val="20"/>
          <w:szCs w:val="20"/>
          <w:u w:val="single"/>
          <w:lang w:eastAsia="en-US"/>
        </w:rPr>
        <w:t xml:space="preserve"> C</w:t>
      </w:r>
    </w:p>
    <w:p w:rsidR="008639BE" w:rsidRDefault="008639BE" w:rsidP="008639BE">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3320"/>
        <w:gridCol w:w="3321"/>
        <w:gridCol w:w="3321"/>
      </w:tblGrid>
      <w:tr w:rsidR="008639BE" w:rsidRPr="00887E2E" w:rsidTr="00D43A33">
        <w:tc>
          <w:tcPr>
            <w:tcW w:w="3320" w:type="dxa"/>
            <w:shd w:val="clear" w:color="auto" w:fill="296624"/>
          </w:tcPr>
          <w:p w:rsidR="008639BE" w:rsidRDefault="008639BE" w:rsidP="00D43A33">
            <w:pPr>
              <w:pStyle w:val="Default"/>
              <w:jc w:val="center"/>
              <w:rPr>
                <w:rFonts w:ascii="ITC Avant Garde Std Bk" w:hAnsi="ITC Avant Garde Std Bk"/>
                <w:bCs/>
                <w:color w:val="FFFFFF" w:themeColor="background1"/>
                <w:sz w:val="16"/>
                <w:szCs w:val="16"/>
              </w:rPr>
            </w:pPr>
          </w:p>
          <w:p w:rsidR="008639BE" w:rsidRDefault="008639BE" w:rsidP="00D43A33">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rsidR="008639BE" w:rsidRPr="00887E2E" w:rsidRDefault="008639BE" w:rsidP="00D43A33">
            <w:pPr>
              <w:pStyle w:val="Default"/>
              <w:jc w:val="center"/>
              <w:rPr>
                <w:color w:val="FFFFFF" w:themeColor="background1"/>
              </w:rPr>
            </w:pPr>
          </w:p>
        </w:tc>
        <w:tc>
          <w:tcPr>
            <w:tcW w:w="332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332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887E2E" w:rsidTr="00D43A33">
        <w:tc>
          <w:tcPr>
            <w:tcW w:w="3320" w:type="dxa"/>
            <w:vMerge w:val="restart"/>
            <w:shd w:val="clear" w:color="auto" w:fill="C2D69B"/>
          </w:tcPr>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Pr="00887E2E" w:rsidRDefault="008639BE" w:rsidP="00D43A33">
            <w:pPr>
              <w:jc w:val="center"/>
            </w:pPr>
            <w:proofErr w:type="spellStart"/>
            <w:r w:rsidRPr="009C20C4">
              <w:rPr>
                <w:rFonts w:ascii="ITC Avant Garde Std Bk" w:hAnsi="ITC Avant Garde Std Bk"/>
                <w:bCs/>
                <w:sz w:val="16"/>
                <w:szCs w:val="16"/>
              </w:rPr>
              <w:t>Altán</w:t>
            </w:r>
            <w:proofErr w:type="spellEnd"/>
            <w:r w:rsidRPr="009C20C4">
              <w:rPr>
                <w:rFonts w:ascii="ITC Avant Garde Std Bk" w:hAnsi="ITC Avant Garde Std Bk"/>
                <w:bCs/>
                <w:sz w:val="16"/>
                <w:szCs w:val="16"/>
              </w:rPr>
              <w:t xml:space="preserve"> Redes, S.A.P.I. de C.V.</w:t>
            </w:r>
          </w:p>
        </w:tc>
        <w:tc>
          <w:tcPr>
            <w:tcW w:w="332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DE6B98">
              <w:rPr>
                <w:rFonts w:ascii="ITC Avant Garde Std Bk" w:hAnsi="ITC Avant Garde Std Bk"/>
                <w:bCs/>
                <w:sz w:val="16"/>
                <w:szCs w:val="16"/>
              </w:rPr>
              <w:t>Sección 3</w:t>
            </w:r>
          </w:p>
          <w:p w:rsidR="008639BE" w:rsidRPr="00DE6B98"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r w:rsidRPr="00DE6B98">
              <w:rPr>
                <w:rFonts w:ascii="ITC Avant Garde Std Bk" w:hAnsi="ITC Avant Garde Std Bk"/>
                <w:bCs/>
                <w:sz w:val="16"/>
                <w:szCs w:val="16"/>
              </w:rPr>
              <w:t>Se sugiere modificar el texto de la primera casilla dentro de la sección 3.</w:t>
            </w:r>
          </w:p>
          <w:p w:rsidR="008639BE" w:rsidRPr="00DE6B98" w:rsidRDefault="008639BE" w:rsidP="00D43A33">
            <w:pPr>
              <w:jc w:val="both"/>
              <w:rPr>
                <w:rFonts w:ascii="ITC Avant Garde Std Bk" w:hAnsi="ITC Avant Garde Std Bk"/>
                <w:bCs/>
                <w:sz w:val="16"/>
                <w:szCs w:val="16"/>
              </w:rPr>
            </w:pPr>
            <w:r w:rsidRPr="00DE6B98">
              <w:rPr>
                <w:rFonts w:ascii="ITC Avant Garde Std Bk" w:hAnsi="ITC Avant Garde Std Bk"/>
                <w:bCs/>
                <w:sz w:val="16"/>
                <w:szCs w:val="16"/>
              </w:rPr>
              <w:t>Dice: “Hechos o razones que dan motivo a la petición”</w:t>
            </w:r>
          </w:p>
          <w:p w:rsidR="008639BE" w:rsidRPr="00DE6B98" w:rsidRDefault="008639BE" w:rsidP="00D43A33">
            <w:pPr>
              <w:jc w:val="both"/>
              <w:rPr>
                <w:rFonts w:ascii="ITC Avant Garde Std Bk" w:hAnsi="ITC Avant Garde Std Bk"/>
                <w:bCs/>
                <w:sz w:val="16"/>
                <w:szCs w:val="16"/>
              </w:rPr>
            </w:pPr>
            <w:r w:rsidRPr="00DE6B98">
              <w:rPr>
                <w:rFonts w:ascii="ITC Avant Garde Std Bk" w:hAnsi="ITC Avant Garde Std Bk"/>
                <w:bCs/>
                <w:sz w:val="16"/>
                <w:szCs w:val="16"/>
              </w:rPr>
              <w:t>Se sugiere: “Hechos y/o razones que dan motivo a la petición”</w:t>
            </w:r>
          </w:p>
          <w:p w:rsidR="008639BE" w:rsidRDefault="008639BE" w:rsidP="00D43A33">
            <w:pPr>
              <w:jc w:val="both"/>
              <w:rPr>
                <w:rFonts w:ascii="ITC Avant Garde Std Bk" w:hAnsi="ITC Avant Garde Std Bk"/>
                <w:bCs/>
                <w:sz w:val="16"/>
                <w:szCs w:val="16"/>
              </w:rPr>
            </w:pPr>
            <w:r w:rsidRPr="00DE6B98">
              <w:rPr>
                <w:rFonts w:ascii="ITC Avant Garde Std Bk" w:hAnsi="ITC Avant Garde Std Bk"/>
                <w:bCs/>
                <w:sz w:val="16"/>
                <w:szCs w:val="16"/>
              </w:rPr>
              <w:t>La redacción propuesta, amplía el margen de entrega de información del solicitante.</w:t>
            </w:r>
          </w:p>
          <w:p w:rsidR="008639BE" w:rsidRPr="00DE6B98" w:rsidRDefault="008639BE" w:rsidP="00D43A33">
            <w:pPr>
              <w:jc w:val="both"/>
              <w:rPr>
                <w:rFonts w:ascii="ITC Avant Garde Std Bk" w:hAnsi="ITC Avant Garde Std Bk"/>
                <w:bCs/>
                <w:sz w:val="16"/>
                <w:szCs w:val="16"/>
              </w:rPr>
            </w:pPr>
          </w:p>
        </w:tc>
        <w:tc>
          <w:tcPr>
            <w:tcW w:w="3321" w:type="dxa"/>
            <w:shd w:val="clear" w:color="auto" w:fill="C2D69B"/>
          </w:tcPr>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p>
          <w:p w:rsidR="008639BE" w:rsidRPr="008B3D71" w:rsidRDefault="008639BE" w:rsidP="00D43A33">
            <w:pPr>
              <w:jc w:val="both"/>
              <w:rPr>
                <w:rFonts w:ascii="ITC Avant Garde Std Bk" w:hAnsi="ITC Avant Garde Std Bk"/>
                <w:bCs/>
                <w:sz w:val="16"/>
                <w:szCs w:val="16"/>
              </w:rPr>
            </w:pPr>
            <w:r w:rsidRPr="008B3D71">
              <w:rPr>
                <w:rFonts w:ascii="ITC Avant Garde Std Bk" w:hAnsi="ITC Avant Garde Std Bk"/>
                <w:bCs/>
                <w:sz w:val="16"/>
                <w:szCs w:val="16"/>
              </w:rPr>
              <w:t>Se considera procedente el comentario y se modifica la redacción en el apartado correspondiente.</w:t>
            </w:r>
          </w:p>
        </w:tc>
      </w:tr>
      <w:tr w:rsidR="008639BE" w:rsidRPr="00887E2E" w:rsidTr="00B43089">
        <w:trPr>
          <w:trHeight w:val="1631"/>
        </w:trPr>
        <w:tc>
          <w:tcPr>
            <w:tcW w:w="3320" w:type="dxa"/>
            <w:vMerge/>
            <w:shd w:val="clear" w:color="auto" w:fill="C2D69B"/>
          </w:tcPr>
          <w:p w:rsidR="008639BE" w:rsidRDefault="008639BE" w:rsidP="00D43A33">
            <w:pPr>
              <w:jc w:val="center"/>
              <w:rPr>
                <w:rFonts w:ascii="ITC Avant Garde Std Bk" w:hAnsi="ITC Avant Garde Std Bk"/>
                <w:bCs/>
                <w:sz w:val="16"/>
                <w:szCs w:val="16"/>
              </w:rPr>
            </w:pPr>
          </w:p>
        </w:tc>
        <w:tc>
          <w:tcPr>
            <w:tcW w:w="3321" w:type="dxa"/>
            <w:shd w:val="clear" w:color="auto" w:fill="D6E3BC"/>
          </w:tcPr>
          <w:p w:rsidR="008639BE" w:rsidRDefault="008639BE" w:rsidP="00D43A33">
            <w:pPr>
              <w:jc w:val="both"/>
              <w:rPr>
                <w:rFonts w:ascii="ITC Avant Garde Std Bk" w:hAnsi="ITC Avant Garde Std Bk"/>
                <w:bCs/>
                <w:sz w:val="16"/>
                <w:szCs w:val="16"/>
              </w:rPr>
            </w:pPr>
          </w:p>
          <w:p w:rsidR="008639BE" w:rsidRPr="004E57E5" w:rsidRDefault="008639BE" w:rsidP="00D43A33">
            <w:pPr>
              <w:jc w:val="both"/>
              <w:rPr>
                <w:rFonts w:ascii="ITC Avant Garde Std Bk" w:hAnsi="ITC Avant Garde Std Bk"/>
                <w:bCs/>
                <w:sz w:val="16"/>
                <w:szCs w:val="16"/>
              </w:rPr>
            </w:pPr>
            <w:r w:rsidRPr="004E57E5">
              <w:rPr>
                <w:rFonts w:ascii="ITC Avant Garde Std Bk" w:hAnsi="ITC Avant Garde Std Bk"/>
                <w:bCs/>
                <w:sz w:val="16"/>
                <w:szCs w:val="16"/>
              </w:rPr>
              <w:t>Sección 3</w:t>
            </w:r>
          </w:p>
          <w:p w:rsidR="008639BE" w:rsidRPr="004E57E5"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4E57E5">
              <w:rPr>
                <w:rFonts w:ascii="ITC Avant Garde Std Bk" w:hAnsi="ITC Avant Garde Std Bk"/>
                <w:bCs/>
                <w:sz w:val="16"/>
                <w:szCs w:val="16"/>
              </w:rPr>
              <w:t>Asimismo, se solicita se agregue una sección que permita adjuntar documentación de soporte. Por ejemplo, dictámenes periciales.</w:t>
            </w:r>
          </w:p>
        </w:tc>
        <w:tc>
          <w:tcPr>
            <w:tcW w:w="3321" w:type="dxa"/>
            <w:shd w:val="clear" w:color="auto" w:fill="C2D69B"/>
            <w:vAlign w:val="center"/>
          </w:tcPr>
          <w:p w:rsidR="008639BE" w:rsidRPr="00B43089" w:rsidRDefault="008639BE" w:rsidP="00B43089">
            <w:pPr>
              <w:jc w:val="both"/>
              <w:rPr>
                <w:rFonts w:ascii="ITC Avant Garde Std Bk" w:hAnsi="ITC Avant Garde Std Bk"/>
                <w:color w:val="FF0000"/>
                <w:sz w:val="16"/>
                <w:szCs w:val="16"/>
                <w:highlight w:val="yellow"/>
              </w:rPr>
            </w:pPr>
          </w:p>
          <w:p w:rsidR="008639BE" w:rsidRPr="00B43089" w:rsidRDefault="00B43089" w:rsidP="00B43089">
            <w:pPr>
              <w:jc w:val="both"/>
              <w:rPr>
                <w:rFonts w:ascii="ITC Avant Garde Std Bk" w:hAnsi="ITC Avant Garde Std Bk"/>
                <w:bCs/>
                <w:sz w:val="16"/>
                <w:szCs w:val="16"/>
                <w:highlight w:val="yellow"/>
              </w:rPr>
            </w:pPr>
            <w:r w:rsidRPr="00C37B58">
              <w:rPr>
                <w:rFonts w:ascii="ITC Avant Garde Std Bk" w:hAnsi="ITC Avant Garde Std Bk"/>
                <w:bCs/>
                <w:sz w:val="16"/>
                <w:szCs w:val="16"/>
              </w:rPr>
              <w:t>Se considera procedente el comentario y se agrega sección en el apartado 6 del formato.</w:t>
            </w:r>
          </w:p>
        </w:tc>
      </w:tr>
      <w:tr w:rsidR="008639BE" w:rsidRPr="00887E2E" w:rsidTr="00D43A33">
        <w:trPr>
          <w:trHeight w:val="1631"/>
        </w:trPr>
        <w:tc>
          <w:tcPr>
            <w:tcW w:w="3320" w:type="dxa"/>
            <w:vMerge w:val="restart"/>
            <w:shd w:val="clear" w:color="auto" w:fill="D6E3BC"/>
          </w:tcPr>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434C2C" w:rsidP="00D43A33">
            <w:pPr>
              <w:jc w:val="center"/>
              <w:rPr>
                <w:rFonts w:ascii="ITC Avant Garde Std Bk" w:hAnsi="ITC Avant Garde Std Bk"/>
                <w:bCs/>
                <w:sz w:val="16"/>
                <w:szCs w:val="16"/>
              </w:rPr>
            </w:pPr>
            <w:proofErr w:type="spellStart"/>
            <w:r>
              <w:rPr>
                <w:rFonts w:ascii="ITC Avant Garde Std Bk" w:hAnsi="ITC Avant Garde Std Bk"/>
                <w:bCs/>
                <w:sz w:val="16"/>
                <w:szCs w:val="16"/>
              </w:rPr>
              <w:t>Radio</w:t>
            </w:r>
            <w:r w:rsidRPr="008D1B7F">
              <w:rPr>
                <w:rFonts w:ascii="ITC Avant Garde Std Bk" w:hAnsi="ITC Avant Garde Std Bk"/>
                <w:bCs/>
                <w:sz w:val="16"/>
                <w:szCs w:val="16"/>
              </w:rPr>
              <w:t>móvil</w:t>
            </w:r>
            <w:proofErr w:type="spellEnd"/>
            <w:r w:rsidR="008639BE" w:rsidRPr="008D1B7F">
              <w:rPr>
                <w:rFonts w:ascii="ITC Avant Garde Std Bk" w:hAnsi="ITC Avant Garde Std Bk"/>
                <w:bCs/>
                <w:sz w:val="16"/>
                <w:szCs w:val="16"/>
              </w:rPr>
              <w:t xml:space="preserve"> </w:t>
            </w:r>
            <w:proofErr w:type="spellStart"/>
            <w:r w:rsidR="008639BE" w:rsidRPr="008D1B7F">
              <w:rPr>
                <w:rFonts w:ascii="ITC Avant Garde Std Bk" w:hAnsi="ITC Avant Garde Std Bk"/>
                <w:bCs/>
                <w:sz w:val="16"/>
                <w:szCs w:val="16"/>
              </w:rPr>
              <w:t>Dipsa</w:t>
            </w:r>
            <w:proofErr w:type="spellEnd"/>
            <w:r w:rsidR="008639BE" w:rsidRPr="008D1B7F">
              <w:rPr>
                <w:rFonts w:ascii="ITC Avant Garde Std Bk" w:hAnsi="ITC Avant Garde Std Bk"/>
                <w:bCs/>
                <w:sz w:val="16"/>
                <w:szCs w:val="16"/>
              </w:rPr>
              <w:t>, S.A. de C.V.</w:t>
            </w:r>
          </w:p>
        </w:tc>
        <w:tc>
          <w:tcPr>
            <w:tcW w:w="332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AA2A00">
              <w:rPr>
                <w:rFonts w:ascii="ITC Avant Garde Std Bk" w:hAnsi="ITC Avant Garde Std Bk"/>
                <w:bCs/>
                <w:sz w:val="16"/>
                <w:szCs w:val="16"/>
              </w:rPr>
              <w:t>Sección 2</w:t>
            </w:r>
          </w:p>
          <w:p w:rsidR="008639BE" w:rsidRPr="00AA2A00"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AA2A00">
              <w:rPr>
                <w:rFonts w:ascii="ITC Avant Garde Std Bk" w:hAnsi="ITC Avant Garde Std Bk"/>
                <w:bCs/>
                <w:sz w:val="16"/>
                <w:szCs w:val="16"/>
              </w:rPr>
              <w:t xml:space="preserve">En atención al principio de economía procesal, atentamente </w:t>
            </w:r>
            <w:r>
              <w:rPr>
                <w:rFonts w:ascii="ITC Avant Garde Std Bk" w:hAnsi="ITC Avant Garde Std Bk"/>
                <w:bCs/>
                <w:sz w:val="16"/>
                <w:szCs w:val="16"/>
              </w:rPr>
              <w:t xml:space="preserve">nos permitimos sugerir que ese </w:t>
            </w:r>
            <w:r w:rsidR="004E57E5">
              <w:rPr>
                <w:rFonts w:ascii="ITC Avant Garde Std Bk" w:hAnsi="ITC Avant Garde Std Bk"/>
                <w:bCs/>
                <w:sz w:val="16"/>
                <w:szCs w:val="16"/>
              </w:rPr>
              <w:t xml:space="preserve">Instituto </w:t>
            </w:r>
            <w:r w:rsidRPr="00AA2A00">
              <w:rPr>
                <w:rFonts w:ascii="ITC Avant Garde Std Bk" w:hAnsi="ITC Avant Garde Std Bk"/>
                <w:bCs/>
                <w:sz w:val="16"/>
                <w:szCs w:val="16"/>
              </w:rPr>
              <w:t>tenga</w:t>
            </w:r>
            <w:r w:rsidR="00B43089">
              <w:rPr>
                <w:rFonts w:ascii="ITC Avant Garde Std Bk" w:hAnsi="ITC Avant Garde Std Bk"/>
                <w:bCs/>
                <w:sz w:val="16"/>
                <w:szCs w:val="16"/>
              </w:rPr>
              <w:t xml:space="preserve"> </w:t>
            </w:r>
            <w:r w:rsidR="00B43089" w:rsidRPr="00AA2A00">
              <w:rPr>
                <w:rFonts w:ascii="ITC Avant Garde Std Bk" w:hAnsi="ITC Avant Garde Std Bk"/>
                <w:bCs/>
                <w:sz w:val="16"/>
                <w:szCs w:val="16"/>
              </w:rPr>
              <w:t>por</w:t>
            </w:r>
            <w:r w:rsidR="00B43089">
              <w:rPr>
                <w:rFonts w:ascii="ITC Avant Garde Std Bk" w:hAnsi="ITC Avant Garde Std Bk"/>
                <w:bCs/>
                <w:sz w:val="16"/>
                <w:szCs w:val="16"/>
              </w:rPr>
              <w:t xml:space="preserve"> reconocida </w:t>
            </w:r>
            <w:r w:rsidRPr="00AA2A00">
              <w:rPr>
                <w:rFonts w:ascii="ITC Avant Garde Std Bk" w:hAnsi="ITC Avant Garde Std Bk"/>
                <w:bCs/>
                <w:sz w:val="16"/>
                <w:szCs w:val="16"/>
              </w:rPr>
              <w:t xml:space="preserve">la personalidad del concesionario, sin necesidad de repetir el folio </w:t>
            </w:r>
            <w:r w:rsidR="00B43089" w:rsidRPr="00AA2A00">
              <w:rPr>
                <w:rFonts w:ascii="ITC Avant Garde Std Bk" w:hAnsi="ITC Avant Garde Std Bk"/>
                <w:bCs/>
                <w:sz w:val="16"/>
                <w:szCs w:val="16"/>
              </w:rPr>
              <w:t xml:space="preserve">electrónico </w:t>
            </w:r>
            <w:r w:rsidR="00434C2C" w:rsidRPr="00AA2A00">
              <w:rPr>
                <w:rFonts w:ascii="ITC Avant Garde Std Bk" w:hAnsi="ITC Avant Garde Std Bk"/>
                <w:bCs/>
                <w:sz w:val="16"/>
                <w:szCs w:val="16"/>
              </w:rPr>
              <w:t>en cada uno de los anexos, en virtud de</w:t>
            </w:r>
            <w:r w:rsidRPr="00AA2A00">
              <w:rPr>
                <w:rFonts w:ascii="ITC Avant Garde Std Bk" w:hAnsi="ITC Avant Garde Std Bk"/>
                <w:bCs/>
                <w:sz w:val="16"/>
                <w:szCs w:val="16"/>
              </w:rPr>
              <w:t xml:space="preserve"> resultar innecesario incluir el mismo en cada trámite y en cada formato, atento a lo señalado en el comentario inmediato anterior aplicable a TODOS LOS FORMATOS.</w:t>
            </w:r>
          </w:p>
          <w:p w:rsidR="008639BE" w:rsidRDefault="008639BE" w:rsidP="00D43A33">
            <w:pPr>
              <w:jc w:val="both"/>
              <w:rPr>
                <w:rFonts w:ascii="ITC Avant Garde Std Bk" w:hAnsi="ITC Avant Garde Std Bk"/>
                <w:bCs/>
                <w:sz w:val="16"/>
                <w:szCs w:val="16"/>
              </w:rPr>
            </w:pPr>
          </w:p>
        </w:tc>
        <w:tc>
          <w:tcPr>
            <w:tcW w:w="3321" w:type="dxa"/>
            <w:shd w:val="clear" w:color="auto" w:fill="D6E3BC"/>
          </w:tcPr>
          <w:p w:rsidR="008639BE" w:rsidRDefault="008639BE" w:rsidP="00D43A33">
            <w:pPr>
              <w:jc w:val="both"/>
              <w:rPr>
                <w:rFonts w:ascii="ITC Avant Garde Std Bk" w:hAnsi="ITC Avant Garde Std Bk"/>
                <w:sz w:val="16"/>
                <w:szCs w:val="16"/>
              </w:rPr>
            </w:pPr>
          </w:p>
          <w:p w:rsidR="008639BE" w:rsidRDefault="00B43089" w:rsidP="00D43A33">
            <w:pPr>
              <w:jc w:val="both"/>
              <w:rPr>
                <w:rFonts w:ascii="ITC Avant Garde Std Bk" w:hAnsi="ITC Avant Garde Std Bk"/>
                <w:sz w:val="16"/>
                <w:szCs w:val="16"/>
              </w:rPr>
            </w:pPr>
            <w:r w:rsidRPr="00B165DD">
              <w:rPr>
                <w:rFonts w:ascii="ITC Avant Garde Std Bk" w:hAnsi="ITC Avant Garde Std Bk"/>
                <w:sz w:val="16"/>
                <w:szCs w:val="16"/>
              </w:rPr>
              <w:t>No procede el comentario</w:t>
            </w:r>
            <w:r>
              <w:rPr>
                <w:rFonts w:ascii="ITC Avant Garde Std Bk" w:hAnsi="ITC Avant Garde Std Bk"/>
                <w:sz w:val="16"/>
                <w:szCs w:val="16"/>
              </w:rPr>
              <w:t xml:space="preserve">, en virtud </w:t>
            </w:r>
            <w:r w:rsidRPr="00B43089">
              <w:rPr>
                <w:rFonts w:ascii="ITC Avant Garde Std Bk" w:hAnsi="ITC Avant Garde Std Bk"/>
                <w:sz w:val="16"/>
                <w:szCs w:val="16"/>
              </w:rPr>
              <w:t>de que, al ser un forma</w:t>
            </w:r>
            <w:r>
              <w:rPr>
                <w:rFonts w:ascii="ITC Avant Garde Std Bk" w:hAnsi="ITC Avant Garde Std Bk"/>
                <w:sz w:val="16"/>
                <w:szCs w:val="16"/>
              </w:rPr>
              <w:t xml:space="preserve">to de un trámite independiente, </w:t>
            </w:r>
            <w:r w:rsidRPr="00B43089">
              <w:rPr>
                <w:rFonts w:ascii="ITC Avant Garde Std Bk" w:hAnsi="ITC Avant Garde Std Bk"/>
                <w:sz w:val="16"/>
                <w:szCs w:val="16"/>
              </w:rPr>
              <w:t>que no necesariamente se acompañe de otro, el folio electrónico brinda mayor certeza para identificar y reconocer al concesionario promovente.</w:t>
            </w:r>
          </w:p>
          <w:p w:rsidR="008639BE" w:rsidRDefault="008639BE" w:rsidP="00D43A33">
            <w:pPr>
              <w:jc w:val="both"/>
              <w:rPr>
                <w:rFonts w:ascii="ITC Avant Garde Std Bk" w:hAnsi="ITC Avant Garde Std Bk"/>
                <w:sz w:val="16"/>
                <w:szCs w:val="16"/>
              </w:rPr>
            </w:pPr>
          </w:p>
          <w:p w:rsidR="008639BE" w:rsidRDefault="008639BE" w:rsidP="00D43A33">
            <w:pPr>
              <w:jc w:val="both"/>
              <w:rPr>
                <w:rFonts w:ascii="ITC Avant Garde Std Bk" w:hAnsi="ITC Avant Garde Std Bk"/>
                <w:sz w:val="16"/>
                <w:szCs w:val="16"/>
              </w:rPr>
            </w:pPr>
          </w:p>
          <w:p w:rsidR="008639BE" w:rsidRPr="00F27B3C" w:rsidRDefault="008639BE" w:rsidP="00D43A33">
            <w:pPr>
              <w:jc w:val="both"/>
              <w:rPr>
                <w:rFonts w:ascii="ITC Avant Garde Std Bk" w:hAnsi="ITC Avant Garde Std Bk"/>
                <w:sz w:val="16"/>
                <w:szCs w:val="16"/>
              </w:rPr>
            </w:pPr>
            <w:r w:rsidRPr="00F27B3C">
              <w:rPr>
                <w:rFonts w:ascii="ITC Avant Garde Std Bk" w:hAnsi="ITC Avant Garde Std Bk"/>
                <w:sz w:val="16"/>
                <w:szCs w:val="16"/>
              </w:rPr>
              <w:t>*NOTA*</w:t>
            </w:r>
          </w:p>
          <w:p w:rsidR="008639BE" w:rsidRPr="00F27B3C" w:rsidRDefault="008639BE" w:rsidP="00D43A33">
            <w:pPr>
              <w:jc w:val="both"/>
              <w:rPr>
                <w:rFonts w:ascii="ITC Avant Garde Std Bk" w:hAnsi="ITC Avant Garde Std Bk"/>
                <w:sz w:val="16"/>
                <w:szCs w:val="16"/>
              </w:rPr>
            </w:pPr>
          </w:p>
          <w:p w:rsidR="008639BE" w:rsidRPr="00887E2E" w:rsidRDefault="008639BE" w:rsidP="00D43A33">
            <w:pPr>
              <w:jc w:val="both"/>
              <w:rPr>
                <w:rFonts w:ascii="ITC Avant Garde Std Bk" w:hAnsi="ITC Avant Garde Std Bk"/>
                <w:bCs/>
                <w:sz w:val="16"/>
                <w:szCs w:val="16"/>
              </w:rPr>
            </w:pPr>
            <w:r w:rsidRPr="00F27B3C">
              <w:rPr>
                <w:rFonts w:ascii="ITC Avant Garde Std Bk" w:hAnsi="ITC Avant Garde Std Bk"/>
                <w:sz w:val="16"/>
                <w:szCs w:val="16"/>
              </w:rPr>
              <w:t>Los formatos que componen los Anexos  H, I, J, K, L, M (Modalidades  A, B, y C) y N, no contienen los rubros referidos en el comentario de participación.</w:t>
            </w:r>
          </w:p>
        </w:tc>
      </w:tr>
      <w:tr w:rsidR="008639BE" w:rsidRPr="00887E2E" w:rsidTr="00D43A33">
        <w:trPr>
          <w:trHeight w:val="1631"/>
        </w:trPr>
        <w:tc>
          <w:tcPr>
            <w:tcW w:w="3320" w:type="dxa"/>
            <w:vMerge/>
            <w:shd w:val="clear" w:color="auto" w:fill="D6E3BC"/>
          </w:tcPr>
          <w:p w:rsidR="008639BE" w:rsidRDefault="008639BE" w:rsidP="00D43A33">
            <w:pPr>
              <w:jc w:val="center"/>
              <w:rPr>
                <w:rFonts w:ascii="ITC Avant Garde Std Bk" w:hAnsi="ITC Avant Garde Std Bk"/>
                <w:bCs/>
                <w:sz w:val="16"/>
                <w:szCs w:val="16"/>
              </w:rPr>
            </w:pPr>
          </w:p>
        </w:tc>
        <w:tc>
          <w:tcPr>
            <w:tcW w:w="332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8D1B7F">
              <w:rPr>
                <w:rFonts w:ascii="ITC Avant Garde Std Bk" w:hAnsi="ITC Avant Garde Std Bk"/>
                <w:bCs/>
                <w:sz w:val="16"/>
                <w:szCs w:val="16"/>
              </w:rPr>
              <w:t>Sección 6</w:t>
            </w:r>
          </w:p>
          <w:p w:rsidR="008639BE" w:rsidRPr="008D1B7F" w:rsidRDefault="008639BE" w:rsidP="00D43A33">
            <w:pPr>
              <w:jc w:val="both"/>
              <w:rPr>
                <w:rFonts w:ascii="ITC Avant Garde Std Bk" w:hAnsi="ITC Avant Garde Std Bk"/>
                <w:bCs/>
                <w:sz w:val="16"/>
                <w:szCs w:val="16"/>
              </w:rPr>
            </w:pPr>
          </w:p>
          <w:p w:rsidR="008639BE" w:rsidRPr="008D1B7F" w:rsidRDefault="008639BE" w:rsidP="00D43A33">
            <w:pPr>
              <w:jc w:val="both"/>
              <w:rPr>
                <w:rFonts w:ascii="ITC Avant Garde Std Bk" w:hAnsi="ITC Avant Garde Std Bk"/>
                <w:bCs/>
                <w:sz w:val="16"/>
                <w:szCs w:val="16"/>
              </w:rPr>
            </w:pPr>
            <w:r w:rsidRPr="008D1B7F">
              <w:rPr>
                <w:rFonts w:ascii="ITC Avant Garde Std Bk" w:hAnsi="ITC Avant Garde Std Bk"/>
                <w:bCs/>
                <w:sz w:val="16"/>
                <w:szCs w:val="16"/>
              </w:rPr>
              <w:t xml:space="preserve">Al respecto, atentamente sugerimos que se tenga por reconocida la personalidad del representante legal del promovente sin necesidad de acompañar el instrumento público o documento de acreditación de identidad en cada trámite y en cada </w:t>
            </w:r>
            <w:r w:rsidRPr="008D1B7F">
              <w:rPr>
                <w:rFonts w:ascii="ITC Avant Garde Std Bk" w:hAnsi="ITC Avant Garde Std Bk"/>
                <w:bCs/>
                <w:sz w:val="16"/>
                <w:szCs w:val="16"/>
              </w:rPr>
              <w:lastRenderedPageBreak/>
              <w:t>formato, atento a lo señalado en el comentario inmediato anterior aplicable a TODOS LOS FORMATOS.</w:t>
            </w:r>
          </w:p>
        </w:tc>
        <w:tc>
          <w:tcPr>
            <w:tcW w:w="332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Pr>
                <w:rFonts w:ascii="ITC Avant Garde Std Bk" w:hAnsi="ITC Avant Garde Std Bk"/>
                <w:bCs/>
                <w:sz w:val="16"/>
                <w:szCs w:val="16"/>
              </w:rPr>
              <w:t xml:space="preserve">Por lo que hace </w:t>
            </w:r>
            <w:r>
              <w:rPr>
                <w:rFonts w:ascii="ITC Avant Garde Std Bk" w:hAnsi="ITC Avant Garde Std Bk"/>
                <w:sz w:val="16"/>
                <w:szCs w:val="16"/>
              </w:rPr>
              <w:t xml:space="preserve">a los formatos que componen los Anexos A, B, C, D, E, F y G, se adopta </w:t>
            </w:r>
            <w:r w:rsidRPr="005A339A">
              <w:rPr>
                <w:rFonts w:ascii="ITC Avant Garde Std Bk" w:hAnsi="ITC Avant Garde Std Bk"/>
                <w:bCs/>
                <w:sz w:val="16"/>
                <w:szCs w:val="16"/>
              </w:rPr>
              <w:t>parcialmente</w:t>
            </w:r>
            <w:r>
              <w:rPr>
                <w:rFonts w:ascii="ITC Avant Garde Std Bk" w:hAnsi="ITC Avant Garde Std Bk"/>
                <w:bCs/>
                <w:sz w:val="16"/>
                <w:szCs w:val="16"/>
              </w:rPr>
              <w:t xml:space="preserve"> el comentario</w:t>
            </w:r>
            <w:r w:rsidRPr="004E57E5">
              <w:rPr>
                <w:rFonts w:ascii="ITC Avant Garde Std Bk" w:hAnsi="ITC Avant Garde Std Bk"/>
                <w:bCs/>
                <w:sz w:val="16"/>
                <w:szCs w:val="16"/>
              </w:rPr>
              <w:t xml:space="preserve">; proponiendo el siguiente texto:  "En su caso, copia certificada del instrumento público o documento con el que se acredite la identidad y alcances del representante legal del Promovente, para aquellos casos en los </w:t>
            </w:r>
            <w:r w:rsidRPr="004E57E5">
              <w:rPr>
                <w:rFonts w:ascii="ITC Avant Garde Std Bk" w:hAnsi="ITC Avant Garde Std Bk"/>
                <w:bCs/>
                <w:sz w:val="16"/>
                <w:szCs w:val="16"/>
              </w:rPr>
              <w:lastRenderedPageBreak/>
              <w:t>que no se haya entregado la documentación correspondiente previamente ante el Instituto."</w:t>
            </w:r>
            <w:r>
              <w:rPr>
                <w:rFonts w:ascii="ITC Avant Garde Std Bk" w:hAnsi="ITC Avant Garde Std Bk"/>
                <w:bCs/>
                <w:sz w:val="16"/>
                <w:szCs w:val="16"/>
              </w:rPr>
              <w:t xml:space="preserve"> </w:t>
            </w:r>
          </w:p>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Pr>
                <w:rFonts w:ascii="ITC Avant Garde Std Bk" w:hAnsi="ITC Avant Garde Std Bk"/>
                <w:bCs/>
                <w:sz w:val="16"/>
                <w:szCs w:val="16"/>
              </w:rPr>
              <w:t xml:space="preserve">Por lo que hace a los formatos </w:t>
            </w:r>
            <w:r>
              <w:rPr>
                <w:rFonts w:ascii="ITC Avant Garde Std Bk" w:hAnsi="ITC Avant Garde Std Bk"/>
                <w:sz w:val="16"/>
                <w:szCs w:val="16"/>
              </w:rPr>
              <w:t>de S</w:t>
            </w:r>
            <w:r w:rsidRPr="000D7FE0">
              <w:rPr>
                <w:rFonts w:ascii="ITC Avant Garde Std Bk" w:hAnsi="ITC Avant Garde Std Bk"/>
                <w:sz w:val="16"/>
                <w:szCs w:val="16"/>
              </w:rPr>
              <w:t>olicitud de Resolución de Desacuerdo</w:t>
            </w:r>
            <w:r>
              <w:rPr>
                <w:rFonts w:ascii="ITC Avant Garde Std Bk" w:hAnsi="ITC Avant Garde Std Bk"/>
                <w:sz w:val="16"/>
                <w:szCs w:val="16"/>
              </w:rPr>
              <w:t xml:space="preserve"> (A</w:t>
            </w:r>
            <w:r>
              <w:rPr>
                <w:rFonts w:ascii="ITC Avant Garde Std Bk" w:hAnsi="ITC Avant Garde Std Bk"/>
                <w:bCs/>
                <w:sz w:val="16"/>
                <w:szCs w:val="16"/>
              </w:rPr>
              <w:t xml:space="preserve">nexos </w:t>
            </w:r>
            <w:r w:rsidRPr="00F27B3C">
              <w:rPr>
                <w:rFonts w:ascii="ITC Avant Garde Std Bk" w:hAnsi="ITC Avant Garde Std Bk"/>
                <w:sz w:val="16"/>
                <w:szCs w:val="16"/>
              </w:rPr>
              <w:t>H, I, J, K, L, M</w:t>
            </w:r>
            <w:r>
              <w:rPr>
                <w:rFonts w:ascii="ITC Avant Garde Std Bk" w:hAnsi="ITC Avant Garde Std Bk"/>
                <w:sz w:val="16"/>
                <w:szCs w:val="16"/>
              </w:rPr>
              <w:t xml:space="preserve">.A, M.B., M.C.),  </w:t>
            </w:r>
            <w:r w:rsidRPr="000D7FE0">
              <w:rPr>
                <w:rFonts w:ascii="ITC Avant Garde Std Bk" w:hAnsi="ITC Avant Garde Std Bk"/>
                <w:sz w:val="16"/>
                <w:szCs w:val="16"/>
              </w:rPr>
              <w:t xml:space="preserve"> es necesario que se acredite la per</w:t>
            </w:r>
            <w:r>
              <w:rPr>
                <w:rFonts w:ascii="ITC Avant Garde Std Bk" w:hAnsi="ITC Avant Garde Std Bk"/>
                <w:sz w:val="16"/>
                <w:szCs w:val="16"/>
              </w:rPr>
              <w:t>s</w:t>
            </w:r>
            <w:r w:rsidRPr="000D7FE0">
              <w:rPr>
                <w:rFonts w:ascii="ITC Avant Garde Std Bk" w:hAnsi="ITC Avant Garde Std Bk"/>
                <w:sz w:val="16"/>
                <w:szCs w:val="16"/>
              </w:rPr>
              <w:t>o</w:t>
            </w:r>
            <w:r>
              <w:rPr>
                <w:rFonts w:ascii="ITC Avant Garde Std Bk" w:hAnsi="ITC Avant Garde Std Bk"/>
                <w:sz w:val="16"/>
                <w:szCs w:val="16"/>
              </w:rPr>
              <w:t>nalidad jurídica del promovente,</w:t>
            </w:r>
            <w:r w:rsidRPr="000D7FE0">
              <w:rPr>
                <w:rFonts w:ascii="ITC Avant Garde Std Bk" w:hAnsi="ITC Avant Garde Std Bk"/>
                <w:sz w:val="16"/>
                <w:szCs w:val="16"/>
              </w:rPr>
              <w:t xml:space="preserve"> sin embargo</w:t>
            </w:r>
            <w:r>
              <w:rPr>
                <w:rFonts w:ascii="ITC Avant Garde Std Bk" w:hAnsi="ITC Avant Garde Std Bk"/>
                <w:sz w:val="16"/>
                <w:szCs w:val="16"/>
              </w:rPr>
              <w:t>,</w:t>
            </w:r>
            <w:r w:rsidRPr="000D7FE0">
              <w:rPr>
                <w:rFonts w:ascii="ITC Avant Garde Std Bk" w:hAnsi="ITC Avant Garde Std Bk"/>
                <w:sz w:val="16"/>
                <w:szCs w:val="16"/>
              </w:rPr>
              <w:t xml:space="preserve"> en el numeral de la sección en comento,</w:t>
            </w:r>
            <w:r>
              <w:rPr>
                <w:rFonts w:ascii="ITC Avant Garde Std Bk" w:hAnsi="ITC Avant Garde Std Bk"/>
                <w:sz w:val="16"/>
                <w:szCs w:val="16"/>
              </w:rPr>
              <w:t xml:space="preserve"> se</w:t>
            </w:r>
            <w:r w:rsidRPr="000D7FE0">
              <w:rPr>
                <w:rFonts w:ascii="ITC Avant Garde Std Bk" w:hAnsi="ITC Avant Garde Std Bk"/>
                <w:sz w:val="16"/>
                <w:szCs w:val="16"/>
              </w:rPr>
              <w:t xml:space="preserve"> señala que en caso de que el IFT ya cuenta con el instrumento público o documento con el que se acredite la identidad y alcances del representante legal, no es necesario qu</w:t>
            </w:r>
            <w:r>
              <w:rPr>
                <w:rFonts w:ascii="ITC Avant Garde Std Bk" w:hAnsi="ITC Avant Garde Std Bk"/>
                <w:sz w:val="16"/>
                <w:szCs w:val="16"/>
              </w:rPr>
              <w:t xml:space="preserve">e acompañe instrumento </w:t>
            </w:r>
            <w:r w:rsidRPr="00663A48">
              <w:rPr>
                <w:rFonts w:ascii="ITC Avant Garde Std Bk" w:hAnsi="ITC Avant Garde Std Bk"/>
                <w:sz w:val="16"/>
                <w:szCs w:val="16"/>
              </w:rPr>
              <w:t>notarial, por lo que no resulta procedente el comentario, para estos formatos.</w:t>
            </w:r>
          </w:p>
          <w:p w:rsidR="008639BE" w:rsidRDefault="008639BE" w:rsidP="00D43A33">
            <w:pPr>
              <w:jc w:val="both"/>
              <w:rPr>
                <w:rFonts w:ascii="ITC Avant Garde Std Bk" w:hAnsi="ITC Avant Garde Std Bk"/>
                <w:bCs/>
                <w:sz w:val="16"/>
                <w:szCs w:val="16"/>
              </w:rPr>
            </w:pPr>
          </w:p>
          <w:p w:rsidR="008639BE" w:rsidRDefault="008639BE" w:rsidP="00D43A33">
            <w:pPr>
              <w:contextualSpacing/>
              <w:mirrorIndents/>
              <w:jc w:val="both"/>
              <w:rPr>
                <w:rFonts w:ascii="ITC Avant Garde Std Bk" w:hAnsi="ITC Avant Garde Std Bk"/>
                <w:bCs/>
                <w:sz w:val="16"/>
                <w:szCs w:val="16"/>
              </w:rPr>
            </w:pPr>
            <w:r>
              <w:rPr>
                <w:rFonts w:ascii="ITC Avant Garde Std Bk" w:hAnsi="ITC Avant Garde Std Bk"/>
                <w:bCs/>
                <w:sz w:val="16"/>
                <w:szCs w:val="16"/>
              </w:rPr>
              <w:t>Ahora bien, por lo que respecta al formato del Anexo</w:t>
            </w:r>
            <w:r w:rsidRPr="002C4C6A">
              <w:rPr>
                <w:rFonts w:ascii="ITC Avant Garde Std Bk" w:hAnsi="ITC Avant Garde Std Bk"/>
                <w:bCs/>
                <w:sz w:val="16"/>
                <w:szCs w:val="16"/>
              </w:rPr>
              <w:t xml:space="preserve"> N, en su sección 6, se prevé que cuando el Instituto ya cuente con el instrumento público o documento con el que se acredite la identidad y alcances del representante legal, bastará que el interesado indique los datos del instrumento público o documento de que se trate, la fecha de presentación y el númer</w:t>
            </w:r>
            <w:r>
              <w:rPr>
                <w:rFonts w:ascii="ITC Avant Garde Std Bk" w:hAnsi="ITC Avant Garde Std Bk"/>
                <w:bCs/>
                <w:sz w:val="16"/>
                <w:szCs w:val="16"/>
              </w:rPr>
              <w:t xml:space="preserve">o de expediente que lo contenga. </w:t>
            </w:r>
            <w:r w:rsidRPr="008A4090">
              <w:rPr>
                <w:rFonts w:ascii="ITC Avant Garde Std Bk" w:hAnsi="ITC Avant Garde Std Bk"/>
                <w:bCs/>
                <w:sz w:val="16"/>
                <w:szCs w:val="16"/>
              </w:rPr>
              <w:t>Bajo este supuesto, corresponderá a la UMCA localizar la documental que previamente fue presentada para los efectos conducentes, eliminando con ello la carga regulatoria al interesado en cuanto acompañar –para efectos de acreditación de la personalidad del promovente- el instrumento público o documento correspondiente para cada trámite</w:t>
            </w:r>
            <w:r>
              <w:rPr>
                <w:rFonts w:ascii="ITC Avant Garde Std Bk" w:hAnsi="ITC Avant Garde Std Bk"/>
                <w:bCs/>
                <w:sz w:val="16"/>
                <w:szCs w:val="16"/>
              </w:rPr>
              <w:t>.</w:t>
            </w:r>
          </w:p>
          <w:p w:rsidR="008639BE" w:rsidRPr="00887E2E" w:rsidRDefault="008639BE" w:rsidP="00D43A33">
            <w:pPr>
              <w:jc w:val="both"/>
              <w:rPr>
                <w:rFonts w:ascii="ITC Avant Garde Std Bk" w:hAnsi="ITC Avant Garde Std Bk"/>
                <w:bCs/>
                <w:sz w:val="16"/>
                <w:szCs w:val="16"/>
              </w:rPr>
            </w:pPr>
          </w:p>
        </w:tc>
      </w:tr>
      <w:tr w:rsidR="008639BE" w:rsidRPr="00887E2E" w:rsidTr="00D43A33">
        <w:trPr>
          <w:trHeight w:val="1631"/>
        </w:trPr>
        <w:tc>
          <w:tcPr>
            <w:tcW w:w="3320" w:type="dxa"/>
            <w:vMerge/>
            <w:shd w:val="clear" w:color="auto" w:fill="D6E3BC"/>
          </w:tcPr>
          <w:p w:rsidR="008639BE" w:rsidRDefault="008639BE" w:rsidP="00D43A33">
            <w:pPr>
              <w:jc w:val="center"/>
              <w:rPr>
                <w:rFonts w:ascii="ITC Avant Garde Std Bk" w:hAnsi="ITC Avant Garde Std Bk"/>
                <w:bCs/>
                <w:sz w:val="16"/>
                <w:szCs w:val="16"/>
              </w:rPr>
            </w:pPr>
          </w:p>
        </w:tc>
        <w:tc>
          <w:tcPr>
            <w:tcW w:w="3321" w:type="dxa"/>
            <w:shd w:val="clear" w:color="auto" w:fill="D6E3BC"/>
          </w:tcPr>
          <w:p w:rsidR="008639BE" w:rsidRPr="00002D46" w:rsidRDefault="008639BE" w:rsidP="00D43A33">
            <w:pPr>
              <w:jc w:val="both"/>
              <w:rPr>
                <w:rFonts w:ascii="ITC Avant Garde Std Bk" w:hAnsi="ITC Avant Garde Std Bk"/>
                <w:bCs/>
                <w:sz w:val="16"/>
                <w:szCs w:val="16"/>
              </w:rPr>
            </w:pPr>
            <w:r w:rsidRPr="00002D46">
              <w:rPr>
                <w:rFonts w:ascii="ITC Avant Garde Std Bk" w:hAnsi="ITC Avant Garde Std Bk"/>
                <w:bCs/>
                <w:sz w:val="16"/>
                <w:szCs w:val="16"/>
              </w:rPr>
              <w:t>Sección: Plazos a los que estará sujeto el trámite</w:t>
            </w:r>
          </w:p>
          <w:p w:rsidR="008639BE" w:rsidRPr="008D1B7F"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8D1B7F">
              <w:rPr>
                <w:rFonts w:ascii="ITC Avant Garde Std Bk" w:hAnsi="ITC Avant Garde Std Bk"/>
                <w:bCs/>
                <w:sz w:val="16"/>
                <w:szCs w:val="16"/>
              </w:rPr>
              <w:t xml:space="preserve">Se solicita extender el plazo a que se refiere el segundo párrafo de este apartado, es decir, el plazo con que cuenta el interesado para subsanar la información o documentación faltante o errónea, de 10 días hábiles a 15 días hábiles. Lo anterior en virtud de que este trámite implica la presentación de diversa información técnica obtenida a </w:t>
            </w:r>
            <w:r w:rsidRPr="008D1B7F">
              <w:rPr>
                <w:rFonts w:ascii="ITC Avant Garde Std Bk" w:hAnsi="ITC Avant Garde Std Bk"/>
                <w:bCs/>
                <w:sz w:val="16"/>
                <w:szCs w:val="16"/>
              </w:rPr>
              <w:lastRenderedPageBreak/>
              <w:t>nivel de campo en poblaciones o municipios en algunos casos alejados o remotos, por lo cual el plazo de 10 días hábiles podría no ser suficiente para subsanar dicho requerimiento de información adicional.</w:t>
            </w:r>
          </w:p>
        </w:tc>
        <w:tc>
          <w:tcPr>
            <w:tcW w:w="332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p>
          <w:p w:rsidR="008639BE" w:rsidRPr="00887E2E" w:rsidRDefault="00002D46" w:rsidP="00D43A33">
            <w:pPr>
              <w:jc w:val="both"/>
              <w:rPr>
                <w:rFonts w:ascii="ITC Avant Garde Std Bk" w:hAnsi="ITC Avant Garde Std Bk"/>
                <w:bCs/>
                <w:sz w:val="16"/>
                <w:szCs w:val="16"/>
              </w:rPr>
            </w:pPr>
            <w:r w:rsidRPr="00B165DD">
              <w:rPr>
                <w:rFonts w:ascii="ITC Avant Garde Std Bk" w:hAnsi="ITC Avant Garde Std Bk"/>
                <w:sz w:val="16"/>
                <w:szCs w:val="16"/>
              </w:rPr>
              <w:t>No procede el comentario</w:t>
            </w:r>
            <w:r>
              <w:rPr>
                <w:rFonts w:ascii="ITC Avant Garde Std Bk" w:hAnsi="ITC Avant Garde Std Bk"/>
                <w:bCs/>
                <w:sz w:val="16"/>
                <w:szCs w:val="16"/>
              </w:rPr>
              <w:t xml:space="preserve">. </w:t>
            </w:r>
            <w:r w:rsidR="008639BE" w:rsidRPr="002C4C6A">
              <w:rPr>
                <w:rFonts w:ascii="ITC Avant Garde Std Bk" w:hAnsi="ITC Avant Garde Std Bk"/>
                <w:bCs/>
                <w:sz w:val="16"/>
                <w:szCs w:val="16"/>
              </w:rPr>
              <w:t>Se</w:t>
            </w:r>
            <w:r w:rsidR="008639BE">
              <w:rPr>
                <w:rFonts w:ascii="ITC Avant Garde Std Bk" w:hAnsi="ITC Avant Garde Std Bk"/>
                <w:bCs/>
                <w:sz w:val="16"/>
                <w:szCs w:val="16"/>
              </w:rPr>
              <w:t xml:space="preserve"> determina mantener </w:t>
            </w:r>
            <w:r w:rsidR="008639BE" w:rsidRPr="002C4C6A">
              <w:rPr>
                <w:rFonts w:ascii="ITC Avant Garde Std Bk" w:hAnsi="ITC Avant Garde Std Bk"/>
                <w:bCs/>
                <w:sz w:val="16"/>
                <w:szCs w:val="16"/>
              </w:rPr>
              <w:t>el plazo establecido previamente. No obstante, en caso de ser necesario, el denunciante podrá solicitar la ampliación del plazo en términos del artículo 31 de la Ley Federal de Telecomunicaciones y Radiodifusión.</w:t>
            </w:r>
          </w:p>
        </w:tc>
      </w:tr>
    </w:tbl>
    <w:p w:rsidR="008639BE" w:rsidRPr="00164865" w:rsidRDefault="008639BE" w:rsidP="008639BE">
      <w:pPr>
        <w:pStyle w:val="Default"/>
        <w:jc w:val="both"/>
        <w:rPr>
          <w:rFonts w:ascii="ITC Avant Garde Std Bk" w:hAnsi="ITC Avant Garde Std Bk"/>
          <w:bCs/>
          <w:sz w:val="20"/>
          <w:szCs w:val="20"/>
          <w:lang w:eastAsia="en-US"/>
        </w:rPr>
      </w:pPr>
    </w:p>
    <w:p w:rsidR="008639BE" w:rsidRDefault="008639BE" w:rsidP="008639BE">
      <w:pPr>
        <w:pStyle w:val="Default"/>
        <w:jc w:val="both"/>
        <w:rPr>
          <w:rFonts w:ascii="ITC Avant Garde Std Bk" w:hAnsi="ITC Avant Garde Std Bk"/>
          <w:bCs/>
          <w:sz w:val="20"/>
          <w:szCs w:val="20"/>
          <w:lang w:eastAsia="en-US"/>
        </w:rPr>
      </w:pPr>
    </w:p>
    <w:p w:rsidR="008639BE" w:rsidRDefault="008639BE" w:rsidP="008639BE">
      <w:pPr>
        <w:pStyle w:val="Default"/>
        <w:jc w:val="both"/>
        <w:rPr>
          <w:rFonts w:ascii="ITC Avant Garde Std Bk" w:hAnsi="ITC Avant Garde Std Bk"/>
          <w:bCs/>
          <w:sz w:val="20"/>
          <w:szCs w:val="20"/>
          <w:lang w:eastAsia="en-US"/>
        </w:rPr>
      </w:pPr>
      <w:r w:rsidRPr="00164865">
        <w:rPr>
          <w:rFonts w:ascii="ITC Avant Garde Std Bk" w:hAnsi="ITC Avant Garde Std Bk"/>
          <w:bCs/>
          <w:sz w:val="20"/>
          <w:szCs w:val="20"/>
          <w:lang w:eastAsia="en-US"/>
        </w:rPr>
        <w:t>6.</w:t>
      </w:r>
      <w:r>
        <w:rPr>
          <w:rFonts w:ascii="ITC Avant Garde Std Bk" w:hAnsi="ITC Avant Garde Std Bk"/>
          <w:bCs/>
          <w:sz w:val="20"/>
          <w:szCs w:val="20"/>
          <w:lang w:eastAsia="en-US"/>
        </w:rPr>
        <w:t xml:space="preserve">3.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w:t>
      </w:r>
      <w:r w:rsidRPr="007F5031">
        <w:rPr>
          <w:rFonts w:ascii="ITC Avant Garde Std Bk" w:hAnsi="ITC Avant Garde Std Bk"/>
          <w:b/>
          <w:bCs/>
          <w:sz w:val="20"/>
          <w:szCs w:val="20"/>
          <w:u w:val="single"/>
          <w:lang w:eastAsia="en-US"/>
        </w:rPr>
        <w:t xml:space="preserve"> F</w:t>
      </w:r>
    </w:p>
    <w:p w:rsidR="008639BE" w:rsidRDefault="008639BE" w:rsidP="008639BE">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2830"/>
        <w:gridCol w:w="3811"/>
        <w:gridCol w:w="3321"/>
      </w:tblGrid>
      <w:tr w:rsidR="008639BE" w:rsidRPr="00887E2E" w:rsidTr="00D43A33">
        <w:tc>
          <w:tcPr>
            <w:tcW w:w="2830" w:type="dxa"/>
            <w:shd w:val="clear" w:color="auto" w:fill="296624"/>
          </w:tcPr>
          <w:p w:rsidR="008639BE" w:rsidRDefault="008639BE" w:rsidP="00D43A33">
            <w:pPr>
              <w:pStyle w:val="Default"/>
              <w:jc w:val="center"/>
              <w:rPr>
                <w:rFonts w:ascii="ITC Avant Garde Std Bk" w:hAnsi="ITC Avant Garde Std Bk"/>
                <w:bCs/>
                <w:color w:val="FFFFFF" w:themeColor="background1"/>
                <w:sz w:val="16"/>
                <w:szCs w:val="16"/>
              </w:rPr>
            </w:pPr>
          </w:p>
          <w:p w:rsidR="008639BE" w:rsidRDefault="008639BE" w:rsidP="00D43A33">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rsidR="008639BE" w:rsidRPr="00887E2E" w:rsidRDefault="008639BE" w:rsidP="00D43A33">
            <w:pPr>
              <w:pStyle w:val="Default"/>
              <w:jc w:val="center"/>
              <w:rPr>
                <w:color w:val="FFFFFF" w:themeColor="background1"/>
              </w:rPr>
            </w:pPr>
          </w:p>
        </w:tc>
        <w:tc>
          <w:tcPr>
            <w:tcW w:w="381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332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DE6B98" w:rsidTr="00D43A33">
        <w:tc>
          <w:tcPr>
            <w:tcW w:w="2830" w:type="dxa"/>
            <w:vMerge w:val="restart"/>
            <w:shd w:val="clear" w:color="auto" w:fill="C2D69B"/>
            <w:vAlign w:val="center"/>
          </w:tcPr>
          <w:p w:rsidR="008639BE" w:rsidRDefault="008639BE" w:rsidP="00D43A33">
            <w:pPr>
              <w:jc w:val="center"/>
              <w:rPr>
                <w:rFonts w:ascii="ITC Avant Garde Std Bk" w:hAnsi="ITC Avant Garde Std Bk"/>
                <w:bCs/>
                <w:sz w:val="16"/>
                <w:szCs w:val="16"/>
              </w:rPr>
            </w:pPr>
            <w:r w:rsidRPr="002A077F">
              <w:rPr>
                <w:rFonts w:ascii="ITC Avant Garde Std Bk" w:hAnsi="ITC Avant Garde Std Bk"/>
                <w:bCs/>
                <w:sz w:val="16"/>
                <w:szCs w:val="16"/>
              </w:rPr>
              <w:t>Asociación Nacional de Telecomunicaciones, A.C.</w:t>
            </w:r>
          </w:p>
        </w:tc>
        <w:tc>
          <w:tcPr>
            <w:tcW w:w="3811" w:type="dxa"/>
            <w:shd w:val="clear" w:color="auto" w:fill="C2D69B"/>
          </w:tcPr>
          <w:p w:rsidR="008639BE" w:rsidRDefault="008639BE" w:rsidP="00D43A33">
            <w:pPr>
              <w:jc w:val="both"/>
              <w:rPr>
                <w:rFonts w:ascii="ITC Avant Garde Std Bk" w:hAnsi="ITC Avant Garde Std Bk"/>
                <w:bCs/>
                <w:color w:val="000000" w:themeColor="text1"/>
                <w:sz w:val="16"/>
                <w:szCs w:val="16"/>
              </w:rPr>
            </w:pPr>
          </w:p>
          <w:p w:rsidR="008639BE" w:rsidRPr="007E6D99" w:rsidRDefault="008639BE" w:rsidP="00D43A33">
            <w:pPr>
              <w:jc w:val="both"/>
              <w:rPr>
                <w:rFonts w:ascii="ITC Avant Garde Std Bk" w:hAnsi="ITC Avant Garde Std Bk"/>
                <w:bCs/>
                <w:color w:val="000000" w:themeColor="text1"/>
                <w:sz w:val="16"/>
                <w:szCs w:val="16"/>
              </w:rPr>
            </w:pPr>
            <w:r w:rsidRPr="007E6D99">
              <w:rPr>
                <w:rFonts w:ascii="ITC Avant Garde Std Bk" w:hAnsi="ITC Avant Garde Std Bk"/>
                <w:bCs/>
                <w:color w:val="000000" w:themeColor="text1"/>
                <w:sz w:val="16"/>
                <w:szCs w:val="16"/>
              </w:rPr>
              <w:t>Consideraciones Generales</w:t>
            </w:r>
          </w:p>
          <w:p w:rsidR="008639BE" w:rsidRPr="007E6D99" w:rsidRDefault="008639BE" w:rsidP="00D43A33">
            <w:pPr>
              <w:jc w:val="both"/>
              <w:rPr>
                <w:rFonts w:ascii="ITC Avant Garde Std Bk" w:hAnsi="ITC Avant Garde Std Bk"/>
                <w:bCs/>
                <w:color w:val="000000" w:themeColor="text1"/>
                <w:sz w:val="16"/>
                <w:szCs w:val="16"/>
              </w:rPr>
            </w:pPr>
          </w:p>
          <w:p w:rsidR="008639BE" w:rsidRPr="007E6D99" w:rsidRDefault="008639BE" w:rsidP="00D43A33">
            <w:pPr>
              <w:jc w:val="both"/>
              <w:rPr>
                <w:rFonts w:ascii="ITC Avant Garde Std Bk" w:hAnsi="ITC Avant Garde Std Bk"/>
                <w:bCs/>
                <w:color w:val="000000" w:themeColor="text1"/>
                <w:sz w:val="16"/>
                <w:szCs w:val="16"/>
              </w:rPr>
            </w:pPr>
            <w:r w:rsidRPr="007E6D99">
              <w:rPr>
                <w:rFonts w:ascii="ITC Avant Garde Std Bk" w:hAnsi="ITC Avant Garde Std Bk"/>
                <w:bCs/>
                <w:color w:val="000000" w:themeColor="text1"/>
                <w:sz w:val="16"/>
                <w:szCs w:val="16"/>
              </w:rPr>
              <w:t>Con relación a la sustitución del formato para la presentación de la información relacionada con la entrega del “Reporte de fallas en parte o la totalidad de la red que hagan imposible la prestación del servicio ofrecido”, previsto en los lineamientos vigésimo tercero y vigésimo cuarto de los Lineamientos que fijan los índices y parámetros de calidad a que deberán ajustarse los prestadores del servicio móvil (“Los Lineamientos”, en lo sucesivo)y que se agrega como anexo “F” del “Anteproyecto de Acuerdo mediante el cual se emiten los formatos para realizar diversos trámites y servicios ante el IFT, y se modifican los Lineamientos que fijan los índices y parámetros de calidad del servicio móvil”, me permito señalar lo siguiente:</w:t>
            </w:r>
          </w:p>
          <w:p w:rsidR="008639BE" w:rsidRPr="007E6D99" w:rsidRDefault="008639BE" w:rsidP="00D43A33">
            <w:pPr>
              <w:jc w:val="both"/>
              <w:rPr>
                <w:rFonts w:ascii="ITC Avant Garde Std Bk" w:hAnsi="ITC Avant Garde Std Bk"/>
                <w:bCs/>
                <w:color w:val="000000" w:themeColor="text1"/>
                <w:sz w:val="16"/>
                <w:szCs w:val="16"/>
              </w:rPr>
            </w:pPr>
          </w:p>
          <w:p w:rsidR="008639BE" w:rsidRPr="005F5943" w:rsidRDefault="008639BE" w:rsidP="00D43A33">
            <w:pPr>
              <w:jc w:val="both"/>
              <w:rPr>
                <w:rFonts w:ascii="ITC Avant Garde Std Bk" w:hAnsi="ITC Avant Garde Std Bk"/>
                <w:bCs/>
                <w:sz w:val="16"/>
                <w:szCs w:val="16"/>
              </w:rPr>
            </w:pPr>
            <w:r w:rsidRPr="007E6D99">
              <w:rPr>
                <w:rFonts w:ascii="ITC Avant Garde Std Bk" w:hAnsi="ITC Avant Garde Std Bk"/>
                <w:bCs/>
                <w:color w:val="000000" w:themeColor="text1"/>
                <w:sz w:val="16"/>
                <w:szCs w:val="16"/>
              </w:rPr>
              <w:t>Consideraciones Generales. - El formato es un Reporte, no una Solicitud</w:t>
            </w:r>
            <w:r>
              <w:rPr>
                <w:rFonts w:ascii="ITC Avant Garde Std Bk" w:hAnsi="ITC Avant Garde Std Bk"/>
                <w:bCs/>
                <w:color w:val="000000" w:themeColor="text1"/>
                <w:sz w:val="16"/>
                <w:szCs w:val="16"/>
              </w:rPr>
              <w:t xml:space="preserve">. </w:t>
            </w:r>
            <w:r w:rsidRPr="007E6D99">
              <w:rPr>
                <w:rFonts w:ascii="ITC Avant Garde Std Bk" w:hAnsi="ITC Avant Garde Std Bk"/>
                <w:bCs/>
                <w:color w:val="000000" w:themeColor="text1"/>
                <w:sz w:val="16"/>
                <w:szCs w:val="16"/>
              </w:rPr>
              <w:t>El numeral 2 de las Consideraciones Generales recomienda “el llenado de todos los campos contenidos en este formato para una mejor evaluación de su solicitud”. Se aclara que a través del formato en cuestión, los Regulados no hacen ninguna solicitud al IFT, sino que sirve para reportar un evento de falla.</w:t>
            </w:r>
          </w:p>
        </w:tc>
        <w:tc>
          <w:tcPr>
            <w:tcW w:w="3321" w:type="dxa"/>
            <w:shd w:val="clear" w:color="auto" w:fill="C2D69B"/>
            <w:vAlign w:val="center"/>
          </w:tcPr>
          <w:p w:rsidR="008639BE" w:rsidRDefault="008639BE" w:rsidP="00D43A33">
            <w:pPr>
              <w:jc w:val="both"/>
              <w:rPr>
                <w:rFonts w:ascii="ITC Avant Garde Std Bk" w:hAnsi="ITC Avant Garde Std Bk"/>
                <w:bCs/>
                <w:sz w:val="16"/>
                <w:szCs w:val="16"/>
              </w:rPr>
            </w:pPr>
            <w:r w:rsidRPr="000B118A">
              <w:rPr>
                <w:rFonts w:ascii="ITC Avant Garde Std Bk" w:hAnsi="ITC Avant Garde Std Bk"/>
                <w:bCs/>
                <w:sz w:val="16"/>
                <w:szCs w:val="16"/>
              </w:rPr>
              <w:t>Se considera pertinente el comentario, por lo que se cambia la denominación "Solicitud" por "Reporte".</w:t>
            </w:r>
          </w:p>
          <w:p w:rsidR="008639BE" w:rsidRDefault="008639BE" w:rsidP="00D43A33">
            <w:pPr>
              <w:jc w:val="both"/>
              <w:rPr>
                <w:rFonts w:ascii="ITC Avant Garde Std Bk" w:hAnsi="ITC Avant Garde Std Bk"/>
                <w:bCs/>
                <w:sz w:val="16"/>
                <w:szCs w:val="16"/>
              </w:rPr>
            </w:pPr>
          </w:p>
        </w:tc>
      </w:tr>
      <w:tr w:rsidR="008639BE" w:rsidRPr="00DE6B98" w:rsidTr="00D43A33">
        <w:trPr>
          <w:trHeight w:val="60"/>
        </w:trPr>
        <w:tc>
          <w:tcPr>
            <w:tcW w:w="2830" w:type="dxa"/>
            <w:vMerge/>
            <w:shd w:val="clear" w:color="auto" w:fill="C2D69B"/>
          </w:tcPr>
          <w:p w:rsidR="008639BE" w:rsidRDefault="008639BE" w:rsidP="00D43A33">
            <w:pPr>
              <w:jc w:val="center"/>
              <w:rPr>
                <w:rFonts w:ascii="ITC Avant Garde Std Bk" w:hAnsi="ITC Avant Garde Std Bk"/>
                <w:bCs/>
                <w:sz w:val="16"/>
                <w:szCs w:val="16"/>
              </w:rPr>
            </w:pPr>
          </w:p>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Pr="007E6D99"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Sección 2</w:t>
            </w:r>
          </w:p>
          <w:p w:rsidR="008639BE" w:rsidRPr="007E6D99"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 xml:space="preserve">"Datos generales del regulado”: El IFT ya cuenta con los datos generales de los Regulados. El artículo 16-VI de la Ley Federal </w:t>
            </w:r>
            <w:r w:rsidRPr="007E6D99">
              <w:rPr>
                <w:rFonts w:ascii="ITC Avant Garde Std Bk" w:hAnsi="ITC Avant Garde Std Bk"/>
                <w:bCs/>
                <w:sz w:val="16"/>
                <w:szCs w:val="16"/>
              </w:rPr>
              <w:lastRenderedPageBreak/>
              <w:t>de Procedimiento obliga a las entidades gubernamentales a abstenerse de requerir documentos o solicitar información que ya se encuentren en el expediente que se está tramitando. En este sentido el área que reciben los reportes de falla de la Unidad de Cumplimiento cuenta con un expediente relativo a las fallas reportadas por cada uno</w:t>
            </w:r>
            <w:r>
              <w:rPr>
                <w:rFonts w:ascii="ITC Avant Garde Std Bk" w:hAnsi="ITC Avant Garde Std Bk"/>
                <w:bCs/>
                <w:sz w:val="16"/>
                <w:szCs w:val="16"/>
              </w:rPr>
              <w:t xml:space="preserve"> </w:t>
            </w:r>
            <w:r w:rsidRPr="007E6D99">
              <w:rPr>
                <w:rFonts w:ascii="ITC Avant Garde Std Bk" w:hAnsi="ITC Avant Garde Std Bk"/>
                <w:bCs/>
                <w:sz w:val="16"/>
                <w:szCs w:val="16"/>
              </w:rPr>
              <w:t>de los regulados, por lo que debe eliminarse del formato el capítulo completo, ya que resulta innecesario y ocioso.</w:t>
            </w:r>
          </w:p>
          <w:p w:rsidR="008639BE"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p>
        </w:tc>
        <w:tc>
          <w:tcPr>
            <w:tcW w:w="3321" w:type="dxa"/>
            <w:shd w:val="clear" w:color="auto" w:fill="D6E3BC"/>
            <w:vAlign w:val="center"/>
          </w:tcPr>
          <w:p w:rsidR="008639BE" w:rsidRDefault="008639BE" w:rsidP="00D43A33">
            <w:pPr>
              <w:jc w:val="both"/>
              <w:rPr>
                <w:rFonts w:ascii="ITC Avant Garde Std Bk" w:hAnsi="ITC Avant Garde Std Bk"/>
                <w:bCs/>
                <w:sz w:val="16"/>
                <w:szCs w:val="16"/>
              </w:rPr>
            </w:pPr>
            <w:r>
              <w:rPr>
                <w:rFonts w:ascii="ITC Avant Garde Std Bk" w:hAnsi="ITC Avant Garde Std Bk"/>
                <w:bCs/>
                <w:sz w:val="16"/>
                <w:szCs w:val="16"/>
              </w:rPr>
              <w:lastRenderedPageBreak/>
              <w:t>No s</w:t>
            </w:r>
            <w:r w:rsidRPr="00DE6B98">
              <w:rPr>
                <w:rFonts w:ascii="ITC Avant Garde Std Bk" w:hAnsi="ITC Avant Garde Std Bk"/>
                <w:bCs/>
                <w:sz w:val="16"/>
                <w:szCs w:val="16"/>
              </w:rPr>
              <w:t xml:space="preserve">e </w:t>
            </w:r>
            <w:r>
              <w:rPr>
                <w:rFonts w:ascii="ITC Avant Garde Std Bk" w:hAnsi="ITC Avant Garde Std Bk"/>
                <w:bCs/>
                <w:sz w:val="16"/>
                <w:szCs w:val="16"/>
              </w:rPr>
              <w:t xml:space="preserve">considera procedente el comentario, ya que </w:t>
            </w:r>
            <w:r w:rsidRPr="00894F24">
              <w:rPr>
                <w:rFonts w:ascii="ITC Avant Garde Std Bk" w:hAnsi="ITC Avant Garde Std Bk"/>
                <w:bCs/>
                <w:sz w:val="16"/>
                <w:szCs w:val="16"/>
              </w:rPr>
              <w:t>el apartado de "Datos Generales del Regulado",</w:t>
            </w:r>
            <w:r w:rsidRPr="007F5031">
              <w:rPr>
                <w:rFonts w:ascii="ITC Avant Garde Std Bk" w:hAnsi="ITC Avant Garde Std Bk"/>
                <w:bCs/>
                <w:sz w:val="16"/>
                <w:szCs w:val="16"/>
              </w:rPr>
              <w:t xml:space="preserve"> se requiere para</w:t>
            </w:r>
            <w:r w:rsidRPr="00894F24">
              <w:rPr>
                <w:rFonts w:ascii="ITC Avant Garde Std Bk" w:hAnsi="ITC Avant Garde Std Bk"/>
                <w:bCs/>
                <w:sz w:val="16"/>
                <w:szCs w:val="16"/>
              </w:rPr>
              <w:t xml:space="preserve"> identificar </w:t>
            </w:r>
            <w:r w:rsidRPr="007F5031">
              <w:rPr>
                <w:rFonts w:ascii="ITC Avant Garde Std Bk" w:hAnsi="ITC Avant Garde Std Bk"/>
                <w:bCs/>
                <w:sz w:val="16"/>
                <w:szCs w:val="16"/>
              </w:rPr>
              <w:t>a</w:t>
            </w:r>
            <w:r w:rsidRPr="00894F24">
              <w:rPr>
                <w:rFonts w:ascii="ITC Avant Garde Std Bk" w:hAnsi="ITC Avant Garde Std Bk"/>
                <w:bCs/>
                <w:sz w:val="16"/>
                <w:szCs w:val="16"/>
              </w:rPr>
              <w:t>l regulado que reporta la falla.</w:t>
            </w:r>
          </w:p>
        </w:tc>
      </w:tr>
      <w:tr w:rsidR="008639BE" w:rsidRPr="00DE6B98" w:rsidTr="00D43A33">
        <w:trPr>
          <w:trHeight w:val="60"/>
        </w:trPr>
        <w:tc>
          <w:tcPr>
            <w:tcW w:w="2830" w:type="dxa"/>
            <w:vMerge/>
            <w:shd w:val="clear" w:color="auto" w:fill="C2D69B"/>
          </w:tcPr>
          <w:p w:rsidR="008639BE" w:rsidRDefault="008639BE" w:rsidP="00D43A33">
            <w:pPr>
              <w:jc w:val="center"/>
              <w:rPr>
                <w:rFonts w:ascii="ITC Avant Garde Std Bk" w:hAnsi="ITC Avant Garde Std Bk"/>
                <w:bCs/>
                <w:sz w:val="16"/>
                <w:szCs w:val="16"/>
              </w:rPr>
            </w:pPr>
          </w:p>
        </w:tc>
        <w:tc>
          <w:tcPr>
            <w:tcW w:w="381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Sección 2</w:t>
            </w:r>
          </w:p>
          <w:p w:rsidR="008639BE" w:rsidRPr="007E6D99"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“Folio FET”: Considerando que este número de folio es el mismo que se utilizaría para todos los formatos que, como resultado de la presente consulta, puedan resultar aplicables; estimamos que la manera eficiente de gestionar esta identificación consiste en que ese Instituto tenga por reconocida la personalidad en todos los casos sin repetir el Folio FET, a menos de que se trate de un representante legal distinto, el cual, en su caso, tendría que proporcionar su Folio FET. Lo anterior en obvio de repeticiones innecesarias.</w:t>
            </w:r>
          </w:p>
        </w:tc>
        <w:tc>
          <w:tcPr>
            <w:tcW w:w="3321" w:type="dxa"/>
            <w:shd w:val="clear" w:color="auto" w:fill="C2D69B"/>
            <w:vAlign w:val="center"/>
          </w:tcPr>
          <w:p w:rsidR="008639BE" w:rsidRDefault="008639BE" w:rsidP="00D43A33">
            <w:pPr>
              <w:jc w:val="both"/>
              <w:rPr>
                <w:rFonts w:ascii="ITC Avant Garde Std Bk" w:hAnsi="ITC Avant Garde Std Bk"/>
                <w:bCs/>
                <w:sz w:val="16"/>
                <w:szCs w:val="16"/>
              </w:rPr>
            </w:pPr>
          </w:p>
          <w:p w:rsidR="008639BE" w:rsidRPr="00776167" w:rsidRDefault="008639BE" w:rsidP="00D43A33">
            <w:pPr>
              <w:jc w:val="both"/>
              <w:rPr>
                <w:rFonts w:ascii="ITC Avant Garde Std Bk" w:hAnsi="ITC Avant Garde Std Bk"/>
                <w:sz w:val="16"/>
                <w:szCs w:val="16"/>
              </w:rPr>
            </w:pPr>
            <w:r>
              <w:rPr>
                <w:rFonts w:ascii="ITC Avant Garde Std Bk" w:hAnsi="ITC Avant Garde Std Bk"/>
                <w:bCs/>
                <w:sz w:val="16"/>
                <w:szCs w:val="16"/>
              </w:rPr>
              <w:t>No s</w:t>
            </w:r>
            <w:r w:rsidRPr="00DE6B98">
              <w:rPr>
                <w:rFonts w:ascii="ITC Avant Garde Std Bk" w:hAnsi="ITC Avant Garde Std Bk"/>
                <w:bCs/>
                <w:sz w:val="16"/>
                <w:szCs w:val="16"/>
              </w:rPr>
              <w:t xml:space="preserve">e </w:t>
            </w:r>
            <w:r>
              <w:rPr>
                <w:rFonts w:ascii="ITC Avant Garde Std Bk" w:hAnsi="ITC Avant Garde Std Bk"/>
                <w:bCs/>
                <w:sz w:val="16"/>
                <w:szCs w:val="16"/>
              </w:rPr>
              <w:t xml:space="preserve">considera procedente el comentario, ya que </w:t>
            </w:r>
            <w:r w:rsidRPr="00F27B3C">
              <w:rPr>
                <w:rFonts w:ascii="ITC Avant Garde Std Bk" w:hAnsi="ITC Avant Garde Std Bk"/>
                <w:bCs/>
                <w:sz w:val="16"/>
                <w:szCs w:val="16"/>
              </w:rPr>
              <w:t xml:space="preserve">el </w:t>
            </w:r>
            <w:r w:rsidRPr="00776167">
              <w:rPr>
                <w:rFonts w:ascii="ITC Avant Garde Std Bk" w:hAnsi="ITC Avant Garde Std Bk"/>
                <w:sz w:val="16"/>
                <w:szCs w:val="16"/>
              </w:rPr>
              <w:t>apartado FET</w:t>
            </w:r>
            <w:r>
              <w:rPr>
                <w:rFonts w:ascii="ITC Avant Garde Std Bk" w:hAnsi="ITC Avant Garde Std Bk"/>
                <w:sz w:val="16"/>
                <w:szCs w:val="16"/>
              </w:rPr>
              <w:t xml:space="preserve"> se requiere</w:t>
            </w:r>
            <w:r w:rsidRPr="00776167">
              <w:rPr>
                <w:rFonts w:ascii="ITC Avant Garde Std Bk" w:hAnsi="ITC Avant Garde Std Bk"/>
                <w:sz w:val="16"/>
                <w:szCs w:val="16"/>
              </w:rPr>
              <w:t xml:space="preserve"> </w:t>
            </w:r>
            <w:r>
              <w:rPr>
                <w:rFonts w:ascii="ITC Avant Garde Std Bk" w:hAnsi="ITC Avant Garde Std Bk"/>
                <w:sz w:val="16"/>
                <w:szCs w:val="16"/>
              </w:rPr>
              <w:t xml:space="preserve">para </w:t>
            </w:r>
            <w:r w:rsidRPr="00776167">
              <w:rPr>
                <w:rFonts w:ascii="ITC Avant Garde Std Bk" w:hAnsi="ITC Avant Garde Std Bk"/>
                <w:sz w:val="16"/>
                <w:szCs w:val="16"/>
              </w:rPr>
              <w:t>identificar el título habilitante al cual corresponde la información.</w:t>
            </w:r>
          </w:p>
        </w:tc>
      </w:tr>
      <w:tr w:rsidR="008639BE" w:rsidRPr="00DE6B98" w:rsidTr="00D43A33">
        <w:trPr>
          <w:trHeight w:val="60"/>
        </w:trPr>
        <w:tc>
          <w:tcPr>
            <w:tcW w:w="2830" w:type="dxa"/>
            <w:vMerge/>
            <w:shd w:val="clear" w:color="auto" w:fill="C2D69B"/>
          </w:tcPr>
          <w:p w:rsidR="008639BE" w:rsidRDefault="008639BE" w:rsidP="00D43A33">
            <w:pPr>
              <w:jc w:val="center"/>
              <w:rPr>
                <w:rFonts w:ascii="ITC Avant Garde Std Bk" w:hAnsi="ITC Avant Garde Std Bk"/>
                <w:bCs/>
                <w:sz w:val="16"/>
                <w:szCs w:val="16"/>
              </w:rPr>
            </w:pPr>
          </w:p>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Sección 2</w:t>
            </w:r>
          </w:p>
          <w:p w:rsidR="008639BE" w:rsidRPr="007E6D99"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“Servicios que presta”: Considerando que este dato se utilizaría para todos los formatos que, como resultado de la presente consulta, puedan resultar aplicables; estimamos que la manera más eficiente para que ese Instituto tenga por entregada esta información consiste en que en un formato previo, general y aplicable al resto se reconozca éste y el siguiente dato de la presente sección 2. Lo anterior en obvio de repeticiones innecesarias.</w:t>
            </w:r>
          </w:p>
        </w:tc>
        <w:tc>
          <w:tcPr>
            <w:tcW w:w="3321" w:type="dxa"/>
            <w:shd w:val="clear" w:color="auto" w:fill="D6E3BC"/>
            <w:vAlign w:val="center"/>
          </w:tcPr>
          <w:p w:rsidR="008639BE" w:rsidRPr="007F5031" w:rsidRDefault="008639BE" w:rsidP="00D43A33">
            <w:pPr>
              <w:jc w:val="both"/>
              <w:rPr>
                <w:rFonts w:ascii="ITC Avant Garde Std Bk" w:hAnsi="ITC Avant Garde Std Bk"/>
                <w:bCs/>
                <w:sz w:val="16"/>
                <w:szCs w:val="16"/>
                <w:highlight w:val="yellow"/>
              </w:rPr>
            </w:pPr>
          </w:p>
          <w:p w:rsidR="008639BE" w:rsidRPr="007F5031" w:rsidRDefault="008639BE" w:rsidP="00D43A33">
            <w:pPr>
              <w:jc w:val="both"/>
              <w:rPr>
                <w:rFonts w:ascii="ITC Avant Garde Std Bk" w:hAnsi="ITC Avant Garde Std Bk"/>
                <w:bCs/>
                <w:sz w:val="16"/>
                <w:szCs w:val="16"/>
                <w:highlight w:val="yellow"/>
              </w:rPr>
            </w:pPr>
            <w:r w:rsidRPr="004E57E5">
              <w:rPr>
                <w:rFonts w:ascii="ITC Avant Garde Std Bk" w:hAnsi="ITC Avant Garde Std Bk"/>
                <w:bCs/>
                <w:sz w:val="16"/>
                <w:szCs w:val="16"/>
              </w:rPr>
              <w:t>Se considera procedente el comentario, por lo que se elimina el campo "Servicios que presta" de la sección.</w:t>
            </w:r>
          </w:p>
        </w:tc>
      </w:tr>
      <w:tr w:rsidR="008639BE" w:rsidRPr="00DE6B98" w:rsidTr="00D43A33">
        <w:trPr>
          <w:trHeight w:val="60"/>
        </w:trPr>
        <w:tc>
          <w:tcPr>
            <w:tcW w:w="2830" w:type="dxa"/>
            <w:vMerge/>
            <w:shd w:val="clear" w:color="auto" w:fill="C2D69B"/>
          </w:tcPr>
          <w:p w:rsidR="008639BE" w:rsidRDefault="008639BE" w:rsidP="00D43A33">
            <w:pPr>
              <w:jc w:val="center"/>
              <w:rPr>
                <w:rFonts w:ascii="ITC Avant Garde Std Bk" w:hAnsi="ITC Avant Garde Std Bk"/>
                <w:bCs/>
                <w:sz w:val="16"/>
                <w:szCs w:val="16"/>
              </w:rPr>
            </w:pPr>
          </w:p>
        </w:tc>
        <w:tc>
          <w:tcPr>
            <w:tcW w:w="381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Sección 2</w:t>
            </w:r>
          </w:p>
          <w:p w:rsidR="008639BE" w:rsidRPr="007E6D99"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r w:rsidRPr="007E6D99">
              <w:rPr>
                <w:rFonts w:ascii="ITC Avant Garde Std Bk" w:hAnsi="ITC Avant Garde Std Bk"/>
                <w:bCs/>
                <w:sz w:val="16"/>
                <w:szCs w:val="16"/>
              </w:rPr>
              <w:t xml:space="preserve">“Cobertura”: Considerando que este dato se utilizaría para todos los formatos que, como resultado de la presente consulta, puedan resultar aplicables; estimamos que la manera más eficiente para que ese Instituto tenga por entregada esta información consiste en que en un formato previo, general y aplicable al </w:t>
            </w:r>
            <w:r w:rsidRPr="007E6D99">
              <w:rPr>
                <w:rFonts w:ascii="ITC Avant Garde Std Bk" w:hAnsi="ITC Avant Garde Std Bk"/>
                <w:bCs/>
                <w:sz w:val="16"/>
                <w:szCs w:val="16"/>
              </w:rPr>
              <w:lastRenderedPageBreak/>
              <w:t>resto se reconozca éste dato de la presente sección 2. Lo anterior en obvio de repeticiones innecesarias.</w:t>
            </w:r>
          </w:p>
        </w:tc>
        <w:tc>
          <w:tcPr>
            <w:tcW w:w="3321" w:type="dxa"/>
            <w:shd w:val="clear" w:color="auto" w:fill="C2D69B"/>
            <w:vAlign w:val="center"/>
          </w:tcPr>
          <w:p w:rsidR="008639BE" w:rsidRPr="004E57E5"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highlight w:val="yellow"/>
              </w:rPr>
            </w:pPr>
            <w:r w:rsidRPr="004E57E5">
              <w:rPr>
                <w:rFonts w:ascii="ITC Avant Garde Std Bk" w:hAnsi="ITC Avant Garde Std Bk"/>
                <w:bCs/>
                <w:sz w:val="16"/>
                <w:szCs w:val="16"/>
              </w:rPr>
              <w:t>Se considera procedente el comentario, por lo que se elimina el campo "Cobertura" de la sección.</w:t>
            </w:r>
          </w:p>
        </w:tc>
      </w:tr>
      <w:tr w:rsidR="008639BE" w:rsidRPr="00DE6B98" w:rsidTr="00D43A33">
        <w:trPr>
          <w:trHeight w:val="60"/>
        </w:trPr>
        <w:tc>
          <w:tcPr>
            <w:tcW w:w="2830" w:type="dxa"/>
            <w:vMerge/>
            <w:shd w:val="clear" w:color="auto" w:fill="C2D69B"/>
          </w:tcPr>
          <w:p w:rsidR="008639BE" w:rsidRDefault="008639BE" w:rsidP="00D43A33">
            <w:pPr>
              <w:jc w:val="center"/>
              <w:rPr>
                <w:rFonts w:ascii="ITC Avant Garde Std Bk" w:hAnsi="ITC Avant Garde Std Bk"/>
                <w:bCs/>
                <w:sz w:val="16"/>
                <w:szCs w:val="16"/>
              </w:rPr>
            </w:pPr>
          </w:p>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5F5943">
              <w:rPr>
                <w:rFonts w:ascii="ITC Avant Garde Std Bk" w:hAnsi="ITC Avant Garde Std Bk"/>
                <w:bCs/>
                <w:sz w:val="16"/>
                <w:szCs w:val="16"/>
              </w:rPr>
              <w:t>Sección: Plazos a los que estará sujeto el tr</w:t>
            </w:r>
            <w:r>
              <w:rPr>
                <w:rFonts w:ascii="ITC Avant Garde Std Bk" w:hAnsi="ITC Avant Garde Std Bk"/>
                <w:bCs/>
                <w:sz w:val="16"/>
                <w:szCs w:val="16"/>
              </w:rPr>
              <w:t>á</w:t>
            </w:r>
            <w:r w:rsidRPr="005F5943">
              <w:rPr>
                <w:rFonts w:ascii="ITC Avant Garde Std Bk" w:hAnsi="ITC Avant Garde Std Bk"/>
                <w:bCs/>
                <w:sz w:val="16"/>
                <w:szCs w:val="16"/>
              </w:rPr>
              <w:t>mite</w:t>
            </w:r>
            <w:r>
              <w:rPr>
                <w:rFonts w:ascii="ITC Avant Garde Std Bk" w:hAnsi="ITC Avant Garde Std Bk"/>
                <w:bCs/>
                <w:sz w:val="16"/>
                <w:szCs w:val="16"/>
              </w:rPr>
              <w:t>.</w:t>
            </w:r>
          </w:p>
          <w:p w:rsidR="008639BE" w:rsidRPr="005F5943" w:rsidRDefault="008639BE" w:rsidP="00D43A33">
            <w:pPr>
              <w:jc w:val="both"/>
              <w:rPr>
                <w:rFonts w:ascii="ITC Avant Garde Std Bk" w:hAnsi="ITC Avant Garde Std Bk"/>
                <w:bCs/>
                <w:sz w:val="16"/>
                <w:szCs w:val="16"/>
              </w:rPr>
            </w:pPr>
          </w:p>
          <w:p w:rsidR="008639BE" w:rsidRPr="005F5943" w:rsidRDefault="008639BE" w:rsidP="00D43A33">
            <w:pPr>
              <w:jc w:val="both"/>
              <w:rPr>
                <w:rFonts w:ascii="ITC Avant Garde Std Bk" w:hAnsi="ITC Avant Garde Std Bk"/>
                <w:bCs/>
                <w:sz w:val="16"/>
                <w:szCs w:val="16"/>
              </w:rPr>
            </w:pPr>
            <w:r w:rsidRPr="005F5943">
              <w:rPr>
                <w:rFonts w:ascii="ITC Avant Garde Std Bk" w:hAnsi="ITC Avant Garde Std Bk"/>
                <w:bCs/>
                <w:sz w:val="16"/>
                <w:szCs w:val="16"/>
              </w:rPr>
              <w:t>Los Lineamientos en vigor establecen que el IFT cuenta con 5 días hábiles para hacer una prevención a un Regulado, contados a partir de la presentación del reporte respectivo. A su vez el Regulado cuenta con 10 días hábiles para desahogar la prevención.</w:t>
            </w:r>
          </w:p>
          <w:p w:rsidR="008639BE" w:rsidRPr="005F5943" w:rsidRDefault="008639BE" w:rsidP="00D43A33">
            <w:pPr>
              <w:jc w:val="both"/>
              <w:rPr>
                <w:rFonts w:ascii="ITC Avant Garde Std Bk" w:hAnsi="ITC Avant Garde Std Bk"/>
                <w:bCs/>
                <w:sz w:val="16"/>
                <w:szCs w:val="16"/>
              </w:rPr>
            </w:pPr>
          </w:p>
          <w:p w:rsidR="008639BE" w:rsidRPr="00DE6B98" w:rsidRDefault="008639BE" w:rsidP="00D43A33">
            <w:pPr>
              <w:jc w:val="both"/>
              <w:rPr>
                <w:rFonts w:ascii="ITC Avant Garde Std Bk" w:hAnsi="ITC Avant Garde Std Bk"/>
                <w:bCs/>
                <w:sz w:val="16"/>
                <w:szCs w:val="16"/>
              </w:rPr>
            </w:pPr>
            <w:r w:rsidRPr="005F5943">
              <w:rPr>
                <w:rFonts w:ascii="ITC Avant Garde Std Bk" w:hAnsi="ITC Avant Garde Std Bk"/>
                <w:bCs/>
                <w:sz w:val="16"/>
                <w:szCs w:val="16"/>
              </w:rPr>
              <w:t>En cambio, el nuevo formato invierte los plazos, por lo que le da 10 días hábiles al IFT para formular prevenciones y al Regulado le reduce el plazo para contestar a 5 días hábiles. Esta disposición carece de la debida fundamentación y motivación que respalde la decisión, y más cuándo la carga de la información le corresponde al regulado.</w:t>
            </w:r>
          </w:p>
        </w:tc>
        <w:tc>
          <w:tcPr>
            <w:tcW w:w="3321" w:type="dxa"/>
            <w:shd w:val="clear" w:color="auto" w:fill="D6E3BC"/>
            <w:vAlign w:val="center"/>
          </w:tcPr>
          <w:p w:rsidR="008639BE" w:rsidRPr="007F5031" w:rsidRDefault="008639BE" w:rsidP="00D43A33">
            <w:pPr>
              <w:jc w:val="both"/>
              <w:rPr>
                <w:rFonts w:ascii="ITC Avant Garde Std Bk" w:hAnsi="ITC Avant Garde Std Bk"/>
                <w:bCs/>
                <w:color w:val="FF0000"/>
                <w:sz w:val="16"/>
                <w:szCs w:val="16"/>
              </w:rPr>
            </w:pPr>
            <w:r w:rsidRPr="007F5031">
              <w:rPr>
                <w:rFonts w:ascii="ITC Avant Garde Std Bk" w:hAnsi="ITC Avant Garde Std Bk"/>
                <w:bCs/>
                <w:sz w:val="16"/>
                <w:szCs w:val="16"/>
              </w:rPr>
              <w:t xml:space="preserve">Se considera procedente el comentario, por lo que se </w:t>
            </w:r>
            <w:r w:rsidRPr="00983208">
              <w:rPr>
                <w:rFonts w:ascii="ITC Avant Garde Std Bk" w:hAnsi="ITC Avant Garde Std Bk"/>
                <w:bCs/>
                <w:sz w:val="16"/>
                <w:szCs w:val="16"/>
              </w:rPr>
              <w:t xml:space="preserve"> corrigen los plazos de acuerdo a lo establecido en la disposición legal correspondiente.</w:t>
            </w:r>
          </w:p>
        </w:tc>
      </w:tr>
    </w:tbl>
    <w:p w:rsidR="008639BE" w:rsidRDefault="008639BE" w:rsidP="008639BE">
      <w:pPr>
        <w:pStyle w:val="Default"/>
        <w:jc w:val="both"/>
        <w:rPr>
          <w:rFonts w:ascii="ITC Avant Garde Std Bk" w:hAnsi="ITC Avant Garde Std Bk"/>
          <w:bCs/>
          <w:sz w:val="20"/>
          <w:szCs w:val="20"/>
          <w:lang w:eastAsia="en-US"/>
        </w:rPr>
      </w:pPr>
    </w:p>
    <w:p w:rsidR="008639BE" w:rsidRPr="00164865" w:rsidRDefault="008639BE" w:rsidP="008639BE">
      <w:pPr>
        <w:pStyle w:val="Default"/>
        <w:jc w:val="both"/>
        <w:rPr>
          <w:rFonts w:ascii="ITC Avant Garde Std Bk" w:hAnsi="ITC Avant Garde Std Bk"/>
          <w:bCs/>
          <w:sz w:val="20"/>
          <w:szCs w:val="20"/>
          <w:lang w:eastAsia="en-US"/>
        </w:rPr>
      </w:pPr>
    </w:p>
    <w:p w:rsidR="008639BE" w:rsidRPr="00164865" w:rsidRDefault="008639BE" w:rsidP="008639BE">
      <w:pPr>
        <w:pStyle w:val="Default"/>
        <w:jc w:val="both"/>
        <w:rPr>
          <w:rFonts w:ascii="ITC Avant Garde Std Bk" w:hAnsi="ITC Avant Garde Std Bk"/>
          <w:bCs/>
          <w:sz w:val="20"/>
          <w:szCs w:val="20"/>
          <w:lang w:eastAsia="en-US"/>
        </w:rPr>
      </w:pPr>
      <w:r w:rsidRPr="00164865">
        <w:rPr>
          <w:rFonts w:ascii="ITC Avant Garde Std Bk" w:hAnsi="ITC Avant Garde Std Bk"/>
          <w:bCs/>
          <w:sz w:val="20"/>
          <w:szCs w:val="20"/>
          <w:lang w:eastAsia="en-US"/>
        </w:rPr>
        <w:t>6.</w:t>
      </w:r>
      <w:r>
        <w:rPr>
          <w:rFonts w:ascii="ITC Avant Garde Std Bk" w:hAnsi="ITC Avant Garde Std Bk"/>
          <w:bCs/>
          <w:sz w:val="20"/>
          <w:szCs w:val="20"/>
          <w:lang w:eastAsia="en-US"/>
        </w:rPr>
        <w:t xml:space="preserve">4.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w:t>
      </w:r>
      <w:r w:rsidRPr="007F5031">
        <w:rPr>
          <w:rFonts w:ascii="ITC Avant Garde Std Bk" w:hAnsi="ITC Avant Garde Std Bk"/>
          <w:b/>
          <w:bCs/>
          <w:sz w:val="20"/>
          <w:szCs w:val="20"/>
          <w:u w:val="single"/>
          <w:lang w:eastAsia="en-US"/>
        </w:rPr>
        <w:t xml:space="preserve"> H</w:t>
      </w:r>
    </w:p>
    <w:p w:rsidR="008639BE" w:rsidRDefault="008639BE" w:rsidP="008639BE">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2830"/>
        <w:gridCol w:w="3811"/>
        <w:gridCol w:w="3321"/>
      </w:tblGrid>
      <w:tr w:rsidR="008639BE" w:rsidRPr="00887E2E" w:rsidTr="00D43A33">
        <w:tc>
          <w:tcPr>
            <w:tcW w:w="2830" w:type="dxa"/>
            <w:shd w:val="clear" w:color="auto" w:fill="296624"/>
          </w:tcPr>
          <w:p w:rsidR="008639BE" w:rsidRDefault="008639BE" w:rsidP="00D43A33">
            <w:pPr>
              <w:pStyle w:val="Default"/>
              <w:jc w:val="center"/>
              <w:rPr>
                <w:rFonts w:ascii="ITC Avant Garde Std Bk" w:hAnsi="ITC Avant Garde Std Bk"/>
                <w:bCs/>
                <w:color w:val="FFFFFF" w:themeColor="background1"/>
                <w:sz w:val="16"/>
                <w:szCs w:val="16"/>
              </w:rPr>
            </w:pPr>
          </w:p>
          <w:p w:rsidR="008639BE" w:rsidRDefault="008639BE" w:rsidP="00D43A33">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rsidR="008639BE" w:rsidRPr="00887E2E" w:rsidRDefault="008639BE" w:rsidP="00D43A33">
            <w:pPr>
              <w:pStyle w:val="Default"/>
              <w:jc w:val="center"/>
              <w:rPr>
                <w:color w:val="FFFFFF" w:themeColor="background1"/>
              </w:rPr>
            </w:pPr>
          </w:p>
        </w:tc>
        <w:tc>
          <w:tcPr>
            <w:tcW w:w="381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3321" w:type="dxa"/>
            <w:shd w:val="clear" w:color="auto" w:fill="296624"/>
          </w:tcPr>
          <w:p w:rsidR="008639BE" w:rsidRDefault="008639BE" w:rsidP="00D43A33">
            <w:pPr>
              <w:jc w:val="center"/>
              <w:rPr>
                <w:rFonts w:ascii="ITC Avant Garde Std Bk" w:hAnsi="ITC Avant Garde Std Bk"/>
                <w:bCs/>
                <w:color w:val="FFFFFF" w:themeColor="background1"/>
                <w:sz w:val="16"/>
                <w:szCs w:val="16"/>
              </w:rPr>
            </w:pPr>
          </w:p>
          <w:p w:rsidR="008639BE" w:rsidRPr="00887E2E" w:rsidRDefault="008639BE" w:rsidP="00D43A33">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8D1B7F" w:rsidTr="00D43A33">
        <w:tc>
          <w:tcPr>
            <w:tcW w:w="2830" w:type="dxa"/>
            <w:vMerge w:val="restart"/>
            <w:shd w:val="clear" w:color="auto" w:fill="C2D69B"/>
          </w:tcPr>
          <w:p w:rsidR="008639BE" w:rsidRPr="003A0F21" w:rsidRDefault="008639BE" w:rsidP="00D43A33">
            <w:pP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Default="008639BE" w:rsidP="00D43A33">
            <w:pPr>
              <w:jc w:val="center"/>
              <w:rPr>
                <w:rFonts w:ascii="ITC Avant Garde Std Bk" w:hAnsi="ITC Avant Garde Std Bk"/>
                <w:bCs/>
                <w:sz w:val="16"/>
                <w:szCs w:val="16"/>
              </w:rPr>
            </w:pPr>
          </w:p>
          <w:p w:rsidR="008639BE" w:rsidRPr="003A0F21" w:rsidRDefault="00434C2C" w:rsidP="00D43A33">
            <w:pPr>
              <w:jc w:val="center"/>
              <w:rPr>
                <w:rFonts w:ascii="ITC Avant Garde Std Bk" w:hAnsi="ITC Avant Garde Std Bk"/>
                <w:bCs/>
                <w:sz w:val="16"/>
                <w:szCs w:val="16"/>
              </w:rPr>
            </w:pPr>
            <w:proofErr w:type="spellStart"/>
            <w:r>
              <w:rPr>
                <w:rFonts w:ascii="ITC Avant Garde Std Bk" w:hAnsi="ITC Avant Garde Std Bk"/>
                <w:bCs/>
                <w:sz w:val="16"/>
                <w:szCs w:val="16"/>
              </w:rPr>
              <w:t>Radio</w:t>
            </w:r>
            <w:r w:rsidRPr="003A0F21">
              <w:rPr>
                <w:rFonts w:ascii="ITC Avant Garde Std Bk" w:hAnsi="ITC Avant Garde Std Bk"/>
                <w:bCs/>
                <w:sz w:val="16"/>
                <w:szCs w:val="16"/>
              </w:rPr>
              <w:t>móvil</w:t>
            </w:r>
            <w:proofErr w:type="spellEnd"/>
            <w:r w:rsidR="008639BE" w:rsidRPr="003A0F21">
              <w:rPr>
                <w:rFonts w:ascii="ITC Avant Garde Std Bk" w:hAnsi="ITC Avant Garde Std Bk"/>
                <w:bCs/>
                <w:sz w:val="16"/>
                <w:szCs w:val="16"/>
              </w:rPr>
              <w:t xml:space="preserve"> </w:t>
            </w:r>
            <w:proofErr w:type="spellStart"/>
            <w:r w:rsidR="008639BE" w:rsidRPr="003A0F21">
              <w:rPr>
                <w:rFonts w:ascii="ITC Avant Garde Std Bk" w:hAnsi="ITC Avant Garde Std Bk"/>
                <w:bCs/>
                <w:sz w:val="16"/>
                <w:szCs w:val="16"/>
              </w:rPr>
              <w:t>Dipsa</w:t>
            </w:r>
            <w:proofErr w:type="spellEnd"/>
            <w:r w:rsidR="008639BE" w:rsidRPr="003A0F21">
              <w:rPr>
                <w:rFonts w:ascii="ITC Avant Garde Std Bk" w:hAnsi="ITC Avant Garde Std Bk"/>
                <w:bCs/>
                <w:sz w:val="16"/>
                <w:szCs w:val="16"/>
              </w:rPr>
              <w:t>, S.A. de C.V.</w:t>
            </w:r>
          </w:p>
        </w:tc>
        <w:tc>
          <w:tcPr>
            <w:tcW w:w="381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Sección 3</w:t>
            </w:r>
          </w:p>
          <w:p w:rsidR="008639BE" w:rsidRPr="003A0F21" w:rsidRDefault="008639BE" w:rsidP="00D43A33">
            <w:pPr>
              <w:jc w:val="both"/>
              <w:rPr>
                <w:rFonts w:ascii="ITC Avant Garde Std Bk" w:hAnsi="ITC Avant Garde Std Bk"/>
                <w:bCs/>
                <w:sz w:val="16"/>
                <w:szCs w:val="16"/>
              </w:rPr>
            </w:pPr>
          </w:p>
          <w:p w:rsidR="008639BE" w:rsidRPr="007D0768"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En el presente formato, únicamente se solicita dar información sobre el inicio de negociaciones; sin embargo, sugerimos que exista un apartado dentro de esta sección en el cual se pueda detallar, el resultado y los hitos del resto del proceso de negociación, para evitar, por ejemplo, que los concesionarios únicamente se limiten a solicitar un inicio de negociaciones sin acudir después a ningún tipo de reunión, ni realizar acción alguna para en verdad intentar llegar a un acuerdo.</w:t>
            </w:r>
          </w:p>
        </w:tc>
        <w:tc>
          <w:tcPr>
            <w:tcW w:w="3321" w:type="dxa"/>
            <w:shd w:val="clear" w:color="auto" w:fill="C2D69B"/>
          </w:tcPr>
          <w:p w:rsidR="008639BE" w:rsidRPr="00776167"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76167">
              <w:rPr>
                <w:rFonts w:ascii="ITC Avant Garde Std Bk" w:hAnsi="ITC Avant Garde Std Bk"/>
                <w:bCs/>
                <w:sz w:val="16"/>
                <w:szCs w:val="16"/>
              </w:rPr>
              <w:t>Uno de los requisitos procedimentales para la resolución de desacuerdos es el haber iniciado negociaciones entre las partes, el resultado de dicha negociación es negativo de otra forma no se solicitaría la resolución del desacuerdo. La demás información sobre el motivo por el que las negociaciones no fueron exitosas puede ser revisada por los interesados directamente en el SESI, por lo que no se considera necesaria agregar la información que se solicita.</w:t>
            </w:r>
          </w:p>
          <w:p w:rsidR="008639BE" w:rsidRPr="00776167" w:rsidRDefault="008639BE" w:rsidP="00D43A33">
            <w:pPr>
              <w:jc w:val="both"/>
              <w:rPr>
                <w:rFonts w:ascii="ITC Avant Garde Std Bk" w:hAnsi="ITC Avant Garde Std Bk"/>
                <w:bCs/>
                <w:sz w:val="16"/>
                <w:szCs w:val="16"/>
              </w:rPr>
            </w:pPr>
          </w:p>
        </w:tc>
      </w:tr>
      <w:tr w:rsidR="008639BE" w:rsidRPr="008D1B7F" w:rsidTr="00D43A33">
        <w:tc>
          <w:tcPr>
            <w:tcW w:w="2830" w:type="dxa"/>
            <w:vMerge/>
            <w:shd w:val="clear" w:color="auto" w:fill="C2D69B"/>
          </w:tcPr>
          <w:p w:rsidR="008639BE" w:rsidRPr="003A0F21" w:rsidRDefault="008639BE" w:rsidP="00D43A33">
            <w:pPr>
              <w:rPr>
                <w:rFonts w:ascii="ITC Avant Garde Std Bk" w:hAnsi="ITC Avant Garde Std Bk"/>
                <w:bCs/>
                <w:sz w:val="16"/>
                <w:szCs w:val="16"/>
              </w:rPr>
            </w:pPr>
          </w:p>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Sección 4</w:t>
            </w:r>
          </w:p>
          <w:p w:rsidR="008639BE" w:rsidRPr="003A0F21"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Respetuosamente, nos permitimos señalar que dentro de este apartado existe un rubro de “Manifestaciones Generales”, el cual es el único que provee espacio para desarrollar cualquier tipo de argumento jurídico, técnico </w:t>
            </w:r>
            <w:r w:rsidRPr="003A0F21">
              <w:rPr>
                <w:rFonts w:ascii="ITC Avant Garde Std Bk" w:hAnsi="ITC Avant Garde Std Bk"/>
                <w:bCs/>
                <w:sz w:val="16"/>
                <w:szCs w:val="16"/>
              </w:rPr>
              <w:lastRenderedPageBreak/>
              <w:t>o económico. A este respecto, nos gustaría destacar que este puede llegar a ser un apartado extenso, por lo cual tal vez convendría abrir la posibilidad de adjuntar un documento, en caso de que así lo requiera el concesionario que solicite la intervención de ese Instituto.</w:t>
            </w:r>
          </w:p>
        </w:tc>
        <w:tc>
          <w:tcPr>
            <w:tcW w:w="3321" w:type="dxa"/>
            <w:shd w:val="clear" w:color="auto" w:fill="D6E3BC"/>
          </w:tcPr>
          <w:p w:rsidR="008639BE" w:rsidRDefault="008639BE" w:rsidP="00D43A33">
            <w:pPr>
              <w:jc w:val="both"/>
              <w:rPr>
                <w:rFonts w:ascii="ITC Avant Garde Std Bk" w:hAnsi="ITC Avant Garde Std Bk"/>
                <w:bCs/>
                <w:sz w:val="16"/>
                <w:szCs w:val="16"/>
              </w:rPr>
            </w:pPr>
          </w:p>
          <w:p w:rsidR="008639BE" w:rsidRPr="00776167" w:rsidRDefault="008639BE" w:rsidP="00D43A33">
            <w:pPr>
              <w:jc w:val="both"/>
              <w:rPr>
                <w:rFonts w:ascii="ITC Avant Garde Std Bk" w:hAnsi="ITC Avant Garde Std Bk"/>
                <w:bCs/>
                <w:sz w:val="16"/>
                <w:szCs w:val="16"/>
              </w:rPr>
            </w:pPr>
            <w:r w:rsidRPr="003C3EF5">
              <w:rPr>
                <w:rFonts w:ascii="ITC Avant Garde Std Bk" w:hAnsi="ITC Avant Garde Std Bk"/>
                <w:bCs/>
                <w:sz w:val="16"/>
                <w:szCs w:val="16"/>
              </w:rPr>
              <w:t xml:space="preserve">En caso de no resultar suficiente el rubro de manifestaciones generales para desarrollar un argumento jurídico, técnico o económico se podrá anexar al formato de solicitud de desacuerdos de interconexión un escrito libre, </w:t>
            </w:r>
            <w:r w:rsidRPr="003C3EF5">
              <w:rPr>
                <w:rFonts w:ascii="ITC Avant Garde Std Bk" w:hAnsi="ITC Avant Garde Std Bk"/>
                <w:bCs/>
                <w:sz w:val="16"/>
                <w:szCs w:val="16"/>
              </w:rPr>
              <w:lastRenderedPageBreak/>
              <w:t>siempre que sea parte de dicho formato.</w:t>
            </w:r>
          </w:p>
        </w:tc>
      </w:tr>
      <w:tr w:rsidR="008639BE" w:rsidRPr="008D1B7F" w:rsidTr="00D43A33">
        <w:tc>
          <w:tcPr>
            <w:tcW w:w="2830" w:type="dxa"/>
            <w:vMerge/>
            <w:shd w:val="clear" w:color="auto" w:fill="D6E3BC"/>
          </w:tcPr>
          <w:p w:rsidR="008639BE" w:rsidRPr="003A0F21" w:rsidRDefault="008639BE" w:rsidP="00D43A33">
            <w:pPr>
              <w:rPr>
                <w:rFonts w:ascii="ITC Avant Garde Std Bk" w:hAnsi="ITC Avant Garde Std Bk"/>
                <w:bCs/>
                <w:sz w:val="16"/>
                <w:szCs w:val="16"/>
              </w:rPr>
            </w:pPr>
          </w:p>
        </w:tc>
        <w:tc>
          <w:tcPr>
            <w:tcW w:w="381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Sección 5</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Conforme la lectura del instructivo de llenado del presente formato, entendemos que en esta sección se marcan las pruebas ofrecidas y se describen las mismas, para ser adjuntadas. No queda claro, sin embargo, la manera en que se adjuntarán, tal vez convendría poner en el formato un número de anexo a cada una.</w:t>
            </w:r>
          </w:p>
          <w:p w:rsidR="008639BE" w:rsidRPr="003A0F21"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De otra parte, resulta muy usual en los procedimientos de desacuerdos de Interconexión que se ofrezcan pruebas periciales, por ello consideramos que éstas deberían estar marcadas como una opción independiente en el formato y del mismo modo, creemos que no debería existir la necesidad de mencionar la instrumental de actuaciones y la </w:t>
            </w:r>
            <w:proofErr w:type="spellStart"/>
            <w:r w:rsidRPr="003A0F21">
              <w:rPr>
                <w:rFonts w:ascii="ITC Avant Garde Std Bk" w:hAnsi="ITC Avant Garde Std Bk"/>
                <w:bCs/>
                <w:sz w:val="16"/>
                <w:szCs w:val="16"/>
              </w:rPr>
              <w:t>presuncional</w:t>
            </w:r>
            <w:proofErr w:type="spellEnd"/>
            <w:r w:rsidRPr="003A0F21">
              <w:rPr>
                <w:rFonts w:ascii="ITC Avant Garde Std Bk" w:hAnsi="ITC Avant Garde Std Bk"/>
                <w:bCs/>
                <w:sz w:val="16"/>
                <w:szCs w:val="16"/>
              </w:rPr>
              <w:t>.</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La prueba instrumental de actuaciones se trata de las constancias que obran en el expediente, mientras que la prueba </w:t>
            </w:r>
            <w:proofErr w:type="spellStart"/>
            <w:r w:rsidRPr="003A0F21">
              <w:rPr>
                <w:rFonts w:ascii="ITC Avant Garde Std Bk" w:hAnsi="ITC Avant Garde Std Bk"/>
                <w:bCs/>
                <w:sz w:val="16"/>
                <w:szCs w:val="16"/>
              </w:rPr>
              <w:t>presuncional</w:t>
            </w:r>
            <w:proofErr w:type="spellEnd"/>
            <w:r w:rsidRPr="003A0F21">
              <w:rPr>
                <w:rFonts w:ascii="ITC Avant Garde Std Bk" w:hAnsi="ITC Avant Garde Std Bk"/>
                <w:bCs/>
                <w:sz w:val="16"/>
                <w:szCs w:val="16"/>
              </w:rPr>
              <w:t xml:space="preserve"> es la consecuencia lógica y natural de hechos conocidos. Así, no hay documento que pueda adjuntarse para ofrecerla. Además de que la autoridad se encontraría obligada a tomar en cuenta las actuaciones existentes y aplicar el análisis deductivo e inductivo que resulte de las pruebas, aunque no se hubieren ofrecido expresamente las pruebas de instrumental de actuaciones y de presunciones, tomando en cuenta que estamos ante un procedimiento seguido en forma de juicio.</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Al respecto, consideramos que resulta aplicable la Tesis de Jurisprudencia I.6o.T. J/66, emitida por el Sexto Tribunal Colegiado en Materia de Trabajo del Primer Circuito, así como las Tesis I.4o.C.70 C, emitida por Cuarto Tribunal Colegiado en Materia Civil del Primer Circuito y </w:t>
            </w:r>
            <w:proofErr w:type="gramStart"/>
            <w:r w:rsidRPr="003A0F21">
              <w:rPr>
                <w:rFonts w:ascii="ITC Avant Garde Std Bk" w:hAnsi="ITC Avant Garde Std Bk"/>
                <w:bCs/>
                <w:sz w:val="16"/>
                <w:szCs w:val="16"/>
              </w:rPr>
              <w:t>II.2o.C.T.30 ,</w:t>
            </w:r>
            <w:proofErr w:type="gramEnd"/>
            <w:r w:rsidRPr="003A0F21">
              <w:rPr>
                <w:rFonts w:ascii="ITC Avant Garde Std Bk" w:hAnsi="ITC Avant Garde Std Bk"/>
                <w:bCs/>
                <w:sz w:val="16"/>
                <w:szCs w:val="16"/>
              </w:rPr>
              <w:t xml:space="preserve"> emitida por el Segundo Tribunal Colegiado en Materias Civil y de Trabajo del Segundo Circuito.</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lastRenderedPageBreak/>
              <w:t>Tesis de Jurisprudencia I.6o.T. J/66</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INSTRUMENTAL DE ACTUACIONES EN EL PROCEDIMIENTO LABORAL. AUN CUANDO NO SE HAYA OFRECIDO COMO PRUEBA, LA JUNTA, AL DICTAR EL LAUDO, DEBE EXAMINAR TODAS LAS CONSTANCIAS QUE INTEGRAN EL EXPEDIENTE.</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El artículo 835 de la Ley Federal del Trabajo establece que la instrumental es el conjunto de actuaciones que obren en el expediente, formado con motivo del juicio. El artículo 836 de la misma ley prevé que la Junta estará obligada a tomar en cuenta las actuaciones que obren en el expediente del juicio. Bajo las anteriores hipótesis la Junta debe examinar al dictar el laudo todas y cada una de las constancias que integran el expediente laboral, aun cuando no se hubiesen ofrecido como prueba; ello con la finalidad de que la responsable resuelva en concordancia con todo lo actuado ante ella.</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SEXTO TRIBUNAL COLEGIADO EN MATERIA DE TRABAJO DEL PRIMER CIRCUITO.</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Tesis I.4o.C.70 C</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PRESUNCIONAL E INSTRUMENTAL DE ACTUACIONES. SU OFRECIMIENTO NO SE RIGE POR LO DISPUESTO EN EL ARTÍCULO 291 DEL CÓDIGO DE PROCEDIMIENTOS CIVILES PARA EL DISTRITO FEDERAL.</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w:t>
            </w:r>
            <w:r w:rsidRPr="003A0F21">
              <w:rPr>
                <w:rFonts w:ascii="ITC Avant Garde Std Bk" w:hAnsi="ITC Avant Garde Std Bk"/>
                <w:bCs/>
                <w:sz w:val="16"/>
                <w:szCs w:val="16"/>
              </w:rPr>
              <w:lastRenderedPageBreak/>
              <w:t xml:space="preserve">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las pruebas, para resolver la </w:t>
            </w:r>
            <w:proofErr w:type="spellStart"/>
            <w:r w:rsidRPr="003A0F21">
              <w:rPr>
                <w:rFonts w:ascii="ITC Avant Garde Std Bk" w:hAnsi="ITC Avant Garde Std Bk"/>
                <w:bCs/>
                <w:sz w:val="16"/>
                <w:szCs w:val="16"/>
              </w:rPr>
              <w:t>litis</w:t>
            </w:r>
            <w:proofErr w:type="spellEnd"/>
            <w:r w:rsidRPr="003A0F21">
              <w:rPr>
                <w:rFonts w:ascii="ITC Avant Garde Std Bk" w:hAnsi="ITC Avant Garde Std Bk"/>
                <w:bCs/>
                <w:sz w:val="16"/>
                <w:szCs w:val="16"/>
              </w:rPr>
              <w:t xml:space="preserve"> planteada, pues en ello radica la esencia de la actividad jurisdiccional.</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CUARTO TRIBUNAL COLEGIADO EN MATERIA CIVIL DEL PRIMER CIRCUITO.</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Tesis II.2o.C.T.30</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PRUEBA INSTRUMENTAL DE ACTUACIONES EN MATERIA CIVIL. NO EXISTE (LEGISLACIÓN DEL ESTADO DE MÉXICO).</w:t>
            </w: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La Sala no estaba obligada a adminicular las documentales o la confesión ficta con la instrumental de actuaciones, pues dicha prueba denominada instrumental de actuaciones, como tal, no existe en el artículo 281 del Código de Procedimientos Civiles del Estado de México, aunque sí exista en otras legislaciones, como la Ley Federal del Trabajo, pues el código adjetivo civil de la entidad sólo reconoce como medios de prueba en el precepto citado: la confesión, los documentos públicos, los documentos privados, los dictámenes periciales, el reconocimiento e inspección judicial, los testigos, las fotografías, las copias fotostáticas, los registros dactiloscópicos y, en general, todos aquellos elementos aportados por los descubrimientos de la ciencia, así como la </w:t>
            </w:r>
            <w:proofErr w:type="spellStart"/>
            <w:r w:rsidRPr="003A0F21">
              <w:rPr>
                <w:rFonts w:ascii="ITC Avant Garde Std Bk" w:hAnsi="ITC Avant Garde Std Bk"/>
                <w:bCs/>
                <w:sz w:val="16"/>
                <w:szCs w:val="16"/>
              </w:rPr>
              <w:t>presuncional</w:t>
            </w:r>
            <w:proofErr w:type="spellEnd"/>
            <w:r w:rsidRPr="003A0F21">
              <w:rPr>
                <w:rFonts w:ascii="ITC Avant Garde Std Bk" w:hAnsi="ITC Avant Garde Std Bk"/>
                <w:bCs/>
                <w:sz w:val="16"/>
                <w:szCs w:val="16"/>
              </w:rPr>
              <w:t>.</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SEGUNDO TRIBUNAL COLEGIADO EN MATERIAS CIVIL Y DE TRABAJO DEL SEGUNDO CIRCUITO.</w:t>
            </w:r>
          </w:p>
          <w:p w:rsidR="008639BE" w:rsidRPr="007D0768" w:rsidRDefault="008639BE" w:rsidP="00D43A33">
            <w:pPr>
              <w:jc w:val="both"/>
              <w:rPr>
                <w:rFonts w:ascii="ITC Avant Garde Std Bk" w:hAnsi="ITC Avant Garde Std Bk"/>
                <w:bCs/>
                <w:sz w:val="16"/>
                <w:szCs w:val="16"/>
              </w:rPr>
            </w:pPr>
          </w:p>
        </w:tc>
        <w:tc>
          <w:tcPr>
            <w:tcW w:w="3321" w:type="dxa"/>
            <w:shd w:val="clear" w:color="auto" w:fill="C2D69B"/>
          </w:tcPr>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En la Sección 5 se enlistan las diferentes pruebas que el Concesionario puede adjuntar de manera física al formato de Solicitud de resolución de desacuerdo de interconexión, para su entrega en Oficialía de Partes y da la opción de agregar cualquier otro tipo de prueba que considere necesaria, por ejemplo, una prueba pericial. Por lo que esta sección es simplemente una relación de la información que suele presentarse al momento de realizar dicha solicitud.</w:t>
            </w:r>
          </w:p>
          <w:p w:rsidR="008639BE" w:rsidRPr="003A0F21"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 xml:space="preserve">Respecto de las pruebas marcadas como instrumental de actuaciones y </w:t>
            </w:r>
            <w:proofErr w:type="spellStart"/>
            <w:r w:rsidRPr="003A0F21">
              <w:rPr>
                <w:rFonts w:ascii="ITC Avant Garde Std Bk" w:hAnsi="ITC Avant Garde Std Bk"/>
                <w:bCs/>
                <w:sz w:val="16"/>
                <w:szCs w:val="16"/>
              </w:rPr>
              <w:t>presuncional</w:t>
            </w:r>
            <w:proofErr w:type="spellEnd"/>
            <w:r w:rsidRPr="003A0F21">
              <w:rPr>
                <w:rFonts w:ascii="ITC Avant Garde Std Bk" w:hAnsi="ITC Avant Garde Std Bk"/>
                <w:bCs/>
                <w:sz w:val="16"/>
                <w:szCs w:val="16"/>
              </w:rPr>
              <w:t>, son probanzas que esta autoridad está obligada a tomar en cuenta al momento de resolver, en virtud que son actuaciones existentes en los autos del expediente y no todos los concesionarios las presentan como prueba.</w:t>
            </w:r>
          </w:p>
          <w:p w:rsidR="008639BE" w:rsidRPr="003A0F21" w:rsidRDefault="008639BE" w:rsidP="00D43A33">
            <w:pPr>
              <w:jc w:val="both"/>
              <w:rPr>
                <w:rFonts w:ascii="ITC Avant Garde Std Bk" w:hAnsi="ITC Avant Garde Std Bk"/>
                <w:bCs/>
                <w:sz w:val="16"/>
                <w:szCs w:val="16"/>
              </w:rPr>
            </w:pPr>
          </w:p>
          <w:p w:rsidR="008639BE" w:rsidRDefault="008639BE" w:rsidP="00D43A33">
            <w:pPr>
              <w:jc w:val="both"/>
            </w:pPr>
            <w:r w:rsidRPr="003A0F21">
              <w:rPr>
                <w:rFonts w:ascii="ITC Avant Garde Std Bk" w:hAnsi="ITC Avant Garde Std Bk"/>
                <w:bCs/>
                <w:sz w:val="16"/>
                <w:szCs w:val="16"/>
              </w:rPr>
              <w:t>Ello no implica que ante la omisión de la presentación de dicha prueba el Instituto no tome en cuenta las actuaciones existentes. En el caso de estas pruebas bastaría con indicar en la sección de descripción lo que el Concesionario considere sin necesidad de adjuntar un documento.</w:t>
            </w:r>
          </w:p>
          <w:p w:rsidR="008639BE" w:rsidRPr="008D1B7F" w:rsidRDefault="008639BE" w:rsidP="00D43A33">
            <w:pPr>
              <w:jc w:val="both"/>
            </w:pPr>
          </w:p>
        </w:tc>
      </w:tr>
      <w:tr w:rsidR="008639BE" w:rsidRPr="008D1B7F" w:rsidTr="00D43A33">
        <w:tc>
          <w:tcPr>
            <w:tcW w:w="2830" w:type="dxa"/>
            <w:vMerge w:val="restart"/>
            <w:shd w:val="clear" w:color="auto" w:fill="D6E3BC"/>
          </w:tcPr>
          <w:p w:rsidR="008639BE" w:rsidRDefault="008639BE" w:rsidP="00D43A33">
            <w:pPr>
              <w:rPr>
                <w:rFonts w:ascii="ITC Avant Garde Std Bk" w:hAnsi="ITC Avant Garde Std Bk"/>
                <w:bCs/>
                <w:sz w:val="16"/>
                <w:szCs w:val="16"/>
              </w:rPr>
            </w:pPr>
          </w:p>
          <w:p w:rsidR="008639BE" w:rsidRPr="003A0F21" w:rsidRDefault="008639BE" w:rsidP="00D43A33">
            <w:pPr>
              <w:rPr>
                <w:rFonts w:ascii="ITC Avant Garde Std Bk" w:hAnsi="ITC Avant Garde Std Bk"/>
                <w:bCs/>
                <w:sz w:val="16"/>
                <w:szCs w:val="16"/>
              </w:rPr>
            </w:pPr>
            <w:r w:rsidRPr="003A0F21">
              <w:rPr>
                <w:rFonts w:ascii="ITC Avant Garde Std Bk" w:hAnsi="ITC Avant Garde Std Bk"/>
                <w:bCs/>
                <w:sz w:val="16"/>
                <w:szCs w:val="16"/>
              </w:rPr>
              <w:t>Cablevisión, S.A. de C.V., México Red de Telecomunicaciones, S. de R.L. de C.V., Televisión Internacional</w:t>
            </w:r>
            <w:r>
              <w:rPr>
                <w:rFonts w:ascii="ITC Avant Garde Std Bk" w:hAnsi="ITC Avant Garde Std Bk"/>
                <w:bCs/>
                <w:sz w:val="16"/>
                <w:szCs w:val="16"/>
              </w:rPr>
              <w:t>,</w:t>
            </w:r>
            <w:r w:rsidRPr="003A0F21">
              <w:rPr>
                <w:rFonts w:ascii="ITC Avant Garde Std Bk" w:hAnsi="ITC Avant Garde Std Bk"/>
                <w:bCs/>
                <w:sz w:val="16"/>
                <w:szCs w:val="16"/>
              </w:rPr>
              <w:t xml:space="preserve"> S.A. de C.V., Cablevisión Red, S.A. de C.V., </w:t>
            </w:r>
            <w:proofErr w:type="spellStart"/>
            <w:r w:rsidRPr="003A0F21">
              <w:rPr>
                <w:rFonts w:ascii="ITC Avant Garde Std Bk" w:hAnsi="ITC Avant Garde Std Bk"/>
                <w:bCs/>
                <w:sz w:val="16"/>
                <w:szCs w:val="16"/>
              </w:rPr>
              <w:t>Operbes</w:t>
            </w:r>
            <w:proofErr w:type="spellEnd"/>
            <w:r w:rsidRPr="003A0F21">
              <w:rPr>
                <w:rFonts w:ascii="ITC Avant Garde Std Bk" w:hAnsi="ITC Avant Garde Std Bk"/>
                <w:bCs/>
                <w:sz w:val="16"/>
                <w:szCs w:val="16"/>
              </w:rPr>
              <w:t xml:space="preserve">, S.A. de C.V., </w:t>
            </w:r>
            <w:proofErr w:type="spellStart"/>
            <w:r w:rsidRPr="003A0F21">
              <w:rPr>
                <w:rFonts w:ascii="ITC Avant Garde Std Bk" w:hAnsi="ITC Avant Garde Std Bk"/>
                <w:bCs/>
                <w:sz w:val="16"/>
                <w:szCs w:val="16"/>
              </w:rPr>
              <w:t>Cablemás</w:t>
            </w:r>
            <w:proofErr w:type="spellEnd"/>
            <w:r w:rsidRPr="003A0F21">
              <w:rPr>
                <w:rFonts w:ascii="ITC Avant Garde Std Bk" w:hAnsi="ITC Avant Garde Std Bk"/>
                <w:bCs/>
                <w:sz w:val="16"/>
                <w:szCs w:val="16"/>
              </w:rPr>
              <w:t xml:space="preserve">          Telecomunicaciones, S.A. de C.V. y TV Cable de Oriente</w:t>
            </w:r>
            <w:r>
              <w:rPr>
                <w:rFonts w:ascii="ITC Avant Garde Std Bk" w:hAnsi="ITC Avant Garde Std Bk"/>
                <w:bCs/>
                <w:sz w:val="16"/>
                <w:szCs w:val="16"/>
              </w:rPr>
              <w:t>,</w:t>
            </w:r>
            <w:r w:rsidRPr="003A0F21">
              <w:rPr>
                <w:rFonts w:ascii="ITC Avant Garde Std Bk" w:hAnsi="ITC Avant Garde Std Bk"/>
                <w:bCs/>
                <w:sz w:val="16"/>
                <w:szCs w:val="16"/>
              </w:rPr>
              <w:t xml:space="preserve"> S.A. de C.V.</w:t>
            </w:r>
          </w:p>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Sección 1</w:t>
            </w: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En el caso del rubro indicado como “Desahogo de prevención” es necesario adicionar un apartado para indicar la fecha en que el acuerdo fue notificado.</w:t>
            </w:r>
          </w:p>
          <w:p w:rsidR="008639BE" w:rsidRPr="007D0768" w:rsidRDefault="008639BE" w:rsidP="00D43A33">
            <w:pPr>
              <w:jc w:val="both"/>
              <w:rPr>
                <w:rFonts w:ascii="ITC Avant Garde Std Bk" w:hAnsi="ITC Avant Garde Std Bk"/>
                <w:bCs/>
                <w:sz w:val="16"/>
                <w:szCs w:val="16"/>
              </w:rPr>
            </w:pPr>
          </w:p>
        </w:tc>
        <w:tc>
          <w:tcPr>
            <w:tcW w:w="3321" w:type="dxa"/>
            <w:shd w:val="clear" w:color="auto" w:fill="D6E3BC"/>
          </w:tcPr>
          <w:p w:rsidR="008639BE" w:rsidRPr="003A0F21" w:rsidRDefault="008639BE" w:rsidP="00D43A33">
            <w:pPr>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Pr>
                <w:rFonts w:ascii="ITC Avant Garde Std Bk" w:hAnsi="ITC Avant Garde Std Bk"/>
                <w:bCs/>
                <w:sz w:val="16"/>
                <w:szCs w:val="16"/>
              </w:rPr>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w:t>
            </w:r>
            <w:r w:rsidR="00017406" w:rsidRPr="003A0F21">
              <w:rPr>
                <w:rFonts w:ascii="ITC Avant Garde Std Bk" w:hAnsi="ITC Avant Garde Std Bk"/>
                <w:bCs/>
                <w:sz w:val="16"/>
                <w:szCs w:val="16"/>
              </w:rPr>
              <w:t>que,</w:t>
            </w:r>
            <w:r w:rsidRPr="003A0F21">
              <w:rPr>
                <w:rFonts w:ascii="ITC Avant Garde Std Bk" w:hAnsi="ITC Avant Garde Std Bk"/>
                <w:bCs/>
                <w:sz w:val="16"/>
                <w:szCs w:val="16"/>
              </w:rPr>
              <w:t xml:space="preserve"> al efectuarse la notificación de una Prevención, invariablemente se utilizan instructivos de notificación en los cuales se señala la fecha en que se realiza la notificación de dicho acuerdo. Añadir dicho rubro sería solicitarle al Concesionario información que consta en la documentación con la que le fue notificado.</w:t>
            </w:r>
          </w:p>
        </w:tc>
      </w:tr>
      <w:tr w:rsidR="008639BE" w:rsidRPr="008D1B7F" w:rsidTr="00D43A33">
        <w:tc>
          <w:tcPr>
            <w:tcW w:w="2830" w:type="dxa"/>
            <w:vMerge/>
            <w:shd w:val="clear" w:color="auto" w:fill="D6E3BC"/>
          </w:tcPr>
          <w:p w:rsidR="008639BE" w:rsidRPr="008D1B7F" w:rsidRDefault="008639BE" w:rsidP="00D43A33"/>
        </w:tc>
        <w:tc>
          <w:tcPr>
            <w:tcW w:w="3811"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Sección 4</w:t>
            </w:r>
          </w:p>
          <w:p w:rsidR="008639BE" w:rsidRPr="003A0F21" w:rsidRDefault="008639BE" w:rsidP="00D43A33">
            <w:pPr>
              <w:jc w:val="both"/>
              <w:rPr>
                <w:rFonts w:ascii="ITC Avant Garde Std Bk" w:hAnsi="ITC Avant Garde Std Bk"/>
                <w:bCs/>
                <w:sz w:val="16"/>
                <w:szCs w:val="16"/>
              </w:rPr>
            </w:pPr>
          </w:p>
          <w:p w:rsidR="008639BE" w:rsidRPr="007D0768"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Mis Representadas consideran necesario agregar un apartado en la presente sección, en el cual se indique el periodo de las tarifas a resolver (solicitadas).</w:t>
            </w:r>
          </w:p>
        </w:tc>
        <w:tc>
          <w:tcPr>
            <w:tcW w:w="3321" w:type="dxa"/>
            <w:shd w:val="clear" w:color="auto" w:fill="C2D69B"/>
          </w:tcPr>
          <w:p w:rsidR="008639BE" w:rsidRDefault="008639BE" w:rsidP="00D43A33">
            <w:pPr>
              <w:jc w:val="both"/>
              <w:rPr>
                <w:rFonts w:ascii="ITC Avant Garde Std Bk" w:hAnsi="ITC Avant Garde Std Bk"/>
                <w:bCs/>
                <w:sz w:val="16"/>
                <w:szCs w:val="16"/>
              </w:rPr>
            </w:pPr>
          </w:p>
          <w:p w:rsidR="008639BE" w:rsidRPr="003A0F21" w:rsidRDefault="008639BE" w:rsidP="00D43A33">
            <w:pPr>
              <w:jc w:val="both"/>
              <w:rPr>
                <w:rFonts w:ascii="ITC Avant Garde Std Bk" w:hAnsi="ITC Avant Garde Std Bk"/>
                <w:bCs/>
                <w:sz w:val="16"/>
                <w:szCs w:val="16"/>
              </w:rPr>
            </w:pPr>
            <w:r>
              <w:rPr>
                <w:rFonts w:ascii="ITC Avant Garde Std Bk" w:hAnsi="ITC Avant Garde Std Bk"/>
                <w:bCs/>
                <w:sz w:val="16"/>
                <w:szCs w:val="16"/>
              </w:rPr>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 ya que la</w:t>
            </w:r>
            <w:r w:rsidRPr="003A0F21">
              <w:rPr>
                <w:rFonts w:ascii="ITC Avant Garde Std Bk" w:hAnsi="ITC Avant Garde Std Bk"/>
                <w:bCs/>
                <w:sz w:val="16"/>
                <w:szCs w:val="16"/>
              </w:rPr>
              <w:t xml:space="preserve"> sección no es limitativa en virtud que en las manifestaciones generales, el concesionario podrá precisar el periodo que requiere le sean resueltas las tarifas.</w:t>
            </w:r>
          </w:p>
        </w:tc>
      </w:tr>
      <w:tr w:rsidR="008639BE" w:rsidRPr="008D1B7F" w:rsidTr="00D43A33">
        <w:tc>
          <w:tcPr>
            <w:tcW w:w="2830" w:type="dxa"/>
            <w:vMerge/>
            <w:shd w:val="clear" w:color="auto" w:fill="D6E3BC"/>
          </w:tcPr>
          <w:p w:rsidR="008639BE" w:rsidRPr="008D1B7F" w:rsidRDefault="008639BE" w:rsidP="00D43A33"/>
        </w:tc>
        <w:tc>
          <w:tcPr>
            <w:tcW w:w="3811" w:type="dxa"/>
            <w:shd w:val="clear" w:color="auto" w:fill="D6E3BC"/>
          </w:tcPr>
          <w:p w:rsidR="008639BE" w:rsidRDefault="008639BE" w:rsidP="00D43A33">
            <w:pPr>
              <w:jc w:val="both"/>
              <w:rPr>
                <w:rFonts w:ascii="ITC Avant Garde Std Bk" w:hAnsi="ITC Avant Garde Std Bk"/>
                <w:bCs/>
                <w:sz w:val="16"/>
                <w:szCs w:val="16"/>
              </w:rPr>
            </w:pPr>
          </w:p>
          <w:p w:rsidR="008639BE" w:rsidRPr="007D0768"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Mis Representadas consideran necesaria la adicción de la sección 8 “Puntos Petitorios”, lo anterior a fin de poder redactar una síntesis de las pretensiones motivo de la presentación del desacuerdo, y siguiendo el esquema de escrito libre que actualmente se lleva a cabo.</w:t>
            </w:r>
          </w:p>
        </w:tc>
        <w:tc>
          <w:tcPr>
            <w:tcW w:w="3321" w:type="dxa"/>
            <w:shd w:val="clear" w:color="auto" w:fill="D6E3BC"/>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3A0F21">
              <w:rPr>
                <w:rFonts w:ascii="ITC Avant Garde Std Bk" w:hAnsi="ITC Avant Garde Std Bk"/>
                <w:bCs/>
                <w:sz w:val="16"/>
                <w:szCs w:val="16"/>
              </w:rPr>
              <w:t>La sección no es limitativa en virtud que, en las manifestaciones generales, el concesionario podrá redactar una síntesis del motivo de la presentación del desacuerdo, siguiendo el esquema de escrito libre que actualmente se lleva a cabo. En caso de no resultar suficiente dicho espacio se podrá anexar el escrito libre.</w:t>
            </w:r>
          </w:p>
          <w:p w:rsidR="008639BE" w:rsidRPr="003A0F21" w:rsidRDefault="008639BE" w:rsidP="00D43A33">
            <w:pPr>
              <w:jc w:val="both"/>
              <w:rPr>
                <w:rFonts w:ascii="ITC Avant Garde Std Bk" w:hAnsi="ITC Avant Garde Std Bk"/>
                <w:bCs/>
                <w:sz w:val="16"/>
                <w:szCs w:val="16"/>
              </w:rPr>
            </w:pPr>
          </w:p>
        </w:tc>
      </w:tr>
    </w:tbl>
    <w:p w:rsidR="008639BE" w:rsidRPr="00DD65D9" w:rsidRDefault="008639BE" w:rsidP="008639BE">
      <w:pPr>
        <w:pStyle w:val="Default"/>
        <w:jc w:val="both"/>
        <w:rPr>
          <w:rFonts w:ascii="ITC Avant Garde Std Bk" w:hAnsi="ITC Avant Garde Std Bk"/>
          <w:bCs/>
          <w:sz w:val="20"/>
          <w:szCs w:val="20"/>
          <w:lang w:eastAsia="en-US"/>
        </w:rPr>
      </w:pPr>
    </w:p>
    <w:p w:rsidR="00F12C96" w:rsidRDefault="00F12C96" w:rsidP="008639BE">
      <w:pPr>
        <w:pStyle w:val="Default"/>
        <w:jc w:val="both"/>
        <w:rPr>
          <w:rFonts w:ascii="ITC Avant Garde Std Bk" w:hAnsi="ITC Avant Garde Std Bk"/>
          <w:b/>
          <w:bCs/>
          <w:sz w:val="18"/>
          <w:szCs w:val="18"/>
          <w:lang w:eastAsia="en-US"/>
        </w:rPr>
      </w:pPr>
    </w:p>
    <w:p w:rsidR="008639BE" w:rsidRPr="00867965" w:rsidRDefault="008639BE" w:rsidP="008639BE">
      <w:pPr>
        <w:pStyle w:val="Default"/>
        <w:jc w:val="both"/>
        <w:rPr>
          <w:rFonts w:ascii="ITC Avant Garde Std Bk" w:hAnsi="ITC Avant Garde Std Bk"/>
          <w:b/>
          <w:bCs/>
          <w:sz w:val="18"/>
          <w:szCs w:val="18"/>
          <w:lang w:eastAsia="en-US"/>
        </w:rPr>
      </w:pPr>
      <w:r w:rsidRPr="00867965">
        <w:rPr>
          <w:rFonts w:ascii="ITC Avant Garde Std Bk" w:hAnsi="ITC Avant Garde Std Bk"/>
          <w:b/>
          <w:bCs/>
          <w:sz w:val="18"/>
          <w:szCs w:val="18"/>
          <w:lang w:eastAsia="en-US"/>
        </w:rPr>
        <w:t>IMPROCEDENCIAS</w:t>
      </w:r>
    </w:p>
    <w:p w:rsidR="008639BE" w:rsidRDefault="008639BE" w:rsidP="008639BE">
      <w:pPr>
        <w:pStyle w:val="Default"/>
        <w:jc w:val="both"/>
        <w:rPr>
          <w:rFonts w:ascii="ITC Avant Garde Std Bk" w:hAnsi="ITC Avant Garde Std Bk"/>
          <w:bCs/>
          <w:sz w:val="18"/>
          <w:szCs w:val="18"/>
          <w:lang w:eastAsia="en-US"/>
        </w:rPr>
      </w:pPr>
    </w:p>
    <w:p w:rsidR="008639BE" w:rsidRPr="00AF67AC" w:rsidRDefault="008639BE" w:rsidP="008639BE">
      <w:pPr>
        <w:spacing w:after="0" w:line="240" w:lineRule="auto"/>
        <w:jc w:val="both"/>
        <w:rPr>
          <w:rFonts w:ascii="ITC Avant Garde Std Bk" w:hAnsi="ITC Avant Garde Std Bk" w:cs="Tahoma"/>
          <w:bCs/>
          <w:color w:val="000000"/>
          <w:sz w:val="20"/>
          <w:szCs w:val="20"/>
        </w:rPr>
      </w:pPr>
      <w:r>
        <w:rPr>
          <w:rFonts w:ascii="ITC Avant Garde Std Bk" w:hAnsi="ITC Avant Garde Std Bk"/>
          <w:bCs/>
          <w:sz w:val="18"/>
          <w:szCs w:val="18"/>
        </w:rPr>
        <w:t xml:space="preserve">De los </w:t>
      </w:r>
      <w:r>
        <w:rPr>
          <w:rFonts w:ascii="ITC Avant Garde Std Bk" w:hAnsi="ITC Avant Garde Std Bk" w:cs="Tahoma"/>
          <w:bCs/>
          <w:color w:val="000000"/>
          <w:sz w:val="20"/>
          <w:szCs w:val="20"/>
        </w:rPr>
        <w:t>30 (treinta)</w:t>
      </w:r>
      <w:r w:rsidRPr="00AF67AC">
        <w:rPr>
          <w:rFonts w:ascii="ITC Avant Garde Std Bk" w:hAnsi="ITC Avant Garde Std Bk" w:cs="Tahoma"/>
          <w:bCs/>
          <w:color w:val="000000"/>
          <w:sz w:val="20"/>
          <w:szCs w:val="20"/>
        </w:rPr>
        <w:t xml:space="preserve"> comentarios</w:t>
      </w:r>
      <w:r>
        <w:rPr>
          <w:rFonts w:ascii="ITC Avant Garde Std Bk" w:hAnsi="ITC Avant Garde Std Bk" w:cs="Tahoma"/>
          <w:bCs/>
          <w:color w:val="000000"/>
          <w:sz w:val="20"/>
          <w:szCs w:val="20"/>
        </w:rPr>
        <w:t xml:space="preserve"> recibidos, sólo 9 de ellos resultaron improcedentes, a saber</w:t>
      </w:r>
      <w:r w:rsidRPr="00AF67AC">
        <w:rPr>
          <w:rFonts w:ascii="ITC Avant Garde Std Bk" w:hAnsi="ITC Avant Garde Std Bk" w:cs="Tahoma"/>
          <w:bCs/>
          <w:color w:val="000000"/>
          <w:sz w:val="20"/>
          <w:szCs w:val="20"/>
        </w:rPr>
        <w:t xml:space="preserve">: </w:t>
      </w:r>
    </w:p>
    <w:p w:rsidR="008639BE" w:rsidRDefault="008639BE" w:rsidP="008639BE">
      <w:pPr>
        <w:pStyle w:val="Default"/>
        <w:jc w:val="both"/>
        <w:rPr>
          <w:rFonts w:ascii="ITC Avant Garde Std Bk" w:hAnsi="ITC Avant Garde Std Bk"/>
          <w:bCs/>
          <w:sz w:val="18"/>
          <w:szCs w:val="18"/>
          <w:lang w:eastAsia="en-US"/>
        </w:rPr>
      </w:pPr>
    </w:p>
    <w:tbl>
      <w:tblPr>
        <w:tblStyle w:val="Tablaconcuadrcula"/>
        <w:tblW w:w="10081" w:type="dxa"/>
        <w:tblInd w:w="-5" w:type="dxa"/>
        <w:shd w:val="clear" w:color="auto" w:fill="FBD4B4" w:themeFill="accent6" w:themeFillTint="66"/>
        <w:tblLook w:val="0600" w:firstRow="0" w:lastRow="0" w:firstColumn="0" w:lastColumn="0" w:noHBand="1" w:noVBand="1"/>
      </w:tblPr>
      <w:tblGrid>
        <w:gridCol w:w="1893"/>
        <w:gridCol w:w="1226"/>
        <w:gridCol w:w="3685"/>
        <w:gridCol w:w="3277"/>
      </w:tblGrid>
      <w:tr w:rsidR="008639BE" w:rsidRPr="008C2256" w:rsidTr="00D43A33">
        <w:trPr>
          <w:trHeight w:val="478"/>
        </w:trPr>
        <w:tc>
          <w:tcPr>
            <w:tcW w:w="1893" w:type="dxa"/>
            <w:shd w:val="clear" w:color="auto" w:fill="296624"/>
            <w:vAlign w:val="center"/>
          </w:tcPr>
          <w:p w:rsidR="008639BE" w:rsidRPr="00E66821" w:rsidRDefault="008639BE" w:rsidP="00D43A33">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PARTICIPANTE</w:t>
            </w:r>
          </w:p>
        </w:tc>
        <w:tc>
          <w:tcPr>
            <w:tcW w:w="1226" w:type="dxa"/>
            <w:shd w:val="clear" w:color="auto" w:fill="296624"/>
            <w:vAlign w:val="center"/>
          </w:tcPr>
          <w:p w:rsidR="008639BE" w:rsidRPr="00E66821" w:rsidRDefault="008639BE" w:rsidP="00D43A33">
            <w:pPr>
              <w:pStyle w:val="Default"/>
              <w:jc w:val="center"/>
              <w:rPr>
                <w:rFonts w:ascii="ITC Avant Garde Std Bk" w:hAnsi="ITC Avant Garde Std Bk"/>
                <w:bCs/>
                <w:color w:val="FFFFFF" w:themeColor="background1"/>
                <w:sz w:val="16"/>
                <w:szCs w:val="16"/>
              </w:rPr>
            </w:pPr>
            <w:r>
              <w:rPr>
                <w:rFonts w:ascii="ITC Avant Garde Std Bk" w:hAnsi="ITC Avant Garde Std Bk"/>
                <w:bCs/>
                <w:color w:val="FFFFFF" w:themeColor="background1"/>
                <w:sz w:val="16"/>
                <w:szCs w:val="16"/>
              </w:rPr>
              <w:t>APARTADO</w:t>
            </w:r>
          </w:p>
        </w:tc>
        <w:tc>
          <w:tcPr>
            <w:tcW w:w="3685" w:type="dxa"/>
            <w:shd w:val="clear" w:color="auto" w:fill="296624"/>
            <w:vAlign w:val="center"/>
          </w:tcPr>
          <w:p w:rsidR="008639BE" w:rsidRPr="00E66821" w:rsidRDefault="008639BE" w:rsidP="00D43A33">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COMENTARIO</w:t>
            </w:r>
          </w:p>
        </w:tc>
        <w:tc>
          <w:tcPr>
            <w:tcW w:w="3277" w:type="dxa"/>
            <w:shd w:val="clear" w:color="auto" w:fill="296624"/>
          </w:tcPr>
          <w:p w:rsidR="008639BE" w:rsidRPr="00E66821" w:rsidRDefault="008639BE" w:rsidP="00D43A33">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CONSIDERACIÓN</w:t>
            </w:r>
          </w:p>
        </w:tc>
      </w:tr>
      <w:tr w:rsidR="008639BE" w:rsidRPr="008C2256" w:rsidTr="00D43A33">
        <w:trPr>
          <w:trHeight w:val="478"/>
        </w:trPr>
        <w:tc>
          <w:tcPr>
            <w:tcW w:w="1893" w:type="dxa"/>
            <w:vMerge w:val="restart"/>
            <w:shd w:val="clear" w:color="auto" w:fill="C2D69B" w:themeFill="accent3" w:themeFillTint="99"/>
            <w:vAlign w:val="center"/>
          </w:tcPr>
          <w:p w:rsidR="008639BE" w:rsidRPr="00225C89" w:rsidRDefault="008639BE" w:rsidP="00D43A33">
            <w:pPr>
              <w:pStyle w:val="Default"/>
              <w:jc w:val="center"/>
              <w:rPr>
                <w:rFonts w:ascii="ITC Avant Garde Std Bk" w:hAnsi="ITC Avant Garde Std Bk"/>
                <w:bCs/>
                <w:sz w:val="16"/>
                <w:szCs w:val="16"/>
              </w:rPr>
            </w:pPr>
            <w:r w:rsidRPr="002A077F">
              <w:rPr>
                <w:rFonts w:ascii="ITC Avant Garde Std Bk" w:hAnsi="ITC Avant Garde Std Bk"/>
                <w:bCs/>
                <w:sz w:val="16"/>
                <w:szCs w:val="16"/>
              </w:rPr>
              <w:t>Asociación Nacional de Telecomunicaciones, A.C.</w:t>
            </w:r>
          </w:p>
        </w:tc>
        <w:tc>
          <w:tcPr>
            <w:tcW w:w="1226" w:type="dxa"/>
            <w:vMerge w:val="restart"/>
            <w:shd w:val="clear" w:color="auto" w:fill="C2D69B" w:themeFill="accent3" w:themeFillTint="99"/>
            <w:vAlign w:val="center"/>
          </w:tcPr>
          <w:p w:rsidR="008639BE" w:rsidRPr="00225C89" w:rsidRDefault="008639BE" w:rsidP="00D43A33">
            <w:pPr>
              <w:pStyle w:val="Default"/>
              <w:jc w:val="center"/>
              <w:rPr>
                <w:rFonts w:ascii="ITC Avant Garde Std Bk" w:hAnsi="ITC Avant Garde Std Bk"/>
                <w:bCs/>
                <w:sz w:val="16"/>
                <w:szCs w:val="16"/>
              </w:rPr>
            </w:pPr>
            <w:r>
              <w:rPr>
                <w:rFonts w:ascii="ITC Avant Garde Std Bk" w:hAnsi="ITC Avant Garde Std Bk"/>
                <w:bCs/>
                <w:sz w:val="16"/>
                <w:szCs w:val="16"/>
              </w:rPr>
              <w:t>Anexo F</w:t>
            </w:r>
          </w:p>
        </w:tc>
        <w:tc>
          <w:tcPr>
            <w:tcW w:w="3685" w:type="dxa"/>
            <w:shd w:val="clear" w:color="auto" w:fill="C2D69B" w:themeFill="accent3" w:themeFillTint="99"/>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Consideraciones Generales</w:t>
            </w:r>
          </w:p>
          <w:p w:rsidR="008639BE" w:rsidRPr="000F64FA"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Carga Regulatoria excesiva por el cumulo de información exigible.</w:t>
            </w:r>
          </w:p>
          <w:p w:rsidR="008639BE" w:rsidRPr="000F64FA" w:rsidRDefault="008639BE" w:rsidP="00D43A33">
            <w:pPr>
              <w:pStyle w:val="Default"/>
              <w:jc w:val="both"/>
              <w:rPr>
                <w:rFonts w:ascii="ITC Avant Garde Std Bk" w:hAnsi="ITC Avant Garde Std Bk"/>
                <w:bCs/>
                <w:sz w:val="16"/>
                <w:szCs w:val="16"/>
              </w:rPr>
            </w:pPr>
            <w:r w:rsidRPr="000F64FA">
              <w:rPr>
                <w:rFonts w:ascii="ITC Avant Garde Std Bk" w:hAnsi="ITC Avant Garde Std Bk"/>
                <w:bCs/>
                <w:sz w:val="16"/>
                <w:szCs w:val="16"/>
              </w:rPr>
              <w:t>Los Regulados están obligados a i) ingresar en la propuesta de formato una gran cantidad de información, ii) adjuntar documentos solicitados y iii) realizar los cálculos técnicos solicitados en tan sólo 30 minutos. El artículo 13 de la Ley Federal de Procedimiento Administrativo obliga a la administración pública a desarrollar su función con arreglo a los principios de economía, celeridad, eficacia, legalidad, publicidad y buena fe, por lo que solicitamos se simplifique el formato al máximo indispensable.</w:t>
            </w:r>
          </w:p>
        </w:tc>
        <w:tc>
          <w:tcPr>
            <w:tcW w:w="3277" w:type="dxa"/>
            <w:shd w:val="clear" w:color="auto" w:fill="C2D69B" w:themeFill="accent3" w:themeFillTint="99"/>
            <w:vAlign w:val="center"/>
          </w:tcPr>
          <w:p w:rsidR="008639BE" w:rsidRPr="000F64FA" w:rsidRDefault="008639BE" w:rsidP="00D43A33">
            <w:pPr>
              <w:jc w:val="both"/>
              <w:rPr>
                <w:rFonts w:ascii="ITC Avant Garde Std Bk" w:hAnsi="ITC Avant Garde Std Bk" w:cs="Tahoma"/>
                <w:bCs/>
                <w:color w:val="000000"/>
                <w:sz w:val="16"/>
                <w:szCs w:val="16"/>
              </w:rPr>
            </w:pPr>
            <w:r w:rsidRPr="000F64FA">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D6E3BC" w:themeFill="accent3" w:themeFillTint="66"/>
          </w:tcPr>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Sección 3</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“Descripción de la Falla”: Conforme al instructivo de llenado ése Instituto espera una “explicación precisa” sobre en qué consistió la Falla, y de ser posible, cuáles fueron las “causas que la originaron”.</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lastRenderedPageBreak/>
              <w:t>No obstante, y aun cuando esta casilla es consistente con el Anexo II de los Lineamientos, se debe señalar que el lineamiento vigésimo tercero prevé que: “El reporte deberá ser enviado al Instituto dentro de los siguientes treinta minutos contados a partir del momento en que se inició dicha Falla”. Sin embargo, consideramos que no es razonable ni materialmente posible presentar el reporte con las características requeridas en tan solo 30 minutos si consideramos la extensión territorial que comprende el país, el número y ubicación de los equipos activos involucrados en la prestación del servicio y la cantidad de usuarios que se atienden.</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El plazo de 30 minutos prácticamente deja a los operadores con solo 2 alternativas de acción: i) preparar el reporte, o bien, ii) comenzar con las labores de atención y corrección. O sea, el costo de oportunidad de presentar el reporte en el plazo señalado es dejar de atender en esos 30 minutos el origen y causas de la falla. Ello sin perjuicio de que el plazo mismo de 30 minutos, no es suficiente desde un punto de vista objetivo para lograr detectar con precisión en qué consistió la falla o determinar sus posibles causas dado lo antes señalado sobre las características de las redes móviles.</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Lo anterior es así porque en una red móvil que involucra una importante cantidad de equipos activos, el monitoreo y seguimiento de las señales de alerta y control de los centros de mando son una constante y no la excepción, esto es, que entre todos los avisos que se detectan en el monitoreo ordinario, se tiene que diferenciar entre aquellos que pueden ser de inmediata resolución y aquellos que  caen,  por  ejemplo,  en  los  umbrales  de  los lineamientos vigésimo tercero y vigésimo cuarto de los Lineamientos, lo cual tomará seguramente más de los 30 minutos a que se refiere el presente formato.</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En ese sentido, no está por demás solicitar, atentamente, a ese Instituto que por su parte se sirva explicar sobre qué bases considera que 30 minutos son suficientes para la entrega de una información como la requerida, y si ello es resultado de una estimación, entonces, se sirva compartir los presupuestos y los resultados de la misma.</w:t>
            </w:r>
          </w:p>
        </w:tc>
        <w:tc>
          <w:tcPr>
            <w:tcW w:w="3277" w:type="dxa"/>
            <w:shd w:val="clear" w:color="auto" w:fill="D6E3BC" w:themeFill="accent3" w:themeFillTint="66"/>
            <w:vAlign w:val="center"/>
          </w:tcPr>
          <w:p w:rsidR="008639BE" w:rsidRPr="000F64FA"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Pr>
                <w:rFonts w:ascii="ITC Avant Garde Std Bk" w:hAnsi="ITC Avant Garde Std Bk"/>
                <w:bCs/>
                <w:sz w:val="16"/>
                <w:szCs w:val="16"/>
              </w:rPr>
              <w:t xml:space="preserve">Cabe hacer mención que lo solicitado en el formato no difiere con lo establecido en los lineamientos y que así se ha venido cumplimiento a cabalidad. </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Sección 3</w:t>
            </w:r>
          </w:p>
          <w:p w:rsidR="008639BE" w:rsidRPr="000F64FA"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“Zona geográfica de la falla”: A este respecto, me permito agregar que la obligación de indicar el lugar geográficamente afectado por la falla, precisándolo según sea posible de mayor a menor orden, desde estado, municipio, localidad y de ser posible colonia, es igualmente de difícil atención y cumplimiento según lo anteriormente planteado sobre las condicionantes que inciden en el reporte de las causas de las fallas.</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Aun cuando la organización interna nos pudiera brindar la información de la ubicación exacta de los equipos activos (antenas), lo cierto es que la posición de los sectores puede variar, hasta el grado de que una antena puede apuntar al municipio de un estado y otra antena del mismo sitio puede apuntar al municipio de otro estado. Tal como sucede en ciudades y conurbaciones en donde confluyen el territorio de dos municipios (por </w:t>
            </w:r>
            <w:r w:rsidR="00434C2C" w:rsidRPr="000F64FA">
              <w:rPr>
                <w:rFonts w:ascii="ITC Avant Garde Std Bk" w:hAnsi="ITC Avant Garde Std Bk"/>
                <w:bCs/>
                <w:sz w:val="16"/>
                <w:szCs w:val="16"/>
              </w:rPr>
              <w:t>ejemplo,</w:t>
            </w:r>
            <w:r w:rsidRPr="000F64FA">
              <w:rPr>
                <w:rFonts w:ascii="ITC Avant Garde Std Bk" w:hAnsi="ITC Avant Garde Std Bk"/>
                <w:bCs/>
                <w:sz w:val="16"/>
                <w:szCs w:val="16"/>
              </w:rPr>
              <w:t xml:space="preserve"> CDMX y Edo. </w:t>
            </w:r>
            <w:proofErr w:type="spellStart"/>
            <w:r w:rsidRPr="000F64FA">
              <w:rPr>
                <w:rFonts w:ascii="ITC Avant Garde Std Bk" w:hAnsi="ITC Avant Garde Std Bk"/>
                <w:bCs/>
                <w:sz w:val="16"/>
                <w:szCs w:val="16"/>
              </w:rPr>
              <w:t>Mex</w:t>
            </w:r>
            <w:proofErr w:type="spellEnd"/>
            <w:r w:rsidRPr="000F64FA">
              <w:rPr>
                <w:rFonts w:ascii="ITC Avant Garde Std Bk" w:hAnsi="ITC Avant Garde Std Bk"/>
                <w:bCs/>
                <w:sz w:val="16"/>
                <w:szCs w:val="16"/>
              </w:rPr>
              <w:t xml:space="preserve">.; Monterrey y Apodaca; Guadalajara y Zapopan), lo que es más hay zonas urbanas en donde confluyen 2 o más municipios de 2 Estados diferentes (Torreón, Coahuila y Gómez Palacios, Durango; o Miguel Hidalgo, CDMX y Naucalpan, Edo. </w:t>
            </w:r>
            <w:proofErr w:type="spellStart"/>
            <w:r w:rsidRPr="000F64FA">
              <w:rPr>
                <w:rFonts w:ascii="ITC Avant Garde Std Bk" w:hAnsi="ITC Avant Garde Std Bk"/>
                <w:bCs/>
                <w:sz w:val="16"/>
                <w:szCs w:val="16"/>
              </w:rPr>
              <w:t>Méx</w:t>
            </w:r>
            <w:proofErr w:type="spellEnd"/>
            <w:r w:rsidRPr="000F64FA">
              <w:rPr>
                <w:rFonts w:ascii="ITC Avant Garde Std Bk" w:hAnsi="ITC Avant Garde Std Bk"/>
                <w:bCs/>
                <w:sz w:val="16"/>
                <w:szCs w:val="16"/>
              </w:rPr>
              <w:t>.). Por lo anterior, la unidad geográfica básica que resulta de más fácil operación para estos efectos, es el Área de Servicio Local (ASL, en adelante). De hecho, por su naturaleza, la arquitectura de las redes se desarrolló históricamente atendiendo a este concepto; y del mismo modo, como el área geográfica más amplia posible, puede considerarse a la región Celular o PCS definidas en su momento, por lo órganos reguladores que le precedieron a ese Instituto.</w:t>
            </w:r>
          </w:p>
        </w:tc>
        <w:tc>
          <w:tcPr>
            <w:tcW w:w="3277" w:type="dxa"/>
            <w:shd w:val="clear" w:color="auto" w:fill="C2D69B"/>
            <w:vAlign w:val="center"/>
          </w:tcPr>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D6E3BC" w:themeFill="accent3" w:themeFillTint="66"/>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Sección 3</w:t>
            </w:r>
          </w:p>
          <w:p w:rsidR="008639BE" w:rsidRPr="000F64FA"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 “Número inicial de usuarios finales afectados”: Suponiendo sin conceder que se pudiera obtener una estimación inicial de usuarios afectados mediante cualquiera de los casos propuestos por ese Instituto, ya sea con los “Archivos de Contadores de Desempeño” o a través de </w:t>
            </w:r>
            <w:proofErr w:type="spellStart"/>
            <w:r w:rsidRPr="000F64FA">
              <w:rPr>
                <w:rFonts w:ascii="ITC Avant Garde Std Bk" w:hAnsi="ITC Avant Garde Std Bk"/>
                <w:bCs/>
                <w:sz w:val="16"/>
                <w:szCs w:val="16"/>
              </w:rPr>
              <w:t>CDR’s</w:t>
            </w:r>
            <w:proofErr w:type="spellEnd"/>
            <w:r w:rsidRPr="000F64FA">
              <w:rPr>
                <w:rFonts w:ascii="ITC Avant Garde Std Bk" w:hAnsi="ITC Avant Garde Std Bk"/>
                <w:bCs/>
                <w:sz w:val="16"/>
                <w:szCs w:val="16"/>
              </w:rPr>
              <w:t xml:space="preserve"> o </w:t>
            </w:r>
            <w:proofErr w:type="spellStart"/>
            <w:r w:rsidRPr="000F64FA">
              <w:rPr>
                <w:rFonts w:ascii="ITC Avant Garde Std Bk" w:hAnsi="ITC Avant Garde Std Bk"/>
                <w:bCs/>
                <w:sz w:val="16"/>
                <w:szCs w:val="16"/>
              </w:rPr>
              <w:t>EDR´s</w:t>
            </w:r>
            <w:proofErr w:type="spellEnd"/>
            <w:r w:rsidRPr="000F64FA">
              <w:rPr>
                <w:rFonts w:ascii="ITC Avant Garde Std Bk" w:hAnsi="ITC Avant Garde Std Bk"/>
                <w:bCs/>
                <w:sz w:val="16"/>
                <w:szCs w:val="16"/>
              </w:rPr>
              <w:t xml:space="preserve">, lo </w:t>
            </w:r>
            <w:r w:rsidRPr="000F64FA">
              <w:rPr>
                <w:rFonts w:ascii="ITC Avant Garde Std Bk" w:hAnsi="ITC Avant Garde Std Bk"/>
                <w:bCs/>
                <w:sz w:val="16"/>
                <w:szCs w:val="16"/>
              </w:rPr>
              <w:lastRenderedPageBreak/>
              <w:t>cierto es que el plazo de 30 minutos, nuevamente es el óbice para presentar esta estimación.</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En suma, cualquiera de las opciones antes descritas, requiere necesariamente un trabajo de análisis de datos que no puede ser concluido para su entrega en menos de 30 minutos.</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En primer lugar, la obtención de los datos, su procesamiento y verificación, previo a su entrega no es de ninguna manera el trabajo de una persona, o de un solo grupo de personas ubicados en un mismo lugar, ni siquiera en el mismo huso horario o con las mismas herramientas. Solo la labor de colectar la información, podría tomar más de 30 minutos, de esa manera el análisis que supone la estimación solicitada otra vez genera 2 opciones rivales a los operadores: i) privilegiar el cumplimiento de esta norma restrictiva entregando datos de muy difícil comprobación o sustento, o bien, ii) privilegiar </w:t>
            </w:r>
            <w:proofErr w:type="gramStart"/>
            <w:r w:rsidRPr="000F64FA">
              <w:rPr>
                <w:rFonts w:ascii="ITC Avant Garde Std Bk" w:hAnsi="ITC Avant Garde Std Bk"/>
                <w:bCs/>
                <w:sz w:val="16"/>
                <w:szCs w:val="16"/>
              </w:rPr>
              <w:t>la asertividad</w:t>
            </w:r>
            <w:proofErr w:type="gramEnd"/>
            <w:r w:rsidRPr="000F64FA">
              <w:rPr>
                <w:rFonts w:ascii="ITC Avant Garde Std Bk" w:hAnsi="ITC Avant Garde Std Bk"/>
                <w:bCs/>
                <w:sz w:val="16"/>
                <w:szCs w:val="16"/>
              </w:rPr>
              <w:t xml:space="preserve"> de la información, bajo riesgo de incumplir con el estrecho plazo fijado para el efecto.</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En este sentido, me permito reiterar lo anteriormente señalado para que ese Instituto por su parte se sirva explicar sobre qué bases considera que 30 minutos son suficientes para la entrega de una información como la requerida, y si ello es resultado de una estimación, entonces, se sirva compartir los presupuestos y los resultados de la misma.</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El problema de la estimación del número inicial de usuarios afectados no se reduce a la determinación del número de ellos. De hecho, la noción real de una afectación a usuarios finales se obtiene de los reportes que los usuarios hacen a través de nuestros canales de Atención a Clientes, o bien, de las quejas o inconformidades interpuestas a través de las vías oficiales. </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Lo anterior, entre otros, debido a que las redes de los otros operadores móviles cuentan con diversas tecnologías de acceso móvil, como son 2G GSM, 3G UMTS, 4G LTE y 4.5 G-LTE </w:t>
            </w:r>
            <w:proofErr w:type="spellStart"/>
            <w:r w:rsidRPr="000F64FA">
              <w:rPr>
                <w:rFonts w:ascii="ITC Avant Garde Std Bk" w:hAnsi="ITC Avant Garde Std Bk"/>
                <w:bCs/>
                <w:sz w:val="16"/>
                <w:szCs w:val="16"/>
              </w:rPr>
              <w:t>Advanced</w:t>
            </w:r>
            <w:proofErr w:type="spellEnd"/>
            <w:r w:rsidRPr="000F64FA">
              <w:rPr>
                <w:rFonts w:ascii="ITC Avant Garde Std Bk" w:hAnsi="ITC Avant Garde Std Bk"/>
                <w:bCs/>
                <w:sz w:val="16"/>
                <w:szCs w:val="16"/>
              </w:rPr>
              <w:t xml:space="preserve">; a través de las cuales, se permite que los usuarios cuenten con servicios disponibles en todo momento, es decir, si alguna de las citadas tecnologías presenta determinada incidencia, el servicio se continúa prestando mediante el resto de las tecnologías de acceso disponibles, con </w:t>
            </w:r>
            <w:r w:rsidRPr="000F64FA">
              <w:rPr>
                <w:rFonts w:ascii="ITC Avant Garde Std Bk" w:hAnsi="ITC Avant Garde Std Bk"/>
                <w:bCs/>
                <w:sz w:val="16"/>
                <w:szCs w:val="16"/>
              </w:rPr>
              <w:lastRenderedPageBreak/>
              <w:t>lo que se asegura la constante disponibilidad del servicio, y por tanto, el asegurar que son afectados es muy relativo. En ese sentido, cuando se presenta una incidencia temporal de una de las tecnologías de acceso, las otras tecnologías podrían continuar prestando el servicio, haciendo que esa incidencia se vuelva imperceptible para el usuario final, con lo cual no se le produce afectación alguna. Sin embargo, entregar un dato como lo requerido en esta casilla, puede y es lo más probable, que le dé el carácter de afectado a un usuario que quizá no lo percibió porque su servicio continuó prestándose en otra tecnología o incluso se estarían incluyendo como afectados a usuarios que no intentaron si quiera hacer uso del servicio móvil, pero que dados los registros de Contadores de Desempeño, sí tendrían que considerarse por estar registrados previo a la incidencia reportada.</w:t>
            </w:r>
          </w:p>
        </w:tc>
        <w:tc>
          <w:tcPr>
            <w:tcW w:w="3277" w:type="dxa"/>
            <w:shd w:val="clear" w:color="auto" w:fill="D6E3BC" w:themeFill="accent3" w:themeFillTint="66"/>
            <w:vAlign w:val="center"/>
          </w:tcPr>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lastRenderedPageBreak/>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Pr>
                <w:rFonts w:ascii="ITC Avant Garde Std Bk" w:hAnsi="ITC Avant Garde Std Bk"/>
                <w:bCs/>
                <w:sz w:val="16"/>
                <w:szCs w:val="16"/>
              </w:rPr>
              <w:t xml:space="preserve">Cabe hacer mención que lo solicitado en el formato no difiere con lo establecido en los lineamientos y que </w:t>
            </w:r>
            <w:r>
              <w:rPr>
                <w:rFonts w:ascii="ITC Avant Garde Std Bk" w:hAnsi="ITC Avant Garde Std Bk"/>
                <w:bCs/>
                <w:sz w:val="16"/>
                <w:szCs w:val="16"/>
              </w:rPr>
              <w:lastRenderedPageBreak/>
              <w:t>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C2D69B"/>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Sección 3</w:t>
            </w:r>
          </w:p>
          <w:p w:rsidR="008639BE" w:rsidRPr="000F64FA"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“Número estimado de usuarios finales afectados” Por economía procesal, solicito que se tenga aquí por reproducido, todo lo señalado en la sección anterior sobre el Número inicial de usuarios finales afectados</w:t>
            </w:r>
            <w:r>
              <w:rPr>
                <w:rFonts w:ascii="ITC Avant Garde Std Bk" w:hAnsi="ITC Avant Garde Std Bk"/>
                <w:bCs/>
                <w:sz w:val="16"/>
                <w:szCs w:val="16"/>
              </w:rPr>
              <w:t>.</w:t>
            </w:r>
          </w:p>
        </w:tc>
        <w:tc>
          <w:tcPr>
            <w:tcW w:w="3277" w:type="dxa"/>
            <w:shd w:val="clear" w:color="auto" w:fill="C2D69B"/>
            <w:vAlign w:val="center"/>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D6E3BC" w:themeFill="accent3" w:themeFillTint="66"/>
          </w:tcPr>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r w:rsidRPr="000F64FA">
              <w:rPr>
                <w:rFonts w:ascii="ITC Avant Garde Std Bk" w:hAnsi="ITC Avant Garde Std Bk"/>
                <w:bCs/>
                <w:sz w:val="16"/>
                <w:szCs w:val="16"/>
              </w:rPr>
              <w:t>Sección 3</w:t>
            </w:r>
          </w:p>
          <w:p w:rsidR="008639BE" w:rsidRPr="000F64FA" w:rsidRDefault="008639BE" w:rsidP="00D43A33">
            <w:pPr>
              <w:rPr>
                <w:rFonts w:ascii="ITC Avant Garde Std Bk" w:hAnsi="ITC Avant Garde Std Bk"/>
                <w:bCs/>
                <w:sz w:val="16"/>
                <w:szCs w:val="16"/>
              </w:rPr>
            </w:pP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“Información estadística del tráfico voz”: La obligación de presentar esta información, otra vez, suponiendo sin conceder que pudiera obtenerse mediante las proyecciones del tráfico con base en la información de tráfico del mismo día de la semana previa o de cualquier otro método, nuevamente se ve condicionada por el plazo de 30 minutos que para el efecto se otorga. La sola obtención de los datos necesarios para el análisis comparativo de tráfico, seguramente tomará más de los 30 minutos que se tienen para desahogar el formato solicitado.</w:t>
            </w:r>
          </w:p>
          <w:p w:rsidR="008639BE" w:rsidRPr="000F64FA" w:rsidRDefault="008639BE" w:rsidP="00D43A33">
            <w:pPr>
              <w:rPr>
                <w:rFonts w:ascii="ITC Avant Garde Std Bk" w:hAnsi="ITC Avant Garde Std Bk"/>
                <w:bCs/>
                <w:sz w:val="16"/>
                <w:szCs w:val="16"/>
              </w:rPr>
            </w:pPr>
            <w:r w:rsidRPr="000F64FA">
              <w:rPr>
                <w:rFonts w:ascii="ITC Avant Garde Std Bk" w:hAnsi="ITC Avant Garde Std Bk"/>
                <w:bCs/>
                <w:sz w:val="16"/>
                <w:szCs w:val="16"/>
              </w:rPr>
              <w:lastRenderedPageBreak/>
              <w:t>De esta manera, el análisis que supone la estimación solicitada en esta sección, otra vez genera 2 opciones rivales a los operadores: i) privilegiar el cumplimiento de esta norma restrictiva entregando datos de muy difícil comprobación o sustento, o bien, ii) privilegiar el asertividad de la información, bajo riesgo de incumplir con el estrecho plazo fijado para el efecto.</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Por lo anteriormente señalado, podemos concluir que es inviable proporcionar datos estadísticos de tráfico de voz y datos cada que vez se presente una incidencia, ya que la estimación de datos solicitada es una función del uso de tecnologías de acuerdo a horarios, temporadas y las distintas zonas.</w:t>
            </w:r>
          </w:p>
          <w:p w:rsidR="008639BE" w:rsidRPr="000F64FA"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 xml:space="preserve">Para poder cumplir con dicha solicitud, los operadores tendríamos que realizar un monitoreo, no solo del número de conexiones, sino también de la duración de llamadas y los volúmenes de datos cursados, las 24 horas del día, los 365 días del año en todas y cada uno de los equipos activos y de transmisión, de cada uno de los sitios localizados en todas y cada una </w:t>
            </w:r>
            <w:proofErr w:type="gramStart"/>
            <w:r w:rsidRPr="000F64FA">
              <w:rPr>
                <w:rFonts w:ascii="ITC Avant Garde Std Bk" w:hAnsi="ITC Avant Garde Std Bk"/>
                <w:bCs/>
                <w:sz w:val="16"/>
                <w:szCs w:val="16"/>
              </w:rPr>
              <w:t xml:space="preserve">de las </w:t>
            </w:r>
            <w:r w:rsidR="00434C2C" w:rsidRPr="000F64FA">
              <w:rPr>
                <w:rFonts w:ascii="ITC Avant Garde Std Bk" w:hAnsi="ITC Avant Garde Std Bk"/>
                <w:bCs/>
                <w:sz w:val="16"/>
                <w:szCs w:val="16"/>
              </w:rPr>
              <w:t>radio</w:t>
            </w:r>
            <w:proofErr w:type="gramEnd"/>
            <w:r w:rsidR="00434C2C" w:rsidRPr="000F64FA">
              <w:rPr>
                <w:rFonts w:ascii="ITC Avant Garde Std Bk" w:hAnsi="ITC Avant Garde Std Bk"/>
                <w:bCs/>
                <w:sz w:val="16"/>
                <w:szCs w:val="16"/>
              </w:rPr>
              <w:t xml:space="preserve"> bases</w:t>
            </w:r>
            <w:r w:rsidRPr="000F64FA">
              <w:rPr>
                <w:rFonts w:ascii="ITC Avant Garde Std Bk" w:hAnsi="ITC Avant Garde Std Bk"/>
                <w:bCs/>
                <w:sz w:val="16"/>
                <w:szCs w:val="16"/>
              </w:rPr>
              <w:t xml:space="preserve"> y centrales del país, para cada una de las tecnologías. La generación de estas bases de datos y la administración de estos grandes volúmenes de información implicarán un costo importante para los operadores, pero sin utilidad real porque, en su caso, la información generada sería útil para algunas zonas o regiones en particular, pero no así para el resto del país.</w:t>
            </w:r>
          </w:p>
        </w:tc>
        <w:tc>
          <w:tcPr>
            <w:tcW w:w="3277" w:type="dxa"/>
            <w:shd w:val="clear" w:color="auto" w:fill="D6E3BC" w:themeFill="accent3" w:themeFillTint="66"/>
            <w:vAlign w:val="center"/>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0F64FA">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F27B3C" w:rsidRDefault="008639BE" w:rsidP="00D43A33">
            <w:pPr>
              <w:jc w:val="both"/>
              <w:rPr>
                <w:rFonts w:ascii="ITC Avant Garde Std Bk" w:hAnsi="ITC Avant Garde Std Bk"/>
                <w:bCs/>
                <w:sz w:val="16"/>
                <w:szCs w:val="16"/>
                <w:highlight w:val="magenta"/>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C2D69B"/>
          </w:tcPr>
          <w:p w:rsidR="008639BE" w:rsidRDefault="008639BE" w:rsidP="00D43A33">
            <w:pPr>
              <w:rPr>
                <w:rFonts w:ascii="ITC Avant Garde Std Bk" w:hAnsi="ITC Avant Garde Std Bk"/>
                <w:bCs/>
                <w:sz w:val="16"/>
                <w:szCs w:val="16"/>
              </w:rPr>
            </w:pPr>
          </w:p>
          <w:p w:rsidR="008639BE" w:rsidRDefault="008639BE" w:rsidP="00D43A33">
            <w:pPr>
              <w:rPr>
                <w:rFonts w:ascii="ITC Avant Garde Std Bk" w:hAnsi="ITC Avant Garde Std Bk"/>
                <w:bCs/>
                <w:sz w:val="16"/>
                <w:szCs w:val="16"/>
              </w:rPr>
            </w:pPr>
            <w:r w:rsidRPr="007F5031">
              <w:rPr>
                <w:rFonts w:ascii="ITC Avant Garde Std Bk" w:hAnsi="ITC Avant Garde Std Bk"/>
                <w:bCs/>
                <w:sz w:val="16"/>
                <w:szCs w:val="16"/>
              </w:rPr>
              <w:t>Sección 3</w:t>
            </w:r>
          </w:p>
          <w:p w:rsidR="008639BE" w:rsidRPr="007F5031" w:rsidRDefault="008639BE" w:rsidP="00D43A33">
            <w:pPr>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“Información estadística del tráfico Datos”: De nueva cuenta en obvio de repeticiones innecesarias atentamente, solicito que se tenga aquí por reproducido lo señalado en la sección anterior “Información estadística del tráfico Voz”.</w:t>
            </w:r>
          </w:p>
        </w:tc>
        <w:tc>
          <w:tcPr>
            <w:tcW w:w="3277" w:type="dxa"/>
            <w:shd w:val="clear" w:color="auto" w:fill="C2D69B"/>
            <w:vAlign w:val="center"/>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D6E3BC" w:themeFill="accent3" w:themeFillTint="66"/>
            <w:vAlign w:val="center"/>
          </w:tcPr>
          <w:p w:rsidR="008639BE"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Sección 3</w:t>
            </w:r>
          </w:p>
          <w:p w:rsidR="008639BE" w:rsidRPr="007F5031"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 xml:space="preserve">“Acciones correctivas”:  En lo que se refiere a la presente casilla, es importante hacer notar que ese Instituto espera recibir un </w:t>
            </w:r>
            <w:r w:rsidRPr="007F5031">
              <w:rPr>
                <w:rFonts w:ascii="ITC Avant Garde Std Bk" w:hAnsi="ITC Avant Garde Std Bk"/>
                <w:bCs/>
                <w:sz w:val="16"/>
                <w:szCs w:val="16"/>
              </w:rPr>
              <w:lastRenderedPageBreak/>
              <w:t xml:space="preserve">listado breve y preciso de las acciones correctivas más relevantes, sin embargo, a estos efectos no es claro cuál es el </w:t>
            </w:r>
            <w:r w:rsidR="00434C2C" w:rsidRPr="007F5031">
              <w:rPr>
                <w:rFonts w:ascii="ITC Avant Garde Std Bk" w:hAnsi="ITC Avant Garde Std Bk"/>
                <w:bCs/>
                <w:sz w:val="16"/>
                <w:szCs w:val="16"/>
              </w:rPr>
              <w:t>estándar de brevedad</w:t>
            </w:r>
            <w:r w:rsidRPr="007F5031">
              <w:rPr>
                <w:rFonts w:ascii="ITC Avant Garde Std Bk" w:hAnsi="ITC Avant Garde Std Bk"/>
                <w:bCs/>
                <w:sz w:val="16"/>
                <w:szCs w:val="16"/>
              </w:rPr>
              <w:t xml:space="preserve">, </w:t>
            </w:r>
            <w:r w:rsidR="00434C2C" w:rsidRPr="007F5031">
              <w:rPr>
                <w:rFonts w:ascii="ITC Avant Garde Std Bk" w:hAnsi="ITC Avant Garde Std Bk"/>
                <w:bCs/>
                <w:sz w:val="16"/>
                <w:szCs w:val="16"/>
              </w:rPr>
              <w:t>precisión y</w:t>
            </w:r>
            <w:r w:rsidRPr="007F5031">
              <w:rPr>
                <w:rFonts w:ascii="ITC Avant Garde Std Bk" w:hAnsi="ITC Avant Garde Std Bk"/>
                <w:bCs/>
                <w:sz w:val="16"/>
                <w:szCs w:val="16"/>
              </w:rPr>
              <w:t xml:space="preserve"> relevancia que </w:t>
            </w:r>
            <w:r w:rsidR="00434C2C" w:rsidRPr="007F5031">
              <w:rPr>
                <w:rFonts w:ascii="ITC Avant Garde Std Bk" w:hAnsi="ITC Avant Garde Std Bk"/>
                <w:bCs/>
                <w:sz w:val="16"/>
                <w:szCs w:val="16"/>
              </w:rPr>
              <w:t>se considerará por parte del regulador</w:t>
            </w:r>
            <w:r w:rsidRPr="007F5031">
              <w:rPr>
                <w:rFonts w:ascii="ITC Avant Garde Std Bk" w:hAnsi="ITC Avant Garde Std Bk"/>
                <w:bCs/>
                <w:sz w:val="16"/>
                <w:szCs w:val="16"/>
              </w:rPr>
              <w:t>.  Es  decir, hace falta saber con base en qué criterio, parámetro o indicador, el Instituto considerará que la descripción de las acciones correctivas es breve, relevante y sobre todo precisa, como para tener por cumplida la entrega de la presente información.</w:t>
            </w:r>
          </w:p>
        </w:tc>
        <w:tc>
          <w:tcPr>
            <w:tcW w:w="3277" w:type="dxa"/>
            <w:shd w:val="clear" w:color="auto" w:fill="D6E3BC" w:themeFill="accent3" w:themeFillTint="66"/>
            <w:vAlign w:val="center"/>
          </w:tcPr>
          <w:p w:rsidR="008639BE" w:rsidRPr="007F5031" w:rsidRDefault="008639BE" w:rsidP="00D43A33">
            <w:pPr>
              <w:jc w:val="both"/>
              <w:rPr>
                <w:rFonts w:ascii="ITC Avant Garde Std Bk" w:hAnsi="ITC Avant Garde Std Bk"/>
                <w:bCs/>
                <w:sz w:val="16"/>
                <w:szCs w:val="16"/>
              </w:rPr>
            </w:pPr>
          </w:p>
          <w:p w:rsidR="008639BE"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 xml:space="preserve">El Instituto se lleva el señalamiento respecto del fondo de la disposición, sin embargo, se precisa que el sentido del comentario no es objeto de la </w:t>
            </w:r>
            <w:r w:rsidRPr="007F5031">
              <w:rPr>
                <w:rFonts w:ascii="ITC Avant Garde Std Bk" w:hAnsi="ITC Avant Garde Std Bk"/>
                <w:bCs/>
                <w:sz w:val="16"/>
                <w:szCs w:val="16"/>
              </w:rPr>
              <w:lastRenderedPageBreak/>
              <w:t>consulta pública que se pone a consideración.</w:t>
            </w:r>
          </w:p>
          <w:p w:rsidR="008639BE"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r w:rsidR="008639BE" w:rsidRPr="008C2256" w:rsidTr="00D43A33">
        <w:trPr>
          <w:trHeight w:val="478"/>
        </w:trPr>
        <w:tc>
          <w:tcPr>
            <w:tcW w:w="1893" w:type="dxa"/>
            <w:vMerge/>
            <w:shd w:val="clear" w:color="auto" w:fill="D6E3BC"/>
          </w:tcPr>
          <w:p w:rsidR="008639BE" w:rsidRPr="00225C89" w:rsidRDefault="008639BE" w:rsidP="00D43A33">
            <w:pPr>
              <w:pStyle w:val="Default"/>
              <w:jc w:val="both"/>
              <w:rPr>
                <w:rFonts w:ascii="ITC Avant Garde Std Bk" w:hAnsi="ITC Avant Garde Std Bk"/>
                <w:bCs/>
                <w:sz w:val="16"/>
                <w:szCs w:val="16"/>
              </w:rPr>
            </w:pPr>
          </w:p>
        </w:tc>
        <w:tc>
          <w:tcPr>
            <w:tcW w:w="1226" w:type="dxa"/>
            <w:vMerge/>
            <w:shd w:val="clear" w:color="auto" w:fill="D6E3BC"/>
            <w:vAlign w:val="center"/>
          </w:tcPr>
          <w:p w:rsidR="008639BE" w:rsidRPr="00225C89" w:rsidRDefault="008639BE" w:rsidP="00D43A33">
            <w:pPr>
              <w:pStyle w:val="Default"/>
              <w:jc w:val="both"/>
              <w:rPr>
                <w:rFonts w:ascii="ITC Avant Garde Std Bk" w:hAnsi="ITC Avant Garde Std Bk"/>
                <w:bCs/>
                <w:sz w:val="16"/>
                <w:szCs w:val="16"/>
              </w:rPr>
            </w:pPr>
          </w:p>
        </w:tc>
        <w:tc>
          <w:tcPr>
            <w:tcW w:w="3685" w:type="dxa"/>
            <w:shd w:val="clear" w:color="auto" w:fill="C2D69B"/>
          </w:tcPr>
          <w:p w:rsidR="008639BE"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Sección: Anexo II de los Lineamientos que fijan los índices y parámetros de calidad a que deberán ajustarse los prestadores de servicio móvil</w:t>
            </w:r>
          </w:p>
          <w:p w:rsidR="008639BE" w:rsidRPr="007F5031"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Finalmente, es importante señalar que en el Anexo II de Los Lineamientos se hace referencia a la generación de los reportes de falla en archivo CVS; lo anterior hace notar que ese Instituto, consiente en que el término de 30 minutos para la generación de un reporte de falla es corto, buscaba hacerlo eficiente con la generación de un archivo bajo ese formato.</w:t>
            </w:r>
          </w:p>
          <w:p w:rsidR="008639BE" w:rsidRPr="007F5031"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Con la propuesta del formato de falla en comento, esta intensión se pierde y se regresa a un documento cuyo formato y forma de llenado emplea mayor tiempo, dificultad y, en su caso, impide su automatización.</w:t>
            </w:r>
          </w:p>
        </w:tc>
        <w:tc>
          <w:tcPr>
            <w:tcW w:w="3277" w:type="dxa"/>
            <w:shd w:val="clear" w:color="auto" w:fill="C2D69B"/>
            <w:vAlign w:val="center"/>
          </w:tcPr>
          <w:p w:rsidR="008639BE" w:rsidRDefault="008639BE" w:rsidP="00D43A33">
            <w:pPr>
              <w:jc w:val="both"/>
              <w:rPr>
                <w:rFonts w:ascii="ITC Avant Garde Std Bk" w:hAnsi="ITC Avant Garde Std Bk"/>
                <w:bCs/>
                <w:sz w:val="16"/>
                <w:szCs w:val="16"/>
              </w:rPr>
            </w:pPr>
            <w:r w:rsidRPr="007F5031">
              <w:rPr>
                <w:rFonts w:ascii="ITC Avant Garde Std Bk" w:hAnsi="ITC Avant Garde Std Bk"/>
                <w:bCs/>
                <w:sz w:val="16"/>
                <w:szCs w:val="16"/>
              </w:rPr>
              <w:t>El Instituto se lleva el señalamiento respecto del fondo de la disposición, sin embargo, se precisa que el sentido del comentario no es objeto de la consulta pública que se pone a consideración.</w:t>
            </w:r>
          </w:p>
          <w:p w:rsidR="008639BE" w:rsidRDefault="008639BE" w:rsidP="00D43A33">
            <w:pPr>
              <w:jc w:val="both"/>
              <w:rPr>
                <w:rFonts w:ascii="ITC Avant Garde Std Bk" w:hAnsi="ITC Avant Garde Std Bk"/>
                <w:bCs/>
                <w:sz w:val="16"/>
                <w:szCs w:val="16"/>
              </w:rPr>
            </w:pPr>
          </w:p>
          <w:p w:rsidR="008639BE" w:rsidRPr="007F5031" w:rsidRDefault="008639BE" w:rsidP="00D43A33">
            <w:pPr>
              <w:jc w:val="both"/>
              <w:rPr>
                <w:rFonts w:ascii="ITC Avant Garde Std Bk" w:hAnsi="ITC Avant Garde Std Bk"/>
                <w:bCs/>
                <w:sz w:val="16"/>
                <w:szCs w:val="16"/>
              </w:rPr>
            </w:pPr>
            <w:r>
              <w:rPr>
                <w:rFonts w:ascii="ITC Avant Garde Std Bk" w:hAnsi="ITC Avant Garde Std Bk"/>
                <w:bCs/>
                <w:sz w:val="16"/>
                <w:szCs w:val="16"/>
              </w:rPr>
              <w:t>Cabe hacer mención que lo solicitado en el formato no difiere con lo establecido en los lineamientos y que así se ha venido cumplimiento a cabalidad.</w:t>
            </w:r>
          </w:p>
        </w:tc>
      </w:tr>
    </w:tbl>
    <w:p w:rsidR="008639BE" w:rsidRDefault="008639BE" w:rsidP="008639BE">
      <w:pPr>
        <w:pStyle w:val="Default"/>
        <w:jc w:val="both"/>
        <w:rPr>
          <w:rFonts w:ascii="ITC Avant Garde Std Bk" w:hAnsi="ITC Avant Garde Std Bk"/>
          <w:bCs/>
          <w:sz w:val="18"/>
          <w:szCs w:val="18"/>
          <w:lang w:eastAsia="en-US"/>
        </w:rPr>
      </w:pPr>
    </w:p>
    <w:p w:rsidR="008639BE" w:rsidRDefault="008639BE" w:rsidP="008639BE">
      <w:pPr>
        <w:pStyle w:val="Default"/>
        <w:jc w:val="center"/>
        <w:rPr>
          <w:rFonts w:ascii="ITC Avant Garde Std Bk" w:hAnsi="ITC Avant Garde Std Bk"/>
          <w:bCs/>
          <w:sz w:val="18"/>
          <w:szCs w:val="18"/>
          <w:lang w:eastAsia="en-US"/>
        </w:rPr>
      </w:pPr>
    </w:p>
    <w:p w:rsidR="008639BE" w:rsidRDefault="008639BE" w:rsidP="008639BE">
      <w:pPr>
        <w:pStyle w:val="Default"/>
        <w:jc w:val="center"/>
        <w:rPr>
          <w:rFonts w:ascii="ITC Avant Garde Std Bk" w:hAnsi="ITC Avant Garde Std Bk"/>
          <w:bCs/>
          <w:sz w:val="18"/>
          <w:szCs w:val="18"/>
          <w:lang w:eastAsia="en-US"/>
        </w:rPr>
      </w:pPr>
      <w:r>
        <w:rPr>
          <w:rFonts w:ascii="ITC Avant Garde Std Bk" w:hAnsi="ITC Avant Garde Std Bk"/>
          <w:bCs/>
          <w:sz w:val="18"/>
          <w:szCs w:val="18"/>
          <w:lang w:eastAsia="en-US"/>
        </w:rPr>
        <w:t>--------- 000 ---------</w:t>
      </w:r>
    </w:p>
    <w:p w:rsidR="008639BE" w:rsidRDefault="008639BE" w:rsidP="008639BE"/>
    <w:p w:rsidR="00600794" w:rsidRPr="008639BE" w:rsidRDefault="00456B43" w:rsidP="008639BE"/>
    <w:sectPr w:rsidR="00600794" w:rsidRPr="008639BE" w:rsidSect="00DD6C21">
      <w:headerReference w:type="even" r:id="rId10"/>
      <w:headerReference w:type="default" r:id="rId11"/>
      <w:footerReference w:type="default" r:id="rId12"/>
      <w:headerReference w:type="first" r:id="rId13"/>
      <w:pgSz w:w="12240" w:h="15840"/>
      <w:pgMar w:top="3119"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B43" w:rsidRDefault="00456B43" w:rsidP="00406DF7">
      <w:pPr>
        <w:spacing w:after="0" w:line="240" w:lineRule="auto"/>
      </w:pPr>
      <w:r>
        <w:separator/>
      </w:r>
    </w:p>
  </w:endnote>
  <w:endnote w:type="continuationSeparator" w:id="0">
    <w:p w:rsidR="00456B43" w:rsidRDefault="00456B43"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 w:name="ITC Avant Garde Std Bk">
    <w:panose1 w:val="020B0502020202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1698196575"/>
      <w:docPartObj>
        <w:docPartGallery w:val="Page Numbers (Bottom of Page)"/>
        <w:docPartUnique/>
      </w:docPartObj>
    </w:sdtPr>
    <w:sdtEndPr/>
    <w:sdtContent>
      <w:sdt>
        <w:sdtPr>
          <w:rPr>
            <w:rFonts w:ascii="ITC Avant Garde" w:hAnsi="ITC Avant Garde"/>
            <w:sz w:val="16"/>
            <w:szCs w:val="16"/>
          </w:rPr>
          <w:id w:val="-1769616900"/>
          <w:docPartObj>
            <w:docPartGallery w:val="Page Numbers (Top of Page)"/>
            <w:docPartUnique/>
          </w:docPartObj>
        </w:sdtPr>
        <w:sdtEndPr/>
        <w:sdtContent>
          <w:p w:rsidR="00E84E63" w:rsidRPr="00E84E63" w:rsidRDefault="00E84E63">
            <w:pPr>
              <w:pStyle w:val="Piedepgina"/>
              <w:jc w:val="right"/>
              <w:rPr>
                <w:rFonts w:ascii="ITC Avant Garde" w:hAnsi="ITC Avant Garde"/>
                <w:sz w:val="16"/>
                <w:szCs w:val="16"/>
              </w:rPr>
            </w:pPr>
            <w:r w:rsidRPr="00E84E63">
              <w:rPr>
                <w:rFonts w:ascii="ITC Avant Garde" w:hAnsi="ITC Avant Garde"/>
                <w:sz w:val="16"/>
                <w:szCs w:val="16"/>
                <w:lang w:val="es-ES"/>
              </w:rPr>
              <w:t xml:space="preserve">Página </w:t>
            </w:r>
            <w:r w:rsidRPr="00E84E63">
              <w:rPr>
                <w:rFonts w:ascii="ITC Avant Garde" w:hAnsi="ITC Avant Garde"/>
                <w:b/>
                <w:bCs/>
                <w:sz w:val="16"/>
                <w:szCs w:val="16"/>
              </w:rPr>
              <w:fldChar w:fldCharType="begin"/>
            </w:r>
            <w:r w:rsidRPr="00E84E63">
              <w:rPr>
                <w:rFonts w:ascii="ITC Avant Garde" w:hAnsi="ITC Avant Garde"/>
                <w:b/>
                <w:bCs/>
                <w:sz w:val="16"/>
                <w:szCs w:val="16"/>
              </w:rPr>
              <w:instrText>PAGE</w:instrText>
            </w:r>
            <w:r w:rsidRPr="00E84E63">
              <w:rPr>
                <w:rFonts w:ascii="ITC Avant Garde" w:hAnsi="ITC Avant Garde"/>
                <w:b/>
                <w:bCs/>
                <w:sz w:val="16"/>
                <w:szCs w:val="16"/>
              </w:rPr>
              <w:fldChar w:fldCharType="separate"/>
            </w:r>
            <w:r w:rsidR="00E97100">
              <w:rPr>
                <w:rFonts w:ascii="ITC Avant Garde" w:hAnsi="ITC Avant Garde"/>
                <w:b/>
                <w:bCs/>
                <w:noProof/>
                <w:sz w:val="16"/>
                <w:szCs w:val="16"/>
              </w:rPr>
              <w:t>22</w:t>
            </w:r>
            <w:r w:rsidRPr="00E84E63">
              <w:rPr>
                <w:rFonts w:ascii="ITC Avant Garde" w:hAnsi="ITC Avant Garde"/>
                <w:b/>
                <w:bCs/>
                <w:sz w:val="16"/>
                <w:szCs w:val="16"/>
              </w:rPr>
              <w:fldChar w:fldCharType="end"/>
            </w:r>
            <w:r w:rsidRPr="00E84E63">
              <w:rPr>
                <w:rFonts w:ascii="ITC Avant Garde" w:hAnsi="ITC Avant Garde"/>
                <w:sz w:val="16"/>
                <w:szCs w:val="16"/>
                <w:lang w:val="es-ES"/>
              </w:rPr>
              <w:t xml:space="preserve"> de </w:t>
            </w:r>
            <w:r w:rsidRPr="00E84E63">
              <w:rPr>
                <w:rFonts w:ascii="ITC Avant Garde" w:hAnsi="ITC Avant Garde"/>
                <w:b/>
                <w:bCs/>
                <w:sz w:val="16"/>
                <w:szCs w:val="16"/>
              </w:rPr>
              <w:fldChar w:fldCharType="begin"/>
            </w:r>
            <w:r w:rsidRPr="00E84E63">
              <w:rPr>
                <w:rFonts w:ascii="ITC Avant Garde" w:hAnsi="ITC Avant Garde"/>
                <w:b/>
                <w:bCs/>
                <w:sz w:val="16"/>
                <w:szCs w:val="16"/>
              </w:rPr>
              <w:instrText>NUMPAGES</w:instrText>
            </w:r>
            <w:r w:rsidRPr="00E84E63">
              <w:rPr>
                <w:rFonts w:ascii="ITC Avant Garde" w:hAnsi="ITC Avant Garde"/>
                <w:b/>
                <w:bCs/>
                <w:sz w:val="16"/>
                <w:szCs w:val="16"/>
              </w:rPr>
              <w:fldChar w:fldCharType="separate"/>
            </w:r>
            <w:r w:rsidR="00E97100">
              <w:rPr>
                <w:rFonts w:ascii="ITC Avant Garde" w:hAnsi="ITC Avant Garde"/>
                <w:b/>
                <w:bCs/>
                <w:noProof/>
                <w:sz w:val="16"/>
                <w:szCs w:val="16"/>
              </w:rPr>
              <w:t>22</w:t>
            </w:r>
            <w:r w:rsidRPr="00E84E63">
              <w:rPr>
                <w:rFonts w:ascii="ITC Avant Garde" w:hAnsi="ITC Avant Garde"/>
                <w:b/>
                <w:bCs/>
                <w:sz w:val="16"/>
                <w:szCs w:val="16"/>
              </w:rPr>
              <w:fldChar w:fldCharType="end"/>
            </w:r>
          </w:p>
        </w:sdtContent>
      </w:sdt>
    </w:sdtContent>
  </w:sdt>
  <w:p w:rsidR="00E84E63" w:rsidRDefault="00E84E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B43" w:rsidRDefault="00456B43" w:rsidP="00406DF7">
      <w:pPr>
        <w:spacing w:after="0" w:line="240" w:lineRule="auto"/>
      </w:pPr>
      <w:r>
        <w:separator/>
      </w:r>
    </w:p>
  </w:footnote>
  <w:footnote w:type="continuationSeparator" w:id="0">
    <w:p w:rsidR="00456B43" w:rsidRDefault="00456B43" w:rsidP="0040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F7" w:rsidRDefault="00456B4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6" o:spid="_x0000_s2095" type="#_x0000_t75" style="position:absolute;margin-left:0;margin-top:0;width:612.25pt;height:11in;z-index:-251657216;mso-position-horizontal:center;mso-position-horizontal-relative:margin;mso-position-vertical:center;mso-position-vertical-relative:margin" o:allowincell="f">
          <v:imagedata r:id="rId1" o:title="Hoja mem 2020_rou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03" w:rsidRDefault="00456B4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7" o:spid="_x0000_s2096" type="#_x0000_t75" style="position:absolute;margin-left:-56.85pt;margin-top:-155.8pt;width:612.25pt;height:11in;z-index:-251656192;mso-position-horizontal-relative:margin;mso-position-vertical-relative:margin" o:allowincell="f">
          <v:imagedata r:id="rId1" o:title="Hoja mem 2020_rou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F7" w:rsidRDefault="00456B4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5" o:spid="_x0000_s2094" type="#_x0000_t75" style="position:absolute;margin-left:0;margin-top:0;width:612.25pt;height:11in;z-index:-251658240;mso-position-horizontal:center;mso-position-horizontal-relative:margin;mso-position-vertical:center;mso-position-vertical-relative:margin" o:allowincell="f">
          <v:imagedata r:id="rId1" o:title="Hoja mem 2020_rou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D30A3"/>
    <w:multiLevelType w:val="hybridMultilevel"/>
    <w:tmpl w:val="2B1638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242E89"/>
    <w:multiLevelType w:val="hybridMultilevel"/>
    <w:tmpl w:val="0C8A8F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4C5FF9"/>
    <w:multiLevelType w:val="hybridMultilevel"/>
    <w:tmpl w:val="58D2CC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356CE0"/>
    <w:multiLevelType w:val="multilevel"/>
    <w:tmpl w:val="D1B6C92A"/>
    <w:lvl w:ilvl="0">
      <w:start w:val="1"/>
      <w:numFmt w:val="decimal"/>
      <w:lvlText w:val="%1."/>
      <w:lvlJc w:val="left"/>
      <w:pPr>
        <w:ind w:left="360" w:hanging="360"/>
      </w:pPr>
      <w:rPr>
        <w:rFonts w:hint="default"/>
        <w:b w:val="0"/>
        <w:i w:val="0"/>
        <w:color w:val="auto"/>
        <w:sz w:val="18"/>
        <w:szCs w:val="20"/>
      </w:rPr>
    </w:lvl>
    <w:lvl w:ilvl="1">
      <w:start w:val="1"/>
      <w:numFmt w:val="decimal"/>
      <w:isLgl/>
      <w:lvlText w:val="%1.%2."/>
      <w:lvlJc w:val="left"/>
      <w:pPr>
        <w:ind w:left="1074"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4" w15:restartNumberingAfterBreak="0">
    <w:nsid w:val="764B71A0"/>
    <w:multiLevelType w:val="hybridMultilevel"/>
    <w:tmpl w:val="B00AEA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2D46"/>
    <w:rsid w:val="00017406"/>
    <w:rsid w:val="00027F8C"/>
    <w:rsid w:val="000426EF"/>
    <w:rsid w:val="000A1026"/>
    <w:rsid w:val="000E60CF"/>
    <w:rsid w:val="00125D86"/>
    <w:rsid w:val="00142631"/>
    <w:rsid w:val="001707D5"/>
    <w:rsid w:val="00197D24"/>
    <w:rsid w:val="001A4263"/>
    <w:rsid w:val="001B1424"/>
    <w:rsid w:val="001C1C34"/>
    <w:rsid w:val="001C2C9E"/>
    <w:rsid w:val="001C4BD2"/>
    <w:rsid w:val="00207DA7"/>
    <w:rsid w:val="0023291F"/>
    <w:rsid w:val="002762DF"/>
    <w:rsid w:val="00294D14"/>
    <w:rsid w:val="002A08EF"/>
    <w:rsid w:val="002E6ED4"/>
    <w:rsid w:val="003458B8"/>
    <w:rsid w:val="00347570"/>
    <w:rsid w:val="00356BEB"/>
    <w:rsid w:val="003B5FE3"/>
    <w:rsid w:val="003F23EF"/>
    <w:rsid w:val="00406DF7"/>
    <w:rsid w:val="00423B23"/>
    <w:rsid w:val="00434C2C"/>
    <w:rsid w:val="00455BC6"/>
    <w:rsid w:val="00456B43"/>
    <w:rsid w:val="00476E6A"/>
    <w:rsid w:val="004D3CD8"/>
    <w:rsid w:val="004E57E5"/>
    <w:rsid w:val="004F695D"/>
    <w:rsid w:val="00500879"/>
    <w:rsid w:val="0050196B"/>
    <w:rsid w:val="00535D9A"/>
    <w:rsid w:val="00560A41"/>
    <w:rsid w:val="00570300"/>
    <w:rsid w:val="00687175"/>
    <w:rsid w:val="00694FF2"/>
    <w:rsid w:val="006A4C48"/>
    <w:rsid w:val="006C3D9C"/>
    <w:rsid w:val="006E6492"/>
    <w:rsid w:val="006F1596"/>
    <w:rsid w:val="00736902"/>
    <w:rsid w:val="00742451"/>
    <w:rsid w:val="00747069"/>
    <w:rsid w:val="00751D8E"/>
    <w:rsid w:val="00774F76"/>
    <w:rsid w:val="00791CB2"/>
    <w:rsid w:val="007932CD"/>
    <w:rsid w:val="007963D2"/>
    <w:rsid w:val="00797CDE"/>
    <w:rsid w:val="007A1967"/>
    <w:rsid w:val="007C78A8"/>
    <w:rsid w:val="00842769"/>
    <w:rsid w:val="00847DB3"/>
    <w:rsid w:val="00853CDE"/>
    <w:rsid w:val="008639BE"/>
    <w:rsid w:val="00863B2F"/>
    <w:rsid w:val="008660D8"/>
    <w:rsid w:val="00867965"/>
    <w:rsid w:val="008C66F6"/>
    <w:rsid w:val="008D1AE8"/>
    <w:rsid w:val="008E558F"/>
    <w:rsid w:val="008F30CF"/>
    <w:rsid w:val="00934B29"/>
    <w:rsid w:val="00944613"/>
    <w:rsid w:val="00944B22"/>
    <w:rsid w:val="009A06EB"/>
    <w:rsid w:val="009A4EB7"/>
    <w:rsid w:val="009C2760"/>
    <w:rsid w:val="009E50AB"/>
    <w:rsid w:val="009E7172"/>
    <w:rsid w:val="00A02D10"/>
    <w:rsid w:val="00A15781"/>
    <w:rsid w:val="00A33B58"/>
    <w:rsid w:val="00A33C99"/>
    <w:rsid w:val="00A72149"/>
    <w:rsid w:val="00A72717"/>
    <w:rsid w:val="00A84888"/>
    <w:rsid w:val="00AB1B4E"/>
    <w:rsid w:val="00AC1C2C"/>
    <w:rsid w:val="00AE1312"/>
    <w:rsid w:val="00AE2D8D"/>
    <w:rsid w:val="00AF0A21"/>
    <w:rsid w:val="00AF1244"/>
    <w:rsid w:val="00B30F0A"/>
    <w:rsid w:val="00B43089"/>
    <w:rsid w:val="00B462B7"/>
    <w:rsid w:val="00B47AFC"/>
    <w:rsid w:val="00B73776"/>
    <w:rsid w:val="00B80CF1"/>
    <w:rsid w:val="00BA128F"/>
    <w:rsid w:val="00BB22C6"/>
    <w:rsid w:val="00BB3F9B"/>
    <w:rsid w:val="00BE2A47"/>
    <w:rsid w:val="00BF617F"/>
    <w:rsid w:val="00BF63DD"/>
    <w:rsid w:val="00C0015F"/>
    <w:rsid w:val="00C15AD5"/>
    <w:rsid w:val="00C36154"/>
    <w:rsid w:val="00C37B58"/>
    <w:rsid w:val="00C53FBA"/>
    <w:rsid w:val="00C676D6"/>
    <w:rsid w:val="00CC18FC"/>
    <w:rsid w:val="00CD713F"/>
    <w:rsid w:val="00CE397A"/>
    <w:rsid w:val="00D278E7"/>
    <w:rsid w:val="00D42C4D"/>
    <w:rsid w:val="00D67926"/>
    <w:rsid w:val="00D94EEA"/>
    <w:rsid w:val="00D9759D"/>
    <w:rsid w:val="00DA60EB"/>
    <w:rsid w:val="00DC7170"/>
    <w:rsid w:val="00DD6C21"/>
    <w:rsid w:val="00DE09C3"/>
    <w:rsid w:val="00DE0D7D"/>
    <w:rsid w:val="00E02CC7"/>
    <w:rsid w:val="00E16803"/>
    <w:rsid w:val="00E2766D"/>
    <w:rsid w:val="00E27F11"/>
    <w:rsid w:val="00E818C1"/>
    <w:rsid w:val="00E84E63"/>
    <w:rsid w:val="00E92545"/>
    <w:rsid w:val="00E92FD4"/>
    <w:rsid w:val="00E97100"/>
    <w:rsid w:val="00EE612A"/>
    <w:rsid w:val="00EE7C64"/>
    <w:rsid w:val="00F12C96"/>
    <w:rsid w:val="00F90CCC"/>
    <w:rsid w:val="00F95FA7"/>
    <w:rsid w:val="00FA5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E8B0B88"/>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639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639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paragraph" w:customStyle="1" w:styleId="estilo30">
    <w:name w:val="estilo30"/>
    <w:basedOn w:val="Normal"/>
    <w:rsid w:val="00AC1C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C1C2C"/>
    <w:rPr>
      <w:color w:val="0000FF" w:themeColor="hyperlink"/>
      <w:u w:val="single"/>
    </w:rPr>
  </w:style>
  <w:style w:type="paragraph" w:styleId="Sinespaciado">
    <w:name w:val="No Spacing"/>
    <w:uiPriority w:val="1"/>
    <w:qFormat/>
    <w:rsid w:val="00AC1C2C"/>
    <w:pPr>
      <w:spacing w:after="0" w:line="240" w:lineRule="auto"/>
    </w:pPr>
    <w:rPr>
      <w:rFonts w:ascii="Calibri" w:eastAsia="Calibri" w:hAnsi="Calibri" w:cs="Times New Roman"/>
    </w:rPr>
  </w:style>
  <w:style w:type="paragraph" w:styleId="Textoindependiente">
    <w:name w:val="Body Text"/>
    <w:basedOn w:val="Normal"/>
    <w:link w:val="TextoindependienteCar"/>
    <w:uiPriority w:val="99"/>
    <w:unhideWhenUsed/>
    <w:rsid w:val="00AC1C2C"/>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AC1C2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C1C2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C1C2C"/>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AC1C2C"/>
    <w:rPr>
      <w:vertAlign w:val="superscript"/>
    </w:rPr>
  </w:style>
  <w:style w:type="table" w:styleId="Tablaconcuadrcula">
    <w:name w:val="Table Grid"/>
    <w:basedOn w:val="Tablanormal"/>
    <w:uiPriority w:val="39"/>
    <w:rsid w:val="00AC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99"/>
    <w:qFormat/>
    <w:rsid w:val="00C53FBA"/>
    <w:pPr>
      <w:ind w:left="720"/>
      <w:contextualSpacing/>
    </w:pPr>
    <w:rPr>
      <w:rFonts w:ascii="Calibri" w:hAnsi="Calibri" w:cs="Calibri"/>
    </w:rPr>
  </w:style>
  <w:style w:type="paragraph" w:styleId="Textodeglobo">
    <w:name w:val="Balloon Text"/>
    <w:basedOn w:val="Normal"/>
    <w:link w:val="TextodegloboCar"/>
    <w:uiPriority w:val="99"/>
    <w:semiHidden/>
    <w:unhideWhenUsed/>
    <w:rsid w:val="008C66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6F6"/>
    <w:rPr>
      <w:rFonts w:ascii="Segoe UI" w:hAnsi="Segoe UI" w:cs="Segoe UI"/>
      <w:sz w:val="18"/>
      <w:szCs w:val="18"/>
    </w:rPr>
  </w:style>
  <w:style w:type="character" w:customStyle="1" w:styleId="Ttulo1Car">
    <w:name w:val="Título 1 Car"/>
    <w:basedOn w:val="Fuentedeprrafopredeter"/>
    <w:link w:val="Ttulo1"/>
    <w:uiPriority w:val="9"/>
    <w:rsid w:val="008639BE"/>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8639BE"/>
    <w:rPr>
      <w:rFonts w:asciiTheme="majorHAnsi" w:eastAsiaTheme="majorEastAsia" w:hAnsiTheme="majorHAnsi" w:cstheme="majorBidi"/>
      <w:color w:val="365F91" w:themeColor="accent1" w:themeShade="BF"/>
      <w:sz w:val="26"/>
      <w:szCs w:val="26"/>
    </w:rPr>
  </w:style>
  <w:style w:type="paragraph" w:customStyle="1" w:styleId="Default">
    <w:name w:val="Default"/>
    <w:rsid w:val="008639BE"/>
    <w:pPr>
      <w:autoSpaceDE w:val="0"/>
      <w:autoSpaceDN w:val="0"/>
      <w:adjustRightInd w:val="0"/>
      <w:spacing w:after="0" w:line="240" w:lineRule="auto"/>
    </w:pPr>
    <w:rPr>
      <w:rFonts w:ascii="Tahoma" w:eastAsia="Calibri" w:hAnsi="Tahoma" w:cs="Tahoma"/>
      <w:color w:val="000000"/>
      <w:sz w:val="24"/>
      <w:szCs w:val="24"/>
      <w:lang w:eastAsia="es-MX"/>
    </w:rPr>
  </w:style>
  <w:style w:type="character" w:customStyle="1" w:styleId="PrrafodelistaCar">
    <w:name w:val="Párrafo de lista Car"/>
    <w:link w:val="Prrafodelista"/>
    <w:uiPriority w:val="99"/>
    <w:rsid w:val="008639BE"/>
    <w:rPr>
      <w:rFonts w:ascii="Calibri" w:hAnsi="Calibri" w:cs="Calibri"/>
    </w:rPr>
  </w:style>
  <w:style w:type="paragraph" w:customStyle="1" w:styleId="Seccin">
    <w:name w:val="Sección"/>
    <w:basedOn w:val="Normal"/>
    <w:qFormat/>
    <w:rsid w:val="008639BE"/>
    <w:pPr>
      <w:spacing w:before="360" w:after="0" w:line="259" w:lineRule="auto"/>
      <w:jc w:val="both"/>
    </w:pPr>
    <w:rPr>
      <w:rFonts w:ascii="ITC Avant Garde" w:eastAsiaTheme="minorEastAsia" w:hAnsi="ITC Avant Garde"/>
      <w:b/>
      <w:smallCaps/>
      <w:sz w:val="2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429982">
      <w:bodyDiv w:val="1"/>
      <w:marLeft w:val="0"/>
      <w:marRight w:val="0"/>
      <w:marTop w:val="0"/>
      <w:marBottom w:val="0"/>
      <w:divBdr>
        <w:top w:val="none" w:sz="0" w:space="0" w:color="auto"/>
        <w:left w:val="none" w:sz="0" w:space="0" w:color="auto"/>
        <w:bottom w:val="none" w:sz="0" w:space="0" w:color="auto"/>
        <w:right w:val="none" w:sz="0" w:space="0" w:color="auto"/>
      </w:divBdr>
    </w:div>
    <w:div w:id="1320770617">
      <w:bodyDiv w:val="1"/>
      <w:marLeft w:val="0"/>
      <w:marRight w:val="0"/>
      <w:marTop w:val="0"/>
      <w:marBottom w:val="0"/>
      <w:divBdr>
        <w:top w:val="none" w:sz="0" w:space="0" w:color="auto"/>
        <w:left w:val="none" w:sz="0" w:space="0" w:color="auto"/>
        <w:bottom w:val="none" w:sz="0" w:space="0" w:color="auto"/>
        <w:right w:val="none" w:sz="0" w:space="0" w:color="auto"/>
      </w:divBdr>
    </w:div>
    <w:div w:id="1717699246">
      <w:bodyDiv w:val="1"/>
      <w:marLeft w:val="0"/>
      <w:marRight w:val="0"/>
      <w:marTop w:val="0"/>
      <w:marBottom w:val="0"/>
      <w:divBdr>
        <w:top w:val="none" w:sz="0" w:space="0" w:color="auto"/>
        <w:left w:val="none" w:sz="0" w:space="0" w:color="auto"/>
        <w:bottom w:val="none" w:sz="0" w:space="0" w:color="auto"/>
        <w:right w:val="none" w:sz="0" w:space="0" w:color="auto"/>
      </w:divBdr>
    </w:div>
    <w:div w:id="1746488909">
      <w:bodyDiv w:val="1"/>
      <w:marLeft w:val="0"/>
      <w:marRight w:val="0"/>
      <w:marTop w:val="0"/>
      <w:marBottom w:val="0"/>
      <w:divBdr>
        <w:top w:val="none" w:sz="0" w:space="0" w:color="auto"/>
        <w:left w:val="none" w:sz="0" w:space="0" w:color="auto"/>
        <w:bottom w:val="none" w:sz="0" w:space="0" w:color="auto"/>
        <w:right w:val="none" w:sz="0" w:space="0" w:color="auto"/>
      </w:divBdr>
    </w:div>
    <w:div w:id="1910580003">
      <w:bodyDiv w:val="1"/>
      <w:marLeft w:val="0"/>
      <w:marRight w:val="0"/>
      <w:marTop w:val="0"/>
      <w:marBottom w:val="0"/>
      <w:divBdr>
        <w:top w:val="none" w:sz="0" w:space="0" w:color="auto"/>
        <w:left w:val="none" w:sz="0" w:space="0" w:color="auto"/>
        <w:bottom w:val="none" w:sz="0" w:space="0" w:color="auto"/>
        <w:right w:val="none" w:sz="0" w:space="0" w:color="auto"/>
      </w:divBdr>
    </w:div>
    <w:div w:id="20484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t.org.mx/sites/default/files/industria/temasrelevantes/consultaspublicas/documentos/anatelconsultaformatos.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ft.org.mx/sites/default/files/industria/temasrelevantes/consultaspublicas/documentos/20191202formatodedesahogoradiomovildipsa.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ft.org.mx/sites/default/files/industria/temasrelevantes/consultaspublicas/documentos/comentariosaltan-cpnuevosformatosylineamientosmovilesv1.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8000</Words>
  <Characters>44003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Luis Fernando Rosas Yanez</cp:lastModifiedBy>
  <cp:revision>8</cp:revision>
  <cp:lastPrinted>2020-02-05T17:14:00Z</cp:lastPrinted>
  <dcterms:created xsi:type="dcterms:W3CDTF">2020-08-11T00:03:00Z</dcterms:created>
  <dcterms:modified xsi:type="dcterms:W3CDTF">2020-12-08T16:56:00Z</dcterms:modified>
</cp:coreProperties>
</file>