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B1681" w14:textId="102FC602" w:rsidR="004A1192" w:rsidRPr="002449DA" w:rsidRDefault="004A1192" w:rsidP="004A1192">
      <w:pPr>
        <w:pStyle w:val="ANOTACION"/>
        <w:spacing w:before="0" w:after="0" w:line="240" w:lineRule="auto"/>
        <w:jc w:val="both"/>
        <w:rPr>
          <w:rFonts w:ascii="ITC Avant Garde" w:hAnsi="ITC Avant Garde" w:cs="Tahoma"/>
          <w:bCs/>
          <w:color w:val="000000"/>
          <w:sz w:val="21"/>
          <w:szCs w:val="21"/>
        </w:rPr>
      </w:pPr>
      <w:r w:rsidRPr="002449DA">
        <w:rPr>
          <w:rFonts w:ascii="ITC Avant Garde" w:hAnsi="ITC Avant Garde" w:cs="Tahoma"/>
          <w:bCs/>
          <w:color w:val="000000"/>
          <w:sz w:val="21"/>
          <w:szCs w:val="21"/>
        </w:rPr>
        <w:t>ACUERDO MEDIANTE EL CUAL EL PLENO DEL INSTITUTO FEDERAL DE TELECOMUNICACIONES DEROGA, EXTINGUE, ABROGA, DEJA SIN EFECTOS Y MODIFICA DIVERSAS DISPOSICIONES RELACIONADAS CON LOS TRÁMITES A SU CARGO Y QUE POR DIVERSAS CIRCUNSTANCIAS HAN PERDIDO SU UTILIDAD</w:t>
      </w:r>
    </w:p>
    <w:p w14:paraId="290B3C4A" w14:textId="77777777" w:rsidR="004A1192" w:rsidRPr="002449DA" w:rsidRDefault="004A1192" w:rsidP="004A1192">
      <w:pPr>
        <w:pStyle w:val="ANOTACION"/>
        <w:spacing w:before="0" w:after="0" w:line="240" w:lineRule="auto"/>
        <w:rPr>
          <w:rFonts w:ascii="ITC Avant Garde" w:hAnsi="ITC Avant Garde" w:cs="Tahoma"/>
          <w:b w:val="0"/>
          <w:bCs/>
          <w:color w:val="000000"/>
          <w:sz w:val="21"/>
          <w:szCs w:val="21"/>
        </w:rPr>
      </w:pPr>
    </w:p>
    <w:p w14:paraId="2F14AC3D" w14:textId="77777777" w:rsidR="004A1192" w:rsidRPr="002449DA" w:rsidRDefault="004A1192" w:rsidP="004A1192">
      <w:pPr>
        <w:pStyle w:val="ANOTACION"/>
        <w:spacing w:before="0" w:after="0" w:line="240" w:lineRule="auto"/>
        <w:rPr>
          <w:rFonts w:ascii="ITC Avant Garde" w:hAnsi="ITC Avant Garde" w:cs="Arial"/>
          <w:bCs/>
          <w:sz w:val="21"/>
          <w:szCs w:val="21"/>
        </w:rPr>
      </w:pPr>
      <w:r w:rsidRPr="002449DA">
        <w:rPr>
          <w:rFonts w:ascii="ITC Avant Garde" w:hAnsi="ITC Avant Garde" w:cs="Arial"/>
          <w:bCs/>
          <w:sz w:val="21"/>
          <w:szCs w:val="21"/>
        </w:rPr>
        <w:t>A N T E C E D E N T E S</w:t>
      </w:r>
    </w:p>
    <w:p w14:paraId="47207355" w14:textId="77777777" w:rsidR="004A1192" w:rsidRPr="002449DA" w:rsidRDefault="004A1192" w:rsidP="004A1192">
      <w:pPr>
        <w:pStyle w:val="ROMANOS"/>
        <w:spacing w:after="0" w:line="240" w:lineRule="auto"/>
        <w:ind w:firstLine="0"/>
        <w:rPr>
          <w:rFonts w:ascii="ITC Avant Garde" w:hAnsi="ITC Avant Garde"/>
          <w:bCs/>
          <w:sz w:val="21"/>
          <w:szCs w:val="21"/>
          <w:lang w:val="es-ES_tradnl"/>
        </w:rPr>
      </w:pPr>
    </w:p>
    <w:p w14:paraId="42F54F2F"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Decreto de Reforma Constitucional. </w:t>
      </w:r>
      <w:r w:rsidRPr="002449DA">
        <w:rPr>
          <w:rFonts w:ascii="ITC Avant Garde" w:hAnsi="ITC Avant Garde"/>
          <w:bCs/>
          <w:sz w:val="21"/>
          <w:szCs w:val="21"/>
          <w:lang w:val="es-ES_tradnl"/>
        </w:rPr>
        <w:t>El 11 de junio d</w:t>
      </w:r>
      <w:r w:rsidR="00272D27">
        <w:rPr>
          <w:rFonts w:ascii="ITC Avant Garde" w:hAnsi="ITC Avant Garde"/>
          <w:bCs/>
          <w:sz w:val="21"/>
          <w:szCs w:val="21"/>
          <w:lang w:val="es-ES_tradnl"/>
        </w:rPr>
        <w:t xml:space="preserve">e 2013, se publicó en el Diario </w:t>
      </w:r>
      <w:r w:rsidRPr="002449DA">
        <w:rPr>
          <w:rFonts w:ascii="ITC Avant Garde" w:hAnsi="ITC Avant Garde"/>
          <w:bCs/>
          <w:sz w:val="21"/>
          <w:szCs w:val="21"/>
          <w:lang w:val="es-ES_tradnl"/>
        </w:rPr>
        <w:t xml:space="preserve">Oficial de la Federación (en lo sucesivo, el “DOF”) el </w:t>
      </w:r>
      <w:r w:rsidRPr="008704A8">
        <w:rPr>
          <w:rFonts w:ascii="ITC Avant Garde" w:hAnsi="ITC Avant Garde"/>
          <w:sz w:val="21"/>
          <w:lang w:val="es-ES_tradnl"/>
        </w:rPr>
        <w:t>"Decreto por el que se reforman y adicionan diversas disposiciones de los artículos 6o., 7o., 27, 28, 73, 78, 94 y 105 de la Constitución Política de los Estados Unidos Mexicanos, en materia de telecomunicaciones"</w:t>
      </w:r>
      <w:r w:rsidRPr="002449DA">
        <w:rPr>
          <w:rFonts w:ascii="ITC Avant Garde" w:hAnsi="ITC Avant Garde"/>
          <w:bCs/>
          <w:sz w:val="21"/>
          <w:szCs w:val="21"/>
          <w:lang w:val="es-ES_tradnl"/>
        </w:rPr>
        <w:t>, mediante el cual se creó el Instituto Federal de Telecomunicaciones (en lo sucesivo, el "Instituto"), como un órgano autónomo con personalidad jurídica y patrimonio propios.</w:t>
      </w:r>
    </w:p>
    <w:p w14:paraId="57EB869B" w14:textId="77777777" w:rsidR="004A1192" w:rsidRPr="002449DA" w:rsidRDefault="004A1192" w:rsidP="004A1192">
      <w:pPr>
        <w:pStyle w:val="ROMANOS"/>
        <w:tabs>
          <w:tab w:val="left" w:pos="284"/>
        </w:tabs>
        <w:spacing w:after="0" w:line="240" w:lineRule="auto"/>
        <w:ind w:left="284" w:hanging="142"/>
        <w:rPr>
          <w:rFonts w:ascii="ITC Avant Garde" w:hAnsi="ITC Avant Garde"/>
          <w:bCs/>
          <w:sz w:val="21"/>
          <w:szCs w:val="21"/>
          <w:lang w:val="es-ES_tradnl"/>
        </w:rPr>
      </w:pPr>
    </w:p>
    <w:p w14:paraId="0197BB8F"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Ley Federal de Competencia Económica. </w:t>
      </w:r>
      <w:r w:rsidRPr="002449DA">
        <w:rPr>
          <w:rFonts w:ascii="ITC Avant Garde" w:hAnsi="ITC Avant Garde"/>
          <w:bCs/>
          <w:sz w:val="21"/>
          <w:szCs w:val="21"/>
          <w:lang w:val="es-ES_tradnl"/>
        </w:rPr>
        <w:t xml:space="preserve">El 23 de mayo de 2014, se publicó en el DOF la </w:t>
      </w:r>
      <w:r w:rsidRPr="008704A8">
        <w:rPr>
          <w:rFonts w:ascii="ITC Avant Garde" w:hAnsi="ITC Avant Garde"/>
          <w:sz w:val="21"/>
          <w:lang w:val="es-ES_tradnl"/>
        </w:rPr>
        <w:t>“Ley Federal de Competencia Económica”</w:t>
      </w:r>
      <w:r w:rsidRPr="002449DA">
        <w:rPr>
          <w:rFonts w:ascii="ITC Avant Garde" w:hAnsi="ITC Avant Garde"/>
          <w:bCs/>
          <w:sz w:val="21"/>
          <w:szCs w:val="21"/>
          <w:lang w:val="es-ES_tradnl"/>
        </w:rPr>
        <w:t xml:space="preserve">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350308DC" w14:textId="77777777" w:rsidR="004A1192" w:rsidRPr="002449DA" w:rsidRDefault="004A1192" w:rsidP="004A1192">
      <w:pPr>
        <w:pStyle w:val="ROMANOS"/>
        <w:tabs>
          <w:tab w:val="left" w:pos="284"/>
        </w:tabs>
        <w:spacing w:after="0" w:line="240" w:lineRule="auto"/>
        <w:ind w:left="284" w:hanging="142"/>
        <w:rPr>
          <w:rFonts w:ascii="ITC Avant Garde" w:hAnsi="ITC Avant Garde"/>
          <w:bCs/>
          <w:sz w:val="21"/>
          <w:szCs w:val="21"/>
          <w:lang w:val="es-ES_tradnl"/>
        </w:rPr>
      </w:pPr>
    </w:p>
    <w:p w14:paraId="5077A455"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Decreto de Ley. </w:t>
      </w:r>
      <w:r w:rsidRPr="002449DA">
        <w:rPr>
          <w:rFonts w:ascii="ITC Avant Garde" w:hAnsi="ITC Avant Garde"/>
          <w:bCs/>
          <w:sz w:val="21"/>
          <w:szCs w:val="21"/>
          <w:lang w:val="es-ES_tradnl"/>
        </w:rPr>
        <w:t xml:space="preserve">El 14 de julio de 2014, fue publicado en el DOF el </w:t>
      </w:r>
      <w:r w:rsidRPr="008704A8">
        <w:rPr>
          <w:rFonts w:ascii="ITC Avant Garde" w:hAnsi="ITC Avant Garde"/>
          <w:sz w:val="21"/>
          <w:lang w:val="es-ES_tradnl"/>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449DA">
        <w:rPr>
          <w:rFonts w:ascii="ITC Avant Garde" w:hAnsi="ITC Avant Garde"/>
          <w:bCs/>
          <w:sz w:val="21"/>
          <w:szCs w:val="21"/>
          <w:lang w:val="es-ES_tradnl"/>
        </w:rPr>
        <w:t>, el cual en términos de lo dispuesto por su artículo Primero Transitorio, entró en vigor a los 30 (treinta) días naturales siguientes al de su publicación en el DOF, esto es el 13 de agosto de 2014.</w:t>
      </w:r>
    </w:p>
    <w:p w14:paraId="18E83001" w14:textId="77777777" w:rsidR="004A1192" w:rsidRPr="002449DA" w:rsidRDefault="004A1192" w:rsidP="004A1192">
      <w:pPr>
        <w:pStyle w:val="ROMANOS"/>
        <w:tabs>
          <w:tab w:val="left" w:pos="284"/>
        </w:tabs>
        <w:spacing w:after="0" w:line="240" w:lineRule="auto"/>
        <w:ind w:left="284" w:hanging="142"/>
        <w:rPr>
          <w:rFonts w:ascii="ITC Avant Garde" w:hAnsi="ITC Avant Garde"/>
          <w:bCs/>
          <w:sz w:val="21"/>
          <w:szCs w:val="21"/>
          <w:lang w:val="es-ES_tradnl"/>
        </w:rPr>
      </w:pPr>
    </w:p>
    <w:p w14:paraId="1E864D5D"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Estatuto Orgánico. </w:t>
      </w:r>
      <w:r w:rsidRPr="002449DA">
        <w:rPr>
          <w:rFonts w:ascii="ITC Avant Garde" w:hAnsi="ITC Avant Garde"/>
          <w:bCs/>
          <w:sz w:val="21"/>
          <w:szCs w:val="21"/>
          <w:lang w:val="es-ES_tradnl"/>
        </w:rPr>
        <w:t xml:space="preserve">El 4 de septiembre de 2014, se publicó en el DOF el </w:t>
      </w:r>
      <w:r w:rsidRPr="002449DA">
        <w:rPr>
          <w:rFonts w:ascii="ITC Avant Garde" w:hAnsi="ITC Avant Garde"/>
          <w:bCs/>
          <w:i/>
          <w:sz w:val="21"/>
          <w:szCs w:val="21"/>
          <w:lang w:val="es-ES_tradnl"/>
        </w:rPr>
        <w:t>"</w:t>
      </w:r>
      <w:r w:rsidRPr="008704A8">
        <w:rPr>
          <w:rFonts w:ascii="ITC Avant Garde" w:hAnsi="ITC Avant Garde"/>
          <w:sz w:val="21"/>
          <w:lang w:val="es-ES_tradnl"/>
        </w:rPr>
        <w:t>Estatuto Orgánico del Instituto Federal de Telecomunicaciones"</w:t>
      </w:r>
      <w:r w:rsidRPr="002449DA">
        <w:rPr>
          <w:rFonts w:ascii="ITC Avant Garde" w:hAnsi="ITC Avant Garde"/>
          <w:bCs/>
          <w:sz w:val="21"/>
          <w:szCs w:val="21"/>
          <w:lang w:val="es-ES_tradnl"/>
        </w:rPr>
        <w:t xml:space="preserve"> (en lo sucesivo, el "Estatuto"), mismo que entró en vigor el 26 de septiembre de 2014, siendo modificado mediante publicación en el mismo medio de difusión los días 17 de octubre del 2014, 17 de octubre de 2016, 20 de julio de 2017, 13 de julio de 2018 y 7 de diciembre de 2018, respectivamente.   </w:t>
      </w:r>
    </w:p>
    <w:p w14:paraId="2152A8B4" w14:textId="77777777" w:rsidR="004A1192" w:rsidRPr="002449DA" w:rsidRDefault="004A1192" w:rsidP="004A1192">
      <w:pPr>
        <w:pStyle w:val="ROMANOS"/>
        <w:tabs>
          <w:tab w:val="left" w:pos="426"/>
        </w:tabs>
        <w:spacing w:after="0" w:line="240" w:lineRule="auto"/>
        <w:ind w:left="0" w:firstLine="0"/>
        <w:rPr>
          <w:rFonts w:ascii="ITC Avant Garde" w:hAnsi="ITC Avant Garde"/>
          <w:bCs/>
          <w:sz w:val="21"/>
          <w:szCs w:val="21"/>
          <w:lang w:val="es-ES_tradnl"/>
        </w:rPr>
      </w:pPr>
    </w:p>
    <w:p w14:paraId="7B1EB28A"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Lineamientos de Consulta Pública. </w:t>
      </w:r>
      <w:r w:rsidRPr="002449DA">
        <w:rPr>
          <w:rFonts w:ascii="ITC Avant Garde" w:hAnsi="ITC Avant Garde"/>
          <w:bCs/>
          <w:sz w:val="21"/>
          <w:szCs w:val="21"/>
          <w:lang w:val="es-ES_tradnl"/>
        </w:rPr>
        <w:t xml:space="preserve">El 8 de noviembre de 2017, se publicó en el DOF el </w:t>
      </w:r>
      <w:r w:rsidRPr="008704A8">
        <w:rPr>
          <w:rFonts w:ascii="ITC Avant Garde" w:hAnsi="ITC Avant Garde"/>
          <w:sz w:val="21"/>
          <w:lang w:val="es-ES_tradnl"/>
        </w:rPr>
        <w:t>“Acuerdo mediante el cual el Pleno del Instituto Federal de Telecomunicaciones aprueba y emite los Lineamientos de Consulta Pública y Análisis de Impacto Regulatorio del Instituto Federal de Telecomunicaciones”</w:t>
      </w:r>
      <w:r w:rsidRPr="002449DA">
        <w:rPr>
          <w:rFonts w:ascii="ITC Avant Garde" w:hAnsi="ITC Avant Garde"/>
          <w:bCs/>
          <w:sz w:val="21"/>
          <w:szCs w:val="21"/>
          <w:lang w:val="es-ES_tradnl"/>
        </w:rPr>
        <w:t xml:space="preserve"> el cual, en términos de lo dispuesto por el artículo Primero Transitorio, entró en vigor el 1 de enero de 2018.</w:t>
      </w:r>
    </w:p>
    <w:p w14:paraId="63B45E54" w14:textId="77777777" w:rsidR="004A1192" w:rsidRPr="002449DA" w:rsidRDefault="004A1192" w:rsidP="004A1192">
      <w:pPr>
        <w:pStyle w:val="ROMANOS"/>
        <w:tabs>
          <w:tab w:val="left" w:pos="426"/>
        </w:tabs>
        <w:spacing w:after="0" w:line="240" w:lineRule="auto"/>
        <w:ind w:left="426" w:hanging="426"/>
        <w:rPr>
          <w:rFonts w:ascii="ITC Avant Garde" w:hAnsi="ITC Avant Garde"/>
          <w:bCs/>
          <w:sz w:val="21"/>
          <w:szCs w:val="21"/>
          <w:lang w:val="es-ES_tradnl"/>
        </w:rPr>
      </w:pPr>
    </w:p>
    <w:p w14:paraId="1993A2A5" w14:textId="77777777" w:rsidR="004A1192" w:rsidRPr="00272D27"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rPr>
        <w:t>Ley General de Mejora Regulatoria</w:t>
      </w:r>
      <w:r w:rsidRPr="002449DA">
        <w:rPr>
          <w:rFonts w:ascii="ITC Avant Garde" w:hAnsi="ITC Avant Garde"/>
          <w:bCs/>
          <w:sz w:val="21"/>
          <w:szCs w:val="21"/>
        </w:rPr>
        <w:t xml:space="preserve">. El 18 de mayo de 2018, se publicó en el DOF el </w:t>
      </w:r>
      <w:r w:rsidRPr="008704A8">
        <w:rPr>
          <w:rFonts w:ascii="ITC Avant Garde" w:hAnsi="ITC Avant Garde"/>
          <w:sz w:val="21"/>
        </w:rPr>
        <w:t>“Decreto por el que se expide la Ley General de Mejora Regulatoria y se derogan diversas disposiciones de la Ley Federal de Procedimiento Administrativo”</w:t>
      </w:r>
      <w:r w:rsidRPr="002449DA">
        <w:rPr>
          <w:rFonts w:ascii="ITC Avant Garde" w:hAnsi="ITC Avant Garde"/>
          <w:bCs/>
          <w:sz w:val="21"/>
          <w:szCs w:val="21"/>
        </w:rPr>
        <w:t xml:space="preserve">. En </w:t>
      </w:r>
      <w:r w:rsidRPr="002449DA">
        <w:rPr>
          <w:rFonts w:ascii="ITC Avant Garde" w:hAnsi="ITC Avant Garde"/>
          <w:bCs/>
          <w:sz w:val="21"/>
          <w:szCs w:val="21"/>
        </w:rPr>
        <w:lastRenderedPageBreak/>
        <w:t>términos de lo dispuesto en el artículo Primero Transitorio, entró en vigor al día siguiente de su publicación en el DOF, esto es el 19 de mayo de 2018.</w:t>
      </w:r>
    </w:p>
    <w:p w14:paraId="4FD35D85" w14:textId="77777777" w:rsidR="00272D27" w:rsidRPr="002449DA" w:rsidRDefault="00272D27" w:rsidP="00272D27">
      <w:pPr>
        <w:pStyle w:val="ROMANOS"/>
        <w:tabs>
          <w:tab w:val="clear" w:pos="720"/>
          <w:tab w:val="left" w:pos="284"/>
        </w:tabs>
        <w:spacing w:after="0" w:line="240" w:lineRule="auto"/>
        <w:ind w:left="284" w:firstLine="0"/>
        <w:rPr>
          <w:rFonts w:ascii="ITC Avant Garde" w:hAnsi="ITC Avant Garde"/>
          <w:bCs/>
          <w:sz w:val="21"/>
          <w:szCs w:val="21"/>
          <w:lang w:val="es-ES_tradnl"/>
        </w:rPr>
      </w:pPr>
    </w:p>
    <w:p w14:paraId="7AB79F63"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 xml:space="preserve">Programa de Mejora Administrativa. </w:t>
      </w:r>
      <w:r w:rsidRPr="002449DA">
        <w:rPr>
          <w:rFonts w:ascii="ITC Avant Garde" w:hAnsi="ITC Avant Garde"/>
          <w:bCs/>
          <w:sz w:val="21"/>
          <w:szCs w:val="21"/>
          <w:lang w:val="es-ES_tradnl"/>
        </w:rPr>
        <w:t xml:space="preserve">El 25 de mayo de 2018, este órgano constitucional autónomo inició el </w:t>
      </w:r>
      <w:r w:rsidRPr="008704A8">
        <w:rPr>
          <w:rFonts w:ascii="ITC Avant Garde" w:hAnsi="ITC Avant Garde"/>
          <w:sz w:val="21"/>
          <w:lang w:val="es-ES_tradnl"/>
        </w:rPr>
        <w:t>“Programa de Mejora Administrativa del Instituto Federal de Telecomunicaciones”</w:t>
      </w:r>
      <w:r w:rsidR="00EA7A00">
        <w:rPr>
          <w:rFonts w:ascii="ITC Avant Garde" w:hAnsi="ITC Avant Garde"/>
          <w:bCs/>
          <w:i/>
          <w:sz w:val="21"/>
          <w:szCs w:val="21"/>
          <w:lang w:val="es-ES_tradnl"/>
        </w:rPr>
        <w:t xml:space="preserve"> </w:t>
      </w:r>
      <w:r w:rsidR="00EA7A00">
        <w:rPr>
          <w:rFonts w:ascii="ITC Avant Garde" w:hAnsi="ITC Avant Garde"/>
          <w:bCs/>
          <w:sz w:val="21"/>
          <w:szCs w:val="21"/>
          <w:lang w:val="es-ES_tradnl"/>
        </w:rPr>
        <w:t>(en lo sucesivo, el “PMA”)</w:t>
      </w:r>
      <w:r w:rsidRPr="002449DA">
        <w:rPr>
          <w:rFonts w:ascii="ITC Avant Garde" w:hAnsi="ITC Avant Garde"/>
          <w:bCs/>
          <w:sz w:val="21"/>
          <w:szCs w:val="21"/>
          <w:lang w:val="es-ES_tradnl"/>
        </w:rPr>
        <w:t>, por conducto de su Coordinación General de Mejora Regulatoria (en lo sucesivo, la “Coordinación General”),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716AA4A1" w14:textId="77777777" w:rsidR="004A1192" w:rsidRPr="002449DA" w:rsidRDefault="004A1192" w:rsidP="004A1192">
      <w:pPr>
        <w:pStyle w:val="ROMANOS"/>
        <w:tabs>
          <w:tab w:val="left" w:pos="426"/>
        </w:tabs>
        <w:spacing w:after="0" w:line="240" w:lineRule="auto"/>
        <w:ind w:left="426" w:hanging="426"/>
        <w:rPr>
          <w:rFonts w:ascii="ITC Avant Garde" w:hAnsi="ITC Avant Garde"/>
          <w:bCs/>
          <w:sz w:val="21"/>
          <w:szCs w:val="21"/>
          <w:lang w:val="es-ES_tradnl"/>
        </w:rPr>
      </w:pPr>
    </w:p>
    <w:p w14:paraId="233AA482"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rPr>
        <w:t>Consulta pública sobre trámites.</w:t>
      </w:r>
      <w:r w:rsidRPr="002449DA">
        <w:rPr>
          <w:rFonts w:ascii="ITC Avant Garde" w:hAnsi="ITC Avant Garde"/>
          <w:bCs/>
          <w:sz w:val="21"/>
          <w:szCs w:val="21"/>
        </w:rPr>
        <w:t xml:space="preserve"> El 20 de junio de 2018, e</w:t>
      </w:r>
      <w:r w:rsidR="009375A4">
        <w:rPr>
          <w:rFonts w:ascii="ITC Avant Garde" w:hAnsi="ITC Avant Garde"/>
          <w:bCs/>
          <w:sz w:val="21"/>
          <w:szCs w:val="21"/>
        </w:rPr>
        <w:t>l Pleno del Instituto mediante A</w:t>
      </w:r>
      <w:r w:rsidRPr="002449DA">
        <w:rPr>
          <w:rFonts w:ascii="ITC Avant Garde" w:hAnsi="ITC Avant Garde"/>
          <w:bCs/>
          <w:sz w:val="21"/>
          <w:szCs w:val="21"/>
        </w:rPr>
        <w:t xml:space="preserve">cuerdo P/IFT/200618/425, emitido en su XXI Sesión Ordinaria, aprobó la realización de la </w:t>
      </w:r>
      <w:r w:rsidRPr="008704A8">
        <w:rPr>
          <w:rFonts w:ascii="ITC Avant Garde" w:hAnsi="ITC Avant Garde"/>
          <w:sz w:val="21"/>
        </w:rPr>
        <w:t>“</w:t>
      </w:r>
      <w:r w:rsidRPr="008704A8">
        <w:rPr>
          <w:rFonts w:ascii="ITC Avant Garde" w:hAnsi="ITC Avant Garde"/>
          <w:sz w:val="21"/>
          <w:lang w:val="es-ES_tradnl"/>
        </w:rPr>
        <w:t>Consulta pública sobre los trámites contenidos en las disposiciones de carácter general a cargo del Instituto Federal de Telecomunicaciones, así como para la detección de posibles áreas de oportunidad de los mismos”</w:t>
      </w:r>
      <w:r w:rsidRPr="002449DA">
        <w:rPr>
          <w:rFonts w:ascii="ITC Avant Garde" w:hAnsi="ITC Avant Garde"/>
          <w:bCs/>
          <w:i/>
          <w:sz w:val="21"/>
          <w:szCs w:val="21"/>
          <w:lang w:val="es-ES_tradnl"/>
        </w:rPr>
        <w:t xml:space="preserve">, </w:t>
      </w:r>
      <w:r w:rsidRPr="002449DA">
        <w:rPr>
          <w:rFonts w:ascii="ITC Avant Garde" w:hAnsi="ITC Avant Garde"/>
          <w:bCs/>
          <w:sz w:val="21"/>
          <w:szCs w:val="21"/>
          <w:lang w:val="es-ES_tradnl"/>
        </w:rPr>
        <w:t xml:space="preserve">mismo que fue publicado en el Portal de Internet del Instituto, a efecto de recabar las opiniones, comentarios y aportaciones de cualquier interesado a propósito de las medidas propuestas por el </w:t>
      </w:r>
      <w:r w:rsidR="00724EFE">
        <w:rPr>
          <w:rFonts w:ascii="ITC Avant Garde" w:hAnsi="ITC Avant Garde"/>
          <w:bCs/>
          <w:sz w:val="21"/>
          <w:szCs w:val="21"/>
          <w:lang w:val="es-ES_tradnl"/>
        </w:rPr>
        <w:t>órgano constitucional autónomo en el sector de telecomunicaciones, radiodifusión y competencia económica</w:t>
      </w:r>
      <w:r w:rsidRPr="002449DA">
        <w:rPr>
          <w:rFonts w:ascii="ITC Avant Garde" w:hAnsi="ITC Avant Garde"/>
          <w:bCs/>
          <w:sz w:val="21"/>
          <w:szCs w:val="21"/>
          <w:lang w:val="es-ES_tradnl"/>
        </w:rPr>
        <w:t>.</w:t>
      </w:r>
    </w:p>
    <w:p w14:paraId="1BC5D7FC" w14:textId="77777777" w:rsidR="004A1192" w:rsidRPr="002449DA" w:rsidRDefault="004A1192" w:rsidP="004A1192">
      <w:pPr>
        <w:pStyle w:val="ROMANOS"/>
        <w:tabs>
          <w:tab w:val="left" w:pos="426"/>
        </w:tabs>
        <w:spacing w:after="0" w:line="240" w:lineRule="auto"/>
        <w:ind w:left="426" w:hanging="426"/>
        <w:rPr>
          <w:rFonts w:ascii="ITC Avant Garde" w:hAnsi="ITC Avant Garde"/>
          <w:bCs/>
          <w:sz w:val="21"/>
          <w:szCs w:val="21"/>
          <w:lang w:val="es-ES_tradnl"/>
        </w:rPr>
      </w:pPr>
    </w:p>
    <w:p w14:paraId="0FFBA056"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eastAsia="Calibri" w:hAnsi="ITC Avant Garde"/>
          <w:b/>
          <w:sz w:val="21"/>
          <w:szCs w:val="21"/>
        </w:rPr>
        <w:t>Acuerdo que abroga reglamentos expedidos con anterioridad a la</w:t>
      </w:r>
      <w:r w:rsidRPr="002449DA">
        <w:rPr>
          <w:rFonts w:ascii="ITC Avant Garde" w:hAnsi="ITC Avant Garde"/>
          <w:bCs/>
          <w:sz w:val="21"/>
          <w:szCs w:val="21"/>
          <w:lang w:val="es-ES_tradnl"/>
        </w:rPr>
        <w:t xml:space="preserve"> </w:t>
      </w:r>
      <w:r w:rsidRPr="002449DA">
        <w:rPr>
          <w:rFonts w:ascii="ITC Avant Garde" w:eastAsia="Calibri" w:hAnsi="ITC Avant Garde"/>
          <w:b/>
          <w:sz w:val="21"/>
          <w:szCs w:val="21"/>
        </w:rPr>
        <w:t>Ley Federal de Telecomunicaciones y Radiodifusión</w:t>
      </w:r>
      <w:r w:rsidRPr="002449DA">
        <w:rPr>
          <w:rFonts w:ascii="ITC Avant Garde" w:hAnsi="ITC Avant Garde"/>
          <w:bCs/>
          <w:sz w:val="21"/>
          <w:szCs w:val="21"/>
          <w:lang w:val="es-ES_tradnl"/>
        </w:rPr>
        <w:t xml:space="preserve">. El 13 de septiembre de 2019, se publicó en el DOF el </w:t>
      </w:r>
      <w:r w:rsidRPr="008704A8">
        <w:rPr>
          <w:rFonts w:ascii="ITC Avant Garde" w:hAnsi="ITC Avant Garde"/>
          <w:sz w:val="21"/>
          <w:lang w:val="es-ES_tradnl"/>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2449DA">
        <w:rPr>
          <w:rFonts w:ascii="ITC Avant Garde" w:hAnsi="ITC Avant Garde"/>
          <w:bCs/>
          <w:sz w:val="21"/>
          <w:szCs w:val="21"/>
          <w:lang w:val="es-ES_tradnl"/>
        </w:rPr>
        <w:t>.</w:t>
      </w:r>
    </w:p>
    <w:p w14:paraId="4342C927" w14:textId="77777777" w:rsidR="004A1192" w:rsidRPr="002449DA" w:rsidRDefault="004A1192" w:rsidP="004A1192">
      <w:pPr>
        <w:pStyle w:val="ROMANOS"/>
        <w:tabs>
          <w:tab w:val="left" w:pos="426"/>
        </w:tabs>
        <w:spacing w:after="0" w:line="240" w:lineRule="auto"/>
        <w:ind w:left="270" w:firstLine="0"/>
        <w:rPr>
          <w:rFonts w:ascii="ITC Avant Garde" w:hAnsi="ITC Avant Garde"/>
          <w:bCs/>
          <w:sz w:val="21"/>
          <w:szCs w:val="21"/>
          <w:lang w:val="es-ES_tradnl"/>
        </w:rPr>
      </w:pPr>
    </w:p>
    <w:p w14:paraId="742BA2B3" w14:textId="77777777"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lang w:val="es-ES_tradnl"/>
        </w:rPr>
      </w:pPr>
      <w:r w:rsidRPr="002449DA">
        <w:rPr>
          <w:rFonts w:ascii="ITC Avant Garde" w:hAnsi="ITC Avant Garde"/>
          <w:b/>
          <w:bCs/>
          <w:sz w:val="21"/>
          <w:szCs w:val="21"/>
          <w:lang w:val="es-ES_tradnl"/>
        </w:rPr>
        <w:t>Anteproyecto para integrar el acervo estadístico.</w:t>
      </w:r>
      <w:r w:rsidRPr="002449DA">
        <w:rPr>
          <w:rFonts w:ascii="ITC Avant Garde" w:hAnsi="ITC Avant Garde"/>
          <w:bCs/>
          <w:sz w:val="21"/>
          <w:szCs w:val="21"/>
          <w:lang w:val="es-ES_tradnl"/>
        </w:rPr>
        <w:t xml:space="preserve"> El 21 de agosto de 2019, mediante Acuerdo P/IFT/210819/398, el Pleno del Instituto en su XVIII sesión ordinaria aprobó someter a consulta pública el “</w:t>
      </w:r>
      <w:r w:rsidRPr="008704A8">
        <w:rPr>
          <w:rFonts w:ascii="ITC Avant Garde" w:hAnsi="ITC Avant Garde"/>
          <w:sz w:val="21"/>
          <w:lang w:val="es-ES_tradnl"/>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Pr="002449DA">
        <w:rPr>
          <w:rFonts w:ascii="ITC Avant Garde" w:hAnsi="ITC Avant Garde"/>
          <w:bCs/>
          <w:sz w:val="21"/>
          <w:szCs w:val="21"/>
          <w:lang w:val="es-ES_tradnl"/>
        </w:rPr>
        <w:t xml:space="preserve">”, mismo que fue publicado en el Portal de Internet del Instituto, a efecto de recabar las opiniones, comentarios y aportaciones de cualquier interesado a propósito de las medidas propuestas por el Instituto. </w:t>
      </w:r>
    </w:p>
    <w:p w14:paraId="490D9C72" w14:textId="77777777" w:rsidR="004A1192" w:rsidRPr="002449DA" w:rsidRDefault="004A1192" w:rsidP="004A1192">
      <w:pPr>
        <w:pStyle w:val="ROMANOS"/>
        <w:tabs>
          <w:tab w:val="left" w:pos="426"/>
        </w:tabs>
        <w:spacing w:after="0" w:line="240" w:lineRule="auto"/>
        <w:ind w:left="426" w:firstLine="0"/>
        <w:rPr>
          <w:rFonts w:ascii="ITC Avant Garde" w:hAnsi="ITC Avant Garde"/>
          <w:bCs/>
          <w:sz w:val="21"/>
          <w:szCs w:val="21"/>
          <w:lang w:val="es-ES_tradnl"/>
        </w:rPr>
      </w:pPr>
    </w:p>
    <w:p w14:paraId="2A379F27" w14:textId="1421942D" w:rsidR="004A1192" w:rsidRPr="002449DA" w:rsidRDefault="004A1192" w:rsidP="00272D27">
      <w:pPr>
        <w:pStyle w:val="ROMANOS"/>
        <w:numPr>
          <w:ilvl w:val="0"/>
          <w:numId w:val="14"/>
        </w:numPr>
        <w:tabs>
          <w:tab w:val="clear" w:pos="720"/>
          <w:tab w:val="left" w:pos="284"/>
        </w:tabs>
        <w:spacing w:after="0" w:line="240" w:lineRule="auto"/>
        <w:ind w:left="284" w:hanging="218"/>
        <w:rPr>
          <w:rFonts w:ascii="ITC Avant Garde" w:hAnsi="ITC Avant Garde"/>
          <w:bCs/>
          <w:sz w:val="21"/>
          <w:szCs w:val="21"/>
        </w:rPr>
      </w:pPr>
      <w:r w:rsidRPr="002449DA">
        <w:rPr>
          <w:rFonts w:ascii="ITC Avant Garde" w:hAnsi="ITC Avant Garde"/>
          <w:b/>
          <w:bCs/>
          <w:sz w:val="21"/>
          <w:szCs w:val="21"/>
        </w:rPr>
        <w:t xml:space="preserve">Consulta Pública. </w:t>
      </w:r>
      <w:r w:rsidRPr="002449DA">
        <w:rPr>
          <w:rFonts w:ascii="ITC Avant Garde" w:hAnsi="ITC Avant Garde"/>
          <w:bCs/>
          <w:sz w:val="21"/>
          <w:szCs w:val="21"/>
        </w:rPr>
        <w:t xml:space="preserve">El 21de agosto de 2019, conforme a lo señalado en el artículo 51 de la </w:t>
      </w:r>
      <w:r w:rsidRPr="002449DA">
        <w:rPr>
          <w:rFonts w:ascii="ITC Avant Garde" w:hAnsi="ITC Avant Garde"/>
          <w:bCs/>
          <w:i/>
          <w:sz w:val="21"/>
          <w:szCs w:val="21"/>
        </w:rPr>
        <w:t xml:space="preserve">Ley Federal de Telecomunicaciones y Radiodifusión </w:t>
      </w:r>
      <w:r w:rsidRPr="002449DA">
        <w:rPr>
          <w:rFonts w:ascii="ITC Avant Garde" w:hAnsi="ITC Avant Garde"/>
          <w:bCs/>
          <w:sz w:val="21"/>
          <w:szCs w:val="21"/>
        </w:rPr>
        <w:t>(en lo sucesivo, la “Ley”), e</w:t>
      </w:r>
      <w:r w:rsidR="009375A4">
        <w:rPr>
          <w:rFonts w:ascii="ITC Avant Garde" w:hAnsi="ITC Avant Garde"/>
          <w:bCs/>
          <w:sz w:val="21"/>
          <w:szCs w:val="21"/>
        </w:rPr>
        <w:t>l Pleno del Instituto mediante A</w:t>
      </w:r>
      <w:r w:rsidRPr="002449DA">
        <w:rPr>
          <w:rFonts w:ascii="ITC Avant Garde" w:hAnsi="ITC Avant Garde"/>
          <w:bCs/>
          <w:sz w:val="21"/>
          <w:szCs w:val="21"/>
        </w:rPr>
        <w:t>cuerdo P/IFT/210819/399, emitido en su XVIII Sesión Ordinaria, aprobó someter a consulta pública el “Anteproyecto de a</w:t>
      </w:r>
      <w:r w:rsidRPr="008704A8">
        <w:rPr>
          <w:rFonts w:ascii="ITC Avant Garde" w:hAnsi="ITC Avant Garde"/>
          <w:sz w:val="21"/>
        </w:rPr>
        <w:t>cuerdo mediante el cual el Pleno del Instituto Federal de Telecomunicaciones deroga, extingue, abroga, deja sin efectos y</w:t>
      </w:r>
      <w:r w:rsidR="003C6A66">
        <w:rPr>
          <w:rFonts w:ascii="ITC Avant Garde" w:hAnsi="ITC Avant Garde"/>
          <w:sz w:val="21"/>
        </w:rPr>
        <w:t xml:space="preserve"> </w:t>
      </w:r>
      <w:r w:rsidRPr="008704A8">
        <w:rPr>
          <w:rFonts w:ascii="ITC Avant Garde" w:hAnsi="ITC Avant Garde"/>
          <w:sz w:val="21"/>
        </w:rPr>
        <w:t>modifica diversas disposiciones relacionadas con los trámites a su cargo y que por diversas circunstancias han perdido su utilidad”</w:t>
      </w:r>
      <w:r w:rsidRPr="002449DA">
        <w:rPr>
          <w:rFonts w:ascii="ITC Avant Garde" w:hAnsi="ITC Avant Garde"/>
          <w:bCs/>
          <w:sz w:val="21"/>
          <w:szCs w:val="21"/>
        </w:rPr>
        <w:t xml:space="preserve">, instruyéndose a la Coordinación General, en su calidad de área proponente, </w:t>
      </w:r>
      <w:r w:rsidRPr="002449DA">
        <w:rPr>
          <w:rFonts w:ascii="ITC Avant Garde" w:hAnsi="ITC Avant Garde"/>
          <w:bCs/>
          <w:sz w:val="21"/>
          <w:szCs w:val="21"/>
        </w:rPr>
        <w:lastRenderedPageBreak/>
        <w:t>ejecutar la consulta pública, incluyendo la recepción de los comentarios y opiniones que fueran vertidos con motivo de la misma.</w:t>
      </w:r>
    </w:p>
    <w:p w14:paraId="32E15790" w14:textId="77777777" w:rsidR="004A1192" w:rsidRPr="002449DA" w:rsidRDefault="004A1192" w:rsidP="004A1192">
      <w:pPr>
        <w:pStyle w:val="Default"/>
        <w:tabs>
          <w:tab w:val="left" w:pos="0"/>
        </w:tabs>
        <w:rPr>
          <w:rFonts w:ascii="ITC Avant Garde" w:hAnsi="ITC Avant Garde"/>
          <w:bCs/>
          <w:sz w:val="21"/>
          <w:szCs w:val="21"/>
        </w:rPr>
      </w:pPr>
    </w:p>
    <w:p w14:paraId="09E8F23A" w14:textId="77777777" w:rsidR="004A1192" w:rsidRDefault="004A1192" w:rsidP="00272D27">
      <w:pPr>
        <w:pStyle w:val="Default"/>
        <w:rPr>
          <w:rFonts w:ascii="ITC Avant Garde" w:hAnsi="ITC Avant Garde"/>
          <w:bCs/>
          <w:sz w:val="21"/>
          <w:szCs w:val="21"/>
          <w:lang w:val="es-ES_tradnl"/>
        </w:rPr>
      </w:pPr>
      <w:r w:rsidRPr="002449DA">
        <w:rPr>
          <w:rFonts w:ascii="ITC Avant Garde" w:hAnsi="ITC Avant Garde"/>
          <w:bCs/>
          <w:sz w:val="21"/>
          <w:szCs w:val="21"/>
          <w:lang w:val="es-ES_tradnl"/>
        </w:rPr>
        <w:t>En virtud de los antecedentes señalados y,</w:t>
      </w:r>
    </w:p>
    <w:p w14:paraId="48A1566A" w14:textId="77777777" w:rsidR="00272D27" w:rsidRPr="002449DA" w:rsidRDefault="00272D27" w:rsidP="00272D27">
      <w:pPr>
        <w:pStyle w:val="Default"/>
        <w:rPr>
          <w:rFonts w:ascii="ITC Avant Garde" w:hAnsi="ITC Avant Garde"/>
          <w:bCs/>
          <w:sz w:val="21"/>
          <w:szCs w:val="21"/>
        </w:rPr>
      </w:pPr>
    </w:p>
    <w:p w14:paraId="707CF4F3" w14:textId="77777777" w:rsidR="004A1192" w:rsidRPr="002449DA" w:rsidRDefault="004A1192" w:rsidP="004A1192">
      <w:pPr>
        <w:pStyle w:val="ANOTACION"/>
        <w:spacing w:before="0" w:after="0" w:line="240" w:lineRule="auto"/>
        <w:rPr>
          <w:rFonts w:ascii="ITC Avant Garde" w:hAnsi="ITC Avant Garde" w:cs="Arial"/>
          <w:bCs/>
          <w:sz w:val="21"/>
          <w:szCs w:val="21"/>
        </w:rPr>
      </w:pPr>
      <w:r w:rsidRPr="002449DA">
        <w:rPr>
          <w:rFonts w:ascii="ITC Avant Garde" w:hAnsi="ITC Avant Garde" w:cs="Arial"/>
          <w:bCs/>
          <w:sz w:val="21"/>
          <w:szCs w:val="21"/>
        </w:rPr>
        <w:t>C O N S I D E R A N D O</w:t>
      </w:r>
    </w:p>
    <w:p w14:paraId="04CE0352" w14:textId="77777777" w:rsidR="004A1192" w:rsidRPr="002449DA" w:rsidRDefault="004A1192" w:rsidP="004A1192">
      <w:pPr>
        <w:pStyle w:val="ANOTACION"/>
        <w:spacing w:before="0" w:after="0" w:line="240" w:lineRule="auto"/>
        <w:rPr>
          <w:rFonts w:ascii="ITC Avant Garde" w:hAnsi="ITC Avant Garde" w:cs="Arial"/>
          <w:bCs/>
          <w:sz w:val="21"/>
          <w:szCs w:val="21"/>
        </w:rPr>
      </w:pPr>
    </w:p>
    <w:p w14:paraId="6E6209C6" w14:textId="26C3E0CB" w:rsidR="004A1192" w:rsidRPr="002449DA" w:rsidRDefault="004A1192" w:rsidP="00272D27">
      <w:pPr>
        <w:pStyle w:val="ROMANOS"/>
        <w:spacing w:after="0" w:line="240" w:lineRule="auto"/>
        <w:ind w:left="0" w:firstLine="0"/>
        <w:rPr>
          <w:rFonts w:ascii="ITC Avant Garde" w:hAnsi="ITC Avant Garde"/>
          <w:bCs/>
          <w:sz w:val="21"/>
          <w:szCs w:val="21"/>
        </w:rPr>
      </w:pPr>
      <w:r w:rsidRPr="00272D27">
        <w:rPr>
          <w:rFonts w:ascii="ITC Avant Garde" w:hAnsi="ITC Avant Garde"/>
          <w:b/>
          <w:bCs/>
          <w:sz w:val="21"/>
          <w:szCs w:val="21"/>
        </w:rPr>
        <w:t>PRIMERO. Competencia del Instituto.</w:t>
      </w:r>
      <w:r w:rsidRPr="002449DA">
        <w:rPr>
          <w:rFonts w:ascii="ITC Avant Garde" w:hAnsi="ITC Avant Garde"/>
          <w:bCs/>
          <w:sz w:val="21"/>
          <w:szCs w:val="21"/>
        </w:rPr>
        <w:t xml:space="preserve"> Que </w:t>
      </w:r>
      <w:r w:rsidR="00C07A56">
        <w:rPr>
          <w:rFonts w:ascii="ITC Avant Garde" w:hAnsi="ITC Avant Garde"/>
          <w:bCs/>
          <w:sz w:val="21"/>
          <w:szCs w:val="21"/>
        </w:rPr>
        <w:t xml:space="preserve">de </w:t>
      </w:r>
      <w:r w:rsidRPr="002449DA">
        <w:rPr>
          <w:rFonts w:ascii="ITC Avant Garde" w:hAnsi="ITC Avant Garde"/>
          <w:bCs/>
          <w:sz w:val="21"/>
          <w:szCs w:val="21"/>
        </w:rPr>
        <w:t xml:space="preserve">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21DD87B" w14:textId="77777777" w:rsidR="004A1192" w:rsidRPr="002449DA" w:rsidRDefault="004A1192" w:rsidP="004A1192">
      <w:pPr>
        <w:pStyle w:val="ANOTACION"/>
        <w:spacing w:before="0" w:after="0" w:line="240" w:lineRule="auto"/>
        <w:rPr>
          <w:rFonts w:ascii="ITC Avant Garde" w:hAnsi="ITC Avant Garde"/>
          <w:bCs/>
          <w:sz w:val="21"/>
          <w:szCs w:val="21"/>
        </w:rPr>
      </w:pPr>
    </w:p>
    <w:p w14:paraId="02270544" w14:textId="054D162A" w:rsidR="000753BB" w:rsidRPr="009843C6" w:rsidRDefault="000753BB" w:rsidP="009843C6">
      <w:pPr>
        <w:suppressAutoHyphens/>
        <w:spacing w:after="0" w:line="240" w:lineRule="auto"/>
        <w:ind w:right="-62"/>
        <w:jc w:val="both"/>
        <w:rPr>
          <w:rFonts w:ascii="ITC Avant Garde" w:hAnsi="ITC Avant Garde"/>
          <w:sz w:val="21"/>
        </w:rPr>
      </w:pPr>
      <w:r w:rsidRPr="007442E3">
        <w:rPr>
          <w:rFonts w:ascii="ITC Avant Garde" w:hAnsi="ITC Avant Garde"/>
          <w:kern w:val="1"/>
          <w:sz w:val="21"/>
          <w:szCs w:val="21"/>
          <w:lang w:val="es-ES"/>
        </w:rPr>
        <w:t>Para tal efecto</w:t>
      </w:r>
      <w:r w:rsidR="0053556E">
        <w:rPr>
          <w:rFonts w:ascii="ITC Avant Garde" w:hAnsi="ITC Avant Garde"/>
          <w:kern w:val="1"/>
          <w:sz w:val="21"/>
          <w:szCs w:val="21"/>
          <w:lang w:val="es-ES"/>
        </w:rPr>
        <w:t>,</w:t>
      </w:r>
      <w:r w:rsidR="004A1192" w:rsidRPr="008704A8">
        <w:rPr>
          <w:rFonts w:ascii="ITC Avant Garde" w:hAnsi="ITC Avant Garde"/>
          <w:sz w:val="21"/>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7442E3">
        <w:rPr>
          <w:rFonts w:ascii="ITC Avant Garde" w:hAnsi="ITC Avant Garde"/>
          <w:kern w:val="1"/>
          <w:sz w:val="21"/>
          <w:szCs w:val="21"/>
          <w:lang w:val="es-ES"/>
        </w:rPr>
        <w:t xml:space="preserve">en términos del precepto de la Constitución invocado, así como </w:t>
      </w:r>
      <w:r>
        <w:rPr>
          <w:rFonts w:ascii="ITC Avant Garde" w:hAnsi="ITC Avant Garde"/>
          <w:kern w:val="1"/>
          <w:sz w:val="21"/>
          <w:szCs w:val="21"/>
          <w:lang w:val="es-ES"/>
        </w:rPr>
        <w:t>por el</w:t>
      </w:r>
      <w:r w:rsidRPr="007442E3">
        <w:rPr>
          <w:rFonts w:ascii="ITC Avant Garde" w:hAnsi="ITC Avant Garde"/>
          <w:kern w:val="1"/>
          <w:sz w:val="21"/>
          <w:szCs w:val="21"/>
          <w:lang w:val="es-ES"/>
        </w:rPr>
        <w:t xml:space="preserve"> artículo 7 de la </w:t>
      </w:r>
      <w:r w:rsidR="00DD4165" w:rsidRPr="00DD4165">
        <w:rPr>
          <w:rFonts w:ascii="ITC Avant Garde" w:hAnsi="ITC Avant Garde"/>
          <w:kern w:val="1"/>
          <w:sz w:val="21"/>
          <w:szCs w:val="21"/>
          <w:lang w:val="es-ES"/>
        </w:rPr>
        <w:t>Ley Federal de Telecomunicaciones y Radiodifusión (en lo sucesivo, la “Ley”</w:t>
      </w:r>
      <w:r w:rsidR="00DD4165">
        <w:rPr>
          <w:rFonts w:ascii="ITC Avant Garde" w:hAnsi="ITC Avant Garde"/>
          <w:kern w:val="1"/>
          <w:sz w:val="21"/>
          <w:szCs w:val="21"/>
          <w:lang w:val="es-ES"/>
        </w:rPr>
        <w:t>)</w:t>
      </w:r>
      <w:r w:rsidRPr="007442E3">
        <w:rPr>
          <w:rFonts w:ascii="ITC Avant Garde" w:hAnsi="ITC Avant Garde"/>
          <w:kern w:val="1"/>
          <w:sz w:val="21"/>
          <w:szCs w:val="21"/>
          <w:lang w:val="es-ES"/>
        </w:rPr>
        <w:t xml:space="preserve">, </w:t>
      </w:r>
      <w:r w:rsidR="004A1192" w:rsidRPr="008704A8">
        <w:rPr>
          <w:rFonts w:ascii="ITC Avant Garde" w:hAnsi="ITC Avant Garde"/>
          <w:sz w:val="21"/>
        </w:rPr>
        <w:t>garantizando lo establecido en los artículos 6° y 7° de la Constitución.</w:t>
      </w:r>
    </w:p>
    <w:p w14:paraId="3442A449" w14:textId="2E01B661" w:rsidR="004A1192" w:rsidRPr="002449DA" w:rsidRDefault="004A1192" w:rsidP="009843C6">
      <w:pPr>
        <w:pStyle w:val="ANOTACION"/>
        <w:spacing w:before="0" w:after="0" w:line="240" w:lineRule="auto"/>
        <w:jc w:val="left"/>
        <w:rPr>
          <w:rFonts w:ascii="ITC Avant Garde" w:hAnsi="ITC Avant Garde"/>
          <w:bCs/>
          <w:sz w:val="21"/>
          <w:szCs w:val="21"/>
        </w:rPr>
      </w:pPr>
    </w:p>
    <w:p w14:paraId="7BA54255" w14:textId="77777777" w:rsidR="004A1192" w:rsidRDefault="004A1192" w:rsidP="004A1192">
      <w:pPr>
        <w:pStyle w:val="ROMANOS"/>
        <w:spacing w:after="0" w:line="240" w:lineRule="auto"/>
        <w:ind w:left="0" w:firstLine="0"/>
        <w:rPr>
          <w:rFonts w:ascii="ITC Avant Garde" w:hAnsi="ITC Avant Garde"/>
          <w:bCs/>
          <w:sz w:val="21"/>
          <w:szCs w:val="21"/>
        </w:rPr>
      </w:pPr>
      <w:r w:rsidRPr="002449DA">
        <w:rPr>
          <w:rFonts w:ascii="ITC Avant Garde" w:hAnsi="ITC Avant Garde"/>
          <w:bCs/>
          <w:sz w:val="21"/>
          <w:szCs w:val="21"/>
        </w:rPr>
        <w:t>Asimismo, en términos de lo dispuesto en el párrafo décimo sexto del artículo 28 de la Constitución, el Instituto es también la autoridad en materia de competencia económica de los sectores de radiodifusión y telecomunicaciones, por lo que el artículo 5 de la LFCE prevé que el Instituto ejercerá, en dichos sectores, de forma exclusiva las facultades que el artículo 28 de la Constitución, y las leyes establecen para la Comisión Federal de Competencia Económica.</w:t>
      </w:r>
    </w:p>
    <w:p w14:paraId="0DEEB177" w14:textId="77777777" w:rsidR="00272D27" w:rsidRDefault="00272D27" w:rsidP="004A1192">
      <w:pPr>
        <w:pStyle w:val="ROMANOS"/>
        <w:spacing w:after="0" w:line="240" w:lineRule="auto"/>
        <w:ind w:left="0" w:firstLine="0"/>
        <w:rPr>
          <w:rFonts w:ascii="ITC Avant Garde" w:hAnsi="ITC Avant Garde"/>
          <w:bCs/>
          <w:sz w:val="21"/>
          <w:szCs w:val="21"/>
        </w:rPr>
      </w:pPr>
    </w:p>
    <w:p w14:paraId="191ADC01" w14:textId="77777777" w:rsidR="00B0471B" w:rsidRDefault="00272D27" w:rsidP="004A1192">
      <w:pPr>
        <w:pStyle w:val="ROMANOS"/>
        <w:spacing w:after="0" w:line="240" w:lineRule="auto"/>
        <w:ind w:left="0" w:firstLine="0"/>
        <w:rPr>
          <w:rFonts w:ascii="ITC Avant Garde" w:hAnsi="ITC Avant Garde"/>
          <w:bCs/>
          <w:sz w:val="21"/>
          <w:szCs w:val="21"/>
        </w:rPr>
      </w:pPr>
      <w:r w:rsidRPr="00272D27">
        <w:rPr>
          <w:rFonts w:ascii="ITC Avant Garde" w:hAnsi="ITC Avant Garde"/>
          <w:bCs/>
          <w:sz w:val="21"/>
          <w:szCs w:val="21"/>
        </w:rPr>
        <w:t>Adicionalmente, el vigésimo párrafo, fracción IV, del artículo 28 de la Constitución señala que el Instituto podrá emitir disposiciones administrativas de carácter general exclusivamente para el cumplimiento de su función regulatoria en el sector de su competencia.</w:t>
      </w:r>
    </w:p>
    <w:p w14:paraId="3676C790" w14:textId="77777777" w:rsidR="00272D27" w:rsidRPr="002449DA" w:rsidRDefault="00272D27" w:rsidP="004A1192">
      <w:pPr>
        <w:pStyle w:val="ROMANOS"/>
        <w:spacing w:after="0" w:line="240" w:lineRule="auto"/>
        <w:ind w:left="0" w:firstLine="0"/>
        <w:rPr>
          <w:rFonts w:ascii="ITC Avant Garde" w:hAnsi="ITC Avant Garde"/>
          <w:bCs/>
          <w:sz w:val="21"/>
          <w:szCs w:val="21"/>
        </w:rPr>
      </w:pPr>
    </w:p>
    <w:p w14:paraId="05D2B7CF" w14:textId="77777777" w:rsidR="004A1192" w:rsidRDefault="004A1192" w:rsidP="00D2505D">
      <w:pPr>
        <w:pStyle w:val="ROMANOS"/>
        <w:spacing w:after="0" w:line="240" w:lineRule="auto"/>
        <w:ind w:left="0" w:firstLine="0"/>
        <w:rPr>
          <w:rFonts w:ascii="ITC Avant Garde" w:hAnsi="ITC Avant Garde"/>
          <w:bCs/>
          <w:sz w:val="21"/>
          <w:szCs w:val="21"/>
          <w:lang w:val="es-ES_tradnl"/>
        </w:rPr>
      </w:pPr>
      <w:r w:rsidRPr="002449DA">
        <w:rPr>
          <w:rFonts w:ascii="ITC Avant Garde" w:hAnsi="ITC Avant Garde"/>
          <w:bCs/>
          <w:sz w:val="21"/>
          <w:szCs w:val="21"/>
          <w:lang w:val="es-ES_tradnl"/>
        </w:rPr>
        <w:t xml:space="preserve">En particular, en términos de lo dispuesto por el artículo 15, fracciones I, XLI y LVI de la Ley, el Instituto podrá expedir disposiciones administrativas de carácter general en materia de telecomunicaciones y radiodifusión, </w:t>
      </w:r>
      <w:r w:rsidRPr="002449DA">
        <w:rPr>
          <w:rFonts w:ascii="ITC Avant Garde" w:hAnsi="ITC Avant Garde"/>
          <w:bCs/>
          <w:sz w:val="21"/>
          <w:szCs w:val="21"/>
        </w:rPr>
        <w:t xml:space="preserve">demás disposiciones para el cumplimiento de lo dispuesto en la Ley, </w:t>
      </w:r>
      <w:r w:rsidRPr="002449DA">
        <w:rPr>
          <w:rFonts w:ascii="ITC Avant Garde" w:hAnsi="ITC Avant Garde"/>
          <w:bCs/>
          <w:sz w:val="21"/>
          <w:szCs w:val="21"/>
          <w:lang w:val="es-ES_tradnl"/>
        </w:rPr>
        <w:t>así como establecer las disposiciones para sus procesos de mejora regulatoria.</w:t>
      </w:r>
    </w:p>
    <w:p w14:paraId="7FE2212A" w14:textId="77777777" w:rsidR="00B0471B" w:rsidRDefault="00B0471B" w:rsidP="004A1192">
      <w:pPr>
        <w:pStyle w:val="ROMANOS"/>
        <w:spacing w:after="0" w:line="240" w:lineRule="auto"/>
        <w:ind w:left="0" w:firstLine="0"/>
        <w:rPr>
          <w:rFonts w:ascii="ITC Avant Garde" w:hAnsi="ITC Avant Garde"/>
          <w:bCs/>
          <w:sz w:val="21"/>
          <w:szCs w:val="21"/>
          <w:lang w:val="es-ES_tradnl"/>
        </w:rPr>
      </w:pPr>
    </w:p>
    <w:p w14:paraId="211F4577" w14:textId="77777777" w:rsidR="00B0471B" w:rsidRPr="00B0471B" w:rsidRDefault="00B0471B" w:rsidP="00CC65DA">
      <w:pPr>
        <w:pStyle w:val="ROMANOS"/>
        <w:tabs>
          <w:tab w:val="clear" w:pos="720"/>
          <w:tab w:val="left" w:pos="0"/>
        </w:tabs>
        <w:spacing w:after="0" w:line="240" w:lineRule="auto"/>
        <w:ind w:left="0" w:firstLine="0"/>
        <w:rPr>
          <w:rFonts w:ascii="ITC Avant Garde" w:hAnsi="ITC Avant Garde"/>
          <w:bCs/>
          <w:sz w:val="21"/>
          <w:szCs w:val="21"/>
          <w:lang w:val="es-ES_tradnl"/>
        </w:rPr>
      </w:pPr>
      <w:r>
        <w:rPr>
          <w:rFonts w:ascii="ITC Avant Garde" w:hAnsi="ITC Avant Garde"/>
          <w:bCs/>
          <w:sz w:val="21"/>
          <w:szCs w:val="21"/>
          <w:lang w:val="es-ES_tradnl"/>
        </w:rPr>
        <w:t xml:space="preserve">Por su parte, de conformidad con </w:t>
      </w:r>
      <w:r w:rsidRPr="00B0471B">
        <w:rPr>
          <w:rFonts w:ascii="ITC Avant Garde" w:hAnsi="ITC Avant Garde"/>
          <w:bCs/>
          <w:sz w:val="21"/>
          <w:szCs w:val="21"/>
          <w:lang w:val="es-ES_tradnl"/>
        </w:rPr>
        <w:t>los artículos 1, 2 fracción I, 6 y 7 fracción V de la Le</w:t>
      </w:r>
      <w:r w:rsidR="00CC65DA">
        <w:rPr>
          <w:rFonts w:ascii="ITC Avant Garde" w:hAnsi="ITC Avant Garde"/>
          <w:bCs/>
          <w:sz w:val="21"/>
          <w:szCs w:val="21"/>
          <w:lang w:val="es-ES_tradnl"/>
        </w:rPr>
        <w:t xml:space="preserve">y </w:t>
      </w:r>
      <w:r>
        <w:rPr>
          <w:rFonts w:ascii="ITC Avant Garde" w:hAnsi="ITC Avant Garde"/>
          <w:bCs/>
          <w:sz w:val="21"/>
          <w:szCs w:val="21"/>
          <w:lang w:val="es-ES_tradnl"/>
        </w:rPr>
        <w:t xml:space="preserve">General de Mejora Regulatoria, en la cual, se </w:t>
      </w:r>
      <w:r w:rsidRPr="00B0471B">
        <w:rPr>
          <w:rFonts w:ascii="ITC Avant Garde" w:hAnsi="ITC Avant Garde"/>
          <w:bCs/>
          <w:sz w:val="21"/>
          <w:szCs w:val="21"/>
          <w:lang w:val="es-ES_tradnl"/>
        </w:rPr>
        <w:t>establece</w:t>
      </w:r>
      <w:r>
        <w:rPr>
          <w:rFonts w:ascii="ITC Avant Garde" w:hAnsi="ITC Avant Garde"/>
          <w:bCs/>
          <w:sz w:val="21"/>
          <w:szCs w:val="21"/>
          <w:lang w:val="es-ES_tradnl"/>
        </w:rPr>
        <w:t>n los</w:t>
      </w:r>
      <w:r w:rsidRPr="00B0471B">
        <w:rPr>
          <w:rFonts w:ascii="ITC Avant Garde" w:hAnsi="ITC Avant Garde"/>
          <w:bCs/>
          <w:sz w:val="21"/>
          <w:szCs w:val="21"/>
          <w:lang w:val="es-ES_tradnl"/>
        </w:rPr>
        <w:t xml:space="preserve"> principios a los que deb</w:t>
      </w:r>
      <w:r>
        <w:rPr>
          <w:rFonts w:ascii="ITC Avant Garde" w:hAnsi="ITC Avant Garde"/>
          <w:bCs/>
          <w:sz w:val="21"/>
          <w:szCs w:val="21"/>
          <w:lang w:val="es-ES_tradnl"/>
        </w:rPr>
        <w:t>erá sujetarse el Instituto como</w:t>
      </w:r>
      <w:r w:rsidRPr="00B0471B">
        <w:rPr>
          <w:rFonts w:ascii="ITC Avant Garde" w:hAnsi="ITC Avant Garde"/>
          <w:bCs/>
          <w:sz w:val="21"/>
          <w:szCs w:val="21"/>
          <w:lang w:val="es-ES_tradnl"/>
        </w:rPr>
        <w:t xml:space="preserve"> sujeto obligado en materia de mejora regulatoria. </w:t>
      </w:r>
    </w:p>
    <w:p w14:paraId="47B8ADC9" w14:textId="77777777" w:rsidR="00B0471B" w:rsidRPr="00B0471B" w:rsidRDefault="00B0471B" w:rsidP="00B0471B">
      <w:pPr>
        <w:pStyle w:val="ROMANOS"/>
        <w:spacing w:after="0" w:line="240" w:lineRule="auto"/>
        <w:ind w:left="0" w:firstLine="0"/>
        <w:rPr>
          <w:rFonts w:ascii="ITC Avant Garde" w:hAnsi="ITC Avant Garde"/>
          <w:bCs/>
          <w:sz w:val="21"/>
          <w:szCs w:val="21"/>
          <w:lang w:val="es-ES_tradnl"/>
        </w:rPr>
      </w:pPr>
    </w:p>
    <w:p w14:paraId="46E3310A" w14:textId="3D90809A" w:rsidR="00200B37" w:rsidRPr="00B0471B" w:rsidRDefault="00B0471B" w:rsidP="00B0471B">
      <w:pPr>
        <w:pStyle w:val="ROMANOS"/>
        <w:spacing w:after="0" w:line="240" w:lineRule="auto"/>
        <w:ind w:left="0" w:firstLine="0"/>
        <w:rPr>
          <w:rFonts w:ascii="ITC Avant Garde" w:hAnsi="ITC Avant Garde"/>
          <w:bCs/>
          <w:sz w:val="21"/>
          <w:szCs w:val="21"/>
          <w:lang w:val="es-ES_tradnl"/>
        </w:rPr>
      </w:pPr>
      <w:r>
        <w:rPr>
          <w:rFonts w:ascii="ITC Avant Garde" w:hAnsi="ITC Avant Garde"/>
          <w:bCs/>
          <w:sz w:val="21"/>
          <w:szCs w:val="21"/>
          <w:lang w:val="es-ES_tradnl"/>
        </w:rPr>
        <w:t xml:space="preserve">Al respecto, el Instituto </w:t>
      </w:r>
      <w:r w:rsidRPr="00B0471B">
        <w:rPr>
          <w:rFonts w:ascii="ITC Avant Garde" w:hAnsi="ITC Avant Garde"/>
          <w:bCs/>
          <w:sz w:val="21"/>
          <w:szCs w:val="21"/>
          <w:lang w:val="es-ES_tradnl"/>
        </w:rPr>
        <w:t>debe implementar la política de mejora regulatoria para el perfeccionamiento de las regulaciones y la simplificación de trámites y servicios en el sector de las telecomunicaciones, radiodifusión y competencia económica en M</w:t>
      </w:r>
      <w:r w:rsidR="00CC65DA">
        <w:rPr>
          <w:rFonts w:ascii="ITC Avant Garde" w:hAnsi="ITC Avant Garde"/>
          <w:bCs/>
          <w:sz w:val="21"/>
          <w:szCs w:val="21"/>
          <w:lang w:val="es-ES_tradnl"/>
        </w:rPr>
        <w:t>éxico</w:t>
      </w:r>
      <w:r w:rsidRPr="00B0471B">
        <w:rPr>
          <w:rFonts w:ascii="ITC Avant Garde" w:hAnsi="ITC Avant Garde"/>
          <w:bCs/>
          <w:sz w:val="21"/>
          <w:szCs w:val="21"/>
          <w:lang w:val="es-ES_tradnl"/>
        </w:rPr>
        <w:t xml:space="preserve"> </w:t>
      </w:r>
      <w:r w:rsidRPr="00B0471B">
        <w:rPr>
          <w:rFonts w:ascii="ITC Avant Garde" w:hAnsi="ITC Avant Garde"/>
          <w:bCs/>
          <w:sz w:val="21"/>
          <w:szCs w:val="21"/>
          <w:lang w:val="es-ES_tradnl"/>
        </w:rPr>
        <w:lastRenderedPageBreak/>
        <w:t>que</w:t>
      </w:r>
      <w:r w:rsidR="00CC65DA">
        <w:rPr>
          <w:rFonts w:ascii="ITC Avant Garde" w:hAnsi="ITC Avant Garde"/>
          <w:bCs/>
          <w:sz w:val="21"/>
          <w:szCs w:val="21"/>
          <w:lang w:val="es-ES_tradnl"/>
        </w:rPr>
        <w:t>,</w:t>
      </w:r>
      <w:r w:rsidRPr="00B0471B">
        <w:rPr>
          <w:rFonts w:ascii="ITC Avant Garde" w:hAnsi="ITC Avant Garde"/>
          <w:bCs/>
          <w:sz w:val="21"/>
          <w:szCs w:val="21"/>
          <w:lang w:val="es-ES_tradnl"/>
        </w:rPr>
        <w:t xml:space="preserve"> a su vez, promuevan la eficacia y eficiencia de los mismos, creando mayores beneficios que costos y el máximo beneficio social en el sector.</w:t>
      </w:r>
    </w:p>
    <w:p w14:paraId="3FEE111C" w14:textId="77777777" w:rsidR="009843C6" w:rsidRDefault="009843C6" w:rsidP="00EA7A00">
      <w:pPr>
        <w:pStyle w:val="ROMANOS"/>
        <w:spacing w:after="0" w:line="240" w:lineRule="auto"/>
        <w:ind w:left="0" w:firstLine="0"/>
        <w:rPr>
          <w:rFonts w:ascii="ITC Avant Garde" w:hAnsi="ITC Avant Garde"/>
          <w:bCs/>
          <w:sz w:val="21"/>
          <w:szCs w:val="21"/>
          <w:lang w:val="es-ES_tradnl"/>
        </w:rPr>
      </w:pPr>
    </w:p>
    <w:p w14:paraId="14F09A7B" w14:textId="5A9D525E" w:rsidR="004A1192" w:rsidRDefault="004A1192" w:rsidP="00EA7A00">
      <w:pPr>
        <w:pStyle w:val="ROMANOS"/>
        <w:spacing w:after="0" w:line="240" w:lineRule="auto"/>
        <w:ind w:left="0" w:firstLine="0"/>
        <w:rPr>
          <w:rFonts w:ascii="ITC Avant Garde" w:hAnsi="ITC Avant Garde"/>
          <w:bCs/>
          <w:sz w:val="21"/>
          <w:szCs w:val="21"/>
          <w:lang w:val="es-ES_tradnl"/>
        </w:rPr>
      </w:pPr>
      <w:r w:rsidRPr="002449DA">
        <w:rPr>
          <w:rFonts w:ascii="ITC Avant Garde" w:hAnsi="ITC Avant Garde"/>
          <w:bCs/>
          <w:sz w:val="21"/>
          <w:szCs w:val="21"/>
          <w:lang w:val="es-ES_tradnl"/>
        </w:rPr>
        <w:t>Por lo anterior, y con fundamento en los artículos 6o.</w:t>
      </w:r>
      <w:r w:rsidR="00577378">
        <w:rPr>
          <w:rFonts w:ascii="ITC Avant Garde" w:hAnsi="ITC Avant Garde"/>
          <w:bCs/>
          <w:sz w:val="21"/>
          <w:szCs w:val="21"/>
          <w:lang w:val="es-ES_tradnl"/>
        </w:rPr>
        <w:t>, apartado B), fracción II,</w:t>
      </w:r>
      <w:r w:rsidRPr="002449DA">
        <w:rPr>
          <w:rFonts w:ascii="ITC Avant Garde" w:hAnsi="ITC Avant Garde"/>
          <w:bCs/>
          <w:sz w:val="21"/>
          <w:szCs w:val="21"/>
          <w:lang w:val="es-ES_tradnl"/>
        </w:rPr>
        <w:t xml:space="preserve"> y 28, párrafos décimo quinto, décimo sexto y vigésimo, fracción IV, de la Constitución; 1, 2, 7, 15, fracciones I, XLI y LVI, 16, 17, fracción I y XV, y 51 de la Ley;  5</w:t>
      </w:r>
      <w:r w:rsidRPr="002449DA">
        <w:rPr>
          <w:rFonts w:ascii="ITC Avant Garde" w:hAnsi="ITC Avant Garde"/>
          <w:bCs/>
          <w:sz w:val="21"/>
          <w:szCs w:val="21"/>
          <w:lang w:val="es-ES"/>
        </w:rPr>
        <w:t>, 12, fracción XXII y 138 de la LFCE; y</w:t>
      </w:r>
      <w:r w:rsidRPr="002449DA">
        <w:rPr>
          <w:rFonts w:ascii="ITC Avant Garde" w:hAnsi="ITC Avant Garde"/>
          <w:bCs/>
          <w:sz w:val="21"/>
          <w:szCs w:val="21"/>
          <w:lang w:val="es-ES_tradnl"/>
        </w:rPr>
        <w:t xml:space="preserve"> 1, 4, fracción I, y 6, fracciones I, XXV y XXXVII del Estatuto, el Pleno del Instituto, en su carácter de órgano máximo de gobierno y decisión, es competente para aprobar y emitir el </w:t>
      </w:r>
      <w:r w:rsidRPr="002449DA">
        <w:rPr>
          <w:rFonts w:ascii="ITC Avant Garde" w:hAnsi="ITC Avant Garde"/>
          <w:bCs/>
          <w:i/>
          <w:sz w:val="21"/>
          <w:szCs w:val="21"/>
          <w:lang w:val="es-ES_tradnl"/>
        </w:rPr>
        <w:t>“Acuerdo mediante el cual el Pleno del Instituto Federal de Telecomunicaciones deroga, extingue, abroga, deja sin efectos y modifica diversas disposiciones relacionadas con los trámites a su cargo y que por diversas circunstancias han perdido su utilidad”</w:t>
      </w:r>
      <w:r w:rsidR="008E6E83">
        <w:rPr>
          <w:rFonts w:ascii="ITC Avant Garde" w:hAnsi="ITC Avant Garde"/>
          <w:bCs/>
          <w:i/>
          <w:sz w:val="21"/>
          <w:szCs w:val="21"/>
          <w:lang w:val="es-ES_tradnl"/>
        </w:rPr>
        <w:t xml:space="preserve"> </w:t>
      </w:r>
      <w:r w:rsidRPr="002449DA">
        <w:rPr>
          <w:rFonts w:ascii="ITC Avant Garde" w:hAnsi="ITC Avant Garde"/>
          <w:bCs/>
          <w:sz w:val="21"/>
          <w:szCs w:val="21"/>
          <w:lang w:val="es-ES_tradnl"/>
        </w:rPr>
        <w:t>(en lo sucesivo, el “Acuerdo”).</w:t>
      </w:r>
    </w:p>
    <w:p w14:paraId="6D63155B" w14:textId="77777777" w:rsidR="00B0471B" w:rsidRPr="00EA7A00" w:rsidRDefault="00B0471B" w:rsidP="00EA7A00">
      <w:pPr>
        <w:pStyle w:val="ROMANOS"/>
        <w:spacing w:after="0" w:line="240" w:lineRule="auto"/>
        <w:ind w:left="0" w:firstLine="0"/>
        <w:rPr>
          <w:rFonts w:ascii="ITC Avant Garde" w:hAnsi="ITC Avant Garde"/>
          <w:bCs/>
          <w:sz w:val="21"/>
          <w:szCs w:val="21"/>
          <w:lang w:val="es-ES_tradnl"/>
        </w:rPr>
      </w:pPr>
    </w:p>
    <w:p w14:paraId="0D373880" w14:textId="7DD0AEED" w:rsidR="004A1192" w:rsidRPr="002449DA" w:rsidRDefault="004A1192" w:rsidP="004A1192">
      <w:pPr>
        <w:pStyle w:val="Default"/>
        <w:tabs>
          <w:tab w:val="left" w:pos="0"/>
        </w:tabs>
        <w:jc w:val="both"/>
        <w:rPr>
          <w:rFonts w:ascii="ITC Avant Garde" w:hAnsi="ITC Avant Garde" w:cs="Times New Roman"/>
          <w:bCs/>
          <w:color w:val="auto"/>
          <w:sz w:val="21"/>
          <w:szCs w:val="21"/>
          <w:lang w:val="es-ES_tradnl"/>
        </w:rPr>
      </w:pPr>
      <w:r w:rsidRPr="002449DA">
        <w:rPr>
          <w:rFonts w:ascii="ITC Avant Garde" w:hAnsi="ITC Avant Garde"/>
          <w:b/>
          <w:sz w:val="21"/>
          <w:szCs w:val="21"/>
        </w:rPr>
        <w:t>SEGUNDO</w:t>
      </w:r>
      <w:r w:rsidRPr="002449DA">
        <w:rPr>
          <w:rFonts w:ascii="ITC Avant Garde" w:hAnsi="ITC Avant Garde"/>
          <w:sz w:val="21"/>
          <w:szCs w:val="21"/>
        </w:rPr>
        <w:t xml:space="preserve">.  </w:t>
      </w:r>
      <w:r w:rsidRPr="002449DA">
        <w:rPr>
          <w:rFonts w:ascii="ITC Avant Garde" w:hAnsi="ITC Avant Garde"/>
          <w:b/>
          <w:bCs/>
          <w:sz w:val="21"/>
          <w:szCs w:val="21"/>
        </w:rPr>
        <w:t xml:space="preserve">Contenido y Objeto. </w:t>
      </w:r>
      <w:r w:rsidRPr="002449DA">
        <w:rPr>
          <w:rFonts w:ascii="ITC Avant Garde" w:hAnsi="ITC Avant Garde"/>
          <w:sz w:val="21"/>
          <w:szCs w:val="21"/>
        </w:rPr>
        <w:t>El presente</w:t>
      </w:r>
      <w:r w:rsidRPr="008704A8">
        <w:rPr>
          <w:rFonts w:ascii="ITC Avant Garde" w:hAnsi="ITC Avant Garde"/>
          <w:color w:val="auto"/>
          <w:sz w:val="21"/>
          <w:lang w:val="es-ES_tradnl"/>
        </w:rPr>
        <w:t xml:space="preserve"> </w:t>
      </w:r>
      <w:r w:rsidRPr="002449DA">
        <w:rPr>
          <w:rFonts w:ascii="ITC Avant Garde" w:hAnsi="ITC Avant Garde" w:cs="Times New Roman"/>
          <w:bCs/>
          <w:color w:val="auto"/>
          <w:sz w:val="21"/>
          <w:szCs w:val="21"/>
          <w:lang w:val="es-ES_tradnl"/>
        </w:rPr>
        <w:t>Acuerdo tiene por objeto emplear la desregulación y la simplificación administrativa como herramientas para lograr una mayor eficiencia y disminuir las cargas administrativas de los sujetos regulados por la Ley, en atención a la utilidad social que éstas efectivamente revisten en el contexto de la prestación eficiente de los servicios de telecomunicaciones y radiodifusión.</w:t>
      </w:r>
    </w:p>
    <w:p w14:paraId="1A7F4478" w14:textId="77777777" w:rsidR="004A1192" w:rsidRPr="002449DA" w:rsidRDefault="004A1192" w:rsidP="004A1192">
      <w:pPr>
        <w:pStyle w:val="Default"/>
        <w:tabs>
          <w:tab w:val="left" w:pos="0"/>
        </w:tabs>
        <w:jc w:val="both"/>
        <w:rPr>
          <w:rFonts w:ascii="ITC Avant Garde" w:hAnsi="ITC Avant Garde" w:cs="Times New Roman"/>
          <w:bCs/>
          <w:color w:val="auto"/>
          <w:sz w:val="21"/>
          <w:szCs w:val="21"/>
          <w:lang w:val="es-ES_tradnl"/>
        </w:rPr>
      </w:pPr>
    </w:p>
    <w:p w14:paraId="1C052E4D" w14:textId="3FD1297C" w:rsidR="00C07A56" w:rsidRDefault="00C07A56" w:rsidP="004A1192">
      <w:pPr>
        <w:pStyle w:val="Default"/>
        <w:tabs>
          <w:tab w:val="left" w:pos="0"/>
        </w:tabs>
        <w:jc w:val="both"/>
        <w:rPr>
          <w:rFonts w:ascii="ITC Avant Garde" w:hAnsi="ITC Avant Garde" w:cs="Times New Roman"/>
          <w:bCs/>
          <w:color w:val="auto"/>
          <w:sz w:val="21"/>
          <w:szCs w:val="21"/>
          <w:lang w:val="es-ES_tradnl"/>
        </w:rPr>
      </w:pPr>
      <w:r w:rsidRPr="00C07A56">
        <w:rPr>
          <w:rFonts w:ascii="ITC Avant Garde" w:hAnsi="ITC Avant Garde" w:cs="Times New Roman"/>
          <w:bCs/>
          <w:color w:val="auto"/>
          <w:sz w:val="21"/>
          <w:szCs w:val="21"/>
          <w:lang w:val="es-ES_tradnl"/>
        </w:rPr>
        <w:t xml:space="preserve">Lo anterior, a través de la expedición de una disposición de carácter general, que de manera sumaria y contextualmente armónica con las demás acciones de mejora administrativa que el Instituto ha realizado y se encuentra realizando, permita la </w:t>
      </w:r>
      <w:bookmarkStart w:id="0" w:name="_GoBack"/>
      <w:bookmarkEnd w:id="0"/>
      <w:r w:rsidRPr="00C07A56">
        <w:rPr>
          <w:rFonts w:ascii="ITC Avant Garde" w:hAnsi="ITC Avant Garde" w:cs="Times New Roman"/>
          <w:bCs/>
          <w:color w:val="auto"/>
          <w:sz w:val="21"/>
          <w:szCs w:val="21"/>
          <w:lang w:val="es-ES_tradnl"/>
        </w:rPr>
        <w:t>extinción o modificación de diversas obligaciones a cargo de los regulados que, a la fecha, se traducen en trámites innecesarios u obsoletos o en entregas de contenidos de información respecto de los cuales, el Instituto ya se allega o puede allegarse por otras vías</w:t>
      </w:r>
      <w:r>
        <w:rPr>
          <w:rFonts w:ascii="ITC Avant Garde" w:hAnsi="ITC Avant Garde" w:cs="Times New Roman"/>
          <w:bCs/>
          <w:color w:val="auto"/>
          <w:sz w:val="21"/>
          <w:szCs w:val="21"/>
          <w:lang w:val="es-ES_tradnl"/>
        </w:rPr>
        <w:t>.</w:t>
      </w:r>
    </w:p>
    <w:p w14:paraId="1F726B64" w14:textId="44F54DF9" w:rsidR="004A1192" w:rsidRPr="002449DA" w:rsidRDefault="004A1192" w:rsidP="004A1192">
      <w:pPr>
        <w:pStyle w:val="Default"/>
        <w:tabs>
          <w:tab w:val="left" w:pos="0"/>
        </w:tabs>
        <w:jc w:val="both"/>
        <w:rPr>
          <w:rFonts w:ascii="ITC Avant Garde" w:hAnsi="ITC Avant Garde" w:cs="Times New Roman"/>
          <w:bCs/>
          <w:color w:val="auto"/>
          <w:sz w:val="21"/>
          <w:szCs w:val="21"/>
          <w:lang w:val="es-ES_tradnl"/>
        </w:rPr>
      </w:pPr>
    </w:p>
    <w:p w14:paraId="41202457" w14:textId="77777777" w:rsidR="005C0F7F" w:rsidRDefault="005C0F7F" w:rsidP="005C0F7F">
      <w:pPr>
        <w:pStyle w:val="Default"/>
        <w:tabs>
          <w:tab w:val="left" w:pos="0"/>
        </w:tabs>
        <w:jc w:val="both"/>
        <w:rPr>
          <w:rFonts w:ascii="ITC Avant Garde" w:hAnsi="ITC Avant Garde" w:cs="Times New Roman"/>
          <w:bCs/>
          <w:color w:val="auto"/>
          <w:sz w:val="21"/>
          <w:szCs w:val="21"/>
          <w:lang w:val="es-ES_tradnl"/>
        </w:rPr>
      </w:pPr>
      <w:r>
        <w:rPr>
          <w:rFonts w:ascii="ITC Avant Garde" w:hAnsi="ITC Avant Garde" w:cs="Times New Roman"/>
          <w:bCs/>
          <w:color w:val="auto"/>
          <w:sz w:val="21"/>
          <w:szCs w:val="21"/>
          <w:lang w:val="es-ES_tradnl"/>
        </w:rPr>
        <w:t>Por otra parte, con relación a otras obligaciones de entrega de información para los que se creó un formato a través del cual de facto se viene proporcionando la información, aun cuando su publicación no fue realizada en el DOF, en términos del artículo 4 de Ley Federal de Procedimiento Administrativo, se hace necesario que a fin de otorgar certeza jurídica a través del presente Acuerdo se precise que dejarán de surtir efectos.</w:t>
      </w:r>
    </w:p>
    <w:p w14:paraId="091F04A3" w14:textId="77777777" w:rsidR="005C0F7F" w:rsidRDefault="005C0F7F" w:rsidP="005C0F7F">
      <w:pPr>
        <w:pStyle w:val="Default"/>
        <w:tabs>
          <w:tab w:val="left" w:pos="0"/>
        </w:tabs>
        <w:jc w:val="both"/>
        <w:rPr>
          <w:rFonts w:ascii="ITC Avant Garde" w:hAnsi="ITC Avant Garde" w:cs="Times New Roman"/>
          <w:bCs/>
          <w:color w:val="auto"/>
          <w:sz w:val="21"/>
          <w:szCs w:val="21"/>
          <w:lang w:val="es-ES_tradnl"/>
        </w:rPr>
      </w:pPr>
    </w:p>
    <w:p w14:paraId="06018B54" w14:textId="49D3C816" w:rsidR="005C0F7F" w:rsidRPr="002449DA" w:rsidRDefault="005C0F7F" w:rsidP="005C0F7F">
      <w:pPr>
        <w:pStyle w:val="Default"/>
        <w:tabs>
          <w:tab w:val="left" w:pos="0"/>
        </w:tabs>
        <w:jc w:val="both"/>
        <w:rPr>
          <w:rFonts w:ascii="ITC Avant Garde" w:hAnsi="ITC Avant Garde" w:cs="Times New Roman"/>
          <w:bCs/>
          <w:color w:val="auto"/>
          <w:sz w:val="21"/>
          <w:szCs w:val="21"/>
          <w:lang w:val="es-ES_tradnl"/>
        </w:rPr>
      </w:pPr>
      <w:r>
        <w:rPr>
          <w:rFonts w:ascii="ITC Avant Garde" w:hAnsi="ITC Avant Garde" w:cs="Times New Roman"/>
          <w:bCs/>
          <w:color w:val="auto"/>
          <w:sz w:val="21"/>
          <w:szCs w:val="21"/>
          <w:lang w:val="es-ES_tradnl"/>
        </w:rPr>
        <w:t xml:space="preserve">Asimismo, se considera necesario dejar sin efectos los formatos contenidos en </w:t>
      </w:r>
      <w:r w:rsidRPr="002A110D">
        <w:rPr>
          <w:rFonts w:ascii="ITC Avant Garde" w:hAnsi="ITC Avant Garde" w:cs="Times New Roman"/>
          <w:bCs/>
          <w:color w:val="auto"/>
          <w:sz w:val="21"/>
          <w:szCs w:val="21"/>
          <w:lang w:val="es-ES_tradnl"/>
        </w:rPr>
        <w:t>circulares, oficios, criterios, instructivos y directivas</w:t>
      </w:r>
      <w:r>
        <w:rPr>
          <w:rFonts w:ascii="ITC Avant Garde" w:hAnsi="ITC Avant Garde" w:cs="Times New Roman"/>
          <w:bCs/>
          <w:color w:val="auto"/>
          <w:sz w:val="21"/>
          <w:szCs w:val="21"/>
          <w:lang w:val="es-ES_tradnl"/>
        </w:rPr>
        <w:t>,</w:t>
      </w:r>
      <w:r w:rsidRPr="002A110D">
        <w:rPr>
          <w:rFonts w:ascii="ITC Avant Garde" w:hAnsi="ITC Avant Garde" w:cs="Times New Roman"/>
          <w:bCs/>
          <w:color w:val="auto"/>
          <w:sz w:val="21"/>
          <w:szCs w:val="21"/>
          <w:lang w:val="es-ES_tradnl"/>
        </w:rPr>
        <w:t xml:space="preserve"> que como medios de presentación para la entrega de diversa informació</w:t>
      </w:r>
      <w:r>
        <w:rPr>
          <w:rFonts w:ascii="ITC Avant Garde" w:hAnsi="ITC Avant Garde" w:cs="Times New Roman"/>
          <w:bCs/>
          <w:color w:val="auto"/>
          <w:sz w:val="21"/>
          <w:szCs w:val="21"/>
          <w:lang w:val="es-ES_tradnl"/>
        </w:rPr>
        <w:t xml:space="preserve">n no fueron publicados en el DOF y tampoco derivan de algún ordenamiento de carácter general, entre los que, de manera enunciativa, se pueden señalar los siguientes: </w:t>
      </w:r>
      <w:r w:rsidRPr="008E5040">
        <w:rPr>
          <w:rFonts w:ascii="ITC Avant Garde" w:hAnsi="ITC Avant Garde"/>
          <w:bCs/>
          <w:sz w:val="21"/>
          <w:szCs w:val="21"/>
          <w:lang w:val="es-ES"/>
        </w:rPr>
        <w:t xml:space="preserve">Estadísticas de líneas por entidad federativa; Estadística de líneas de las principales ciudades; Formato 1. Indicadores Financieros y personal ocupado; Formato 2. Información estadística de telefonía local, líneas en servicio, residenciales y no residenciales; Formato 2-A. Tráfico de minutos, llamadas y monto facturado de las líneas totales, residenciales y no residenciales; Formato 3. Información estadística de telefonía local. Monto facturado por el servicio de telefonía local; Formato DTP/001. Información general de la prestación del servicio de telefonía pública; </w:t>
      </w:r>
      <w:r w:rsidRPr="008E5040">
        <w:rPr>
          <w:rFonts w:ascii="ITC Avant Garde" w:hAnsi="ITC Avant Garde"/>
          <w:sz w:val="21"/>
          <w:szCs w:val="21"/>
          <w:lang w:val="es-ES"/>
        </w:rPr>
        <w:t xml:space="preserve">Formato DTP/002. Seguimiento de solicitudes en trámite de líneas para la prestación del servicio de telefonía pública; </w:t>
      </w:r>
      <w:r w:rsidRPr="008E5040">
        <w:rPr>
          <w:rFonts w:ascii="ITC Avant Garde" w:hAnsi="ITC Avant Garde"/>
          <w:bCs/>
          <w:sz w:val="21"/>
          <w:szCs w:val="21"/>
          <w:lang w:val="es-ES"/>
        </w:rPr>
        <w:t xml:space="preserve">Formato DSL/001. Centrales de Conexión de Abonados (CCA); Formato DSL/002. Centrales con Capacidad de </w:t>
      </w:r>
      <w:r w:rsidRPr="008E5040">
        <w:rPr>
          <w:rFonts w:ascii="ITC Avant Garde" w:hAnsi="ITC Avant Garde"/>
          <w:bCs/>
          <w:sz w:val="21"/>
          <w:szCs w:val="21"/>
          <w:lang w:val="es-ES"/>
        </w:rPr>
        <w:lastRenderedPageBreak/>
        <w:t>Enrutamiento o de Tránsito Urbano (CCE o CTU); Formato DSL/003. Centrales de Tránsito Interurbano (CTI); Formato DSL/004. Áreas de Servicio Local (ASL); Formato DSL/005. Troncales de Interconexión en Centrales con Capacidad de Enrutamiento; Formato DSL/006. Troncales de Interconexión en Centrales de Tránsito Interurbano; Formato DSL/007. Primeras y Segundas líneas, Formato DSL/008. Telefonía Pública</w:t>
      </w:r>
      <w:r w:rsidR="006C25D6">
        <w:rPr>
          <w:rFonts w:ascii="ITC Avant Garde" w:hAnsi="ITC Avant Garde"/>
          <w:bCs/>
          <w:sz w:val="21"/>
          <w:szCs w:val="21"/>
          <w:lang w:val="es-ES"/>
        </w:rPr>
        <w:t>, y las</w:t>
      </w:r>
      <w:r w:rsidRPr="008E5040">
        <w:rPr>
          <w:rFonts w:ascii="ITC Avant Garde" w:hAnsi="ITC Avant Garde"/>
          <w:bCs/>
          <w:sz w:val="21"/>
          <w:szCs w:val="21"/>
          <w:lang w:val="es-ES"/>
        </w:rPr>
        <w:t xml:space="preserve"> </w:t>
      </w:r>
      <w:r w:rsidRPr="00D14FBC">
        <w:rPr>
          <w:rFonts w:ascii="ITC Avant Garde" w:hAnsi="ITC Avant Garde"/>
          <w:bCs/>
          <w:sz w:val="21"/>
          <w:szCs w:val="21"/>
          <w:lang w:val="es-ES"/>
        </w:rPr>
        <w:t>Disposiciones Generales relativas a la información estadística de tráfico que deberán entregar los concesionarios del servicio público de telefonía básica de larga distancia</w:t>
      </w:r>
      <w:r w:rsidR="006C25D6">
        <w:rPr>
          <w:rFonts w:ascii="ITC Avant Garde" w:hAnsi="ITC Avant Garde"/>
          <w:bCs/>
          <w:sz w:val="21"/>
          <w:szCs w:val="21"/>
          <w:lang w:val="es-ES"/>
        </w:rPr>
        <w:t>.</w:t>
      </w:r>
    </w:p>
    <w:p w14:paraId="038E8CDC" w14:textId="77777777" w:rsidR="004A1192" w:rsidRPr="002449DA" w:rsidRDefault="004A1192" w:rsidP="004A1192">
      <w:pPr>
        <w:pStyle w:val="Default"/>
        <w:tabs>
          <w:tab w:val="left" w:pos="0"/>
        </w:tabs>
        <w:jc w:val="both"/>
        <w:rPr>
          <w:rFonts w:ascii="ITC Avant Garde" w:hAnsi="ITC Avant Garde" w:cs="Times New Roman"/>
          <w:bCs/>
          <w:color w:val="auto"/>
          <w:sz w:val="21"/>
          <w:szCs w:val="21"/>
          <w:lang w:val="es-ES_tradnl"/>
        </w:rPr>
      </w:pPr>
    </w:p>
    <w:p w14:paraId="0EBE89E0" w14:textId="5CAFD5EC" w:rsidR="004A1192" w:rsidRPr="002449DA" w:rsidRDefault="005C0F7F" w:rsidP="004A1192">
      <w:pPr>
        <w:pStyle w:val="Default"/>
        <w:tabs>
          <w:tab w:val="left" w:pos="0"/>
        </w:tabs>
        <w:jc w:val="both"/>
        <w:rPr>
          <w:rFonts w:ascii="ITC Avant Garde" w:hAnsi="ITC Avant Garde" w:cs="Times New Roman"/>
          <w:bCs/>
          <w:color w:val="auto"/>
          <w:sz w:val="21"/>
          <w:szCs w:val="21"/>
          <w:lang w:val="es-ES_tradnl"/>
        </w:rPr>
      </w:pPr>
      <w:r>
        <w:rPr>
          <w:rFonts w:ascii="ITC Avant Garde" w:hAnsi="ITC Avant Garde" w:cs="Times New Roman"/>
          <w:bCs/>
          <w:color w:val="auto"/>
          <w:sz w:val="21"/>
          <w:szCs w:val="21"/>
          <w:lang w:val="es-ES_tradnl"/>
        </w:rPr>
        <w:t>Todo lo anterior</w:t>
      </w:r>
      <w:r w:rsidR="004A1192" w:rsidRPr="002449DA">
        <w:rPr>
          <w:rFonts w:ascii="ITC Avant Garde" w:hAnsi="ITC Avant Garde" w:cs="Times New Roman"/>
          <w:bCs/>
          <w:color w:val="auto"/>
          <w:sz w:val="21"/>
          <w:szCs w:val="21"/>
          <w:lang w:val="es-ES_tradnl"/>
        </w:rPr>
        <w:t>, derivado del análisis de utilidad y no duplicidad que cada una de las unidades administrativas del Instituto, que tienen a su cargo trámites</w:t>
      </w:r>
      <w:r w:rsidR="006F29CD">
        <w:rPr>
          <w:rFonts w:ascii="ITC Avant Garde" w:hAnsi="ITC Avant Garde" w:cs="Times New Roman"/>
          <w:bCs/>
          <w:color w:val="auto"/>
          <w:sz w:val="21"/>
          <w:szCs w:val="21"/>
          <w:lang w:val="es-ES_tradnl"/>
        </w:rPr>
        <w:t xml:space="preserve"> relativos a entregas de información</w:t>
      </w:r>
      <w:r w:rsidR="004A1192" w:rsidRPr="002449DA">
        <w:rPr>
          <w:rFonts w:ascii="ITC Avant Garde" w:hAnsi="ITC Avant Garde" w:cs="Times New Roman"/>
          <w:bCs/>
          <w:color w:val="auto"/>
          <w:sz w:val="21"/>
          <w:szCs w:val="21"/>
          <w:lang w:val="es-ES_tradnl"/>
        </w:rPr>
        <w:t xml:space="preserve">, efectuaron en el seno del PMA el cual, a través de un ejercicio colaborativo interno, puso a consideración de las demás áreas del Instituto, de manera concluyente la vigencia formal y material de dichos trámites. </w:t>
      </w:r>
    </w:p>
    <w:p w14:paraId="3EBC0176" w14:textId="77777777" w:rsidR="004A1192" w:rsidRPr="002449DA" w:rsidRDefault="004A1192" w:rsidP="004A1192">
      <w:pPr>
        <w:pStyle w:val="Default"/>
        <w:tabs>
          <w:tab w:val="left" w:pos="0"/>
        </w:tabs>
        <w:jc w:val="both"/>
        <w:rPr>
          <w:rFonts w:ascii="ITC Avant Garde" w:hAnsi="ITC Avant Garde" w:cs="Times New Roman"/>
          <w:bCs/>
          <w:color w:val="auto"/>
          <w:sz w:val="21"/>
          <w:szCs w:val="21"/>
          <w:lang w:val="es-ES_tradnl"/>
        </w:rPr>
      </w:pPr>
    </w:p>
    <w:p w14:paraId="4D90D05A" w14:textId="77777777" w:rsidR="004A1192" w:rsidRPr="002449DA" w:rsidRDefault="004A1192" w:rsidP="004A1192">
      <w:pPr>
        <w:pStyle w:val="Default"/>
        <w:tabs>
          <w:tab w:val="left" w:pos="0"/>
        </w:tabs>
        <w:jc w:val="both"/>
        <w:rPr>
          <w:rFonts w:ascii="ITC Avant Garde" w:hAnsi="ITC Avant Garde"/>
          <w:bCs/>
          <w:sz w:val="21"/>
          <w:szCs w:val="21"/>
          <w:lang w:val="es-ES_tradnl"/>
        </w:rPr>
      </w:pPr>
      <w:r w:rsidRPr="002449DA">
        <w:rPr>
          <w:rFonts w:ascii="ITC Avant Garde" w:hAnsi="ITC Avant Garde" w:cs="Times New Roman"/>
          <w:bCs/>
          <w:color w:val="auto"/>
          <w:sz w:val="21"/>
          <w:szCs w:val="21"/>
          <w:lang w:val="es-ES_tradnl"/>
        </w:rPr>
        <w:t xml:space="preserve">Tal análisis tuvo como insumo, entre otros, los resultados de la </w:t>
      </w:r>
      <w:r w:rsidRPr="002449DA">
        <w:rPr>
          <w:rFonts w:ascii="ITC Avant Garde" w:hAnsi="ITC Avant Garde"/>
          <w:bCs/>
          <w:i/>
          <w:sz w:val="21"/>
          <w:szCs w:val="21"/>
        </w:rPr>
        <w:t>“</w:t>
      </w:r>
      <w:r w:rsidRPr="002449DA">
        <w:rPr>
          <w:rFonts w:ascii="ITC Avant Garde" w:hAnsi="ITC Avant Garde"/>
          <w:bCs/>
          <w:i/>
          <w:sz w:val="21"/>
          <w:szCs w:val="21"/>
          <w:lang w:val="es-ES_tradnl"/>
        </w:rPr>
        <w:t xml:space="preserve">Consulta pública sobre los trámites contenidos en las disposiciones de carácter general a cargo del Instituto Federal de Telecomunicaciones, así como para la detección de posibles áreas de oportunidad de los mismos”, </w:t>
      </w:r>
      <w:r w:rsidRPr="002449DA">
        <w:rPr>
          <w:rFonts w:ascii="ITC Avant Garde" w:hAnsi="ITC Avant Garde"/>
          <w:bCs/>
          <w:sz w:val="21"/>
          <w:szCs w:val="21"/>
          <w:lang w:val="es-ES_tradnl"/>
        </w:rPr>
        <w:t>misma que arrojó 271 comentarios a cargo de 17 participantes, los cuales se manifestaron a razón de la mayoría de las obligaciones que se buscan modificar o extinguir a través del presente anteproyecto regulatorio.</w:t>
      </w:r>
    </w:p>
    <w:p w14:paraId="4795E749" w14:textId="77777777" w:rsidR="004A1192" w:rsidRPr="002449DA" w:rsidRDefault="004A1192" w:rsidP="004A1192">
      <w:pPr>
        <w:pStyle w:val="Default"/>
        <w:tabs>
          <w:tab w:val="left" w:pos="0"/>
        </w:tabs>
        <w:jc w:val="both"/>
        <w:rPr>
          <w:rFonts w:ascii="ITC Avant Garde" w:hAnsi="ITC Avant Garde"/>
          <w:bCs/>
          <w:sz w:val="21"/>
          <w:szCs w:val="21"/>
          <w:lang w:val="es-ES_tradnl"/>
        </w:rPr>
      </w:pPr>
    </w:p>
    <w:p w14:paraId="5CD6A626" w14:textId="77777777" w:rsidR="004A1192" w:rsidRPr="002449DA" w:rsidRDefault="004A1192" w:rsidP="004A1192">
      <w:pPr>
        <w:pStyle w:val="Default"/>
        <w:tabs>
          <w:tab w:val="left" w:pos="0"/>
        </w:tabs>
        <w:jc w:val="both"/>
        <w:rPr>
          <w:rFonts w:ascii="ITC Avant Garde" w:hAnsi="ITC Avant Garde"/>
          <w:bCs/>
          <w:sz w:val="21"/>
          <w:szCs w:val="21"/>
          <w:lang w:val="es-ES_tradnl"/>
        </w:rPr>
      </w:pPr>
      <w:r w:rsidRPr="002449DA">
        <w:rPr>
          <w:rFonts w:ascii="ITC Avant Garde" w:hAnsi="ITC Avant Garde"/>
          <w:bCs/>
          <w:sz w:val="21"/>
          <w:szCs w:val="21"/>
          <w:lang w:val="es-ES_tradnl"/>
        </w:rPr>
        <w:t xml:space="preserve">De la misma manera, el proyecto de mérito complementa y se alinea con los siguientes proyectos regulatorios: </w:t>
      </w:r>
    </w:p>
    <w:p w14:paraId="31B0D659" w14:textId="77777777" w:rsidR="004A1192" w:rsidRPr="002449DA" w:rsidRDefault="004A1192" w:rsidP="004A1192">
      <w:pPr>
        <w:pStyle w:val="Default"/>
        <w:tabs>
          <w:tab w:val="left" w:pos="0"/>
        </w:tabs>
        <w:jc w:val="both"/>
        <w:rPr>
          <w:rFonts w:ascii="ITC Avant Garde" w:hAnsi="ITC Avant Garde"/>
          <w:bCs/>
          <w:sz w:val="21"/>
          <w:szCs w:val="21"/>
          <w:lang w:val="es-ES_tradnl"/>
        </w:rPr>
      </w:pPr>
    </w:p>
    <w:p w14:paraId="681BE64D" w14:textId="77777777" w:rsidR="004A1192" w:rsidRPr="002449DA" w:rsidRDefault="004A1192" w:rsidP="00EA7A00">
      <w:pPr>
        <w:pStyle w:val="Default"/>
        <w:numPr>
          <w:ilvl w:val="0"/>
          <w:numId w:val="15"/>
        </w:numPr>
        <w:ind w:right="474"/>
        <w:jc w:val="both"/>
        <w:rPr>
          <w:rFonts w:ascii="ITC Avant Garde" w:hAnsi="ITC Avant Garde"/>
          <w:bCs/>
          <w:sz w:val="21"/>
          <w:szCs w:val="21"/>
          <w:lang w:val="es-ES_tradnl"/>
        </w:rPr>
      </w:pPr>
      <w:r w:rsidRPr="002449DA">
        <w:rPr>
          <w:rFonts w:ascii="ITC Avant Garde" w:hAnsi="ITC Avant Garde"/>
          <w:bCs/>
          <w:i/>
          <w:sz w:val="21"/>
          <w:szCs w:val="21"/>
          <w:lang w:val="es-ES_tradnl"/>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2449DA">
        <w:rPr>
          <w:rFonts w:ascii="ITC Avant Garde" w:hAnsi="ITC Avant Garde"/>
          <w:bCs/>
          <w:sz w:val="21"/>
          <w:szCs w:val="21"/>
          <w:lang w:val="es-ES_tradnl"/>
        </w:rPr>
        <w:t>, aprobado por e</w:t>
      </w:r>
      <w:r w:rsidR="009375A4">
        <w:rPr>
          <w:rFonts w:ascii="ITC Avant Garde" w:hAnsi="ITC Avant Garde"/>
          <w:bCs/>
          <w:sz w:val="21"/>
          <w:szCs w:val="21"/>
          <w:lang w:val="es-ES_tradnl"/>
        </w:rPr>
        <w:t>l Pleno del Instituto mediante A</w:t>
      </w:r>
      <w:r w:rsidRPr="002449DA">
        <w:rPr>
          <w:rFonts w:ascii="ITC Avant Garde" w:hAnsi="ITC Avant Garde"/>
          <w:bCs/>
          <w:sz w:val="21"/>
          <w:szCs w:val="21"/>
          <w:lang w:val="es-ES_tradnl"/>
        </w:rPr>
        <w:t>cuerdo P/IFT/210819/397, en su XVIII sesión Ordinaria de fecha 21 de agosto de 2019 y publicado en el DOF el 13 de septiembre de 2019, y</w:t>
      </w:r>
    </w:p>
    <w:p w14:paraId="115F0D3D" w14:textId="77777777" w:rsidR="004A1192" w:rsidRPr="002449DA" w:rsidRDefault="004A1192" w:rsidP="004A1192">
      <w:pPr>
        <w:pStyle w:val="Default"/>
        <w:ind w:left="709" w:right="474"/>
        <w:jc w:val="both"/>
        <w:rPr>
          <w:rFonts w:ascii="ITC Avant Garde" w:hAnsi="ITC Avant Garde"/>
          <w:bCs/>
          <w:sz w:val="21"/>
          <w:szCs w:val="21"/>
          <w:lang w:val="es-ES_tradnl"/>
        </w:rPr>
      </w:pPr>
    </w:p>
    <w:p w14:paraId="782E37F0" w14:textId="77777777" w:rsidR="005C0F7F" w:rsidRPr="002449DA" w:rsidRDefault="005C0F7F" w:rsidP="00661DFC">
      <w:pPr>
        <w:pStyle w:val="Default"/>
        <w:numPr>
          <w:ilvl w:val="0"/>
          <w:numId w:val="15"/>
        </w:numPr>
        <w:ind w:right="474"/>
        <w:jc w:val="both"/>
        <w:rPr>
          <w:rFonts w:ascii="ITC Avant Garde" w:hAnsi="ITC Avant Garde"/>
          <w:sz w:val="21"/>
          <w:szCs w:val="21"/>
        </w:rPr>
      </w:pPr>
      <w:r w:rsidRPr="002449DA">
        <w:rPr>
          <w:rFonts w:ascii="ITC Avant Garde" w:hAnsi="ITC Avant Garde"/>
          <w:bCs/>
          <w:i/>
          <w:sz w:val="21"/>
          <w:szCs w:val="21"/>
          <w:lang w:val="es-ES_tradnl"/>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Pr="002449DA">
        <w:rPr>
          <w:rFonts w:ascii="ITC Avant Garde" w:hAnsi="ITC Avant Garde"/>
          <w:bCs/>
          <w:sz w:val="21"/>
          <w:szCs w:val="21"/>
          <w:lang w:val="es-ES_tradnl"/>
        </w:rPr>
        <w:t>”,</w:t>
      </w:r>
      <w:r w:rsidRPr="002449DA">
        <w:rPr>
          <w:rFonts w:ascii="ITC Avant Garde" w:hAnsi="ITC Avant Garde"/>
          <w:bCs/>
          <w:i/>
          <w:sz w:val="21"/>
          <w:szCs w:val="21"/>
          <w:lang w:val="es-ES_tradnl"/>
        </w:rPr>
        <w:t xml:space="preserve"> </w:t>
      </w:r>
      <w:r w:rsidRPr="002449DA">
        <w:rPr>
          <w:rFonts w:ascii="ITC Avant Garde" w:hAnsi="ITC Avant Garde"/>
          <w:bCs/>
          <w:sz w:val="21"/>
          <w:szCs w:val="21"/>
          <w:lang w:val="es-ES_tradnl"/>
        </w:rPr>
        <w:t xml:space="preserve">mismo que fue aprobado por el Pleno del Instituto </w:t>
      </w:r>
      <w:r>
        <w:rPr>
          <w:rFonts w:ascii="ITC Avant Garde" w:hAnsi="ITC Avant Garde"/>
          <w:bCs/>
          <w:sz w:val="21"/>
          <w:szCs w:val="21"/>
          <w:lang w:val="es-ES_tradnl"/>
        </w:rPr>
        <w:t xml:space="preserve">el 21 de agosto de 2019 para consulta pública, </w:t>
      </w:r>
      <w:r w:rsidRPr="002449DA">
        <w:rPr>
          <w:rFonts w:ascii="ITC Avant Garde" w:hAnsi="ITC Avant Garde"/>
          <w:bCs/>
          <w:sz w:val="21"/>
          <w:szCs w:val="21"/>
          <w:lang w:val="es-ES_tradnl"/>
        </w:rPr>
        <w:t>mediante Acuerdo P/IFT/210819/39</w:t>
      </w:r>
      <w:r>
        <w:rPr>
          <w:rFonts w:ascii="ITC Avant Garde" w:hAnsi="ITC Avant Garde"/>
          <w:bCs/>
          <w:sz w:val="21"/>
          <w:szCs w:val="21"/>
          <w:lang w:val="es-ES_tradnl"/>
        </w:rPr>
        <w:t>8 y que será sometido a consideración del Pleno en la presente sesión.</w:t>
      </w:r>
    </w:p>
    <w:p w14:paraId="34C25D2C" w14:textId="77777777" w:rsidR="004A1192" w:rsidRPr="002449DA" w:rsidRDefault="004A1192" w:rsidP="004A1192">
      <w:pPr>
        <w:pStyle w:val="Default"/>
        <w:ind w:right="48"/>
        <w:jc w:val="both"/>
        <w:rPr>
          <w:rFonts w:ascii="ITC Avant Garde" w:hAnsi="ITC Avant Garde"/>
          <w:bCs/>
          <w:i/>
          <w:sz w:val="21"/>
          <w:szCs w:val="21"/>
          <w:lang w:val="es-ES_tradnl"/>
        </w:rPr>
      </w:pPr>
    </w:p>
    <w:p w14:paraId="1F7D1EE1" w14:textId="77777777" w:rsidR="004A1192" w:rsidRPr="002449DA" w:rsidRDefault="004A1192" w:rsidP="004A1192">
      <w:pPr>
        <w:pStyle w:val="Default"/>
        <w:ind w:right="48"/>
        <w:jc w:val="both"/>
        <w:rPr>
          <w:rFonts w:ascii="ITC Avant Garde" w:hAnsi="ITC Avant Garde"/>
          <w:sz w:val="21"/>
          <w:szCs w:val="21"/>
        </w:rPr>
      </w:pPr>
      <w:r w:rsidRPr="002449DA">
        <w:rPr>
          <w:rFonts w:ascii="ITC Avant Garde" w:hAnsi="ITC Avant Garde"/>
          <w:b/>
          <w:bCs/>
          <w:sz w:val="21"/>
          <w:szCs w:val="21"/>
        </w:rPr>
        <w:t xml:space="preserve">TERCERO. </w:t>
      </w:r>
      <w:r w:rsidRPr="002449DA">
        <w:rPr>
          <w:rFonts w:ascii="ITC Avant Garde" w:hAnsi="ITC Avant Garde"/>
          <w:b/>
          <w:sz w:val="21"/>
          <w:szCs w:val="21"/>
        </w:rPr>
        <w:t>Im</w:t>
      </w:r>
      <w:r w:rsidR="001C36F3">
        <w:rPr>
          <w:rFonts w:ascii="ITC Avant Garde" w:hAnsi="ITC Avant Garde"/>
          <w:b/>
          <w:sz w:val="21"/>
          <w:szCs w:val="21"/>
        </w:rPr>
        <w:t>portancia del p</w:t>
      </w:r>
      <w:r w:rsidRPr="002449DA">
        <w:rPr>
          <w:rFonts w:ascii="ITC Avant Garde" w:hAnsi="ITC Avant Garde"/>
          <w:b/>
          <w:sz w:val="21"/>
          <w:szCs w:val="21"/>
        </w:rPr>
        <w:t>royecto</w:t>
      </w:r>
      <w:r w:rsidR="001C36F3">
        <w:rPr>
          <w:rFonts w:ascii="ITC Avant Garde" w:hAnsi="ITC Avant Garde"/>
          <w:b/>
          <w:sz w:val="21"/>
          <w:szCs w:val="21"/>
        </w:rPr>
        <w:t xml:space="preserve"> de Acuerdo</w:t>
      </w:r>
      <w:r w:rsidRPr="002449DA">
        <w:rPr>
          <w:rFonts w:ascii="ITC Avant Garde" w:hAnsi="ITC Avant Garde"/>
          <w:b/>
          <w:sz w:val="21"/>
          <w:szCs w:val="21"/>
        </w:rPr>
        <w:t xml:space="preserve"> y la simplificación administrativa. </w:t>
      </w:r>
      <w:r w:rsidRPr="002449DA">
        <w:rPr>
          <w:rFonts w:ascii="ITC Avant Garde" w:hAnsi="ITC Avant Garde"/>
          <w:sz w:val="21"/>
          <w:szCs w:val="21"/>
        </w:rPr>
        <w:t xml:space="preserve">La tarea de mejorar y simplificar trámites es parte de una estrategia amplia de política regulatoria, en virtud de que la forma en la que éstos se diseñan, implementan, y hacen cumplir tiene una incidencia directa en la efectividad de la regulación y, por tanto, en su capacidad para cumplir con su objetivo primario de política pública. Así que, la reducción de la carga administrativa de las regulaciones gubernamentales en los </w:t>
      </w:r>
      <w:r w:rsidRPr="002449DA">
        <w:rPr>
          <w:rFonts w:ascii="ITC Avant Garde" w:hAnsi="ITC Avant Garde"/>
          <w:sz w:val="21"/>
          <w:szCs w:val="21"/>
        </w:rPr>
        <w:lastRenderedPageBreak/>
        <w:t>ciudadanos, las empresas y el sector público es parte de la estrategia de la mejora administrativa a cargo de este órgano constitucional autónomo para mejorar el desempeño económico y la productividad de los sectores de las telecomunicaciones y la radiodifusión.</w:t>
      </w:r>
    </w:p>
    <w:p w14:paraId="1E165291" w14:textId="77777777" w:rsidR="004A1192" w:rsidRPr="002449DA" w:rsidRDefault="004A1192" w:rsidP="004A1192">
      <w:pPr>
        <w:pStyle w:val="ANOTACION"/>
        <w:spacing w:before="0" w:after="0" w:line="240" w:lineRule="auto"/>
        <w:rPr>
          <w:rFonts w:ascii="ITC Avant Garde" w:hAnsi="ITC Avant Garde"/>
          <w:sz w:val="21"/>
          <w:szCs w:val="21"/>
        </w:rPr>
      </w:pPr>
    </w:p>
    <w:p w14:paraId="596A3A53" w14:textId="77777777" w:rsidR="004A1192" w:rsidRPr="00EA7A00" w:rsidRDefault="004A1192" w:rsidP="00EA7A00">
      <w:pPr>
        <w:pStyle w:val="Default"/>
        <w:tabs>
          <w:tab w:val="left" w:pos="0"/>
        </w:tabs>
        <w:jc w:val="both"/>
        <w:rPr>
          <w:rFonts w:ascii="ITC Avant Garde" w:hAnsi="ITC Avant Garde" w:cs="Times New Roman"/>
          <w:bCs/>
          <w:color w:val="auto"/>
          <w:sz w:val="21"/>
          <w:szCs w:val="21"/>
          <w:lang w:val="es-ES_tradnl"/>
        </w:rPr>
      </w:pPr>
      <w:r w:rsidRPr="00EA7A00">
        <w:rPr>
          <w:rFonts w:ascii="ITC Avant Garde" w:hAnsi="ITC Avant Garde" w:cs="Times New Roman"/>
          <w:bCs/>
          <w:color w:val="auto"/>
          <w:sz w:val="21"/>
          <w:szCs w:val="21"/>
          <w:lang w:val="es-ES_tradnl"/>
        </w:rPr>
        <w:t>Sobre ello, el Consejo de Política y Gobernanza Regulatoria de la Organización para la Cooperación y el Desarrollo Económicos (en lo sucesivo, la “OCDE”), señaló en el año 2012, dentro de la Recomendación del Consejo sobre Política y Gobernanza Regulatoria, la necesidad de los Gobiernos de efectuar revisiones sistemáticas de programas de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w:t>
      </w:r>
      <w:r w:rsidRPr="00EA7A00">
        <w:rPr>
          <w:rStyle w:val="Refdenotaalpie"/>
          <w:rFonts w:ascii="ITC Avant Garde" w:eastAsia="Times New Roman" w:hAnsi="ITC Avant Garde" w:cs="CG Palacio (WN)"/>
          <w:sz w:val="21"/>
          <w:szCs w:val="21"/>
          <w:lang w:val="es-ES_tradnl" w:bidi="es-MX"/>
        </w:rPr>
        <w:footnoteReference w:id="2"/>
      </w:r>
      <w:r w:rsidRPr="00EA7A00">
        <w:rPr>
          <w:rFonts w:ascii="ITC Avant Garde" w:hAnsi="ITC Avant Garde" w:cs="Times New Roman"/>
          <w:bCs/>
          <w:color w:val="auto"/>
          <w:sz w:val="21"/>
          <w:szCs w:val="21"/>
          <w:lang w:val="es-ES_tradnl"/>
        </w:rPr>
        <w:t>.</w:t>
      </w:r>
    </w:p>
    <w:p w14:paraId="5B4C5E17" w14:textId="77777777" w:rsidR="004A1192" w:rsidRPr="002449DA" w:rsidRDefault="004A1192" w:rsidP="004A1192">
      <w:pPr>
        <w:pStyle w:val="ANOTACION"/>
        <w:spacing w:before="0" w:after="0" w:line="240" w:lineRule="auto"/>
        <w:rPr>
          <w:rFonts w:ascii="ITC Avant Garde" w:hAnsi="ITC Avant Garde"/>
          <w:sz w:val="21"/>
          <w:szCs w:val="21"/>
        </w:rPr>
      </w:pPr>
    </w:p>
    <w:p w14:paraId="1BC26D54"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2449DA">
        <w:rPr>
          <w:rFonts w:ascii="ITC Avant Garde" w:hAnsi="ITC Avant Garde"/>
          <w:b w:val="0"/>
          <w:sz w:val="21"/>
          <w:szCs w:val="21"/>
          <w:lang w:bidi="es-MX"/>
        </w:rPr>
        <w:t>Así, el papel que desempeña la revisión del estado de la regulación existente y las cargas administrativas asociadas, permite complementar y renovar el ciclo de gobernanza regulatoria, además, implica la necesidad de una interpretación integral para identificar problemas aplicativos en el contexto actual de la regulación, así como impactos específicos de rendimiento y cuestiones de interés y, a su vez, implementar mejoras basadas en políticas similares.</w:t>
      </w:r>
    </w:p>
    <w:p w14:paraId="0CE8E23F" w14:textId="77777777" w:rsidR="004A1192" w:rsidRPr="002449DA" w:rsidRDefault="004A1192" w:rsidP="004A1192">
      <w:pPr>
        <w:pStyle w:val="ANOTACION"/>
        <w:spacing w:before="0" w:after="0" w:line="240" w:lineRule="auto"/>
        <w:rPr>
          <w:rFonts w:ascii="ITC Avant Garde" w:hAnsi="ITC Avant Garde"/>
          <w:sz w:val="21"/>
          <w:szCs w:val="21"/>
        </w:rPr>
      </w:pPr>
    </w:p>
    <w:p w14:paraId="5D3C3D3D"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2449DA">
        <w:rPr>
          <w:rFonts w:ascii="ITC Avant Garde" w:hAnsi="ITC Avant Garde"/>
          <w:b w:val="0"/>
          <w:sz w:val="21"/>
          <w:szCs w:val="21"/>
          <w:lang w:bidi="es-MX"/>
        </w:rPr>
        <w:t>Al efecto, las herramientas analíticas básicas recomendadas de la evaluación al régimen regulatorio son las siguientes y responden a cuestionamientos precisos, a saber</w:t>
      </w:r>
      <w:r w:rsidRPr="002449DA">
        <w:rPr>
          <w:rStyle w:val="Refdenotaalpie"/>
          <w:rFonts w:ascii="ITC Avant Garde" w:hAnsi="ITC Avant Garde"/>
          <w:b w:val="0"/>
          <w:sz w:val="21"/>
          <w:szCs w:val="21"/>
          <w:lang w:bidi="es-MX"/>
        </w:rPr>
        <w:footnoteReference w:id="3"/>
      </w:r>
      <w:r w:rsidRPr="002449DA">
        <w:rPr>
          <w:rFonts w:ascii="ITC Avant Garde" w:hAnsi="ITC Avant Garde"/>
          <w:b w:val="0"/>
          <w:sz w:val="21"/>
          <w:szCs w:val="21"/>
          <w:lang w:bidi="es-MX"/>
        </w:rPr>
        <w:t>:</w:t>
      </w:r>
    </w:p>
    <w:p w14:paraId="6B062965" w14:textId="77777777" w:rsidR="004A1192" w:rsidRPr="002449DA" w:rsidRDefault="004A1192" w:rsidP="004A1192">
      <w:pPr>
        <w:pStyle w:val="ANOTACION"/>
        <w:spacing w:before="0" w:after="0" w:line="240" w:lineRule="auto"/>
        <w:rPr>
          <w:rFonts w:ascii="ITC Avant Garde" w:hAnsi="ITC Avant Garde"/>
          <w:sz w:val="21"/>
          <w:szCs w:val="21"/>
          <w:lang w:bidi="es-MX"/>
        </w:rPr>
      </w:pPr>
    </w:p>
    <w:p w14:paraId="666EF888"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EA7A00">
        <w:rPr>
          <w:rFonts w:ascii="ITC Avant Garde" w:hAnsi="ITC Avant Garde"/>
          <w:b w:val="0"/>
          <w:i/>
          <w:sz w:val="21"/>
          <w:szCs w:val="21"/>
          <w:lang w:bidi="es-MX"/>
        </w:rPr>
        <w:t>Oportunidad:</w:t>
      </w:r>
      <w:r w:rsidRPr="002449DA">
        <w:rPr>
          <w:rFonts w:ascii="ITC Avant Garde" w:hAnsi="ITC Avant Garde"/>
          <w:b w:val="0"/>
          <w:sz w:val="21"/>
          <w:szCs w:val="21"/>
          <w:lang w:bidi="es-MX"/>
        </w:rPr>
        <w:t xml:space="preserve"> la revisión debe analizar como un umbral a cumplir, si se mantiene un razonamiento válido para regular;</w:t>
      </w:r>
    </w:p>
    <w:p w14:paraId="4A416886"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p>
    <w:p w14:paraId="4A53C4D4"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EA7A00">
        <w:rPr>
          <w:rFonts w:ascii="ITC Avant Garde" w:hAnsi="ITC Avant Garde"/>
          <w:b w:val="0"/>
          <w:i/>
          <w:sz w:val="21"/>
          <w:szCs w:val="21"/>
          <w:lang w:bidi="es-MX"/>
        </w:rPr>
        <w:t>Efectividad:</w:t>
      </w:r>
      <w:r w:rsidRPr="002449DA">
        <w:rPr>
          <w:rFonts w:ascii="ITC Avant Garde" w:hAnsi="ITC Avant Garde"/>
          <w:b w:val="0"/>
          <w:sz w:val="21"/>
          <w:szCs w:val="21"/>
          <w:lang w:bidi="es-MX"/>
        </w:rPr>
        <w:t xml:space="preserve"> la revisión debe determinar si la regulación (o el conjunto de regulaciones) en efecto cumple los objetivos por los cuales fue creada;</w:t>
      </w:r>
    </w:p>
    <w:p w14:paraId="0AB2E54A"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p>
    <w:p w14:paraId="0C130D6B"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EA7A00">
        <w:rPr>
          <w:rFonts w:ascii="ITC Avant Garde" w:hAnsi="ITC Avant Garde"/>
          <w:b w:val="0"/>
          <w:i/>
          <w:sz w:val="21"/>
          <w:szCs w:val="21"/>
          <w:lang w:bidi="es-MX"/>
        </w:rPr>
        <w:t>Eficiencia:</w:t>
      </w:r>
      <w:r w:rsidRPr="002449DA">
        <w:rPr>
          <w:rFonts w:ascii="ITC Avant Garde" w:hAnsi="ITC Avant Garde"/>
          <w:b w:val="0"/>
          <w:sz w:val="21"/>
          <w:szCs w:val="21"/>
          <w:lang w:bidi="es-MX"/>
        </w:rPr>
        <w:t xml:space="preserve"> la revisión debe determinar si la regulación da lugar a costos innecesarios (fuera de aquellos necesarios para alcanzar el objetivo regulatorio) u otros impactos no pretendidos, y</w:t>
      </w:r>
    </w:p>
    <w:p w14:paraId="51F68AED" w14:textId="77777777" w:rsidR="004A1192" w:rsidRPr="002449DA" w:rsidRDefault="004A1192" w:rsidP="004A1192">
      <w:pPr>
        <w:pStyle w:val="ANOTACION"/>
        <w:spacing w:before="0" w:after="0" w:line="240" w:lineRule="auto"/>
        <w:rPr>
          <w:rFonts w:ascii="ITC Avant Garde" w:hAnsi="ITC Avant Garde"/>
          <w:sz w:val="21"/>
          <w:szCs w:val="21"/>
          <w:lang w:val="es-MX"/>
        </w:rPr>
      </w:pPr>
    </w:p>
    <w:p w14:paraId="7A3C83C1" w14:textId="77777777" w:rsidR="004A1192" w:rsidRPr="002449DA" w:rsidRDefault="004A1192" w:rsidP="004A1192">
      <w:pPr>
        <w:pStyle w:val="ANOTACION"/>
        <w:spacing w:before="0" w:after="0" w:line="240" w:lineRule="auto"/>
        <w:jc w:val="both"/>
        <w:rPr>
          <w:rFonts w:ascii="ITC Avant Garde" w:hAnsi="ITC Avant Garde"/>
          <w:b w:val="0"/>
          <w:sz w:val="21"/>
          <w:szCs w:val="21"/>
          <w:lang w:bidi="es-MX"/>
        </w:rPr>
      </w:pPr>
      <w:r w:rsidRPr="00EA7A00">
        <w:rPr>
          <w:rFonts w:ascii="ITC Avant Garde" w:hAnsi="ITC Avant Garde"/>
          <w:b w:val="0"/>
          <w:i/>
          <w:sz w:val="21"/>
          <w:szCs w:val="21"/>
          <w:lang w:bidi="es-MX"/>
        </w:rPr>
        <w:t>Alternativas:</w:t>
      </w:r>
      <w:r w:rsidRPr="002449DA">
        <w:rPr>
          <w:rFonts w:ascii="ITC Avant Garde" w:hAnsi="ITC Avant Garde"/>
          <w:b w:val="0"/>
          <w:sz w:val="21"/>
          <w:szCs w:val="21"/>
          <w:lang w:bidi="es-MX"/>
        </w:rPr>
        <w:t xml:space="preserve"> la revisión debe considerar si es necesario modificar la regulación o reemplazarla con instrumentos alternativos.</w:t>
      </w:r>
    </w:p>
    <w:p w14:paraId="7E978543" w14:textId="77777777" w:rsidR="004A1192" w:rsidRPr="002449DA" w:rsidRDefault="004A1192" w:rsidP="004A1192">
      <w:pPr>
        <w:pStyle w:val="Default"/>
        <w:tabs>
          <w:tab w:val="left" w:pos="0"/>
        </w:tabs>
        <w:jc w:val="both"/>
        <w:rPr>
          <w:rFonts w:ascii="ITC Avant Garde" w:hAnsi="ITC Avant Garde"/>
          <w:bCs/>
          <w:sz w:val="21"/>
          <w:szCs w:val="21"/>
        </w:rPr>
      </w:pPr>
    </w:p>
    <w:p w14:paraId="15E048D0"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 xml:space="preserve">De esta manera, la emisión del presente proyecto se materializa como parte de los resultados concatenados de un ejercicio de revisión de la regulación a cargo del Instituto y sus cargas administrativas asociadas, a partir de los criterios de oportunidad, efectividad, eficiencia y alternativas en el contexto de la utilidad social de las mismas; buscando así, una transición ordenada y transparente hacia un andamiaje jurídico </w:t>
      </w:r>
      <w:r w:rsidRPr="002449DA">
        <w:rPr>
          <w:rFonts w:ascii="ITC Avant Garde" w:hAnsi="ITC Avant Garde"/>
          <w:bCs/>
          <w:sz w:val="21"/>
          <w:szCs w:val="21"/>
        </w:rPr>
        <w:lastRenderedPageBreak/>
        <w:t xml:space="preserve">óptimo para el cumplimiento de las facultades regulatorias constitucionales y legales del Instituto. </w:t>
      </w:r>
    </w:p>
    <w:p w14:paraId="58561593" w14:textId="77777777" w:rsidR="004A1192" w:rsidRPr="002449DA" w:rsidRDefault="004A1192" w:rsidP="004A1192">
      <w:pPr>
        <w:pStyle w:val="Default"/>
        <w:tabs>
          <w:tab w:val="left" w:pos="0"/>
        </w:tabs>
        <w:jc w:val="both"/>
        <w:rPr>
          <w:rFonts w:ascii="ITC Avant Garde" w:hAnsi="ITC Avant Garde"/>
          <w:bCs/>
          <w:color w:val="auto"/>
          <w:sz w:val="21"/>
          <w:szCs w:val="21"/>
          <w:lang w:val="es-ES_tradnl"/>
        </w:rPr>
      </w:pPr>
    </w:p>
    <w:p w14:paraId="79868336"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
          <w:bCs/>
          <w:sz w:val="21"/>
          <w:szCs w:val="21"/>
        </w:rPr>
        <w:t>CUARTO. Consultas Públicas.</w:t>
      </w:r>
      <w:r w:rsidRPr="002449DA">
        <w:rPr>
          <w:rFonts w:ascii="ITC Avant Garde" w:hAnsi="ITC Avant Garde"/>
          <w:bCs/>
          <w:sz w:val="21"/>
          <w:szCs w:val="21"/>
        </w:rPr>
        <w:t xml:space="preserve"> 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3864B484" w14:textId="77777777" w:rsidR="004A1192" w:rsidRPr="002449DA" w:rsidRDefault="004A1192" w:rsidP="004A1192">
      <w:pPr>
        <w:pStyle w:val="Default"/>
        <w:tabs>
          <w:tab w:val="left" w:pos="0"/>
        </w:tabs>
        <w:jc w:val="both"/>
        <w:rPr>
          <w:rFonts w:ascii="ITC Avant Garde" w:hAnsi="ITC Avant Garde"/>
          <w:sz w:val="21"/>
          <w:szCs w:val="21"/>
        </w:rPr>
      </w:pPr>
    </w:p>
    <w:p w14:paraId="0A6DF636" w14:textId="05B70B05" w:rsidR="00EA7A00"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 xml:space="preserve">En cumplimiento a lo dispuesto por el fundamento referido de la Ley, bajo los principios de transparencia y participación ciudadana, el Instituto llevó a cabo la consulta pública del </w:t>
      </w:r>
      <w:r w:rsidRPr="00EA7A00">
        <w:rPr>
          <w:rFonts w:ascii="ITC Avant Garde" w:hAnsi="ITC Avant Garde"/>
          <w:bCs/>
          <w:i/>
          <w:sz w:val="21"/>
          <w:szCs w:val="21"/>
        </w:rPr>
        <w:t>“</w:t>
      </w:r>
      <w:r w:rsidR="008E6E83" w:rsidRPr="00D2012B">
        <w:rPr>
          <w:rFonts w:ascii="ITC Avant Garde" w:hAnsi="ITC Avant Garde"/>
          <w:bCs/>
          <w:sz w:val="21"/>
          <w:szCs w:val="21"/>
        </w:rPr>
        <w:t>Anteproyecto</w:t>
      </w:r>
      <w:r w:rsidRPr="002449DA">
        <w:rPr>
          <w:rFonts w:ascii="ITC Avant Garde" w:hAnsi="ITC Avant Garde"/>
          <w:bCs/>
          <w:sz w:val="21"/>
          <w:szCs w:val="21"/>
        </w:rPr>
        <w:t xml:space="preserve"> de </w:t>
      </w:r>
      <w:r w:rsidRPr="008704A8">
        <w:rPr>
          <w:rFonts w:ascii="ITC Avant Garde" w:hAnsi="ITC Avant Garde"/>
          <w:sz w:val="21"/>
        </w:rPr>
        <w:t>Acuerdo mediante el cual el Pleno del Instituto Federal de Telecomunicaciones deroga, extingue, abroga, deja sin efectos y modifica diversas disposiciones relacionadas con los trámites a su cargo y que por diversas circunstancias han perdido su utilidad</w:t>
      </w:r>
      <w:r w:rsidRPr="00EA7A00">
        <w:rPr>
          <w:rFonts w:ascii="ITC Avant Garde" w:hAnsi="ITC Avant Garde"/>
          <w:bCs/>
          <w:i/>
          <w:sz w:val="21"/>
          <w:szCs w:val="21"/>
        </w:rPr>
        <w:t>”</w:t>
      </w:r>
      <w:r w:rsidRPr="002449DA">
        <w:rPr>
          <w:rFonts w:ascii="ITC Avant Garde" w:hAnsi="ITC Avant Garde"/>
          <w:bCs/>
          <w:sz w:val="21"/>
          <w:szCs w:val="21"/>
        </w:rPr>
        <w:t xml:space="preserve"> del 23 de agosto al 23 de septiembre de 2019. </w:t>
      </w:r>
    </w:p>
    <w:p w14:paraId="378B2952" w14:textId="77777777" w:rsidR="00EA7A00" w:rsidRDefault="00EA7A00" w:rsidP="004A1192">
      <w:pPr>
        <w:pStyle w:val="Default"/>
        <w:tabs>
          <w:tab w:val="left" w:pos="0"/>
        </w:tabs>
        <w:jc w:val="both"/>
        <w:rPr>
          <w:rFonts w:ascii="ITC Avant Garde" w:hAnsi="ITC Avant Garde"/>
          <w:bCs/>
          <w:sz w:val="21"/>
          <w:szCs w:val="21"/>
        </w:rPr>
      </w:pPr>
    </w:p>
    <w:p w14:paraId="70BCEF00"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Derivado de la cual, se recibió 1 comentario proveniente de 1 participante, este fue analizado y, en su caso, tomado en cuenta en el proyecto de Acuerdo, p</w:t>
      </w:r>
      <w:r w:rsidR="00EA7A00">
        <w:rPr>
          <w:rFonts w:ascii="ITC Avant Garde" w:hAnsi="ITC Avant Garde"/>
          <w:bCs/>
          <w:sz w:val="21"/>
          <w:szCs w:val="21"/>
        </w:rPr>
        <w:t xml:space="preserve">or lo que </w:t>
      </w:r>
      <w:r w:rsidR="00F97A6C">
        <w:rPr>
          <w:rFonts w:ascii="ITC Avant Garde" w:hAnsi="ITC Avant Garde"/>
          <w:bCs/>
          <w:sz w:val="21"/>
          <w:szCs w:val="21"/>
        </w:rPr>
        <w:t>la respuesta a éste se encuentra</w:t>
      </w:r>
      <w:r w:rsidR="00EA7A00">
        <w:rPr>
          <w:rFonts w:ascii="ITC Avant Garde" w:hAnsi="ITC Avant Garde"/>
          <w:bCs/>
          <w:sz w:val="21"/>
          <w:szCs w:val="21"/>
        </w:rPr>
        <w:t xml:space="preserve"> publicado</w:t>
      </w:r>
      <w:r w:rsidRPr="002449DA">
        <w:rPr>
          <w:rFonts w:ascii="ITC Avant Garde" w:hAnsi="ITC Avant Garde"/>
          <w:bCs/>
          <w:sz w:val="21"/>
          <w:szCs w:val="21"/>
        </w:rPr>
        <w:t xml:space="preserve"> en el apartado de consultas públicas del portal de Internet del Instituto, a través del informe de consideraciones correspondiente.</w:t>
      </w:r>
    </w:p>
    <w:p w14:paraId="1B29C664" w14:textId="77777777" w:rsidR="004A1192" w:rsidRPr="002449DA" w:rsidRDefault="004A1192" w:rsidP="004A1192">
      <w:pPr>
        <w:pStyle w:val="Default"/>
        <w:tabs>
          <w:tab w:val="left" w:pos="0"/>
        </w:tabs>
        <w:jc w:val="both"/>
        <w:rPr>
          <w:rFonts w:ascii="ITC Avant Garde" w:hAnsi="ITC Avant Garde"/>
          <w:sz w:val="21"/>
          <w:szCs w:val="21"/>
        </w:rPr>
      </w:pPr>
    </w:p>
    <w:p w14:paraId="2CACB9AE"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
          <w:bCs/>
          <w:sz w:val="21"/>
          <w:szCs w:val="21"/>
        </w:rPr>
        <w:t>Quinto. Análisis de Nulo Impacto Regulatorio.</w:t>
      </w:r>
      <w:r w:rsidRPr="002449DA">
        <w:rPr>
          <w:rFonts w:ascii="ITC Avant Garde" w:hAnsi="ITC Avant Garde"/>
          <w:bCs/>
          <w:sz w:val="21"/>
          <w:szCs w:val="21"/>
        </w:rPr>
        <w:t xml:space="preserve"> El segundo párrafo del artículo 51 de la Ley establece que previamente a la emisión de reglas, lineamientos o disposiciones administrativas de carácter general, el Instituto deberá realizar y hacer público un Análisis de Impacto Regulatorio o, en su caso, solicitar el apoyo de la Comisión Nacional de Mejora Regulatoria.</w:t>
      </w:r>
    </w:p>
    <w:p w14:paraId="795C0965" w14:textId="77777777" w:rsidR="004A1192" w:rsidRPr="002449DA" w:rsidRDefault="004A1192" w:rsidP="004A1192">
      <w:pPr>
        <w:pStyle w:val="Default"/>
        <w:tabs>
          <w:tab w:val="left" w:pos="0"/>
        </w:tabs>
        <w:jc w:val="both"/>
        <w:rPr>
          <w:rFonts w:ascii="ITC Avant Garde" w:eastAsia="MS Mincho" w:hAnsi="ITC Avant Garde"/>
          <w:b/>
          <w:bCs/>
          <w:sz w:val="21"/>
          <w:szCs w:val="21"/>
        </w:rPr>
      </w:pPr>
    </w:p>
    <w:p w14:paraId="5AE168F1"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Por su parte, los Lineamientos de Consulta Pública, precisan en su Lineamiento Tercero, fracción II, la facultad del Instituto para realizar Consultas Públicas de un anteproyecto de regulación, acompañado de un Análisis de Impacto Regulatorio o Análisis de Nulo Impacto Regulatorio (en lo sucesivo, el “ANIR”), con la finalidad de obtener información, comentarios, opiniones, aportaciones u otros elementos de análisis por parte de cualquier persona a efecto de enriquecer la calidad regulatoria de dicho instrumento normativo.</w:t>
      </w:r>
    </w:p>
    <w:p w14:paraId="1483CC21" w14:textId="77777777" w:rsidR="004A1192" w:rsidRPr="002449DA" w:rsidRDefault="004A1192" w:rsidP="004A1192">
      <w:pPr>
        <w:pStyle w:val="Default"/>
        <w:tabs>
          <w:tab w:val="left" w:pos="0"/>
        </w:tabs>
        <w:jc w:val="both"/>
        <w:rPr>
          <w:rFonts w:ascii="ITC Avant Garde" w:hAnsi="ITC Avant Garde"/>
          <w:sz w:val="21"/>
          <w:szCs w:val="21"/>
        </w:rPr>
      </w:pPr>
    </w:p>
    <w:p w14:paraId="1F3ADB04"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 xml:space="preserve">El Lineamiento Vigésimo Primero, último párrafo, de los Lineamientos de Consulta Pública refieren que si a la entrada en vigor de un anteproyecto regulatorio, no se generan nuevos costos de cumplimiento, éste deberá ir acompañado de un ANIR. </w:t>
      </w:r>
    </w:p>
    <w:p w14:paraId="2FF0F7CE"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 xml:space="preserve">En ese sentido, respecto al presente proyecto de regulación, el Instituto puso a disposición de los agentes regulados y la ciudadanía en general, un </w:t>
      </w:r>
      <w:r w:rsidR="00F97A6C">
        <w:rPr>
          <w:rFonts w:ascii="ITC Avant Garde" w:hAnsi="ITC Avant Garde"/>
          <w:bCs/>
          <w:sz w:val="21"/>
          <w:szCs w:val="21"/>
        </w:rPr>
        <w:t>ANIR</w:t>
      </w:r>
      <w:r w:rsidRPr="002449DA">
        <w:rPr>
          <w:rFonts w:ascii="ITC Avant Garde" w:hAnsi="ITC Avant Garde"/>
          <w:bCs/>
          <w:sz w:val="21"/>
          <w:szCs w:val="21"/>
        </w:rPr>
        <w:t>, mismo que no sufrió modificaciones sustanciales a razón de la consulta pública referida en el numeral anterior, ni en virtud de las adecuaciones realizadas al proyecto de Acuerdo.</w:t>
      </w:r>
    </w:p>
    <w:p w14:paraId="4A5F5B06" w14:textId="77777777" w:rsidR="004A1192" w:rsidRPr="002449DA" w:rsidRDefault="004A1192" w:rsidP="004A1192">
      <w:pPr>
        <w:pStyle w:val="Default"/>
        <w:tabs>
          <w:tab w:val="left" w:pos="0"/>
        </w:tabs>
        <w:jc w:val="both"/>
        <w:rPr>
          <w:rFonts w:ascii="ITC Avant Garde" w:hAnsi="ITC Avant Garde"/>
          <w:bCs/>
          <w:sz w:val="21"/>
          <w:szCs w:val="21"/>
        </w:rPr>
      </w:pPr>
    </w:p>
    <w:p w14:paraId="4733D011" w14:textId="7777777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 xml:space="preserve">El </w:t>
      </w:r>
      <w:r w:rsidR="00F97A6C">
        <w:rPr>
          <w:rFonts w:ascii="ITC Avant Garde" w:hAnsi="ITC Avant Garde"/>
          <w:bCs/>
          <w:sz w:val="21"/>
          <w:szCs w:val="21"/>
        </w:rPr>
        <w:t>ANIR</w:t>
      </w:r>
      <w:r w:rsidRPr="002449DA">
        <w:rPr>
          <w:rFonts w:ascii="ITC Avant Garde" w:hAnsi="ITC Avant Garde"/>
          <w:bCs/>
          <w:sz w:val="21"/>
          <w:szCs w:val="21"/>
        </w:rPr>
        <w:t xml:space="preserve"> expone, entre otros aspectos, los objetivos que el Instituto pretende alcanzar con la publicación del proyecto de Acuerdo, a saber:</w:t>
      </w:r>
    </w:p>
    <w:p w14:paraId="29C202AE" w14:textId="77777777" w:rsidR="004A1192" w:rsidRPr="002449DA" w:rsidRDefault="004A1192" w:rsidP="004A1192">
      <w:pPr>
        <w:pStyle w:val="Default"/>
        <w:tabs>
          <w:tab w:val="left" w:pos="0"/>
        </w:tabs>
        <w:jc w:val="both"/>
        <w:rPr>
          <w:rFonts w:ascii="ITC Avant Garde" w:hAnsi="ITC Avant Garde"/>
          <w:bCs/>
          <w:sz w:val="21"/>
          <w:szCs w:val="21"/>
        </w:rPr>
      </w:pPr>
    </w:p>
    <w:p w14:paraId="12ED9346" w14:textId="77777777" w:rsidR="004A1192" w:rsidRPr="002449DA" w:rsidRDefault="004A1192" w:rsidP="00F97A6C">
      <w:pPr>
        <w:pStyle w:val="Default"/>
        <w:numPr>
          <w:ilvl w:val="0"/>
          <w:numId w:val="16"/>
        </w:numPr>
        <w:tabs>
          <w:tab w:val="left" w:pos="0"/>
        </w:tabs>
        <w:jc w:val="both"/>
        <w:rPr>
          <w:rFonts w:ascii="ITC Avant Garde" w:hAnsi="ITC Avant Garde"/>
          <w:bCs/>
          <w:sz w:val="21"/>
          <w:szCs w:val="21"/>
        </w:rPr>
      </w:pPr>
      <w:r w:rsidRPr="002449DA">
        <w:rPr>
          <w:rFonts w:ascii="ITC Avant Garde" w:hAnsi="ITC Avant Garde"/>
          <w:bCs/>
          <w:sz w:val="21"/>
          <w:szCs w:val="21"/>
          <w:lang w:val="es-ES_tradnl"/>
        </w:rPr>
        <w:lastRenderedPageBreak/>
        <w:t xml:space="preserve">Emplear la desregulación y la simplificación administrativa como herramientas para lograr una mayor eficiencia y disminuir las cargas administrativas de los sujetos regulados por la Ley, y </w:t>
      </w:r>
    </w:p>
    <w:p w14:paraId="3F379189" w14:textId="77777777" w:rsidR="004A1192" w:rsidRPr="002449DA" w:rsidRDefault="004A1192" w:rsidP="004A1192">
      <w:pPr>
        <w:pStyle w:val="Default"/>
        <w:tabs>
          <w:tab w:val="left" w:pos="0"/>
        </w:tabs>
        <w:jc w:val="both"/>
        <w:rPr>
          <w:rFonts w:ascii="ITC Avant Garde" w:hAnsi="ITC Avant Garde"/>
          <w:bCs/>
          <w:sz w:val="21"/>
          <w:szCs w:val="21"/>
        </w:rPr>
      </w:pPr>
    </w:p>
    <w:p w14:paraId="51D71BF2" w14:textId="37A792AE" w:rsidR="004A1192" w:rsidRPr="002449DA" w:rsidRDefault="004A1192" w:rsidP="00F97A6C">
      <w:pPr>
        <w:pStyle w:val="Default"/>
        <w:numPr>
          <w:ilvl w:val="0"/>
          <w:numId w:val="16"/>
        </w:numPr>
        <w:tabs>
          <w:tab w:val="left" w:pos="0"/>
        </w:tabs>
        <w:jc w:val="both"/>
        <w:rPr>
          <w:rFonts w:ascii="ITC Avant Garde" w:hAnsi="ITC Avant Garde"/>
          <w:bCs/>
          <w:sz w:val="21"/>
          <w:szCs w:val="21"/>
          <w:lang w:val="es-ES_tradnl"/>
        </w:rPr>
      </w:pPr>
      <w:r w:rsidRPr="002449DA">
        <w:rPr>
          <w:rFonts w:ascii="ITC Avant Garde" w:hAnsi="ITC Avant Garde"/>
          <w:bCs/>
          <w:sz w:val="21"/>
          <w:szCs w:val="21"/>
          <w:lang w:val="es-ES_tradnl"/>
        </w:rPr>
        <w:t xml:space="preserve">Expedición de una disposición de carácter general, que de manera sumaria y contextualmente armónica con las demás acciones de mejora administrativa que el Instituto ha realizado y se encuentra realizando, permita la extinción o modificación de diversas obligaciones a cargo de los regulados que, a la fecha, se traducen en trámites </w:t>
      </w:r>
      <w:r w:rsidR="006F29CD">
        <w:rPr>
          <w:rFonts w:ascii="ITC Avant Garde" w:hAnsi="ITC Avant Garde"/>
          <w:bCs/>
          <w:sz w:val="21"/>
          <w:szCs w:val="21"/>
          <w:lang w:val="es-ES_tradnl"/>
        </w:rPr>
        <w:t>que implican particularmente</w:t>
      </w:r>
      <w:r w:rsidR="006F29CD" w:rsidRPr="002449DA">
        <w:rPr>
          <w:rFonts w:ascii="ITC Avant Garde" w:hAnsi="ITC Avant Garde"/>
          <w:bCs/>
          <w:sz w:val="21"/>
          <w:szCs w:val="21"/>
          <w:lang w:val="es-ES_tradnl"/>
        </w:rPr>
        <w:t xml:space="preserve"> entregas de información</w:t>
      </w:r>
      <w:r w:rsidR="006F29CD">
        <w:rPr>
          <w:rFonts w:ascii="ITC Avant Garde" w:hAnsi="ITC Avant Garde"/>
          <w:bCs/>
          <w:sz w:val="21"/>
          <w:szCs w:val="21"/>
          <w:lang w:val="es-ES_tradnl"/>
        </w:rPr>
        <w:t xml:space="preserve"> que en el contexto del marco legal vigente, resultan</w:t>
      </w:r>
      <w:r w:rsidR="006F29CD" w:rsidRPr="002449DA">
        <w:rPr>
          <w:rFonts w:ascii="ITC Avant Garde" w:hAnsi="ITC Avant Garde"/>
          <w:bCs/>
          <w:sz w:val="21"/>
          <w:szCs w:val="21"/>
          <w:lang w:val="es-ES_tradnl"/>
        </w:rPr>
        <w:t xml:space="preserve"> </w:t>
      </w:r>
      <w:r w:rsidRPr="002449DA">
        <w:rPr>
          <w:rFonts w:ascii="ITC Avant Garde" w:hAnsi="ITC Avant Garde"/>
          <w:bCs/>
          <w:sz w:val="21"/>
          <w:szCs w:val="21"/>
          <w:lang w:val="es-ES_tradnl"/>
        </w:rPr>
        <w:t>innecesarios u obsoletos</w:t>
      </w:r>
      <w:r w:rsidR="006F29CD">
        <w:rPr>
          <w:rFonts w:ascii="ITC Avant Garde" w:hAnsi="ITC Avant Garde"/>
          <w:bCs/>
          <w:sz w:val="21"/>
          <w:szCs w:val="21"/>
          <w:lang w:val="es-ES_tradnl"/>
        </w:rPr>
        <w:t>, en virtud de que</w:t>
      </w:r>
      <w:r w:rsidRPr="002449DA">
        <w:rPr>
          <w:rFonts w:ascii="ITC Avant Garde" w:hAnsi="ITC Avant Garde"/>
          <w:bCs/>
          <w:sz w:val="21"/>
          <w:szCs w:val="21"/>
          <w:lang w:val="es-ES_tradnl"/>
        </w:rPr>
        <w:t xml:space="preserve"> el Instituto ya se allega o puede allegarse </w:t>
      </w:r>
      <w:r w:rsidR="006F29CD">
        <w:rPr>
          <w:rFonts w:ascii="ITC Avant Garde" w:hAnsi="ITC Avant Garde"/>
          <w:bCs/>
          <w:sz w:val="21"/>
          <w:szCs w:val="21"/>
          <w:lang w:val="es-ES_tradnl"/>
        </w:rPr>
        <w:t xml:space="preserve">de dicha información </w:t>
      </w:r>
      <w:r w:rsidRPr="002449DA">
        <w:rPr>
          <w:rFonts w:ascii="ITC Avant Garde" w:hAnsi="ITC Avant Garde"/>
          <w:bCs/>
          <w:sz w:val="21"/>
          <w:szCs w:val="21"/>
          <w:lang w:val="es-ES_tradnl"/>
        </w:rPr>
        <w:t>por otras vías.</w:t>
      </w:r>
    </w:p>
    <w:p w14:paraId="4457F153" w14:textId="77777777" w:rsidR="004A1192" w:rsidRPr="002449DA" w:rsidRDefault="004A1192" w:rsidP="004A1192">
      <w:pPr>
        <w:pStyle w:val="Default"/>
        <w:tabs>
          <w:tab w:val="left" w:pos="0"/>
        </w:tabs>
        <w:jc w:val="both"/>
        <w:rPr>
          <w:rFonts w:ascii="ITC Avant Garde" w:hAnsi="ITC Avant Garde"/>
          <w:bCs/>
          <w:sz w:val="21"/>
          <w:szCs w:val="21"/>
        </w:rPr>
      </w:pPr>
    </w:p>
    <w:p w14:paraId="7CD1D1E5" w14:textId="32B2E8F7" w:rsidR="004A1192" w:rsidRPr="002449DA" w:rsidRDefault="004A1192" w:rsidP="004A1192">
      <w:pPr>
        <w:pStyle w:val="Default"/>
        <w:tabs>
          <w:tab w:val="left" w:pos="0"/>
        </w:tabs>
        <w:jc w:val="both"/>
        <w:rPr>
          <w:rFonts w:ascii="ITC Avant Garde" w:hAnsi="ITC Avant Garde"/>
          <w:bCs/>
          <w:sz w:val="21"/>
          <w:szCs w:val="21"/>
        </w:rPr>
      </w:pPr>
      <w:r w:rsidRPr="002449DA">
        <w:rPr>
          <w:rFonts w:ascii="ITC Avant Garde" w:hAnsi="ITC Avant Garde"/>
          <w:bCs/>
          <w:sz w:val="21"/>
          <w:szCs w:val="21"/>
        </w:rPr>
        <w:t>Por las razones antes expuestas, con fundamento en los artículos 6o</w:t>
      </w:r>
      <w:r w:rsidR="0088286B">
        <w:rPr>
          <w:rFonts w:ascii="ITC Avant Garde" w:hAnsi="ITC Avant Garde"/>
          <w:bCs/>
          <w:sz w:val="21"/>
          <w:szCs w:val="21"/>
        </w:rPr>
        <w:t xml:space="preserve">, </w:t>
      </w:r>
      <w:r w:rsidR="0088286B">
        <w:rPr>
          <w:rFonts w:ascii="ITC Avant Garde" w:hAnsi="ITC Avant Garde"/>
          <w:bCs/>
          <w:sz w:val="21"/>
          <w:szCs w:val="21"/>
          <w:lang w:val="es-ES_tradnl"/>
        </w:rPr>
        <w:t>apartado B), fracción II</w:t>
      </w:r>
      <w:r w:rsidRPr="002449DA">
        <w:rPr>
          <w:rFonts w:ascii="ITC Avant Garde" w:hAnsi="ITC Avant Garde"/>
          <w:bCs/>
          <w:sz w:val="21"/>
          <w:szCs w:val="21"/>
        </w:rPr>
        <w:t xml:space="preserve"> y 28, párrafos décimo quinto, décimo sexto y vigésimo, fracción IV, de la Constitución Política de los Estados Unidos Mexicanos; 1, 2, 7, 15, fracciones I, XLI y LVI, 16, 17, fracciones I y 51 de la Ley Federal de Telecomunicaciones y Radiodifusión, y 1, 4, fracción I, y 6, </w:t>
      </w:r>
      <w:r w:rsidRPr="002449DA">
        <w:rPr>
          <w:rFonts w:ascii="ITC Avant Garde" w:hAnsi="ITC Avant Garde"/>
          <w:bCs/>
          <w:sz w:val="21"/>
          <w:szCs w:val="21"/>
          <w:lang w:val="es-ES_tradnl"/>
        </w:rPr>
        <w:t xml:space="preserve">fracciones I, XXV y XXXVII </w:t>
      </w:r>
      <w:r w:rsidRPr="002449DA">
        <w:rPr>
          <w:rFonts w:ascii="ITC Avant Garde" w:hAnsi="ITC Avant Garde"/>
          <w:bCs/>
          <w:sz w:val="21"/>
          <w:szCs w:val="21"/>
        </w:rPr>
        <w:t xml:space="preserve">del Estatuto Orgánico del Instituto Federal de Telecomunicaciones, el Pleno del Instituto emite </w:t>
      </w:r>
      <w:r w:rsidR="00F656B1">
        <w:rPr>
          <w:rFonts w:ascii="ITC Avant Garde" w:hAnsi="ITC Avant Garde"/>
          <w:bCs/>
          <w:sz w:val="21"/>
          <w:szCs w:val="21"/>
        </w:rPr>
        <w:t xml:space="preserve">y aprueba </w:t>
      </w:r>
      <w:r w:rsidRPr="002449DA">
        <w:rPr>
          <w:rFonts w:ascii="ITC Avant Garde" w:hAnsi="ITC Avant Garde"/>
          <w:bCs/>
          <w:sz w:val="21"/>
          <w:szCs w:val="21"/>
        </w:rPr>
        <w:t>el siguiente:</w:t>
      </w:r>
    </w:p>
    <w:p w14:paraId="186E28BE" w14:textId="77777777" w:rsidR="004A1192" w:rsidRPr="002449DA" w:rsidRDefault="004A1192" w:rsidP="004A1192">
      <w:pPr>
        <w:pStyle w:val="Default"/>
        <w:tabs>
          <w:tab w:val="left" w:pos="0"/>
        </w:tabs>
        <w:jc w:val="both"/>
        <w:rPr>
          <w:rFonts w:ascii="ITC Avant Garde" w:hAnsi="ITC Avant Garde"/>
          <w:kern w:val="2"/>
          <w:sz w:val="21"/>
          <w:szCs w:val="21"/>
          <w:lang w:eastAsia="ar-SA"/>
        </w:rPr>
      </w:pPr>
    </w:p>
    <w:p w14:paraId="551DBFE3" w14:textId="77777777" w:rsidR="004A1192" w:rsidRPr="002449DA" w:rsidRDefault="004A1192" w:rsidP="004A1192">
      <w:pPr>
        <w:pStyle w:val="ANOTACION"/>
        <w:spacing w:before="0" w:after="0" w:line="240" w:lineRule="auto"/>
        <w:rPr>
          <w:rFonts w:ascii="ITC Avant Garde" w:hAnsi="ITC Avant Garde" w:cs="Arial"/>
          <w:sz w:val="21"/>
          <w:szCs w:val="21"/>
          <w:lang w:val="es-MX"/>
        </w:rPr>
      </w:pPr>
      <w:r w:rsidRPr="002449DA">
        <w:rPr>
          <w:rFonts w:ascii="ITC Avant Garde" w:hAnsi="ITC Avant Garde" w:cs="Arial"/>
          <w:sz w:val="21"/>
          <w:szCs w:val="21"/>
          <w:lang w:val="es-MX"/>
        </w:rPr>
        <w:t>A C U E R D O</w:t>
      </w:r>
    </w:p>
    <w:p w14:paraId="71575083" w14:textId="77777777" w:rsidR="004A1192" w:rsidRPr="002449DA" w:rsidRDefault="004A1192" w:rsidP="004A1192">
      <w:pPr>
        <w:pStyle w:val="Texto"/>
        <w:spacing w:after="0" w:line="240" w:lineRule="auto"/>
        <w:ind w:firstLine="0"/>
        <w:rPr>
          <w:rFonts w:ascii="ITC Avant Garde" w:hAnsi="ITC Avant Garde"/>
          <w:sz w:val="21"/>
          <w:szCs w:val="21"/>
        </w:rPr>
      </w:pPr>
    </w:p>
    <w:p w14:paraId="3DB8A4C1" w14:textId="14A017B6" w:rsidR="00F656B1" w:rsidRPr="008704A8" w:rsidRDefault="00F656B1" w:rsidP="00F656B1">
      <w:pPr>
        <w:pStyle w:val="Texto"/>
        <w:spacing w:line="240" w:lineRule="auto"/>
        <w:ind w:firstLine="0"/>
        <w:rPr>
          <w:rFonts w:ascii="ITC Avant Garde" w:eastAsia="Arial" w:hAnsi="ITC Avant Garde"/>
          <w:color w:val="000000"/>
          <w:sz w:val="21"/>
          <w:lang w:val="es-ES"/>
        </w:rPr>
      </w:pPr>
      <w:r w:rsidRPr="00F656B1">
        <w:rPr>
          <w:rFonts w:ascii="ITC Avant Garde" w:eastAsia="Arial" w:hAnsi="ITC Avant Garde" w:cs="Tahoma"/>
          <w:b/>
          <w:bCs/>
          <w:color w:val="000000"/>
          <w:sz w:val="21"/>
          <w:szCs w:val="21"/>
          <w:lang w:val="es-ES" w:eastAsia="es-MX"/>
        </w:rPr>
        <w:t>PRIMERO. -</w:t>
      </w:r>
      <w:r w:rsidRPr="00F656B1">
        <w:rPr>
          <w:rFonts w:ascii="ITC Avant Garde" w:eastAsia="Arial" w:hAnsi="ITC Avant Garde" w:cs="Tahoma"/>
          <w:bCs/>
          <w:color w:val="000000"/>
          <w:sz w:val="21"/>
          <w:szCs w:val="21"/>
          <w:lang w:val="es-ES" w:eastAsia="es-MX"/>
        </w:rPr>
        <w:t xml:space="preserve"> Se </w:t>
      </w:r>
      <w:r w:rsidRPr="00F656B1">
        <w:rPr>
          <w:rFonts w:ascii="ITC Avant Garde" w:eastAsia="Arial" w:hAnsi="ITC Avant Garde" w:cs="Tahoma"/>
          <w:b/>
          <w:bCs/>
          <w:color w:val="000000"/>
          <w:sz w:val="21"/>
          <w:szCs w:val="21"/>
          <w:lang w:val="es-ES" w:eastAsia="es-MX"/>
        </w:rPr>
        <w:t>DEROGAN</w:t>
      </w:r>
      <w:r w:rsidRPr="00F656B1">
        <w:rPr>
          <w:rFonts w:ascii="ITC Avant Garde" w:eastAsia="Arial" w:hAnsi="ITC Avant Garde" w:cs="Tahoma"/>
          <w:bCs/>
          <w:color w:val="000000"/>
          <w:sz w:val="21"/>
          <w:szCs w:val="21"/>
          <w:lang w:val="es-ES" w:eastAsia="es-MX"/>
        </w:rPr>
        <w:t xml:space="preserve"> la Regla 3, Regla 5, Regla 38 y Regla 39, de las “Reglas del Servicio de Larga Distancia”, publicadas en el DOF el 21 de junio de 1996</w:t>
      </w:r>
      <w:r w:rsidR="00577378">
        <w:rPr>
          <w:rFonts w:ascii="ITC Avant Garde" w:eastAsia="Arial" w:hAnsi="ITC Avant Garde" w:cs="Tahoma"/>
          <w:bCs/>
          <w:color w:val="000000"/>
          <w:sz w:val="21"/>
          <w:szCs w:val="21"/>
          <w:lang w:val="es-ES" w:eastAsia="es-MX"/>
        </w:rPr>
        <w:t>.</w:t>
      </w:r>
    </w:p>
    <w:p w14:paraId="5DB68A2D" w14:textId="28CF2DF2" w:rsidR="00F656B1" w:rsidRPr="008704A8" w:rsidRDefault="00F656B1" w:rsidP="008704A8">
      <w:pPr>
        <w:pStyle w:val="Default"/>
        <w:tabs>
          <w:tab w:val="left" w:pos="0"/>
        </w:tabs>
        <w:ind w:left="709"/>
        <w:jc w:val="both"/>
        <w:rPr>
          <w:rFonts w:ascii="ITC Avant Garde" w:hAnsi="ITC Avant Garde"/>
          <w:b/>
          <w:sz w:val="21"/>
          <w:lang w:val="es-ES"/>
        </w:rPr>
      </w:pPr>
    </w:p>
    <w:p w14:paraId="3EDFD875" w14:textId="77777777" w:rsidR="00F656B1" w:rsidRPr="0014662E" w:rsidRDefault="00F656B1" w:rsidP="0014662E">
      <w:pPr>
        <w:pStyle w:val="Default"/>
        <w:tabs>
          <w:tab w:val="left" w:pos="0"/>
        </w:tabs>
        <w:jc w:val="both"/>
        <w:rPr>
          <w:rFonts w:ascii="ITC Avant Garde" w:hAnsi="ITC Avant Garde"/>
          <w:bCs/>
          <w:sz w:val="21"/>
          <w:szCs w:val="21"/>
          <w:lang w:val="es-ES"/>
        </w:rPr>
      </w:pPr>
      <w:r w:rsidRPr="0014662E">
        <w:rPr>
          <w:rFonts w:ascii="ITC Avant Garde" w:hAnsi="ITC Avant Garde"/>
          <w:b/>
          <w:bCs/>
          <w:sz w:val="21"/>
          <w:szCs w:val="21"/>
          <w:lang w:val="es-ES"/>
        </w:rPr>
        <w:t>SEGUNDO. -</w:t>
      </w:r>
      <w:r w:rsidRPr="0014662E">
        <w:rPr>
          <w:rFonts w:ascii="ITC Avant Garde" w:hAnsi="ITC Avant Garde"/>
          <w:bCs/>
          <w:sz w:val="21"/>
          <w:szCs w:val="21"/>
          <w:lang w:val="es-ES"/>
        </w:rPr>
        <w:t xml:space="preserve"> Se </w:t>
      </w:r>
      <w:r w:rsidRPr="0014662E">
        <w:rPr>
          <w:rFonts w:ascii="ITC Avant Garde" w:hAnsi="ITC Avant Garde"/>
          <w:b/>
          <w:bCs/>
          <w:sz w:val="21"/>
          <w:szCs w:val="21"/>
          <w:lang w:val="es-ES"/>
        </w:rPr>
        <w:t>MODIFICA</w:t>
      </w:r>
      <w:r w:rsidRPr="0014662E">
        <w:rPr>
          <w:rFonts w:ascii="ITC Avant Garde" w:hAnsi="ITC Avant Garde"/>
          <w:bCs/>
          <w:sz w:val="21"/>
          <w:szCs w:val="21"/>
          <w:lang w:val="es-ES"/>
        </w:rPr>
        <w:t xml:space="preserve"> el primer párrafo de la Regla 9 y se </w:t>
      </w:r>
      <w:r w:rsidRPr="008704A8">
        <w:rPr>
          <w:rFonts w:ascii="ITC Avant Garde" w:hAnsi="ITC Avant Garde"/>
          <w:b/>
          <w:sz w:val="21"/>
          <w:lang w:val="es-ES"/>
        </w:rPr>
        <w:t>DEROGAN</w:t>
      </w:r>
      <w:r w:rsidRPr="0014662E">
        <w:rPr>
          <w:rFonts w:ascii="ITC Avant Garde" w:hAnsi="ITC Avant Garde"/>
          <w:bCs/>
          <w:sz w:val="21"/>
          <w:szCs w:val="21"/>
          <w:lang w:val="es-ES"/>
        </w:rPr>
        <w:t xml:space="preserve"> el segundo párrafo de la Regla 9, la Regla 23 y el Anexo 1 de las “Reglas de Telecomunicaciones Internacionales”, publicadas en el DOF el 11 de agosto de 2004, para quedar como sigue:</w:t>
      </w:r>
    </w:p>
    <w:p w14:paraId="2C7FE0DD" w14:textId="77777777" w:rsidR="00F656B1" w:rsidRPr="0014662E" w:rsidRDefault="00F656B1" w:rsidP="00F656B1">
      <w:pPr>
        <w:pStyle w:val="Default"/>
        <w:tabs>
          <w:tab w:val="left" w:pos="0"/>
        </w:tabs>
        <w:jc w:val="both"/>
        <w:rPr>
          <w:rFonts w:ascii="ITC Avant Garde" w:hAnsi="ITC Avant Garde"/>
          <w:bCs/>
          <w:sz w:val="21"/>
          <w:szCs w:val="21"/>
          <w:lang w:val="es-ES"/>
        </w:rPr>
      </w:pPr>
    </w:p>
    <w:p w14:paraId="40E24864"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Cs/>
          <w:sz w:val="21"/>
          <w:szCs w:val="21"/>
          <w:lang w:val="es-ES"/>
        </w:rPr>
        <w:t xml:space="preserve">(…) </w:t>
      </w:r>
    </w:p>
    <w:p w14:paraId="43FFF075"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4CB880F6" w14:textId="69FF2DDE"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
          <w:bCs/>
          <w:sz w:val="21"/>
          <w:szCs w:val="21"/>
          <w:lang w:val="es-ES"/>
        </w:rPr>
        <w:t>Regla 9</w:t>
      </w:r>
      <w:r w:rsidRPr="0014662E">
        <w:rPr>
          <w:rFonts w:ascii="ITC Avant Garde" w:hAnsi="ITC Avant Garde"/>
          <w:bCs/>
          <w:sz w:val="21"/>
          <w:szCs w:val="21"/>
          <w:lang w:val="es-ES"/>
        </w:rPr>
        <w:t xml:space="preserve">. En el caso de que los Convenios de Interconexión Internacional inscritos en el Registro Público de Concesiones sean modificados, dichos Convenios deberán presentarse nuevamente para inscripción </w:t>
      </w:r>
      <w:r w:rsidR="00BD2F61">
        <w:rPr>
          <w:rFonts w:ascii="ITC Avant Garde" w:hAnsi="ITC Avant Garde"/>
          <w:bCs/>
          <w:sz w:val="21"/>
          <w:szCs w:val="21"/>
          <w:lang w:val="es-ES"/>
        </w:rPr>
        <w:t xml:space="preserve">con base </w:t>
      </w:r>
      <w:r w:rsidRPr="0014662E">
        <w:rPr>
          <w:rFonts w:ascii="ITC Avant Garde" w:hAnsi="ITC Avant Garde"/>
          <w:bCs/>
          <w:sz w:val="21"/>
          <w:szCs w:val="21"/>
          <w:lang w:val="es-ES"/>
        </w:rPr>
        <w:t>en lo dispuesto por la</w:t>
      </w:r>
      <w:r w:rsidR="00BD2F61">
        <w:rPr>
          <w:rFonts w:ascii="ITC Avant Garde" w:hAnsi="ITC Avant Garde"/>
          <w:bCs/>
          <w:sz w:val="21"/>
          <w:szCs w:val="21"/>
          <w:lang w:val="es-ES"/>
        </w:rPr>
        <w:t>s</w:t>
      </w:r>
      <w:r w:rsidRPr="0014662E">
        <w:rPr>
          <w:rFonts w:ascii="ITC Avant Garde" w:hAnsi="ITC Avant Garde"/>
          <w:bCs/>
          <w:sz w:val="21"/>
          <w:szCs w:val="21"/>
          <w:lang w:val="es-ES"/>
        </w:rPr>
        <w:t xml:space="preserve"> Regla</w:t>
      </w:r>
      <w:r w:rsidR="00BD2F61">
        <w:rPr>
          <w:rFonts w:ascii="ITC Avant Garde" w:hAnsi="ITC Avant Garde"/>
          <w:bCs/>
          <w:sz w:val="21"/>
          <w:szCs w:val="21"/>
          <w:lang w:val="es-ES"/>
        </w:rPr>
        <w:t>s</w:t>
      </w:r>
      <w:r w:rsidRPr="0014662E">
        <w:rPr>
          <w:rFonts w:ascii="ITC Avant Garde" w:hAnsi="ITC Avant Garde"/>
          <w:bCs/>
          <w:sz w:val="21"/>
          <w:szCs w:val="21"/>
          <w:lang w:val="es-ES"/>
        </w:rPr>
        <w:t xml:space="preserve"> 6</w:t>
      </w:r>
      <w:r w:rsidR="00BD2F61">
        <w:rPr>
          <w:rFonts w:ascii="ITC Avant Garde" w:hAnsi="ITC Avant Garde"/>
          <w:bCs/>
          <w:sz w:val="21"/>
          <w:szCs w:val="21"/>
          <w:lang w:val="es-ES"/>
        </w:rPr>
        <w:t xml:space="preserve"> y 7</w:t>
      </w:r>
      <w:r w:rsidRPr="0014662E">
        <w:rPr>
          <w:rFonts w:ascii="ITC Avant Garde" w:hAnsi="ITC Avant Garde"/>
          <w:bCs/>
          <w:sz w:val="21"/>
          <w:szCs w:val="21"/>
          <w:lang w:val="es-ES"/>
        </w:rPr>
        <w:t>, salvo que dicha modificación verse sobre los montos de las Tarifas por Tráfico Internacional convenidas por los Servicios Objeto de la Interconexión Internacional, para lo cual los concesionarios se sujetarán a lo dispuesto por la Regla 17.</w:t>
      </w:r>
    </w:p>
    <w:p w14:paraId="5D3829A5"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4EA27555"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Cs/>
          <w:sz w:val="21"/>
          <w:szCs w:val="21"/>
          <w:lang w:val="es-ES"/>
        </w:rPr>
        <w:t>(Párrafo derogado)</w:t>
      </w:r>
    </w:p>
    <w:p w14:paraId="497C2847"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3B2202EF"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Cs/>
          <w:sz w:val="21"/>
          <w:szCs w:val="21"/>
          <w:lang w:val="es-ES"/>
        </w:rPr>
        <w:t>(…)</w:t>
      </w:r>
    </w:p>
    <w:p w14:paraId="22D76E2E"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3DAAAF01"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5808A077"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
          <w:bCs/>
          <w:sz w:val="21"/>
          <w:szCs w:val="21"/>
          <w:lang w:val="es-ES"/>
        </w:rPr>
        <w:t>Regla 23.</w:t>
      </w:r>
      <w:r w:rsidRPr="0014662E">
        <w:rPr>
          <w:rFonts w:ascii="ITC Avant Garde" w:hAnsi="ITC Avant Garde"/>
          <w:bCs/>
          <w:sz w:val="21"/>
          <w:szCs w:val="21"/>
          <w:lang w:val="es-ES"/>
        </w:rPr>
        <w:t xml:space="preserve"> Derogada.</w:t>
      </w:r>
    </w:p>
    <w:p w14:paraId="5E00CCAC"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p>
    <w:p w14:paraId="5FB8BB59" w14:textId="77777777" w:rsidR="00F656B1" w:rsidRPr="0014662E" w:rsidRDefault="00F656B1" w:rsidP="0014662E">
      <w:pPr>
        <w:pStyle w:val="Default"/>
        <w:tabs>
          <w:tab w:val="left" w:pos="0"/>
        </w:tabs>
        <w:ind w:left="709"/>
        <w:jc w:val="both"/>
        <w:rPr>
          <w:rFonts w:ascii="ITC Avant Garde" w:hAnsi="ITC Avant Garde"/>
          <w:bCs/>
          <w:sz w:val="21"/>
          <w:szCs w:val="21"/>
          <w:lang w:val="es-ES"/>
        </w:rPr>
      </w:pPr>
      <w:r w:rsidRPr="0014662E">
        <w:rPr>
          <w:rFonts w:ascii="ITC Avant Garde" w:hAnsi="ITC Avant Garde"/>
          <w:bCs/>
          <w:sz w:val="21"/>
          <w:szCs w:val="21"/>
          <w:lang w:val="es-ES"/>
        </w:rPr>
        <w:t>(…)</w:t>
      </w:r>
    </w:p>
    <w:p w14:paraId="4CF82F81"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68435076" w14:textId="16FC6266" w:rsidR="00F656B1" w:rsidRPr="0014662E" w:rsidRDefault="00F656B1" w:rsidP="0014662E">
      <w:pPr>
        <w:pStyle w:val="Default"/>
        <w:tabs>
          <w:tab w:val="left" w:pos="0"/>
        </w:tabs>
        <w:jc w:val="both"/>
        <w:rPr>
          <w:rFonts w:ascii="ITC Avant Garde" w:hAnsi="ITC Avant Garde"/>
          <w:bCs/>
          <w:sz w:val="21"/>
          <w:szCs w:val="21"/>
          <w:lang w:val="es-ES"/>
        </w:rPr>
      </w:pPr>
      <w:r w:rsidRPr="0014662E">
        <w:rPr>
          <w:rFonts w:ascii="ITC Avant Garde" w:hAnsi="ITC Avant Garde"/>
          <w:b/>
          <w:bCs/>
          <w:sz w:val="21"/>
          <w:szCs w:val="21"/>
          <w:lang w:val="es-ES"/>
        </w:rPr>
        <w:t>TERCERO. –</w:t>
      </w:r>
      <w:r w:rsidRPr="0014662E">
        <w:rPr>
          <w:rFonts w:ascii="ITC Avant Garde" w:hAnsi="ITC Avant Garde"/>
          <w:bCs/>
          <w:sz w:val="21"/>
          <w:szCs w:val="21"/>
          <w:lang w:val="es-ES"/>
        </w:rPr>
        <w:t xml:space="preserve"> </w:t>
      </w:r>
      <w:r w:rsidR="005C0F7F" w:rsidRPr="0014662E">
        <w:rPr>
          <w:rFonts w:ascii="ITC Avant Garde" w:hAnsi="ITC Avant Garde"/>
          <w:bCs/>
          <w:sz w:val="21"/>
          <w:szCs w:val="21"/>
          <w:lang w:val="es-ES"/>
        </w:rPr>
        <w:t xml:space="preserve">Se </w:t>
      </w:r>
      <w:r w:rsidR="005C0F7F" w:rsidRPr="0014662E">
        <w:rPr>
          <w:rFonts w:ascii="ITC Avant Garde" w:hAnsi="ITC Avant Garde"/>
          <w:b/>
          <w:bCs/>
          <w:sz w:val="21"/>
          <w:szCs w:val="21"/>
          <w:lang w:val="es-ES"/>
        </w:rPr>
        <w:t>DEROGA</w:t>
      </w:r>
      <w:r w:rsidR="005C0F7F" w:rsidRPr="0014662E">
        <w:rPr>
          <w:rFonts w:ascii="ITC Avant Garde" w:hAnsi="ITC Avant Garde"/>
          <w:bCs/>
          <w:sz w:val="21"/>
          <w:szCs w:val="21"/>
          <w:lang w:val="es-ES"/>
        </w:rPr>
        <w:t xml:space="preserve"> el Lineamiento Décimo Sexto y el Anexo 1 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 publicados en el DOF el 24 de julio de 2017</w:t>
      </w:r>
      <w:r w:rsidR="005C0F7F">
        <w:rPr>
          <w:rFonts w:ascii="ITC Avant Garde" w:hAnsi="ITC Avant Garde"/>
          <w:bCs/>
          <w:sz w:val="21"/>
          <w:szCs w:val="21"/>
          <w:lang w:val="es-ES"/>
        </w:rPr>
        <w:t>.</w:t>
      </w:r>
    </w:p>
    <w:p w14:paraId="270CDDC3" w14:textId="77777777" w:rsidR="00F656B1" w:rsidRPr="0014662E" w:rsidRDefault="00F656B1" w:rsidP="00F656B1">
      <w:pPr>
        <w:pStyle w:val="Default"/>
        <w:tabs>
          <w:tab w:val="left" w:pos="0"/>
        </w:tabs>
        <w:jc w:val="both"/>
        <w:rPr>
          <w:rFonts w:ascii="ITC Avant Garde" w:hAnsi="ITC Avant Garde"/>
          <w:bCs/>
          <w:sz w:val="21"/>
          <w:szCs w:val="21"/>
          <w:lang w:val="es-ES"/>
        </w:rPr>
      </w:pPr>
    </w:p>
    <w:p w14:paraId="33A4529D" w14:textId="0A39BC50" w:rsidR="00F656B1" w:rsidRPr="0014662E" w:rsidRDefault="00F656B1" w:rsidP="0014662E">
      <w:pPr>
        <w:pStyle w:val="Default"/>
        <w:tabs>
          <w:tab w:val="left" w:pos="0"/>
        </w:tabs>
        <w:jc w:val="both"/>
        <w:rPr>
          <w:rFonts w:ascii="ITC Avant Garde" w:hAnsi="ITC Avant Garde"/>
          <w:bCs/>
          <w:sz w:val="21"/>
          <w:szCs w:val="21"/>
          <w:lang w:val="es-ES"/>
        </w:rPr>
      </w:pPr>
      <w:r w:rsidRPr="0014662E">
        <w:rPr>
          <w:rFonts w:ascii="ITC Avant Garde" w:hAnsi="ITC Avant Garde"/>
          <w:b/>
          <w:bCs/>
          <w:sz w:val="21"/>
          <w:szCs w:val="21"/>
          <w:lang w:val="es-ES"/>
        </w:rPr>
        <w:t xml:space="preserve">CUARTO. - </w:t>
      </w:r>
      <w:r w:rsidRPr="0014662E">
        <w:rPr>
          <w:rFonts w:ascii="ITC Avant Garde" w:hAnsi="ITC Avant Garde"/>
          <w:bCs/>
          <w:sz w:val="21"/>
          <w:szCs w:val="21"/>
          <w:lang w:val="es-ES"/>
        </w:rPr>
        <w:t>Se</w:t>
      </w:r>
      <w:r w:rsidRPr="0014662E">
        <w:rPr>
          <w:rFonts w:ascii="ITC Avant Garde" w:hAnsi="ITC Avant Garde"/>
          <w:b/>
          <w:bCs/>
          <w:sz w:val="21"/>
          <w:szCs w:val="21"/>
          <w:lang w:val="es-ES"/>
        </w:rPr>
        <w:t xml:space="preserve"> DEROGAN</w:t>
      </w:r>
      <w:r w:rsidRPr="0014662E">
        <w:rPr>
          <w:rFonts w:ascii="ITC Avant Garde" w:hAnsi="ITC Avant Garde"/>
          <w:bCs/>
          <w:sz w:val="21"/>
          <w:szCs w:val="21"/>
          <w:lang w:val="es-ES"/>
        </w:rPr>
        <w:t xml:space="preserve"> la Regla Quinta y la Regla Cuadragésima Segunda de las “Reglas del Servicio Local”, publicadas en el DOF el 23 de octubre de 1997</w:t>
      </w:r>
      <w:r w:rsidR="00577378">
        <w:rPr>
          <w:rFonts w:ascii="ITC Avant Garde" w:hAnsi="ITC Avant Garde"/>
          <w:bCs/>
          <w:sz w:val="21"/>
          <w:szCs w:val="21"/>
          <w:lang w:val="es-ES"/>
        </w:rPr>
        <w:t>.</w:t>
      </w:r>
    </w:p>
    <w:p w14:paraId="73B86670" w14:textId="77777777" w:rsidR="00F656B1" w:rsidRPr="0014662E" w:rsidRDefault="00F656B1" w:rsidP="00F656B1">
      <w:pPr>
        <w:pStyle w:val="Default"/>
        <w:tabs>
          <w:tab w:val="left" w:pos="0"/>
        </w:tabs>
        <w:jc w:val="both"/>
        <w:rPr>
          <w:rFonts w:ascii="ITC Avant Garde" w:hAnsi="ITC Avant Garde"/>
          <w:bCs/>
          <w:sz w:val="21"/>
          <w:szCs w:val="21"/>
          <w:lang w:val="es-ES"/>
        </w:rPr>
      </w:pPr>
    </w:p>
    <w:p w14:paraId="4513C1F6" w14:textId="3FC8428D" w:rsidR="003E26FB" w:rsidRDefault="009760F0" w:rsidP="0014662E">
      <w:pPr>
        <w:pStyle w:val="Default"/>
        <w:tabs>
          <w:tab w:val="left" w:pos="0"/>
        </w:tabs>
        <w:jc w:val="both"/>
        <w:rPr>
          <w:rFonts w:ascii="ITC Avant Garde" w:hAnsi="ITC Avant Garde"/>
          <w:bCs/>
          <w:sz w:val="21"/>
          <w:szCs w:val="21"/>
          <w:lang w:val="es-ES"/>
        </w:rPr>
      </w:pPr>
      <w:r w:rsidRPr="0014662E">
        <w:rPr>
          <w:rFonts w:ascii="ITC Avant Garde" w:hAnsi="ITC Avant Garde"/>
          <w:bCs/>
          <w:sz w:val="21"/>
          <w:szCs w:val="21"/>
          <w:lang w:val="es-ES"/>
        </w:rPr>
        <w:t xml:space="preserve"> </w:t>
      </w:r>
      <w:r w:rsidR="003E26FB" w:rsidRPr="003E26FB">
        <w:rPr>
          <w:rFonts w:ascii="ITC Avant Garde" w:hAnsi="ITC Avant Garde"/>
          <w:b/>
          <w:bCs/>
          <w:sz w:val="21"/>
          <w:szCs w:val="21"/>
          <w:lang w:val="es-ES"/>
        </w:rPr>
        <w:t>QUINTO. –</w:t>
      </w:r>
      <w:r w:rsidR="003E26FB" w:rsidRPr="003E26FB">
        <w:rPr>
          <w:rFonts w:ascii="ITC Avant Garde" w:hAnsi="ITC Avant Garde"/>
          <w:bCs/>
          <w:sz w:val="21"/>
          <w:szCs w:val="21"/>
          <w:lang w:val="es-ES"/>
        </w:rPr>
        <w:t xml:space="preserve"> Se </w:t>
      </w:r>
      <w:r w:rsidR="003E26FB" w:rsidRPr="003E26FB">
        <w:rPr>
          <w:rFonts w:ascii="ITC Avant Garde" w:hAnsi="ITC Avant Garde"/>
          <w:b/>
          <w:bCs/>
          <w:sz w:val="21"/>
          <w:szCs w:val="21"/>
          <w:lang w:val="es-ES"/>
        </w:rPr>
        <w:t>EXTINGUE</w:t>
      </w:r>
      <w:r w:rsidR="003E26FB" w:rsidRPr="003E26FB">
        <w:rPr>
          <w:rFonts w:ascii="ITC Avant Garde" w:hAnsi="ITC Avant Garde"/>
          <w:bCs/>
          <w:sz w:val="21"/>
          <w:szCs w:val="21"/>
          <w:lang w:val="es-ES"/>
        </w:rPr>
        <w:t xml:space="preserve"> la Condición </w:t>
      </w:r>
      <w:r w:rsidR="0033671F">
        <w:rPr>
          <w:rFonts w:ascii="ITC Avant Garde" w:hAnsi="ITC Avant Garde"/>
          <w:bCs/>
          <w:sz w:val="21"/>
          <w:szCs w:val="21"/>
          <w:lang w:val="es-ES"/>
        </w:rPr>
        <w:t>establecida</w:t>
      </w:r>
      <w:r w:rsidR="003E26FB" w:rsidRPr="003E26FB">
        <w:rPr>
          <w:rFonts w:ascii="ITC Avant Garde" w:hAnsi="ITC Avant Garde"/>
          <w:bCs/>
          <w:sz w:val="21"/>
          <w:szCs w:val="21"/>
          <w:lang w:val="es-ES"/>
        </w:rPr>
        <w:t xml:space="preserve"> en las Constancias de Registro de Servicio de Valor Agregado para prestar servicios de provisión de Acceso a Internet, emitidas al amparo de la abrogada Ley Federal de Telecomunicaciones, </w:t>
      </w:r>
      <w:r w:rsidR="0033671F">
        <w:rPr>
          <w:rFonts w:ascii="ITC Avant Garde" w:hAnsi="ITC Avant Garde"/>
          <w:bCs/>
          <w:sz w:val="21"/>
          <w:szCs w:val="21"/>
          <w:lang w:val="es-ES"/>
        </w:rPr>
        <w:t>referente a</w:t>
      </w:r>
      <w:r w:rsidR="003E26FB" w:rsidRPr="003E26FB">
        <w:rPr>
          <w:rFonts w:ascii="ITC Avant Garde" w:hAnsi="ITC Avant Garde"/>
          <w:bCs/>
          <w:sz w:val="21"/>
          <w:szCs w:val="21"/>
          <w:lang w:val="es-ES"/>
        </w:rPr>
        <w:t xml:space="preserve"> la obligación de proporcionar aquella información estadística que sea requerida para conocer la operación y explotación de los servicios de telecomunicaciones, en el entendido de que le serán aplicables las demás disposiciones que, en su caso, sean aplicables a dicho servicio.  </w:t>
      </w:r>
    </w:p>
    <w:p w14:paraId="57F0098D" w14:textId="04231AD3" w:rsidR="003E26FB" w:rsidRDefault="003E26FB" w:rsidP="0014662E">
      <w:pPr>
        <w:pStyle w:val="Default"/>
        <w:tabs>
          <w:tab w:val="left" w:pos="0"/>
        </w:tabs>
        <w:jc w:val="both"/>
        <w:rPr>
          <w:rFonts w:ascii="ITC Avant Garde" w:hAnsi="ITC Avant Garde"/>
          <w:bCs/>
          <w:sz w:val="21"/>
          <w:szCs w:val="21"/>
          <w:lang w:val="es-ES"/>
        </w:rPr>
      </w:pPr>
    </w:p>
    <w:p w14:paraId="64B9D267" w14:textId="08BD0EDE" w:rsidR="00F656B1" w:rsidRPr="0014662E" w:rsidRDefault="00F656B1" w:rsidP="0014662E">
      <w:pPr>
        <w:pStyle w:val="Default"/>
        <w:tabs>
          <w:tab w:val="left" w:pos="0"/>
        </w:tabs>
        <w:jc w:val="both"/>
        <w:rPr>
          <w:rFonts w:ascii="ITC Avant Garde" w:hAnsi="ITC Avant Garde"/>
          <w:bCs/>
          <w:sz w:val="21"/>
          <w:szCs w:val="21"/>
          <w:lang w:val="es-ES"/>
        </w:rPr>
      </w:pPr>
      <w:r w:rsidRPr="0014662E">
        <w:rPr>
          <w:rFonts w:ascii="ITC Avant Garde" w:hAnsi="ITC Avant Garde"/>
          <w:bCs/>
          <w:sz w:val="21"/>
          <w:szCs w:val="21"/>
          <w:lang w:val="es-ES"/>
        </w:rPr>
        <w:t>Derivado de lo anterior, quedan sin efectos los siguientes formatos, mediante los cuales se lleva a cabo la entrega de la información antes señalada al Instituto:</w:t>
      </w:r>
    </w:p>
    <w:p w14:paraId="47C994C1"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1B5C9A10" w14:textId="77777777" w:rsidR="00F656B1" w:rsidRPr="0014662E" w:rsidRDefault="00F656B1" w:rsidP="0014662E">
      <w:pPr>
        <w:pStyle w:val="Default"/>
        <w:numPr>
          <w:ilvl w:val="0"/>
          <w:numId w:val="19"/>
        </w:numPr>
        <w:tabs>
          <w:tab w:val="left" w:pos="0"/>
        </w:tabs>
        <w:jc w:val="both"/>
        <w:rPr>
          <w:rFonts w:ascii="ITC Avant Garde" w:hAnsi="ITC Avant Garde"/>
          <w:bCs/>
          <w:sz w:val="21"/>
          <w:szCs w:val="21"/>
          <w:lang w:val="es-ES"/>
        </w:rPr>
      </w:pPr>
      <w:r w:rsidRPr="0014662E">
        <w:rPr>
          <w:rFonts w:ascii="ITC Avant Garde" w:hAnsi="ITC Avant Garde"/>
          <w:bCs/>
          <w:sz w:val="21"/>
          <w:szCs w:val="21"/>
          <w:lang w:val="es-ES"/>
        </w:rPr>
        <w:t>Formato anual de información estadística de los prestadores de servicios de telecomunicaciones de valor agregado, y</w:t>
      </w:r>
    </w:p>
    <w:p w14:paraId="4A8F2B82"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7184EFF1" w14:textId="77777777" w:rsidR="00F656B1" w:rsidRPr="0014662E" w:rsidRDefault="00F656B1" w:rsidP="0014662E">
      <w:pPr>
        <w:pStyle w:val="Default"/>
        <w:numPr>
          <w:ilvl w:val="0"/>
          <w:numId w:val="19"/>
        </w:numPr>
        <w:tabs>
          <w:tab w:val="left" w:pos="0"/>
        </w:tabs>
        <w:jc w:val="both"/>
        <w:rPr>
          <w:rFonts w:ascii="ITC Avant Garde" w:hAnsi="ITC Avant Garde"/>
          <w:bCs/>
          <w:sz w:val="21"/>
          <w:szCs w:val="21"/>
          <w:lang w:val="es-ES"/>
        </w:rPr>
      </w:pPr>
      <w:r w:rsidRPr="0014662E">
        <w:rPr>
          <w:rFonts w:ascii="ITC Avant Garde" w:hAnsi="ITC Avant Garde"/>
          <w:bCs/>
          <w:sz w:val="21"/>
          <w:szCs w:val="21"/>
          <w:lang w:val="es-ES"/>
        </w:rPr>
        <w:t>Apéndice I del formato anual de información estadística de los prestadores de servicios de telecomunicaciones de valor agregado.</w:t>
      </w:r>
    </w:p>
    <w:p w14:paraId="13F5E8F7"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706A8C2C" w14:textId="73554912" w:rsidR="00F656B1" w:rsidRPr="0014662E" w:rsidRDefault="00F656B1" w:rsidP="0014662E">
      <w:pPr>
        <w:pStyle w:val="Default"/>
        <w:tabs>
          <w:tab w:val="left" w:pos="0"/>
        </w:tabs>
        <w:jc w:val="both"/>
        <w:rPr>
          <w:rFonts w:ascii="ITC Avant Garde" w:hAnsi="ITC Avant Garde"/>
          <w:bCs/>
          <w:sz w:val="21"/>
          <w:szCs w:val="21"/>
          <w:lang w:val="es-ES"/>
        </w:rPr>
      </w:pPr>
      <w:r w:rsidRPr="0014662E">
        <w:rPr>
          <w:rFonts w:ascii="ITC Avant Garde" w:hAnsi="ITC Avant Garde"/>
          <w:b/>
          <w:bCs/>
          <w:sz w:val="21"/>
          <w:szCs w:val="21"/>
          <w:lang w:val="es-ES"/>
        </w:rPr>
        <w:t>SEXTO. -</w:t>
      </w:r>
      <w:r w:rsidRPr="0014662E">
        <w:rPr>
          <w:rFonts w:ascii="ITC Avant Garde" w:hAnsi="ITC Avant Garde"/>
          <w:bCs/>
          <w:sz w:val="21"/>
          <w:szCs w:val="21"/>
          <w:lang w:val="es-ES"/>
        </w:rPr>
        <w:t xml:space="preserve"> Se </w:t>
      </w:r>
      <w:r w:rsidRPr="0014662E">
        <w:rPr>
          <w:rFonts w:ascii="ITC Avant Garde" w:hAnsi="ITC Avant Garde"/>
          <w:b/>
          <w:bCs/>
          <w:sz w:val="21"/>
          <w:szCs w:val="21"/>
          <w:lang w:val="es-ES"/>
        </w:rPr>
        <w:t>ABROGAN</w:t>
      </w:r>
      <w:r w:rsidRPr="0014662E">
        <w:rPr>
          <w:rFonts w:ascii="ITC Avant Garde" w:hAnsi="ITC Avant Garde"/>
          <w:bCs/>
          <w:sz w:val="21"/>
          <w:szCs w:val="21"/>
          <w:lang w:val="es-ES"/>
        </w:rPr>
        <w:t xml:space="preserve"> las “Disposiciones Generales relativas a la información estadística de tráfico que deberán entregar los concesionarios del servicio público de telefonía básica de larga distancia", emitidas por el Pleno de la extinta Comisión Federal de Telecomunicaciones mediante la resolución número P/090797/0128, del 9 de junio de 1997.</w:t>
      </w:r>
    </w:p>
    <w:p w14:paraId="42905517"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7755D547" w14:textId="72E32313" w:rsidR="0061593A" w:rsidRPr="009843C6" w:rsidRDefault="003E26FB" w:rsidP="0014662E">
      <w:pPr>
        <w:pStyle w:val="Default"/>
        <w:tabs>
          <w:tab w:val="left" w:pos="0"/>
        </w:tabs>
        <w:jc w:val="both"/>
        <w:rPr>
          <w:rFonts w:ascii="ITC Avant Garde" w:hAnsi="ITC Avant Garde"/>
          <w:b/>
          <w:sz w:val="21"/>
          <w:lang w:val="es-ES"/>
        </w:rPr>
      </w:pPr>
      <w:r>
        <w:rPr>
          <w:rFonts w:ascii="ITC Avant Garde" w:hAnsi="ITC Avant Garde"/>
          <w:b/>
          <w:bCs/>
          <w:sz w:val="21"/>
          <w:szCs w:val="21"/>
          <w:lang w:val="es-ES"/>
        </w:rPr>
        <w:t>SÉPTIMO</w:t>
      </w:r>
      <w:r w:rsidR="00F656B1" w:rsidRPr="0014662E">
        <w:rPr>
          <w:rFonts w:ascii="ITC Avant Garde" w:hAnsi="ITC Avant Garde"/>
          <w:b/>
          <w:bCs/>
          <w:sz w:val="21"/>
          <w:szCs w:val="21"/>
          <w:lang w:val="es-ES"/>
        </w:rPr>
        <w:t xml:space="preserve">. – </w:t>
      </w:r>
      <w:r w:rsidR="0061593A">
        <w:rPr>
          <w:rFonts w:ascii="ITC Avant Garde" w:hAnsi="ITC Avant Garde"/>
          <w:bCs/>
          <w:sz w:val="21"/>
          <w:szCs w:val="21"/>
          <w:lang w:val="es-ES"/>
        </w:rPr>
        <w:t>Q</w:t>
      </w:r>
      <w:r w:rsidR="0061593A" w:rsidRPr="0014662E">
        <w:rPr>
          <w:rFonts w:ascii="ITC Avant Garde" w:hAnsi="ITC Avant Garde"/>
          <w:bCs/>
          <w:sz w:val="21"/>
          <w:szCs w:val="21"/>
          <w:lang w:val="es-ES"/>
        </w:rPr>
        <w:t xml:space="preserve">uedan </w:t>
      </w:r>
      <w:r w:rsidR="0061593A" w:rsidRPr="00C23BE3">
        <w:rPr>
          <w:rFonts w:ascii="ITC Avant Garde" w:hAnsi="ITC Avant Garde"/>
          <w:b/>
          <w:bCs/>
          <w:sz w:val="21"/>
          <w:szCs w:val="21"/>
          <w:lang w:val="es-ES"/>
        </w:rPr>
        <w:t>SIN EFECTOS</w:t>
      </w:r>
      <w:r w:rsidR="005E6F12">
        <w:rPr>
          <w:rFonts w:ascii="ITC Avant Garde" w:hAnsi="ITC Avant Garde"/>
          <w:b/>
          <w:bCs/>
          <w:sz w:val="21"/>
          <w:szCs w:val="21"/>
          <w:lang w:val="es-ES"/>
        </w:rPr>
        <w:t xml:space="preserve"> </w:t>
      </w:r>
      <w:r w:rsidR="005E6F12" w:rsidRPr="00ED6F23">
        <w:rPr>
          <w:rFonts w:ascii="ITC Avant Garde" w:hAnsi="ITC Avant Garde"/>
          <w:bCs/>
          <w:sz w:val="21"/>
          <w:szCs w:val="21"/>
          <w:lang w:val="es-ES"/>
        </w:rPr>
        <w:t>los</w:t>
      </w:r>
      <w:r w:rsidR="005E6F12">
        <w:rPr>
          <w:rFonts w:ascii="ITC Avant Garde" w:hAnsi="ITC Avant Garde"/>
          <w:b/>
          <w:bCs/>
          <w:sz w:val="21"/>
          <w:szCs w:val="21"/>
          <w:lang w:val="es-ES"/>
        </w:rPr>
        <w:t xml:space="preserve"> </w:t>
      </w:r>
      <w:r w:rsidR="005E6F12" w:rsidRPr="00ED6F23">
        <w:rPr>
          <w:rFonts w:ascii="ITC Avant Garde" w:hAnsi="ITC Avant Garde"/>
          <w:bCs/>
          <w:sz w:val="21"/>
          <w:szCs w:val="21"/>
          <w:lang w:val="es-ES"/>
        </w:rPr>
        <w:t>formatos contenidos en</w:t>
      </w:r>
      <w:r w:rsidR="0061593A" w:rsidRPr="0014662E">
        <w:rPr>
          <w:rFonts w:ascii="ITC Avant Garde" w:hAnsi="ITC Avant Garde"/>
          <w:bCs/>
          <w:sz w:val="21"/>
          <w:szCs w:val="21"/>
          <w:lang w:val="es-ES"/>
        </w:rPr>
        <w:t xml:space="preserve"> circulares, oficios, criterios, instructivos y directivas que</w:t>
      </w:r>
      <w:r w:rsidR="00F656B1" w:rsidRPr="0014662E">
        <w:rPr>
          <w:rFonts w:ascii="ITC Avant Garde" w:hAnsi="ITC Avant Garde"/>
          <w:bCs/>
          <w:sz w:val="21"/>
          <w:szCs w:val="21"/>
          <w:lang w:val="es-ES"/>
        </w:rPr>
        <w:t xml:space="preserve"> como medios de presentación para la entrega de diversa información </w:t>
      </w:r>
      <w:r w:rsidR="005E6F12">
        <w:rPr>
          <w:rFonts w:ascii="ITC Avant Garde" w:hAnsi="ITC Avant Garde"/>
          <w:bCs/>
          <w:sz w:val="21"/>
          <w:szCs w:val="21"/>
          <w:lang w:val="es-ES"/>
        </w:rPr>
        <w:t>se exigía</w:t>
      </w:r>
      <w:r w:rsidR="00F656B1" w:rsidRPr="0014662E">
        <w:rPr>
          <w:rFonts w:ascii="ITC Avant Garde" w:hAnsi="ITC Avant Garde"/>
          <w:bCs/>
          <w:sz w:val="21"/>
          <w:szCs w:val="21"/>
          <w:lang w:val="es-ES"/>
        </w:rPr>
        <w:t xml:space="preserve"> a </w:t>
      </w:r>
      <w:r w:rsidR="005E6F12">
        <w:rPr>
          <w:rFonts w:ascii="ITC Avant Garde" w:hAnsi="ITC Avant Garde"/>
          <w:bCs/>
          <w:sz w:val="21"/>
          <w:szCs w:val="21"/>
          <w:lang w:val="es-ES"/>
        </w:rPr>
        <w:t xml:space="preserve">los </w:t>
      </w:r>
      <w:r w:rsidR="00F656B1" w:rsidRPr="0014662E">
        <w:rPr>
          <w:rFonts w:ascii="ITC Avant Garde" w:hAnsi="ITC Avant Garde"/>
          <w:bCs/>
          <w:sz w:val="21"/>
          <w:szCs w:val="21"/>
          <w:lang w:val="es-ES"/>
        </w:rPr>
        <w:t>concesionarios, autorizados</w:t>
      </w:r>
      <w:r w:rsidR="0061593A" w:rsidRPr="0061593A">
        <w:rPr>
          <w:rFonts w:ascii="ITC Avant Garde" w:hAnsi="ITC Avant Garde"/>
          <w:bCs/>
          <w:sz w:val="21"/>
          <w:szCs w:val="21"/>
          <w:lang w:val="es-ES"/>
        </w:rPr>
        <w:t>,</w:t>
      </w:r>
      <w:r w:rsidR="00F656B1" w:rsidRPr="0014662E">
        <w:rPr>
          <w:rFonts w:ascii="ITC Avant Garde" w:hAnsi="ITC Avant Garde"/>
          <w:bCs/>
          <w:sz w:val="21"/>
          <w:szCs w:val="21"/>
          <w:lang w:val="es-ES"/>
        </w:rPr>
        <w:t xml:space="preserve"> permisionarios</w:t>
      </w:r>
      <w:r w:rsidR="0061593A" w:rsidRPr="0061593A">
        <w:rPr>
          <w:rFonts w:ascii="ITC Avant Garde" w:hAnsi="ITC Avant Garde"/>
          <w:bCs/>
          <w:sz w:val="21"/>
          <w:szCs w:val="21"/>
          <w:lang w:val="es-ES"/>
        </w:rPr>
        <w:t xml:space="preserve"> y prestadores</w:t>
      </w:r>
      <w:r w:rsidR="00F656B1" w:rsidRPr="0014662E">
        <w:rPr>
          <w:rFonts w:ascii="ITC Avant Garde" w:hAnsi="ITC Avant Garde"/>
          <w:bCs/>
          <w:sz w:val="21"/>
          <w:szCs w:val="21"/>
          <w:lang w:val="es-ES"/>
        </w:rPr>
        <w:t xml:space="preserve"> de </w:t>
      </w:r>
      <w:r w:rsidR="0061593A" w:rsidRPr="0061593A">
        <w:rPr>
          <w:rFonts w:ascii="ITC Avant Garde" w:hAnsi="ITC Avant Garde"/>
          <w:bCs/>
          <w:sz w:val="21"/>
          <w:szCs w:val="21"/>
          <w:lang w:val="es-ES"/>
        </w:rPr>
        <w:t>servicios</w:t>
      </w:r>
      <w:r w:rsidR="00F656B1" w:rsidRPr="0014662E">
        <w:rPr>
          <w:rFonts w:ascii="ITC Avant Garde" w:hAnsi="ITC Avant Garde"/>
          <w:bCs/>
          <w:sz w:val="21"/>
          <w:szCs w:val="21"/>
          <w:lang w:val="es-ES"/>
        </w:rPr>
        <w:t xml:space="preserve"> de </w:t>
      </w:r>
      <w:r w:rsidR="0061593A" w:rsidRPr="0061593A">
        <w:rPr>
          <w:rFonts w:ascii="ITC Avant Garde" w:hAnsi="ITC Avant Garde"/>
          <w:bCs/>
          <w:sz w:val="21"/>
          <w:szCs w:val="21"/>
          <w:lang w:val="es-ES"/>
        </w:rPr>
        <w:t>valor agregado</w:t>
      </w:r>
      <w:r w:rsidR="0061593A" w:rsidRPr="0014662E">
        <w:rPr>
          <w:rFonts w:ascii="ITC Avant Garde" w:hAnsi="ITC Avant Garde"/>
          <w:bCs/>
          <w:sz w:val="21"/>
          <w:szCs w:val="21"/>
          <w:lang w:val="es-ES"/>
        </w:rPr>
        <w:t>.</w:t>
      </w:r>
    </w:p>
    <w:p w14:paraId="158C1544" w14:textId="5CA7DD8C" w:rsidR="00F656B1" w:rsidRPr="009843C6" w:rsidRDefault="00F656B1" w:rsidP="009867A7">
      <w:pPr>
        <w:pStyle w:val="Texto"/>
        <w:spacing w:after="0" w:line="240" w:lineRule="auto"/>
        <w:ind w:firstLine="0"/>
        <w:rPr>
          <w:rFonts w:ascii="ITC Avant Garde" w:hAnsi="ITC Avant Garde"/>
          <w:bCs/>
          <w:sz w:val="21"/>
          <w:szCs w:val="21"/>
          <w:lang w:val="es-ES"/>
        </w:rPr>
      </w:pPr>
    </w:p>
    <w:p w14:paraId="3A1899A3" w14:textId="77777777" w:rsidR="00F656B1" w:rsidRPr="00ED6F23" w:rsidRDefault="00F656B1" w:rsidP="009867A7">
      <w:pPr>
        <w:pStyle w:val="ANOTACION"/>
        <w:spacing w:before="0" w:after="0" w:line="240" w:lineRule="auto"/>
        <w:rPr>
          <w:rFonts w:ascii="ITC Avant Garde" w:hAnsi="ITC Avant Garde" w:cs="Arial"/>
          <w:sz w:val="21"/>
          <w:szCs w:val="21"/>
          <w:lang w:val="en-US"/>
        </w:rPr>
      </w:pPr>
      <w:r w:rsidRPr="00ED6F23">
        <w:rPr>
          <w:rFonts w:ascii="ITC Avant Garde" w:hAnsi="ITC Avant Garde" w:cs="Arial"/>
          <w:sz w:val="21"/>
          <w:szCs w:val="21"/>
          <w:lang w:val="en-US"/>
        </w:rPr>
        <w:t>T R A N S I T O R I O S</w:t>
      </w:r>
    </w:p>
    <w:p w14:paraId="5CCAC413" w14:textId="77777777" w:rsidR="00F656B1" w:rsidRPr="00ED6F23" w:rsidRDefault="00F656B1" w:rsidP="009867A7">
      <w:pPr>
        <w:pStyle w:val="Texto"/>
        <w:spacing w:after="0" w:line="240" w:lineRule="auto"/>
        <w:ind w:firstLine="0"/>
        <w:rPr>
          <w:rFonts w:ascii="ITC Avant Garde" w:eastAsia="Arial" w:hAnsi="ITC Avant Garde" w:cs="Tahoma"/>
          <w:bCs/>
          <w:color w:val="000000"/>
          <w:sz w:val="21"/>
          <w:szCs w:val="21"/>
          <w:lang w:val="en-US" w:eastAsia="es-MX"/>
        </w:rPr>
      </w:pPr>
    </w:p>
    <w:p w14:paraId="69D10024" w14:textId="77777777" w:rsidR="00F656B1" w:rsidRPr="0014662E" w:rsidRDefault="00F656B1" w:rsidP="0014662E">
      <w:pPr>
        <w:pStyle w:val="Default"/>
        <w:tabs>
          <w:tab w:val="left" w:pos="0"/>
        </w:tabs>
        <w:jc w:val="both"/>
        <w:rPr>
          <w:rFonts w:ascii="ITC Avant Garde" w:hAnsi="ITC Avant Garde"/>
          <w:bCs/>
          <w:sz w:val="21"/>
          <w:szCs w:val="21"/>
          <w:lang w:val="es-ES"/>
        </w:rPr>
      </w:pPr>
      <w:r w:rsidRPr="009867A7">
        <w:rPr>
          <w:rFonts w:ascii="ITC Avant Garde" w:hAnsi="ITC Avant Garde"/>
          <w:b/>
          <w:bCs/>
          <w:sz w:val="21"/>
          <w:szCs w:val="21"/>
          <w:lang w:val="es-ES"/>
        </w:rPr>
        <w:t>PRIMERO. -</w:t>
      </w:r>
      <w:r w:rsidRPr="0014662E">
        <w:rPr>
          <w:rFonts w:ascii="ITC Avant Garde" w:hAnsi="ITC Avant Garde"/>
          <w:bCs/>
          <w:sz w:val="21"/>
          <w:szCs w:val="21"/>
          <w:lang w:val="es-ES"/>
        </w:rPr>
        <w:t xml:space="preserve"> El presente Acuerdo entrará en vigor al día siguiente de su publicación en el Diario Oficial de la Federación.</w:t>
      </w:r>
    </w:p>
    <w:p w14:paraId="11FF4CDB" w14:textId="77777777" w:rsidR="00F656B1" w:rsidRPr="0014662E" w:rsidRDefault="00F656B1" w:rsidP="0014662E">
      <w:pPr>
        <w:pStyle w:val="Default"/>
        <w:tabs>
          <w:tab w:val="left" w:pos="0"/>
        </w:tabs>
        <w:jc w:val="both"/>
        <w:rPr>
          <w:rFonts w:ascii="ITC Avant Garde" w:hAnsi="ITC Avant Garde"/>
          <w:bCs/>
          <w:sz w:val="21"/>
          <w:szCs w:val="21"/>
          <w:lang w:val="es-ES"/>
        </w:rPr>
      </w:pPr>
    </w:p>
    <w:p w14:paraId="0A3436FE" w14:textId="2D4CE842" w:rsidR="00F656B1" w:rsidRPr="0014662E" w:rsidRDefault="00F656B1" w:rsidP="0014662E">
      <w:pPr>
        <w:pStyle w:val="Default"/>
        <w:tabs>
          <w:tab w:val="left" w:pos="0"/>
        </w:tabs>
        <w:jc w:val="both"/>
        <w:rPr>
          <w:rFonts w:ascii="ITC Avant Garde" w:hAnsi="ITC Avant Garde"/>
          <w:bCs/>
          <w:sz w:val="21"/>
          <w:szCs w:val="21"/>
          <w:lang w:val="es-ES"/>
        </w:rPr>
      </w:pPr>
      <w:r w:rsidRPr="009867A7">
        <w:rPr>
          <w:rFonts w:ascii="ITC Avant Garde" w:hAnsi="ITC Avant Garde"/>
          <w:b/>
          <w:bCs/>
          <w:sz w:val="21"/>
          <w:szCs w:val="21"/>
          <w:lang w:val="es-ES"/>
        </w:rPr>
        <w:t xml:space="preserve">SEGUNDO. </w:t>
      </w:r>
      <w:r w:rsidRPr="008704A8">
        <w:rPr>
          <w:rFonts w:ascii="ITC Avant Garde" w:hAnsi="ITC Avant Garde"/>
          <w:sz w:val="21"/>
          <w:lang w:val="es-ES"/>
        </w:rPr>
        <w:t>-</w:t>
      </w:r>
      <w:r w:rsidRPr="008704A8">
        <w:rPr>
          <w:rFonts w:ascii="ITC Avant Garde" w:hAnsi="ITC Avant Garde"/>
          <w:sz w:val="21"/>
        </w:rPr>
        <w:t xml:space="preserve"> A partir de la entrada en vigor del presente instrumento</w:t>
      </w:r>
      <w:r w:rsidR="00DB68AA">
        <w:rPr>
          <w:rFonts w:ascii="ITC Avant Garde" w:hAnsi="ITC Avant Garde"/>
          <w:bCs/>
          <w:sz w:val="21"/>
          <w:szCs w:val="21"/>
        </w:rPr>
        <w:t xml:space="preserve">, </w:t>
      </w:r>
      <w:r w:rsidR="00DB68AA" w:rsidRPr="00DB68AA">
        <w:rPr>
          <w:rFonts w:ascii="ITC Avant Garde" w:hAnsi="ITC Avant Garde"/>
          <w:bCs/>
          <w:sz w:val="21"/>
          <w:szCs w:val="21"/>
        </w:rPr>
        <w:t>todas las menciones al Registro de Telecomunicaciones, se entenderán referidas al Registro Público de Concesiones</w:t>
      </w:r>
      <w:r w:rsidRPr="0014662E">
        <w:rPr>
          <w:rFonts w:ascii="ITC Avant Garde" w:hAnsi="ITC Avant Garde"/>
          <w:bCs/>
          <w:sz w:val="21"/>
          <w:szCs w:val="21"/>
          <w:lang w:val="es-ES"/>
        </w:rPr>
        <w:t>.</w:t>
      </w:r>
    </w:p>
    <w:p w14:paraId="102E620D" w14:textId="44949D0C" w:rsidR="00F656B1" w:rsidRDefault="00F656B1" w:rsidP="0014662E">
      <w:pPr>
        <w:pStyle w:val="Default"/>
        <w:tabs>
          <w:tab w:val="left" w:pos="0"/>
        </w:tabs>
        <w:jc w:val="both"/>
        <w:rPr>
          <w:rFonts w:ascii="ITC Avant Garde" w:hAnsi="ITC Avant Garde"/>
          <w:bCs/>
          <w:sz w:val="21"/>
          <w:szCs w:val="21"/>
          <w:lang w:val="es-ES"/>
        </w:rPr>
      </w:pPr>
    </w:p>
    <w:p w14:paraId="01E4652A" w14:textId="6995232A" w:rsidR="004A1192" w:rsidRPr="0014662E" w:rsidRDefault="00F656B1" w:rsidP="0014662E">
      <w:pPr>
        <w:pStyle w:val="Default"/>
        <w:tabs>
          <w:tab w:val="left" w:pos="0"/>
        </w:tabs>
        <w:jc w:val="both"/>
        <w:rPr>
          <w:rFonts w:ascii="ITC Avant Garde" w:hAnsi="ITC Avant Garde"/>
          <w:bCs/>
          <w:i/>
          <w:sz w:val="21"/>
          <w:szCs w:val="21"/>
          <w:lang w:val="es-ES"/>
        </w:rPr>
      </w:pPr>
      <w:r w:rsidRPr="009867A7">
        <w:rPr>
          <w:rFonts w:ascii="ITC Avant Garde" w:hAnsi="ITC Avant Garde"/>
          <w:b/>
          <w:bCs/>
          <w:sz w:val="21"/>
          <w:szCs w:val="21"/>
          <w:lang w:val="es-ES"/>
        </w:rPr>
        <w:t>TERCERO. -</w:t>
      </w:r>
      <w:r w:rsidRPr="0014662E">
        <w:rPr>
          <w:rFonts w:ascii="ITC Avant Garde" w:hAnsi="ITC Avant Garde"/>
          <w:bCs/>
          <w:sz w:val="21"/>
          <w:szCs w:val="21"/>
          <w:lang w:val="es-ES"/>
        </w:rPr>
        <w:t xml:space="preserve"> Publíquese el presente Acuerdo en el Diario Oficial de la Federación</w:t>
      </w:r>
      <w:r w:rsidR="00CA6A3C">
        <w:rPr>
          <w:rFonts w:ascii="ITC Avant Garde" w:hAnsi="ITC Avant Garde"/>
          <w:bCs/>
          <w:sz w:val="21"/>
          <w:szCs w:val="21"/>
          <w:lang w:val="es-ES"/>
        </w:rPr>
        <w:t>.</w:t>
      </w:r>
    </w:p>
    <w:p w14:paraId="3209B9ED" w14:textId="77777777" w:rsidR="004A1192" w:rsidRPr="0014662E" w:rsidRDefault="004A1192" w:rsidP="0014662E">
      <w:pPr>
        <w:pStyle w:val="Default"/>
        <w:tabs>
          <w:tab w:val="left" w:pos="0"/>
        </w:tabs>
        <w:jc w:val="both"/>
        <w:rPr>
          <w:rFonts w:ascii="ITC Avant Garde" w:hAnsi="ITC Avant Garde"/>
          <w:bCs/>
          <w:i/>
          <w:sz w:val="21"/>
          <w:szCs w:val="21"/>
          <w:lang w:val="es-ES"/>
        </w:rPr>
      </w:pPr>
    </w:p>
    <w:p w14:paraId="3A2E7F62" w14:textId="77777777" w:rsidR="004A1192" w:rsidRPr="002449DA" w:rsidRDefault="004A1192" w:rsidP="004A1192">
      <w:pPr>
        <w:pStyle w:val="Texto"/>
        <w:spacing w:after="0" w:line="240" w:lineRule="auto"/>
        <w:ind w:firstLine="0"/>
        <w:rPr>
          <w:rFonts w:ascii="ITC Avant Garde" w:hAnsi="ITC Avant Garde"/>
          <w:sz w:val="21"/>
          <w:szCs w:val="21"/>
        </w:rPr>
      </w:pPr>
    </w:p>
    <w:p w14:paraId="24D9AB9E" w14:textId="0221167B" w:rsidR="004A1192" w:rsidRDefault="004A1192" w:rsidP="004A1192">
      <w:pPr>
        <w:pStyle w:val="Texto"/>
        <w:spacing w:after="0" w:line="240" w:lineRule="auto"/>
        <w:ind w:firstLine="0"/>
        <w:rPr>
          <w:rFonts w:ascii="ITC Avant Garde" w:hAnsi="ITC Avant Garde"/>
          <w:sz w:val="21"/>
          <w:szCs w:val="21"/>
        </w:rPr>
      </w:pPr>
    </w:p>
    <w:p w14:paraId="4A6817FE" w14:textId="2AF2BBF7" w:rsidR="009843C6" w:rsidRDefault="009843C6" w:rsidP="004A1192">
      <w:pPr>
        <w:pStyle w:val="Texto"/>
        <w:spacing w:after="0" w:line="240" w:lineRule="auto"/>
        <w:ind w:firstLine="0"/>
        <w:rPr>
          <w:rFonts w:ascii="ITC Avant Garde" w:hAnsi="ITC Avant Garde"/>
          <w:sz w:val="21"/>
          <w:szCs w:val="21"/>
        </w:rPr>
      </w:pPr>
    </w:p>
    <w:p w14:paraId="3D21CAFF" w14:textId="3DF23C4A" w:rsidR="009843C6" w:rsidRDefault="009843C6" w:rsidP="004A1192">
      <w:pPr>
        <w:pStyle w:val="Texto"/>
        <w:spacing w:after="0" w:line="240" w:lineRule="auto"/>
        <w:ind w:firstLine="0"/>
        <w:rPr>
          <w:rFonts w:ascii="ITC Avant Garde" w:hAnsi="ITC Avant Garde"/>
          <w:sz w:val="21"/>
          <w:szCs w:val="21"/>
        </w:rPr>
      </w:pPr>
    </w:p>
    <w:p w14:paraId="10FFB48F" w14:textId="77777777" w:rsidR="009843C6" w:rsidRPr="002449DA" w:rsidRDefault="009843C6" w:rsidP="004A1192">
      <w:pPr>
        <w:pStyle w:val="Texto"/>
        <w:spacing w:after="0" w:line="240" w:lineRule="auto"/>
        <w:ind w:firstLine="0"/>
        <w:rPr>
          <w:rFonts w:ascii="ITC Avant Garde" w:hAnsi="ITC Avant Garde"/>
          <w:sz w:val="21"/>
          <w:szCs w:val="21"/>
        </w:rPr>
      </w:pPr>
    </w:p>
    <w:p w14:paraId="4D999E25" w14:textId="77777777" w:rsidR="009867A7" w:rsidRDefault="009867A7" w:rsidP="009867A7">
      <w:pPr>
        <w:spacing w:after="0"/>
        <w:ind w:right="-94"/>
        <w:rPr>
          <w:rFonts w:ascii="ITC Avant Garde" w:eastAsia="Times New Roman" w:hAnsi="ITC Avant Garde" w:cs="Arial"/>
          <w:sz w:val="21"/>
          <w:szCs w:val="21"/>
          <w:lang w:eastAsia="es-ES"/>
        </w:rPr>
      </w:pPr>
    </w:p>
    <w:p w14:paraId="1954D1CD" w14:textId="77777777" w:rsidR="004A1192" w:rsidRPr="002449DA" w:rsidRDefault="004A1192" w:rsidP="009867A7">
      <w:pPr>
        <w:spacing w:after="0"/>
        <w:ind w:right="-94"/>
        <w:jc w:val="center"/>
        <w:rPr>
          <w:rFonts w:ascii="ITC Avant Garde" w:hAnsi="ITC Avant Garde"/>
          <w:b/>
          <w:bCs/>
          <w:sz w:val="21"/>
          <w:szCs w:val="21"/>
        </w:rPr>
      </w:pPr>
      <w:r w:rsidRPr="002449DA">
        <w:rPr>
          <w:rFonts w:ascii="ITC Avant Garde" w:hAnsi="ITC Avant Garde"/>
          <w:b/>
          <w:bCs/>
          <w:sz w:val="21"/>
          <w:szCs w:val="21"/>
        </w:rPr>
        <w:t>Gabriel Oswaldo Contreras Saldívar</w:t>
      </w:r>
    </w:p>
    <w:p w14:paraId="66016F93" w14:textId="77777777" w:rsidR="004A1192" w:rsidRPr="002449DA" w:rsidRDefault="004A1192" w:rsidP="009867A7">
      <w:pPr>
        <w:spacing w:after="0"/>
        <w:ind w:right="-94"/>
        <w:jc w:val="center"/>
        <w:rPr>
          <w:rFonts w:ascii="ITC Avant Garde" w:hAnsi="ITC Avant Garde"/>
          <w:b/>
          <w:bCs/>
          <w:sz w:val="21"/>
          <w:szCs w:val="21"/>
        </w:rPr>
      </w:pPr>
      <w:r w:rsidRPr="002449DA">
        <w:rPr>
          <w:rFonts w:ascii="ITC Avant Garde" w:hAnsi="ITC Avant Garde"/>
          <w:b/>
          <w:bCs/>
          <w:sz w:val="21"/>
          <w:szCs w:val="21"/>
        </w:rPr>
        <w:t>Comisionado Presidente</w:t>
      </w:r>
    </w:p>
    <w:p w14:paraId="60224CE4" w14:textId="77777777" w:rsidR="004A1192" w:rsidRPr="009867A7" w:rsidRDefault="004A1192" w:rsidP="009867A7">
      <w:pPr>
        <w:spacing w:after="0"/>
        <w:ind w:right="-94"/>
        <w:rPr>
          <w:rFonts w:ascii="ITC Avant Garde" w:eastAsia="Times New Roman" w:hAnsi="ITC Avant Garde" w:cs="Arial"/>
          <w:sz w:val="21"/>
          <w:szCs w:val="21"/>
          <w:lang w:eastAsia="es-ES"/>
        </w:rPr>
      </w:pPr>
    </w:p>
    <w:p w14:paraId="1EECB5A6" w14:textId="77777777" w:rsidR="004A1192" w:rsidRPr="002449DA" w:rsidRDefault="004A1192" w:rsidP="004A1192">
      <w:pPr>
        <w:pStyle w:val="Texto"/>
        <w:spacing w:after="0" w:line="240" w:lineRule="auto"/>
        <w:ind w:firstLine="0"/>
        <w:rPr>
          <w:rFonts w:ascii="ITC Avant Garde" w:hAnsi="ITC Avant Garde"/>
          <w:sz w:val="21"/>
          <w:szCs w:val="21"/>
        </w:rPr>
      </w:pPr>
    </w:p>
    <w:p w14:paraId="7A016D94" w14:textId="77777777" w:rsidR="004A1192" w:rsidRPr="002449DA" w:rsidRDefault="004A1192" w:rsidP="004A1192">
      <w:pPr>
        <w:pStyle w:val="Texto"/>
        <w:spacing w:after="0" w:line="240" w:lineRule="auto"/>
        <w:ind w:firstLine="0"/>
        <w:rPr>
          <w:rFonts w:ascii="ITC Avant Garde" w:hAnsi="ITC Avant Garde"/>
          <w:sz w:val="21"/>
          <w:szCs w:val="21"/>
        </w:rPr>
      </w:pPr>
    </w:p>
    <w:p w14:paraId="23D5C386" w14:textId="77777777" w:rsidR="004A1192" w:rsidRPr="002449DA" w:rsidRDefault="004A1192" w:rsidP="004A1192">
      <w:pPr>
        <w:pStyle w:val="Texto"/>
        <w:spacing w:after="0" w:line="240" w:lineRule="auto"/>
        <w:ind w:firstLine="0"/>
        <w:rPr>
          <w:rFonts w:ascii="ITC Avant Garde" w:hAnsi="ITC Avant Garde"/>
          <w:sz w:val="21"/>
          <w:szCs w:val="21"/>
        </w:rPr>
      </w:pPr>
    </w:p>
    <w:p w14:paraId="5ABAAFCA" w14:textId="77777777" w:rsidR="004A1192" w:rsidRPr="002449DA" w:rsidRDefault="004A1192" w:rsidP="004A1192">
      <w:pPr>
        <w:pStyle w:val="Texto"/>
        <w:spacing w:after="0" w:line="240" w:lineRule="auto"/>
        <w:ind w:firstLine="0"/>
        <w:rPr>
          <w:rFonts w:ascii="ITC Avant Garde" w:hAnsi="ITC Avant Garde"/>
          <w:sz w:val="21"/>
          <w:szCs w:val="21"/>
        </w:rPr>
      </w:pPr>
    </w:p>
    <w:p w14:paraId="46F6B67E" w14:textId="77777777" w:rsidR="004A1192" w:rsidRPr="002449DA" w:rsidRDefault="004A1192" w:rsidP="004A1192">
      <w:pPr>
        <w:pStyle w:val="Texto"/>
        <w:spacing w:after="0" w:line="240" w:lineRule="auto"/>
        <w:ind w:firstLine="0"/>
        <w:rPr>
          <w:rFonts w:ascii="ITC Avant Garde" w:hAnsi="ITC Avant Garde"/>
          <w:sz w:val="21"/>
          <w:szCs w:val="21"/>
        </w:rPr>
      </w:pPr>
    </w:p>
    <w:tbl>
      <w:tblPr>
        <w:tblW w:w="4977" w:type="pct"/>
        <w:tblCellMar>
          <w:left w:w="70" w:type="dxa"/>
          <w:right w:w="70" w:type="dxa"/>
        </w:tblCellMar>
        <w:tblLook w:val="04A0" w:firstRow="1" w:lastRow="0" w:firstColumn="1" w:lastColumn="0" w:noHBand="0" w:noVBand="1"/>
      </w:tblPr>
      <w:tblGrid>
        <w:gridCol w:w="4664"/>
        <w:gridCol w:w="4133"/>
      </w:tblGrid>
      <w:tr w:rsidR="004A1192" w:rsidRPr="002449DA" w14:paraId="338DBB60" w14:textId="77777777" w:rsidTr="00F23FC2">
        <w:trPr>
          <w:trHeight w:val="1241"/>
        </w:trPr>
        <w:tc>
          <w:tcPr>
            <w:tcW w:w="2651" w:type="pct"/>
            <w:hideMark/>
          </w:tcPr>
          <w:p w14:paraId="01C3DF03"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Mario Germán Fromow Rangel</w:t>
            </w:r>
          </w:p>
          <w:p w14:paraId="524F2465" w14:textId="77777777" w:rsidR="004A1192" w:rsidRPr="002449DA" w:rsidRDefault="004A1192" w:rsidP="002449DA">
            <w:pPr>
              <w:spacing w:after="0"/>
              <w:jc w:val="center"/>
              <w:rPr>
                <w:rFonts w:ascii="ITC Avant Garde" w:hAnsi="ITC Avant Garde"/>
                <w:bCs/>
                <w:sz w:val="21"/>
                <w:szCs w:val="21"/>
              </w:rPr>
            </w:pPr>
            <w:r w:rsidRPr="002449DA">
              <w:rPr>
                <w:rFonts w:ascii="ITC Avant Garde" w:hAnsi="ITC Avant Garde"/>
                <w:b/>
                <w:bCs/>
                <w:sz w:val="21"/>
                <w:szCs w:val="21"/>
              </w:rPr>
              <w:t>Comisionado</w:t>
            </w:r>
            <w:r w:rsidRPr="002449DA" w:rsidDel="009667EB">
              <w:rPr>
                <w:rFonts w:ascii="ITC Avant Garde" w:hAnsi="ITC Avant Garde"/>
                <w:b/>
                <w:bCs/>
                <w:sz w:val="21"/>
                <w:szCs w:val="21"/>
              </w:rPr>
              <w:t xml:space="preserve"> </w:t>
            </w:r>
          </w:p>
          <w:p w14:paraId="41341A46" w14:textId="77777777" w:rsidR="004A1192" w:rsidRPr="002449DA" w:rsidRDefault="004A1192" w:rsidP="00F23FC2">
            <w:pPr>
              <w:jc w:val="center"/>
              <w:rPr>
                <w:rFonts w:ascii="ITC Avant Garde" w:hAnsi="ITC Avant Garde"/>
                <w:bCs/>
                <w:sz w:val="21"/>
                <w:szCs w:val="21"/>
              </w:rPr>
            </w:pPr>
          </w:p>
          <w:p w14:paraId="06E0C946" w14:textId="77777777" w:rsidR="004A1192" w:rsidRPr="002449DA" w:rsidRDefault="004A1192" w:rsidP="00F23FC2">
            <w:pPr>
              <w:jc w:val="center"/>
              <w:rPr>
                <w:rFonts w:ascii="ITC Avant Garde" w:hAnsi="ITC Avant Garde"/>
                <w:bCs/>
                <w:sz w:val="21"/>
                <w:szCs w:val="21"/>
              </w:rPr>
            </w:pPr>
          </w:p>
          <w:p w14:paraId="3465850D" w14:textId="64A7021B" w:rsidR="004A1192" w:rsidRPr="002449DA" w:rsidRDefault="004A1192" w:rsidP="009843C6">
            <w:pPr>
              <w:rPr>
                <w:rFonts w:ascii="ITC Avant Garde" w:hAnsi="ITC Avant Garde"/>
                <w:bCs/>
                <w:sz w:val="21"/>
                <w:szCs w:val="21"/>
              </w:rPr>
            </w:pPr>
          </w:p>
          <w:p w14:paraId="35AE1206" w14:textId="77777777" w:rsidR="004A1192" w:rsidRPr="002449DA" w:rsidRDefault="004A1192" w:rsidP="00F23FC2">
            <w:pPr>
              <w:jc w:val="center"/>
              <w:rPr>
                <w:rFonts w:ascii="ITC Avant Garde" w:hAnsi="ITC Avant Garde"/>
                <w:bCs/>
                <w:sz w:val="21"/>
                <w:szCs w:val="21"/>
              </w:rPr>
            </w:pPr>
          </w:p>
        </w:tc>
        <w:tc>
          <w:tcPr>
            <w:tcW w:w="2349" w:type="pct"/>
          </w:tcPr>
          <w:p w14:paraId="71F642E6"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Adolfo Cuevas Teja</w:t>
            </w:r>
          </w:p>
          <w:p w14:paraId="0F715FC7"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Comisionado</w:t>
            </w:r>
          </w:p>
          <w:p w14:paraId="75E53D9D" w14:textId="451128EB" w:rsidR="004A1192" w:rsidRPr="002449DA" w:rsidRDefault="004A1192" w:rsidP="00F23FC2">
            <w:pPr>
              <w:rPr>
                <w:rFonts w:ascii="ITC Avant Garde" w:hAnsi="ITC Avant Garde"/>
                <w:bCs/>
                <w:sz w:val="21"/>
                <w:szCs w:val="21"/>
              </w:rPr>
            </w:pPr>
          </w:p>
          <w:p w14:paraId="7679A3CC" w14:textId="77777777" w:rsidR="004A1192" w:rsidRPr="002449DA" w:rsidRDefault="004A1192" w:rsidP="00F23FC2">
            <w:pPr>
              <w:jc w:val="center"/>
              <w:rPr>
                <w:rFonts w:ascii="ITC Avant Garde" w:hAnsi="ITC Avant Garde"/>
                <w:bCs/>
                <w:sz w:val="21"/>
                <w:szCs w:val="21"/>
              </w:rPr>
            </w:pPr>
          </w:p>
        </w:tc>
      </w:tr>
      <w:tr w:rsidR="004A1192" w:rsidRPr="002449DA" w14:paraId="01FB9099" w14:textId="77777777" w:rsidTr="00F23FC2">
        <w:trPr>
          <w:trHeight w:val="1273"/>
        </w:trPr>
        <w:tc>
          <w:tcPr>
            <w:tcW w:w="2651" w:type="pct"/>
          </w:tcPr>
          <w:p w14:paraId="5F5A2BDD"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Javier Juárez Mojica</w:t>
            </w:r>
          </w:p>
          <w:p w14:paraId="21519CE5" w14:textId="77777777" w:rsidR="004A1192" w:rsidRPr="002449DA" w:rsidRDefault="004A1192" w:rsidP="002449DA">
            <w:pPr>
              <w:spacing w:after="0"/>
              <w:jc w:val="center"/>
              <w:rPr>
                <w:rFonts w:ascii="ITC Avant Garde" w:hAnsi="ITC Avant Garde"/>
                <w:bCs/>
                <w:sz w:val="21"/>
                <w:szCs w:val="21"/>
              </w:rPr>
            </w:pPr>
            <w:r w:rsidRPr="002449DA">
              <w:rPr>
                <w:rFonts w:ascii="ITC Avant Garde" w:hAnsi="ITC Avant Garde"/>
                <w:b/>
                <w:bCs/>
                <w:sz w:val="21"/>
                <w:szCs w:val="21"/>
              </w:rPr>
              <w:t>Comisionado</w:t>
            </w:r>
          </w:p>
          <w:p w14:paraId="52FCCE57" w14:textId="77777777" w:rsidR="004A1192" w:rsidRPr="002449DA" w:rsidRDefault="004A1192" w:rsidP="00F23FC2">
            <w:pPr>
              <w:jc w:val="center"/>
              <w:rPr>
                <w:rFonts w:ascii="ITC Avant Garde" w:hAnsi="ITC Avant Garde"/>
                <w:bCs/>
                <w:sz w:val="21"/>
                <w:szCs w:val="21"/>
              </w:rPr>
            </w:pPr>
            <w:r w:rsidRPr="002449DA" w:rsidDel="009667EB">
              <w:rPr>
                <w:rFonts w:ascii="ITC Avant Garde" w:hAnsi="ITC Avant Garde"/>
                <w:b/>
                <w:bCs/>
                <w:sz w:val="21"/>
                <w:szCs w:val="21"/>
              </w:rPr>
              <w:t xml:space="preserve"> </w:t>
            </w:r>
          </w:p>
          <w:p w14:paraId="4784AE94" w14:textId="77777777" w:rsidR="004A1192" w:rsidRPr="002449DA" w:rsidRDefault="004A1192" w:rsidP="00F23FC2">
            <w:pPr>
              <w:jc w:val="center"/>
              <w:rPr>
                <w:rFonts w:ascii="ITC Avant Garde" w:hAnsi="ITC Avant Garde"/>
                <w:bCs/>
                <w:sz w:val="21"/>
                <w:szCs w:val="21"/>
              </w:rPr>
            </w:pPr>
          </w:p>
          <w:p w14:paraId="3F627D6D" w14:textId="21CBE8A6" w:rsidR="004A1192" w:rsidRPr="002449DA" w:rsidRDefault="004A1192" w:rsidP="009843C6">
            <w:pPr>
              <w:rPr>
                <w:rFonts w:ascii="ITC Avant Garde" w:hAnsi="ITC Avant Garde"/>
                <w:bCs/>
                <w:sz w:val="21"/>
                <w:szCs w:val="21"/>
              </w:rPr>
            </w:pPr>
          </w:p>
          <w:p w14:paraId="40729644" w14:textId="77777777" w:rsidR="004A1192" w:rsidRPr="002449DA" w:rsidRDefault="004A1192" w:rsidP="00F23FC2">
            <w:pPr>
              <w:jc w:val="center"/>
              <w:rPr>
                <w:rFonts w:ascii="ITC Avant Garde" w:hAnsi="ITC Avant Garde"/>
                <w:bCs/>
                <w:sz w:val="21"/>
                <w:szCs w:val="21"/>
              </w:rPr>
            </w:pPr>
          </w:p>
        </w:tc>
        <w:tc>
          <w:tcPr>
            <w:tcW w:w="2349" w:type="pct"/>
          </w:tcPr>
          <w:p w14:paraId="06FB761D"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Arturo Robles Rovalo</w:t>
            </w:r>
          </w:p>
          <w:p w14:paraId="77EEEDFB" w14:textId="77777777" w:rsidR="004A1192" w:rsidRPr="002449DA" w:rsidRDefault="004A1192" w:rsidP="002449DA">
            <w:pPr>
              <w:spacing w:after="0"/>
              <w:jc w:val="center"/>
              <w:rPr>
                <w:rFonts w:ascii="ITC Avant Garde" w:hAnsi="ITC Avant Garde"/>
                <w:bCs/>
                <w:sz w:val="21"/>
                <w:szCs w:val="21"/>
              </w:rPr>
            </w:pPr>
            <w:r w:rsidRPr="002449DA">
              <w:rPr>
                <w:rFonts w:ascii="ITC Avant Garde" w:hAnsi="ITC Avant Garde"/>
                <w:b/>
                <w:bCs/>
                <w:sz w:val="21"/>
                <w:szCs w:val="21"/>
              </w:rPr>
              <w:t>Comisionado</w:t>
            </w:r>
          </w:p>
          <w:p w14:paraId="242C9FE9" w14:textId="77777777" w:rsidR="004A1192" w:rsidRPr="002449DA" w:rsidRDefault="004A1192" w:rsidP="00F23FC2">
            <w:pPr>
              <w:rPr>
                <w:rFonts w:ascii="ITC Avant Garde" w:hAnsi="ITC Avant Garde"/>
                <w:bCs/>
                <w:sz w:val="21"/>
                <w:szCs w:val="21"/>
              </w:rPr>
            </w:pPr>
          </w:p>
          <w:p w14:paraId="5EFF6C82" w14:textId="77777777" w:rsidR="004A1192" w:rsidRPr="002449DA" w:rsidRDefault="004A1192" w:rsidP="00F23FC2">
            <w:pPr>
              <w:jc w:val="center"/>
              <w:rPr>
                <w:rFonts w:ascii="ITC Avant Garde" w:hAnsi="ITC Avant Garde"/>
                <w:bCs/>
                <w:sz w:val="21"/>
                <w:szCs w:val="21"/>
              </w:rPr>
            </w:pPr>
          </w:p>
          <w:p w14:paraId="07F2A048" w14:textId="77777777" w:rsidR="004A1192" w:rsidRPr="002449DA" w:rsidRDefault="004A1192" w:rsidP="00F23FC2">
            <w:pPr>
              <w:jc w:val="center"/>
              <w:rPr>
                <w:rFonts w:ascii="ITC Avant Garde" w:hAnsi="ITC Avant Garde"/>
                <w:bCs/>
                <w:sz w:val="21"/>
                <w:szCs w:val="21"/>
              </w:rPr>
            </w:pPr>
          </w:p>
        </w:tc>
      </w:tr>
      <w:tr w:rsidR="004A1192" w:rsidRPr="002449DA" w14:paraId="4A1E3E91" w14:textId="77777777" w:rsidTr="00F23FC2">
        <w:trPr>
          <w:trHeight w:val="360"/>
        </w:trPr>
        <w:tc>
          <w:tcPr>
            <w:tcW w:w="2651" w:type="pct"/>
          </w:tcPr>
          <w:p w14:paraId="2AE6F807"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Sóstenes Díaz González</w:t>
            </w:r>
          </w:p>
          <w:p w14:paraId="79C5F218" w14:textId="77777777" w:rsidR="004A1192" w:rsidRPr="002449DA" w:rsidRDefault="004A1192" w:rsidP="002449DA">
            <w:pPr>
              <w:spacing w:after="0"/>
              <w:jc w:val="center"/>
              <w:rPr>
                <w:rFonts w:ascii="ITC Avant Garde" w:hAnsi="ITC Avant Garde"/>
                <w:bCs/>
                <w:sz w:val="21"/>
                <w:szCs w:val="21"/>
              </w:rPr>
            </w:pPr>
            <w:r w:rsidRPr="002449DA">
              <w:rPr>
                <w:rFonts w:ascii="ITC Avant Garde" w:hAnsi="ITC Avant Garde"/>
                <w:b/>
                <w:bCs/>
                <w:sz w:val="21"/>
                <w:szCs w:val="21"/>
              </w:rPr>
              <w:t>Comisionado</w:t>
            </w:r>
          </w:p>
        </w:tc>
        <w:tc>
          <w:tcPr>
            <w:tcW w:w="2349" w:type="pct"/>
          </w:tcPr>
          <w:p w14:paraId="39E5737D" w14:textId="77777777" w:rsidR="004A1192" w:rsidRPr="002449DA" w:rsidRDefault="004A1192" w:rsidP="002449DA">
            <w:pPr>
              <w:spacing w:after="0"/>
              <w:jc w:val="center"/>
              <w:rPr>
                <w:rFonts w:ascii="ITC Avant Garde" w:hAnsi="ITC Avant Garde"/>
                <w:b/>
                <w:bCs/>
                <w:sz w:val="21"/>
                <w:szCs w:val="21"/>
              </w:rPr>
            </w:pPr>
            <w:r w:rsidRPr="002449DA">
              <w:rPr>
                <w:rFonts w:ascii="ITC Avant Garde" w:hAnsi="ITC Avant Garde"/>
                <w:b/>
                <w:bCs/>
                <w:sz w:val="21"/>
                <w:szCs w:val="21"/>
              </w:rPr>
              <w:t>Ramiro Camacho Castillo</w:t>
            </w:r>
          </w:p>
          <w:p w14:paraId="328C4420" w14:textId="77777777" w:rsidR="004A1192" w:rsidRPr="002449DA" w:rsidRDefault="004A1192" w:rsidP="002449DA">
            <w:pPr>
              <w:spacing w:after="0"/>
              <w:jc w:val="center"/>
              <w:rPr>
                <w:rFonts w:ascii="ITC Avant Garde" w:hAnsi="ITC Avant Garde"/>
                <w:bCs/>
                <w:sz w:val="21"/>
                <w:szCs w:val="21"/>
              </w:rPr>
            </w:pPr>
            <w:r w:rsidRPr="002449DA">
              <w:rPr>
                <w:rFonts w:ascii="ITC Avant Garde" w:hAnsi="ITC Avant Garde"/>
                <w:b/>
                <w:bCs/>
                <w:sz w:val="21"/>
                <w:szCs w:val="21"/>
              </w:rPr>
              <w:t>Comisionado</w:t>
            </w:r>
          </w:p>
        </w:tc>
      </w:tr>
    </w:tbl>
    <w:p w14:paraId="05530A56" w14:textId="77777777" w:rsidR="004A1192" w:rsidRPr="0053599D" w:rsidRDefault="004A1192" w:rsidP="004A1192">
      <w:pPr>
        <w:jc w:val="both"/>
        <w:rPr>
          <w:rFonts w:ascii="ITC Avant Garde" w:hAnsi="ITC Avant Garde"/>
        </w:rPr>
      </w:pPr>
    </w:p>
    <w:p w14:paraId="5DC0278F" w14:textId="77777777" w:rsidR="004A1192" w:rsidRPr="0053599D" w:rsidRDefault="004A1192" w:rsidP="004A1192">
      <w:pPr>
        <w:pStyle w:val="Prrafodelista"/>
        <w:spacing w:line="240" w:lineRule="auto"/>
        <w:ind w:left="0"/>
        <w:jc w:val="both"/>
        <w:rPr>
          <w:sz w:val="20"/>
          <w:szCs w:val="20"/>
        </w:rPr>
      </w:pPr>
    </w:p>
    <w:p w14:paraId="2FBA7A22" w14:textId="77777777" w:rsidR="00A9570C" w:rsidRPr="00CF6F72" w:rsidRDefault="004A1192" w:rsidP="004A1192">
      <w:pPr>
        <w:pStyle w:val="Prrafodelista"/>
        <w:spacing w:line="240" w:lineRule="auto"/>
        <w:ind w:left="0"/>
        <w:jc w:val="both"/>
        <w:rPr>
          <w:rFonts w:cs="Arial"/>
          <w:sz w:val="21"/>
          <w:szCs w:val="21"/>
        </w:rPr>
      </w:pPr>
      <w:r w:rsidRPr="004F76E7">
        <w:rPr>
          <w:sz w:val="12"/>
          <w:szCs w:val="12"/>
        </w:rPr>
        <w:t xml:space="preserve">El presente Acuerdo fue aprobado por el Pleno del Instituto Federal de Telecomunicaciones en su _____ Sesión Ordinaria celebrada el _ de mayo de 2019, </w:t>
      </w:r>
      <w:r w:rsidRPr="004F76E7">
        <w:rPr>
          <w:bCs w:val="0"/>
          <w:sz w:val="12"/>
          <w:szCs w:val="12"/>
        </w:rPr>
        <w:t>por</w:t>
      </w:r>
      <w:r w:rsidRPr="004F76E7">
        <w:rPr>
          <w:sz w:val="12"/>
          <w:szCs w:val="12"/>
        </w:rPr>
        <w:t xml:space="preserve"> </w:t>
      </w:r>
      <w:r w:rsidRPr="004F76E7">
        <w:rPr>
          <w:bCs w:val="0"/>
          <w:sz w:val="12"/>
          <w:szCs w:val="12"/>
        </w:rPr>
        <w:t>_____</w:t>
      </w:r>
      <w:r w:rsidRPr="004F76E7">
        <w:rPr>
          <w:sz w:val="12"/>
          <w:szCs w:val="12"/>
        </w:rPr>
        <w:t xml:space="preserve"> 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_______________.</w:t>
      </w:r>
    </w:p>
    <w:sectPr w:rsidR="00A9570C" w:rsidRPr="00CF6F72" w:rsidSect="004C4FEF">
      <w:headerReference w:type="even" r:id="rId8"/>
      <w:headerReference w:type="default" r:id="rId9"/>
      <w:footerReference w:type="default" r:id="rId10"/>
      <w:headerReference w:type="first" r:id="rId1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CD8" w14:textId="77777777" w:rsidR="00D950FF" w:rsidRDefault="00D950FF" w:rsidP="00562244">
      <w:pPr>
        <w:spacing w:after="0" w:line="240" w:lineRule="auto"/>
      </w:pPr>
      <w:r>
        <w:separator/>
      </w:r>
    </w:p>
  </w:endnote>
  <w:endnote w:type="continuationSeparator" w:id="0">
    <w:p w14:paraId="6921E22B" w14:textId="77777777" w:rsidR="00D950FF" w:rsidRDefault="00D950FF" w:rsidP="00562244">
      <w:pPr>
        <w:spacing w:after="0" w:line="240" w:lineRule="auto"/>
      </w:pPr>
      <w:r>
        <w:continuationSeparator/>
      </w:r>
    </w:p>
  </w:endnote>
  <w:endnote w:type="continuationNotice" w:id="1">
    <w:p w14:paraId="7F9F8488" w14:textId="77777777" w:rsidR="00D950FF" w:rsidRDefault="00D95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G Palacio (WN)">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98220326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A82084" w14:textId="4493F22B" w:rsidR="004B51CD" w:rsidRPr="004B51CD" w:rsidRDefault="004B51CD">
            <w:pPr>
              <w:pStyle w:val="Piedepgina"/>
              <w:jc w:val="right"/>
              <w:rPr>
                <w:rFonts w:ascii="ITC Avant Garde" w:hAnsi="ITC Avant Garde"/>
                <w:sz w:val="16"/>
                <w:szCs w:val="16"/>
              </w:rPr>
            </w:pPr>
            <w:r w:rsidRPr="004B51CD">
              <w:rPr>
                <w:rFonts w:ascii="ITC Avant Garde" w:hAnsi="ITC Avant Garde"/>
                <w:sz w:val="16"/>
                <w:szCs w:val="16"/>
                <w:lang w:val="es-ES"/>
              </w:rPr>
              <w:t xml:space="preserve">Página </w:t>
            </w:r>
            <w:r w:rsidRPr="004B51CD">
              <w:rPr>
                <w:rFonts w:ascii="ITC Avant Garde" w:hAnsi="ITC Avant Garde"/>
                <w:b/>
                <w:bCs/>
                <w:sz w:val="16"/>
                <w:szCs w:val="16"/>
              </w:rPr>
              <w:fldChar w:fldCharType="begin"/>
            </w:r>
            <w:r w:rsidRPr="004B51CD">
              <w:rPr>
                <w:rFonts w:ascii="ITC Avant Garde" w:hAnsi="ITC Avant Garde"/>
                <w:b/>
                <w:bCs/>
                <w:sz w:val="16"/>
                <w:szCs w:val="16"/>
              </w:rPr>
              <w:instrText>PAGE</w:instrText>
            </w:r>
            <w:r w:rsidRPr="004B51CD">
              <w:rPr>
                <w:rFonts w:ascii="ITC Avant Garde" w:hAnsi="ITC Avant Garde"/>
                <w:b/>
                <w:bCs/>
                <w:sz w:val="16"/>
                <w:szCs w:val="16"/>
              </w:rPr>
              <w:fldChar w:fldCharType="separate"/>
            </w:r>
            <w:r w:rsidR="00C96D88">
              <w:rPr>
                <w:rFonts w:ascii="ITC Avant Garde" w:hAnsi="ITC Avant Garde"/>
                <w:b/>
                <w:bCs/>
                <w:noProof/>
                <w:sz w:val="16"/>
                <w:szCs w:val="16"/>
              </w:rPr>
              <w:t>10</w:t>
            </w:r>
            <w:r w:rsidRPr="004B51CD">
              <w:rPr>
                <w:rFonts w:ascii="ITC Avant Garde" w:hAnsi="ITC Avant Garde"/>
                <w:b/>
                <w:bCs/>
                <w:sz w:val="16"/>
                <w:szCs w:val="16"/>
              </w:rPr>
              <w:fldChar w:fldCharType="end"/>
            </w:r>
            <w:r w:rsidRPr="004B51CD">
              <w:rPr>
                <w:rFonts w:ascii="ITC Avant Garde" w:hAnsi="ITC Avant Garde"/>
                <w:sz w:val="16"/>
                <w:szCs w:val="16"/>
                <w:lang w:val="es-ES"/>
              </w:rPr>
              <w:t xml:space="preserve"> de </w:t>
            </w:r>
            <w:r w:rsidRPr="004B51CD">
              <w:rPr>
                <w:rFonts w:ascii="ITC Avant Garde" w:hAnsi="ITC Avant Garde"/>
                <w:b/>
                <w:bCs/>
                <w:sz w:val="16"/>
                <w:szCs w:val="16"/>
              </w:rPr>
              <w:fldChar w:fldCharType="begin"/>
            </w:r>
            <w:r w:rsidRPr="004B51CD">
              <w:rPr>
                <w:rFonts w:ascii="ITC Avant Garde" w:hAnsi="ITC Avant Garde"/>
                <w:b/>
                <w:bCs/>
                <w:sz w:val="16"/>
                <w:szCs w:val="16"/>
              </w:rPr>
              <w:instrText>NUMPAGES</w:instrText>
            </w:r>
            <w:r w:rsidRPr="004B51CD">
              <w:rPr>
                <w:rFonts w:ascii="ITC Avant Garde" w:hAnsi="ITC Avant Garde"/>
                <w:b/>
                <w:bCs/>
                <w:sz w:val="16"/>
                <w:szCs w:val="16"/>
              </w:rPr>
              <w:fldChar w:fldCharType="separate"/>
            </w:r>
            <w:r w:rsidR="00C96D88">
              <w:rPr>
                <w:rFonts w:ascii="ITC Avant Garde" w:hAnsi="ITC Avant Garde"/>
                <w:b/>
                <w:bCs/>
                <w:noProof/>
                <w:sz w:val="16"/>
                <w:szCs w:val="16"/>
              </w:rPr>
              <w:t>10</w:t>
            </w:r>
            <w:r w:rsidRPr="004B51CD">
              <w:rPr>
                <w:rFonts w:ascii="ITC Avant Garde" w:hAnsi="ITC Avant Garde"/>
                <w:b/>
                <w:bCs/>
                <w:sz w:val="16"/>
                <w:szCs w:val="16"/>
              </w:rPr>
              <w:fldChar w:fldCharType="end"/>
            </w:r>
          </w:p>
        </w:sdtContent>
      </w:sdt>
    </w:sdtContent>
  </w:sdt>
  <w:p w14:paraId="74F43D85" w14:textId="77777777" w:rsidR="00562244" w:rsidRDefault="005622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6810" w14:textId="77777777" w:rsidR="00D950FF" w:rsidRDefault="00D950FF" w:rsidP="00562244">
      <w:pPr>
        <w:spacing w:after="0" w:line="240" w:lineRule="auto"/>
      </w:pPr>
      <w:r>
        <w:separator/>
      </w:r>
    </w:p>
  </w:footnote>
  <w:footnote w:type="continuationSeparator" w:id="0">
    <w:p w14:paraId="5C6F5AF3" w14:textId="77777777" w:rsidR="00D950FF" w:rsidRDefault="00D950FF" w:rsidP="00562244">
      <w:pPr>
        <w:spacing w:after="0" w:line="240" w:lineRule="auto"/>
      </w:pPr>
      <w:r>
        <w:continuationSeparator/>
      </w:r>
    </w:p>
  </w:footnote>
  <w:footnote w:type="continuationNotice" w:id="1">
    <w:p w14:paraId="3BF722AC" w14:textId="77777777" w:rsidR="00D950FF" w:rsidRDefault="00D950FF">
      <w:pPr>
        <w:spacing w:after="0" w:line="240" w:lineRule="auto"/>
      </w:pPr>
    </w:p>
  </w:footnote>
  <w:footnote w:id="2">
    <w:p w14:paraId="1FEC3462" w14:textId="77777777" w:rsidR="004A1192" w:rsidRPr="00ED6F23" w:rsidRDefault="004A1192" w:rsidP="00ED6F23">
      <w:pPr>
        <w:pStyle w:val="Textonotapie"/>
        <w:spacing w:after="0" w:line="240" w:lineRule="auto"/>
        <w:jc w:val="both"/>
        <w:rPr>
          <w:rFonts w:ascii="ITC Avant Garde" w:hAnsi="ITC Avant Garde"/>
          <w:sz w:val="16"/>
          <w:szCs w:val="16"/>
        </w:rPr>
      </w:pPr>
      <w:r w:rsidRPr="00ED6F23">
        <w:rPr>
          <w:rStyle w:val="Refdenotaalpie"/>
          <w:rFonts w:ascii="ITC Avant Garde" w:hAnsi="ITC Avant Garde"/>
          <w:sz w:val="16"/>
          <w:szCs w:val="16"/>
        </w:rPr>
        <w:footnoteRef/>
      </w:r>
      <w:r w:rsidRPr="00ED6F23">
        <w:rPr>
          <w:rFonts w:ascii="ITC Avant Garde" w:hAnsi="ITC Avant Garde"/>
          <w:sz w:val="16"/>
          <w:szCs w:val="16"/>
        </w:rPr>
        <w:t xml:space="preserve"> </w:t>
      </w:r>
      <w:r w:rsidRPr="00A307C1">
        <w:rPr>
          <w:rFonts w:ascii="ITC Avant Garde" w:hAnsi="ITC Avant Garde"/>
          <w:sz w:val="16"/>
          <w:szCs w:val="16"/>
        </w:rPr>
        <w:t>Comité de Política Regulatoria de la OCDE. (2012). “</w:t>
      </w:r>
      <w:r w:rsidRPr="00A307C1">
        <w:rPr>
          <w:rFonts w:ascii="ITC Avant Garde" w:hAnsi="ITC Avant Garde"/>
          <w:i/>
          <w:sz w:val="16"/>
          <w:szCs w:val="16"/>
        </w:rPr>
        <w:t>Recomendación del Consejo sobre Política y Gobernanza Regulatoria”</w:t>
      </w:r>
      <w:r w:rsidRPr="00A307C1">
        <w:rPr>
          <w:rFonts w:ascii="ITC Avant Garde" w:hAnsi="ITC Avant Garde"/>
          <w:sz w:val="16"/>
          <w:szCs w:val="16"/>
        </w:rPr>
        <w:t xml:space="preserve">. OCDE. Recuperado el 26 de abril de 2019, de: </w:t>
      </w:r>
      <w:hyperlink r:id="rId1" w:history="1">
        <w:r w:rsidRPr="00A307C1">
          <w:rPr>
            <w:rFonts w:ascii="ITC Avant Garde" w:hAnsi="ITC Avant Garde"/>
            <w:sz w:val="16"/>
            <w:szCs w:val="16"/>
          </w:rPr>
          <w:t>https://www.oecd.org/gov/regulatory-policy/Recommendation%20with%20cover%20SP.pdf</w:t>
        </w:r>
      </w:hyperlink>
    </w:p>
  </w:footnote>
  <w:footnote w:id="3">
    <w:p w14:paraId="43A258C3" w14:textId="77777777" w:rsidR="004A1192" w:rsidRPr="00E84C27" w:rsidRDefault="004A1192" w:rsidP="00ED6F23">
      <w:pPr>
        <w:pStyle w:val="Textonotapie"/>
        <w:spacing w:after="0" w:line="240" w:lineRule="auto"/>
        <w:jc w:val="both"/>
      </w:pPr>
      <w:r w:rsidRPr="00ED6F23">
        <w:rPr>
          <w:rStyle w:val="Refdenotaalpie"/>
          <w:rFonts w:ascii="ITC Avant Garde" w:hAnsi="ITC Avant Garde"/>
          <w:sz w:val="16"/>
          <w:szCs w:val="16"/>
        </w:rPr>
        <w:footnoteRef/>
      </w:r>
      <w:r w:rsidRPr="00ED6F23">
        <w:rPr>
          <w:rFonts w:ascii="ITC Avant Garde" w:hAnsi="ITC Avant Garde"/>
          <w:sz w:val="16"/>
          <w:szCs w:val="16"/>
          <w:lang w:val="en-US"/>
        </w:rPr>
        <w:t xml:space="preserve"> </w:t>
      </w:r>
      <w:r w:rsidRPr="00A307C1">
        <w:rPr>
          <w:rFonts w:ascii="ITC Avant Garde" w:hAnsi="ITC Avant Garde"/>
          <w:sz w:val="16"/>
          <w:szCs w:val="16"/>
          <w:lang w:val="en-US"/>
        </w:rPr>
        <w:t>Regulatory Policy Committee of the OECD. (2018) “</w:t>
      </w:r>
      <w:r w:rsidRPr="00A307C1">
        <w:rPr>
          <w:rFonts w:ascii="ITC Avant Garde" w:hAnsi="ITC Avant Garde"/>
          <w:i/>
          <w:sz w:val="16"/>
          <w:szCs w:val="16"/>
          <w:lang w:val="en-US"/>
        </w:rPr>
        <w:t>Reviewing the stock of regulation- towards best practice principals and methods: a Scoping Paper”</w:t>
      </w:r>
      <w:r w:rsidRPr="00A307C1">
        <w:rPr>
          <w:rFonts w:ascii="ITC Avant Garde" w:hAnsi="ITC Avant Garde"/>
          <w:sz w:val="16"/>
          <w:szCs w:val="16"/>
          <w:lang w:val="en-US"/>
        </w:rPr>
        <w:t xml:space="preserve">. </w:t>
      </w:r>
      <w:r w:rsidRPr="00A307C1">
        <w:rPr>
          <w:rFonts w:ascii="ITC Avant Garde" w:hAnsi="ITC Avant Garde"/>
          <w:sz w:val="16"/>
          <w:szCs w:val="16"/>
        </w:rPr>
        <w:t>18th Session of the Regulatory Policy Committee, Paris</w:t>
      </w:r>
      <w:r w:rsidRPr="00E84C27">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FD6B" w14:textId="77777777" w:rsidR="00E6546D" w:rsidRDefault="00D950FF">
    <w:pPr>
      <w:pStyle w:val="Encabezado"/>
    </w:pPr>
    <w:r>
      <w:rPr>
        <w:noProof/>
      </w:rPr>
      <w:pict w14:anchorId="0AC41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1"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2ED7" w14:textId="77777777" w:rsidR="00E6546D" w:rsidRDefault="00D950FF">
    <w:pPr>
      <w:pStyle w:val="Encabezado"/>
    </w:pPr>
    <w:r>
      <w:rPr>
        <w:noProof/>
      </w:rPr>
      <w:pict w14:anchorId="20E54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2"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8090" w14:textId="77777777" w:rsidR="00E6546D" w:rsidRDefault="00D950FF">
    <w:pPr>
      <w:pStyle w:val="Encabezado"/>
    </w:pPr>
    <w:r>
      <w:rPr>
        <w:noProof/>
      </w:rPr>
      <w:pict w14:anchorId="1748E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0"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447A471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15FBA"/>
    <w:multiLevelType w:val="hybridMultilevel"/>
    <w:tmpl w:val="CDCEDF62"/>
    <w:lvl w:ilvl="0" w:tplc="D3EA61D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BA97852"/>
    <w:multiLevelType w:val="hybridMultilevel"/>
    <w:tmpl w:val="58BED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EF0F95"/>
    <w:multiLevelType w:val="hybridMultilevel"/>
    <w:tmpl w:val="CE1468AA"/>
    <w:lvl w:ilvl="0" w:tplc="5C360DE4">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00A04F1"/>
    <w:multiLevelType w:val="hybridMultilevel"/>
    <w:tmpl w:val="09067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373B9"/>
    <w:multiLevelType w:val="hybridMultilevel"/>
    <w:tmpl w:val="826E17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5930DF"/>
    <w:multiLevelType w:val="hybridMultilevel"/>
    <w:tmpl w:val="150CE2DE"/>
    <w:lvl w:ilvl="0" w:tplc="318AD4F4">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661B13"/>
    <w:multiLevelType w:val="hybridMultilevel"/>
    <w:tmpl w:val="68EEE6AA"/>
    <w:lvl w:ilvl="0" w:tplc="5C665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C2663D"/>
    <w:multiLevelType w:val="hybridMultilevel"/>
    <w:tmpl w:val="6532BFB6"/>
    <w:lvl w:ilvl="0" w:tplc="34C86666">
      <w:start w:val="1"/>
      <w:numFmt w:val="lowerRoman"/>
      <w:lvlText w:val="(%1)"/>
      <w:lvlJc w:val="left"/>
      <w:pPr>
        <w:ind w:left="503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92B1AA1"/>
    <w:multiLevelType w:val="hybridMultilevel"/>
    <w:tmpl w:val="FAA07B2C"/>
    <w:lvl w:ilvl="0" w:tplc="080A000F">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DC76842"/>
    <w:multiLevelType w:val="hybridMultilevel"/>
    <w:tmpl w:val="97F2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427B91"/>
    <w:multiLevelType w:val="hybridMultilevel"/>
    <w:tmpl w:val="12523A7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D735D7C"/>
    <w:multiLevelType w:val="hybridMultilevel"/>
    <w:tmpl w:val="5E8A4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1F7C2F"/>
    <w:multiLevelType w:val="hybridMultilevel"/>
    <w:tmpl w:val="C47658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0C2A85"/>
    <w:multiLevelType w:val="hybridMultilevel"/>
    <w:tmpl w:val="70E22D9E"/>
    <w:lvl w:ilvl="0" w:tplc="72882B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7B5645"/>
    <w:multiLevelType w:val="hybridMultilevel"/>
    <w:tmpl w:val="C62058FC"/>
    <w:lvl w:ilvl="0" w:tplc="318AD4F4">
      <w:start w:val="1"/>
      <w:numFmt w:val="low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1CE4697"/>
    <w:multiLevelType w:val="hybridMultilevel"/>
    <w:tmpl w:val="B57E5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155AFB"/>
    <w:multiLevelType w:val="hybridMultilevel"/>
    <w:tmpl w:val="3626C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486D79"/>
    <w:multiLevelType w:val="hybridMultilevel"/>
    <w:tmpl w:val="F438A4FC"/>
    <w:lvl w:ilvl="0" w:tplc="318AD4F4">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733BD9"/>
    <w:multiLevelType w:val="hybridMultilevel"/>
    <w:tmpl w:val="4662A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
  </w:num>
  <w:num w:numId="8">
    <w:abstractNumId w:val="19"/>
  </w:num>
  <w:num w:numId="9">
    <w:abstractNumId w:val="7"/>
  </w:num>
  <w:num w:numId="10">
    <w:abstractNumId w:val="16"/>
  </w:num>
  <w:num w:numId="11">
    <w:abstractNumId w:val="4"/>
  </w:num>
  <w:num w:numId="12">
    <w:abstractNumId w:val="5"/>
  </w:num>
  <w:num w:numId="13">
    <w:abstractNumId w:val="13"/>
  </w:num>
  <w:num w:numId="14">
    <w:abstractNumId w:val="14"/>
  </w:num>
  <w:num w:numId="15">
    <w:abstractNumId w:val="2"/>
  </w:num>
  <w:num w:numId="16">
    <w:abstractNumId w:val="12"/>
  </w:num>
  <w:num w:numId="17">
    <w:abstractNumId w:val="15"/>
  </w:num>
  <w:num w:numId="18">
    <w:abstractNumId w:val="8"/>
  </w:num>
  <w:num w:numId="19">
    <w:abstractNumId w:val="18"/>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A5"/>
    <w:rsid w:val="00000D1D"/>
    <w:rsid w:val="00001B6B"/>
    <w:rsid w:val="000045E8"/>
    <w:rsid w:val="00007A2F"/>
    <w:rsid w:val="000166D4"/>
    <w:rsid w:val="0002154C"/>
    <w:rsid w:val="000234EE"/>
    <w:rsid w:val="0003070E"/>
    <w:rsid w:val="000324BB"/>
    <w:rsid w:val="00040278"/>
    <w:rsid w:val="00040AA8"/>
    <w:rsid w:val="00044919"/>
    <w:rsid w:val="000449A8"/>
    <w:rsid w:val="00046786"/>
    <w:rsid w:val="000525AD"/>
    <w:rsid w:val="000626C4"/>
    <w:rsid w:val="00067A8D"/>
    <w:rsid w:val="000753BB"/>
    <w:rsid w:val="00075E4A"/>
    <w:rsid w:val="00080753"/>
    <w:rsid w:val="00085DDA"/>
    <w:rsid w:val="00092241"/>
    <w:rsid w:val="00093D1A"/>
    <w:rsid w:val="00094781"/>
    <w:rsid w:val="000948B4"/>
    <w:rsid w:val="00097AA1"/>
    <w:rsid w:val="000A19B1"/>
    <w:rsid w:val="000A393E"/>
    <w:rsid w:val="000B2D1C"/>
    <w:rsid w:val="000B715E"/>
    <w:rsid w:val="000C4FE3"/>
    <w:rsid w:val="000C5FA8"/>
    <w:rsid w:val="000C746C"/>
    <w:rsid w:val="000D3750"/>
    <w:rsid w:val="000D482A"/>
    <w:rsid w:val="000E0A7D"/>
    <w:rsid w:val="000E17ED"/>
    <w:rsid w:val="000E2721"/>
    <w:rsid w:val="000E31C7"/>
    <w:rsid w:val="000E7B31"/>
    <w:rsid w:val="000F0C55"/>
    <w:rsid w:val="000F404B"/>
    <w:rsid w:val="000F59A8"/>
    <w:rsid w:val="000F7B27"/>
    <w:rsid w:val="001053B5"/>
    <w:rsid w:val="0010658C"/>
    <w:rsid w:val="0011020E"/>
    <w:rsid w:val="00113C8D"/>
    <w:rsid w:val="00115012"/>
    <w:rsid w:val="001156DF"/>
    <w:rsid w:val="001169DE"/>
    <w:rsid w:val="00125EF3"/>
    <w:rsid w:val="00126DE9"/>
    <w:rsid w:val="00127BE3"/>
    <w:rsid w:val="00131682"/>
    <w:rsid w:val="0013284B"/>
    <w:rsid w:val="00132B04"/>
    <w:rsid w:val="00137139"/>
    <w:rsid w:val="0014662E"/>
    <w:rsid w:val="00146EC7"/>
    <w:rsid w:val="0014761F"/>
    <w:rsid w:val="001502FA"/>
    <w:rsid w:val="00150B97"/>
    <w:rsid w:val="00154D99"/>
    <w:rsid w:val="0015778A"/>
    <w:rsid w:val="00163ABE"/>
    <w:rsid w:val="0016442E"/>
    <w:rsid w:val="00165CB1"/>
    <w:rsid w:val="00171D76"/>
    <w:rsid w:val="00174EF2"/>
    <w:rsid w:val="0018593F"/>
    <w:rsid w:val="00186D7C"/>
    <w:rsid w:val="00186F6E"/>
    <w:rsid w:val="00191310"/>
    <w:rsid w:val="00193F82"/>
    <w:rsid w:val="00193FFB"/>
    <w:rsid w:val="0019659C"/>
    <w:rsid w:val="001A01BC"/>
    <w:rsid w:val="001A4EBF"/>
    <w:rsid w:val="001B3BA9"/>
    <w:rsid w:val="001B3FAE"/>
    <w:rsid w:val="001C006B"/>
    <w:rsid w:val="001C1B70"/>
    <w:rsid w:val="001C29D3"/>
    <w:rsid w:val="001C36F3"/>
    <w:rsid w:val="001D06BA"/>
    <w:rsid w:val="001D1632"/>
    <w:rsid w:val="001D7BD1"/>
    <w:rsid w:val="001E3D01"/>
    <w:rsid w:val="001E428E"/>
    <w:rsid w:val="001F09F7"/>
    <w:rsid w:val="001F208B"/>
    <w:rsid w:val="001F4CE5"/>
    <w:rsid w:val="001F583C"/>
    <w:rsid w:val="00200B37"/>
    <w:rsid w:val="00201D54"/>
    <w:rsid w:val="00203B7E"/>
    <w:rsid w:val="0021024F"/>
    <w:rsid w:val="002110FF"/>
    <w:rsid w:val="00212B38"/>
    <w:rsid w:val="00215619"/>
    <w:rsid w:val="0022046D"/>
    <w:rsid w:val="00220D4C"/>
    <w:rsid w:val="002212B3"/>
    <w:rsid w:val="0022145B"/>
    <w:rsid w:val="0022402F"/>
    <w:rsid w:val="002264EB"/>
    <w:rsid w:val="00233F64"/>
    <w:rsid w:val="0023457C"/>
    <w:rsid w:val="00234781"/>
    <w:rsid w:val="00234CFF"/>
    <w:rsid w:val="0023616B"/>
    <w:rsid w:val="002449DA"/>
    <w:rsid w:val="00246BF6"/>
    <w:rsid w:val="0024742E"/>
    <w:rsid w:val="0025231B"/>
    <w:rsid w:val="00255BE4"/>
    <w:rsid w:val="00260928"/>
    <w:rsid w:val="0026261F"/>
    <w:rsid w:val="00264230"/>
    <w:rsid w:val="00272D27"/>
    <w:rsid w:val="00272EB7"/>
    <w:rsid w:val="0027470A"/>
    <w:rsid w:val="00274EA0"/>
    <w:rsid w:val="00275ED0"/>
    <w:rsid w:val="00280495"/>
    <w:rsid w:val="00283F9C"/>
    <w:rsid w:val="00284446"/>
    <w:rsid w:val="0028752B"/>
    <w:rsid w:val="00292699"/>
    <w:rsid w:val="002979A9"/>
    <w:rsid w:val="002B0E0F"/>
    <w:rsid w:val="002B4E66"/>
    <w:rsid w:val="002C35C9"/>
    <w:rsid w:val="002C3BE7"/>
    <w:rsid w:val="002C66A8"/>
    <w:rsid w:val="002C66BE"/>
    <w:rsid w:val="002C6AB3"/>
    <w:rsid w:val="002C79CB"/>
    <w:rsid w:val="002D3481"/>
    <w:rsid w:val="002D79F2"/>
    <w:rsid w:val="002E31AA"/>
    <w:rsid w:val="002F3DA5"/>
    <w:rsid w:val="002F70E8"/>
    <w:rsid w:val="00300A32"/>
    <w:rsid w:val="0030197E"/>
    <w:rsid w:val="00303262"/>
    <w:rsid w:val="00305264"/>
    <w:rsid w:val="0030562E"/>
    <w:rsid w:val="00311E73"/>
    <w:rsid w:val="00314298"/>
    <w:rsid w:val="003177C7"/>
    <w:rsid w:val="00317D23"/>
    <w:rsid w:val="003249EC"/>
    <w:rsid w:val="0033561A"/>
    <w:rsid w:val="0033671F"/>
    <w:rsid w:val="00337ADE"/>
    <w:rsid w:val="0034597E"/>
    <w:rsid w:val="00350AF3"/>
    <w:rsid w:val="00354B80"/>
    <w:rsid w:val="00356AB9"/>
    <w:rsid w:val="003573F8"/>
    <w:rsid w:val="00361071"/>
    <w:rsid w:val="00361D31"/>
    <w:rsid w:val="00362471"/>
    <w:rsid w:val="00364791"/>
    <w:rsid w:val="00370798"/>
    <w:rsid w:val="00375168"/>
    <w:rsid w:val="00375B5B"/>
    <w:rsid w:val="00377F16"/>
    <w:rsid w:val="003809E6"/>
    <w:rsid w:val="00382FDA"/>
    <w:rsid w:val="00385C35"/>
    <w:rsid w:val="0038616E"/>
    <w:rsid w:val="003863D2"/>
    <w:rsid w:val="00386B5D"/>
    <w:rsid w:val="00391EFD"/>
    <w:rsid w:val="003920C7"/>
    <w:rsid w:val="0039355C"/>
    <w:rsid w:val="003954F0"/>
    <w:rsid w:val="003970C2"/>
    <w:rsid w:val="003A0B5F"/>
    <w:rsid w:val="003A11CE"/>
    <w:rsid w:val="003A4BC2"/>
    <w:rsid w:val="003A513C"/>
    <w:rsid w:val="003A7A30"/>
    <w:rsid w:val="003B219D"/>
    <w:rsid w:val="003B255F"/>
    <w:rsid w:val="003B4F9E"/>
    <w:rsid w:val="003B6F23"/>
    <w:rsid w:val="003C023C"/>
    <w:rsid w:val="003C18E9"/>
    <w:rsid w:val="003C31DD"/>
    <w:rsid w:val="003C423D"/>
    <w:rsid w:val="003C6362"/>
    <w:rsid w:val="003C679B"/>
    <w:rsid w:val="003C6A66"/>
    <w:rsid w:val="003D203F"/>
    <w:rsid w:val="003E26FB"/>
    <w:rsid w:val="003E3173"/>
    <w:rsid w:val="003E5B9A"/>
    <w:rsid w:val="003E7D6E"/>
    <w:rsid w:val="003F2237"/>
    <w:rsid w:val="003F374D"/>
    <w:rsid w:val="003F4223"/>
    <w:rsid w:val="003F6B4C"/>
    <w:rsid w:val="003F72B9"/>
    <w:rsid w:val="00401E11"/>
    <w:rsid w:val="00410DC4"/>
    <w:rsid w:val="00412B5C"/>
    <w:rsid w:val="004154BB"/>
    <w:rsid w:val="004203E3"/>
    <w:rsid w:val="004218CC"/>
    <w:rsid w:val="00427549"/>
    <w:rsid w:val="0042757B"/>
    <w:rsid w:val="00437F7E"/>
    <w:rsid w:val="00440BB8"/>
    <w:rsid w:val="00442D40"/>
    <w:rsid w:val="00456950"/>
    <w:rsid w:val="00457D98"/>
    <w:rsid w:val="0046141C"/>
    <w:rsid w:val="00461537"/>
    <w:rsid w:val="00462424"/>
    <w:rsid w:val="0047072A"/>
    <w:rsid w:val="00470FFD"/>
    <w:rsid w:val="00474295"/>
    <w:rsid w:val="00486BC7"/>
    <w:rsid w:val="00487369"/>
    <w:rsid w:val="00495D56"/>
    <w:rsid w:val="004A0D13"/>
    <w:rsid w:val="004A0FA4"/>
    <w:rsid w:val="004A1192"/>
    <w:rsid w:val="004A3254"/>
    <w:rsid w:val="004B26F3"/>
    <w:rsid w:val="004B2BC0"/>
    <w:rsid w:val="004B51CD"/>
    <w:rsid w:val="004B5D1E"/>
    <w:rsid w:val="004B603D"/>
    <w:rsid w:val="004C1787"/>
    <w:rsid w:val="004C4FEF"/>
    <w:rsid w:val="004D06A6"/>
    <w:rsid w:val="004D0B92"/>
    <w:rsid w:val="004D0CED"/>
    <w:rsid w:val="004D2F2D"/>
    <w:rsid w:val="004D552A"/>
    <w:rsid w:val="004D65AC"/>
    <w:rsid w:val="004D6622"/>
    <w:rsid w:val="004D7D58"/>
    <w:rsid w:val="004E2764"/>
    <w:rsid w:val="004E4B9B"/>
    <w:rsid w:val="004E773E"/>
    <w:rsid w:val="004F2869"/>
    <w:rsid w:val="004F5DD4"/>
    <w:rsid w:val="004F78EF"/>
    <w:rsid w:val="00503542"/>
    <w:rsid w:val="0050688A"/>
    <w:rsid w:val="00510B29"/>
    <w:rsid w:val="00514090"/>
    <w:rsid w:val="005164C8"/>
    <w:rsid w:val="005222F5"/>
    <w:rsid w:val="00522B20"/>
    <w:rsid w:val="005232A8"/>
    <w:rsid w:val="00523A26"/>
    <w:rsid w:val="00525DAE"/>
    <w:rsid w:val="0053296D"/>
    <w:rsid w:val="00533D40"/>
    <w:rsid w:val="0053556E"/>
    <w:rsid w:val="0053726B"/>
    <w:rsid w:val="005419D3"/>
    <w:rsid w:val="00541E52"/>
    <w:rsid w:val="005426BD"/>
    <w:rsid w:val="0055075C"/>
    <w:rsid w:val="0055172C"/>
    <w:rsid w:val="00552587"/>
    <w:rsid w:val="0055286D"/>
    <w:rsid w:val="00554AC7"/>
    <w:rsid w:val="0055545A"/>
    <w:rsid w:val="0055611C"/>
    <w:rsid w:val="00561852"/>
    <w:rsid w:val="00562244"/>
    <w:rsid w:val="005657E6"/>
    <w:rsid w:val="00577378"/>
    <w:rsid w:val="00582953"/>
    <w:rsid w:val="00585229"/>
    <w:rsid w:val="00585336"/>
    <w:rsid w:val="00586800"/>
    <w:rsid w:val="00594B5E"/>
    <w:rsid w:val="00597947"/>
    <w:rsid w:val="005A1C6D"/>
    <w:rsid w:val="005A2A60"/>
    <w:rsid w:val="005B5DE5"/>
    <w:rsid w:val="005C0F7F"/>
    <w:rsid w:val="005C7FE6"/>
    <w:rsid w:val="005D40D5"/>
    <w:rsid w:val="005D75A9"/>
    <w:rsid w:val="005E19C5"/>
    <w:rsid w:val="005E3C19"/>
    <w:rsid w:val="005E58EB"/>
    <w:rsid w:val="005E6F12"/>
    <w:rsid w:val="005E7A09"/>
    <w:rsid w:val="005E7F6A"/>
    <w:rsid w:val="005F4DB2"/>
    <w:rsid w:val="005F6C01"/>
    <w:rsid w:val="005F7371"/>
    <w:rsid w:val="006029F7"/>
    <w:rsid w:val="00604C32"/>
    <w:rsid w:val="00606647"/>
    <w:rsid w:val="0061018B"/>
    <w:rsid w:val="00612F23"/>
    <w:rsid w:val="0061593A"/>
    <w:rsid w:val="00624AF6"/>
    <w:rsid w:val="00624EAA"/>
    <w:rsid w:val="00633939"/>
    <w:rsid w:val="00634C1F"/>
    <w:rsid w:val="00635505"/>
    <w:rsid w:val="00637C51"/>
    <w:rsid w:val="00643030"/>
    <w:rsid w:val="006444ED"/>
    <w:rsid w:val="00645F98"/>
    <w:rsid w:val="006462CD"/>
    <w:rsid w:val="00647943"/>
    <w:rsid w:val="00647B61"/>
    <w:rsid w:val="006534B3"/>
    <w:rsid w:val="00654CA4"/>
    <w:rsid w:val="006558DA"/>
    <w:rsid w:val="0065652A"/>
    <w:rsid w:val="00661DFC"/>
    <w:rsid w:val="00667C90"/>
    <w:rsid w:val="006712AE"/>
    <w:rsid w:val="00674FEB"/>
    <w:rsid w:val="006756FA"/>
    <w:rsid w:val="00676062"/>
    <w:rsid w:val="0068443A"/>
    <w:rsid w:val="00684B37"/>
    <w:rsid w:val="00685C01"/>
    <w:rsid w:val="006935C7"/>
    <w:rsid w:val="00693D92"/>
    <w:rsid w:val="006A0D59"/>
    <w:rsid w:val="006A0DD9"/>
    <w:rsid w:val="006A2528"/>
    <w:rsid w:val="006A3D9A"/>
    <w:rsid w:val="006B2351"/>
    <w:rsid w:val="006B319E"/>
    <w:rsid w:val="006B3AD0"/>
    <w:rsid w:val="006B4003"/>
    <w:rsid w:val="006C0C8F"/>
    <w:rsid w:val="006C25D6"/>
    <w:rsid w:val="006C476F"/>
    <w:rsid w:val="006C75F6"/>
    <w:rsid w:val="006C7E06"/>
    <w:rsid w:val="006D1A68"/>
    <w:rsid w:val="006D78AA"/>
    <w:rsid w:val="006E1CF4"/>
    <w:rsid w:val="006E347C"/>
    <w:rsid w:val="006E365D"/>
    <w:rsid w:val="006E7079"/>
    <w:rsid w:val="006E7DBD"/>
    <w:rsid w:val="006F29CD"/>
    <w:rsid w:val="006F637E"/>
    <w:rsid w:val="00702818"/>
    <w:rsid w:val="00716CF3"/>
    <w:rsid w:val="00723711"/>
    <w:rsid w:val="007239BC"/>
    <w:rsid w:val="00724EFE"/>
    <w:rsid w:val="00731FE4"/>
    <w:rsid w:val="007328E9"/>
    <w:rsid w:val="00734D3D"/>
    <w:rsid w:val="00734D62"/>
    <w:rsid w:val="00735291"/>
    <w:rsid w:val="007364C3"/>
    <w:rsid w:val="007377D0"/>
    <w:rsid w:val="00741D35"/>
    <w:rsid w:val="007442E3"/>
    <w:rsid w:val="00751E12"/>
    <w:rsid w:val="00757473"/>
    <w:rsid w:val="007604FA"/>
    <w:rsid w:val="00762C98"/>
    <w:rsid w:val="00764111"/>
    <w:rsid w:val="00767F26"/>
    <w:rsid w:val="00774184"/>
    <w:rsid w:val="007761ED"/>
    <w:rsid w:val="007835CE"/>
    <w:rsid w:val="00786B92"/>
    <w:rsid w:val="00786ED2"/>
    <w:rsid w:val="00792DBE"/>
    <w:rsid w:val="00793370"/>
    <w:rsid w:val="00793C54"/>
    <w:rsid w:val="00794B36"/>
    <w:rsid w:val="007972B8"/>
    <w:rsid w:val="007974B8"/>
    <w:rsid w:val="007A5945"/>
    <w:rsid w:val="007A6097"/>
    <w:rsid w:val="007A73B8"/>
    <w:rsid w:val="007A7510"/>
    <w:rsid w:val="007B4F3D"/>
    <w:rsid w:val="007B6AD8"/>
    <w:rsid w:val="007C1031"/>
    <w:rsid w:val="007C73F5"/>
    <w:rsid w:val="007D0A66"/>
    <w:rsid w:val="007D7287"/>
    <w:rsid w:val="007D7CA0"/>
    <w:rsid w:val="007E0501"/>
    <w:rsid w:val="007E20CA"/>
    <w:rsid w:val="007E21D7"/>
    <w:rsid w:val="007E3C11"/>
    <w:rsid w:val="007E483B"/>
    <w:rsid w:val="007E5356"/>
    <w:rsid w:val="007E765C"/>
    <w:rsid w:val="007F0D2C"/>
    <w:rsid w:val="007F11F0"/>
    <w:rsid w:val="007F4CF0"/>
    <w:rsid w:val="007F4E4F"/>
    <w:rsid w:val="007F66CC"/>
    <w:rsid w:val="008013A4"/>
    <w:rsid w:val="00802ADA"/>
    <w:rsid w:val="00810D17"/>
    <w:rsid w:val="00811B8B"/>
    <w:rsid w:val="00814AAE"/>
    <w:rsid w:val="00814E1F"/>
    <w:rsid w:val="00815864"/>
    <w:rsid w:val="00817A58"/>
    <w:rsid w:val="00820995"/>
    <w:rsid w:val="00820C1C"/>
    <w:rsid w:val="00827412"/>
    <w:rsid w:val="00834090"/>
    <w:rsid w:val="00835132"/>
    <w:rsid w:val="008411F5"/>
    <w:rsid w:val="008470CD"/>
    <w:rsid w:val="008570E2"/>
    <w:rsid w:val="00857586"/>
    <w:rsid w:val="008704A8"/>
    <w:rsid w:val="008746C6"/>
    <w:rsid w:val="0087630C"/>
    <w:rsid w:val="00877025"/>
    <w:rsid w:val="0088286B"/>
    <w:rsid w:val="008868F7"/>
    <w:rsid w:val="00887292"/>
    <w:rsid w:val="008904AD"/>
    <w:rsid w:val="008911B1"/>
    <w:rsid w:val="0089396A"/>
    <w:rsid w:val="00893F2C"/>
    <w:rsid w:val="00894735"/>
    <w:rsid w:val="00897D96"/>
    <w:rsid w:val="008A196F"/>
    <w:rsid w:val="008B14D3"/>
    <w:rsid w:val="008B2538"/>
    <w:rsid w:val="008B36CB"/>
    <w:rsid w:val="008C227D"/>
    <w:rsid w:val="008C7D9C"/>
    <w:rsid w:val="008D1B75"/>
    <w:rsid w:val="008D28EE"/>
    <w:rsid w:val="008D2E04"/>
    <w:rsid w:val="008E6E83"/>
    <w:rsid w:val="008E7D9C"/>
    <w:rsid w:val="008F174D"/>
    <w:rsid w:val="008F66F6"/>
    <w:rsid w:val="008F77DF"/>
    <w:rsid w:val="00905580"/>
    <w:rsid w:val="00926B81"/>
    <w:rsid w:val="00931585"/>
    <w:rsid w:val="00932A23"/>
    <w:rsid w:val="0093455A"/>
    <w:rsid w:val="00935447"/>
    <w:rsid w:val="0093608B"/>
    <w:rsid w:val="009375A4"/>
    <w:rsid w:val="00947D3F"/>
    <w:rsid w:val="00952525"/>
    <w:rsid w:val="00954945"/>
    <w:rsid w:val="00956F69"/>
    <w:rsid w:val="009574AE"/>
    <w:rsid w:val="009618C5"/>
    <w:rsid w:val="009639D4"/>
    <w:rsid w:val="009760F0"/>
    <w:rsid w:val="009834FF"/>
    <w:rsid w:val="009843C6"/>
    <w:rsid w:val="009867A7"/>
    <w:rsid w:val="00987CB7"/>
    <w:rsid w:val="00992A24"/>
    <w:rsid w:val="00992F8E"/>
    <w:rsid w:val="00994814"/>
    <w:rsid w:val="009A504F"/>
    <w:rsid w:val="009A742F"/>
    <w:rsid w:val="009B28B0"/>
    <w:rsid w:val="009B5F31"/>
    <w:rsid w:val="009C2D69"/>
    <w:rsid w:val="009C4229"/>
    <w:rsid w:val="009C5DC7"/>
    <w:rsid w:val="009C6943"/>
    <w:rsid w:val="009C79A1"/>
    <w:rsid w:val="009D435A"/>
    <w:rsid w:val="009D4583"/>
    <w:rsid w:val="009E3591"/>
    <w:rsid w:val="009E3B77"/>
    <w:rsid w:val="009F035C"/>
    <w:rsid w:val="009F1598"/>
    <w:rsid w:val="009F21B0"/>
    <w:rsid w:val="009F294A"/>
    <w:rsid w:val="009F4313"/>
    <w:rsid w:val="00A01B13"/>
    <w:rsid w:val="00A02BE2"/>
    <w:rsid w:val="00A04EE9"/>
    <w:rsid w:val="00A05DC4"/>
    <w:rsid w:val="00A07D6D"/>
    <w:rsid w:val="00A10966"/>
    <w:rsid w:val="00A12FE2"/>
    <w:rsid w:val="00A13D2B"/>
    <w:rsid w:val="00A201B0"/>
    <w:rsid w:val="00A23362"/>
    <w:rsid w:val="00A2464B"/>
    <w:rsid w:val="00A25B43"/>
    <w:rsid w:val="00A27FAE"/>
    <w:rsid w:val="00A30695"/>
    <w:rsid w:val="00A307C1"/>
    <w:rsid w:val="00A360E1"/>
    <w:rsid w:val="00A412DF"/>
    <w:rsid w:val="00A42D84"/>
    <w:rsid w:val="00A42FFB"/>
    <w:rsid w:val="00A453C5"/>
    <w:rsid w:val="00A45CB5"/>
    <w:rsid w:val="00A53A4B"/>
    <w:rsid w:val="00A5516E"/>
    <w:rsid w:val="00A55190"/>
    <w:rsid w:val="00A55521"/>
    <w:rsid w:val="00A60C38"/>
    <w:rsid w:val="00A62408"/>
    <w:rsid w:val="00A812E1"/>
    <w:rsid w:val="00A84D98"/>
    <w:rsid w:val="00A85D69"/>
    <w:rsid w:val="00A91125"/>
    <w:rsid w:val="00A929EE"/>
    <w:rsid w:val="00A92EB1"/>
    <w:rsid w:val="00A945A2"/>
    <w:rsid w:val="00A9570C"/>
    <w:rsid w:val="00AA1DB5"/>
    <w:rsid w:val="00AA23A8"/>
    <w:rsid w:val="00AA3EE4"/>
    <w:rsid w:val="00AB53DC"/>
    <w:rsid w:val="00AB680E"/>
    <w:rsid w:val="00AC4907"/>
    <w:rsid w:val="00AD3DB7"/>
    <w:rsid w:val="00AD459D"/>
    <w:rsid w:val="00AD62D2"/>
    <w:rsid w:val="00AD678D"/>
    <w:rsid w:val="00AF237B"/>
    <w:rsid w:val="00AF2667"/>
    <w:rsid w:val="00AF6754"/>
    <w:rsid w:val="00B0471B"/>
    <w:rsid w:val="00B04ADD"/>
    <w:rsid w:val="00B15A00"/>
    <w:rsid w:val="00B173F3"/>
    <w:rsid w:val="00B2075D"/>
    <w:rsid w:val="00B20C3A"/>
    <w:rsid w:val="00B20CE8"/>
    <w:rsid w:val="00B242B6"/>
    <w:rsid w:val="00B25859"/>
    <w:rsid w:val="00B26BF3"/>
    <w:rsid w:val="00B30CB6"/>
    <w:rsid w:val="00B310B5"/>
    <w:rsid w:val="00B341EB"/>
    <w:rsid w:val="00B34815"/>
    <w:rsid w:val="00B37566"/>
    <w:rsid w:val="00B419C9"/>
    <w:rsid w:val="00B44DDD"/>
    <w:rsid w:val="00B46310"/>
    <w:rsid w:val="00B550F2"/>
    <w:rsid w:val="00B562EE"/>
    <w:rsid w:val="00B570F7"/>
    <w:rsid w:val="00B60878"/>
    <w:rsid w:val="00B629C3"/>
    <w:rsid w:val="00B66075"/>
    <w:rsid w:val="00B67157"/>
    <w:rsid w:val="00B70551"/>
    <w:rsid w:val="00B71A35"/>
    <w:rsid w:val="00B73A66"/>
    <w:rsid w:val="00B73CE1"/>
    <w:rsid w:val="00B755D2"/>
    <w:rsid w:val="00B774A2"/>
    <w:rsid w:val="00B81730"/>
    <w:rsid w:val="00B8238D"/>
    <w:rsid w:val="00B84C3F"/>
    <w:rsid w:val="00B85E8F"/>
    <w:rsid w:val="00B910A7"/>
    <w:rsid w:val="00B955A0"/>
    <w:rsid w:val="00B97626"/>
    <w:rsid w:val="00BA0325"/>
    <w:rsid w:val="00BA14B7"/>
    <w:rsid w:val="00BB0C2B"/>
    <w:rsid w:val="00BC0A22"/>
    <w:rsid w:val="00BC3192"/>
    <w:rsid w:val="00BC54A7"/>
    <w:rsid w:val="00BC56AE"/>
    <w:rsid w:val="00BD0654"/>
    <w:rsid w:val="00BD0A5F"/>
    <w:rsid w:val="00BD0E00"/>
    <w:rsid w:val="00BD252E"/>
    <w:rsid w:val="00BD2F61"/>
    <w:rsid w:val="00BE052D"/>
    <w:rsid w:val="00BE2A06"/>
    <w:rsid w:val="00BE6010"/>
    <w:rsid w:val="00BE7202"/>
    <w:rsid w:val="00BE76F4"/>
    <w:rsid w:val="00BE7C2D"/>
    <w:rsid w:val="00BF41A7"/>
    <w:rsid w:val="00BF63E1"/>
    <w:rsid w:val="00BF72B9"/>
    <w:rsid w:val="00C00493"/>
    <w:rsid w:val="00C026FC"/>
    <w:rsid w:val="00C07A56"/>
    <w:rsid w:val="00C105AE"/>
    <w:rsid w:val="00C13EDB"/>
    <w:rsid w:val="00C21057"/>
    <w:rsid w:val="00C23BE3"/>
    <w:rsid w:val="00C23C28"/>
    <w:rsid w:val="00C24790"/>
    <w:rsid w:val="00C27770"/>
    <w:rsid w:val="00C31A0F"/>
    <w:rsid w:val="00C44F18"/>
    <w:rsid w:val="00C475B1"/>
    <w:rsid w:val="00C50CA6"/>
    <w:rsid w:val="00C5461F"/>
    <w:rsid w:val="00C5630F"/>
    <w:rsid w:val="00C568AA"/>
    <w:rsid w:val="00C61F43"/>
    <w:rsid w:val="00C63189"/>
    <w:rsid w:val="00C6755C"/>
    <w:rsid w:val="00C74256"/>
    <w:rsid w:val="00C746AE"/>
    <w:rsid w:val="00C75420"/>
    <w:rsid w:val="00C75946"/>
    <w:rsid w:val="00C827D2"/>
    <w:rsid w:val="00C908AB"/>
    <w:rsid w:val="00C92D28"/>
    <w:rsid w:val="00C92FA0"/>
    <w:rsid w:val="00C96D88"/>
    <w:rsid w:val="00CA2253"/>
    <w:rsid w:val="00CA323F"/>
    <w:rsid w:val="00CA3EAB"/>
    <w:rsid w:val="00CA6A3C"/>
    <w:rsid w:val="00CB262A"/>
    <w:rsid w:val="00CB5025"/>
    <w:rsid w:val="00CC16EA"/>
    <w:rsid w:val="00CC17A6"/>
    <w:rsid w:val="00CC1878"/>
    <w:rsid w:val="00CC4C83"/>
    <w:rsid w:val="00CC65DA"/>
    <w:rsid w:val="00CD2A7A"/>
    <w:rsid w:val="00CD2B11"/>
    <w:rsid w:val="00CD6E51"/>
    <w:rsid w:val="00CE58D6"/>
    <w:rsid w:val="00CE638D"/>
    <w:rsid w:val="00CF6F72"/>
    <w:rsid w:val="00D0397F"/>
    <w:rsid w:val="00D06EC4"/>
    <w:rsid w:val="00D10A07"/>
    <w:rsid w:val="00D1221E"/>
    <w:rsid w:val="00D12929"/>
    <w:rsid w:val="00D12D9F"/>
    <w:rsid w:val="00D13907"/>
    <w:rsid w:val="00D146C7"/>
    <w:rsid w:val="00D2012B"/>
    <w:rsid w:val="00D23B49"/>
    <w:rsid w:val="00D2505D"/>
    <w:rsid w:val="00D30227"/>
    <w:rsid w:val="00D33FF0"/>
    <w:rsid w:val="00D34AC5"/>
    <w:rsid w:val="00D37C55"/>
    <w:rsid w:val="00D42309"/>
    <w:rsid w:val="00D46934"/>
    <w:rsid w:val="00D518B4"/>
    <w:rsid w:val="00D5251B"/>
    <w:rsid w:val="00D55F8B"/>
    <w:rsid w:val="00D61D3D"/>
    <w:rsid w:val="00D62E49"/>
    <w:rsid w:val="00D649A5"/>
    <w:rsid w:val="00D64AE2"/>
    <w:rsid w:val="00D652E5"/>
    <w:rsid w:val="00D76D9D"/>
    <w:rsid w:val="00D77313"/>
    <w:rsid w:val="00D77B88"/>
    <w:rsid w:val="00D81A6D"/>
    <w:rsid w:val="00D81C82"/>
    <w:rsid w:val="00D82042"/>
    <w:rsid w:val="00D821E1"/>
    <w:rsid w:val="00D94FA3"/>
    <w:rsid w:val="00D950FF"/>
    <w:rsid w:val="00DA0944"/>
    <w:rsid w:val="00DA170D"/>
    <w:rsid w:val="00DA67E6"/>
    <w:rsid w:val="00DA68F5"/>
    <w:rsid w:val="00DB24C6"/>
    <w:rsid w:val="00DB68AA"/>
    <w:rsid w:val="00DB7039"/>
    <w:rsid w:val="00DC1965"/>
    <w:rsid w:val="00DC21A2"/>
    <w:rsid w:val="00DC3C63"/>
    <w:rsid w:val="00DC5E58"/>
    <w:rsid w:val="00DC6BE9"/>
    <w:rsid w:val="00DC6C15"/>
    <w:rsid w:val="00DD4165"/>
    <w:rsid w:val="00DD5921"/>
    <w:rsid w:val="00DD692F"/>
    <w:rsid w:val="00DE58E3"/>
    <w:rsid w:val="00DF08A6"/>
    <w:rsid w:val="00DF1BDC"/>
    <w:rsid w:val="00DF205C"/>
    <w:rsid w:val="00DF6573"/>
    <w:rsid w:val="00E01292"/>
    <w:rsid w:val="00E01EF0"/>
    <w:rsid w:val="00E06337"/>
    <w:rsid w:val="00E07520"/>
    <w:rsid w:val="00E11ED8"/>
    <w:rsid w:val="00E35D8F"/>
    <w:rsid w:val="00E361C4"/>
    <w:rsid w:val="00E36970"/>
    <w:rsid w:val="00E43C5E"/>
    <w:rsid w:val="00E44472"/>
    <w:rsid w:val="00E4607E"/>
    <w:rsid w:val="00E50C34"/>
    <w:rsid w:val="00E50CEE"/>
    <w:rsid w:val="00E57035"/>
    <w:rsid w:val="00E5738A"/>
    <w:rsid w:val="00E60BF3"/>
    <w:rsid w:val="00E625F0"/>
    <w:rsid w:val="00E6315E"/>
    <w:rsid w:val="00E651E3"/>
    <w:rsid w:val="00E6546D"/>
    <w:rsid w:val="00E66267"/>
    <w:rsid w:val="00E706C7"/>
    <w:rsid w:val="00E723B0"/>
    <w:rsid w:val="00E851A5"/>
    <w:rsid w:val="00E86177"/>
    <w:rsid w:val="00E93195"/>
    <w:rsid w:val="00E974B6"/>
    <w:rsid w:val="00EA120F"/>
    <w:rsid w:val="00EA3687"/>
    <w:rsid w:val="00EA4515"/>
    <w:rsid w:val="00EA6ECD"/>
    <w:rsid w:val="00EA7A00"/>
    <w:rsid w:val="00EB0A20"/>
    <w:rsid w:val="00EB31FF"/>
    <w:rsid w:val="00EB3E96"/>
    <w:rsid w:val="00EC4692"/>
    <w:rsid w:val="00EC5DB2"/>
    <w:rsid w:val="00EC79E4"/>
    <w:rsid w:val="00ED2FA7"/>
    <w:rsid w:val="00ED4B86"/>
    <w:rsid w:val="00ED60D7"/>
    <w:rsid w:val="00ED6F23"/>
    <w:rsid w:val="00ED71E3"/>
    <w:rsid w:val="00EE2627"/>
    <w:rsid w:val="00EE40AD"/>
    <w:rsid w:val="00EE579A"/>
    <w:rsid w:val="00EE69B8"/>
    <w:rsid w:val="00EE7BE7"/>
    <w:rsid w:val="00EF08BB"/>
    <w:rsid w:val="00EF09D4"/>
    <w:rsid w:val="00EF2F31"/>
    <w:rsid w:val="00EF7217"/>
    <w:rsid w:val="00EF7887"/>
    <w:rsid w:val="00F02106"/>
    <w:rsid w:val="00F03A16"/>
    <w:rsid w:val="00F068F8"/>
    <w:rsid w:val="00F06A8B"/>
    <w:rsid w:val="00F12B81"/>
    <w:rsid w:val="00F15220"/>
    <w:rsid w:val="00F17634"/>
    <w:rsid w:val="00F20F3C"/>
    <w:rsid w:val="00F21667"/>
    <w:rsid w:val="00F265FC"/>
    <w:rsid w:val="00F27ACB"/>
    <w:rsid w:val="00F3084A"/>
    <w:rsid w:val="00F45CCA"/>
    <w:rsid w:val="00F51B90"/>
    <w:rsid w:val="00F55859"/>
    <w:rsid w:val="00F60236"/>
    <w:rsid w:val="00F65519"/>
    <w:rsid w:val="00F656B1"/>
    <w:rsid w:val="00F6592F"/>
    <w:rsid w:val="00F74FBE"/>
    <w:rsid w:val="00F772B6"/>
    <w:rsid w:val="00F80DE3"/>
    <w:rsid w:val="00F83D53"/>
    <w:rsid w:val="00F8416E"/>
    <w:rsid w:val="00F854A7"/>
    <w:rsid w:val="00F8752F"/>
    <w:rsid w:val="00F90C36"/>
    <w:rsid w:val="00F9238C"/>
    <w:rsid w:val="00F93F0D"/>
    <w:rsid w:val="00F95407"/>
    <w:rsid w:val="00F97A6C"/>
    <w:rsid w:val="00FA1324"/>
    <w:rsid w:val="00FA1FD2"/>
    <w:rsid w:val="00FA7E3D"/>
    <w:rsid w:val="00FB0B6A"/>
    <w:rsid w:val="00FB1AF7"/>
    <w:rsid w:val="00FB23BE"/>
    <w:rsid w:val="00FB3C0B"/>
    <w:rsid w:val="00FB5674"/>
    <w:rsid w:val="00FC0109"/>
    <w:rsid w:val="00FC2F13"/>
    <w:rsid w:val="00FC35C6"/>
    <w:rsid w:val="00FC4ECA"/>
    <w:rsid w:val="00FD0C72"/>
    <w:rsid w:val="00FD436D"/>
    <w:rsid w:val="00FD6E2A"/>
    <w:rsid w:val="00FD76D8"/>
    <w:rsid w:val="00FE0EE5"/>
    <w:rsid w:val="00FE56BE"/>
    <w:rsid w:val="00FE6070"/>
    <w:rsid w:val="00FF1C7E"/>
    <w:rsid w:val="00FF2216"/>
    <w:rsid w:val="00FF2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AE260C"/>
  <w15:chartTrackingRefBased/>
  <w15:docId w15:val="{C94226E7-A030-45B7-859A-4BE5BE1B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A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5695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4A0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Romanos,4 Viñ 1nivel,Numeración 1,Cuadrícula media 1 - Énfasis 21,Listas,lp1,prueba1,Bullet List,FooterText,numbered,List Paragraph1,Paragraphe de liste1,Bulletr List Paragraph,列出段落,列出段落1,Cuadros,Lista general"/>
    <w:basedOn w:val="Normal"/>
    <w:link w:val="PrrafodelistaCar"/>
    <w:uiPriority w:val="34"/>
    <w:qFormat/>
    <w:rsid w:val="002F3DA5"/>
    <w:pPr>
      <w:ind w:left="720"/>
      <w:contextualSpacing/>
    </w:pPr>
    <w:rPr>
      <w:rFonts w:ascii="ITC Avant Garde" w:hAnsi="ITC Avant Garde" w:cs="Tahoma"/>
      <w:bCs/>
      <w:lang w:eastAsia="es-MX"/>
    </w:rPr>
  </w:style>
  <w:style w:type="character" w:customStyle="1" w:styleId="PrrafodelistaCar">
    <w:name w:val="Párrafo de lista Car"/>
    <w:aliases w:val="Romanos Car,4 Viñ 1nivel Car,Numeración 1 Car,Cuadrícula media 1 - Énfasis 21 Car,Listas Car,lp1 Car,prueba1 Car,Bullet List Car,FooterText Car,numbered Car,List Paragraph1 Car,Paragraphe de liste1 Car,Bulletr List Paragraph Car"/>
    <w:link w:val="Prrafodelista"/>
    <w:uiPriority w:val="34"/>
    <w:qFormat/>
    <w:locked/>
    <w:rsid w:val="002F3DA5"/>
    <w:rPr>
      <w:rFonts w:ascii="ITC Avant Garde" w:eastAsia="Calibri" w:hAnsi="ITC Avant Garde" w:cs="Tahoma"/>
      <w:bCs/>
      <w:lang w:eastAsia="es-MX"/>
    </w:rPr>
  </w:style>
  <w:style w:type="paragraph" w:customStyle="1" w:styleId="Default">
    <w:name w:val="Default"/>
    <w:rsid w:val="002F3DA5"/>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39"/>
    <w:rsid w:val="00F65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0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057"/>
    <w:rPr>
      <w:rFonts w:ascii="Segoe UI" w:eastAsia="Calibri" w:hAnsi="Segoe UI" w:cs="Segoe UI"/>
      <w:sz w:val="18"/>
      <w:szCs w:val="18"/>
    </w:rPr>
  </w:style>
  <w:style w:type="paragraph" w:styleId="TDC3">
    <w:name w:val="toc 3"/>
    <w:basedOn w:val="TDC2"/>
    <w:next w:val="Normal"/>
    <w:autoRedefine/>
    <w:uiPriority w:val="39"/>
    <w:unhideWhenUsed/>
    <w:rsid w:val="00FD436D"/>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FD436D"/>
    <w:pPr>
      <w:spacing w:after="100"/>
      <w:ind w:left="220"/>
    </w:pPr>
  </w:style>
  <w:style w:type="paragraph" w:styleId="Encabezado">
    <w:name w:val="header"/>
    <w:basedOn w:val="Normal"/>
    <w:link w:val="EncabezadoCar"/>
    <w:uiPriority w:val="99"/>
    <w:unhideWhenUsed/>
    <w:rsid w:val="00562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244"/>
    <w:rPr>
      <w:rFonts w:ascii="Calibri" w:eastAsia="Calibri" w:hAnsi="Calibri" w:cs="Times New Roman"/>
    </w:rPr>
  </w:style>
  <w:style w:type="paragraph" w:styleId="Piedepgina">
    <w:name w:val="footer"/>
    <w:basedOn w:val="Normal"/>
    <w:link w:val="PiedepginaCar"/>
    <w:uiPriority w:val="99"/>
    <w:unhideWhenUsed/>
    <w:rsid w:val="00562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244"/>
    <w:rPr>
      <w:rFonts w:ascii="Calibri" w:eastAsia="Calibri" w:hAnsi="Calibri" w:cs="Times New Roman"/>
    </w:rPr>
  </w:style>
  <w:style w:type="character" w:styleId="Refdecomentario">
    <w:name w:val="annotation reference"/>
    <w:basedOn w:val="Fuentedeprrafopredeter"/>
    <w:uiPriority w:val="99"/>
    <w:semiHidden/>
    <w:unhideWhenUsed/>
    <w:rsid w:val="00233F64"/>
    <w:rPr>
      <w:sz w:val="16"/>
      <w:szCs w:val="16"/>
    </w:rPr>
  </w:style>
  <w:style w:type="paragraph" w:styleId="Textocomentario">
    <w:name w:val="annotation text"/>
    <w:basedOn w:val="Normal"/>
    <w:link w:val="TextocomentarioCar"/>
    <w:uiPriority w:val="99"/>
    <w:unhideWhenUsed/>
    <w:rsid w:val="00233F64"/>
    <w:pPr>
      <w:spacing w:line="240" w:lineRule="auto"/>
    </w:pPr>
    <w:rPr>
      <w:sz w:val="20"/>
      <w:szCs w:val="20"/>
    </w:rPr>
  </w:style>
  <w:style w:type="character" w:customStyle="1" w:styleId="TextocomentarioCar">
    <w:name w:val="Texto comentario Car"/>
    <w:basedOn w:val="Fuentedeprrafopredeter"/>
    <w:link w:val="Textocomentario"/>
    <w:uiPriority w:val="99"/>
    <w:rsid w:val="00233F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3F64"/>
    <w:rPr>
      <w:b/>
      <w:bCs/>
    </w:rPr>
  </w:style>
  <w:style w:type="character" w:customStyle="1" w:styleId="AsuntodelcomentarioCar">
    <w:name w:val="Asunto del comentario Car"/>
    <w:basedOn w:val="TextocomentarioCar"/>
    <w:link w:val="Asuntodelcomentario"/>
    <w:uiPriority w:val="99"/>
    <w:semiHidden/>
    <w:rsid w:val="00233F64"/>
    <w:rPr>
      <w:rFonts w:ascii="Calibri" w:eastAsia="Calibri" w:hAnsi="Calibri" w:cs="Times New Roman"/>
      <w:b/>
      <w:bCs/>
      <w:sz w:val="20"/>
      <w:szCs w:val="20"/>
    </w:rPr>
  </w:style>
  <w:style w:type="paragraph" w:customStyle="1" w:styleId="ROMANOS">
    <w:name w:val="ROMANOS"/>
    <w:basedOn w:val="Normal"/>
    <w:link w:val="ROMANOSCar"/>
    <w:rsid w:val="001156DF"/>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1156DF"/>
    <w:rPr>
      <w:rFonts w:ascii="Arial" w:eastAsia="Times New Roman" w:hAnsi="Arial" w:cs="Arial"/>
      <w:sz w:val="18"/>
      <w:szCs w:val="18"/>
      <w:lang w:eastAsia="es-ES"/>
    </w:rPr>
  </w:style>
  <w:style w:type="character" w:styleId="Textoennegrita">
    <w:name w:val="Strong"/>
    <w:basedOn w:val="Fuentedeprrafopredeter"/>
    <w:uiPriority w:val="22"/>
    <w:qFormat/>
    <w:rsid w:val="00B84C3F"/>
    <w:rPr>
      <w:b/>
      <w:bCs/>
    </w:rPr>
  </w:style>
  <w:style w:type="character" w:customStyle="1" w:styleId="Ttulo1Car">
    <w:name w:val="Título 1 Car"/>
    <w:basedOn w:val="Fuentedeprrafopredeter"/>
    <w:link w:val="Ttulo1"/>
    <w:uiPriority w:val="9"/>
    <w:rsid w:val="00456950"/>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semiHidden/>
    <w:rsid w:val="004A0D13"/>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D146C7"/>
    <w:pPr>
      <w:spacing w:after="160" w:line="259" w:lineRule="auto"/>
    </w:pPr>
    <w:rPr>
      <w:rFonts w:asciiTheme="minorHAnsi" w:eastAsiaTheme="minorHAnsi" w:hAnsiTheme="minorHAnsi" w:cstheme="minorBidi"/>
      <w:lang w:eastAsia="es-MX"/>
    </w:rPr>
  </w:style>
  <w:style w:type="character" w:customStyle="1" w:styleId="TextonotapieCar">
    <w:name w:val="Texto nota pie Car"/>
    <w:basedOn w:val="Fuentedeprrafopredeter"/>
    <w:link w:val="Textonotapie"/>
    <w:uiPriority w:val="99"/>
    <w:semiHidden/>
    <w:rsid w:val="00D146C7"/>
    <w:rPr>
      <w:lang w:eastAsia="es-MX"/>
    </w:rPr>
  </w:style>
  <w:style w:type="character" w:styleId="Refdenotaalpie">
    <w:name w:val="footnote reference"/>
    <w:basedOn w:val="Fuentedeprrafopredeter"/>
    <w:uiPriority w:val="99"/>
    <w:semiHidden/>
    <w:unhideWhenUsed/>
    <w:rsid w:val="00D146C7"/>
    <w:rPr>
      <w:vertAlign w:val="superscript"/>
    </w:rPr>
  </w:style>
  <w:style w:type="character" w:styleId="Hipervnculo">
    <w:name w:val="Hyperlink"/>
    <w:basedOn w:val="Fuentedeprrafopredeter"/>
    <w:uiPriority w:val="99"/>
    <w:unhideWhenUsed/>
    <w:rsid w:val="00D5251B"/>
    <w:rPr>
      <w:color w:val="0000FF"/>
      <w:u w:val="single"/>
    </w:rPr>
  </w:style>
  <w:style w:type="character" w:styleId="nfasis">
    <w:name w:val="Emphasis"/>
    <w:basedOn w:val="Fuentedeprrafopredeter"/>
    <w:uiPriority w:val="20"/>
    <w:qFormat/>
    <w:rsid w:val="00A84D98"/>
    <w:rPr>
      <w:i/>
      <w:iCs/>
    </w:rPr>
  </w:style>
  <w:style w:type="paragraph" w:styleId="NormalWeb">
    <w:name w:val="Normal (Web)"/>
    <w:basedOn w:val="Normal"/>
    <w:uiPriority w:val="99"/>
    <w:semiHidden/>
    <w:unhideWhenUsed/>
    <w:rsid w:val="00723711"/>
    <w:pPr>
      <w:spacing w:after="150" w:line="240" w:lineRule="auto"/>
    </w:pPr>
    <w:rPr>
      <w:rFonts w:ascii="Times New Roman" w:eastAsia="Times New Roman" w:hAnsi="Times New Roman"/>
      <w:sz w:val="24"/>
      <w:szCs w:val="24"/>
      <w:lang w:eastAsia="es-MX"/>
    </w:rPr>
  </w:style>
  <w:style w:type="paragraph" w:styleId="Revisin">
    <w:name w:val="Revision"/>
    <w:hidden/>
    <w:uiPriority w:val="99"/>
    <w:semiHidden/>
    <w:rsid w:val="00A05DC4"/>
    <w:pPr>
      <w:spacing w:after="0" w:line="240" w:lineRule="auto"/>
    </w:pPr>
    <w:rPr>
      <w:rFonts w:ascii="Calibri" w:eastAsia="Calibri" w:hAnsi="Calibri" w:cs="Times New Roman"/>
    </w:rPr>
  </w:style>
  <w:style w:type="paragraph" w:customStyle="1" w:styleId="ANOTACION">
    <w:name w:val="ANOTACION"/>
    <w:basedOn w:val="Normal"/>
    <w:link w:val="ANOTACIONCar"/>
    <w:rsid w:val="004A1192"/>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link w:val="TextoCar"/>
    <w:rsid w:val="004A1192"/>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A1192"/>
    <w:rPr>
      <w:rFonts w:ascii="Arial" w:eastAsia="Times New Roman" w:hAnsi="Arial" w:cs="Arial"/>
      <w:sz w:val="18"/>
      <w:szCs w:val="20"/>
      <w:lang w:eastAsia="es-ES"/>
    </w:rPr>
  </w:style>
  <w:style w:type="character" w:customStyle="1" w:styleId="ANOTACIONCar">
    <w:name w:val="ANOTACION Car"/>
    <w:link w:val="ANOTACION"/>
    <w:locked/>
    <w:rsid w:val="004A1192"/>
    <w:rPr>
      <w:rFonts w:ascii="CG Palacio (WN)" w:eastAsia="Times New Roman" w:hAnsi="CG Palacio (WN)" w:cs="CG Palacio (WN)"/>
      <w:b/>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596">
      <w:bodyDiv w:val="1"/>
      <w:marLeft w:val="0"/>
      <w:marRight w:val="0"/>
      <w:marTop w:val="0"/>
      <w:marBottom w:val="0"/>
      <w:divBdr>
        <w:top w:val="none" w:sz="0" w:space="0" w:color="auto"/>
        <w:left w:val="none" w:sz="0" w:space="0" w:color="auto"/>
        <w:bottom w:val="none" w:sz="0" w:space="0" w:color="auto"/>
        <w:right w:val="none" w:sz="0" w:space="0" w:color="auto"/>
      </w:divBdr>
    </w:div>
    <w:div w:id="27686477">
      <w:bodyDiv w:val="1"/>
      <w:marLeft w:val="0"/>
      <w:marRight w:val="0"/>
      <w:marTop w:val="0"/>
      <w:marBottom w:val="0"/>
      <w:divBdr>
        <w:top w:val="none" w:sz="0" w:space="0" w:color="auto"/>
        <w:left w:val="none" w:sz="0" w:space="0" w:color="auto"/>
        <w:bottom w:val="none" w:sz="0" w:space="0" w:color="auto"/>
        <w:right w:val="none" w:sz="0" w:space="0" w:color="auto"/>
      </w:divBdr>
    </w:div>
    <w:div w:id="152649282">
      <w:bodyDiv w:val="1"/>
      <w:marLeft w:val="0"/>
      <w:marRight w:val="0"/>
      <w:marTop w:val="0"/>
      <w:marBottom w:val="0"/>
      <w:divBdr>
        <w:top w:val="none" w:sz="0" w:space="0" w:color="auto"/>
        <w:left w:val="none" w:sz="0" w:space="0" w:color="auto"/>
        <w:bottom w:val="none" w:sz="0" w:space="0" w:color="auto"/>
        <w:right w:val="none" w:sz="0" w:space="0" w:color="auto"/>
      </w:divBdr>
    </w:div>
    <w:div w:id="171067912">
      <w:bodyDiv w:val="1"/>
      <w:marLeft w:val="0"/>
      <w:marRight w:val="0"/>
      <w:marTop w:val="0"/>
      <w:marBottom w:val="0"/>
      <w:divBdr>
        <w:top w:val="none" w:sz="0" w:space="0" w:color="auto"/>
        <w:left w:val="none" w:sz="0" w:space="0" w:color="auto"/>
        <w:bottom w:val="none" w:sz="0" w:space="0" w:color="auto"/>
        <w:right w:val="none" w:sz="0" w:space="0" w:color="auto"/>
      </w:divBdr>
    </w:div>
    <w:div w:id="441190588">
      <w:bodyDiv w:val="1"/>
      <w:marLeft w:val="0"/>
      <w:marRight w:val="0"/>
      <w:marTop w:val="0"/>
      <w:marBottom w:val="0"/>
      <w:divBdr>
        <w:top w:val="none" w:sz="0" w:space="0" w:color="auto"/>
        <w:left w:val="none" w:sz="0" w:space="0" w:color="auto"/>
        <w:bottom w:val="none" w:sz="0" w:space="0" w:color="auto"/>
        <w:right w:val="none" w:sz="0" w:space="0" w:color="auto"/>
      </w:divBdr>
    </w:div>
    <w:div w:id="638146500">
      <w:bodyDiv w:val="1"/>
      <w:marLeft w:val="0"/>
      <w:marRight w:val="0"/>
      <w:marTop w:val="0"/>
      <w:marBottom w:val="0"/>
      <w:divBdr>
        <w:top w:val="none" w:sz="0" w:space="0" w:color="auto"/>
        <w:left w:val="none" w:sz="0" w:space="0" w:color="auto"/>
        <w:bottom w:val="none" w:sz="0" w:space="0" w:color="auto"/>
        <w:right w:val="none" w:sz="0" w:space="0" w:color="auto"/>
      </w:divBdr>
    </w:div>
    <w:div w:id="652175294">
      <w:bodyDiv w:val="1"/>
      <w:marLeft w:val="0"/>
      <w:marRight w:val="0"/>
      <w:marTop w:val="0"/>
      <w:marBottom w:val="0"/>
      <w:divBdr>
        <w:top w:val="none" w:sz="0" w:space="0" w:color="auto"/>
        <w:left w:val="none" w:sz="0" w:space="0" w:color="auto"/>
        <w:bottom w:val="none" w:sz="0" w:space="0" w:color="auto"/>
        <w:right w:val="none" w:sz="0" w:space="0" w:color="auto"/>
      </w:divBdr>
    </w:div>
    <w:div w:id="860751803">
      <w:bodyDiv w:val="1"/>
      <w:marLeft w:val="0"/>
      <w:marRight w:val="0"/>
      <w:marTop w:val="0"/>
      <w:marBottom w:val="0"/>
      <w:divBdr>
        <w:top w:val="none" w:sz="0" w:space="0" w:color="auto"/>
        <w:left w:val="none" w:sz="0" w:space="0" w:color="auto"/>
        <w:bottom w:val="none" w:sz="0" w:space="0" w:color="auto"/>
        <w:right w:val="none" w:sz="0" w:space="0" w:color="auto"/>
      </w:divBdr>
    </w:div>
    <w:div w:id="909122272">
      <w:bodyDiv w:val="1"/>
      <w:marLeft w:val="0"/>
      <w:marRight w:val="0"/>
      <w:marTop w:val="0"/>
      <w:marBottom w:val="0"/>
      <w:divBdr>
        <w:top w:val="none" w:sz="0" w:space="0" w:color="auto"/>
        <w:left w:val="none" w:sz="0" w:space="0" w:color="auto"/>
        <w:bottom w:val="none" w:sz="0" w:space="0" w:color="auto"/>
        <w:right w:val="none" w:sz="0" w:space="0" w:color="auto"/>
      </w:divBdr>
    </w:div>
    <w:div w:id="930894552">
      <w:bodyDiv w:val="1"/>
      <w:marLeft w:val="0"/>
      <w:marRight w:val="0"/>
      <w:marTop w:val="0"/>
      <w:marBottom w:val="0"/>
      <w:divBdr>
        <w:top w:val="none" w:sz="0" w:space="0" w:color="auto"/>
        <w:left w:val="none" w:sz="0" w:space="0" w:color="auto"/>
        <w:bottom w:val="none" w:sz="0" w:space="0" w:color="auto"/>
        <w:right w:val="none" w:sz="0" w:space="0" w:color="auto"/>
      </w:divBdr>
    </w:div>
    <w:div w:id="931475739">
      <w:bodyDiv w:val="1"/>
      <w:marLeft w:val="0"/>
      <w:marRight w:val="0"/>
      <w:marTop w:val="0"/>
      <w:marBottom w:val="0"/>
      <w:divBdr>
        <w:top w:val="none" w:sz="0" w:space="0" w:color="auto"/>
        <w:left w:val="none" w:sz="0" w:space="0" w:color="auto"/>
        <w:bottom w:val="none" w:sz="0" w:space="0" w:color="auto"/>
        <w:right w:val="none" w:sz="0" w:space="0" w:color="auto"/>
      </w:divBdr>
    </w:div>
    <w:div w:id="1008948017">
      <w:bodyDiv w:val="1"/>
      <w:marLeft w:val="0"/>
      <w:marRight w:val="0"/>
      <w:marTop w:val="0"/>
      <w:marBottom w:val="0"/>
      <w:divBdr>
        <w:top w:val="none" w:sz="0" w:space="0" w:color="auto"/>
        <w:left w:val="none" w:sz="0" w:space="0" w:color="auto"/>
        <w:bottom w:val="none" w:sz="0" w:space="0" w:color="auto"/>
        <w:right w:val="none" w:sz="0" w:space="0" w:color="auto"/>
      </w:divBdr>
      <w:divsChild>
        <w:div w:id="1401444037">
          <w:marLeft w:val="0"/>
          <w:marRight w:val="0"/>
          <w:marTop w:val="0"/>
          <w:marBottom w:val="101"/>
          <w:divBdr>
            <w:top w:val="none" w:sz="0" w:space="0" w:color="auto"/>
            <w:left w:val="none" w:sz="0" w:space="0" w:color="auto"/>
            <w:bottom w:val="none" w:sz="0" w:space="0" w:color="auto"/>
            <w:right w:val="none" w:sz="0" w:space="0" w:color="auto"/>
          </w:divBdr>
        </w:div>
        <w:div w:id="1862696313">
          <w:marLeft w:val="0"/>
          <w:marRight w:val="0"/>
          <w:marTop w:val="0"/>
          <w:marBottom w:val="101"/>
          <w:divBdr>
            <w:top w:val="none" w:sz="0" w:space="0" w:color="auto"/>
            <w:left w:val="none" w:sz="0" w:space="0" w:color="auto"/>
            <w:bottom w:val="none" w:sz="0" w:space="0" w:color="auto"/>
            <w:right w:val="none" w:sz="0" w:space="0" w:color="auto"/>
          </w:divBdr>
        </w:div>
      </w:divsChild>
    </w:div>
    <w:div w:id="15137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gov/regulatory-policy/Recommendation%20with%20cover%20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709D-4C97-48EF-8A66-D717BA8E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4349</Words>
  <Characters>22966</Characters>
  <Application>Microsoft Office Word</Application>
  <DocSecurity>0</DocSecurity>
  <Lines>560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Sanchez Alquicira</dc:creator>
  <cp:keywords/>
  <dc:description/>
  <cp:lastModifiedBy>Alexis Pina Vega</cp:lastModifiedBy>
  <cp:revision>2</cp:revision>
  <cp:lastPrinted>2019-08-07T22:26:00Z</cp:lastPrinted>
  <dcterms:created xsi:type="dcterms:W3CDTF">2019-12-04T19:57:00Z</dcterms:created>
  <dcterms:modified xsi:type="dcterms:W3CDTF">2019-12-04T19:57:00Z</dcterms:modified>
</cp:coreProperties>
</file>