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3274C" w14:textId="77777777" w:rsidR="00511A10" w:rsidRPr="00EA7B57" w:rsidRDefault="00511A10" w:rsidP="00511A10">
      <w:pPr>
        <w:jc w:val="both"/>
        <w:outlineLvl w:val="0"/>
        <w:rPr>
          <w:rFonts w:ascii="ITC Avant Garde Std Bk" w:hAnsi="ITC Avant Garde Std Bk"/>
          <w:b/>
          <w:sz w:val="20"/>
          <w:szCs w:val="20"/>
        </w:rPr>
      </w:pPr>
      <w:bookmarkStart w:id="0" w:name="_GoBack"/>
      <w:bookmarkEnd w:id="0"/>
      <w:r w:rsidRPr="00EA7B57">
        <w:rPr>
          <w:rFonts w:ascii="ITC Avant Garde Std Bk" w:hAnsi="ITC Avant Garde Std Bk"/>
          <w:b/>
          <w:sz w:val="20"/>
          <w:szCs w:val="20"/>
        </w:rPr>
        <w:t xml:space="preserve">ACUERDO </w:t>
      </w:r>
      <w:r w:rsidR="00BE60F5">
        <w:rPr>
          <w:rFonts w:ascii="ITC Avant Garde Std Bk" w:hAnsi="ITC Avant Garde Std Bk"/>
          <w:b/>
          <w:sz w:val="20"/>
          <w:szCs w:val="20"/>
        </w:rPr>
        <w:t>MEDIANTE EL CUAL</w:t>
      </w:r>
      <w:r w:rsidRPr="00EA7B57">
        <w:rPr>
          <w:rFonts w:ascii="ITC Avant Garde Std Bk" w:hAnsi="ITC Avant Garde Std Bk"/>
          <w:b/>
          <w:sz w:val="20"/>
          <w:szCs w:val="20"/>
        </w:rPr>
        <w:t xml:space="preserve"> </w:t>
      </w:r>
      <w:r w:rsidR="00214863">
        <w:rPr>
          <w:rFonts w:ascii="ITC Avant Garde Std Bk" w:hAnsi="ITC Avant Garde Std Bk"/>
          <w:b/>
          <w:sz w:val="20"/>
          <w:szCs w:val="20"/>
        </w:rPr>
        <w:t xml:space="preserve">EL </w:t>
      </w:r>
      <w:r w:rsidRPr="00EA7B57">
        <w:rPr>
          <w:rFonts w:ascii="ITC Avant Garde Std Bk" w:hAnsi="ITC Avant Garde Std Bk"/>
          <w:b/>
          <w:sz w:val="20"/>
          <w:szCs w:val="20"/>
        </w:rPr>
        <w:t xml:space="preserve">PLENO DEL INSTITUTO FEDERAL DE TELECOMUNICACIONES </w:t>
      </w:r>
      <w:r w:rsidR="002B0F74">
        <w:rPr>
          <w:rFonts w:ascii="ITC Avant Garde Std Bk" w:hAnsi="ITC Avant Garde Std Bk"/>
          <w:b/>
          <w:sz w:val="20"/>
          <w:szCs w:val="20"/>
        </w:rPr>
        <w:t xml:space="preserve">APRUEBA Y </w:t>
      </w:r>
      <w:r w:rsidR="008317C0">
        <w:rPr>
          <w:rFonts w:ascii="ITC Avant Garde Std Bk" w:hAnsi="ITC Avant Garde Std Bk"/>
          <w:b/>
          <w:sz w:val="20"/>
          <w:szCs w:val="20"/>
        </w:rPr>
        <w:t xml:space="preserve">EMITE LOS </w:t>
      </w:r>
      <w:r w:rsidRPr="00EA7B57">
        <w:rPr>
          <w:rFonts w:ascii="ITC Avant Garde Std Bk" w:hAnsi="ITC Avant Garde Std Bk"/>
          <w:b/>
          <w:sz w:val="20"/>
          <w:szCs w:val="20"/>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p>
    <w:p w14:paraId="06F74B88" w14:textId="77777777" w:rsidR="00511A10" w:rsidRDefault="00511A10" w:rsidP="00511A10">
      <w:pPr>
        <w:outlineLvl w:val="0"/>
        <w:rPr>
          <w:rFonts w:ascii="ITC Avant Garde Std Bk" w:hAnsi="ITC Avant Garde Std Bk"/>
          <w:b/>
          <w:sz w:val="20"/>
          <w:szCs w:val="20"/>
        </w:rPr>
      </w:pPr>
    </w:p>
    <w:p w14:paraId="5819475E" w14:textId="77777777" w:rsidR="00511A10" w:rsidRDefault="00511A10" w:rsidP="00511A10">
      <w:pPr>
        <w:outlineLvl w:val="0"/>
        <w:rPr>
          <w:rFonts w:ascii="ITC Avant Garde Std Bk" w:hAnsi="ITC Avant Garde Std Bk"/>
          <w:b/>
          <w:sz w:val="20"/>
          <w:szCs w:val="20"/>
        </w:rPr>
      </w:pPr>
    </w:p>
    <w:p w14:paraId="5CD3CC5F" w14:textId="77777777" w:rsidR="00511A10" w:rsidRPr="00EA7B57" w:rsidRDefault="00511A10" w:rsidP="00511A10">
      <w:pPr>
        <w:outlineLvl w:val="0"/>
        <w:rPr>
          <w:rFonts w:ascii="ITC Avant Garde Std Bk" w:hAnsi="ITC Avant Garde Std Bk"/>
          <w:b/>
          <w:sz w:val="20"/>
          <w:szCs w:val="20"/>
        </w:rPr>
      </w:pPr>
    </w:p>
    <w:p w14:paraId="44542F94" w14:textId="77777777" w:rsidR="00511A10" w:rsidRPr="00EA7B57" w:rsidRDefault="00511A10" w:rsidP="00511A10">
      <w:pPr>
        <w:spacing w:line="240" w:lineRule="auto"/>
        <w:jc w:val="center"/>
        <w:outlineLvl w:val="0"/>
        <w:rPr>
          <w:rFonts w:ascii="ITC Avant Garde Std Bk" w:hAnsi="ITC Avant Garde Std Bk"/>
          <w:b/>
          <w:sz w:val="20"/>
          <w:szCs w:val="20"/>
        </w:rPr>
      </w:pPr>
      <w:r w:rsidRPr="00EA7B57">
        <w:rPr>
          <w:rFonts w:ascii="ITC Avant Garde Std Bk" w:hAnsi="ITC Avant Garde Std Bk"/>
          <w:b/>
          <w:sz w:val="20"/>
          <w:szCs w:val="20"/>
        </w:rPr>
        <w:t>A N T E C E D E N T E S</w:t>
      </w:r>
    </w:p>
    <w:p w14:paraId="6CB21D26" w14:textId="77777777" w:rsidR="00511A10" w:rsidRPr="00EA7B57" w:rsidRDefault="00511A10" w:rsidP="00511A10">
      <w:pPr>
        <w:spacing w:line="240" w:lineRule="auto"/>
        <w:jc w:val="center"/>
        <w:outlineLvl w:val="0"/>
        <w:rPr>
          <w:rFonts w:ascii="ITC Avant Garde Std Bk" w:hAnsi="ITC Avant Garde Std Bk"/>
          <w:b/>
          <w:sz w:val="20"/>
          <w:szCs w:val="20"/>
        </w:rPr>
      </w:pPr>
    </w:p>
    <w:p w14:paraId="08153996" w14:textId="77777777" w:rsidR="00511A10" w:rsidRPr="00EA7B57" w:rsidRDefault="00511A10" w:rsidP="00511A10">
      <w:pPr>
        <w:spacing w:line="240" w:lineRule="auto"/>
        <w:jc w:val="center"/>
        <w:outlineLvl w:val="0"/>
        <w:rPr>
          <w:rFonts w:ascii="ITC Avant Garde Std Bk" w:hAnsi="ITC Avant Garde Std Bk"/>
          <w:b/>
          <w:sz w:val="20"/>
          <w:szCs w:val="20"/>
        </w:rPr>
      </w:pPr>
    </w:p>
    <w:p w14:paraId="314EEFDB" w14:textId="29065A82" w:rsidR="00511A10" w:rsidRPr="00EA7B57" w:rsidRDefault="00511A10" w:rsidP="00511A10">
      <w:pPr>
        <w:pStyle w:val="Prrafodelista"/>
        <w:numPr>
          <w:ilvl w:val="0"/>
          <w:numId w:val="1"/>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Con fecha 11 de junio de 2013, se publicó en el Diario Oficial de la Federación (en lo sucesivo “DOF”) el “Decreto por el que se reforman y adicionan diversas disposiciones de los artículos 6o., 7o., 27, 28, 73, 78, 94 y 105 de la Constitución Política de los Estados Unidos Mexicanos, en materia de telecomunicaciones”</w:t>
      </w:r>
      <w:r w:rsidR="00632721">
        <w:rPr>
          <w:rFonts w:ascii="ITC Avant Garde Std Bk" w:eastAsia="Times New Roman" w:hAnsi="ITC Avant Garde Std Bk"/>
          <w:sz w:val="20"/>
          <w:szCs w:val="20"/>
        </w:rPr>
        <w:t>,</w:t>
      </w:r>
      <w:r w:rsidRPr="00EA7B57">
        <w:rPr>
          <w:rFonts w:ascii="ITC Avant Garde Std Bk" w:eastAsia="Times New Roman" w:hAnsi="ITC Avant Garde Std Bk"/>
          <w:sz w:val="20"/>
          <w:szCs w:val="20"/>
        </w:rPr>
        <w:t xml:space="preserve"> mediante el cual se creó al Instituto Federal de Telecomunicaciones (en lo sucesivo, el “Instituto”) como un órgano autónomo, con personalidad jurídica y patrimonio propios.</w:t>
      </w:r>
    </w:p>
    <w:p w14:paraId="3C547F86" w14:textId="77777777" w:rsidR="00511A10" w:rsidRPr="00EA7B57" w:rsidRDefault="00511A10" w:rsidP="00511A10">
      <w:pPr>
        <w:pStyle w:val="Prrafodelista"/>
        <w:spacing w:line="240" w:lineRule="auto"/>
        <w:ind w:left="142"/>
        <w:jc w:val="both"/>
        <w:rPr>
          <w:rFonts w:ascii="ITC Avant Garde Std Bk" w:eastAsia="Times New Roman" w:hAnsi="ITC Avant Garde Std Bk"/>
          <w:sz w:val="20"/>
          <w:szCs w:val="20"/>
        </w:rPr>
      </w:pPr>
    </w:p>
    <w:p w14:paraId="10ACFECA" w14:textId="73CAEF03" w:rsidR="00511A10" w:rsidRPr="00884668" w:rsidRDefault="00511A10" w:rsidP="00511A10">
      <w:pPr>
        <w:pStyle w:val="Prrafodelista"/>
        <w:numPr>
          <w:ilvl w:val="0"/>
          <w:numId w:val="1"/>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El 23 de mayo de 2014, se publicó en el DOF la Ley Federal de Competencia Económica (en lo sucesivo, la “LFCE”), la cual establece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w:t>
      </w:r>
      <w:r w:rsidRPr="004C63A5">
        <w:rPr>
          <w:rFonts w:ascii="ITC Avant Garde Std Bk" w:eastAsia="Times New Roman" w:hAnsi="ITC Avant Garde Std Bk"/>
          <w:sz w:val="20"/>
          <w:szCs w:val="20"/>
        </w:rPr>
        <w:t>la Comisión Federal de Competencia Económica</w:t>
      </w:r>
      <w:r w:rsidRPr="00884668">
        <w:rPr>
          <w:rFonts w:ascii="ITC Avant Garde Std Bk" w:eastAsia="Times New Roman" w:hAnsi="ITC Avant Garde Std Bk"/>
          <w:sz w:val="20"/>
          <w:szCs w:val="20"/>
        </w:rPr>
        <w:t>.</w:t>
      </w:r>
    </w:p>
    <w:p w14:paraId="57B74D52" w14:textId="77777777" w:rsidR="00511A10" w:rsidRPr="00EA7B57" w:rsidRDefault="00511A10" w:rsidP="00511A10">
      <w:pPr>
        <w:pStyle w:val="Prrafodelista"/>
        <w:spacing w:line="240" w:lineRule="auto"/>
        <w:rPr>
          <w:rFonts w:ascii="ITC Avant Garde Std Bk" w:eastAsia="Times New Roman" w:hAnsi="ITC Avant Garde Std Bk"/>
          <w:sz w:val="20"/>
          <w:szCs w:val="20"/>
        </w:rPr>
      </w:pPr>
    </w:p>
    <w:p w14:paraId="2E1E16A3" w14:textId="4B40325C" w:rsidR="00511A10" w:rsidRPr="00EA7B57" w:rsidRDefault="00511A10" w:rsidP="00511A10">
      <w:pPr>
        <w:pStyle w:val="Prrafodelista"/>
        <w:numPr>
          <w:ilvl w:val="0"/>
          <w:numId w:val="1"/>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Con fecha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DA4663">
        <w:rPr>
          <w:rFonts w:ascii="ITC Avant Garde Std Bk" w:eastAsia="Times New Roman" w:hAnsi="ITC Avant Garde Std Bk"/>
          <w:sz w:val="20"/>
          <w:szCs w:val="20"/>
        </w:rPr>
        <w:t>,</w:t>
      </w:r>
      <w:r w:rsidRPr="00EA7B57">
        <w:rPr>
          <w:rFonts w:ascii="ITC Avant Garde Std Bk" w:eastAsia="Times New Roman" w:hAnsi="ITC Avant Garde Std Bk"/>
          <w:sz w:val="20"/>
          <w:szCs w:val="20"/>
        </w:rPr>
        <w:t xml:space="preserve"> el cual, de conformidad con lo señalado por su artículo Primero Transitorio, entró en vigor el 13 de agosto de 2014.</w:t>
      </w:r>
    </w:p>
    <w:p w14:paraId="53572881" w14:textId="77777777" w:rsidR="00511A10" w:rsidRPr="00EA7B57" w:rsidRDefault="00511A10" w:rsidP="00511A10">
      <w:pPr>
        <w:pStyle w:val="Prrafodelista"/>
        <w:spacing w:line="240" w:lineRule="auto"/>
        <w:rPr>
          <w:rFonts w:ascii="ITC Avant Garde Std Bk" w:eastAsia="Times New Roman" w:hAnsi="ITC Avant Garde Std Bk"/>
          <w:sz w:val="20"/>
          <w:szCs w:val="20"/>
        </w:rPr>
      </w:pPr>
    </w:p>
    <w:p w14:paraId="51B9CD08" w14:textId="78D8DF64" w:rsidR="00511A10" w:rsidRPr="00EA7B57" w:rsidRDefault="00511A10" w:rsidP="00511A10">
      <w:pPr>
        <w:pStyle w:val="Prrafodelista"/>
        <w:numPr>
          <w:ilvl w:val="0"/>
          <w:numId w:val="1"/>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Con fecha 4 de septiembre de 2014, se publicó en el DOF el Estatuto Orgánico del Instituto Federal de Telecomunicaciones, mismo que entró en vigor el 26 de septiembre de 2014 y cuya última modificación fue publicada en el referido medio de difusión oficial el 7 de diciembre de 2018.</w:t>
      </w:r>
    </w:p>
    <w:p w14:paraId="5FFB8286" w14:textId="77777777" w:rsidR="00511A10" w:rsidRPr="00F05E63" w:rsidRDefault="00511A10" w:rsidP="00511A10">
      <w:pPr>
        <w:rPr>
          <w:rFonts w:ascii="ITC Avant Garde Std Bk" w:eastAsia="Times New Roman" w:hAnsi="ITC Avant Garde Std Bk"/>
          <w:sz w:val="20"/>
          <w:szCs w:val="20"/>
        </w:rPr>
      </w:pPr>
    </w:p>
    <w:p w14:paraId="4ECB279E" w14:textId="32FEF5B7" w:rsidR="00511A10" w:rsidRPr="00EA7B57" w:rsidRDefault="00511A10" w:rsidP="00511A10">
      <w:pPr>
        <w:pStyle w:val="Prrafodelista"/>
        <w:numPr>
          <w:ilvl w:val="0"/>
          <w:numId w:val="1"/>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Con fecha 11 de mayo de 2017, </w:t>
      </w:r>
      <w:r w:rsidR="005C1AE2">
        <w:rPr>
          <w:rFonts w:ascii="ITC Avant Garde Std Bk" w:eastAsia="Times New Roman" w:hAnsi="ITC Avant Garde Std Bk"/>
          <w:sz w:val="20"/>
          <w:szCs w:val="20"/>
        </w:rPr>
        <w:t xml:space="preserve">el Pleno del Instituto en su XVII Sesión Ordinaria, </w:t>
      </w:r>
      <w:r w:rsidRPr="00EA7B57">
        <w:rPr>
          <w:rFonts w:ascii="ITC Avant Garde Std Bk" w:eastAsia="Times New Roman" w:hAnsi="ITC Avant Garde Std Bk"/>
          <w:sz w:val="20"/>
          <w:szCs w:val="20"/>
        </w:rPr>
        <w:t>mediante Acuerdo P/IFT/110517/225, aprobó someter a consulta pública el “</w:t>
      </w:r>
      <w:r w:rsidRPr="00EA7B57">
        <w:rPr>
          <w:rStyle w:val="Textoennegrita"/>
          <w:rFonts w:ascii="ITC Avant Garde Std Bk" w:hAnsi="ITC Avant Garde Std Bk"/>
          <w:b w:val="0"/>
          <w:sz w:val="20"/>
          <w:szCs w:val="20"/>
          <w:shd w:val="clear" w:color="auto" w:fill="FFFFFF"/>
        </w:rPr>
        <w:t xml:space="preserve">Anteproyecto del Acuerdo por el que 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w:t>
      </w:r>
      <w:r w:rsidRPr="00EA7B57">
        <w:rPr>
          <w:rStyle w:val="Textoennegrita"/>
          <w:rFonts w:ascii="ITC Avant Garde Std Bk" w:hAnsi="ITC Avant Garde Std Bk"/>
          <w:b w:val="0"/>
          <w:sz w:val="20"/>
          <w:szCs w:val="20"/>
          <w:shd w:val="clear" w:color="auto" w:fill="FFFFFF"/>
        </w:rPr>
        <w:lastRenderedPageBreak/>
        <w:t>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EA7B57">
        <w:rPr>
          <w:rFonts w:ascii="ITC Avant Garde Std Bk" w:eastAsia="Times New Roman" w:hAnsi="ITC Avant Garde Std Bk"/>
          <w:sz w:val="20"/>
          <w:szCs w:val="20"/>
        </w:rPr>
        <w:t>; la cual fue publicada en el portal de Internet del Instituto, a efecto de recabar las opiniones, comentarios y aportaciones de cualquier interesado a propósito de las medidas propuestas por el Instituto.</w:t>
      </w:r>
    </w:p>
    <w:p w14:paraId="62BBC98A" w14:textId="77777777" w:rsidR="00511A10" w:rsidRPr="00EA7B57" w:rsidRDefault="00511A10" w:rsidP="00511A10">
      <w:pPr>
        <w:pStyle w:val="Prrafodelista"/>
        <w:spacing w:line="240" w:lineRule="auto"/>
        <w:ind w:left="142"/>
        <w:jc w:val="both"/>
        <w:rPr>
          <w:rFonts w:ascii="ITC Avant Garde Std Bk" w:eastAsia="Times New Roman" w:hAnsi="ITC Avant Garde Std Bk"/>
          <w:sz w:val="20"/>
          <w:szCs w:val="20"/>
        </w:rPr>
      </w:pPr>
    </w:p>
    <w:p w14:paraId="592F979C" w14:textId="7A254704" w:rsidR="00511A10" w:rsidRPr="00EA7B57" w:rsidRDefault="00511A10" w:rsidP="00511A10">
      <w:pPr>
        <w:pStyle w:val="Prrafodelista"/>
        <w:spacing w:line="240" w:lineRule="auto"/>
        <w:ind w:left="142"/>
        <w:jc w:val="both"/>
        <w:rPr>
          <w:rStyle w:val="Textoennegrita"/>
          <w:rFonts w:ascii="ITC Avant Garde Std Bk" w:hAnsi="ITC Avant Garde Std Bk"/>
          <w:b w:val="0"/>
          <w:sz w:val="20"/>
          <w:szCs w:val="20"/>
          <w:shd w:val="clear" w:color="auto" w:fill="FFFFFF"/>
        </w:rPr>
      </w:pPr>
      <w:r w:rsidRPr="00EA7B57">
        <w:rPr>
          <w:rStyle w:val="Textoennegrita"/>
          <w:rFonts w:ascii="ITC Avant Garde Std Bk" w:hAnsi="ITC Avant Garde Std Bk"/>
          <w:b w:val="0"/>
          <w:sz w:val="20"/>
          <w:szCs w:val="20"/>
          <w:shd w:val="clear" w:color="auto" w:fill="FFFFFF"/>
        </w:rPr>
        <w:t>Dicha consulta pública tuvo una vigencia de 60 días naturales, del 29 de mayo al 28 de julio de 2017 y durante dicho período de tiempo fueron recibidos 15 escritos con comentarios, mismos que fueron analizados y tomados en consideración en la elaboración del presente instrumento normativo</w:t>
      </w:r>
      <w:r w:rsidR="00861B7A">
        <w:rPr>
          <w:rStyle w:val="Textoennegrita"/>
          <w:rFonts w:ascii="ITC Avant Garde Std Bk" w:hAnsi="ITC Avant Garde Std Bk"/>
          <w:b w:val="0"/>
          <w:sz w:val="20"/>
          <w:szCs w:val="20"/>
          <w:shd w:val="clear" w:color="auto" w:fill="FFFFFF"/>
        </w:rPr>
        <w:t>.</w:t>
      </w:r>
      <w:r w:rsidRPr="00EA7B57">
        <w:rPr>
          <w:rStyle w:val="Textoennegrita"/>
          <w:rFonts w:ascii="ITC Avant Garde Std Bk" w:hAnsi="ITC Avant Garde Std Bk"/>
          <w:b w:val="0"/>
          <w:sz w:val="20"/>
          <w:szCs w:val="20"/>
          <w:shd w:val="clear" w:color="auto" w:fill="FFFFFF"/>
        </w:rPr>
        <w:t xml:space="preserve"> </w:t>
      </w:r>
    </w:p>
    <w:p w14:paraId="11D82BC5" w14:textId="77777777" w:rsidR="00511A10" w:rsidRPr="00614D01" w:rsidRDefault="00511A10" w:rsidP="00511A10">
      <w:pPr>
        <w:spacing w:line="240" w:lineRule="auto"/>
        <w:jc w:val="both"/>
        <w:rPr>
          <w:rStyle w:val="Textoennegrita"/>
          <w:rFonts w:ascii="ITC Avant Garde Std Bk" w:hAnsi="ITC Avant Garde Std Bk"/>
          <w:b w:val="0"/>
          <w:sz w:val="20"/>
          <w:szCs w:val="20"/>
          <w:shd w:val="clear" w:color="auto" w:fill="FFFFFF"/>
        </w:rPr>
      </w:pPr>
    </w:p>
    <w:p w14:paraId="2D13CDDA" w14:textId="77777777" w:rsidR="00511A10" w:rsidRPr="00EA7B57" w:rsidRDefault="00511A10" w:rsidP="00511A10">
      <w:pPr>
        <w:pStyle w:val="Prrafodelista"/>
        <w:numPr>
          <w:ilvl w:val="0"/>
          <w:numId w:val="1"/>
        </w:numPr>
        <w:spacing w:line="240" w:lineRule="auto"/>
        <w:ind w:left="142" w:hanging="142"/>
        <w:jc w:val="both"/>
        <w:rPr>
          <w:rStyle w:val="Textoennegrita"/>
          <w:rFonts w:ascii="ITC Avant Garde Std Bk" w:hAnsi="ITC Avant Garde Std Bk"/>
          <w:b w:val="0"/>
          <w:sz w:val="20"/>
          <w:szCs w:val="20"/>
          <w:shd w:val="clear" w:color="auto" w:fill="FFFFFF"/>
        </w:rPr>
      </w:pPr>
      <w:r w:rsidRPr="00EA7B57">
        <w:rPr>
          <w:rStyle w:val="Textoennegrita"/>
          <w:rFonts w:ascii="ITC Avant Garde Std Bk" w:hAnsi="ITC Avant Garde Std Bk"/>
          <w:b w:val="0"/>
          <w:sz w:val="20"/>
          <w:szCs w:val="20"/>
          <w:shd w:val="clear" w:color="auto" w:fill="FFFFFF"/>
        </w:rPr>
        <w:t>El 8 de noviembre de 2017, se publicó en el DOF el Acuerdo mediante el cual el Pleno del Instituto Federal de Telecomunicaciones aprueba y emite los Lineamientos de Consulta Pública y Análisis de Impacto Regulatorio del Instituto Federal de Telecomunicaciones (en lo sucesivo, los “Lineamientos de Consulta Pública”), el cual, en términos de lo dispuesto por su artículo Primero Transitorio, entró en vigor el 1 de enero de 2018.</w:t>
      </w:r>
    </w:p>
    <w:p w14:paraId="6BCD0141" w14:textId="77777777" w:rsidR="00511A10" w:rsidRPr="00EA7B57" w:rsidRDefault="00511A10" w:rsidP="00511A10">
      <w:pPr>
        <w:pStyle w:val="Prrafodelista"/>
        <w:spacing w:line="240" w:lineRule="auto"/>
        <w:ind w:left="142"/>
        <w:jc w:val="both"/>
        <w:rPr>
          <w:rStyle w:val="Textoennegrita"/>
          <w:rFonts w:ascii="ITC Avant Garde Std Bk" w:hAnsi="ITC Avant Garde Std Bk"/>
          <w:b w:val="0"/>
          <w:sz w:val="20"/>
          <w:szCs w:val="20"/>
          <w:shd w:val="clear" w:color="auto" w:fill="FFFFFF"/>
        </w:rPr>
      </w:pPr>
    </w:p>
    <w:p w14:paraId="32B60B62" w14:textId="032266FB" w:rsidR="00511A10" w:rsidRPr="00EA7B57" w:rsidRDefault="00511A10" w:rsidP="00511A10">
      <w:pPr>
        <w:pStyle w:val="Prrafodelista"/>
        <w:numPr>
          <w:ilvl w:val="0"/>
          <w:numId w:val="1"/>
        </w:numPr>
        <w:spacing w:line="240" w:lineRule="auto"/>
        <w:ind w:left="142" w:hanging="142"/>
        <w:jc w:val="both"/>
        <w:rPr>
          <w:rStyle w:val="Textoennegrita"/>
          <w:rFonts w:ascii="ITC Avant Garde Std Bk" w:hAnsi="ITC Avant Garde Std Bk"/>
          <w:b w:val="0"/>
          <w:sz w:val="20"/>
          <w:szCs w:val="20"/>
          <w:shd w:val="clear" w:color="auto" w:fill="FFFFFF"/>
        </w:rPr>
      </w:pPr>
      <w:r w:rsidRPr="00EA7B57">
        <w:rPr>
          <w:rStyle w:val="Textoennegrita"/>
          <w:rFonts w:ascii="ITC Avant Garde Std Bk" w:hAnsi="ITC Avant Garde Std Bk"/>
          <w:b w:val="0"/>
          <w:sz w:val="20"/>
          <w:szCs w:val="20"/>
          <w:shd w:val="clear" w:color="auto" w:fill="FFFFFF"/>
        </w:rPr>
        <w:t xml:space="preserve">El 25 de mayo de 2018, </w:t>
      </w:r>
      <w:r w:rsidR="00DA4663">
        <w:rPr>
          <w:rStyle w:val="Textoennegrita"/>
          <w:rFonts w:ascii="ITC Avant Garde Std Bk" w:hAnsi="ITC Avant Garde Std Bk"/>
          <w:b w:val="0"/>
          <w:sz w:val="20"/>
          <w:szCs w:val="20"/>
          <w:shd w:val="clear" w:color="auto" w:fill="FFFFFF"/>
        </w:rPr>
        <w:t xml:space="preserve">el Instituto </w:t>
      </w:r>
      <w:r w:rsidRPr="00EA7B57">
        <w:rPr>
          <w:rStyle w:val="Textoennegrita"/>
          <w:rFonts w:ascii="ITC Avant Garde Std Bk" w:hAnsi="ITC Avant Garde Std Bk"/>
          <w:b w:val="0"/>
          <w:sz w:val="20"/>
          <w:szCs w:val="20"/>
          <w:shd w:val="clear" w:color="auto" w:fill="FFFFFF"/>
        </w:rPr>
        <w:t>inició el Programa de Mejora Administrativa del Instituto Federal de Telecomunicaciones, cuyo objetivo es disminuir la carga 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p w14:paraId="0CDF7051" w14:textId="77777777" w:rsidR="00511A10" w:rsidRPr="00EA7B57" w:rsidRDefault="00511A10" w:rsidP="00511A10">
      <w:pPr>
        <w:pStyle w:val="Prrafodelista"/>
        <w:spacing w:line="240" w:lineRule="auto"/>
        <w:ind w:left="142"/>
        <w:jc w:val="both"/>
        <w:rPr>
          <w:rStyle w:val="Textoennegrita"/>
          <w:rFonts w:ascii="ITC Avant Garde Std Bk" w:hAnsi="ITC Avant Garde Std Bk"/>
          <w:b w:val="0"/>
          <w:sz w:val="20"/>
          <w:szCs w:val="20"/>
          <w:shd w:val="clear" w:color="auto" w:fill="FFFFFF"/>
        </w:rPr>
      </w:pPr>
    </w:p>
    <w:p w14:paraId="72E4925D" w14:textId="066D4100" w:rsidR="0048317A" w:rsidRPr="0048317A" w:rsidRDefault="0048317A" w:rsidP="0048317A">
      <w:pPr>
        <w:pStyle w:val="Prrafodelista"/>
        <w:numPr>
          <w:ilvl w:val="0"/>
          <w:numId w:val="1"/>
        </w:numPr>
        <w:spacing w:line="240" w:lineRule="auto"/>
        <w:ind w:left="142" w:hanging="142"/>
        <w:jc w:val="both"/>
        <w:rPr>
          <w:rStyle w:val="Textoennegrita"/>
          <w:rFonts w:ascii="ITC Avant Garde Std Bk" w:hAnsi="ITC Avant Garde Std Bk"/>
          <w:b w:val="0"/>
          <w:sz w:val="20"/>
          <w:szCs w:val="20"/>
          <w:shd w:val="clear" w:color="auto" w:fill="FFFFFF"/>
        </w:rPr>
      </w:pPr>
      <w:r w:rsidRPr="0048317A">
        <w:rPr>
          <w:rStyle w:val="Textoennegrita"/>
          <w:rFonts w:ascii="ITC Avant Garde Std Bk" w:hAnsi="ITC Avant Garde Std Bk"/>
          <w:b w:val="0"/>
          <w:sz w:val="20"/>
          <w:szCs w:val="20"/>
          <w:shd w:val="clear" w:color="auto" w:fill="FFFFFF"/>
        </w:rPr>
        <w:t xml:space="preserve">Con fecha 21 de agosto de 2019, </w:t>
      </w:r>
      <w:r w:rsidR="005C1AE2" w:rsidRPr="00DF3E24">
        <w:rPr>
          <w:rStyle w:val="Textoennegrita"/>
          <w:rFonts w:ascii="ITC Avant Garde Std Bk" w:hAnsi="ITC Avant Garde Std Bk"/>
          <w:b w:val="0"/>
          <w:sz w:val="20"/>
          <w:szCs w:val="20"/>
          <w:shd w:val="clear" w:color="auto" w:fill="FFFFFF"/>
        </w:rPr>
        <w:t>el Pleno del Instituto</w:t>
      </w:r>
      <w:r w:rsidR="005C1AE2">
        <w:rPr>
          <w:rStyle w:val="Textoennegrita"/>
          <w:rFonts w:ascii="ITC Avant Garde Std Bk" w:hAnsi="ITC Avant Garde Std Bk"/>
          <w:b w:val="0"/>
          <w:sz w:val="20"/>
          <w:szCs w:val="20"/>
          <w:shd w:val="clear" w:color="auto" w:fill="FFFFFF"/>
        </w:rPr>
        <w:t xml:space="preserve"> en su XVIII Sesión Ordinaria</w:t>
      </w:r>
      <w:r w:rsidR="005C1AE2" w:rsidRPr="0048317A">
        <w:rPr>
          <w:rStyle w:val="Textoennegrita"/>
          <w:rFonts w:ascii="ITC Avant Garde Std Bk" w:hAnsi="ITC Avant Garde Std Bk"/>
          <w:b w:val="0"/>
          <w:sz w:val="20"/>
          <w:szCs w:val="20"/>
          <w:shd w:val="clear" w:color="auto" w:fill="FFFFFF"/>
        </w:rPr>
        <w:t xml:space="preserve"> </w:t>
      </w:r>
      <w:r w:rsidRPr="0048317A">
        <w:rPr>
          <w:rStyle w:val="Textoennegrita"/>
          <w:rFonts w:ascii="ITC Avant Garde Std Bk" w:hAnsi="ITC Avant Garde Std Bk"/>
          <w:b w:val="0"/>
          <w:sz w:val="20"/>
          <w:szCs w:val="20"/>
          <w:shd w:val="clear" w:color="auto" w:fill="FFFFFF"/>
        </w:rPr>
        <w:t>mediante Acuerdo P/IFT/210819/39</w:t>
      </w:r>
      <w:r w:rsidR="005C1AE2">
        <w:rPr>
          <w:rStyle w:val="Textoennegrita"/>
          <w:rFonts w:ascii="ITC Avant Garde Std Bk" w:hAnsi="ITC Avant Garde Std Bk"/>
          <w:b w:val="0"/>
          <w:sz w:val="20"/>
          <w:szCs w:val="20"/>
          <w:shd w:val="clear" w:color="auto" w:fill="FFFFFF"/>
        </w:rPr>
        <w:t>8</w:t>
      </w:r>
      <w:r w:rsidRPr="0048317A">
        <w:rPr>
          <w:rStyle w:val="Textoennegrita"/>
          <w:rFonts w:ascii="ITC Avant Garde Std Bk" w:hAnsi="ITC Avant Garde Std Bk"/>
          <w:b w:val="0"/>
          <w:sz w:val="20"/>
          <w:szCs w:val="20"/>
          <w:shd w:val="clear" w:color="auto" w:fill="FFFFFF"/>
        </w:rPr>
        <w:t>, aprobó someter a consulta pública el “Anteproyecto de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00063CEE">
        <w:rPr>
          <w:rStyle w:val="Textoennegrita"/>
          <w:rFonts w:ascii="ITC Avant Garde Std Bk" w:hAnsi="ITC Avant Garde Std Bk"/>
          <w:b w:val="0"/>
          <w:sz w:val="20"/>
          <w:szCs w:val="20"/>
          <w:shd w:val="clear" w:color="auto" w:fill="FFFFFF"/>
        </w:rPr>
        <w:t>,</w:t>
      </w:r>
      <w:r w:rsidRPr="0048317A">
        <w:rPr>
          <w:rStyle w:val="Textoennegrita"/>
          <w:rFonts w:ascii="ITC Avant Garde Std Bk" w:hAnsi="ITC Avant Garde Std Bk"/>
          <w:b w:val="0"/>
          <w:sz w:val="20"/>
          <w:szCs w:val="20"/>
          <w:shd w:val="clear" w:color="auto" w:fill="FFFFFF"/>
        </w:rPr>
        <w:t xml:space="preserve"> la cual fue publicada en el portal de Internet del Instituto, a efecto de recabar las opiniones, comentarios y aportaciones de cualquier interesado a propósito de las medidas propuestas por el Instituto.</w:t>
      </w:r>
    </w:p>
    <w:p w14:paraId="45CFE9CE" w14:textId="77777777" w:rsidR="0048317A" w:rsidRPr="00EA7B57" w:rsidRDefault="0048317A" w:rsidP="0048317A">
      <w:pPr>
        <w:pStyle w:val="Prrafodelista"/>
        <w:spacing w:line="240" w:lineRule="auto"/>
        <w:ind w:left="142"/>
        <w:jc w:val="both"/>
        <w:rPr>
          <w:rFonts w:ascii="ITC Avant Garde Std Bk" w:eastAsia="Times New Roman" w:hAnsi="ITC Avant Garde Std Bk"/>
          <w:sz w:val="20"/>
          <w:szCs w:val="20"/>
        </w:rPr>
      </w:pPr>
    </w:p>
    <w:p w14:paraId="54494C97" w14:textId="74C3FE64" w:rsidR="0048317A" w:rsidRPr="0048317A" w:rsidRDefault="0048317A" w:rsidP="0048317A">
      <w:pPr>
        <w:pStyle w:val="Prrafodelista"/>
        <w:spacing w:line="240" w:lineRule="auto"/>
        <w:ind w:left="142"/>
        <w:jc w:val="both"/>
        <w:rPr>
          <w:rStyle w:val="Textoennegrita"/>
          <w:rFonts w:ascii="ITC Avant Garde Std Bk" w:hAnsi="ITC Avant Garde Std Bk"/>
          <w:b w:val="0"/>
          <w:bCs w:val="0"/>
          <w:sz w:val="20"/>
          <w:szCs w:val="20"/>
          <w:shd w:val="clear" w:color="auto" w:fill="FFFFFF"/>
        </w:rPr>
      </w:pPr>
      <w:r w:rsidRPr="0048317A">
        <w:rPr>
          <w:rStyle w:val="Textoennegrita"/>
          <w:rFonts w:ascii="ITC Avant Garde Std Bk" w:hAnsi="ITC Avant Garde Std Bk"/>
          <w:b w:val="0"/>
          <w:bCs w:val="0"/>
          <w:sz w:val="20"/>
          <w:szCs w:val="20"/>
          <w:shd w:val="clear" w:color="auto" w:fill="FFFFFF"/>
        </w:rPr>
        <w:t>Dicha consulta pública tuvo una vigencia de 30 días hábiles, del 28 de agosto al 9 de octubre de 2019</w:t>
      </w:r>
      <w:r w:rsidRPr="0048317A">
        <w:rPr>
          <w:rFonts w:ascii="ITC Avant Garde Std Bk" w:hAnsi="ITC Avant Garde Std Bk"/>
          <w:b/>
          <w:sz w:val="20"/>
          <w:szCs w:val="20"/>
          <w:shd w:val="clear" w:color="auto" w:fill="FFFFFF"/>
        </w:rPr>
        <w:t xml:space="preserve"> </w:t>
      </w:r>
      <w:r w:rsidRPr="0048317A">
        <w:rPr>
          <w:rStyle w:val="Textoennegrita"/>
          <w:rFonts w:ascii="ITC Avant Garde Std Bk" w:hAnsi="ITC Avant Garde Std Bk"/>
          <w:b w:val="0"/>
          <w:bCs w:val="0"/>
          <w:sz w:val="20"/>
          <w:szCs w:val="20"/>
          <w:shd w:val="clear" w:color="auto" w:fill="FFFFFF"/>
        </w:rPr>
        <w:t xml:space="preserve">y durante dicho período de tiempo fueron recibidos 12 escritos con comentarios que fueron analizados y tomados en consideración en la elaboración del presente instrumento normativo. </w:t>
      </w:r>
    </w:p>
    <w:p w14:paraId="1B0C2502" w14:textId="77777777" w:rsidR="00511A10" w:rsidRPr="00EA7B57" w:rsidRDefault="00511A10" w:rsidP="00511A10">
      <w:pPr>
        <w:spacing w:line="240" w:lineRule="auto"/>
        <w:jc w:val="both"/>
        <w:rPr>
          <w:rStyle w:val="Textoennegrita"/>
          <w:rFonts w:ascii="ITC Avant Garde Std Bk" w:hAnsi="ITC Avant Garde Std Bk"/>
          <w:b w:val="0"/>
          <w:sz w:val="20"/>
          <w:szCs w:val="20"/>
          <w:shd w:val="clear" w:color="auto" w:fill="FFFFFF"/>
        </w:rPr>
      </w:pPr>
    </w:p>
    <w:p w14:paraId="3BF483A3" w14:textId="77777777" w:rsidR="00511A10" w:rsidRPr="00EA7B57" w:rsidRDefault="00511A10" w:rsidP="00511A10">
      <w:pPr>
        <w:spacing w:line="240" w:lineRule="auto"/>
        <w:jc w:val="both"/>
        <w:rPr>
          <w:rStyle w:val="Textoennegrita"/>
          <w:rFonts w:ascii="ITC Avant Garde Std Bk" w:hAnsi="ITC Avant Garde Std Bk"/>
          <w:b w:val="0"/>
          <w:sz w:val="20"/>
          <w:szCs w:val="20"/>
          <w:shd w:val="clear" w:color="auto" w:fill="FFFFFF"/>
        </w:rPr>
      </w:pPr>
    </w:p>
    <w:p w14:paraId="2E6AC9C0" w14:textId="77777777" w:rsidR="00511A10" w:rsidRPr="00EA7B57" w:rsidRDefault="00511A10" w:rsidP="00511A10">
      <w:pPr>
        <w:spacing w:line="240" w:lineRule="auto"/>
        <w:jc w:val="both"/>
        <w:rPr>
          <w:rStyle w:val="Textoennegrita"/>
          <w:rFonts w:ascii="ITC Avant Garde Std Bk" w:hAnsi="ITC Avant Garde Std Bk"/>
          <w:b w:val="0"/>
          <w:sz w:val="20"/>
          <w:szCs w:val="20"/>
          <w:shd w:val="clear" w:color="auto" w:fill="FFFFFF"/>
        </w:rPr>
      </w:pPr>
      <w:r w:rsidRPr="00EA7B57">
        <w:rPr>
          <w:rStyle w:val="Textoennegrita"/>
          <w:rFonts w:ascii="ITC Avant Garde Std Bk" w:hAnsi="ITC Avant Garde Std Bk"/>
          <w:b w:val="0"/>
          <w:sz w:val="20"/>
          <w:szCs w:val="20"/>
          <w:shd w:val="clear" w:color="auto" w:fill="FFFFFF"/>
        </w:rPr>
        <w:t xml:space="preserve">En atención a los antecedentes anteriores y, </w:t>
      </w:r>
    </w:p>
    <w:p w14:paraId="51CA93CE" w14:textId="77777777" w:rsidR="00511A10" w:rsidRPr="00EA7B57" w:rsidRDefault="00511A10" w:rsidP="00511A10">
      <w:pPr>
        <w:spacing w:line="240" w:lineRule="auto"/>
        <w:jc w:val="center"/>
        <w:outlineLvl w:val="0"/>
        <w:rPr>
          <w:rFonts w:ascii="ITC Avant Garde Std Bk" w:hAnsi="ITC Avant Garde Std Bk"/>
          <w:b/>
          <w:sz w:val="20"/>
          <w:szCs w:val="20"/>
        </w:rPr>
      </w:pPr>
    </w:p>
    <w:p w14:paraId="6395237F" w14:textId="77777777" w:rsidR="00511A10" w:rsidRDefault="00511A10" w:rsidP="00511A10">
      <w:pPr>
        <w:spacing w:line="240" w:lineRule="auto"/>
        <w:jc w:val="center"/>
        <w:outlineLvl w:val="0"/>
        <w:rPr>
          <w:rFonts w:ascii="ITC Avant Garde Std Bk" w:hAnsi="ITC Avant Garde Std Bk"/>
          <w:b/>
          <w:sz w:val="20"/>
          <w:szCs w:val="20"/>
        </w:rPr>
      </w:pPr>
    </w:p>
    <w:p w14:paraId="6B7F9AEC" w14:textId="77777777" w:rsidR="00511A10" w:rsidRPr="00EA7B57" w:rsidRDefault="00511A10" w:rsidP="00511A10">
      <w:pPr>
        <w:spacing w:line="240" w:lineRule="auto"/>
        <w:jc w:val="center"/>
        <w:outlineLvl w:val="0"/>
        <w:rPr>
          <w:rFonts w:ascii="ITC Avant Garde Std Bk" w:hAnsi="ITC Avant Garde Std Bk"/>
          <w:b/>
          <w:sz w:val="20"/>
          <w:szCs w:val="20"/>
        </w:rPr>
      </w:pPr>
    </w:p>
    <w:p w14:paraId="19673D22" w14:textId="77777777" w:rsidR="00511A10" w:rsidRPr="00EA7B57" w:rsidRDefault="00511A10" w:rsidP="00511A10">
      <w:pPr>
        <w:spacing w:line="240" w:lineRule="auto"/>
        <w:jc w:val="center"/>
        <w:outlineLvl w:val="0"/>
        <w:rPr>
          <w:rFonts w:ascii="ITC Avant Garde Std Bk" w:hAnsi="ITC Avant Garde Std Bk"/>
          <w:b/>
          <w:sz w:val="20"/>
          <w:szCs w:val="20"/>
        </w:rPr>
      </w:pPr>
      <w:r w:rsidRPr="00EA7B57">
        <w:rPr>
          <w:rFonts w:ascii="ITC Avant Garde Std Bk" w:hAnsi="ITC Avant Garde Std Bk"/>
          <w:b/>
          <w:sz w:val="20"/>
          <w:szCs w:val="20"/>
        </w:rPr>
        <w:t>C O N S I D E R A N D O</w:t>
      </w:r>
    </w:p>
    <w:p w14:paraId="28A0FC52" w14:textId="77777777" w:rsidR="00511A10" w:rsidRDefault="00511A10" w:rsidP="00511A10">
      <w:pPr>
        <w:spacing w:line="240" w:lineRule="auto"/>
        <w:jc w:val="center"/>
        <w:outlineLvl w:val="0"/>
        <w:rPr>
          <w:rFonts w:ascii="ITC Avant Garde Std Bk" w:hAnsi="ITC Avant Garde Std Bk"/>
          <w:b/>
          <w:sz w:val="20"/>
          <w:szCs w:val="20"/>
        </w:rPr>
      </w:pPr>
    </w:p>
    <w:p w14:paraId="42FCADC1" w14:textId="77777777" w:rsidR="00511A10" w:rsidRDefault="00511A10" w:rsidP="00511A10">
      <w:pPr>
        <w:spacing w:line="240" w:lineRule="auto"/>
        <w:jc w:val="center"/>
        <w:outlineLvl w:val="0"/>
        <w:rPr>
          <w:rFonts w:ascii="ITC Avant Garde Std Bk" w:hAnsi="ITC Avant Garde Std Bk"/>
          <w:b/>
          <w:sz w:val="20"/>
          <w:szCs w:val="20"/>
        </w:rPr>
      </w:pPr>
    </w:p>
    <w:p w14:paraId="72A2A864" w14:textId="77777777" w:rsidR="00511A10" w:rsidRPr="00EA7B57" w:rsidRDefault="00511A10" w:rsidP="00511A10">
      <w:pPr>
        <w:spacing w:line="240" w:lineRule="auto"/>
        <w:jc w:val="center"/>
        <w:outlineLvl w:val="0"/>
        <w:rPr>
          <w:rFonts w:ascii="ITC Avant Garde Std Bk" w:hAnsi="ITC Avant Garde Std Bk"/>
          <w:b/>
          <w:sz w:val="20"/>
          <w:szCs w:val="20"/>
        </w:rPr>
      </w:pPr>
    </w:p>
    <w:p w14:paraId="6522F804" w14:textId="77777777" w:rsidR="00511A10" w:rsidRDefault="00511A10" w:rsidP="00511A10">
      <w:pPr>
        <w:spacing w:line="240" w:lineRule="auto"/>
        <w:jc w:val="both"/>
        <w:rPr>
          <w:rStyle w:val="Textoennegrita"/>
          <w:rFonts w:ascii="ITC Avant Garde Std Bk" w:hAnsi="ITC Avant Garde Std Bk"/>
          <w:bCs w:val="0"/>
          <w:sz w:val="20"/>
          <w:szCs w:val="20"/>
          <w:shd w:val="clear" w:color="auto" w:fill="FFFFFF"/>
        </w:rPr>
      </w:pPr>
    </w:p>
    <w:p w14:paraId="09919CAE" w14:textId="77777777" w:rsidR="00511A10" w:rsidRPr="00EA7B57" w:rsidRDefault="00511A10" w:rsidP="00511A10">
      <w:pPr>
        <w:spacing w:line="240" w:lineRule="auto"/>
        <w:jc w:val="both"/>
        <w:rPr>
          <w:rStyle w:val="Textoennegrita"/>
          <w:rFonts w:ascii="ITC Avant Garde Std Bk" w:hAnsi="ITC Avant Garde Std Bk"/>
          <w:b w:val="0"/>
          <w:bCs w:val="0"/>
          <w:sz w:val="20"/>
          <w:szCs w:val="20"/>
          <w:shd w:val="clear" w:color="auto" w:fill="FFFFFF"/>
        </w:rPr>
      </w:pPr>
      <w:r w:rsidRPr="00EA7B57">
        <w:rPr>
          <w:rStyle w:val="Textoennegrita"/>
          <w:rFonts w:ascii="ITC Avant Garde Std Bk" w:hAnsi="ITC Avant Garde Std Bk"/>
          <w:bCs w:val="0"/>
          <w:sz w:val="20"/>
          <w:szCs w:val="20"/>
          <w:shd w:val="clear" w:color="auto" w:fill="FFFFFF"/>
        </w:rPr>
        <w:lastRenderedPageBreak/>
        <w:t>PRIMERO. – Competencia del Instituto.</w:t>
      </w:r>
      <w:r w:rsidRPr="00EA7B57">
        <w:rPr>
          <w:rStyle w:val="Textoennegrita"/>
          <w:rFonts w:ascii="ITC Avant Garde Std Bk" w:hAnsi="ITC Avant Garde Std Bk"/>
          <w:b w:val="0"/>
          <w:bCs w:val="0"/>
          <w:sz w:val="20"/>
          <w:szCs w:val="20"/>
          <w:shd w:val="clear" w:color="auto" w:fill="FFFFFF"/>
        </w:rPr>
        <w:t xml:space="preserve"> De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32346FEA" w14:textId="77777777" w:rsidR="00511A10" w:rsidRPr="00EA7B57" w:rsidRDefault="00511A10" w:rsidP="00511A10">
      <w:pPr>
        <w:spacing w:line="240" w:lineRule="auto"/>
        <w:jc w:val="both"/>
        <w:rPr>
          <w:rStyle w:val="Textoennegrita"/>
          <w:rFonts w:ascii="ITC Avant Garde Std Bk" w:hAnsi="ITC Avant Garde Std Bk"/>
          <w:b w:val="0"/>
          <w:bCs w:val="0"/>
          <w:sz w:val="20"/>
          <w:szCs w:val="20"/>
          <w:shd w:val="clear" w:color="auto" w:fill="FFFFFF"/>
        </w:rPr>
      </w:pPr>
    </w:p>
    <w:p w14:paraId="20B64066" w14:textId="77777777" w:rsidR="00511A10" w:rsidRPr="00EA7B57" w:rsidRDefault="00511A10" w:rsidP="00511A10">
      <w:pPr>
        <w:spacing w:line="240" w:lineRule="auto"/>
        <w:jc w:val="both"/>
        <w:rPr>
          <w:rStyle w:val="Textoennegrita"/>
          <w:rFonts w:ascii="ITC Avant Garde Std Bk" w:hAnsi="ITC Avant Garde Std Bk"/>
          <w:b w:val="0"/>
          <w:bCs w:val="0"/>
          <w:sz w:val="20"/>
          <w:szCs w:val="20"/>
          <w:shd w:val="clear" w:color="auto" w:fill="FFFFFF"/>
        </w:rPr>
      </w:pPr>
      <w:r w:rsidRPr="00EA7B57">
        <w:rPr>
          <w:rStyle w:val="Textoennegrita"/>
          <w:rFonts w:ascii="ITC Avant Garde Std Bk" w:hAnsi="ITC Avant Garde Std Bk"/>
          <w:b w:val="0"/>
          <w:bCs w:val="0"/>
          <w:sz w:val="20"/>
          <w:szCs w:val="20"/>
          <w:shd w:val="clear" w:color="auto" w:fill="FFFFFF"/>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(en lo sucesivo, la “LFTR”), garantizando lo establecido en los artículos 6° y 7° de la Constitución.</w:t>
      </w:r>
    </w:p>
    <w:p w14:paraId="0AD13B1C" w14:textId="77777777" w:rsidR="00CC6778" w:rsidRDefault="00CC6778" w:rsidP="00511A10">
      <w:pPr>
        <w:spacing w:line="240" w:lineRule="auto"/>
        <w:jc w:val="both"/>
        <w:rPr>
          <w:rStyle w:val="Textoennegrita"/>
          <w:rFonts w:ascii="ITC Avant Garde Std Bk" w:hAnsi="ITC Avant Garde Std Bk"/>
          <w:b w:val="0"/>
          <w:bCs w:val="0"/>
          <w:sz w:val="20"/>
          <w:szCs w:val="20"/>
          <w:shd w:val="clear" w:color="auto" w:fill="FFFFFF"/>
        </w:rPr>
      </w:pPr>
    </w:p>
    <w:p w14:paraId="17D5618A" w14:textId="1E033BF0" w:rsidR="00511A10" w:rsidRPr="00EA7B57" w:rsidRDefault="00511A10" w:rsidP="00511A10">
      <w:pPr>
        <w:spacing w:line="240" w:lineRule="auto"/>
        <w:jc w:val="both"/>
        <w:rPr>
          <w:rStyle w:val="Textoennegrita"/>
          <w:rFonts w:ascii="ITC Avant Garde Std Bk" w:hAnsi="ITC Avant Garde Std Bk"/>
          <w:b w:val="0"/>
          <w:bCs w:val="0"/>
          <w:sz w:val="20"/>
          <w:szCs w:val="20"/>
          <w:shd w:val="clear" w:color="auto" w:fill="FFFFFF"/>
        </w:rPr>
      </w:pPr>
      <w:r w:rsidRPr="00EA7B57">
        <w:rPr>
          <w:rStyle w:val="Textoennegrita"/>
          <w:rFonts w:ascii="ITC Avant Garde Std Bk" w:hAnsi="ITC Avant Garde Std Bk"/>
          <w:b w:val="0"/>
          <w:bCs w:val="0"/>
          <w:sz w:val="20"/>
          <w:szCs w:val="20"/>
          <w:shd w:val="clear" w:color="auto" w:fill="FFFFFF"/>
        </w:rPr>
        <w:t>Asimismo, el párrafo décimo sexto del artículo 28 de la Constitución establece que el Instituto es también la autoridad en materia de competencia económica de los sectores de radiodifusión y telecomunicaciones, por lo que el artículo 5 de la LFCE prevé que el Instituto ejercerá, en dichos sectores, de forma exclusiva las facultades que el artículo 28 de la Constitución y las leyes establecen para la Comisión Federal de Competencia Económica.</w:t>
      </w:r>
    </w:p>
    <w:p w14:paraId="700B9FBB" w14:textId="7D1F3888" w:rsidR="00511A10" w:rsidRPr="00EA7B57" w:rsidRDefault="00511A10" w:rsidP="00511A10">
      <w:pPr>
        <w:spacing w:line="240" w:lineRule="auto"/>
        <w:jc w:val="both"/>
        <w:rPr>
          <w:rStyle w:val="Textoennegrita"/>
          <w:rFonts w:ascii="ITC Avant Garde Std Bk" w:hAnsi="ITC Avant Garde Std Bk"/>
          <w:b w:val="0"/>
          <w:bCs w:val="0"/>
          <w:sz w:val="20"/>
          <w:szCs w:val="20"/>
          <w:shd w:val="clear" w:color="auto" w:fill="FFFFFF"/>
        </w:rPr>
      </w:pPr>
      <w:r w:rsidRPr="00EA7B57">
        <w:rPr>
          <w:rStyle w:val="Textoennegrita"/>
          <w:rFonts w:ascii="ITC Avant Garde Std Bk" w:hAnsi="ITC Avant Garde Std Bk"/>
          <w:b w:val="0"/>
          <w:bCs w:val="0"/>
          <w:sz w:val="20"/>
          <w:szCs w:val="20"/>
          <w:shd w:val="clear" w:color="auto" w:fill="FFFFFF"/>
        </w:rPr>
        <w:br/>
        <w:t>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artículo 15, fracciones I, XLI y LVI de la LFTR señala que el Instituto podrá expedir disposiciones administrativas de carácter general en materia de telecomunicaciones y radiodifusión, así como establecer las disposiciones para sus procesos de mejora regulatoria.</w:t>
      </w:r>
    </w:p>
    <w:p w14:paraId="08FBB668" w14:textId="77777777" w:rsidR="00511A10" w:rsidRPr="00EA7B57" w:rsidRDefault="00511A10" w:rsidP="00511A10">
      <w:pPr>
        <w:spacing w:line="240" w:lineRule="auto"/>
        <w:jc w:val="both"/>
        <w:rPr>
          <w:rStyle w:val="Textoennegrita"/>
          <w:rFonts w:ascii="ITC Avant Garde Std Bk" w:hAnsi="ITC Avant Garde Std Bk"/>
          <w:b w:val="0"/>
          <w:bCs w:val="0"/>
          <w:sz w:val="20"/>
          <w:szCs w:val="20"/>
          <w:shd w:val="clear" w:color="auto" w:fill="FFFFFF"/>
        </w:rPr>
      </w:pPr>
    </w:p>
    <w:p w14:paraId="3B9175CB" w14:textId="77777777" w:rsidR="00511A10" w:rsidRPr="00B13C9D" w:rsidRDefault="00511A10" w:rsidP="00511A10">
      <w:pPr>
        <w:spacing w:line="240" w:lineRule="auto"/>
        <w:jc w:val="both"/>
        <w:rPr>
          <w:rStyle w:val="Textoennegrita"/>
          <w:rFonts w:ascii="ITC Avant Garde Std Bk" w:hAnsi="ITC Avant Garde Std Bk"/>
          <w:b w:val="0"/>
          <w:bCs w:val="0"/>
          <w:sz w:val="20"/>
          <w:szCs w:val="20"/>
          <w:shd w:val="clear" w:color="auto" w:fill="FFFFFF"/>
        </w:rPr>
      </w:pPr>
    </w:p>
    <w:p w14:paraId="5660C78F" w14:textId="7A5AA073" w:rsidR="00C929F8" w:rsidRDefault="00511A10" w:rsidP="00C929F8">
      <w:pPr>
        <w:spacing w:line="240" w:lineRule="auto"/>
        <w:jc w:val="both"/>
        <w:rPr>
          <w:rFonts w:ascii="ITC Avant Garde Std Bk" w:hAnsi="ITC Avant Garde Std Bk"/>
          <w:bCs/>
          <w:sz w:val="20"/>
          <w:szCs w:val="20"/>
          <w:shd w:val="clear" w:color="auto" w:fill="FFFFFF"/>
          <w:lang w:val="es-MX"/>
        </w:rPr>
      </w:pPr>
      <w:r>
        <w:rPr>
          <w:rStyle w:val="Textoennegrita"/>
          <w:rFonts w:ascii="ITC Avant Garde Std Bk" w:hAnsi="ITC Avant Garde Std Bk"/>
          <w:sz w:val="20"/>
          <w:szCs w:val="20"/>
          <w:shd w:val="clear" w:color="auto" w:fill="FFFFFF"/>
        </w:rPr>
        <w:t>SEGUNDO</w:t>
      </w:r>
      <w:r w:rsidRPr="00EA7B57">
        <w:rPr>
          <w:rFonts w:ascii="ITC Avant Garde Std Bk" w:eastAsia="Times New Roman" w:hAnsi="ITC Avant Garde Std Bk"/>
          <w:b/>
          <w:sz w:val="20"/>
          <w:szCs w:val="20"/>
        </w:rPr>
        <w:t xml:space="preserve">. - </w:t>
      </w:r>
      <w:r w:rsidRPr="00B13C9D">
        <w:rPr>
          <w:rFonts w:ascii="ITC Avant Garde Std Bk" w:eastAsia="Times New Roman" w:hAnsi="ITC Avant Garde Std Bk"/>
          <w:b/>
          <w:sz w:val="20"/>
          <w:szCs w:val="20"/>
        </w:rPr>
        <w:t>Consulta pública.</w:t>
      </w:r>
      <w:r w:rsidRPr="00B13C9D">
        <w:rPr>
          <w:rFonts w:ascii="ITC Avant Garde Std Bk" w:eastAsia="Times New Roman" w:hAnsi="ITC Avant Garde Std Bk"/>
          <w:sz w:val="20"/>
          <w:szCs w:val="20"/>
        </w:rPr>
        <w:t xml:space="preserve"> </w:t>
      </w:r>
      <w:r w:rsidR="00C929F8">
        <w:rPr>
          <w:rFonts w:ascii="ITC Avant Garde Std Bk" w:eastAsia="Times New Roman" w:hAnsi="ITC Avant Garde Std Bk"/>
          <w:sz w:val="20"/>
          <w:szCs w:val="20"/>
        </w:rPr>
        <w:t>E</w:t>
      </w:r>
      <w:r w:rsidR="00C929F8" w:rsidRPr="00C929F8">
        <w:rPr>
          <w:rFonts w:ascii="ITC Avant Garde Std Bk" w:hAnsi="ITC Avant Garde Std Bk"/>
          <w:bCs/>
          <w:sz w:val="20"/>
          <w:szCs w:val="20"/>
          <w:shd w:val="clear" w:color="auto" w:fill="FFFFFF"/>
          <w:lang w:val="es-MX"/>
        </w:rPr>
        <w:t xml:space="preserve">n cumplimiento con el artículo 51 de la LFTR, bajo los principios de transparencia y participación ciudadana, el Instituto llevó a cabo </w:t>
      </w:r>
      <w:r w:rsidR="00C929F8">
        <w:rPr>
          <w:rFonts w:ascii="ITC Avant Garde Std Bk" w:hAnsi="ITC Avant Garde Std Bk"/>
          <w:bCs/>
          <w:sz w:val="20"/>
          <w:szCs w:val="20"/>
          <w:shd w:val="clear" w:color="auto" w:fill="FFFFFF"/>
          <w:lang w:val="es-MX"/>
        </w:rPr>
        <w:t>una</w:t>
      </w:r>
      <w:r w:rsidR="00C929F8" w:rsidRPr="00C929F8">
        <w:rPr>
          <w:rFonts w:ascii="ITC Avant Garde Std Bk" w:hAnsi="ITC Avant Garde Std Bk"/>
          <w:bCs/>
          <w:sz w:val="20"/>
          <w:szCs w:val="20"/>
          <w:shd w:val="clear" w:color="auto" w:fill="FFFFFF"/>
          <w:lang w:val="es-MX"/>
        </w:rPr>
        <w:t xml:space="preserve"> consulta pública del </w:t>
      </w:r>
      <w:r w:rsidR="00C929F8">
        <w:rPr>
          <w:rFonts w:ascii="ITC Avant Garde Std Bk" w:hAnsi="ITC Avant Garde Std Bk"/>
          <w:bCs/>
          <w:sz w:val="20"/>
          <w:szCs w:val="20"/>
          <w:shd w:val="clear" w:color="auto" w:fill="FFFFFF"/>
          <w:lang w:val="es-MX"/>
        </w:rPr>
        <w:t>29 de mayo</w:t>
      </w:r>
      <w:r w:rsidR="00C929F8" w:rsidRPr="00C929F8">
        <w:rPr>
          <w:rFonts w:ascii="ITC Avant Garde Std Bk" w:hAnsi="ITC Avant Garde Std Bk"/>
          <w:bCs/>
          <w:sz w:val="20"/>
          <w:szCs w:val="20"/>
          <w:shd w:val="clear" w:color="auto" w:fill="FFFFFF"/>
          <w:lang w:val="es-MX"/>
        </w:rPr>
        <w:t xml:space="preserve"> al 2</w:t>
      </w:r>
      <w:r w:rsidR="00C929F8">
        <w:rPr>
          <w:rFonts w:ascii="ITC Avant Garde Std Bk" w:hAnsi="ITC Avant Garde Std Bk"/>
          <w:bCs/>
          <w:sz w:val="20"/>
          <w:szCs w:val="20"/>
          <w:shd w:val="clear" w:color="auto" w:fill="FFFFFF"/>
          <w:lang w:val="es-MX"/>
        </w:rPr>
        <w:t>8</w:t>
      </w:r>
      <w:r w:rsidR="00C929F8" w:rsidRPr="00C929F8">
        <w:rPr>
          <w:rFonts w:ascii="ITC Avant Garde Std Bk" w:hAnsi="ITC Avant Garde Std Bk"/>
          <w:bCs/>
          <w:sz w:val="20"/>
          <w:szCs w:val="20"/>
          <w:shd w:val="clear" w:color="auto" w:fill="FFFFFF"/>
          <w:lang w:val="es-MX"/>
        </w:rPr>
        <w:t xml:space="preserve"> de ju</w:t>
      </w:r>
      <w:r w:rsidR="00C929F8">
        <w:rPr>
          <w:rFonts w:ascii="ITC Avant Garde Std Bk" w:hAnsi="ITC Avant Garde Std Bk"/>
          <w:bCs/>
          <w:sz w:val="20"/>
          <w:szCs w:val="20"/>
          <w:shd w:val="clear" w:color="auto" w:fill="FFFFFF"/>
          <w:lang w:val="es-MX"/>
        </w:rPr>
        <w:t>l</w:t>
      </w:r>
      <w:r w:rsidR="00C929F8" w:rsidRPr="00C929F8">
        <w:rPr>
          <w:rFonts w:ascii="ITC Avant Garde Std Bk" w:hAnsi="ITC Avant Garde Std Bk"/>
          <w:bCs/>
          <w:sz w:val="20"/>
          <w:szCs w:val="20"/>
          <w:shd w:val="clear" w:color="auto" w:fill="FFFFFF"/>
          <w:lang w:val="es-MX"/>
        </w:rPr>
        <w:t>io de 201</w:t>
      </w:r>
      <w:r w:rsidR="00C929F8">
        <w:rPr>
          <w:rFonts w:ascii="ITC Avant Garde Std Bk" w:hAnsi="ITC Avant Garde Std Bk"/>
          <w:bCs/>
          <w:sz w:val="20"/>
          <w:szCs w:val="20"/>
          <w:shd w:val="clear" w:color="auto" w:fill="FFFFFF"/>
          <w:lang w:val="es-MX"/>
        </w:rPr>
        <w:t xml:space="preserve">7, extendida al 31 de julio de 2017, la cual </w:t>
      </w:r>
      <w:r w:rsidR="00C929F8" w:rsidRPr="00C929F8">
        <w:rPr>
          <w:rFonts w:ascii="ITC Avant Garde Std Bk" w:hAnsi="ITC Avant Garde Std Bk"/>
          <w:bCs/>
          <w:sz w:val="20"/>
          <w:szCs w:val="20"/>
          <w:shd w:val="clear" w:color="auto" w:fill="FFFFFF"/>
          <w:lang w:val="es-MX"/>
        </w:rPr>
        <w:t xml:space="preserve">arrojó </w:t>
      </w:r>
      <w:r w:rsidR="00C929F8">
        <w:rPr>
          <w:rFonts w:ascii="ITC Avant Garde Std Bk" w:hAnsi="ITC Avant Garde Std Bk"/>
          <w:bCs/>
          <w:sz w:val="20"/>
          <w:szCs w:val="20"/>
          <w:shd w:val="clear" w:color="auto" w:fill="FFFFFF"/>
          <w:lang w:val="es-MX"/>
        </w:rPr>
        <w:t>15</w:t>
      </w:r>
      <w:r w:rsidR="00C929F8" w:rsidRPr="00C929F8">
        <w:rPr>
          <w:rFonts w:ascii="ITC Avant Garde Std Bk" w:hAnsi="ITC Avant Garde Std Bk"/>
          <w:bCs/>
          <w:sz w:val="20"/>
          <w:szCs w:val="20"/>
          <w:shd w:val="clear" w:color="auto" w:fill="FFFFFF"/>
          <w:lang w:val="es-MX"/>
        </w:rPr>
        <w:t xml:space="preserve"> (</w:t>
      </w:r>
      <w:r w:rsidR="00C929F8">
        <w:rPr>
          <w:rFonts w:ascii="ITC Avant Garde Std Bk" w:hAnsi="ITC Avant Garde Std Bk"/>
          <w:bCs/>
          <w:sz w:val="20"/>
          <w:szCs w:val="20"/>
          <w:shd w:val="clear" w:color="auto" w:fill="FFFFFF"/>
          <w:lang w:val="es-MX"/>
        </w:rPr>
        <w:t>quince</w:t>
      </w:r>
      <w:r w:rsidR="00C929F8" w:rsidRPr="00C929F8">
        <w:rPr>
          <w:rFonts w:ascii="ITC Avant Garde Std Bk" w:hAnsi="ITC Avant Garde Std Bk"/>
          <w:bCs/>
          <w:sz w:val="20"/>
          <w:szCs w:val="20"/>
          <w:shd w:val="clear" w:color="auto" w:fill="FFFFFF"/>
          <w:lang w:val="es-MX"/>
        </w:rPr>
        <w:t>) participaciones</w:t>
      </w:r>
      <w:r w:rsidR="00C929F8">
        <w:rPr>
          <w:rFonts w:ascii="ITC Avant Garde Std Bk" w:hAnsi="ITC Avant Garde Std Bk"/>
          <w:bCs/>
          <w:sz w:val="20"/>
          <w:szCs w:val="20"/>
          <w:shd w:val="clear" w:color="auto" w:fill="FFFFFF"/>
          <w:lang w:val="es-MX"/>
        </w:rPr>
        <w:t>. De la misma forma, se llevó a cabo una segunda consulta pública del 28 de agosto al 09 de octubre de 2019, la cual recibió 1</w:t>
      </w:r>
      <w:r w:rsidR="00884668">
        <w:rPr>
          <w:rFonts w:ascii="ITC Avant Garde Std Bk" w:hAnsi="ITC Avant Garde Std Bk"/>
          <w:bCs/>
          <w:sz w:val="20"/>
          <w:szCs w:val="20"/>
          <w:shd w:val="clear" w:color="auto" w:fill="FFFFFF"/>
          <w:lang w:val="es-MX"/>
        </w:rPr>
        <w:t>2</w:t>
      </w:r>
      <w:r w:rsidR="00C929F8">
        <w:rPr>
          <w:rFonts w:ascii="ITC Avant Garde Std Bk" w:hAnsi="ITC Avant Garde Std Bk"/>
          <w:bCs/>
          <w:sz w:val="20"/>
          <w:szCs w:val="20"/>
          <w:shd w:val="clear" w:color="auto" w:fill="FFFFFF"/>
          <w:lang w:val="es-MX"/>
        </w:rPr>
        <w:t xml:space="preserve"> (</w:t>
      </w:r>
      <w:r w:rsidR="00CB2037">
        <w:rPr>
          <w:rFonts w:ascii="ITC Avant Garde Std Bk" w:hAnsi="ITC Avant Garde Std Bk"/>
          <w:bCs/>
          <w:sz w:val="20"/>
          <w:szCs w:val="20"/>
          <w:shd w:val="clear" w:color="auto" w:fill="FFFFFF"/>
          <w:lang w:val="es-MX"/>
        </w:rPr>
        <w:t>doce</w:t>
      </w:r>
      <w:r w:rsidR="00C929F8">
        <w:rPr>
          <w:rFonts w:ascii="ITC Avant Garde Std Bk" w:hAnsi="ITC Avant Garde Std Bk"/>
          <w:bCs/>
          <w:sz w:val="20"/>
          <w:szCs w:val="20"/>
          <w:shd w:val="clear" w:color="auto" w:fill="FFFFFF"/>
          <w:lang w:val="es-MX"/>
        </w:rPr>
        <w:t>) participaciones.</w:t>
      </w:r>
    </w:p>
    <w:p w14:paraId="59D4987B" w14:textId="77777777" w:rsidR="00C929F8" w:rsidRPr="00C929F8" w:rsidRDefault="00C929F8" w:rsidP="00C929F8">
      <w:pPr>
        <w:spacing w:line="240" w:lineRule="auto"/>
        <w:jc w:val="both"/>
        <w:rPr>
          <w:rFonts w:ascii="ITC Avant Garde Std Bk" w:hAnsi="ITC Avant Garde Std Bk"/>
          <w:bCs/>
          <w:sz w:val="20"/>
          <w:szCs w:val="20"/>
          <w:shd w:val="clear" w:color="auto" w:fill="FFFFFF"/>
          <w:lang w:val="es-MX"/>
        </w:rPr>
      </w:pPr>
    </w:p>
    <w:p w14:paraId="4BEA973A" w14:textId="77777777" w:rsidR="00C929F8" w:rsidRDefault="00C929F8" w:rsidP="00C929F8">
      <w:pPr>
        <w:spacing w:line="240" w:lineRule="auto"/>
        <w:jc w:val="both"/>
        <w:rPr>
          <w:rFonts w:ascii="ITC Avant Garde Std Bk" w:hAnsi="ITC Avant Garde Std Bk"/>
          <w:bCs/>
          <w:sz w:val="20"/>
          <w:szCs w:val="20"/>
          <w:shd w:val="clear" w:color="auto" w:fill="FFFFFF"/>
          <w:lang w:val="es-MX"/>
        </w:rPr>
      </w:pPr>
      <w:r w:rsidRPr="00C929F8">
        <w:rPr>
          <w:rFonts w:ascii="ITC Avant Garde Std Bk" w:hAnsi="ITC Avant Garde Std Bk"/>
          <w:bCs/>
          <w:sz w:val="20"/>
          <w:szCs w:val="20"/>
          <w:shd w:val="clear" w:color="auto" w:fill="FFFFFF"/>
          <w:lang w:val="es-MX"/>
        </w:rPr>
        <w:t xml:space="preserve">Asimismo, en cumplimiento a lo establecido por el artículo 51 de la LFTR y por los lineamientos Noveno y Décimo de los Lineamientos de Consulta Pública, el Instituto dio atención a los comentarios recibidos en </w:t>
      </w:r>
      <w:r w:rsidR="00B84A8E">
        <w:rPr>
          <w:rFonts w:ascii="ITC Avant Garde Std Bk" w:hAnsi="ITC Avant Garde Std Bk"/>
          <w:bCs/>
          <w:sz w:val="20"/>
          <w:szCs w:val="20"/>
          <w:shd w:val="clear" w:color="auto" w:fill="FFFFFF"/>
          <w:lang w:val="es-MX"/>
        </w:rPr>
        <w:t>ambas</w:t>
      </w:r>
      <w:r w:rsidRPr="00C929F8">
        <w:rPr>
          <w:rFonts w:ascii="ITC Avant Garde Std Bk" w:hAnsi="ITC Avant Garde Std Bk"/>
          <w:bCs/>
          <w:sz w:val="20"/>
          <w:szCs w:val="20"/>
          <w:shd w:val="clear" w:color="auto" w:fill="FFFFFF"/>
          <w:lang w:val="es-MX"/>
        </w:rPr>
        <w:t xml:space="preserve"> consulta</w:t>
      </w:r>
      <w:r w:rsidR="00B84A8E">
        <w:rPr>
          <w:rFonts w:ascii="ITC Avant Garde Std Bk" w:hAnsi="ITC Avant Garde Std Bk"/>
          <w:bCs/>
          <w:sz w:val="20"/>
          <w:szCs w:val="20"/>
          <w:shd w:val="clear" w:color="auto" w:fill="FFFFFF"/>
          <w:lang w:val="es-MX"/>
        </w:rPr>
        <w:t>s públicas</w:t>
      </w:r>
      <w:r w:rsidRPr="00C929F8">
        <w:rPr>
          <w:rFonts w:ascii="ITC Avant Garde Std Bk" w:hAnsi="ITC Avant Garde Std Bk"/>
          <w:bCs/>
          <w:sz w:val="20"/>
          <w:szCs w:val="20"/>
          <w:shd w:val="clear" w:color="auto" w:fill="FFFFFF"/>
          <w:lang w:val="es-MX"/>
        </w:rPr>
        <w:t>, publicando el informe de consideraciones correspondiente en su portal de Internet.</w:t>
      </w:r>
    </w:p>
    <w:p w14:paraId="01B85F2B" w14:textId="77777777" w:rsidR="00C929F8" w:rsidRPr="00C929F8" w:rsidRDefault="00C929F8" w:rsidP="00C929F8">
      <w:pPr>
        <w:spacing w:line="240" w:lineRule="auto"/>
        <w:jc w:val="both"/>
        <w:rPr>
          <w:rFonts w:ascii="ITC Avant Garde Std Bk" w:hAnsi="ITC Avant Garde Std Bk"/>
          <w:bCs/>
          <w:sz w:val="20"/>
          <w:szCs w:val="20"/>
          <w:shd w:val="clear" w:color="auto" w:fill="FFFFFF"/>
          <w:lang w:val="es-MX"/>
        </w:rPr>
      </w:pPr>
    </w:p>
    <w:p w14:paraId="1927B8F5" w14:textId="77777777" w:rsidR="00C929F8" w:rsidRPr="00C929F8" w:rsidRDefault="00C929F8" w:rsidP="00C929F8">
      <w:pPr>
        <w:spacing w:line="240" w:lineRule="auto"/>
        <w:jc w:val="both"/>
        <w:rPr>
          <w:rFonts w:ascii="ITC Avant Garde Std Bk" w:hAnsi="ITC Avant Garde Std Bk"/>
          <w:bCs/>
          <w:sz w:val="20"/>
          <w:szCs w:val="20"/>
          <w:shd w:val="clear" w:color="auto" w:fill="FFFFFF"/>
          <w:lang w:val="es-MX"/>
        </w:rPr>
      </w:pPr>
      <w:r w:rsidRPr="00C929F8">
        <w:rPr>
          <w:rFonts w:ascii="ITC Avant Garde Std Bk" w:hAnsi="ITC Avant Garde Std Bk"/>
          <w:bCs/>
          <w:sz w:val="20"/>
          <w:szCs w:val="20"/>
          <w:shd w:val="clear" w:color="auto" w:fill="FFFFFF"/>
          <w:lang w:val="es-MX"/>
        </w:rPr>
        <w:t>Por lo anterior, el proyecto fue fortalecido mediante la valoración de los comentarios recibidos durante la consulta pública, contribuyendo a un mejor diseño y planteamiento de la modificación a la regulación.</w:t>
      </w:r>
    </w:p>
    <w:p w14:paraId="23EF5BA9" w14:textId="77777777" w:rsidR="00C929F8" w:rsidRPr="00B13C9D" w:rsidRDefault="00C929F8" w:rsidP="00511A10">
      <w:pPr>
        <w:spacing w:line="240" w:lineRule="auto"/>
        <w:jc w:val="both"/>
        <w:outlineLvl w:val="0"/>
        <w:rPr>
          <w:rFonts w:ascii="ITC Avant Garde Std Bk" w:eastAsia="Times New Roman" w:hAnsi="ITC Avant Garde Std Bk"/>
          <w:sz w:val="20"/>
          <w:szCs w:val="20"/>
        </w:rPr>
      </w:pPr>
    </w:p>
    <w:p w14:paraId="7EF52110" w14:textId="77777777" w:rsidR="005C1AE2" w:rsidRDefault="005C1AE2" w:rsidP="00511A10">
      <w:pPr>
        <w:spacing w:line="240" w:lineRule="auto"/>
        <w:jc w:val="both"/>
        <w:outlineLvl w:val="0"/>
        <w:rPr>
          <w:rFonts w:ascii="ITC Avant Garde Std Bk" w:eastAsia="Times New Roman" w:hAnsi="ITC Avant Garde Std Bk"/>
          <w:sz w:val="20"/>
          <w:szCs w:val="20"/>
        </w:rPr>
      </w:pPr>
    </w:p>
    <w:p w14:paraId="0B96EDFF" w14:textId="039A0982" w:rsidR="005C1AE2" w:rsidRDefault="005C1AE2" w:rsidP="005C1AE2">
      <w:pPr>
        <w:spacing w:line="240" w:lineRule="auto"/>
        <w:jc w:val="both"/>
        <w:rPr>
          <w:rFonts w:ascii="ITC Avant Garde Std Bk" w:hAnsi="ITC Avant Garde Std Bk"/>
          <w:bCs/>
          <w:sz w:val="20"/>
          <w:szCs w:val="20"/>
          <w:shd w:val="clear" w:color="auto" w:fill="FFFFFF"/>
          <w:lang w:val="es-MX"/>
        </w:rPr>
      </w:pPr>
      <w:r w:rsidRPr="00751EB6">
        <w:rPr>
          <w:rFonts w:ascii="ITC Avant Garde Std Bk" w:hAnsi="ITC Avant Garde Std Bk"/>
          <w:b/>
          <w:bCs/>
          <w:sz w:val="20"/>
          <w:szCs w:val="20"/>
          <w:shd w:val="clear" w:color="auto" w:fill="FFFFFF"/>
          <w:lang w:val="es-MX"/>
        </w:rPr>
        <w:t>TERCERO. –</w:t>
      </w:r>
      <w:r w:rsidRPr="00751EB6">
        <w:rPr>
          <w:rFonts w:ascii="ITC Avant Garde Std Bk" w:hAnsi="ITC Avant Garde Std Bk"/>
          <w:bCs/>
          <w:sz w:val="20"/>
          <w:szCs w:val="20"/>
          <w:shd w:val="clear" w:color="auto" w:fill="FFFFFF"/>
          <w:lang w:val="es-MX"/>
        </w:rPr>
        <w:t xml:space="preserve"> </w:t>
      </w:r>
      <w:r w:rsidRPr="00751EB6">
        <w:rPr>
          <w:rFonts w:ascii="ITC Avant Garde Std Bk" w:hAnsi="ITC Avant Garde Std Bk"/>
          <w:b/>
          <w:bCs/>
          <w:sz w:val="20"/>
          <w:szCs w:val="20"/>
          <w:shd w:val="clear" w:color="auto" w:fill="FFFFFF"/>
          <w:lang w:val="es-MX"/>
        </w:rPr>
        <w:t xml:space="preserve">Análisis de impacto regulatorio. </w:t>
      </w:r>
      <w:r w:rsidRPr="00751EB6">
        <w:rPr>
          <w:rFonts w:ascii="ITC Avant Garde Std Bk" w:hAnsi="ITC Avant Garde Std Bk"/>
          <w:bCs/>
          <w:sz w:val="20"/>
          <w:szCs w:val="20"/>
          <w:shd w:val="clear" w:color="auto" w:fill="FFFFFF"/>
          <w:lang w:val="es-MX"/>
        </w:rPr>
        <w:t xml:space="preserve">Mediante oficio IFT/210/CGPE/114/2019, de fecha 15 de noviembre de 2019, la Coordinación General de Planeación Estratégica (en lo sucesivo “CGPE”) </w:t>
      </w:r>
      <w:r>
        <w:rPr>
          <w:rFonts w:ascii="ITC Avant Garde Std Bk" w:hAnsi="ITC Avant Garde Std Bk"/>
          <w:bCs/>
          <w:sz w:val="20"/>
          <w:szCs w:val="20"/>
          <w:shd w:val="clear" w:color="auto" w:fill="FFFFFF"/>
          <w:lang w:val="es-MX"/>
        </w:rPr>
        <w:t>remitió</w:t>
      </w:r>
      <w:r w:rsidRPr="00751EB6">
        <w:rPr>
          <w:rFonts w:ascii="ITC Avant Garde Std Bk" w:hAnsi="ITC Avant Garde Std Bk"/>
          <w:bCs/>
          <w:sz w:val="20"/>
          <w:szCs w:val="20"/>
          <w:shd w:val="clear" w:color="auto" w:fill="FFFFFF"/>
          <w:lang w:val="es-MX"/>
        </w:rPr>
        <w:t xml:space="preserve"> a la Coordinación General de Mejora Regulatoria (en lo sucesivo</w:t>
      </w:r>
      <w:r>
        <w:rPr>
          <w:rFonts w:ascii="ITC Avant Garde" w:hAnsi="ITC Avant Garde"/>
          <w:bCs/>
          <w:sz w:val="20"/>
          <w:szCs w:val="20"/>
        </w:rPr>
        <w:t xml:space="preserve"> </w:t>
      </w:r>
      <w:r w:rsidRPr="00751EB6">
        <w:rPr>
          <w:rFonts w:ascii="ITC Avant Garde Std Bk" w:hAnsi="ITC Avant Garde Std Bk"/>
          <w:bCs/>
          <w:sz w:val="20"/>
          <w:szCs w:val="20"/>
          <w:shd w:val="clear" w:color="auto" w:fill="FFFFFF"/>
          <w:lang w:val="es-MX"/>
        </w:rPr>
        <w:t>“CGMR”</w:t>
      </w:r>
      <w:r>
        <w:rPr>
          <w:rFonts w:ascii="ITC Avant Garde Std Bk" w:hAnsi="ITC Avant Garde Std Bk"/>
          <w:bCs/>
          <w:sz w:val="20"/>
          <w:szCs w:val="20"/>
          <w:shd w:val="clear" w:color="auto" w:fill="FFFFFF"/>
          <w:lang w:val="es-MX"/>
        </w:rPr>
        <w:t xml:space="preserve">) </w:t>
      </w:r>
      <w:r w:rsidRPr="00751EB6">
        <w:rPr>
          <w:rFonts w:ascii="ITC Avant Garde Std Bk" w:hAnsi="ITC Avant Garde Std Bk"/>
          <w:bCs/>
          <w:sz w:val="20"/>
          <w:szCs w:val="20"/>
          <w:shd w:val="clear" w:color="auto" w:fill="FFFFFF"/>
          <w:lang w:val="es-MX"/>
        </w:rPr>
        <w:t xml:space="preserve">el proyecto de “Acuerdo mediante el cual el Pleno del Instituto Federal </w:t>
      </w:r>
      <w:r w:rsidRPr="00751EB6">
        <w:rPr>
          <w:rFonts w:ascii="ITC Avant Garde Std Bk" w:hAnsi="ITC Avant Garde Std Bk"/>
          <w:bCs/>
          <w:sz w:val="20"/>
          <w:szCs w:val="20"/>
          <w:shd w:val="clear" w:color="auto" w:fill="FFFFFF"/>
          <w:lang w:val="es-MX"/>
        </w:rPr>
        <w:lastRenderedPageBreak/>
        <w:t>de Telecomunicaciones aprueba y emite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acompañado de su respectivo Análisis de Impacto Regulatorio, a efecto de dar cumplimiento al proceso de mejora regulatoria previsto en el marco jurídico vigente, para la emisión de reglas, lineamientos o disposiciones administrativas de carácter general</w:t>
      </w:r>
      <w:r>
        <w:rPr>
          <w:rFonts w:ascii="ITC Avant Garde Std Bk" w:hAnsi="ITC Avant Garde Std Bk"/>
          <w:bCs/>
          <w:sz w:val="20"/>
          <w:szCs w:val="20"/>
          <w:shd w:val="clear" w:color="auto" w:fill="FFFFFF"/>
          <w:lang w:val="es-MX"/>
        </w:rPr>
        <w:t>.</w:t>
      </w:r>
    </w:p>
    <w:p w14:paraId="4D80E1DF" w14:textId="6465FDA7" w:rsidR="005C1AE2" w:rsidRDefault="005C1AE2" w:rsidP="005C1AE2">
      <w:pPr>
        <w:spacing w:line="240" w:lineRule="auto"/>
        <w:jc w:val="both"/>
        <w:rPr>
          <w:rFonts w:ascii="ITC Avant Garde Std Bk" w:hAnsi="ITC Avant Garde Std Bk"/>
          <w:bCs/>
          <w:sz w:val="20"/>
          <w:szCs w:val="20"/>
          <w:shd w:val="clear" w:color="auto" w:fill="FFFFFF"/>
          <w:lang w:val="es-MX"/>
        </w:rPr>
      </w:pPr>
    </w:p>
    <w:p w14:paraId="7D88C928" w14:textId="77777777" w:rsidR="005C1AE2" w:rsidRPr="00751EB6" w:rsidRDefault="005C1AE2" w:rsidP="005C1AE2">
      <w:pPr>
        <w:spacing w:line="240" w:lineRule="auto"/>
        <w:jc w:val="both"/>
        <w:rPr>
          <w:rFonts w:ascii="ITC Avant Garde Std Bk" w:hAnsi="ITC Avant Garde Std Bk"/>
          <w:bCs/>
          <w:sz w:val="20"/>
          <w:szCs w:val="20"/>
          <w:shd w:val="clear" w:color="auto" w:fill="FFFFFF"/>
          <w:lang w:val="es-MX"/>
        </w:rPr>
      </w:pPr>
      <w:r w:rsidRPr="00751EB6">
        <w:rPr>
          <w:rFonts w:ascii="ITC Avant Garde Std Bk" w:hAnsi="ITC Avant Garde Std Bk"/>
          <w:bCs/>
          <w:sz w:val="20"/>
          <w:szCs w:val="20"/>
          <w:shd w:val="clear" w:color="auto" w:fill="FFFFFF"/>
          <w:lang w:val="es-MX"/>
        </w:rPr>
        <w:t xml:space="preserve">Como consecuencia de lo anterior, mediante oficio número IFT/211/CGMR/200/2019, de fecha 25 de noviembre de 2019, la CGMR envío a la CGPE la opinión no vinculante sobre el Análisis de Impacto Regulatorio del Proyecto de </w:t>
      </w:r>
      <w:r>
        <w:rPr>
          <w:rFonts w:ascii="ITC Avant Garde Std Bk" w:hAnsi="ITC Avant Garde Std Bk"/>
          <w:bCs/>
          <w:sz w:val="20"/>
          <w:szCs w:val="20"/>
          <w:shd w:val="clear" w:color="auto" w:fill="FFFFFF"/>
          <w:lang w:val="es-MX"/>
        </w:rPr>
        <w:t>“</w:t>
      </w:r>
      <w:r w:rsidRPr="00751EB6">
        <w:rPr>
          <w:rFonts w:ascii="ITC Avant Garde Std Bk" w:hAnsi="ITC Avant Garde Std Bk"/>
          <w:bCs/>
          <w:sz w:val="20"/>
          <w:szCs w:val="20"/>
          <w:shd w:val="clear" w:color="auto" w:fill="FFFFFF"/>
          <w:lang w:val="es-MX"/>
        </w:rPr>
        <w:t>Acuerdo mediante el cual el Pleno del Instituto Federal de Telecomunicaciones aprueba y emite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p>
    <w:p w14:paraId="37C0E11C" w14:textId="77777777" w:rsidR="005C1AE2" w:rsidRPr="00751EB6" w:rsidRDefault="005C1AE2" w:rsidP="005C1AE2">
      <w:pPr>
        <w:spacing w:line="240" w:lineRule="auto"/>
        <w:jc w:val="both"/>
        <w:rPr>
          <w:rFonts w:ascii="ITC Avant Garde Std Bk" w:hAnsi="ITC Avant Garde Std Bk"/>
          <w:bCs/>
          <w:sz w:val="20"/>
          <w:szCs w:val="20"/>
          <w:shd w:val="clear" w:color="auto" w:fill="FFFFFF"/>
          <w:lang w:val="es-MX"/>
        </w:rPr>
      </w:pPr>
    </w:p>
    <w:p w14:paraId="345C0C06" w14:textId="753C8301" w:rsidR="00511A10" w:rsidRPr="00B13C9D" w:rsidRDefault="00511A10" w:rsidP="00511A10">
      <w:pPr>
        <w:spacing w:line="240" w:lineRule="auto"/>
        <w:jc w:val="both"/>
        <w:outlineLvl w:val="0"/>
        <w:rPr>
          <w:rFonts w:ascii="ITC Avant Garde Std Bk" w:hAnsi="ITC Avant Garde Std Bk"/>
          <w:sz w:val="20"/>
          <w:szCs w:val="20"/>
        </w:rPr>
      </w:pPr>
      <w:r w:rsidRPr="00EA7B57">
        <w:rPr>
          <w:rFonts w:ascii="ITC Avant Garde Std Bk" w:hAnsi="ITC Avant Garde Std Bk"/>
          <w:sz w:val="20"/>
          <w:szCs w:val="20"/>
        </w:rPr>
        <w:t>Por lo anteriormente expuesto, con fundamento en los artículos 6o., 7o. y 28, párrafos décimo quinto, décimo sexto y vigésimo, fracción IV de la Constitución Política de los Estados Unidos Mexicanos; 1, 2, 7, 15, fracciones I, XL, XLI y LVI, 17, fracciones I y XIII, 51 y 52 de la Ley Federal de Telecomunicaciones y Radiodifusión; 5, 12, fracción XXII y 138 de la Ley Federal de Competencia Económica</w:t>
      </w:r>
      <w:r w:rsidR="00101B7B">
        <w:rPr>
          <w:rFonts w:ascii="ITC Avant Garde Std Bk" w:hAnsi="ITC Avant Garde Std Bk"/>
          <w:sz w:val="20"/>
          <w:szCs w:val="20"/>
        </w:rPr>
        <w:t>;</w:t>
      </w:r>
      <w:r w:rsidRPr="00EA7B57">
        <w:rPr>
          <w:rFonts w:ascii="ITC Avant Garde Std Bk" w:hAnsi="ITC Avant Garde Std Bk"/>
          <w:sz w:val="20"/>
          <w:szCs w:val="20"/>
        </w:rPr>
        <w:t xml:space="preserve"> Lineamientos Primero, Tercero, fracción II, Décimo Tercero, Vigésimo y Vigésimo Primero de los Lineamientos de Consulta Pública y Análisis de Impacto Regulatorio del Instituto Federal de Telecomunicaciones</w:t>
      </w:r>
      <w:r w:rsidR="00101B7B">
        <w:rPr>
          <w:rFonts w:ascii="ITC Avant Garde Std Bk" w:hAnsi="ITC Avant Garde Std Bk"/>
          <w:sz w:val="20"/>
          <w:szCs w:val="20"/>
        </w:rPr>
        <w:t>;</w:t>
      </w:r>
      <w:r w:rsidRPr="00EA7B57">
        <w:rPr>
          <w:rFonts w:ascii="ITC Avant Garde Std Bk" w:hAnsi="ITC Avant Garde Std Bk"/>
          <w:sz w:val="20"/>
          <w:szCs w:val="20"/>
        </w:rPr>
        <w:t xml:space="preserve"> y 1, 4, fracción I, y 6 fracciones I, XX, XXV y XXXVII, y 73, fracción VII del Estatuto Orgánico del Instituto Federal de Telecomunicaciones, </w:t>
      </w:r>
      <w:r w:rsidRPr="00EA7B57" w:rsidDel="002D6EA0">
        <w:rPr>
          <w:rFonts w:ascii="ITC Avant Garde Std Bk" w:hAnsi="ITC Avant Garde Std Bk"/>
          <w:sz w:val="20"/>
          <w:szCs w:val="20"/>
        </w:rPr>
        <w:t>el Pleno resuelve emitir el siguiente:</w:t>
      </w:r>
    </w:p>
    <w:p w14:paraId="4A46028B" w14:textId="77777777" w:rsidR="00511A10" w:rsidRDefault="00511A10" w:rsidP="00511A10">
      <w:pPr>
        <w:jc w:val="both"/>
        <w:outlineLvl w:val="0"/>
        <w:rPr>
          <w:rFonts w:ascii="ITC Avant Garde Std Bk" w:hAnsi="ITC Avant Garde Std Bk"/>
          <w:sz w:val="20"/>
          <w:szCs w:val="20"/>
        </w:rPr>
      </w:pPr>
    </w:p>
    <w:p w14:paraId="7ADC6975" w14:textId="77777777" w:rsidR="00511A10" w:rsidRPr="00EA7B57" w:rsidDel="002D6EA0" w:rsidRDefault="00511A10" w:rsidP="00511A10">
      <w:pPr>
        <w:jc w:val="both"/>
        <w:outlineLvl w:val="0"/>
        <w:rPr>
          <w:rFonts w:ascii="ITC Avant Garde Std Bk" w:hAnsi="ITC Avant Garde Std Bk"/>
          <w:sz w:val="20"/>
          <w:szCs w:val="20"/>
        </w:rPr>
      </w:pPr>
    </w:p>
    <w:p w14:paraId="74C69AF9" w14:textId="77777777" w:rsidR="00511A10" w:rsidRPr="00EA7B57" w:rsidRDefault="00511A10" w:rsidP="00511A10">
      <w:pPr>
        <w:jc w:val="center"/>
        <w:outlineLvl w:val="0"/>
        <w:rPr>
          <w:rFonts w:ascii="ITC Avant Garde Std Bk" w:hAnsi="ITC Avant Garde Std Bk"/>
          <w:b/>
          <w:sz w:val="20"/>
          <w:szCs w:val="20"/>
        </w:rPr>
      </w:pPr>
      <w:r w:rsidRPr="00EA7B57" w:rsidDel="002D6EA0">
        <w:rPr>
          <w:rFonts w:ascii="ITC Avant Garde Std Bk" w:hAnsi="ITC Avant Garde Std Bk"/>
          <w:b/>
          <w:sz w:val="20"/>
          <w:szCs w:val="20"/>
        </w:rPr>
        <w:t>ACUERDO</w:t>
      </w:r>
    </w:p>
    <w:p w14:paraId="02342AD6" w14:textId="77777777" w:rsidR="00511A10" w:rsidRDefault="00511A10" w:rsidP="00511A10">
      <w:pPr>
        <w:jc w:val="both"/>
        <w:outlineLvl w:val="0"/>
        <w:rPr>
          <w:rFonts w:ascii="ITC Avant Garde Std Bk" w:hAnsi="ITC Avant Garde Std Bk"/>
          <w:b/>
          <w:sz w:val="20"/>
          <w:szCs w:val="20"/>
        </w:rPr>
      </w:pPr>
    </w:p>
    <w:p w14:paraId="265C0845" w14:textId="77777777" w:rsidR="00511A10" w:rsidRPr="00EA7B57" w:rsidRDefault="00511A10" w:rsidP="00511A10">
      <w:pPr>
        <w:jc w:val="both"/>
        <w:outlineLvl w:val="0"/>
        <w:rPr>
          <w:rFonts w:ascii="ITC Avant Garde Std Bk" w:hAnsi="ITC Avant Garde Std Bk"/>
          <w:b/>
          <w:sz w:val="20"/>
          <w:szCs w:val="20"/>
        </w:rPr>
      </w:pPr>
    </w:p>
    <w:p w14:paraId="33B5FF35" w14:textId="77777777" w:rsidR="00511A10" w:rsidRDefault="002B0F74" w:rsidP="00FA0B55">
      <w:pPr>
        <w:jc w:val="both"/>
        <w:outlineLvl w:val="0"/>
        <w:rPr>
          <w:rFonts w:ascii="ITC Avant Garde Std Bk" w:hAnsi="ITC Avant Garde Std Bk"/>
          <w:sz w:val="20"/>
          <w:szCs w:val="20"/>
        </w:rPr>
      </w:pPr>
      <w:r>
        <w:rPr>
          <w:rFonts w:ascii="ITC Avant Garde Std Bk" w:hAnsi="ITC Avant Garde Std Bk"/>
          <w:b/>
          <w:sz w:val="20"/>
          <w:szCs w:val="20"/>
        </w:rPr>
        <w:t>ÚNICO</w:t>
      </w:r>
      <w:r w:rsidR="00511A10" w:rsidRPr="00EA7B57">
        <w:rPr>
          <w:rFonts w:ascii="ITC Avant Garde Std Bk" w:hAnsi="ITC Avant Garde Std Bk"/>
          <w:b/>
          <w:sz w:val="20"/>
          <w:szCs w:val="20"/>
        </w:rPr>
        <w:t xml:space="preserve">. - </w:t>
      </w:r>
      <w:r w:rsidR="00511A10" w:rsidRPr="00EA7B57">
        <w:rPr>
          <w:rFonts w:ascii="ITC Avant Garde Std Bk" w:hAnsi="ITC Avant Garde Std Bk"/>
          <w:sz w:val="20"/>
          <w:szCs w:val="20"/>
        </w:rPr>
        <w:t xml:space="preserve">Se </w:t>
      </w:r>
      <w:r>
        <w:rPr>
          <w:rFonts w:ascii="ITC Avant Garde Std Bk" w:hAnsi="ITC Avant Garde Std Bk"/>
          <w:sz w:val="20"/>
          <w:szCs w:val="20"/>
        </w:rPr>
        <w:t>aprueban y emiten los</w:t>
      </w:r>
      <w:r w:rsidR="00511A10" w:rsidRPr="00EA7B57">
        <w:rPr>
          <w:rFonts w:ascii="ITC Avant Garde Std Bk" w:hAnsi="ITC Avant Garde Std Bk"/>
          <w:sz w:val="20"/>
          <w:szCs w:val="20"/>
        </w:rPr>
        <w:t xml:space="preserv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00861B7A">
        <w:rPr>
          <w:rFonts w:ascii="ITC Avant Garde Std Bk" w:hAnsi="ITC Avant Garde Std Bk"/>
          <w:sz w:val="20"/>
          <w:szCs w:val="20"/>
        </w:rPr>
        <w:t>.</w:t>
      </w:r>
    </w:p>
    <w:p w14:paraId="680C7150" w14:textId="77777777" w:rsidR="00511A10" w:rsidRPr="00EA7B57" w:rsidRDefault="00511A10" w:rsidP="00511A10">
      <w:pPr>
        <w:jc w:val="both"/>
        <w:rPr>
          <w:rFonts w:ascii="ITC Avant Garde Std Bk" w:hAnsi="ITC Avant Garde Std Bk"/>
          <w:sz w:val="20"/>
          <w:szCs w:val="20"/>
        </w:rPr>
      </w:pPr>
    </w:p>
    <w:p w14:paraId="4063FAD4" w14:textId="77777777" w:rsidR="00511A10" w:rsidRPr="00EA7B57" w:rsidRDefault="00511A10" w:rsidP="00511A10">
      <w:pPr>
        <w:jc w:val="both"/>
        <w:rPr>
          <w:rFonts w:ascii="ITC Avant Garde Std Bk" w:hAnsi="ITC Avant Garde Std Bk"/>
          <w:sz w:val="20"/>
          <w:szCs w:val="20"/>
        </w:rPr>
      </w:pPr>
    </w:p>
    <w:tbl>
      <w:tblPr>
        <w:tblW w:w="4699" w:type="pct"/>
        <w:tblCellMar>
          <w:left w:w="70" w:type="dxa"/>
          <w:right w:w="70" w:type="dxa"/>
        </w:tblCellMar>
        <w:tblLook w:val="04A0" w:firstRow="1" w:lastRow="0" w:firstColumn="1" w:lastColumn="0" w:noHBand="0" w:noVBand="1"/>
      </w:tblPr>
      <w:tblGrid>
        <w:gridCol w:w="4404"/>
        <w:gridCol w:w="3902"/>
      </w:tblGrid>
      <w:tr w:rsidR="00511A10" w:rsidRPr="00B13C9D" w14:paraId="6734BE33" w14:textId="77777777" w:rsidTr="004F7474">
        <w:trPr>
          <w:trHeight w:val="1241"/>
        </w:trPr>
        <w:tc>
          <w:tcPr>
            <w:tcW w:w="5000" w:type="pct"/>
            <w:gridSpan w:val="2"/>
            <w:shd w:val="clear" w:color="auto" w:fill="auto"/>
          </w:tcPr>
          <w:p w14:paraId="569A7F04"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Gabriel Oswaldo Contreras Saldívar</w:t>
            </w:r>
          </w:p>
          <w:p w14:paraId="00079ACB" w14:textId="77777777" w:rsidR="00511A10" w:rsidRPr="00EA7B57" w:rsidRDefault="00591104" w:rsidP="004F7474">
            <w:pPr>
              <w:jc w:val="center"/>
              <w:rPr>
                <w:rFonts w:ascii="ITC Avant Garde Std Bk" w:hAnsi="ITC Avant Garde Std Bk"/>
                <w:b/>
                <w:sz w:val="20"/>
                <w:szCs w:val="20"/>
              </w:rPr>
            </w:pPr>
            <w:r>
              <w:rPr>
                <w:rFonts w:ascii="ITC Avant Garde Std Bk" w:hAnsi="ITC Avant Garde Std Bk"/>
                <w:b/>
                <w:sz w:val="20"/>
                <w:szCs w:val="20"/>
              </w:rPr>
              <w:t xml:space="preserve">Comisionado </w:t>
            </w:r>
            <w:r w:rsidR="00511A10" w:rsidRPr="00EA7B57">
              <w:rPr>
                <w:rFonts w:ascii="ITC Avant Garde Std Bk" w:hAnsi="ITC Avant Garde Std Bk"/>
                <w:b/>
                <w:sz w:val="20"/>
                <w:szCs w:val="20"/>
              </w:rPr>
              <w:t>Presidente</w:t>
            </w:r>
          </w:p>
          <w:p w14:paraId="3ECA0529" w14:textId="77777777" w:rsidR="00511A10" w:rsidRPr="00B13C9D" w:rsidRDefault="00511A10" w:rsidP="004F7474">
            <w:pPr>
              <w:jc w:val="center"/>
              <w:rPr>
                <w:rFonts w:ascii="ITC Avant Garde" w:hAnsi="ITC Avant Garde"/>
                <w:b/>
                <w:bCs/>
                <w:sz w:val="20"/>
                <w:szCs w:val="20"/>
              </w:rPr>
            </w:pPr>
          </w:p>
        </w:tc>
      </w:tr>
      <w:tr w:rsidR="00511A10" w:rsidRPr="00B13C9D" w14:paraId="06C22301" w14:textId="77777777" w:rsidTr="004F7474">
        <w:trPr>
          <w:trHeight w:val="850"/>
        </w:trPr>
        <w:tc>
          <w:tcPr>
            <w:tcW w:w="2651" w:type="pct"/>
            <w:shd w:val="clear" w:color="auto" w:fill="auto"/>
          </w:tcPr>
          <w:p w14:paraId="6D719CDE" w14:textId="77777777" w:rsidR="00511A10" w:rsidRPr="00B13C9D" w:rsidRDefault="00511A10" w:rsidP="004F7474">
            <w:pPr>
              <w:rPr>
                <w:rFonts w:ascii="ITC Avant Garde" w:hAnsi="ITC Avant Garde"/>
                <w:b/>
                <w:bCs/>
                <w:sz w:val="20"/>
                <w:szCs w:val="20"/>
              </w:rPr>
            </w:pPr>
          </w:p>
        </w:tc>
        <w:tc>
          <w:tcPr>
            <w:tcW w:w="2349" w:type="pct"/>
            <w:shd w:val="clear" w:color="auto" w:fill="auto"/>
          </w:tcPr>
          <w:p w14:paraId="3A9BD188" w14:textId="77777777" w:rsidR="00511A10" w:rsidRPr="00B13C9D" w:rsidRDefault="00511A10" w:rsidP="004F7474">
            <w:pPr>
              <w:rPr>
                <w:rFonts w:ascii="ITC Avant Garde" w:hAnsi="ITC Avant Garde"/>
                <w:b/>
                <w:bCs/>
                <w:sz w:val="20"/>
                <w:szCs w:val="20"/>
              </w:rPr>
            </w:pPr>
          </w:p>
        </w:tc>
      </w:tr>
      <w:tr w:rsidR="00511A10" w:rsidRPr="00B13C9D" w14:paraId="60784EA3" w14:textId="77777777" w:rsidTr="004F7474">
        <w:trPr>
          <w:trHeight w:val="850"/>
        </w:trPr>
        <w:tc>
          <w:tcPr>
            <w:tcW w:w="2651" w:type="pct"/>
            <w:shd w:val="clear" w:color="auto" w:fill="auto"/>
          </w:tcPr>
          <w:p w14:paraId="60C5939C" w14:textId="77777777" w:rsidR="00511A10" w:rsidRPr="00B13C9D" w:rsidRDefault="00511A10" w:rsidP="004F7474">
            <w:pPr>
              <w:rPr>
                <w:rFonts w:ascii="ITC Avant Garde" w:hAnsi="ITC Avant Garde"/>
                <w:b/>
                <w:bCs/>
                <w:sz w:val="20"/>
                <w:szCs w:val="20"/>
              </w:rPr>
            </w:pPr>
          </w:p>
        </w:tc>
        <w:tc>
          <w:tcPr>
            <w:tcW w:w="2349" w:type="pct"/>
            <w:shd w:val="clear" w:color="auto" w:fill="auto"/>
          </w:tcPr>
          <w:p w14:paraId="16BCB4FF" w14:textId="77777777" w:rsidR="00511A10" w:rsidRPr="00B13C9D" w:rsidRDefault="00511A10" w:rsidP="004F7474">
            <w:pPr>
              <w:rPr>
                <w:rFonts w:ascii="ITC Avant Garde" w:hAnsi="ITC Avant Garde"/>
                <w:b/>
                <w:bCs/>
                <w:sz w:val="20"/>
                <w:szCs w:val="20"/>
              </w:rPr>
            </w:pPr>
          </w:p>
        </w:tc>
      </w:tr>
      <w:tr w:rsidR="00511A10" w:rsidRPr="00B13C9D" w14:paraId="214FEAE7" w14:textId="77777777" w:rsidTr="004F7474">
        <w:trPr>
          <w:trHeight w:val="1241"/>
        </w:trPr>
        <w:tc>
          <w:tcPr>
            <w:tcW w:w="2651" w:type="pct"/>
            <w:shd w:val="clear" w:color="auto" w:fill="auto"/>
            <w:hideMark/>
          </w:tcPr>
          <w:p w14:paraId="026D9F4E"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lastRenderedPageBreak/>
              <w:t xml:space="preserve">Mario Germán </w:t>
            </w:r>
            <w:proofErr w:type="spellStart"/>
            <w:r w:rsidRPr="00EA7B57">
              <w:rPr>
                <w:rFonts w:ascii="ITC Avant Garde Std Bk" w:hAnsi="ITC Avant Garde Std Bk"/>
                <w:b/>
                <w:sz w:val="20"/>
                <w:szCs w:val="20"/>
              </w:rPr>
              <w:t>Fromow</w:t>
            </w:r>
            <w:proofErr w:type="spellEnd"/>
            <w:r w:rsidRPr="00EA7B57">
              <w:rPr>
                <w:rFonts w:ascii="ITC Avant Garde Std Bk" w:hAnsi="ITC Avant Garde Std Bk"/>
                <w:b/>
                <w:sz w:val="20"/>
                <w:szCs w:val="20"/>
              </w:rPr>
              <w:t xml:space="preserve"> Rangel</w:t>
            </w:r>
          </w:p>
          <w:p w14:paraId="42852FE1"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Comisionado</w:t>
            </w:r>
            <w:r w:rsidRPr="00EA7B57" w:rsidDel="009667EB">
              <w:rPr>
                <w:rFonts w:ascii="ITC Avant Garde Std Bk" w:hAnsi="ITC Avant Garde Std Bk"/>
                <w:b/>
                <w:sz w:val="20"/>
                <w:szCs w:val="20"/>
              </w:rPr>
              <w:t xml:space="preserve"> </w:t>
            </w:r>
          </w:p>
          <w:p w14:paraId="0A8A9B98" w14:textId="77777777" w:rsidR="00511A10" w:rsidRDefault="00511A10" w:rsidP="004F7474">
            <w:pPr>
              <w:jc w:val="center"/>
              <w:rPr>
                <w:rFonts w:ascii="ITC Avant Garde" w:hAnsi="ITC Avant Garde"/>
                <w:bCs/>
                <w:sz w:val="20"/>
                <w:szCs w:val="20"/>
              </w:rPr>
            </w:pPr>
          </w:p>
          <w:p w14:paraId="027FB9F7" w14:textId="77777777" w:rsidR="00511A10" w:rsidRDefault="00511A10" w:rsidP="004F7474">
            <w:pPr>
              <w:jc w:val="center"/>
              <w:rPr>
                <w:rFonts w:ascii="ITC Avant Garde" w:hAnsi="ITC Avant Garde"/>
                <w:bCs/>
                <w:sz w:val="20"/>
                <w:szCs w:val="20"/>
              </w:rPr>
            </w:pPr>
          </w:p>
          <w:p w14:paraId="790DDE7E" w14:textId="77777777" w:rsidR="00511A10" w:rsidRDefault="00511A10" w:rsidP="004F7474">
            <w:pPr>
              <w:jc w:val="center"/>
              <w:rPr>
                <w:rFonts w:ascii="ITC Avant Garde" w:hAnsi="ITC Avant Garde"/>
                <w:bCs/>
                <w:sz w:val="20"/>
                <w:szCs w:val="20"/>
              </w:rPr>
            </w:pPr>
          </w:p>
          <w:p w14:paraId="241D7699" w14:textId="77777777" w:rsidR="00511A10" w:rsidRDefault="00511A10" w:rsidP="004F7474">
            <w:pPr>
              <w:jc w:val="center"/>
              <w:rPr>
                <w:rFonts w:ascii="ITC Avant Garde" w:hAnsi="ITC Avant Garde"/>
                <w:bCs/>
                <w:sz w:val="20"/>
                <w:szCs w:val="20"/>
              </w:rPr>
            </w:pPr>
          </w:p>
          <w:p w14:paraId="195B8880" w14:textId="77777777" w:rsidR="00511A10" w:rsidRDefault="00511A10" w:rsidP="004F7474">
            <w:pPr>
              <w:jc w:val="center"/>
              <w:rPr>
                <w:rFonts w:ascii="ITC Avant Garde" w:hAnsi="ITC Avant Garde"/>
                <w:bCs/>
                <w:sz w:val="20"/>
                <w:szCs w:val="20"/>
              </w:rPr>
            </w:pPr>
          </w:p>
          <w:p w14:paraId="679063D3" w14:textId="77777777" w:rsidR="00511A10" w:rsidRDefault="00511A10" w:rsidP="004F7474">
            <w:pPr>
              <w:jc w:val="center"/>
              <w:rPr>
                <w:rFonts w:ascii="ITC Avant Garde" w:hAnsi="ITC Avant Garde"/>
                <w:bCs/>
                <w:sz w:val="20"/>
                <w:szCs w:val="20"/>
              </w:rPr>
            </w:pPr>
          </w:p>
          <w:p w14:paraId="295280E0" w14:textId="77777777" w:rsidR="00511A10" w:rsidRDefault="00511A10" w:rsidP="004F7474">
            <w:pPr>
              <w:jc w:val="center"/>
              <w:rPr>
                <w:rFonts w:ascii="ITC Avant Garde" w:hAnsi="ITC Avant Garde"/>
                <w:bCs/>
                <w:sz w:val="20"/>
                <w:szCs w:val="20"/>
              </w:rPr>
            </w:pPr>
          </w:p>
          <w:p w14:paraId="5D26E871" w14:textId="77777777" w:rsidR="00511A10" w:rsidRDefault="00511A10" w:rsidP="004F7474">
            <w:pPr>
              <w:jc w:val="center"/>
              <w:rPr>
                <w:rFonts w:ascii="ITC Avant Garde" w:hAnsi="ITC Avant Garde"/>
                <w:bCs/>
                <w:sz w:val="20"/>
                <w:szCs w:val="20"/>
              </w:rPr>
            </w:pPr>
          </w:p>
          <w:p w14:paraId="38B01370" w14:textId="77777777" w:rsidR="00511A10" w:rsidRPr="00B13C9D" w:rsidRDefault="00511A10" w:rsidP="004F7474">
            <w:pPr>
              <w:jc w:val="center"/>
              <w:rPr>
                <w:rFonts w:ascii="ITC Avant Garde" w:hAnsi="ITC Avant Garde"/>
                <w:bCs/>
                <w:sz w:val="20"/>
                <w:szCs w:val="20"/>
              </w:rPr>
            </w:pPr>
          </w:p>
        </w:tc>
        <w:tc>
          <w:tcPr>
            <w:tcW w:w="2349" w:type="pct"/>
            <w:shd w:val="clear" w:color="auto" w:fill="auto"/>
          </w:tcPr>
          <w:p w14:paraId="55E6881A"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Adolfo Cuevas Teja</w:t>
            </w:r>
          </w:p>
          <w:p w14:paraId="0800342D"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Comisionado</w:t>
            </w:r>
          </w:p>
          <w:p w14:paraId="0ADE56F3" w14:textId="77777777" w:rsidR="00511A10" w:rsidRPr="00B13C9D" w:rsidRDefault="00511A10" w:rsidP="004F7474">
            <w:pPr>
              <w:rPr>
                <w:rFonts w:ascii="ITC Avant Garde" w:hAnsi="ITC Avant Garde"/>
                <w:bCs/>
                <w:sz w:val="20"/>
                <w:szCs w:val="20"/>
              </w:rPr>
            </w:pPr>
          </w:p>
          <w:p w14:paraId="0EBA6F63" w14:textId="77777777" w:rsidR="00511A10" w:rsidRPr="00B13C9D" w:rsidRDefault="00511A10" w:rsidP="004F7474">
            <w:pPr>
              <w:rPr>
                <w:rFonts w:ascii="ITC Avant Garde" w:hAnsi="ITC Avant Garde"/>
                <w:bCs/>
                <w:sz w:val="20"/>
                <w:szCs w:val="20"/>
              </w:rPr>
            </w:pPr>
          </w:p>
        </w:tc>
      </w:tr>
      <w:tr w:rsidR="00511A10" w:rsidRPr="00EA7B57" w14:paraId="3809B728" w14:textId="77777777" w:rsidTr="004F7474">
        <w:trPr>
          <w:trHeight w:val="1273"/>
        </w:trPr>
        <w:tc>
          <w:tcPr>
            <w:tcW w:w="2651" w:type="pct"/>
            <w:shd w:val="clear" w:color="auto" w:fill="auto"/>
          </w:tcPr>
          <w:p w14:paraId="11F373C4"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Javier Juárez Mojica</w:t>
            </w:r>
          </w:p>
          <w:p w14:paraId="43ACE37F"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Comisionado</w:t>
            </w:r>
          </w:p>
          <w:p w14:paraId="5AA048F1" w14:textId="77777777" w:rsidR="00511A10" w:rsidRPr="00EA7B57" w:rsidRDefault="00511A10" w:rsidP="004F7474">
            <w:pPr>
              <w:jc w:val="center"/>
              <w:rPr>
                <w:rFonts w:ascii="ITC Avant Garde Std Bk" w:hAnsi="ITC Avant Garde Std Bk"/>
                <w:b/>
                <w:sz w:val="20"/>
                <w:szCs w:val="20"/>
              </w:rPr>
            </w:pPr>
            <w:r w:rsidRPr="00EA7B57" w:rsidDel="009667EB">
              <w:rPr>
                <w:rFonts w:ascii="ITC Avant Garde Std Bk" w:hAnsi="ITC Avant Garde Std Bk"/>
                <w:b/>
                <w:sz w:val="20"/>
                <w:szCs w:val="20"/>
              </w:rPr>
              <w:t xml:space="preserve"> </w:t>
            </w:r>
          </w:p>
          <w:p w14:paraId="521B1C2B" w14:textId="77777777" w:rsidR="00511A10" w:rsidRPr="00EA7B57" w:rsidRDefault="00511A10" w:rsidP="004F7474">
            <w:pPr>
              <w:jc w:val="center"/>
              <w:rPr>
                <w:rFonts w:ascii="ITC Avant Garde Std Bk" w:hAnsi="ITC Avant Garde Std Bk"/>
                <w:b/>
                <w:sz w:val="20"/>
                <w:szCs w:val="20"/>
              </w:rPr>
            </w:pPr>
          </w:p>
          <w:p w14:paraId="7514768F" w14:textId="77777777" w:rsidR="00511A10" w:rsidRPr="00EA7B57" w:rsidRDefault="00511A10" w:rsidP="004F7474">
            <w:pPr>
              <w:jc w:val="center"/>
              <w:rPr>
                <w:rFonts w:ascii="ITC Avant Garde Std Bk" w:hAnsi="ITC Avant Garde Std Bk"/>
                <w:b/>
                <w:sz w:val="20"/>
                <w:szCs w:val="20"/>
              </w:rPr>
            </w:pPr>
          </w:p>
          <w:p w14:paraId="2D153D18" w14:textId="77777777" w:rsidR="00511A10" w:rsidRPr="00EA7B57" w:rsidRDefault="00511A10" w:rsidP="004F7474">
            <w:pPr>
              <w:jc w:val="center"/>
              <w:rPr>
                <w:rFonts w:ascii="ITC Avant Garde Std Bk" w:hAnsi="ITC Avant Garde Std Bk"/>
                <w:b/>
                <w:sz w:val="20"/>
                <w:szCs w:val="20"/>
              </w:rPr>
            </w:pPr>
          </w:p>
          <w:p w14:paraId="22D57FFC" w14:textId="77777777" w:rsidR="00511A10" w:rsidRPr="00EA7B57" w:rsidRDefault="00511A10" w:rsidP="004F7474">
            <w:pPr>
              <w:jc w:val="center"/>
              <w:rPr>
                <w:rFonts w:ascii="ITC Avant Garde Std Bk" w:hAnsi="ITC Avant Garde Std Bk"/>
                <w:b/>
                <w:sz w:val="20"/>
                <w:szCs w:val="20"/>
              </w:rPr>
            </w:pPr>
          </w:p>
        </w:tc>
        <w:tc>
          <w:tcPr>
            <w:tcW w:w="2349" w:type="pct"/>
            <w:shd w:val="clear" w:color="auto" w:fill="auto"/>
          </w:tcPr>
          <w:p w14:paraId="739BBE36"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 xml:space="preserve">Arturo Robles </w:t>
            </w:r>
            <w:proofErr w:type="spellStart"/>
            <w:r w:rsidRPr="00EA7B57">
              <w:rPr>
                <w:rFonts w:ascii="ITC Avant Garde Std Bk" w:hAnsi="ITC Avant Garde Std Bk"/>
                <w:b/>
                <w:sz w:val="20"/>
                <w:szCs w:val="20"/>
              </w:rPr>
              <w:t>Rovalo</w:t>
            </w:r>
            <w:proofErr w:type="spellEnd"/>
          </w:p>
          <w:p w14:paraId="38DD0B63"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Comisionado</w:t>
            </w:r>
          </w:p>
          <w:p w14:paraId="130AB2DA" w14:textId="77777777" w:rsidR="00511A10" w:rsidRDefault="00511A10" w:rsidP="004F7474">
            <w:pPr>
              <w:rPr>
                <w:rFonts w:ascii="ITC Avant Garde Std Bk" w:hAnsi="ITC Avant Garde Std Bk"/>
                <w:b/>
                <w:sz w:val="20"/>
                <w:szCs w:val="20"/>
              </w:rPr>
            </w:pPr>
          </w:p>
          <w:p w14:paraId="1C7C1F87" w14:textId="77777777" w:rsidR="00511A10" w:rsidRDefault="00511A10" w:rsidP="004F7474">
            <w:pPr>
              <w:rPr>
                <w:rFonts w:ascii="ITC Avant Garde Std Bk" w:hAnsi="ITC Avant Garde Std Bk"/>
                <w:b/>
                <w:sz w:val="20"/>
                <w:szCs w:val="20"/>
              </w:rPr>
            </w:pPr>
          </w:p>
          <w:p w14:paraId="60D238B6" w14:textId="77777777" w:rsidR="00511A10" w:rsidRDefault="00511A10" w:rsidP="004F7474">
            <w:pPr>
              <w:rPr>
                <w:rFonts w:ascii="ITC Avant Garde Std Bk" w:hAnsi="ITC Avant Garde Std Bk"/>
                <w:b/>
                <w:sz w:val="20"/>
                <w:szCs w:val="20"/>
              </w:rPr>
            </w:pPr>
          </w:p>
          <w:p w14:paraId="7BD68092" w14:textId="77777777" w:rsidR="00511A10" w:rsidRDefault="00511A10" w:rsidP="004F7474">
            <w:pPr>
              <w:rPr>
                <w:rFonts w:ascii="ITC Avant Garde Std Bk" w:hAnsi="ITC Avant Garde Std Bk"/>
                <w:b/>
                <w:sz w:val="20"/>
                <w:szCs w:val="20"/>
              </w:rPr>
            </w:pPr>
          </w:p>
          <w:p w14:paraId="6F0F54CD" w14:textId="77777777" w:rsidR="00511A10" w:rsidRDefault="00511A10" w:rsidP="004F7474">
            <w:pPr>
              <w:rPr>
                <w:rFonts w:ascii="ITC Avant Garde Std Bk" w:hAnsi="ITC Avant Garde Std Bk"/>
                <w:b/>
                <w:sz w:val="20"/>
                <w:szCs w:val="20"/>
              </w:rPr>
            </w:pPr>
          </w:p>
          <w:p w14:paraId="3A352EBD" w14:textId="77777777" w:rsidR="00511A10" w:rsidRDefault="00511A10" w:rsidP="004F7474">
            <w:pPr>
              <w:rPr>
                <w:rFonts w:ascii="ITC Avant Garde Std Bk" w:hAnsi="ITC Avant Garde Std Bk"/>
                <w:b/>
                <w:sz w:val="20"/>
                <w:szCs w:val="20"/>
              </w:rPr>
            </w:pPr>
          </w:p>
          <w:p w14:paraId="254EE2A7" w14:textId="77777777" w:rsidR="00511A10" w:rsidRPr="00EA7B57" w:rsidRDefault="00511A10" w:rsidP="004F7474">
            <w:pPr>
              <w:rPr>
                <w:rFonts w:ascii="ITC Avant Garde Std Bk" w:hAnsi="ITC Avant Garde Std Bk"/>
                <w:b/>
                <w:sz w:val="20"/>
                <w:szCs w:val="20"/>
              </w:rPr>
            </w:pPr>
          </w:p>
          <w:p w14:paraId="5E59D9E9" w14:textId="77777777" w:rsidR="00511A10" w:rsidRPr="00EA7B57" w:rsidRDefault="00511A10" w:rsidP="004F7474">
            <w:pPr>
              <w:jc w:val="center"/>
              <w:rPr>
                <w:rFonts w:ascii="ITC Avant Garde Std Bk" w:hAnsi="ITC Avant Garde Std Bk"/>
                <w:b/>
                <w:sz w:val="20"/>
                <w:szCs w:val="20"/>
              </w:rPr>
            </w:pPr>
          </w:p>
        </w:tc>
      </w:tr>
      <w:tr w:rsidR="00511A10" w:rsidRPr="00EA7B57" w14:paraId="176D9BC1" w14:textId="77777777" w:rsidTr="004F7474">
        <w:trPr>
          <w:trHeight w:val="360"/>
        </w:trPr>
        <w:tc>
          <w:tcPr>
            <w:tcW w:w="2651" w:type="pct"/>
            <w:shd w:val="clear" w:color="auto" w:fill="auto"/>
          </w:tcPr>
          <w:p w14:paraId="67C44881" w14:textId="77777777" w:rsidR="00511A10" w:rsidRPr="00EA7B57" w:rsidRDefault="00511A10" w:rsidP="004F7474">
            <w:pPr>
              <w:jc w:val="center"/>
              <w:rPr>
                <w:rFonts w:ascii="ITC Avant Garde Std Bk" w:hAnsi="ITC Avant Garde Std Bk"/>
                <w:b/>
                <w:sz w:val="20"/>
                <w:szCs w:val="20"/>
              </w:rPr>
            </w:pPr>
            <w:proofErr w:type="spellStart"/>
            <w:r w:rsidRPr="00EA7B57">
              <w:rPr>
                <w:rFonts w:ascii="ITC Avant Garde Std Bk" w:hAnsi="ITC Avant Garde Std Bk"/>
                <w:b/>
                <w:sz w:val="20"/>
                <w:szCs w:val="20"/>
              </w:rPr>
              <w:t>Sóstenes</w:t>
            </w:r>
            <w:proofErr w:type="spellEnd"/>
            <w:r w:rsidRPr="00EA7B57">
              <w:rPr>
                <w:rFonts w:ascii="ITC Avant Garde Std Bk" w:hAnsi="ITC Avant Garde Std Bk"/>
                <w:b/>
                <w:sz w:val="20"/>
                <w:szCs w:val="20"/>
              </w:rPr>
              <w:t xml:space="preserve"> Díaz González</w:t>
            </w:r>
          </w:p>
          <w:p w14:paraId="701E67EF"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Comisionado</w:t>
            </w:r>
          </w:p>
        </w:tc>
        <w:tc>
          <w:tcPr>
            <w:tcW w:w="2349" w:type="pct"/>
            <w:shd w:val="clear" w:color="auto" w:fill="auto"/>
          </w:tcPr>
          <w:p w14:paraId="59862B51"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Ramiro Camacho Castillo</w:t>
            </w:r>
          </w:p>
          <w:p w14:paraId="0B38A70F" w14:textId="77777777" w:rsidR="00511A10" w:rsidRPr="00EA7B57" w:rsidRDefault="00511A10" w:rsidP="004F7474">
            <w:pPr>
              <w:jc w:val="center"/>
              <w:rPr>
                <w:rFonts w:ascii="ITC Avant Garde Std Bk" w:hAnsi="ITC Avant Garde Std Bk"/>
                <w:b/>
                <w:sz w:val="20"/>
                <w:szCs w:val="20"/>
              </w:rPr>
            </w:pPr>
            <w:r w:rsidRPr="00EA7B57">
              <w:rPr>
                <w:rFonts w:ascii="ITC Avant Garde Std Bk" w:hAnsi="ITC Avant Garde Std Bk"/>
                <w:b/>
                <w:sz w:val="20"/>
                <w:szCs w:val="20"/>
              </w:rPr>
              <w:t>Comisionado</w:t>
            </w:r>
          </w:p>
        </w:tc>
      </w:tr>
    </w:tbl>
    <w:p w14:paraId="62FD0285" w14:textId="77777777" w:rsidR="00511A10" w:rsidRPr="00EA7B57" w:rsidRDefault="00511A10" w:rsidP="00511A10">
      <w:pPr>
        <w:outlineLvl w:val="0"/>
        <w:rPr>
          <w:rFonts w:ascii="ITC Avant Garde Std Bk" w:eastAsia="Times New Roman" w:hAnsi="ITC Avant Garde Std Bk"/>
          <w:b/>
          <w:sz w:val="20"/>
          <w:szCs w:val="20"/>
        </w:rPr>
      </w:pPr>
    </w:p>
    <w:p w14:paraId="1F568621" w14:textId="77777777" w:rsidR="00612C46" w:rsidRDefault="00612C46"/>
    <w:sectPr w:rsidR="00612C4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4327D" w16cid:durableId="219141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B8B53" w14:textId="77777777" w:rsidR="00E2245D" w:rsidRDefault="00E2245D" w:rsidP="0032713D">
      <w:pPr>
        <w:spacing w:line="240" w:lineRule="auto"/>
      </w:pPr>
      <w:r>
        <w:separator/>
      </w:r>
    </w:p>
  </w:endnote>
  <w:endnote w:type="continuationSeparator" w:id="0">
    <w:p w14:paraId="47F68CF0" w14:textId="77777777" w:rsidR="00E2245D" w:rsidRDefault="00E2245D" w:rsidP="00327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FA11" w14:textId="77777777" w:rsidR="0032713D" w:rsidRDefault="003271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CB67" w14:textId="77777777" w:rsidR="0032713D" w:rsidRDefault="003271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06B2" w14:textId="77777777" w:rsidR="0032713D" w:rsidRDefault="003271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89252" w14:textId="77777777" w:rsidR="00E2245D" w:rsidRDefault="00E2245D" w:rsidP="0032713D">
      <w:pPr>
        <w:spacing w:line="240" w:lineRule="auto"/>
      </w:pPr>
      <w:r>
        <w:separator/>
      </w:r>
    </w:p>
  </w:footnote>
  <w:footnote w:type="continuationSeparator" w:id="0">
    <w:p w14:paraId="1DF4B1B4" w14:textId="77777777" w:rsidR="00E2245D" w:rsidRDefault="00E2245D" w:rsidP="00327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5D3AE" w14:textId="4D31B58C" w:rsidR="0032713D" w:rsidRDefault="0032713D">
    <w:pPr>
      <w:pStyle w:val="Encabezado"/>
    </w:pPr>
    <w:r>
      <w:rPr>
        <w:noProof/>
      </w:rPr>
      <w:pict w14:anchorId="3CA2D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440922"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1131" w14:textId="0DC4B98C" w:rsidR="0032713D" w:rsidRDefault="0032713D">
    <w:pPr>
      <w:pStyle w:val="Encabezado"/>
    </w:pPr>
    <w:r>
      <w:rPr>
        <w:noProof/>
      </w:rPr>
      <w:pict w14:anchorId="77E0F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440923"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66B3" w14:textId="1E6E342E" w:rsidR="0032713D" w:rsidRDefault="0032713D">
    <w:pPr>
      <w:pStyle w:val="Encabezado"/>
    </w:pPr>
    <w:r>
      <w:rPr>
        <w:noProof/>
      </w:rPr>
      <w:pict w14:anchorId="3E780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440921"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91A"/>
    <w:multiLevelType w:val="hybridMultilevel"/>
    <w:tmpl w:val="22E02DB8"/>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C852F3"/>
    <w:multiLevelType w:val="hybridMultilevel"/>
    <w:tmpl w:val="5EC4F9CE"/>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10"/>
    <w:rsid w:val="00063CEE"/>
    <w:rsid w:val="000918E4"/>
    <w:rsid w:val="000958C8"/>
    <w:rsid w:val="00101B7B"/>
    <w:rsid w:val="001B2EF0"/>
    <w:rsid w:val="00214863"/>
    <w:rsid w:val="00246EA5"/>
    <w:rsid w:val="002B0F74"/>
    <w:rsid w:val="002D332D"/>
    <w:rsid w:val="0032713D"/>
    <w:rsid w:val="00341F5C"/>
    <w:rsid w:val="003443CF"/>
    <w:rsid w:val="003505A2"/>
    <w:rsid w:val="0039664D"/>
    <w:rsid w:val="003B58EC"/>
    <w:rsid w:val="0048317A"/>
    <w:rsid w:val="004C63A5"/>
    <w:rsid w:val="00511A10"/>
    <w:rsid w:val="00577229"/>
    <w:rsid w:val="00591104"/>
    <w:rsid w:val="005C1AE2"/>
    <w:rsid w:val="00604E77"/>
    <w:rsid w:val="00612C46"/>
    <w:rsid w:val="00632721"/>
    <w:rsid w:val="006F0DB8"/>
    <w:rsid w:val="007A4322"/>
    <w:rsid w:val="0081176A"/>
    <w:rsid w:val="008317C0"/>
    <w:rsid w:val="00861B7A"/>
    <w:rsid w:val="00881560"/>
    <w:rsid w:val="00884668"/>
    <w:rsid w:val="008F745A"/>
    <w:rsid w:val="0099195A"/>
    <w:rsid w:val="009C5AD6"/>
    <w:rsid w:val="00A04A1E"/>
    <w:rsid w:val="00A17885"/>
    <w:rsid w:val="00A26418"/>
    <w:rsid w:val="00AD5F2C"/>
    <w:rsid w:val="00B257C3"/>
    <w:rsid w:val="00B35AFB"/>
    <w:rsid w:val="00B84A8E"/>
    <w:rsid w:val="00BE60F5"/>
    <w:rsid w:val="00C45636"/>
    <w:rsid w:val="00C929F8"/>
    <w:rsid w:val="00CB2037"/>
    <w:rsid w:val="00CC6778"/>
    <w:rsid w:val="00CF741A"/>
    <w:rsid w:val="00D2797D"/>
    <w:rsid w:val="00D31F46"/>
    <w:rsid w:val="00DA3192"/>
    <w:rsid w:val="00DA4663"/>
    <w:rsid w:val="00DE6C05"/>
    <w:rsid w:val="00E2245D"/>
    <w:rsid w:val="00E5180E"/>
    <w:rsid w:val="00FA0B55"/>
    <w:rsid w:val="00FB6FB9"/>
    <w:rsid w:val="00FC17F5"/>
    <w:rsid w:val="00FE6A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1A0669"/>
  <w15:chartTrackingRefBased/>
  <w15:docId w15:val="{CD4992FB-1F69-4A1D-BA54-E4FB7F17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1A10"/>
    <w:pPr>
      <w:spacing w:after="0" w:line="276" w:lineRule="auto"/>
    </w:pPr>
    <w:rPr>
      <w:rFonts w:ascii="Arial" w:eastAsia="Arial" w:hAnsi="Arial" w:cs="Arial"/>
      <w:color w:val="00000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511A10"/>
    <w:pPr>
      <w:ind w:left="720"/>
      <w:contextualSpacing/>
    </w:p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511A10"/>
    <w:rPr>
      <w:rFonts w:ascii="Arial" w:eastAsia="Arial" w:hAnsi="Arial" w:cs="Arial"/>
      <w:color w:val="000000"/>
      <w:lang w:val="es-ES" w:eastAsia="es-MX"/>
    </w:rPr>
  </w:style>
  <w:style w:type="character" w:styleId="Textoennegrita">
    <w:name w:val="Strong"/>
    <w:basedOn w:val="Fuentedeprrafopredeter"/>
    <w:uiPriority w:val="22"/>
    <w:qFormat/>
    <w:rsid w:val="00511A10"/>
    <w:rPr>
      <w:b/>
      <w:bCs/>
    </w:rPr>
  </w:style>
  <w:style w:type="paragraph" w:styleId="Textodeglobo">
    <w:name w:val="Balloon Text"/>
    <w:basedOn w:val="Normal"/>
    <w:link w:val="TextodegloboCar"/>
    <w:uiPriority w:val="99"/>
    <w:semiHidden/>
    <w:unhideWhenUsed/>
    <w:rsid w:val="004831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7A"/>
    <w:rPr>
      <w:rFonts w:ascii="Segoe UI" w:eastAsia="Arial" w:hAnsi="Segoe UI" w:cs="Segoe UI"/>
      <w:color w:val="000000"/>
      <w:sz w:val="18"/>
      <w:szCs w:val="18"/>
      <w:lang w:val="es-ES" w:eastAsia="es-MX"/>
    </w:rPr>
  </w:style>
  <w:style w:type="character" w:styleId="Refdecomentario">
    <w:name w:val="annotation reference"/>
    <w:basedOn w:val="Fuentedeprrafopredeter"/>
    <w:uiPriority w:val="99"/>
    <w:semiHidden/>
    <w:unhideWhenUsed/>
    <w:rsid w:val="003443CF"/>
    <w:rPr>
      <w:sz w:val="16"/>
      <w:szCs w:val="16"/>
    </w:rPr>
  </w:style>
  <w:style w:type="paragraph" w:styleId="Textocomentario">
    <w:name w:val="annotation text"/>
    <w:basedOn w:val="Normal"/>
    <w:link w:val="TextocomentarioCar"/>
    <w:uiPriority w:val="99"/>
    <w:semiHidden/>
    <w:unhideWhenUsed/>
    <w:rsid w:val="003443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43CF"/>
    <w:rPr>
      <w:rFonts w:ascii="Arial" w:eastAsia="Arial" w:hAnsi="Arial" w:cs="Arial"/>
      <w:color w:val="000000"/>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3443CF"/>
    <w:rPr>
      <w:b/>
      <w:bCs/>
    </w:rPr>
  </w:style>
  <w:style w:type="character" w:customStyle="1" w:styleId="AsuntodelcomentarioCar">
    <w:name w:val="Asunto del comentario Car"/>
    <w:basedOn w:val="TextocomentarioCar"/>
    <w:link w:val="Asuntodelcomentario"/>
    <w:uiPriority w:val="99"/>
    <w:semiHidden/>
    <w:rsid w:val="003443CF"/>
    <w:rPr>
      <w:rFonts w:ascii="Arial" w:eastAsia="Arial" w:hAnsi="Arial" w:cs="Arial"/>
      <w:b/>
      <w:bCs/>
      <w:color w:val="000000"/>
      <w:sz w:val="20"/>
      <w:szCs w:val="20"/>
      <w:lang w:val="es-ES" w:eastAsia="es-MX"/>
    </w:rPr>
  </w:style>
  <w:style w:type="paragraph" w:styleId="Subttulo">
    <w:name w:val="Subtitle"/>
    <w:basedOn w:val="Normal"/>
    <w:next w:val="Normal"/>
    <w:link w:val="SubttuloCar"/>
    <w:rsid w:val="005C1AE2"/>
    <w:pPr>
      <w:keepNext/>
      <w:keepLines/>
      <w:spacing w:after="200"/>
    </w:pPr>
    <w:rPr>
      <w:rFonts w:ascii="Trebuchet MS" w:eastAsia="Trebuchet MS" w:hAnsi="Trebuchet MS" w:cs="Trebuchet MS"/>
      <w:i/>
      <w:color w:val="666666"/>
      <w:sz w:val="26"/>
      <w:szCs w:val="26"/>
    </w:rPr>
  </w:style>
  <w:style w:type="character" w:customStyle="1" w:styleId="SubttuloCar">
    <w:name w:val="Subtítulo Car"/>
    <w:basedOn w:val="Fuentedeprrafopredeter"/>
    <w:link w:val="Subttulo"/>
    <w:rsid w:val="005C1AE2"/>
    <w:rPr>
      <w:rFonts w:ascii="Trebuchet MS" w:eastAsia="Trebuchet MS" w:hAnsi="Trebuchet MS" w:cs="Trebuchet MS"/>
      <w:i/>
      <w:color w:val="666666"/>
      <w:sz w:val="26"/>
      <w:szCs w:val="26"/>
      <w:lang w:val="es-ES" w:eastAsia="es-MX"/>
    </w:rPr>
  </w:style>
  <w:style w:type="paragraph" w:styleId="Encabezado">
    <w:name w:val="header"/>
    <w:basedOn w:val="Normal"/>
    <w:link w:val="EncabezadoCar"/>
    <w:uiPriority w:val="99"/>
    <w:unhideWhenUsed/>
    <w:rsid w:val="003271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713D"/>
    <w:rPr>
      <w:rFonts w:ascii="Arial" w:eastAsia="Arial" w:hAnsi="Arial" w:cs="Arial"/>
      <w:color w:val="000000"/>
      <w:lang w:val="es-ES" w:eastAsia="es-MX"/>
    </w:rPr>
  </w:style>
  <w:style w:type="paragraph" w:styleId="Piedepgina">
    <w:name w:val="footer"/>
    <w:basedOn w:val="Normal"/>
    <w:link w:val="PiedepginaCar"/>
    <w:uiPriority w:val="99"/>
    <w:unhideWhenUsed/>
    <w:rsid w:val="0032713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2713D"/>
    <w:rPr>
      <w:rFonts w:ascii="Arial" w:eastAsia="Arial" w:hAnsi="Arial" w:cs="Arial"/>
      <w:color w:val="00000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18830">
      <w:bodyDiv w:val="1"/>
      <w:marLeft w:val="0"/>
      <w:marRight w:val="0"/>
      <w:marTop w:val="0"/>
      <w:marBottom w:val="0"/>
      <w:divBdr>
        <w:top w:val="none" w:sz="0" w:space="0" w:color="auto"/>
        <w:left w:val="none" w:sz="0" w:space="0" w:color="auto"/>
        <w:bottom w:val="none" w:sz="0" w:space="0" w:color="auto"/>
        <w:right w:val="none" w:sz="0" w:space="0" w:color="auto"/>
      </w:divBdr>
      <w:divsChild>
        <w:div w:id="1348747552">
          <w:marLeft w:val="0"/>
          <w:marRight w:val="0"/>
          <w:marTop w:val="0"/>
          <w:marBottom w:val="101"/>
          <w:divBdr>
            <w:top w:val="none" w:sz="0" w:space="0" w:color="auto"/>
            <w:left w:val="none" w:sz="0" w:space="0" w:color="auto"/>
            <w:bottom w:val="none" w:sz="0" w:space="0" w:color="auto"/>
            <w:right w:val="none" w:sz="0" w:space="0" w:color="auto"/>
          </w:divBdr>
        </w:div>
        <w:div w:id="208344418">
          <w:marLeft w:val="0"/>
          <w:marRight w:val="0"/>
          <w:marTop w:val="0"/>
          <w:marBottom w:val="101"/>
          <w:divBdr>
            <w:top w:val="none" w:sz="0" w:space="0" w:color="auto"/>
            <w:left w:val="none" w:sz="0" w:space="0" w:color="auto"/>
            <w:bottom w:val="none" w:sz="0" w:space="0" w:color="auto"/>
            <w:right w:val="none" w:sz="0" w:space="0" w:color="auto"/>
          </w:divBdr>
        </w:div>
      </w:divsChild>
    </w:div>
    <w:div w:id="2126653551">
      <w:bodyDiv w:val="1"/>
      <w:marLeft w:val="0"/>
      <w:marRight w:val="0"/>
      <w:marTop w:val="0"/>
      <w:marBottom w:val="0"/>
      <w:divBdr>
        <w:top w:val="none" w:sz="0" w:space="0" w:color="auto"/>
        <w:left w:val="none" w:sz="0" w:space="0" w:color="auto"/>
        <w:bottom w:val="none" w:sz="0" w:space="0" w:color="auto"/>
        <w:right w:val="none" w:sz="0" w:space="0" w:color="auto"/>
      </w:divBdr>
      <w:divsChild>
        <w:div w:id="47849625">
          <w:marLeft w:val="0"/>
          <w:marRight w:val="0"/>
          <w:marTop w:val="0"/>
          <w:marBottom w:val="101"/>
          <w:divBdr>
            <w:top w:val="none" w:sz="0" w:space="0" w:color="auto"/>
            <w:left w:val="none" w:sz="0" w:space="0" w:color="auto"/>
            <w:bottom w:val="none" w:sz="0" w:space="0" w:color="auto"/>
            <w:right w:val="none" w:sz="0" w:space="0" w:color="auto"/>
          </w:divBdr>
        </w:div>
        <w:div w:id="675766565">
          <w:marLeft w:val="0"/>
          <w:marRight w:val="0"/>
          <w:marTop w:val="0"/>
          <w:marBottom w:val="101"/>
          <w:divBdr>
            <w:top w:val="none" w:sz="0" w:space="0" w:color="auto"/>
            <w:left w:val="none" w:sz="0" w:space="0" w:color="auto"/>
            <w:bottom w:val="none" w:sz="0" w:space="0" w:color="auto"/>
            <w:right w:val="none" w:sz="0" w:space="0" w:color="auto"/>
          </w:divBdr>
        </w:div>
        <w:div w:id="16433912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595B4-C813-43EF-8274-B220D0F3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1822</Words>
  <Characters>10023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Sanchez Moreno</dc:creator>
  <cp:keywords/>
  <dc:description/>
  <cp:lastModifiedBy>Alexis Pina Vega</cp:lastModifiedBy>
  <cp:revision>5</cp:revision>
  <cp:lastPrinted>2019-08-27T16:22:00Z</cp:lastPrinted>
  <dcterms:created xsi:type="dcterms:W3CDTF">2019-12-04T04:02:00Z</dcterms:created>
  <dcterms:modified xsi:type="dcterms:W3CDTF">2019-12-04T20:07:00Z</dcterms:modified>
</cp:coreProperties>
</file>