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FDCF5" w14:textId="31F9FB59" w:rsidR="00030DD9" w:rsidRPr="00FA71BF" w:rsidRDefault="00C45224" w:rsidP="00AC0936">
      <w:pPr>
        <w:rPr>
          <w:rFonts w:ascii="ITC Avant Garde" w:eastAsia="Calibri" w:hAnsi="ITC Avant Garde" w:cs="Times New Roman"/>
          <w:b/>
          <w:lang w:val="es-ES"/>
        </w:rPr>
      </w:pPr>
      <w:bookmarkStart w:id="0" w:name="_Toc323285056"/>
      <w:r w:rsidRPr="00C45224">
        <w:rPr>
          <w:rFonts w:ascii="ITC Avant Garde" w:hAnsi="ITC Avant Garde"/>
          <w:b/>
        </w:rPr>
        <w:t>INFORME DE CONSIDERACIONES SOBRE LAS MANIFESTACIONES, OPINIONES, COMENTARIOS Y PROPUESTAS, PRESENTAD</w:t>
      </w:r>
      <w:r w:rsidR="0067234C">
        <w:rPr>
          <w:rFonts w:ascii="ITC Avant Garde" w:hAnsi="ITC Avant Garde"/>
          <w:b/>
        </w:rPr>
        <w:t>O</w:t>
      </w:r>
      <w:r w:rsidRPr="00C45224">
        <w:rPr>
          <w:rFonts w:ascii="ITC Avant Garde" w:hAnsi="ITC Avant Garde"/>
          <w:b/>
        </w:rPr>
        <w:t>S DU</w:t>
      </w:r>
      <w:r>
        <w:rPr>
          <w:rFonts w:ascii="ITC Avant Garde" w:hAnsi="ITC Avant Garde"/>
          <w:b/>
        </w:rPr>
        <w:t xml:space="preserve">RANTE LA CONSULTA PÚBLICA </w:t>
      </w:r>
      <w:r w:rsidR="00CC291D">
        <w:rPr>
          <w:rFonts w:ascii="ITC Avant Garde" w:hAnsi="ITC Avant Garde"/>
          <w:b/>
        </w:rPr>
        <w:t>SOBRE</w:t>
      </w:r>
      <w:r>
        <w:rPr>
          <w:rFonts w:ascii="ITC Avant Garde" w:hAnsi="ITC Avant Garde"/>
          <w:b/>
        </w:rPr>
        <w:t xml:space="preserve"> LA </w:t>
      </w:r>
      <w:r w:rsidR="001A78FD" w:rsidRPr="00FA71BF">
        <w:rPr>
          <w:rFonts w:ascii="ITC Avant Garde" w:hAnsi="ITC Avant Garde"/>
          <w:b/>
        </w:rPr>
        <w:t>“</w:t>
      </w:r>
      <w:r w:rsidR="00CC291D" w:rsidRPr="00EB5B4B">
        <w:rPr>
          <w:rFonts w:ascii="ITC Avant Garde" w:hAnsi="ITC Avant Garde"/>
          <w:b/>
          <w:i/>
        </w:rPr>
        <w:t xml:space="preserve">PROPUESTA DE </w:t>
      </w:r>
      <w:r w:rsidR="001A78FD" w:rsidRPr="00EB5B4B">
        <w:rPr>
          <w:rFonts w:ascii="ITC Avant Garde" w:eastAsia="Calibri" w:hAnsi="ITC Avant Garde" w:cs="Times New Roman"/>
          <w:b/>
          <w:i/>
          <w:lang w:val="es-ES"/>
        </w:rPr>
        <w:t xml:space="preserve">OFERTA DE REFERENCIA </w:t>
      </w:r>
      <w:r w:rsidR="00CC291D" w:rsidRPr="00EB5B4B">
        <w:rPr>
          <w:rFonts w:ascii="ITC Avant Garde" w:eastAsia="Calibri" w:hAnsi="ITC Avant Garde" w:cs="Times New Roman"/>
          <w:b/>
          <w:i/>
          <w:lang w:val="es-ES"/>
        </w:rPr>
        <w:t>DEL SERVICIO DE</w:t>
      </w:r>
      <w:r w:rsidR="001A78FD" w:rsidRPr="00EB5B4B">
        <w:rPr>
          <w:rFonts w:ascii="ITC Avant Garde" w:eastAsia="Calibri" w:hAnsi="ITC Avant Garde" w:cs="Times New Roman"/>
          <w:b/>
          <w:i/>
          <w:lang w:val="es-ES"/>
        </w:rPr>
        <w:t xml:space="preserve"> ACCESO Y USO </w:t>
      </w:r>
      <w:r w:rsidR="00CC291D" w:rsidRPr="00EB5B4B">
        <w:rPr>
          <w:rFonts w:ascii="ITC Avant Garde" w:eastAsia="Calibri" w:hAnsi="ITC Avant Garde" w:cs="Times New Roman"/>
          <w:b/>
          <w:i/>
          <w:lang w:val="es-ES"/>
        </w:rPr>
        <w:t>COMPARTIDO DE INFRAESTRUCTURA</w:t>
      </w:r>
      <w:r w:rsidR="001A78FD" w:rsidRPr="00EB5B4B">
        <w:rPr>
          <w:i/>
        </w:rPr>
        <w:t xml:space="preserve"> </w:t>
      </w:r>
      <w:r w:rsidR="001A78FD" w:rsidRPr="00EB5B4B">
        <w:rPr>
          <w:rFonts w:ascii="ITC Avant Garde" w:eastAsia="Calibri" w:hAnsi="ITC Avant Garde" w:cs="Times New Roman"/>
          <w:b/>
          <w:i/>
          <w:lang w:val="es-ES"/>
        </w:rPr>
        <w:t>PRESENTADA POR OPERADORA DE SITES MEXICANOS, S.A. DE C.V</w:t>
      </w:r>
      <w:r w:rsidR="00CC291D" w:rsidRPr="00EB5B4B">
        <w:rPr>
          <w:rFonts w:ascii="ITC Avant Garde" w:eastAsia="Calibri" w:hAnsi="ITC Avant Garde" w:cs="Times New Roman"/>
          <w:b/>
          <w:i/>
          <w:lang w:val="es-ES"/>
        </w:rPr>
        <w:t>.</w:t>
      </w:r>
      <w:r w:rsidR="00AE57D0" w:rsidRPr="00FA71BF">
        <w:rPr>
          <w:rFonts w:ascii="ITC Avant Garde" w:eastAsia="Calibri" w:hAnsi="ITC Avant Garde" w:cs="Times New Roman"/>
          <w:b/>
          <w:i/>
          <w:lang w:val="es-ES"/>
        </w:rPr>
        <w:t>”.</w:t>
      </w:r>
    </w:p>
    <w:bookmarkEnd w:id="0"/>
    <w:p w14:paraId="589AC6EE" w14:textId="6B553E9E" w:rsidR="00195C02" w:rsidRPr="008F17B2" w:rsidRDefault="00195C02" w:rsidP="00195C02">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Fecha de elaboración:</w:t>
      </w:r>
    </w:p>
    <w:p w14:paraId="45E7FC21" w14:textId="1625EC74" w:rsidR="00DF6668" w:rsidRDefault="00F373A1" w:rsidP="00195C02">
      <w:pPr>
        <w:rPr>
          <w:rFonts w:ascii="ITC Avant Garde" w:eastAsiaTheme="majorEastAsia" w:hAnsi="ITC Avant Garde" w:cstheme="majorBidi"/>
          <w:lang w:val="es-ES"/>
        </w:rPr>
      </w:pPr>
      <w:r>
        <w:rPr>
          <w:rFonts w:ascii="ITC Avant Garde" w:eastAsiaTheme="majorEastAsia" w:hAnsi="ITC Avant Garde" w:cstheme="majorBidi"/>
          <w:lang w:val="es-ES"/>
        </w:rPr>
        <w:t>20</w:t>
      </w:r>
      <w:r w:rsidR="00AD362A">
        <w:rPr>
          <w:rFonts w:ascii="ITC Avant Garde" w:eastAsiaTheme="majorEastAsia" w:hAnsi="ITC Avant Garde" w:cstheme="majorBidi"/>
          <w:lang w:val="es-ES"/>
        </w:rPr>
        <w:t xml:space="preserve"> de noviembre</w:t>
      </w:r>
      <w:r w:rsidR="0067234C" w:rsidRPr="00C3522F">
        <w:rPr>
          <w:rFonts w:ascii="ITC Avant Garde" w:eastAsiaTheme="majorEastAsia" w:hAnsi="ITC Avant Garde" w:cstheme="majorBidi"/>
          <w:lang w:val="es-ES"/>
        </w:rPr>
        <w:t xml:space="preserve"> </w:t>
      </w:r>
      <w:r w:rsidR="00EB5B4B" w:rsidRPr="00C3522F">
        <w:rPr>
          <w:rFonts w:ascii="ITC Avant Garde" w:eastAsiaTheme="majorEastAsia" w:hAnsi="ITC Avant Garde" w:cstheme="majorBidi"/>
          <w:lang w:val="es-ES"/>
        </w:rPr>
        <w:t>de 20</w:t>
      </w:r>
      <w:r>
        <w:rPr>
          <w:rFonts w:ascii="ITC Avant Garde" w:eastAsiaTheme="majorEastAsia" w:hAnsi="ITC Avant Garde" w:cstheme="majorBidi"/>
          <w:lang w:val="es-ES"/>
        </w:rPr>
        <w:t>19</w:t>
      </w:r>
    </w:p>
    <w:p w14:paraId="7F0CF43F" w14:textId="212C91F4" w:rsidR="00195C02" w:rsidRPr="00195C02" w:rsidRDefault="00195C02" w:rsidP="00195C02">
      <w:pPr>
        <w:rPr>
          <w:rFonts w:ascii="ITC Avant Garde" w:eastAsiaTheme="majorEastAsia" w:hAnsi="ITC Avant Garde" w:cstheme="majorBidi"/>
          <w:b/>
          <w:lang w:val="es-ES"/>
        </w:rPr>
      </w:pPr>
      <w:r w:rsidRPr="00195C02">
        <w:rPr>
          <w:rFonts w:ascii="ITC Avant Garde" w:eastAsiaTheme="majorEastAsia" w:hAnsi="ITC Avant Garde" w:cstheme="majorBidi"/>
          <w:b/>
          <w:lang w:val="es-ES"/>
        </w:rPr>
        <w:t>Título o denominación de la consulta pública:</w:t>
      </w:r>
    </w:p>
    <w:p w14:paraId="1FB1D0F0" w14:textId="643EA52E" w:rsidR="00195C02" w:rsidRPr="008F17B2" w:rsidRDefault="00EB5B4B" w:rsidP="00195C02">
      <w:pPr>
        <w:rPr>
          <w:rFonts w:ascii="ITC Avant Garde" w:eastAsiaTheme="majorEastAsia" w:hAnsi="ITC Avant Garde" w:cstheme="majorBidi"/>
          <w:i/>
          <w:lang w:val="es-ES"/>
        </w:rPr>
      </w:pPr>
      <w:r>
        <w:rPr>
          <w:rFonts w:ascii="ITC Avant Garde" w:eastAsiaTheme="majorEastAsia" w:hAnsi="ITC Avant Garde" w:cstheme="majorBidi"/>
          <w:i/>
          <w:lang w:val="es-ES"/>
        </w:rPr>
        <w:t>“Propuesta de Oferta</w:t>
      </w:r>
      <w:r w:rsidR="00195C02" w:rsidRPr="008F17B2">
        <w:rPr>
          <w:rFonts w:ascii="ITC Avant Garde" w:eastAsiaTheme="majorEastAsia" w:hAnsi="ITC Avant Garde" w:cstheme="majorBidi"/>
          <w:i/>
          <w:lang w:val="es-ES"/>
        </w:rPr>
        <w:t xml:space="preserve"> de Referencia </w:t>
      </w:r>
      <w:r>
        <w:rPr>
          <w:rFonts w:ascii="ITC Avant Garde" w:eastAsiaTheme="majorEastAsia" w:hAnsi="ITC Avant Garde" w:cstheme="majorBidi"/>
          <w:i/>
          <w:lang w:val="es-ES"/>
        </w:rPr>
        <w:t>del Servicio</w:t>
      </w:r>
      <w:r w:rsidR="00195C02" w:rsidRPr="008F17B2">
        <w:rPr>
          <w:rFonts w:ascii="ITC Avant Garde" w:eastAsiaTheme="majorEastAsia" w:hAnsi="ITC Avant Garde" w:cstheme="majorBidi"/>
          <w:i/>
          <w:lang w:val="es-ES"/>
        </w:rPr>
        <w:t xml:space="preserve"> de Acceso y Uso Compartido de Infraestructura presen</w:t>
      </w:r>
      <w:r>
        <w:rPr>
          <w:rFonts w:ascii="ITC Avant Garde" w:eastAsiaTheme="majorEastAsia" w:hAnsi="ITC Avant Garde" w:cstheme="majorBidi"/>
          <w:i/>
          <w:lang w:val="es-ES"/>
        </w:rPr>
        <w:t>tada</w:t>
      </w:r>
      <w:r w:rsidR="00195C02" w:rsidRPr="008F17B2">
        <w:rPr>
          <w:rFonts w:ascii="ITC Avant Garde" w:eastAsiaTheme="majorEastAsia" w:hAnsi="ITC Avant Garde" w:cstheme="majorBidi"/>
          <w:i/>
          <w:lang w:val="es-ES"/>
        </w:rPr>
        <w:t xml:space="preserve"> por </w:t>
      </w:r>
      <w:r w:rsidRPr="00EB5B4B">
        <w:rPr>
          <w:rFonts w:ascii="ITC Avant Garde" w:eastAsiaTheme="majorEastAsia" w:hAnsi="ITC Avant Garde" w:cstheme="majorBidi"/>
          <w:i/>
          <w:lang w:val="es-ES"/>
        </w:rPr>
        <w:t xml:space="preserve">Operadora </w:t>
      </w:r>
      <w:r>
        <w:rPr>
          <w:rFonts w:ascii="ITC Avant Garde" w:eastAsiaTheme="majorEastAsia" w:hAnsi="ITC Avant Garde" w:cstheme="majorBidi"/>
          <w:i/>
          <w:lang w:val="es-ES"/>
        </w:rPr>
        <w:t>d</w:t>
      </w:r>
      <w:r w:rsidRPr="00EB5B4B">
        <w:rPr>
          <w:rFonts w:ascii="ITC Avant Garde" w:eastAsiaTheme="majorEastAsia" w:hAnsi="ITC Avant Garde" w:cstheme="majorBidi"/>
          <w:i/>
          <w:lang w:val="es-ES"/>
        </w:rPr>
        <w:t xml:space="preserve">e </w:t>
      </w:r>
      <w:proofErr w:type="spellStart"/>
      <w:r w:rsidRPr="00EB5B4B">
        <w:rPr>
          <w:rFonts w:ascii="ITC Avant Garde" w:eastAsiaTheme="majorEastAsia" w:hAnsi="ITC Avant Garde" w:cstheme="majorBidi"/>
          <w:i/>
          <w:lang w:val="es-ES"/>
        </w:rPr>
        <w:t>Sites</w:t>
      </w:r>
      <w:proofErr w:type="spellEnd"/>
      <w:r w:rsidRPr="00EB5B4B">
        <w:rPr>
          <w:rFonts w:ascii="ITC Avant Garde" w:eastAsiaTheme="majorEastAsia" w:hAnsi="ITC Avant Garde" w:cstheme="majorBidi"/>
          <w:i/>
          <w:lang w:val="es-ES"/>
        </w:rPr>
        <w:t xml:space="preserve"> </w:t>
      </w:r>
      <w:proofErr w:type="gramStart"/>
      <w:r w:rsidRPr="00EB5B4B">
        <w:rPr>
          <w:rFonts w:ascii="ITC Avant Garde" w:eastAsiaTheme="majorEastAsia" w:hAnsi="ITC Avant Garde" w:cstheme="majorBidi"/>
          <w:i/>
          <w:lang w:val="es-ES"/>
        </w:rPr>
        <w:t>Mexicanos</w:t>
      </w:r>
      <w:proofErr w:type="gramEnd"/>
      <w:r w:rsidRPr="00EB5B4B">
        <w:rPr>
          <w:rFonts w:ascii="ITC Avant Garde" w:eastAsiaTheme="majorEastAsia" w:hAnsi="ITC Avant Garde" w:cstheme="majorBidi"/>
          <w:i/>
          <w:lang w:val="es-ES"/>
        </w:rPr>
        <w:t>, S.A. DE C.V.</w:t>
      </w:r>
      <w:r w:rsidR="00195C02" w:rsidRPr="008F17B2">
        <w:rPr>
          <w:rFonts w:ascii="ITC Avant Garde" w:eastAsiaTheme="majorEastAsia" w:hAnsi="ITC Avant Garde" w:cstheme="majorBidi"/>
          <w:i/>
          <w:lang w:val="es-ES"/>
        </w:rPr>
        <w:t>”</w:t>
      </w:r>
    </w:p>
    <w:p w14:paraId="4C0231E9" w14:textId="481539DF" w:rsidR="00195C02" w:rsidRPr="00195C02" w:rsidRDefault="00195C02" w:rsidP="00B029FD">
      <w:pPr>
        <w:rPr>
          <w:rFonts w:ascii="ITC Avant Garde" w:eastAsiaTheme="majorEastAsia" w:hAnsi="ITC Avant Garde" w:cstheme="majorBidi"/>
          <w:b/>
          <w:lang w:val="es-ES"/>
        </w:rPr>
      </w:pPr>
      <w:r w:rsidRPr="00195C02">
        <w:rPr>
          <w:rFonts w:ascii="ITC Avant Garde" w:eastAsiaTheme="majorEastAsia" w:hAnsi="ITC Avant Garde" w:cstheme="majorBidi"/>
          <w:b/>
          <w:lang w:val="es-ES"/>
        </w:rPr>
        <w:t>Descripción de la consulta pública:</w:t>
      </w:r>
    </w:p>
    <w:p w14:paraId="678463C4" w14:textId="598813C9" w:rsidR="008F17B2" w:rsidRDefault="00651C1F" w:rsidP="00195C02">
      <w:pPr>
        <w:rPr>
          <w:rFonts w:ascii="ITC Avant Garde" w:hAnsi="ITC Avant Garde"/>
        </w:rPr>
      </w:pPr>
      <w:r>
        <w:rPr>
          <w:rFonts w:ascii="ITC Avant Garde" w:eastAsiaTheme="majorEastAsia" w:hAnsi="ITC Avant Garde" w:cstheme="majorBidi"/>
          <w:lang w:val="es-ES"/>
        </w:rPr>
        <w:t>Del 12 de julio de 2019 al 10 de agosto de 2019, e</w:t>
      </w:r>
      <w:r w:rsidR="00195C02" w:rsidRPr="00195C02">
        <w:rPr>
          <w:rFonts w:ascii="ITC Avant Garde" w:eastAsiaTheme="majorEastAsia" w:hAnsi="ITC Avant Garde" w:cstheme="majorBidi"/>
          <w:lang w:val="es-ES"/>
        </w:rPr>
        <w:t xml:space="preserve">l Instituto Federal de Telecomunicaciones (en lo sucesivo, “Instituto”) </w:t>
      </w:r>
      <w:r w:rsidR="0067234C">
        <w:rPr>
          <w:rFonts w:ascii="ITC Avant Garde" w:eastAsiaTheme="majorEastAsia" w:hAnsi="ITC Avant Garde" w:cstheme="majorBidi"/>
          <w:lang w:val="es-ES"/>
        </w:rPr>
        <w:t xml:space="preserve">llevó a cabo el proceso de consulta pública </w:t>
      </w:r>
      <w:r>
        <w:rPr>
          <w:rFonts w:ascii="ITC Avant Garde" w:eastAsiaTheme="majorEastAsia" w:hAnsi="ITC Avant Garde" w:cstheme="majorBidi"/>
          <w:lang w:val="es-ES"/>
        </w:rPr>
        <w:t xml:space="preserve">de la </w:t>
      </w:r>
      <w:r w:rsidR="008F17B2">
        <w:rPr>
          <w:rFonts w:ascii="ITC Avant Garde" w:eastAsiaTheme="majorEastAsia" w:hAnsi="ITC Avant Garde" w:cstheme="majorBidi"/>
          <w:lang w:val="es-ES"/>
        </w:rPr>
        <w:t>“</w:t>
      </w:r>
      <w:r w:rsidR="00195C02" w:rsidRPr="00A64D68">
        <w:rPr>
          <w:rFonts w:ascii="ITC Avant Garde" w:eastAsia="Calibri" w:hAnsi="ITC Avant Garde" w:cs="Times New Roman"/>
          <w:i/>
          <w:lang w:val="es-ES"/>
        </w:rPr>
        <w:t>Oferta</w:t>
      </w:r>
      <w:r w:rsidR="00195C02" w:rsidRPr="00A64D68">
        <w:rPr>
          <w:rFonts w:ascii="ITC Avant Garde" w:eastAsia="Calibri" w:hAnsi="ITC Avant Garde" w:cs="Times New Roman"/>
          <w:bCs/>
          <w:i/>
          <w:lang w:val="es-ES"/>
        </w:rPr>
        <w:t xml:space="preserve"> de Referencia para </w:t>
      </w:r>
      <w:r w:rsidR="00195C02" w:rsidRPr="00A64D68">
        <w:rPr>
          <w:rFonts w:ascii="ITC Avant Garde" w:eastAsia="Calibri" w:hAnsi="ITC Avant Garde" w:cs="Times New Roman"/>
          <w:i/>
          <w:lang w:val="es-ES"/>
        </w:rPr>
        <w:t>el</w:t>
      </w:r>
      <w:r w:rsidR="00195C02" w:rsidRPr="00A64D68">
        <w:rPr>
          <w:rFonts w:ascii="ITC Avant Garde" w:eastAsia="Calibri" w:hAnsi="ITC Avant Garde" w:cs="Times New Roman"/>
          <w:bCs/>
          <w:i/>
          <w:lang w:val="es-ES"/>
        </w:rPr>
        <w:t xml:space="preserve"> Acceso y Uso Compartido de Infraestructura</w:t>
      </w:r>
      <w:r w:rsidR="00195C02" w:rsidRPr="00A64D68">
        <w:rPr>
          <w:rFonts w:ascii="ITC Avant Garde" w:eastAsia="Calibri" w:hAnsi="ITC Avant Garde" w:cs="Times New Roman"/>
          <w:i/>
          <w:lang w:val="es-ES"/>
        </w:rPr>
        <w:t xml:space="preserve"> Pasiva</w:t>
      </w:r>
      <w:r>
        <w:rPr>
          <w:rFonts w:ascii="ITC Avant Garde" w:eastAsia="Calibri" w:hAnsi="ITC Avant Garde" w:cs="Times New Roman"/>
          <w:i/>
          <w:lang w:val="es-ES"/>
        </w:rPr>
        <w:t xml:space="preserve"> aplicable del 1 de enero de 2020</w:t>
      </w:r>
      <w:r w:rsidR="00195C02" w:rsidRPr="00A64D68">
        <w:rPr>
          <w:rFonts w:ascii="ITC Avant Garde" w:eastAsia="Calibri" w:hAnsi="ITC Avant Garde" w:cs="Times New Roman"/>
          <w:i/>
          <w:lang w:val="es-ES"/>
        </w:rPr>
        <w:t xml:space="preserve"> </w:t>
      </w:r>
      <w:r>
        <w:rPr>
          <w:rFonts w:ascii="ITC Avant Garde" w:eastAsia="Calibri" w:hAnsi="ITC Avant Garde" w:cs="Times New Roman"/>
          <w:i/>
          <w:lang w:val="es-ES"/>
        </w:rPr>
        <w:t>al 31 de diciembre de 2020</w:t>
      </w:r>
      <w:r w:rsidR="00195C02">
        <w:rPr>
          <w:rFonts w:ascii="ITC Avant Garde" w:eastAsia="Calibri" w:hAnsi="ITC Avant Garde" w:cs="Times New Roman"/>
          <w:lang w:val="es-ES"/>
        </w:rPr>
        <w:t xml:space="preserve">” (en lo sucesivo “Propuesta de Oferta de Referencia”), </w:t>
      </w:r>
      <w:r w:rsidR="00195C02" w:rsidRPr="00AC0936">
        <w:rPr>
          <w:rFonts w:ascii="ITC Avant Garde" w:eastAsia="Calibri" w:hAnsi="ITC Avant Garde" w:cs="Times New Roman"/>
          <w:lang w:val="es-ES"/>
        </w:rPr>
        <w:t>presentada</w:t>
      </w:r>
      <w:r w:rsidR="00195C02" w:rsidRPr="00BF7935">
        <w:rPr>
          <w:rFonts w:ascii="ITC Avant Garde" w:eastAsia="Calibri" w:hAnsi="ITC Avant Garde" w:cs="Times New Roman"/>
          <w:bCs/>
          <w:lang w:val="es-ES"/>
        </w:rPr>
        <w:t xml:space="preserve"> por </w:t>
      </w:r>
      <w:r w:rsidR="00195C02" w:rsidRPr="00AC0936">
        <w:rPr>
          <w:rFonts w:ascii="ITC Avant Garde" w:eastAsia="Calibri" w:hAnsi="ITC Avant Garde" w:cs="Times New Roman"/>
          <w:lang w:val="es-ES"/>
        </w:rPr>
        <w:t xml:space="preserve">Operadora de </w:t>
      </w:r>
      <w:proofErr w:type="spellStart"/>
      <w:r w:rsidR="00195C02" w:rsidRPr="00AC0936">
        <w:rPr>
          <w:rFonts w:ascii="ITC Avant Garde" w:eastAsia="Calibri" w:hAnsi="ITC Avant Garde" w:cs="Times New Roman"/>
          <w:lang w:val="es-ES"/>
        </w:rPr>
        <w:t>Sites</w:t>
      </w:r>
      <w:proofErr w:type="spellEnd"/>
      <w:r w:rsidR="00195C02" w:rsidRPr="00AC0936">
        <w:rPr>
          <w:rFonts w:ascii="ITC Avant Garde" w:eastAsia="Calibri" w:hAnsi="ITC Avant Garde" w:cs="Times New Roman"/>
          <w:lang w:val="es-ES"/>
        </w:rPr>
        <w:t xml:space="preserve"> Mexicanos, S.A. de C.V.</w:t>
      </w:r>
      <w:r w:rsidR="00195C02">
        <w:rPr>
          <w:rFonts w:ascii="ITC Avant Garde" w:eastAsia="Calibri" w:hAnsi="ITC Avant Garde" w:cs="Times New Roman"/>
          <w:lang w:val="es-ES"/>
        </w:rPr>
        <w:t xml:space="preserve"> (en lo sucesivo, “</w:t>
      </w:r>
      <w:proofErr w:type="spellStart"/>
      <w:r w:rsidR="00195C02">
        <w:rPr>
          <w:rFonts w:ascii="ITC Avant Garde" w:eastAsia="Calibri" w:hAnsi="ITC Avant Garde" w:cs="Times New Roman"/>
          <w:lang w:val="es-ES"/>
        </w:rPr>
        <w:t>Telesites</w:t>
      </w:r>
      <w:proofErr w:type="spellEnd"/>
      <w:r w:rsidR="00195C02">
        <w:rPr>
          <w:rFonts w:ascii="ITC Avant Garde" w:eastAsia="Calibri" w:hAnsi="ITC Avant Garde" w:cs="Times New Roman"/>
          <w:lang w:val="es-ES"/>
        </w:rPr>
        <w:t>”</w:t>
      </w:r>
      <w:r w:rsidR="00195C02" w:rsidRPr="004C0E61">
        <w:rPr>
          <w:rFonts w:ascii="ITC Avant Garde" w:hAnsi="ITC Avant Garde"/>
        </w:rPr>
        <w:t xml:space="preserve">), integrante del Agente Económico Preponderante </w:t>
      </w:r>
      <w:r w:rsidR="008F17B2">
        <w:rPr>
          <w:rFonts w:ascii="ITC Avant Garde" w:hAnsi="ITC Avant Garde"/>
        </w:rPr>
        <w:t xml:space="preserve">(en lo sucesivo, “AEP”) </w:t>
      </w:r>
      <w:r w:rsidR="00195C02" w:rsidRPr="004C0E61">
        <w:rPr>
          <w:rFonts w:ascii="ITC Avant Garde" w:hAnsi="ITC Avant Garde"/>
        </w:rPr>
        <w:t xml:space="preserve">en el sector de las </w:t>
      </w:r>
      <w:r w:rsidR="00195C02">
        <w:rPr>
          <w:rFonts w:ascii="ITC Avant Garde" w:hAnsi="ITC Avant Garde"/>
        </w:rPr>
        <w:t>t</w:t>
      </w:r>
      <w:r w:rsidR="00195C02" w:rsidRPr="004C0E61">
        <w:rPr>
          <w:rFonts w:ascii="ITC Avant Garde" w:hAnsi="ITC Avant Garde"/>
        </w:rPr>
        <w:t>elecomunicaciones</w:t>
      </w:r>
      <w:r w:rsidR="008F17B2">
        <w:rPr>
          <w:rFonts w:ascii="ITC Avant Garde" w:hAnsi="ITC Avant Garde"/>
        </w:rPr>
        <w:t>.</w:t>
      </w:r>
    </w:p>
    <w:p w14:paraId="5658FDAB" w14:textId="697876E3" w:rsidR="00195C02" w:rsidRPr="00195C02" w:rsidRDefault="0067234C" w:rsidP="00F65678">
      <w:pPr>
        <w:rPr>
          <w:rFonts w:ascii="ITC Avant Garde" w:eastAsiaTheme="majorEastAsia" w:hAnsi="ITC Avant Garde" w:cstheme="majorBidi"/>
          <w:lang w:val="es-ES"/>
        </w:rPr>
      </w:pPr>
      <w:r>
        <w:rPr>
          <w:rFonts w:ascii="ITC Avant Garde" w:hAnsi="ITC Avant Garde"/>
        </w:rPr>
        <w:t>E</w:t>
      </w:r>
      <w:r w:rsidR="008F17B2">
        <w:rPr>
          <w:rFonts w:ascii="ITC Avant Garde" w:hAnsi="ITC Avant Garde"/>
        </w:rPr>
        <w:t xml:space="preserve">l Instituto </w:t>
      </w:r>
      <w:r>
        <w:rPr>
          <w:rFonts w:ascii="ITC Avant Garde" w:hAnsi="ITC Avant Garde"/>
        </w:rPr>
        <w:t xml:space="preserve">puso a disposición de los interesados los siguientes medios para recibir </w:t>
      </w:r>
      <w:r w:rsidR="008437B4">
        <w:rPr>
          <w:rFonts w:ascii="ITC Avant Garde" w:hAnsi="ITC Avant Garde"/>
        </w:rPr>
        <w:t>las participaciones</w:t>
      </w:r>
      <w:r>
        <w:rPr>
          <w:rFonts w:ascii="ITC Avant Garde" w:hAnsi="ITC Avant Garde"/>
        </w:rPr>
        <w:t>:</w:t>
      </w:r>
      <w:r w:rsidR="008437B4">
        <w:rPr>
          <w:rFonts w:ascii="ITC Avant Garde" w:hAnsi="ITC Avant Garde"/>
        </w:rPr>
        <w:t xml:space="preserve"> </w:t>
      </w:r>
      <w:r w:rsidR="008437B4">
        <w:rPr>
          <w:rFonts w:ascii="ITC Avant Garde" w:eastAsiaTheme="majorEastAsia" w:hAnsi="ITC Avant Garde" w:cstheme="majorBidi"/>
          <w:lang w:val="es-ES"/>
        </w:rPr>
        <w:t>a través de la</w:t>
      </w:r>
      <w:r w:rsidR="00195C02" w:rsidRPr="00195C02">
        <w:rPr>
          <w:rFonts w:ascii="ITC Avant Garde" w:eastAsiaTheme="majorEastAsia" w:hAnsi="ITC Avant Garde" w:cstheme="majorBidi"/>
          <w:lang w:val="es-ES"/>
        </w:rPr>
        <w:t xml:space="preserve"> dirección de correo electrónico </w:t>
      </w:r>
      <w:r w:rsidR="00195C02">
        <w:rPr>
          <w:rFonts w:ascii="ITC Avant Garde" w:eastAsiaTheme="majorEastAsia" w:hAnsi="ITC Avant Garde" w:cstheme="majorBidi"/>
          <w:lang w:val="es-ES"/>
        </w:rPr>
        <w:t>ofertas.referencia@ift.org.mx</w:t>
      </w:r>
      <w:r w:rsidR="00195C02" w:rsidRPr="00195C02">
        <w:rPr>
          <w:rFonts w:ascii="ITC Avant Garde" w:eastAsiaTheme="majorEastAsia" w:hAnsi="ITC Avant Garde" w:cstheme="majorBidi"/>
          <w:lang w:val="es-ES"/>
        </w:rPr>
        <w:t>, o mediante escrito presentado en la Oficialía de Partes Común del Instituto ubicada en Insurgentes Sur 1143, colonia Nochebuena, Delegación Benito Juárez, C.P. 03720, Ciudad de México, de lunes a jueves de las 9:00 a las 18:30 horas y los viernes de las 9:00 a las 15:00 horas</w:t>
      </w:r>
      <w:r>
        <w:rPr>
          <w:rFonts w:ascii="ITC Avant Garde" w:eastAsiaTheme="majorEastAsia" w:hAnsi="ITC Avant Garde" w:cstheme="majorBidi"/>
          <w:lang w:val="es-ES"/>
        </w:rPr>
        <w:t xml:space="preserve">, así como </w:t>
      </w:r>
      <w:r w:rsidR="00195C02" w:rsidRPr="00195C02">
        <w:rPr>
          <w:rFonts w:ascii="ITC Avant Garde" w:eastAsiaTheme="majorEastAsia" w:hAnsi="ITC Avant Garde" w:cstheme="majorBidi"/>
          <w:lang w:val="es-ES"/>
        </w:rPr>
        <w:t xml:space="preserve">el </w:t>
      </w:r>
      <w:r w:rsidR="00195C02" w:rsidRPr="00195C02">
        <w:rPr>
          <w:rFonts w:ascii="ITC Avant Garde" w:eastAsiaTheme="majorEastAsia" w:hAnsi="ITC Avant Garde" w:cstheme="majorBidi"/>
          <w:i/>
          <w:lang w:val="es-ES"/>
        </w:rPr>
        <w:t>“Formato para participar en la Consulta Pública”</w:t>
      </w:r>
      <w:r w:rsidR="00195C02" w:rsidRPr="00195C02">
        <w:rPr>
          <w:rFonts w:ascii="ITC Avant Garde" w:eastAsiaTheme="majorEastAsia" w:hAnsi="ITC Avant Garde" w:cstheme="majorBidi"/>
          <w:lang w:val="es-ES"/>
        </w:rPr>
        <w:t>.</w:t>
      </w:r>
    </w:p>
    <w:p w14:paraId="2F0877CB" w14:textId="10912CDC" w:rsidR="00195C02" w:rsidRPr="00195C02" w:rsidRDefault="00195C02" w:rsidP="00195C02">
      <w:pPr>
        <w:rPr>
          <w:rFonts w:ascii="ITC Avant Garde" w:eastAsiaTheme="majorEastAsia" w:hAnsi="ITC Avant Garde" w:cstheme="majorBidi"/>
          <w:lang w:val="es-ES"/>
        </w:rPr>
      </w:pPr>
      <w:r w:rsidRPr="00195C02">
        <w:rPr>
          <w:rFonts w:ascii="ITC Avant Garde" w:eastAsiaTheme="majorEastAsia" w:hAnsi="ITC Avant Garde" w:cstheme="majorBidi"/>
          <w:lang w:val="es-ES"/>
        </w:rPr>
        <w:t xml:space="preserve">La información que los interesados </w:t>
      </w:r>
      <w:r w:rsidR="008437B4">
        <w:rPr>
          <w:rFonts w:ascii="ITC Avant Garde" w:eastAsiaTheme="majorEastAsia" w:hAnsi="ITC Avant Garde" w:cstheme="majorBidi"/>
          <w:lang w:val="es-ES"/>
        </w:rPr>
        <w:t>hicieron</w:t>
      </w:r>
      <w:r w:rsidRPr="00195C02">
        <w:rPr>
          <w:rFonts w:ascii="ITC Avant Garde" w:eastAsiaTheme="majorEastAsia" w:hAnsi="ITC Avant Garde" w:cstheme="majorBidi"/>
          <w:lang w:val="es-ES"/>
        </w:rPr>
        <w:t xml:space="preserve"> llegar al Instituto</w:t>
      </w:r>
      <w:r w:rsidR="00442011">
        <w:rPr>
          <w:rFonts w:ascii="ITC Avant Garde" w:eastAsiaTheme="majorEastAsia" w:hAnsi="ITC Avant Garde" w:cstheme="majorBidi"/>
          <w:lang w:val="es-ES"/>
        </w:rPr>
        <w:t>,</w:t>
      </w:r>
      <w:r w:rsidRPr="00195C02">
        <w:rPr>
          <w:rFonts w:ascii="ITC Avant Garde" w:eastAsiaTheme="majorEastAsia" w:hAnsi="ITC Avant Garde" w:cstheme="majorBidi"/>
          <w:lang w:val="es-ES"/>
        </w:rPr>
        <w:t xml:space="preserve"> de acuerdo a los plazos y términos descritos en esta mecánica</w:t>
      </w:r>
      <w:r w:rsidR="00442011">
        <w:rPr>
          <w:rFonts w:ascii="ITC Avant Garde" w:eastAsiaTheme="majorEastAsia" w:hAnsi="ITC Avant Garde" w:cstheme="majorBidi"/>
          <w:lang w:val="es-ES"/>
        </w:rPr>
        <w:t>,</w:t>
      </w:r>
      <w:r w:rsidRPr="00195C02">
        <w:rPr>
          <w:rFonts w:ascii="ITC Avant Garde" w:eastAsiaTheme="majorEastAsia" w:hAnsi="ITC Avant Garde" w:cstheme="majorBidi"/>
          <w:lang w:val="es-ES"/>
        </w:rPr>
        <w:t xml:space="preserve"> no t</w:t>
      </w:r>
      <w:r>
        <w:rPr>
          <w:rFonts w:ascii="ITC Avant Garde" w:eastAsiaTheme="majorEastAsia" w:hAnsi="ITC Avant Garde" w:cstheme="majorBidi"/>
          <w:lang w:val="es-ES"/>
        </w:rPr>
        <w:t xml:space="preserve">iene </w:t>
      </w:r>
      <w:r w:rsidRPr="00195C02">
        <w:rPr>
          <w:rFonts w:ascii="ITC Avant Garde" w:eastAsiaTheme="majorEastAsia" w:hAnsi="ITC Avant Garde" w:cstheme="majorBidi"/>
          <w:lang w:val="es-ES"/>
        </w:rPr>
        <w:t>carácter vinculante, sin perjuicio de que el Instituto pueda ponderarla en un documento que refleje los resultados de dicha consulta, el cual se hará público en el apartado de la página de la consulta pública</w:t>
      </w:r>
      <w:r w:rsidR="00CB3487">
        <w:rPr>
          <w:rStyle w:val="Refdenotaalpie"/>
          <w:rFonts w:eastAsiaTheme="majorEastAsia" w:cstheme="majorBidi"/>
          <w:lang w:val="es-ES"/>
        </w:rPr>
        <w:footnoteReference w:id="2"/>
      </w:r>
      <w:r w:rsidRPr="00195C02">
        <w:rPr>
          <w:rFonts w:ascii="ITC Avant Garde" w:eastAsiaTheme="majorEastAsia" w:hAnsi="ITC Avant Garde" w:cstheme="majorBidi"/>
          <w:lang w:val="es-ES"/>
        </w:rPr>
        <w:t>.</w:t>
      </w:r>
    </w:p>
    <w:p w14:paraId="7D17BD49" w14:textId="01D732FB" w:rsidR="00195C02" w:rsidRPr="008F17B2" w:rsidRDefault="00195C02" w:rsidP="00B029FD">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Objetivo de la consulta pública:</w:t>
      </w:r>
    </w:p>
    <w:p w14:paraId="37CB745E" w14:textId="78DC7D6B" w:rsidR="008F17B2" w:rsidRDefault="008F17B2" w:rsidP="00B029FD">
      <w:pPr>
        <w:rPr>
          <w:rFonts w:ascii="ITC Avant Garde" w:eastAsiaTheme="majorEastAsia" w:hAnsi="ITC Avant Garde" w:cstheme="majorBidi"/>
          <w:lang w:val="es-ES"/>
        </w:rPr>
      </w:pPr>
      <w:r w:rsidRPr="008F17B2">
        <w:rPr>
          <w:rFonts w:ascii="ITC Avant Garde" w:eastAsiaTheme="majorEastAsia" w:hAnsi="ITC Avant Garde" w:cstheme="majorBidi"/>
          <w:lang w:val="es-ES"/>
        </w:rPr>
        <w:lastRenderedPageBreak/>
        <w:t xml:space="preserve">Los objetivos principales de la consulta pública consistieron en: i) contar con mayores elementos para determinar las condiciones bajo las cuales se deberá aprobar la </w:t>
      </w:r>
      <w:r w:rsidR="00F57B69">
        <w:rPr>
          <w:rFonts w:ascii="ITC Avant Garde" w:eastAsiaTheme="majorEastAsia" w:hAnsi="ITC Avant Garde" w:cstheme="majorBidi"/>
          <w:lang w:val="es-ES"/>
        </w:rPr>
        <w:t xml:space="preserve">propuesta de </w:t>
      </w:r>
      <w:r w:rsidRPr="008F17B2">
        <w:rPr>
          <w:rFonts w:ascii="ITC Avant Garde" w:eastAsiaTheme="majorEastAsia" w:hAnsi="ITC Avant Garde" w:cstheme="majorBidi"/>
          <w:lang w:val="es-ES"/>
        </w:rPr>
        <w:t>Oferta de Referencia</w:t>
      </w:r>
      <w:r w:rsidR="00F57B69">
        <w:rPr>
          <w:rFonts w:ascii="ITC Avant Garde" w:eastAsiaTheme="majorEastAsia" w:hAnsi="ITC Avant Garde" w:cstheme="majorBidi"/>
          <w:lang w:val="es-ES"/>
        </w:rPr>
        <w:t xml:space="preserve"> presentada por el AEP</w:t>
      </w:r>
      <w:r w:rsidRPr="008F17B2">
        <w:rPr>
          <w:rFonts w:ascii="ITC Avant Garde" w:eastAsiaTheme="majorEastAsia" w:hAnsi="ITC Avant Garde" w:cstheme="majorBidi"/>
          <w:lang w:val="es-ES"/>
        </w:rPr>
        <w:t>; ii) favorecer la transparencia y participación ciudadana con el fin de recibir los comentarios y opiniones de regulados, cámaras, usuarios y audiencias</w:t>
      </w:r>
      <w:r w:rsidR="002970D2">
        <w:rPr>
          <w:rFonts w:ascii="ITC Avant Garde" w:eastAsiaTheme="majorEastAsia" w:hAnsi="ITC Avant Garde" w:cstheme="majorBidi"/>
          <w:lang w:val="es-ES"/>
        </w:rPr>
        <w:t xml:space="preserve">, gobierno y, ámbito internacional sobre </w:t>
      </w:r>
      <w:r w:rsidR="00F57B69">
        <w:rPr>
          <w:rFonts w:ascii="ITC Avant Garde" w:eastAsiaTheme="majorEastAsia" w:hAnsi="ITC Avant Garde" w:cstheme="majorBidi"/>
          <w:lang w:val="es-ES"/>
        </w:rPr>
        <w:t>dicha propuesta</w:t>
      </w:r>
      <w:r w:rsidRPr="008F17B2">
        <w:rPr>
          <w:rFonts w:ascii="ITC Avant Garde" w:eastAsiaTheme="majorEastAsia" w:hAnsi="ITC Avant Garde" w:cstheme="majorBidi"/>
          <w:lang w:val="es-ES"/>
        </w:rPr>
        <w:t>; y iii) establecer las bases para aprobar o modificar la misma.</w:t>
      </w:r>
    </w:p>
    <w:p w14:paraId="0F695F97" w14:textId="77E314F3" w:rsidR="00195C02" w:rsidRPr="008F17B2" w:rsidRDefault="00195C02" w:rsidP="00195C02">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Unidades y/o Coordinaciones Generales responsables de la consulta pública</w:t>
      </w:r>
      <w:r w:rsidR="008F17B2">
        <w:rPr>
          <w:rFonts w:ascii="ITC Avant Garde" w:eastAsiaTheme="majorEastAsia" w:hAnsi="ITC Avant Garde" w:cstheme="majorBidi"/>
          <w:b/>
          <w:lang w:val="es-ES"/>
        </w:rPr>
        <w:t>:</w:t>
      </w:r>
    </w:p>
    <w:p w14:paraId="5884EF15" w14:textId="1DDE56EB" w:rsidR="00195C02" w:rsidRPr="00195C02" w:rsidRDefault="00195C02" w:rsidP="00195C02">
      <w:pPr>
        <w:rPr>
          <w:rFonts w:ascii="ITC Avant Garde" w:eastAsiaTheme="majorEastAsia" w:hAnsi="ITC Avant Garde" w:cstheme="majorBidi"/>
          <w:lang w:val="es-ES"/>
        </w:rPr>
      </w:pPr>
      <w:r w:rsidRPr="00195C02">
        <w:rPr>
          <w:rFonts w:ascii="ITC Avant Garde" w:eastAsiaTheme="majorEastAsia" w:hAnsi="ITC Avant Garde" w:cstheme="majorBidi"/>
          <w:lang w:val="es-ES"/>
        </w:rPr>
        <w:t>Unidad Política Regulatoria</w:t>
      </w:r>
    </w:p>
    <w:p w14:paraId="3421C7D8" w14:textId="782C9D1E" w:rsidR="00195C02" w:rsidRPr="008F17B2" w:rsidRDefault="00195C02" w:rsidP="00195C02">
      <w:pPr>
        <w:rPr>
          <w:rFonts w:ascii="ITC Avant Garde" w:eastAsiaTheme="majorEastAsia" w:hAnsi="ITC Avant Garde" w:cstheme="majorBidi"/>
          <w:b/>
          <w:lang w:val="es-ES"/>
        </w:rPr>
      </w:pPr>
      <w:r w:rsidRPr="008F17B2">
        <w:rPr>
          <w:rFonts w:ascii="ITC Avant Garde" w:eastAsiaTheme="majorEastAsia" w:hAnsi="ITC Avant Garde" w:cstheme="majorBidi"/>
          <w:b/>
          <w:lang w:val="es-ES"/>
        </w:rPr>
        <w:t>Descripción de los participantes en la consulta pública</w:t>
      </w:r>
      <w:r w:rsidR="008F17B2">
        <w:rPr>
          <w:rFonts w:ascii="ITC Avant Garde" w:eastAsiaTheme="majorEastAsia" w:hAnsi="ITC Avant Garde" w:cstheme="majorBidi"/>
          <w:b/>
          <w:lang w:val="es-ES"/>
        </w:rPr>
        <w:t>:</w:t>
      </w:r>
    </w:p>
    <w:p w14:paraId="13BEB25F" w14:textId="782D7ECD" w:rsidR="00B029FD" w:rsidRPr="00BF7935" w:rsidRDefault="008F7AB3" w:rsidP="00B029FD">
      <w:pPr>
        <w:rPr>
          <w:rFonts w:ascii="ITC Avant Garde" w:eastAsia="Calibri" w:hAnsi="ITC Avant Garde" w:cs="Times New Roman"/>
          <w:lang w:val="es-ES"/>
        </w:rPr>
      </w:pPr>
      <w:r>
        <w:rPr>
          <w:rFonts w:ascii="ITC Avant Garde" w:eastAsia="Calibri" w:hAnsi="ITC Avant Garde" w:cs="Times New Roman"/>
          <w:lang w:val="es-ES"/>
        </w:rPr>
        <w:t>D</w:t>
      </w:r>
      <w:r w:rsidR="00AE57D0" w:rsidRPr="00AE57D0">
        <w:rPr>
          <w:rFonts w:ascii="ITC Avant Garde" w:eastAsia="Calibri" w:hAnsi="ITC Avant Garde" w:cs="Times New Roman"/>
          <w:lang w:val="es-ES"/>
        </w:rPr>
        <w:t>urante</w:t>
      </w:r>
      <w:r w:rsidR="00B029FD" w:rsidRPr="00BF7935">
        <w:rPr>
          <w:rFonts w:ascii="ITC Avant Garde" w:eastAsia="Calibri" w:hAnsi="ITC Avant Garde" w:cs="Times New Roman"/>
          <w:lang w:val="es-ES"/>
        </w:rPr>
        <w:t xml:space="preserve"> el </w:t>
      </w:r>
      <w:r w:rsidR="00AE57D0" w:rsidRPr="00AE57D0">
        <w:rPr>
          <w:rFonts w:ascii="ITC Avant Garde" w:eastAsia="Calibri" w:hAnsi="ITC Avant Garde" w:cs="Times New Roman"/>
          <w:lang w:val="es-ES"/>
        </w:rPr>
        <w:t>periodo</w:t>
      </w:r>
      <w:r w:rsidR="00B029FD" w:rsidRPr="00BF7935">
        <w:rPr>
          <w:rFonts w:ascii="ITC Avant Garde" w:eastAsia="Calibri" w:hAnsi="ITC Avant Garde" w:cs="Times New Roman"/>
          <w:lang w:val="es-ES"/>
        </w:rPr>
        <w:t xml:space="preserve"> de la consulta pública de mérito se recibieron </w:t>
      </w:r>
      <w:r w:rsidR="00A64D68">
        <w:rPr>
          <w:rFonts w:ascii="ITC Avant Garde" w:eastAsia="Calibri" w:hAnsi="ITC Avant Garde" w:cs="Times New Roman"/>
          <w:lang w:val="es-ES"/>
        </w:rPr>
        <w:t>comentarios</w:t>
      </w:r>
      <w:r w:rsidR="00AE57D0" w:rsidRPr="00AE57D0">
        <w:rPr>
          <w:rFonts w:ascii="ITC Avant Garde" w:eastAsia="Calibri" w:hAnsi="ITC Avant Garde" w:cs="Times New Roman"/>
          <w:lang w:val="es-ES"/>
        </w:rPr>
        <w:t xml:space="preserve"> por parte de las</w:t>
      </w:r>
      <w:r w:rsidR="00B029FD" w:rsidRPr="00BF7935">
        <w:rPr>
          <w:rFonts w:ascii="ITC Avant Garde" w:eastAsia="Calibri" w:hAnsi="ITC Avant Garde" w:cs="Times New Roman"/>
          <w:lang w:val="es-ES"/>
        </w:rPr>
        <w:t xml:space="preserve"> siguientes </w:t>
      </w:r>
      <w:r w:rsidR="00A64D68">
        <w:rPr>
          <w:rFonts w:ascii="ITC Avant Garde" w:eastAsia="Calibri" w:hAnsi="ITC Avant Garde" w:cs="Times New Roman"/>
          <w:lang w:val="es-ES"/>
        </w:rPr>
        <w:t>participantes</w:t>
      </w:r>
      <w:r w:rsidR="00B029FD" w:rsidRPr="00BF7935">
        <w:rPr>
          <w:rFonts w:ascii="ITC Avant Garde" w:eastAsia="Calibri" w:hAnsi="ITC Avant Garde" w:cs="Times New Roman"/>
          <w:lang w:val="es-ES"/>
        </w:rPr>
        <w:t>:</w:t>
      </w:r>
    </w:p>
    <w:p w14:paraId="15CDA528" w14:textId="77777777" w:rsidR="00C05A76" w:rsidRPr="00BF7935" w:rsidRDefault="00C05A76" w:rsidP="00C05A76">
      <w:pPr>
        <w:pStyle w:val="Prrafodelista"/>
        <w:numPr>
          <w:ilvl w:val="0"/>
          <w:numId w:val="10"/>
        </w:numPr>
        <w:rPr>
          <w:rFonts w:ascii="ITC Avant Garde" w:hAnsi="ITC Avant Garde"/>
        </w:rPr>
      </w:pPr>
      <w:proofErr w:type="spellStart"/>
      <w:r w:rsidRPr="00BF7935">
        <w:rPr>
          <w:rFonts w:ascii="ITC Avant Garde" w:hAnsi="ITC Avant Garde"/>
        </w:rPr>
        <w:t>Bestphone</w:t>
      </w:r>
      <w:proofErr w:type="spellEnd"/>
      <w:r w:rsidRPr="00BF7935">
        <w:rPr>
          <w:rFonts w:ascii="ITC Avant Garde" w:hAnsi="ITC Avant Garde"/>
        </w:rPr>
        <w:t xml:space="preserve">, S.A. DE C.V., </w:t>
      </w:r>
      <w:proofErr w:type="spellStart"/>
      <w:r w:rsidR="00AE57D0">
        <w:rPr>
          <w:rFonts w:ascii="ITC Avant Garde" w:eastAsiaTheme="minorHAnsi" w:hAnsi="ITC Avant Garde" w:cs="ITC Avant Garde"/>
        </w:rPr>
        <w:t>Operbes</w:t>
      </w:r>
      <w:proofErr w:type="spellEnd"/>
      <w:r w:rsidR="00AE57D0">
        <w:rPr>
          <w:rFonts w:ascii="ITC Avant Garde" w:eastAsiaTheme="minorHAnsi" w:hAnsi="ITC Avant Garde" w:cs="ITC Avant Garde"/>
        </w:rPr>
        <w:t xml:space="preserve">, S.A. de C.V., </w:t>
      </w:r>
      <w:r w:rsidR="00AE57D0" w:rsidRPr="004C0E61">
        <w:rPr>
          <w:rFonts w:ascii="ITC Avant Garde" w:eastAsiaTheme="minorHAnsi" w:hAnsi="ITC Avant Garde" w:cs="ITC Avant Garde"/>
        </w:rPr>
        <w:t xml:space="preserve">Cablevisión, S.A. de C.V., </w:t>
      </w:r>
      <w:r w:rsidR="00AE57D0">
        <w:rPr>
          <w:rFonts w:ascii="ITC Avant Garde" w:eastAsiaTheme="minorHAnsi" w:hAnsi="ITC Avant Garde" w:cs="ITC Avant Garde"/>
        </w:rPr>
        <w:t xml:space="preserve">Cable y Comunicación de Campeche, S.A. de C.V., </w:t>
      </w:r>
      <w:proofErr w:type="spellStart"/>
      <w:r w:rsidR="00AE57D0" w:rsidRPr="004C0E61">
        <w:rPr>
          <w:rFonts w:ascii="ITC Avant Garde" w:eastAsiaTheme="minorHAnsi" w:hAnsi="ITC Avant Garde" w:cs="ITC Avant Garde"/>
        </w:rPr>
        <w:t>Cablemás</w:t>
      </w:r>
      <w:proofErr w:type="spellEnd"/>
      <w:r w:rsidR="00AE57D0" w:rsidRPr="004C0E61">
        <w:rPr>
          <w:rFonts w:ascii="ITC Avant Garde" w:eastAsiaTheme="minorHAnsi" w:hAnsi="ITC Avant Garde" w:cs="ITC Avant Garde"/>
        </w:rPr>
        <w:t xml:space="preserve"> Telecomunicaciones, S.A. de C.V.</w:t>
      </w:r>
      <w:r w:rsidRPr="00BF7935">
        <w:rPr>
          <w:rFonts w:ascii="ITC Avant Garde" w:hAnsi="ITC Avant Garde"/>
        </w:rPr>
        <w:t xml:space="preserve">, </w:t>
      </w:r>
      <w:r w:rsidR="00AE57D0" w:rsidRPr="004C0E61">
        <w:rPr>
          <w:rFonts w:ascii="ITC Avant Garde" w:eastAsiaTheme="minorHAnsi" w:hAnsi="ITC Avant Garde" w:cs="ITC Avant Garde"/>
        </w:rPr>
        <w:t>Cablevisión Red, S.A. de C.V.</w:t>
      </w:r>
      <w:r w:rsidRPr="00BF7935">
        <w:rPr>
          <w:rFonts w:ascii="ITC Avant Garde" w:hAnsi="ITC Avant Garde"/>
        </w:rPr>
        <w:t xml:space="preserve">, </w:t>
      </w:r>
      <w:r w:rsidR="00AE57D0">
        <w:rPr>
          <w:rFonts w:ascii="ITC Avant Garde" w:hAnsi="ITC Avant Garde"/>
        </w:rPr>
        <w:t>T</w:t>
      </w:r>
      <w:r w:rsidR="00AE57D0" w:rsidRPr="00BF7935">
        <w:rPr>
          <w:rFonts w:ascii="ITC Avant Garde" w:hAnsi="ITC Avant Garde"/>
        </w:rPr>
        <w:t xml:space="preserve">ele </w:t>
      </w:r>
      <w:r w:rsidR="00AE57D0">
        <w:rPr>
          <w:rFonts w:ascii="ITC Avant Garde" w:hAnsi="ITC Avant Garde"/>
        </w:rPr>
        <w:t>A</w:t>
      </w:r>
      <w:r w:rsidR="00AE57D0" w:rsidRPr="00BF7935">
        <w:rPr>
          <w:rFonts w:ascii="ITC Avant Garde" w:hAnsi="ITC Avant Garde"/>
        </w:rPr>
        <w:t>zteca</w:t>
      </w:r>
      <w:r w:rsidRPr="00BF7935">
        <w:rPr>
          <w:rFonts w:ascii="ITC Avant Garde" w:hAnsi="ITC Avant Garde"/>
        </w:rPr>
        <w:t xml:space="preserve">, S.A. </w:t>
      </w:r>
      <w:r w:rsidR="00AC0936" w:rsidRPr="00BF7935">
        <w:rPr>
          <w:rFonts w:ascii="ITC Avant Garde" w:hAnsi="ITC Avant Garde"/>
        </w:rPr>
        <w:t xml:space="preserve">de </w:t>
      </w:r>
      <w:r w:rsidRPr="00BF7935">
        <w:rPr>
          <w:rFonts w:ascii="ITC Avant Garde" w:hAnsi="ITC Avant Garde"/>
        </w:rPr>
        <w:t>C.V., T</w:t>
      </w:r>
      <w:r w:rsidR="00AC0936" w:rsidRPr="00BF7935">
        <w:rPr>
          <w:rFonts w:ascii="ITC Avant Garde" w:hAnsi="ITC Avant Garde"/>
        </w:rPr>
        <w:t>elevisión</w:t>
      </w:r>
      <w:r w:rsidRPr="00BF7935">
        <w:rPr>
          <w:rFonts w:ascii="ITC Avant Garde" w:hAnsi="ITC Avant Garde"/>
        </w:rPr>
        <w:t xml:space="preserve"> I</w:t>
      </w:r>
      <w:r w:rsidR="00AC0936">
        <w:rPr>
          <w:rFonts w:ascii="ITC Avant Garde" w:hAnsi="ITC Avant Garde"/>
        </w:rPr>
        <w:t>n</w:t>
      </w:r>
      <w:r w:rsidR="00AC0936" w:rsidRPr="00BF7935">
        <w:rPr>
          <w:rFonts w:ascii="ITC Avant Garde" w:hAnsi="ITC Avant Garde"/>
        </w:rPr>
        <w:t>ternacional</w:t>
      </w:r>
      <w:r w:rsidRPr="00BF7935">
        <w:rPr>
          <w:rFonts w:ascii="ITC Avant Garde" w:hAnsi="ITC Avant Garde"/>
        </w:rPr>
        <w:t xml:space="preserve">, S.A. </w:t>
      </w:r>
      <w:r w:rsidR="00AC0936" w:rsidRPr="00BF7935">
        <w:rPr>
          <w:rFonts w:ascii="ITC Avant Garde" w:hAnsi="ITC Avant Garde"/>
        </w:rPr>
        <w:t>de</w:t>
      </w:r>
      <w:r w:rsidRPr="00BF7935">
        <w:rPr>
          <w:rFonts w:ascii="ITC Avant Garde" w:hAnsi="ITC Avant Garde"/>
        </w:rPr>
        <w:t xml:space="preserve"> C.V., </w:t>
      </w:r>
      <w:r w:rsidR="00AC0936" w:rsidRPr="00BF7935">
        <w:rPr>
          <w:rFonts w:ascii="ITC Avant Garde" w:hAnsi="ITC Avant Garde"/>
        </w:rPr>
        <w:t xml:space="preserve">México </w:t>
      </w:r>
      <w:r w:rsidR="00AC0936">
        <w:rPr>
          <w:rFonts w:ascii="ITC Avant Garde" w:hAnsi="ITC Avant Garde"/>
        </w:rPr>
        <w:t>R</w:t>
      </w:r>
      <w:r w:rsidR="00AC0936" w:rsidRPr="00BF7935">
        <w:rPr>
          <w:rFonts w:ascii="ITC Avant Garde" w:hAnsi="ITC Avant Garde"/>
        </w:rPr>
        <w:t xml:space="preserve">ed de </w:t>
      </w:r>
      <w:r w:rsidR="00AC0936">
        <w:rPr>
          <w:rFonts w:ascii="ITC Avant Garde" w:hAnsi="ITC Avant Garde"/>
        </w:rPr>
        <w:t>T</w:t>
      </w:r>
      <w:r w:rsidR="00AC0936" w:rsidRPr="00BF7935">
        <w:rPr>
          <w:rFonts w:ascii="ITC Avant Garde" w:hAnsi="ITC Avant Garde"/>
        </w:rPr>
        <w:t>elecomunicaciones</w:t>
      </w:r>
      <w:r w:rsidRPr="00BF7935">
        <w:rPr>
          <w:rFonts w:ascii="ITC Avant Garde" w:hAnsi="ITC Avant Garde"/>
        </w:rPr>
        <w:t xml:space="preserve">, S. </w:t>
      </w:r>
      <w:r w:rsidR="00AC0936" w:rsidRPr="00BF7935">
        <w:rPr>
          <w:rFonts w:ascii="ITC Avant Garde" w:hAnsi="ITC Avant Garde"/>
        </w:rPr>
        <w:t>de</w:t>
      </w:r>
      <w:r w:rsidRPr="00BF7935">
        <w:rPr>
          <w:rFonts w:ascii="ITC Avant Garde" w:hAnsi="ITC Avant Garde"/>
        </w:rPr>
        <w:t xml:space="preserve"> R.L. </w:t>
      </w:r>
      <w:r w:rsidR="00AC0936" w:rsidRPr="00BF7935">
        <w:rPr>
          <w:rFonts w:ascii="ITC Avant Garde" w:hAnsi="ITC Avant Garde"/>
        </w:rPr>
        <w:t>de</w:t>
      </w:r>
      <w:r w:rsidRPr="00BF7935">
        <w:rPr>
          <w:rFonts w:ascii="ITC Avant Garde" w:hAnsi="ITC Avant Garde"/>
        </w:rPr>
        <w:t xml:space="preserve"> C.V. </w:t>
      </w:r>
      <w:r w:rsidR="00AC0936" w:rsidRPr="00BF7935">
        <w:rPr>
          <w:rFonts w:ascii="ITC Avant Garde" w:hAnsi="ITC Avant Garde"/>
        </w:rPr>
        <w:t>y</w:t>
      </w:r>
      <w:r w:rsidRPr="00BF7935">
        <w:rPr>
          <w:rFonts w:ascii="ITC Avant Garde" w:hAnsi="ITC Avant Garde"/>
        </w:rPr>
        <w:t xml:space="preserve"> T.V. </w:t>
      </w:r>
      <w:r w:rsidR="00AC0936">
        <w:rPr>
          <w:rFonts w:ascii="ITC Avant Garde" w:hAnsi="ITC Avant Garde"/>
        </w:rPr>
        <w:t>C</w:t>
      </w:r>
      <w:r w:rsidR="00AC0936" w:rsidRPr="00BF7935">
        <w:rPr>
          <w:rFonts w:ascii="ITC Avant Garde" w:hAnsi="ITC Avant Garde"/>
        </w:rPr>
        <w:t xml:space="preserve">able de </w:t>
      </w:r>
      <w:r w:rsidR="00AC0936">
        <w:rPr>
          <w:rFonts w:ascii="ITC Avant Garde" w:hAnsi="ITC Avant Garde"/>
        </w:rPr>
        <w:t>O</w:t>
      </w:r>
      <w:r w:rsidR="00AC0936" w:rsidRPr="00BF7935">
        <w:rPr>
          <w:rFonts w:ascii="ITC Avant Garde" w:hAnsi="ITC Avant Garde"/>
        </w:rPr>
        <w:t>riente</w:t>
      </w:r>
      <w:r w:rsidRPr="00BF7935">
        <w:rPr>
          <w:rFonts w:ascii="ITC Avant Garde" w:hAnsi="ITC Avant Garde"/>
        </w:rPr>
        <w:t xml:space="preserve">, S.A. </w:t>
      </w:r>
      <w:r w:rsidR="00AC0936" w:rsidRPr="00BF7935">
        <w:rPr>
          <w:rFonts w:ascii="ITC Avant Garde" w:hAnsi="ITC Avant Garde"/>
        </w:rPr>
        <w:t>de</w:t>
      </w:r>
      <w:r w:rsidRPr="00BF7935">
        <w:rPr>
          <w:rFonts w:ascii="ITC Avant Garde" w:hAnsi="ITC Avant Garde"/>
        </w:rPr>
        <w:t xml:space="preserve"> C.V. (</w:t>
      </w:r>
      <w:r w:rsidR="00AC0936" w:rsidRPr="00BF7935">
        <w:rPr>
          <w:rFonts w:ascii="ITC Avant Garde" w:hAnsi="ITC Avant Garde"/>
        </w:rPr>
        <w:t>en</w:t>
      </w:r>
      <w:r w:rsidRPr="00BF7935">
        <w:rPr>
          <w:rFonts w:ascii="ITC Avant Garde" w:hAnsi="ITC Avant Garde"/>
        </w:rPr>
        <w:t xml:space="preserve"> lo sucesivo</w:t>
      </w:r>
      <w:r w:rsidR="006C558C">
        <w:rPr>
          <w:rFonts w:ascii="ITC Avant Garde" w:hAnsi="ITC Avant Garde"/>
        </w:rPr>
        <w:t xml:space="preserve"> de manera conjunta,</w:t>
      </w:r>
      <w:r w:rsidRPr="00BF7935">
        <w:rPr>
          <w:rFonts w:ascii="ITC Avant Garde" w:hAnsi="ITC Avant Garde"/>
        </w:rPr>
        <w:t xml:space="preserve"> “Televisa”).</w:t>
      </w:r>
    </w:p>
    <w:p w14:paraId="0D459D51" w14:textId="091AC936" w:rsidR="00574C9A" w:rsidRDefault="00F67EE5" w:rsidP="00C05A76">
      <w:pPr>
        <w:pStyle w:val="Prrafodelista"/>
        <w:numPr>
          <w:ilvl w:val="0"/>
          <w:numId w:val="10"/>
        </w:numPr>
        <w:rPr>
          <w:rFonts w:ascii="ITC Avant Garde" w:hAnsi="ITC Avant Garde"/>
        </w:rPr>
      </w:pPr>
      <w:proofErr w:type="spellStart"/>
      <w:r w:rsidRPr="00BF7935">
        <w:rPr>
          <w:rFonts w:ascii="ITC Avant Garde" w:hAnsi="ITC Avant Garde"/>
        </w:rPr>
        <w:t>Altá</w:t>
      </w:r>
      <w:r w:rsidR="00266C8E" w:rsidRPr="00BF7935">
        <w:rPr>
          <w:rFonts w:ascii="ITC Avant Garde" w:hAnsi="ITC Avant Garde"/>
        </w:rPr>
        <w:t>n</w:t>
      </w:r>
      <w:proofErr w:type="spellEnd"/>
      <w:r w:rsidR="00266C8E" w:rsidRPr="00BF7935">
        <w:rPr>
          <w:rFonts w:ascii="ITC Avant Garde" w:hAnsi="ITC Avant Garde"/>
        </w:rPr>
        <w:t xml:space="preserve"> Redes, S</w:t>
      </w:r>
      <w:r w:rsidR="00E43D39" w:rsidRPr="00BF7935">
        <w:rPr>
          <w:rFonts w:ascii="ITC Avant Garde" w:hAnsi="ITC Avant Garde"/>
        </w:rPr>
        <w:t>.</w:t>
      </w:r>
      <w:r w:rsidR="00266C8E" w:rsidRPr="00BF7935">
        <w:rPr>
          <w:rFonts w:ascii="ITC Avant Garde" w:hAnsi="ITC Avant Garde"/>
        </w:rPr>
        <w:t>A</w:t>
      </w:r>
      <w:r w:rsidR="00E43D39" w:rsidRPr="00BF7935">
        <w:rPr>
          <w:rFonts w:ascii="ITC Avant Garde" w:hAnsi="ITC Avant Garde"/>
        </w:rPr>
        <w:t>.</w:t>
      </w:r>
      <w:r w:rsidR="00266C8E" w:rsidRPr="00BF7935">
        <w:rPr>
          <w:rFonts w:ascii="ITC Avant Garde" w:hAnsi="ITC Avant Garde"/>
        </w:rPr>
        <w:t>P</w:t>
      </w:r>
      <w:r w:rsidR="00E43D39" w:rsidRPr="00BF7935">
        <w:rPr>
          <w:rFonts w:ascii="ITC Avant Garde" w:hAnsi="ITC Avant Garde"/>
        </w:rPr>
        <w:t>.</w:t>
      </w:r>
      <w:r w:rsidR="00266C8E" w:rsidRPr="00BF7935">
        <w:rPr>
          <w:rFonts w:ascii="ITC Avant Garde" w:hAnsi="ITC Avant Garde"/>
        </w:rPr>
        <w:t>I</w:t>
      </w:r>
      <w:r w:rsidR="00E43D39" w:rsidRPr="00BF7935">
        <w:rPr>
          <w:rFonts w:ascii="ITC Avant Garde" w:hAnsi="ITC Avant Garde"/>
        </w:rPr>
        <w:t>.</w:t>
      </w:r>
      <w:r w:rsidR="00266C8E" w:rsidRPr="00BF7935">
        <w:rPr>
          <w:rFonts w:ascii="ITC Avant Garde" w:hAnsi="ITC Avant Garde"/>
        </w:rPr>
        <w:t xml:space="preserve"> de C.V.</w:t>
      </w:r>
      <w:r w:rsidR="001B4D64" w:rsidRPr="00BF7935">
        <w:rPr>
          <w:rFonts w:ascii="ITC Avant Garde" w:hAnsi="ITC Avant Garde"/>
        </w:rPr>
        <w:t xml:space="preserve"> (</w:t>
      </w:r>
      <w:r w:rsidR="006C558C">
        <w:rPr>
          <w:rFonts w:ascii="ITC Avant Garde" w:hAnsi="ITC Avant Garde"/>
        </w:rPr>
        <w:t>e</w:t>
      </w:r>
      <w:r w:rsidRPr="00BF7935">
        <w:rPr>
          <w:rFonts w:ascii="ITC Avant Garde" w:hAnsi="ITC Avant Garde"/>
        </w:rPr>
        <w:t>n lo sucesivo</w:t>
      </w:r>
      <w:r w:rsidR="006C558C">
        <w:rPr>
          <w:rFonts w:ascii="ITC Avant Garde" w:hAnsi="ITC Avant Garde"/>
        </w:rPr>
        <w:t>,</w:t>
      </w:r>
      <w:r w:rsidRPr="00BF7935">
        <w:rPr>
          <w:rFonts w:ascii="ITC Avant Garde" w:hAnsi="ITC Avant Garde"/>
        </w:rPr>
        <w:t xml:space="preserve"> “</w:t>
      </w:r>
      <w:proofErr w:type="spellStart"/>
      <w:r w:rsidRPr="00BF7935">
        <w:rPr>
          <w:rFonts w:ascii="ITC Avant Garde" w:hAnsi="ITC Avant Garde"/>
        </w:rPr>
        <w:t>Altá</w:t>
      </w:r>
      <w:r w:rsidR="0030180E" w:rsidRPr="00BF7935">
        <w:rPr>
          <w:rFonts w:ascii="ITC Avant Garde" w:hAnsi="ITC Avant Garde"/>
        </w:rPr>
        <w:t>n</w:t>
      </w:r>
      <w:proofErr w:type="spellEnd"/>
      <w:r w:rsidR="0030180E" w:rsidRPr="00BF7935">
        <w:rPr>
          <w:rFonts w:ascii="ITC Avant Garde" w:hAnsi="ITC Avant Garde"/>
        </w:rPr>
        <w:t>”)</w:t>
      </w:r>
      <w:r w:rsidR="00C05A76" w:rsidRPr="00BF7935">
        <w:rPr>
          <w:rFonts w:ascii="ITC Avant Garde" w:hAnsi="ITC Avant Garde"/>
        </w:rPr>
        <w:t>.</w:t>
      </w:r>
    </w:p>
    <w:p w14:paraId="49C04B2E" w14:textId="70439FA1" w:rsidR="002970D2" w:rsidRPr="00BF7935" w:rsidRDefault="002970D2" w:rsidP="00C05A76">
      <w:pPr>
        <w:pStyle w:val="Prrafodelista"/>
        <w:numPr>
          <w:ilvl w:val="0"/>
          <w:numId w:val="10"/>
        </w:numPr>
        <w:rPr>
          <w:rFonts w:ascii="ITC Avant Garde" w:hAnsi="ITC Avant Garde"/>
        </w:rPr>
      </w:pPr>
      <w:r>
        <w:rPr>
          <w:rFonts w:ascii="ITC Avant Garde" w:hAnsi="ITC Avant Garde"/>
        </w:rPr>
        <w:t>Pegaso PCS, S.A. de C.V. (en lo sucesivo, “Telefónica”).</w:t>
      </w:r>
    </w:p>
    <w:p w14:paraId="53CB1226" w14:textId="42865659" w:rsidR="00C45224" w:rsidRPr="00FA71BF" w:rsidRDefault="008F7AB3" w:rsidP="00781DD0">
      <w:pPr>
        <w:rPr>
          <w:rFonts w:ascii="ITC Avant Garde" w:hAnsi="ITC Avant Garde"/>
        </w:rPr>
      </w:pPr>
      <w:r>
        <w:rPr>
          <w:rFonts w:ascii="ITC Avant Garde" w:hAnsi="ITC Avant Garde"/>
        </w:rPr>
        <w:t xml:space="preserve">Dichos comentarios se encuentran </w:t>
      </w:r>
      <w:r w:rsidRPr="00AE57D0">
        <w:rPr>
          <w:rFonts w:ascii="ITC Avant Garde" w:hAnsi="ITC Avant Garde"/>
        </w:rPr>
        <w:t xml:space="preserve">disponibles para su consulta en </w:t>
      </w:r>
      <w:r>
        <w:rPr>
          <w:rFonts w:ascii="ITC Avant Garde" w:hAnsi="ITC Avant Garde"/>
        </w:rPr>
        <w:t>la</w:t>
      </w:r>
      <w:r w:rsidRPr="00AE57D0">
        <w:rPr>
          <w:rFonts w:ascii="ITC Avant Garde" w:hAnsi="ITC Avant Garde"/>
        </w:rPr>
        <w:t xml:space="preserve"> página de </w:t>
      </w:r>
      <w:r>
        <w:rPr>
          <w:rFonts w:ascii="ITC Avant Garde" w:hAnsi="ITC Avant Garde"/>
        </w:rPr>
        <w:t>I</w:t>
      </w:r>
      <w:r w:rsidRPr="00AE57D0">
        <w:rPr>
          <w:rFonts w:ascii="ITC Avant Garde" w:hAnsi="ITC Avant Garde"/>
        </w:rPr>
        <w:t>nternet</w:t>
      </w:r>
      <w:r w:rsidR="00F57B69">
        <w:rPr>
          <w:rFonts w:ascii="ITC Avant Garde" w:hAnsi="ITC Avant Garde"/>
        </w:rPr>
        <w:t xml:space="preserve"> del Instituto</w:t>
      </w:r>
      <w:r w:rsidR="00C45224">
        <w:rPr>
          <w:rFonts w:ascii="ITC Avant Garde" w:hAnsi="ITC Avant Garde"/>
        </w:rPr>
        <w:t xml:space="preserve"> </w:t>
      </w:r>
      <w:hyperlink r:id="rId11" w:history="1">
        <w:r w:rsidR="002970D2" w:rsidRPr="00D16F6D">
          <w:rPr>
            <w:rStyle w:val="Hipervnculo"/>
            <w:rFonts w:ascii="ITC Avant Garde" w:hAnsi="ITC Avant Garde"/>
          </w:rPr>
          <w:t>http://www.ift.org.mx/industria/consultas-publicas/consulta-publica-sobre-la-propuesta-de-oferta-de-referencia-del-servicio-de-acceso-y-uso-compartido</w:t>
        </w:r>
      </w:hyperlink>
    </w:p>
    <w:p w14:paraId="1986B6C8" w14:textId="416B5EC4" w:rsidR="00483983" w:rsidRDefault="008F7AB3" w:rsidP="00781DD0">
      <w:pPr>
        <w:rPr>
          <w:rFonts w:ascii="ITC Avant Garde" w:eastAsia="Calibri" w:hAnsi="ITC Avant Garde" w:cs="Times New Roman"/>
          <w:lang w:val="es-ES"/>
        </w:rPr>
      </w:pPr>
      <w:r>
        <w:rPr>
          <w:rFonts w:ascii="ITC Avant Garde" w:eastAsia="Calibri" w:hAnsi="ITC Avant Garde" w:cs="Times New Roman"/>
          <w:lang w:val="es-ES"/>
        </w:rPr>
        <w:t>P</w:t>
      </w:r>
      <w:r w:rsidR="00AC0936" w:rsidRPr="00AC0936">
        <w:rPr>
          <w:rFonts w:ascii="ITC Avant Garde" w:eastAsia="Calibri" w:hAnsi="ITC Avant Garde" w:cs="Times New Roman"/>
          <w:lang w:val="es-ES"/>
        </w:rPr>
        <w:t>ara efectos del presente documento</w:t>
      </w:r>
      <w:r w:rsidR="00781DD0">
        <w:rPr>
          <w:rFonts w:ascii="ITC Avant Garde" w:eastAsia="Calibri" w:hAnsi="ITC Avant Garde" w:cs="Times New Roman"/>
          <w:lang w:val="es-ES"/>
        </w:rPr>
        <w:t xml:space="preserve"> la </w:t>
      </w:r>
      <w:r w:rsidR="00781DD0">
        <w:rPr>
          <w:rFonts w:ascii="ITC Avant Garde" w:hAnsi="ITC Avant Garde" w:cs="Arial"/>
          <w:i/>
          <w:color w:val="000000"/>
          <w:lang w:val="es-ES_tradnl" w:eastAsia="es-ES"/>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00781DD0">
        <w:rPr>
          <w:rFonts w:ascii="ITC Avant Garde" w:hAnsi="ITC Avant Garde" w:cs="Arial"/>
          <w:color w:val="000000"/>
          <w:lang w:val="es-ES_tradnl" w:eastAsia="es-ES"/>
        </w:rPr>
        <w:t xml:space="preserve"> </w:t>
      </w:r>
      <w:r w:rsidR="00781DD0" w:rsidRPr="00AC0936">
        <w:rPr>
          <w:rFonts w:ascii="ITC Avant Garde" w:eastAsia="Calibri" w:hAnsi="ITC Avant Garde" w:cs="Times New Roman"/>
          <w:lang w:val="es-ES"/>
        </w:rPr>
        <w:t>se en</w:t>
      </w:r>
      <w:r w:rsidR="00781DD0">
        <w:rPr>
          <w:rFonts w:ascii="ITC Avant Garde" w:eastAsia="Calibri" w:hAnsi="ITC Avant Garde" w:cs="Times New Roman"/>
          <w:lang w:val="es-ES"/>
        </w:rPr>
        <w:t>tenderá como “Resolución</w:t>
      </w:r>
      <w:r w:rsidR="00781DD0">
        <w:rPr>
          <w:rFonts w:ascii="ITC Avant Garde" w:hAnsi="ITC Avant Garde" w:cs="Arial"/>
          <w:color w:val="000000"/>
          <w:lang w:val="es-ES_tradnl" w:eastAsia="es-ES"/>
        </w:rPr>
        <w:t xml:space="preserve"> AEP” y</w:t>
      </w:r>
      <w:r w:rsidR="00AC0936" w:rsidRPr="00AC0936">
        <w:rPr>
          <w:rFonts w:ascii="ITC Avant Garde" w:eastAsia="Calibri" w:hAnsi="ITC Avant Garde" w:cs="Times New Roman"/>
          <w:lang w:val="es-ES"/>
        </w:rPr>
        <w:t xml:space="preserve"> la “</w:t>
      </w:r>
      <w:r w:rsidR="00A66381" w:rsidRPr="00BF7935">
        <w:rPr>
          <w:rFonts w:ascii="ITC Avant Garde" w:hAnsi="ITC Avant Garde"/>
          <w:i/>
          <w:lang w:val="es-ES_tradnl"/>
        </w:rPr>
        <w:t xml:space="preserve">RESOLUCIÓN MEDIANTE LA CUAL EL PLENO DEL INSTITUTO FEDERAL DE TELECOMUNICACIONES SUPRIME, MODIFICA Y ADICIONA LAS MEDIDAS IMPUESTAS AL AGENTE ECONÓMICO PREPONDERANTE EN EL SECTOR DE TELECOMUNICACIONES MEDIANTE RESOLUCIÓN DE FECHA 6 DE MARZO DE 2014, APROBADA MEDIANTE </w:t>
      </w:r>
      <w:r w:rsidR="00A66381" w:rsidRPr="00BF7935">
        <w:rPr>
          <w:rFonts w:ascii="ITC Avant Garde" w:hAnsi="ITC Avant Garde"/>
          <w:i/>
          <w:lang w:val="es-ES_tradnl"/>
        </w:rPr>
        <w:lastRenderedPageBreak/>
        <w:t>ACUERDO P/IFT/EXT/060314/76.</w:t>
      </w:r>
      <w:r w:rsidR="00AC0936" w:rsidRPr="00AC0936">
        <w:rPr>
          <w:rFonts w:ascii="ITC Avant Garde" w:eastAsia="Calibri" w:hAnsi="ITC Avant Garde" w:cs="Times New Roman"/>
          <w:lang w:val="es-ES"/>
        </w:rPr>
        <w:t>” se en</w:t>
      </w:r>
      <w:r w:rsidR="00AC0936">
        <w:rPr>
          <w:rFonts w:ascii="ITC Avant Garde" w:eastAsia="Calibri" w:hAnsi="ITC Avant Garde" w:cs="Times New Roman"/>
          <w:lang w:val="es-ES"/>
        </w:rPr>
        <w:t>tenderá como “</w:t>
      </w:r>
      <w:r w:rsidR="004E7021">
        <w:rPr>
          <w:rFonts w:ascii="ITC Avant Garde" w:eastAsia="Calibri" w:hAnsi="ITC Avant Garde" w:cs="Times New Roman"/>
          <w:lang w:val="es-ES"/>
        </w:rPr>
        <w:t xml:space="preserve">Resolución </w:t>
      </w:r>
      <w:r w:rsidR="00781DD0">
        <w:rPr>
          <w:rFonts w:ascii="ITC Avant Garde" w:eastAsia="Calibri" w:hAnsi="ITC Avant Garde" w:cs="Times New Roman"/>
          <w:lang w:val="es-ES"/>
        </w:rPr>
        <w:t>Bienal</w:t>
      </w:r>
      <w:r w:rsidR="00AC0936">
        <w:rPr>
          <w:rFonts w:ascii="ITC Avant Garde" w:eastAsia="Calibri" w:hAnsi="ITC Avant Garde" w:cs="Times New Roman"/>
          <w:lang w:val="es-ES"/>
        </w:rPr>
        <w:t>”</w:t>
      </w:r>
      <w:r w:rsidR="00934D49">
        <w:rPr>
          <w:rFonts w:ascii="ITC Avant Garde" w:eastAsia="Calibri" w:hAnsi="ITC Avant Garde" w:cs="Times New Roman"/>
          <w:lang w:val="es-ES"/>
        </w:rPr>
        <w:t xml:space="preserve">, </w:t>
      </w:r>
      <w:r w:rsidR="00EB5887">
        <w:rPr>
          <w:rFonts w:ascii="ITC Avant Garde" w:eastAsia="Calibri" w:hAnsi="ITC Avant Garde" w:cs="Times New Roman"/>
          <w:lang w:val="es-ES"/>
        </w:rPr>
        <w:t xml:space="preserve">y </w:t>
      </w:r>
      <w:r w:rsidR="00934D49">
        <w:rPr>
          <w:rFonts w:ascii="ITC Avant Garde" w:eastAsia="Calibri" w:hAnsi="ITC Avant Garde" w:cs="Times New Roman"/>
          <w:lang w:val="es-ES"/>
        </w:rPr>
        <w:t>ambas serán consideradas como “Resolución de Preponderancia”</w:t>
      </w:r>
      <w:r w:rsidR="00AC0936">
        <w:rPr>
          <w:rFonts w:ascii="ITC Avant Garde" w:eastAsia="Calibri" w:hAnsi="ITC Avant Garde" w:cs="Times New Roman"/>
          <w:lang w:val="es-ES"/>
        </w:rPr>
        <w:t>.</w:t>
      </w:r>
    </w:p>
    <w:p w14:paraId="1EA1FC4E" w14:textId="6E038EB5" w:rsidR="00781DD0" w:rsidRPr="00781DD0" w:rsidRDefault="00781DD0" w:rsidP="00781DD0">
      <w:pPr>
        <w:rPr>
          <w:rFonts w:ascii="ITC Avant Garde" w:eastAsia="Calibri" w:hAnsi="ITC Avant Garde" w:cs="Times New Roman"/>
          <w:lang w:val="es-ES"/>
        </w:rPr>
      </w:pPr>
      <w:r w:rsidRPr="00781DD0">
        <w:rPr>
          <w:rFonts w:ascii="ITC Avant Garde" w:eastAsia="Calibri" w:hAnsi="ITC Avant Garde" w:cs="Times New Roman"/>
          <w:lang w:val="es-ES"/>
        </w:rPr>
        <w:t xml:space="preserve">La Resolución Bienal contiene, entre otros, el anexo 1 en el que se </w:t>
      </w:r>
      <w:r w:rsidRPr="00483983">
        <w:rPr>
          <w:rFonts w:ascii="ITC Avant Garde" w:eastAsia="Calibri" w:hAnsi="ITC Avant Garde" w:cs="Times New Roman"/>
          <w:b/>
          <w:lang w:val="es-ES"/>
        </w:rPr>
        <w:t>MODIFICAN</w:t>
      </w:r>
      <w:r w:rsidRPr="00781DD0">
        <w:rPr>
          <w:rFonts w:ascii="ITC Avant Garde" w:eastAsia="Calibri" w:hAnsi="ITC Avant Garde" w:cs="Times New Roman"/>
          <w:lang w:val="es-ES"/>
        </w:rPr>
        <w:t xml:space="preserve">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w:t>
      </w:r>
      <w:r w:rsidRPr="00483983">
        <w:rPr>
          <w:rFonts w:ascii="ITC Avant Garde" w:eastAsia="Calibri" w:hAnsi="ITC Avant Garde" w:cs="Times New Roman"/>
          <w:b/>
          <w:lang w:val="es-ES"/>
        </w:rPr>
        <w:t>ADICIONAN</w:t>
      </w:r>
      <w:r w:rsidRPr="00781DD0">
        <w:rPr>
          <w:rFonts w:ascii="ITC Avant Garde" w:eastAsia="Calibri" w:hAnsi="ITC Avant Garde" w:cs="Times New Roman"/>
          <w:lang w:val="es-ES"/>
        </w:rPr>
        <w:t xml:space="preserve"> las medidas TERCERA, incisos 0), 8.1), 12.1),19.1), 19.2), 22.1), 22.2) y 22.3), VIGÉSIMA TERCERA BIS, SEPTUAGÉSIMA SÉPTIMA, SEPTUAGÉSIMA OCTAVA y SEPTUAGÉSIMA NOVENA, y se </w:t>
      </w:r>
      <w:r w:rsidRPr="00483983">
        <w:rPr>
          <w:rFonts w:ascii="ITC Avant Garde" w:eastAsia="Calibri" w:hAnsi="ITC Avant Garde" w:cs="Times New Roman"/>
          <w:b/>
          <w:lang w:val="es-ES"/>
        </w:rPr>
        <w:t>SUPRIMEN</w:t>
      </w:r>
      <w:r w:rsidRPr="00781DD0">
        <w:rPr>
          <w:rFonts w:ascii="ITC Avant Garde" w:eastAsia="Calibri" w:hAnsi="ITC Avant Garde" w:cs="Times New Roman"/>
          <w:lang w:val="es-ES"/>
        </w:rPr>
        <w:t xml:space="preserve"> las medidas TERCERA, incisos 3), 10), 11), 12), 1</w:t>
      </w:r>
      <w:r>
        <w:rPr>
          <w:rFonts w:ascii="ITC Avant Garde" w:eastAsia="Calibri" w:hAnsi="ITC Avant Garde" w:cs="Times New Roman"/>
          <w:lang w:val="es-ES"/>
        </w:rPr>
        <w:t xml:space="preserve">8) y 29) y SEXAGÉSIMA TERCERA. </w:t>
      </w:r>
    </w:p>
    <w:p w14:paraId="708FB856" w14:textId="16038A9F" w:rsidR="00781DD0" w:rsidRDefault="00781DD0" w:rsidP="00781DD0">
      <w:pPr>
        <w:rPr>
          <w:rFonts w:ascii="ITC Avant Garde" w:eastAsia="Calibri" w:hAnsi="ITC Avant Garde" w:cs="Times New Roman"/>
          <w:lang w:val="es-ES"/>
        </w:rPr>
      </w:pPr>
      <w:r w:rsidRPr="00781DD0">
        <w:rPr>
          <w:rFonts w:ascii="ITC Avant Garde" w:eastAsia="Calibri" w:hAnsi="ITC Avant Garde" w:cs="Times New Roman"/>
          <w:lang w:val="es-ES"/>
        </w:rPr>
        <w:t xml:space="preserve">Para efectos del presente </w:t>
      </w:r>
      <w:r w:rsidR="00934D49">
        <w:rPr>
          <w:rFonts w:ascii="ITC Avant Garde" w:eastAsia="Calibri" w:hAnsi="ITC Avant Garde" w:cs="Times New Roman"/>
          <w:lang w:val="es-ES"/>
        </w:rPr>
        <w:t>documento</w:t>
      </w:r>
      <w:r w:rsidRPr="00781DD0">
        <w:rPr>
          <w:rFonts w:ascii="ITC Avant Garde" w:eastAsia="Calibri" w:hAnsi="ITC Avant Garde" w:cs="Times New Roman"/>
          <w:lang w:val="es-ES"/>
        </w:rPr>
        <w:t xml:space="preserve">, se le denominarán “Medidas Móviles” a las emitidas como parte del Anexo 1 de la Resolución AEP, incluyendo las modificaciones, adiciones y supresiones realizadas </w:t>
      </w:r>
      <w:r w:rsidR="00EB5887">
        <w:rPr>
          <w:rFonts w:ascii="ITC Avant Garde" w:eastAsia="Calibri" w:hAnsi="ITC Avant Garde" w:cs="Times New Roman"/>
          <w:lang w:val="es-ES"/>
        </w:rPr>
        <w:t xml:space="preserve">al </w:t>
      </w:r>
      <w:r w:rsidRPr="00781DD0">
        <w:rPr>
          <w:rFonts w:ascii="ITC Avant Garde" w:eastAsia="Calibri" w:hAnsi="ITC Avant Garde" w:cs="Times New Roman"/>
          <w:lang w:val="es-ES"/>
        </w:rPr>
        <w:t xml:space="preserve">Anexo 1 de la Resolución Bienal. </w:t>
      </w:r>
    </w:p>
    <w:p w14:paraId="2417423A" w14:textId="20E9B6A7" w:rsidR="00EB5887" w:rsidRDefault="00EB5887" w:rsidP="00781DD0">
      <w:pPr>
        <w:rPr>
          <w:rFonts w:ascii="ITC Avant Garde" w:eastAsia="Calibri" w:hAnsi="ITC Avant Garde" w:cs="Times New Roman"/>
          <w:lang w:val="es-ES"/>
        </w:rPr>
      </w:pPr>
      <w:r w:rsidRPr="00FA71BF">
        <w:rPr>
          <w:rFonts w:ascii="ITC Avant Garde" w:eastAsia="Calibri" w:hAnsi="ITC Avant Garde" w:cs="Times New Roman"/>
          <w:b/>
          <w:lang w:val="es-ES"/>
        </w:rPr>
        <w:t>Respuestas o posicionamientos por parte del Instituto</w:t>
      </w:r>
    </w:p>
    <w:p w14:paraId="52AD78CF" w14:textId="27303CA5" w:rsidR="003069F0" w:rsidRDefault="008222A9" w:rsidP="00781DD0">
      <w:pPr>
        <w:rPr>
          <w:rFonts w:ascii="ITC Avant Garde" w:hAnsi="ITC Avant Garde"/>
        </w:rPr>
      </w:pPr>
      <w:r w:rsidRPr="00BF7935">
        <w:rPr>
          <w:rFonts w:ascii="ITC Avant Garde" w:eastAsia="Calibri" w:hAnsi="ITC Avant Garde" w:cs="Times New Roman"/>
          <w:lang w:val="es-ES"/>
        </w:rPr>
        <w:t>En primer lugar, se establecen los comentarios y sugerencia</w:t>
      </w:r>
      <w:r w:rsidR="002B53BC" w:rsidRPr="00BF7935">
        <w:rPr>
          <w:rFonts w:ascii="ITC Avant Garde" w:eastAsia="Calibri" w:hAnsi="ITC Avant Garde" w:cs="Times New Roman"/>
          <w:lang w:val="es-ES"/>
        </w:rPr>
        <w:t>s</w:t>
      </w:r>
      <w:r w:rsidRPr="00BF7935">
        <w:rPr>
          <w:rFonts w:ascii="ITC Avant Garde" w:eastAsia="Calibri" w:hAnsi="ITC Avant Garde" w:cs="Times New Roman"/>
          <w:lang w:val="es-ES"/>
        </w:rPr>
        <w:t xml:space="preserve"> realizados por </w:t>
      </w:r>
      <w:r w:rsidR="0030180E" w:rsidRPr="00BF7935">
        <w:rPr>
          <w:rFonts w:ascii="ITC Avant Garde" w:eastAsia="Calibri" w:hAnsi="ITC Avant Garde" w:cs="Times New Roman"/>
          <w:lang w:val="es-ES"/>
        </w:rPr>
        <w:t>Televisa</w:t>
      </w:r>
      <w:r w:rsidRPr="00BF7935">
        <w:rPr>
          <w:rFonts w:ascii="ITC Avant Garde" w:hAnsi="ITC Avant Garde"/>
        </w:rPr>
        <w:t xml:space="preserve">, respecto de la </w:t>
      </w:r>
      <w:r w:rsidR="004347CD" w:rsidRPr="00BF7935">
        <w:rPr>
          <w:rFonts w:ascii="ITC Avant Garde" w:eastAsia="Calibri" w:hAnsi="ITC Avant Garde" w:cs="Times New Roman"/>
          <w:lang w:val="es-ES"/>
        </w:rPr>
        <w:t>Propuesta de Oferta de Referencia</w:t>
      </w:r>
      <w:r w:rsidRPr="00BF7935">
        <w:rPr>
          <w:rFonts w:ascii="ITC Avant Garde" w:hAnsi="ITC Avant Garde"/>
        </w:rPr>
        <w:t>:</w:t>
      </w:r>
    </w:p>
    <w:p w14:paraId="690B865A" w14:textId="77777777" w:rsidR="00E3626E" w:rsidRPr="00BF7935" w:rsidRDefault="00E3626E" w:rsidP="00E3626E">
      <w:pPr>
        <w:spacing w:after="120"/>
        <w:rPr>
          <w:rFonts w:ascii="ITC Avant Garde" w:hAnsi="ITC Avant Garde"/>
          <w:b/>
          <w:lang w:val="es-ES_tradnl"/>
        </w:rPr>
      </w:pPr>
      <w:r w:rsidRPr="00BF7935">
        <w:rPr>
          <w:rFonts w:ascii="ITC Avant Garde" w:hAnsi="ITC Avant Garde"/>
          <w:b/>
          <w:lang w:val="es-ES_tradnl"/>
        </w:rPr>
        <w:t>Reducción de la cantidad máxima de solicitudes de visita técnica</w:t>
      </w:r>
    </w:p>
    <w:p w14:paraId="7A2E117E" w14:textId="5189DDAB" w:rsidR="00E3626E" w:rsidRPr="00BF7935" w:rsidRDefault="00E3626E" w:rsidP="00E3626E">
      <w:pPr>
        <w:spacing w:after="120"/>
        <w:rPr>
          <w:rFonts w:ascii="ITC Avant Garde" w:hAnsi="ITC Avant Garde"/>
          <w:lang w:val="es-ES_tradnl"/>
        </w:rPr>
      </w:pPr>
      <w:r w:rsidRPr="00BF7935">
        <w:rPr>
          <w:rFonts w:ascii="ITC Avant Garde" w:hAnsi="ITC Avant Garde"/>
          <w:lang w:val="es-ES_tradnl"/>
        </w:rPr>
        <w:t>Señala Televisa que no existe motivo por el que se ha</w:t>
      </w:r>
      <w:r>
        <w:rPr>
          <w:rFonts w:ascii="ITC Avant Garde" w:hAnsi="ITC Avant Garde"/>
          <w:lang w:val="es-ES_tradnl"/>
        </w:rPr>
        <w:t>ya</w:t>
      </w:r>
      <w:r w:rsidRPr="00BF7935">
        <w:rPr>
          <w:rFonts w:ascii="ITC Avant Garde" w:hAnsi="ITC Avant Garde"/>
          <w:lang w:val="es-ES_tradnl"/>
        </w:rPr>
        <w:t xml:space="preserve"> tenido que reducir la posibilidad de solicitudes de visita técnica por concesionario de 200 a 160 mensuales. Considera que esta reducción de 40 visitas puede ocasionar conflictos con las necesidades de los CS.</w:t>
      </w:r>
    </w:p>
    <w:p w14:paraId="54621711" w14:textId="3799040C" w:rsidR="00E3626E" w:rsidRDefault="00E3626E" w:rsidP="00E3626E">
      <w:pPr>
        <w:spacing w:after="120"/>
        <w:rPr>
          <w:rFonts w:ascii="ITC Avant Garde" w:hAnsi="ITC Avant Garde"/>
          <w:lang w:val="es-ES_tradnl"/>
        </w:rPr>
      </w:pPr>
      <w:r w:rsidRPr="00BF7935">
        <w:rPr>
          <w:rFonts w:ascii="ITC Avant Garde" w:hAnsi="ITC Avant Garde"/>
          <w:lang w:val="es-ES_tradnl"/>
        </w:rPr>
        <w:t xml:space="preserve">Solicita que no se modifique el numeral 2.5 del Anexo "I" de la </w:t>
      </w:r>
      <w:r w:rsidRPr="00BF7935">
        <w:rPr>
          <w:rFonts w:ascii="ITC Avant Garde" w:eastAsia="Calibri" w:hAnsi="ITC Avant Garde" w:cs="Times New Roman"/>
          <w:lang w:val="es-ES"/>
        </w:rPr>
        <w:t>Propuesta de Oferta de Referencia</w:t>
      </w:r>
      <w:r w:rsidRPr="00BF7935">
        <w:rPr>
          <w:rFonts w:ascii="ITC Avant Garde" w:hAnsi="ITC Avant Garde"/>
          <w:lang w:val="es-ES_tradnl"/>
        </w:rPr>
        <w:t>, y que deje el número de las solicitudes de visitas técnicas en 200 y no en 160, corrigiendo la reducción de 40 solicitudes de visitas técnicas.</w:t>
      </w:r>
    </w:p>
    <w:p w14:paraId="521BD099" w14:textId="77777777" w:rsidR="00E3626E" w:rsidRPr="00BF7935" w:rsidRDefault="00E3626E" w:rsidP="00E3626E">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101E6D3A" w14:textId="0C584C15" w:rsidR="00E3626E" w:rsidRDefault="00E3626E" w:rsidP="00E3626E">
      <w:pPr>
        <w:spacing w:after="120"/>
        <w:rPr>
          <w:rFonts w:ascii="ITC Avant Garde" w:hAnsi="ITC Avant Garde"/>
          <w:lang w:val="es-ES_tradnl"/>
        </w:rPr>
      </w:pPr>
      <w:r w:rsidRPr="00BF7935">
        <w:rPr>
          <w:rFonts w:ascii="ITC Avant Garde" w:hAnsi="ITC Avant Garde"/>
          <w:lang w:val="es-ES_tradnl"/>
        </w:rPr>
        <w:t xml:space="preserve">Por lo que hace al planteamiento realizado por Televisa respecto a la supuesta reducción en el número de solicitudes de visitas técnicas que puede realizar un CS al AEP, este Instituto refiere que contrario a dicho planteamiento, </w:t>
      </w:r>
      <w:r w:rsidR="007510B9">
        <w:rPr>
          <w:rFonts w:ascii="ITC Avant Garde" w:hAnsi="ITC Avant Garde"/>
          <w:lang w:val="es-ES_tradnl"/>
        </w:rPr>
        <w:t>los argumentos de Televisa no corresponden al documento materia del presente proceso de análisis, ya que</w:t>
      </w:r>
      <w:r w:rsidR="007510B9" w:rsidRPr="00BF7935">
        <w:rPr>
          <w:rFonts w:ascii="ITC Avant Garde" w:hAnsi="ITC Avant Garde"/>
          <w:lang w:val="es-ES_tradnl"/>
        </w:rPr>
        <w:t xml:space="preserve"> </w:t>
      </w:r>
      <w:r w:rsidRPr="00BF7935">
        <w:rPr>
          <w:rFonts w:ascii="ITC Avant Garde" w:hAnsi="ITC Avant Garde"/>
          <w:lang w:val="es-ES_tradnl"/>
        </w:rPr>
        <w:t>la Oferta de Referencia para el Acceso y Uso Compartido de I</w:t>
      </w:r>
      <w:r>
        <w:rPr>
          <w:rFonts w:ascii="ITC Avant Garde" w:hAnsi="ITC Avant Garde"/>
          <w:lang w:val="es-ES_tradnl"/>
        </w:rPr>
        <w:t>nfraestructura vigente para 2019</w:t>
      </w:r>
      <w:r w:rsidRPr="00BF7935">
        <w:rPr>
          <w:rFonts w:ascii="ITC Avant Garde" w:hAnsi="ITC Avant Garde"/>
          <w:lang w:val="es-ES_tradnl"/>
        </w:rPr>
        <w:t xml:space="preserve"> (</w:t>
      </w:r>
      <w:r>
        <w:rPr>
          <w:rFonts w:ascii="ITC Avant Garde" w:hAnsi="ITC Avant Garde"/>
          <w:lang w:val="es-ES_tradnl"/>
        </w:rPr>
        <w:t>e</w:t>
      </w:r>
      <w:r w:rsidRPr="00BF7935">
        <w:rPr>
          <w:rFonts w:ascii="ITC Avant Garde" w:hAnsi="ITC Avant Garde"/>
          <w:lang w:val="es-ES_tradnl"/>
        </w:rPr>
        <w:t>n lo sucesivo</w:t>
      </w:r>
      <w:r>
        <w:rPr>
          <w:rFonts w:ascii="ITC Avant Garde" w:hAnsi="ITC Avant Garde"/>
          <w:lang w:val="es-ES_tradnl"/>
        </w:rPr>
        <w:t>,</w:t>
      </w:r>
      <w:r w:rsidRPr="00BF7935">
        <w:rPr>
          <w:rFonts w:ascii="ITC Avant Garde" w:hAnsi="ITC Avant Garde"/>
          <w:lang w:val="es-ES_tradnl"/>
        </w:rPr>
        <w:t xml:space="preserve"> “Oferta de Referencia Vigente”)</w:t>
      </w:r>
      <w:r>
        <w:rPr>
          <w:rStyle w:val="Refdenotaalpie"/>
          <w:lang w:val="es-ES_tradnl"/>
        </w:rPr>
        <w:footnoteReference w:id="3"/>
      </w:r>
      <w:r w:rsidRPr="00BF7935">
        <w:rPr>
          <w:rFonts w:ascii="ITC Avant Garde" w:hAnsi="ITC Avant Garde"/>
          <w:lang w:val="es-ES_tradnl"/>
        </w:rPr>
        <w:t xml:space="preserve"> no contempla la cantidad de 200 solicitudes de visita técnica mensuales</w:t>
      </w:r>
      <w:r w:rsidR="007510B9">
        <w:rPr>
          <w:rFonts w:ascii="ITC Avant Garde" w:hAnsi="ITC Avant Garde"/>
          <w:lang w:val="es-ES_tradnl"/>
        </w:rPr>
        <w:t>. E</w:t>
      </w:r>
      <w:r>
        <w:rPr>
          <w:rFonts w:ascii="ITC Avant Garde" w:hAnsi="ITC Avant Garde"/>
          <w:lang w:val="es-ES_tradnl"/>
        </w:rPr>
        <w:t xml:space="preserve">s así </w:t>
      </w:r>
      <w:r>
        <w:rPr>
          <w:rFonts w:ascii="ITC Avant Garde" w:hAnsi="ITC Avant Garde"/>
          <w:lang w:val="es-ES_tradnl"/>
        </w:rPr>
        <w:lastRenderedPageBreak/>
        <w:t xml:space="preserve">que en la Propuesta de Oferta de Referencia </w:t>
      </w:r>
      <w:r w:rsidRPr="00BF7935">
        <w:rPr>
          <w:rFonts w:ascii="ITC Avant Garde" w:hAnsi="ITC Avant Garde"/>
          <w:lang w:val="es-ES_tradnl"/>
        </w:rPr>
        <w:t xml:space="preserve">no </w:t>
      </w:r>
      <w:r>
        <w:rPr>
          <w:rFonts w:ascii="ITC Avant Garde" w:hAnsi="ITC Avant Garde"/>
          <w:lang w:val="es-ES_tradnl"/>
        </w:rPr>
        <w:t>se llevó a cabo</w:t>
      </w:r>
      <w:r w:rsidRPr="00BF7935">
        <w:rPr>
          <w:rFonts w:ascii="ITC Avant Garde" w:hAnsi="ITC Avant Garde"/>
          <w:lang w:val="es-ES_tradnl"/>
        </w:rPr>
        <w:t xml:space="preserve"> una reducción de 40 solicitudes de vista técnica mensuales al CS, dado que también fue establecida </w:t>
      </w:r>
      <w:r>
        <w:rPr>
          <w:rFonts w:ascii="ITC Avant Garde" w:hAnsi="ITC Avant Garde"/>
          <w:lang w:val="es-ES_tradnl"/>
        </w:rPr>
        <w:t xml:space="preserve">en la Oferta de Referencia Vigente </w:t>
      </w:r>
      <w:r w:rsidRPr="00BF7935">
        <w:rPr>
          <w:rFonts w:ascii="ITC Avant Garde" w:hAnsi="ITC Avant Garde"/>
          <w:lang w:val="es-ES_tradnl"/>
        </w:rPr>
        <w:t>la cantidad máxima de 160 solicitudes mensuales.</w:t>
      </w:r>
      <w:r w:rsidR="007510B9">
        <w:rPr>
          <w:rFonts w:ascii="ITC Avant Garde" w:hAnsi="ITC Avant Garde"/>
          <w:lang w:val="es-ES_tradnl"/>
        </w:rPr>
        <w:t xml:space="preserve"> En todo caso pareciera que Televisa realiza sus manifestaciones sobre la </w:t>
      </w:r>
      <w:r w:rsidR="007510B9" w:rsidRPr="00BF7935">
        <w:rPr>
          <w:rFonts w:ascii="ITC Avant Garde" w:hAnsi="ITC Avant Garde"/>
          <w:i/>
          <w:lang w:val="es-ES_tradnl"/>
        </w:rPr>
        <w:t>“</w:t>
      </w:r>
      <w:r w:rsidR="007510B9">
        <w:rPr>
          <w:rFonts w:ascii="ITC Avant Garde" w:hAnsi="ITC Avant Garde"/>
          <w:i/>
          <w:lang w:val="es-ES_tradnl"/>
        </w:rPr>
        <w:t xml:space="preserve">Propuesta de </w:t>
      </w:r>
      <w:r w:rsidR="007510B9" w:rsidRPr="00BF7935">
        <w:rPr>
          <w:rFonts w:ascii="ITC Avant Garde" w:hAnsi="ITC Avant Garde"/>
          <w:i/>
          <w:lang w:val="es-ES_tradnl"/>
        </w:rPr>
        <w:t xml:space="preserve">Oferta de Referencia para el Uso y Acceso Compartido de Infraestructura Pasiva </w:t>
      </w:r>
      <w:r w:rsidR="007510B9">
        <w:rPr>
          <w:rFonts w:ascii="ITC Avant Garde" w:hAnsi="ITC Avant Garde"/>
          <w:i/>
          <w:lang w:val="es-ES_tradnl"/>
        </w:rPr>
        <w:t>2018</w:t>
      </w:r>
      <w:r w:rsidR="007510B9" w:rsidRPr="00BF7935">
        <w:rPr>
          <w:rFonts w:ascii="ITC Avant Garde" w:hAnsi="ITC Avant Garde"/>
          <w:i/>
          <w:lang w:val="es-ES_tradnl"/>
        </w:rPr>
        <w:t>”</w:t>
      </w:r>
      <w:r w:rsidR="007510B9">
        <w:rPr>
          <w:rFonts w:ascii="ITC Avant Garde" w:hAnsi="ITC Avant Garde"/>
          <w:lang w:val="es-ES_tradnl"/>
        </w:rPr>
        <w:t xml:space="preserve"> que fue sometida a consulta pública del 24 de agosto al 25 de septiembre de 2017</w:t>
      </w:r>
      <w:r w:rsidR="007510B9">
        <w:rPr>
          <w:rStyle w:val="Refdenotaalpie"/>
          <w:lang w:val="es-ES_tradnl"/>
        </w:rPr>
        <w:footnoteReference w:id="4"/>
      </w:r>
      <w:r w:rsidR="007510B9">
        <w:rPr>
          <w:rFonts w:ascii="ITC Avant Garde" w:hAnsi="ITC Avant Garde"/>
          <w:lang w:val="es-ES_tradnl"/>
        </w:rPr>
        <w:t xml:space="preserve">. </w:t>
      </w:r>
      <w:r w:rsidRPr="00BF7935">
        <w:rPr>
          <w:rFonts w:ascii="ITC Avant Garde" w:hAnsi="ITC Avant Garde"/>
          <w:lang w:val="es-ES_tradnl"/>
        </w:rPr>
        <w:t xml:space="preserve"> </w:t>
      </w:r>
    </w:p>
    <w:p w14:paraId="749A8753" w14:textId="77777777" w:rsidR="00BF584F" w:rsidRPr="00BF7935" w:rsidRDefault="00BF584F" w:rsidP="00BF584F">
      <w:pPr>
        <w:spacing w:after="120"/>
        <w:rPr>
          <w:rFonts w:ascii="ITC Avant Garde" w:hAnsi="ITC Avant Garde"/>
          <w:b/>
          <w:lang w:val="es-ES_tradnl"/>
        </w:rPr>
      </w:pPr>
      <w:bookmarkStart w:id="2" w:name="_TOC_250003"/>
      <w:r w:rsidRPr="00BF7935">
        <w:rPr>
          <w:rFonts w:ascii="ITC Avant Garde" w:hAnsi="ITC Avant Garde"/>
          <w:b/>
          <w:lang w:val="es-ES_tradnl"/>
        </w:rPr>
        <w:t xml:space="preserve">Reducción del plazo forzoso de vigencia de los Acuerdos de </w:t>
      </w:r>
      <w:bookmarkEnd w:id="2"/>
      <w:r w:rsidRPr="00BF7935">
        <w:rPr>
          <w:rFonts w:ascii="ITC Avant Garde" w:hAnsi="ITC Avant Garde"/>
          <w:b/>
          <w:lang w:val="es-ES_tradnl"/>
        </w:rPr>
        <w:t>Sitio</w:t>
      </w:r>
    </w:p>
    <w:p w14:paraId="674664E0" w14:textId="77777777" w:rsidR="00BF584F" w:rsidRPr="00BF7935" w:rsidRDefault="00BF584F" w:rsidP="00BF584F">
      <w:pPr>
        <w:spacing w:after="120"/>
        <w:rPr>
          <w:rFonts w:ascii="ITC Avant Garde" w:hAnsi="ITC Avant Garde"/>
          <w:lang w:val="es-ES_tradnl"/>
        </w:rPr>
      </w:pPr>
      <w:r w:rsidRPr="00BF7935">
        <w:rPr>
          <w:rFonts w:ascii="ITC Avant Garde" w:hAnsi="ITC Avant Garde"/>
          <w:lang w:val="es-ES_tradnl"/>
        </w:rPr>
        <w:t>Señala Televisa que no existe justificación por la cual se ha tenido que reducir el plazo forzoso de vigencia de los acuerdos de sitio de cinco años a un año sin necesidad de negociación</w:t>
      </w:r>
      <w:r>
        <w:rPr>
          <w:rFonts w:ascii="ITC Avant Garde" w:hAnsi="ITC Avant Garde"/>
          <w:lang w:val="es-ES_tradnl"/>
        </w:rPr>
        <w:t xml:space="preserve">, por </w:t>
      </w:r>
      <w:r w:rsidRPr="00BF7935">
        <w:rPr>
          <w:rFonts w:ascii="ITC Avant Garde" w:hAnsi="ITC Avant Garde"/>
          <w:lang w:val="es-ES_tradnl"/>
        </w:rPr>
        <w:t xml:space="preserve">lo que solicita se modifique el contenido del numeral </w:t>
      </w:r>
      <w:r w:rsidRPr="00BF7935">
        <w:rPr>
          <w:rFonts w:ascii="ITC Avant Garde" w:hAnsi="ITC Avant Garde"/>
          <w:i/>
          <w:lang w:val="es-ES_tradnl"/>
        </w:rPr>
        <w:t>“2.11.1 Acuerdo de Sitio”</w:t>
      </w:r>
      <w:r w:rsidRPr="00BF7935">
        <w:rPr>
          <w:rFonts w:ascii="ITC Avant Garde" w:hAnsi="ITC Avant Garde"/>
          <w:lang w:val="es-ES_tradnl"/>
        </w:rPr>
        <w:t xml:space="preserve"> del Anexo “I” de la Oferta de Referencia Vigente.</w:t>
      </w:r>
    </w:p>
    <w:p w14:paraId="1298CA9B" w14:textId="77777777" w:rsidR="00BF584F" w:rsidRPr="00BF7935" w:rsidRDefault="00BF584F" w:rsidP="00BF584F">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6BC62970" w14:textId="0840C410" w:rsidR="00BF584F" w:rsidRDefault="00BF584F" w:rsidP="00BF584F">
      <w:pPr>
        <w:spacing w:after="120"/>
        <w:rPr>
          <w:rFonts w:ascii="ITC Avant Garde" w:hAnsi="ITC Avant Garde"/>
          <w:lang w:val="es-ES_tradnl"/>
        </w:rPr>
      </w:pPr>
      <w:r w:rsidRPr="00BF7935">
        <w:rPr>
          <w:rFonts w:ascii="ITC Avant Garde" w:hAnsi="ITC Avant Garde"/>
          <w:lang w:val="es-ES_tradnl"/>
        </w:rPr>
        <w:t xml:space="preserve">Por lo que hace al </w:t>
      </w:r>
      <w:r w:rsidR="007510B9">
        <w:rPr>
          <w:rFonts w:ascii="ITC Avant Garde" w:hAnsi="ITC Avant Garde"/>
          <w:lang w:val="es-ES_tradnl"/>
        </w:rPr>
        <w:t xml:space="preserve">presente </w:t>
      </w:r>
      <w:r w:rsidRPr="00BF7935">
        <w:rPr>
          <w:rFonts w:ascii="ITC Avant Garde" w:hAnsi="ITC Avant Garde"/>
          <w:lang w:val="es-ES_tradnl"/>
        </w:rPr>
        <w:t xml:space="preserve">planteamiento, </w:t>
      </w:r>
      <w:r>
        <w:rPr>
          <w:rFonts w:ascii="ITC Avant Garde" w:hAnsi="ITC Avant Garde"/>
          <w:lang w:val="es-ES_tradnl"/>
        </w:rPr>
        <w:t xml:space="preserve">se precisa que </w:t>
      </w:r>
      <w:r w:rsidRPr="00BF7935">
        <w:rPr>
          <w:rFonts w:ascii="ITC Avant Garde" w:hAnsi="ITC Avant Garde"/>
          <w:lang w:val="es-ES_tradnl"/>
        </w:rPr>
        <w:t>la Oferta de Referencia Vigente contempla el plazo forzoso de un año y no de cinco años</w:t>
      </w:r>
      <w:r>
        <w:rPr>
          <w:rFonts w:ascii="ITC Avant Garde" w:hAnsi="ITC Avant Garde"/>
          <w:lang w:val="es-ES_tradnl"/>
        </w:rPr>
        <w:t>. Es decir, en la Propuesta de Oferta de Referencia</w:t>
      </w:r>
      <w:r w:rsidRPr="00BF7935">
        <w:rPr>
          <w:rFonts w:ascii="ITC Avant Garde" w:hAnsi="ITC Avant Garde"/>
          <w:lang w:val="es-ES_tradnl"/>
        </w:rPr>
        <w:t xml:space="preserve"> no</w:t>
      </w:r>
      <w:r>
        <w:rPr>
          <w:rFonts w:ascii="ITC Avant Garde" w:hAnsi="ITC Avant Garde"/>
          <w:lang w:val="es-ES_tradnl"/>
        </w:rPr>
        <w:t xml:space="preserve"> se</w:t>
      </w:r>
      <w:r w:rsidRPr="00BF7935">
        <w:rPr>
          <w:rFonts w:ascii="ITC Avant Garde" w:hAnsi="ITC Avant Garde"/>
          <w:lang w:val="es-ES_tradnl"/>
        </w:rPr>
        <w:t xml:space="preserve"> realizó una reducción en el plazo forzoso de vigencia de los acuerdos de sitio, dado que la Oferta de Referencia Vigente contempla el mismo plazo. </w:t>
      </w:r>
      <w:r>
        <w:rPr>
          <w:rFonts w:ascii="ITC Avant Garde" w:hAnsi="ITC Avant Garde"/>
          <w:lang w:val="es-ES_tradnl"/>
        </w:rPr>
        <w:t>Por otra parte, e</w:t>
      </w:r>
      <w:r w:rsidRPr="00BF7935">
        <w:rPr>
          <w:rFonts w:ascii="ITC Avant Garde" w:hAnsi="ITC Avant Garde"/>
          <w:lang w:val="es-ES_tradnl"/>
        </w:rPr>
        <w:t xml:space="preserve">s importante destacar que en la Propuesta de Oferta de Referencia se menciona </w:t>
      </w:r>
      <w:proofErr w:type="gramStart"/>
      <w:r w:rsidRPr="00BF7935">
        <w:rPr>
          <w:rFonts w:ascii="ITC Avant Garde" w:hAnsi="ITC Avant Garde"/>
          <w:lang w:val="es-ES_tradnl"/>
        </w:rPr>
        <w:t>que</w:t>
      </w:r>
      <w:proofErr w:type="gramEnd"/>
      <w:r w:rsidRPr="00BF7935">
        <w:rPr>
          <w:rFonts w:ascii="ITC Avant Garde" w:hAnsi="ITC Avant Garde"/>
          <w:lang w:val="es-ES_tradnl"/>
        </w:rPr>
        <w:t xml:space="preserve"> de considerarlo necesario, las partes podrían acordar un plazo mayor a un año; confirmando de esta forma las garantías de legalidad con que cuentan las partes.</w:t>
      </w:r>
    </w:p>
    <w:p w14:paraId="2C308E7F" w14:textId="77777777" w:rsidR="00BF584F" w:rsidRPr="00BF7935" w:rsidRDefault="00BF584F" w:rsidP="00BF584F">
      <w:pPr>
        <w:spacing w:after="120"/>
        <w:rPr>
          <w:rFonts w:ascii="ITC Avant Garde" w:hAnsi="ITC Avant Garde"/>
          <w:lang w:val="es-ES_tradnl"/>
        </w:rPr>
      </w:pPr>
      <w:r>
        <w:rPr>
          <w:rFonts w:ascii="ITC Avant Garde" w:hAnsi="ITC Avant Garde"/>
          <w:lang w:val="es-ES_tradnl"/>
        </w:rPr>
        <w:t xml:space="preserve">En seguimiento de lo anteriormente establecido, pareciera que nuevamente Televisa realiza sus manifestaciones sobre la </w:t>
      </w:r>
      <w:r w:rsidRPr="00242E35">
        <w:rPr>
          <w:rFonts w:ascii="ITC Avant Garde" w:hAnsi="ITC Avant Garde"/>
          <w:i/>
          <w:lang w:val="es-ES_tradnl"/>
        </w:rPr>
        <w:t>“Oferta de Referencia para el Uso y Acceso Compartido de Infraestructura Pasiva 2016 - 2017”</w:t>
      </w:r>
      <w:r>
        <w:rPr>
          <w:rStyle w:val="Refdenotaalpie"/>
          <w:i/>
          <w:lang w:val="es-ES_tradnl"/>
        </w:rPr>
        <w:footnoteReference w:id="5"/>
      </w:r>
      <w:r>
        <w:rPr>
          <w:rFonts w:ascii="ITC Avant Garde" w:hAnsi="ITC Avant Garde"/>
          <w:lang w:val="es-ES_tradnl"/>
        </w:rPr>
        <w:t>, por lo que sus argumentos no corresponden al documento materia del presente proceso de análisis.</w:t>
      </w:r>
      <w:r w:rsidDel="00E33B44">
        <w:rPr>
          <w:rFonts w:ascii="ITC Avant Garde" w:hAnsi="ITC Avant Garde"/>
          <w:lang w:val="es-ES_tradnl"/>
        </w:rPr>
        <w:t xml:space="preserve"> </w:t>
      </w:r>
    </w:p>
    <w:p w14:paraId="7C151D59" w14:textId="77777777" w:rsidR="003069F0" w:rsidRPr="00BF7935" w:rsidRDefault="003069F0" w:rsidP="003069F0">
      <w:pPr>
        <w:spacing w:after="120"/>
        <w:rPr>
          <w:rFonts w:ascii="ITC Avant Garde" w:hAnsi="ITC Avant Garde"/>
          <w:b/>
          <w:lang w:val="es-ES_tradnl"/>
        </w:rPr>
      </w:pPr>
      <w:r w:rsidRPr="00BF7935">
        <w:rPr>
          <w:rFonts w:ascii="ITC Avant Garde" w:hAnsi="ITC Avant Garde"/>
          <w:b/>
          <w:lang w:val="es-ES_tradnl"/>
        </w:rPr>
        <w:t>Deducción de pagos</w:t>
      </w:r>
    </w:p>
    <w:p w14:paraId="5113D6D8" w14:textId="77777777" w:rsidR="003069F0" w:rsidRPr="00BF7935" w:rsidRDefault="003069F0" w:rsidP="003069F0">
      <w:pPr>
        <w:spacing w:after="120"/>
        <w:rPr>
          <w:rFonts w:ascii="ITC Avant Garde" w:hAnsi="ITC Avant Garde"/>
          <w:lang w:val="es-ES_tradnl"/>
        </w:rPr>
      </w:pPr>
      <w:r w:rsidRPr="00BF7935">
        <w:rPr>
          <w:rFonts w:ascii="ITC Avant Garde" w:hAnsi="ITC Avant Garde"/>
          <w:lang w:val="es-ES_tradnl"/>
        </w:rPr>
        <w:t xml:space="preserve">Respecto </w:t>
      </w:r>
      <w:r w:rsidRPr="00A92FE7">
        <w:rPr>
          <w:rFonts w:ascii="ITC Avant Garde" w:hAnsi="ITC Avant Garde"/>
          <w:lang w:val="es-ES_tradnl"/>
        </w:rPr>
        <w:t xml:space="preserve">del contenido de la </w:t>
      </w:r>
      <w:r w:rsidRPr="00A92FE7">
        <w:rPr>
          <w:rFonts w:ascii="ITC Avant Garde" w:hAnsi="ITC Avant Garde"/>
          <w:i/>
          <w:lang w:val="es-ES_tradnl"/>
        </w:rPr>
        <w:t>“CLÁUSULA CUARTA.  CONDICIONES DE PAGO.”</w:t>
      </w:r>
      <w:r w:rsidRPr="00A92FE7">
        <w:rPr>
          <w:rFonts w:ascii="ITC Avant Garde" w:hAnsi="ITC Avant Garde"/>
          <w:lang w:val="es-ES_tradnl"/>
        </w:rPr>
        <w:t xml:space="preserve"> del convenio marco de la Propuesta de Oferta de Referencia, Televisa comenta que en caso de que el CS decidiera compensar pagos adeudados al AEP por disputas o penalizaciones, el AEP podría interpretar esto como incumplimiento de pago y proceder a la rescisión del convenio; considera que esta limitación no aplica al propio AEP, violando los principios de igualdad de acceso y trato equitativo y recíproco.</w:t>
      </w:r>
    </w:p>
    <w:p w14:paraId="0125EB86" w14:textId="37AE4D97" w:rsidR="003069F0" w:rsidRPr="00BF7935" w:rsidRDefault="007510B9" w:rsidP="003069F0">
      <w:pPr>
        <w:spacing w:after="120"/>
        <w:rPr>
          <w:rFonts w:ascii="ITC Avant Garde" w:hAnsi="ITC Avant Garde"/>
          <w:lang w:val="es-ES_tradnl"/>
        </w:rPr>
      </w:pPr>
      <w:r>
        <w:rPr>
          <w:rFonts w:ascii="ITC Avant Garde" w:hAnsi="ITC Avant Garde"/>
          <w:lang w:val="es-ES_tradnl"/>
        </w:rPr>
        <w:lastRenderedPageBreak/>
        <w:t>Televisa s</w:t>
      </w:r>
      <w:r w:rsidR="003069F0" w:rsidRPr="00BF7935">
        <w:rPr>
          <w:rFonts w:ascii="ITC Avant Garde" w:hAnsi="ITC Avant Garde"/>
          <w:lang w:val="es-ES_tradnl"/>
        </w:rPr>
        <w:t>ugiere la modificación de la cláusula mencionada y que en el proceso de resolución de disputas en lo que respecta a las facturas se ajusten los correspondientes pagos de manera acorde.</w:t>
      </w:r>
    </w:p>
    <w:p w14:paraId="26C918FF" w14:textId="77777777" w:rsidR="003069F0" w:rsidRPr="00BF7935" w:rsidRDefault="003069F0" w:rsidP="003069F0">
      <w:pPr>
        <w:spacing w:after="120"/>
        <w:rPr>
          <w:rFonts w:ascii="ITC Avant Garde" w:hAnsi="ITC Avant Garde"/>
          <w:lang w:val="es-ES_tradnl"/>
        </w:rPr>
      </w:pPr>
      <w:r w:rsidRPr="00BF7935">
        <w:rPr>
          <w:rFonts w:ascii="ITC Avant Garde" w:hAnsi="ITC Avant Garde"/>
          <w:lang w:val="es-ES_tradnl"/>
        </w:rPr>
        <w:t>Adicionalmente, solicita que el AEP esté obligado a compensar en sus facturas los montos que este le adeude al CS por cualquier penalidad aplicable.</w:t>
      </w:r>
    </w:p>
    <w:p w14:paraId="0BD0B3A6" w14:textId="77777777" w:rsidR="003069F0" w:rsidRPr="00BF7935" w:rsidRDefault="003069F0" w:rsidP="003069F0">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6088B172" w14:textId="5225CEDB" w:rsidR="003069F0" w:rsidRDefault="003069F0" w:rsidP="003069F0">
      <w:pPr>
        <w:pStyle w:val="Textoindependiente"/>
        <w:rPr>
          <w:rFonts w:ascii="ITC Avant Garde" w:hAnsi="ITC Avant Garde"/>
          <w:lang w:val="es-ES_tradnl"/>
        </w:rPr>
      </w:pPr>
      <w:r w:rsidRPr="00BF7935">
        <w:rPr>
          <w:rFonts w:ascii="ITC Avant Garde" w:hAnsi="ITC Avant Garde"/>
          <w:lang w:val="es-ES_tradnl"/>
        </w:rPr>
        <w:t xml:space="preserve">Por lo que hace a las observaciones realizadas por Televisa, </w:t>
      </w:r>
      <w:r>
        <w:rPr>
          <w:rFonts w:ascii="ITC Avant Garde" w:hAnsi="ITC Avant Garde"/>
          <w:lang w:val="es-ES_tradnl"/>
        </w:rPr>
        <w:t xml:space="preserve">el numeral </w:t>
      </w:r>
      <w:r w:rsidRPr="0033323C">
        <w:rPr>
          <w:rFonts w:ascii="ITC Avant Garde" w:hAnsi="ITC Avant Garde"/>
          <w:i/>
          <w:lang w:val="es-ES_tradnl"/>
        </w:rPr>
        <w:t>“4.4 No compensación”</w:t>
      </w:r>
      <w:r>
        <w:rPr>
          <w:rFonts w:ascii="ITC Avant Garde" w:hAnsi="ITC Avant Garde"/>
          <w:lang w:val="es-ES_tradnl"/>
        </w:rPr>
        <w:t xml:space="preserve"> de la cláusula </w:t>
      </w:r>
      <w:r w:rsidR="007510B9">
        <w:rPr>
          <w:rFonts w:ascii="ITC Avant Garde" w:hAnsi="ITC Avant Garde"/>
          <w:lang w:val="es-ES_tradnl"/>
        </w:rPr>
        <w:t xml:space="preserve">en cuestión </w:t>
      </w:r>
      <w:r>
        <w:rPr>
          <w:rFonts w:ascii="ITC Avant Garde" w:hAnsi="ITC Avant Garde"/>
          <w:lang w:val="es-ES_tradnl"/>
        </w:rPr>
        <w:t>establece lo siguiente:</w:t>
      </w:r>
    </w:p>
    <w:p w14:paraId="770C4534" w14:textId="77777777" w:rsidR="003069F0" w:rsidRPr="00BF7935" w:rsidRDefault="003069F0" w:rsidP="003069F0">
      <w:pPr>
        <w:pStyle w:val="Textoindependiente"/>
        <w:rPr>
          <w:rFonts w:ascii="ITC Avant Garde" w:hAnsi="ITC Avant Garde"/>
          <w:lang w:val="es-ES_tradnl"/>
        </w:rPr>
      </w:pPr>
    </w:p>
    <w:p w14:paraId="2CC7DBDF" w14:textId="77777777" w:rsidR="003069F0" w:rsidRDefault="003069F0" w:rsidP="003069F0">
      <w:pPr>
        <w:pStyle w:val="CitaIFT"/>
      </w:pPr>
      <w:r w:rsidRPr="00BF7935">
        <w:t>“</w:t>
      </w:r>
      <w:bookmarkStart w:id="3" w:name="_Toc435539875"/>
      <w:bookmarkStart w:id="4" w:name="_Toc435570531"/>
      <w:r w:rsidRPr="00BF7935">
        <w:rPr>
          <w:b/>
        </w:rPr>
        <w:t>CLÁUSULA CUARTA.  CONDICIONES DE PAGO.</w:t>
      </w:r>
    </w:p>
    <w:p w14:paraId="0A4AB6C8" w14:textId="77777777" w:rsidR="003069F0" w:rsidRDefault="003069F0" w:rsidP="003069F0">
      <w:pPr>
        <w:pStyle w:val="CitaIFT"/>
      </w:pPr>
      <w:r>
        <w:t>[…]</w:t>
      </w:r>
    </w:p>
    <w:p w14:paraId="6F52D60B" w14:textId="77777777" w:rsidR="003069F0" w:rsidRPr="00BF7935" w:rsidRDefault="003069F0" w:rsidP="003069F0">
      <w:pPr>
        <w:pStyle w:val="CitaIFT"/>
        <w:rPr>
          <w:b/>
        </w:rPr>
      </w:pPr>
      <w:r w:rsidRPr="00BF7935">
        <w:rPr>
          <w:b/>
        </w:rPr>
        <w:t>4.4</w:t>
      </w:r>
      <w:r w:rsidRPr="00BF7935">
        <w:rPr>
          <w:b/>
        </w:rPr>
        <w:tab/>
        <w:t xml:space="preserve"> No compensación</w:t>
      </w:r>
      <w:bookmarkEnd w:id="3"/>
      <w:bookmarkEnd w:id="4"/>
    </w:p>
    <w:p w14:paraId="57EA5776" w14:textId="77777777" w:rsidR="003069F0" w:rsidRDefault="003069F0" w:rsidP="003069F0">
      <w:pPr>
        <w:pStyle w:val="CitaIFT"/>
      </w:pPr>
      <w:r w:rsidRPr="0033323C">
        <w:rPr>
          <w:b/>
          <w:u w:val="single"/>
        </w:rPr>
        <w:t>Salvo estipulación en el presente Convenio, o acuerdo entre las Partes,</w:t>
      </w:r>
      <w:r w:rsidRPr="00BF7935">
        <w:t xml:space="preserve"> bajo ninguna circunstancia ninguna Parte tendrá derecho a reducir, deducir o compensar cantidad alguna contra las cantidades </w:t>
      </w:r>
      <w:proofErr w:type="gramStart"/>
      <w:r w:rsidRPr="00BF7935">
        <w:t>que</w:t>
      </w:r>
      <w:proofErr w:type="gramEnd"/>
      <w:r w:rsidRPr="00BF7935">
        <w:t xml:space="preserve"> por concepto de contraprestaciones, Intereses Moratorios, penas convencionales (</w:t>
      </w:r>
      <w:r w:rsidRPr="0033323C">
        <w:rPr>
          <w:b/>
          <w:u w:val="single"/>
        </w:rPr>
        <w:t>con la excepción de notas de crédito relacionadas con estas)</w:t>
      </w:r>
      <w:r w:rsidRPr="00BF7935">
        <w:t>, gastos o cualquier otro deba pagar a la otra bajo el presente Convenio.”</w:t>
      </w:r>
    </w:p>
    <w:p w14:paraId="542A2042" w14:textId="77777777" w:rsidR="003069F0" w:rsidRPr="00BF7935" w:rsidRDefault="003069F0" w:rsidP="003069F0">
      <w:pPr>
        <w:pStyle w:val="CitaIFT"/>
        <w:jc w:val="right"/>
      </w:pPr>
      <w:r>
        <w:t>(Énfasis añadido)</w:t>
      </w:r>
    </w:p>
    <w:p w14:paraId="6F246E5F" w14:textId="5E60E623" w:rsidR="003069F0" w:rsidRPr="00BF7935" w:rsidRDefault="003069F0" w:rsidP="003069F0">
      <w:pPr>
        <w:pStyle w:val="Textoindependiente"/>
        <w:rPr>
          <w:rFonts w:ascii="ITC Avant Garde" w:hAnsi="ITC Avant Garde"/>
          <w:b/>
          <w:lang w:val="es-ES_tradnl"/>
        </w:rPr>
      </w:pPr>
      <w:r w:rsidRPr="00BF7935">
        <w:rPr>
          <w:rFonts w:ascii="ITC Avant Garde" w:hAnsi="ITC Avant Garde"/>
          <w:lang w:val="es-ES_tradnl"/>
        </w:rPr>
        <w:t>Por lo anterior</w:t>
      </w:r>
      <w:r>
        <w:rPr>
          <w:rFonts w:ascii="ITC Avant Garde" w:hAnsi="ITC Avant Garde"/>
          <w:lang w:val="es-ES_tradnl"/>
        </w:rPr>
        <w:t xml:space="preserve">, en el convenio marco de la Propuesta de Oferta de Referencia se establece que </w:t>
      </w:r>
      <w:r w:rsidRPr="00BF7935">
        <w:rPr>
          <w:rFonts w:ascii="ITC Avant Garde" w:hAnsi="ITC Avant Garde"/>
          <w:lang w:val="es-ES_tradnl"/>
        </w:rPr>
        <w:t>la</w:t>
      </w:r>
      <w:r>
        <w:rPr>
          <w:rFonts w:ascii="ITC Avant Garde" w:hAnsi="ITC Avant Garde"/>
          <w:lang w:val="es-ES_tradnl"/>
        </w:rPr>
        <w:t xml:space="preserve"> compensación si es posible, ya sea porque se ha llegado a un acuerdo entre partes o se cuente con notas de crédito</w:t>
      </w:r>
      <w:r w:rsidR="007510B9">
        <w:rPr>
          <w:rFonts w:ascii="ITC Avant Garde" w:hAnsi="ITC Avant Garde"/>
          <w:lang w:val="es-ES_tradnl"/>
        </w:rPr>
        <w:t>, aunque</w:t>
      </w:r>
      <w:r>
        <w:rPr>
          <w:rFonts w:ascii="ITC Avant Garde" w:hAnsi="ITC Avant Garde"/>
          <w:lang w:val="es-ES_tradnl"/>
        </w:rPr>
        <w:t xml:space="preserve"> no unilateralmente</w:t>
      </w:r>
      <w:r w:rsidR="007510B9">
        <w:rPr>
          <w:rFonts w:ascii="ITC Avant Garde" w:hAnsi="ITC Avant Garde"/>
          <w:lang w:val="es-ES_tradnl"/>
        </w:rPr>
        <w:t xml:space="preserve">, por lo </w:t>
      </w:r>
      <w:r w:rsidR="001C7A0D">
        <w:rPr>
          <w:rFonts w:ascii="ITC Avant Garde" w:hAnsi="ITC Avant Garde"/>
          <w:lang w:val="es-ES_tradnl"/>
        </w:rPr>
        <w:t xml:space="preserve">que </w:t>
      </w:r>
      <w:r w:rsidR="007510B9">
        <w:rPr>
          <w:rFonts w:ascii="ITC Avant Garde" w:hAnsi="ITC Avant Garde"/>
          <w:lang w:val="es-ES_tradnl"/>
        </w:rPr>
        <w:t xml:space="preserve">se evaluaría </w:t>
      </w:r>
      <w:r w:rsidR="007A37C1">
        <w:rPr>
          <w:rFonts w:ascii="ITC Avant Garde" w:hAnsi="ITC Avant Garde"/>
          <w:lang w:val="es-ES_tradnl"/>
        </w:rPr>
        <w:t>si compensar adeudos de pago con penalizaciones no genera mayor incertidumbre y posibles conflictos entre las partes</w:t>
      </w:r>
      <w:r>
        <w:rPr>
          <w:rFonts w:ascii="ITC Avant Garde" w:hAnsi="ITC Avant Garde"/>
          <w:lang w:val="es-ES_tradnl"/>
        </w:rPr>
        <w:t>.</w:t>
      </w:r>
      <w:r w:rsidRPr="00BF7935">
        <w:rPr>
          <w:rFonts w:ascii="ITC Avant Garde" w:hAnsi="ITC Avant Garde"/>
          <w:lang w:val="es-ES_tradnl"/>
        </w:rPr>
        <w:t xml:space="preserve"> </w:t>
      </w:r>
    </w:p>
    <w:p w14:paraId="3E65FF73" w14:textId="77777777" w:rsidR="003069F0" w:rsidRPr="00BF7935" w:rsidRDefault="003069F0" w:rsidP="003069F0">
      <w:pPr>
        <w:spacing w:after="120"/>
        <w:rPr>
          <w:rFonts w:ascii="ITC Avant Garde" w:hAnsi="ITC Avant Garde"/>
          <w:b/>
          <w:lang w:val="es-ES_tradnl"/>
        </w:rPr>
      </w:pPr>
      <w:r w:rsidRPr="00BF7935">
        <w:rPr>
          <w:rFonts w:ascii="ITC Avant Garde" w:hAnsi="ITC Avant Garde"/>
          <w:b/>
          <w:lang w:val="es-ES_tradnl"/>
        </w:rPr>
        <w:t>Responsabilidad por incumplimiento</w:t>
      </w:r>
    </w:p>
    <w:p w14:paraId="6A05B684" w14:textId="77777777" w:rsidR="003069F0" w:rsidRPr="00BF7935" w:rsidRDefault="003069F0" w:rsidP="003069F0">
      <w:pPr>
        <w:spacing w:after="120"/>
        <w:rPr>
          <w:rFonts w:ascii="ITC Avant Garde" w:hAnsi="ITC Avant Garde"/>
          <w:lang w:val="es-ES_tradnl"/>
        </w:rPr>
      </w:pPr>
      <w:r w:rsidRPr="00BF7935">
        <w:rPr>
          <w:rFonts w:ascii="ITC Avant Garde" w:hAnsi="ITC Avant Garde"/>
          <w:lang w:val="es-ES_tradnl"/>
        </w:rPr>
        <w:t>Señala Televisa que la redacción de la “</w:t>
      </w:r>
      <w:r w:rsidRPr="00BF7935">
        <w:rPr>
          <w:rFonts w:ascii="ITC Avant Garde" w:hAnsi="ITC Avant Garde"/>
          <w:i/>
          <w:lang w:val="es-ES_tradnl"/>
        </w:rPr>
        <w:t>CLÁUSULA OCTAVA. CONTINUIDAD Y SUSPENSIÓN DE LOS SERVICIOS.”</w:t>
      </w:r>
      <w:r w:rsidRPr="00BF7935">
        <w:rPr>
          <w:rFonts w:ascii="ITC Avant Garde" w:hAnsi="ITC Avant Garde"/>
          <w:lang w:val="es-ES_tradnl"/>
        </w:rPr>
        <w:t xml:space="preserve"> es amplia y poco precisa, otorgando absoluta discreción al AEP de no responsabilizarse por lo que pudiera ocurrir en los sitios de infraestructura donde comparte con los CS, estableciendo que se debería limitar el alcance a los auténticos casos fortuitos o de fuerza mayor. Por lo tanto, sugiere modificar la redacción de dicha cláusula del convenio marco de la Propuesta de Referencia.</w:t>
      </w:r>
    </w:p>
    <w:p w14:paraId="7837DAB0" w14:textId="77777777" w:rsidR="003069F0" w:rsidRPr="00BF7935" w:rsidRDefault="003069F0" w:rsidP="003069F0">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11CD91FE" w14:textId="4669B517" w:rsidR="003069F0" w:rsidRPr="00BF7935" w:rsidRDefault="003069F0" w:rsidP="003069F0">
      <w:pPr>
        <w:spacing w:after="120"/>
        <w:rPr>
          <w:rFonts w:ascii="ITC Avant Garde" w:hAnsi="ITC Avant Garde"/>
          <w:lang w:val="es-ES_tradnl"/>
        </w:rPr>
      </w:pPr>
      <w:r w:rsidRPr="00BF7935">
        <w:rPr>
          <w:rFonts w:ascii="ITC Avant Garde" w:hAnsi="ITC Avant Garde"/>
          <w:lang w:val="es-ES_tradnl"/>
        </w:rPr>
        <w:t xml:space="preserve">Respecto a </w:t>
      </w:r>
      <w:r>
        <w:rPr>
          <w:rFonts w:ascii="ITC Avant Garde" w:hAnsi="ITC Avant Garde"/>
          <w:lang w:val="es-ES_tradnl"/>
        </w:rPr>
        <w:t xml:space="preserve">los comentarios </w:t>
      </w:r>
      <w:r w:rsidRPr="00BF7935">
        <w:rPr>
          <w:rFonts w:ascii="ITC Avant Garde" w:hAnsi="ITC Avant Garde"/>
          <w:lang w:val="es-ES_tradnl"/>
        </w:rPr>
        <w:t>vertid</w:t>
      </w:r>
      <w:r>
        <w:rPr>
          <w:rFonts w:ascii="ITC Avant Garde" w:hAnsi="ITC Avant Garde"/>
          <w:lang w:val="es-ES_tradnl"/>
        </w:rPr>
        <w:t>o</w:t>
      </w:r>
      <w:r w:rsidRPr="00BF7935">
        <w:rPr>
          <w:rFonts w:ascii="ITC Avant Garde" w:hAnsi="ITC Avant Garde"/>
          <w:lang w:val="es-ES_tradnl"/>
        </w:rPr>
        <w:t xml:space="preserve">s por Televisa, </w:t>
      </w:r>
      <w:r>
        <w:rPr>
          <w:rFonts w:ascii="ITC Avant Garde" w:hAnsi="ITC Avant Garde"/>
          <w:lang w:val="es-ES_tradnl"/>
        </w:rPr>
        <w:t>el Instituto</w:t>
      </w:r>
      <w:r w:rsidRPr="00BF7935">
        <w:rPr>
          <w:rFonts w:ascii="ITC Avant Garde" w:hAnsi="ITC Avant Garde"/>
          <w:lang w:val="es-ES_tradnl"/>
        </w:rPr>
        <w:t xml:space="preserve"> señala que existen ocasiones en que la suspensión de un servicio o el daño de elementos de infraestructura no puede ser imputable al AEP, toda vez que este se ve impedido a cumplir con su obligación por causa de acontecimientos que se encuentran fuera de su voluntad, que son imprevisibles o que aun previéndolos no ha podido </w:t>
      </w:r>
      <w:r w:rsidRPr="00BF7935">
        <w:rPr>
          <w:rFonts w:ascii="ITC Avant Garde" w:hAnsi="ITC Avant Garde"/>
          <w:lang w:val="es-ES_tradnl"/>
        </w:rPr>
        <w:lastRenderedPageBreak/>
        <w:t>evitar</w:t>
      </w:r>
      <w:r>
        <w:rPr>
          <w:rFonts w:ascii="ITC Avant Garde" w:hAnsi="ITC Avant Garde"/>
          <w:lang w:val="es-ES_tradnl"/>
        </w:rPr>
        <w:t>.</w:t>
      </w:r>
      <w:r w:rsidRPr="00BF7935">
        <w:rPr>
          <w:rFonts w:ascii="ITC Avant Garde" w:hAnsi="ITC Avant Garde"/>
          <w:lang w:val="es-ES_tradnl"/>
        </w:rPr>
        <w:t xml:space="preserve"> </w:t>
      </w:r>
      <w:r>
        <w:rPr>
          <w:rFonts w:ascii="ITC Avant Garde" w:hAnsi="ITC Avant Garde"/>
          <w:lang w:val="es-ES_tradnl"/>
        </w:rPr>
        <w:t>T</w:t>
      </w:r>
      <w:r w:rsidRPr="00BF7935">
        <w:rPr>
          <w:rFonts w:ascii="ITC Avant Garde" w:hAnsi="ITC Avant Garde"/>
          <w:lang w:val="es-ES_tradnl"/>
        </w:rPr>
        <w:t>al es el caso de los supuestos contemplados dentro del numeral 2 de la “</w:t>
      </w:r>
      <w:r w:rsidRPr="00BF7935">
        <w:rPr>
          <w:rFonts w:ascii="ITC Avant Garde" w:hAnsi="ITC Avant Garde"/>
          <w:i/>
          <w:lang w:val="es-ES_tradnl"/>
        </w:rPr>
        <w:t>CLÁUSULA OCTAVA. CONTINUIDAD Y SUSPENSIÓN DE LOS SERVICIOS.”</w:t>
      </w:r>
      <w:r w:rsidRPr="00BF7935">
        <w:rPr>
          <w:rFonts w:ascii="ITC Avant Garde" w:hAnsi="ITC Avant Garde"/>
          <w:lang w:val="es-ES_tradnl"/>
        </w:rPr>
        <w:t xml:space="preserve"> del convenio marco de la Propuesta de Oferta de Referencia, mismo que hace alusión a acontecimientos que constituyen el caso fortuito y </w:t>
      </w:r>
      <w:r>
        <w:rPr>
          <w:rFonts w:ascii="ITC Avant Garde" w:hAnsi="ITC Avant Garde"/>
          <w:lang w:val="es-ES_tradnl"/>
        </w:rPr>
        <w:t>de</w:t>
      </w:r>
      <w:r w:rsidRPr="00BF7935">
        <w:rPr>
          <w:rFonts w:ascii="ITC Avant Garde" w:hAnsi="ITC Avant Garde"/>
          <w:lang w:val="es-ES_tradnl"/>
        </w:rPr>
        <w:t xml:space="preserve"> fuerza mayor, según provengan de sucesos de la naturaleza, de hechos del hombre o de actos de autoridad pero que </w:t>
      </w:r>
      <w:r w:rsidR="007A37C1">
        <w:rPr>
          <w:rFonts w:ascii="ITC Avant Garde" w:hAnsi="ITC Avant Garde"/>
          <w:lang w:val="es-ES_tradnl"/>
        </w:rPr>
        <w:t>efectivamente</w:t>
      </w:r>
      <w:r w:rsidR="007A37C1" w:rsidRPr="00BF7935">
        <w:rPr>
          <w:rFonts w:ascii="ITC Avant Garde" w:hAnsi="ITC Avant Garde"/>
          <w:lang w:val="es-ES_tradnl"/>
        </w:rPr>
        <w:t xml:space="preserve"> </w:t>
      </w:r>
      <w:r w:rsidRPr="00BF7935">
        <w:rPr>
          <w:rFonts w:ascii="ITC Avant Garde" w:hAnsi="ITC Avant Garde"/>
          <w:lang w:val="es-ES_tradnl"/>
        </w:rPr>
        <w:t>escapan de la voluntad del AEP y en consecuencia los servicios sobre los que versa el convenio marco no pueden ser prestados como han sido pactados.</w:t>
      </w:r>
    </w:p>
    <w:p w14:paraId="16668116" w14:textId="60550E2B" w:rsidR="003069F0" w:rsidRPr="00483983" w:rsidRDefault="003069F0" w:rsidP="003069F0">
      <w:pPr>
        <w:spacing w:after="120"/>
      </w:pPr>
      <w:r w:rsidRPr="00BF7935">
        <w:rPr>
          <w:rFonts w:ascii="ITC Avant Garde" w:hAnsi="ITC Avant Garde"/>
          <w:lang w:val="es-ES_tradnl"/>
        </w:rPr>
        <w:t xml:space="preserve">Por otro lado, es importante recalcar que </w:t>
      </w:r>
      <w:r>
        <w:rPr>
          <w:rFonts w:ascii="ITC Avant Garde" w:hAnsi="ITC Avant Garde"/>
          <w:lang w:val="es-ES_tradnl"/>
        </w:rPr>
        <w:t xml:space="preserve">el propio convenio prevé alternativas en </w:t>
      </w:r>
      <w:r w:rsidRPr="00BF7935">
        <w:rPr>
          <w:rFonts w:ascii="ITC Avant Garde" w:hAnsi="ITC Avant Garde"/>
          <w:lang w:val="es-ES_tradnl"/>
        </w:rPr>
        <w:t>caso de actualizarse alguno de estos supuestos</w:t>
      </w:r>
      <w:r>
        <w:rPr>
          <w:rFonts w:ascii="ITC Avant Garde" w:hAnsi="ITC Avant Garde"/>
          <w:lang w:val="es-ES_tradnl"/>
        </w:rPr>
        <w:t>, ya que</w:t>
      </w:r>
      <w:r w:rsidRPr="00BF7935">
        <w:rPr>
          <w:rFonts w:ascii="ITC Avant Garde" w:hAnsi="ITC Avant Garde"/>
          <w:lang w:val="es-ES_tradnl"/>
        </w:rPr>
        <w:t xml:space="preserve"> establec</w:t>
      </w:r>
      <w:r>
        <w:rPr>
          <w:rFonts w:ascii="ITC Avant Garde" w:hAnsi="ITC Avant Garde"/>
          <w:lang w:val="es-ES_tradnl"/>
        </w:rPr>
        <w:t>e</w:t>
      </w:r>
      <w:r w:rsidRPr="00BF7935">
        <w:rPr>
          <w:rFonts w:ascii="ITC Avant Garde" w:hAnsi="ITC Avant Garde"/>
          <w:lang w:val="es-ES_tradnl"/>
        </w:rPr>
        <w:t xml:space="preserve"> </w:t>
      </w:r>
      <w:r>
        <w:rPr>
          <w:rFonts w:ascii="ITC Avant Garde" w:hAnsi="ITC Avant Garde"/>
          <w:lang w:val="es-ES_tradnl"/>
        </w:rPr>
        <w:t>a través del numeral “</w:t>
      </w:r>
      <w:r w:rsidRPr="00BF7935">
        <w:rPr>
          <w:rFonts w:ascii="ITC Avant Garde" w:hAnsi="ITC Avant Garde"/>
          <w:i/>
          <w:lang w:val="es-ES_tradnl"/>
        </w:rPr>
        <w:t xml:space="preserve">8.1 Continuidad de Servicios” </w:t>
      </w:r>
      <w:r w:rsidRPr="00BF7935">
        <w:rPr>
          <w:rFonts w:ascii="ITC Avant Garde" w:hAnsi="ITC Avant Garde"/>
          <w:lang w:val="es-ES_tradnl"/>
        </w:rPr>
        <w:t>la obligación</w:t>
      </w:r>
      <w:r>
        <w:rPr>
          <w:rFonts w:ascii="ITC Avant Garde" w:hAnsi="ITC Avant Garde"/>
          <w:lang w:val="es-ES_tradnl"/>
        </w:rPr>
        <w:t xml:space="preserve"> por parte del AEP</w:t>
      </w:r>
      <w:r w:rsidRPr="00BF7935">
        <w:rPr>
          <w:rFonts w:ascii="ITC Avant Garde" w:hAnsi="ITC Avant Garde"/>
          <w:lang w:val="es-ES_tradnl"/>
        </w:rPr>
        <w:t xml:space="preserve"> de notificar al CS tan pronto sea posible sobre la existencia del evento</w:t>
      </w:r>
      <w:r>
        <w:rPr>
          <w:rFonts w:ascii="ITC Avant Garde" w:hAnsi="ITC Avant Garde"/>
          <w:lang w:val="es-ES_tradnl"/>
        </w:rPr>
        <w:t xml:space="preserve">, además de establecer en el numeral </w:t>
      </w:r>
      <w:r w:rsidRPr="00BF7935">
        <w:rPr>
          <w:rFonts w:ascii="ITC Avant Garde" w:hAnsi="ITC Avant Garde"/>
          <w:i/>
          <w:lang w:val="es-ES_tradnl"/>
        </w:rPr>
        <w:t xml:space="preserve">“8.2 </w:t>
      </w:r>
      <w:r w:rsidRPr="00D43558">
        <w:rPr>
          <w:rFonts w:ascii="ITC Avant Garde" w:hAnsi="ITC Avant Garde"/>
          <w:i/>
          <w:lang w:val="es-ES_tradnl"/>
        </w:rPr>
        <w:t>Suspensión</w:t>
      </w:r>
      <w:r w:rsidRPr="00BF7935">
        <w:rPr>
          <w:rFonts w:ascii="ITC Avant Garde" w:hAnsi="ITC Avant Garde"/>
          <w:i/>
          <w:lang w:val="es-ES_tradnl"/>
        </w:rPr>
        <w:t>”</w:t>
      </w:r>
      <w:r>
        <w:rPr>
          <w:rFonts w:ascii="ITC Avant Garde" w:hAnsi="ITC Avant Garde"/>
          <w:lang w:val="es-ES_tradnl"/>
        </w:rPr>
        <w:t xml:space="preserve"> que </w:t>
      </w:r>
      <w:r w:rsidRPr="00BF7935">
        <w:rPr>
          <w:rFonts w:ascii="ITC Avant Garde" w:hAnsi="ITC Avant Garde"/>
          <w:lang w:val="es-ES_tradnl"/>
        </w:rPr>
        <w:t>en caso de que el servicio no pudiera ser restablecido con normalidad dentro de los 30 días siguientes al acontecimiento el CS podrá dar por terminado el acuerdo de sitio correspondiente</w:t>
      </w:r>
      <w:r>
        <w:rPr>
          <w:rFonts w:ascii="ITC Avant Garde" w:hAnsi="ITC Avant Garde"/>
          <w:lang w:val="es-ES_tradnl"/>
        </w:rPr>
        <w:t>.</w:t>
      </w:r>
    </w:p>
    <w:p w14:paraId="2E137426" w14:textId="77777777" w:rsidR="007B0EDF" w:rsidRPr="00BF7935" w:rsidRDefault="007B0EDF" w:rsidP="007B0EDF">
      <w:pPr>
        <w:spacing w:after="120"/>
        <w:rPr>
          <w:rFonts w:ascii="ITC Avant Garde" w:hAnsi="ITC Avant Garde"/>
          <w:b/>
          <w:lang w:val="es-ES_tradnl"/>
        </w:rPr>
      </w:pPr>
      <w:r w:rsidRPr="00BF7935">
        <w:rPr>
          <w:rFonts w:ascii="ITC Avant Garde" w:hAnsi="ITC Avant Garde"/>
          <w:b/>
          <w:lang w:val="es-ES_tradnl"/>
        </w:rPr>
        <w:t>Cesión por venta de los activos</w:t>
      </w:r>
    </w:p>
    <w:p w14:paraId="3B5BA408" w14:textId="77777777" w:rsidR="007B0EDF" w:rsidRPr="00BF7935" w:rsidRDefault="007B0EDF" w:rsidP="007B0EDF">
      <w:pPr>
        <w:spacing w:after="120"/>
        <w:rPr>
          <w:rFonts w:ascii="ITC Avant Garde" w:hAnsi="ITC Avant Garde"/>
          <w:lang w:val="es-ES_tradnl"/>
        </w:rPr>
      </w:pPr>
      <w:r w:rsidRPr="00BF7935">
        <w:rPr>
          <w:rFonts w:ascii="ITC Avant Garde" w:hAnsi="ITC Avant Garde"/>
          <w:lang w:val="es-ES_tradnl"/>
        </w:rPr>
        <w:t xml:space="preserve">Señala Televisa que en caso de que el AEP procediera a la venta parcial o total de sus activos móviles, tiene que </w:t>
      </w:r>
      <w:r w:rsidRPr="00C3522F">
        <w:rPr>
          <w:rFonts w:ascii="ITC Avant Garde" w:hAnsi="ITC Avant Garde"/>
          <w:lang w:val="es-ES_tradnl"/>
        </w:rPr>
        <w:t>notificar debidamente y con un plazo suficiente el cambio</w:t>
      </w:r>
      <w:r w:rsidRPr="00BF7935">
        <w:rPr>
          <w:rFonts w:ascii="ITC Avant Garde" w:hAnsi="ITC Avant Garde"/>
          <w:lang w:val="es-ES_tradnl"/>
        </w:rPr>
        <w:t xml:space="preserve"> de propiedad a todos los CS que utilizan esta infraestructura para alojar sus equipos.</w:t>
      </w:r>
    </w:p>
    <w:p w14:paraId="45B092A9" w14:textId="77777777" w:rsidR="007B0EDF" w:rsidRPr="00BF7935" w:rsidRDefault="007B0EDF" w:rsidP="007B0EDF">
      <w:pPr>
        <w:spacing w:after="120"/>
        <w:rPr>
          <w:rFonts w:ascii="ITC Avant Garde" w:hAnsi="ITC Avant Garde"/>
          <w:lang w:val="es-ES_tradnl"/>
        </w:rPr>
      </w:pPr>
      <w:r w:rsidRPr="00BF7935">
        <w:rPr>
          <w:rFonts w:ascii="ITC Avant Garde" w:hAnsi="ITC Avant Garde"/>
          <w:lang w:val="es-ES_tradnl"/>
        </w:rPr>
        <w:t xml:space="preserve">Recomienda incluir mayor detalle en la </w:t>
      </w:r>
      <w:r w:rsidRPr="00BF7935">
        <w:rPr>
          <w:rFonts w:ascii="ITC Avant Garde" w:hAnsi="ITC Avant Garde"/>
          <w:i/>
          <w:lang w:val="es-ES_tradnl"/>
        </w:rPr>
        <w:t>“CLÁUSULA NOVENA. CESIÓN.”</w:t>
      </w:r>
      <w:r>
        <w:rPr>
          <w:rFonts w:ascii="ITC Avant Garde" w:hAnsi="ITC Avant Garde"/>
          <w:lang w:val="es-ES_tradnl"/>
        </w:rPr>
        <w:t xml:space="preserve"> </w:t>
      </w:r>
      <w:r w:rsidRPr="00BF7935">
        <w:rPr>
          <w:rFonts w:ascii="ITC Avant Garde" w:hAnsi="ITC Avant Garde"/>
          <w:lang w:val="es-ES_tradnl"/>
        </w:rPr>
        <w:t xml:space="preserve">del convenio marco de la </w:t>
      </w:r>
      <w:r w:rsidRPr="00BF7935">
        <w:rPr>
          <w:rFonts w:ascii="ITC Avant Garde" w:eastAsia="Calibri" w:hAnsi="ITC Avant Garde" w:cs="Times New Roman"/>
          <w:lang w:val="es-ES"/>
        </w:rPr>
        <w:t>Propuesta de Oferta de Referencia</w:t>
      </w:r>
      <w:r w:rsidRPr="00BF7935">
        <w:rPr>
          <w:rFonts w:ascii="ITC Avant Garde" w:hAnsi="ITC Avant Garde"/>
          <w:lang w:val="es-ES_tradnl"/>
        </w:rPr>
        <w:t xml:space="preserve">, para dotar de mayor seguridad a los CS de que los servicios que venían contratando del AEP mantendrán los mismos o mejores niveles calidad. Con respecto a la transferencia de los activos, derechos y obligaciones del AEP con los CS, </w:t>
      </w:r>
      <w:r>
        <w:rPr>
          <w:rFonts w:ascii="ITC Avant Garde" w:hAnsi="ITC Avant Garde"/>
          <w:lang w:val="es-ES_tradnl"/>
        </w:rPr>
        <w:t xml:space="preserve">Televisa indica que </w:t>
      </w:r>
      <w:r w:rsidRPr="00C3522F">
        <w:rPr>
          <w:rFonts w:ascii="ITC Avant Garde" w:hAnsi="ITC Avant Garde"/>
          <w:lang w:val="es-ES_tradnl"/>
        </w:rPr>
        <w:t>debe estar condicionada a previa aprobación del IFT</w:t>
      </w:r>
      <w:r w:rsidRPr="00BF7935">
        <w:rPr>
          <w:rFonts w:ascii="ITC Avant Garde" w:hAnsi="ITC Avant Garde"/>
          <w:lang w:val="es-ES_tradnl"/>
        </w:rPr>
        <w:t xml:space="preserve"> para garantizar los derechos de los CS.</w:t>
      </w:r>
    </w:p>
    <w:p w14:paraId="21F72960" w14:textId="77777777" w:rsidR="007B0EDF" w:rsidRPr="00BF7935" w:rsidRDefault="007B0EDF" w:rsidP="007B0EDF">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21FB0265" w14:textId="45207EFB" w:rsidR="007B0EDF" w:rsidRDefault="007B0EDF" w:rsidP="007B0EDF">
      <w:pPr>
        <w:spacing w:after="120"/>
        <w:rPr>
          <w:rFonts w:ascii="ITC Avant Garde" w:hAnsi="ITC Avant Garde"/>
          <w:lang w:val="es-ES_tradnl"/>
        </w:rPr>
      </w:pPr>
      <w:r w:rsidRPr="00BF7935">
        <w:rPr>
          <w:rFonts w:ascii="ITC Avant Garde" w:hAnsi="ITC Avant Garde"/>
          <w:lang w:val="es-ES_tradnl"/>
        </w:rPr>
        <w:t xml:space="preserve">Respecto de las consideraciones vertidas por Televisa en el sentido de que el AEP debería notificar al CS en caso de que procediera a la venta total o parcial de sus activos, </w:t>
      </w:r>
      <w:r>
        <w:rPr>
          <w:rFonts w:ascii="ITC Avant Garde" w:hAnsi="ITC Avant Garde"/>
          <w:lang w:val="es-ES_tradnl"/>
        </w:rPr>
        <w:t xml:space="preserve">la </w:t>
      </w:r>
      <w:r w:rsidRPr="00242E35">
        <w:rPr>
          <w:rFonts w:ascii="ITC Avant Garde" w:hAnsi="ITC Avant Garde"/>
          <w:i/>
          <w:lang w:val="es-ES_tradnl"/>
        </w:rPr>
        <w:t>“CLÁUSULA NOVENA. CESIÓN.”</w:t>
      </w:r>
      <w:r>
        <w:rPr>
          <w:rFonts w:ascii="ITC Avant Garde" w:hAnsi="ITC Avant Garde"/>
          <w:i/>
          <w:lang w:val="es-ES_tradnl"/>
        </w:rPr>
        <w:t xml:space="preserve"> </w:t>
      </w:r>
      <w:r w:rsidRPr="00BF7935">
        <w:rPr>
          <w:rFonts w:ascii="ITC Avant Garde" w:hAnsi="ITC Avant Garde"/>
          <w:lang w:val="es-ES_tradnl"/>
        </w:rPr>
        <w:t xml:space="preserve">del convenio marco de la </w:t>
      </w:r>
      <w:r w:rsidRPr="00BF7935">
        <w:rPr>
          <w:rFonts w:ascii="ITC Avant Garde" w:eastAsia="Calibri" w:hAnsi="ITC Avant Garde" w:cs="Times New Roman"/>
          <w:lang w:val="es-ES"/>
        </w:rPr>
        <w:t>Propuesta de Oferta de Referencia</w:t>
      </w:r>
      <w:r w:rsidRPr="00BF7935">
        <w:rPr>
          <w:rFonts w:ascii="ITC Avant Garde" w:hAnsi="ITC Avant Garde"/>
          <w:lang w:val="es-ES_tradnl"/>
        </w:rPr>
        <w:t xml:space="preserve"> es lo suficientemente explíci</w:t>
      </w:r>
      <w:r>
        <w:rPr>
          <w:rFonts w:ascii="ITC Avant Garde" w:hAnsi="ITC Avant Garde"/>
          <w:lang w:val="es-ES_tradnl"/>
        </w:rPr>
        <w:t xml:space="preserve">ta y es de destacarse que se </w:t>
      </w:r>
      <w:r w:rsidRPr="00BF7935">
        <w:rPr>
          <w:rFonts w:ascii="ITC Avant Garde" w:hAnsi="ITC Avant Garde"/>
          <w:lang w:val="es-ES_tradnl"/>
        </w:rPr>
        <w:t xml:space="preserve">establece al AEP la obligación de notificar a los CS en caso de decidir vender o enajenar la misma, </w:t>
      </w:r>
      <w:r>
        <w:rPr>
          <w:rFonts w:ascii="ITC Avant Garde" w:hAnsi="ITC Avant Garde"/>
          <w:lang w:val="es-ES_tradnl"/>
        </w:rPr>
        <w:t>además de mencionar que el AEP debe</w:t>
      </w:r>
      <w:r w:rsidRPr="00BF7935">
        <w:rPr>
          <w:rFonts w:ascii="ITC Avant Garde" w:hAnsi="ITC Avant Garde"/>
          <w:lang w:val="es-ES_tradnl"/>
        </w:rPr>
        <w:t xml:space="preserve"> advertir al adquirente acerca de los acuerdos de sitio existentes con la finalidad de que este mantenga la continuidad de los servicios pactados con la misma calidad que lo hacía el AEP.</w:t>
      </w:r>
    </w:p>
    <w:p w14:paraId="77E12B3A" w14:textId="31EAB8DB" w:rsidR="00F07078" w:rsidRPr="00BF7935" w:rsidRDefault="00CB5C96" w:rsidP="00584946">
      <w:pPr>
        <w:rPr>
          <w:rFonts w:ascii="ITC Avant Garde" w:hAnsi="ITC Avant Garde"/>
          <w:b/>
          <w:lang w:val="es-ES_tradnl"/>
        </w:rPr>
      </w:pPr>
      <w:r>
        <w:rPr>
          <w:rFonts w:ascii="ITC Avant Garde" w:eastAsia="Times New Roman" w:hAnsi="ITC Avant Garde" w:cs="Times New Roman"/>
          <w:b/>
          <w:lang w:val="es-ES_tradnl"/>
        </w:rPr>
        <w:t>Suspensión de medidas de preponderancia</w:t>
      </w:r>
    </w:p>
    <w:p w14:paraId="1444414A" w14:textId="31C95895" w:rsidR="005F0E87" w:rsidRPr="00BF7935" w:rsidRDefault="007B760F" w:rsidP="007B760F">
      <w:pPr>
        <w:spacing w:after="120"/>
        <w:rPr>
          <w:rFonts w:ascii="ITC Avant Garde" w:hAnsi="ITC Avant Garde"/>
          <w:lang w:val="es-ES_tradnl"/>
        </w:rPr>
      </w:pPr>
      <w:r>
        <w:rPr>
          <w:rFonts w:ascii="ITC Avant Garde" w:hAnsi="ITC Avant Garde"/>
          <w:lang w:val="es-ES_tradnl"/>
        </w:rPr>
        <w:t xml:space="preserve">Respecto la </w:t>
      </w:r>
      <w:r w:rsidR="00D14660">
        <w:rPr>
          <w:rFonts w:ascii="ITC Avant Garde" w:hAnsi="ITC Avant Garde"/>
          <w:lang w:val="es-ES_tradnl"/>
        </w:rPr>
        <w:t>“</w:t>
      </w:r>
      <w:r w:rsidRPr="00B67870">
        <w:rPr>
          <w:rFonts w:ascii="ITC Avant Garde" w:hAnsi="ITC Avant Garde"/>
          <w:i/>
          <w:lang w:val="es-ES_tradnl"/>
        </w:rPr>
        <w:t xml:space="preserve">CLÁUSULA </w:t>
      </w:r>
      <w:r>
        <w:rPr>
          <w:rFonts w:ascii="ITC Avant Garde" w:hAnsi="ITC Avant Garde"/>
          <w:i/>
          <w:lang w:val="es-ES_tradnl"/>
        </w:rPr>
        <w:t>DÉCIMA CUARTA</w:t>
      </w:r>
      <w:r w:rsidRPr="00B67870">
        <w:rPr>
          <w:rFonts w:ascii="ITC Avant Garde" w:hAnsi="ITC Avant Garde"/>
          <w:i/>
          <w:lang w:val="es-ES_tradnl"/>
        </w:rPr>
        <w:t xml:space="preserve">. </w:t>
      </w:r>
      <w:r>
        <w:rPr>
          <w:rFonts w:ascii="ITC Avant Garde" w:hAnsi="ITC Avant Garde"/>
          <w:i/>
          <w:lang w:val="es-ES_tradnl"/>
        </w:rPr>
        <w:t>VIGENCIA</w:t>
      </w:r>
      <w:r w:rsidRPr="00B67870">
        <w:rPr>
          <w:rFonts w:ascii="ITC Avant Garde" w:hAnsi="ITC Avant Garde"/>
          <w:i/>
          <w:lang w:val="es-ES_tradnl"/>
        </w:rPr>
        <w:t xml:space="preserve">” </w:t>
      </w:r>
      <w:r w:rsidRPr="00B67870">
        <w:rPr>
          <w:rFonts w:ascii="ITC Avant Garde" w:hAnsi="ITC Avant Garde"/>
          <w:lang w:val="es-ES_tradnl"/>
        </w:rPr>
        <w:t xml:space="preserve">del convenio marco de la </w:t>
      </w:r>
      <w:r w:rsidRPr="00B67870">
        <w:rPr>
          <w:rFonts w:ascii="ITC Avant Garde" w:eastAsia="Calibri" w:hAnsi="ITC Avant Garde" w:cs="Times New Roman"/>
          <w:lang w:val="es-ES"/>
        </w:rPr>
        <w:t>Propuesta de Oferta de Referencia</w:t>
      </w:r>
      <w:r>
        <w:rPr>
          <w:rFonts w:ascii="ITC Avant Garde" w:hAnsi="ITC Avant Garde"/>
          <w:lang w:val="es-ES_tradnl"/>
        </w:rPr>
        <w:t>, Televisa menciona que</w:t>
      </w:r>
      <w:r w:rsidR="00584946" w:rsidRPr="00BF7935">
        <w:rPr>
          <w:rFonts w:ascii="ITC Avant Garde" w:hAnsi="ITC Avant Garde"/>
          <w:lang w:val="es-ES_tradnl"/>
        </w:rPr>
        <w:t xml:space="preserve"> </w:t>
      </w:r>
      <w:r w:rsidR="0030180E" w:rsidRPr="00BF7935">
        <w:rPr>
          <w:rFonts w:ascii="ITC Avant Garde" w:hAnsi="ITC Avant Garde"/>
          <w:lang w:val="es-ES_tradnl"/>
        </w:rPr>
        <w:t xml:space="preserve">derivado de la obligación que tiene el Instituto de </w:t>
      </w:r>
      <w:r w:rsidR="00584946" w:rsidRPr="00BF7935">
        <w:rPr>
          <w:rFonts w:ascii="ITC Avant Garde" w:hAnsi="ITC Avant Garde"/>
          <w:lang w:val="es-ES_tradnl"/>
        </w:rPr>
        <w:t xml:space="preserve">realizar una evaluación de impacto de las </w:t>
      </w:r>
      <w:r w:rsidR="000703E1" w:rsidRPr="00BF7935">
        <w:rPr>
          <w:rFonts w:ascii="ITC Avant Garde" w:hAnsi="ITC Avant Garde"/>
          <w:lang w:val="es-ES_tradnl"/>
        </w:rPr>
        <w:lastRenderedPageBreak/>
        <w:t>M</w:t>
      </w:r>
      <w:r w:rsidR="00584946" w:rsidRPr="00BF7935">
        <w:rPr>
          <w:rFonts w:ascii="ITC Avant Garde" w:hAnsi="ITC Avant Garde"/>
          <w:lang w:val="es-ES_tradnl"/>
        </w:rPr>
        <w:t xml:space="preserve">edidas </w:t>
      </w:r>
      <w:r w:rsidR="00A66381">
        <w:rPr>
          <w:rFonts w:ascii="ITC Avant Garde" w:hAnsi="ITC Avant Garde"/>
          <w:lang w:val="es-ES_tradnl"/>
        </w:rPr>
        <w:t xml:space="preserve">Móviles </w:t>
      </w:r>
      <w:r w:rsidR="00584946" w:rsidRPr="00BF7935">
        <w:rPr>
          <w:rFonts w:ascii="ITC Avant Garde" w:hAnsi="ITC Avant Garde"/>
          <w:lang w:val="es-ES_tradnl"/>
        </w:rPr>
        <w:t>en términos de competencia cada dos años</w:t>
      </w:r>
      <w:r w:rsidR="0030180E" w:rsidRPr="00BF7935">
        <w:rPr>
          <w:rFonts w:ascii="ITC Avant Garde" w:hAnsi="ITC Avant Garde"/>
          <w:lang w:val="es-ES_tradnl"/>
        </w:rPr>
        <w:t>, debería</w:t>
      </w:r>
      <w:r w:rsidR="00584946" w:rsidRPr="00BF7935">
        <w:rPr>
          <w:rFonts w:ascii="ITC Avant Garde" w:hAnsi="ITC Avant Garde"/>
          <w:lang w:val="es-ES_tradnl"/>
        </w:rPr>
        <w:t xml:space="preserve"> imponer un </w:t>
      </w:r>
      <w:r w:rsidR="0030180E" w:rsidRPr="00BF7935">
        <w:rPr>
          <w:rFonts w:ascii="ITC Avant Garde" w:hAnsi="ITC Avant Garde"/>
          <w:lang w:val="es-ES_tradnl"/>
        </w:rPr>
        <w:t>plan de transición</w:t>
      </w:r>
      <w:r w:rsidR="00CB5C96">
        <w:rPr>
          <w:rFonts w:ascii="ITC Avant Garde" w:hAnsi="ITC Avant Garde"/>
          <w:lang w:val="es-ES_tradnl"/>
        </w:rPr>
        <w:t>,</w:t>
      </w:r>
      <w:r w:rsidR="00584946" w:rsidRPr="00BF7935">
        <w:rPr>
          <w:rFonts w:ascii="ITC Avant Garde" w:hAnsi="ITC Avant Garde"/>
          <w:lang w:val="es-ES_tradnl"/>
        </w:rPr>
        <w:t xml:space="preserve"> con sus correspondientes características técnicas y comerciales, en el que se garantice que se tienen en cuenta las inversiones realizadas y su plazo de recuperación, la existencia de alternativas a la infraestructura del </w:t>
      </w:r>
      <w:r w:rsidR="0001177D" w:rsidRPr="00BF7935">
        <w:rPr>
          <w:rFonts w:ascii="ITC Avant Garde" w:hAnsi="ITC Avant Garde"/>
          <w:lang w:val="es-ES_tradnl"/>
        </w:rPr>
        <w:t>AEP</w:t>
      </w:r>
      <w:r w:rsidR="00584946" w:rsidRPr="00BF7935">
        <w:rPr>
          <w:rFonts w:ascii="ITC Avant Garde" w:hAnsi="ITC Avant Garde"/>
          <w:lang w:val="es-ES_tradnl"/>
        </w:rPr>
        <w:t>, y la continua prestación de los servicios a los usuarios finales, etc.</w:t>
      </w:r>
    </w:p>
    <w:p w14:paraId="1989790B" w14:textId="77777777" w:rsidR="005F0E87" w:rsidRPr="00BF7935" w:rsidRDefault="005F0E87" w:rsidP="00D04352">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754A3D91" w14:textId="62F8C6C3" w:rsidR="00F6509D" w:rsidRDefault="0030615E" w:rsidP="00584946">
      <w:pPr>
        <w:spacing w:after="120"/>
        <w:rPr>
          <w:rFonts w:ascii="ITC Avant Garde" w:hAnsi="ITC Avant Garde"/>
          <w:lang w:val="es-ES_tradnl"/>
        </w:rPr>
      </w:pPr>
      <w:r>
        <w:rPr>
          <w:rFonts w:ascii="ITC Avant Garde" w:hAnsi="ITC Avant Garde"/>
          <w:lang w:val="es-ES_tradnl"/>
        </w:rPr>
        <w:t>A</w:t>
      </w:r>
      <w:r w:rsidR="004E7021">
        <w:rPr>
          <w:rFonts w:ascii="ITC Avant Garde" w:hAnsi="ITC Avant Garde"/>
          <w:lang w:val="es-ES_tradnl"/>
        </w:rPr>
        <w:t xml:space="preserve"> través de </w:t>
      </w:r>
      <w:r w:rsidR="00D04352" w:rsidRPr="00B67870">
        <w:rPr>
          <w:rFonts w:ascii="ITC Avant Garde" w:hAnsi="ITC Avant Garde"/>
          <w:lang w:val="es-ES_tradnl"/>
        </w:rPr>
        <w:t>la “</w:t>
      </w:r>
      <w:r w:rsidR="00D04352" w:rsidRPr="00B67870">
        <w:rPr>
          <w:rFonts w:ascii="ITC Avant Garde" w:hAnsi="ITC Avant Garde"/>
          <w:i/>
          <w:lang w:val="es-ES_tradnl"/>
        </w:rPr>
        <w:t xml:space="preserve">CLÁUSULA </w:t>
      </w:r>
      <w:r w:rsidR="00D04352">
        <w:rPr>
          <w:rFonts w:ascii="ITC Avant Garde" w:hAnsi="ITC Avant Garde"/>
          <w:i/>
          <w:lang w:val="es-ES_tradnl"/>
        </w:rPr>
        <w:t>DÉCIMA CUARTA</w:t>
      </w:r>
      <w:r w:rsidR="00D04352" w:rsidRPr="00B67870">
        <w:rPr>
          <w:rFonts w:ascii="ITC Avant Garde" w:hAnsi="ITC Avant Garde"/>
          <w:i/>
          <w:lang w:val="es-ES_tradnl"/>
        </w:rPr>
        <w:t xml:space="preserve">. </w:t>
      </w:r>
      <w:r w:rsidR="00D04352">
        <w:rPr>
          <w:rFonts w:ascii="ITC Avant Garde" w:hAnsi="ITC Avant Garde"/>
          <w:i/>
          <w:lang w:val="es-ES_tradnl"/>
        </w:rPr>
        <w:t>VIGENCIA</w:t>
      </w:r>
      <w:r w:rsidR="00D04352" w:rsidRPr="00B67870">
        <w:rPr>
          <w:rFonts w:ascii="ITC Avant Garde" w:hAnsi="ITC Avant Garde"/>
          <w:i/>
          <w:lang w:val="es-ES_tradnl"/>
        </w:rPr>
        <w:t xml:space="preserve">” </w:t>
      </w:r>
      <w:r w:rsidR="00D04352" w:rsidRPr="00B67870">
        <w:rPr>
          <w:rFonts w:ascii="ITC Avant Garde" w:hAnsi="ITC Avant Garde"/>
          <w:lang w:val="es-ES_tradnl"/>
        </w:rPr>
        <w:t xml:space="preserve">del convenio marco de la </w:t>
      </w:r>
      <w:r w:rsidR="00D04352" w:rsidRPr="00B67870">
        <w:rPr>
          <w:rFonts w:ascii="ITC Avant Garde" w:eastAsia="Calibri" w:hAnsi="ITC Avant Garde" w:cs="Times New Roman"/>
          <w:lang w:val="es-ES"/>
        </w:rPr>
        <w:t>Propuesta de Oferta de Referencia</w:t>
      </w:r>
      <w:r w:rsidR="00D04352">
        <w:rPr>
          <w:rFonts w:ascii="ITC Avant Garde" w:eastAsia="Calibri" w:hAnsi="ITC Avant Garde" w:cs="Times New Roman"/>
          <w:lang w:val="es-ES"/>
        </w:rPr>
        <w:t xml:space="preserve"> se establece lo conducente en caso de </w:t>
      </w:r>
      <w:r w:rsidR="004E7021">
        <w:rPr>
          <w:rFonts w:ascii="ITC Avant Garde" w:eastAsia="Calibri" w:hAnsi="ITC Avant Garde" w:cs="Times New Roman"/>
          <w:lang w:val="es-ES"/>
        </w:rPr>
        <w:t xml:space="preserve">ser </w:t>
      </w:r>
      <w:r w:rsidR="007F1D20">
        <w:rPr>
          <w:rFonts w:ascii="ITC Avant Garde" w:eastAsia="Calibri" w:hAnsi="ITC Avant Garde" w:cs="Times New Roman"/>
          <w:lang w:val="es-ES"/>
        </w:rPr>
        <w:t xml:space="preserve">modificada </w:t>
      </w:r>
      <w:r w:rsidR="004E7021">
        <w:rPr>
          <w:rFonts w:ascii="ITC Avant Garde" w:eastAsia="Calibri" w:hAnsi="ITC Avant Garde" w:cs="Times New Roman"/>
          <w:lang w:val="es-ES"/>
        </w:rPr>
        <w:t>la regulación</w:t>
      </w:r>
      <w:r w:rsidR="007F1D20">
        <w:rPr>
          <w:rFonts w:ascii="ITC Avant Garde" w:eastAsia="Calibri" w:hAnsi="ITC Avant Garde" w:cs="Times New Roman"/>
          <w:lang w:val="es-ES"/>
        </w:rPr>
        <w:t xml:space="preserve"> </w:t>
      </w:r>
      <w:r w:rsidR="00D76C99">
        <w:rPr>
          <w:rFonts w:ascii="ITC Avant Garde" w:eastAsia="Calibri" w:hAnsi="ITC Avant Garde" w:cs="Times New Roman"/>
          <w:lang w:val="es-ES"/>
        </w:rPr>
        <w:t xml:space="preserve">de preponderancia </w:t>
      </w:r>
      <w:r w:rsidR="007F1D20">
        <w:rPr>
          <w:rFonts w:ascii="ITC Avant Garde" w:eastAsia="Calibri" w:hAnsi="ITC Avant Garde" w:cs="Times New Roman"/>
          <w:lang w:val="es-ES"/>
        </w:rPr>
        <w:t xml:space="preserve">por una resolución </w:t>
      </w:r>
      <w:r w:rsidR="00D76C99">
        <w:rPr>
          <w:rFonts w:ascii="ITC Avant Garde" w:eastAsia="Calibri" w:hAnsi="ITC Avant Garde" w:cs="Times New Roman"/>
          <w:lang w:val="es-ES"/>
        </w:rPr>
        <w:t xml:space="preserve">judicial </w:t>
      </w:r>
      <w:r w:rsidR="007F1D20">
        <w:rPr>
          <w:rFonts w:ascii="ITC Avant Garde" w:eastAsia="Calibri" w:hAnsi="ITC Avant Garde" w:cs="Times New Roman"/>
          <w:lang w:val="es-ES"/>
        </w:rPr>
        <w:t>firme</w:t>
      </w:r>
      <w:r w:rsidR="004F39A5">
        <w:rPr>
          <w:rFonts w:ascii="ITC Avant Garde" w:eastAsia="Calibri" w:hAnsi="ITC Avant Garde" w:cs="Times New Roman"/>
          <w:lang w:val="es-ES"/>
        </w:rPr>
        <w:t>.</w:t>
      </w:r>
      <w:r w:rsidR="004E7021">
        <w:rPr>
          <w:rFonts w:ascii="ITC Avant Garde" w:eastAsia="Calibri" w:hAnsi="ITC Avant Garde" w:cs="Times New Roman"/>
          <w:lang w:val="es-ES"/>
        </w:rPr>
        <w:t xml:space="preserve"> </w:t>
      </w:r>
      <w:r w:rsidR="004E7021">
        <w:rPr>
          <w:rFonts w:ascii="ITC Avant Garde" w:hAnsi="ITC Avant Garde"/>
          <w:lang w:val="es-ES_tradnl"/>
        </w:rPr>
        <w:t>Es así que en caso de que se declare</w:t>
      </w:r>
      <w:r w:rsidR="00D76C99">
        <w:rPr>
          <w:rFonts w:ascii="ITC Avant Garde" w:hAnsi="ITC Avant Garde"/>
          <w:lang w:val="es-ES_tradnl"/>
        </w:rPr>
        <w:t xml:space="preserve"> por ejemplo</w:t>
      </w:r>
      <w:r w:rsidR="004E7021">
        <w:rPr>
          <w:rFonts w:ascii="ITC Avant Garde" w:hAnsi="ITC Avant Garde"/>
          <w:lang w:val="es-ES_tradnl"/>
        </w:rPr>
        <w:t xml:space="preserve"> la nulidad de las Medidas Móviles y/o la Resolución de Preponderancia, las partes deberán de </w:t>
      </w:r>
      <w:r w:rsidR="008B640E">
        <w:rPr>
          <w:rFonts w:ascii="ITC Avant Garde" w:hAnsi="ITC Avant Garde"/>
          <w:lang w:val="es-ES_tradnl"/>
        </w:rPr>
        <w:t xml:space="preserve">atender </w:t>
      </w:r>
      <w:r w:rsidR="008D496E">
        <w:rPr>
          <w:rFonts w:ascii="ITC Avant Garde" w:hAnsi="ITC Avant Garde"/>
          <w:lang w:val="es-ES_tradnl"/>
        </w:rPr>
        <w:t xml:space="preserve">lo señalado en </w:t>
      </w:r>
      <w:r w:rsidR="004E7021">
        <w:rPr>
          <w:rFonts w:ascii="ITC Avant Garde" w:hAnsi="ITC Avant Garde"/>
          <w:lang w:val="es-ES_tradnl"/>
        </w:rPr>
        <w:t>la “Resolución Firme”</w:t>
      </w:r>
      <w:r w:rsidR="00A50DA6">
        <w:rPr>
          <w:rFonts w:ascii="ITC Avant Garde" w:hAnsi="ITC Avant Garde"/>
          <w:lang w:val="es-ES_tradnl"/>
        </w:rPr>
        <w:t xml:space="preserve"> </w:t>
      </w:r>
      <w:r w:rsidR="004E7021">
        <w:rPr>
          <w:rFonts w:ascii="ITC Avant Garde" w:hAnsi="ITC Avant Garde"/>
          <w:lang w:val="es-ES_tradnl"/>
        </w:rPr>
        <w:t>establecida</w:t>
      </w:r>
      <w:r w:rsidR="008D496E">
        <w:rPr>
          <w:rFonts w:ascii="ITC Avant Garde" w:hAnsi="ITC Avant Garde"/>
          <w:lang w:val="es-ES_tradnl"/>
        </w:rPr>
        <w:t xml:space="preserve">. </w:t>
      </w:r>
    </w:p>
    <w:p w14:paraId="50E11C9A" w14:textId="77777777" w:rsidR="00F06ED5" w:rsidRDefault="00F06ED5" w:rsidP="00F06ED5">
      <w:pPr>
        <w:rPr>
          <w:rFonts w:ascii="ITC Avant Garde" w:hAnsi="ITC Avant Garde"/>
          <w:lang w:val="es-ES_tradnl"/>
        </w:rPr>
      </w:pPr>
      <w:r>
        <w:rPr>
          <w:rFonts w:ascii="ITC Avant Garde" w:hAnsi="ITC Avant Garde"/>
          <w:lang w:val="es-ES_tradnl"/>
        </w:rPr>
        <w:t xml:space="preserve">Asimismo, es de señalarse que </w:t>
      </w:r>
      <w:r w:rsidRPr="00B67870">
        <w:rPr>
          <w:rFonts w:ascii="ITC Avant Garde" w:hAnsi="ITC Avant Garde"/>
          <w:lang w:val="es-ES_tradnl"/>
        </w:rPr>
        <w:t>la “</w:t>
      </w:r>
      <w:r w:rsidRPr="00B67870">
        <w:rPr>
          <w:rFonts w:ascii="ITC Avant Garde" w:hAnsi="ITC Avant Garde"/>
          <w:i/>
          <w:lang w:val="es-ES_tradnl"/>
        </w:rPr>
        <w:t xml:space="preserve">CLÁUSULA </w:t>
      </w:r>
      <w:r>
        <w:rPr>
          <w:rFonts w:ascii="ITC Avant Garde" w:hAnsi="ITC Avant Garde"/>
          <w:i/>
          <w:lang w:val="es-ES_tradnl"/>
        </w:rPr>
        <w:t>DÉCIMA QUINTA</w:t>
      </w:r>
      <w:r w:rsidRPr="00B67870">
        <w:rPr>
          <w:rFonts w:ascii="ITC Avant Garde" w:hAnsi="ITC Avant Garde"/>
          <w:i/>
          <w:lang w:val="es-ES_tradnl"/>
        </w:rPr>
        <w:t xml:space="preserve">. </w:t>
      </w:r>
      <w:r>
        <w:rPr>
          <w:rFonts w:ascii="ITC Avant Garde" w:hAnsi="ITC Avant Garde"/>
          <w:i/>
          <w:lang w:val="es-ES_tradnl"/>
        </w:rPr>
        <w:t>CAUSAS DE TERMINACIÓN ANTICIPADA</w:t>
      </w:r>
      <w:r w:rsidRPr="00B67870">
        <w:rPr>
          <w:rFonts w:ascii="ITC Avant Garde" w:hAnsi="ITC Avant Garde"/>
          <w:i/>
          <w:lang w:val="es-ES_tradnl"/>
        </w:rPr>
        <w:t xml:space="preserve">” </w:t>
      </w:r>
      <w:r w:rsidRPr="00B67870">
        <w:rPr>
          <w:rFonts w:ascii="ITC Avant Garde" w:hAnsi="ITC Avant Garde"/>
          <w:lang w:val="es-ES_tradnl"/>
        </w:rPr>
        <w:t xml:space="preserve">del convenio marco de la </w:t>
      </w:r>
      <w:r w:rsidRPr="00B67870">
        <w:rPr>
          <w:rFonts w:ascii="ITC Avant Garde" w:eastAsia="Calibri" w:hAnsi="ITC Avant Garde" w:cs="Times New Roman"/>
          <w:lang w:val="es-ES"/>
        </w:rPr>
        <w:t>Propuesta de Oferta de Referencia</w:t>
      </w:r>
      <w:r>
        <w:rPr>
          <w:rFonts w:ascii="ITC Avant Garde" w:eastAsia="Calibri" w:hAnsi="ITC Avant Garde" w:cs="Times New Roman"/>
          <w:lang w:val="es-ES"/>
        </w:rPr>
        <w:t xml:space="preserve"> establece que en caso de que la </w:t>
      </w:r>
      <w:r w:rsidRPr="00521203">
        <w:rPr>
          <w:rFonts w:ascii="ITC Avant Garde" w:hAnsi="ITC Avant Garde"/>
          <w:lang w:val="es-ES_tradnl"/>
        </w:rPr>
        <w:t>Resolución de Preponderancia y/o las Medidas</w:t>
      </w:r>
      <w:r>
        <w:rPr>
          <w:rFonts w:ascii="ITC Avant Garde" w:hAnsi="ITC Avant Garde"/>
          <w:lang w:val="es-ES_tradnl"/>
        </w:rPr>
        <w:t xml:space="preserve"> </w:t>
      </w:r>
      <w:r w:rsidRPr="00521203">
        <w:rPr>
          <w:rFonts w:ascii="ITC Avant Garde" w:hAnsi="ITC Avant Garde"/>
          <w:lang w:val="es-ES_tradnl"/>
        </w:rPr>
        <w:t>queden insubsistentes parcialmente o sean revocadas o modificadas por cuanto a la materia de los Servicios de</w:t>
      </w:r>
      <w:r>
        <w:rPr>
          <w:rFonts w:ascii="ITC Avant Garde" w:hAnsi="ITC Avant Garde"/>
          <w:lang w:val="es-ES_tradnl"/>
        </w:rPr>
        <w:t>l</w:t>
      </w:r>
      <w:r w:rsidRPr="00521203">
        <w:rPr>
          <w:rFonts w:ascii="ITC Avant Garde" w:hAnsi="ITC Avant Garde"/>
          <w:lang w:val="es-ES_tradnl"/>
        </w:rPr>
        <w:t xml:space="preserve"> Convenio, como consecuencia de resolución administrativa o judicial</w:t>
      </w:r>
      <w:r>
        <w:rPr>
          <w:rFonts w:ascii="ITC Avant Garde" w:hAnsi="ITC Avant Garde"/>
          <w:lang w:val="es-ES_tradnl"/>
        </w:rPr>
        <w:t>, las p</w:t>
      </w:r>
      <w:r w:rsidRPr="00521203">
        <w:rPr>
          <w:rFonts w:ascii="ITC Avant Garde" w:hAnsi="ITC Avant Garde"/>
          <w:lang w:val="es-ES_tradnl"/>
        </w:rPr>
        <w:t>ar</w:t>
      </w:r>
      <w:r>
        <w:rPr>
          <w:rFonts w:ascii="ITC Avant Garde" w:hAnsi="ITC Avant Garde"/>
          <w:lang w:val="es-ES_tradnl"/>
        </w:rPr>
        <w:t>tes de buena fe negociarán en el</w:t>
      </w:r>
      <w:r w:rsidRPr="00521203">
        <w:rPr>
          <w:rFonts w:ascii="ITC Avant Garde" w:hAnsi="ITC Avant Garde"/>
          <w:lang w:val="es-ES_tradnl"/>
        </w:rPr>
        <w:t xml:space="preserve"> periodo de 120 días naturales siguientes, los términos y condiciones bajo los cuales se celebrará un convenio comercial para la prestación de los servicios iguales o similares descritos en la Oferta de Referencia. </w:t>
      </w:r>
    </w:p>
    <w:p w14:paraId="3C28ECDF" w14:textId="58EA8E02" w:rsidR="00584946" w:rsidRPr="00BF7935" w:rsidRDefault="005F0E87" w:rsidP="00584946">
      <w:pPr>
        <w:spacing w:after="120"/>
        <w:rPr>
          <w:rFonts w:ascii="ITC Avant Garde" w:hAnsi="ITC Avant Garde"/>
          <w:b/>
          <w:lang w:val="es-ES_tradnl"/>
        </w:rPr>
      </w:pPr>
      <w:r w:rsidRPr="00BF7935">
        <w:rPr>
          <w:rFonts w:ascii="ITC Avant Garde" w:hAnsi="ITC Avant Garde"/>
          <w:b/>
          <w:lang w:val="es-ES_tradnl"/>
        </w:rPr>
        <w:t>Desacuerdo de carácter técnico</w:t>
      </w:r>
    </w:p>
    <w:p w14:paraId="0913F0F8" w14:textId="2F6AE12B" w:rsidR="005F0E87" w:rsidRPr="00B67870" w:rsidRDefault="005F0E87" w:rsidP="005F0E87">
      <w:pPr>
        <w:spacing w:after="120"/>
        <w:rPr>
          <w:rFonts w:ascii="ITC Avant Garde" w:hAnsi="ITC Avant Garde"/>
          <w:lang w:val="es-ES_tradnl"/>
        </w:rPr>
      </w:pPr>
      <w:r w:rsidRPr="00B67870">
        <w:rPr>
          <w:rFonts w:ascii="ITC Avant Garde" w:hAnsi="ITC Avant Garde"/>
          <w:lang w:val="es-ES_tradnl"/>
        </w:rPr>
        <w:t>Señala</w:t>
      </w:r>
      <w:r w:rsidR="00523476" w:rsidRPr="00B67870">
        <w:rPr>
          <w:rFonts w:ascii="ITC Avant Garde" w:hAnsi="ITC Avant Garde"/>
          <w:lang w:val="es-ES_tradnl"/>
        </w:rPr>
        <w:t xml:space="preserve"> Televisa </w:t>
      </w:r>
      <w:r w:rsidRPr="00B67870">
        <w:rPr>
          <w:rFonts w:ascii="ITC Avant Garde" w:hAnsi="ITC Avant Garde"/>
          <w:lang w:val="es-ES_tradnl"/>
        </w:rPr>
        <w:t xml:space="preserve">que tener peritos expertos para arbitrar en temas técnicos </w:t>
      </w:r>
      <w:r w:rsidR="00DC6AE7" w:rsidRPr="00B67870">
        <w:rPr>
          <w:rFonts w:ascii="ITC Avant Garde" w:hAnsi="ITC Avant Garde"/>
          <w:lang w:val="es-ES_tradnl"/>
        </w:rPr>
        <w:t>como lo indica la “</w:t>
      </w:r>
      <w:r w:rsidR="00DC6AE7" w:rsidRPr="00B67870">
        <w:rPr>
          <w:rFonts w:ascii="ITC Avant Garde" w:hAnsi="ITC Avant Garde"/>
          <w:i/>
          <w:lang w:val="es-ES_tradnl"/>
        </w:rPr>
        <w:t xml:space="preserve">CLÁUSULA VIGÉSIMA SEGUNDA. DESACUERDO DE CARÁCTER TECNICO” </w:t>
      </w:r>
      <w:r w:rsidR="00DC6AE7" w:rsidRPr="00B67870">
        <w:rPr>
          <w:rFonts w:ascii="ITC Avant Garde" w:hAnsi="ITC Avant Garde"/>
          <w:lang w:val="es-ES_tradnl"/>
        </w:rPr>
        <w:t xml:space="preserve">del convenio marco de la </w:t>
      </w:r>
      <w:r w:rsidR="00DC6AE7" w:rsidRPr="00B67870">
        <w:rPr>
          <w:rFonts w:ascii="ITC Avant Garde" w:eastAsia="Calibri" w:hAnsi="ITC Avant Garde" w:cs="Times New Roman"/>
          <w:lang w:val="es-ES"/>
        </w:rPr>
        <w:t>Propuesta de Oferta de Referencia</w:t>
      </w:r>
      <w:r w:rsidR="00DC6AE7" w:rsidRPr="00B67870">
        <w:rPr>
          <w:rFonts w:ascii="ITC Avant Garde" w:hAnsi="ITC Avant Garde"/>
          <w:lang w:val="es-ES_tradnl"/>
        </w:rPr>
        <w:t xml:space="preserve"> </w:t>
      </w:r>
      <w:r w:rsidRPr="00B67870">
        <w:rPr>
          <w:rFonts w:ascii="ITC Avant Garde" w:hAnsi="ITC Avant Garde"/>
          <w:lang w:val="es-ES_tradnl"/>
        </w:rPr>
        <w:t xml:space="preserve">puede ser ineficiente y añade una contraparte a las tres ya involucradas en el proceso de resolución de discrepancias </w:t>
      </w:r>
      <w:r w:rsidR="00C72B26" w:rsidRPr="00B67870">
        <w:rPr>
          <w:rFonts w:ascii="ITC Avant Garde" w:hAnsi="ITC Avant Garde"/>
          <w:lang w:val="es-ES_tradnl"/>
        </w:rPr>
        <w:t>que son:</w:t>
      </w:r>
      <w:r w:rsidRPr="00B67870">
        <w:rPr>
          <w:rFonts w:ascii="ITC Avant Garde" w:hAnsi="ITC Avant Garde"/>
          <w:lang w:val="es-ES_tradnl"/>
        </w:rPr>
        <w:t xml:space="preserve"> el AEP, el I</w:t>
      </w:r>
      <w:r w:rsidR="00473CAC" w:rsidRPr="00B67870">
        <w:rPr>
          <w:rFonts w:ascii="ITC Avant Garde" w:hAnsi="ITC Avant Garde"/>
          <w:lang w:val="es-ES_tradnl"/>
        </w:rPr>
        <w:t>nstituto y el C</w:t>
      </w:r>
      <w:r w:rsidR="000056FC" w:rsidRPr="00B67870">
        <w:rPr>
          <w:rFonts w:ascii="ITC Avant Garde" w:hAnsi="ITC Avant Garde"/>
          <w:lang w:val="es-ES_tradnl"/>
        </w:rPr>
        <w:t xml:space="preserve">oncesionario </w:t>
      </w:r>
      <w:r w:rsidR="00473CAC" w:rsidRPr="00B67870">
        <w:rPr>
          <w:rFonts w:ascii="ITC Avant Garde" w:hAnsi="ITC Avant Garde"/>
          <w:lang w:val="es-ES_tradnl"/>
        </w:rPr>
        <w:t>S</w:t>
      </w:r>
      <w:r w:rsidR="000056FC" w:rsidRPr="00B67870">
        <w:rPr>
          <w:rFonts w:ascii="ITC Avant Garde" w:hAnsi="ITC Avant Garde"/>
          <w:lang w:val="es-ES_tradnl"/>
        </w:rPr>
        <w:t>olicitante (</w:t>
      </w:r>
      <w:r w:rsidR="00DB0127">
        <w:rPr>
          <w:rFonts w:ascii="ITC Avant Garde" w:hAnsi="ITC Avant Garde"/>
          <w:lang w:val="es-ES_tradnl"/>
        </w:rPr>
        <w:t>e</w:t>
      </w:r>
      <w:r w:rsidR="000056FC" w:rsidRPr="00B67870">
        <w:rPr>
          <w:rFonts w:ascii="ITC Avant Garde" w:hAnsi="ITC Avant Garde"/>
          <w:lang w:val="es-ES_tradnl"/>
        </w:rPr>
        <w:t>n lo sucesivo</w:t>
      </w:r>
      <w:r w:rsidR="00DB0127">
        <w:rPr>
          <w:rFonts w:ascii="ITC Avant Garde" w:hAnsi="ITC Avant Garde"/>
          <w:lang w:val="es-ES_tradnl"/>
        </w:rPr>
        <w:t>,</w:t>
      </w:r>
      <w:r w:rsidR="000056FC" w:rsidRPr="00B67870">
        <w:rPr>
          <w:rFonts w:ascii="ITC Avant Garde" w:hAnsi="ITC Avant Garde"/>
          <w:lang w:val="es-ES_tradnl"/>
        </w:rPr>
        <w:t xml:space="preserve"> “CS”)</w:t>
      </w:r>
      <w:r w:rsidR="00C72B26" w:rsidRPr="00B67870">
        <w:rPr>
          <w:rFonts w:ascii="ITC Avant Garde" w:hAnsi="ITC Avant Garde"/>
          <w:lang w:val="es-ES_tradnl"/>
        </w:rPr>
        <w:t>, además de mencionar que</w:t>
      </w:r>
      <w:r w:rsidR="00473CAC" w:rsidRPr="00B67870">
        <w:rPr>
          <w:rFonts w:ascii="ITC Avant Garde" w:hAnsi="ITC Avant Garde"/>
          <w:lang w:val="es-ES_tradnl"/>
        </w:rPr>
        <w:t xml:space="preserve"> el Instituto</w:t>
      </w:r>
      <w:r w:rsidR="00C72B26" w:rsidRPr="00B67870">
        <w:rPr>
          <w:rFonts w:ascii="ITC Avant Garde" w:hAnsi="ITC Avant Garde"/>
          <w:lang w:val="es-ES_tradnl"/>
        </w:rPr>
        <w:t xml:space="preserve"> es</w:t>
      </w:r>
      <w:r w:rsidR="00473CAC" w:rsidRPr="00B67870">
        <w:rPr>
          <w:rFonts w:ascii="ITC Avant Garde" w:hAnsi="ITC Avant Garde"/>
          <w:lang w:val="es-ES_tradnl"/>
        </w:rPr>
        <w:t xml:space="preserve"> quien debería resolver las disputas técnicas que se susciten entre el AEP y el CS.</w:t>
      </w:r>
    </w:p>
    <w:p w14:paraId="5D101848" w14:textId="77777777" w:rsidR="00544386" w:rsidRPr="00BF7935" w:rsidRDefault="00473CAC" w:rsidP="00544386">
      <w:pPr>
        <w:spacing w:after="120"/>
        <w:rPr>
          <w:rFonts w:ascii="ITC Avant Garde" w:hAnsi="ITC Avant Garde"/>
          <w:lang w:val="es-ES_tradnl"/>
        </w:rPr>
      </w:pPr>
      <w:r w:rsidRPr="00B67870">
        <w:rPr>
          <w:rFonts w:ascii="ITC Avant Garde" w:hAnsi="ITC Avant Garde"/>
          <w:lang w:val="es-ES_tradnl"/>
        </w:rPr>
        <w:t>En ese sentido, sugiere</w:t>
      </w:r>
      <w:r w:rsidR="00544386" w:rsidRPr="00B67870">
        <w:rPr>
          <w:rFonts w:ascii="ITC Avant Garde" w:hAnsi="ITC Avant Garde"/>
          <w:lang w:val="es-ES_tradnl"/>
        </w:rPr>
        <w:t xml:space="preserve"> que se establezca un plazo concreto para dirimir las</w:t>
      </w:r>
      <w:r w:rsidR="00544386" w:rsidRPr="00BF7935">
        <w:rPr>
          <w:rFonts w:ascii="ITC Avant Garde" w:hAnsi="ITC Avant Garde"/>
          <w:lang w:val="es-ES_tradnl"/>
        </w:rPr>
        <w:t xml:space="preserve"> discrepancias técnicas entre </w:t>
      </w:r>
      <w:r w:rsidR="000056FC" w:rsidRPr="00BF7935">
        <w:rPr>
          <w:rFonts w:ascii="ITC Avant Garde" w:hAnsi="ITC Avant Garde"/>
          <w:lang w:val="es-ES_tradnl"/>
        </w:rPr>
        <w:t>las partes,</w:t>
      </w:r>
      <w:r w:rsidR="00544386" w:rsidRPr="00BF7935">
        <w:rPr>
          <w:rFonts w:ascii="ITC Avant Garde" w:hAnsi="ITC Avant Garde"/>
          <w:lang w:val="es-ES_tradnl"/>
        </w:rPr>
        <w:t xml:space="preserve"> y que se resuelvan los desacuerdos técnicos en caso de que no se alcan</w:t>
      </w:r>
      <w:r w:rsidR="000056FC" w:rsidRPr="00BF7935">
        <w:rPr>
          <w:rFonts w:ascii="ITC Avant Garde" w:hAnsi="ITC Avant Garde"/>
          <w:lang w:val="es-ES_tradnl"/>
        </w:rPr>
        <w:t>zara un acuerdo entre estas, de forma que</w:t>
      </w:r>
      <w:r w:rsidR="00544386" w:rsidRPr="00BF7935">
        <w:rPr>
          <w:rFonts w:ascii="ITC Avant Garde" w:hAnsi="ITC Avant Garde"/>
          <w:lang w:val="es-ES_tradnl"/>
        </w:rPr>
        <w:t xml:space="preserve"> no se retrase el acceso a la infraestr</w:t>
      </w:r>
      <w:r w:rsidRPr="00BF7935">
        <w:rPr>
          <w:rFonts w:ascii="ITC Avant Garde" w:hAnsi="ITC Avant Garde"/>
          <w:lang w:val="es-ES_tradnl"/>
        </w:rPr>
        <w:t>uctura pasiva del AEP. Estima</w:t>
      </w:r>
      <w:r w:rsidR="00544386" w:rsidRPr="00BF7935">
        <w:rPr>
          <w:rFonts w:ascii="ITC Avant Garde" w:hAnsi="ITC Avant Garde"/>
          <w:lang w:val="es-ES_tradnl"/>
        </w:rPr>
        <w:t xml:space="preserve"> que un plazo razonable podría ser 30 días naturales.</w:t>
      </w:r>
    </w:p>
    <w:p w14:paraId="4D807938" w14:textId="77777777" w:rsidR="00E048BC" w:rsidRPr="00BF7935" w:rsidRDefault="00E048BC" w:rsidP="00E048BC">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54B724DF" w14:textId="4A8F8C79" w:rsidR="00976EA6" w:rsidRDefault="0003128C" w:rsidP="0083441B">
      <w:pPr>
        <w:rPr>
          <w:rFonts w:ascii="ITC Avant Garde" w:hAnsi="ITC Avant Garde"/>
        </w:rPr>
      </w:pPr>
      <w:r w:rsidRPr="00BF7935">
        <w:rPr>
          <w:rFonts w:ascii="ITC Avant Garde" w:hAnsi="ITC Avant Garde"/>
          <w:lang w:val="es-ES_tradnl"/>
        </w:rPr>
        <w:t xml:space="preserve">Respecto a las observaciones realizadas por </w:t>
      </w:r>
      <w:r w:rsidR="00473CAC" w:rsidRPr="00BF7935">
        <w:rPr>
          <w:rFonts w:ascii="ITC Avant Garde" w:hAnsi="ITC Avant Garde"/>
          <w:lang w:val="es-ES_tradnl"/>
        </w:rPr>
        <w:t>Televisa</w:t>
      </w:r>
      <w:r w:rsidRPr="00BF7935">
        <w:rPr>
          <w:rFonts w:ascii="ITC Avant Garde" w:hAnsi="ITC Avant Garde"/>
          <w:lang w:val="es-ES_tradnl"/>
        </w:rPr>
        <w:t xml:space="preserve">, </w:t>
      </w:r>
      <w:r w:rsidR="006F358C" w:rsidRPr="00BF7935">
        <w:rPr>
          <w:rFonts w:ascii="ITC Avant Garde" w:hAnsi="ITC Avant Garde"/>
          <w:lang w:val="es-ES_tradnl"/>
        </w:rPr>
        <w:t xml:space="preserve">es de destacarse que </w:t>
      </w:r>
      <w:r w:rsidR="000056FC" w:rsidRPr="00BF7935">
        <w:rPr>
          <w:rFonts w:ascii="ITC Avant Garde" w:hAnsi="ITC Avant Garde"/>
          <w:lang w:val="es-ES_tradnl"/>
        </w:rPr>
        <w:t xml:space="preserve">la </w:t>
      </w:r>
      <w:r w:rsidR="00976EA6">
        <w:rPr>
          <w:rFonts w:ascii="ITC Avant Garde" w:hAnsi="ITC Avant Garde"/>
          <w:lang w:val="es-ES_tradnl"/>
        </w:rPr>
        <w:t>intervención de peritos en un desacuerdo técnico</w:t>
      </w:r>
      <w:r w:rsidR="006F358C" w:rsidRPr="00BF7935">
        <w:rPr>
          <w:rFonts w:ascii="ITC Avant Garde" w:hAnsi="ITC Avant Garde"/>
          <w:lang w:val="es-ES_tradnl"/>
        </w:rPr>
        <w:t xml:space="preserve"> deviene d</w:t>
      </w:r>
      <w:r w:rsidR="00F67700" w:rsidRPr="00BF7935">
        <w:rPr>
          <w:rFonts w:ascii="ITC Avant Garde" w:hAnsi="ITC Avant Garde"/>
          <w:lang w:val="es-ES_tradnl"/>
        </w:rPr>
        <w:t>e lo establecido dentro de la</w:t>
      </w:r>
      <w:r w:rsidR="00976EA6">
        <w:rPr>
          <w:rFonts w:ascii="ITC Avant Garde" w:hAnsi="ITC Avant Garde"/>
          <w:lang w:val="es-ES_tradnl"/>
        </w:rPr>
        <w:t xml:space="preserve"> Medida SEPTUAGÉSIMA CUARTA de</w:t>
      </w:r>
      <w:r w:rsidR="00225C3B">
        <w:rPr>
          <w:rFonts w:ascii="ITC Avant Garde" w:hAnsi="ITC Avant Garde"/>
          <w:lang w:val="es-ES_tradnl"/>
        </w:rPr>
        <w:t xml:space="preserve"> las</w:t>
      </w:r>
      <w:r w:rsidR="00F67700" w:rsidRPr="00BF7935">
        <w:rPr>
          <w:rFonts w:ascii="ITC Avant Garde" w:hAnsi="ITC Avant Garde"/>
          <w:lang w:val="es-ES_tradnl"/>
        </w:rPr>
        <w:t xml:space="preserve"> M</w:t>
      </w:r>
      <w:r w:rsidR="00D163B7" w:rsidRPr="00BF7935">
        <w:rPr>
          <w:rFonts w:ascii="ITC Avant Garde" w:hAnsi="ITC Avant Garde"/>
          <w:lang w:val="es-ES_tradnl"/>
        </w:rPr>
        <w:t xml:space="preserve">edidas </w:t>
      </w:r>
      <w:r w:rsidR="00C72B26" w:rsidRPr="00BF7935">
        <w:rPr>
          <w:rFonts w:ascii="ITC Avant Garde" w:hAnsi="ITC Avant Garde"/>
          <w:lang w:val="es-ES_tradnl"/>
        </w:rPr>
        <w:t>M</w:t>
      </w:r>
      <w:r w:rsidR="00D163B7" w:rsidRPr="00BF7935">
        <w:rPr>
          <w:rFonts w:ascii="ITC Avant Garde" w:hAnsi="ITC Avant Garde"/>
          <w:lang w:val="es-ES_tradnl"/>
        </w:rPr>
        <w:t xml:space="preserve">óviles contenidas dentro de la Resolución </w:t>
      </w:r>
      <w:r w:rsidR="00ED01FC">
        <w:rPr>
          <w:rFonts w:ascii="ITC Avant Garde" w:hAnsi="ITC Avant Garde"/>
          <w:lang w:val="es-ES_tradnl"/>
        </w:rPr>
        <w:t>de Preponderancia</w:t>
      </w:r>
      <w:r w:rsidR="0030615E">
        <w:rPr>
          <w:rFonts w:ascii="ITC Avant Garde" w:hAnsi="ITC Avant Garde"/>
          <w:lang w:val="es-ES_tradnl"/>
        </w:rPr>
        <w:t xml:space="preserve">, con independencia </w:t>
      </w:r>
      <w:r w:rsidR="00976EA6">
        <w:rPr>
          <w:rFonts w:ascii="ITC Avant Garde" w:hAnsi="ITC Avant Garde"/>
        </w:rPr>
        <w:t>de</w:t>
      </w:r>
      <w:r w:rsidR="002C7B2A" w:rsidRPr="00BF7935">
        <w:rPr>
          <w:rFonts w:ascii="ITC Avant Garde" w:hAnsi="ITC Avant Garde"/>
        </w:rPr>
        <w:t xml:space="preserve"> que</w:t>
      </w:r>
      <w:r w:rsidR="008C4621" w:rsidRPr="00BF7935">
        <w:rPr>
          <w:rFonts w:ascii="ITC Avant Garde" w:hAnsi="ITC Avant Garde"/>
        </w:rPr>
        <w:t xml:space="preserve"> </w:t>
      </w:r>
      <w:r w:rsidR="002C7B2A" w:rsidRPr="00BF7935">
        <w:rPr>
          <w:rFonts w:ascii="ITC Avant Garde" w:hAnsi="ITC Avant Garde"/>
        </w:rPr>
        <w:t xml:space="preserve">el </w:t>
      </w:r>
      <w:r w:rsidR="002C7B2A" w:rsidRPr="00BF7935">
        <w:rPr>
          <w:rFonts w:ascii="ITC Avant Garde" w:hAnsi="ITC Avant Garde"/>
        </w:rPr>
        <w:lastRenderedPageBreak/>
        <w:t>Instituto</w:t>
      </w:r>
      <w:r w:rsidR="00B67870">
        <w:rPr>
          <w:rFonts w:ascii="ITC Avant Garde" w:hAnsi="ITC Avant Garde"/>
        </w:rPr>
        <w:t xml:space="preserve"> </w:t>
      </w:r>
      <w:r w:rsidR="002C7B2A" w:rsidRPr="00BF7935">
        <w:rPr>
          <w:rFonts w:ascii="ITC Avant Garde" w:hAnsi="ITC Avant Garde"/>
        </w:rPr>
        <w:t xml:space="preserve">tiene la facultad </w:t>
      </w:r>
      <w:r w:rsidR="00976EA6">
        <w:rPr>
          <w:rFonts w:ascii="ITC Avant Garde" w:hAnsi="ITC Avant Garde"/>
        </w:rPr>
        <w:t xml:space="preserve">según la misma medida </w:t>
      </w:r>
      <w:r w:rsidR="002C7B2A" w:rsidRPr="00BF7935">
        <w:rPr>
          <w:rFonts w:ascii="ITC Avant Garde" w:hAnsi="ITC Avant Garde"/>
        </w:rPr>
        <w:t xml:space="preserve">de resolver sobre </w:t>
      </w:r>
      <w:r w:rsidR="00D163B7" w:rsidRPr="00BF7935">
        <w:rPr>
          <w:rFonts w:ascii="ITC Avant Garde" w:hAnsi="ITC Avant Garde"/>
        </w:rPr>
        <w:t>cualquier dispu</w:t>
      </w:r>
      <w:r w:rsidR="002C7B2A" w:rsidRPr="00BF7935">
        <w:rPr>
          <w:rFonts w:ascii="ITC Avant Garde" w:hAnsi="ITC Avant Garde"/>
        </w:rPr>
        <w:t>ta técnica que se suscite entre el AEP y el CS referente al acceso y uso compartido de infraestructura pasiva</w:t>
      </w:r>
      <w:r w:rsidR="009D6EB2">
        <w:rPr>
          <w:rFonts w:ascii="ITC Avant Garde" w:hAnsi="ITC Avant Garde"/>
        </w:rPr>
        <w:t xml:space="preserve">. </w:t>
      </w:r>
    </w:p>
    <w:p w14:paraId="110E5C73" w14:textId="2F3B33B6" w:rsidR="00976EA6" w:rsidRDefault="00976EA6" w:rsidP="0083441B">
      <w:pPr>
        <w:rPr>
          <w:rFonts w:ascii="ITC Avant Garde" w:hAnsi="ITC Avant Garde"/>
          <w:lang w:val="es-ES_tradnl"/>
        </w:rPr>
      </w:pPr>
      <w:r>
        <w:rPr>
          <w:rFonts w:ascii="ITC Avant Garde" w:hAnsi="ITC Avant Garde"/>
        </w:rPr>
        <w:t>Es así</w:t>
      </w:r>
      <w:r w:rsidR="009D6EB2">
        <w:rPr>
          <w:rFonts w:ascii="ITC Avant Garde" w:hAnsi="ITC Avant Garde"/>
        </w:rPr>
        <w:t xml:space="preserve"> </w:t>
      </w:r>
      <w:r w:rsidR="009D6CD7" w:rsidRPr="00BF7935">
        <w:rPr>
          <w:rFonts w:ascii="ITC Avant Garde" w:hAnsi="ITC Avant Garde"/>
          <w:lang w:val="es-ES_tradnl"/>
        </w:rPr>
        <w:t xml:space="preserve">que la </w:t>
      </w:r>
      <w:r w:rsidR="00C72B26" w:rsidRPr="00BF7935">
        <w:rPr>
          <w:rFonts w:ascii="ITC Avant Garde" w:hAnsi="ITC Avant Garde"/>
          <w:lang w:val="es-ES_tradnl"/>
        </w:rPr>
        <w:t>“</w:t>
      </w:r>
      <w:r w:rsidR="00C72B26" w:rsidRPr="00BF7935">
        <w:rPr>
          <w:rFonts w:ascii="ITC Avant Garde" w:hAnsi="ITC Avant Garde"/>
          <w:i/>
          <w:lang w:val="es-ES_tradnl"/>
        </w:rPr>
        <w:t xml:space="preserve">CLÁUSULA VIGÉSIMA SEGUNDA. DESACUERDO DE CARÁCTER </w:t>
      </w:r>
      <w:r w:rsidR="00483983" w:rsidRPr="00BF7935">
        <w:rPr>
          <w:rFonts w:ascii="ITC Avant Garde" w:hAnsi="ITC Avant Garde"/>
          <w:i/>
          <w:lang w:val="es-ES_tradnl"/>
        </w:rPr>
        <w:t xml:space="preserve">TECNICO” </w:t>
      </w:r>
      <w:r w:rsidR="00483983" w:rsidRPr="00BF7935">
        <w:rPr>
          <w:rFonts w:ascii="ITC Avant Garde" w:hAnsi="ITC Avant Garde"/>
          <w:lang w:val="es-ES_tradnl"/>
        </w:rPr>
        <w:t>se</w:t>
      </w:r>
      <w:r w:rsidR="0030615E">
        <w:rPr>
          <w:rFonts w:ascii="ITC Avant Garde" w:hAnsi="ITC Avant Garde"/>
          <w:lang w:val="es-ES_tradnl"/>
        </w:rPr>
        <w:t xml:space="preserve"> determina </w:t>
      </w:r>
      <w:r>
        <w:rPr>
          <w:rFonts w:ascii="ITC Avant Garde" w:hAnsi="ITC Avant Garde"/>
          <w:lang w:val="es-ES_tradnl"/>
        </w:rPr>
        <w:t xml:space="preserve">en </w:t>
      </w:r>
      <w:r w:rsidR="009D6CD7" w:rsidRPr="00BF7935">
        <w:rPr>
          <w:rFonts w:ascii="ITC Avant Garde" w:hAnsi="ITC Avant Garde"/>
          <w:lang w:val="es-ES_tradnl"/>
        </w:rPr>
        <w:t>seguim</w:t>
      </w:r>
      <w:r w:rsidR="00166905" w:rsidRPr="00BF7935">
        <w:rPr>
          <w:rFonts w:ascii="ITC Avant Garde" w:hAnsi="ITC Avant Garde"/>
          <w:lang w:val="es-ES_tradnl"/>
        </w:rPr>
        <w:t>iento a lo establecido por las M</w:t>
      </w:r>
      <w:r w:rsidR="009D6CD7" w:rsidRPr="00BF7935">
        <w:rPr>
          <w:rFonts w:ascii="ITC Avant Garde" w:hAnsi="ITC Avant Garde"/>
          <w:lang w:val="es-ES_tradnl"/>
        </w:rPr>
        <w:t>edidas</w:t>
      </w:r>
      <w:r w:rsidR="00CB367F" w:rsidRPr="00BF7935">
        <w:rPr>
          <w:rFonts w:ascii="ITC Avant Garde" w:hAnsi="ITC Avant Garde"/>
          <w:lang w:val="es-ES_tradnl"/>
        </w:rPr>
        <w:t xml:space="preserve"> </w:t>
      </w:r>
      <w:r w:rsidR="00C72B26" w:rsidRPr="00BF7935">
        <w:rPr>
          <w:rFonts w:ascii="ITC Avant Garde" w:hAnsi="ITC Avant Garde"/>
          <w:lang w:val="es-ES_tradnl"/>
        </w:rPr>
        <w:t>Móviles</w:t>
      </w:r>
      <w:r w:rsidR="00225C3B" w:rsidRPr="00225C3B">
        <w:rPr>
          <w:rFonts w:ascii="ITC Avant Garde" w:hAnsi="ITC Avant Garde"/>
          <w:lang w:val="es-ES_tradnl"/>
        </w:rPr>
        <w:t xml:space="preserve"> </w:t>
      </w:r>
      <w:r w:rsidR="00225C3B" w:rsidRPr="00BF7935">
        <w:rPr>
          <w:rFonts w:ascii="ITC Avant Garde" w:hAnsi="ITC Avant Garde"/>
          <w:lang w:val="es-ES_tradnl"/>
        </w:rPr>
        <w:t>contenidas dentro de la Resolución Bienal</w:t>
      </w:r>
      <w:r w:rsidR="00225C3B">
        <w:rPr>
          <w:rFonts w:ascii="ITC Avant Garde" w:hAnsi="ITC Avant Garde"/>
          <w:lang w:val="es-ES_tradnl"/>
        </w:rPr>
        <w:t>, que señalan que en caso de que exista un desacuerdo relacionado a cualquier aspecto técnico referente al Acceso y Uso Compartido de Infraestructura Pasiva el AEP y el CS designarán a uno o más peritos para que rindan su dictamen.</w:t>
      </w:r>
      <w:r w:rsidR="00C72B26" w:rsidRPr="00BF7935">
        <w:rPr>
          <w:rFonts w:ascii="ITC Avant Garde" w:hAnsi="ITC Avant Garde"/>
          <w:lang w:val="es-ES_tradnl"/>
        </w:rPr>
        <w:t xml:space="preserve"> </w:t>
      </w:r>
      <w:r w:rsidR="00225C3B" w:rsidRPr="00BF7935" w:rsidDel="00225C3B">
        <w:rPr>
          <w:rFonts w:ascii="ITC Avant Garde" w:hAnsi="ITC Avant Garde"/>
          <w:lang w:val="es-ES_tradnl"/>
        </w:rPr>
        <w:t xml:space="preserve"> </w:t>
      </w:r>
    </w:p>
    <w:p w14:paraId="0B8B1CCB" w14:textId="1E0C29AA" w:rsidR="00936A7C" w:rsidRPr="00483983" w:rsidRDefault="00976EA6" w:rsidP="00483983">
      <w:pPr>
        <w:rPr>
          <w:rFonts w:ascii="ITC Avant Garde" w:hAnsi="ITC Avant Garde"/>
          <w:b/>
          <w:lang w:val="es-ES_tradnl"/>
        </w:rPr>
      </w:pPr>
      <w:r>
        <w:rPr>
          <w:rFonts w:ascii="ITC Avant Garde" w:hAnsi="ITC Avant Garde"/>
          <w:lang w:val="es-ES_tradnl"/>
        </w:rPr>
        <w:t xml:space="preserve">Por otra parte, </w:t>
      </w:r>
      <w:r w:rsidR="00CD77F1">
        <w:rPr>
          <w:rFonts w:ascii="ITC Avant Garde" w:hAnsi="ITC Avant Garde"/>
          <w:lang w:val="es-ES_tradnl"/>
        </w:rPr>
        <w:t>u</w:t>
      </w:r>
      <w:r w:rsidR="00DB0127">
        <w:rPr>
          <w:rFonts w:ascii="ITC Avant Garde" w:hAnsi="ITC Avant Garde"/>
          <w:lang w:val="es-ES_tradnl"/>
        </w:rPr>
        <w:t xml:space="preserve">n periodo de 30 días naturales </w:t>
      </w:r>
      <w:r w:rsidR="001F32AA">
        <w:rPr>
          <w:rFonts w:ascii="ITC Avant Garde" w:hAnsi="ITC Avant Garde"/>
          <w:lang w:val="es-ES_tradnl"/>
        </w:rPr>
        <w:t xml:space="preserve">para el proceso de desacuerdo técnico </w:t>
      </w:r>
      <w:r w:rsidR="00DB0127">
        <w:rPr>
          <w:rFonts w:ascii="ITC Avant Garde" w:hAnsi="ITC Avant Garde"/>
          <w:lang w:val="es-ES_tradnl"/>
        </w:rPr>
        <w:t>como lo sugiere Televisa no resulta suficiente para recabar, analizar y sustanciar el procedimiento</w:t>
      </w:r>
      <w:r w:rsidR="00CD77F1">
        <w:rPr>
          <w:rFonts w:ascii="ITC Avant Garde" w:hAnsi="ITC Avant Garde"/>
          <w:lang w:val="es-ES_tradnl"/>
        </w:rPr>
        <w:t>, lo que pudiera derivar en que el Instituto resuelva de manera poco óptima</w:t>
      </w:r>
      <w:r w:rsidR="0030615E">
        <w:rPr>
          <w:rFonts w:ascii="ITC Avant Garde" w:hAnsi="ITC Avant Garde"/>
          <w:lang w:val="es-ES_tradnl"/>
        </w:rPr>
        <w:t>.</w:t>
      </w:r>
      <w:r w:rsidR="00386C98">
        <w:rPr>
          <w:rFonts w:ascii="ITC Avant Garde" w:hAnsi="ITC Avant Garde"/>
          <w:lang w:val="es-ES_tradnl"/>
        </w:rPr>
        <w:t xml:space="preserve"> </w:t>
      </w:r>
      <w:r w:rsidR="00CD77F1">
        <w:rPr>
          <w:rFonts w:ascii="ITC Avant Garde" w:hAnsi="ITC Avant Garde"/>
          <w:lang w:val="es-ES_tradnl"/>
        </w:rPr>
        <w:t>Inclusive</w:t>
      </w:r>
      <w:r w:rsidR="0030615E">
        <w:rPr>
          <w:rFonts w:ascii="ITC Avant Garde" w:hAnsi="ITC Avant Garde"/>
          <w:lang w:val="es-ES_tradnl"/>
        </w:rPr>
        <w:t xml:space="preserve">, </w:t>
      </w:r>
      <w:r w:rsidR="00386C98">
        <w:rPr>
          <w:rFonts w:ascii="ITC Avant Garde" w:hAnsi="ITC Avant Garde"/>
          <w:lang w:val="es-ES_tradnl"/>
        </w:rPr>
        <w:t>el artículo 129 de la Ley Federal de Telecomunicaciones y Radiodifusión establece al Instituto un plazo de 30 días hábiles para resolver desacuerdos de interconexión</w:t>
      </w:r>
      <w:r w:rsidR="00CD77F1">
        <w:rPr>
          <w:rFonts w:ascii="ITC Avant Garde" w:hAnsi="ITC Avant Garde"/>
          <w:lang w:val="es-ES_tradnl"/>
        </w:rPr>
        <w:t>, y en su caso de compartición de infraestructura de conformidad con lo que señala el artículo 139 de la ley,</w:t>
      </w:r>
      <w:r w:rsidR="00386C98">
        <w:rPr>
          <w:rFonts w:ascii="ITC Avant Garde" w:hAnsi="ITC Avant Garde"/>
          <w:lang w:val="es-ES_tradnl"/>
        </w:rPr>
        <w:t xml:space="preserve"> una vez que se agotó toda la etapa procesal de presentación y desahogo de pruebas</w:t>
      </w:r>
      <w:r w:rsidR="0030615E">
        <w:rPr>
          <w:rFonts w:ascii="ITC Avant Garde" w:hAnsi="ITC Avant Garde"/>
          <w:lang w:val="es-ES_tradnl"/>
        </w:rPr>
        <w:t>, la cual incluso prevé la posibilidad de presentar periciales por las partes, que contribuyen a que el Instituto cuente con información más precisa por parte de expertos en la materia</w:t>
      </w:r>
      <w:r w:rsidR="00DB0127">
        <w:rPr>
          <w:rFonts w:ascii="ITC Avant Garde" w:hAnsi="ITC Avant Garde"/>
          <w:lang w:val="es-ES_tradnl"/>
        </w:rPr>
        <w:t>.</w:t>
      </w:r>
    </w:p>
    <w:p w14:paraId="709E8ECC" w14:textId="78015F6E" w:rsidR="007B0EDF" w:rsidRDefault="00C41330" w:rsidP="00ED34F4">
      <w:pPr>
        <w:pStyle w:val="Textoindependiente"/>
        <w:rPr>
          <w:rFonts w:ascii="ITC Avant Garde" w:hAnsi="ITC Avant Garde"/>
          <w:b/>
          <w:lang w:val="es-ES_tradnl"/>
        </w:rPr>
      </w:pPr>
      <w:r>
        <w:rPr>
          <w:rFonts w:ascii="ITC Avant Garde" w:hAnsi="ITC Avant Garde"/>
          <w:b/>
          <w:lang w:val="es-ES_tradnl"/>
        </w:rPr>
        <w:t>Requerimientos para descuento de 25% sobre tarifas</w:t>
      </w:r>
    </w:p>
    <w:p w14:paraId="09501B28" w14:textId="5BD95D1E" w:rsidR="007B0EDF" w:rsidRDefault="00C41330" w:rsidP="00ED34F4">
      <w:pPr>
        <w:pStyle w:val="Textoindependiente"/>
        <w:rPr>
          <w:rFonts w:ascii="ITC Avant Garde" w:hAnsi="ITC Avant Garde"/>
          <w:lang w:val="es-ES_tradnl"/>
        </w:rPr>
      </w:pPr>
      <w:r>
        <w:rPr>
          <w:rFonts w:ascii="ITC Avant Garde" w:hAnsi="ITC Avant Garde"/>
          <w:lang w:val="es-ES_tradnl"/>
        </w:rPr>
        <w:t xml:space="preserve">Refiere Televisa que dentro de </w:t>
      </w:r>
      <w:r w:rsidR="00A12399" w:rsidRPr="00A12399">
        <w:rPr>
          <w:rFonts w:ascii="ITC Avant Garde" w:hAnsi="ITC Avant Garde"/>
          <w:lang w:val="es-419"/>
        </w:rPr>
        <w:t xml:space="preserve">la sección </w:t>
      </w:r>
      <w:r w:rsidR="00A12399" w:rsidRPr="00A12399">
        <w:rPr>
          <w:rFonts w:ascii="ITC Avant Garde" w:hAnsi="ITC Avant Garde"/>
          <w:i/>
        </w:rPr>
        <w:t>“1.2 Por el acceso y uso de Espacio Aprobado en Piso”</w:t>
      </w:r>
      <w:r w:rsidR="00A12399" w:rsidRPr="00A12399">
        <w:rPr>
          <w:rFonts w:ascii="ITC Avant Garde" w:hAnsi="ITC Avant Garde"/>
        </w:rPr>
        <w:t xml:space="preserve"> del “</w:t>
      </w:r>
      <w:r w:rsidR="00A12399" w:rsidRPr="00A12399">
        <w:rPr>
          <w:rFonts w:ascii="ITC Avant Garde" w:hAnsi="ITC Avant Garde"/>
          <w:i/>
        </w:rPr>
        <w:t>Anexo A</w:t>
      </w:r>
      <w:r w:rsidR="00A12399" w:rsidRPr="00A12399">
        <w:rPr>
          <w:rFonts w:ascii="ITC Avant Garde" w:hAnsi="ITC Avant Garde"/>
        </w:rPr>
        <w:t>”</w:t>
      </w:r>
      <w:r w:rsidR="00D87B15">
        <w:rPr>
          <w:rFonts w:ascii="ITC Avant Garde" w:eastAsia="Calibri" w:hAnsi="ITC Avant Garde" w:cs="Times New Roman"/>
          <w:lang w:val="es-ES"/>
        </w:rPr>
        <w:t xml:space="preserve">de la </w:t>
      </w:r>
      <w:r>
        <w:rPr>
          <w:rFonts w:ascii="ITC Avant Garde" w:eastAsia="Calibri" w:hAnsi="ITC Avant Garde" w:cs="Times New Roman"/>
          <w:lang w:val="es-ES"/>
        </w:rPr>
        <w:t>Propuesta de Oferta de Referencia se añadieron requerimientos adicionales en los literales (a) y (d)</w:t>
      </w:r>
      <w:r w:rsidR="00D87B15">
        <w:rPr>
          <w:rFonts w:ascii="ITC Avant Garde" w:eastAsia="Calibri" w:hAnsi="ITC Avant Garde" w:cs="Times New Roman"/>
          <w:lang w:val="es-ES"/>
        </w:rPr>
        <w:t xml:space="preserve"> a efect</w:t>
      </w:r>
      <w:r w:rsidR="00D87B15" w:rsidRPr="00A12399">
        <w:rPr>
          <w:rFonts w:ascii="ITC Avant Garde" w:eastAsia="Calibri" w:hAnsi="ITC Avant Garde" w:cs="Times New Roman"/>
          <w:lang w:val="es-ES"/>
        </w:rPr>
        <w:t>o</w:t>
      </w:r>
      <w:r w:rsidR="00A12399">
        <w:rPr>
          <w:rFonts w:ascii="ITC Avant Garde" w:hAnsi="ITC Avant Garde"/>
          <w:lang w:val="es-ES_tradnl"/>
        </w:rPr>
        <w:t xml:space="preserve"> de</w:t>
      </w:r>
      <w:r w:rsidR="00A12399" w:rsidRPr="00A12399">
        <w:rPr>
          <w:rFonts w:ascii="ITC Avant Garde" w:hAnsi="ITC Avant Garde"/>
          <w:lang w:val="es-ES_tradnl"/>
        </w:rPr>
        <w:t xml:space="preserve"> restringir y limitar</w:t>
      </w:r>
      <w:r w:rsidR="00A12399">
        <w:rPr>
          <w:rFonts w:ascii="ITC Avant Garde" w:hAnsi="ITC Avant Garde"/>
          <w:b/>
          <w:lang w:val="es-ES_tradnl"/>
        </w:rPr>
        <w:t xml:space="preserve"> </w:t>
      </w:r>
      <w:r w:rsidR="00A12399">
        <w:rPr>
          <w:rFonts w:ascii="ITC Avant Garde" w:hAnsi="ITC Avant Garde"/>
          <w:lang w:val="es-ES_tradnl"/>
        </w:rPr>
        <w:t xml:space="preserve">las posibilidades de los CS de obtener el descuento de 25% ofrecido por el AEP. En ese sentido, Televisa considera que dichos requerimientos adicionales no buscan adaptarse a las necesidades de los CS </w:t>
      </w:r>
      <w:proofErr w:type="gramStart"/>
      <w:r w:rsidR="00A12399">
        <w:rPr>
          <w:rFonts w:ascii="ITC Avant Garde" w:hAnsi="ITC Avant Garde"/>
          <w:lang w:val="es-ES_tradnl"/>
        </w:rPr>
        <w:t>y</w:t>
      </w:r>
      <w:proofErr w:type="gramEnd"/>
      <w:r w:rsidR="00A12399">
        <w:rPr>
          <w:rFonts w:ascii="ITC Avant Garde" w:hAnsi="ITC Avant Garde"/>
          <w:lang w:val="es-ES_tradnl"/>
        </w:rPr>
        <w:t xml:space="preserve"> por lo tanto, no prom</w:t>
      </w:r>
      <w:r w:rsidR="00685FD3">
        <w:rPr>
          <w:rFonts w:ascii="ITC Avant Garde" w:hAnsi="ITC Avant Garde"/>
          <w:lang w:val="es-ES_tradnl"/>
        </w:rPr>
        <w:t>ueven</w:t>
      </w:r>
      <w:r w:rsidR="00A12399">
        <w:rPr>
          <w:rFonts w:ascii="ITC Avant Garde" w:hAnsi="ITC Avant Garde"/>
          <w:lang w:val="es-ES_tradnl"/>
        </w:rPr>
        <w:t xml:space="preserve"> una mayor demanda de los servicios </w:t>
      </w:r>
      <w:r w:rsidR="00685FD3">
        <w:rPr>
          <w:rFonts w:ascii="ITC Avant Garde" w:hAnsi="ITC Avant Garde"/>
          <w:lang w:val="es-ES_tradnl"/>
        </w:rPr>
        <w:t>mayoristas materia de la oferta de referencia</w:t>
      </w:r>
      <w:r w:rsidR="00A12399">
        <w:rPr>
          <w:rFonts w:ascii="ITC Avant Garde" w:hAnsi="ITC Avant Garde"/>
          <w:lang w:val="es-ES_tradnl"/>
        </w:rPr>
        <w:t>.</w:t>
      </w:r>
    </w:p>
    <w:p w14:paraId="04083622" w14:textId="77777777" w:rsidR="00A12399" w:rsidRPr="00BF7935" w:rsidRDefault="00A12399" w:rsidP="00A12399">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21EE2043" w14:textId="3CD62C4E" w:rsidR="00A12399" w:rsidRDefault="00A12399" w:rsidP="00A12399">
      <w:pPr>
        <w:pStyle w:val="IFTnormal"/>
      </w:pPr>
      <w:r>
        <w:t>Al respecto, este Instituto refiere que t</w:t>
      </w:r>
      <w:r w:rsidR="008665A7">
        <w:t>al como ha sido mencionado por T</w:t>
      </w:r>
      <w:r>
        <w:t xml:space="preserve">elevisa, </w:t>
      </w:r>
      <w:r w:rsidRPr="00A12399">
        <w:t xml:space="preserve">el AEP incluye </w:t>
      </w:r>
      <w:r w:rsidR="00BD6CFF">
        <w:t xml:space="preserve">dentro de su propuesta </w:t>
      </w:r>
      <w:r w:rsidRPr="00A12399">
        <w:t xml:space="preserve">que los CS serán acreedores a un descuento bajo ciertas condiciones que </w:t>
      </w:r>
      <w:r>
        <w:t>no habían sido establecidas dentro de la Oferta de Referencia Vigente</w:t>
      </w:r>
      <w:r w:rsidRPr="00A12399">
        <w:t xml:space="preserve">. </w:t>
      </w:r>
    </w:p>
    <w:p w14:paraId="7A054BA3" w14:textId="7F6E6F18" w:rsidR="00A12399" w:rsidRPr="00A12399" w:rsidRDefault="00A12399" w:rsidP="00A12399">
      <w:pPr>
        <w:pStyle w:val="IFTnormal"/>
      </w:pPr>
      <w:r w:rsidRPr="00A12399">
        <w:t xml:space="preserve">Es así que el Instituto considera que la inclusión de dicho texto </w:t>
      </w:r>
      <w:r w:rsidR="004A30F8">
        <w:t xml:space="preserve">pudiera restringir </w:t>
      </w:r>
      <w:r w:rsidRPr="00A12399">
        <w:t xml:space="preserve">el descuento a torres de baja capacidad, en las que es poco probable la presencia de más de un operador y en consecuencia el acceso </w:t>
      </w:r>
      <w:r w:rsidR="006F5810">
        <w:t xml:space="preserve">y uso </w:t>
      </w:r>
      <w:r w:rsidRPr="00A12399">
        <w:t xml:space="preserve">compartido. </w:t>
      </w:r>
    </w:p>
    <w:p w14:paraId="263DE46A" w14:textId="4AA8E5DA" w:rsidR="00A12399" w:rsidRDefault="00A12399" w:rsidP="00ED34F4">
      <w:pPr>
        <w:pStyle w:val="Textoindependiente"/>
        <w:rPr>
          <w:rFonts w:ascii="ITC Avant Garde" w:hAnsi="ITC Avant Garde"/>
          <w:lang w:val="es-ES_tradnl"/>
        </w:rPr>
      </w:pPr>
      <w:r w:rsidRPr="00A12399">
        <w:rPr>
          <w:rFonts w:ascii="ITC Avant Garde" w:hAnsi="ITC Avant Garde"/>
          <w:lang w:val="es-ES_tradnl"/>
        </w:rPr>
        <w:t xml:space="preserve">En ese sentido, el Instituto considera que añadir requisitos </w:t>
      </w:r>
      <w:r w:rsidR="004A30F8">
        <w:rPr>
          <w:rFonts w:ascii="ITC Avant Garde" w:hAnsi="ITC Avant Garde"/>
          <w:lang w:val="es-ES_tradnl"/>
        </w:rPr>
        <w:t xml:space="preserve">específicos </w:t>
      </w:r>
      <w:r w:rsidRPr="00A12399">
        <w:rPr>
          <w:rFonts w:ascii="ITC Avant Garde" w:hAnsi="ITC Avant Garde"/>
          <w:lang w:val="es-ES_tradnl"/>
        </w:rPr>
        <w:t xml:space="preserve">a un descuento establecido en la Oferta de Referencia Vigente que reduzca el número </w:t>
      </w:r>
      <w:r w:rsidRPr="00A12399">
        <w:rPr>
          <w:rFonts w:ascii="ITC Avant Garde" w:hAnsi="ITC Avant Garde"/>
          <w:lang w:val="es-ES_tradnl"/>
        </w:rPr>
        <w:lastRenderedPageBreak/>
        <w:t xml:space="preserve">de CS beneficiarios </w:t>
      </w:r>
      <w:r w:rsidR="004A30F8">
        <w:rPr>
          <w:rFonts w:ascii="ITC Avant Garde" w:hAnsi="ITC Avant Garde"/>
          <w:lang w:val="es-ES_tradnl"/>
        </w:rPr>
        <w:t>no pudiera generar mejores condiciones para la competencia, por lo que en su caso su inclusión se evaluaría en este contexto</w:t>
      </w:r>
      <w:r w:rsidRPr="00A12399">
        <w:rPr>
          <w:rFonts w:ascii="ITC Avant Garde" w:hAnsi="ITC Avant Garde"/>
          <w:lang w:val="es-ES_tradnl"/>
        </w:rPr>
        <w:t>.</w:t>
      </w:r>
    </w:p>
    <w:p w14:paraId="2A25D296" w14:textId="0A65F3D3" w:rsidR="00ED3FDF" w:rsidRDefault="002B7B1F" w:rsidP="00ED34F4">
      <w:pPr>
        <w:pStyle w:val="Textoindependiente"/>
        <w:rPr>
          <w:rFonts w:ascii="ITC Avant Garde" w:hAnsi="ITC Avant Garde"/>
          <w:b/>
          <w:lang w:val="es-ES_tradnl"/>
        </w:rPr>
      </w:pPr>
      <w:r w:rsidRPr="002B7B1F">
        <w:rPr>
          <w:rFonts w:ascii="ITC Avant Garde" w:hAnsi="ITC Avant Garde"/>
          <w:b/>
          <w:lang w:val="es-ES_tradnl"/>
        </w:rPr>
        <w:t>Cobro por espacio aprobado en piso</w:t>
      </w:r>
    </w:p>
    <w:p w14:paraId="04478952" w14:textId="12CACD64" w:rsidR="002B7B1F" w:rsidRDefault="002B7B1F" w:rsidP="00ED34F4">
      <w:pPr>
        <w:pStyle w:val="Textoindependiente"/>
        <w:rPr>
          <w:rFonts w:ascii="ITC Avant Garde" w:eastAsia="Calibri" w:hAnsi="ITC Avant Garde" w:cs="Times New Roman"/>
          <w:lang w:val="es-ES"/>
        </w:rPr>
      </w:pPr>
      <w:r>
        <w:rPr>
          <w:rFonts w:ascii="ITC Avant Garde" w:hAnsi="ITC Avant Garde"/>
          <w:lang w:val="es-ES_tradnl"/>
        </w:rPr>
        <w:t xml:space="preserve">Señala Televisa que de </w:t>
      </w:r>
      <w:r w:rsidRPr="00A12399">
        <w:rPr>
          <w:rFonts w:ascii="ITC Avant Garde" w:hAnsi="ITC Avant Garde"/>
          <w:lang w:val="es-419"/>
        </w:rPr>
        <w:t xml:space="preserve">la sección </w:t>
      </w:r>
      <w:r w:rsidRPr="00A12399">
        <w:rPr>
          <w:rFonts w:ascii="ITC Avant Garde" w:hAnsi="ITC Avant Garde"/>
          <w:i/>
        </w:rPr>
        <w:t>“1.2 Por el acceso y uso de Espacio Aprobado en Piso”</w:t>
      </w:r>
      <w:r w:rsidRPr="00A12399">
        <w:rPr>
          <w:rFonts w:ascii="ITC Avant Garde" w:hAnsi="ITC Avant Garde"/>
        </w:rPr>
        <w:t xml:space="preserve"> del “</w:t>
      </w:r>
      <w:r w:rsidRPr="00A12399">
        <w:rPr>
          <w:rFonts w:ascii="ITC Avant Garde" w:hAnsi="ITC Avant Garde"/>
          <w:i/>
        </w:rPr>
        <w:t>Anexo A</w:t>
      </w:r>
      <w:r w:rsidRPr="00A12399">
        <w:rPr>
          <w:rFonts w:ascii="ITC Avant Garde" w:hAnsi="ITC Avant Garde"/>
        </w:rPr>
        <w:t>”</w:t>
      </w:r>
      <w:r>
        <w:rPr>
          <w:rFonts w:ascii="ITC Avant Garde" w:eastAsia="Calibri" w:hAnsi="ITC Avant Garde" w:cs="Times New Roman"/>
          <w:lang w:val="es-ES"/>
        </w:rPr>
        <w:t>de la Propuesta de Oferta de Referencia, se desprende que la unidad de cobro debe ser “MXN/hasta 5 m</w:t>
      </w:r>
      <w:r w:rsidRPr="002B7B1F">
        <w:rPr>
          <w:rFonts w:ascii="ITC Avant Garde" w:eastAsia="Calibri" w:hAnsi="ITC Avant Garde" w:cs="Times New Roman"/>
          <w:vertAlign w:val="superscript"/>
          <w:lang w:val="es-ES"/>
        </w:rPr>
        <w:t>2</w:t>
      </w:r>
      <w:r>
        <w:rPr>
          <w:rFonts w:ascii="ITC Avant Garde" w:eastAsia="Calibri" w:hAnsi="ITC Avant Garde" w:cs="Times New Roman"/>
          <w:lang w:val="es-ES"/>
        </w:rPr>
        <w:t xml:space="preserve">/Mes” (para piso), lo cual considera que no está ajustado a la demanda que puede tener un CS entrante, toda vez que éste podría demandar menos de los limites inferiores enunciados por el AEP. </w:t>
      </w:r>
    </w:p>
    <w:p w14:paraId="093633AA" w14:textId="4C86B908" w:rsidR="002B7B1F" w:rsidRDefault="002B7B1F" w:rsidP="00ED34F4">
      <w:pPr>
        <w:pStyle w:val="Textoindependiente"/>
        <w:rPr>
          <w:rFonts w:ascii="ITC Avant Garde" w:eastAsia="Calibri" w:hAnsi="ITC Avant Garde" w:cs="Times New Roman"/>
          <w:lang w:val="es-ES"/>
        </w:rPr>
      </w:pPr>
      <w:r>
        <w:rPr>
          <w:rFonts w:ascii="ITC Avant Garde" w:eastAsia="Calibri" w:hAnsi="ITC Avant Garde" w:cs="Times New Roman"/>
          <w:lang w:val="es-ES"/>
        </w:rPr>
        <w:t>En ese sentido, señala que el AEP no propone tarifas proporcionales con el espacio usado</w:t>
      </w:r>
      <w:r w:rsidR="00A41362">
        <w:rPr>
          <w:rFonts w:ascii="ITC Avant Garde" w:eastAsia="Calibri" w:hAnsi="ITC Avant Garde" w:cs="Times New Roman"/>
          <w:lang w:val="es-ES"/>
        </w:rPr>
        <w:t xml:space="preserve">, lo que </w:t>
      </w:r>
      <w:r>
        <w:rPr>
          <w:rFonts w:ascii="ITC Avant Garde" w:eastAsia="Calibri" w:hAnsi="ITC Avant Garde" w:cs="Times New Roman"/>
          <w:lang w:val="es-ES"/>
        </w:rPr>
        <w:t>se traduce como un costo impagable para un CS.</w:t>
      </w:r>
    </w:p>
    <w:p w14:paraId="67562E5E" w14:textId="77777777" w:rsidR="002B7B1F" w:rsidRPr="00BF7935" w:rsidRDefault="002B7B1F" w:rsidP="002B7B1F">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448104AF" w14:textId="677543C4" w:rsidR="001B1C3C" w:rsidRPr="001B1C3C" w:rsidRDefault="00723AA8" w:rsidP="001B1C3C">
      <w:pPr>
        <w:pStyle w:val="Textoindependiente"/>
        <w:rPr>
          <w:rFonts w:ascii="ITC Avant Garde" w:hAnsi="ITC Avant Garde"/>
          <w:lang w:val="es-ES_tradnl"/>
        </w:rPr>
      </w:pPr>
      <w:r>
        <w:rPr>
          <w:rFonts w:ascii="ITC Avant Garde" w:hAnsi="ITC Avant Garde"/>
          <w:lang w:val="es-ES_tradnl"/>
        </w:rPr>
        <w:t>E</w:t>
      </w:r>
      <w:r w:rsidR="001B1C3C" w:rsidRPr="001B1C3C">
        <w:rPr>
          <w:rFonts w:ascii="ITC Avant Garde" w:hAnsi="ITC Avant Garde"/>
          <w:lang w:val="es-ES_tradnl"/>
        </w:rPr>
        <w:t xml:space="preserve">ste Instituto ha identificado </w:t>
      </w:r>
      <w:r>
        <w:rPr>
          <w:rFonts w:ascii="ITC Avant Garde" w:hAnsi="ITC Avant Garde"/>
          <w:lang w:val="es-ES_tradnl"/>
        </w:rPr>
        <w:t xml:space="preserve">que tal como ha sido mencionado por Televisa, </w:t>
      </w:r>
      <w:r w:rsidR="001B1C3C" w:rsidRPr="001B1C3C">
        <w:rPr>
          <w:rFonts w:ascii="ITC Avant Garde" w:hAnsi="ITC Avant Garde"/>
          <w:lang w:val="es-ES_tradnl"/>
        </w:rPr>
        <w:t xml:space="preserve">el cobro por espacio en piso </w:t>
      </w:r>
      <w:r w:rsidR="00A41362">
        <w:rPr>
          <w:rFonts w:ascii="ITC Avant Garde" w:hAnsi="ITC Avant Garde"/>
          <w:lang w:val="es-ES_tradnl"/>
        </w:rPr>
        <w:t xml:space="preserve">efectivamente se aplica </w:t>
      </w:r>
      <w:r w:rsidR="001B1C3C" w:rsidRPr="001B1C3C">
        <w:rPr>
          <w:rFonts w:ascii="ITC Avant Garde" w:hAnsi="ITC Avant Garde"/>
          <w:lang w:val="es-ES_tradnl"/>
        </w:rPr>
        <w:t xml:space="preserve">por </w:t>
      </w:r>
      <w:r w:rsidR="00A41362">
        <w:rPr>
          <w:rFonts w:ascii="ITC Avant Garde" w:hAnsi="ITC Avant Garde"/>
          <w:lang w:val="es-ES_tradnl"/>
        </w:rPr>
        <w:t>cada</w:t>
      </w:r>
      <w:r w:rsidR="001B1C3C" w:rsidRPr="001B1C3C">
        <w:rPr>
          <w:rFonts w:ascii="ITC Avant Garde" w:hAnsi="ITC Avant Garde"/>
          <w:lang w:val="es-ES_tradnl"/>
        </w:rPr>
        <w:t xml:space="preserve"> 5 metros cuadrados, </w:t>
      </w:r>
      <w:r>
        <w:rPr>
          <w:rFonts w:ascii="ITC Avant Garde" w:hAnsi="ITC Avant Garde"/>
          <w:lang w:val="es-ES_tradnl"/>
        </w:rPr>
        <w:t>al</w:t>
      </w:r>
      <w:r w:rsidR="001B1C3C" w:rsidRPr="001B1C3C">
        <w:rPr>
          <w:rFonts w:ascii="ITC Avant Garde" w:hAnsi="ITC Avant Garde"/>
          <w:lang w:val="es-ES_tradnl"/>
        </w:rPr>
        <w:t xml:space="preserve"> considerarse la cantidad de espacio que de manera típica ha sido determinada como la necesaria para un CS interesado en contratar el acceso y uso compartido de la infraestructura de </w:t>
      </w:r>
      <w:proofErr w:type="spellStart"/>
      <w:r w:rsidR="001B1C3C" w:rsidRPr="001B1C3C">
        <w:rPr>
          <w:rFonts w:ascii="ITC Avant Garde" w:hAnsi="ITC Avant Garde"/>
          <w:lang w:val="es-ES_tradnl"/>
        </w:rPr>
        <w:t>Telesites</w:t>
      </w:r>
      <w:proofErr w:type="spellEnd"/>
      <w:r w:rsidR="001B1C3C" w:rsidRPr="001B1C3C">
        <w:rPr>
          <w:rFonts w:ascii="ITC Avant Garde" w:hAnsi="ITC Avant Garde"/>
          <w:lang w:val="es-ES_tradnl"/>
        </w:rPr>
        <w:t>. Sin embargo, bajo el entendido de que el sector</w:t>
      </w:r>
      <w:r>
        <w:rPr>
          <w:rFonts w:ascii="ITC Avant Garde" w:hAnsi="ITC Avant Garde"/>
          <w:lang w:val="es-ES_tradnl"/>
        </w:rPr>
        <w:t xml:space="preserve"> de</w:t>
      </w:r>
      <w:r w:rsidR="001B1C3C" w:rsidRPr="001B1C3C">
        <w:rPr>
          <w:rFonts w:ascii="ITC Avant Garde" w:hAnsi="ITC Avant Garde"/>
          <w:lang w:val="es-ES_tradnl"/>
        </w:rPr>
        <w:t xml:space="preserve"> telecomunicaciones está caracterizado por un constante avance tecnológico y que es posible que el espacio ocupado por la infraestructura sea cada vez menor, se considera que el cobro debe ser flexible para que así el CS pague únicamente por el espacio efectivamente utilizado</w:t>
      </w:r>
      <w:r w:rsidR="00A41362">
        <w:rPr>
          <w:rFonts w:ascii="ITC Avant Garde" w:hAnsi="ITC Avant Garde"/>
          <w:lang w:val="es-ES_tradnl"/>
        </w:rPr>
        <w:t xml:space="preserve"> y fomente el uso óptimo de los recursos disponibles</w:t>
      </w:r>
      <w:r w:rsidR="001B1C3C" w:rsidRPr="001B1C3C">
        <w:rPr>
          <w:rFonts w:ascii="ITC Avant Garde" w:hAnsi="ITC Avant Garde"/>
          <w:lang w:val="es-ES_tradnl"/>
        </w:rPr>
        <w:t xml:space="preserve">. </w:t>
      </w:r>
    </w:p>
    <w:p w14:paraId="06D5FED0" w14:textId="231E3F45" w:rsidR="002B7B1F" w:rsidRDefault="001B1C3C" w:rsidP="001B1C3C">
      <w:pPr>
        <w:pStyle w:val="Textoindependiente"/>
        <w:rPr>
          <w:rFonts w:ascii="ITC Avant Garde" w:hAnsi="ITC Avant Garde"/>
          <w:lang w:val="es-ES_tradnl"/>
        </w:rPr>
      </w:pPr>
      <w:r w:rsidRPr="001B1C3C">
        <w:rPr>
          <w:rFonts w:ascii="ITC Avant Garde" w:hAnsi="ITC Avant Garde"/>
          <w:lang w:val="es-ES_tradnl"/>
        </w:rPr>
        <w:t>Es así, que el Instituto considera que el cobro por espacio en piso puede ser efectuado por los metros cuadrados efectivamente ocupados, por lo que se considera que establecer que la unidad de medida sea una tarifa por metro cuadrado</w:t>
      </w:r>
      <w:r w:rsidR="00723AA8">
        <w:rPr>
          <w:rFonts w:ascii="ITC Avant Garde" w:hAnsi="ITC Avant Garde"/>
          <w:lang w:val="es-ES_tradnl"/>
        </w:rPr>
        <w:t xml:space="preserve"> efectivamente</w:t>
      </w:r>
      <w:r w:rsidRPr="001B1C3C">
        <w:rPr>
          <w:rFonts w:ascii="ITC Avant Garde" w:hAnsi="ITC Avant Garde"/>
          <w:lang w:val="es-ES_tradnl"/>
        </w:rPr>
        <w:t xml:space="preserve"> usado, genera </w:t>
      </w:r>
      <w:r w:rsidR="00723AA8">
        <w:rPr>
          <w:rFonts w:ascii="ITC Avant Garde" w:hAnsi="ITC Avant Garde"/>
          <w:lang w:val="es-ES_tradnl"/>
        </w:rPr>
        <w:t xml:space="preserve">mayor </w:t>
      </w:r>
      <w:r w:rsidRPr="001B1C3C">
        <w:rPr>
          <w:rFonts w:ascii="ITC Avant Garde" w:hAnsi="ITC Avant Garde"/>
          <w:lang w:val="es-ES_tradnl"/>
        </w:rPr>
        <w:t>certidumbre a los CS y garantiza que el pago dependerá exclusivamente del espacio que ocupe la infraestructura, con lo cual se generan mayores incentivos a la eficiencia</w:t>
      </w:r>
      <w:r w:rsidR="00A41362">
        <w:rPr>
          <w:rFonts w:ascii="ITC Avant Garde" w:hAnsi="ITC Avant Garde"/>
          <w:lang w:val="es-ES_tradnl"/>
        </w:rPr>
        <w:t>, sin que ello afecte negativamente los costos incurridos por el AEP</w:t>
      </w:r>
      <w:r w:rsidRPr="001B1C3C">
        <w:rPr>
          <w:rFonts w:ascii="ITC Avant Garde" w:hAnsi="ITC Avant Garde"/>
          <w:lang w:val="es-ES_tradnl"/>
        </w:rPr>
        <w:t>.</w:t>
      </w:r>
    </w:p>
    <w:p w14:paraId="5BF35224" w14:textId="77777777" w:rsidR="00A41362" w:rsidRDefault="00A41362" w:rsidP="00B47665">
      <w:pPr>
        <w:spacing w:after="120"/>
        <w:rPr>
          <w:rFonts w:ascii="ITC Avant Garde" w:hAnsi="ITC Avant Garde"/>
          <w:lang w:val="es-ES_tradnl"/>
        </w:rPr>
      </w:pPr>
    </w:p>
    <w:p w14:paraId="360E1239" w14:textId="0C5D59E4" w:rsidR="00B47665" w:rsidRDefault="00B47665" w:rsidP="00B47665">
      <w:pPr>
        <w:spacing w:after="120"/>
        <w:rPr>
          <w:rFonts w:ascii="ITC Avant Garde" w:hAnsi="ITC Avant Garde"/>
          <w:lang w:val="es-ES_tradnl"/>
        </w:rPr>
      </w:pPr>
      <w:r w:rsidRPr="00BF7935">
        <w:rPr>
          <w:rFonts w:ascii="ITC Avant Garde" w:hAnsi="ITC Avant Garde"/>
          <w:lang w:val="es-ES_tradnl"/>
        </w:rPr>
        <w:t xml:space="preserve">Por </w:t>
      </w:r>
      <w:r w:rsidR="00A41362">
        <w:rPr>
          <w:rFonts w:ascii="ITC Avant Garde" w:hAnsi="ITC Avant Garde"/>
          <w:lang w:val="es-ES_tradnl"/>
        </w:rPr>
        <w:t>lo que hace a</w:t>
      </w:r>
      <w:r w:rsidRPr="00BF7935">
        <w:rPr>
          <w:rFonts w:ascii="ITC Avant Garde" w:hAnsi="ITC Avant Garde"/>
          <w:lang w:val="es-ES_tradnl"/>
        </w:rPr>
        <w:t xml:space="preserve"> los comentarios y sugerencias realizados por </w:t>
      </w:r>
      <w:r>
        <w:rPr>
          <w:rFonts w:ascii="ITC Avant Garde" w:hAnsi="ITC Avant Garde"/>
          <w:lang w:val="es-ES_tradnl"/>
        </w:rPr>
        <w:t>Telefónica</w:t>
      </w:r>
      <w:r w:rsidRPr="00BF7935">
        <w:rPr>
          <w:rFonts w:ascii="ITC Avant Garde" w:hAnsi="ITC Avant Garde"/>
          <w:lang w:val="es-ES_tradnl"/>
        </w:rPr>
        <w:t>:</w:t>
      </w:r>
    </w:p>
    <w:p w14:paraId="3EC4BF8B" w14:textId="471E710F" w:rsidR="00B47665" w:rsidRPr="00D53D86" w:rsidRDefault="00D53D86" w:rsidP="00B47665">
      <w:pPr>
        <w:spacing w:after="120"/>
        <w:rPr>
          <w:rFonts w:ascii="ITC Avant Garde" w:hAnsi="ITC Avant Garde"/>
          <w:b/>
          <w:lang w:val="es-ES_tradnl"/>
        </w:rPr>
      </w:pPr>
      <w:r w:rsidRPr="00D53D86">
        <w:rPr>
          <w:rFonts w:ascii="ITC Avant Garde" w:hAnsi="ITC Avant Garde"/>
          <w:b/>
          <w:lang w:val="es-ES_tradnl"/>
        </w:rPr>
        <w:t>Costos de adecuación y/o recuperación de espacio</w:t>
      </w:r>
    </w:p>
    <w:p w14:paraId="68D5E490" w14:textId="306934F7" w:rsidR="00B47665" w:rsidRDefault="00D53D86" w:rsidP="001B1C3C">
      <w:pPr>
        <w:pStyle w:val="Textoindependiente"/>
        <w:rPr>
          <w:rFonts w:ascii="ITC Avant Garde" w:hAnsi="ITC Avant Garde"/>
          <w:lang w:val="es-ES_tradnl"/>
        </w:rPr>
      </w:pPr>
      <w:r>
        <w:rPr>
          <w:rFonts w:ascii="ITC Avant Garde" w:hAnsi="ITC Avant Garde"/>
          <w:lang w:val="es-ES_tradnl"/>
        </w:rPr>
        <w:t>Refiere Telefónica que los costos de adecuación de sitios deberían ser sufragados en su totalidad por el AEP, toda vez que actualmente los mismos están a cargo de los CS, siendo que la propiedad de éstos pasa a ser del AEP. Considera que con la adecuación de esos activos que serán propiedad del AEP, éste obtiene un retorno a la inversión mediante la renta mensual de dichos sitios, por lo que aduce que no es lógico que sean los CS quienes tengan que pagar por esa inversión.</w:t>
      </w:r>
    </w:p>
    <w:p w14:paraId="4AB0A3E5" w14:textId="77777777" w:rsidR="00D53D86" w:rsidRPr="00BF7935" w:rsidRDefault="00D53D86" w:rsidP="00D53D86">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4F21AD57" w14:textId="744E31CD" w:rsidR="00D53D86" w:rsidRDefault="00162A06" w:rsidP="001B1C3C">
      <w:pPr>
        <w:pStyle w:val="Textoindependiente"/>
        <w:rPr>
          <w:rFonts w:ascii="ITC Avant Garde" w:hAnsi="ITC Avant Garde"/>
          <w:lang w:val="es-ES_tradnl"/>
        </w:rPr>
      </w:pPr>
      <w:r w:rsidRPr="00162A06">
        <w:rPr>
          <w:rFonts w:ascii="ITC Avant Garde" w:hAnsi="ITC Avant Garde"/>
          <w:lang w:val="es-ES_tradnl"/>
        </w:rPr>
        <w:lastRenderedPageBreak/>
        <w:t>Respecto de</w:t>
      </w:r>
      <w:r>
        <w:rPr>
          <w:rFonts w:ascii="ITC Avant Garde" w:hAnsi="ITC Avant Garde"/>
          <w:lang w:val="es-ES_tradnl"/>
        </w:rPr>
        <w:t xml:space="preserve"> la</w:t>
      </w:r>
      <w:r w:rsidR="00E1058D">
        <w:rPr>
          <w:rFonts w:ascii="ITC Avant Garde" w:hAnsi="ITC Avant Garde"/>
          <w:lang w:val="es-ES_tradnl"/>
        </w:rPr>
        <w:t>s observaciones realizadas por T</w:t>
      </w:r>
      <w:r>
        <w:rPr>
          <w:rFonts w:ascii="ITC Avant Garde" w:hAnsi="ITC Avant Garde"/>
          <w:lang w:val="es-ES_tradnl"/>
        </w:rPr>
        <w:t xml:space="preserve">elefónica, este Instituto señala </w:t>
      </w:r>
      <w:proofErr w:type="gramStart"/>
      <w:r w:rsidR="00E82859">
        <w:rPr>
          <w:rFonts w:ascii="ITC Avant Garde" w:hAnsi="ITC Avant Garde"/>
          <w:lang w:val="es-ES_tradnl"/>
        </w:rPr>
        <w:t>que</w:t>
      </w:r>
      <w:proofErr w:type="gramEnd"/>
      <w:r>
        <w:rPr>
          <w:rFonts w:ascii="ITC Avant Garde" w:hAnsi="ITC Avant Garde"/>
          <w:lang w:val="es-ES_tradnl"/>
        </w:rPr>
        <w:t xml:space="preserve"> </w:t>
      </w:r>
      <w:r w:rsidR="001F4DFF">
        <w:rPr>
          <w:rFonts w:ascii="ITC Avant Garde" w:hAnsi="ITC Avant Garde"/>
          <w:lang w:val="es-ES_tradnl"/>
        </w:rPr>
        <w:t xml:space="preserve">de conformidad con lo establecido en la Medida </w:t>
      </w:r>
      <w:r w:rsidR="00A7105B">
        <w:rPr>
          <w:rFonts w:ascii="ITC Avant Garde" w:hAnsi="ITC Avant Garde"/>
          <w:lang w:val="es-ES_tradnl"/>
        </w:rPr>
        <w:t xml:space="preserve">DECIMOQUINTA </w:t>
      </w:r>
      <w:r w:rsidR="001F4DFF">
        <w:rPr>
          <w:rFonts w:ascii="ITC Avant Garde" w:hAnsi="ITC Avant Garde"/>
          <w:lang w:val="es-ES_tradnl"/>
        </w:rPr>
        <w:t>de las Medidas Móviles</w:t>
      </w:r>
      <w:r w:rsidR="00E1058D">
        <w:rPr>
          <w:rFonts w:ascii="ITC Avant Garde" w:hAnsi="ITC Avant Garde"/>
          <w:lang w:val="es-ES_tradnl"/>
        </w:rPr>
        <w:t>, el AEP se encuentra obligado a proveer el servicio de acceso y uso compartido de infraestructura pasiva a los CS para toda la infraestructura pasiva que posea</w:t>
      </w:r>
      <w:r w:rsidR="00E82859">
        <w:rPr>
          <w:rFonts w:ascii="ITC Avant Garde" w:hAnsi="ITC Avant Garde"/>
          <w:lang w:val="es-ES_tradnl"/>
        </w:rPr>
        <w:t>.</w:t>
      </w:r>
    </w:p>
    <w:p w14:paraId="18D3BB25" w14:textId="2DEEA7BD" w:rsidR="00E82859" w:rsidRDefault="00034576" w:rsidP="001B1C3C">
      <w:pPr>
        <w:pStyle w:val="Textoindependiente"/>
        <w:rPr>
          <w:rFonts w:ascii="ITC Avant Garde" w:hAnsi="ITC Avant Garde"/>
          <w:lang w:val="es-ES_tradnl"/>
        </w:rPr>
      </w:pPr>
      <w:r>
        <w:rPr>
          <w:rFonts w:ascii="ITC Avant Garde" w:hAnsi="ITC Avant Garde"/>
          <w:lang w:val="es-ES_tradnl"/>
        </w:rPr>
        <w:t>Sin embargo</w:t>
      </w:r>
      <w:r w:rsidR="00E82859">
        <w:rPr>
          <w:rFonts w:ascii="ITC Avant Garde" w:hAnsi="ITC Avant Garde"/>
          <w:lang w:val="es-ES_tradnl"/>
        </w:rPr>
        <w:t>, es de recalcarse que la</w:t>
      </w:r>
      <w:r>
        <w:rPr>
          <w:rFonts w:ascii="ITC Avant Garde" w:hAnsi="ITC Avant Garde"/>
          <w:lang w:val="es-ES_tradnl"/>
        </w:rPr>
        <w:t>s</w:t>
      </w:r>
      <w:r w:rsidR="00E82859">
        <w:rPr>
          <w:rFonts w:ascii="ITC Avant Garde" w:hAnsi="ITC Avant Garde"/>
          <w:lang w:val="es-ES_tradnl"/>
        </w:rPr>
        <w:t xml:space="preserve"> obligaci</w:t>
      </w:r>
      <w:r>
        <w:rPr>
          <w:rFonts w:ascii="ITC Avant Garde" w:hAnsi="ITC Avant Garde"/>
          <w:lang w:val="es-ES_tradnl"/>
        </w:rPr>
        <w:t>ones</w:t>
      </w:r>
      <w:r w:rsidR="00E82859">
        <w:rPr>
          <w:rFonts w:ascii="ITC Avant Garde" w:hAnsi="ITC Avant Garde"/>
          <w:lang w:val="es-ES_tradnl"/>
        </w:rPr>
        <w:t xml:space="preserve"> del AEP </w:t>
      </w:r>
      <w:r>
        <w:rPr>
          <w:rFonts w:ascii="ITC Avant Garde" w:hAnsi="ITC Avant Garde"/>
          <w:lang w:val="es-ES_tradnl"/>
        </w:rPr>
        <w:t xml:space="preserve">previstas en la regulación asimétrica </w:t>
      </w:r>
      <w:r w:rsidR="00E82859">
        <w:rPr>
          <w:rFonts w:ascii="ITC Avant Garde" w:hAnsi="ITC Avant Garde"/>
          <w:lang w:val="es-ES_tradnl"/>
        </w:rPr>
        <w:t xml:space="preserve">no </w:t>
      </w:r>
      <w:r>
        <w:rPr>
          <w:rFonts w:ascii="ITC Avant Garde" w:hAnsi="ITC Avant Garde"/>
          <w:lang w:val="es-ES_tradnl"/>
        </w:rPr>
        <w:t>prevén</w:t>
      </w:r>
      <w:r w:rsidR="00E82859">
        <w:rPr>
          <w:rFonts w:ascii="ITC Avant Garde" w:hAnsi="ITC Avant Garde"/>
          <w:lang w:val="es-ES_tradnl"/>
        </w:rPr>
        <w:t xml:space="preserve"> que sea éste quien deba sufragar los costos en que se deba incurrir </w:t>
      </w:r>
      <w:r w:rsidR="00042BDD">
        <w:rPr>
          <w:rFonts w:ascii="ITC Avant Garde" w:hAnsi="ITC Avant Garde"/>
          <w:lang w:val="es-ES_tradnl"/>
        </w:rPr>
        <w:t xml:space="preserve">por la realización de trabajos adicionales </w:t>
      </w:r>
      <w:r w:rsidR="00E82859">
        <w:rPr>
          <w:rFonts w:ascii="ITC Avant Garde" w:hAnsi="ITC Avant Garde"/>
          <w:lang w:val="es-ES_tradnl"/>
        </w:rPr>
        <w:t xml:space="preserve">a efecto de </w:t>
      </w:r>
      <w:r w:rsidR="00042BDD">
        <w:rPr>
          <w:rFonts w:ascii="ITC Avant Garde" w:hAnsi="ITC Avant Garde"/>
          <w:lang w:val="es-ES_tradnl"/>
        </w:rPr>
        <w:t>que el CS pueda colocar sus equipos tal como lo solicita</w:t>
      </w:r>
      <w:r w:rsidR="00751AC6">
        <w:rPr>
          <w:rFonts w:ascii="ITC Avant Garde" w:hAnsi="ITC Avant Garde"/>
          <w:lang w:val="es-ES_tradnl"/>
        </w:rPr>
        <w:t>.</w:t>
      </w:r>
    </w:p>
    <w:p w14:paraId="7CC376FE" w14:textId="77777777" w:rsidR="00092915" w:rsidRDefault="00092915" w:rsidP="00092915">
      <w:pPr>
        <w:spacing w:after="120"/>
        <w:rPr>
          <w:rFonts w:ascii="ITC Avant Garde" w:hAnsi="ITC Avant Garde"/>
          <w:b/>
          <w:lang w:val="es-ES_tradnl"/>
        </w:rPr>
      </w:pPr>
      <w:r w:rsidRPr="00E04E89">
        <w:rPr>
          <w:rFonts w:ascii="ITC Avant Garde" w:hAnsi="ITC Avant Garde"/>
          <w:b/>
          <w:lang w:val="es-ES_tradnl"/>
        </w:rPr>
        <w:t>Ajustes en la tarifa del servicio</w:t>
      </w:r>
    </w:p>
    <w:p w14:paraId="71B8E495" w14:textId="77777777" w:rsidR="00092915" w:rsidRDefault="00092915" w:rsidP="00092915">
      <w:pPr>
        <w:spacing w:after="120"/>
        <w:rPr>
          <w:rFonts w:ascii="ITC Avant Garde" w:hAnsi="ITC Avant Garde"/>
          <w:lang w:val="es-ES_tradnl"/>
        </w:rPr>
      </w:pPr>
      <w:r w:rsidRPr="00E04E89">
        <w:rPr>
          <w:rFonts w:ascii="ITC Avant Garde" w:hAnsi="ITC Avant Garde"/>
          <w:lang w:val="es-ES_tradnl"/>
        </w:rPr>
        <w:t xml:space="preserve">Señala </w:t>
      </w:r>
      <w:r>
        <w:rPr>
          <w:rFonts w:ascii="ITC Avant Garde" w:hAnsi="ITC Avant Garde"/>
          <w:lang w:val="es-ES_tradnl"/>
        </w:rPr>
        <w:t xml:space="preserve">Telefónica que el Instituto debe llevar a cabo importantes ajustes en las tarifas del servicio de la oferta de referencia, ya que considera que las mismas están fuera de las condiciones del mercado, toda vez que además se incluyen tarifas de servicios que en el mercado en competencia están incluidas dentro de la renta mensual. Considera que deberían incluirse descuentos por volumen. </w:t>
      </w:r>
    </w:p>
    <w:p w14:paraId="5D262123" w14:textId="77777777" w:rsidR="00092915" w:rsidRPr="00BF7935" w:rsidRDefault="00092915" w:rsidP="00092915">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1AD2230B" w14:textId="77777777" w:rsidR="00092915" w:rsidRDefault="00092915" w:rsidP="00092915">
      <w:pPr>
        <w:spacing w:after="120"/>
        <w:rPr>
          <w:rFonts w:ascii="ITC Avant Garde" w:hAnsi="ITC Avant Garde"/>
          <w:lang w:val="es-ES_tradnl"/>
        </w:rPr>
      </w:pPr>
      <w:r>
        <w:rPr>
          <w:rFonts w:ascii="ITC Avant Garde" w:hAnsi="ITC Avant Garde"/>
          <w:lang w:val="es-ES_tradnl"/>
        </w:rPr>
        <w:t>Respecto de los señalamientos realizados por Telefónica, este Instituto refiere que de conformidad con lo dispuesto en la Medida SEXÁGESIMA SEGUNDA, las tarifas establecidas en la oferta de referencia pueden ser negociadas entre el AEP y el CS y si transcurridos sesenta días naturales desde el inicio de las negociaciones las partes aun no llegan un acuerdo, o antes si así lo requieren ambas partes, podrán solicitar la intervención del Instituto para la resolución de un desacuerdo.</w:t>
      </w:r>
    </w:p>
    <w:p w14:paraId="0A9722FC" w14:textId="06BEDC74" w:rsidR="00092915" w:rsidRPr="00E04E89" w:rsidRDefault="00092915" w:rsidP="00092915">
      <w:pPr>
        <w:spacing w:after="120"/>
        <w:rPr>
          <w:rFonts w:ascii="ITC Avant Garde" w:hAnsi="ITC Avant Garde"/>
          <w:lang w:val="es-ES_tradnl"/>
        </w:rPr>
      </w:pPr>
      <w:r>
        <w:rPr>
          <w:rFonts w:ascii="ITC Avant Garde" w:hAnsi="ITC Avant Garde"/>
          <w:lang w:val="es-ES_tradnl"/>
        </w:rPr>
        <w:t xml:space="preserve">Es así, que las propias Medidas </w:t>
      </w:r>
      <w:r w:rsidR="001F4DFF">
        <w:rPr>
          <w:rFonts w:ascii="ITC Avant Garde" w:hAnsi="ITC Avant Garde"/>
          <w:lang w:val="es-ES_tradnl"/>
        </w:rPr>
        <w:t>Móviles</w:t>
      </w:r>
      <w:r>
        <w:rPr>
          <w:rFonts w:ascii="ITC Avant Garde" w:hAnsi="ITC Avant Garde"/>
          <w:lang w:val="es-ES_tradnl"/>
        </w:rPr>
        <w:t xml:space="preserve"> ya contemplan un mecanismo de resolución de controversias para el caso en que un CS no estuviera de acuerdo con las tarifas aplicables al servicio de acceso y uso compartido de infraestructura incluidas por el AEP en la oferta de referencia.</w:t>
      </w:r>
    </w:p>
    <w:p w14:paraId="29CD331F" w14:textId="70D04D93" w:rsidR="005950C2" w:rsidRDefault="00D14660" w:rsidP="001B1C3C">
      <w:pPr>
        <w:pStyle w:val="Textoindependiente"/>
        <w:rPr>
          <w:rFonts w:ascii="ITC Avant Garde" w:hAnsi="ITC Avant Garde"/>
          <w:b/>
          <w:lang w:val="es-ES_tradnl"/>
        </w:rPr>
      </w:pPr>
      <w:r>
        <w:rPr>
          <w:rFonts w:ascii="ITC Avant Garde" w:hAnsi="ITC Avant Garde"/>
          <w:b/>
          <w:lang w:val="es-ES_tradnl"/>
        </w:rPr>
        <w:t>Suministro de energía eléctrica</w:t>
      </w:r>
    </w:p>
    <w:p w14:paraId="023CFA51" w14:textId="18634C08" w:rsidR="00D14660" w:rsidRPr="00E1033F" w:rsidRDefault="00E1033F" w:rsidP="001B1C3C">
      <w:pPr>
        <w:pStyle w:val="Textoindependiente"/>
        <w:rPr>
          <w:rFonts w:ascii="ITC Avant Garde" w:hAnsi="ITC Avant Garde"/>
          <w:lang w:val="es-ES_tradnl"/>
        </w:rPr>
      </w:pPr>
      <w:r>
        <w:rPr>
          <w:rFonts w:ascii="ITC Avant Garde" w:hAnsi="ITC Avant Garde"/>
          <w:lang w:val="es-ES_tradnl"/>
        </w:rPr>
        <w:t>Refiere T</w:t>
      </w:r>
      <w:r w:rsidRPr="00E1033F">
        <w:rPr>
          <w:rFonts w:ascii="ITC Avant Garde" w:hAnsi="ITC Avant Garde"/>
          <w:lang w:val="es-ES_tradnl"/>
        </w:rPr>
        <w:t>elefónica que</w:t>
      </w:r>
      <w:r>
        <w:rPr>
          <w:rFonts w:ascii="ITC Avant Garde" w:hAnsi="ITC Avant Garde"/>
          <w:lang w:val="es-ES_tradnl"/>
        </w:rPr>
        <w:t xml:space="preserve"> se encuentra con una problemática respecto a la gestión del servicio de electricidad para algunos emplazamientos dado que el AEP se ha negado a proporcionarle los permisos de construcción del sitio, los cuales son necesarios para que la Comisión Federal de Electricidad (</w:t>
      </w:r>
      <w:r w:rsidR="00034576">
        <w:rPr>
          <w:rFonts w:ascii="ITC Avant Garde" w:hAnsi="ITC Avant Garde"/>
          <w:lang w:val="es-ES_tradnl"/>
        </w:rPr>
        <w:t>e</w:t>
      </w:r>
      <w:r>
        <w:rPr>
          <w:rFonts w:ascii="ITC Avant Garde" w:hAnsi="ITC Avant Garde"/>
          <w:lang w:val="es-ES_tradnl"/>
        </w:rPr>
        <w:t>n lo sucesivo</w:t>
      </w:r>
      <w:r w:rsidR="00034576">
        <w:rPr>
          <w:rFonts w:ascii="ITC Avant Garde" w:hAnsi="ITC Avant Garde"/>
          <w:lang w:val="es-ES_tradnl"/>
        </w:rPr>
        <w:t>,</w:t>
      </w:r>
      <w:r>
        <w:rPr>
          <w:rFonts w:ascii="ITC Avant Garde" w:hAnsi="ITC Avant Garde"/>
          <w:lang w:val="es-ES_tradnl"/>
        </w:rPr>
        <w:t xml:space="preserve"> </w:t>
      </w:r>
      <w:r w:rsidR="005751E1">
        <w:rPr>
          <w:rFonts w:ascii="ITC Avant Garde" w:hAnsi="ITC Avant Garde"/>
          <w:lang w:val="es-ES_tradnl"/>
        </w:rPr>
        <w:t xml:space="preserve">“CFE”) le </w:t>
      </w:r>
      <w:r w:rsidR="00034576">
        <w:rPr>
          <w:rFonts w:ascii="ITC Avant Garde" w:hAnsi="ITC Avant Garde"/>
          <w:lang w:val="es-ES_tradnl"/>
        </w:rPr>
        <w:t>suministre</w:t>
      </w:r>
      <w:r w:rsidR="005751E1">
        <w:rPr>
          <w:rFonts w:ascii="ITC Avant Garde" w:hAnsi="ITC Avant Garde"/>
          <w:lang w:val="es-ES_tradnl"/>
        </w:rPr>
        <w:t xml:space="preserve"> el servicio de energía eléctrica.</w:t>
      </w:r>
    </w:p>
    <w:p w14:paraId="31D3BFFD" w14:textId="77777777" w:rsidR="005751E1" w:rsidRPr="00BF7935" w:rsidRDefault="005751E1" w:rsidP="005751E1">
      <w:pPr>
        <w:spacing w:after="120"/>
        <w:rPr>
          <w:rFonts w:ascii="ITC Avant Garde" w:hAnsi="ITC Avant Garde"/>
          <w:u w:val="single"/>
          <w:lang w:val="es-ES_tradnl"/>
        </w:rPr>
      </w:pPr>
      <w:r w:rsidRPr="00BF7935">
        <w:rPr>
          <w:rFonts w:ascii="ITC Avant Garde" w:hAnsi="ITC Avant Garde"/>
          <w:u w:val="single"/>
          <w:lang w:val="es-ES_tradnl"/>
        </w:rPr>
        <w:t>Respuesta del Instituto</w:t>
      </w:r>
    </w:p>
    <w:p w14:paraId="006C821E" w14:textId="2875BA3E" w:rsidR="008665A7" w:rsidRDefault="005751E1" w:rsidP="005751E1">
      <w:pPr>
        <w:pStyle w:val="IFTnormal"/>
      </w:pPr>
      <w:r>
        <w:t xml:space="preserve">Con el objeto de fomentar las condiciones para que los CS puedan obtener el suministro de energía eléctrica sin retrasos atribuibles al AEP, este Instituto considera pertinente establecer dentro de la Oferta de Referencia que </w:t>
      </w:r>
      <w:proofErr w:type="spellStart"/>
      <w:r>
        <w:t>Telesites</w:t>
      </w:r>
      <w:proofErr w:type="spellEnd"/>
      <w:r>
        <w:t xml:space="preserve"> deberá facilitar en lo concerniente, los documentos señalados como requisitos y solicitados por la CFE que obren en su poder, sin que ello signifique que </w:t>
      </w:r>
      <w:proofErr w:type="spellStart"/>
      <w:r>
        <w:t>Telesites</w:t>
      </w:r>
      <w:proofErr w:type="spellEnd"/>
      <w:r>
        <w:t xml:space="preserve"> lleve a cabo los trámites necesari</w:t>
      </w:r>
      <w:r w:rsidR="008665A7">
        <w:t xml:space="preserve">os en representación de los CS, además de </w:t>
      </w:r>
      <w:r w:rsidR="008665A7">
        <w:lastRenderedPageBreak/>
        <w:t xml:space="preserve">señalar a través del Sistema Electrónico de Gestión </w:t>
      </w:r>
      <w:r w:rsidR="00492A8D">
        <w:t>si</w:t>
      </w:r>
      <w:r w:rsidR="00492A8D" w:rsidRPr="00492A8D">
        <w:t xml:space="preserve"> </w:t>
      </w:r>
      <w:r w:rsidR="00492A8D">
        <w:t>los emplazamientos utiliza</w:t>
      </w:r>
      <w:r w:rsidR="00034576">
        <w:t>n</w:t>
      </w:r>
      <w:r w:rsidR="00492A8D">
        <w:t xml:space="preserve"> </w:t>
      </w:r>
      <w:r w:rsidR="00492A8D" w:rsidRPr="00131FC0">
        <w:t>instalación de baja</w:t>
      </w:r>
      <w:r w:rsidR="00492A8D">
        <w:t xml:space="preserve"> o media tensión eléctrica.</w:t>
      </w:r>
    </w:p>
    <w:p w14:paraId="4E0D8D46" w14:textId="73B1C6F9" w:rsidR="005751E1" w:rsidRDefault="005751E1" w:rsidP="005751E1">
      <w:pPr>
        <w:pStyle w:val="IFTnormal"/>
      </w:pPr>
      <w:r>
        <w:t xml:space="preserve">Asimismo, el Instituto advierte </w:t>
      </w:r>
      <w:proofErr w:type="gramStart"/>
      <w:r>
        <w:t>que</w:t>
      </w:r>
      <w:proofErr w:type="gramEnd"/>
      <w:r>
        <w:t xml:space="preserve"> para el suministro e instalación de energía eléctrica por parte de la CFE, esta podría necesitar llevar a cabo diversas actividades dentro de los emplazamientos, por lo que </w:t>
      </w:r>
      <w:r w:rsidR="00034576">
        <w:t xml:space="preserve">también </w:t>
      </w:r>
      <w:r>
        <w:t xml:space="preserve">es necesario establecer en la Oferta de Referencia que </w:t>
      </w:r>
      <w:proofErr w:type="spellStart"/>
      <w:r>
        <w:t>Telesites</w:t>
      </w:r>
      <w:proofErr w:type="spellEnd"/>
      <w:r>
        <w:t xml:space="preserve"> deberá otorgar las facilidades necesarias a efecto de que el personal de CFE lleve a cabo dichas actividades de manera eficiente. </w:t>
      </w:r>
    </w:p>
    <w:p w14:paraId="0F06E15C" w14:textId="57C5E2C8" w:rsidR="001F0B96" w:rsidRDefault="008C69F9" w:rsidP="001F0B96">
      <w:pPr>
        <w:spacing w:after="120"/>
        <w:rPr>
          <w:rFonts w:ascii="ITC Avant Garde" w:hAnsi="ITC Avant Garde"/>
          <w:lang w:val="es-ES_tradnl"/>
        </w:rPr>
      </w:pPr>
      <w:r>
        <w:rPr>
          <w:rFonts w:ascii="ITC Avant Garde" w:hAnsi="ITC Avant Garde"/>
          <w:lang w:val="es-ES_tradnl"/>
        </w:rPr>
        <w:t xml:space="preserve">Respecto al comentario recibido por parte de </w:t>
      </w:r>
      <w:proofErr w:type="spellStart"/>
      <w:r w:rsidR="001F0B96">
        <w:rPr>
          <w:rFonts w:ascii="ITC Avant Garde" w:hAnsi="ITC Avant Garde"/>
          <w:lang w:val="es-ES_tradnl"/>
        </w:rPr>
        <w:t>Altán</w:t>
      </w:r>
      <w:proofErr w:type="spellEnd"/>
      <w:r w:rsidR="001F0B96" w:rsidRPr="00BF7935">
        <w:rPr>
          <w:rFonts w:ascii="ITC Avant Garde" w:hAnsi="ITC Avant Garde"/>
          <w:lang w:val="es-ES_tradnl"/>
        </w:rPr>
        <w:t>:</w:t>
      </w:r>
    </w:p>
    <w:p w14:paraId="7799352A" w14:textId="2C047952" w:rsidR="001F0B96" w:rsidRDefault="001F0B96" w:rsidP="001F0B96">
      <w:pPr>
        <w:spacing w:after="120"/>
        <w:rPr>
          <w:rFonts w:ascii="ITC Avant Garde" w:hAnsi="ITC Avant Garde"/>
          <w:b/>
          <w:lang w:val="es-ES_tradnl"/>
        </w:rPr>
      </w:pPr>
      <w:r>
        <w:rPr>
          <w:rFonts w:ascii="ITC Avant Garde" w:hAnsi="ITC Avant Garde"/>
          <w:b/>
          <w:lang w:val="es-ES_tradnl"/>
        </w:rPr>
        <w:t xml:space="preserve">Notificación </w:t>
      </w:r>
      <w:r w:rsidR="0088139D">
        <w:rPr>
          <w:rFonts w:ascii="ITC Avant Garde" w:hAnsi="ITC Avant Garde"/>
          <w:b/>
          <w:lang w:val="es-ES_tradnl"/>
        </w:rPr>
        <w:t>de Avance de Proyectos de Nueva Obra Civil</w:t>
      </w:r>
    </w:p>
    <w:p w14:paraId="642AC8AE" w14:textId="2E8713BC" w:rsidR="008C69F9" w:rsidRDefault="0088139D" w:rsidP="0088139D">
      <w:pPr>
        <w:spacing w:after="120"/>
        <w:rPr>
          <w:rFonts w:ascii="ITC Avant Garde" w:hAnsi="ITC Avant Garde"/>
          <w:lang w:val="es-ES_tradnl"/>
        </w:rPr>
      </w:pPr>
      <w:r>
        <w:rPr>
          <w:rFonts w:ascii="ITC Avant Garde" w:hAnsi="ITC Avant Garde"/>
          <w:lang w:val="es-ES_tradnl"/>
        </w:rPr>
        <w:t xml:space="preserve">Sugiere </w:t>
      </w:r>
      <w:proofErr w:type="spellStart"/>
      <w:r>
        <w:rPr>
          <w:rFonts w:ascii="ITC Avant Garde" w:hAnsi="ITC Avant Garde"/>
          <w:lang w:val="es-ES_tradnl"/>
        </w:rPr>
        <w:t>Altán</w:t>
      </w:r>
      <w:proofErr w:type="spellEnd"/>
      <w:r>
        <w:rPr>
          <w:rFonts w:ascii="ITC Avant Garde" w:hAnsi="ITC Avant Garde"/>
          <w:lang w:val="es-ES_tradnl"/>
        </w:rPr>
        <w:t xml:space="preserve"> que con el objeto de q</w:t>
      </w:r>
      <w:r w:rsidRPr="0088139D">
        <w:rPr>
          <w:rFonts w:ascii="ITC Avant Garde" w:hAnsi="ITC Avant Garde"/>
          <w:lang w:val="es-ES_tradnl"/>
        </w:rPr>
        <w:t>ue se permita al Concesionario Solicitante conocer el avance de la Nueva Obra Civil, con fines informativos, proyectar su despliegue con mayor certeza y prever aproximadamente cuando dicha Obra Civil va a concluir y ser ya contabilizada como Infraestructura Pasiva</w:t>
      </w:r>
      <w:r>
        <w:rPr>
          <w:rFonts w:ascii="ITC Avant Garde" w:hAnsi="ITC Avant Garde"/>
          <w:lang w:val="es-ES_tradnl"/>
        </w:rPr>
        <w:t xml:space="preserve"> se </w:t>
      </w:r>
      <w:r w:rsidR="008C69F9">
        <w:rPr>
          <w:rFonts w:ascii="ITC Avant Garde" w:hAnsi="ITC Avant Garde"/>
          <w:lang w:val="es-ES_tradnl"/>
        </w:rPr>
        <w:t>especifique en la sección 2.2.2. que “</w:t>
      </w:r>
      <w:r w:rsidR="008C69F9" w:rsidRPr="00F94AE3">
        <w:rPr>
          <w:rFonts w:ascii="ITC Avant Garde" w:hAnsi="ITC Avant Garde"/>
          <w:i/>
          <w:lang w:val="es-ES_tradnl"/>
        </w:rPr>
        <w:t>La notificación será enviada cada vez que dicha Obra Civil logre un avance del 20%...</w:t>
      </w:r>
      <w:r w:rsidR="008C69F9">
        <w:rPr>
          <w:rFonts w:ascii="ITC Avant Garde" w:hAnsi="ITC Avant Garde"/>
          <w:lang w:val="es-ES_tradnl"/>
        </w:rPr>
        <w:t xml:space="preserve">”, y que en la </w:t>
      </w:r>
      <w:r w:rsidR="008C69F9" w:rsidRPr="008C69F9">
        <w:rPr>
          <w:rFonts w:ascii="ITC Avant Garde" w:hAnsi="ITC Avant Garde"/>
          <w:lang w:val="es-ES_tradnl"/>
        </w:rPr>
        <w:t xml:space="preserve">notificación de Proyecto de Nueva Obra Civil </w:t>
      </w:r>
      <w:r w:rsidR="008C69F9">
        <w:rPr>
          <w:rFonts w:ascii="ITC Avant Garde" w:hAnsi="ITC Avant Garde"/>
          <w:lang w:val="es-ES_tradnl"/>
        </w:rPr>
        <w:t>se añada el “</w:t>
      </w:r>
      <w:r w:rsidR="008C69F9" w:rsidRPr="00F94AE3">
        <w:rPr>
          <w:rFonts w:ascii="ITC Avant Garde" w:hAnsi="ITC Avant Garde"/>
          <w:i/>
          <w:lang w:val="es-ES_tradnl"/>
        </w:rPr>
        <w:t>Porcentaje actualizado de avance de Obra Civil</w:t>
      </w:r>
      <w:r w:rsidR="008C69F9">
        <w:rPr>
          <w:rFonts w:ascii="ITC Avant Garde" w:hAnsi="ITC Avant Garde"/>
          <w:lang w:val="es-ES_tradnl"/>
        </w:rPr>
        <w:t xml:space="preserve">”. </w:t>
      </w:r>
      <w:r w:rsidR="008C69F9" w:rsidRPr="008C69F9">
        <w:rPr>
          <w:rFonts w:ascii="ITC Avant Garde" w:hAnsi="ITC Avant Garde"/>
          <w:lang w:val="es-ES_tradnl"/>
        </w:rPr>
        <w:t xml:space="preserve"> </w:t>
      </w:r>
      <w:r w:rsidR="008C69F9">
        <w:rPr>
          <w:rFonts w:ascii="ITC Avant Garde" w:hAnsi="ITC Avant Garde"/>
          <w:lang w:val="es-ES_tradnl"/>
        </w:rPr>
        <w:t xml:space="preserve"> </w:t>
      </w:r>
    </w:p>
    <w:p w14:paraId="65C2BF9A" w14:textId="77777777" w:rsidR="0088139D" w:rsidRPr="003262FA" w:rsidRDefault="0088139D" w:rsidP="00F94AE3">
      <w:pPr>
        <w:pStyle w:val="CitaIFT"/>
        <w:ind w:left="0"/>
        <w:rPr>
          <w:u w:val="single"/>
        </w:rPr>
      </w:pPr>
      <w:r w:rsidRPr="00F94AE3">
        <w:rPr>
          <w:i w:val="0"/>
          <w:sz w:val="22"/>
          <w:szCs w:val="22"/>
          <w:u w:val="single"/>
        </w:rPr>
        <w:t>Respuesta del Instituto</w:t>
      </w:r>
    </w:p>
    <w:p w14:paraId="3D8C3720" w14:textId="329D8593" w:rsidR="001F0B96" w:rsidRPr="00AF1BD9" w:rsidRDefault="0088139D" w:rsidP="001B1C3C">
      <w:pPr>
        <w:pStyle w:val="Textoindependiente"/>
        <w:rPr>
          <w:rFonts w:ascii="ITC Avant Garde" w:hAnsi="ITC Avant Garde"/>
          <w:b/>
          <w:lang w:val="es-ES_tradnl"/>
        </w:rPr>
      </w:pPr>
      <w:r>
        <w:rPr>
          <w:rFonts w:ascii="ITC Avant Garde" w:hAnsi="ITC Avant Garde"/>
          <w:lang w:val="es-ES_tradnl"/>
        </w:rPr>
        <w:t xml:space="preserve">Respecto de la sugerencia realizada por </w:t>
      </w:r>
      <w:proofErr w:type="spellStart"/>
      <w:r>
        <w:rPr>
          <w:rFonts w:ascii="ITC Avant Garde" w:hAnsi="ITC Avant Garde"/>
          <w:lang w:val="es-ES_tradnl"/>
        </w:rPr>
        <w:t>Altán</w:t>
      </w:r>
      <w:proofErr w:type="spellEnd"/>
      <w:r>
        <w:rPr>
          <w:rFonts w:ascii="ITC Avant Garde" w:hAnsi="ITC Avant Garde"/>
          <w:lang w:val="es-ES_tradnl"/>
        </w:rPr>
        <w:t xml:space="preserve">, este Instituto manifiesta que </w:t>
      </w:r>
      <w:r w:rsidR="009E60E1">
        <w:rPr>
          <w:rFonts w:ascii="ITC Avant Garde" w:hAnsi="ITC Avant Garde"/>
          <w:lang w:val="es-ES_tradnl"/>
        </w:rPr>
        <w:t xml:space="preserve">podría </w:t>
      </w:r>
      <w:r>
        <w:rPr>
          <w:rFonts w:ascii="ITC Avant Garde" w:hAnsi="ITC Avant Garde"/>
          <w:lang w:val="es-ES_tradnl"/>
        </w:rPr>
        <w:t>resulta</w:t>
      </w:r>
      <w:r w:rsidR="009E60E1">
        <w:rPr>
          <w:rFonts w:ascii="ITC Avant Garde" w:hAnsi="ITC Avant Garde"/>
          <w:lang w:val="es-ES_tradnl"/>
        </w:rPr>
        <w:t>r</w:t>
      </w:r>
      <w:r>
        <w:rPr>
          <w:rFonts w:ascii="ITC Avant Garde" w:hAnsi="ITC Avant Garde"/>
          <w:lang w:val="es-ES_tradnl"/>
        </w:rPr>
        <w:t xml:space="preserve"> </w:t>
      </w:r>
      <w:r w:rsidR="009E60E1">
        <w:rPr>
          <w:rFonts w:ascii="ITC Avant Garde" w:hAnsi="ITC Avant Garde"/>
          <w:lang w:val="es-ES_tradnl"/>
        </w:rPr>
        <w:t xml:space="preserve">muy complicado </w:t>
      </w:r>
      <w:r w:rsidRPr="0088139D">
        <w:rPr>
          <w:rFonts w:ascii="ITC Avant Garde" w:hAnsi="ITC Avant Garde"/>
          <w:lang w:val="es-ES_tradnl"/>
        </w:rPr>
        <w:t>conocer en qu</w:t>
      </w:r>
      <w:r w:rsidR="009E60E1">
        <w:rPr>
          <w:rFonts w:ascii="ITC Avant Garde" w:hAnsi="ITC Avant Garde"/>
          <w:lang w:val="es-ES_tradnl"/>
        </w:rPr>
        <w:t>é</w:t>
      </w:r>
      <w:r w:rsidRPr="0088139D">
        <w:rPr>
          <w:rFonts w:ascii="ITC Avant Garde" w:hAnsi="ITC Avant Garde"/>
          <w:lang w:val="es-ES_tradnl"/>
        </w:rPr>
        <w:t xml:space="preserve"> momento se logra un </w:t>
      </w:r>
      <w:r>
        <w:rPr>
          <w:rFonts w:ascii="ITC Avant Garde" w:hAnsi="ITC Avant Garde"/>
          <w:lang w:val="es-ES_tradnl"/>
        </w:rPr>
        <w:t xml:space="preserve">avance del </w:t>
      </w:r>
      <w:r w:rsidRPr="0088139D">
        <w:rPr>
          <w:rFonts w:ascii="ITC Avant Garde" w:hAnsi="ITC Avant Garde"/>
          <w:lang w:val="es-ES_tradnl"/>
        </w:rPr>
        <w:t xml:space="preserve">20% del proyecto, por lo que añadir dicha </w:t>
      </w:r>
      <w:r w:rsidR="009E60E1">
        <w:rPr>
          <w:rFonts w:ascii="ITC Avant Garde" w:hAnsi="ITC Avant Garde"/>
          <w:lang w:val="es-ES_tradnl"/>
        </w:rPr>
        <w:t xml:space="preserve">propuesta podría </w:t>
      </w:r>
      <w:r w:rsidR="00D464E3">
        <w:rPr>
          <w:rFonts w:ascii="ITC Avant Garde" w:hAnsi="ITC Avant Garde"/>
          <w:lang w:val="es-ES_tradnl"/>
        </w:rPr>
        <w:t xml:space="preserve">no </w:t>
      </w:r>
      <w:r w:rsidR="009E60E1">
        <w:rPr>
          <w:rFonts w:ascii="ITC Avant Garde" w:hAnsi="ITC Avant Garde"/>
          <w:lang w:val="es-ES_tradnl"/>
        </w:rPr>
        <w:t xml:space="preserve">resultar </w:t>
      </w:r>
      <w:r w:rsidR="00D464E3">
        <w:rPr>
          <w:rFonts w:ascii="ITC Avant Garde" w:hAnsi="ITC Avant Garde"/>
          <w:lang w:val="es-ES_tradnl"/>
        </w:rPr>
        <w:t>claro y/o preciso</w:t>
      </w:r>
      <w:r w:rsidR="009E60E1">
        <w:rPr>
          <w:rFonts w:ascii="ITC Avant Garde" w:hAnsi="ITC Avant Garde"/>
          <w:lang w:val="es-ES_tradnl"/>
        </w:rPr>
        <w:t>, generando a su vez incertidumbre a los CS</w:t>
      </w:r>
      <w:r w:rsidR="00D464E3">
        <w:rPr>
          <w:rFonts w:ascii="ITC Avant Garde" w:hAnsi="ITC Avant Garde"/>
          <w:lang w:val="es-ES_tradnl"/>
        </w:rPr>
        <w:t>.</w:t>
      </w:r>
    </w:p>
    <w:sectPr w:rsidR="001F0B96" w:rsidRPr="00AF1BD9" w:rsidSect="001438D2">
      <w:headerReference w:type="default" r:id="rId12"/>
      <w:footerReference w:type="default" r:id="rId13"/>
      <w:footerReference w:type="first" r:id="rId14"/>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8C32F" w14:textId="77777777" w:rsidR="00855B57" w:rsidRDefault="00855B57" w:rsidP="003C6172">
      <w:pPr>
        <w:spacing w:after="0" w:line="240" w:lineRule="auto"/>
      </w:pPr>
      <w:r>
        <w:separator/>
      </w:r>
    </w:p>
  </w:endnote>
  <w:endnote w:type="continuationSeparator" w:id="0">
    <w:p w14:paraId="4B30098C" w14:textId="77777777" w:rsidR="00855B57" w:rsidRDefault="00855B57" w:rsidP="003C6172">
      <w:pPr>
        <w:spacing w:after="0" w:line="240" w:lineRule="auto"/>
      </w:pPr>
      <w:r>
        <w:continuationSeparator/>
      </w:r>
    </w:p>
  </w:endnote>
  <w:endnote w:type="continuationNotice" w:id="1">
    <w:p w14:paraId="348A5F94" w14:textId="77777777" w:rsidR="00855B57" w:rsidRDefault="00855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482973"/>
      <w:docPartObj>
        <w:docPartGallery w:val="Page Numbers (Bottom of Page)"/>
        <w:docPartUnique/>
      </w:docPartObj>
    </w:sdtPr>
    <w:sdtEndPr/>
    <w:sdtContent>
      <w:p w14:paraId="3011266C" w14:textId="4E7A8B34" w:rsidR="00F774DB" w:rsidRDefault="00F774DB" w:rsidP="008958B5">
        <w:pPr>
          <w:pStyle w:val="Piedepgina"/>
          <w:jc w:val="right"/>
        </w:pPr>
        <w:r>
          <w:fldChar w:fldCharType="begin"/>
        </w:r>
        <w:r>
          <w:instrText>PAGE   \* MERGEFORMAT</w:instrText>
        </w:r>
        <w:r>
          <w:fldChar w:fldCharType="separate"/>
        </w:r>
        <w:r w:rsidR="00FA1565" w:rsidRPr="00FA1565">
          <w:rPr>
            <w:noProof/>
            <w:lang w:val="es-ES"/>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92483"/>
      <w:docPartObj>
        <w:docPartGallery w:val="Page Numbers (Bottom of Page)"/>
        <w:docPartUnique/>
      </w:docPartObj>
    </w:sdtPr>
    <w:sdtEndPr/>
    <w:sdtContent>
      <w:p w14:paraId="0088B2D8" w14:textId="66C817DB" w:rsidR="00F774DB" w:rsidRPr="008958B5" w:rsidRDefault="00F774DB" w:rsidP="008958B5">
        <w:pPr>
          <w:pStyle w:val="Piedepgina"/>
          <w:jc w:val="right"/>
        </w:pPr>
        <w:r>
          <w:fldChar w:fldCharType="begin"/>
        </w:r>
        <w:r>
          <w:instrText>PAGE   \* MERGEFORMAT</w:instrText>
        </w:r>
        <w:r>
          <w:fldChar w:fldCharType="separate"/>
        </w:r>
        <w:r w:rsidR="00FA1565" w:rsidRPr="00FA1565">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03E26" w14:textId="77777777" w:rsidR="00855B57" w:rsidRDefault="00855B57" w:rsidP="003C6172">
      <w:pPr>
        <w:spacing w:after="0" w:line="240" w:lineRule="auto"/>
      </w:pPr>
      <w:r>
        <w:separator/>
      </w:r>
    </w:p>
  </w:footnote>
  <w:footnote w:type="continuationSeparator" w:id="0">
    <w:p w14:paraId="184C6E11" w14:textId="77777777" w:rsidR="00855B57" w:rsidRDefault="00855B57" w:rsidP="003C6172">
      <w:pPr>
        <w:spacing w:after="0" w:line="240" w:lineRule="auto"/>
      </w:pPr>
      <w:r>
        <w:continuationSeparator/>
      </w:r>
    </w:p>
  </w:footnote>
  <w:footnote w:type="continuationNotice" w:id="1">
    <w:p w14:paraId="49FC6E67" w14:textId="77777777" w:rsidR="00855B57" w:rsidRDefault="00855B57">
      <w:pPr>
        <w:spacing w:after="0" w:line="240" w:lineRule="auto"/>
      </w:pPr>
    </w:p>
  </w:footnote>
  <w:footnote w:id="2">
    <w:p w14:paraId="4C2B4EE5" w14:textId="6F300BCA" w:rsidR="00CB3487" w:rsidRPr="00DB41B3" w:rsidRDefault="00CB3487" w:rsidP="003262FA">
      <w:pPr>
        <w:pStyle w:val="Textonotapie"/>
        <w:ind w:left="0" w:firstLine="0"/>
        <w:rPr>
          <w:rFonts w:ascii="ITC Avant Garde" w:hAnsi="ITC Avant Garde"/>
          <w:sz w:val="14"/>
          <w:szCs w:val="14"/>
          <w:lang w:val="es-MX"/>
        </w:rPr>
      </w:pPr>
      <w:r w:rsidRPr="00DB41B3">
        <w:rPr>
          <w:rStyle w:val="Refdenotaalpie"/>
          <w:rFonts w:ascii="ITC Avant Garde" w:hAnsi="ITC Avant Garde"/>
          <w:sz w:val="14"/>
          <w:szCs w:val="14"/>
        </w:rPr>
        <w:footnoteRef/>
      </w:r>
      <w:r w:rsidRPr="00F373A1">
        <w:rPr>
          <w:rFonts w:ascii="ITC Avant Garde" w:hAnsi="ITC Avant Garde"/>
          <w:sz w:val="14"/>
          <w:szCs w:val="14"/>
          <w:lang w:val="es-MX"/>
        </w:rPr>
        <w:t xml:space="preserve"> </w:t>
      </w:r>
      <w:r w:rsidRPr="00DB41B3">
        <w:rPr>
          <w:rFonts w:ascii="ITC Avant Garde" w:hAnsi="ITC Avant Garde"/>
          <w:sz w:val="14"/>
          <w:szCs w:val="14"/>
          <w:lang w:val="es-MX"/>
        </w:rPr>
        <w:t xml:space="preserve">La consulta pública de la </w:t>
      </w:r>
      <w:r w:rsidRPr="00DB41B3">
        <w:rPr>
          <w:rFonts w:ascii="ITC Avant Garde" w:hAnsi="ITC Avant Garde"/>
          <w:i/>
          <w:sz w:val="14"/>
          <w:szCs w:val="14"/>
          <w:lang w:val="es-MX"/>
        </w:rPr>
        <w:t xml:space="preserve">“Propuesta de Oferta de Referencia del Servicio de Acceso y Uso Compartido de Infraestructura presentada por Operadora de </w:t>
      </w:r>
      <w:proofErr w:type="spellStart"/>
      <w:r w:rsidRPr="00DB41B3">
        <w:rPr>
          <w:rFonts w:ascii="ITC Avant Garde" w:hAnsi="ITC Avant Garde"/>
          <w:i/>
          <w:sz w:val="14"/>
          <w:szCs w:val="14"/>
          <w:lang w:val="es-MX"/>
        </w:rPr>
        <w:t>Sites</w:t>
      </w:r>
      <w:proofErr w:type="spellEnd"/>
      <w:r w:rsidRPr="00DB41B3">
        <w:rPr>
          <w:rFonts w:ascii="ITC Avant Garde" w:hAnsi="ITC Avant Garde"/>
          <w:i/>
          <w:sz w:val="14"/>
          <w:szCs w:val="14"/>
          <w:lang w:val="es-MX"/>
        </w:rPr>
        <w:t xml:space="preserve"> Mexicanos, S.A. DE C.V.”</w:t>
      </w:r>
      <w:r w:rsidRPr="00DB41B3">
        <w:rPr>
          <w:rFonts w:ascii="ITC Avant Garde" w:hAnsi="ITC Avant Garde"/>
          <w:sz w:val="14"/>
          <w:szCs w:val="14"/>
          <w:lang w:val="es-MX"/>
        </w:rPr>
        <w:t xml:space="preserve"> se encuentra disponible a través de la siguiente dirección electrónica: </w:t>
      </w:r>
      <w:bookmarkStart w:id="1" w:name="_GoBack"/>
      <w:r w:rsidR="00855B57">
        <w:rPr>
          <w:rStyle w:val="Hipervnculo"/>
          <w:rFonts w:ascii="ITC Avant Garde" w:hAnsi="ITC Avant Garde"/>
          <w:sz w:val="14"/>
          <w:szCs w:val="14"/>
          <w:lang w:val="es-MX"/>
        </w:rPr>
        <w:fldChar w:fldCharType="begin"/>
      </w:r>
      <w:r w:rsidR="00855B57">
        <w:rPr>
          <w:rStyle w:val="Hipervnculo"/>
          <w:rFonts w:ascii="ITC Avant Garde" w:hAnsi="ITC Avant Garde"/>
          <w:sz w:val="14"/>
          <w:szCs w:val="14"/>
          <w:lang w:val="es-MX"/>
        </w:rPr>
        <w:instrText xml:space="preserve"> HYPERLINK "http://www.ift.org.mx/industria/consultas-publicas/consulta-publica-sobre-la-propuesta-de-oferta-de-referencia-del-servicio-de-acceso-y-uso-compartido" </w:instrText>
      </w:r>
      <w:r w:rsidR="00855B57">
        <w:rPr>
          <w:rStyle w:val="Hipervnculo"/>
          <w:rFonts w:ascii="ITC Avant Garde" w:hAnsi="ITC Avant Garde"/>
          <w:sz w:val="14"/>
          <w:szCs w:val="14"/>
          <w:lang w:val="es-MX"/>
        </w:rPr>
        <w:fldChar w:fldCharType="separate"/>
      </w:r>
      <w:r w:rsidRPr="00DB41B3">
        <w:rPr>
          <w:rStyle w:val="Hipervnculo"/>
          <w:rFonts w:ascii="ITC Avant Garde" w:hAnsi="ITC Avant Garde"/>
          <w:sz w:val="14"/>
          <w:szCs w:val="14"/>
          <w:lang w:val="es-MX"/>
        </w:rPr>
        <w:t>http://www.ift.org.mx/industria/consultas-publicas/consulta-publica-sobre-la-propuesta-de-oferta-de-referencia-del-servicio-de-acceso-y-uso-compartido</w:t>
      </w:r>
      <w:r w:rsidR="00855B57">
        <w:rPr>
          <w:rStyle w:val="Hipervnculo"/>
          <w:rFonts w:ascii="ITC Avant Garde" w:hAnsi="ITC Avant Garde"/>
          <w:sz w:val="14"/>
          <w:szCs w:val="14"/>
          <w:lang w:val="es-MX"/>
        </w:rPr>
        <w:fldChar w:fldCharType="end"/>
      </w:r>
      <w:r w:rsidRPr="00DB41B3">
        <w:rPr>
          <w:rFonts w:ascii="ITC Avant Garde" w:hAnsi="ITC Avant Garde"/>
          <w:sz w:val="14"/>
          <w:szCs w:val="14"/>
          <w:lang w:val="es-MX"/>
        </w:rPr>
        <w:t xml:space="preserve"> </w:t>
      </w:r>
      <w:bookmarkEnd w:id="1"/>
    </w:p>
  </w:footnote>
  <w:footnote w:id="3">
    <w:p w14:paraId="13D04ADB" w14:textId="7D282F60" w:rsidR="00F774DB" w:rsidRPr="003B4F10" w:rsidRDefault="00F774DB" w:rsidP="00E3626E">
      <w:pPr>
        <w:spacing w:after="0" w:line="240" w:lineRule="auto"/>
        <w:rPr>
          <w:rFonts w:ascii="ITC Avant Garde" w:hAnsi="ITC Avant Garde"/>
          <w:sz w:val="14"/>
          <w:szCs w:val="14"/>
          <w:lang w:val="es-ES_tradnl"/>
        </w:rPr>
      </w:pPr>
      <w:r w:rsidRPr="00BF7935">
        <w:rPr>
          <w:rStyle w:val="Refdenotaalpie"/>
          <w:sz w:val="18"/>
          <w:szCs w:val="18"/>
        </w:rPr>
        <w:footnoteRef/>
      </w:r>
      <w:r>
        <w:t xml:space="preserve"> </w:t>
      </w:r>
      <w:r>
        <w:rPr>
          <w:rFonts w:ascii="ITC Avant Garde" w:hAnsi="ITC Avant Garde"/>
          <w:sz w:val="14"/>
          <w:szCs w:val="14"/>
          <w:lang w:val="es-ES_tradnl"/>
        </w:rPr>
        <w:t>Disponible</w:t>
      </w:r>
      <w:r w:rsidRPr="001A1F90">
        <w:rPr>
          <w:rFonts w:ascii="ITC Avant Garde" w:hAnsi="ITC Avant Garde"/>
          <w:sz w:val="14"/>
          <w:szCs w:val="14"/>
          <w:lang w:val="es-ES_tradnl"/>
        </w:rPr>
        <w:t xml:space="preserve"> a través de la siguiente liga:</w:t>
      </w:r>
      <w:r>
        <w:rPr>
          <w:rFonts w:ascii="ITC Avant Garde" w:hAnsi="ITC Avant Garde"/>
          <w:sz w:val="14"/>
          <w:szCs w:val="14"/>
          <w:lang w:val="es-ES_tradnl"/>
        </w:rPr>
        <w:t xml:space="preserve"> </w:t>
      </w:r>
      <w:r w:rsidRPr="00711B6D">
        <w:rPr>
          <w:rStyle w:val="Hipervnculo"/>
          <w:rFonts w:ascii="ITC Avant Garde" w:hAnsi="ITC Avant Garde"/>
          <w:color w:val="548DD4" w:themeColor="text2" w:themeTint="99"/>
          <w:sz w:val="14"/>
          <w:szCs w:val="14"/>
          <w:u w:val="single"/>
          <w:lang w:val="es-ES_tradnl"/>
        </w:rPr>
        <w:t>http://www.ift.org.mx/sites/default/files/contenidogeneral/politica-regulatoria/orcitelesites.pdf</w:t>
      </w:r>
    </w:p>
  </w:footnote>
  <w:footnote w:id="4">
    <w:p w14:paraId="15EBE7EB" w14:textId="77777777" w:rsidR="00F774DB" w:rsidRPr="00DB41B3" w:rsidRDefault="00F774DB" w:rsidP="007510B9">
      <w:pPr>
        <w:pStyle w:val="Textonotapie"/>
        <w:ind w:left="0" w:firstLine="0"/>
        <w:rPr>
          <w:rFonts w:ascii="ITC Avant Garde" w:hAnsi="ITC Avant Garde"/>
          <w:sz w:val="14"/>
          <w:szCs w:val="14"/>
          <w:lang w:val="es-MX"/>
        </w:rPr>
      </w:pPr>
      <w:r w:rsidRPr="00DB41B3">
        <w:rPr>
          <w:rStyle w:val="Refdenotaalpie"/>
          <w:rFonts w:ascii="ITC Avant Garde" w:hAnsi="ITC Avant Garde"/>
          <w:sz w:val="14"/>
          <w:szCs w:val="14"/>
        </w:rPr>
        <w:footnoteRef/>
      </w:r>
      <w:r w:rsidRPr="00DB41B3">
        <w:rPr>
          <w:rFonts w:ascii="ITC Avant Garde" w:hAnsi="ITC Avant Garde"/>
          <w:sz w:val="14"/>
          <w:szCs w:val="14"/>
          <w:lang w:val="es-MX"/>
        </w:rPr>
        <w:t xml:space="preserve"> </w:t>
      </w:r>
      <w:r w:rsidRPr="00DB41B3">
        <w:rPr>
          <w:rFonts w:ascii="ITC Avant Garde" w:hAnsi="ITC Avant Garde"/>
          <w:sz w:val="14"/>
          <w:szCs w:val="14"/>
          <w:lang w:val="es-ES_tradnl"/>
        </w:rPr>
        <w:t>Disponible a través de la siguiente liga</w:t>
      </w:r>
      <w:r w:rsidRPr="00DB41B3">
        <w:rPr>
          <w:rFonts w:ascii="ITC Avant Garde" w:hAnsi="ITC Avant Garde"/>
          <w:sz w:val="14"/>
          <w:szCs w:val="14"/>
          <w:lang w:val="es-MX"/>
        </w:rPr>
        <w:t xml:space="preserve"> </w:t>
      </w:r>
      <w:hyperlink r:id="rId1" w:history="1">
        <w:r w:rsidRPr="00DB41B3">
          <w:rPr>
            <w:rStyle w:val="Hipervnculo"/>
            <w:rFonts w:ascii="ITC Avant Garde" w:hAnsi="ITC Avant Garde"/>
            <w:sz w:val="14"/>
            <w:szCs w:val="14"/>
            <w:lang w:val="es-MX"/>
          </w:rPr>
          <w:t>http://www.ift.org.mx/sites/default/files/industria/temasrelevantes/9472/documentos/ofertadereferenciacomparticionmovil-telesites.pdf</w:t>
        </w:r>
      </w:hyperlink>
      <w:r w:rsidRPr="00DB41B3">
        <w:rPr>
          <w:rFonts w:ascii="ITC Avant Garde" w:hAnsi="ITC Avant Garde"/>
          <w:sz w:val="14"/>
          <w:szCs w:val="14"/>
          <w:lang w:val="es-MX"/>
        </w:rPr>
        <w:t xml:space="preserve"> </w:t>
      </w:r>
    </w:p>
  </w:footnote>
  <w:footnote w:id="5">
    <w:p w14:paraId="5DD76BB0" w14:textId="77777777" w:rsidR="00F774DB" w:rsidRPr="00242E35" w:rsidRDefault="00F774DB" w:rsidP="00BF584F">
      <w:pPr>
        <w:pStyle w:val="Textonotapie"/>
        <w:ind w:left="0" w:firstLine="0"/>
        <w:rPr>
          <w:lang w:val="es-MX"/>
        </w:rPr>
      </w:pPr>
      <w:r w:rsidRPr="00DB41B3">
        <w:rPr>
          <w:rStyle w:val="Refdenotaalpie"/>
          <w:rFonts w:ascii="ITC Avant Garde" w:hAnsi="ITC Avant Garde"/>
          <w:sz w:val="14"/>
          <w:szCs w:val="14"/>
        </w:rPr>
        <w:footnoteRef/>
      </w:r>
      <w:r w:rsidRPr="00DB41B3">
        <w:rPr>
          <w:rFonts w:ascii="ITC Avant Garde" w:hAnsi="ITC Avant Garde"/>
          <w:sz w:val="14"/>
          <w:szCs w:val="14"/>
          <w:lang w:val="es-MX"/>
        </w:rPr>
        <w:t xml:space="preserve"> </w:t>
      </w:r>
      <w:r w:rsidRPr="00DB41B3">
        <w:rPr>
          <w:rFonts w:ascii="ITC Avant Garde" w:hAnsi="ITC Avant Garde"/>
          <w:sz w:val="14"/>
          <w:szCs w:val="14"/>
          <w:lang w:val="es-ES_tradnl"/>
        </w:rPr>
        <w:t>Disponible a través de la siguiente liga: http://www.ift.org.mx/sites/default/files/contenidogenera&gt;&gt;&gt;&gt;l/politica-regulatoria/ofertadereferenciainfraestructurapasiva-telcel.pdf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E21B" w14:textId="77777777" w:rsidR="00F774DB" w:rsidRPr="00FD6F5F" w:rsidRDefault="00F774DB"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C1C495C"/>
    <w:multiLevelType w:val="hybridMultilevel"/>
    <w:tmpl w:val="0596A578"/>
    <w:lvl w:ilvl="0" w:tplc="19924FB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955B6"/>
    <w:multiLevelType w:val="hybridMultilevel"/>
    <w:tmpl w:val="1F545D86"/>
    <w:lvl w:ilvl="0" w:tplc="0366A7F6">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6"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1E8E59F8"/>
    <w:multiLevelType w:val="hybridMultilevel"/>
    <w:tmpl w:val="53708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9" w15:restartNumberingAfterBreak="0">
    <w:nsid w:val="32F646C7"/>
    <w:multiLevelType w:val="hybridMultilevel"/>
    <w:tmpl w:val="B0C89450"/>
    <w:lvl w:ilvl="0" w:tplc="BC6C07A8">
      <w:start w:val="17"/>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974BC6"/>
    <w:multiLevelType w:val="hybridMultilevel"/>
    <w:tmpl w:val="9754EDE0"/>
    <w:lvl w:ilvl="0" w:tplc="546E5EF6">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CDB278A"/>
    <w:multiLevelType w:val="hybridMultilevel"/>
    <w:tmpl w:val="2620DC9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50F759CB"/>
    <w:multiLevelType w:val="multilevel"/>
    <w:tmpl w:val="AC801622"/>
    <w:lvl w:ilvl="0">
      <w:start w:val="1"/>
      <w:numFmt w:val="decimal"/>
      <w:lvlText w:val="%1."/>
      <w:lvlJc w:val="left"/>
      <w:pPr>
        <w:ind w:left="1080" w:hanging="720"/>
      </w:pPr>
      <w:rPr>
        <w:rFonts w:hint="default"/>
      </w:rPr>
    </w:lvl>
    <w:lvl w:ilvl="1">
      <w:start w:val="11"/>
      <w:numFmt w:val="decimal"/>
      <w:isLgl/>
      <w:lvlText w:val="%1.%2"/>
      <w:lvlJc w:val="left"/>
      <w:pPr>
        <w:ind w:left="1155" w:hanging="55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060" w:hanging="72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10" w:hanging="108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3760" w:hanging="1440"/>
      </w:pPr>
      <w:rPr>
        <w:rFonts w:hint="default"/>
      </w:rPr>
    </w:lvl>
  </w:abstractNum>
  <w:abstractNum w:abstractNumId="1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44EEA"/>
    <w:multiLevelType w:val="multilevel"/>
    <w:tmpl w:val="7C30BCE0"/>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15:restartNumberingAfterBreak="0">
    <w:nsid w:val="7124348A"/>
    <w:multiLevelType w:val="hybridMultilevel"/>
    <w:tmpl w:val="A29A621C"/>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BA6AE1"/>
    <w:multiLevelType w:val="hybridMultilevel"/>
    <w:tmpl w:val="07B87E84"/>
    <w:lvl w:ilvl="0" w:tplc="FD6E04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2062F"/>
    <w:multiLevelType w:val="hybridMultilevel"/>
    <w:tmpl w:val="D0B0B09E"/>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11"/>
  </w:num>
  <w:num w:numId="6">
    <w:abstractNumId w:val="4"/>
  </w:num>
  <w:num w:numId="7">
    <w:abstractNumId w:val="8"/>
  </w:num>
  <w:num w:numId="8">
    <w:abstractNumId w:val="15"/>
  </w:num>
  <w:num w:numId="9">
    <w:abstractNumId w:val="12"/>
  </w:num>
  <w:num w:numId="10">
    <w:abstractNumId w:val="14"/>
  </w:num>
  <w:num w:numId="11">
    <w:abstractNumId w:val="9"/>
  </w:num>
  <w:num w:numId="12">
    <w:abstractNumId w:val="2"/>
  </w:num>
  <w:num w:numId="13">
    <w:abstractNumId w:val="5"/>
  </w:num>
  <w:num w:numId="14">
    <w:abstractNumId w:val="10"/>
  </w:num>
  <w:num w:numId="15">
    <w:abstractNumId w:val="7"/>
  </w:num>
  <w:num w:numId="16">
    <w:abstractNumId w:val="18"/>
  </w:num>
  <w:num w:numId="17">
    <w:abstractNumId w:val="16"/>
  </w:num>
  <w:num w:numId="18">
    <w:abstractNumId w:val="13"/>
  </w:num>
  <w:num w:numId="19">
    <w:abstractNumId w:val="19"/>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01E14"/>
    <w:rsid w:val="00004E98"/>
    <w:rsid w:val="000056FC"/>
    <w:rsid w:val="00005E3D"/>
    <w:rsid w:val="00007C69"/>
    <w:rsid w:val="00011374"/>
    <w:rsid w:val="0001177D"/>
    <w:rsid w:val="00012F9A"/>
    <w:rsid w:val="000133C6"/>
    <w:rsid w:val="00014B39"/>
    <w:rsid w:val="000164CB"/>
    <w:rsid w:val="00016DF3"/>
    <w:rsid w:val="00021D46"/>
    <w:rsid w:val="00021E60"/>
    <w:rsid w:val="00025921"/>
    <w:rsid w:val="00025D89"/>
    <w:rsid w:val="00030012"/>
    <w:rsid w:val="00030DD9"/>
    <w:rsid w:val="0003128C"/>
    <w:rsid w:val="000318C3"/>
    <w:rsid w:val="00033AFD"/>
    <w:rsid w:val="00034576"/>
    <w:rsid w:val="00035F53"/>
    <w:rsid w:val="0003714D"/>
    <w:rsid w:val="0004267F"/>
    <w:rsid w:val="0004283B"/>
    <w:rsid w:val="00042BDD"/>
    <w:rsid w:val="00043A7C"/>
    <w:rsid w:val="00043D29"/>
    <w:rsid w:val="000466BB"/>
    <w:rsid w:val="00046D4E"/>
    <w:rsid w:val="00050F2F"/>
    <w:rsid w:val="0005524C"/>
    <w:rsid w:val="00057B5C"/>
    <w:rsid w:val="000606B4"/>
    <w:rsid w:val="0006115B"/>
    <w:rsid w:val="00063BCC"/>
    <w:rsid w:val="00064EE6"/>
    <w:rsid w:val="00066589"/>
    <w:rsid w:val="000703E1"/>
    <w:rsid w:val="000708E6"/>
    <w:rsid w:val="000721ED"/>
    <w:rsid w:val="00072505"/>
    <w:rsid w:val="00073654"/>
    <w:rsid w:val="00075AB9"/>
    <w:rsid w:val="000774F6"/>
    <w:rsid w:val="00077AA6"/>
    <w:rsid w:val="00077F62"/>
    <w:rsid w:val="000809B1"/>
    <w:rsid w:val="00082955"/>
    <w:rsid w:val="00082E27"/>
    <w:rsid w:val="00084741"/>
    <w:rsid w:val="00087919"/>
    <w:rsid w:val="00092915"/>
    <w:rsid w:val="00094B13"/>
    <w:rsid w:val="000979CE"/>
    <w:rsid w:val="000A0E4D"/>
    <w:rsid w:val="000A2AC3"/>
    <w:rsid w:val="000A4129"/>
    <w:rsid w:val="000A59A7"/>
    <w:rsid w:val="000A7C0A"/>
    <w:rsid w:val="000B2BF0"/>
    <w:rsid w:val="000B2F3C"/>
    <w:rsid w:val="000B3373"/>
    <w:rsid w:val="000C21E9"/>
    <w:rsid w:val="000C49E3"/>
    <w:rsid w:val="000C6C0D"/>
    <w:rsid w:val="000C7D84"/>
    <w:rsid w:val="000D137F"/>
    <w:rsid w:val="000D3A27"/>
    <w:rsid w:val="000D3E75"/>
    <w:rsid w:val="000D40DA"/>
    <w:rsid w:val="000D588A"/>
    <w:rsid w:val="000E7A23"/>
    <w:rsid w:val="000F1744"/>
    <w:rsid w:val="000F34B4"/>
    <w:rsid w:val="000F44F2"/>
    <w:rsid w:val="000F4CB9"/>
    <w:rsid w:val="000F5D76"/>
    <w:rsid w:val="0010011E"/>
    <w:rsid w:val="00101199"/>
    <w:rsid w:val="00103F80"/>
    <w:rsid w:val="001042DF"/>
    <w:rsid w:val="00112C83"/>
    <w:rsid w:val="00114213"/>
    <w:rsid w:val="00114B2A"/>
    <w:rsid w:val="00115749"/>
    <w:rsid w:val="001167C4"/>
    <w:rsid w:val="001178BC"/>
    <w:rsid w:val="00120164"/>
    <w:rsid w:val="001226FC"/>
    <w:rsid w:val="0012797F"/>
    <w:rsid w:val="00130536"/>
    <w:rsid w:val="00131DDE"/>
    <w:rsid w:val="0013240E"/>
    <w:rsid w:val="001352D9"/>
    <w:rsid w:val="00136869"/>
    <w:rsid w:val="0013763A"/>
    <w:rsid w:val="001378A6"/>
    <w:rsid w:val="00137ACA"/>
    <w:rsid w:val="00137ED3"/>
    <w:rsid w:val="00140483"/>
    <w:rsid w:val="001438D2"/>
    <w:rsid w:val="00145144"/>
    <w:rsid w:val="001451F8"/>
    <w:rsid w:val="00150628"/>
    <w:rsid w:val="00157D64"/>
    <w:rsid w:val="00162A06"/>
    <w:rsid w:val="00163B82"/>
    <w:rsid w:val="00165F67"/>
    <w:rsid w:val="00166905"/>
    <w:rsid w:val="00166C6E"/>
    <w:rsid w:val="00166F41"/>
    <w:rsid w:val="0017023A"/>
    <w:rsid w:val="001726EE"/>
    <w:rsid w:val="001735AA"/>
    <w:rsid w:val="0017397A"/>
    <w:rsid w:val="001748FD"/>
    <w:rsid w:val="0017547F"/>
    <w:rsid w:val="00176438"/>
    <w:rsid w:val="00177636"/>
    <w:rsid w:val="00181E5E"/>
    <w:rsid w:val="001820C8"/>
    <w:rsid w:val="00182F0F"/>
    <w:rsid w:val="00183930"/>
    <w:rsid w:val="00186A11"/>
    <w:rsid w:val="00187F10"/>
    <w:rsid w:val="00190FBE"/>
    <w:rsid w:val="001922AD"/>
    <w:rsid w:val="00193324"/>
    <w:rsid w:val="001944EE"/>
    <w:rsid w:val="00195C02"/>
    <w:rsid w:val="00197B95"/>
    <w:rsid w:val="001A0DC4"/>
    <w:rsid w:val="001A1F90"/>
    <w:rsid w:val="001A42F1"/>
    <w:rsid w:val="001A5353"/>
    <w:rsid w:val="001A6A44"/>
    <w:rsid w:val="001A7449"/>
    <w:rsid w:val="001A78FD"/>
    <w:rsid w:val="001B0607"/>
    <w:rsid w:val="001B1C3C"/>
    <w:rsid w:val="001B3581"/>
    <w:rsid w:val="001B4D64"/>
    <w:rsid w:val="001B5FDD"/>
    <w:rsid w:val="001B7A6E"/>
    <w:rsid w:val="001C05BC"/>
    <w:rsid w:val="001C0A8F"/>
    <w:rsid w:val="001C12FC"/>
    <w:rsid w:val="001C54DD"/>
    <w:rsid w:val="001C5876"/>
    <w:rsid w:val="001C6BE6"/>
    <w:rsid w:val="001C6FC1"/>
    <w:rsid w:val="001C7A0D"/>
    <w:rsid w:val="001D72F2"/>
    <w:rsid w:val="001D7735"/>
    <w:rsid w:val="001D7C61"/>
    <w:rsid w:val="001E0D16"/>
    <w:rsid w:val="001E3327"/>
    <w:rsid w:val="001E3A5D"/>
    <w:rsid w:val="001E4098"/>
    <w:rsid w:val="001E42C6"/>
    <w:rsid w:val="001F06DC"/>
    <w:rsid w:val="001F0B96"/>
    <w:rsid w:val="001F1890"/>
    <w:rsid w:val="001F32AA"/>
    <w:rsid w:val="001F37C4"/>
    <w:rsid w:val="001F4DFF"/>
    <w:rsid w:val="001F57FB"/>
    <w:rsid w:val="001F77DB"/>
    <w:rsid w:val="00201BDE"/>
    <w:rsid w:val="002043E0"/>
    <w:rsid w:val="002061B5"/>
    <w:rsid w:val="00210F78"/>
    <w:rsid w:val="00213E01"/>
    <w:rsid w:val="00217218"/>
    <w:rsid w:val="0022058F"/>
    <w:rsid w:val="002211DC"/>
    <w:rsid w:val="002222A7"/>
    <w:rsid w:val="00222572"/>
    <w:rsid w:val="00225C3B"/>
    <w:rsid w:val="00227FDB"/>
    <w:rsid w:val="00231B56"/>
    <w:rsid w:val="00233139"/>
    <w:rsid w:val="00237A2C"/>
    <w:rsid w:val="00245939"/>
    <w:rsid w:val="00250C3D"/>
    <w:rsid w:val="0025274D"/>
    <w:rsid w:val="00253DC7"/>
    <w:rsid w:val="002549FC"/>
    <w:rsid w:val="00257057"/>
    <w:rsid w:val="0025753D"/>
    <w:rsid w:val="00261D11"/>
    <w:rsid w:val="00261F34"/>
    <w:rsid w:val="00261F43"/>
    <w:rsid w:val="002629B3"/>
    <w:rsid w:val="00263060"/>
    <w:rsid w:val="002640AC"/>
    <w:rsid w:val="0026545D"/>
    <w:rsid w:val="00265ABD"/>
    <w:rsid w:val="00265B26"/>
    <w:rsid w:val="002662FB"/>
    <w:rsid w:val="00266C8E"/>
    <w:rsid w:val="00266D6A"/>
    <w:rsid w:val="00266DEE"/>
    <w:rsid w:val="00266FA3"/>
    <w:rsid w:val="002678EB"/>
    <w:rsid w:val="00270092"/>
    <w:rsid w:val="002712DD"/>
    <w:rsid w:val="00271D19"/>
    <w:rsid w:val="00273C1F"/>
    <w:rsid w:val="00273C56"/>
    <w:rsid w:val="00274DA3"/>
    <w:rsid w:val="002750D4"/>
    <w:rsid w:val="002761AF"/>
    <w:rsid w:val="0027632B"/>
    <w:rsid w:val="002765F0"/>
    <w:rsid w:val="00276C41"/>
    <w:rsid w:val="00276E91"/>
    <w:rsid w:val="002800BD"/>
    <w:rsid w:val="00282B1C"/>
    <w:rsid w:val="00283E99"/>
    <w:rsid w:val="0029238A"/>
    <w:rsid w:val="0029355D"/>
    <w:rsid w:val="002938A6"/>
    <w:rsid w:val="002966F9"/>
    <w:rsid w:val="00296EF6"/>
    <w:rsid w:val="002970D2"/>
    <w:rsid w:val="002972DD"/>
    <w:rsid w:val="002A0EF5"/>
    <w:rsid w:val="002A1FA3"/>
    <w:rsid w:val="002B14D2"/>
    <w:rsid w:val="002B2056"/>
    <w:rsid w:val="002B258A"/>
    <w:rsid w:val="002B2945"/>
    <w:rsid w:val="002B53BC"/>
    <w:rsid w:val="002B7B1F"/>
    <w:rsid w:val="002C1549"/>
    <w:rsid w:val="002C2016"/>
    <w:rsid w:val="002C5826"/>
    <w:rsid w:val="002C5F6E"/>
    <w:rsid w:val="002C7B2A"/>
    <w:rsid w:val="002D092A"/>
    <w:rsid w:val="002D0B0C"/>
    <w:rsid w:val="002D18F6"/>
    <w:rsid w:val="002D4050"/>
    <w:rsid w:val="002D4935"/>
    <w:rsid w:val="002D4F88"/>
    <w:rsid w:val="002D5AAC"/>
    <w:rsid w:val="002D7683"/>
    <w:rsid w:val="002E4109"/>
    <w:rsid w:val="002E6322"/>
    <w:rsid w:val="002F084D"/>
    <w:rsid w:val="002F0A74"/>
    <w:rsid w:val="002F1BFE"/>
    <w:rsid w:val="002F1ED4"/>
    <w:rsid w:val="002F1F37"/>
    <w:rsid w:val="002F24A5"/>
    <w:rsid w:val="002F31DB"/>
    <w:rsid w:val="002F4E92"/>
    <w:rsid w:val="002F6530"/>
    <w:rsid w:val="0030180E"/>
    <w:rsid w:val="003027D0"/>
    <w:rsid w:val="0030615E"/>
    <w:rsid w:val="003069F0"/>
    <w:rsid w:val="00307792"/>
    <w:rsid w:val="003110D4"/>
    <w:rsid w:val="00311803"/>
    <w:rsid w:val="003122D5"/>
    <w:rsid w:val="003136A0"/>
    <w:rsid w:val="00314973"/>
    <w:rsid w:val="00320F3B"/>
    <w:rsid w:val="00321EF8"/>
    <w:rsid w:val="003226EB"/>
    <w:rsid w:val="003242AE"/>
    <w:rsid w:val="00324B8A"/>
    <w:rsid w:val="003262FA"/>
    <w:rsid w:val="00330717"/>
    <w:rsid w:val="0033323C"/>
    <w:rsid w:val="00333F88"/>
    <w:rsid w:val="00335961"/>
    <w:rsid w:val="00336042"/>
    <w:rsid w:val="00337289"/>
    <w:rsid w:val="00337756"/>
    <w:rsid w:val="0033789D"/>
    <w:rsid w:val="00342D97"/>
    <w:rsid w:val="00343F42"/>
    <w:rsid w:val="003442D2"/>
    <w:rsid w:val="00347686"/>
    <w:rsid w:val="00350098"/>
    <w:rsid w:val="00354834"/>
    <w:rsid w:val="00355028"/>
    <w:rsid w:val="00355284"/>
    <w:rsid w:val="00356CC9"/>
    <w:rsid w:val="0035710A"/>
    <w:rsid w:val="00363744"/>
    <w:rsid w:val="00363A2A"/>
    <w:rsid w:val="00365395"/>
    <w:rsid w:val="0036737C"/>
    <w:rsid w:val="00367404"/>
    <w:rsid w:val="00371888"/>
    <w:rsid w:val="00372B67"/>
    <w:rsid w:val="00372BF7"/>
    <w:rsid w:val="00372E2A"/>
    <w:rsid w:val="00374205"/>
    <w:rsid w:val="00375395"/>
    <w:rsid w:val="003756C8"/>
    <w:rsid w:val="0038108B"/>
    <w:rsid w:val="00381C57"/>
    <w:rsid w:val="00381E23"/>
    <w:rsid w:val="0038482A"/>
    <w:rsid w:val="00386C98"/>
    <w:rsid w:val="00387978"/>
    <w:rsid w:val="00387DBC"/>
    <w:rsid w:val="00391310"/>
    <w:rsid w:val="00391623"/>
    <w:rsid w:val="003934A0"/>
    <w:rsid w:val="0039371D"/>
    <w:rsid w:val="00394E69"/>
    <w:rsid w:val="003A2843"/>
    <w:rsid w:val="003A3073"/>
    <w:rsid w:val="003A4B20"/>
    <w:rsid w:val="003A5D6B"/>
    <w:rsid w:val="003A66EA"/>
    <w:rsid w:val="003B13F8"/>
    <w:rsid w:val="003B1AD2"/>
    <w:rsid w:val="003B4EFA"/>
    <w:rsid w:val="003B4F10"/>
    <w:rsid w:val="003B5645"/>
    <w:rsid w:val="003B6396"/>
    <w:rsid w:val="003B63AE"/>
    <w:rsid w:val="003C1F76"/>
    <w:rsid w:val="003C304F"/>
    <w:rsid w:val="003C3B11"/>
    <w:rsid w:val="003C6172"/>
    <w:rsid w:val="003C6B83"/>
    <w:rsid w:val="003D05E2"/>
    <w:rsid w:val="003D1FB5"/>
    <w:rsid w:val="003D2CB9"/>
    <w:rsid w:val="003D521E"/>
    <w:rsid w:val="003D68C6"/>
    <w:rsid w:val="003E397A"/>
    <w:rsid w:val="003E3A99"/>
    <w:rsid w:val="003E3C3E"/>
    <w:rsid w:val="003E490C"/>
    <w:rsid w:val="003E4F87"/>
    <w:rsid w:val="003E51A3"/>
    <w:rsid w:val="003E74AF"/>
    <w:rsid w:val="003F2680"/>
    <w:rsid w:val="003F51D3"/>
    <w:rsid w:val="003F544E"/>
    <w:rsid w:val="003F5875"/>
    <w:rsid w:val="003F5FF4"/>
    <w:rsid w:val="003F62BB"/>
    <w:rsid w:val="004005AA"/>
    <w:rsid w:val="0040076E"/>
    <w:rsid w:val="00404CFC"/>
    <w:rsid w:val="0041250B"/>
    <w:rsid w:val="004125B6"/>
    <w:rsid w:val="00414199"/>
    <w:rsid w:val="00414DBD"/>
    <w:rsid w:val="00415243"/>
    <w:rsid w:val="00415A2B"/>
    <w:rsid w:val="004160D8"/>
    <w:rsid w:val="00417405"/>
    <w:rsid w:val="0041764F"/>
    <w:rsid w:val="00417CB6"/>
    <w:rsid w:val="00417CD0"/>
    <w:rsid w:val="004203F7"/>
    <w:rsid w:val="004220EE"/>
    <w:rsid w:val="00422108"/>
    <w:rsid w:val="0042328E"/>
    <w:rsid w:val="00423489"/>
    <w:rsid w:val="004244F2"/>
    <w:rsid w:val="004251A9"/>
    <w:rsid w:val="00430F1F"/>
    <w:rsid w:val="0043403A"/>
    <w:rsid w:val="004347CD"/>
    <w:rsid w:val="00435CB8"/>
    <w:rsid w:val="00436AEE"/>
    <w:rsid w:val="00437703"/>
    <w:rsid w:val="00442011"/>
    <w:rsid w:val="00444DA5"/>
    <w:rsid w:val="004457BE"/>
    <w:rsid w:val="00447110"/>
    <w:rsid w:val="004511F9"/>
    <w:rsid w:val="00453F3C"/>
    <w:rsid w:val="00457F76"/>
    <w:rsid w:val="004630CC"/>
    <w:rsid w:val="00472070"/>
    <w:rsid w:val="004727D7"/>
    <w:rsid w:val="00472BAF"/>
    <w:rsid w:val="004735C5"/>
    <w:rsid w:val="00473CAC"/>
    <w:rsid w:val="00473E02"/>
    <w:rsid w:val="00475B37"/>
    <w:rsid w:val="004803DB"/>
    <w:rsid w:val="00480565"/>
    <w:rsid w:val="00482D9A"/>
    <w:rsid w:val="00483983"/>
    <w:rsid w:val="00485E26"/>
    <w:rsid w:val="00486181"/>
    <w:rsid w:val="00486AAD"/>
    <w:rsid w:val="004907B1"/>
    <w:rsid w:val="00491F91"/>
    <w:rsid w:val="00492A8D"/>
    <w:rsid w:val="00493D87"/>
    <w:rsid w:val="004955CB"/>
    <w:rsid w:val="00495BBE"/>
    <w:rsid w:val="00496224"/>
    <w:rsid w:val="00496AA4"/>
    <w:rsid w:val="00496AB3"/>
    <w:rsid w:val="004A0261"/>
    <w:rsid w:val="004A0591"/>
    <w:rsid w:val="004A213D"/>
    <w:rsid w:val="004A30F8"/>
    <w:rsid w:val="004A3695"/>
    <w:rsid w:val="004A4A39"/>
    <w:rsid w:val="004A4DD7"/>
    <w:rsid w:val="004A62D1"/>
    <w:rsid w:val="004A69CB"/>
    <w:rsid w:val="004B1994"/>
    <w:rsid w:val="004B3917"/>
    <w:rsid w:val="004B3D61"/>
    <w:rsid w:val="004B3FBE"/>
    <w:rsid w:val="004B79FE"/>
    <w:rsid w:val="004C01E3"/>
    <w:rsid w:val="004C0A30"/>
    <w:rsid w:val="004C143A"/>
    <w:rsid w:val="004C3635"/>
    <w:rsid w:val="004C3DB8"/>
    <w:rsid w:val="004C5EF2"/>
    <w:rsid w:val="004C7191"/>
    <w:rsid w:val="004C73E5"/>
    <w:rsid w:val="004D35C9"/>
    <w:rsid w:val="004D6425"/>
    <w:rsid w:val="004E0BD2"/>
    <w:rsid w:val="004E17BB"/>
    <w:rsid w:val="004E19F3"/>
    <w:rsid w:val="004E3222"/>
    <w:rsid w:val="004E5D44"/>
    <w:rsid w:val="004E6780"/>
    <w:rsid w:val="004E7021"/>
    <w:rsid w:val="004F1639"/>
    <w:rsid w:val="004F1793"/>
    <w:rsid w:val="004F1823"/>
    <w:rsid w:val="004F2277"/>
    <w:rsid w:val="004F39A5"/>
    <w:rsid w:val="004F55E9"/>
    <w:rsid w:val="004F64B4"/>
    <w:rsid w:val="00500212"/>
    <w:rsid w:val="005013F3"/>
    <w:rsid w:val="00506345"/>
    <w:rsid w:val="0051361D"/>
    <w:rsid w:val="00513E19"/>
    <w:rsid w:val="00513E42"/>
    <w:rsid w:val="00514DD9"/>
    <w:rsid w:val="0051672C"/>
    <w:rsid w:val="005171F9"/>
    <w:rsid w:val="00517391"/>
    <w:rsid w:val="00520A74"/>
    <w:rsid w:val="005228A6"/>
    <w:rsid w:val="00523476"/>
    <w:rsid w:val="00523B52"/>
    <w:rsid w:val="0052799C"/>
    <w:rsid w:val="0053181C"/>
    <w:rsid w:val="00532C69"/>
    <w:rsid w:val="005366B7"/>
    <w:rsid w:val="0054254E"/>
    <w:rsid w:val="00544386"/>
    <w:rsid w:val="005446DB"/>
    <w:rsid w:val="0055595A"/>
    <w:rsid w:val="00556DFE"/>
    <w:rsid w:val="00557C1C"/>
    <w:rsid w:val="00560A7C"/>
    <w:rsid w:val="005655EE"/>
    <w:rsid w:val="00572001"/>
    <w:rsid w:val="005722CB"/>
    <w:rsid w:val="0057330A"/>
    <w:rsid w:val="00574C9A"/>
    <w:rsid w:val="00574DE8"/>
    <w:rsid w:val="005751E1"/>
    <w:rsid w:val="0058057E"/>
    <w:rsid w:val="00581CE1"/>
    <w:rsid w:val="00582E9C"/>
    <w:rsid w:val="005839B3"/>
    <w:rsid w:val="00584946"/>
    <w:rsid w:val="0058548D"/>
    <w:rsid w:val="00586307"/>
    <w:rsid w:val="00587D27"/>
    <w:rsid w:val="00592F58"/>
    <w:rsid w:val="005950C2"/>
    <w:rsid w:val="005A07C1"/>
    <w:rsid w:val="005A0EF0"/>
    <w:rsid w:val="005A2D79"/>
    <w:rsid w:val="005A58F0"/>
    <w:rsid w:val="005A5979"/>
    <w:rsid w:val="005B23CF"/>
    <w:rsid w:val="005B61F5"/>
    <w:rsid w:val="005C291B"/>
    <w:rsid w:val="005C3F58"/>
    <w:rsid w:val="005C4F3F"/>
    <w:rsid w:val="005C513E"/>
    <w:rsid w:val="005C65AD"/>
    <w:rsid w:val="005D07A3"/>
    <w:rsid w:val="005D225C"/>
    <w:rsid w:val="005D45C8"/>
    <w:rsid w:val="005E3B94"/>
    <w:rsid w:val="005F08DB"/>
    <w:rsid w:val="005F0D61"/>
    <w:rsid w:val="005F0E87"/>
    <w:rsid w:val="005F73F3"/>
    <w:rsid w:val="005F79F0"/>
    <w:rsid w:val="00600331"/>
    <w:rsid w:val="00602FB6"/>
    <w:rsid w:val="00604CD2"/>
    <w:rsid w:val="00606EDA"/>
    <w:rsid w:val="00607E5F"/>
    <w:rsid w:val="00610037"/>
    <w:rsid w:val="00610A85"/>
    <w:rsid w:val="00610E5C"/>
    <w:rsid w:val="00611FD8"/>
    <w:rsid w:val="006168DA"/>
    <w:rsid w:val="00620036"/>
    <w:rsid w:val="00620ABE"/>
    <w:rsid w:val="00622D11"/>
    <w:rsid w:val="0062341E"/>
    <w:rsid w:val="00625D84"/>
    <w:rsid w:val="0063054D"/>
    <w:rsid w:val="00631289"/>
    <w:rsid w:val="00632C3B"/>
    <w:rsid w:val="00634925"/>
    <w:rsid w:val="00636D57"/>
    <w:rsid w:val="00637B9E"/>
    <w:rsid w:val="00637CEA"/>
    <w:rsid w:val="0064112D"/>
    <w:rsid w:val="00641CB9"/>
    <w:rsid w:val="00643405"/>
    <w:rsid w:val="006435B5"/>
    <w:rsid w:val="006436F3"/>
    <w:rsid w:val="00647B4E"/>
    <w:rsid w:val="00650C3B"/>
    <w:rsid w:val="00651C1F"/>
    <w:rsid w:val="006528FC"/>
    <w:rsid w:val="006534F4"/>
    <w:rsid w:val="00656E80"/>
    <w:rsid w:val="00657A72"/>
    <w:rsid w:val="006626B7"/>
    <w:rsid w:val="00663094"/>
    <w:rsid w:val="00670815"/>
    <w:rsid w:val="0067121E"/>
    <w:rsid w:val="0067149E"/>
    <w:rsid w:val="00671F39"/>
    <w:rsid w:val="00672149"/>
    <w:rsid w:val="0067234C"/>
    <w:rsid w:val="00677547"/>
    <w:rsid w:val="00677978"/>
    <w:rsid w:val="00682B77"/>
    <w:rsid w:val="0068491B"/>
    <w:rsid w:val="00685F22"/>
    <w:rsid w:val="00685FD3"/>
    <w:rsid w:val="00686395"/>
    <w:rsid w:val="006865BB"/>
    <w:rsid w:val="00690B0C"/>
    <w:rsid w:val="0069500B"/>
    <w:rsid w:val="00696783"/>
    <w:rsid w:val="00696966"/>
    <w:rsid w:val="006A1C1E"/>
    <w:rsid w:val="006A3FAB"/>
    <w:rsid w:val="006A5331"/>
    <w:rsid w:val="006A64D8"/>
    <w:rsid w:val="006B3C08"/>
    <w:rsid w:val="006B4487"/>
    <w:rsid w:val="006B48D2"/>
    <w:rsid w:val="006B51E1"/>
    <w:rsid w:val="006B5229"/>
    <w:rsid w:val="006B6CC5"/>
    <w:rsid w:val="006C03BB"/>
    <w:rsid w:val="006C1DDD"/>
    <w:rsid w:val="006C4934"/>
    <w:rsid w:val="006C558C"/>
    <w:rsid w:val="006C5E5F"/>
    <w:rsid w:val="006C7103"/>
    <w:rsid w:val="006D1D1F"/>
    <w:rsid w:val="006D4AE8"/>
    <w:rsid w:val="006D4EF0"/>
    <w:rsid w:val="006D5382"/>
    <w:rsid w:val="006D5613"/>
    <w:rsid w:val="006D757D"/>
    <w:rsid w:val="006D7C3C"/>
    <w:rsid w:val="006E3221"/>
    <w:rsid w:val="006E7727"/>
    <w:rsid w:val="006F33E0"/>
    <w:rsid w:val="006F358C"/>
    <w:rsid w:val="006F56C4"/>
    <w:rsid w:val="006F5810"/>
    <w:rsid w:val="006F6B48"/>
    <w:rsid w:val="0070208E"/>
    <w:rsid w:val="00703750"/>
    <w:rsid w:val="007077C7"/>
    <w:rsid w:val="00707DD2"/>
    <w:rsid w:val="00711130"/>
    <w:rsid w:val="00711B6D"/>
    <w:rsid w:val="007126C0"/>
    <w:rsid w:val="0071567E"/>
    <w:rsid w:val="00717A74"/>
    <w:rsid w:val="007224FA"/>
    <w:rsid w:val="00722F0D"/>
    <w:rsid w:val="007236F8"/>
    <w:rsid w:val="00723AA8"/>
    <w:rsid w:val="00723C4E"/>
    <w:rsid w:val="00725297"/>
    <w:rsid w:val="0072570D"/>
    <w:rsid w:val="0072745C"/>
    <w:rsid w:val="00730B43"/>
    <w:rsid w:val="0074046F"/>
    <w:rsid w:val="00740540"/>
    <w:rsid w:val="00741FFC"/>
    <w:rsid w:val="00742BF5"/>
    <w:rsid w:val="007431AB"/>
    <w:rsid w:val="00743DCD"/>
    <w:rsid w:val="00744208"/>
    <w:rsid w:val="00744BF9"/>
    <w:rsid w:val="007454F3"/>
    <w:rsid w:val="00746C4F"/>
    <w:rsid w:val="007510B9"/>
    <w:rsid w:val="00751AC6"/>
    <w:rsid w:val="00752327"/>
    <w:rsid w:val="00753400"/>
    <w:rsid w:val="00757C1B"/>
    <w:rsid w:val="00761EAE"/>
    <w:rsid w:val="00764C06"/>
    <w:rsid w:val="0076581D"/>
    <w:rsid w:val="007663DE"/>
    <w:rsid w:val="00766668"/>
    <w:rsid w:val="007713C5"/>
    <w:rsid w:val="00772BA2"/>
    <w:rsid w:val="00772C6E"/>
    <w:rsid w:val="00772EDF"/>
    <w:rsid w:val="007753AE"/>
    <w:rsid w:val="007772B0"/>
    <w:rsid w:val="007778FA"/>
    <w:rsid w:val="007803C3"/>
    <w:rsid w:val="007807B4"/>
    <w:rsid w:val="00780CD0"/>
    <w:rsid w:val="007810F8"/>
    <w:rsid w:val="00781C49"/>
    <w:rsid w:val="00781DD0"/>
    <w:rsid w:val="00782204"/>
    <w:rsid w:val="00782410"/>
    <w:rsid w:val="00782CF3"/>
    <w:rsid w:val="007858A7"/>
    <w:rsid w:val="007935F3"/>
    <w:rsid w:val="00793F88"/>
    <w:rsid w:val="007A291D"/>
    <w:rsid w:val="007A2BB9"/>
    <w:rsid w:val="007A37C1"/>
    <w:rsid w:val="007B0EDF"/>
    <w:rsid w:val="007B138B"/>
    <w:rsid w:val="007B1D81"/>
    <w:rsid w:val="007B2DD1"/>
    <w:rsid w:val="007B6BDE"/>
    <w:rsid w:val="007B6E9B"/>
    <w:rsid w:val="007B760F"/>
    <w:rsid w:val="007C0C23"/>
    <w:rsid w:val="007C324B"/>
    <w:rsid w:val="007D0D90"/>
    <w:rsid w:val="007D1957"/>
    <w:rsid w:val="007D2579"/>
    <w:rsid w:val="007D382C"/>
    <w:rsid w:val="007D697A"/>
    <w:rsid w:val="007E130C"/>
    <w:rsid w:val="007E2539"/>
    <w:rsid w:val="007E38A3"/>
    <w:rsid w:val="007E50D1"/>
    <w:rsid w:val="007E5B50"/>
    <w:rsid w:val="007E6A10"/>
    <w:rsid w:val="007F1122"/>
    <w:rsid w:val="007F1D20"/>
    <w:rsid w:val="007F2502"/>
    <w:rsid w:val="007F2A33"/>
    <w:rsid w:val="007F3D26"/>
    <w:rsid w:val="007F6C1D"/>
    <w:rsid w:val="007F6EBA"/>
    <w:rsid w:val="007F6F92"/>
    <w:rsid w:val="008034AB"/>
    <w:rsid w:val="00805AE8"/>
    <w:rsid w:val="0080772B"/>
    <w:rsid w:val="008116DA"/>
    <w:rsid w:val="00812832"/>
    <w:rsid w:val="00813050"/>
    <w:rsid w:val="0081424D"/>
    <w:rsid w:val="0081467A"/>
    <w:rsid w:val="00815100"/>
    <w:rsid w:val="00816925"/>
    <w:rsid w:val="00817475"/>
    <w:rsid w:val="008222A9"/>
    <w:rsid w:val="00823B08"/>
    <w:rsid w:val="00825726"/>
    <w:rsid w:val="0082620E"/>
    <w:rsid w:val="0082787C"/>
    <w:rsid w:val="00830B7D"/>
    <w:rsid w:val="0083441B"/>
    <w:rsid w:val="008359DD"/>
    <w:rsid w:val="008410FE"/>
    <w:rsid w:val="0084114E"/>
    <w:rsid w:val="0084204E"/>
    <w:rsid w:val="008437B4"/>
    <w:rsid w:val="008472FF"/>
    <w:rsid w:val="00847F11"/>
    <w:rsid w:val="0085033B"/>
    <w:rsid w:val="008506E7"/>
    <w:rsid w:val="00850ECB"/>
    <w:rsid w:val="00851767"/>
    <w:rsid w:val="00852647"/>
    <w:rsid w:val="00852FC1"/>
    <w:rsid w:val="00855B57"/>
    <w:rsid w:val="00861DA1"/>
    <w:rsid w:val="00861F3B"/>
    <w:rsid w:val="00863720"/>
    <w:rsid w:val="0086385E"/>
    <w:rsid w:val="008659AE"/>
    <w:rsid w:val="008665A7"/>
    <w:rsid w:val="00870324"/>
    <w:rsid w:val="00871925"/>
    <w:rsid w:val="00871A12"/>
    <w:rsid w:val="008737D0"/>
    <w:rsid w:val="00874992"/>
    <w:rsid w:val="00876B8D"/>
    <w:rsid w:val="00876FA6"/>
    <w:rsid w:val="008773DB"/>
    <w:rsid w:val="00880D6C"/>
    <w:rsid w:val="008811F2"/>
    <w:rsid w:val="0088139D"/>
    <w:rsid w:val="0088307C"/>
    <w:rsid w:val="00886324"/>
    <w:rsid w:val="0088698F"/>
    <w:rsid w:val="00886B3B"/>
    <w:rsid w:val="0089104A"/>
    <w:rsid w:val="00892A1B"/>
    <w:rsid w:val="008941F2"/>
    <w:rsid w:val="008958B5"/>
    <w:rsid w:val="008969D4"/>
    <w:rsid w:val="00896B81"/>
    <w:rsid w:val="008A14A4"/>
    <w:rsid w:val="008A4A3F"/>
    <w:rsid w:val="008A515A"/>
    <w:rsid w:val="008B1EDD"/>
    <w:rsid w:val="008B3F33"/>
    <w:rsid w:val="008B640E"/>
    <w:rsid w:val="008B74FA"/>
    <w:rsid w:val="008C02C6"/>
    <w:rsid w:val="008C107C"/>
    <w:rsid w:val="008C15FF"/>
    <w:rsid w:val="008C3D00"/>
    <w:rsid w:val="008C4621"/>
    <w:rsid w:val="008C59F4"/>
    <w:rsid w:val="008C5AAE"/>
    <w:rsid w:val="008C69F9"/>
    <w:rsid w:val="008C6A95"/>
    <w:rsid w:val="008D3D7E"/>
    <w:rsid w:val="008D3F8A"/>
    <w:rsid w:val="008D496E"/>
    <w:rsid w:val="008D721B"/>
    <w:rsid w:val="008D723D"/>
    <w:rsid w:val="008E087D"/>
    <w:rsid w:val="008E0DD6"/>
    <w:rsid w:val="008E1FBD"/>
    <w:rsid w:val="008E296D"/>
    <w:rsid w:val="008E306F"/>
    <w:rsid w:val="008E5165"/>
    <w:rsid w:val="008E7A89"/>
    <w:rsid w:val="008F0058"/>
    <w:rsid w:val="008F0150"/>
    <w:rsid w:val="008F104C"/>
    <w:rsid w:val="008F17B2"/>
    <w:rsid w:val="008F41D1"/>
    <w:rsid w:val="008F4A51"/>
    <w:rsid w:val="008F4C6E"/>
    <w:rsid w:val="008F4FCF"/>
    <w:rsid w:val="008F5BAC"/>
    <w:rsid w:val="008F66F9"/>
    <w:rsid w:val="008F6FBD"/>
    <w:rsid w:val="008F777C"/>
    <w:rsid w:val="008F7AB3"/>
    <w:rsid w:val="00900AA7"/>
    <w:rsid w:val="009017A6"/>
    <w:rsid w:val="00911298"/>
    <w:rsid w:val="0091295E"/>
    <w:rsid w:val="009135B4"/>
    <w:rsid w:val="00917514"/>
    <w:rsid w:val="00920D59"/>
    <w:rsid w:val="0092380C"/>
    <w:rsid w:val="009256D4"/>
    <w:rsid w:val="009258E7"/>
    <w:rsid w:val="009278CE"/>
    <w:rsid w:val="00927C6A"/>
    <w:rsid w:val="009301E8"/>
    <w:rsid w:val="0093182A"/>
    <w:rsid w:val="00931AF2"/>
    <w:rsid w:val="00932E6C"/>
    <w:rsid w:val="00932FED"/>
    <w:rsid w:val="00934D49"/>
    <w:rsid w:val="00935D4B"/>
    <w:rsid w:val="00936300"/>
    <w:rsid w:val="00936A7C"/>
    <w:rsid w:val="00936AD5"/>
    <w:rsid w:val="00943F9D"/>
    <w:rsid w:val="00946DD7"/>
    <w:rsid w:val="009472D0"/>
    <w:rsid w:val="00951EE4"/>
    <w:rsid w:val="009526DF"/>
    <w:rsid w:val="00952B60"/>
    <w:rsid w:val="00953294"/>
    <w:rsid w:val="00961542"/>
    <w:rsid w:val="00961CBF"/>
    <w:rsid w:val="00970481"/>
    <w:rsid w:val="0097064E"/>
    <w:rsid w:val="009710EE"/>
    <w:rsid w:val="00974459"/>
    <w:rsid w:val="00975189"/>
    <w:rsid w:val="00976EA6"/>
    <w:rsid w:val="00976F27"/>
    <w:rsid w:val="009803EB"/>
    <w:rsid w:val="00983C74"/>
    <w:rsid w:val="00985537"/>
    <w:rsid w:val="009859CA"/>
    <w:rsid w:val="00987145"/>
    <w:rsid w:val="00987891"/>
    <w:rsid w:val="00990C53"/>
    <w:rsid w:val="00991D90"/>
    <w:rsid w:val="00994555"/>
    <w:rsid w:val="009962D7"/>
    <w:rsid w:val="009964B3"/>
    <w:rsid w:val="00996F5D"/>
    <w:rsid w:val="009A10B5"/>
    <w:rsid w:val="009A5290"/>
    <w:rsid w:val="009A77B7"/>
    <w:rsid w:val="009B0DA3"/>
    <w:rsid w:val="009B454B"/>
    <w:rsid w:val="009B5711"/>
    <w:rsid w:val="009B6E56"/>
    <w:rsid w:val="009C14F9"/>
    <w:rsid w:val="009D1589"/>
    <w:rsid w:val="009D6BAF"/>
    <w:rsid w:val="009D6CD7"/>
    <w:rsid w:val="009D6EB2"/>
    <w:rsid w:val="009D75EF"/>
    <w:rsid w:val="009D7A9F"/>
    <w:rsid w:val="009E4796"/>
    <w:rsid w:val="009E53C1"/>
    <w:rsid w:val="009E5591"/>
    <w:rsid w:val="009E60E1"/>
    <w:rsid w:val="009E75CE"/>
    <w:rsid w:val="009E7860"/>
    <w:rsid w:val="009E7889"/>
    <w:rsid w:val="009F1C9B"/>
    <w:rsid w:val="009F4E52"/>
    <w:rsid w:val="009F75E4"/>
    <w:rsid w:val="00A0076A"/>
    <w:rsid w:val="00A00A4F"/>
    <w:rsid w:val="00A01142"/>
    <w:rsid w:val="00A01F5A"/>
    <w:rsid w:val="00A02A1D"/>
    <w:rsid w:val="00A03419"/>
    <w:rsid w:val="00A03FBC"/>
    <w:rsid w:val="00A0450C"/>
    <w:rsid w:val="00A069CD"/>
    <w:rsid w:val="00A07629"/>
    <w:rsid w:val="00A079B6"/>
    <w:rsid w:val="00A114D4"/>
    <w:rsid w:val="00A11FE9"/>
    <w:rsid w:val="00A12399"/>
    <w:rsid w:val="00A14682"/>
    <w:rsid w:val="00A14949"/>
    <w:rsid w:val="00A15173"/>
    <w:rsid w:val="00A16328"/>
    <w:rsid w:val="00A20395"/>
    <w:rsid w:val="00A239F1"/>
    <w:rsid w:val="00A30236"/>
    <w:rsid w:val="00A31F2A"/>
    <w:rsid w:val="00A321F0"/>
    <w:rsid w:val="00A3227C"/>
    <w:rsid w:val="00A35A1F"/>
    <w:rsid w:val="00A36CBD"/>
    <w:rsid w:val="00A37939"/>
    <w:rsid w:val="00A40576"/>
    <w:rsid w:val="00A406A5"/>
    <w:rsid w:val="00A41362"/>
    <w:rsid w:val="00A418AD"/>
    <w:rsid w:val="00A41AB9"/>
    <w:rsid w:val="00A42BF0"/>
    <w:rsid w:val="00A43C5D"/>
    <w:rsid w:val="00A4583C"/>
    <w:rsid w:val="00A465B1"/>
    <w:rsid w:val="00A465CE"/>
    <w:rsid w:val="00A46724"/>
    <w:rsid w:val="00A46A18"/>
    <w:rsid w:val="00A50287"/>
    <w:rsid w:val="00A50DA6"/>
    <w:rsid w:val="00A52EAF"/>
    <w:rsid w:val="00A5424F"/>
    <w:rsid w:val="00A57B75"/>
    <w:rsid w:val="00A605C5"/>
    <w:rsid w:val="00A64D68"/>
    <w:rsid w:val="00A66381"/>
    <w:rsid w:val="00A6743B"/>
    <w:rsid w:val="00A705E9"/>
    <w:rsid w:val="00A7105B"/>
    <w:rsid w:val="00A71409"/>
    <w:rsid w:val="00A724C9"/>
    <w:rsid w:val="00A72918"/>
    <w:rsid w:val="00A72BDD"/>
    <w:rsid w:val="00A73836"/>
    <w:rsid w:val="00A73CDD"/>
    <w:rsid w:val="00A73DB2"/>
    <w:rsid w:val="00A75587"/>
    <w:rsid w:val="00A75AF2"/>
    <w:rsid w:val="00A76038"/>
    <w:rsid w:val="00A7640C"/>
    <w:rsid w:val="00A81644"/>
    <w:rsid w:val="00A8191D"/>
    <w:rsid w:val="00A82721"/>
    <w:rsid w:val="00A8475E"/>
    <w:rsid w:val="00A84B18"/>
    <w:rsid w:val="00A85B6F"/>
    <w:rsid w:val="00A86529"/>
    <w:rsid w:val="00A879F9"/>
    <w:rsid w:val="00A87F8A"/>
    <w:rsid w:val="00A91308"/>
    <w:rsid w:val="00A913C0"/>
    <w:rsid w:val="00A91ADF"/>
    <w:rsid w:val="00A921D4"/>
    <w:rsid w:val="00A92FE7"/>
    <w:rsid w:val="00A94AEC"/>
    <w:rsid w:val="00AA02E1"/>
    <w:rsid w:val="00AA045A"/>
    <w:rsid w:val="00AA7C68"/>
    <w:rsid w:val="00AB061A"/>
    <w:rsid w:val="00AB3012"/>
    <w:rsid w:val="00AB3D6F"/>
    <w:rsid w:val="00AC0936"/>
    <w:rsid w:val="00AC1318"/>
    <w:rsid w:val="00AC45B0"/>
    <w:rsid w:val="00AC4A09"/>
    <w:rsid w:val="00AC51DF"/>
    <w:rsid w:val="00AC6407"/>
    <w:rsid w:val="00AD06B7"/>
    <w:rsid w:val="00AD2E01"/>
    <w:rsid w:val="00AD362A"/>
    <w:rsid w:val="00AD5A72"/>
    <w:rsid w:val="00AD7E0E"/>
    <w:rsid w:val="00AD7E1B"/>
    <w:rsid w:val="00AE0F00"/>
    <w:rsid w:val="00AE1407"/>
    <w:rsid w:val="00AE1783"/>
    <w:rsid w:val="00AE3316"/>
    <w:rsid w:val="00AE5562"/>
    <w:rsid w:val="00AE57D0"/>
    <w:rsid w:val="00AE7D90"/>
    <w:rsid w:val="00AF1823"/>
    <w:rsid w:val="00AF1BD9"/>
    <w:rsid w:val="00AF1EA6"/>
    <w:rsid w:val="00AF23C9"/>
    <w:rsid w:val="00AF57D5"/>
    <w:rsid w:val="00B001F8"/>
    <w:rsid w:val="00B00BDF"/>
    <w:rsid w:val="00B02122"/>
    <w:rsid w:val="00B02595"/>
    <w:rsid w:val="00B029E7"/>
    <w:rsid w:val="00B029F2"/>
    <w:rsid w:val="00B029FD"/>
    <w:rsid w:val="00B03471"/>
    <w:rsid w:val="00B03489"/>
    <w:rsid w:val="00B0389E"/>
    <w:rsid w:val="00B04EE1"/>
    <w:rsid w:val="00B07286"/>
    <w:rsid w:val="00B07BBE"/>
    <w:rsid w:val="00B10E77"/>
    <w:rsid w:val="00B13207"/>
    <w:rsid w:val="00B203C5"/>
    <w:rsid w:val="00B2076F"/>
    <w:rsid w:val="00B209A2"/>
    <w:rsid w:val="00B22B00"/>
    <w:rsid w:val="00B24DF3"/>
    <w:rsid w:val="00B27F62"/>
    <w:rsid w:val="00B31FE6"/>
    <w:rsid w:val="00B36AE6"/>
    <w:rsid w:val="00B40810"/>
    <w:rsid w:val="00B4265F"/>
    <w:rsid w:val="00B4647A"/>
    <w:rsid w:val="00B47665"/>
    <w:rsid w:val="00B476C9"/>
    <w:rsid w:val="00B503F6"/>
    <w:rsid w:val="00B5500D"/>
    <w:rsid w:val="00B55172"/>
    <w:rsid w:val="00B66265"/>
    <w:rsid w:val="00B662C0"/>
    <w:rsid w:val="00B6781B"/>
    <w:rsid w:val="00B67870"/>
    <w:rsid w:val="00B711DE"/>
    <w:rsid w:val="00B734D2"/>
    <w:rsid w:val="00B7734B"/>
    <w:rsid w:val="00B87550"/>
    <w:rsid w:val="00B87C5E"/>
    <w:rsid w:val="00B9051D"/>
    <w:rsid w:val="00B91D9C"/>
    <w:rsid w:val="00B926B5"/>
    <w:rsid w:val="00B928DC"/>
    <w:rsid w:val="00B93220"/>
    <w:rsid w:val="00B93BD1"/>
    <w:rsid w:val="00B943D1"/>
    <w:rsid w:val="00B95767"/>
    <w:rsid w:val="00B95D00"/>
    <w:rsid w:val="00B96939"/>
    <w:rsid w:val="00B972B2"/>
    <w:rsid w:val="00B97BF8"/>
    <w:rsid w:val="00BA05DE"/>
    <w:rsid w:val="00BA15E8"/>
    <w:rsid w:val="00BA40E9"/>
    <w:rsid w:val="00BA510F"/>
    <w:rsid w:val="00BA5269"/>
    <w:rsid w:val="00BA6121"/>
    <w:rsid w:val="00BA6AD0"/>
    <w:rsid w:val="00BA6F72"/>
    <w:rsid w:val="00BB1C4F"/>
    <w:rsid w:val="00BB2A10"/>
    <w:rsid w:val="00BB38B5"/>
    <w:rsid w:val="00BB3B88"/>
    <w:rsid w:val="00BB4033"/>
    <w:rsid w:val="00BB505A"/>
    <w:rsid w:val="00BB769F"/>
    <w:rsid w:val="00BC07C7"/>
    <w:rsid w:val="00BC521F"/>
    <w:rsid w:val="00BC5274"/>
    <w:rsid w:val="00BC5411"/>
    <w:rsid w:val="00BC56F6"/>
    <w:rsid w:val="00BD6CFF"/>
    <w:rsid w:val="00BD73D8"/>
    <w:rsid w:val="00BE2FE3"/>
    <w:rsid w:val="00BE3108"/>
    <w:rsid w:val="00BE4026"/>
    <w:rsid w:val="00BE4AB6"/>
    <w:rsid w:val="00BE7B4C"/>
    <w:rsid w:val="00BF0AB8"/>
    <w:rsid w:val="00BF2438"/>
    <w:rsid w:val="00BF2746"/>
    <w:rsid w:val="00BF2C4A"/>
    <w:rsid w:val="00BF3B76"/>
    <w:rsid w:val="00BF45FB"/>
    <w:rsid w:val="00BF584F"/>
    <w:rsid w:val="00BF5A19"/>
    <w:rsid w:val="00BF5ED7"/>
    <w:rsid w:val="00BF5FDA"/>
    <w:rsid w:val="00BF65BB"/>
    <w:rsid w:val="00BF7449"/>
    <w:rsid w:val="00BF7935"/>
    <w:rsid w:val="00C019EC"/>
    <w:rsid w:val="00C01C68"/>
    <w:rsid w:val="00C02C66"/>
    <w:rsid w:val="00C036A6"/>
    <w:rsid w:val="00C04D64"/>
    <w:rsid w:val="00C05A76"/>
    <w:rsid w:val="00C07666"/>
    <w:rsid w:val="00C11591"/>
    <w:rsid w:val="00C1254F"/>
    <w:rsid w:val="00C12F65"/>
    <w:rsid w:val="00C13FED"/>
    <w:rsid w:val="00C14679"/>
    <w:rsid w:val="00C14ABC"/>
    <w:rsid w:val="00C14BC4"/>
    <w:rsid w:val="00C15B53"/>
    <w:rsid w:val="00C164D3"/>
    <w:rsid w:val="00C2174A"/>
    <w:rsid w:val="00C21F9B"/>
    <w:rsid w:val="00C2553E"/>
    <w:rsid w:val="00C26B4C"/>
    <w:rsid w:val="00C349B9"/>
    <w:rsid w:val="00C3522F"/>
    <w:rsid w:val="00C41330"/>
    <w:rsid w:val="00C41CAC"/>
    <w:rsid w:val="00C41EE5"/>
    <w:rsid w:val="00C43BE0"/>
    <w:rsid w:val="00C43E41"/>
    <w:rsid w:val="00C4453B"/>
    <w:rsid w:val="00C44ACE"/>
    <w:rsid w:val="00C45082"/>
    <w:rsid w:val="00C45224"/>
    <w:rsid w:val="00C45283"/>
    <w:rsid w:val="00C46257"/>
    <w:rsid w:val="00C47C10"/>
    <w:rsid w:val="00C50030"/>
    <w:rsid w:val="00C50C93"/>
    <w:rsid w:val="00C5565B"/>
    <w:rsid w:val="00C556AB"/>
    <w:rsid w:val="00C55B5D"/>
    <w:rsid w:val="00C56987"/>
    <w:rsid w:val="00C57867"/>
    <w:rsid w:val="00C60256"/>
    <w:rsid w:val="00C602BE"/>
    <w:rsid w:val="00C61037"/>
    <w:rsid w:val="00C61241"/>
    <w:rsid w:val="00C62435"/>
    <w:rsid w:val="00C63343"/>
    <w:rsid w:val="00C6387C"/>
    <w:rsid w:val="00C664CC"/>
    <w:rsid w:val="00C72B26"/>
    <w:rsid w:val="00C73865"/>
    <w:rsid w:val="00C77F62"/>
    <w:rsid w:val="00C80269"/>
    <w:rsid w:val="00C81F10"/>
    <w:rsid w:val="00C83A51"/>
    <w:rsid w:val="00C8448E"/>
    <w:rsid w:val="00C855DD"/>
    <w:rsid w:val="00C86653"/>
    <w:rsid w:val="00C911BF"/>
    <w:rsid w:val="00C93F95"/>
    <w:rsid w:val="00C97CC0"/>
    <w:rsid w:val="00CA0B92"/>
    <w:rsid w:val="00CA2269"/>
    <w:rsid w:val="00CA3F64"/>
    <w:rsid w:val="00CA5EC8"/>
    <w:rsid w:val="00CB3487"/>
    <w:rsid w:val="00CB367F"/>
    <w:rsid w:val="00CB5C96"/>
    <w:rsid w:val="00CB6CCB"/>
    <w:rsid w:val="00CB7257"/>
    <w:rsid w:val="00CB7AE8"/>
    <w:rsid w:val="00CC09F0"/>
    <w:rsid w:val="00CC2310"/>
    <w:rsid w:val="00CC291D"/>
    <w:rsid w:val="00CC29CF"/>
    <w:rsid w:val="00CC47BC"/>
    <w:rsid w:val="00CC4A7B"/>
    <w:rsid w:val="00CC6F60"/>
    <w:rsid w:val="00CD09B7"/>
    <w:rsid w:val="00CD0FE8"/>
    <w:rsid w:val="00CD3809"/>
    <w:rsid w:val="00CD58B3"/>
    <w:rsid w:val="00CD5D80"/>
    <w:rsid w:val="00CD650B"/>
    <w:rsid w:val="00CD77F1"/>
    <w:rsid w:val="00CE3A89"/>
    <w:rsid w:val="00CE3EBB"/>
    <w:rsid w:val="00CE6974"/>
    <w:rsid w:val="00CE7411"/>
    <w:rsid w:val="00CE782F"/>
    <w:rsid w:val="00CF14D8"/>
    <w:rsid w:val="00CF1858"/>
    <w:rsid w:val="00CF3B7D"/>
    <w:rsid w:val="00CF497E"/>
    <w:rsid w:val="00CF5021"/>
    <w:rsid w:val="00CF6277"/>
    <w:rsid w:val="00D02D6E"/>
    <w:rsid w:val="00D04352"/>
    <w:rsid w:val="00D04C21"/>
    <w:rsid w:val="00D055C1"/>
    <w:rsid w:val="00D05F54"/>
    <w:rsid w:val="00D068DB"/>
    <w:rsid w:val="00D073A1"/>
    <w:rsid w:val="00D0795C"/>
    <w:rsid w:val="00D07A2A"/>
    <w:rsid w:val="00D11763"/>
    <w:rsid w:val="00D14660"/>
    <w:rsid w:val="00D14DBB"/>
    <w:rsid w:val="00D163B7"/>
    <w:rsid w:val="00D16F6D"/>
    <w:rsid w:val="00D17968"/>
    <w:rsid w:val="00D17D19"/>
    <w:rsid w:val="00D21702"/>
    <w:rsid w:val="00D247C6"/>
    <w:rsid w:val="00D2549A"/>
    <w:rsid w:val="00D32FAB"/>
    <w:rsid w:val="00D34F31"/>
    <w:rsid w:val="00D358FE"/>
    <w:rsid w:val="00D413C6"/>
    <w:rsid w:val="00D42ECD"/>
    <w:rsid w:val="00D43558"/>
    <w:rsid w:val="00D440B1"/>
    <w:rsid w:val="00D445BE"/>
    <w:rsid w:val="00D4486D"/>
    <w:rsid w:val="00D464E3"/>
    <w:rsid w:val="00D53197"/>
    <w:rsid w:val="00D5396B"/>
    <w:rsid w:val="00D53D86"/>
    <w:rsid w:val="00D549D8"/>
    <w:rsid w:val="00D55CCD"/>
    <w:rsid w:val="00D63674"/>
    <w:rsid w:val="00D67154"/>
    <w:rsid w:val="00D70A15"/>
    <w:rsid w:val="00D72240"/>
    <w:rsid w:val="00D74D08"/>
    <w:rsid w:val="00D76C99"/>
    <w:rsid w:val="00D77C8F"/>
    <w:rsid w:val="00D80A94"/>
    <w:rsid w:val="00D81352"/>
    <w:rsid w:val="00D829E5"/>
    <w:rsid w:val="00D84F7B"/>
    <w:rsid w:val="00D8718E"/>
    <w:rsid w:val="00D87B15"/>
    <w:rsid w:val="00D9098B"/>
    <w:rsid w:val="00D92EA9"/>
    <w:rsid w:val="00D93E36"/>
    <w:rsid w:val="00D95A3C"/>
    <w:rsid w:val="00D95F90"/>
    <w:rsid w:val="00DA2AEF"/>
    <w:rsid w:val="00DA790E"/>
    <w:rsid w:val="00DB0127"/>
    <w:rsid w:val="00DB2804"/>
    <w:rsid w:val="00DB3AE9"/>
    <w:rsid w:val="00DB4001"/>
    <w:rsid w:val="00DB41B3"/>
    <w:rsid w:val="00DC0E74"/>
    <w:rsid w:val="00DC0F0D"/>
    <w:rsid w:val="00DC1A0B"/>
    <w:rsid w:val="00DC617A"/>
    <w:rsid w:val="00DC6AE7"/>
    <w:rsid w:val="00DC7D0E"/>
    <w:rsid w:val="00DD156C"/>
    <w:rsid w:val="00DD225D"/>
    <w:rsid w:val="00DD359B"/>
    <w:rsid w:val="00DD6A82"/>
    <w:rsid w:val="00DE0EDF"/>
    <w:rsid w:val="00DE240D"/>
    <w:rsid w:val="00DE301F"/>
    <w:rsid w:val="00DE571B"/>
    <w:rsid w:val="00DE5B61"/>
    <w:rsid w:val="00DF26F1"/>
    <w:rsid w:val="00DF294E"/>
    <w:rsid w:val="00DF3294"/>
    <w:rsid w:val="00DF3AEB"/>
    <w:rsid w:val="00DF5956"/>
    <w:rsid w:val="00DF6668"/>
    <w:rsid w:val="00E048BC"/>
    <w:rsid w:val="00E04E89"/>
    <w:rsid w:val="00E0543D"/>
    <w:rsid w:val="00E05F55"/>
    <w:rsid w:val="00E07DF8"/>
    <w:rsid w:val="00E1033F"/>
    <w:rsid w:val="00E1058D"/>
    <w:rsid w:val="00E122F6"/>
    <w:rsid w:val="00E134B7"/>
    <w:rsid w:val="00E14049"/>
    <w:rsid w:val="00E17267"/>
    <w:rsid w:val="00E23445"/>
    <w:rsid w:val="00E2748A"/>
    <w:rsid w:val="00E32852"/>
    <w:rsid w:val="00E33B44"/>
    <w:rsid w:val="00E348D3"/>
    <w:rsid w:val="00E360C0"/>
    <w:rsid w:val="00E3626E"/>
    <w:rsid w:val="00E41214"/>
    <w:rsid w:val="00E42C2F"/>
    <w:rsid w:val="00E430AE"/>
    <w:rsid w:val="00E43A41"/>
    <w:rsid w:val="00E43D39"/>
    <w:rsid w:val="00E43DB9"/>
    <w:rsid w:val="00E47FC2"/>
    <w:rsid w:val="00E50025"/>
    <w:rsid w:val="00E50BE7"/>
    <w:rsid w:val="00E520E8"/>
    <w:rsid w:val="00E5291E"/>
    <w:rsid w:val="00E52A15"/>
    <w:rsid w:val="00E537E4"/>
    <w:rsid w:val="00E5383D"/>
    <w:rsid w:val="00E5398A"/>
    <w:rsid w:val="00E60171"/>
    <w:rsid w:val="00E609D2"/>
    <w:rsid w:val="00E61BF1"/>
    <w:rsid w:val="00E661EC"/>
    <w:rsid w:val="00E668F4"/>
    <w:rsid w:val="00E71E25"/>
    <w:rsid w:val="00E7236D"/>
    <w:rsid w:val="00E74082"/>
    <w:rsid w:val="00E74967"/>
    <w:rsid w:val="00E76063"/>
    <w:rsid w:val="00E81A68"/>
    <w:rsid w:val="00E81B4B"/>
    <w:rsid w:val="00E8223B"/>
    <w:rsid w:val="00E82859"/>
    <w:rsid w:val="00E8302F"/>
    <w:rsid w:val="00E83F7A"/>
    <w:rsid w:val="00E92DAB"/>
    <w:rsid w:val="00E930B2"/>
    <w:rsid w:val="00E93F05"/>
    <w:rsid w:val="00E96093"/>
    <w:rsid w:val="00E96BC4"/>
    <w:rsid w:val="00E96D98"/>
    <w:rsid w:val="00E96FDD"/>
    <w:rsid w:val="00EA03AA"/>
    <w:rsid w:val="00EA03B5"/>
    <w:rsid w:val="00EA1157"/>
    <w:rsid w:val="00EA3B12"/>
    <w:rsid w:val="00EA56AF"/>
    <w:rsid w:val="00EA6EF9"/>
    <w:rsid w:val="00EA7B6F"/>
    <w:rsid w:val="00EB1884"/>
    <w:rsid w:val="00EB5887"/>
    <w:rsid w:val="00EB5B4B"/>
    <w:rsid w:val="00EB5BF3"/>
    <w:rsid w:val="00EB6E10"/>
    <w:rsid w:val="00EB780F"/>
    <w:rsid w:val="00EC31C6"/>
    <w:rsid w:val="00EC31CB"/>
    <w:rsid w:val="00EC7E10"/>
    <w:rsid w:val="00ED002D"/>
    <w:rsid w:val="00ED01FC"/>
    <w:rsid w:val="00ED223D"/>
    <w:rsid w:val="00ED34F4"/>
    <w:rsid w:val="00ED3FDF"/>
    <w:rsid w:val="00ED41CD"/>
    <w:rsid w:val="00ED5A91"/>
    <w:rsid w:val="00EE00CC"/>
    <w:rsid w:val="00EE0BEB"/>
    <w:rsid w:val="00EE4AA5"/>
    <w:rsid w:val="00EE5676"/>
    <w:rsid w:val="00EE7027"/>
    <w:rsid w:val="00EE74BA"/>
    <w:rsid w:val="00EF3C0E"/>
    <w:rsid w:val="00EF4442"/>
    <w:rsid w:val="00EF5026"/>
    <w:rsid w:val="00EF56D1"/>
    <w:rsid w:val="00EF69DF"/>
    <w:rsid w:val="00EF6FC9"/>
    <w:rsid w:val="00EF764D"/>
    <w:rsid w:val="00F03DFC"/>
    <w:rsid w:val="00F0426A"/>
    <w:rsid w:val="00F04DDF"/>
    <w:rsid w:val="00F06000"/>
    <w:rsid w:val="00F0613B"/>
    <w:rsid w:val="00F06C36"/>
    <w:rsid w:val="00F06ED5"/>
    <w:rsid w:val="00F07078"/>
    <w:rsid w:val="00F1055E"/>
    <w:rsid w:val="00F13FF6"/>
    <w:rsid w:val="00F14690"/>
    <w:rsid w:val="00F15014"/>
    <w:rsid w:val="00F153BF"/>
    <w:rsid w:val="00F1570E"/>
    <w:rsid w:val="00F2049F"/>
    <w:rsid w:val="00F21B70"/>
    <w:rsid w:val="00F21D36"/>
    <w:rsid w:val="00F21F86"/>
    <w:rsid w:val="00F230C6"/>
    <w:rsid w:val="00F2318F"/>
    <w:rsid w:val="00F24051"/>
    <w:rsid w:val="00F24FCD"/>
    <w:rsid w:val="00F26B1D"/>
    <w:rsid w:val="00F30CAB"/>
    <w:rsid w:val="00F366FF"/>
    <w:rsid w:val="00F36867"/>
    <w:rsid w:val="00F373A1"/>
    <w:rsid w:val="00F43706"/>
    <w:rsid w:val="00F43A22"/>
    <w:rsid w:val="00F44F69"/>
    <w:rsid w:val="00F550E6"/>
    <w:rsid w:val="00F57B69"/>
    <w:rsid w:val="00F62E55"/>
    <w:rsid w:val="00F647AF"/>
    <w:rsid w:val="00F6492F"/>
    <w:rsid w:val="00F64F41"/>
    <w:rsid w:val="00F6509D"/>
    <w:rsid w:val="00F65678"/>
    <w:rsid w:val="00F67700"/>
    <w:rsid w:val="00F67EE5"/>
    <w:rsid w:val="00F704EC"/>
    <w:rsid w:val="00F7078F"/>
    <w:rsid w:val="00F70C4A"/>
    <w:rsid w:val="00F72FAB"/>
    <w:rsid w:val="00F739F7"/>
    <w:rsid w:val="00F741A1"/>
    <w:rsid w:val="00F77466"/>
    <w:rsid w:val="00F774DB"/>
    <w:rsid w:val="00F80067"/>
    <w:rsid w:val="00F84B14"/>
    <w:rsid w:val="00F85C68"/>
    <w:rsid w:val="00F86409"/>
    <w:rsid w:val="00F86B41"/>
    <w:rsid w:val="00F903B2"/>
    <w:rsid w:val="00F90A2E"/>
    <w:rsid w:val="00F914B5"/>
    <w:rsid w:val="00F91A02"/>
    <w:rsid w:val="00F9278A"/>
    <w:rsid w:val="00F92864"/>
    <w:rsid w:val="00F94AE3"/>
    <w:rsid w:val="00F97458"/>
    <w:rsid w:val="00F97585"/>
    <w:rsid w:val="00F97C60"/>
    <w:rsid w:val="00FA10C9"/>
    <w:rsid w:val="00FA1565"/>
    <w:rsid w:val="00FA19B9"/>
    <w:rsid w:val="00FA1F4F"/>
    <w:rsid w:val="00FA276E"/>
    <w:rsid w:val="00FA3692"/>
    <w:rsid w:val="00FA3BFC"/>
    <w:rsid w:val="00FA3CB0"/>
    <w:rsid w:val="00FA4881"/>
    <w:rsid w:val="00FA48A0"/>
    <w:rsid w:val="00FA573C"/>
    <w:rsid w:val="00FA65B9"/>
    <w:rsid w:val="00FA71BF"/>
    <w:rsid w:val="00FB05AD"/>
    <w:rsid w:val="00FB321F"/>
    <w:rsid w:val="00FB34D2"/>
    <w:rsid w:val="00FB6A8D"/>
    <w:rsid w:val="00FC226E"/>
    <w:rsid w:val="00FC5BEE"/>
    <w:rsid w:val="00FC5DA9"/>
    <w:rsid w:val="00FC6E17"/>
    <w:rsid w:val="00FC71B1"/>
    <w:rsid w:val="00FC7642"/>
    <w:rsid w:val="00FC7BFF"/>
    <w:rsid w:val="00FD0C35"/>
    <w:rsid w:val="00FD16A2"/>
    <w:rsid w:val="00FD2088"/>
    <w:rsid w:val="00FD5934"/>
    <w:rsid w:val="00FD5EC2"/>
    <w:rsid w:val="00FD6F5F"/>
    <w:rsid w:val="00FE002D"/>
    <w:rsid w:val="00FE1F05"/>
    <w:rsid w:val="00FE5BAC"/>
    <w:rsid w:val="00FF223F"/>
    <w:rsid w:val="00FF24DA"/>
    <w:rsid w:val="00FF5185"/>
    <w:rsid w:val="00FF5F78"/>
    <w:rsid w:val="00FF6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8D528"/>
  <w15:docId w15:val="{FEDB2982-1584-4A1D-98E1-B3B2F7A5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lang w:val="es-MX"/>
    </w:rPr>
  </w:style>
  <w:style w:type="paragraph" w:styleId="Ttulo1">
    <w:name w:val="heading 1"/>
    <w:next w:val="Normal"/>
    <w:link w:val="Ttulo1Car"/>
    <w:uiPriority w:val="99"/>
    <w:qFormat/>
    <w:rsid w:val="00DE301F"/>
    <w:pPr>
      <w:keepNext/>
      <w:keepLines/>
      <w:pageBreakBefore/>
      <w:numPr>
        <w:numId w:val="7"/>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7"/>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7"/>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7"/>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2"/>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lang w:val="es-MX"/>
    </w:rPr>
  </w:style>
  <w:style w:type="paragraph" w:styleId="Textonotapie">
    <w:name w:val="footnote text"/>
    <w:link w:val="TextonotapieCar"/>
    <w:uiPriority w:val="99"/>
    <w:unhideWhenUsed/>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9"/>
      </w:numPr>
      <w:spacing w:after="0"/>
      <w:ind w:left="714" w:hanging="357"/>
    </w:pPr>
  </w:style>
  <w:style w:type="paragraph" w:styleId="Listaconnmeros">
    <w:name w:val="List Number"/>
    <w:basedOn w:val="Normal"/>
    <w:uiPriority w:val="99"/>
    <w:semiHidden/>
    <w:unhideWhenUsed/>
    <w:rsid w:val="003934A0"/>
    <w:pPr>
      <w:numPr>
        <w:numId w:val="3"/>
      </w:numPr>
      <w:contextualSpacing/>
    </w:pPr>
  </w:style>
  <w:style w:type="paragraph" w:customStyle="1" w:styleId="Annex1">
    <w:name w:val="Annex 1"/>
    <w:next w:val="Normal"/>
    <w:qFormat/>
    <w:rsid w:val="00444DA5"/>
    <w:pPr>
      <w:keepNext/>
      <w:pageBreakBefore/>
      <w:numPr>
        <w:numId w:val="4"/>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9"/>
    <w:rsid w:val="00BE4026"/>
    <w:rPr>
      <w:rFonts w:ascii="Times New Roman" w:eastAsiaTheme="majorEastAsia" w:hAnsi="Times New Roman" w:cstheme="majorBidi"/>
      <w:b/>
      <w:bCs/>
      <w:sz w:val="24"/>
      <w:szCs w:val="26"/>
      <w:lang w:val="es-MX"/>
    </w:rPr>
  </w:style>
  <w:style w:type="character" w:customStyle="1" w:styleId="Ttulo3Car">
    <w:name w:val="Título 3 Car"/>
    <w:basedOn w:val="Fuentedeprrafopredeter"/>
    <w:link w:val="Ttulo3"/>
    <w:uiPriority w:val="99"/>
    <w:rsid w:val="0013763A"/>
    <w:rPr>
      <w:rFonts w:ascii="Times New Roman" w:eastAsiaTheme="majorEastAsia" w:hAnsi="Times New Roman" w:cstheme="majorBidi"/>
      <w:b/>
      <w:bCs/>
      <w:lang w:val="es-MX"/>
    </w:rPr>
  </w:style>
  <w:style w:type="numbering" w:styleId="1ai">
    <w:name w:val="Outline List 1"/>
    <w:basedOn w:val="Sinlista"/>
    <w:uiPriority w:val="99"/>
    <w:unhideWhenUsed/>
    <w:rsid w:val="003C6172"/>
    <w:pPr>
      <w:numPr>
        <w:numId w:val="5"/>
      </w:numPr>
    </w:pPr>
  </w:style>
  <w:style w:type="character" w:customStyle="1" w:styleId="TextonotapieCar">
    <w:name w:val="Texto nota pie Car"/>
    <w:basedOn w:val="Fuentedeprrafopredeter"/>
    <w:link w:val="Textonotapie"/>
    <w:uiPriority w:val="99"/>
    <w:rsid w:val="00A705E9"/>
    <w:rPr>
      <w:rFonts w:ascii="Arial" w:hAnsi="Arial"/>
      <w:sz w:val="16"/>
      <w:szCs w:val="20"/>
    </w:rPr>
  </w:style>
  <w:style w:type="character" w:styleId="Refdenotaalpie">
    <w:name w:val="footnote reference"/>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lang w:val="es-MX"/>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6"/>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8"/>
      </w:numPr>
      <w:spacing w:after="200"/>
      <w:ind w:left="357" w:hanging="357"/>
    </w:pPr>
    <w:rPr>
      <w:i/>
    </w:rPr>
  </w:style>
  <w:style w:type="character" w:customStyle="1" w:styleId="H5Char">
    <w:name w:val="H5 Char"/>
    <w:basedOn w:val="Fuentedeprrafopredeter"/>
    <w:link w:val="H5"/>
    <w:rsid w:val="00696966"/>
    <w:rPr>
      <w:rFonts w:ascii="Times New Roman" w:hAnsi="Times New Roman"/>
      <w:i/>
      <w:lang w:val="es-MX"/>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lang w:val="es-MX"/>
    </w:rPr>
  </w:style>
  <w:style w:type="paragraph" w:customStyle="1" w:styleId="Annex2">
    <w:name w:val="Annex 2"/>
    <w:next w:val="Normal"/>
    <w:qFormat/>
    <w:rsid w:val="000C49E3"/>
    <w:pPr>
      <w:keepNext/>
      <w:numPr>
        <w:ilvl w:val="1"/>
        <w:numId w:val="4"/>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4"/>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4"/>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basedOn w:val="Normal"/>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semiHidden/>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styleId="Textoindependiente">
    <w:name w:val="Body Text"/>
    <w:basedOn w:val="Normal"/>
    <w:link w:val="TextoindependienteCar"/>
    <w:uiPriority w:val="99"/>
    <w:unhideWhenUsed/>
    <w:rsid w:val="00E50025"/>
    <w:pPr>
      <w:spacing w:after="120"/>
    </w:pPr>
  </w:style>
  <w:style w:type="character" w:customStyle="1" w:styleId="TextoindependienteCar">
    <w:name w:val="Texto independiente Car"/>
    <w:basedOn w:val="Fuentedeprrafopredeter"/>
    <w:link w:val="Textoindependiente"/>
    <w:uiPriority w:val="99"/>
    <w:rsid w:val="00E50025"/>
    <w:rPr>
      <w:rFonts w:ascii="Times New Roman" w:hAnsi="Times New Roman"/>
    </w:rPr>
  </w:style>
  <w:style w:type="paragraph" w:styleId="Cita">
    <w:name w:val="Quote"/>
    <w:basedOn w:val="Normal"/>
    <w:next w:val="Normal"/>
    <w:link w:val="CitaCar"/>
    <w:uiPriority w:val="29"/>
    <w:qFormat/>
    <w:rsid w:val="008F4FC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F4FCF"/>
    <w:rPr>
      <w:rFonts w:ascii="Times New Roman" w:hAnsi="Times New Roman"/>
      <w:i/>
      <w:iCs/>
      <w:color w:val="404040" w:themeColor="text1" w:themeTint="BF"/>
    </w:rPr>
  </w:style>
  <w:style w:type="paragraph" w:customStyle="1" w:styleId="CitaIFT">
    <w:name w:val="Cita IFT"/>
    <w:basedOn w:val="Normal"/>
    <w:link w:val="CitaIFTCar"/>
    <w:qFormat/>
    <w:rsid w:val="00005E3D"/>
    <w:pPr>
      <w:adjustRightInd w:val="0"/>
      <w:spacing w:after="200" w:line="276" w:lineRule="auto"/>
      <w:ind w:left="851" w:right="760"/>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005E3D"/>
    <w:rPr>
      <w:rFonts w:ascii="ITC Avant Garde" w:eastAsia="Times New Roman" w:hAnsi="ITC Avant Garde" w:cs="Arial"/>
      <w:bCs/>
      <w:i/>
      <w:color w:val="000000"/>
      <w:sz w:val="18"/>
      <w:szCs w:val="18"/>
      <w:lang w:val="es-ES_tradnl" w:eastAsia="es-ES"/>
    </w:rPr>
  </w:style>
  <w:style w:type="paragraph" w:customStyle="1" w:styleId="CondicionesFinales">
    <w:name w:val="CondicionesFinales"/>
    <w:basedOn w:val="Normal"/>
    <w:qFormat/>
    <w:rsid w:val="00043A7C"/>
    <w:pPr>
      <w:adjustRightInd w:val="0"/>
      <w:spacing w:after="200" w:line="276" w:lineRule="auto"/>
      <w:ind w:left="851" w:right="760"/>
    </w:pPr>
    <w:rPr>
      <w:rFonts w:ascii="ITC Avant Garde" w:eastAsia="Times New Roman" w:hAnsi="ITC Avant Garde" w:cs="Arial"/>
      <w:bCs/>
      <w:color w:val="000000"/>
      <w:lang w:val="es-ES_tradnl" w:eastAsia="es-ES"/>
    </w:rPr>
  </w:style>
  <w:style w:type="numbering" w:customStyle="1" w:styleId="1ai1">
    <w:name w:val="1 / a / i1"/>
    <w:basedOn w:val="Sinlista"/>
    <w:next w:val="1ai"/>
    <w:uiPriority w:val="99"/>
    <w:unhideWhenUsed/>
    <w:rsid w:val="00A1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15453693">
      <w:bodyDiv w:val="1"/>
      <w:marLeft w:val="0"/>
      <w:marRight w:val="0"/>
      <w:marTop w:val="0"/>
      <w:marBottom w:val="0"/>
      <w:divBdr>
        <w:top w:val="none" w:sz="0" w:space="0" w:color="auto"/>
        <w:left w:val="none" w:sz="0" w:space="0" w:color="auto"/>
        <w:bottom w:val="none" w:sz="0" w:space="0" w:color="auto"/>
        <w:right w:val="none" w:sz="0" w:space="0" w:color="auto"/>
      </w:divBdr>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72886584">
          <w:marLeft w:val="274"/>
          <w:marRight w:val="0"/>
          <w:marTop w:val="0"/>
          <w:marBottom w:val="120"/>
          <w:divBdr>
            <w:top w:val="none" w:sz="0" w:space="0" w:color="auto"/>
            <w:left w:val="none" w:sz="0" w:space="0" w:color="auto"/>
            <w:bottom w:val="none" w:sz="0" w:space="0" w:color="auto"/>
            <w:right w:val="none" w:sz="0" w:space="0" w:color="auto"/>
          </w:divBdr>
        </w:div>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sChild>
    </w:div>
    <w:div w:id="387918300">
      <w:bodyDiv w:val="1"/>
      <w:marLeft w:val="0"/>
      <w:marRight w:val="0"/>
      <w:marTop w:val="0"/>
      <w:marBottom w:val="0"/>
      <w:divBdr>
        <w:top w:val="none" w:sz="0" w:space="0" w:color="auto"/>
        <w:left w:val="none" w:sz="0" w:space="0" w:color="auto"/>
        <w:bottom w:val="none" w:sz="0" w:space="0" w:color="auto"/>
        <w:right w:val="none" w:sz="0" w:space="0" w:color="auto"/>
      </w:divBdr>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39153882">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945356842">
      <w:bodyDiv w:val="1"/>
      <w:marLeft w:val="0"/>
      <w:marRight w:val="0"/>
      <w:marTop w:val="0"/>
      <w:marBottom w:val="0"/>
      <w:divBdr>
        <w:top w:val="none" w:sz="0" w:space="0" w:color="auto"/>
        <w:left w:val="none" w:sz="0" w:space="0" w:color="auto"/>
        <w:bottom w:val="none" w:sz="0" w:space="0" w:color="auto"/>
        <w:right w:val="none" w:sz="0" w:space="0" w:color="auto"/>
      </w:divBdr>
    </w:div>
    <w:div w:id="1088383481">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160268641">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582905497">
      <w:bodyDiv w:val="1"/>
      <w:marLeft w:val="0"/>
      <w:marRight w:val="0"/>
      <w:marTop w:val="0"/>
      <w:marBottom w:val="0"/>
      <w:divBdr>
        <w:top w:val="none" w:sz="0" w:space="0" w:color="auto"/>
        <w:left w:val="none" w:sz="0" w:space="0" w:color="auto"/>
        <w:bottom w:val="none" w:sz="0" w:space="0" w:color="auto"/>
        <w:right w:val="none" w:sz="0" w:space="0" w:color="auto"/>
      </w:divBdr>
    </w:div>
    <w:div w:id="1625309030">
      <w:bodyDiv w:val="1"/>
      <w:marLeft w:val="0"/>
      <w:marRight w:val="0"/>
      <w:marTop w:val="0"/>
      <w:marBottom w:val="0"/>
      <w:divBdr>
        <w:top w:val="none" w:sz="0" w:space="0" w:color="auto"/>
        <w:left w:val="none" w:sz="0" w:space="0" w:color="auto"/>
        <w:bottom w:val="none" w:sz="0" w:space="0" w:color="auto"/>
        <w:right w:val="none" w:sz="0" w:space="0" w:color="auto"/>
      </w:divBdr>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1677534564">
      <w:bodyDiv w:val="1"/>
      <w:marLeft w:val="0"/>
      <w:marRight w:val="0"/>
      <w:marTop w:val="0"/>
      <w:marBottom w:val="0"/>
      <w:divBdr>
        <w:top w:val="none" w:sz="0" w:space="0" w:color="auto"/>
        <w:left w:val="none" w:sz="0" w:space="0" w:color="auto"/>
        <w:bottom w:val="none" w:sz="0" w:space="0" w:color="auto"/>
        <w:right w:val="none" w:sz="0" w:space="0" w:color="auto"/>
      </w:divBdr>
    </w:div>
    <w:div w:id="2055809868">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consulta-publica-sobre-la-propuesta-de-oferta-de-referencia-del-servicio-de-acceso-y-uso-comparti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industria/temasrelevantes/9472/documentos/ofertadereferenciacomparticionmovil-telesit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2.xml><?xml version="1.0" encoding="utf-8"?>
<ds:datastoreItem xmlns:ds="http://schemas.openxmlformats.org/officeDocument/2006/customXml" ds:itemID="{97CE4457-4133-4D85-975E-A108148E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869B9F-23E4-4CC9-84E9-A493DF1F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1</TotalTime>
  <Pages>11</Pages>
  <Words>4144</Words>
  <Characters>22794</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dc:creator>
  <cp:keywords/>
  <dc:description/>
  <cp:lastModifiedBy>Cesar Martinez Anell</cp:lastModifiedBy>
  <cp:revision>2</cp:revision>
  <cp:lastPrinted>2011-01-06T16:36:00Z</cp:lastPrinted>
  <dcterms:created xsi:type="dcterms:W3CDTF">2021-06-25T14:58:00Z</dcterms:created>
  <dcterms:modified xsi:type="dcterms:W3CDTF">2021-06-25T14:58:00Z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