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50EA9" w14:textId="79C18D23" w:rsidR="007C4BEB" w:rsidRPr="00EB29B0" w:rsidRDefault="007C4BEB" w:rsidP="00A33196">
      <w:pPr>
        <w:pStyle w:val="Ttulo1"/>
        <w:spacing w:before="0"/>
        <w:jc w:val="both"/>
        <w:rPr>
          <w:rFonts w:ascii="ITC Avant Garde" w:hAnsi="ITC Avant Garde"/>
          <w:b/>
          <w:color w:val="auto"/>
          <w:sz w:val="22"/>
          <w:szCs w:val="22"/>
        </w:rPr>
      </w:pPr>
      <w:r w:rsidRPr="00EB29B0">
        <w:rPr>
          <w:rFonts w:ascii="ITC Avant Garde" w:hAnsi="ITC Avant Garde"/>
          <w:b/>
          <w:color w:val="auto"/>
          <w:sz w:val="22"/>
          <w:szCs w:val="22"/>
        </w:rPr>
        <w:t xml:space="preserve">ACUERDO MEDIANTE EL CUAL EL PLENO DEL INSTITUTO FEDERAL DE TELECOMUNICACIONES </w:t>
      </w:r>
      <w:r w:rsidR="00060DAB" w:rsidRPr="00EB29B0">
        <w:rPr>
          <w:rFonts w:ascii="ITC Avant Garde" w:hAnsi="ITC Avant Garde"/>
          <w:b/>
          <w:color w:val="auto"/>
          <w:sz w:val="22"/>
          <w:szCs w:val="22"/>
        </w:rPr>
        <w:t xml:space="preserve">DETERMINA </w:t>
      </w:r>
      <w:r w:rsidRPr="00EB29B0">
        <w:rPr>
          <w:rFonts w:ascii="ITC Avant Garde" w:hAnsi="ITC Avant Garde"/>
          <w:b/>
          <w:color w:val="auto"/>
          <w:sz w:val="22"/>
          <w:szCs w:val="22"/>
        </w:rPr>
        <w:t>SOMETE</w:t>
      </w:r>
      <w:r w:rsidR="00060DAB" w:rsidRPr="00EB29B0">
        <w:rPr>
          <w:rFonts w:ascii="ITC Avant Garde" w:hAnsi="ITC Avant Garde"/>
          <w:b/>
          <w:color w:val="auto"/>
          <w:sz w:val="22"/>
          <w:szCs w:val="22"/>
        </w:rPr>
        <w:t>R</w:t>
      </w:r>
      <w:r w:rsidRPr="00EB29B0">
        <w:rPr>
          <w:rFonts w:ascii="ITC Avant Garde" w:hAnsi="ITC Avant Garde"/>
          <w:b/>
          <w:color w:val="auto"/>
          <w:sz w:val="22"/>
          <w:szCs w:val="22"/>
        </w:rPr>
        <w:t xml:space="preserve"> A CONSULTA PÚBLICA </w:t>
      </w:r>
      <w:r w:rsidR="00E93140" w:rsidRPr="00E93140">
        <w:rPr>
          <w:rFonts w:ascii="ITC Avant Garde" w:hAnsi="ITC Avant Garde"/>
          <w:b/>
          <w:color w:val="auto"/>
          <w:sz w:val="22"/>
          <w:szCs w:val="22"/>
        </w:rPr>
        <w:t>LAS PROPUESTAS DE OFERTAS DE REFERENCIA DE DESAGREGACIÓN EFECTIVA DE LA RED LOCAL</w:t>
      </w:r>
      <w:r w:rsidRPr="00EB29B0">
        <w:rPr>
          <w:rFonts w:ascii="ITC Avant Garde" w:hAnsi="ITC Avant Garde"/>
          <w:b/>
          <w:color w:val="auto"/>
          <w:sz w:val="22"/>
          <w:szCs w:val="22"/>
        </w:rPr>
        <w:t xml:space="preserve"> PRES</w:t>
      </w:r>
      <w:r w:rsidR="00A60D81">
        <w:rPr>
          <w:rFonts w:ascii="ITC Avant Garde" w:hAnsi="ITC Avant Garde"/>
          <w:b/>
          <w:color w:val="auto"/>
          <w:sz w:val="22"/>
          <w:szCs w:val="22"/>
        </w:rPr>
        <w:t>EN</w:t>
      </w:r>
      <w:r w:rsidRPr="00EB29B0">
        <w:rPr>
          <w:rFonts w:ascii="ITC Avant Garde" w:hAnsi="ITC Avant Garde"/>
          <w:b/>
          <w:color w:val="auto"/>
          <w:sz w:val="22"/>
          <w:szCs w:val="22"/>
        </w:rPr>
        <w:t>TAD</w:t>
      </w:r>
      <w:r w:rsidR="00E93140">
        <w:rPr>
          <w:rFonts w:ascii="ITC Avant Garde" w:hAnsi="ITC Avant Garde"/>
          <w:b/>
          <w:color w:val="auto"/>
          <w:sz w:val="22"/>
          <w:szCs w:val="22"/>
        </w:rPr>
        <w:t>A</w:t>
      </w:r>
      <w:r w:rsidRPr="00EB29B0">
        <w:rPr>
          <w:rFonts w:ascii="ITC Avant Garde" w:hAnsi="ITC Avant Garde"/>
          <w:b/>
          <w:color w:val="auto"/>
          <w:sz w:val="22"/>
          <w:szCs w:val="22"/>
        </w:rPr>
        <w:t>S POR EL AGENTE ECONÓMICO PREPONDERANTE EN EL SECTOR DE LAS T</w:t>
      </w:r>
      <w:r w:rsidR="00E93140">
        <w:rPr>
          <w:rFonts w:ascii="ITC Avant Garde" w:hAnsi="ITC Avant Garde"/>
          <w:b/>
          <w:color w:val="auto"/>
          <w:sz w:val="22"/>
          <w:szCs w:val="22"/>
        </w:rPr>
        <w:t>ELECOMUNICACIONES</w:t>
      </w:r>
    </w:p>
    <w:p w14:paraId="64D29A79" w14:textId="09D5AB52" w:rsidR="00EF5AF7" w:rsidRDefault="00EF5AF7" w:rsidP="00A33196">
      <w:pPr>
        <w:widowControl w:val="0"/>
        <w:spacing w:after="0"/>
        <w:jc w:val="both"/>
        <w:rPr>
          <w:rFonts w:ascii="ITC Avant Garde" w:eastAsia="Times New Roman" w:hAnsi="ITC Avant Garde"/>
          <w:sz w:val="20"/>
          <w:szCs w:val="20"/>
        </w:rPr>
      </w:pPr>
    </w:p>
    <w:p w14:paraId="651A166B" w14:textId="77777777" w:rsidR="001961D2" w:rsidRPr="002641D2" w:rsidRDefault="001961D2" w:rsidP="00A33196">
      <w:pPr>
        <w:widowControl w:val="0"/>
        <w:spacing w:after="0"/>
        <w:jc w:val="both"/>
        <w:rPr>
          <w:rFonts w:ascii="ITC Avant Garde" w:eastAsia="Times New Roman" w:hAnsi="ITC Avant Garde"/>
          <w:sz w:val="20"/>
          <w:szCs w:val="20"/>
        </w:rPr>
      </w:pPr>
    </w:p>
    <w:p w14:paraId="2AFFDBC1" w14:textId="77777777" w:rsidR="007C4BEB" w:rsidRDefault="003E0E84" w:rsidP="00A33196">
      <w:pPr>
        <w:widowControl w:val="0"/>
        <w:spacing w:after="0"/>
        <w:jc w:val="center"/>
        <w:rPr>
          <w:rFonts w:ascii="ITC Avant Garde" w:eastAsia="Times New Roman" w:hAnsi="ITC Avant Garde"/>
          <w:b/>
          <w:szCs w:val="20"/>
        </w:rPr>
      </w:pPr>
      <w:r w:rsidRPr="00EB29B0">
        <w:rPr>
          <w:rFonts w:ascii="ITC Avant Garde" w:eastAsia="Times New Roman" w:hAnsi="ITC Avant Garde"/>
          <w:b/>
          <w:szCs w:val="20"/>
        </w:rPr>
        <w:t>ANTECEDENTES</w:t>
      </w:r>
    </w:p>
    <w:p w14:paraId="2D148D9E" w14:textId="5D9900A4" w:rsidR="009A0009" w:rsidRDefault="009A0009" w:rsidP="00A33196">
      <w:pPr>
        <w:widowControl w:val="0"/>
        <w:spacing w:after="0"/>
        <w:jc w:val="center"/>
        <w:rPr>
          <w:rFonts w:ascii="ITC Avant Garde" w:eastAsia="Times New Roman" w:hAnsi="ITC Avant Garde"/>
          <w:b/>
          <w:sz w:val="20"/>
          <w:szCs w:val="20"/>
        </w:rPr>
      </w:pPr>
    </w:p>
    <w:p w14:paraId="51BA81CC" w14:textId="77777777" w:rsidR="001961D2" w:rsidRPr="002641D2" w:rsidRDefault="001961D2" w:rsidP="00A33196">
      <w:pPr>
        <w:widowControl w:val="0"/>
        <w:spacing w:after="0"/>
        <w:jc w:val="center"/>
        <w:rPr>
          <w:rFonts w:ascii="ITC Avant Garde" w:eastAsia="Times New Roman" w:hAnsi="ITC Avant Garde"/>
          <w:b/>
          <w:sz w:val="20"/>
          <w:szCs w:val="20"/>
        </w:rPr>
      </w:pPr>
    </w:p>
    <w:p w14:paraId="64CF7A73" w14:textId="77777777" w:rsidR="001541A1" w:rsidRPr="00EB29B0" w:rsidRDefault="001541A1" w:rsidP="001541A1">
      <w:pPr>
        <w:widowControl w:val="0"/>
        <w:numPr>
          <w:ilvl w:val="0"/>
          <w:numId w:val="2"/>
        </w:numPr>
        <w:spacing w:after="0"/>
        <w:contextualSpacing/>
        <w:jc w:val="both"/>
        <w:rPr>
          <w:rFonts w:ascii="ITC Avant Garde" w:hAnsi="ITC Avant Garde"/>
        </w:rPr>
      </w:pPr>
      <w:r w:rsidRPr="00EB29B0">
        <w:rPr>
          <w:rFonts w:ascii="ITC Avant Garde" w:eastAsia="Times New Roman" w:hAnsi="ITC Avant Garde"/>
        </w:rPr>
        <w:t>El 11 de junio de 2013 se publicó en el Diario Oficial de la Federación (en lo sucesivo, “DOF”) el “</w:t>
      </w:r>
      <w:r w:rsidRPr="00EB29B0">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EB29B0">
        <w:rPr>
          <w:rFonts w:ascii="ITC Avant Garde" w:eastAsia="Times New Roman" w:hAnsi="ITC Avant Garde"/>
        </w:rPr>
        <w:t>” (en lo sucesivo, “Decreto”),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69988AA" w14:textId="77777777" w:rsidR="001541A1" w:rsidRDefault="001541A1" w:rsidP="001541A1">
      <w:pPr>
        <w:spacing w:after="0"/>
        <w:ind w:left="720"/>
        <w:contextualSpacing/>
        <w:rPr>
          <w:rFonts w:ascii="ITC Avant Garde" w:eastAsia="Times New Roman" w:hAnsi="ITC Avant Garde"/>
        </w:rPr>
      </w:pPr>
    </w:p>
    <w:p w14:paraId="4B1C910A" w14:textId="3E83926A" w:rsidR="001541A1" w:rsidRPr="00963DB1" w:rsidRDefault="001541A1" w:rsidP="001541A1">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El 6 de marzo de 2014 el Pleno del Instituto en su V Sesión Extraordinaria aprobó mediante Acuerdo P/IFT/EXT/060314/76 la "</w:t>
      </w:r>
      <w:r w:rsidRPr="00EB29B0">
        <w:rPr>
          <w:rFonts w:ascii="ITC Avant Garde" w:eastAsia="Times New Roman" w:hAnsi="ITC Avant Garde"/>
          <w:i/>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Pr="00EB29B0">
        <w:rPr>
          <w:rFonts w:ascii="ITC Avant Garde" w:eastAsia="Times New Roman" w:hAnsi="ITC Avant Garde"/>
        </w:rPr>
        <w:t>." (en lo sucesivo, “Resolución AEP”).</w:t>
      </w:r>
    </w:p>
    <w:p w14:paraId="56168E04" w14:textId="77777777" w:rsidR="00EA52DF" w:rsidRPr="002641D2" w:rsidRDefault="00EA52DF" w:rsidP="00A33196">
      <w:pPr>
        <w:widowControl w:val="0"/>
        <w:spacing w:after="0"/>
        <w:ind w:left="1080"/>
        <w:contextualSpacing/>
        <w:jc w:val="both"/>
        <w:rPr>
          <w:rFonts w:ascii="ITC Avant Garde" w:eastAsia="Times New Roman" w:hAnsi="ITC Avant Garde"/>
          <w:sz w:val="20"/>
        </w:rPr>
      </w:pPr>
    </w:p>
    <w:p w14:paraId="71C9D873" w14:textId="60F6C183" w:rsidR="007C4BEB" w:rsidRPr="00EB29B0" w:rsidRDefault="007C4BEB"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En la Resolución AEP el Pleno del Instituto emitió el Anexo </w:t>
      </w:r>
      <w:r w:rsidR="00126152">
        <w:rPr>
          <w:rFonts w:ascii="ITC Avant Garde" w:eastAsia="Times New Roman" w:hAnsi="ITC Avant Garde"/>
        </w:rPr>
        <w:t>3</w:t>
      </w:r>
      <w:r w:rsidRPr="00EB29B0">
        <w:rPr>
          <w:rFonts w:ascii="ITC Avant Garde" w:eastAsia="Times New Roman" w:hAnsi="ITC Avant Garde"/>
        </w:rPr>
        <w:t xml:space="preserve"> denominado </w:t>
      </w:r>
      <w:r w:rsidR="00C644E3" w:rsidRPr="00EB29B0">
        <w:rPr>
          <w:rFonts w:ascii="ITC Avant Garde" w:eastAsia="Times New Roman" w:hAnsi="ITC Avant Garde"/>
          <w:i/>
        </w:rPr>
        <w:t>“</w:t>
      </w:r>
      <w:r w:rsidR="00126152" w:rsidRPr="00126152">
        <w:rPr>
          <w:rFonts w:ascii="ITC Avant Garde" w:eastAsia="Times New Roman" w:hAnsi="ITC Avant Garde"/>
          <w:i/>
        </w:rPr>
        <w:t xml:space="preserve">MEDIDAS QUE PERMITEN LA DESAGREGACIÓN EFECTIVA DE LA RED LOCAL DEL </w:t>
      </w:r>
      <w:r w:rsidR="00126152" w:rsidRPr="00126152">
        <w:rPr>
          <w:rFonts w:ascii="ITC Avant Garde" w:eastAsia="Times New Roman" w:hAnsi="ITC Avant Garde"/>
          <w:i/>
        </w:rPr>
        <w:lastRenderedPageBreak/>
        <w:t>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EB29B0">
        <w:rPr>
          <w:rFonts w:ascii="ITC Avant Garde" w:eastAsia="Times New Roman" w:hAnsi="ITC Avant Garde"/>
        </w:rPr>
        <w:t>” (</w:t>
      </w:r>
      <w:r w:rsidR="002A6617">
        <w:rPr>
          <w:rFonts w:ascii="ITC Avant Garde" w:eastAsia="Times New Roman" w:hAnsi="ITC Avant Garde"/>
        </w:rPr>
        <w:t>e</w:t>
      </w:r>
      <w:r w:rsidR="000B58C5" w:rsidRPr="00EB29B0">
        <w:rPr>
          <w:rFonts w:ascii="ITC Avant Garde" w:eastAsia="Times New Roman" w:hAnsi="ITC Avant Garde"/>
        </w:rPr>
        <w:t xml:space="preserve">n lo sucesivo, “Anexo </w:t>
      </w:r>
      <w:r w:rsidR="00126152">
        <w:rPr>
          <w:rFonts w:ascii="ITC Avant Garde" w:eastAsia="Times New Roman" w:hAnsi="ITC Avant Garde"/>
        </w:rPr>
        <w:t>3</w:t>
      </w:r>
      <w:r w:rsidR="000B58C5" w:rsidRPr="00EB29B0">
        <w:rPr>
          <w:rFonts w:ascii="ITC Avant Garde" w:eastAsia="Times New Roman" w:hAnsi="ITC Avant Garde"/>
        </w:rPr>
        <w:t>”</w:t>
      </w:r>
      <w:r w:rsidRPr="00EB29B0">
        <w:rPr>
          <w:rFonts w:ascii="ITC Avant Garde" w:eastAsia="Times New Roman" w:hAnsi="ITC Avant Garde"/>
        </w:rPr>
        <w:t>).</w:t>
      </w:r>
    </w:p>
    <w:p w14:paraId="6781B51A" w14:textId="77777777" w:rsidR="007C4BEB" w:rsidRPr="002641D2" w:rsidRDefault="007C4BEB" w:rsidP="00A33196">
      <w:pPr>
        <w:widowControl w:val="0"/>
        <w:spacing w:after="0"/>
        <w:ind w:left="1080"/>
        <w:contextualSpacing/>
        <w:jc w:val="both"/>
        <w:rPr>
          <w:rFonts w:ascii="ITC Avant Garde" w:eastAsia="Times New Roman" w:hAnsi="ITC Avant Garde"/>
          <w:sz w:val="20"/>
        </w:rPr>
      </w:pPr>
    </w:p>
    <w:p w14:paraId="089AB23E" w14:textId="77777777" w:rsidR="001541A1" w:rsidRPr="00EB29B0" w:rsidRDefault="001541A1" w:rsidP="001541A1">
      <w:pPr>
        <w:pStyle w:val="Prrafodelista"/>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rPr>
        <w:t>El 14 de julio de 2014, se publicó en el DOF el “</w:t>
      </w:r>
      <w:r w:rsidRPr="00EB29B0">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EB29B0">
        <w:rPr>
          <w:rFonts w:ascii="ITC Avant Garde" w:eastAsia="Times New Roman" w:hAnsi="ITC Avant Garde"/>
          <w:sz w:val="22"/>
          <w:szCs w:val="22"/>
        </w:rPr>
        <w:t>(en lo sucesivo,</w:t>
      </w:r>
      <w:r>
        <w:rPr>
          <w:rFonts w:ascii="ITC Avant Garde" w:eastAsia="Times New Roman" w:hAnsi="ITC Avant Garde"/>
          <w:sz w:val="22"/>
          <w:szCs w:val="22"/>
          <w:lang w:val="es-MX"/>
        </w:rPr>
        <w:t xml:space="preserve"> </w:t>
      </w:r>
      <w:r w:rsidRPr="00EB29B0">
        <w:rPr>
          <w:rFonts w:ascii="ITC Avant Garde" w:eastAsia="Times New Roman" w:hAnsi="ITC Avant Garde"/>
          <w:sz w:val="22"/>
          <w:szCs w:val="22"/>
        </w:rPr>
        <w:t xml:space="preserve">“Decreto de Ley”), entrando en vigor la Ley Federal de Telecomunicaciones y Radiodifusión (en lo sucesivo, “LFTR”) el 13 de agosto del 2014, </w:t>
      </w:r>
      <w:r w:rsidRPr="00EB29B0">
        <w:rPr>
          <w:rFonts w:ascii="ITC Avant Garde" w:eastAsia="Times New Roman" w:hAnsi="ITC Avant Garde"/>
          <w:sz w:val="22"/>
          <w:szCs w:val="22"/>
          <w:lang w:val="es-MX" w:eastAsia="en-US"/>
        </w:rPr>
        <w:t xml:space="preserve">cuya última reforma fue publicada en el DOF el </w:t>
      </w:r>
      <w:r>
        <w:rPr>
          <w:rFonts w:ascii="ITC Avant Garde" w:eastAsia="Times New Roman" w:hAnsi="ITC Avant Garde"/>
          <w:sz w:val="22"/>
          <w:szCs w:val="22"/>
          <w:lang w:val="es-MX" w:eastAsia="en-US"/>
        </w:rPr>
        <w:t>15</w:t>
      </w:r>
      <w:r w:rsidRPr="00EB29B0">
        <w:rPr>
          <w:rFonts w:ascii="ITC Avant Garde" w:eastAsia="Times New Roman" w:hAnsi="ITC Avant Garde"/>
          <w:sz w:val="22"/>
          <w:szCs w:val="22"/>
          <w:lang w:val="es-MX" w:eastAsia="en-US"/>
        </w:rPr>
        <w:t xml:space="preserve"> de </w:t>
      </w:r>
      <w:r>
        <w:rPr>
          <w:rFonts w:ascii="ITC Avant Garde" w:eastAsia="Times New Roman" w:hAnsi="ITC Avant Garde"/>
          <w:sz w:val="22"/>
          <w:szCs w:val="22"/>
          <w:lang w:val="es-MX" w:eastAsia="en-US"/>
        </w:rPr>
        <w:t>junio</w:t>
      </w:r>
      <w:r w:rsidRPr="00EB29B0">
        <w:rPr>
          <w:rFonts w:ascii="ITC Avant Garde" w:eastAsia="Times New Roman" w:hAnsi="ITC Avant Garde"/>
          <w:sz w:val="22"/>
          <w:szCs w:val="22"/>
          <w:lang w:val="es-MX" w:eastAsia="en-US"/>
        </w:rPr>
        <w:t xml:space="preserve"> de 201</w:t>
      </w:r>
      <w:r>
        <w:rPr>
          <w:rFonts w:ascii="ITC Avant Garde" w:eastAsia="Times New Roman" w:hAnsi="ITC Avant Garde"/>
          <w:sz w:val="22"/>
          <w:szCs w:val="22"/>
          <w:lang w:val="es-MX" w:eastAsia="en-US"/>
        </w:rPr>
        <w:t>8</w:t>
      </w:r>
      <w:r w:rsidRPr="00EB29B0">
        <w:rPr>
          <w:rFonts w:ascii="ITC Avant Garde" w:eastAsia="Times New Roman" w:hAnsi="ITC Avant Garde"/>
          <w:sz w:val="22"/>
          <w:szCs w:val="22"/>
          <w:lang w:val="es-MX" w:eastAsia="en-US"/>
        </w:rPr>
        <w:t>.</w:t>
      </w:r>
    </w:p>
    <w:p w14:paraId="31B49F62" w14:textId="77777777" w:rsidR="001541A1" w:rsidRPr="00EB29B0" w:rsidRDefault="001541A1" w:rsidP="001541A1">
      <w:pPr>
        <w:widowControl w:val="0"/>
        <w:spacing w:after="0"/>
        <w:ind w:left="1080"/>
        <w:contextualSpacing/>
        <w:jc w:val="both"/>
        <w:rPr>
          <w:rFonts w:ascii="ITC Avant Garde" w:eastAsia="Times New Roman" w:hAnsi="ITC Avant Garde"/>
        </w:rPr>
      </w:pPr>
    </w:p>
    <w:p w14:paraId="7953488B" w14:textId="572069E4" w:rsidR="001541A1" w:rsidRPr="007276E6" w:rsidRDefault="001541A1" w:rsidP="001541A1">
      <w:pPr>
        <w:pStyle w:val="Prrafodelista"/>
        <w:numPr>
          <w:ilvl w:val="0"/>
          <w:numId w:val="2"/>
        </w:numPr>
        <w:spacing w:after="0"/>
        <w:jc w:val="both"/>
        <w:rPr>
          <w:rFonts w:ascii="ITC Avant Garde" w:hAnsi="ITC Avant Garde" w:cs="Arial"/>
          <w:sz w:val="22"/>
          <w:szCs w:val="22"/>
          <w:lang w:eastAsia="es-ES"/>
        </w:rPr>
      </w:pPr>
      <w:r w:rsidRPr="00EB29B0">
        <w:rPr>
          <w:rFonts w:ascii="ITC Avant Garde" w:hAnsi="ITC Avant Garde" w:cs="Arial"/>
          <w:sz w:val="22"/>
          <w:szCs w:val="22"/>
          <w:lang w:eastAsia="es-ES"/>
        </w:rPr>
        <w:t>El 4 de septiembre de 2014 se publicó en el DOF el “</w:t>
      </w:r>
      <w:r w:rsidRPr="00EB29B0">
        <w:rPr>
          <w:rFonts w:ascii="ITC Avant Garde" w:hAnsi="ITC Avant Garde" w:cs="Arial"/>
          <w:i/>
          <w:sz w:val="22"/>
          <w:szCs w:val="22"/>
          <w:lang w:eastAsia="es-ES"/>
        </w:rPr>
        <w:t>ESTATUTO Orgánico del Instituto Federal de Telecomunicaciones”</w:t>
      </w:r>
      <w:r w:rsidRPr="00EB29B0">
        <w:rPr>
          <w:rFonts w:ascii="ITC Avant Garde" w:hAnsi="ITC Avant Garde" w:cs="Arial"/>
          <w:sz w:val="22"/>
          <w:szCs w:val="22"/>
          <w:lang w:eastAsia="es-ES"/>
        </w:rPr>
        <w:t xml:space="preserve">, mismo que entró en vigor el 26 de septiembre de 2014, </w:t>
      </w:r>
      <w:r w:rsidRPr="007276E6">
        <w:rPr>
          <w:rFonts w:ascii="ITC Avant Garde" w:hAnsi="ITC Avant Garde" w:cs="Arial"/>
          <w:sz w:val="22"/>
          <w:szCs w:val="22"/>
          <w:lang w:eastAsia="es-ES"/>
        </w:rPr>
        <w:t>cuya última modific</w:t>
      </w:r>
      <w:r>
        <w:rPr>
          <w:rFonts w:ascii="ITC Avant Garde" w:hAnsi="ITC Avant Garde" w:cs="Arial"/>
          <w:sz w:val="22"/>
          <w:szCs w:val="22"/>
          <w:lang w:eastAsia="es-ES"/>
        </w:rPr>
        <w:t xml:space="preserve">ación fue publicada en el DOF </w:t>
      </w:r>
      <w:r w:rsidR="002A6617">
        <w:rPr>
          <w:rFonts w:ascii="ITC Avant Garde" w:hAnsi="ITC Avant Garde" w:cs="Arial"/>
          <w:sz w:val="22"/>
          <w:szCs w:val="22"/>
          <w:lang w:val="es-MX" w:eastAsia="es-ES"/>
        </w:rPr>
        <w:t xml:space="preserve">el </w:t>
      </w:r>
      <w:r>
        <w:rPr>
          <w:rFonts w:ascii="ITC Avant Garde" w:hAnsi="ITC Avant Garde" w:cs="Arial"/>
          <w:sz w:val="22"/>
          <w:szCs w:val="22"/>
          <w:lang w:val="es-MX" w:eastAsia="es-ES"/>
        </w:rPr>
        <w:t>07</w:t>
      </w:r>
      <w:r>
        <w:rPr>
          <w:rFonts w:ascii="ITC Avant Garde" w:hAnsi="ITC Avant Garde" w:cs="Arial"/>
          <w:sz w:val="22"/>
          <w:szCs w:val="22"/>
          <w:lang w:eastAsia="es-ES"/>
        </w:rPr>
        <w:t xml:space="preserve"> de</w:t>
      </w:r>
      <w:r w:rsidRPr="007276E6">
        <w:rPr>
          <w:rFonts w:ascii="ITC Avant Garde" w:hAnsi="ITC Avant Garde" w:cs="Arial"/>
          <w:sz w:val="22"/>
          <w:szCs w:val="22"/>
          <w:lang w:eastAsia="es-ES"/>
        </w:rPr>
        <w:t xml:space="preserve"> </w:t>
      </w:r>
      <w:r>
        <w:rPr>
          <w:rFonts w:ascii="ITC Avant Garde" w:hAnsi="ITC Avant Garde" w:cs="Arial"/>
          <w:sz w:val="22"/>
          <w:szCs w:val="22"/>
          <w:lang w:val="es-MX" w:eastAsia="es-ES"/>
        </w:rPr>
        <w:t xml:space="preserve">diciembre </w:t>
      </w:r>
      <w:r w:rsidRPr="007276E6">
        <w:rPr>
          <w:rFonts w:ascii="ITC Avant Garde" w:hAnsi="ITC Avant Garde" w:cs="Arial"/>
          <w:sz w:val="22"/>
          <w:szCs w:val="22"/>
          <w:lang w:eastAsia="es-ES"/>
        </w:rPr>
        <w:t>de 201</w:t>
      </w:r>
      <w:r>
        <w:rPr>
          <w:rFonts w:ascii="ITC Avant Garde" w:hAnsi="ITC Avant Garde" w:cs="Arial"/>
          <w:sz w:val="22"/>
          <w:szCs w:val="22"/>
          <w:lang w:val="es-MX" w:eastAsia="es-ES"/>
        </w:rPr>
        <w:t>8</w:t>
      </w:r>
      <w:r w:rsidRPr="007276E6">
        <w:rPr>
          <w:rFonts w:ascii="ITC Avant Garde" w:hAnsi="ITC Avant Garde" w:cs="Arial"/>
          <w:sz w:val="22"/>
          <w:szCs w:val="22"/>
          <w:lang w:eastAsia="es-ES"/>
        </w:rPr>
        <w:t>.</w:t>
      </w:r>
    </w:p>
    <w:p w14:paraId="002F6C98" w14:textId="77777777" w:rsidR="0095084C" w:rsidRPr="002641D2" w:rsidRDefault="0095084C" w:rsidP="000D3CF9">
      <w:pPr>
        <w:widowControl w:val="0"/>
        <w:spacing w:after="0"/>
        <w:ind w:left="1080"/>
        <w:contextualSpacing/>
        <w:jc w:val="both"/>
        <w:rPr>
          <w:rFonts w:ascii="ITC Avant Garde" w:eastAsia="Times New Roman" w:hAnsi="ITC Avant Garde"/>
          <w:sz w:val="20"/>
        </w:rPr>
      </w:pPr>
    </w:p>
    <w:p w14:paraId="447BEB1A" w14:textId="77777777" w:rsidR="001541A1" w:rsidRPr="00EB29B0" w:rsidRDefault="001541A1" w:rsidP="001541A1">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El 27 de febrero de 2017 el Pleno del Instituto, en su IV Sesión Extraordinaria aprobó mediante Acuerdo P/IFT/EXT/270217/119 la “</w:t>
      </w:r>
      <w:r w:rsidRPr="00EB29B0">
        <w:rPr>
          <w:rFonts w:ascii="ITC Avant Garde" w:eastAsia="Times New Roman" w:hAnsi="ITC Avant Garde"/>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w:t>
      </w:r>
      <w:r>
        <w:rPr>
          <w:rFonts w:ascii="ITC Avant Garde" w:eastAsia="Times New Roman" w:hAnsi="ITC Avant Garde"/>
          <w:i/>
        </w:rPr>
        <w:t>6</w:t>
      </w:r>
      <w:r w:rsidRPr="00EB29B0">
        <w:rPr>
          <w:rFonts w:ascii="ITC Avant Garde" w:eastAsia="Times New Roman" w:hAnsi="ITC Avant Garde"/>
          <w:i/>
        </w:rPr>
        <w:t>”</w:t>
      </w:r>
      <w:r w:rsidRPr="00EB29B0">
        <w:rPr>
          <w:rFonts w:ascii="ITC Avant Garde" w:eastAsia="Times New Roman" w:hAnsi="ITC Avant Garde"/>
        </w:rPr>
        <w:t xml:space="preserve"> (en lo sucesivo, “Re</w:t>
      </w:r>
      <w:r>
        <w:rPr>
          <w:rFonts w:ascii="ITC Avant Garde" w:eastAsia="Times New Roman" w:hAnsi="ITC Avant Garde"/>
        </w:rPr>
        <w:t>solución</w:t>
      </w:r>
      <w:r w:rsidRPr="00EB29B0">
        <w:rPr>
          <w:rFonts w:ascii="ITC Avant Garde" w:eastAsia="Times New Roman" w:hAnsi="ITC Avant Garde"/>
        </w:rPr>
        <w:t xml:space="preserve"> Bienal”).</w:t>
      </w:r>
    </w:p>
    <w:p w14:paraId="47B4D7F9" w14:textId="77777777" w:rsidR="00BB01CA" w:rsidRPr="002641D2" w:rsidRDefault="00BB01CA" w:rsidP="00A33196">
      <w:pPr>
        <w:widowControl w:val="0"/>
        <w:spacing w:after="0"/>
        <w:ind w:left="1080"/>
        <w:contextualSpacing/>
        <w:jc w:val="both"/>
        <w:rPr>
          <w:rFonts w:ascii="ITC Avant Garde" w:eastAsia="Times New Roman" w:hAnsi="ITC Avant Garde"/>
          <w:sz w:val="20"/>
        </w:rPr>
      </w:pPr>
    </w:p>
    <w:p w14:paraId="09FFD9F1" w14:textId="11ABEA5B" w:rsidR="000B58C5" w:rsidRPr="00EB29B0" w:rsidRDefault="008471A1"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En la Resolución Bienal, e</w:t>
      </w:r>
      <w:r w:rsidR="000B58C5" w:rsidRPr="00EB29B0">
        <w:rPr>
          <w:rFonts w:ascii="ITC Avant Garde" w:eastAsia="Times New Roman" w:hAnsi="ITC Avant Garde"/>
        </w:rPr>
        <w:t xml:space="preserve">l Pleno del Instituto emitió el Anexo </w:t>
      </w:r>
      <w:r w:rsidR="00126152">
        <w:rPr>
          <w:rFonts w:ascii="ITC Avant Garde" w:eastAsia="Times New Roman" w:hAnsi="ITC Avant Garde"/>
        </w:rPr>
        <w:t>3</w:t>
      </w:r>
      <w:r w:rsidR="000B58C5" w:rsidRPr="00EB29B0">
        <w:rPr>
          <w:rFonts w:ascii="ITC Avant Garde" w:eastAsia="Times New Roman" w:hAnsi="ITC Avant Garde"/>
        </w:rPr>
        <w:t xml:space="preserve"> en el que </w:t>
      </w:r>
      <w:r w:rsidR="00126152">
        <w:rPr>
          <w:rFonts w:ascii="ITC Avant Garde" w:eastAsia="Times New Roman" w:hAnsi="ITC Avant Garde"/>
        </w:rPr>
        <w:t>s</w:t>
      </w:r>
      <w:r w:rsidR="00126152" w:rsidRPr="00126152">
        <w:rPr>
          <w:rFonts w:ascii="ITC Avant Garde" w:eastAsia="Times New Roman" w:hAnsi="ITC Avant Garde"/>
        </w:rPr>
        <w:t>e modifican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Adicionan las Medidas Tercera, incisos 1.1), 2.1), 3.1), 4.1), 5.1), 6.1), 7.1), 7.2), 7.3),14.1) y 15.1) y Cuadragésima Sexta a Quincuagésima Primera, y se suprimen las Medidas Tercera, incisos 6), 7) y 17), todas ellas del Anexo 3</w:t>
      </w:r>
      <w:r w:rsidR="00126152">
        <w:rPr>
          <w:rFonts w:ascii="ITC Avant Garde" w:eastAsia="Times New Roman" w:hAnsi="ITC Avant Garde"/>
        </w:rPr>
        <w:t xml:space="preserve"> </w:t>
      </w:r>
      <w:r w:rsidR="000B58C5" w:rsidRPr="00EB29B0">
        <w:rPr>
          <w:rFonts w:ascii="ITC Avant Garde" w:eastAsia="Times New Roman" w:hAnsi="ITC Avant Garde"/>
        </w:rPr>
        <w:t>de la Resolución AEP.</w:t>
      </w:r>
    </w:p>
    <w:p w14:paraId="5FA9A36B" w14:textId="12BB81FC" w:rsidR="00190B27" w:rsidRDefault="000B58C5"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lastRenderedPageBreak/>
        <w:t>Para efectos de</w:t>
      </w:r>
      <w:r w:rsidR="005753EC" w:rsidRPr="00EB29B0">
        <w:rPr>
          <w:rFonts w:ascii="ITC Avant Garde" w:eastAsia="Times New Roman" w:hAnsi="ITC Avant Garde"/>
        </w:rPr>
        <w:t>l</w:t>
      </w:r>
      <w:r w:rsidRPr="00EB29B0">
        <w:rPr>
          <w:rFonts w:ascii="ITC Avant Garde" w:eastAsia="Times New Roman" w:hAnsi="ITC Avant Garde"/>
        </w:rPr>
        <w:t xml:space="preserve"> presente </w:t>
      </w:r>
      <w:r w:rsidR="005753EC" w:rsidRPr="00EB29B0">
        <w:rPr>
          <w:rFonts w:ascii="ITC Avant Garde" w:eastAsia="Times New Roman" w:hAnsi="ITC Avant Garde"/>
        </w:rPr>
        <w:t>Acuerdo</w:t>
      </w:r>
      <w:r w:rsidRPr="00EB29B0">
        <w:rPr>
          <w:rFonts w:ascii="ITC Avant Garde" w:eastAsia="Times New Roman" w:hAnsi="ITC Avant Garde"/>
        </w:rPr>
        <w:t xml:space="preserve"> se le denominará de manera integral “Medidas </w:t>
      </w:r>
      <w:r w:rsidR="00126152">
        <w:rPr>
          <w:rFonts w:ascii="ITC Avant Garde" w:eastAsia="Times New Roman" w:hAnsi="ITC Avant Garde"/>
        </w:rPr>
        <w:t>de Desagregación</w:t>
      </w:r>
      <w:r w:rsidRPr="00EB29B0">
        <w:rPr>
          <w:rFonts w:ascii="ITC Avant Garde" w:eastAsia="Times New Roman" w:hAnsi="ITC Avant Garde"/>
        </w:rPr>
        <w:t xml:space="preserve">” a las emitidas como parte del Anexo </w:t>
      </w:r>
      <w:r w:rsidR="00126152">
        <w:rPr>
          <w:rFonts w:ascii="ITC Avant Garde" w:eastAsia="Times New Roman" w:hAnsi="ITC Avant Garde"/>
        </w:rPr>
        <w:t>3</w:t>
      </w:r>
      <w:r w:rsidRPr="00EB29B0">
        <w:rPr>
          <w:rFonts w:ascii="ITC Avant Garde" w:eastAsia="Times New Roman" w:hAnsi="ITC Avant Garde"/>
        </w:rPr>
        <w:t xml:space="preserve"> de la Resolución AEP, así como a las modificaciones realizadas como parte del Anexo </w:t>
      </w:r>
      <w:r w:rsidR="00126152">
        <w:rPr>
          <w:rFonts w:ascii="ITC Avant Garde" w:eastAsia="Times New Roman" w:hAnsi="ITC Avant Garde"/>
        </w:rPr>
        <w:t>3</w:t>
      </w:r>
      <w:r w:rsidRPr="00EB29B0">
        <w:rPr>
          <w:rFonts w:ascii="ITC Avant Garde" w:eastAsia="Times New Roman" w:hAnsi="ITC Avant Garde"/>
        </w:rPr>
        <w:t xml:space="preserve"> de la Resolución Bienal.</w:t>
      </w:r>
    </w:p>
    <w:p w14:paraId="3E766748" w14:textId="77777777" w:rsidR="001541A1" w:rsidRPr="00EB29B0" w:rsidRDefault="001541A1" w:rsidP="00A33196">
      <w:pPr>
        <w:widowControl w:val="0"/>
        <w:spacing w:after="0"/>
        <w:ind w:left="1080"/>
        <w:contextualSpacing/>
        <w:jc w:val="both"/>
        <w:rPr>
          <w:rFonts w:ascii="ITC Avant Garde" w:eastAsia="Times New Roman" w:hAnsi="ITC Avant Garde"/>
        </w:rPr>
      </w:pPr>
    </w:p>
    <w:p w14:paraId="521BE3C0" w14:textId="7924ED84" w:rsidR="0095084C" w:rsidRPr="00126152" w:rsidRDefault="005753EC" w:rsidP="00717177">
      <w:pPr>
        <w:widowControl w:val="0"/>
        <w:numPr>
          <w:ilvl w:val="0"/>
          <w:numId w:val="2"/>
        </w:numPr>
        <w:spacing w:after="0"/>
        <w:contextualSpacing/>
        <w:jc w:val="both"/>
        <w:rPr>
          <w:rFonts w:ascii="ITC Avant Garde" w:eastAsia="Times New Roman" w:hAnsi="ITC Avant Garde"/>
        </w:rPr>
      </w:pPr>
      <w:r w:rsidRPr="00126152">
        <w:rPr>
          <w:rFonts w:ascii="ITC Avant Garde" w:eastAsia="Times New Roman" w:hAnsi="ITC Avant Garde"/>
        </w:rPr>
        <w:t xml:space="preserve">Mediante escrito presentado </w:t>
      </w:r>
      <w:r w:rsidR="0099187B" w:rsidRPr="00126152">
        <w:rPr>
          <w:rFonts w:ascii="ITC Avant Garde" w:eastAsia="Times New Roman" w:hAnsi="ITC Avant Garde"/>
        </w:rPr>
        <w:t>ante la</w:t>
      </w:r>
      <w:r w:rsidRPr="00126152">
        <w:rPr>
          <w:rFonts w:ascii="ITC Avant Garde" w:eastAsia="Times New Roman" w:hAnsi="ITC Avant Garde"/>
        </w:rPr>
        <w:t xml:space="preserve"> Oficialía de Partes del Instituto el </w:t>
      </w:r>
      <w:r w:rsidR="00126152" w:rsidRPr="00126152">
        <w:rPr>
          <w:rFonts w:ascii="ITC Avant Garde" w:eastAsia="Times New Roman" w:hAnsi="ITC Avant Garde"/>
        </w:rPr>
        <w:t>2</w:t>
      </w:r>
      <w:r w:rsidR="001541A1">
        <w:rPr>
          <w:rFonts w:ascii="ITC Avant Garde" w:eastAsia="Times New Roman" w:hAnsi="ITC Avant Garde"/>
        </w:rPr>
        <w:t>8</w:t>
      </w:r>
      <w:r w:rsidR="00126152" w:rsidRPr="00126152">
        <w:rPr>
          <w:rFonts w:ascii="ITC Avant Garde" w:eastAsia="Times New Roman" w:hAnsi="ITC Avant Garde"/>
        </w:rPr>
        <w:t xml:space="preserve"> de </w:t>
      </w:r>
      <w:r w:rsidR="005651BD">
        <w:rPr>
          <w:rFonts w:ascii="ITC Avant Garde" w:eastAsia="Times New Roman" w:hAnsi="ITC Avant Garde"/>
        </w:rPr>
        <w:t>ju</w:t>
      </w:r>
      <w:r w:rsidR="00E7109E">
        <w:rPr>
          <w:rFonts w:ascii="ITC Avant Garde" w:eastAsia="Times New Roman" w:hAnsi="ITC Avant Garde"/>
        </w:rPr>
        <w:t>n</w:t>
      </w:r>
      <w:r w:rsidR="005651BD">
        <w:rPr>
          <w:rFonts w:ascii="ITC Avant Garde" w:eastAsia="Times New Roman" w:hAnsi="ITC Avant Garde"/>
        </w:rPr>
        <w:t>io</w:t>
      </w:r>
      <w:r w:rsidR="00126152" w:rsidRPr="00126152">
        <w:rPr>
          <w:rFonts w:ascii="ITC Avant Garde" w:eastAsia="Times New Roman" w:hAnsi="ITC Avant Garde"/>
        </w:rPr>
        <w:t xml:space="preserve"> de 201</w:t>
      </w:r>
      <w:r w:rsidR="001541A1">
        <w:rPr>
          <w:rFonts w:ascii="ITC Avant Garde" w:eastAsia="Times New Roman" w:hAnsi="ITC Avant Garde"/>
        </w:rPr>
        <w:t>9</w:t>
      </w:r>
      <w:r w:rsidRPr="00126152">
        <w:rPr>
          <w:rFonts w:ascii="ITC Avant Garde" w:eastAsia="Times New Roman" w:hAnsi="ITC Avant Garde"/>
        </w:rPr>
        <w:t xml:space="preserve">, </w:t>
      </w:r>
      <w:r w:rsidR="00126152" w:rsidRPr="00126152">
        <w:rPr>
          <w:rFonts w:ascii="ITC Avant Garde" w:eastAsia="Times New Roman" w:hAnsi="ITC Avant Garde"/>
        </w:rPr>
        <w:t xml:space="preserve">Teléfonos de México, S.A.B. de C.V. </w:t>
      </w:r>
      <w:r w:rsidR="00CD357B">
        <w:rPr>
          <w:rFonts w:ascii="ITC Avant Garde" w:eastAsia="Times New Roman" w:hAnsi="ITC Avant Garde"/>
        </w:rPr>
        <w:t xml:space="preserve">(en lo sucesivo, “Telmex”) </w:t>
      </w:r>
      <w:r w:rsidRPr="00126152">
        <w:rPr>
          <w:rFonts w:ascii="ITC Avant Garde" w:eastAsia="Times New Roman" w:hAnsi="ITC Avant Garde"/>
        </w:rPr>
        <w:t xml:space="preserve">como parte del Agente Económico Preponderante </w:t>
      </w:r>
      <w:r w:rsidR="005651BD">
        <w:rPr>
          <w:rFonts w:ascii="ITC Avant Garde" w:eastAsia="Times New Roman" w:hAnsi="ITC Avant Garde"/>
        </w:rPr>
        <w:t xml:space="preserve">en el sector de telecomunicaciones </w:t>
      </w:r>
      <w:r w:rsidRPr="00126152">
        <w:rPr>
          <w:rFonts w:ascii="ITC Avant Garde" w:eastAsia="Times New Roman" w:hAnsi="ITC Avant Garde"/>
        </w:rPr>
        <w:t xml:space="preserve">(en lo sucesivo, “AEP”), </w:t>
      </w:r>
      <w:r w:rsidR="00126152" w:rsidRPr="00126152">
        <w:rPr>
          <w:rFonts w:ascii="ITC Avant Garde" w:eastAsia="Times New Roman" w:hAnsi="ITC Avant Garde"/>
        </w:rPr>
        <w:t>en cumplimiento a la Medida QUINTA de las Medidas de Desagregación, presentó para su aprobación la propuesta de Oferta de Referencia de Desagregación Efectiva de la Red Local</w:t>
      </w:r>
      <w:r w:rsidR="0095084C" w:rsidRPr="00126152">
        <w:rPr>
          <w:rFonts w:ascii="ITC Avant Garde" w:eastAsia="Times New Roman" w:hAnsi="ITC Avant Garde"/>
        </w:rPr>
        <w:t>, respecto del periodo comprendido del 1 de enero al 31 de diciembre de 20</w:t>
      </w:r>
      <w:r w:rsidR="001541A1">
        <w:rPr>
          <w:rFonts w:ascii="ITC Avant Garde" w:eastAsia="Times New Roman" w:hAnsi="ITC Avant Garde"/>
        </w:rPr>
        <w:t>20</w:t>
      </w:r>
      <w:r w:rsidR="0095084C" w:rsidRPr="00126152">
        <w:rPr>
          <w:rFonts w:ascii="ITC Avant Garde" w:eastAsia="Times New Roman" w:hAnsi="ITC Avant Garde"/>
        </w:rPr>
        <w:t>.</w:t>
      </w:r>
    </w:p>
    <w:p w14:paraId="27304E6D" w14:textId="77777777" w:rsidR="00CE479D" w:rsidRPr="002641D2" w:rsidRDefault="00CE479D" w:rsidP="00CE479D">
      <w:pPr>
        <w:widowControl w:val="0"/>
        <w:spacing w:after="0"/>
        <w:jc w:val="both"/>
        <w:rPr>
          <w:rFonts w:ascii="ITC Avant Garde" w:eastAsia="Times New Roman" w:hAnsi="ITC Avant Garde"/>
          <w:sz w:val="20"/>
        </w:rPr>
      </w:pPr>
    </w:p>
    <w:p w14:paraId="6C9AAF61" w14:textId="5F7FC2D5" w:rsidR="005651BD" w:rsidRPr="00F76AB4" w:rsidRDefault="005651BD" w:rsidP="005651BD">
      <w:pPr>
        <w:widowControl w:val="0"/>
        <w:numPr>
          <w:ilvl w:val="0"/>
          <w:numId w:val="2"/>
        </w:numPr>
        <w:spacing w:after="0"/>
        <w:contextualSpacing/>
        <w:jc w:val="both"/>
        <w:rPr>
          <w:rFonts w:ascii="ITC Avant Garde" w:eastAsia="Times New Roman" w:hAnsi="ITC Avant Garde"/>
        </w:rPr>
      </w:pPr>
      <w:r w:rsidRPr="00F76AB4">
        <w:rPr>
          <w:rFonts w:ascii="ITC Avant Garde" w:eastAsia="Times New Roman" w:hAnsi="ITC Avant Garde"/>
        </w:rPr>
        <w:t xml:space="preserve">Mediante escrito presentado </w:t>
      </w:r>
      <w:r>
        <w:rPr>
          <w:rFonts w:ascii="ITC Avant Garde" w:eastAsia="Times New Roman" w:hAnsi="ITC Avant Garde"/>
        </w:rPr>
        <w:t>ante</w:t>
      </w:r>
      <w:r w:rsidRPr="00F76AB4">
        <w:rPr>
          <w:rFonts w:ascii="ITC Avant Garde" w:eastAsia="Times New Roman" w:hAnsi="ITC Avant Garde"/>
        </w:rPr>
        <w:t xml:space="preserve"> </w:t>
      </w:r>
      <w:r>
        <w:rPr>
          <w:rFonts w:ascii="ITC Avant Garde" w:eastAsia="Times New Roman" w:hAnsi="ITC Avant Garde"/>
        </w:rPr>
        <w:t xml:space="preserve">la </w:t>
      </w:r>
      <w:r w:rsidRPr="00F76AB4">
        <w:rPr>
          <w:rFonts w:ascii="ITC Avant Garde" w:eastAsia="Times New Roman" w:hAnsi="ITC Avant Garde"/>
        </w:rPr>
        <w:t xml:space="preserve">Oficialía de Partes del Instituto el </w:t>
      </w:r>
      <w:r>
        <w:rPr>
          <w:rFonts w:ascii="ITC Avant Garde" w:eastAsia="Times New Roman" w:hAnsi="ITC Avant Garde"/>
        </w:rPr>
        <w:t>2</w:t>
      </w:r>
      <w:r w:rsidR="001541A1">
        <w:rPr>
          <w:rFonts w:ascii="ITC Avant Garde" w:eastAsia="Times New Roman" w:hAnsi="ITC Avant Garde"/>
        </w:rPr>
        <w:t>8</w:t>
      </w:r>
      <w:r w:rsidRPr="00F76AB4">
        <w:rPr>
          <w:rFonts w:ascii="ITC Avant Garde" w:eastAsia="Times New Roman" w:hAnsi="ITC Avant Garde"/>
        </w:rPr>
        <w:t xml:space="preserve"> de </w:t>
      </w:r>
      <w:r>
        <w:rPr>
          <w:rFonts w:ascii="ITC Avant Garde" w:eastAsia="Times New Roman" w:hAnsi="ITC Avant Garde"/>
        </w:rPr>
        <w:t>ju</w:t>
      </w:r>
      <w:r w:rsidR="00E7109E">
        <w:rPr>
          <w:rFonts w:ascii="ITC Avant Garde" w:eastAsia="Times New Roman" w:hAnsi="ITC Avant Garde"/>
        </w:rPr>
        <w:t>n</w:t>
      </w:r>
      <w:r>
        <w:rPr>
          <w:rFonts w:ascii="ITC Avant Garde" w:eastAsia="Times New Roman" w:hAnsi="ITC Avant Garde"/>
        </w:rPr>
        <w:t>io</w:t>
      </w:r>
      <w:r w:rsidRPr="00F76AB4">
        <w:rPr>
          <w:rFonts w:ascii="ITC Avant Garde" w:eastAsia="Times New Roman" w:hAnsi="ITC Avant Garde"/>
        </w:rPr>
        <w:t xml:space="preserve"> de 201</w:t>
      </w:r>
      <w:r w:rsidR="001541A1">
        <w:rPr>
          <w:rFonts w:ascii="ITC Avant Garde" w:eastAsia="Times New Roman" w:hAnsi="ITC Avant Garde"/>
        </w:rPr>
        <w:t>9</w:t>
      </w:r>
      <w:r w:rsidRPr="00F76AB4">
        <w:rPr>
          <w:rFonts w:ascii="ITC Avant Garde" w:eastAsia="Times New Roman" w:hAnsi="ITC Avant Garde"/>
        </w:rPr>
        <w:t xml:space="preserve">, </w:t>
      </w:r>
      <w:r>
        <w:rPr>
          <w:rFonts w:ascii="ITC Avant Garde" w:eastAsia="Times New Roman" w:hAnsi="ITC Avant Garde"/>
        </w:rPr>
        <w:t>Teléfonos del Noroeste, S.A. de C.V.</w:t>
      </w:r>
      <w:r w:rsidR="00CD357B">
        <w:rPr>
          <w:rFonts w:ascii="ITC Avant Garde" w:eastAsia="Times New Roman" w:hAnsi="ITC Avant Garde"/>
        </w:rPr>
        <w:t xml:space="preserve"> (en lo sucesivo, “Telnor”)</w:t>
      </w:r>
      <w:r>
        <w:rPr>
          <w:rFonts w:ascii="ITC Avant Garde" w:eastAsia="Times New Roman" w:hAnsi="ITC Avant Garde"/>
        </w:rPr>
        <w:t xml:space="preserve"> </w:t>
      </w:r>
      <w:r w:rsidRPr="00F76AB4">
        <w:rPr>
          <w:rFonts w:ascii="ITC Avant Garde" w:eastAsia="Times New Roman" w:hAnsi="ITC Avant Garde"/>
        </w:rPr>
        <w:t xml:space="preserve">como parte del AEP en </w:t>
      </w:r>
      <w:r>
        <w:rPr>
          <w:rFonts w:ascii="ITC Avant Garde" w:eastAsia="Times New Roman" w:hAnsi="ITC Avant Garde"/>
        </w:rPr>
        <w:t xml:space="preserve">el sector de </w:t>
      </w:r>
      <w:r w:rsidRPr="00F76AB4">
        <w:rPr>
          <w:rFonts w:ascii="ITC Avant Garde" w:eastAsia="Times New Roman" w:hAnsi="ITC Avant Garde"/>
        </w:rPr>
        <w:t>telecomunicaciones, en cumplimiento a la Medida QUINTA de las Medidas de Desagregación, presentó para su aprobación la propuesta de Oferta de Referencia de Desagregación Efectiva de la Red Local</w:t>
      </w:r>
      <w:r w:rsidRPr="00126152">
        <w:rPr>
          <w:rFonts w:ascii="ITC Avant Garde" w:eastAsia="Times New Roman" w:hAnsi="ITC Avant Garde"/>
        </w:rPr>
        <w:t>, respecto del periodo comprendido del 1 de enero al 31 de diciembre de 20</w:t>
      </w:r>
      <w:r w:rsidR="001541A1">
        <w:rPr>
          <w:rFonts w:ascii="ITC Avant Garde" w:eastAsia="Times New Roman" w:hAnsi="ITC Avant Garde"/>
        </w:rPr>
        <w:t>20</w:t>
      </w:r>
      <w:r w:rsidRPr="00126152">
        <w:rPr>
          <w:rFonts w:ascii="ITC Avant Garde" w:eastAsia="Times New Roman" w:hAnsi="ITC Avant Garde"/>
        </w:rPr>
        <w:t>.</w:t>
      </w:r>
    </w:p>
    <w:p w14:paraId="7BA52393" w14:textId="70FE49DA" w:rsidR="00274117" w:rsidRDefault="00274117" w:rsidP="00A33196">
      <w:pPr>
        <w:widowControl w:val="0"/>
        <w:spacing w:after="0"/>
        <w:ind w:left="1080"/>
        <w:contextualSpacing/>
        <w:jc w:val="both"/>
        <w:rPr>
          <w:rFonts w:ascii="ITC Avant Garde" w:eastAsia="Times New Roman" w:hAnsi="ITC Avant Garde"/>
          <w:sz w:val="20"/>
          <w:lang w:val="x-none"/>
        </w:rPr>
      </w:pPr>
    </w:p>
    <w:p w14:paraId="666431D2" w14:textId="77777777" w:rsidR="001961D2" w:rsidRPr="002641D2" w:rsidRDefault="001961D2" w:rsidP="00A33196">
      <w:pPr>
        <w:widowControl w:val="0"/>
        <w:spacing w:after="0"/>
        <w:ind w:left="1080"/>
        <w:contextualSpacing/>
        <w:jc w:val="both"/>
        <w:rPr>
          <w:rFonts w:ascii="ITC Avant Garde" w:eastAsia="Times New Roman" w:hAnsi="ITC Avant Garde"/>
          <w:sz w:val="20"/>
          <w:lang w:val="x-none"/>
        </w:rPr>
      </w:pPr>
    </w:p>
    <w:p w14:paraId="7605D389" w14:textId="77777777" w:rsidR="007C4BEB" w:rsidRPr="00EB29B0" w:rsidRDefault="007C4BEB" w:rsidP="00A33196">
      <w:pPr>
        <w:spacing w:after="0"/>
        <w:jc w:val="center"/>
        <w:rPr>
          <w:rFonts w:ascii="ITC Avant Garde" w:hAnsi="ITC Avant Garde" w:cs="Arial"/>
          <w:b/>
          <w:bCs/>
        </w:rPr>
      </w:pPr>
      <w:r w:rsidRPr="00EB29B0">
        <w:rPr>
          <w:rFonts w:ascii="ITC Avant Garde" w:hAnsi="ITC Avant Garde" w:cs="Arial"/>
          <w:b/>
          <w:bCs/>
        </w:rPr>
        <w:t>CONSIDERANDO</w:t>
      </w:r>
    </w:p>
    <w:p w14:paraId="7044E5D4" w14:textId="58EA6D8C" w:rsidR="009A0009" w:rsidRDefault="009A0009" w:rsidP="00A33196">
      <w:pPr>
        <w:spacing w:after="0"/>
        <w:jc w:val="both"/>
        <w:rPr>
          <w:rFonts w:ascii="ITC Avant Garde" w:hAnsi="ITC Avant Garde" w:cs="Arial"/>
          <w:b/>
          <w:bCs/>
          <w:sz w:val="20"/>
        </w:rPr>
      </w:pPr>
    </w:p>
    <w:p w14:paraId="34796CA7" w14:textId="77777777" w:rsidR="001961D2" w:rsidRPr="002641D2" w:rsidRDefault="001961D2" w:rsidP="00A33196">
      <w:pPr>
        <w:spacing w:after="0"/>
        <w:jc w:val="both"/>
        <w:rPr>
          <w:rFonts w:ascii="ITC Avant Garde" w:hAnsi="ITC Avant Garde" w:cs="Arial"/>
          <w:b/>
          <w:bCs/>
          <w:sz w:val="20"/>
        </w:rPr>
      </w:pPr>
    </w:p>
    <w:p w14:paraId="34055D84" w14:textId="6FECD04D" w:rsidR="007C4BEB" w:rsidRPr="00EB29B0" w:rsidRDefault="002A6617" w:rsidP="00A33196">
      <w:pPr>
        <w:spacing w:after="0"/>
        <w:jc w:val="both"/>
        <w:rPr>
          <w:rFonts w:ascii="ITC Avant Garde" w:hAnsi="ITC Avant Garde" w:cs="Arial"/>
          <w:bCs/>
        </w:rPr>
      </w:pPr>
      <w:r w:rsidRPr="00EB29B0">
        <w:rPr>
          <w:rFonts w:ascii="ITC Avant Garde" w:hAnsi="ITC Avant Garde" w:cs="Arial"/>
          <w:b/>
          <w:bCs/>
        </w:rPr>
        <w:t>PRIMERO. -</w:t>
      </w:r>
      <w:r w:rsidR="007C4BEB" w:rsidRPr="00EB29B0">
        <w:rPr>
          <w:rFonts w:ascii="ITC Avant Garde" w:hAnsi="ITC Avant Garde" w:cs="Arial"/>
          <w:b/>
          <w:bCs/>
        </w:rPr>
        <w:t xml:space="preserve"> Competencia del Instituto.</w:t>
      </w:r>
      <w:r w:rsidR="007C4BEB" w:rsidRPr="00EB29B0">
        <w:rPr>
          <w:rFonts w:ascii="ITC Avant Garde" w:hAnsi="ITC Avant Garde" w:cs="Arial"/>
          <w:bCs/>
        </w:rPr>
        <w:t xml:space="preserve"> 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EB29B0">
        <w:rPr>
          <w:rFonts w:ascii="ITC Avant Garde" w:hAnsi="ITC Avant Garde" w:cs="Arial"/>
          <w:bCs/>
        </w:rPr>
        <w:t>aciones, así como del acceso a i</w:t>
      </w:r>
      <w:r w:rsidR="007C4BEB" w:rsidRPr="00EB29B0">
        <w:rPr>
          <w:rFonts w:ascii="ITC Avant Garde" w:hAnsi="ITC Avant Garde" w:cs="Arial"/>
          <w:bCs/>
        </w:rPr>
        <w:t xml:space="preserve">nfraestructura activa, pasiva y otros 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w:t>
      </w:r>
      <w:r w:rsidR="007C4BEB" w:rsidRPr="00EB29B0">
        <w:rPr>
          <w:rFonts w:ascii="ITC Avant Garde" w:hAnsi="ITC Avant Garde" w:cs="Arial"/>
          <w:bCs/>
        </w:rPr>
        <w:lastRenderedPageBreak/>
        <w:t>y ordenará la desincorporación de activos, derechos o partes necesarias para asegurar el cumplimiento de estos límites.</w:t>
      </w:r>
    </w:p>
    <w:p w14:paraId="4CE17163" w14:textId="77777777" w:rsidR="007C4BEB" w:rsidRPr="002641D2" w:rsidRDefault="007C4BEB" w:rsidP="00A33196">
      <w:pPr>
        <w:widowControl w:val="0"/>
        <w:spacing w:after="0"/>
        <w:jc w:val="both"/>
        <w:rPr>
          <w:rFonts w:ascii="ITC Avant Garde" w:eastAsia="Times New Roman" w:hAnsi="ITC Avant Garde"/>
          <w:sz w:val="20"/>
        </w:rPr>
      </w:pPr>
    </w:p>
    <w:p w14:paraId="7FC7B409" w14:textId="5BBBBFBB" w:rsidR="007C4BEB" w:rsidRDefault="008E3097" w:rsidP="00A33196">
      <w:pPr>
        <w:spacing w:after="0"/>
        <w:jc w:val="both"/>
        <w:rPr>
          <w:rFonts w:ascii="ITC Avant Garde" w:hAnsi="ITC Avant Garde" w:cs="Arial"/>
          <w:bCs/>
        </w:rPr>
      </w:pPr>
      <w:r w:rsidRPr="00EB29B0">
        <w:rPr>
          <w:rFonts w:ascii="ITC Avant Garde" w:hAnsi="ITC Avant Garde" w:cs="Arial"/>
          <w:bCs/>
        </w:rPr>
        <w:t>En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Pr="00EB29B0">
        <w:rPr>
          <w:rFonts w:ascii="ITC Avant Garde" w:hAnsi="ITC Avant Garde" w:cs="Arial"/>
          <w:bCs/>
        </w:rPr>
        <w:t xml:space="preserve">l Agente Económico </w:t>
      </w:r>
      <w:r w:rsidR="007C4BEB" w:rsidRPr="00EB29B0">
        <w:rPr>
          <w:rFonts w:ascii="ITC Avant Garde" w:hAnsi="ITC Avant Garde" w:cs="Arial"/>
          <w:bCs/>
        </w:rPr>
        <w:t xml:space="preserve">Preponderante en </w:t>
      </w:r>
      <w:r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w:t>
      </w:r>
      <w:r w:rsidR="00A5647B">
        <w:rPr>
          <w:rFonts w:ascii="ITC Avant Garde" w:hAnsi="ITC Avant Garde" w:cs="Arial"/>
          <w:bCs/>
        </w:rPr>
        <w:t>de Desagregación</w:t>
      </w:r>
      <w:r w:rsidR="007C4BEB" w:rsidRPr="00EB29B0">
        <w:rPr>
          <w:rFonts w:ascii="ITC Avant Garde" w:hAnsi="ITC Avant Garde" w:cs="Arial"/>
          <w:bCs/>
        </w:rPr>
        <w:t>, mismas que 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14:paraId="4CB74F0F" w14:textId="77777777" w:rsidR="001961D2" w:rsidRPr="00EB29B0" w:rsidRDefault="001961D2" w:rsidP="00A33196">
      <w:pPr>
        <w:spacing w:after="0"/>
        <w:jc w:val="both"/>
        <w:rPr>
          <w:rFonts w:ascii="ITC Avant Garde" w:hAnsi="ITC Avant Garde" w:cs="Arial"/>
          <w:bCs/>
        </w:rPr>
      </w:pPr>
    </w:p>
    <w:p w14:paraId="1D8F7B7C" w14:textId="38DCAD89" w:rsidR="00514A8F" w:rsidRPr="00EB29B0" w:rsidRDefault="00F9106B" w:rsidP="00A33196">
      <w:pPr>
        <w:spacing w:after="0"/>
        <w:jc w:val="both"/>
        <w:rPr>
          <w:rFonts w:ascii="ITC Avant Garde" w:hAnsi="ITC Avant Garde" w:cs="Arial"/>
          <w:bCs/>
        </w:rPr>
      </w:pPr>
      <w:r w:rsidRPr="00EB29B0">
        <w:rPr>
          <w:rFonts w:ascii="ITC Avant Garde" w:hAnsi="ITC Avant Garde" w:cs="Arial"/>
          <w:bCs/>
        </w:rPr>
        <w:t xml:space="preserve">La Resolución AEP y sus </w:t>
      </w:r>
      <w:r w:rsidR="00BC30D1" w:rsidRPr="00EB29B0">
        <w:rPr>
          <w:rFonts w:ascii="ITC Avant Garde" w:hAnsi="ITC Avant Garde" w:cs="Arial"/>
          <w:bCs/>
        </w:rPr>
        <w:t>Anexos (</w:t>
      </w:r>
      <w:r w:rsidR="001541A1">
        <w:rPr>
          <w:rFonts w:ascii="ITC Avant Garde" w:hAnsi="ITC Avant Garde" w:cs="Arial"/>
          <w:bCs/>
        </w:rPr>
        <w:t xml:space="preserve">entre ellos </w:t>
      </w:r>
      <w:r w:rsidR="00BC30D1" w:rsidRPr="00EB29B0">
        <w:rPr>
          <w:rFonts w:ascii="ITC Avant Garde" w:hAnsi="ITC Avant Garde" w:cs="Arial"/>
          <w:bCs/>
        </w:rPr>
        <w:t xml:space="preserve">las </w:t>
      </w:r>
      <w:r w:rsidR="00C22B66" w:rsidRPr="00EB29B0">
        <w:rPr>
          <w:rFonts w:ascii="ITC Avant Garde" w:hAnsi="ITC Avant Garde" w:cs="Arial"/>
          <w:bCs/>
        </w:rPr>
        <w:t>Medidas</w:t>
      </w:r>
      <w:r w:rsidR="00514A8F" w:rsidRPr="00EB29B0">
        <w:rPr>
          <w:rFonts w:ascii="ITC Avant Garde" w:hAnsi="ITC Avant Garde" w:cs="Arial"/>
          <w:bCs/>
        </w:rPr>
        <w:t xml:space="preserve"> </w:t>
      </w:r>
      <w:r w:rsidR="00A5647B">
        <w:rPr>
          <w:rFonts w:ascii="ITC Avant Garde" w:hAnsi="ITC Avant Garde" w:cs="Arial"/>
          <w:bCs/>
        </w:rPr>
        <w:t>de Desagregación</w:t>
      </w:r>
      <w:r w:rsidR="00085909">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V de</w:t>
      </w:r>
      <w:r w:rsidR="000247B2">
        <w:rPr>
          <w:rFonts w:ascii="ITC Avant Garde" w:hAnsi="ITC Avant Garde" w:cs="Arial"/>
          <w:bCs/>
        </w:rPr>
        <w:t>l presente Acuerdo</w:t>
      </w:r>
      <w:r w:rsidR="00BC30D1" w:rsidRPr="00EB29B0">
        <w:rPr>
          <w:rFonts w:ascii="ITC Avant Garde" w:hAnsi="ITC Avant Garde" w:cs="Arial"/>
          <w:bCs/>
        </w:rPr>
        <w:t>.</w:t>
      </w:r>
    </w:p>
    <w:p w14:paraId="248113C6" w14:textId="77777777" w:rsidR="00D61FD4" w:rsidRPr="002641D2" w:rsidRDefault="00D61FD4" w:rsidP="00A33196">
      <w:pPr>
        <w:spacing w:after="0"/>
        <w:jc w:val="both"/>
        <w:rPr>
          <w:rFonts w:ascii="ITC Avant Garde" w:hAnsi="ITC Avant Garde" w:cs="Arial"/>
          <w:bCs/>
          <w:sz w:val="20"/>
        </w:rPr>
      </w:pPr>
    </w:p>
    <w:p w14:paraId="06E05099" w14:textId="77777777" w:rsidR="00D61FD4" w:rsidRPr="00EB29B0" w:rsidRDefault="00D61FD4" w:rsidP="00D61FD4">
      <w:pPr>
        <w:spacing w:after="0"/>
        <w:jc w:val="both"/>
        <w:rPr>
          <w:rFonts w:ascii="ITC Avant Garde" w:hAnsi="ITC Avant Garde" w:cs="Arial"/>
          <w:bCs/>
        </w:rPr>
      </w:pPr>
      <w:r w:rsidRPr="00EB29B0">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4FD8BEF7" w14:textId="2B52BE3E" w:rsidR="00A4788C" w:rsidRDefault="00A4788C" w:rsidP="00A33196">
      <w:pPr>
        <w:spacing w:after="0"/>
        <w:jc w:val="both"/>
        <w:rPr>
          <w:rFonts w:ascii="ITC Avant Garde" w:hAnsi="ITC Avant Garde" w:cs="Arial"/>
          <w:bCs/>
          <w:sz w:val="20"/>
        </w:rPr>
      </w:pPr>
    </w:p>
    <w:p w14:paraId="205916A9" w14:textId="77777777" w:rsidR="001961D2" w:rsidRPr="002641D2" w:rsidRDefault="001961D2" w:rsidP="00A33196">
      <w:pPr>
        <w:spacing w:after="0"/>
        <w:jc w:val="both"/>
        <w:rPr>
          <w:rFonts w:ascii="ITC Avant Garde" w:hAnsi="ITC Avant Garde" w:cs="Arial"/>
          <w:bCs/>
          <w:sz w:val="20"/>
        </w:rPr>
      </w:pPr>
    </w:p>
    <w:p w14:paraId="7BAEAC78" w14:textId="3D1C1D43" w:rsidR="001541A1" w:rsidRPr="00EB29B0" w:rsidRDefault="002A6617" w:rsidP="001541A1">
      <w:pPr>
        <w:spacing w:after="0"/>
        <w:jc w:val="both"/>
        <w:rPr>
          <w:rFonts w:ascii="ITC Avant Garde" w:hAnsi="ITC Avant Garde" w:cs="Arial"/>
          <w:b/>
          <w:bCs/>
        </w:rPr>
      </w:pPr>
      <w:r w:rsidRPr="00EB29B0">
        <w:rPr>
          <w:rFonts w:ascii="ITC Avant Garde" w:hAnsi="ITC Avant Garde" w:cs="Arial"/>
          <w:b/>
          <w:bCs/>
        </w:rPr>
        <w:t>SEGUNDO</w:t>
      </w:r>
      <w:r w:rsidRPr="00EB29B0">
        <w:rPr>
          <w:rFonts w:ascii="ITC Avant Garde" w:hAnsi="ITC Avant Garde" w:cs="Arial"/>
          <w:bCs/>
        </w:rPr>
        <w:t>. -</w:t>
      </w:r>
      <w:r w:rsidR="00AB7EEE" w:rsidRPr="00EB29B0">
        <w:rPr>
          <w:rFonts w:ascii="ITC Avant Garde" w:hAnsi="ITC Avant Garde" w:cs="Arial"/>
          <w:bCs/>
        </w:rPr>
        <w:t xml:space="preserve"> </w:t>
      </w:r>
      <w:r w:rsidR="00C22B66" w:rsidRPr="00EB29B0">
        <w:rPr>
          <w:rFonts w:ascii="ITC Avant Garde" w:hAnsi="ITC Avant Garde" w:cs="Arial"/>
          <w:b/>
          <w:bCs/>
        </w:rPr>
        <w:t>Obligatoriedad del AEP de presentar sus Ofertas de Referencia</w:t>
      </w:r>
      <w:r w:rsidR="003A2A92" w:rsidRPr="00EB29B0">
        <w:rPr>
          <w:rFonts w:ascii="ITC Avant Garde" w:hAnsi="ITC Avant Garde" w:cs="Arial"/>
          <w:b/>
          <w:bCs/>
        </w:rPr>
        <w:t>.</w:t>
      </w:r>
      <w:r w:rsidR="00B263FA" w:rsidRPr="00EB29B0">
        <w:rPr>
          <w:rFonts w:ascii="ITC Avant Garde" w:hAnsi="ITC Avant Garde" w:cs="Arial"/>
          <w:b/>
          <w:bCs/>
        </w:rPr>
        <w:t xml:space="preserve"> </w:t>
      </w:r>
      <w:r w:rsidR="00E21600" w:rsidRPr="00EB29B0">
        <w:rPr>
          <w:rFonts w:ascii="ITC Avant Garde" w:hAnsi="ITC Avant Garde" w:cs="Arial"/>
          <w:bCs/>
        </w:rPr>
        <w:t xml:space="preserve">Uno de los objetivos de las atribuciones conferidas a este Instituto por el artículo Octavo Transitorio, fracción III del Decreto, radicó en la necesidad de supervisión del órgano regulador a efecto de que los servicios mayoristas se presten de </w:t>
      </w:r>
      <w:r w:rsidR="001541A1">
        <w:rPr>
          <w:rFonts w:ascii="ITC Avant Garde" w:hAnsi="ITC Avant Garde" w:cs="Arial"/>
          <w:bCs/>
        </w:rPr>
        <w:t>manera no discriminatoria y en condiciones de competencia y libre concurrencia.</w:t>
      </w:r>
    </w:p>
    <w:p w14:paraId="27B50E90" w14:textId="47289A27" w:rsidR="00A17827" w:rsidRPr="002641D2" w:rsidRDefault="00A17827" w:rsidP="00A33196">
      <w:pPr>
        <w:spacing w:after="0"/>
        <w:jc w:val="both"/>
        <w:rPr>
          <w:rFonts w:ascii="ITC Avant Garde" w:hAnsi="ITC Avant Garde" w:cs="Arial"/>
          <w:bCs/>
          <w:sz w:val="20"/>
        </w:rPr>
      </w:pPr>
    </w:p>
    <w:p w14:paraId="67FC7D68" w14:textId="51084DE1" w:rsidR="00A17827" w:rsidRPr="00EB29B0" w:rsidRDefault="00A17827" w:rsidP="00A33196">
      <w:pPr>
        <w:spacing w:after="0"/>
        <w:jc w:val="both"/>
        <w:rPr>
          <w:rFonts w:ascii="ITC Avant Garde" w:hAnsi="ITC Avant Garde" w:cs="Arial"/>
          <w:bCs/>
        </w:rPr>
      </w:pPr>
      <w:r w:rsidRPr="00EB29B0">
        <w:rPr>
          <w:rFonts w:ascii="ITC Avant Garde" w:hAnsi="ITC Avant Garde" w:cs="Arial"/>
          <w:bCs/>
        </w:rPr>
        <w:t xml:space="preserve">Es así que uno de los objetivos de la LFTR es regular el uso y aprovechamiento de las redes públicas de telecomunicaciones, así como la prestación de los servicios públicos de interés general </w:t>
      </w:r>
      <w:r w:rsidR="001541A1">
        <w:rPr>
          <w:rFonts w:ascii="ITC Avant Garde" w:hAnsi="ITC Avant Garde" w:cs="Arial"/>
          <w:bCs/>
        </w:rPr>
        <w:t xml:space="preserve">en el sector </w:t>
      </w:r>
      <w:r w:rsidRPr="00EB29B0">
        <w:rPr>
          <w:rFonts w:ascii="ITC Avant Garde" w:hAnsi="ITC Avant Garde" w:cs="Arial"/>
          <w:bCs/>
        </w:rPr>
        <w:t>de telecomunicaciones.</w:t>
      </w:r>
    </w:p>
    <w:p w14:paraId="3F54F25D" w14:textId="77777777" w:rsidR="003D36EA" w:rsidRPr="002641D2" w:rsidRDefault="003D36EA" w:rsidP="00BE2F00">
      <w:pPr>
        <w:spacing w:after="0"/>
        <w:jc w:val="both"/>
        <w:rPr>
          <w:rFonts w:ascii="ITC Avant Garde" w:eastAsia="Times New Roman" w:hAnsi="ITC Avant Garde"/>
          <w:sz w:val="20"/>
          <w:szCs w:val="20"/>
        </w:rPr>
      </w:pPr>
    </w:p>
    <w:p w14:paraId="60E2A279" w14:textId="04793DD5" w:rsidR="00BE2F00" w:rsidRDefault="00A17827" w:rsidP="00BE2F00">
      <w:pPr>
        <w:spacing w:after="0"/>
        <w:jc w:val="both"/>
        <w:rPr>
          <w:rFonts w:ascii="ITC Avant Garde" w:eastAsia="Times New Roman" w:hAnsi="ITC Avant Garde"/>
        </w:rPr>
      </w:pPr>
      <w:r w:rsidRPr="00EB29B0">
        <w:rPr>
          <w:rFonts w:ascii="ITC Avant Garde" w:eastAsia="Times New Roman" w:hAnsi="ITC Avant Garde"/>
          <w:szCs w:val="20"/>
        </w:rPr>
        <w:t xml:space="preserve">En este sentido, la Medida </w:t>
      </w:r>
      <w:r w:rsidR="00085909">
        <w:rPr>
          <w:rFonts w:ascii="ITC Avant Garde" w:eastAsia="Times New Roman" w:hAnsi="ITC Avant Garde"/>
        </w:rPr>
        <w:t>QUINTA</w:t>
      </w:r>
      <w:r w:rsidRPr="00EB29B0">
        <w:rPr>
          <w:rFonts w:ascii="ITC Avant Garde" w:eastAsia="Times New Roman" w:hAnsi="ITC Avant Garde"/>
        </w:rPr>
        <w:t xml:space="preserve"> de las Medidas </w:t>
      </w:r>
      <w:r w:rsidR="00085909">
        <w:rPr>
          <w:rFonts w:ascii="ITC Avant Garde" w:eastAsia="Times New Roman" w:hAnsi="ITC Avant Garde"/>
        </w:rPr>
        <w:t>de Desagregación</w:t>
      </w:r>
      <w:r w:rsidR="00226B14">
        <w:rPr>
          <w:rFonts w:ascii="ITC Avant Garde" w:eastAsia="Times New Roman" w:hAnsi="ITC Avant Garde"/>
        </w:rPr>
        <w:t xml:space="preserve"> establece el procedimiento de revisión y </w:t>
      </w:r>
      <w:r w:rsidR="00326988">
        <w:rPr>
          <w:rFonts w:ascii="ITC Avant Garde" w:eastAsia="Times New Roman" w:hAnsi="ITC Avant Garde"/>
        </w:rPr>
        <w:t>autorización</w:t>
      </w:r>
      <w:r w:rsidR="00226B14">
        <w:rPr>
          <w:rFonts w:ascii="ITC Avant Garde" w:eastAsia="Times New Roman" w:hAnsi="ITC Avant Garde"/>
        </w:rPr>
        <w:t xml:space="preserve"> de la </w:t>
      </w:r>
      <w:r w:rsidR="00226B14" w:rsidRPr="00F76AB4">
        <w:rPr>
          <w:rFonts w:ascii="ITC Avant Garde" w:eastAsia="Times New Roman" w:hAnsi="ITC Avant Garde"/>
        </w:rPr>
        <w:t>Oferta de Referencia de Desagregación de la Red Local</w:t>
      </w:r>
      <w:r w:rsidR="00226B14">
        <w:rPr>
          <w:rFonts w:ascii="ITC Avant Garde" w:eastAsia="Times New Roman" w:hAnsi="ITC Avant Garde"/>
        </w:rPr>
        <w:t xml:space="preserve"> del AEP</w:t>
      </w:r>
      <w:r w:rsidR="00326988">
        <w:rPr>
          <w:rFonts w:ascii="ITC Avant Garde" w:eastAsia="Times New Roman" w:hAnsi="ITC Avant Garde"/>
        </w:rPr>
        <w:t xml:space="preserve">, de conformidad con lo señalado en el </w:t>
      </w:r>
      <w:r w:rsidR="00326988" w:rsidRPr="008A136C">
        <w:rPr>
          <w:rFonts w:ascii="ITC Avant Garde" w:eastAsia="Times New Roman" w:hAnsi="ITC Avant Garde"/>
        </w:rPr>
        <w:t xml:space="preserve">Artículo 269, fracción III, de la </w:t>
      </w:r>
      <w:r w:rsidR="00326988">
        <w:rPr>
          <w:rFonts w:ascii="ITC Avant Garde" w:eastAsia="Times New Roman" w:hAnsi="ITC Avant Garde"/>
        </w:rPr>
        <w:t>LFTR, que impone</w:t>
      </w:r>
      <w:r w:rsidR="00085909" w:rsidRPr="006F0A6C">
        <w:rPr>
          <w:rFonts w:ascii="ITC Avant Garde" w:eastAsia="Times New Roman" w:hAnsi="ITC Avant Garde"/>
        </w:rPr>
        <w:t xml:space="preserve"> al AEP la obligación de </w:t>
      </w:r>
      <w:r w:rsidR="008648FC">
        <w:rPr>
          <w:rFonts w:ascii="ITC Avant Garde" w:eastAsia="Times New Roman" w:hAnsi="ITC Avant Garde"/>
        </w:rPr>
        <w:t xml:space="preserve">someter a la aprobación del Instituto, </w:t>
      </w:r>
      <w:r w:rsidR="00BE2F00" w:rsidRPr="008A136C">
        <w:rPr>
          <w:rFonts w:ascii="ITC Avant Garde" w:eastAsia="Times New Roman" w:hAnsi="ITC Avant Garde"/>
        </w:rPr>
        <w:t xml:space="preserve">a más tardar el 30 de junio de </w:t>
      </w:r>
      <w:r w:rsidR="008648FC">
        <w:rPr>
          <w:rFonts w:ascii="ITC Avant Garde" w:eastAsia="Times New Roman" w:hAnsi="ITC Avant Garde"/>
        </w:rPr>
        <w:t xml:space="preserve">cada </w:t>
      </w:r>
      <w:r w:rsidR="00BE2F00" w:rsidRPr="008A136C">
        <w:rPr>
          <w:rFonts w:ascii="ITC Avant Garde" w:eastAsia="Times New Roman" w:hAnsi="ITC Avant Garde"/>
        </w:rPr>
        <w:t>año</w:t>
      </w:r>
      <w:r w:rsidR="008648FC">
        <w:rPr>
          <w:rFonts w:ascii="ITC Avant Garde" w:eastAsia="Times New Roman" w:hAnsi="ITC Avant Garde"/>
        </w:rPr>
        <w:t xml:space="preserve"> las ofertas públicas de referencia para la desagregación de la red pública de telecomunicaciones local</w:t>
      </w:r>
      <w:r w:rsidR="00BE2F00" w:rsidRPr="008A136C">
        <w:rPr>
          <w:rFonts w:ascii="ITC Avant Garde" w:eastAsia="Times New Roman" w:hAnsi="ITC Avant Garde"/>
        </w:rPr>
        <w:t>.</w:t>
      </w:r>
    </w:p>
    <w:p w14:paraId="08F1529E" w14:textId="77777777" w:rsidR="002641D2" w:rsidRPr="002641D2" w:rsidRDefault="002641D2" w:rsidP="008648FC">
      <w:pPr>
        <w:spacing w:after="0"/>
        <w:jc w:val="both"/>
        <w:rPr>
          <w:rFonts w:ascii="ITC Avant Garde" w:eastAsia="Times New Roman" w:hAnsi="ITC Avant Garde"/>
          <w:sz w:val="20"/>
          <w:szCs w:val="20"/>
        </w:rPr>
      </w:pPr>
    </w:p>
    <w:p w14:paraId="2A490C1C" w14:textId="0FC162A0" w:rsidR="008648FC" w:rsidRDefault="008648FC" w:rsidP="008648FC">
      <w:pPr>
        <w:spacing w:after="0"/>
        <w:jc w:val="both"/>
        <w:rPr>
          <w:rFonts w:ascii="ITC Avant Garde" w:hAnsi="ITC Avant Garde"/>
        </w:rPr>
      </w:pPr>
      <w:r w:rsidRPr="00EB29B0">
        <w:rPr>
          <w:rFonts w:ascii="ITC Avant Garde" w:eastAsia="Times New Roman" w:hAnsi="ITC Avant Garde"/>
          <w:szCs w:val="20"/>
        </w:rPr>
        <w:t>E</w:t>
      </w:r>
      <w:r w:rsidRPr="00EB29B0">
        <w:rPr>
          <w:rFonts w:ascii="ITC Avant Garde" w:hAnsi="ITC Avant Garde"/>
        </w:rPr>
        <w:t>n</w:t>
      </w:r>
      <w:r w:rsidRPr="00EB29B0">
        <w:rPr>
          <w:rFonts w:ascii="ITC Avant Garde" w:eastAsia="Times New Roman" w:hAnsi="ITC Avant Garde"/>
          <w:szCs w:val="20"/>
        </w:rPr>
        <w:t xml:space="preserve"> la Resolución AEP el Instituto se pronunció en el sentido de que la utilidad de una </w:t>
      </w:r>
      <w:r>
        <w:rPr>
          <w:rFonts w:ascii="ITC Avant Garde" w:eastAsia="Times New Roman" w:hAnsi="ITC Avant Garde"/>
          <w:szCs w:val="20"/>
        </w:rPr>
        <w:t>o</w:t>
      </w:r>
      <w:r w:rsidRPr="00EB29B0">
        <w:rPr>
          <w:rFonts w:ascii="ITC Avant Garde" w:eastAsia="Times New Roman" w:hAnsi="ITC Avant Garde"/>
          <w:szCs w:val="20"/>
        </w:rPr>
        <w:t xml:space="preserve">ferta de </w:t>
      </w:r>
      <w:r>
        <w:rPr>
          <w:rFonts w:ascii="ITC Avant Garde" w:eastAsia="Times New Roman" w:hAnsi="ITC Avant Garde"/>
          <w:szCs w:val="20"/>
        </w:rPr>
        <w:t>r</w:t>
      </w:r>
      <w:r w:rsidRPr="00EB29B0">
        <w:rPr>
          <w:rFonts w:ascii="ITC Avant Garde" w:eastAsia="Times New Roman" w:hAnsi="ITC Avant Garde"/>
          <w:szCs w:val="20"/>
        </w:rPr>
        <w:t xml:space="preserve">eferencia es que en la misma se </w:t>
      </w:r>
      <w:r w:rsidRPr="00EB29B0">
        <w:rPr>
          <w:rFonts w:ascii="ITC Avant Garde" w:hAnsi="ITC Avant Garde"/>
        </w:rPr>
        <w:t xml:space="preserve">establecen los términos y condiciones para los servicios mayoristas que un operador puede aceptar del Agente Económico Preponderante, sin la necesidad de involucrarse en negociaciones adicionales, evitando de esta manera la generación de disputas en el sector y acortando los tiempos para la prestación de dichos servicios. De esta forma, el contar con </w:t>
      </w:r>
      <w:r>
        <w:rPr>
          <w:rFonts w:ascii="ITC Avant Garde" w:hAnsi="ITC Avant Garde"/>
        </w:rPr>
        <w:t>o</w:t>
      </w:r>
      <w:r w:rsidRPr="00EB29B0">
        <w:rPr>
          <w:rFonts w:ascii="ITC Avant Garde" w:hAnsi="ITC Avant Garde"/>
        </w:rPr>
        <w:t xml:space="preserve">fertas de </w:t>
      </w:r>
      <w:r>
        <w:rPr>
          <w:rFonts w:ascii="ITC Avant Garde" w:hAnsi="ITC Avant Garde"/>
        </w:rPr>
        <w:t>r</w:t>
      </w:r>
      <w:r w:rsidRPr="00EB29B0">
        <w:rPr>
          <w:rFonts w:ascii="ITC Avant Garde" w:hAnsi="ITC Avant Garde"/>
        </w:rPr>
        <w:t>eferencia previamente autorizadas por el órgano regulador:</w:t>
      </w:r>
    </w:p>
    <w:p w14:paraId="4F6263BD" w14:textId="77777777" w:rsidR="008648FC" w:rsidRPr="002641D2" w:rsidRDefault="008648FC" w:rsidP="008648FC">
      <w:pPr>
        <w:spacing w:after="0"/>
        <w:jc w:val="both"/>
        <w:rPr>
          <w:rFonts w:ascii="ITC Avant Garde" w:hAnsi="ITC Avant Garde"/>
          <w:sz w:val="20"/>
        </w:rPr>
      </w:pPr>
    </w:p>
    <w:p w14:paraId="0C993423" w14:textId="4DCEFB3C" w:rsidR="008648FC" w:rsidRDefault="008648FC" w:rsidP="008648FC">
      <w:pPr>
        <w:numPr>
          <w:ilvl w:val="0"/>
          <w:numId w:val="3"/>
        </w:numPr>
        <w:spacing w:after="0"/>
        <w:jc w:val="both"/>
        <w:rPr>
          <w:rFonts w:ascii="ITC Avant Garde" w:eastAsia="Times New Roman" w:hAnsi="ITC Avant Garde"/>
        </w:rPr>
      </w:pPr>
      <w:r w:rsidRPr="00EB29B0">
        <w:rPr>
          <w:rFonts w:ascii="ITC Avant Garde" w:eastAsia="Times New Roman" w:hAnsi="ITC Avant Garde"/>
        </w:rPr>
        <w:t>Facilita la prestación de servicios mayoristas a otros concesionarios o comercializadores.</w:t>
      </w:r>
    </w:p>
    <w:p w14:paraId="188915B3" w14:textId="77777777" w:rsidR="001961D2" w:rsidRDefault="001961D2" w:rsidP="001961D2">
      <w:pPr>
        <w:spacing w:after="0"/>
        <w:ind w:left="720"/>
        <w:jc w:val="both"/>
        <w:rPr>
          <w:rFonts w:ascii="ITC Avant Garde" w:eastAsia="Times New Roman" w:hAnsi="ITC Avant Garde"/>
        </w:rPr>
      </w:pPr>
    </w:p>
    <w:p w14:paraId="6C71DA76" w14:textId="5648D055" w:rsidR="008648FC" w:rsidRDefault="008648FC" w:rsidP="008648FC">
      <w:pPr>
        <w:numPr>
          <w:ilvl w:val="0"/>
          <w:numId w:val="3"/>
        </w:numPr>
        <w:spacing w:after="0"/>
        <w:jc w:val="both"/>
        <w:rPr>
          <w:rFonts w:ascii="ITC Avant Garde" w:eastAsia="Times New Roman" w:hAnsi="ITC Avant Garde"/>
        </w:rPr>
      </w:pPr>
      <w:r w:rsidRPr="00EB29B0">
        <w:rPr>
          <w:rFonts w:ascii="ITC Avant Garde" w:eastAsia="Times New Roman" w:hAnsi="ITC Avant Garde"/>
        </w:rPr>
        <w:t>Permite obtener condiciones básicas en la prestación de servicios mayoristas sin necesidad de par</w:t>
      </w:r>
      <w:r>
        <w:rPr>
          <w:rFonts w:ascii="ITC Avant Garde" w:eastAsia="Times New Roman" w:hAnsi="ITC Avant Garde"/>
        </w:rPr>
        <w:t>ticipar en largas negociaciones.</w:t>
      </w:r>
    </w:p>
    <w:p w14:paraId="426D3986" w14:textId="77777777" w:rsidR="001961D2" w:rsidRDefault="001961D2" w:rsidP="001961D2">
      <w:pPr>
        <w:spacing w:after="0"/>
        <w:ind w:left="720"/>
        <w:jc w:val="both"/>
        <w:rPr>
          <w:rFonts w:ascii="ITC Avant Garde" w:eastAsia="Times New Roman" w:hAnsi="ITC Avant Garde"/>
        </w:rPr>
      </w:pPr>
    </w:p>
    <w:p w14:paraId="66D6C019" w14:textId="1D5E3883" w:rsidR="008648FC" w:rsidRDefault="008648FC" w:rsidP="008648FC">
      <w:pPr>
        <w:numPr>
          <w:ilvl w:val="0"/>
          <w:numId w:val="3"/>
        </w:numPr>
        <w:spacing w:after="0"/>
        <w:jc w:val="both"/>
        <w:rPr>
          <w:rFonts w:ascii="ITC Avant Garde" w:eastAsia="Times New Roman" w:hAnsi="ITC Avant Garde"/>
        </w:rPr>
      </w:pPr>
      <w:r w:rsidRPr="00EB29B0">
        <w:rPr>
          <w:rFonts w:ascii="ITC Avant Garde" w:eastAsia="Times New Roman" w:hAnsi="ITC Avant Garde"/>
        </w:rPr>
        <w:t xml:space="preserve">Hace del conocimiento de los concesionarios solicitantes o comercializadores las condiciones jurídicas, económicas y técnicas </w:t>
      </w:r>
      <w:r w:rsidR="00E863B4">
        <w:rPr>
          <w:rFonts w:ascii="ITC Avant Garde" w:eastAsia="Times New Roman" w:hAnsi="ITC Avant Garde"/>
        </w:rPr>
        <w:t xml:space="preserve">generales </w:t>
      </w:r>
      <w:r w:rsidRPr="00EB29B0">
        <w:rPr>
          <w:rFonts w:ascii="ITC Avant Garde" w:eastAsia="Times New Roman" w:hAnsi="ITC Avant Garde"/>
        </w:rPr>
        <w:t>para la prestación de los servicios mayoristas.</w:t>
      </w:r>
    </w:p>
    <w:p w14:paraId="42AAAB0B" w14:textId="77777777" w:rsidR="001961D2" w:rsidRDefault="001961D2" w:rsidP="001961D2">
      <w:pPr>
        <w:spacing w:after="0"/>
        <w:ind w:left="720"/>
        <w:jc w:val="both"/>
        <w:rPr>
          <w:rFonts w:ascii="ITC Avant Garde" w:eastAsia="Times New Roman" w:hAnsi="ITC Avant Garde"/>
        </w:rPr>
      </w:pPr>
    </w:p>
    <w:p w14:paraId="5F107F7C" w14:textId="77777777" w:rsidR="00E863B4" w:rsidRDefault="00E863B4" w:rsidP="00E863B4">
      <w:pPr>
        <w:numPr>
          <w:ilvl w:val="0"/>
          <w:numId w:val="3"/>
        </w:numPr>
        <w:spacing w:after="0"/>
        <w:jc w:val="both"/>
        <w:rPr>
          <w:rFonts w:ascii="ITC Avant Garde" w:eastAsia="Times New Roman" w:hAnsi="ITC Avant Garde"/>
        </w:rPr>
      </w:pPr>
      <w:r>
        <w:rPr>
          <w:rFonts w:ascii="ITC Avant Garde" w:eastAsia="Times New Roman" w:hAnsi="ITC Avant Garde"/>
        </w:rPr>
        <w:t xml:space="preserve">Hace transparentes las </w:t>
      </w:r>
      <w:r w:rsidRPr="00EB29B0">
        <w:rPr>
          <w:rFonts w:ascii="ITC Avant Garde" w:eastAsia="Times New Roman" w:hAnsi="ITC Avant Garde"/>
        </w:rPr>
        <w:t xml:space="preserve">tarifas y condiciones </w:t>
      </w:r>
      <w:r>
        <w:rPr>
          <w:rFonts w:ascii="ITC Avant Garde" w:eastAsia="Times New Roman" w:hAnsi="ITC Avant Garde"/>
        </w:rPr>
        <w:t xml:space="preserve">que podrá establecer el AEP </w:t>
      </w:r>
      <w:r w:rsidRPr="00EB29B0">
        <w:rPr>
          <w:rFonts w:ascii="ITC Avant Garde" w:eastAsia="Times New Roman" w:hAnsi="ITC Avant Garde"/>
        </w:rPr>
        <w:t xml:space="preserve">en la prestación de servicios mayoristas </w:t>
      </w:r>
      <w:r>
        <w:rPr>
          <w:rFonts w:ascii="ITC Avant Garde" w:eastAsia="Times New Roman" w:hAnsi="ITC Avant Garde"/>
        </w:rPr>
        <w:t xml:space="preserve">a </w:t>
      </w:r>
      <w:r w:rsidRPr="00EB29B0">
        <w:rPr>
          <w:rFonts w:ascii="ITC Avant Garde" w:eastAsia="Times New Roman" w:hAnsi="ITC Avant Garde"/>
        </w:rPr>
        <w:t>operadores.</w:t>
      </w:r>
    </w:p>
    <w:p w14:paraId="76206DFC" w14:textId="77777777" w:rsidR="008648FC" w:rsidRPr="002641D2" w:rsidRDefault="008648FC" w:rsidP="008648FC">
      <w:pPr>
        <w:spacing w:after="0"/>
        <w:ind w:left="720"/>
        <w:jc w:val="both"/>
        <w:rPr>
          <w:rFonts w:ascii="ITC Avant Garde" w:eastAsia="Times New Roman" w:hAnsi="ITC Avant Garde"/>
          <w:sz w:val="20"/>
        </w:rPr>
      </w:pPr>
    </w:p>
    <w:p w14:paraId="77E3FA5B" w14:textId="0219A5AA" w:rsidR="001171CF" w:rsidRPr="00EB29B0" w:rsidRDefault="00E863B4" w:rsidP="00A33196">
      <w:pPr>
        <w:spacing w:after="0"/>
        <w:jc w:val="both"/>
        <w:rPr>
          <w:rFonts w:ascii="ITC Avant Garde" w:eastAsia="Times New Roman" w:hAnsi="ITC Avant Garde"/>
          <w:szCs w:val="20"/>
        </w:rPr>
      </w:pPr>
      <w:r>
        <w:rPr>
          <w:rFonts w:ascii="ITC Avant Garde" w:hAnsi="ITC Avant Garde"/>
        </w:rPr>
        <w:t>En suma, l</w:t>
      </w:r>
      <w:r w:rsidR="008648FC" w:rsidRPr="00EB29B0">
        <w:rPr>
          <w:rFonts w:ascii="ITC Avant Garde" w:hAnsi="ITC Avant Garde"/>
        </w:rPr>
        <w:t xml:space="preserve">a supervisión del órgano regulador tiene el propósito de que los servicios mayoristas se presten </w:t>
      </w:r>
      <w:r w:rsidR="008648FC">
        <w:rPr>
          <w:rFonts w:ascii="ITC Avant Garde" w:hAnsi="ITC Avant Garde"/>
        </w:rPr>
        <w:t>en igualdad de condiciones</w:t>
      </w:r>
      <w:r w:rsidR="008648FC" w:rsidRPr="00EB29B0">
        <w:rPr>
          <w:rFonts w:ascii="ITC Avant Garde" w:hAnsi="ITC Avant Garde"/>
        </w:rPr>
        <w:t xml:space="preserve">, evitando incurrir en prácticas anticompetitivas en la </w:t>
      </w:r>
      <w:r w:rsidR="008648FC" w:rsidRPr="00EB29B0">
        <w:rPr>
          <w:rFonts w:ascii="ITC Avant Garde" w:hAnsi="ITC Avant Garde" w:cs="Arial"/>
          <w:bCs/>
        </w:rPr>
        <w:t>prestación de los mismos.</w:t>
      </w:r>
    </w:p>
    <w:p w14:paraId="00085E69" w14:textId="410A71EA" w:rsidR="007C69A8" w:rsidRDefault="007C69A8" w:rsidP="00A33196">
      <w:pPr>
        <w:spacing w:after="0"/>
        <w:jc w:val="both"/>
        <w:rPr>
          <w:rFonts w:ascii="ITC Avant Garde" w:hAnsi="ITC Avant Garde" w:cs="Arial"/>
          <w:bCs/>
          <w:sz w:val="20"/>
        </w:rPr>
      </w:pPr>
    </w:p>
    <w:p w14:paraId="48C0FBF8" w14:textId="77777777" w:rsidR="001961D2" w:rsidRPr="002641D2" w:rsidRDefault="001961D2" w:rsidP="00A33196">
      <w:pPr>
        <w:spacing w:after="0"/>
        <w:jc w:val="both"/>
        <w:rPr>
          <w:rFonts w:ascii="ITC Avant Garde" w:hAnsi="ITC Avant Garde" w:cs="Arial"/>
          <w:bCs/>
          <w:sz w:val="20"/>
        </w:rPr>
      </w:pPr>
    </w:p>
    <w:p w14:paraId="1B5276D6" w14:textId="22D753CC" w:rsidR="00674014" w:rsidRPr="00EB29B0" w:rsidRDefault="00847ADF" w:rsidP="00A33196">
      <w:pPr>
        <w:spacing w:after="0"/>
        <w:jc w:val="both"/>
        <w:rPr>
          <w:rFonts w:ascii="ITC Avant Garde" w:hAnsi="ITC Avant Garde" w:cs="Arial"/>
          <w:bCs/>
        </w:rPr>
      </w:pPr>
      <w:r w:rsidRPr="00EB29B0">
        <w:rPr>
          <w:rFonts w:ascii="ITC Avant Garde" w:hAnsi="ITC Avant Garde" w:cs="Arial"/>
          <w:b/>
          <w:bCs/>
        </w:rPr>
        <w:t>TERCERO</w:t>
      </w:r>
      <w:r w:rsidRPr="00EB29B0">
        <w:rPr>
          <w:rFonts w:ascii="ITC Avant Garde" w:hAnsi="ITC Avant Garde" w:cs="Arial"/>
          <w:bCs/>
        </w:rPr>
        <w:t>. -</w:t>
      </w:r>
      <w:r w:rsidR="007C69A8" w:rsidRPr="00EB29B0">
        <w:rPr>
          <w:rFonts w:ascii="ITC Avant Garde" w:hAnsi="ITC Avant Garde" w:cs="Arial"/>
          <w:bCs/>
        </w:rPr>
        <w:t xml:space="preserve"> </w:t>
      </w:r>
      <w:r w:rsidR="007C69A8" w:rsidRPr="00EB29B0">
        <w:rPr>
          <w:rFonts w:ascii="ITC Avant Garde" w:hAnsi="ITC Avant Garde" w:cs="Arial"/>
          <w:b/>
          <w:bCs/>
        </w:rPr>
        <w:t xml:space="preserve">Consulta Pública de </w:t>
      </w:r>
      <w:r w:rsidR="00674014" w:rsidRPr="00EB29B0">
        <w:rPr>
          <w:rFonts w:ascii="ITC Avant Garde" w:hAnsi="ITC Avant Garde" w:cs="Arial"/>
          <w:b/>
          <w:bCs/>
        </w:rPr>
        <w:t>las Ofertas de Referencia</w:t>
      </w:r>
      <w:r w:rsidR="007C69A8" w:rsidRPr="00EB29B0">
        <w:rPr>
          <w:rFonts w:ascii="ITC Avant Garde" w:eastAsia="Times New Roman" w:hAnsi="ITC Avant Garde"/>
          <w:b/>
          <w:szCs w:val="20"/>
        </w:rPr>
        <w:t>.</w:t>
      </w:r>
      <w:r w:rsidR="007C69A8" w:rsidRPr="00EB29B0">
        <w:rPr>
          <w:rFonts w:ascii="ITC Avant Garde" w:eastAsia="Times New Roman" w:hAnsi="ITC Avant Garde"/>
          <w:szCs w:val="20"/>
        </w:rPr>
        <w:t xml:space="preserve"> </w:t>
      </w:r>
      <w:r w:rsidR="00674014" w:rsidRPr="00EB29B0">
        <w:rPr>
          <w:rFonts w:ascii="ITC Avant Garde" w:hAnsi="ITC Avant Garde" w:cs="Arial"/>
          <w:bCs/>
        </w:rPr>
        <w:t>Como parte de</w:t>
      </w:r>
      <w:r w:rsidR="001043D8">
        <w:rPr>
          <w:rFonts w:ascii="ITC Avant Garde" w:hAnsi="ITC Avant Garde" w:cs="Arial"/>
          <w:bCs/>
        </w:rPr>
        <w:t>l</w:t>
      </w:r>
      <w:r w:rsidR="00674014" w:rsidRPr="00EB29B0">
        <w:rPr>
          <w:rFonts w:ascii="ITC Avant Garde" w:hAnsi="ITC Avant Garde" w:cs="Arial"/>
          <w:bCs/>
        </w:rPr>
        <w:t xml:space="preserve"> procedimiento</w:t>
      </w:r>
      <w:r w:rsidR="001043D8">
        <w:rPr>
          <w:rFonts w:ascii="ITC Avant Garde" w:hAnsi="ITC Avant Garde" w:cs="Arial"/>
          <w:bCs/>
        </w:rPr>
        <w:t xml:space="preserve"> de autorización de las ofertas de referencia</w:t>
      </w:r>
      <w:r w:rsidR="00674014" w:rsidRPr="00EB29B0">
        <w:rPr>
          <w:rFonts w:ascii="ITC Avant Garde" w:hAnsi="ITC Avant Garde" w:cs="Arial"/>
          <w:bCs/>
        </w:rPr>
        <w:t xml:space="preserve">, es necesario que el Instituto tenga conocimiento de las opiniones de los integrantes de la industria derivado de que son ellos quienes intervienen en la operación de las redes públicas de telecomunicaciones, </w:t>
      </w:r>
      <w:r w:rsidR="00326988">
        <w:rPr>
          <w:rFonts w:ascii="ITC Avant Garde" w:hAnsi="ITC Avant Garde" w:cs="Arial"/>
          <w:bCs/>
        </w:rPr>
        <w:t xml:space="preserve">y demandan servicios mayoristas regulados del AEP para la </w:t>
      </w:r>
      <w:r w:rsidR="00674014" w:rsidRPr="00EB29B0">
        <w:rPr>
          <w:rFonts w:ascii="ITC Avant Garde" w:hAnsi="ITC Avant Garde" w:cs="Arial"/>
          <w:bCs/>
        </w:rPr>
        <w:t xml:space="preserve">prestación y comercialización de </w:t>
      </w:r>
      <w:r w:rsidR="00326988">
        <w:rPr>
          <w:rFonts w:ascii="ITC Avant Garde" w:hAnsi="ITC Avant Garde" w:cs="Arial"/>
          <w:bCs/>
        </w:rPr>
        <w:t>su</w:t>
      </w:r>
      <w:r w:rsidR="00674014" w:rsidRPr="00EB29B0">
        <w:rPr>
          <w:rFonts w:ascii="ITC Avant Garde" w:hAnsi="ITC Avant Garde" w:cs="Arial"/>
          <w:bCs/>
        </w:rPr>
        <w:t>s servicios; ello sin perder de vista que ante la diversidad de intereses comerciales prevalecientes en la industria</w:t>
      </w:r>
      <w:r w:rsidR="00DC5195">
        <w:rPr>
          <w:rFonts w:ascii="ITC Avant Garde" w:hAnsi="ITC Avant Garde" w:cs="Arial"/>
          <w:bCs/>
        </w:rPr>
        <w:t>,</w:t>
      </w:r>
      <w:r w:rsidR="00674014" w:rsidRPr="00EB29B0">
        <w:rPr>
          <w:rFonts w:ascii="ITC Avant Garde" w:hAnsi="ITC Avant Garde" w:cs="Arial"/>
          <w:bCs/>
        </w:rPr>
        <w:t xml:space="preserve"> es el órgano regulador quien en última instancia está encargado de determinar las condiciones bajo las cuales se deberán de prestar los servicios</w:t>
      </w:r>
      <w:r w:rsidR="00DC5195">
        <w:rPr>
          <w:rFonts w:ascii="ITC Avant Garde" w:hAnsi="ITC Avant Garde" w:cs="Arial"/>
          <w:bCs/>
        </w:rPr>
        <w:t>,</w:t>
      </w:r>
      <w:r w:rsidR="00674014" w:rsidRPr="00EB29B0">
        <w:rPr>
          <w:rFonts w:ascii="ITC Avant Garde" w:hAnsi="ITC Avant Garde" w:cs="Arial"/>
          <w:bCs/>
        </w:rPr>
        <w:t xml:space="preserve"> evitando que se afecte la competencia y la libre concurrencia.</w:t>
      </w:r>
    </w:p>
    <w:p w14:paraId="45A5ACBC" w14:textId="77777777" w:rsidR="00D95D9F" w:rsidRPr="002641D2" w:rsidRDefault="00D95D9F" w:rsidP="00A33196">
      <w:pPr>
        <w:spacing w:after="0"/>
        <w:jc w:val="both"/>
        <w:rPr>
          <w:rFonts w:ascii="ITC Avant Garde" w:hAnsi="ITC Avant Garde" w:cs="Arial"/>
          <w:bCs/>
          <w:sz w:val="20"/>
        </w:rPr>
      </w:pPr>
    </w:p>
    <w:p w14:paraId="7FE07C96" w14:textId="4C66ABDE" w:rsidR="00D95D9F" w:rsidRPr="00EB29B0" w:rsidRDefault="00D95D9F" w:rsidP="00A33196">
      <w:pPr>
        <w:spacing w:after="0"/>
        <w:jc w:val="both"/>
        <w:rPr>
          <w:rFonts w:ascii="ITC Avant Garde" w:hAnsi="ITC Avant Garde" w:cs="Arial"/>
          <w:bCs/>
        </w:rPr>
      </w:pPr>
      <w:r w:rsidRPr="00EB29B0">
        <w:rPr>
          <w:rFonts w:ascii="ITC Avant Garde" w:hAnsi="ITC Avant Garde" w:cs="Arial"/>
          <w:bCs/>
        </w:rPr>
        <w:lastRenderedPageBreak/>
        <w:t xml:space="preserve">Es así que en la Resolución Bienal se consideró </w:t>
      </w:r>
      <w:r w:rsidR="00BE2F00" w:rsidRPr="00EB29B0">
        <w:rPr>
          <w:rFonts w:ascii="ITC Avant Garde" w:hAnsi="ITC Avant Garde" w:cs="Arial"/>
          <w:bCs/>
        </w:rPr>
        <w:t>que</w:t>
      </w:r>
      <w:r w:rsidR="000247B2">
        <w:rPr>
          <w:rFonts w:ascii="ITC Avant Garde" w:hAnsi="ITC Avant Garde" w:cs="Arial"/>
          <w:bCs/>
        </w:rPr>
        <w:t xml:space="preserve"> para</w:t>
      </w:r>
      <w:r w:rsidR="000247B2" w:rsidRPr="00141A25">
        <w:t xml:space="preserve"> </w:t>
      </w:r>
      <w:r w:rsidR="000247B2" w:rsidRPr="00141A25">
        <w:rPr>
          <w:rFonts w:ascii="ITC Avant Garde" w:hAnsi="ITC Avant Garde" w:cs="Arial"/>
          <w:bCs/>
        </w:rPr>
        <w:t>brindar certidumbre al AEP respecto a la vigencia, plazos y procedimientos</w:t>
      </w:r>
      <w:r w:rsidR="00BE2F00" w:rsidRPr="00EB29B0">
        <w:rPr>
          <w:rFonts w:ascii="ITC Avant Garde" w:hAnsi="ITC Avant Garde" w:cs="Arial"/>
          <w:bCs/>
        </w:rPr>
        <w:t>,</w:t>
      </w:r>
      <w:r w:rsidRPr="00EB29B0">
        <w:rPr>
          <w:rFonts w:ascii="ITC Avant Garde" w:hAnsi="ITC Avant Garde" w:cs="Arial"/>
          <w:bCs/>
        </w:rPr>
        <w:t xml:space="preserve"> como parte del procedimiento de revisión de la Oferta de Referencia, establecida en la </w:t>
      </w:r>
      <w:r w:rsidRPr="00EB29B0">
        <w:rPr>
          <w:rFonts w:ascii="ITC Avant Garde" w:eastAsia="Times New Roman" w:hAnsi="ITC Avant Garde"/>
          <w:szCs w:val="20"/>
        </w:rPr>
        <w:t>Medida</w:t>
      </w:r>
      <w:r w:rsidR="00BE2F00">
        <w:rPr>
          <w:rFonts w:ascii="ITC Avant Garde" w:eastAsia="Times New Roman" w:hAnsi="ITC Avant Garde"/>
          <w:szCs w:val="20"/>
        </w:rPr>
        <w:t xml:space="preserve"> QUINTA de las Medidas de Desagregación</w:t>
      </w:r>
      <w:r w:rsidRPr="00EB29B0">
        <w:rPr>
          <w:rFonts w:ascii="ITC Avant Garde" w:eastAsia="Times New Roman" w:hAnsi="ITC Avant Garde"/>
          <w:szCs w:val="20"/>
        </w:rPr>
        <w:t>,</w:t>
      </w:r>
      <w:r w:rsidRPr="00EB29B0">
        <w:rPr>
          <w:rFonts w:ascii="ITC Avant Garde" w:hAnsi="ITC Avant Garde" w:cs="Arial"/>
          <w:bCs/>
        </w:rPr>
        <w:t xml:space="preserve"> se lleve a cabo un proceso de consulta pública por un periodo de treinta días naturales, </w:t>
      </w:r>
      <w:r w:rsidR="000247B2">
        <w:rPr>
          <w:rFonts w:ascii="ITC Avant Garde" w:hAnsi="ITC Avant Garde" w:cs="Arial"/>
          <w:bCs/>
        </w:rPr>
        <w:t xml:space="preserve">aplicando lo dispuesto </w:t>
      </w:r>
      <w:r w:rsidRPr="00EB29B0">
        <w:rPr>
          <w:rFonts w:ascii="ITC Avant Garde" w:hAnsi="ITC Avant Garde" w:cs="Arial"/>
          <w:bCs/>
        </w:rPr>
        <w:t xml:space="preserve">por </w:t>
      </w:r>
      <w:r w:rsidR="00BE2F00">
        <w:rPr>
          <w:rFonts w:ascii="ITC Avant Garde" w:hAnsi="ITC Avant Garde" w:cs="Arial"/>
          <w:bCs/>
        </w:rPr>
        <w:t>la fracción III de</w:t>
      </w:r>
      <w:r w:rsidRPr="00EB29B0">
        <w:rPr>
          <w:rFonts w:ascii="ITC Avant Garde" w:hAnsi="ITC Avant Garde" w:cs="Arial"/>
          <w:bCs/>
        </w:rPr>
        <w:t>l artículo 26</w:t>
      </w:r>
      <w:r w:rsidR="00BE2F00">
        <w:rPr>
          <w:rFonts w:ascii="ITC Avant Garde" w:hAnsi="ITC Avant Garde" w:cs="Arial"/>
          <w:bCs/>
        </w:rPr>
        <w:t>9</w:t>
      </w:r>
      <w:r w:rsidRPr="00EB29B0">
        <w:rPr>
          <w:rFonts w:ascii="ITC Avant Garde" w:hAnsi="ITC Avant Garde" w:cs="Arial"/>
          <w:bCs/>
        </w:rPr>
        <w:t xml:space="preserve"> de la</w:t>
      </w:r>
      <w:r w:rsidR="000247B2" w:rsidRPr="000247B2">
        <w:rPr>
          <w:rFonts w:ascii="ITC Avant Garde" w:hAnsi="ITC Avant Garde" w:cs="Arial"/>
          <w:bCs/>
        </w:rPr>
        <w:t xml:space="preserve"> </w:t>
      </w:r>
      <w:r w:rsidR="000247B2" w:rsidRPr="00EB29B0">
        <w:rPr>
          <w:rFonts w:ascii="ITC Avant Garde" w:hAnsi="ITC Avant Garde" w:cs="Arial"/>
          <w:bCs/>
        </w:rPr>
        <w:t>LFTR.</w:t>
      </w:r>
    </w:p>
    <w:p w14:paraId="621893F4" w14:textId="77777777" w:rsidR="00674014" w:rsidRPr="002641D2" w:rsidRDefault="00674014" w:rsidP="00A33196">
      <w:pPr>
        <w:spacing w:after="0"/>
        <w:jc w:val="both"/>
        <w:rPr>
          <w:rFonts w:ascii="ITC Avant Garde" w:hAnsi="ITC Avant Garde" w:cs="Arial"/>
          <w:bCs/>
          <w:sz w:val="20"/>
        </w:rPr>
      </w:pPr>
    </w:p>
    <w:p w14:paraId="63F0F571" w14:textId="75191E8C" w:rsidR="00674014" w:rsidRPr="00EB29B0" w:rsidRDefault="00D95D9F" w:rsidP="00A33196">
      <w:pPr>
        <w:spacing w:after="0"/>
        <w:jc w:val="both"/>
        <w:rPr>
          <w:rFonts w:ascii="ITC Avant Garde" w:hAnsi="ITC Avant Garde" w:cs="Arial"/>
          <w:bCs/>
        </w:rPr>
      </w:pPr>
      <w:r w:rsidRPr="00EB29B0">
        <w:rPr>
          <w:rFonts w:ascii="ITC Avant Garde" w:eastAsia="Times New Roman" w:hAnsi="ITC Avant Garde"/>
          <w:szCs w:val="20"/>
        </w:rPr>
        <w:t>Por otra parte, es importante</w:t>
      </w:r>
      <w:r w:rsidR="00674014" w:rsidRPr="00EB29B0">
        <w:rPr>
          <w:rFonts w:ascii="ITC Avant Garde" w:eastAsia="Times New Roman" w:hAnsi="ITC Avant Garde"/>
          <w:szCs w:val="20"/>
        </w:rPr>
        <w:t xml:space="preserve"> señalar que </w:t>
      </w:r>
      <w:r w:rsidR="00674014" w:rsidRPr="00EB29B0">
        <w:rPr>
          <w:rFonts w:ascii="ITC Avant Garde" w:hAnsi="ITC Avant Garde" w:cs="Arial"/>
          <w:bCs/>
        </w:rPr>
        <w:t xml:space="preserve">el artículo 51 de la LFTR establece la posibilidad que </w:t>
      </w:r>
      <w:r w:rsidR="000247B2">
        <w:rPr>
          <w:rFonts w:ascii="ITC Avant Garde" w:hAnsi="ITC Avant Garde" w:cs="Arial"/>
          <w:bCs/>
        </w:rPr>
        <w:t xml:space="preserve">tiene </w:t>
      </w:r>
      <w:r w:rsidR="00674014" w:rsidRPr="00EB29B0">
        <w:rPr>
          <w:rFonts w:ascii="ITC Avant Garde" w:hAnsi="ITC Avant Garde" w:cs="Arial"/>
          <w:bCs/>
        </w:rPr>
        <w:t xml:space="preserve">el Instituto </w:t>
      </w:r>
      <w:r w:rsidR="000247B2">
        <w:rPr>
          <w:rFonts w:ascii="ITC Avant Garde" w:hAnsi="ITC Avant Garde" w:cs="Arial"/>
          <w:bCs/>
        </w:rPr>
        <w:t xml:space="preserve">para </w:t>
      </w:r>
      <w:r w:rsidR="00674014" w:rsidRPr="00EB29B0">
        <w:rPr>
          <w:rFonts w:ascii="ITC Avant Garde" w:hAnsi="ITC Avant Garde" w:cs="Arial"/>
          <w:bCs/>
        </w:rPr>
        <w:t>llev</w:t>
      </w:r>
      <w:r w:rsidR="000247B2">
        <w:rPr>
          <w:rFonts w:ascii="ITC Avant Garde" w:hAnsi="ITC Avant Garde" w:cs="Arial"/>
          <w:bCs/>
        </w:rPr>
        <w:t>ar</w:t>
      </w:r>
      <w:r w:rsidR="00674014" w:rsidRPr="00EB29B0">
        <w:rPr>
          <w:rFonts w:ascii="ITC Avant Garde" w:hAnsi="ITC Avant Garde" w:cs="Arial"/>
          <w:bCs/>
        </w:rPr>
        <w:t xml:space="preserve"> a cabo consultas públicas en cualquier caso en el que el Pleno determine. Dichas consultas se realizarán bajo los principios de transparencia y participación ciudadana en los términos que determine el Pleno.</w:t>
      </w:r>
    </w:p>
    <w:p w14:paraId="2E04EF48" w14:textId="77777777" w:rsidR="00674014" w:rsidRPr="002641D2" w:rsidRDefault="00674014" w:rsidP="00A33196">
      <w:pPr>
        <w:spacing w:after="0"/>
        <w:jc w:val="both"/>
        <w:rPr>
          <w:rFonts w:ascii="ITC Avant Garde" w:hAnsi="ITC Avant Garde" w:cs="Arial"/>
          <w:bCs/>
          <w:sz w:val="20"/>
        </w:rPr>
      </w:pPr>
    </w:p>
    <w:p w14:paraId="0E5C60F8" w14:textId="40FFF92A" w:rsidR="00674014" w:rsidRDefault="00674014" w:rsidP="00A33196">
      <w:pPr>
        <w:spacing w:after="0"/>
        <w:jc w:val="both"/>
        <w:rPr>
          <w:rFonts w:ascii="ITC Avant Garde" w:hAnsi="ITC Avant Garde" w:cs="Arial"/>
          <w:bCs/>
        </w:rPr>
      </w:pPr>
      <w:r w:rsidRPr="00EB29B0">
        <w:rPr>
          <w:rFonts w:ascii="ITC Avant Garde" w:hAnsi="ITC Avant Garde" w:cs="Arial"/>
          <w:bCs/>
        </w:rPr>
        <w:t xml:space="preserve">Conforme a lo expuesto, se considera que las propuestas de Ofertas de Referencia deben estar sujetas a un proceso de consulta pública por un periodo de treinta días naturales para favorecer la transparencia y participación ciudadana con el fin de recibir los comentarios y opiniones de la industria, académicos, analistas y sociedad en general sobre las principales condiciones técnicas y operativas para llevar a cabo la </w:t>
      </w:r>
      <w:r w:rsidR="00951F36">
        <w:rPr>
          <w:rFonts w:ascii="ITC Avant Garde" w:hAnsi="ITC Avant Garde" w:cs="Arial"/>
          <w:bCs/>
        </w:rPr>
        <w:t>Desagregación de la Red Local del AEP</w:t>
      </w:r>
      <w:r w:rsidRPr="00EB29B0">
        <w:rPr>
          <w:rFonts w:ascii="ITC Avant Garde" w:hAnsi="ITC Avant Garde" w:cs="Arial"/>
          <w:bCs/>
        </w:rPr>
        <w:t xml:space="preserve">, a efecto de dar cabal cumplimiento a lo establecido en el </w:t>
      </w:r>
      <w:r w:rsidR="00326988">
        <w:rPr>
          <w:rFonts w:ascii="ITC Avant Garde" w:hAnsi="ITC Avant Garde" w:cs="Arial"/>
          <w:bCs/>
        </w:rPr>
        <w:t>disposición</w:t>
      </w:r>
      <w:r w:rsidR="00326988" w:rsidRPr="00EB29B0">
        <w:rPr>
          <w:rFonts w:ascii="ITC Avant Garde" w:hAnsi="ITC Avant Garde" w:cs="Arial"/>
          <w:bCs/>
        </w:rPr>
        <w:t xml:space="preserve"> </w:t>
      </w:r>
      <w:r w:rsidRPr="00EB29B0">
        <w:rPr>
          <w:rFonts w:ascii="ITC Avant Garde" w:hAnsi="ITC Avant Garde" w:cs="Arial"/>
          <w:bCs/>
        </w:rPr>
        <w:t>legal señalad</w:t>
      </w:r>
      <w:r w:rsidR="00326988">
        <w:rPr>
          <w:rFonts w:ascii="ITC Avant Garde" w:hAnsi="ITC Avant Garde" w:cs="Arial"/>
          <w:bCs/>
        </w:rPr>
        <w:t>a</w:t>
      </w:r>
      <w:r w:rsidRPr="00EB29B0">
        <w:rPr>
          <w:rFonts w:ascii="ITC Avant Garde" w:hAnsi="ITC Avant Garde" w:cs="Arial"/>
          <w:bCs/>
        </w:rPr>
        <w:t>.</w:t>
      </w:r>
    </w:p>
    <w:p w14:paraId="2DEE6139" w14:textId="77777777" w:rsidR="009A0009" w:rsidRPr="002641D2" w:rsidRDefault="009A0009" w:rsidP="00A33196">
      <w:pPr>
        <w:spacing w:after="0"/>
        <w:jc w:val="both"/>
        <w:rPr>
          <w:rFonts w:ascii="ITC Avant Garde" w:hAnsi="ITC Avant Garde" w:cs="Arial"/>
          <w:bCs/>
          <w:sz w:val="20"/>
        </w:rPr>
      </w:pPr>
    </w:p>
    <w:p w14:paraId="7EABA23B" w14:textId="4F5256E4" w:rsidR="00395C0F" w:rsidRDefault="00395C0F" w:rsidP="00395C0F">
      <w:pPr>
        <w:spacing w:after="0"/>
        <w:jc w:val="both"/>
        <w:rPr>
          <w:rFonts w:ascii="ITC Avant Garde" w:hAnsi="ITC Avant Garde" w:cs="Arial"/>
          <w:bCs/>
        </w:rPr>
      </w:pPr>
      <w:r w:rsidRPr="00EB29B0">
        <w:rPr>
          <w:rFonts w:ascii="ITC Avant Garde" w:hAnsi="ITC Avant Garde" w:cs="Arial"/>
          <w:bCs/>
        </w:rPr>
        <w:t xml:space="preserve">Al respecto, las condiciones técnicas y operativas serían aplicables al AEP y en ese sentido los concesionarios que presten los servicios de telecomunicaciones y que soliciten servicios </w:t>
      </w:r>
      <w:r w:rsidR="00326988">
        <w:rPr>
          <w:rFonts w:ascii="ITC Avant Garde" w:hAnsi="ITC Avant Garde" w:cs="Arial"/>
          <w:bCs/>
        </w:rPr>
        <w:t xml:space="preserve">mayoristas del AEP </w:t>
      </w:r>
      <w:r w:rsidRPr="00EB29B0">
        <w:rPr>
          <w:rFonts w:ascii="ITC Avant Garde" w:hAnsi="ITC Avant Garde" w:cs="Arial"/>
          <w:bCs/>
        </w:rPr>
        <w:t xml:space="preserve">tendrán a su disposición un marco de referencia que se adapte a su enfoque comercial en </w:t>
      </w:r>
      <w:r w:rsidR="00E863B4">
        <w:rPr>
          <w:rFonts w:ascii="ITC Avant Garde" w:hAnsi="ITC Avant Garde" w:cs="Arial"/>
          <w:bCs/>
        </w:rPr>
        <w:t xml:space="preserve">condiciones de </w:t>
      </w:r>
      <w:r w:rsidRPr="00EB29B0">
        <w:rPr>
          <w:rFonts w:ascii="ITC Avant Garde" w:hAnsi="ITC Avant Garde" w:cs="Arial"/>
          <w:bCs/>
        </w:rPr>
        <w:t xml:space="preserve">competencia para todos los participantes del sector. </w:t>
      </w:r>
    </w:p>
    <w:p w14:paraId="2590CEC0" w14:textId="4E8C6FAF" w:rsidR="00951F36" w:rsidRDefault="00951F36" w:rsidP="00395C0F">
      <w:pPr>
        <w:spacing w:after="0"/>
        <w:jc w:val="both"/>
        <w:rPr>
          <w:rFonts w:ascii="ITC Avant Garde" w:hAnsi="ITC Avant Garde" w:cs="Arial"/>
          <w:bCs/>
          <w:sz w:val="20"/>
        </w:rPr>
      </w:pPr>
    </w:p>
    <w:p w14:paraId="370E7A21" w14:textId="5BA8B8B9" w:rsidR="008B4FBA" w:rsidRDefault="005E3D3C" w:rsidP="00FC20F2">
      <w:pPr>
        <w:pStyle w:val="IFTnormal"/>
        <w:rPr>
          <w:bCs/>
        </w:rPr>
      </w:pPr>
      <w:r>
        <w:rPr>
          <w:bCs/>
          <w:color w:val="auto"/>
        </w:rPr>
        <w:t>En consecuencia</w:t>
      </w:r>
      <w:r w:rsidR="00FC20F2" w:rsidRPr="00FC20F2">
        <w:rPr>
          <w:bCs/>
          <w:color w:val="auto"/>
        </w:rPr>
        <w:t xml:space="preserve">, las </w:t>
      </w:r>
      <w:r w:rsidR="00FC20F2" w:rsidRPr="00FC20F2">
        <w:rPr>
          <w:bCs/>
        </w:rPr>
        <w:t>propuestas de Oferta de Referencia de Desagregación de la Red Local</w:t>
      </w:r>
      <w:r w:rsidR="00FC20F2" w:rsidRPr="00FC20F2">
        <w:rPr>
          <w:bCs/>
          <w:color w:val="auto"/>
        </w:rPr>
        <w:t xml:space="preserve"> presentadas por el </w:t>
      </w:r>
      <w:r>
        <w:rPr>
          <w:bCs/>
          <w:color w:val="auto"/>
        </w:rPr>
        <w:t xml:space="preserve">AEP </w:t>
      </w:r>
      <w:r w:rsidR="00717177">
        <w:rPr>
          <w:bCs/>
          <w:color w:val="auto"/>
        </w:rPr>
        <w:t xml:space="preserve">a través de </w:t>
      </w:r>
      <w:r>
        <w:rPr>
          <w:bCs/>
          <w:color w:val="auto"/>
        </w:rPr>
        <w:t>Telmex y Telnor,</w:t>
      </w:r>
      <w:r w:rsidR="00FC20F2" w:rsidRPr="00FC20F2">
        <w:rPr>
          <w:bCs/>
          <w:color w:val="auto"/>
        </w:rPr>
        <w:t xml:space="preserve"> se someten a Consulta Pública </w:t>
      </w:r>
      <w:r>
        <w:rPr>
          <w:bCs/>
          <w:color w:val="auto"/>
        </w:rPr>
        <w:t xml:space="preserve">de conformidad con lo establecido </w:t>
      </w:r>
      <w:r w:rsidR="00FC20F2" w:rsidRPr="00EB29B0">
        <w:rPr>
          <w:bCs/>
        </w:rPr>
        <w:t xml:space="preserve">en la </w:t>
      </w:r>
      <w:r w:rsidR="00FC20F2" w:rsidRPr="00FC20F2">
        <w:rPr>
          <w:bCs/>
        </w:rPr>
        <w:t>Medida QUINTA de las Medidas de Desagregación</w:t>
      </w:r>
      <w:r>
        <w:rPr>
          <w:bCs/>
        </w:rPr>
        <w:t xml:space="preserve"> y en términos del artículo 51 de la LFTR</w:t>
      </w:r>
      <w:r w:rsidR="008B4FBA">
        <w:rPr>
          <w:bCs/>
        </w:rPr>
        <w:t>.</w:t>
      </w:r>
    </w:p>
    <w:p w14:paraId="5C00FCA3" w14:textId="4D47C488" w:rsidR="008B4FBA" w:rsidRPr="003B02E6" w:rsidRDefault="005E3D3C" w:rsidP="003B02E6">
      <w:pPr>
        <w:pStyle w:val="IFTnormal"/>
      </w:pPr>
      <w:r w:rsidRPr="003B02E6">
        <w:t xml:space="preserve">Adicionalmente y considerando que, </w:t>
      </w:r>
      <w:r w:rsidR="00FC20F2" w:rsidRPr="003B02E6">
        <w:t xml:space="preserve">de </w:t>
      </w:r>
      <w:r w:rsidR="008B4FBA" w:rsidRPr="003B02E6">
        <w:t xml:space="preserve">conformidad con el Acuerdo SEXTO del </w:t>
      </w:r>
      <w:r w:rsidR="008B4FBA" w:rsidRPr="00983254">
        <w:rPr>
          <w:i/>
        </w:rPr>
        <w:t>“ACUERDO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r w:rsidR="008B4FBA" w:rsidRPr="009B7EF7">
        <w:t xml:space="preserve">, aprobado por el Pleno del Instituto mediante </w:t>
      </w:r>
      <w:r w:rsidR="00FC20F2" w:rsidRPr="009B7EF7">
        <w:t>Acuerdo P/IFT/270218/130</w:t>
      </w:r>
      <w:r w:rsidR="008B4FBA" w:rsidRPr="009B7EF7">
        <w:t xml:space="preserve"> (en lo sucesivo, “Acuerdo para la </w:t>
      </w:r>
      <w:r w:rsidR="008B4FBA" w:rsidRPr="009B7EF7">
        <w:lastRenderedPageBreak/>
        <w:t>implementación del Plan de Separación Funcional”)</w:t>
      </w:r>
      <w:r w:rsidR="00FC20F2" w:rsidRPr="009B7EF7">
        <w:t xml:space="preserve">, </w:t>
      </w:r>
      <w:r w:rsidR="008B4FBA" w:rsidRPr="009B7EF7">
        <w:t>el Agente Económico Preponderante deberá implementar el Plan de separación funcional a efecto de dar cumplimiento</w:t>
      </w:r>
      <w:r w:rsidR="008B4FBA" w:rsidRPr="003B02E6">
        <w:t xml:space="preserve"> a los medidas de separación funcional y a las medidas Segunda Transitoria de las Medidas de Desagregación dentro de un plazo de dos años, contados a partir del día hábil siguiente a aquel en que surtiera efectos la notificación del Acuerdo Referido</w:t>
      </w:r>
      <w:r w:rsidRPr="003B02E6">
        <w:t xml:space="preserve">, el </w:t>
      </w:r>
      <w:r w:rsidR="008B4FBA" w:rsidRPr="003B02E6">
        <w:t>Instituto requerirá a</w:t>
      </w:r>
      <w:r w:rsidRPr="003B02E6">
        <w:t>l AEP a través de</w:t>
      </w:r>
      <w:r w:rsidR="008B4FBA" w:rsidRPr="003B02E6">
        <w:t xml:space="preserve"> </w:t>
      </w:r>
      <w:r w:rsidR="00CD357B" w:rsidRPr="003B02E6">
        <w:t>Telmex y a Telnor</w:t>
      </w:r>
      <w:r w:rsidR="008B4FBA" w:rsidRPr="003B02E6">
        <w:t xml:space="preserve"> presente </w:t>
      </w:r>
      <w:r w:rsidRPr="003B02E6">
        <w:t>al Instituto l</w:t>
      </w:r>
      <w:r w:rsidR="008B4FBA" w:rsidRPr="003B02E6">
        <w:t xml:space="preserve">as Ofertas de Referencia </w:t>
      </w:r>
      <w:r w:rsidRPr="003B02E6">
        <w:t xml:space="preserve">de los Servicios de Desagregación señalando la separación y/o distinción entre los servicios de desagregación que serán prestados por las Empresas Mayoristas y  aquellos  que serán prestados por Telmex y por Telnor a través de sus Divisiones Mayoristas. </w:t>
      </w:r>
      <w:r w:rsidR="008B4FBA" w:rsidRPr="003B02E6">
        <w:t xml:space="preserve"> </w:t>
      </w:r>
    </w:p>
    <w:p w14:paraId="4B028CE5" w14:textId="444C9DE3" w:rsidR="003B02E6" w:rsidRPr="003B02E6" w:rsidRDefault="003B02E6" w:rsidP="003B02E6">
      <w:pPr>
        <w:pStyle w:val="IFTnormal"/>
      </w:pPr>
      <w:r w:rsidRPr="003B02E6">
        <w:t xml:space="preserve">Al efecto, las </w:t>
      </w:r>
      <w:r w:rsidR="00156C9F">
        <w:t xml:space="preserve">propuestas de </w:t>
      </w:r>
      <w:r w:rsidRPr="003B02E6">
        <w:t xml:space="preserve">Ofertas de Referencia que, de conformidad con lo señalado en el párrafo anterior presenten al Instituto Telmex y Telnor, serán sometidas a Consulta Pública en términos del artículo 51 de la LFTR y en lo conducente siguiendo el procedimiento contenido en la Medida QUINTA en relación con la Medida Cuadragésima de las Medidas de Desagregación, ofertas que, una vez aprobadas por el Instituto tendrán vigencia a partir de la implementación de la separación funcional. </w:t>
      </w:r>
    </w:p>
    <w:p w14:paraId="481775E3" w14:textId="4B398713" w:rsidR="003B02E6" w:rsidRDefault="003B02E6" w:rsidP="003B02E6">
      <w:pPr>
        <w:pStyle w:val="IFTnormal"/>
      </w:pPr>
      <w:r w:rsidRPr="003B02E6">
        <w:t xml:space="preserve">En razón de lo anterior, y por lo que hace exclusivamente a las Ofertas de Referencia ya presentadas por el AEP a través de Telmex y Telnor que se someten a consulta pública a través del presente Acuerdo, el Instituto </w:t>
      </w:r>
      <w:r w:rsidR="004C1E42">
        <w:t xml:space="preserve">valorará los comentarios y en su caso también la posibilidad de resolver que las condiciones y términos de las ofertas de referencia aplicables durante los </w:t>
      </w:r>
      <w:r w:rsidR="002F7B93">
        <w:t xml:space="preserve">primeros </w:t>
      </w:r>
      <w:r w:rsidR="004C1E42">
        <w:t>meses de 2020 sean las contenidas en las ofertas vigentes durante 2019</w:t>
      </w:r>
      <w:r w:rsidR="002F7B93">
        <w:t xml:space="preserve">. Lo anterior en el entendido de que a partir de la efectiva separación funcional los servicios deberán prestarse con base en lo autorizado por el Instituto para </w:t>
      </w:r>
      <w:r w:rsidR="004C1E42">
        <w:t>las ofertas correspondientes a la empresa mayorista y división mayorista resultante de la separación funcional</w:t>
      </w:r>
      <w:r w:rsidRPr="003B02E6">
        <w:t>.</w:t>
      </w:r>
    </w:p>
    <w:p w14:paraId="0CE48E7C" w14:textId="5F38A536" w:rsidR="003B02E6" w:rsidRDefault="003B02E6" w:rsidP="003B02E6">
      <w:pPr>
        <w:spacing w:after="0"/>
        <w:jc w:val="both"/>
        <w:rPr>
          <w:rFonts w:ascii="ITC Avant Garde" w:eastAsia="Times New Roman" w:hAnsi="ITC Avant Garde"/>
          <w:szCs w:val="20"/>
        </w:rPr>
      </w:pPr>
      <w:r>
        <w:rPr>
          <w:rFonts w:ascii="ITC Avant Garde" w:eastAsia="Times New Roman" w:hAnsi="ITC Avant Garde"/>
          <w:szCs w:val="20"/>
        </w:rPr>
        <w:t>Finalmente, c</w:t>
      </w:r>
      <w:r w:rsidRPr="00EB29B0">
        <w:rPr>
          <w:rFonts w:ascii="ITC Avant Garde" w:eastAsia="Times New Roman" w:hAnsi="ITC Avant Garde"/>
          <w:szCs w:val="20"/>
        </w:rPr>
        <w:t xml:space="preserve">abe señalar que </w:t>
      </w:r>
      <w:r>
        <w:rPr>
          <w:rFonts w:ascii="ITC Avant Garde" w:eastAsia="Times New Roman" w:hAnsi="ITC Avant Garde"/>
          <w:szCs w:val="20"/>
        </w:rPr>
        <w:t xml:space="preserve">los </w:t>
      </w:r>
      <w:r w:rsidRPr="00EB29B0">
        <w:rPr>
          <w:rFonts w:ascii="ITC Avant Garde" w:eastAsia="Times New Roman" w:hAnsi="ITC Avant Garde"/>
          <w:szCs w:val="20"/>
        </w:rPr>
        <w:t>proceso</w:t>
      </w:r>
      <w:r>
        <w:rPr>
          <w:rFonts w:ascii="ITC Avant Garde" w:eastAsia="Times New Roman" w:hAnsi="ITC Avant Garde"/>
          <w:szCs w:val="20"/>
        </w:rPr>
        <w:t>s</w:t>
      </w:r>
      <w:r w:rsidRPr="00EB29B0">
        <w:rPr>
          <w:rFonts w:ascii="ITC Avant Garde" w:eastAsia="Times New Roman" w:hAnsi="ITC Avant Garde"/>
          <w:szCs w:val="20"/>
        </w:rPr>
        <w:t xml:space="preserve"> de Consulta Pública no implica una aceptación por parte del Instituto de las </w:t>
      </w:r>
      <w:r>
        <w:rPr>
          <w:rFonts w:ascii="ITC Avant Garde" w:eastAsia="Times New Roman" w:hAnsi="ITC Avant Garde"/>
          <w:szCs w:val="20"/>
        </w:rPr>
        <w:t>propuestas de o</w:t>
      </w:r>
      <w:r w:rsidRPr="00EB29B0">
        <w:rPr>
          <w:rFonts w:ascii="ITC Avant Garde" w:eastAsia="Times New Roman" w:hAnsi="ITC Avant Garde"/>
          <w:szCs w:val="20"/>
        </w:rPr>
        <w:t xml:space="preserve">fertas de </w:t>
      </w:r>
      <w:r>
        <w:rPr>
          <w:rFonts w:ascii="ITC Avant Garde" w:eastAsia="Times New Roman" w:hAnsi="ITC Avant Garde"/>
          <w:szCs w:val="20"/>
        </w:rPr>
        <w:t>r</w:t>
      </w:r>
      <w:r w:rsidRPr="00EB29B0">
        <w:rPr>
          <w:rFonts w:ascii="ITC Avant Garde" w:eastAsia="Times New Roman" w:hAnsi="ITC Avant Garde"/>
          <w:szCs w:val="20"/>
        </w:rPr>
        <w:t xml:space="preserve">eferencia presentadas </w:t>
      </w:r>
      <w:r>
        <w:rPr>
          <w:rFonts w:ascii="ITC Avant Garde" w:eastAsia="Times New Roman" w:hAnsi="ITC Avant Garde"/>
          <w:szCs w:val="20"/>
        </w:rPr>
        <w:t xml:space="preserve">o a ser presentadas </w:t>
      </w:r>
      <w:r w:rsidRPr="00EB29B0">
        <w:rPr>
          <w:rFonts w:ascii="ITC Avant Garde" w:eastAsia="Times New Roman" w:hAnsi="ITC Avant Garde"/>
          <w:szCs w:val="20"/>
        </w:rPr>
        <w:t>por el A</w:t>
      </w:r>
      <w:r>
        <w:rPr>
          <w:rFonts w:ascii="ITC Avant Garde" w:eastAsia="Times New Roman" w:hAnsi="ITC Avant Garde"/>
          <w:szCs w:val="20"/>
        </w:rPr>
        <w:t>EP</w:t>
      </w:r>
      <w:r w:rsidRPr="00EB29B0">
        <w:rPr>
          <w:rFonts w:ascii="ITC Avant Garde" w:eastAsia="Times New Roman" w:hAnsi="ITC Avant Garde"/>
          <w:szCs w:val="20"/>
        </w:rPr>
        <w:t xml:space="preserve">, por lo que </w:t>
      </w:r>
      <w:r>
        <w:rPr>
          <w:rFonts w:ascii="ITC Avant Garde" w:eastAsia="Times New Roman" w:hAnsi="ITC Avant Garde"/>
          <w:szCs w:val="20"/>
        </w:rPr>
        <w:t xml:space="preserve">el Instituto </w:t>
      </w:r>
      <w:r w:rsidRPr="00EB29B0">
        <w:rPr>
          <w:rFonts w:ascii="ITC Avant Garde" w:eastAsia="Times New Roman" w:hAnsi="ITC Avant Garde"/>
          <w:szCs w:val="20"/>
        </w:rPr>
        <w:t xml:space="preserve">podrá requerir modificar los términos y condiciones de las </w:t>
      </w:r>
      <w:r>
        <w:rPr>
          <w:rFonts w:ascii="ITC Avant Garde" w:eastAsia="Times New Roman" w:hAnsi="ITC Avant Garde"/>
          <w:szCs w:val="20"/>
        </w:rPr>
        <w:t xml:space="preserve">mismas </w:t>
      </w:r>
      <w:r w:rsidRPr="00EB29B0">
        <w:rPr>
          <w:rFonts w:ascii="ITC Avant Garde" w:eastAsia="Times New Roman" w:hAnsi="ITC Avant Garde"/>
          <w:szCs w:val="20"/>
        </w:rPr>
        <w:t>cuando</w:t>
      </w:r>
      <w:r>
        <w:rPr>
          <w:rFonts w:ascii="ITC Avant Garde" w:eastAsia="Times New Roman" w:hAnsi="ITC Avant Garde"/>
          <w:szCs w:val="20"/>
        </w:rPr>
        <w:t xml:space="preserve"> a su juicio</w:t>
      </w:r>
      <w:r w:rsidRPr="00EB29B0">
        <w:rPr>
          <w:rFonts w:ascii="ITC Avant Garde" w:eastAsia="Times New Roman" w:hAnsi="ITC Avant Garde"/>
          <w:szCs w:val="20"/>
        </w:rPr>
        <w:t xml:space="preserve"> no se ajusten a lo establecido en las Medidas </w:t>
      </w:r>
      <w:r>
        <w:rPr>
          <w:rFonts w:ascii="ITC Avant Garde" w:eastAsia="Times New Roman" w:hAnsi="ITC Avant Garde"/>
          <w:szCs w:val="20"/>
        </w:rPr>
        <w:t xml:space="preserve">de Desagregación </w:t>
      </w:r>
      <w:r w:rsidRPr="00EB29B0">
        <w:rPr>
          <w:rFonts w:ascii="ITC Avant Garde" w:eastAsia="Times New Roman" w:hAnsi="ITC Avant Garde"/>
          <w:szCs w:val="20"/>
        </w:rPr>
        <w:t>o no ofrezcan condiciones que favorezcan la competencia en el sector</w:t>
      </w:r>
      <w:r>
        <w:rPr>
          <w:rFonts w:ascii="ITC Avant Garde" w:eastAsia="Times New Roman" w:hAnsi="ITC Avant Garde"/>
          <w:szCs w:val="20"/>
        </w:rPr>
        <w:t xml:space="preserve">, de conformidad con lo dispuesto por la Medida </w:t>
      </w:r>
      <w:r>
        <w:rPr>
          <w:rFonts w:ascii="ITC Avant Garde" w:eastAsia="Times New Roman" w:hAnsi="ITC Avant Garde"/>
        </w:rPr>
        <w:t>QUINTA de las Medidas de Desagregación</w:t>
      </w:r>
      <w:r w:rsidRPr="00EB29B0">
        <w:rPr>
          <w:rFonts w:ascii="ITC Avant Garde" w:eastAsia="Times New Roman" w:hAnsi="ITC Avant Garde"/>
          <w:szCs w:val="20"/>
        </w:rPr>
        <w:t xml:space="preserve">. </w:t>
      </w:r>
    </w:p>
    <w:p w14:paraId="373AEE09" w14:textId="77777777" w:rsidR="003B02E6" w:rsidRPr="002641D2" w:rsidRDefault="003B02E6" w:rsidP="003B02E6">
      <w:pPr>
        <w:spacing w:after="0"/>
        <w:jc w:val="both"/>
        <w:rPr>
          <w:rFonts w:ascii="ITC Avant Garde" w:eastAsia="Times New Roman" w:hAnsi="ITC Avant Garde"/>
          <w:sz w:val="20"/>
          <w:szCs w:val="20"/>
        </w:rPr>
      </w:pPr>
    </w:p>
    <w:p w14:paraId="6ACAA893" w14:textId="4C61E7CF" w:rsidR="003B02E6" w:rsidRDefault="003B02E6" w:rsidP="003B02E6">
      <w:pPr>
        <w:spacing w:after="0"/>
        <w:jc w:val="both"/>
        <w:rPr>
          <w:rFonts w:ascii="ITC Avant Garde" w:eastAsia="Times New Roman" w:hAnsi="ITC Avant Garde"/>
          <w:szCs w:val="20"/>
        </w:rPr>
      </w:pPr>
      <w:r>
        <w:rPr>
          <w:rFonts w:ascii="ITC Avant Garde" w:eastAsia="Times New Roman" w:hAnsi="ITC Avant Garde"/>
          <w:szCs w:val="20"/>
        </w:rPr>
        <w:t>En cualquier caso</w:t>
      </w:r>
      <w:r w:rsidRPr="00EB29B0">
        <w:rPr>
          <w:rFonts w:ascii="ITC Avant Garde" w:eastAsia="Times New Roman" w:hAnsi="ITC Avant Garde"/>
          <w:szCs w:val="20"/>
        </w:rPr>
        <w:t xml:space="preserve">, el Instituto podrá requerir la documentación e información que estime relevante a efecto de allegarse de mayores elementos de convicción o, en su caso, realizar las prevenciones necesarias, todo ello en términos de lo dispuesto en las propias </w:t>
      </w:r>
      <w:r w:rsidRPr="00EB29B0">
        <w:rPr>
          <w:rFonts w:ascii="ITC Avant Garde" w:eastAsia="Times New Roman" w:hAnsi="ITC Avant Garde"/>
          <w:szCs w:val="20"/>
        </w:rPr>
        <w:lastRenderedPageBreak/>
        <w:t>Medidas,</w:t>
      </w:r>
      <w:r>
        <w:rPr>
          <w:rFonts w:ascii="ITC Avant Garde" w:eastAsia="Times New Roman" w:hAnsi="ITC Avant Garde"/>
          <w:szCs w:val="20"/>
        </w:rPr>
        <w:t xml:space="preserve"> en el Acuerdo </w:t>
      </w:r>
      <w:r w:rsidRPr="00AB1799">
        <w:rPr>
          <w:rFonts w:ascii="ITC Avant Garde" w:eastAsia="Times New Roman" w:hAnsi="ITC Avant Garde"/>
          <w:szCs w:val="20"/>
        </w:rPr>
        <w:t>para la implementación del Plan de Separación Funcional</w:t>
      </w:r>
      <w:r>
        <w:rPr>
          <w:rFonts w:ascii="ITC Avant Garde" w:eastAsia="Times New Roman" w:hAnsi="ITC Avant Garde"/>
          <w:szCs w:val="20"/>
        </w:rPr>
        <w:t>,</w:t>
      </w:r>
      <w:r w:rsidRPr="00AB1799">
        <w:rPr>
          <w:rFonts w:ascii="ITC Avant Garde" w:eastAsia="Times New Roman" w:hAnsi="ITC Avant Garde"/>
          <w:szCs w:val="20"/>
        </w:rPr>
        <w:t xml:space="preserve"> </w:t>
      </w:r>
      <w:r w:rsidRPr="00EB29B0">
        <w:rPr>
          <w:rFonts w:ascii="ITC Avant Garde" w:eastAsia="Times New Roman" w:hAnsi="ITC Avant Garde"/>
          <w:szCs w:val="20"/>
        </w:rPr>
        <w:t>así como en la legislación aplicable.</w:t>
      </w:r>
    </w:p>
    <w:p w14:paraId="26BF5178" w14:textId="77777777" w:rsidR="003D36EA" w:rsidRPr="002641D2" w:rsidRDefault="003D36EA" w:rsidP="003D36EA">
      <w:pPr>
        <w:spacing w:after="0"/>
        <w:jc w:val="both"/>
        <w:rPr>
          <w:rFonts w:ascii="ITC Avant Garde" w:eastAsia="Times New Roman" w:hAnsi="ITC Avant Garde"/>
          <w:sz w:val="20"/>
          <w:szCs w:val="20"/>
        </w:rPr>
      </w:pPr>
    </w:p>
    <w:p w14:paraId="1CD424CA" w14:textId="7780E432" w:rsidR="003D36EA" w:rsidRPr="00EB29B0" w:rsidRDefault="003D36EA" w:rsidP="003D36EA">
      <w:pPr>
        <w:spacing w:after="0"/>
        <w:jc w:val="both"/>
        <w:rPr>
          <w:rFonts w:ascii="ITC Avant Garde" w:eastAsia="Times New Roman" w:hAnsi="ITC Avant Garde"/>
          <w:szCs w:val="20"/>
        </w:rPr>
      </w:pPr>
      <w:r>
        <w:rPr>
          <w:rFonts w:ascii="ITC Avant Garde" w:eastAsia="Times New Roman" w:hAnsi="ITC Avant Garde"/>
          <w:szCs w:val="20"/>
        </w:rPr>
        <w:t>En el mismo sentido, el Instituto determinará las tarifas correspondientes a los servicios objeto de las Ofertas de Referencia de acuerdo a la metodología aplicable a cada uno de los servicios establecida en la Resolución Bienal.</w:t>
      </w:r>
    </w:p>
    <w:p w14:paraId="16BEC6D7" w14:textId="77777777" w:rsidR="003D36EA" w:rsidRPr="002641D2" w:rsidRDefault="003D36EA" w:rsidP="00EA394A">
      <w:pPr>
        <w:spacing w:after="0"/>
        <w:jc w:val="both"/>
        <w:rPr>
          <w:rFonts w:ascii="ITC Avant Garde" w:eastAsia="Times New Roman" w:hAnsi="ITC Avant Garde"/>
          <w:sz w:val="20"/>
          <w:szCs w:val="20"/>
        </w:rPr>
      </w:pPr>
    </w:p>
    <w:p w14:paraId="671D6EED" w14:textId="43AE0141" w:rsidR="00674014" w:rsidRPr="00EB29B0" w:rsidRDefault="00674014" w:rsidP="00A33196">
      <w:pPr>
        <w:spacing w:after="0"/>
        <w:jc w:val="both"/>
        <w:rPr>
          <w:rFonts w:ascii="ITC Avant Garde" w:hAnsi="ITC Avant Garde" w:cs="Arial"/>
          <w:bCs/>
        </w:rPr>
      </w:pPr>
      <w:r w:rsidRPr="00EB29B0">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w:t>
      </w:r>
      <w:r w:rsidR="003545B6" w:rsidRPr="00EB29B0">
        <w:rPr>
          <w:rFonts w:ascii="ITC Avant Garde" w:hAnsi="ITC Avant Garde" w:cs="Arial"/>
          <w:bCs/>
        </w:rPr>
        <w:t>,</w:t>
      </w:r>
      <w:r w:rsidRPr="00EB29B0">
        <w:rPr>
          <w:rFonts w:ascii="ITC Avant Garde" w:hAnsi="ITC Avant Garde" w:cs="Arial"/>
          <w:bCs/>
        </w:rPr>
        <w:t xml:space="preserve"> 51</w:t>
      </w:r>
      <w:r w:rsidR="003545B6" w:rsidRPr="00EB29B0">
        <w:rPr>
          <w:rFonts w:ascii="ITC Avant Garde" w:hAnsi="ITC Avant Garde" w:cs="Arial"/>
          <w:bCs/>
        </w:rPr>
        <w:t xml:space="preserve"> y 26</w:t>
      </w:r>
      <w:r w:rsidR="00EA52DF">
        <w:rPr>
          <w:rFonts w:ascii="ITC Avant Garde" w:hAnsi="ITC Avant Garde" w:cs="Arial"/>
          <w:bCs/>
        </w:rPr>
        <w:t>9</w:t>
      </w:r>
      <w:r w:rsidRPr="00EB29B0">
        <w:rPr>
          <w:rFonts w:ascii="ITC Avant Garde" w:hAnsi="ITC Avant Garde" w:cs="Arial"/>
          <w:bCs/>
        </w:rPr>
        <w:t xml:space="preserve"> </w:t>
      </w:r>
      <w:r w:rsidR="00EA52DF">
        <w:rPr>
          <w:rFonts w:ascii="ITC Avant Garde" w:hAnsi="ITC Avant Garde" w:cs="Arial"/>
          <w:bCs/>
        </w:rPr>
        <w:t xml:space="preserve">fracción III </w:t>
      </w:r>
      <w:r w:rsidRPr="00EB29B0">
        <w:rPr>
          <w:rFonts w:ascii="ITC Avant Garde" w:hAnsi="ITC Avant Garde" w:cs="Arial"/>
          <w:bCs/>
        </w:rPr>
        <w:t>de la Ley Federal de Telecomunicaciones y Radiodifusión, 1 y 4, fracción 1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w:t>
      </w:r>
      <w:r w:rsidR="00E863B4">
        <w:rPr>
          <w:rFonts w:ascii="ITC Avant Garde" w:hAnsi="ITC Avant Garde" w:cs="Arial"/>
          <w:bCs/>
        </w:rPr>
        <w:t xml:space="preserve">; y el Lineamiento </w:t>
      </w:r>
      <w:r w:rsidR="00C154B6">
        <w:rPr>
          <w:rFonts w:ascii="ITC Avant Garde" w:hAnsi="ITC Avant Garde" w:cs="Arial"/>
          <w:bCs/>
        </w:rPr>
        <w:t xml:space="preserve">Primero, </w:t>
      </w:r>
      <w:r w:rsidR="00E863B4">
        <w:rPr>
          <w:rFonts w:ascii="ITC Avant Garde" w:hAnsi="ITC Avant Garde" w:cs="Arial"/>
          <w:bCs/>
        </w:rPr>
        <w:t>Tercero, fracción I</w:t>
      </w:r>
      <w:r w:rsidR="00C154B6">
        <w:rPr>
          <w:rFonts w:ascii="ITC Avant Garde" w:hAnsi="ITC Avant Garde" w:cs="Arial"/>
          <w:bCs/>
        </w:rPr>
        <w:t>,</w:t>
      </w:r>
      <w:r w:rsidR="00E863B4">
        <w:rPr>
          <w:rFonts w:ascii="ITC Avant Garde" w:hAnsi="ITC Avant Garde" w:cs="Arial"/>
          <w:bCs/>
        </w:rPr>
        <w:t xml:space="preserve"> Quinto </w:t>
      </w:r>
      <w:r w:rsidR="00C154B6">
        <w:rPr>
          <w:rFonts w:ascii="ITC Avant Garde" w:hAnsi="ITC Avant Garde" w:cs="Arial"/>
          <w:bCs/>
        </w:rPr>
        <w:t xml:space="preserve">y Séptimo </w:t>
      </w:r>
      <w:r w:rsidR="00E863B4">
        <w:rPr>
          <w:rFonts w:ascii="ITC Avant Garde" w:hAnsi="ITC Avant Garde" w:cs="Arial"/>
          <w:bCs/>
        </w:rPr>
        <w:t xml:space="preserve">de los </w:t>
      </w:r>
      <w:r w:rsidR="00E863B4" w:rsidRPr="006703EF">
        <w:rPr>
          <w:rFonts w:ascii="ITC Avant Garde" w:hAnsi="ITC Avant Garde" w:cs="Arial"/>
          <w:bCs/>
        </w:rPr>
        <w:t>Lineamientos de Consulta Pública y Análisis de Impacto Regulatorio del Instituto Federal de Telecomunicaciones</w:t>
      </w:r>
      <w:r w:rsidRPr="00EB29B0">
        <w:rPr>
          <w:rFonts w:ascii="ITC Avant Garde" w:hAnsi="ITC Avant Garde" w:cs="Arial"/>
          <w:bCs/>
        </w:rPr>
        <w:t>,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14:paraId="28CEC2F8" w14:textId="615493F7" w:rsidR="00BF12F9" w:rsidRDefault="00BF12F9" w:rsidP="00A33196">
      <w:pPr>
        <w:spacing w:after="0"/>
        <w:jc w:val="both"/>
        <w:rPr>
          <w:rFonts w:ascii="ITC Avant Garde" w:hAnsi="ITC Avant Garde" w:cs="Arial"/>
          <w:bCs/>
          <w:sz w:val="20"/>
        </w:rPr>
      </w:pPr>
    </w:p>
    <w:p w14:paraId="04BD57AE" w14:textId="77777777" w:rsidR="001961D2" w:rsidRDefault="001961D2" w:rsidP="00A33196">
      <w:pPr>
        <w:spacing w:after="0"/>
        <w:jc w:val="both"/>
        <w:rPr>
          <w:rFonts w:ascii="ITC Avant Garde" w:hAnsi="ITC Avant Garde" w:cs="Arial"/>
          <w:bCs/>
          <w:sz w:val="20"/>
        </w:rPr>
      </w:pPr>
    </w:p>
    <w:p w14:paraId="718D8E8C" w14:textId="41C0E09F" w:rsidR="00BB4ADA" w:rsidRPr="00EB29B0" w:rsidRDefault="00D17822" w:rsidP="00A33196">
      <w:pPr>
        <w:spacing w:after="0"/>
        <w:jc w:val="center"/>
        <w:rPr>
          <w:rFonts w:ascii="ITC Avant Garde" w:hAnsi="ITC Avant Garde" w:cs="Arial"/>
          <w:b/>
          <w:bCs/>
        </w:rPr>
      </w:pPr>
      <w:r w:rsidRPr="00EB29B0">
        <w:rPr>
          <w:rFonts w:ascii="ITC Avant Garde" w:hAnsi="ITC Avant Garde" w:cs="Arial"/>
          <w:b/>
          <w:bCs/>
        </w:rPr>
        <w:t>ACUERDO</w:t>
      </w:r>
      <w:r w:rsidR="003545B6" w:rsidRPr="00EB29B0">
        <w:rPr>
          <w:rFonts w:ascii="ITC Avant Garde" w:hAnsi="ITC Avant Garde" w:cs="Arial"/>
          <w:b/>
          <w:bCs/>
        </w:rPr>
        <w:t>S</w:t>
      </w:r>
    </w:p>
    <w:p w14:paraId="409B18D3" w14:textId="053797BE" w:rsidR="00E863B4" w:rsidRDefault="00E863B4" w:rsidP="00A33196">
      <w:pPr>
        <w:spacing w:after="0"/>
        <w:jc w:val="both"/>
        <w:rPr>
          <w:rFonts w:ascii="ITC Avant Garde" w:hAnsi="ITC Avant Garde" w:cs="Arial"/>
          <w:bCs/>
          <w:sz w:val="20"/>
        </w:rPr>
      </w:pPr>
    </w:p>
    <w:p w14:paraId="40C51416" w14:textId="77777777" w:rsidR="001961D2" w:rsidRPr="002641D2" w:rsidRDefault="001961D2" w:rsidP="00A33196">
      <w:pPr>
        <w:spacing w:after="0"/>
        <w:jc w:val="both"/>
        <w:rPr>
          <w:rFonts w:ascii="ITC Avant Garde" w:hAnsi="ITC Avant Garde" w:cs="Arial"/>
          <w:bCs/>
          <w:sz w:val="20"/>
        </w:rPr>
      </w:pPr>
    </w:p>
    <w:p w14:paraId="1C2875A2" w14:textId="6D068CBC" w:rsidR="003545B6" w:rsidRPr="00EB29B0" w:rsidRDefault="00060DAB" w:rsidP="00A33196">
      <w:pPr>
        <w:spacing w:after="0"/>
        <w:jc w:val="both"/>
        <w:rPr>
          <w:rFonts w:ascii="ITC Avant Garde" w:hAnsi="ITC Avant Garde" w:cs="Arial"/>
          <w:bCs/>
        </w:rPr>
      </w:pPr>
      <w:r w:rsidRPr="0003799D">
        <w:rPr>
          <w:rFonts w:ascii="ITC Avant Garde" w:hAnsi="ITC Avant Garde" w:cs="Arial"/>
          <w:b/>
          <w:bCs/>
        </w:rPr>
        <w:t>PRIMERO</w:t>
      </w:r>
      <w:r w:rsidRPr="0003799D">
        <w:rPr>
          <w:rFonts w:ascii="ITC Avant Garde" w:hAnsi="ITC Avant Garde" w:cs="Arial"/>
          <w:bCs/>
        </w:rPr>
        <w:t>.</w:t>
      </w:r>
      <w:r w:rsidR="00847ADF">
        <w:rPr>
          <w:rFonts w:ascii="ITC Avant Garde" w:hAnsi="ITC Avant Garde" w:cs="Arial"/>
          <w:bCs/>
        </w:rPr>
        <w:t xml:space="preserve"> </w:t>
      </w:r>
      <w:r w:rsidRPr="0003799D">
        <w:rPr>
          <w:rFonts w:ascii="ITC Avant Garde" w:hAnsi="ITC Avant Garde" w:cs="Arial"/>
          <w:bCs/>
        </w:rPr>
        <w:t xml:space="preserve">- </w:t>
      </w:r>
      <w:r w:rsidR="003545B6" w:rsidRPr="0003799D">
        <w:rPr>
          <w:rFonts w:ascii="ITC Avant Garde" w:hAnsi="ITC Avant Garde" w:cs="Arial"/>
          <w:bCs/>
        </w:rPr>
        <w:t xml:space="preserve">Se </w:t>
      </w:r>
      <w:r w:rsidR="000247B2">
        <w:rPr>
          <w:rFonts w:ascii="ITC Avant Garde" w:hAnsi="ITC Avant Garde" w:cs="Arial"/>
          <w:bCs/>
        </w:rPr>
        <w:t>determina</w:t>
      </w:r>
      <w:r w:rsidR="000247B2" w:rsidRPr="0003799D">
        <w:rPr>
          <w:rFonts w:ascii="ITC Avant Garde" w:hAnsi="ITC Avant Garde" w:cs="Arial"/>
          <w:bCs/>
        </w:rPr>
        <w:t xml:space="preserve"> </w:t>
      </w:r>
      <w:r w:rsidR="003545B6" w:rsidRPr="0003799D">
        <w:rPr>
          <w:rFonts w:ascii="ITC Avant Garde" w:hAnsi="ITC Avant Garde" w:cs="Arial"/>
          <w:bCs/>
        </w:rPr>
        <w:t xml:space="preserve">someter a consulta pública, por un plazo de 30 (treinta) días naturales contados a partir del día hábil siguiente al de su publicación en el portal de Internet del Instituto Federal de Telecomunicaciones, en los términos que fueron presentadas por las empresas </w:t>
      </w:r>
      <w:r w:rsidR="003545B6" w:rsidRPr="0003799D">
        <w:rPr>
          <w:rFonts w:ascii="ITC Avant Garde" w:eastAsia="Times New Roman" w:hAnsi="ITC Avant Garde"/>
        </w:rPr>
        <w:t>Teléfonos de México, S.A.B. de C.V.</w:t>
      </w:r>
      <w:r w:rsidR="00EA52DF">
        <w:rPr>
          <w:rFonts w:ascii="ITC Avant Garde" w:eastAsia="Times New Roman" w:hAnsi="ITC Avant Garde"/>
        </w:rPr>
        <w:t xml:space="preserve"> y </w:t>
      </w:r>
      <w:r w:rsidR="003545B6" w:rsidRPr="0003799D">
        <w:rPr>
          <w:rFonts w:ascii="ITC Avant Garde" w:eastAsia="Times New Roman" w:hAnsi="ITC Avant Garde"/>
        </w:rPr>
        <w:t xml:space="preserve">Teléfonos del Noroeste, S.A. de C.V. integrantes del </w:t>
      </w:r>
      <w:r w:rsidR="003545B6" w:rsidRPr="0003799D">
        <w:rPr>
          <w:rFonts w:ascii="ITC Avant Garde" w:hAnsi="ITC Avant Garde" w:cs="Arial"/>
          <w:bCs/>
        </w:rPr>
        <w:t>Agente Económico Preponderante</w:t>
      </w:r>
      <w:r w:rsidR="008F099E">
        <w:rPr>
          <w:rFonts w:ascii="ITC Avant Garde" w:hAnsi="ITC Avant Garde" w:cs="Arial"/>
          <w:bCs/>
        </w:rPr>
        <w:t xml:space="preserve"> </w:t>
      </w:r>
      <w:r w:rsidR="00EA52DF">
        <w:rPr>
          <w:rFonts w:ascii="ITC Avant Garde" w:hAnsi="ITC Avant Garde" w:cs="Arial"/>
          <w:bCs/>
        </w:rPr>
        <w:t>en el sector de telecomunicaciones</w:t>
      </w:r>
      <w:r w:rsidR="003545B6" w:rsidRPr="0003799D">
        <w:rPr>
          <w:rFonts w:ascii="ITC Avant Garde" w:hAnsi="ITC Avant Garde" w:cs="Arial"/>
          <w:bCs/>
        </w:rPr>
        <w:t>, las propuestas de Ofertas de Referencia que se detallan en los Antecedentes V</w:t>
      </w:r>
      <w:r w:rsidR="00BF12F9" w:rsidRPr="0003799D">
        <w:rPr>
          <w:rFonts w:ascii="ITC Avant Garde" w:hAnsi="ITC Avant Garde" w:cs="Arial"/>
          <w:bCs/>
        </w:rPr>
        <w:t>I</w:t>
      </w:r>
      <w:r w:rsidR="003545B6" w:rsidRPr="0003799D">
        <w:rPr>
          <w:rFonts w:ascii="ITC Avant Garde" w:hAnsi="ITC Avant Garde" w:cs="Arial"/>
          <w:bCs/>
        </w:rPr>
        <w:t xml:space="preserve"> </w:t>
      </w:r>
      <w:r w:rsidR="00EA52DF">
        <w:rPr>
          <w:rFonts w:ascii="ITC Avant Garde" w:hAnsi="ITC Avant Garde" w:cs="Arial"/>
          <w:bCs/>
        </w:rPr>
        <w:t>y VII</w:t>
      </w:r>
      <w:r w:rsidR="003545B6" w:rsidRPr="0003799D">
        <w:rPr>
          <w:rFonts w:ascii="ITC Avant Garde" w:hAnsi="ITC Avant Garde" w:cs="Arial"/>
          <w:bCs/>
        </w:rPr>
        <w:t xml:space="preserve"> del presente Acuerdo, las cuales forman parte integrante del mismo.</w:t>
      </w:r>
    </w:p>
    <w:p w14:paraId="573588BD" w14:textId="25DB95B8" w:rsidR="00EB4B6E" w:rsidRDefault="00EB4B6E" w:rsidP="00A33196">
      <w:pPr>
        <w:widowControl w:val="0"/>
        <w:spacing w:after="0"/>
        <w:jc w:val="both"/>
        <w:rPr>
          <w:rFonts w:ascii="ITC Avant Garde" w:hAnsi="ITC Avant Garde" w:cs="Arial"/>
          <w:bCs/>
        </w:rPr>
      </w:pPr>
    </w:p>
    <w:p w14:paraId="740B8C42" w14:textId="77777777" w:rsidR="001961D2" w:rsidRDefault="001961D2" w:rsidP="00A33196">
      <w:pPr>
        <w:widowControl w:val="0"/>
        <w:spacing w:after="0"/>
        <w:jc w:val="both"/>
        <w:rPr>
          <w:rFonts w:ascii="ITC Avant Garde" w:hAnsi="ITC Avant Garde" w:cs="Arial"/>
          <w:bCs/>
        </w:rPr>
      </w:pPr>
    </w:p>
    <w:p w14:paraId="3BCBA00A" w14:textId="17420309" w:rsidR="00864BEB" w:rsidRPr="00EB29B0" w:rsidRDefault="0042271F" w:rsidP="00A33196">
      <w:pPr>
        <w:spacing w:after="0"/>
        <w:jc w:val="both"/>
        <w:rPr>
          <w:rFonts w:ascii="ITC Avant Garde" w:hAnsi="ITC Avant Garde" w:cs="Arial"/>
          <w:bCs/>
        </w:rPr>
      </w:pPr>
      <w:r w:rsidRPr="00EB29B0">
        <w:rPr>
          <w:rFonts w:ascii="ITC Avant Garde" w:hAnsi="ITC Avant Garde" w:cs="Arial"/>
          <w:b/>
          <w:bCs/>
        </w:rPr>
        <w:t>SEGUNDO</w:t>
      </w:r>
      <w:r w:rsidRPr="00EB29B0">
        <w:rPr>
          <w:rFonts w:ascii="ITC Avant Garde" w:hAnsi="ITC Avant Garde" w:cs="Arial"/>
          <w:bCs/>
        </w:rPr>
        <w:t>.</w:t>
      </w:r>
      <w:r w:rsidR="00847ADF">
        <w:rPr>
          <w:rFonts w:ascii="ITC Avant Garde" w:hAnsi="ITC Avant Garde" w:cs="Arial"/>
          <w:bCs/>
        </w:rPr>
        <w:t xml:space="preserve"> </w:t>
      </w:r>
      <w:r w:rsidRPr="00EB29B0">
        <w:rPr>
          <w:rFonts w:ascii="ITC Avant Garde" w:hAnsi="ITC Avant Garde" w:cs="Arial"/>
          <w:bCs/>
        </w:rPr>
        <w:t>- Se instruye a la Unidad de Política Regulatoria a recibir y dar la atención que corresponda a las opiniones que sean vertidas en virtud de la consulta pública</w:t>
      </w:r>
      <w:r w:rsidR="005B5F22" w:rsidRPr="00EB29B0">
        <w:rPr>
          <w:rFonts w:ascii="ITC Avant Garde" w:hAnsi="ITC Avant Garde" w:cs="Arial"/>
          <w:bCs/>
        </w:rPr>
        <w:t xml:space="preserve"> materia del presente Acuerdo</w:t>
      </w:r>
      <w:r w:rsidR="002F7B93">
        <w:rPr>
          <w:rFonts w:ascii="ITC Avant Garde" w:hAnsi="ITC Avant Garde" w:cs="Arial"/>
          <w:bCs/>
        </w:rPr>
        <w:t xml:space="preserve">, así como a formular el requerimiento a que hace referencia el Considerando Tercero y, en su oportunidad, realizar los actos necesarios para someter a consulta pública las ofertas que al efecto presenten </w:t>
      </w:r>
      <w:r w:rsidR="002F7B93" w:rsidRPr="008E5098">
        <w:rPr>
          <w:rFonts w:ascii="ITC Avant Garde" w:hAnsi="ITC Avant Garde" w:cs="Arial"/>
          <w:bCs/>
        </w:rPr>
        <w:t>las empresas Teléfonos de México, S.A.B. de C.V. y Teléfonos del Noroeste, S.A. de C.V. integrantes del Agente Económico Preponderante en el sector de telecomunicaciones</w:t>
      </w:r>
      <w:r w:rsidR="005B5F22" w:rsidRPr="00EB29B0">
        <w:rPr>
          <w:rFonts w:ascii="ITC Avant Garde" w:hAnsi="ITC Avant Garde" w:cs="Arial"/>
          <w:bCs/>
        </w:rPr>
        <w:t>.</w:t>
      </w:r>
    </w:p>
    <w:p w14:paraId="3F7914FD" w14:textId="745E10B1" w:rsidR="00EA52DF" w:rsidRDefault="00EA52DF" w:rsidP="00A33196">
      <w:pPr>
        <w:spacing w:after="0"/>
        <w:jc w:val="both"/>
        <w:rPr>
          <w:rFonts w:ascii="ITC Avant Garde" w:hAnsi="ITC Avant Garde" w:cs="Arial"/>
          <w:b/>
          <w:bCs/>
        </w:rPr>
      </w:pPr>
    </w:p>
    <w:p w14:paraId="57B33CA7" w14:textId="77777777" w:rsidR="001961D2" w:rsidRDefault="001961D2" w:rsidP="00A33196">
      <w:pPr>
        <w:spacing w:after="0"/>
        <w:jc w:val="both"/>
        <w:rPr>
          <w:rFonts w:ascii="ITC Avant Garde" w:hAnsi="ITC Avant Garde" w:cs="Arial"/>
          <w:b/>
          <w:bCs/>
        </w:rPr>
      </w:pPr>
    </w:p>
    <w:p w14:paraId="372A5889" w14:textId="442014F8" w:rsidR="00864BEB" w:rsidRDefault="00847ADF" w:rsidP="00A33196">
      <w:pPr>
        <w:spacing w:after="0"/>
        <w:jc w:val="both"/>
        <w:rPr>
          <w:rFonts w:ascii="ITC Avant Garde" w:hAnsi="ITC Avant Garde" w:cs="Arial"/>
          <w:bCs/>
        </w:rPr>
      </w:pPr>
      <w:r w:rsidRPr="00EB29B0">
        <w:rPr>
          <w:rFonts w:ascii="ITC Avant Garde" w:hAnsi="ITC Avant Garde" w:cs="Arial"/>
          <w:b/>
          <w:bCs/>
        </w:rPr>
        <w:lastRenderedPageBreak/>
        <w:t>TERCERO</w:t>
      </w:r>
      <w:r w:rsidRPr="00EB29B0">
        <w:rPr>
          <w:rFonts w:ascii="ITC Avant Garde" w:hAnsi="ITC Avant Garde" w:cs="Arial"/>
          <w:bCs/>
        </w:rPr>
        <w:t>. -</w:t>
      </w:r>
      <w:r w:rsidR="0042271F" w:rsidRPr="00EB29B0">
        <w:rPr>
          <w:rFonts w:ascii="ITC Avant Garde" w:hAnsi="ITC Avant Garde" w:cs="Arial"/>
          <w:bCs/>
        </w:rPr>
        <w:t xml:space="preserve"> Publíquese</w:t>
      </w:r>
      <w:r w:rsidR="003252F8" w:rsidRPr="00EB29B0">
        <w:rPr>
          <w:rFonts w:ascii="ITC Avant Garde" w:hAnsi="ITC Avant Garde" w:cs="Arial"/>
          <w:bCs/>
        </w:rPr>
        <w:t xml:space="preserve"> </w:t>
      </w:r>
      <w:r w:rsidR="00C154B6" w:rsidRPr="00402FB3">
        <w:rPr>
          <w:rFonts w:ascii="ITC Avant Garde" w:hAnsi="ITC Avant Garde" w:cs="Arial"/>
          <w:bCs/>
        </w:rPr>
        <w:t>el presente Acuerdo y la</w:t>
      </w:r>
      <w:r w:rsidR="00C154B6">
        <w:rPr>
          <w:rFonts w:ascii="ITC Avant Garde" w:hAnsi="ITC Avant Garde" w:cs="Arial"/>
          <w:bCs/>
        </w:rPr>
        <w:t>s</w:t>
      </w:r>
      <w:r w:rsidR="00C154B6" w:rsidRPr="00402FB3">
        <w:rPr>
          <w:rFonts w:ascii="ITC Avant Garde" w:hAnsi="ITC Avant Garde" w:cs="Arial"/>
          <w:bCs/>
        </w:rPr>
        <w:t xml:space="preserve"> Oferta</w:t>
      </w:r>
      <w:r w:rsidR="00C154B6">
        <w:rPr>
          <w:rFonts w:ascii="ITC Avant Garde" w:hAnsi="ITC Avant Garde" w:cs="Arial"/>
          <w:bCs/>
        </w:rPr>
        <w:t>s</w:t>
      </w:r>
      <w:r w:rsidR="00C154B6" w:rsidRPr="00402FB3">
        <w:rPr>
          <w:rFonts w:ascii="ITC Avant Garde" w:hAnsi="ITC Avant Garde" w:cs="Arial"/>
          <w:bCs/>
        </w:rPr>
        <w:t xml:space="preserve"> de Referencia que se detalla</w:t>
      </w:r>
      <w:r w:rsidR="00C154B6">
        <w:rPr>
          <w:rFonts w:ascii="ITC Avant Garde" w:hAnsi="ITC Avant Garde" w:cs="Arial"/>
          <w:bCs/>
        </w:rPr>
        <w:t>n</w:t>
      </w:r>
      <w:r w:rsidR="00C154B6" w:rsidRPr="00402FB3">
        <w:rPr>
          <w:rFonts w:ascii="ITC Avant Garde" w:hAnsi="ITC Avant Garde" w:cs="Arial"/>
          <w:bCs/>
        </w:rPr>
        <w:t xml:space="preserve"> en </w:t>
      </w:r>
      <w:r w:rsidR="00C154B6">
        <w:rPr>
          <w:rFonts w:ascii="ITC Avant Garde" w:hAnsi="ITC Avant Garde" w:cs="Arial"/>
          <w:bCs/>
        </w:rPr>
        <w:t>los</w:t>
      </w:r>
      <w:r w:rsidR="00C154B6" w:rsidRPr="00402FB3">
        <w:rPr>
          <w:rFonts w:ascii="ITC Avant Garde" w:hAnsi="ITC Avant Garde" w:cs="Arial"/>
          <w:bCs/>
        </w:rPr>
        <w:t xml:space="preserve"> Antecedente</w:t>
      </w:r>
      <w:r w:rsidR="00C154B6">
        <w:rPr>
          <w:rFonts w:ascii="ITC Avant Garde" w:hAnsi="ITC Avant Garde" w:cs="Arial"/>
          <w:bCs/>
        </w:rPr>
        <w:t>s</w:t>
      </w:r>
      <w:r w:rsidR="00C154B6" w:rsidRPr="00402FB3">
        <w:rPr>
          <w:rFonts w:ascii="ITC Avant Garde" w:hAnsi="ITC Avant Garde" w:cs="Arial"/>
          <w:bCs/>
        </w:rPr>
        <w:t xml:space="preserve"> VI </w:t>
      </w:r>
      <w:r w:rsidR="00C154B6">
        <w:rPr>
          <w:rFonts w:ascii="ITC Avant Garde" w:hAnsi="ITC Avant Garde" w:cs="Arial"/>
          <w:bCs/>
        </w:rPr>
        <w:t xml:space="preserve">y VII </w:t>
      </w:r>
      <w:r w:rsidR="00C154B6" w:rsidRPr="00402FB3">
        <w:rPr>
          <w:rFonts w:ascii="ITC Avant Garde" w:hAnsi="ITC Avant Garde" w:cs="Arial"/>
          <w:bCs/>
        </w:rPr>
        <w:t xml:space="preserve">del presente Acuerdo </w:t>
      </w:r>
      <w:r w:rsidR="0042271F" w:rsidRPr="00EB29B0">
        <w:rPr>
          <w:rFonts w:ascii="ITC Avant Garde" w:hAnsi="ITC Avant Garde" w:cs="Arial"/>
          <w:bCs/>
        </w:rPr>
        <w:t xml:space="preserve">en </w:t>
      </w:r>
      <w:r w:rsidR="005B5F22" w:rsidRPr="00EB29B0">
        <w:rPr>
          <w:rFonts w:ascii="ITC Avant Garde" w:hAnsi="ITC Avant Garde" w:cs="Arial"/>
          <w:bCs/>
        </w:rPr>
        <w:t>el portal</w:t>
      </w:r>
      <w:r w:rsidR="0042271F" w:rsidRPr="00EB29B0">
        <w:rPr>
          <w:rFonts w:ascii="ITC Avant Garde" w:hAnsi="ITC Avant Garde" w:cs="Arial"/>
          <w:bCs/>
        </w:rPr>
        <w:t xml:space="preserve"> de Internet del Instituto</w:t>
      </w:r>
      <w:r w:rsidR="00671F9E" w:rsidRPr="00EB29B0">
        <w:rPr>
          <w:rFonts w:ascii="ITC Avant Garde" w:hAnsi="ITC Avant Garde" w:cs="Arial"/>
          <w:bCs/>
        </w:rPr>
        <w:t xml:space="preserve"> Federal de Telecomunicaciones</w:t>
      </w:r>
      <w:r w:rsidR="0042271F" w:rsidRPr="00EB29B0">
        <w:rPr>
          <w:rFonts w:ascii="ITC Avant Garde" w:hAnsi="ITC Avant Garde" w:cs="Arial"/>
          <w:bCs/>
        </w:rPr>
        <w:t>.</w:t>
      </w:r>
    </w:p>
    <w:p w14:paraId="20BA4441" w14:textId="6939B3FE" w:rsidR="002641D2" w:rsidRDefault="002641D2" w:rsidP="001961D2">
      <w:pPr>
        <w:spacing w:after="0" w:line="240" w:lineRule="auto"/>
        <w:jc w:val="both"/>
        <w:rPr>
          <w:rFonts w:ascii="ITC Avant Garde" w:hAnsi="ITC Avant Garde" w:cs="Arial"/>
          <w:bCs/>
        </w:rPr>
      </w:pPr>
    </w:p>
    <w:p w14:paraId="65BB0EA2" w14:textId="558F9911" w:rsidR="002641D2" w:rsidRDefault="002641D2" w:rsidP="001961D2">
      <w:pPr>
        <w:spacing w:after="0" w:line="240" w:lineRule="auto"/>
        <w:jc w:val="both"/>
        <w:rPr>
          <w:rFonts w:ascii="ITC Avant Garde" w:hAnsi="ITC Avant Garde" w:cs="Arial"/>
          <w:bCs/>
        </w:rPr>
      </w:pPr>
    </w:p>
    <w:p w14:paraId="00EFF600" w14:textId="101FFD5B" w:rsidR="001961D2" w:rsidRDefault="001961D2" w:rsidP="001961D2">
      <w:pPr>
        <w:spacing w:after="0" w:line="240" w:lineRule="auto"/>
        <w:jc w:val="both"/>
        <w:rPr>
          <w:rFonts w:ascii="ITC Avant Garde" w:hAnsi="ITC Avant Garde" w:cs="Arial"/>
          <w:bCs/>
        </w:rPr>
      </w:pPr>
    </w:p>
    <w:p w14:paraId="36475411" w14:textId="46EE4369" w:rsidR="001961D2" w:rsidRDefault="001961D2" w:rsidP="001961D2">
      <w:pPr>
        <w:spacing w:after="0" w:line="240" w:lineRule="auto"/>
        <w:jc w:val="both"/>
        <w:rPr>
          <w:rFonts w:ascii="ITC Avant Garde" w:hAnsi="ITC Avant Garde" w:cs="Arial"/>
          <w:bCs/>
        </w:rPr>
      </w:pPr>
    </w:p>
    <w:p w14:paraId="3D9CF4A0" w14:textId="7BD07E04" w:rsidR="001961D2" w:rsidRDefault="001961D2" w:rsidP="001961D2">
      <w:pPr>
        <w:spacing w:after="0" w:line="240" w:lineRule="auto"/>
        <w:jc w:val="both"/>
        <w:rPr>
          <w:rFonts w:ascii="ITC Avant Garde" w:hAnsi="ITC Avant Garde" w:cs="Arial"/>
          <w:bCs/>
        </w:rPr>
      </w:pPr>
    </w:p>
    <w:p w14:paraId="087F62F5" w14:textId="77777777" w:rsidR="001961D2" w:rsidRDefault="001961D2" w:rsidP="001961D2">
      <w:pPr>
        <w:spacing w:after="0" w:line="240" w:lineRule="auto"/>
        <w:jc w:val="both"/>
        <w:rPr>
          <w:rFonts w:ascii="ITC Avant Garde" w:hAnsi="ITC Avant Garde" w:cs="Arial"/>
          <w:bCs/>
        </w:rPr>
      </w:pPr>
    </w:p>
    <w:p w14:paraId="6B1B9A20" w14:textId="77777777" w:rsidR="001961D2" w:rsidRDefault="001961D2" w:rsidP="001961D2">
      <w:pPr>
        <w:spacing w:after="0" w:line="240" w:lineRule="auto"/>
        <w:jc w:val="both"/>
        <w:rPr>
          <w:rFonts w:ascii="ITC Avant Garde" w:hAnsi="ITC Avant Garde" w:cs="Arial"/>
          <w:bCs/>
        </w:rPr>
      </w:pPr>
    </w:p>
    <w:p w14:paraId="25D9F977" w14:textId="4EE7D26B" w:rsidR="002641D2" w:rsidRDefault="002641D2" w:rsidP="001961D2">
      <w:pPr>
        <w:spacing w:after="0" w:line="240" w:lineRule="auto"/>
        <w:jc w:val="both"/>
        <w:rPr>
          <w:rFonts w:ascii="ITC Avant Garde" w:hAnsi="ITC Avant Garde" w:cs="Arial"/>
          <w:bCs/>
        </w:rPr>
      </w:pPr>
    </w:p>
    <w:p w14:paraId="4610A9B7" w14:textId="77777777" w:rsidR="001541A1" w:rsidRPr="00AE4545" w:rsidRDefault="001541A1" w:rsidP="001961D2">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Gabriel Oswaldo Contreras Saldívar</w:t>
      </w:r>
    </w:p>
    <w:p w14:paraId="084BA9C0" w14:textId="77777777" w:rsidR="001541A1" w:rsidRPr="00AE4545" w:rsidRDefault="001541A1" w:rsidP="001961D2">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Comisionado Presidente</w:t>
      </w:r>
    </w:p>
    <w:tbl>
      <w:tblPr>
        <w:tblW w:w="9560" w:type="dxa"/>
        <w:jc w:val="center"/>
        <w:tblLook w:val="04A0" w:firstRow="1" w:lastRow="0" w:firstColumn="1" w:lastColumn="0" w:noHBand="0" w:noVBand="1"/>
      </w:tblPr>
      <w:tblGrid>
        <w:gridCol w:w="4908"/>
        <w:gridCol w:w="4652"/>
      </w:tblGrid>
      <w:tr w:rsidR="001541A1" w:rsidRPr="00AE4545" w14:paraId="2A41134C" w14:textId="77777777" w:rsidTr="00717177">
        <w:trPr>
          <w:trHeight w:val="1586"/>
          <w:jc w:val="center"/>
        </w:trPr>
        <w:tc>
          <w:tcPr>
            <w:tcW w:w="4908" w:type="dxa"/>
          </w:tcPr>
          <w:p w14:paraId="59BBDD2D"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10177FE6" w14:textId="77777777" w:rsidR="001541A1" w:rsidRDefault="001541A1" w:rsidP="001961D2">
            <w:pPr>
              <w:tabs>
                <w:tab w:val="left" w:pos="993"/>
              </w:tabs>
              <w:spacing w:after="0" w:line="240" w:lineRule="auto"/>
              <w:ind w:right="-1"/>
              <w:jc w:val="both"/>
              <w:rPr>
                <w:rFonts w:ascii="ITC Avant Garde" w:eastAsia="Times New Roman" w:hAnsi="ITC Avant Garde"/>
                <w:b/>
                <w:bCs/>
                <w:lang w:eastAsia="es-MX"/>
              </w:rPr>
            </w:pPr>
          </w:p>
          <w:p w14:paraId="04BA59C0" w14:textId="77777777" w:rsidR="001541A1" w:rsidRDefault="001541A1" w:rsidP="001961D2">
            <w:pPr>
              <w:tabs>
                <w:tab w:val="left" w:pos="993"/>
              </w:tabs>
              <w:spacing w:after="0" w:line="240" w:lineRule="auto"/>
              <w:ind w:right="-1"/>
              <w:jc w:val="both"/>
              <w:rPr>
                <w:rFonts w:ascii="ITC Avant Garde" w:eastAsia="Times New Roman" w:hAnsi="ITC Avant Garde"/>
                <w:b/>
                <w:bCs/>
                <w:lang w:eastAsia="es-MX"/>
              </w:rPr>
            </w:pPr>
          </w:p>
          <w:p w14:paraId="7C11D93D"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53C7E5BB"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Mario Germán </w:t>
            </w:r>
            <w:proofErr w:type="spellStart"/>
            <w:r w:rsidRPr="00AE4545">
              <w:rPr>
                <w:rFonts w:ascii="ITC Avant Garde" w:eastAsia="Times New Roman" w:hAnsi="ITC Avant Garde"/>
                <w:b/>
                <w:bCs/>
                <w:lang w:eastAsia="es-MX"/>
              </w:rPr>
              <w:t>Fromow</w:t>
            </w:r>
            <w:proofErr w:type="spellEnd"/>
            <w:r w:rsidRPr="00AE4545">
              <w:rPr>
                <w:rFonts w:ascii="ITC Avant Garde" w:eastAsia="Times New Roman" w:hAnsi="ITC Avant Garde"/>
                <w:b/>
                <w:bCs/>
                <w:lang w:eastAsia="es-MX"/>
              </w:rPr>
              <w:t xml:space="preserve"> Rangel</w:t>
            </w:r>
          </w:p>
          <w:p w14:paraId="36C5186B"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p w14:paraId="42468069"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p>
        </w:tc>
        <w:tc>
          <w:tcPr>
            <w:tcW w:w="4652" w:type="dxa"/>
          </w:tcPr>
          <w:p w14:paraId="50CC79FC" w14:textId="77777777" w:rsidR="001541A1" w:rsidRDefault="001541A1" w:rsidP="001961D2">
            <w:pPr>
              <w:tabs>
                <w:tab w:val="left" w:pos="993"/>
              </w:tabs>
              <w:spacing w:after="0" w:line="240" w:lineRule="auto"/>
              <w:ind w:right="-1"/>
              <w:jc w:val="both"/>
              <w:rPr>
                <w:rFonts w:ascii="ITC Avant Garde" w:eastAsia="Times New Roman" w:hAnsi="ITC Avant Garde"/>
                <w:b/>
                <w:bCs/>
                <w:lang w:eastAsia="es-MX"/>
              </w:rPr>
            </w:pPr>
          </w:p>
          <w:p w14:paraId="29868DCE"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29FAF054"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1AE28DDA"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006894AE"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Adolfo Cuevas Teja</w:t>
            </w:r>
          </w:p>
          <w:p w14:paraId="471C7854"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r w:rsidR="001541A1" w:rsidRPr="00AE4545" w14:paraId="7D1885E7" w14:textId="77777777" w:rsidTr="00717177">
        <w:trPr>
          <w:trHeight w:val="1699"/>
          <w:jc w:val="center"/>
        </w:trPr>
        <w:tc>
          <w:tcPr>
            <w:tcW w:w="4908" w:type="dxa"/>
          </w:tcPr>
          <w:p w14:paraId="1D8E183D"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6F449687" w14:textId="77777777" w:rsidR="001541A1" w:rsidRDefault="001541A1" w:rsidP="001961D2">
            <w:pPr>
              <w:tabs>
                <w:tab w:val="left" w:pos="993"/>
              </w:tabs>
              <w:spacing w:after="0" w:line="240" w:lineRule="auto"/>
              <w:ind w:right="-1"/>
              <w:jc w:val="both"/>
              <w:rPr>
                <w:rFonts w:ascii="ITC Avant Garde" w:eastAsia="Times New Roman" w:hAnsi="ITC Avant Garde"/>
                <w:b/>
                <w:bCs/>
                <w:lang w:eastAsia="es-MX"/>
              </w:rPr>
            </w:pPr>
          </w:p>
          <w:p w14:paraId="59526180"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48734EB4"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0A9F3C1D"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Javier Juárez Mojica</w:t>
            </w:r>
          </w:p>
          <w:p w14:paraId="19D1ED85"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4652" w:type="dxa"/>
          </w:tcPr>
          <w:p w14:paraId="5AC0510C" w14:textId="77777777" w:rsidR="001541A1" w:rsidRDefault="001541A1" w:rsidP="001961D2">
            <w:pPr>
              <w:tabs>
                <w:tab w:val="left" w:pos="993"/>
              </w:tabs>
              <w:spacing w:after="0" w:line="240" w:lineRule="auto"/>
              <w:ind w:right="-1"/>
              <w:jc w:val="both"/>
              <w:rPr>
                <w:rFonts w:ascii="ITC Avant Garde" w:eastAsia="Times New Roman" w:hAnsi="ITC Avant Garde"/>
                <w:b/>
                <w:bCs/>
                <w:lang w:eastAsia="es-MX"/>
              </w:rPr>
            </w:pPr>
          </w:p>
          <w:p w14:paraId="1EF225EF" w14:textId="77777777" w:rsidR="001541A1" w:rsidRDefault="001541A1" w:rsidP="001961D2">
            <w:pPr>
              <w:tabs>
                <w:tab w:val="left" w:pos="993"/>
              </w:tabs>
              <w:spacing w:after="0" w:line="240" w:lineRule="auto"/>
              <w:ind w:right="-1"/>
              <w:jc w:val="both"/>
              <w:rPr>
                <w:rFonts w:ascii="ITC Avant Garde" w:eastAsia="Times New Roman" w:hAnsi="ITC Avant Garde"/>
                <w:b/>
                <w:bCs/>
                <w:lang w:eastAsia="es-MX"/>
              </w:rPr>
            </w:pPr>
          </w:p>
          <w:p w14:paraId="4AA5FCDE"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5CE2AF95" w14:textId="77777777" w:rsidR="001541A1" w:rsidRPr="00AE4545" w:rsidRDefault="001541A1" w:rsidP="001961D2">
            <w:pPr>
              <w:tabs>
                <w:tab w:val="left" w:pos="993"/>
              </w:tabs>
              <w:spacing w:after="0" w:line="240" w:lineRule="auto"/>
              <w:ind w:right="-1"/>
              <w:jc w:val="both"/>
              <w:rPr>
                <w:rFonts w:ascii="ITC Avant Garde" w:eastAsia="Times New Roman" w:hAnsi="ITC Avant Garde"/>
                <w:b/>
                <w:bCs/>
                <w:lang w:eastAsia="es-MX"/>
              </w:rPr>
            </w:pPr>
          </w:p>
          <w:p w14:paraId="7F76C649"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val="es-ES" w:eastAsia="es-MX"/>
              </w:rPr>
              <w:t xml:space="preserve">Arturo Robles </w:t>
            </w:r>
            <w:proofErr w:type="spellStart"/>
            <w:r w:rsidRPr="00AE4545">
              <w:rPr>
                <w:rFonts w:ascii="ITC Avant Garde" w:eastAsia="Times New Roman" w:hAnsi="ITC Avant Garde"/>
                <w:b/>
                <w:bCs/>
                <w:lang w:val="es-ES" w:eastAsia="es-MX"/>
              </w:rPr>
              <w:t>Rovalo</w:t>
            </w:r>
            <w:proofErr w:type="spellEnd"/>
            <w:r w:rsidRPr="00AE4545">
              <w:rPr>
                <w:rFonts w:ascii="ITC Avant Garde" w:eastAsia="Times New Roman" w:hAnsi="ITC Avant Garde"/>
                <w:b/>
                <w:bCs/>
                <w:lang w:val="es-ES" w:eastAsia="es-MX"/>
              </w:rPr>
              <w:t xml:space="preserve"> </w:t>
            </w:r>
          </w:p>
          <w:p w14:paraId="0AA1D296"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r w:rsidR="001541A1" w:rsidRPr="00AE4545" w14:paraId="19567A4D" w14:textId="77777777" w:rsidTr="00717177">
        <w:trPr>
          <w:trHeight w:val="1634"/>
          <w:jc w:val="center"/>
        </w:trPr>
        <w:tc>
          <w:tcPr>
            <w:tcW w:w="4908" w:type="dxa"/>
          </w:tcPr>
          <w:p w14:paraId="256F82CD"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41F9C232"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259BDC32"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675B3072"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305E6DCA"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 </w:t>
            </w:r>
            <w:proofErr w:type="spellStart"/>
            <w:r w:rsidRPr="00AE4545">
              <w:rPr>
                <w:rFonts w:ascii="ITC Avant Garde" w:eastAsia="Times New Roman" w:hAnsi="ITC Avant Garde"/>
                <w:b/>
                <w:bCs/>
                <w:lang w:eastAsia="es-MX"/>
              </w:rPr>
              <w:t>Sóstenes</w:t>
            </w:r>
            <w:proofErr w:type="spellEnd"/>
            <w:r w:rsidRPr="00AE4545">
              <w:rPr>
                <w:rFonts w:ascii="ITC Avant Garde" w:eastAsia="Times New Roman" w:hAnsi="ITC Avant Garde"/>
                <w:b/>
                <w:bCs/>
                <w:lang w:eastAsia="es-MX"/>
              </w:rPr>
              <w:t xml:space="preserve"> Díaz González</w:t>
            </w:r>
          </w:p>
          <w:p w14:paraId="31A6B932"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4652" w:type="dxa"/>
          </w:tcPr>
          <w:p w14:paraId="0F5A9409"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20EDC38F" w14:textId="77777777" w:rsidR="001541A1"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5C7417D2"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6CC2A914"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p>
          <w:p w14:paraId="02DD63A6"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Pr>
                <w:rFonts w:ascii="ITC Avant Garde" w:eastAsia="Times New Roman" w:hAnsi="ITC Avant Garde"/>
                <w:b/>
                <w:bCs/>
                <w:lang w:eastAsia="es-MX"/>
              </w:rPr>
              <w:t>Ramiro Camacho Castillo</w:t>
            </w:r>
          </w:p>
          <w:p w14:paraId="024482B1" w14:textId="77777777" w:rsidR="001541A1" w:rsidRPr="00AE4545" w:rsidRDefault="001541A1" w:rsidP="001961D2">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bl>
    <w:p w14:paraId="5EFC0ACD" w14:textId="77777777" w:rsidR="00880780" w:rsidRDefault="00880780" w:rsidP="00880780">
      <w:pPr>
        <w:spacing w:after="0" w:line="240" w:lineRule="auto"/>
        <w:jc w:val="both"/>
        <w:rPr>
          <w:rFonts w:ascii="ITC Avant Garde" w:hAnsi="ITC Avant Garde"/>
          <w:sz w:val="12"/>
          <w:lang w:val="es-ES"/>
        </w:rPr>
      </w:pPr>
    </w:p>
    <w:p w14:paraId="2A6E7F49" w14:textId="77777777" w:rsidR="00880780" w:rsidRDefault="00880780" w:rsidP="00880780">
      <w:pPr>
        <w:spacing w:after="0" w:line="240" w:lineRule="auto"/>
        <w:jc w:val="both"/>
        <w:rPr>
          <w:rFonts w:ascii="ITC Avant Garde" w:hAnsi="ITC Avant Garde"/>
          <w:sz w:val="12"/>
          <w:lang w:val="es-ES"/>
        </w:rPr>
      </w:pPr>
    </w:p>
    <w:p w14:paraId="163B7643" w14:textId="77777777" w:rsidR="00880780" w:rsidRDefault="00880780" w:rsidP="00880780">
      <w:pPr>
        <w:spacing w:after="0" w:line="240" w:lineRule="auto"/>
        <w:jc w:val="both"/>
        <w:rPr>
          <w:rFonts w:ascii="ITC Avant Garde" w:hAnsi="ITC Avant Garde"/>
          <w:sz w:val="12"/>
          <w:lang w:val="es-ES"/>
        </w:rPr>
      </w:pPr>
    </w:p>
    <w:p w14:paraId="57D6C132" w14:textId="77777777" w:rsidR="00880780" w:rsidRDefault="00880780" w:rsidP="00880780">
      <w:pPr>
        <w:spacing w:after="0" w:line="240" w:lineRule="auto"/>
        <w:jc w:val="both"/>
        <w:rPr>
          <w:rFonts w:ascii="ITC Avant Garde" w:hAnsi="ITC Avant Garde"/>
          <w:sz w:val="12"/>
          <w:lang w:val="es-ES"/>
        </w:rPr>
      </w:pPr>
    </w:p>
    <w:p w14:paraId="4B08D397" w14:textId="77777777" w:rsidR="00880780" w:rsidRDefault="00880780" w:rsidP="00880780">
      <w:pPr>
        <w:spacing w:after="0" w:line="240" w:lineRule="auto"/>
        <w:jc w:val="both"/>
        <w:rPr>
          <w:rFonts w:ascii="ITC Avant Garde" w:hAnsi="ITC Avant Garde"/>
          <w:sz w:val="12"/>
          <w:lang w:val="es-ES"/>
        </w:rPr>
      </w:pPr>
    </w:p>
    <w:p w14:paraId="50A88205" w14:textId="77777777" w:rsidR="00880780" w:rsidRDefault="00880780" w:rsidP="00880780">
      <w:pPr>
        <w:spacing w:after="0" w:line="240" w:lineRule="auto"/>
        <w:jc w:val="both"/>
        <w:rPr>
          <w:rFonts w:ascii="ITC Avant Garde" w:hAnsi="ITC Avant Garde"/>
          <w:sz w:val="12"/>
          <w:lang w:val="es-ES"/>
        </w:rPr>
      </w:pPr>
    </w:p>
    <w:p w14:paraId="446469BF" w14:textId="77777777" w:rsidR="00880780" w:rsidRDefault="00880780" w:rsidP="00880780">
      <w:pPr>
        <w:spacing w:after="0" w:line="240" w:lineRule="auto"/>
        <w:jc w:val="both"/>
        <w:rPr>
          <w:rFonts w:ascii="ITC Avant Garde" w:hAnsi="ITC Avant Garde"/>
          <w:sz w:val="12"/>
          <w:lang w:val="es-ES"/>
        </w:rPr>
      </w:pPr>
    </w:p>
    <w:p w14:paraId="267FF726" w14:textId="77777777" w:rsidR="00880780" w:rsidRDefault="00880780" w:rsidP="00880780">
      <w:pPr>
        <w:spacing w:after="0" w:line="240" w:lineRule="auto"/>
        <w:jc w:val="both"/>
        <w:rPr>
          <w:rFonts w:ascii="ITC Avant Garde" w:hAnsi="ITC Avant Garde"/>
          <w:sz w:val="12"/>
          <w:lang w:val="es-ES"/>
        </w:rPr>
      </w:pPr>
    </w:p>
    <w:p w14:paraId="44E0F1CA" w14:textId="77777777" w:rsidR="00880780" w:rsidRDefault="00880780" w:rsidP="00880780">
      <w:pPr>
        <w:spacing w:after="0" w:line="240" w:lineRule="auto"/>
        <w:jc w:val="both"/>
        <w:rPr>
          <w:rFonts w:ascii="ITC Avant Garde" w:hAnsi="ITC Avant Garde"/>
          <w:sz w:val="12"/>
          <w:lang w:val="es-ES"/>
        </w:rPr>
      </w:pPr>
    </w:p>
    <w:p w14:paraId="44826FD8" w14:textId="77777777" w:rsidR="00880780" w:rsidRDefault="00880780" w:rsidP="00880780">
      <w:pPr>
        <w:spacing w:after="0" w:line="240" w:lineRule="auto"/>
        <w:jc w:val="both"/>
        <w:rPr>
          <w:rFonts w:ascii="ITC Avant Garde" w:hAnsi="ITC Avant Garde"/>
          <w:sz w:val="12"/>
          <w:lang w:val="es-ES"/>
        </w:rPr>
      </w:pPr>
    </w:p>
    <w:p w14:paraId="0551E8DC" w14:textId="180FBA60" w:rsidR="00880780" w:rsidRPr="00880780" w:rsidRDefault="00880780" w:rsidP="00880780">
      <w:pPr>
        <w:spacing w:after="0" w:line="240" w:lineRule="auto"/>
        <w:jc w:val="both"/>
        <w:rPr>
          <w:rFonts w:ascii="ITC Avant Garde" w:hAnsi="ITC Avant Garde"/>
          <w:sz w:val="12"/>
          <w:lang w:val="es-ES"/>
        </w:rPr>
      </w:pPr>
      <w:bookmarkStart w:id="0" w:name="_GoBack"/>
      <w:bookmarkEnd w:id="0"/>
      <w:r w:rsidRPr="00880780">
        <w:rPr>
          <w:rFonts w:ascii="ITC Avant Garde" w:hAnsi="ITC Avant Garde"/>
          <w:sz w:val="12"/>
          <w:lang w:val="es-ES"/>
        </w:rPr>
        <w:t xml:space="preserve">El presente Acuerdo fue aprobado por el Pleno del Instituto Federal de Telecomunicaciones en su V Sesión Extraordinaria celebrada el 10 de julio de 2019, </w:t>
      </w:r>
      <w:r w:rsidRPr="00880780">
        <w:rPr>
          <w:rFonts w:ascii="ITC Avant Garde" w:hAnsi="ITC Avant Garde"/>
          <w:bCs/>
          <w:sz w:val="12"/>
          <w:lang w:val="es-ES"/>
        </w:rPr>
        <w:t xml:space="preserve">en lo general por unanimidad </w:t>
      </w:r>
      <w:r w:rsidRPr="00880780">
        <w:rPr>
          <w:rFonts w:ascii="ITC Avant Garde" w:hAnsi="ITC Avant Garde"/>
          <w:sz w:val="12"/>
          <w:lang w:val="es-ES"/>
        </w:rPr>
        <w:t xml:space="preserve">de votos de los Comisionados Gabriel Oswaldo Contreras Saldívar, Mario Germán </w:t>
      </w:r>
      <w:proofErr w:type="spellStart"/>
      <w:r w:rsidRPr="00880780">
        <w:rPr>
          <w:rFonts w:ascii="ITC Avant Garde" w:hAnsi="ITC Avant Garde"/>
          <w:sz w:val="12"/>
          <w:lang w:val="es-ES"/>
        </w:rPr>
        <w:t>Fromow</w:t>
      </w:r>
      <w:proofErr w:type="spellEnd"/>
      <w:r w:rsidRPr="00880780">
        <w:rPr>
          <w:rFonts w:ascii="ITC Avant Garde" w:hAnsi="ITC Avant Garde"/>
          <w:sz w:val="12"/>
          <w:lang w:val="es-ES"/>
        </w:rPr>
        <w:t xml:space="preserve"> Rangel, Adolfo Cuevas Teja, Javier Juárez Mojica, Arturo Robles </w:t>
      </w:r>
      <w:proofErr w:type="spellStart"/>
      <w:r w:rsidRPr="00880780">
        <w:rPr>
          <w:rFonts w:ascii="ITC Avant Garde" w:hAnsi="ITC Avant Garde"/>
          <w:sz w:val="12"/>
          <w:lang w:val="es-ES"/>
        </w:rPr>
        <w:t>Rovalo</w:t>
      </w:r>
      <w:proofErr w:type="spellEnd"/>
      <w:r w:rsidRPr="00880780">
        <w:rPr>
          <w:rFonts w:ascii="ITC Avant Garde" w:hAnsi="ITC Avant Garde"/>
          <w:sz w:val="12"/>
          <w:lang w:val="es-ES"/>
        </w:rPr>
        <w:t xml:space="preserve">, </w:t>
      </w:r>
      <w:proofErr w:type="spellStart"/>
      <w:r w:rsidRPr="00880780">
        <w:rPr>
          <w:rFonts w:ascii="ITC Avant Garde" w:hAnsi="ITC Avant Garde"/>
          <w:sz w:val="12"/>
          <w:lang w:val="es-ES"/>
        </w:rPr>
        <w:t>Sóstenes</w:t>
      </w:r>
      <w:proofErr w:type="spellEnd"/>
      <w:r w:rsidRPr="00880780">
        <w:rPr>
          <w:rFonts w:ascii="ITC Avant Garde" w:hAnsi="ITC Avant Garde"/>
          <w:sz w:val="12"/>
          <w:lang w:val="es-ES"/>
        </w:rPr>
        <w:t xml:space="preserve"> Díaz González y Ramiro Camacho Castillo.</w:t>
      </w:r>
    </w:p>
    <w:p w14:paraId="325EF426" w14:textId="77777777" w:rsidR="00880780" w:rsidRPr="00880780" w:rsidRDefault="00880780" w:rsidP="00880780">
      <w:pPr>
        <w:spacing w:after="0" w:line="240" w:lineRule="auto"/>
        <w:jc w:val="both"/>
        <w:rPr>
          <w:rFonts w:ascii="ITC Avant Garde" w:hAnsi="ITC Avant Garde"/>
          <w:sz w:val="12"/>
          <w:lang w:val="es-ES"/>
        </w:rPr>
      </w:pPr>
    </w:p>
    <w:p w14:paraId="7FC9206E" w14:textId="77777777" w:rsidR="00880780" w:rsidRPr="00880780" w:rsidRDefault="00880780" w:rsidP="00880780">
      <w:pPr>
        <w:spacing w:after="0" w:line="240" w:lineRule="auto"/>
        <w:jc w:val="both"/>
        <w:rPr>
          <w:rFonts w:ascii="ITC Avant Garde" w:hAnsi="ITC Avant Garde"/>
          <w:sz w:val="12"/>
          <w:lang w:val="es-ES"/>
        </w:rPr>
      </w:pPr>
      <w:r w:rsidRPr="00880780">
        <w:rPr>
          <w:rFonts w:ascii="ITC Avant Garde" w:hAnsi="ITC Avant Garde"/>
          <w:sz w:val="12"/>
          <w:lang w:val="es-ES"/>
        </w:rPr>
        <w:t xml:space="preserve">En lo particular, el Comisionado Adolfo Cuevas Teja manifiesta voto en contra del Acuerdo Segundo, por lo que hace a formular el requerimiento referido en el Considerando Tercero; y en contra de los párrafos séptimo, octavo y noveno de dicho Considerando. </w:t>
      </w:r>
    </w:p>
    <w:p w14:paraId="61EE18DD" w14:textId="77777777" w:rsidR="00880780" w:rsidRPr="00880780" w:rsidRDefault="00880780" w:rsidP="00880780">
      <w:pPr>
        <w:spacing w:after="0" w:line="240" w:lineRule="auto"/>
        <w:jc w:val="both"/>
        <w:rPr>
          <w:rFonts w:ascii="ITC Avant Garde" w:hAnsi="ITC Avant Garde"/>
          <w:sz w:val="12"/>
          <w:lang w:val="es-ES"/>
        </w:rPr>
      </w:pPr>
    </w:p>
    <w:p w14:paraId="063CCEB3" w14:textId="77777777" w:rsidR="00880780" w:rsidRPr="00880780" w:rsidRDefault="00880780" w:rsidP="00880780">
      <w:pPr>
        <w:spacing w:after="0" w:line="240" w:lineRule="auto"/>
        <w:jc w:val="both"/>
        <w:rPr>
          <w:rFonts w:ascii="ITC Avant Garde" w:hAnsi="ITC Avant Garde"/>
          <w:bCs/>
          <w:sz w:val="12"/>
          <w:lang w:val="es-ES"/>
        </w:rPr>
      </w:pPr>
      <w:r w:rsidRPr="00880780">
        <w:rPr>
          <w:rFonts w:ascii="ITC Avant Garde" w:hAnsi="ITC Avant Garde"/>
          <w:sz w:val="12"/>
          <w:lang w:val="es-ES"/>
        </w:rPr>
        <w:t xml:space="preserve">Lo anterior, con fundamento en los artículos 28, </w:t>
      </w:r>
      <w:proofErr w:type="gramStart"/>
      <w:r w:rsidRPr="00880780">
        <w:rPr>
          <w:rFonts w:ascii="ITC Avant Garde" w:hAnsi="ITC Avant Garde"/>
          <w:sz w:val="12"/>
          <w:lang w:val="es-ES"/>
        </w:rPr>
        <w:t>párrafos décimo quinto</w:t>
      </w:r>
      <w:proofErr w:type="gramEnd"/>
      <w:r w:rsidRPr="00880780">
        <w:rPr>
          <w:rFonts w:ascii="ITC Avant Garde" w:hAnsi="ITC Avant Garde"/>
          <w:sz w:val="12"/>
          <w:lang w:val="es-ES"/>
        </w:rPr>
        <w:t>,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w:t>
      </w:r>
      <w:r w:rsidRPr="00880780">
        <w:rPr>
          <w:rFonts w:ascii="ITC Avant Garde" w:hAnsi="ITC Avant Garde"/>
          <w:bCs/>
          <w:sz w:val="12"/>
          <w:lang w:val="es-ES"/>
        </w:rPr>
        <w:t>P/IFT/EXT/100719/13.</w:t>
      </w:r>
    </w:p>
    <w:p w14:paraId="2B7C61A1" w14:textId="054B535A" w:rsidR="00650782" w:rsidRDefault="00650782" w:rsidP="001961D2">
      <w:pPr>
        <w:spacing w:after="0" w:line="240" w:lineRule="auto"/>
        <w:jc w:val="both"/>
        <w:rPr>
          <w:rFonts w:ascii="ITC Avant Garde" w:hAnsi="ITC Avant Garde" w:cs="Arial"/>
          <w:bCs/>
        </w:rPr>
      </w:pPr>
    </w:p>
    <w:sectPr w:rsidR="00650782" w:rsidSect="001961D2">
      <w:headerReference w:type="even" r:id="rId8"/>
      <w:footerReference w:type="default" r:id="rId9"/>
      <w:headerReference w:type="first" r:id="rId10"/>
      <w:pgSz w:w="12240" w:h="15840" w:code="1"/>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F6B90" w14:textId="77777777" w:rsidR="000D7576" w:rsidRDefault="000D7576" w:rsidP="009B28E6">
      <w:pPr>
        <w:spacing w:after="0" w:line="240" w:lineRule="auto"/>
      </w:pPr>
      <w:r>
        <w:separator/>
      </w:r>
    </w:p>
  </w:endnote>
  <w:endnote w:type="continuationSeparator" w:id="0">
    <w:p w14:paraId="470B2EBF" w14:textId="77777777" w:rsidR="000D7576" w:rsidRDefault="000D7576"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8"/>
        <w:szCs w:val="18"/>
      </w:rPr>
      <w:id w:val="-1527625860"/>
      <w:docPartObj>
        <w:docPartGallery w:val="Page Numbers (Bottom of Page)"/>
        <w:docPartUnique/>
      </w:docPartObj>
    </w:sdtPr>
    <w:sdtEndPr/>
    <w:sdtContent>
      <w:sdt>
        <w:sdtPr>
          <w:rPr>
            <w:rFonts w:ascii="ITC Avant Garde" w:hAnsi="ITC Avant Garde"/>
            <w:sz w:val="18"/>
            <w:szCs w:val="18"/>
          </w:rPr>
          <w:id w:val="-1769616900"/>
          <w:docPartObj>
            <w:docPartGallery w:val="Page Numbers (Top of Page)"/>
            <w:docPartUnique/>
          </w:docPartObj>
        </w:sdtPr>
        <w:sdtEndPr/>
        <w:sdtContent>
          <w:p w14:paraId="101F4347" w14:textId="22598133" w:rsidR="001961D2" w:rsidRPr="001961D2" w:rsidRDefault="001961D2">
            <w:pPr>
              <w:pStyle w:val="Piedepgina"/>
              <w:jc w:val="right"/>
              <w:rPr>
                <w:rFonts w:ascii="ITC Avant Garde" w:hAnsi="ITC Avant Garde"/>
                <w:sz w:val="18"/>
                <w:szCs w:val="18"/>
              </w:rPr>
            </w:pPr>
            <w:r w:rsidRPr="001961D2">
              <w:rPr>
                <w:rFonts w:ascii="ITC Avant Garde" w:hAnsi="ITC Avant Garde"/>
                <w:sz w:val="18"/>
                <w:szCs w:val="18"/>
                <w:lang w:val="es-ES"/>
              </w:rPr>
              <w:t xml:space="preserve">Página </w:t>
            </w:r>
            <w:r w:rsidRPr="001961D2">
              <w:rPr>
                <w:rFonts w:ascii="ITC Avant Garde" w:hAnsi="ITC Avant Garde"/>
                <w:bCs/>
                <w:sz w:val="18"/>
                <w:szCs w:val="18"/>
              </w:rPr>
              <w:fldChar w:fldCharType="begin"/>
            </w:r>
            <w:r w:rsidRPr="001961D2">
              <w:rPr>
                <w:rFonts w:ascii="ITC Avant Garde" w:hAnsi="ITC Avant Garde"/>
                <w:bCs/>
                <w:sz w:val="18"/>
                <w:szCs w:val="18"/>
              </w:rPr>
              <w:instrText>PAGE</w:instrText>
            </w:r>
            <w:r w:rsidRPr="001961D2">
              <w:rPr>
                <w:rFonts w:ascii="ITC Avant Garde" w:hAnsi="ITC Avant Garde"/>
                <w:bCs/>
                <w:sz w:val="18"/>
                <w:szCs w:val="18"/>
              </w:rPr>
              <w:fldChar w:fldCharType="separate"/>
            </w:r>
            <w:r w:rsidR="00880780">
              <w:rPr>
                <w:rFonts w:ascii="ITC Avant Garde" w:hAnsi="ITC Avant Garde"/>
                <w:bCs/>
                <w:noProof/>
                <w:sz w:val="18"/>
                <w:szCs w:val="18"/>
              </w:rPr>
              <w:t>8</w:t>
            </w:r>
            <w:r w:rsidRPr="001961D2">
              <w:rPr>
                <w:rFonts w:ascii="ITC Avant Garde" w:hAnsi="ITC Avant Garde"/>
                <w:bCs/>
                <w:sz w:val="18"/>
                <w:szCs w:val="18"/>
              </w:rPr>
              <w:fldChar w:fldCharType="end"/>
            </w:r>
            <w:r w:rsidRPr="001961D2">
              <w:rPr>
                <w:rFonts w:ascii="ITC Avant Garde" w:hAnsi="ITC Avant Garde"/>
                <w:sz w:val="18"/>
                <w:szCs w:val="18"/>
                <w:lang w:val="es-ES"/>
              </w:rPr>
              <w:t xml:space="preserve"> de </w:t>
            </w:r>
            <w:r w:rsidRPr="001961D2">
              <w:rPr>
                <w:rFonts w:ascii="ITC Avant Garde" w:hAnsi="ITC Avant Garde"/>
                <w:bCs/>
                <w:sz w:val="18"/>
                <w:szCs w:val="18"/>
              </w:rPr>
              <w:fldChar w:fldCharType="begin"/>
            </w:r>
            <w:r w:rsidRPr="001961D2">
              <w:rPr>
                <w:rFonts w:ascii="ITC Avant Garde" w:hAnsi="ITC Avant Garde"/>
                <w:bCs/>
                <w:sz w:val="18"/>
                <w:szCs w:val="18"/>
              </w:rPr>
              <w:instrText>NUMPAGES</w:instrText>
            </w:r>
            <w:r w:rsidRPr="001961D2">
              <w:rPr>
                <w:rFonts w:ascii="ITC Avant Garde" w:hAnsi="ITC Avant Garde"/>
                <w:bCs/>
                <w:sz w:val="18"/>
                <w:szCs w:val="18"/>
              </w:rPr>
              <w:fldChar w:fldCharType="separate"/>
            </w:r>
            <w:r w:rsidR="00880780">
              <w:rPr>
                <w:rFonts w:ascii="ITC Avant Garde" w:hAnsi="ITC Avant Garde"/>
                <w:bCs/>
                <w:noProof/>
                <w:sz w:val="18"/>
                <w:szCs w:val="18"/>
              </w:rPr>
              <w:t>9</w:t>
            </w:r>
            <w:r w:rsidRPr="001961D2">
              <w:rPr>
                <w:rFonts w:ascii="ITC Avant Garde" w:hAnsi="ITC Avant Garde"/>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AEC2B" w14:textId="77777777" w:rsidR="000D7576" w:rsidRDefault="000D7576" w:rsidP="009B28E6">
      <w:pPr>
        <w:spacing w:after="0" w:line="240" w:lineRule="auto"/>
      </w:pPr>
      <w:r>
        <w:separator/>
      </w:r>
    </w:p>
  </w:footnote>
  <w:footnote w:type="continuationSeparator" w:id="0">
    <w:p w14:paraId="503AF7C5" w14:textId="77777777" w:rsidR="000D7576" w:rsidRDefault="000D7576"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5FEB" w14:textId="77777777" w:rsidR="00717177" w:rsidRDefault="00880780">
    <w:pPr>
      <w:pStyle w:val="Encabezado"/>
    </w:pPr>
    <w:r>
      <w:rPr>
        <w:noProof/>
        <w:lang w:eastAsia="es-MX"/>
      </w:rPr>
      <w:pict w14:anchorId="59E6F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C914" w14:textId="77777777" w:rsidR="00717177" w:rsidRDefault="00880780">
    <w:pPr>
      <w:pStyle w:val="Encabezado"/>
    </w:pPr>
    <w:r>
      <w:rPr>
        <w:noProof/>
        <w:lang w:eastAsia="es-MX"/>
      </w:rPr>
      <w:pict w14:anchorId="0BAD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47B2"/>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598F"/>
    <w:rsid w:val="000665C1"/>
    <w:rsid w:val="00066945"/>
    <w:rsid w:val="00066D0C"/>
    <w:rsid w:val="000749EE"/>
    <w:rsid w:val="000758D2"/>
    <w:rsid w:val="00075FCD"/>
    <w:rsid w:val="00077880"/>
    <w:rsid w:val="000810A2"/>
    <w:rsid w:val="0008186D"/>
    <w:rsid w:val="000826C8"/>
    <w:rsid w:val="00083B34"/>
    <w:rsid w:val="000845D2"/>
    <w:rsid w:val="00084B34"/>
    <w:rsid w:val="00085909"/>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FF6"/>
    <w:rsid w:val="000A54BA"/>
    <w:rsid w:val="000A5AEC"/>
    <w:rsid w:val="000A7976"/>
    <w:rsid w:val="000B0072"/>
    <w:rsid w:val="000B0130"/>
    <w:rsid w:val="000B3A09"/>
    <w:rsid w:val="000B4430"/>
    <w:rsid w:val="000B55E8"/>
    <w:rsid w:val="000B5728"/>
    <w:rsid w:val="000B58C5"/>
    <w:rsid w:val="000B7ADF"/>
    <w:rsid w:val="000B7EA5"/>
    <w:rsid w:val="000C1D7A"/>
    <w:rsid w:val="000C2BA6"/>
    <w:rsid w:val="000C42C9"/>
    <w:rsid w:val="000C43CA"/>
    <w:rsid w:val="000C5720"/>
    <w:rsid w:val="000C58E0"/>
    <w:rsid w:val="000C773A"/>
    <w:rsid w:val="000C77C5"/>
    <w:rsid w:val="000D0A36"/>
    <w:rsid w:val="000D2394"/>
    <w:rsid w:val="000D326F"/>
    <w:rsid w:val="000D3CF9"/>
    <w:rsid w:val="000D719C"/>
    <w:rsid w:val="000D7576"/>
    <w:rsid w:val="000D7E15"/>
    <w:rsid w:val="000E0BAA"/>
    <w:rsid w:val="000E0DF7"/>
    <w:rsid w:val="000E2375"/>
    <w:rsid w:val="000E3B3C"/>
    <w:rsid w:val="000E40D0"/>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3D8"/>
    <w:rsid w:val="00104A8D"/>
    <w:rsid w:val="0010685C"/>
    <w:rsid w:val="001068F5"/>
    <w:rsid w:val="0011128D"/>
    <w:rsid w:val="0011148C"/>
    <w:rsid w:val="0011201D"/>
    <w:rsid w:val="00116AE9"/>
    <w:rsid w:val="001171CF"/>
    <w:rsid w:val="001200FA"/>
    <w:rsid w:val="0012111B"/>
    <w:rsid w:val="00122CDE"/>
    <w:rsid w:val="00123B6A"/>
    <w:rsid w:val="00124A18"/>
    <w:rsid w:val="001257ED"/>
    <w:rsid w:val="001259B9"/>
    <w:rsid w:val="00126152"/>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1A1"/>
    <w:rsid w:val="001547C5"/>
    <w:rsid w:val="001552E6"/>
    <w:rsid w:val="0015565C"/>
    <w:rsid w:val="00156C9F"/>
    <w:rsid w:val="00156D64"/>
    <w:rsid w:val="001613A7"/>
    <w:rsid w:val="001619E6"/>
    <w:rsid w:val="00163615"/>
    <w:rsid w:val="001662DB"/>
    <w:rsid w:val="001703EA"/>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1D2"/>
    <w:rsid w:val="00196DA3"/>
    <w:rsid w:val="001A0BB7"/>
    <w:rsid w:val="001A1138"/>
    <w:rsid w:val="001A26BB"/>
    <w:rsid w:val="001A2CFD"/>
    <w:rsid w:val="001A3EA3"/>
    <w:rsid w:val="001B137F"/>
    <w:rsid w:val="001B3139"/>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C90"/>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2341"/>
    <w:rsid w:val="002246B1"/>
    <w:rsid w:val="00225E4F"/>
    <w:rsid w:val="00226034"/>
    <w:rsid w:val="00226B1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56BF9"/>
    <w:rsid w:val="002606D2"/>
    <w:rsid w:val="00260CC2"/>
    <w:rsid w:val="00261B02"/>
    <w:rsid w:val="00261B5B"/>
    <w:rsid w:val="002641D2"/>
    <w:rsid w:val="00264DA7"/>
    <w:rsid w:val="00265632"/>
    <w:rsid w:val="00266AF9"/>
    <w:rsid w:val="0027105F"/>
    <w:rsid w:val="00273294"/>
    <w:rsid w:val="00273A55"/>
    <w:rsid w:val="00274117"/>
    <w:rsid w:val="00274186"/>
    <w:rsid w:val="002750A8"/>
    <w:rsid w:val="002755F9"/>
    <w:rsid w:val="002774BB"/>
    <w:rsid w:val="002809A3"/>
    <w:rsid w:val="00281276"/>
    <w:rsid w:val="00281330"/>
    <w:rsid w:val="002823AB"/>
    <w:rsid w:val="00282939"/>
    <w:rsid w:val="00283E0C"/>
    <w:rsid w:val="00284F1A"/>
    <w:rsid w:val="00286CCA"/>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6617"/>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2F7B93"/>
    <w:rsid w:val="00301729"/>
    <w:rsid w:val="003031EC"/>
    <w:rsid w:val="00303B9E"/>
    <w:rsid w:val="00304EB7"/>
    <w:rsid w:val="00310DD7"/>
    <w:rsid w:val="00311A3C"/>
    <w:rsid w:val="00311CA4"/>
    <w:rsid w:val="0031424B"/>
    <w:rsid w:val="00314A26"/>
    <w:rsid w:val="003152B2"/>
    <w:rsid w:val="00315328"/>
    <w:rsid w:val="003159B4"/>
    <w:rsid w:val="00315B54"/>
    <w:rsid w:val="00316C4E"/>
    <w:rsid w:val="00317EFD"/>
    <w:rsid w:val="003209BB"/>
    <w:rsid w:val="00321BBA"/>
    <w:rsid w:val="003238FD"/>
    <w:rsid w:val="00324258"/>
    <w:rsid w:val="003252F8"/>
    <w:rsid w:val="00325641"/>
    <w:rsid w:val="00325F15"/>
    <w:rsid w:val="00326988"/>
    <w:rsid w:val="00327F4A"/>
    <w:rsid w:val="003308D3"/>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581"/>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2E6"/>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36E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1E42"/>
    <w:rsid w:val="004C3207"/>
    <w:rsid w:val="004D00A0"/>
    <w:rsid w:val="004D2287"/>
    <w:rsid w:val="004D269F"/>
    <w:rsid w:val="004D2B4D"/>
    <w:rsid w:val="004D2F6D"/>
    <w:rsid w:val="004D3DC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651BD"/>
    <w:rsid w:val="00571BAA"/>
    <w:rsid w:val="005735A7"/>
    <w:rsid w:val="005753EC"/>
    <w:rsid w:val="00575F17"/>
    <w:rsid w:val="00575F83"/>
    <w:rsid w:val="0058038F"/>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DAD"/>
    <w:rsid w:val="005B5F22"/>
    <w:rsid w:val="005B7309"/>
    <w:rsid w:val="005B7587"/>
    <w:rsid w:val="005C1ABF"/>
    <w:rsid w:val="005C76B2"/>
    <w:rsid w:val="005D0147"/>
    <w:rsid w:val="005D09B9"/>
    <w:rsid w:val="005D1B1D"/>
    <w:rsid w:val="005D3703"/>
    <w:rsid w:val="005D3918"/>
    <w:rsid w:val="005D4C67"/>
    <w:rsid w:val="005D5CC2"/>
    <w:rsid w:val="005D62EB"/>
    <w:rsid w:val="005D6344"/>
    <w:rsid w:val="005D6687"/>
    <w:rsid w:val="005D70F4"/>
    <w:rsid w:val="005D74A3"/>
    <w:rsid w:val="005E18D2"/>
    <w:rsid w:val="005E2CCB"/>
    <w:rsid w:val="005E2E1E"/>
    <w:rsid w:val="005E3820"/>
    <w:rsid w:val="005E3D3C"/>
    <w:rsid w:val="005E5174"/>
    <w:rsid w:val="005E55A3"/>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2DD5"/>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782"/>
    <w:rsid w:val="00650C06"/>
    <w:rsid w:val="006523AE"/>
    <w:rsid w:val="00653302"/>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086"/>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1F97"/>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177"/>
    <w:rsid w:val="007175F1"/>
    <w:rsid w:val="007208BB"/>
    <w:rsid w:val="00721727"/>
    <w:rsid w:val="00721EC3"/>
    <w:rsid w:val="0072366D"/>
    <w:rsid w:val="0072394C"/>
    <w:rsid w:val="007244CA"/>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5BF"/>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3AEF"/>
    <w:rsid w:val="00824C11"/>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69CB"/>
    <w:rsid w:val="008471A1"/>
    <w:rsid w:val="00847ADF"/>
    <w:rsid w:val="00847C89"/>
    <w:rsid w:val="008539E9"/>
    <w:rsid w:val="00853D33"/>
    <w:rsid w:val="00853F40"/>
    <w:rsid w:val="00854BDB"/>
    <w:rsid w:val="00855613"/>
    <w:rsid w:val="008577EC"/>
    <w:rsid w:val="00860E82"/>
    <w:rsid w:val="00860FA9"/>
    <w:rsid w:val="00862719"/>
    <w:rsid w:val="008648FC"/>
    <w:rsid w:val="00864BEB"/>
    <w:rsid w:val="00865667"/>
    <w:rsid w:val="0086718A"/>
    <w:rsid w:val="00870CFF"/>
    <w:rsid w:val="008751B6"/>
    <w:rsid w:val="008757C8"/>
    <w:rsid w:val="00875E6F"/>
    <w:rsid w:val="0087709B"/>
    <w:rsid w:val="00880780"/>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6EC8"/>
    <w:rsid w:val="008A7F86"/>
    <w:rsid w:val="008B3E3A"/>
    <w:rsid w:val="008B4C5C"/>
    <w:rsid w:val="008B4FBA"/>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46C1A"/>
    <w:rsid w:val="00947B17"/>
    <w:rsid w:val="0095084C"/>
    <w:rsid w:val="00951F36"/>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3254"/>
    <w:rsid w:val="00984187"/>
    <w:rsid w:val="00984A53"/>
    <w:rsid w:val="00985D49"/>
    <w:rsid w:val="009864DB"/>
    <w:rsid w:val="009866E2"/>
    <w:rsid w:val="009874B6"/>
    <w:rsid w:val="009878AF"/>
    <w:rsid w:val="0099055B"/>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7BEE"/>
    <w:rsid w:val="009B7EF7"/>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3851"/>
    <w:rsid w:val="00A439DD"/>
    <w:rsid w:val="00A455E7"/>
    <w:rsid w:val="00A45F0C"/>
    <w:rsid w:val="00A46938"/>
    <w:rsid w:val="00A4788C"/>
    <w:rsid w:val="00A5264F"/>
    <w:rsid w:val="00A5286D"/>
    <w:rsid w:val="00A5347D"/>
    <w:rsid w:val="00A53CDD"/>
    <w:rsid w:val="00A54628"/>
    <w:rsid w:val="00A5647B"/>
    <w:rsid w:val="00A57828"/>
    <w:rsid w:val="00A60D81"/>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3EB4"/>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5F3"/>
    <w:rsid w:val="00AE58FF"/>
    <w:rsid w:val="00AE7279"/>
    <w:rsid w:val="00AE7419"/>
    <w:rsid w:val="00AE7DC4"/>
    <w:rsid w:val="00AF07D9"/>
    <w:rsid w:val="00AF121D"/>
    <w:rsid w:val="00AF2A13"/>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2F00"/>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54B6"/>
    <w:rsid w:val="00C16441"/>
    <w:rsid w:val="00C167B9"/>
    <w:rsid w:val="00C200DE"/>
    <w:rsid w:val="00C20229"/>
    <w:rsid w:val="00C211E0"/>
    <w:rsid w:val="00C21F54"/>
    <w:rsid w:val="00C22B66"/>
    <w:rsid w:val="00C24D08"/>
    <w:rsid w:val="00C24DE2"/>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57A4"/>
    <w:rsid w:val="00CB5D74"/>
    <w:rsid w:val="00CB6095"/>
    <w:rsid w:val="00CB61F4"/>
    <w:rsid w:val="00CB669B"/>
    <w:rsid w:val="00CC08A8"/>
    <w:rsid w:val="00CC18B8"/>
    <w:rsid w:val="00CC278D"/>
    <w:rsid w:val="00CC3D6C"/>
    <w:rsid w:val="00CC48CB"/>
    <w:rsid w:val="00CC53D5"/>
    <w:rsid w:val="00CC5B8C"/>
    <w:rsid w:val="00CC6314"/>
    <w:rsid w:val="00CC6C46"/>
    <w:rsid w:val="00CC718B"/>
    <w:rsid w:val="00CD0204"/>
    <w:rsid w:val="00CD1C98"/>
    <w:rsid w:val="00CD357B"/>
    <w:rsid w:val="00CD3FE7"/>
    <w:rsid w:val="00CD4D2B"/>
    <w:rsid w:val="00CD5C65"/>
    <w:rsid w:val="00CD6B0E"/>
    <w:rsid w:val="00CD760F"/>
    <w:rsid w:val="00CE05E3"/>
    <w:rsid w:val="00CE1208"/>
    <w:rsid w:val="00CE24C3"/>
    <w:rsid w:val="00CE41B7"/>
    <w:rsid w:val="00CE479D"/>
    <w:rsid w:val="00CE5FEE"/>
    <w:rsid w:val="00CE6146"/>
    <w:rsid w:val="00CE7282"/>
    <w:rsid w:val="00CE735C"/>
    <w:rsid w:val="00CF13EB"/>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BC0"/>
    <w:rsid w:val="00D45CD9"/>
    <w:rsid w:val="00D46420"/>
    <w:rsid w:val="00D474D2"/>
    <w:rsid w:val="00D475D5"/>
    <w:rsid w:val="00D50869"/>
    <w:rsid w:val="00D50EFC"/>
    <w:rsid w:val="00D5303F"/>
    <w:rsid w:val="00D53CD7"/>
    <w:rsid w:val="00D55E2A"/>
    <w:rsid w:val="00D56557"/>
    <w:rsid w:val="00D57636"/>
    <w:rsid w:val="00D604B7"/>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682"/>
    <w:rsid w:val="00DB0AB5"/>
    <w:rsid w:val="00DB0DEC"/>
    <w:rsid w:val="00DB4E99"/>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0C"/>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109E"/>
    <w:rsid w:val="00E745D3"/>
    <w:rsid w:val="00E762D1"/>
    <w:rsid w:val="00E772A1"/>
    <w:rsid w:val="00E7743D"/>
    <w:rsid w:val="00E776AF"/>
    <w:rsid w:val="00E77804"/>
    <w:rsid w:val="00E77B5F"/>
    <w:rsid w:val="00E77BD8"/>
    <w:rsid w:val="00E80586"/>
    <w:rsid w:val="00E835D7"/>
    <w:rsid w:val="00E85D4C"/>
    <w:rsid w:val="00E85EF0"/>
    <w:rsid w:val="00E86374"/>
    <w:rsid w:val="00E863B4"/>
    <w:rsid w:val="00E868DA"/>
    <w:rsid w:val="00E91972"/>
    <w:rsid w:val="00E925A6"/>
    <w:rsid w:val="00E9300B"/>
    <w:rsid w:val="00E93140"/>
    <w:rsid w:val="00E93D63"/>
    <w:rsid w:val="00E94A9F"/>
    <w:rsid w:val="00E94C8E"/>
    <w:rsid w:val="00E95891"/>
    <w:rsid w:val="00E95EC0"/>
    <w:rsid w:val="00E96D55"/>
    <w:rsid w:val="00EA0832"/>
    <w:rsid w:val="00EA1EFD"/>
    <w:rsid w:val="00EA30FF"/>
    <w:rsid w:val="00EA3622"/>
    <w:rsid w:val="00EA394A"/>
    <w:rsid w:val="00EA4445"/>
    <w:rsid w:val="00EA52DF"/>
    <w:rsid w:val="00EA5573"/>
    <w:rsid w:val="00EA5B11"/>
    <w:rsid w:val="00EA5E34"/>
    <w:rsid w:val="00EA655A"/>
    <w:rsid w:val="00EA6D1B"/>
    <w:rsid w:val="00EA73E5"/>
    <w:rsid w:val="00EA7D9C"/>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5AF7"/>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401D9"/>
    <w:rsid w:val="00F40616"/>
    <w:rsid w:val="00F41873"/>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2F9"/>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3DC4"/>
    <w:rsid w:val="00F841F0"/>
    <w:rsid w:val="00F86CBE"/>
    <w:rsid w:val="00F90E00"/>
    <w:rsid w:val="00F9106B"/>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0F2"/>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44B"/>
    <w:rsid w:val="00FF2BD9"/>
    <w:rsid w:val="00FF2E84"/>
    <w:rsid w:val="00FF3AB7"/>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280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 w:type="paragraph" w:customStyle="1" w:styleId="IFTnormal">
    <w:name w:val="IFT normal"/>
    <w:basedOn w:val="Normal"/>
    <w:link w:val="IFTnormalCar"/>
    <w:qFormat/>
    <w:rsid w:val="00FC20F2"/>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FC20F2"/>
    <w:rPr>
      <w:rFonts w:ascii="ITC Avant Garde" w:hAnsi="ITC Avant Garde" w:cs="Arial"/>
      <w:color w:val="000000"/>
      <w:sz w:val="22"/>
      <w:szCs w:val="22"/>
      <w:lang w:val="es-ES_tradnl" w:eastAsia="es-ES"/>
    </w:rPr>
  </w:style>
  <w:style w:type="paragraph" w:customStyle="1" w:styleId="NormalDGDTR">
    <w:name w:val="Normal DGDTR"/>
    <w:basedOn w:val="Normal"/>
    <w:link w:val="NormalDGDTRCar"/>
    <w:qFormat/>
    <w:rsid w:val="008B4FBA"/>
    <w:pPr>
      <w:jc w:val="both"/>
    </w:pPr>
    <w:rPr>
      <w:rFonts w:ascii="ITC Avant Garde" w:hAnsi="ITC Avant Garde" w:cs="Arial"/>
      <w:color w:val="000000"/>
      <w:lang w:val="es-ES_tradnl" w:eastAsia="es-ES"/>
    </w:rPr>
  </w:style>
  <w:style w:type="character" w:customStyle="1" w:styleId="NormalDGDTRCar">
    <w:name w:val="Normal DGDTR Car"/>
    <w:basedOn w:val="Fuentedeprrafopredeter"/>
    <w:link w:val="NormalDGDTR"/>
    <w:qFormat/>
    <w:rsid w:val="008B4FBA"/>
    <w:rPr>
      <w:rFonts w:ascii="ITC Avant Garde" w:hAnsi="ITC Avant Garde" w:cs="Arial"/>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45587402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468739521">
      <w:bodyDiv w:val="1"/>
      <w:marLeft w:val="0"/>
      <w:marRight w:val="0"/>
      <w:marTop w:val="0"/>
      <w:marBottom w:val="0"/>
      <w:divBdr>
        <w:top w:val="none" w:sz="0" w:space="0" w:color="auto"/>
        <w:left w:val="none" w:sz="0" w:space="0" w:color="auto"/>
        <w:bottom w:val="none" w:sz="0" w:space="0" w:color="auto"/>
        <w:right w:val="none" w:sz="0" w:space="0" w:color="auto"/>
      </w:divBdr>
    </w:div>
    <w:div w:id="1809778680">
      <w:bodyDiv w:val="1"/>
      <w:marLeft w:val="0"/>
      <w:marRight w:val="0"/>
      <w:marTop w:val="0"/>
      <w:marBottom w:val="0"/>
      <w:divBdr>
        <w:top w:val="none" w:sz="0" w:space="0" w:color="auto"/>
        <w:left w:val="none" w:sz="0" w:space="0" w:color="auto"/>
        <w:bottom w:val="none" w:sz="0" w:space="0" w:color="auto"/>
        <w:right w:val="none" w:sz="0" w:space="0" w:color="auto"/>
      </w:divBdr>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D4D58-9D03-4A46-9A86-0863993E5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3162</Words>
  <Characters>17393</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20514</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Oscar Adrian Briones Medina</cp:lastModifiedBy>
  <cp:revision>5</cp:revision>
  <cp:lastPrinted>2018-07-10T22:20:00Z</cp:lastPrinted>
  <dcterms:created xsi:type="dcterms:W3CDTF">2019-07-10T23:23:00Z</dcterms:created>
  <dcterms:modified xsi:type="dcterms:W3CDTF">2019-07-12T16:36:00Z</dcterms:modified>
</cp:coreProperties>
</file>