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743F6" w14:textId="77777777" w:rsidR="005A6DBC" w:rsidRPr="00EE46D9" w:rsidRDefault="005A6DBC" w:rsidP="005A6DBC">
      <w:pPr>
        <w:jc w:val="both"/>
        <w:rPr>
          <w:rFonts w:ascii="ITC Avant Garde" w:eastAsia="Times New Roman" w:hAnsi="ITC Avant Garde" w:cs="Tahoma"/>
          <w:b/>
          <w:bCs/>
          <w:color w:val="000000"/>
          <w:sz w:val="20"/>
          <w:szCs w:val="20"/>
          <w:lang w:val="es-ES_tradnl" w:eastAsia="es-MX"/>
        </w:rPr>
      </w:pPr>
      <w:r w:rsidRPr="00EE46D9">
        <w:rPr>
          <w:rFonts w:ascii="ITC Avant Garde" w:eastAsia="Times New Roman" w:hAnsi="ITC Avant Garde" w:cs="Tahoma"/>
          <w:b/>
          <w:bCs/>
          <w:color w:val="000000"/>
          <w:sz w:val="20"/>
          <w:szCs w:val="20"/>
          <w:lang w:val="es-ES_tradnl" w:eastAsia="es-MX"/>
        </w:rPr>
        <w:t xml:space="preserve">ACUERDO MEDIANTE EL CUAL EL PLENO DEL INSTITUTO FEDERAL DE TELECOMUNICACIONES EMITE LOS FORMATOS QUE DEBERÁN UTILIZARSE PARA REALIZAR DIVERSOS TRÁMITES Y SERVICIOS ANTE EL INSTITUTO </w:t>
      </w:r>
      <w:r w:rsidR="001E62DC">
        <w:rPr>
          <w:rFonts w:ascii="ITC Avant Garde" w:eastAsia="Times New Roman" w:hAnsi="ITC Avant Garde" w:cs="Tahoma"/>
          <w:b/>
          <w:bCs/>
          <w:color w:val="000000"/>
          <w:sz w:val="20"/>
          <w:szCs w:val="20"/>
          <w:lang w:val="es-ES_tradnl" w:eastAsia="es-MX"/>
        </w:rPr>
        <w:t>FEDERAL DE TELECOMUNICACIONES</w:t>
      </w:r>
    </w:p>
    <w:p w14:paraId="6D76ED4F" w14:textId="77777777" w:rsidR="005A6DBC" w:rsidRPr="00EE46D9" w:rsidRDefault="005A6DBC" w:rsidP="005A6DBC">
      <w:pPr>
        <w:jc w:val="both"/>
        <w:rPr>
          <w:rFonts w:ascii="ITC Avant Garde" w:hAnsi="ITC Avant Garde" w:cs="Tahoma"/>
          <w:b/>
          <w:bCs/>
          <w:color w:val="000000"/>
          <w:sz w:val="22"/>
          <w:szCs w:val="22"/>
          <w:lang w:val="es-ES_tradnl" w:eastAsia="es-MX"/>
        </w:rPr>
      </w:pPr>
    </w:p>
    <w:p w14:paraId="067AF1B4" w14:textId="77777777" w:rsidR="005A6DBC" w:rsidRPr="00EE46D9" w:rsidRDefault="005A6DBC" w:rsidP="005A6DBC">
      <w:pPr>
        <w:jc w:val="both"/>
        <w:rPr>
          <w:rFonts w:ascii="ITC Avant Garde" w:hAnsi="ITC Avant Garde" w:cs="Tahoma"/>
          <w:b/>
          <w:bCs/>
          <w:color w:val="000000"/>
          <w:sz w:val="22"/>
          <w:szCs w:val="22"/>
          <w:lang w:val="es-ES_tradnl" w:eastAsia="es-MX"/>
        </w:rPr>
      </w:pPr>
    </w:p>
    <w:p w14:paraId="35973F90" w14:textId="77777777" w:rsidR="005A6DBC" w:rsidRPr="00EE46D9" w:rsidRDefault="005A6DBC" w:rsidP="005A6DBC">
      <w:pPr>
        <w:ind w:left="709"/>
        <w:outlineLvl w:val="1"/>
        <w:rPr>
          <w:rFonts w:ascii="ITC Avant Garde" w:eastAsia="Times New Roman" w:hAnsi="ITC Avant Garde" w:cs="Arial"/>
          <w:b/>
          <w:bCs/>
          <w:sz w:val="22"/>
          <w:szCs w:val="22"/>
          <w:lang w:val="uz-Cyrl-UZ"/>
        </w:rPr>
      </w:pPr>
      <w:r w:rsidRPr="00EE46D9">
        <w:rPr>
          <w:rFonts w:ascii="ITC Avant Garde" w:eastAsia="Times New Roman" w:hAnsi="ITC Avant Garde" w:cs="Arial"/>
          <w:b/>
          <w:bCs/>
          <w:sz w:val="22"/>
          <w:szCs w:val="22"/>
          <w:lang w:val="uz-Cyrl-UZ"/>
        </w:rPr>
        <w:t>A N T E C E D E N T E S</w:t>
      </w:r>
    </w:p>
    <w:p w14:paraId="066E417F" w14:textId="77777777" w:rsidR="005A6DBC" w:rsidRPr="00EE46D9" w:rsidRDefault="005A6DBC" w:rsidP="005A6DBC">
      <w:pPr>
        <w:pStyle w:val="ANOTACION"/>
        <w:spacing w:before="0" w:after="0" w:line="240" w:lineRule="auto"/>
        <w:ind w:left="426" w:hanging="426"/>
        <w:rPr>
          <w:rFonts w:ascii="ITC Avant Garde" w:hAnsi="ITC Avant Garde" w:cs="Arial"/>
          <w:bCs/>
          <w:sz w:val="22"/>
          <w:szCs w:val="22"/>
          <w:lang w:eastAsia="es-MX"/>
        </w:rPr>
      </w:pPr>
    </w:p>
    <w:p w14:paraId="4ED351DE" w14:textId="77777777" w:rsidR="005A6DBC" w:rsidRPr="00EE46D9" w:rsidRDefault="005A6DBC" w:rsidP="005A6DBC">
      <w:pPr>
        <w:pStyle w:val="ANOTACION"/>
        <w:spacing w:before="0" w:after="0" w:line="240" w:lineRule="auto"/>
        <w:ind w:left="426" w:hanging="426"/>
        <w:rPr>
          <w:rFonts w:ascii="ITC Avant Garde" w:hAnsi="ITC Avant Garde" w:cs="Arial"/>
          <w:bCs/>
          <w:sz w:val="22"/>
          <w:szCs w:val="22"/>
          <w:lang w:eastAsia="es-MX"/>
        </w:rPr>
      </w:pPr>
    </w:p>
    <w:p w14:paraId="1BF89C59" w14:textId="77777777" w:rsidR="005A6DBC" w:rsidRPr="00EE46D9" w:rsidRDefault="005A6DBC" w:rsidP="005A6DBC">
      <w:pPr>
        <w:pStyle w:val="ROMANOS"/>
        <w:numPr>
          <w:ilvl w:val="0"/>
          <w:numId w:val="1"/>
        </w:numPr>
        <w:spacing w:after="0" w:line="240" w:lineRule="auto"/>
        <w:ind w:left="426" w:hanging="426"/>
        <w:rPr>
          <w:rFonts w:ascii="ITC Avant Garde" w:hAnsi="ITC Avant Garde"/>
          <w:bCs/>
          <w:sz w:val="20"/>
          <w:szCs w:val="20"/>
          <w:lang w:val="es-ES_tradnl" w:eastAsia="es-MX"/>
        </w:rPr>
      </w:pPr>
      <w:r>
        <w:rPr>
          <w:rFonts w:ascii="ITC Avant Garde" w:hAnsi="ITC Avant Garde"/>
          <w:b/>
          <w:bCs/>
          <w:sz w:val="20"/>
          <w:szCs w:val="20"/>
          <w:lang w:val="es-ES_tradnl" w:eastAsia="es-MX"/>
        </w:rPr>
        <w:t>Decreto de Reforma Constitucional.</w:t>
      </w:r>
      <w:r w:rsidRPr="00EE46D9">
        <w:rPr>
          <w:rFonts w:ascii="ITC Avant Garde" w:hAnsi="ITC Avant Garde"/>
          <w:bCs/>
          <w:sz w:val="20"/>
          <w:szCs w:val="20"/>
          <w:lang w:val="es-ES_tradnl" w:eastAsia="es-MX"/>
        </w:rPr>
        <w:t xml:space="preserve"> El 11 de junio de 2013, se publicó en el Diario Oficial de la Federación (en lo sucesivo, el “DOF”) el </w:t>
      </w:r>
      <w:r w:rsidRPr="00762283">
        <w:rPr>
          <w:rFonts w:ascii="ITC Avant Garde" w:hAnsi="ITC Avant Garde"/>
          <w:bCs/>
          <w:sz w:val="20"/>
          <w:szCs w:val="20"/>
          <w:lang w:val="es-ES_tradnl" w:eastAsia="es-MX"/>
        </w:rPr>
        <w:t>"Decreto por el que se reforman y adicionan diversas disposiciones de los artículos 6o., 7o., 27, 28, 73, 78, 94 y 105 de la Constitución Política de los Estados Unidos Mexicanos, en materia de telecomunicaciones"</w:t>
      </w:r>
      <w:r w:rsidRPr="00EE46D9">
        <w:rPr>
          <w:rFonts w:ascii="ITC Avant Garde" w:hAnsi="ITC Avant Garde"/>
          <w:bCs/>
          <w:sz w:val="20"/>
          <w:szCs w:val="20"/>
          <w:lang w:val="es-ES_tradnl" w:eastAsia="es-MX"/>
        </w:rPr>
        <w:t>, mediante el cual se creó el Instituto Federal de Telecomunicaciones (en lo sucesivo, el "Instituto"), como un órgano autónomo con personalidad jurídica y patrimonio propios.</w:t>
      </w:r>
    </w:p>
    <w:p w14:paraId="2B92CEFC" w14:textId="77777777" w:rsidR="005A6DBC" w:rsidRPr="00EE46D9" w:rsidRDefault="005A6DBC" w:rsidP="005A6DBC">
      <w:pPr>
        <w:pStyle w:val="ROMANOS"/>
        <w:spacing w:after="0" w:line="240" w:lineRule="auto"/>
        <w:ind w:left="426" w:firstLine="0"/>
        <w:rPr>
          <w:rFonts w:ascii="ITC Avant Garde" w:hAnsi="ITC Avant Garde"/>
          <w:bCs/>
          <w:sz w:val="20"/>
          <w:szCs w:val="20"/>
          <w:lang w:val="es-ES_tradnl" w:eastAsia="es-MX"/>
        </w:rPr>
      </w:pPr>
    </w:p>
    <w:p w14:paraId="3A1B6C6B" w14:textId="77777777" w:rsidR="005A6DBC" w:rsidRPr="00EE46D9" w:rsidRDefault="005A6DBC" w:rsidP="005A6DBC">
      <w:pPr>
        <w:pStyle w:val="ROMANOS"/>
        <w:numPr>
          <w:ilvl w:val="0"/>
          <w:numId w:val="1"/>
        </w:numPr>
        <w:spacing w:after="0" w:line="240" w:lineRule="auto"/>
        <w:ind w:left="426" w:hanging="426"/>
        <w:rPr>
          <w:rFonts w:ascii="ITC Avant Garde" w:hAnsi="ITC Avant Garde"/>
          <w:bCs/>
          <w:sz w:val="20"/>
          <w:szCs w:val="22"/>
          <w:lang w:val="es-ES_tradnl" w:eastAsia="es-MX"/>
        </w:rPr>
      </w:pPr>
      <w:r>
        <w:rPr>
          <w:rFonts w:ascii="ITC Avant Garde" w:hAnsi="ITC Avant Garde"/>
          <w:b/>
          <w:bCs/>
          <w:sz w:val="20"/>
          <w:szCs w:val="22"/>
          <w:lang w:val="es-ES_tradnl" w:eastAsia="es-MX"/>
        </w:rPr>
        <w:t>Lineamientos Generales.</w:t>
      </w:r>
      <w:r w:rsidRPr="00EE46D9">
        <w:rPr>
          <w:rFonts w:ascii="ITC Avant Garde" w:hAnsi="ITC Avant Garde"/>
          <w:bCs/>
          <w:sz w:val="20"/>
          <w:szCs w:val="22"/>
          <w:lang w:val="es-ES_tradnl" w:eastAsia="es-MX"/>
        </w:rPr>
        <w:t xml:space="preserve"> El 27 de febrero de 2014, se publicó en el DOF el </w:t>
      </w:r>
      <w:r w:rsidRPr="00762283">
        <w:rPr>
          <w:rFonts w:ascii="ITC Avant Garde" w:hAnsi="ITC Avant Garde"/>
          <w:bCs/>
          <w:sz w:val="20"/>
          <w:szCs w:val="22"/>
          <w:lang w:val="es-ES_tradnl" w:eastAsia="es-MX"/>
        </w:rPr>
        <w:t>“Acuerdo mediante el cual el Pleno del Instituto Federal de Telecomunicaciones emite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EE46D9">
        <w:rPr>
          <w:rFonts w:ascii="ITC Avant Garde" w:hAnsi="ITC Avant Garde"/>
          <w:bCs/>
          <w:i/>
          <w:sz w:val="20"/>
          <w:szCs w:val="22"/>
          <w:lang w:val="es-ES_tradnl" w:eastAsia="es-MX"/>
        </w:rPr>
        <w:t xml:space="preserve"> </w:t>
      </w:r>
      <w:r w:rsidRPr="00EE46D9">
        <w:rPr>
          <w:rFonts w:ascii="ITC Avant Garde" w:hAnsi="ITC Avant Garde"/>
          <w:bCs/>
          <w:sz w:val="20"/>
          <w:szCs w:val="22"/>
          <w:lang w:val="es-ES_tradnl" w:eastAsia="es-MX"/>
        </w:rPr>
        <w:t>(en lo sucesivo, los “Lineamientos Generales”),</w:t>
      </w:r>
      <w:r w:rsidRPr="00EE46D9">
        <w:rPr>
          <w:rFonts w:ascii="ITC Avant Garde" w:hAnsi="ITC Avant Garde"/>
          <w:bCs/>
          <w:i/>
          <w:sz w:val="20"/>
          <w:szCs w:val="22"/>
          <w:lang w:val="es-ES_tradnl" w:eastAsia="es-MX"/>
        </w:rPr>
        <w:t xml:space="preserve"> </w:t>
      </w:r>
      <w:r w:rsidRPr="00EE46D9">
        <w:rPr>
          <w:rFonts w:ascii="ITC Avant Garde" w:hAnsi="ITC Avant Garde"/>
          <w:bCs/>
          <w:sz w:val="20"/>
          <w:szCs w:val="22"/>
          <w:lang w:val="es-ES_tradnl" w:eastAsia="es-MX"/>
        </w:rPr>
        <w:t>el cual conforme a su artículo Primero Transitorio, salvo por lo establecido en su artículo Segundo Transitorio, entró en vigor a los quince días naturales siguientes de su publicación en el DOF, esto es, el 14 de marzo de 2014.</w:t>
      </w:r>
    </w:p>
    <w:p w14:paraId="491B1AAA" w14:textId="77777777" w:rsidR="005A6DBC" w:rsidRPr="00EE46D9" w:rsidRDefault="005A6DBC" w:rsidP="005A6DBC">
      <w:pPr>
        <w:pStyle w:val="ROMANOS"/>
        <w:spacing w:after="0" w:line="240" w:lineRule="auto"/>
        <w:ind w:left="0" w:firstLine="0"/>
        <w:rPr>
          <w:rFonts w:ascii="ITC Avant Garde" w:hAnsi="ITC Avant Garde"/>
          <w:bCs/>
          <w:sz w:val="20"/>
          <w:szCs w:val="22"/>
          <w:lang w:val="es-ES_tradnl" w:eastAsia="es-MX"/>
        </w:rPr>
      </w:pPr>
    </w:p>
    <w:p w14:paraId="2FDAC4C6" w14:textId="77777777" w:rsidR="005A6DBC" w:rsidRPr="00EE46D9" w:rsidRDefault="005A6DBC" w:rsidP="005A6DBC">
      <w:pPr>
        <w:pStyle w:val="Prrafodelista"/>
        <w:numPr>
          <w:ilvl w:val="0"/>
          <w:numId w:val="1"/>
        </w:numPr>
        <w:ind w:left="426" w:hanging="426"/>
        <w:jc w:val="both"/>
        <w:rPr>
          <w:rFonts w:ascii="ITC Avant Garde" w:hAnsi="ITC Avant Garde" w:cs="Arial"/>
          <w:bCs/>
          <w:sz w:val="20"/>
          <w:szCs w:val="22"/>
          <w:lang w:val="es-ES_tradnl" w:eastAsia="es-MX"/>
        </w:rPr>
      </w:pPr>
      <w:r w:rsidRPr="00AA58AF">
        <w:rPr>
          <w:rFonts w:ascii="ITC Avant Garde" w:hAnsi="ITC Avant Garde" w:cs="Arial"/>
          <w:b/>
          <w:bCs/>
          <w:sz w:val="20"/>
          <w:szCs w:val="22"/>
          <w:lang w:val="es-ES_tradnl" w:eastAsia="es-MX"/>
        </w:rPr>
        <w:t>Ley Federal de Competencia Económica</w:t>
      </w:r>
      <w:r w:rsidRPr="001717A4">
        <w:rPr>
          <w:rFonts w:ascii="ITC Avant Garde" w:hAnsi="ITC Avant Garde" w:cs="Arial"/>
          <w:b/>
          <w:bCs/>
          <w:sz w:val="20"/>
          <w:szCs w:val="22"/>
          <w:lang w:val="es-ES_tradnl" w:eastAsia="es-MX"/>
        </w:rPr>
        <w:t>.</w:t>
      </w:r>
      <w:r w:rsidRPr="00EE46D9">
        <w:rPr>
          <w:rFonts w:ascii="ITC Avant Garde" w:hAnsi="ITC Avant Garde" w:cs="Arial"/>
          <w:bCs/>
          <w:sz w:val="20"/>
          <w:szCs w:val="22"/>
          <w:lang w:val="es-ES_tradnl" w:eastAsia="es-MX"/>
        </w:rPr>
        <w:t xml:space="preserve"> El 23 de mayo de 2014, se publicó en el DOF la </w:t>
      </w:r>
      <w:r w:rsidRPr="00762283">
        <w:rPr>
          <w:rFonts w:ascii="ITC Avant Garde" w:hAnsi="ITC Avant Garde" w:cs="Arial"/>
          <w:bCs/>
          <w:sz w:val="20"/>
          <w:szCs w:val="22"/>
          <w:lang w:val="es-ES_tradnl" w:eastAsia="es-MX"/>
        </w:rPr>
        <w:t>“Ley Federal de Competencia Económica”</w:t>
      </w:r>
      <w:r w:rsidRPr="00EE46D9">
        <w:rPr>
          <w:rFonts w:ascii="ITC Avant Garde" w:hAnsi="ITC Avant Garde" w:cs="Arial"/>
          <w:bCs/>
          <w:sz w:val="20"/>
          <w:szCs w:val="22"/>
          <w:lang w:val="es-ES_tradnl" w:eastAsia="es-MX"/>
        </w:rPr>
        <w:t xml:space="preserve"> (en lo sucesivo, la “LFCE”), la cual señala en su artículo 5 que el Instituto será la autoridad en materia de competencia económica de los sectores de radiodifusión y telecomunicaciones, por lo que en éstos ejercerá en forma exclusiva las facultades que el artículo 28 de la Constitución Política de los Estados Unidos Mexicanos (en lo sucesivo, la “Constitución”) y las leyes establecen para la Comisión Federal de Competencia Económica.</w:t>
      </w:r>
    </w:p>
    <w:p w14:paraId="76BBB1AC" w14:textId="77777777" w:rsidR="005A6DBC" w:rsidRPr="00EE46D9" w:rsidRDefault="005A6DBC" w:rsidP="005A6DBC">
      <w:pPr>
        <w:pStyle w:val="Prrafodelista"/>
        <w:ind w:left="426" w:hanging="426"/>
        <w:jc w:val="both"/>
        <w:rPr>
          <w:rFonts w:ascii="ITC Avant Garde" w:hAnsi="ITC Avant Garde" w:cs="Arial"/>
          <w:bCs/>
          <w:sz w:val="20"/>
          <w:szCs w:val="22"/>
          <w:lang w:val="es-ES_tradnl" w:eastAsia="es-MX"/>
        </w:rPr>
      </w:pPr>
    </w:p>
    <w:p w14:paraId="199C1A35" w14:textId="77777777" w:rsidR="005A6DBC" w:rsidRPr="00EE46D9" w:rsidRDefault="005A6DBC" w:rsidP="005A6DBC">
      <w:pPr>
        <w:pStyle w:val="ROMANOS"/>
        <w:numPr>
          <w:ilvl w:val="0"/>
          <w:numId w:val="1"/>
        </w:numPr>
        <w:spacing w:after="0" w:line="240" w:lineRule="auto"/>
        <w:ind w:left="426" w:hanging="426"/>
        <w:rPr>
          <w:rFonts w:ascii="ITC Avant Garde" w:hAnsi="ITC Avant Garde"/>
          <w:bCs/>
          <w:sz w:val="20"/>
          <w:szCs w:val="22"/>
          <w:lang w:val="es-ES_tradnl" w:eastAsia="es-MX"/>
        </w:rPr>
      </w:pPr>
      <w:r>
        <w:rPr>
          <w:rFonts w:ascii="ITC Avant Garde" w:hAnsi="ITC Avant Garde"/>
          <w:b/>
          <w:bCs/>
          <w:sz w:val="20"/>
          <w:szCs w:val="22"/>
          <w:lang w:val="es-ES_tradnl" w:eastAsia="es-MX"/>
        </w:rPr>
        <w:t>Decreto de Ley.</w:t>
      </w:r>
      <w:r w:rsidRPr="00EE46D9">
        <w:rPr>
          <w:rFonts w:ascii="ITC Avant Garde" w:hAnsi="ITC Avant Garde"/>
          <w:bCs/>
          <w:sz w:val="20"/>
          <w:szCs w:val="22"/>
          <w:lang w:val="es-ES_tradnl" w:eastAsia="es-MX"/>
        </w:rPr>
        <w:t xml:space="preserve"> El 14 de julio de 2014, fue publicado en el DOF el </w:t>
      </w:r>
      <w:r w:rsidRPr="00762283">
        <w:rPr>
          <w:rFonts w:ascii="ITC Avant Garde" w:hAnsi="ITC Avant Garde"/>
          <w:bCs/>
          <w:sz w:val="20"/>
          <w:szCs w:val="22"/>
          <w:lang w:val="es-ES_tradnl"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EE46D9">
        <w:rPr>
          <w:rFonts w:ascii="ITC Avant Garde" w:hAnsi="ITC Avant Garde"/>
          <w:bCs/>
          <w:sz w:val="20"/>
          <w:szCs w:val="22"/>
          <w:lang w:val="es-ES_tradnl" w:eastAsia="es-MX"/>
        </w:rPr>
        <w:t>, el cual en términos de lo dispuesto por su artículo Primero Transitorio, entró en vigor a los treinta días naturales siguientes de su publicación en el DOF, esto es el 13 de agosto de 2014.</w:t>
      </w:r>
    </w:p>
    <w:p w14:paraId="14A62D83" w14:textId="77777777" w:rsidR="005A6DBC" w:rsidRPr="00EE46D9" w:rsidRDefault="005A6DBC" w:rsidP="005A6DBC">
      <w:pPr>
        <w:pStyle w:val="ROMANOS"/>
        <w:spacing w:after="0" w:line="240" w:lineRule="auto"/>
        <w:ind w:left="0" w:firstLine="0"/>
        <w:rPr>
          <w:rFonts w:ascii="ITC Avant Garde" w:hAnsi="ITC Avant Garde"/>
          <w:bCs/>
          <w:sz w:val="20"/>
          <w:szCs w:val="22"/>
          <w:lang w:val="es-ES_tradnl" w:eastAsia="es-MX"/>
        </w:rPr>
      </w:pPr>
    </w:p>
    <w:p w14:paraId="462CAE4A" w14:textId="77777777" w:rsidR="005A6DBC" w:rsidRPr="00EE46D9" w:rsidRDefault="005A6DBC" w:rsidP="005A6DBC">
      <w:pPr>
        <w:pStyle w:val="ROMANOS"/>
        <w:numPr>
          <w:ilvl w:val="0"/>
          <w:numId w:val="1"/>
        </w:numPr>
        <w:tabs>
          <w:tab w:val="clear" w:pos="720"/>
        </w:tabs>
        <w:spacing w:after="0" w:line="240" w:lineRule="auto"/>
        <w:ind w:left="426" w:hanging="426"/>
        <w:rPr>
          <w:rFonts w:ascii="ITC Avant Garde" w:hAnsi="ITC Avant Garde"/>
          <w:bCs/>
          <w:sz w:val="20"/>
          <w:szCs w:val="22"/>
          <w:lang w:val="es-ES_tradnl" w:eastAsia="es-MX"/>
        </w:rPr>
      </w:pPr>
      <w:r w:rsidRPr="00B45396">
        <w:rPr>
          <w:rFonts w:ascii="ITC Avant Garde" w:hAnsi="ITC Avant Garde"/>
          <w:b/>
          <w:bCs/>
          <w:sz w:val="20"/>
          <w:szCs w:val="22"/>
          <w:lang w:val="es-ES_tradnl" w:eastAsia="es-MX"/>
        </w:rPr>
        <w:t>Estatuto Orgánico</w:t>
      </w:r>
      <w:r>
        <w:rPr>
          <w:rFonts w:ascii="ITC Avant Garde" w:hAnsi="ITC Avant Garde"/>
          <w:b/>
          <w:bCs/>
          <w:sz w:val="20"/>
          <w:szCs w:val="22"/>
          <w:lang w:val="es-ES_tradnl" w:eastAsia="es-MX"/>
        </w:rPr>
        <w:t>.</w:t>
      </w:r>
      <w:r w:rsidRPr="00EE46D9">
        <w:rPr>
          <w:rFonts w:ascii="ITC Avant Garde" w:hAnsi="ITC Avant Garde"/>
          <w:bCs/>
          <w:sz w:val="20"/>
          <w:szCs w:val="22"/>
          <w:lang w:val="es-ES_tradnl" w:eastAsia="es-MX"/>
        </w:rPr>
        <w:t xml:space="preserve"> El 4 de septiembre de 2014, se publicó en el DOF el </w:t>
      </w:r>
      <w:r w:rsidRPr="00762283">
        <w:rPr>
          <w:rFonts w:ascii="ITC Avant Garde" w:hAnsi="ITC Avant Garde"/>
          <w:bCs/>
          <w:sz w:val="20"/>
          <w:szCs w:val="22"/>
          <w:lang w:val="es-ES_tradnl" w:eastAsia="es-MX"/>
        </w:rPr>
        <w:t>"Estatuto Orgánico del Instituto Federal de Telecomunicaciones"</w:t>
      </w:r>
      <w:r w:rsidRPr="00EE46D9">
        <w:rPr>
          <w:rFonts w:ascii="ITC Avant Garde" w:hAnsi="ITC Avant Garde"/>
          <w:bCs/>
          <w:sz w:val="20"/>
          <w:szCs w:val="22"/>
          <w:lang w:val="es-ES_tradnl" w:eastAsia="es-MX"/>
        </w:rPr>
        <w:t xml:space="preserve"> (en lo sucesivo, el "Estatuto"), </w:t>
      </w:r>
      <w:r w:rsidR="000616E7">
        <w:rPr>
          <w:rFonts w:ascii="ITC Avant Garde" w:hAnsi="ITC Avant Garde"/>
          <w:bCs/>
          <w:sz w:val="20"/>
          <w:szCs w:val="22"/>
          <w:lang w:val="es-ES_tradnl" w:eastAsia="es-MX"/>
        </w:rPr>
        <w:t>el cual, conforme a lo establecido en su artículo Primero Transitorio,</w:t>
      </w:r>
      <w:r w:rsidR="000616E7" w:rsidRPr="00EE46D9">
        <w:rPr>
          <w:rFonts w:ascii="ITC Avant Garde" w:hAnsi="ITC Avant Garde"/>
          <w:bCs/>
          <w:sz w:val="20"/>
          <w:szCs w:val="22"/>
          <w:lang w:val="es-ES_tradnl" w:eastAsia="es-MX"/>
        </w:rPr>
        <w:t xml:space="preserve"> entró en vigor </w:t>
      </w:r>
      <w:r w:rsidR="000616E7">
        <w:rPr>
          <w:rFonts w:ascii="ITC Avant Garde" w:hAnsi="ITC Avant Garde"/>
          <w:bCs/>
          <w:sz w:val="20"/>
          <w:szCs w:val="22"/>
          <w:lang w:val="es-ES_tradnl" w:eastAsia="es-MX"/>
        </w:rPr>
        <w:t xml:space="preserve">a los quince días hábiles siguientes de su publicación, esto es </w:t>
      </w:r>
      <w:r w:rsidR="000616E7" w:rsidRPr="00EE46D9">
        <w:rPr>
          <w:rFonts w:ascii="ITC Avant Garde" w:hAnsi="ITC Avant Garde"/>
          <w:bCs/>
          <w:sz w:val="20"/>
          <w:szCs w:val="22"/>
          <w:lang w:val="es-ES_tradnl" w:eastAsia="es-MX"/>
        </w:rPr>
        <w:t>el 26 de septiembre de 2014</w:t>
      </w:r>
      <w:r w:rsidRPr="00EE46D9">
        <w:rPr>
          <w:rFonts w:ascii="ITC Avant Garde" w:hAnsi="ITC Avant Garde"/>
          <w:bCs/>
          <w:sz w:val="20"/>
          <w:szCs w:val="22"/>
          <w:lang w:val="es-ES_tradnl" w:eastAsia="es-MX"/>
        </w:rPr>
        <w:t>, cuya última modificación se publicó en el referido medio de difusión oficial el 7 de diciembre de 2018.</w:t>
      </w:r>
    </w:p>
    <w:p w14:paraId="3B273376" w14:textId="77777777" w:rsidR="005A6DBC" w:rsidRPr="00EE46D9" w:rsidRDefault="005A6DBC" w:rsidP="005A6DBC">
      <w:pPr>
        <w:pStyle w:val="ROMANOS"/>
        <w:spacing w:after="0" w:line="240" w:lineRule="auto"/>
        <w:ind w:left="0" w:firstLine="0"/>
        <w:rPr>
          <w:rFonts w:ascii="ITC Avant Garde" w:hAnsi="ITC Avant Garde"/>
          <w:bCs/>
          <w:sz w:val="20"/>
          <w:szCs w:val="22"/>
          <w:lang w:val="es-ES_tradnl" w:eastAsia="es-MX"/>
        </w:rPr>
      </w:pPr>
    </w:p>
    <w:p w14:paraId="69EE02E4" w14:textId="16FFE70C" w:rsidR="005A6DBC" w:rsidRPr="00EE46D9" w:rsidRDefault="005A6DBC" w:rsidP="005A6DBC">
      <w:pPr>
        <w:pStyle w:val="ROMANOS"/>
        <w:numPr>
          <w:ilvl w:val="0"/>
          <w:numId w:val="1"/>
        </w:numPr>
        <w:spacing w:after="0" w:line="240" w:lineRule="auto"/>
        <w:ind w:left="426" w:hanging="426"/>
        <w:rPr>
          <w:rFonts w:ascii="ITC Avant Garde" w:hAnsi="ITC Avant Garde"/>
          <w:bCs/>
          <w:sz w:val="20"/>
          <w:szCs w:val="22"/>
          <w:lang w:val="es-ES_tradnl" w:eastAsia="es-MX"/>
        </w:rPr>
      </w:pPr>
      <w:r w:rsidRPr="001717A4">
        <w:rPr>
          <w:rFonts w:ascii="ITC Avant Garde" w:hAnsi="ITC Avant Garde"/>
          <w:b/>
          <w:bCs/>
          <w:sz w:val="20"/>
          <w:szCs w:val="22"/>
          <w:lang w:val="es-ES_tradnl" w:eastAsia="es-MX"/>
        </w:rPr>
        <w:t>Lineamientos de Multiprogramación.</w:t>
      </w:r>
      <w:r w:rsidRPr="00EE46D9">
        <w:rPr>
          <w:rFonts w:ascii="ITC Avant Garde" w:hAnsi="ITC Avant Garde"/>
          <w:bCs/>
          <w:sz w:val="20"/>
          <w:szCs w:val="22"/>
          <w:lang w:val="es-ES_tradnl" w:eastAsia="es-MX"/>
        </w:rPr>
        <w:t xml:space="preserve"> El 17 de febrero de 2015, se </w:t>
      </w:r>
      <w:r w:rsidR="00560D29">
        <w:rPr>
          <w:rFonts w:ascii="ITC Avant Garde" w:hAnsi="ITC Avant Garde"/>
          <w:bCs/>
          <w:sz w:val="20"/>
          <w:szCs w:val="22"/>
          <w:lang w:val="es-ES_tradnl" w:eastAsia="es-MX"/>
        </w:rPr>
        <w:t xml:space="preserve">publicaron </w:t>
      </w:r>
      <w:r w:rsidRPr="00EE46D9">
        <w:rPr>
          <w:rFonts w:ascii="ITC Avant Garde" w:hAnsi="ITC Avant Garde"/>
          <w:bCs/>
          <w:sz w:val="20"/>
          <w:szCs w:val="22"/>
          <w:lang w:val="es-ES_tradnl" w:eastAsia="es-MX"/>
        </w:rPr>
        <w:t xml:space="preserve">en el DOF los </w:t>
      </w:r>
      <w:r w:rsidRPr="00762283">
        <w:rPr>
          <w:rFonts w:ascii="ITC Avant Garde" w:hAnsi="ITC Avant Garde"/>
          <w:bCs/>
          <w:sz w:val="20"/>
          <w:szCs w:val="22"/>
          <w:lang w:val="es-ES_tradnl" w:eastAsia="es-MX"/>
        </w:rPr>
        <w:t>“Lineamientos Generales para el acceso a la Multiprogramación”</w:t>
      </w:r>
      <w:r w:rsidRPr="00EE46D9">
        <w:rPr>
          <w:rFonts w:ascii="ITC Avant Garde" w:hAnsi="ITC Avant Garde"/>
          <w:bCs/>
          <w:i/>
          <w:sz w:val="20"/>
          <w:szCs w:val="22"/>
          <w:lang w:val="es-ES_tradnl" w:eastAsia="es-MX"/>
        </w:rPr>
        <w:t xml:space="preserve"> </w:t>
      </w:r>
      <w:r w:rsidRPr="00EE46D9">
        <w:rPr>
          <w:rFonts w:ascii="ITC Avant Garde" w:hAnsi="ITC Avant Garde"/>
          <w:bCs/>
          <w:sz w:val="20"/>
          <w:szCs w:val="22"/>
          <w:lang w:val="es-ES_tradnl" w:eastAsia="es-MX"/>
        </w:rPr>
        <w:t xml:space="preserve">(en lo sucesivo, los “Lineamientos de Multiprogramación”), los cuales, en términos de lo dispuesto en su </w:t>
      </w:r>
      <w:r w:rsidRPr="00EE46D9">
        <w:rPr>
          <w:rFonts w:ascii="ITC Avant Garde" w:hAnsi="ITC Avant Garde"/>
          <w:bCs/>
          <w:sz w:val="20"/>
          <w:szCs w:val="22"/>
          <w:lang w:val="es-ES_tradnl" w:eastAsia="es-MX"/>
        </w:rPr>
        <w:lastRenderedPageBreak/>
        <w:t>artículo Primero Transitorio, entraron en vigor al día siguiente de su publicación, es decir, el 18 de febrero de 2015.</w:t>
      </w:r>
    </w:p>
    <w:p w14:paraId="6AF1DA8A" w14:textId="77777777" w:rsidR="005A6DBC" w:rsidRPr="00EE46D9" w:rsidRDefault="005A6DBC" w:rsidP="005A6DBC">
      <w:pPr>
        <w:pStyle w:val="Prrafodelista"/>
        <w:rPr>
          <w:rFonts w:ascii="ITC Avant Garde" w:hAnsi="ITC Avant Garde"/>
          <w:bCs/>
          <w:sz w:val="20"/>
          <w:szCs w:val="22"/>
          <w:lang w:val="es-ES_tradnl" w:eastAsia="es-MX"/>
        </w:rPr>
      </w:pPr>
    </w:p>
    <w:p w14:paraId="5B59C7AF" w14:textId="77777777" w:rsidR="005A6DBC" w:rsidRPr="00EE46D9" w:rsidRDefault="005A6DBC" w:rsidP="005A6DBC">
      <w:pPr>
        <w:pStyle w:val="ROMANOS"/>
        <w:numPr>
          <w:ilvl w:val="0"/>
          <w:numId w:val="1"/>
        </w:numPr>
        <w:tabs>
          <w:tab w:val="clear" w:pos="720"/>
        </w:tabs>
        <w:spacing w:after="0" w:line="240" w:lineRule="auto"/>
        <w:ind w:left="426" w:hanging="426"/>
        <w:rPr>
          <w:rFonts w:ascii="ITC Avant Garde" w:hAnsi="ITC Avant Garde"/>
          <w:bCs/>
          <w:sz w:val="20"/>
          <w:szCs w:val="22"/>
          <w:lang w:val="es-ES_tradnl" w:eastAsia="es-MX"/>
        </w:rPr>
      </w:pPr>
      <w:r w:rsidRPr="001717A4">
        <w:rPr>
          <w:rFonts w:ascii="ITC Avant Garde" w:hAnsi="ITC Avant Garde"/>
          <w:b/>
          <w:bCs/>
          <w:sz w:val="20"/>
          <w:szCs w:val="22"/>
          <w:lang w:val="es-ES_tradnl" w:eastAsia="es-MX"/>
        </w:rPr>
        <w:t xml:space="preserve">Lineamientos de Canales Virtuales. </w:t>
      </w:r>
      <w:r w:rsidRPr="00EE46D9">
        <w:rPr>
          <w:rFonts w:ascii="ITC Avant Garde" w:hAnsi="ITC Avant Garde"/>
          <w:bCs/>
          <w:sz w:val="20"/>
          <w:szCs w:val="22"/>
          <w:lang w:val="es-ES_tradnl" w:eastAsia="es-MX"/>
        </w:rPr>
        <w:t xml:space="preserve">El 27 de junio de 2016, se publicó en el DOF el </w:t>
      </w:r>
      <w:r w:rsidRPr="00762283">
        <w:rPr>
          <w:rFonts w:ascii="ITC Avant Garde" w:hAnsi="ITC Avant Garde"/>
          <w:bCs/>
          <w:sz w:val="20"/>
          <w:szCs w:val="22"/>
          <w:lang w:val="es-ES_tradnl" w:eastAsia="es-MX"/>
        </w:rPr>
        <w:t>“Acuerdo mediante el cual el Pleno del Instituto Federal de Telecomunicaciones aprueba y expide los Lineamientos generales para la asignación de canales virtuales de televisión radiodifundida”</w:t>
      </w:r>
      <w:r w:rsidRPr="00EE46D9">
        <w:rPr>
          <w:rFonts w:ascii="ITC Avant Garde" w:hAnsi="ITC Avant Garde"/>
          <w:bCs/>
          <w:i/>
          <w:sz w:val="20"/>
          <w:szCs w:val="22"/>
          <w:lang w:val="es-ES_tradnl" w:eastAsia="es-MX"/>
        </w:rPr>
        <w:t xml:space="preserve"> </w:t>
      </w:r>
      <w:r w:rsidRPr="00EE46D9">
        <w:rPr>
          <w:rFonts w:ascii="ITC Avant Garde" w:hAnsi="ITC Avant Garde"/>
          <w:bCs/>
          <w:sz w:val="20"/>
          <w:szCs w:val="22"/>
          <w:lang w:val="es-ES_tradnl" w:eastAsia="es-MX"/>
        </w:rPr>
        <w:t xml:space="preserve">(en lo sucesivo, los “Lineamientos de Canales Virtuales”), el cual, en términos de lo dispuesto por su artículo Primero Transitorio, entró en vigor al día hábil siguiente de su publicación, esto es, el 28 de junio de 2016. </w:t>
      </w:r>
    </w:p>
    <w:p w14:paraId="1E4E5F9D" w14:textId="77777777" w:rsidR="005A6DBC" w:rsidRPr="00EE46D9" w:rsidRDefault="005A6DBC" w:rsidP="005A6DBC">
      <w:pPr>
        <w:pStyle w:val="ROMANOS"/>
        <w:tabs>
          <w:tab w:val="clear" w:pos="720"/>
        </w:tabs>
        <w:spacing w:after="0" w:line="240" w:lineRule="auto"/>
        <w:ind w:left="426" w:firstLine="0"/>
        <w:rPr>
          <w:rFonts w:ascii="ITC Avant Garde" w:hAnsi="ITC Avant Garde"/>
          <w:bCs/>
          <w:sz w:val="20"/>
          <w:szCs w:val="22"/>
          <w:lang w:val="es-ES_tradnl" w:eastAsia="es-MX"/>
        </w:rPr>
      </w:pPr>
    </w:p>
    <w:p w14:paraId="3FB6D81C" w14:textId="77777777" w:rsidR="005A6DBC" w:rsidRPr="00EE46D9" w:rsidRDefault="005A6DBC" w:rsidP="005A6DBC">
      <w:pPr>
        <w:pStyle w:val="ROMANOS"/>
        <w:numPr>
          <w:ilvl w:val="0"/>
          <w:numId w:val="1"/>
        </w:numPr>
        <w:tabs>
          <w:tab w:val="clear" w:pos="720"/>
        </w:tabs>
        <w:spacing w:after="0" w:line="240" w:lineRule="auto"/>
        <w:ind w:left="426" w:hanging="426"/>
        <w:rPr>
          <w:rFonts w:ascii="ITC Avant Garde" w:hAnsi="ITC Avant Garde"/>
          <w:bCs/>
          <w:sz w:val="20"/>
          <w:szCs w:val="22"/>
          <w:lang w:val="es-ES_tradnl" w:eastAsia="es-MX"/>
        </w:rPr>
      </w:pPr>
      <w:r w:rsidRPr="001717A4">
        <w:rPr>
          <w:rFonts w:ascii="ITC Avant Garde" w:hAnsi="ITC Avant Garde"/>
          <w:b/>
          <w:bCs/>
          <w:sz w:val="20"/>
          <w:szCs w:val="22"/>
          <w:lang w:val="es-ES_tradnl" w:eastAsia="es-MX"/>
        </w:rPr>
        <w:t>Disposición Técnica DT-IFT-013-2016.</w:t>
      </w:r>
      <w:r>
        <w:rPr>
          <w:rFonts w:ascii="ITC Avant Garde" w:hAnsi="ITC Avant Garde"/>
          <w:bCs/>
          <w:i/>
          <w:sz w:val="20"/>
          <w:szCs w:val="22"/>
          <w:lang w:val="es-ES_tradnl" w:eastAsia="es-MX"/>
        </w:rPr>
        <w:t xml:space="preserve"> </w:t>
      </w:r>
      <w:r w:rsidRPr="00EE46D9">
        <w:rPr>
          <w:rFonts w:ascii="ITC Avant Garde" w:hAnsi="ITC Avant Garde"/>
          <w:bCs/>
          <w:sz w:val="20"/>
          <w:szCs w:val="22"/>
          <w:lang w:val="es-ES_tradnl" w:eastAsia="es-MX"/>
        </w:rPr>
        <w:t xml:space="preserve">El 30 de diciembre de 2016, se publicó en el DOF el </w:t>
      </w:r>
      <w:r w:rsidRPr="00762283">
        <w:rPr>
          <w:rFonts w:ascii="ITC Avant Garde" w:hAnsi="ITC Avant Garde"/>
          <w:bCs/>
          <w:sz w:val="20"/>
          <w:szCs w:val="22"/>
          <w:lang w:val="es-ES_tradnl" w:eastAsia="es-MX"/>
        </w:rPr>
        <w:t>“Acuerdo mediante el cual el Pleno del Instituto Federal de Telecomunicaciones expide la Disposición Técnica IFT-013-2016: Especificaciones y requerimientos mínimos para la instalación y operación de estaciones de televisión, equipos auxiliares y equipos complementarios”</w:t>
      </w:r>
      <w:r w:rsidRPr="00EE46D9">
        <w:rPr>
          <w:rFonts w:ascii="ITC Avant Garde" w:hAnsi="ITC Avant Garde"/>
          <w:bCs/>
          <w:i/>
          <w:sz w:val="20"/>
          <w:szCs w:val="22"/>
          <w:lang w:val="es-ES_tradnl" w:eastAsia="es-MX"/>
        </w:rPr>
        <w:t xml:space="preserve"> </w:t>
      </w:r>
      <w:r w:rsidRPr="001C478A">
        <w:rPr>
          <w:rFonts w:ascii="ITC Avant Garde" w:hAnsi="ITC Avant Garde"/>
          <w:bCs/>
          <w:sz w:val="20"/>
          <w:szCs w:val="22"/>
          <w:lang w:val="es-ES_tradnl" w:eastAsia="es-MX"/>
        </w:rPr>
        <w:t>(en lo sucesivo, la “Disposición Técnica IFT-013-2016”)</w:t>
      </w:r>
      <w:r w:rsidRPr="00EE46D9">
        <w:rPr>
          <w:rFonts w:ascii="ITC Avant Garde" w:hAnsi="ITC Avant Garde"/>
          <w:bCs/>
          <w:sz w:val="20"/>
          <w:szCs w:val="22"/>
          <w:lang w:val="es-ES_tradnl" w:eastAsia="es-MX"/>
        </w:rPr>
        <w:t>,</w:t>
      </w:r>
      <w:r w:rsidRPr="00EE46D9">
        <w:rPr>
          <w:rFonts w:ascii="ITC Avant Garde" w:hAnsi="ITC Avant Garde"/>
          <w:bCs/>
          <w:i/>
          <w:sz w:val="20"/>
          <w:szCs w:val="22"/>
          <w:lang w:val="es-ES_tradnl" w:eastAsia="es-MX"/>
        </w:rPr>
        <w:t xml:space="preserve"> </w:t>
      </w:r>
      <w:r w:rsidRPr="00EE46D9">
        <w:rPr>
          <w:rFonts w:ascii="ITC Avant Garde" w:hAnsi="ITC Avant Garde"/>
          <w:bCs/>
          <w:sz w:val="20"/>
          <w:szCs w:val="22"/>
          <w:lang w:val="es-ES_tradnl" w:eastAsia="es-MX"/>
        </w:rPr>
        <w:t>el cual, en términos de lo dispuesto por su artículo Primero Transitorio, entró en vigor el día 1 de enero de 2017.</w:t>
      </w:r>
    </w:p>
    <w:p w14:paraId="648D8E59" w14:textId="77777777" w:rsidR="005A6DBC" w:rsidRPr="00EE46D9" w:rsidRDefault="005A6DBC" w:rsidP="005A6DBC">
      <w:pPr>
        <w:pStyle w:val="ROMANOS"/>
        <w:tabs>
          <w:tab w:val="clear" w:pos="720"/>
        </w:tabs>
        <w:spacing w:after="0" w:line="240" w:lineRule="auto"/>
        <w:ind w:left="0" w:firstLine="0"/>
        <w:rPr>
          <w:rFonts w:ascii="ITC Avant Garde" w:hAnsi="ITC Avant Garde"/>
          <w:bCs/>
          <w:sz w:val="20"/>
          <w:szCs w:val="22"/>
          <w:lang w:val="es-ES_tradnl" w:eastAsia="es-MX"/>
        </w:rPr>
      </w:pPr>
    </w:p>
    <w:p w14:paraId="259AE6EB" w14:textId="77777777" w:rsidR="005A6DBC" w:rsidRPr="00EE46D9" w:rsidRDefault="005A6DBC" w:rsidP="005A6DBC">
      <w:pPr>
        <w:pStyle w:val="Prrafodelista"/>
        <w:numPr>
          <w:ilvl w:val="0"/>
          <w:numId w:val="1"/>
        </w:numPr>
        <w:ind w:left="426" w:hanging="426"/>
        <w:jc w:val="both"/>
        <w:rPr>
          <w:rFonts w:ascii="ITC Avant Garde" w:hAnsi="ITC Avant Garde" w:cs="Arial"/>
          <w:bCs/>
          <w:sz w:val="20"/>
          <w:szCs w:val="22"/>
          <w:lang w:val="es-ES_tradnl" w:eastAsia="es-MX"/>
        </w:rPr>
      </w:pPr>
      <w:r w:rsidRPr="001C478A">
        <w:rPr>
          <w:rFonts w:ascii="ITC Avant Garde" w:hAnsi="ITC Avant Garde"/>
          <w:b/>
          <w:bCs/>
          <w:sz w:val="20"/>
          <w:szCs w:val="22"/>
          <w:lang w:val="es-ES_tradnl" w:eastAsia="es-MX"/>
        </w:rPr>
        <w:t>Normas en materia de Administración.</w:t>
      </w:r>
      <w:r w:rsidRPr="00EE46D9">
        <w:rPr>
          <w:rFonts w:ascii="ITC Avant Garde" w:hAnsi="ITC Avant Garde"/>
          <w:bCs/>
          <w:sz w:val="20"/>
          <w:szCs w:val="22"/>
          <w:lang w:val="es-ES_tradnl" w:eastAsia="es-MX"/>
        </w:rPr>
        <w:t xml:space="preserve"> El 20 de enero de 2017, se publicó en el DOF el </w:t>
      </w:r>
      <w:r w:rsidRPr="00762283">
        <w:rPr>
          <w:rFonts w:ascii="ITC Avant Garde" w:hAnsi="ITC Avant Garde"/>
          <w:bCs/>
          <w:sz w:val="20"/>
          <w:szCs w:val="22"/>
          <w:lang w:val="es-ES_tradnl" w:eastAsia="es-MX"/>
        </w:rPr>
        <w:t>“Acuerdo mediante el cual el Pleno del Instituto Federal de Telecomunicaciones modifica las Normas en materia de administración, control y enajenación de bienes muebles y para la adquisición, arrendamiento y enajenación de bienes inmuebles del Instituto Federal de Telecomunicaciones, con el objeto de establecer los lineamientos para la disposición de los bienes, instalaciones y equipos que han sido perdidos en beneficio de la nación, como consecuencia de los procedimientos y supuestos establecidos por la Ley Federal de Telecomunicaciones y Radiodifusión”</w:t>
      </w:r>
      <w:r w:rsidRPr="00EE46D9">
        <w:rPr>
          <w:rFonts w:ascii="ITC Avant Garde" w:hAnsi="ITC Avant Garde"/>
          <w:bCs/>
          <w:i/>
          <w:sz w:val="20"/>
          <w:szCs w:val="22"/>
          <w:lang w:val="es-ES_tradnl" w:eastAsia="es-MX"/>
        </w:rPr>
        <w:t xml:space="preserve">, </w:t>
      </w:r>
      <w:r w:rsidRPr="001C478A">
        <w:rPr>
          <w:rFonts w:ascii="ITC Avant Garde" w:hAnsi="ITC Avant Garde"/>
          <w:bCs/>
          <w:sz w:val="20"/>
          <w:szCs w:val="22"/>
          <w:lang w:val="es-ES_tradnl" w:eastAsia="es-MX"/>
        </w:rPr>
        <w:t>(en lo sucesivo, las “Normas en materia de Administración”)</w:t>
      </w:r>
      <w:r w:rsidR="00185FCC">
        <w:rPr>
          <w:rFonts w:ascii="ITC Avant Garde" w:hAnsi="ITC Avant Garde"/>
          <w:bCs/>
          <w:sz w:val="20"/>
          <w:szCs w:val="22"/>
          <w:lang w:val="es-ES_tradnl" w:eastAsia="es-MX"/>
        </w:rPr>
        <w:t>,</w:t>
      </w:r>
      <w:r w:rsidRPr="00EE46D9">
        <w:rPr>
          <w:rFonts w:ascii="ITC Avant Garde" w:hAnsi="ITC Avant Garde"/>
          <w:bCs/>
          <w:i/>
          <w:sz w:val="20"/>
          <w:szCs w:val="22"/>
          <w:lang w:val="es-ES_tradnl" w:eastAsia="es-MX"/>
        </w:rPr>
        <w:t xml:space="preserve"> </w:t>
      </w:r>
      <w:r w:rsidRPr="00EE46D9">
        <w:rPr>
          <w:rFonts w:ascii="ITC Avant Garde" w:hAnsi="ITC Avant Garde" w:cs="Arial"/>
          <w:bCs/>
          <w:sz w:val="20"/>
          <w:szCs w:val="22"/>
          <w:lang w:val="es-ES_tradnl" w:eastAsia="es-MX"/>
        </w:rPr>
        <w:t>el cual, en términos de lo dispuesto por el artículo Primero Transitorio, entró en vigor al día siguiente de</w:t>
      </w:r>
      <w:r w:rsidR="00185FCC">
        <w:rPr>
          <w:rFonts w:ascii="ITC Avant Garde" w:hAnsi="ITC Avant Garde" w:cs="Arial"/>
          <w:bCs/>
          <w:sz w:val="20"/>
          <w:szCs w:val="22"/>
          <w:lang w:val="es-ES_tradnl" w:eastAsia="es-MX"/>
        </w:rPr>
        <w:t xml:space="preserve"> su publicación, es decir, el 21</w:t>
      </w:r>
      <w:r w:rsidRPr="00EE46D9">
        <w:rPr>
          <w:rFonts w:ascii="ITC Avant Garde" w:hAnsi="ITC Avant Garde" w:cs="Arial"/>
          <w:bCs/>
          <w:sz w:val="20"/>
          <w:szCs w:val="22"/>
          <w:lang w:val="es-ES_tradnl" w:eastAsia="es-MX"/>
        </w:rPr>
        <w:t xml:space="preserve"> de enero de 2017. </w:t>
      </w:r>
    </w:p>
    <w:p w14:paraId="42997F24" w14:textId="77777777" w:rsidR="005A6DBC" w:rsidRPr="00EE46D9" w:rsidRDefault="005A6DBC" w:rsidP="005A6DBC">
      <w:pPr>
        <w:pStyle w:val="Prrafodelista"/>
        <w:ind w:left="426" w:hanging="426"/>
        <w:jc w:val="both"/>
        <w:rPr>
          <w:rFonts w:ascii="ITC Avant Garde" w:hAnsi="ITC Avant Garde" w:cs="Arial"/>
          <w:bCs/>
          <w:sz w:val="22"/>
          <w:szCs w:val="22"/>
          <w:lang w:val="es-ES_tradnl" w:eastAsia="es-MX"/>
        </w:rPr>
      </w:pPr>
    </w:p>
    <w:p w14:paraId="15AF63A5" w14:textId="77777777" w:rsidR="005A6DBC" w:rsidRPr="009E50AA" w:rsidRDefault="005A6DBC" w:rsidP="005A6DBC">
      <w:pPr>
        <w:pStyle w:val="Prrafodelista"/>
        <w:numPr>
          <w:ilvl w:val="0"/>
          <w:numId w:val="1"/>
        </w:numPr>
        <w:ind w:left="426" w:hanging="426"/>
        <w:jc w:val="both"/>
        <w:rPr>
          <w:rFonts w:ascii="ITC Avant Garde" w:hAnsi="ITC Avant Garde" w:cs="Arial"/>
          <w:bCs/>
          <w:sz w:val="20"/>
          <w:szCs w:val="22"/>
          <w:lang w:val="es-ES_tradnl" w:eastAsia="es-MX"/>
        </w:rPr>
      </w:pPr>
      <w:r w:rsidRPr="001C478A">
        <w:rPr>
          <w:rFonts w:ascii="ITC Avant Garde" w:hAnsi="ITC Avant Garde" w:cs="Arial"/>
          <w:b/>
          <w:bCs/>
          <w:sz w:val="20"/>
          <w:szCs w:val="22"/>
          <w:lang w:val="es-ES_tradnl" w:eastAsia="es-MX"/>
        </w:rPr>
        <w:t>Lineamientos de Consulta Pública.</w:t>
      </w:r>
      <w:r w:rsidRPr="00EE46D9">
        <w:rPr>
          <w:rFonts w:ascii="ITC Avant Garde" w:hAnsi="ITC Avant Garde" w:cs="Arial"/>
          <w:bCs/>
          <w:sz w:val="20"/>
          <w:szCs w:val="22"/>
          <w:lang w:val="es-ES_tradnl" w:eastAsia="es-MX"/>
        </w:rPr>
        <w:t xml:space="preserve"> El 8 de noviembre de 2017, se publicó en el DOF el </w:t>
      </w:r>
      <w:r w:rsidRPr="00EE46D9">
        <w:rPr>
          <w:rFonts w:ascii="ITC Avant Garde" w:hAnsi="ITC Avant Garde" w:cs="Arial"/>
          <w:bCs/>
          <w:i/>
          <w:sz w:val="20"/>
          <w:szCs w:val="22"/>
          <w:lang w:val="es-ES_tradnl" w:eastAsia="es-MX"/>
        </w:rPr>
        <w:t>“</w:t>
      </w:r>
      <w:r w:rsidRPr="00762283">
        <w:rPr>
          <w:rFonts w:ascii="ITC Avant Garde" w:hAnsi="ITC Avant Garde" w:cs="Arial"/>
          <w:bCs/>
          <w:sz w:val="20"/>
          <w:szCs w:val="22"/>
          <w:lang w:val="es-ES_tradnl" w:eastAsia="es-MX"/>
        </w:rPr>
        <w:t>Acuerdo mediante el cual el Pleno del Instituto Federal de Telecomunicaciones aprueba y emite los Lineamientos de Consulta Pública y Análisis de Impacto Regulatorio del Instituto Federal de Telecomunicaciones</w:t>
      </w:r>
      <w:r w:rsidRPr="009E50AA">
        <w:rPr>
          <w:rFonts w:ascii="ITC Avant Garde" w:hAnsi="ITC Avant Garde" w:cs="Arial"/>
          <w:bCs/>
          <w:i/>
          <w:sz w:val="20"/>
          <w:szCs w:val="22"/>
          <w:lang w:val="es-ES_tradnl" w:eastAsia="es-MX"/>
        </w:rPr>
        <w:t>”</w:t>
      </w:r>
      <w:r w:rsidRPr="009E50AA">
        <w:rPr>
          <w:rFonts w:ascii="ITC Avant Garde" w:hAnsi="ITC Avant Garde" w:cs="Arial"/>
          <w:bCs/>
          <w:sz w:val="20"/>
          <w:szCs w:val="22"/>
          <w:lang w:val="es-ES_tradnl" w:eastAsia="es-MX"/>
        </w:rPr>
        <w:t>, el cual, en términos de lo dispuesto por el artículo Primero Transitorio, entró en vigor el 1 de enero de 2018.</w:t>
      </w:r>
    </w:p>
    <w:p w14:paraId="048E6313" w14:textId="77777777" w:rsidR="005A6DBC" w:rsidRPr="009E50AA" w:rsidRDefault="005A6DBC" w:rsidP="005A6DBC">
      <w:pPr>
        <w:ind w:left="426" w:hanging="426"/>
        <w:jc w:val="both"/>
        <w:rPr>
          <w:rFonts w:ascii="ITC Avant Garde" w:hAnsi="ITC Avant Garde" w:cs="Arial"/>
          <w:bCs/>
          <w:sz w:val="20"/>
          <w:szCs w:val="22"/>
          <w:lang w:val="es-ES_tradnl" w:eastAsia="es-MX"/>
        </w:rPr>
      </w:pPr>
    </w:p>
    <w:p w14:paraId="657B70DE" w14:textId="77777777" w:rsidR="005A6DBC" w:rsidRPr="009E50AA" w:rsidRDefault="005A6DBC" w:rsidP="005A6DBC">
      <w:pPr>
        <w:pStyle w:val="ROMANOS"/>
        <w:numPr>
          <w:ilvl w:val="0"/>
          <w:numId w:val="1"/>
        </w:numPr>
        <w:spacing w:after="0" w:line="240" w:lineRule="auto"/>
        <w:ind w:left="426" w:hanging="426"/>
        <w:rPr>
          <w:rFonts w:ascii="ITC Avant Garde" w:hAnsi="ITC Avant Garde"/>
          <w:bCs/>
          <w:sz w:val="20"/>
          <w:szCs w:val="22"/>
          <w:lang w:val="es-ES_tradnl" w:eastAsia="es-MX"/>
        </w:rPr>
      </w:pPr>
      <w:r w:rsidRPr="009E50AA">
        <w:rPr>
          <w:rFonts w:ascii="ITC Avant Garde" w:hAnsi="ITC Avant Garde"/>
          <w:b/>
          <w:bCs/>
          <w:sz w:val="20"/>
          <w:szCs w:val="22"/>
          <w:lang w:val="es-ES_tradnl" w:eastAsia="es-MX"/>
        </w:rPr>
        <w:t>Ley General de Mejora Regulatoria.</w:t>
      </w:r>
      <w:r w:rsidRPr="009E50AA">
        <w:rPr>
          <w:rFonts w:ascii="ITC Avant Garde" w:hAnsi="ITC Avant Garde"/>
          <w:bCs/>
          <w:i/>
          <w:sz w:val="20"/>
          <w:szCs w:val="22"/>
          <w:lang w:val="es-ES_tradnl" w:eastAsia="es-MX"/>
        </w:rPr>
        <w:t xml:space="preserve"> </w:t>
      </w:r>
      <w:r w:rsidRPr="009E50AA">
        <w:rPr>
          <w:rFonts w:ascii="ITC Avant Garde" w:hAnsi="ITC Avant Garde"/>
          <w:bCs/>
          <w:sz w:val="20"/>
          <w:szCs w:val="22"/>
          <w:lang w:val="es-ES_tradnl" w:eastAsia="es-MX"/>
        </w:rPr>
        <w:t xml:space="preserve">El 18 de mayo de 2018, se publicó en el DOF </w:t>
      </w:r>
      <w:r w:rsidRPr="00762283">
        <w:rPr>
          <w:rFonts w:ascii="ITC Avant Garde" w:hAnsi="ITC Avant Garde"/>
          <w:bCs/>
          <w:sz w:val="20"/>
          <w:szCs w:val="22"/>
          <w:lang w:val="es-ES_tradnl" w:eastAsia="es-MX"/>
        </w:rPr>
        <w:t>la Ley General de Mejora Regulatoria</w:t>
      </w:r>
      <w:r w:rsidRPr="009E50AA">
        <w:rPr>
          <w:rFonts w:ascii="ITC Avant Garde" w:hAnsi="ITC Avant Garde"/>
          <w:bCs/>
          <w:i/>
          <w:sz w:val="20"/>
          <w:szCs w:val="22"/>
          <w:lang w:val="es-ES_tradnl" w:eastAsia="es-MX"/>
        </w:rPr>
        <w:t xml:space="preserve"> </w:t>
      </w:r>
      <w:r w:rsidRPr="009E50AA">
        <w:rPr>
          <w:rFonts w:ascii="ITC Avant Garde" w:hAnsi="ITC Avant Garde"/>
          <w:bCs/>
          <w:sz w:val="20"/>
          <w:szCs w:val="22"/>
          <w:lang w:val="es-ES_tradnl" w:eastAsia="es-MX"/>
        </w:rPr>
        <w:t>(en lo sucesivo, la “LGMR”), la cual en términos de su artículo Primero Transitorio entró en vigor al día siguiente de su publicación, es decir, el 19 de mayo de 2018; cuyo objeto es establecer los principios y las bases respecto de los cuales deberán sujetarse los órdenes de gobierno, en el ámbito de sus respectivas competencias, en materia de mejora regulatoria.</w:t>
      </w:r>
    </w:p>
    <w:p w14:paraId="4BA5F1DA" w14:textId="77777777" w:rsidR="005A6DBC" w:rsidRPr="009E50AA" w:rsidRDefault="005A6DBC" w:rsidP="005A6DBC">
      <w:pPr>
        <w:pStyle w:val="ROMANOS"/>
        <w:spacing w:after="0" w:line="240" w:lineRule="auto"/>
        <w:ind w:left="0" w:firstLine="0"/>
        <w:rPr>
          <w:rFonts w:ascii="ITC Avant Garde" w:hAnsi="ITC Avant Garde"/>
          <w:bCs/>
          <w:sz w:val="20"/>
          <w:szCs w:val="22"/>
          <w:lang w:val="es-ES_tradnl" w:eastAsia="es-MX"/>
        </w:rPr>
      </w:pPr>
    </w:p>
    <w:p w14:paraId="383C260A" w14:textId="77777777" w:rsidR="005A6DBC" w:rsidRPr="009E50AA" w:rsidRDefault="005A6DBC" w:rsidP="005A6DBC">
      <w:pPr>
        <w:pStyle w:val="ROMANOS"/>
        <w:numPr>
          <w:ilvl w:val="0"/>
          <w:numId w:val="1"/>
        </w:numPr>
        <w:spacing w:after="0" w:line="240" w:lineRule="auto"/>
        <w:ind w:left="426" w:hanging="426"/>
        <w:rPr>
          <w:rFonts w:ascii="ITC Avant Garde" w:eastAsia="Times New Roman" w:hAnsi="ITC Avant Garde"/>
          <w:bCs/>
          <w:sz w:val="20"/>
          <w:szCs w:val="20"/>
          <w:lang w:val="es-ES_tradnl" w:eastAsia="es-MX"/>
        </w:rPr>
      </w:pPr>
      <w:r w:rsidRPr="009E50AA">
        <w:rPr>
          <w:rFonts w:ascii="ITC Avant Garde" w:eastAsia="Times New Roman" w:hAnsi="ITC Avant Garde"/>
          <w:b/>
          <w:bCs/>
          <w:sz w:val="20"/>
          <w:szCs w:val="20"/>
          <w:lang w:val="es-ES_tradnl" w:eastAsia="es-MX"/>
        </w:rPr>
        <w:t xml:space="preserve">Programa de Mejora Administrativa. </w:t>
      </w:r>
      <w:r w:rsidRPr="009E50AA">
        <w:rPr>
          <w:rFonts w:ascii="ITC Avant Garde" w:eastAsia="Times New Roman" w:hAnsi="ITC Avant Garde"/>
          <w:bCs/>
          <w:sz w:val="20"/>
          <w:szCs w:val="20"/>
          <w:lang w:val="es-ES_tradnl" w:eastAsia="es-MX"/>
        </w:rPr>
        <w:t>El 25 de mayo de 2018, el Instituto inició el “</w:t>
      </w:r>
      <w:r w:rsidRPr="00762283">
        <w:rPr>
          <w:rFonts w:ascii="ITC Avant Garde" w:eastAsia="Times New Roman" w:hAnsi="ITC Avant Garde"/>
          <w:bCs/>
          <w:sz w:val="20"/>
          <w:szCs w:val="20"/>
          <w:lang w:val="es-ES_tradnl" w:eastAsia="es-MX"/>
        </w:rPr>
        <w:t>Programa de Mejora Administrativa del Instituto Federal de Telecomunicaciones</w:t>
      </w:r>
      <w:r w:rsidRPr="009E50AA">
        <w:rPr>
          <w:rFonts w:ascii="ITC Avant Garde" w:eastAsia="Times New Roman" w:hAnsi="ITC Avant Garde"/>
          <w:bCs/>
          <w:sz w:val="20"/>
          <w:szCs w:val="20"/>
          <w:lang w:val="es-ES_tradnl" w:eastAsia="es-MX"/>
        </w:rPr>
        <w:t>”, por conducto de su Coordinación General de Mejora Regulatoria</w:t>
      </w:r>
      <w:r w:rsidR="004F406B" w:rsidRPr="009E50AA">
        <w:rPr>
          <w:rFonts w:ascii="ITC Avant Garde" w:eastAsia="Times New Roman" w:hAnsi="ITC Avant Garde"/>
          <w:bCs/>
          <w:sz w:val="20"/>
          <w:szCs w:val="20"/>
          <w:lang w:val="es-ES_tradnl" w:eastAsia="es-MX"/>
        </w:rPr>
        <w:t xml:space="preserve"> (en lo sucesivo, la “Coordinación General”)</w:t>
      </w:r>
      <w:r w:rsidRPr="009E50AA">
        <w:rPr>
          <w:rFonts w:ascii="ITC Avant Garde" w:eastAsia="Times New Roman" w:hAnsi="ITC Avant Garde"/>
          <w:bCs/>
          <w:sz w:val="20"/>
          <w:szCs w:val="20"/>
          <w:lang w:val="es-ES_tradnl" w:eastAsia="es-MX"/>
        </w:rPr>
        <w:t>, cuyo objetivo es disminuir la carga administrativa a sus regulados mediante la eliminación de trámites, requisitos innecesarios u obsoletos, el empleo de formatos y el uso intensivo de tecnologías de la información y comunicación, para la recepción y gestión de los trámites y servicios a su cargo.</w:t>
      </w:r>
    </w:p>
    <w:p w14:paraId="768C3269" w14:textId="77777777" w:rsidR="005A6DBC" w:rsidRPr="009E50AA" w:rsidRDefault="005A6DBC" w:rsidP="005A6DBC">
      <w:pPr>
        <w:pStyle w:val="ROMANOS"/>
        <w:spacing w:after="0" w:line="240" w:lineRule="auto"/>
        <w:ind w:left="426" w:firstLine="0"/>
        <w:rPr>
          <w:rFonts w:ascii="ITC Avant Garde" w:eastAsia="Times New Roman" w:hAnsi="ITC Avant Garde"/>
          <w:bCs/>
          <w:sz w:val="20"/>
          <w:szCs w:val="20"/>
          <w:lang w:val="es-ES_tradnl" w:eastAsia="es-MX"/>
        </w:rPr>
      </w:pPr>
    </w:p>
    <w:p w14:paraId="022C912B" w14:textId="26A4064C" w:rsidR="00400C84" w:rsidRDefault="005A6DBC" w:rsidP="00400C84">
      <w:pPr>
        <w:pStyle w:val="ROMANOS"/>
        <w:numPr>
          <w:ilvl w:val="0"/>
          <w:numId w:val="1"/>
        </w:numPr>
        <w:spacing w:after="0" w:line="240" w:lineRule="auto"/>
        <w:ind w:left="426" w:hanging="426"/>
        <w:rPr>
          <w:rFonts w:ascii="ITC Avant Garde" w:eastAsia="Times New Roman" w:hAnsi="ITC Avant Garde"/>
          <w:bCs/>
          <w:sz w:val="20"/>
          <w:szCs w:val="20"/>
          <w:lang w:val="es-ES_tradnl" w:eastAsia="es-MX"/>
        </w:rPr>
      </w:pPr>
      <w:r w:rsidRPr="009E50AA">
        <w:rPr>
          <w:rFonts w:ascii="ITC Avant Garde" w:eastAsia="Times New Roman" w:hAnsi="ITC Avant Garde"/>
          <w:b/>
          <w:bCs/>
          <w:sz w:val="20"/>
          <w:szCs w:val="20"/>
          <w:lang w:val="es-ES_tradnl" w:eastAsia="es-MX"/>
        </w:rPr>
        <w:lastRenderedPageBreak/>
        <w:t>Consulta Pública.</w:t>
      </w:r>
      <w:r w:rsidRPr="009E50AA">
        <w:rPr>
          <w:rFonts w:ascii="ITC Avant Garde" w:eastAsia="Times New Roman" w:hAnsi="ITC Avant Garde"/>
          <w:bCs/>
          <w:sz w:val="20"/>
          <w:szCs w:val="20"/>
          <w:lang w:val="es-ES_tradnl" w:eastAsia="es-MX"/>
        </w:rPr>
        <w:t xml:space="preserve"> Mediante Acuerdo P/IFT/030719/342, de fecha 3 de julio de 2019, en su XVI Sesión Ordinaria, el Pleno determinó someter a consulta pública el “</w:t>
      </w:r>
      <w:r w:rsidR="00F7322A">
        <w:rPr>
          <w:rFonts w:ascii="ITC Avant Garde" w:eastAsia="Times New Roman" w:hAnsi="ITC Avant Garde"/>
          <w:bCs/>
          <w:sz w:val="20"/>
          <w:szCs w:val="20"/>
          <w:lang w:val="es-ES_tradnl" w:eastAsia="es-MX"/>
        </w:rPr>
        <w:t xml:space="preserve">Anteproyecto de </w:t>
      </w:r>
      <w:r w:rsidRPr="009E50AA">
        <w:rPr>
          <w:rFonts w:ascii="ITC Avant Garde" w:eastAsia="Times New Roman" w:hAnsi="ITC Avant Garde"/>
          <w:bCs/>
          <w:sz w:val="20"/>
          <w:szCs w:val="20"/>
          <w:lang w:val="es-ES_tradnl" w:eastAsia="es-MX"/>
        </w:rPr>
        <w:t>Acuerdo mediante el cual se emiten los formatos que deberán utilizarse para realizar diversos trámites y servicios ante el Instituto Federal de Telecomunicaciones”, el cual fue presentado por la Coordinación General.</w:t>
      </w:r>
    </w:p>
    <w:p w14:paraId="78DFDAD9" w14:textId="77777777" w:rsidR="00400C84" w:rsidRDefault="00400C84" w:rsidP="00400C84">
      <w:pPr>
        <w:pStyle w:val="ROMANOS"/>
        <w:spacing w:after="0" w:line="240" w:lineRule="auto"/>
        <w:ind w:left="426" w:firstLine="0"/>
        <w:rPr>
          <w:rFonts w:ascii="ITC Avant Garde" w:eastAsia="Times New Roman" w:hAnsi="ITC Avant Garde"/>
          <w:bCs/>
          <w:sz w:val="20"/>
          <w:szCs w:val="20"/>
          <w:lang w:val="es-ES_tradnl" w:eastAsia="es-MX"/>
        </w:rPr>
      </w:pPr>
    </w:p>
    <w:p w14:paraId="17FFEB3B" w14:textId="1C404CEC" w:rsidR="00030E40" w:rsidRDefault="00400C84" w:rsidP="005A6DBC">
      <w:pPr>
        <w:pStyle w:val="ROMANOS"/>
        <w:spacing w:after="0" w:line="240" w:lineRule="auto"/>
        <w:ind w:left="426" w:firstLine="0"/>
        <w:rPr>
          <w:rFonts w:ascii="ITC Avant Garde" w:eastAsia="Times New Roman" w:hAnsi="ITC Avant Garde"/>
          <w:bCs/>
          <w:sz w:val="20"/>
          <w:szCs w:val="20"/>
          <w:lang w:val="es-ES_tradnl" w:eastAsia="es-MX"/>
        </w:rPr>
      </w:pPr>
      <w:r w:rsidRPr="00400C84">
        <w:rPr>
          <w:rFonts w:ascii="ITC Avant Garde" w:eastAsia="Times New Roman" w:hAnsi="ITC Avant Garde"/>
          <w:bCs/>
          <w:sz w:val="20"/>
          <w:szCs w:val="20"/>
          <w:lang w:val="es-ES_tradnl" w:eastAsia="es-MX"/>
        </w:rPr>
        <w:t>La consulta pública se llevó a cabo del 8 de julio de 2019 al 16 de agosto de 2019, recibiéndose en ese periodo comentarios de 4 participantes. Una vez concluida la consulta pública del anteproyecto de regulación en comento y su respectivo Análisis de Nulo Impacto Regulatorio, el Instituto analizó los comentarios, opiniones y propuestas recibidas a propósito de dicho proceso, para determinar los ajustes y adecuaciones que sería recomendable realizarle a dicha propuesta normativa. En seguimiento de lo anterior, el Instituto dio a conocer en su portal de Internet en el apartado referido a dicha consulta pública, un informe de consideraciones relacionado con las aportaciones recibidas en la consulta pública en comento.</w:t>
      </w:r>
    </w:p>
    <w:p w14:paraId="4FEFEE41" w14:textId="77777777" w:rsidR="00030E40" w:rsidRPr="00013DD4" w:rsidRDefault="00030E40" w:rsidP="005A6DBC">
      <w:pPr>
        <w:pStyle w:val="ROMANOS"/>
        <w:spacing w:after="0" w:line="240" w:lineRule="auto"/>
        <w:ind w:left="426" w:firstLine="0"/>
        <w:rPr>
          <w:rFonts w:ascii="ITC Avant Garde" w:eastAsia="Times New Roman" w:hAnsi="ITC Avant Garde"/>
          <w:bCs/>
          <w:sz w:val="20"/>
          <w:szCs w:val="20"/>
          <w:lang w:val="es-ES_tradnl" w:eastAsia="es-MX"/>
        </w:rPr>
      </w:pPr>
    </w:p>
    <w:p w14:paraId="429419D1" w14:textId="77777777" w:rsidR="005A6DBC" w:rsidRPr="00EE46D9" w:rsidRDefault="005A6DBC" w:rsidP="005A6DBC">
      <w:pPr>
        <w:pStyle w:val="ROMANOS"/>
        <w:spacing w:after="0" w:line="240" w:lineRule="auto"/>
        <w:ind w:left="0" w:firstLine="0"/>
        <w:rPr>
          <w:rFonts w:ascii="ITC Avant Garde" w:eastAsia="Times New Roman" w:hAnsi="ITC Avant Garde"/>
          <w:bCs/>
          <w:sz w:val="20"/>
          <w:szCs w:val="20"/>
          <w:lang w:val="es-ES_tradnl" w:eastAsia="es-MX"/>
        </w:rPr>
      </w:pPr>
    </w:p>
    <w:p w14:paraId="46AF3779" w14:textId="77777777" w:rsidR="005A6DBC" w:rsidRPr="00EE46D9" w:rsidRDefault="005A6DBC" w:rsidP="005A6DBC">
      <w:pPr>
        <w:pStyle w:val="Default"/>
        <w:tabs>
          <w:tab w:val="left" w:pos="0"/>
        </w:tabs>
        <w:ind w:left="426" w:hanging="426"/>
        <w:rPr>
          <w:rFonts w:ascii="ITC Avant Garde" w:hAnsi="ITC Avant Garde"/>
          <w:bCs/>
          <w:sz w:val="20"/>
          <w:szCs w:val="22"/>
        </w:rPr>
      </w:pPr>
      <w:r w:rsidRPr="00EE46D9">
        <w:rPr>
          <w:rFonts w:ascii="ITC Avant Garde" w:hAnsi="ITC Avant Garde"/>
          <w:bCs/>
          <w:sz w:val="20"/>
          <w:szCs w:val="22"/>
        </w:rPr>
        <w:t xml:space="preserve">En atención a los antecedentes anteriores y, </w:t>
      </w:r>
    </w:p>
    <w:p w14:paraId="4AF000E9" w14:textId="77777777" w:rsidR="005A6DBC" w:rsidRPr="00EE46D9" w:rsidRDefault="005A6DBC" w:rsidP="005A6DBC">
      <w:pPr>
        <w:pStyle w:val="Default"/>
        <w:tabs>
          <w:tab w:val="left" w:pos="0"/>
        </w:tabs>
        <w:rPr>
          <w:rFonts w:ascii="ITC Avant Garde" w:hAnsi="ITC Avant Garde"/>
          <w:bCs/>
          <w:sz w:val="22"/>
          <w:szCs w:val="22"/>
        </w:rPr>
      </w:pPr>
    </w:p>
    <w:p w14:paraId="745FD052" w14:textId="77777777" w:rsidR="005A6DBC" w:rsidRPr="00EE46D9" w:rsidRDefault="005A6DBC" w:rsidP="005A6DBC">
      <w:pPr>
        <w:pStyle w:val="Default"/>
        <w:tabs>
          <w:tab w:val="left" w:pos="0"/>
        </w:tabs>
        <w:ind w:left="709"/>
        <w:rPr>
          <w:rFonts w:ascii="ITC Avant Garde" w:hAnsi="ITC Avant Garde"/>
          <w:bCs/>
          <w:sz w:val="22"/>
          <w:szCs w:val="22"/>
        </w:rPr>
      </w:pPr>
    </w:p>
    <w:p w14:paraId="1AC7C64A" w14:textId="77777777" w:rsidR="005A6DBC" w:rsidRPr="00EE46D9" w:rsidRDefault="005A6DBC" w:rsidP="005A6DBC">
      <w:pPr>
        <w:pStyle w:val="ANOTACION"/>
        <w:spacing w:before="0" w:after="0" w:line="240" w:lineRule="auto"/>
        <w:rPr>
          <w:rFonts w:ascii="ITC Avant Garde" w:hAnsi="ITC Avant Garde" w:cs="Arial"/>
          <w:bCs/>
          <w:sz w:val="22"/>
          <w:szCs w:val="22"/>
          <w:lang w:eastAsia="es-MX"/>
        </w:rPr>
      </w:pPr>
      <w:r w:rsidRPr="00EE46D9">
        <w:rPr>
          <w:rFonts w:ascii="ITC Avant Garde" w:hAnsi="ITC Avant Garde" w:cs="Arial"/>
          <w:bCs/>
          <w:sz w:val="22"/>
          <w:szCs w:val="22"/>
          <w:lang w:eastAsia="es-MX"/>
        </w:rPr>
        <w:t>C O N S I D E R A N D O</w:t>
      </w:r>
    </w:p>
    <w:p w14:paraId="7D0EB8F4" w14:textId="77777777" w:rsidR="005A6DBC" w:rsidRPr="00EE46D9" w:rsidRDefault="005A6DBC" w:rsidP="005A6DBC">
      <w:pPr>
        <w:pStyle w:val="ANOTACION"/>
        <w:spacing w:before="0" w:after="0" w:line="240" w:lineRule="auto"/>
        <w:jc w:val="both"/>
        <w:rPr>
          <w:rFonts w:ascii="ITC Avant Garde" w:hAnsi="ITC Avant Garde" w:cs="Arial"/>
          <w:bCs/>
          <w:sz w:val="22"/>
          <w:szCs w:val="22"/>
          <w:lang w:eastAsia="es-MX"/>
        </w:rPr>
      </w:pPr>
    </w:p>
    <w:p w14:paraId="38DA720F" w14:textId="77777777" w:rsidR="005A6DBC" w:rsidRPr="00EE46D9" w:rsidRDefault="005A6DBC" w:rsidP="005A6DBC">
      <w:pPr>
        <w:pStyle w:val="ANOTACION"/>
        <w:spacing w:before="0" w:after="0" w:line="240" w:lineRule="auto"/>
        <w:jc w:val="both"/>
        <w:rPr>
          <w:rFonts w:ascii="ITC Avant Garde" w:hAnsi="ITC Avant Garde" w:cs="Arial"/>
          <w:bCs/>
          <w:sz w:val="22"/>
          <w:szCs w:val="22"/>
          <w:lang w:eastAsia="es-MX"/>
        </w:rPr>
      </w:pPr>
    </w:p>
    <w:p w14:paraId="2F568862" w14:textId="77777777" w:rsidR="005A6DBC" w:rsidRPr="00EE46D9" w:rsidRDefault="005A6DBC" w:rsidP="005A6DBC">
      <w:pPr>
        <w:jc w:val="both"/>
        <w:rPr>
          <w:rFonts w:ascii="ITC Avant Garde" w:eastAsia="Times New Roman" w:hAnsi="ITC Avant Garde" w:cs="Times New Roman"/>
          <w:bCs/>
          <w:sz w:val="20"/>
          <w:szCs w:val="20"/>
          <w:lang w:val="es-ES_tradnl" w:eastAsia="es-MX"/>
        </w:rPr>
      </w:pPr>
      <w:r w:rsidRPr="00EE46D9">
        <w:rPr>
          <w:rFonts w:ascii="ITC Avant Garde" w:hAnsi="ITC Avant Garde"/>
          <w:b/>
          <w:bCs/>
          <w:sz w:val="20"/>
          <w:szCs w:val="20"/>
          <w:lang w:val="es-ES_tradnl" w:eastAsia="es-MX"/>
        </w:rPr>
        <w:t>PRIMERO. – Competencia del Instituto.</w:t>
      </w:r>
      <w:r w:rsidRPr="00EE46D9">
        <w:rPr>
          <w:rFonts w:ascii="ITC Avant Garde" w:hAnsi="ITC Avant Garde"/>
          <w:b/>
          <w:bCs/>
          <w:sz w:val="22"/>
          <w:szCs w:val="22"/>
          <w:lang w:val="es-ES_tradnl" w:eastAsia="es-MX"/>
        </w:rPr>
        <w:t xml:space="preserve"> </w:t>
      </w:r>
      <w:r w:rsidRPr="001061A9">
        <w:rPr>
          <w:rFonts w:ascii="ITC Avant Garde" w:hAnsi="ITC Avant Garde"/>
          <w:bCs/>
          <w:sz w:val="22"/>
          <w:szCs w:val="22"/>
          <w:lang w:val="es-ES_tradnl" w:eastAsia="es-MX"/>
        </w:rPr>
        <w:t>Que d</w:t>
      </w:r>
      <w:r w:rsidRPr="00EE46D9">
        <w:rPr>
          <w:rFonts w:ascii="ITC Avant Garde" w:eastAsia="Times New Roman" w:hAnsi="ITC Avant Garde" w:cs="Times New Roman"/>
          <w:bCs/>
          <w:sz w:val="20"/>
          <w:szCs w:val="20"/>
          <w:lang w:val="es-ES_tradnl" w:eastAsia="es-MX"/>
        </w:rPr>
        <w:t xml:space="preserve">e conformidad con el artículo 28, párrafo décimo quinto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25BAF6C3" w14:textId="77777777" w:rsidR="005A6DBC" w:rsidRPr="00EE46D9" w:rsidRDefault="005A6DBC" w:rsidP="005A6DBC">
      <w:pPr>
        <w:jc w:val="both"/>
        <w:rPr>
          <w:rFonts w:ascii="ITC Avant Garde" w:eastAsia="Times New Roman" w:hAnsi="ITC Avant Garde" w:cs="Times New Roman"/>
          <w:bCs/>
          <w:sz w:val="20"/>
          <w:szCs w:val="20"/>
          <w:lang w:val="es-ES_tradnl" w:eastAsia="es-MX"/>
        </w:rPr>
      </w:pPr>
    </w:p>
    <w:p w14:paraId="1099648B" w14:textId="77777777" w:rsidR="005A6DBC" w:rsidRPr="00EE46D9" w:rsidRDefault="005A6DBC" w:rsidP="005A6DBC">
      <w:pPr>
        <w:jc w:val="both"/>
        <w:rPr>
          <w:rFonts w:ascii="ITC Avant Garde" w:hAnsi="ITC Avant Garde"/>
          <w:bCs/>
          <w:sz w:val="20"/>
          <w:szCs w:val="20"/>
          <w:lang w:eastAsia="es-MX"/>
        </w:rPr>
      </w:pPr>
      <w:r w:rsidRPr="00EE46D9">
        <w:rPr>
          <w:rFonts w:ascii="ITC Avant Garde" w:hAnsi="ITC Avant Garde"/>
          <w:bCs/>
          <w:sz w:val="20"/>
          <w:szCs w:val="20"/>
          <w:lang w:eastAsia="es-MX"/>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Ley Federal de Telecomunicaciones y Radiodifusión (en lo sucesivo, la “Ley”), garantizando en todo momento lo establecido en los artículos 6° y 7° de la Constitución.</w:t>
      </w:r>
    </w:p>
    <w:p w14:paraId="67B2E9D5" w14:textId="77777777" w:rsidR="005A6DBC" w:rsidRPr="00EE46D9" w:rsidRDefault="005A6DBC" w:rsidP="005A6DBC">
      <w:pPr>
        <w:jc w:val="both"/>
        <w:rPr>
          <w:rFonts w:ascii="ITC Avant Garde" w:hAnsi="ITC Avant Garde"/>
          <w:bCs/>
          <w:sz w:val="20"/>
          <w:szCs w:val="20"/>
          <w:lang w:eastAsia="es-MX"/>
        </w:rPr>
      </w:pPr>
    </w:p>
    <w:p w14:paraId="55C17934" w14:textId="77777777" w:rsidR="005A6DBC" w:rsidRPr="00EE46D9" w:rsidRDefault="005A6DBC" w:rsidP="005A6DBC">
      <w:pPr>
        <w:jc w:val="both"/>
        <w:rPr>
          <w:rFonts w:ascii="ITC Avant Garde" w:hAnsi="ITC Avant Garde"/>
          <w:bCs/>
          <w:sz w:val="20"/>
          <w:szCs w:val="20"/>
          <w:lang w:eastAsia="es-MX"/>
        </w:rPr>
      </w:pPr>
      <w:r w:rsidRPr="00EE46D9">
        <w:rPr>
          <w:rFonts w:ascii="ITC Avant Garde" w:hAnsi="ITC Avant Garde"/>
          <w:bCs/>
          <w:sz w:val="20"/>
          <w:szCs w:val="20"/>
          <w:lang w:eastAsia="es-MX"/>
        </w:rPr>
        <w:t>Asimismo, el párrafo décimo sexto del artículo 28 de la Constitución establece que el Instituto es también la autoridad en materia de competencia económica de los sectores de radiodifusión y telecomunicaciones, en tal sentido, el artículo 5 de la LFCE prevé que el Instituto ejercerá en forma exclusiva las facultades que el artículo 28 de la Constitución, y las leyes establecen para la Comisión Federal de Competencia Económica.</w:t>
      </w:r>
    </w:p>
    <w:p w14:paraId="7A539E26" w14:textId="77777777" w:rsidR="005A6DBC" w:rsidRPr="00EE46D9" w:rsidRDefault="005A6DBC" w:rsidP="005A6DBC">
      <w:pPr>
        <w:jc w:val="both"/>
        <w:rPr>
          <w:rFonts w:ascii="ITC Avant Garde" w:hAnsi="ITC Avant Garde"/>
          <w:bCs/>
          <w:sz w:val="20"/>
          <w:szCs w:val="20"/>
          <w:lang w:eastAsia="es-MX"/>
        </w:rPr>
      </w:pPr>
    </w:p>
    <w:p w14:paraId="74E704F9" w14:textId="77777777" w:rsidR="005A6DBC" w:rsidRDefault="005A6DBC" w:rsidP="005A6DBC">
      <w:pPr>
        <w:jc w:val="both"/>
        <w:rPr>
          <w:rFonts w:ascii="ITC Avant Garde" w:hAnsi="ITC Avant Garde"/>
          <w:bCs/>
          <w:sz w:val="20"/>
          <w:szCs w:val="20"/>
          <w:lang w:eastAsia="es-MX"/>
        </w:rPr>
      </w:pPr>
      <w:r>
        <w:rPr>
          <w:rFonts w:ascii="ITC Avant Garde" w:hAnsi="ITC Avant Garde"/>
          <w:bCs/>
          <w:sz w:val="20"/>
          <w:szCs w:val="20"/>
          <w:lang w:eastAsia="es-MX"/>
        </w:rPr>
        <w:t>Adicionalmente, e</w:t>
      </w:r>
      <w:r w:rsidRPr="00EE46D9">
        <w:rPr>
          <w:rFonts w:ascii="ITC Avant Garde" w:hAnsi="ITC Avant Garde"/>
          <w:bCs/>
          <w:sz w:val="20"/>
          <w:szCs w:val="20"/>
          <w:lang w:eastAsia="es-MX"/>
        </w:rPr>
        <w:t xml:space="preserve">l vigésimo párrafo, fracción IV, del artículo 28 de la Constitución señala que el Instituto podrá emitir disposiciones administrativas de carácter general exclusivamente para el cumplimiento de su función regulatoria en el sector de su competencia. </w:t>
      </w:r>
    </w:p>
    <w:p w14:paraId="5DB6B752" w14:textId="77777777" w:rsidR="005A6DBC" w:rsidRDefault="005A6DBC" w:rsidP="005A6DBC">
      <w:pPr>
        <w:jc w:val="both"/>
        <w:rPr>
          <w:rFonts w:ascii="ITC Avant Garde" w:hAnsi="ITC Avant Garde"/>
          <w:bCs/>
          <w:sz w:val="20"/>
          <w:szCs w:val="20"/>
          <w:lang w:eastAsia="es-MX"/>
        </w:rPr>
      </w:pPr>
    </w:p>
    <w:p w14:paraId="45A3B029" w14:textId="77777777" w:rsidR="005A6DBC" w:rsidRPr="00EE46D9" w:rsidRDefault="005A6DBC" w:rsidP="005A6DBC">
      <w:pPr>
        <w:jc w:val="both"/>
        <w:rPr>
          <w:rFonts w:ascii="ITC Avant Garde" w:hAnsi="ITC Avant Garde"/>
          <w:bCs/>
          <w:sz w:val="20"/>
          <w:szCs w:val="20"/>
          <w:lang w:eastAsia="es-MX"/>
        </w:rPr>
      </w:pPr>
      <w:r w:rsidRPr="00EE46D9">
        <w:rPr>
          <w:rFonts w:ascii="ITC Avant Garde" w:hAnsi="ITC Avant Garde"/>
          <w:bCs/>
          <w:sz w:val="20"/>
          <w:szCs w:val="20"/>
          <w:lang w:eastAsia="es-MX"/>
        </w:rPr>
        <w:t xml:space="preserve">En </w:t>
      </w:r>
      <w:r>
        <w:rPr>
          <w:rFonts w:ascii="ITC Avant Garde" w:hAnsi="ITC Avant Garde"/>
          <w:bCs/>
          <w:sz w:val="20"/>
          <w:szCs w:val="20"/>
          <w:lang w:eastAsia="es-MX"/>
        </w:rPr>
        <w:t>particular, en términos de lo dispuesto por</w:t>
      </w:r>
      <w:r w:rsidRPr="00EE46D9">
        <w:rPr>
          <w:rFonts w:ascii="ITC Avant Garde" w:hAnsi="ITC Avant Garde"/>
          <w:bCs/>
          <w:sz w:val="20"/>
          <w:szCs w:val="20"/>
          <w:lang w:eastAsia="es-MX"/>
        </w:rPr>
        <w:t xml:space="preserve"> el artículo 15, fracciones I, XLI y LVI</w:t>
      </w:r>
      <w:r>
        <w:rPr>
          <w:rFonts w:ascii="ITC Avant Garde" w:hAnsi="ITC Avant Garde"/>
          <w:bCs/>
          <w:sz w:val="20"/>
          <w:szCs w:val="20"/>
          <w:lang w:eastAsia="es-MX"/>
        </w:rPr>
        <w:t xml:space="preserve"> de la Ley</w:t>
      </w:r>
      <w:r w:rsidRPr="00EE46D9">
        <w:rPr>
          <w:rFonts w:ascii="ITC Avant Garde" w:hAnsi="ITC Avant Garde"/>
          <w:bCs/>
          <w:sz w:val="20"/>
          <w:szCs w:val="20"/>
          <w:lang w:eastAsia="es-MX"/>
        </w:rPr>
        <w:t xml:space="preserve">, el Instituto podrá expedir disposiciones administrativas de carácter general en materia de </w:t>
      </w:r>
      <w:r w:rsidRPr="00EE46D9">
        <w:rPr>
          <w:rFonts w:ascii="ITC Avant Garde" w:hAnsi="ITC Avant Garde"/>
          <w:bCs/>
          <w:sz w:val="20"/>
          <w:szCs w:val="20"/>
          <w:lang w:eastAsia="es-MX"/>
        </w:rPr>
        <w:lastRenderedPageBreak/>
        <w:t>telecomunicaciones y radiodifusión, así como, establecer las disposiciones para sus procesos de mejora regulatoria.</w:t>
      </w:r>
    </w:p>
    <w:p w14:paraId="33A9F9E6" w14:textId="77777777" w:rsidR="005A6DBC" w:rsidRPr="00EE46D9" w:rsidRDefault="005A6DBC" w:rsidP="005A6DBC">
      <w:pPr>
        <w:jc w:val="both"/>
        <w:rPr>
          <w:rFonts w:ascii="ITC Avant Garde" w:hAnsi="ITC Avant Garde"/>
          <w:bCs/>
          <w:sz w:val="20"/>
          <w:szCs w:val="20"/>
          <w:lang w:eastAsia="es-MX"/>
        </w:rPr>
      </w:pPr>
    </w:p>
    <w:p w14:paraId="1AE4C0B4" w14:textId="6378339F" w:rsidR="005A6DBC" w:rsidRPr="009E50AA" w:rsidRDefault="00B103E2" w:rsidP="005A6DBC">
      <w:pPr>
        <w:jc w:val="both"/>
        <w:rPr>
          <w:rFonts w:ascii="ITC Avant Garde" w:hAnsi="ITC Avant Garde"/>
          <w:bCs/>
          <w:sz w:val="20"/>
          <w:szCs w:val="20"/>
          <w:lang w:eastAsia="es-MX"/>
        </w:rPr>
      </w:pPr>
      <w:r w:rsidRPr="001061A9">
        <w:rPr>
          <w:rFonts w:ascii="ITC Avant Garde" w:hAnsi="ITC Avant Garde"/>
          <w:bCs/>
          <w:sz w:val="20"/>
          <w:szCs w:val="20"/>
          <w:lang w:eastAsia="es-MX"/>
        </w:rPr>
        <w:t xml:space="preserve">Por lo anterior, y con fundamento en los artículos </w:t>
      </w:r>
      <w:r w:rsidRPr="00425913">
        <w:rPr>
          <w:rFonts w:ascii="ITC Avant Garde" w:hAnsi="ITC Avant Garde"/>
          <w:bCs/>
          <w:sz w:val="20"/>
          <w:szCs w:val="20"/>
          <w:lang w:eastAsia="es-MX"/>
        </w:rPr>
        <w:t>6o, apartado B</w:t>
      </w:r>
      <w:r>
        <w:rPr>
          <w:rFonts w:ascii="ITC Avant Garde" w:hAnsi="ITC Avant Garde"/>
          <w:bCs/>
          <w:sz w:val="20"/>
          <w:szCs w:val="20"/>
          <w:lang w:eastAsia="es-MX"/>
        </w:rPr>
        <w:t>, fracciones II y III</w:t>
      </w:r>
      <w:r w:rsidRPr="00425913">
        <w:rPr>
          <w:rFonts w:ascii="ITC Avant Garde" w:hAnsi="ITC Avant Garde"/>
          <w:bCs/>
          <w:sz w:val="20"/>
          <w:szCs w:val="20"/>
          <w:lang w:eastAsia="es-MX"/>
        </w:rPr>
        <w:t xml:space="preserve"> y 28, párrafos décimo quinto, décimo sexto y vigésimo, fracción IV, de la Constitución; 1, 2,</w:t>
      </w:r>
      <w:r>
        <w:rPr>
          <w:rFonts w:ascii="ITC Avant Garde" w:hAnsi="ITC Avant Garde"/>
          <w:bCs/>
          <w:sz w:val="20"/>
          <w:szCs w:val="20"/>
          <w:lang w:eastAsia="es-MX"/>
        </w:rPr>
        <w:t xml:space="preserve"> 4, 5,</w:t>
      </w:r>
      <w:r w:rsidRPr="00425913">
        <w:rPr>
          <w:rFonts w:ascii="ITC Avant Garde" w:hAnsi="ITC Avant Garde"/>
          <w:bCs/>
          <w:sz w:val="20"/>
          <w:szCs w:val="20"/>
          <w:lang w:eastAsia="es-MX"/>
        </w:rPr>
        <w:t xml:space="preserve"> 7, 15, fracciones I, XLI y LVI, 16, 17, fracci</w:t>
      </w:r>
      <w:r>
        <w:rPr>
          <w:rFonts w:ascii="ITC Avant Garde" w:hAnsi="ITC Avant Garde"/>
          <w:bCs/>
          <w:sz w:val="20"/>
          <w:szCs w:val="20"/>
          <w:lang w:eastAsia="es-MX"/>
        </w:rPr>
        <w:t>o</w:t>
      </w:r>
      <w:r w:rsidRPr="00425913">
        <w:rPr>
          <w:rFonts w:ascii="ITC Avant Garde" w:hAnsi="ITC Avant Garde"/>
          <w:bCs/>
          <w:sz w:val="20"/>
          <w:szCs w:val="20"/>
          <w:lang w:eastAsia="es-MX"/>
        </w:rPr>
        <w:t>n</w:t>
      </w:r>
      <w:r>
        <w:rPr>
          <w:rFonts w:ascii="ITC Avant Garde" w:hAnsi="ITC Avant Garde"/>
          <w:bCs/>
          <w:sz w:val="20"/>
          <w:szCs w:val="20"/>
          <w:lang w:eastAsia="es-MX"/>
        </w:rPr>
        <w:t>es</w:t>
      </w:r>
      <w:r w:rsidRPr="00425913">
        <w:rPr>
          <w:rFonts w:ascii="ITC Avant Garde" w:hAnsi="ITC Avant Garde"/>
          <w:bCs/>
          <w:sz w:val="20"/>
          <w:szCs w:val="20"/>
          <w:lang w:eastAsia="es-MX"/>
        </w:rPr>
        <w:t xml:space="preserve"> I y XV,  51</w:t>
      </w:r>
      <w:r>
        <w:rPr>
          <w:rFonts w:ascii="ITC Avant Garde" w:hAnsi="ITC Avant Garde"/>
          <w:bCs/>
          <w:sz w:val="20"/>
          <w:szCs w:val="20"/>
          <w:lang w:eastAsia="es-MX"/>
        </w:rPr>
        <w:t xml:space="preserve"> y 52</w:t>
      </w:r>
      <w:r w:rsidRPr="00425913">
        <w:rPr>
          <w:rFonts w:ascii="ITC Avant Garde" w:hAnsi="ITC Avant Garde"/>
          <w:bCs/>
          <w:sz w:val="20"/>
          <w:szCs w:val="20"/>
          <w:lang w:eastAsia="es-MX"/>
        </w:rPr>
        <w:t xml:space="preserve"> de la Ley, y 1, 4, fracción I, y 6, fracciones I, XX</w:t>
      </w:r>
      <w:r>
        <w:rPr>
          <w:rFonts w:ascii="ITC Avant Garde" w:hAnsi="ITC Avant Garde"/>
          <w:bCs/>
          <w:sz w:val="20"/>
          <w:szCs w:val="20"/>
          <w:lang w:eastAsia="es-MX"/>
        </w:rPr>
        <w:t xml:space="preserve"> y</w:t>
      </w:r>
      <w:r w:rsidRPr="00425913">
        <w:rPr>
          <w:rFonts w:ascii="ITC Avant Garde" w:hAnsi="ITC Avant Garde"/>
          <w:bCs/>
          <w:sz w:val="20"/>
          <w:szCs w:val="20"/>
          <w:lang w:eastAsia="es-MX"/>
        </w:rPr>
        <w:t xml:space="preserve"> XXV </w:t>
      </w:r>
      <w:r w:rsidRPr="001061A9">
        <w:rPr>
          <w:rFonts w:ascii="ITC Avant Garde" w:hAnsi="ITC Avant Garde"/>
          <w:bCs/>
          <w:sz w:val="20"/>
          <w:szCs w:val="20"/>
          <w:lang w:eastAsia="es-MX"/>
        </w:rPr>
        <w:t xml:space="preserve"> del Estatuto, el Pleno del Instituto, en su carácter de órgano máximo de gobierno y decisión, es competente para aprobar y emitir </w:t>
      </w:r>
      <w:r>
        <w:rPr>
          <w:rFonts w:ascii="ITC Avant Garde" w:hAnsi="ITC Avant Garde"/>
          <w:bCs/>
          <w:sz w:val="20"/>
          <w:szCs w:val="20"/>
          <w:lang w:eastAsia="es-MX"/>
        </w:rPr>
        <w:t>el</w:t>
      </w:r>
      <w:r w:rsidRPr="001061A9">
        <w:rPr>
          <w:rFonts w:ascii="ITC Avant Garde" w:hAnsi="ITC Avant Garde"/>
          <w:bCs/>
          <w:sz w:val="20"/>
          <w:szCs w:val="20"/>
          <w:lang w:eastAsia="es-MX"/>
        </w:rPr>
        <w:t xml:space="preserve"> “</w:t>
      </w:r>
      <w:r>
        <w:rPr>
          <w:rFonts w:ascii="ITC Avant Garde" w:hAnsi="ITC Avant Garde"/>
          <w:bCs/>
          <w:sz w:val="20"/>
          <w:szCs w:val="20"/>
          <w:lang w:eastAsia="es-MX"/>
        </w:rPr>
        <w:t>A</w:t>
      </w:r>
      <w:r w:rsidRPr="00F360E1">
        <w:rPr>
          <w:rFonts w:ascii="ITC Avant Garde" w:hAnsi="ITC Avant Garde"/>
          <w:bCs/>
          <w:sz w:val="20"/>
          <w:szCs w:val="20"/>
          <w:lang w:eastAsia="es-MX"/>
        </w:rPr>
        <w:t xml:space="preserve">cuerdo mediante el cual el </w:t>
      </w:r>
      <w:r>
        <w:rPr>
          <w:rFonts w:ascii="ITC Avant Garde" w:hAnsi="ITC Avant Garde"/>
          <w:bCs/>
          <w:sz w:val="20"/>
          <w:szCs w:val="20"/>
          <w:lang w:eastAsia="es-MX"/>
        </w:rPr>
        <w:t>P</w:t>
      </w:r>
      <w:r w:rsidRPr="00F360E1">
        <w:rPr>
          <w:rFonts w:ascii="ITC Avant Garde" w:hAnsi="ITC Avant Garde"/>
          <w:bCs/>
          <w:sz w:val="20"/>
          <w:szCs w:val="20"/>
          <w:lang w:eastAsia="es-MX"/>
        </w:rPr>
        <w:t xml:space="preserve">leno del </w:t>
      </w:r>
      <w:r>
        <w:rPr>
          <w:rFonts w:ascii="ITC Avant Garde" w:hAnsi="ITC Avant Garde"/>
          <w:bCs/>
          <w:sz w:val="20"/>
          <w:szCs w:val="20"/>
          <w:lang w:eastAsia="es-MX"/>
        </w:rPr>
        <w:t>I</w:t>
      </w:r>
      <w:r w:rsidRPr="00F360E1">
        <w:rPr>
          <w:rFonts w:ascii="ITC Avant Garde" w:hAnsi="ITC Avant Garde"/>
          <w:bCs/>
          <w:sz w:val="20"/>
          <w:szCs w:val="20"/>
          <w:lang w:eastAsia="es-MX"/>
        </w:rPr>
        <w:t xml:space="preserve">nstituto </w:t>
      </w:r>
      <w:r>
        <w:rPr>
          <w:rFonts w:ascii="ITC Avant Garde" w:hAnsi="ITC Avant Garde"/>
          <w:bCs/>
          <w:sz w:val="20"/>
          <w:szCs w:val="20"/>
          <w:lang w:eastAsia="es-MX"/>
        </w:rPr>
        <w:t>Federal de T</w:t>
      </w:r>
      <w:r w:rsidRPr="00F360E1">
        <w:rPr>
          <w:rFonts w:ascii="ITC Avant Garde" w:hAnsi="ITC Avant Garde"/>
          <w:bCs/>
          <w:sz w:val="20"/>
          <w:szCs w:val="20"/>
          <w:lang w:eastAsia="es-MX"/>
        </w:rPr>
        <w:t xml:space="preserve">elecomunicaciones emite los formatos que deberán utilizarse para realizar diversos trámites y servicios ante el </w:t>
      </w:r>
      <w:r>
        <w:rPr>
          <w:rFonts w:ascii="ITC Avant Garde" w:hAnsi="ITC Avant Garde"/>
          <w:bCs/>
          <w:sz w:val="20"/>
          <w:szCs w:val="20"/>
          <w:lang w:eastAsia="es-MX"/>
        </w:rPr>
        <w:t>Instituto Federal de T</w:t>
      </w:r>
      <w:r w:rsidRPr="00F360E1">
        <w:rPr>
          <w:rFonts w:ascii="ITC Avant Garde" w:hAnsi="ITC Avant Garde"/>
          <w:bCs/>
          <w:sz w:val="20"/>
          <w:szCs w:val="20"/>
          <w:lang w:eastAsia="es-MX"/>
        </w:rPr>
        <w:t>elecomunicaciones</w:t>
      </w:r>
      <w:r w:rsidRPr="001061A9">
        <w:rPr>
          <w:rFonts w:ascii="ITC Avant Garde" w:hAnsi="ITC Avant Garde"/>
          <w:bCs/>
          <w:sz w:val="20"/>
          <w:szCs w:val="20"/>
          <w:lang w:eastAsia="es-MX"/>
        </w:rPr>
        <w:t xml:space="preserve">” (en lo sucesivo, </w:t>
      </w:r>
      <w:r>
        <w:rPr>
          <w:rFonts w:ascii="ITC Avant Garde" w:hAnsi="ITC Avant Garde"/>
          <w:bCs/>
          <w:sz w:val="20"/>
          <w:szCs w:val="20"/>
          <w:lang w:eastAsia="es-MX"/>
        </w:rPr>
        <w:t>el</w:t>
      </w:r>
      <w:r w:rsidRPr="001061A9">
        <w:rPr>
          <w:rFonts w:ascii="ITC Avant Garde" w:hAnsi="ITC Avant Garde"/>
          <w:bCs/>
          <w:sz w:val="20"/>
          <w:szCs w:val="20"/>
          <w:lang w:eastAsia="es-MX"/>
        </w:rPr>
        <w:t xml:space="preserve"> “</w:t>
      </w:r>
      <w:r>
        <w:rPr>
          <w:rFonts w:ascii="ITC Avant Garde" w:hAnsi="ITC Avant Garde"/>
          <w:bCs/>
          <w:sz w:val="20"/>
          <w:szCs w:val="20"/>
          <w:lang w:eastAsia="es-MX"/>
        </w:rPr>
        <w:t>Acuerdo</w:t>
      </w:r>
      <w:r w:rsidRPr="001061A9">
        <w:rPr>
          <w:rFonts w:ascii="ITC Avant Garde" w:hAnsi="ITC Avant Garde"/>
          <w:bCs/>
          <w:sz w:val="20"/>
          <w:szCs w:val="20"/>
          <w:lang w:eastAsia="es-MX"/>
        </w:rPr>
        <w:t>”)</w:t>
      </w:r>
      <w:r>
        <w:rPr>
          <w:rFonts w:ascii="ITC Avant Garde" w:hAnsi="ITC Avant Garde"/>
          <w:bCs/>
          <w:sz w:val="20"/>
          <w:szCs w:val="20"/>
          <w:lang w:eastAsia="es-MX"/>
        </w:rPr>
        <w:t xml:space="preserve"> y sus Anexos</w:t>
      </w:r>
      <w:r w:rsidRPr="001061A9">
        <w:rPr>
          <w:rFonts w:ascii="ITC Avant Garde" w:hAnsi="ITC Avant Garde"/>
          <w:bCs/>
          <w:sz w:val="20"/>
          <w:szCs w:val="20"/>
          <w:lang w:eastAsia="es-MX"/>
        </w:rPr>
        <w:t>.</w:t>
      </w:r>
      <w:r w:rsidR="005A6DBC" w:rsidRPr="009E50AA">
        <w:rPr>
          <w:rFonts w:ascii="ITC Avant Garde" w:hAnsi="ITC Avant Garde"/>
          <w:bCs/>
          <w:sz w:val="20"/>
          <w:szCs w:val="20"/>
          <w:lang w:eastAsia="es-MX"/>
        </w:rPr>
        <w:t xml:space="preserve">  </w:t>
      </w:r>
    </w:p>
    <w:p w14:paraId="54C16C31" w14:textId="77777777" w:rsidR="005A6DBC" w:rsidRPr="009E50AA" w:rsidRDefault="005A6DBC" w:rsidP="005A6DBC">
      <w:pPr>
        <w:jc w:val="both"/>
        <w:rPr>
          <w:rFonts w:ascii="ITC Avant Garde" w:hAnsi="ITC Avant Garde"/>
          <w:bCs/>
          <w:sz w:val="20"/>
          <w:szCs w:val="20"/>
          <w:lang w:eastAsia="es-MX"/>
        </w:rPr>
      </w:pPr>
    </w:p>
    <w:p w14:paraId="1B60737D" w14:textId="77777777" w:rsidR="005A6DBC" w:rsidRPr="009E50AA" w:rsidRDefault="005A6DBC" w:rsidP="005A6DBC">
      <w:pPr>
        <w:jc w:val="both"/>
        <w:rPr>
          <w:rFonts w:ascii="ITC Avant Garde" w:hAnsi="ITC Avant Garde" w:cs="Times New Roman"/>
          <w:bCs/>
          <w:sz w:val="20"/>
          <w:szCs w:val="20"/>
          <w:lang w:val="es-ES_tradnl"/>
        </w:rPr>
      </w:pPr>
      <w:r w:rsidRPr="009E50AA">
        <w:rPr>
          <w:rFonts w:ascii="ITC Avant Garde" w:hAnsi="ITC Avant Garde"/>
          <w:b/>
          <w:sz w:val="20"/>
          <w:szCs w:val="20"/>
        </w:rPr>
        <w:t>SEGUNDO</w:t>
      </w:r>
      <w:r w:rsidRPr="009E50AA">
        <w:rPr>
          <w:rFonts w:ascii="ITC Avant Garde" w:hAnsi="ITC Avant Garde"/>
          <w:sz w:val="20"/>
          <w:szCs w:val="20"/>
        </w:rPr>
        <w:t xml:space="preserve">. </w:t>
      </w:r>
      <w:r w:rsidRPr="009E50AA">
        <w:rPr>
          <w:rFonts w:ascii="ITC Avant Garde" w:hAnsi="ITC Avant Garde"/>
          <w:b/>
          <w:bCs/>
          <w:sz w:val="20"/>
          <w:szCs w:val="20"/>
        </w:rPr>
        <w:t xml:space="preserve">– Contenido y Objeto. </w:t>
      </w:r>
      <w:r w:rsidRPr="009E50AA">
        <w:rPr>
          <w:rFonts w:ascii="ITC Avant Garde" w:hAnsi="ITC Avant Garde" w:cs="Times New Roman"/>
          <w:bCs/>
          <w:sz w:val="20"/>
          <w:szCs w:val="20"/>
          <w:lang w:val="es-ES_tradnl"/>
        </w:rPr>
        <w:t xml:space="preserve">Que el presente Acuerdo tiene por objeto emplear la simplificación administrativa como herramienta para hacer eficiente, agilizar e incluso transparentar la gestión del proceso relacionado con los trámites y servicios en materia de telecomunicaciones y radiodifusión a cargo del Instituto, a través del uso de formatos, así como </w:t>
      </w:r>
      <w:r w:rsidRPr="009E50AA">
        <w:rPr>
          <w:rFonts w:ascii="ITC Avant Garde" w:hAnsi="ITC Avant Garde"/>
          <w:sz w:val="20"/>
          <w:szCs w:val="20"/>
        </w:rPr>
        <w:t>la reducción de la carga administrativa asociada a éstos</w:t>
      </w:r>
      <w:r w:rsidRPr="009E50AA">
        <w:rPr>
          <w:rFonts w:ascii="ITC Avant Garde" w:hAnsi="ITC Avant Garde" w:cs="Times New Roman"/>
          <w:bCs/>
          <w:sz w:val="20"/>
          <w:szCs w:val="20"/>
          <w:lang w:val="es-ES_tradnl"/>
        </w:rPr>
        <w:t xml:space="preserve">. </w:t>
      </w:r>
    </w:p>
    <w:p w14:paraId="5E3B3429" w14:textId="77777777" w:rsidR="005A6DBC" w:rsidRPr="009E50AA" w:rsidRDefault="005A6DBC" w:rsidP="005A6DBC">
      <w:pPr>
        <w:jc w:val="both"/>
        <w:rPr>
          <w:rFonts w:ascii="ITC Avant Garde" w:hAnsi="ITC Avant Garde" w:cs="Times New Roman"/>
          <w:bCs/>
          <w:sz w:val="20"/>
          <w:szCs w:val="20"/>
          <w:lang w:val="es-ES_tradnl"/>
        </w:rPr>
      </w:pPr>
    </w:p>
    <w:p w14:paraId="204CFA1D" w14:textId="77777777" w:rsidR="005A6DBC" w:rsidRPr="00EE46D9" w:rsidRDefault="005A6DBC" w:rsidP="005A6DBC">
      <w:pPr>
        <w:jc w:val="both"/>
        <w:rPr>
          <w:rFonts w:ascii="ITC Avant Garde" w:hAnsi="ITC Avant Garde"/>
          <w:sz w:val="20"/>
          <w:szCs w:val="20"/>
        </w:rPr>
      </w:pPr>
      <w:r w:rsidRPr="009E50AA">
        <w:rPr>
          <w:rFonts w:ascii="ITC Avant Garde" w:hAnsi="ITC Avant Garde"/>
          <w:sz w:val="20"/>
          <w:szCs w:val="20"/>
        </w:rPr>
        <w:t>Lo anterior, a través de la expedición de una disposición administrativa de carácter general aplicable a cualquier persona física, moral, ente público o comunidad social o indígena</w:t>
      </w:r>
      <w:r w:rsidR="002E198D" w:rsidRPr="009E50AA">
        <w:rPr>
          <w:rFonts w:ascii="ITC Avant Garde" w:hAnsi="ITC Avant Garde"/>
          <w:sz w:val="20"/>
          <w:szCs w:val="20"/>
        </w:rPr>
        <w:t>,</w:t>
      </w:r>
      <w:r w:rsidRPr="009E50AA">
        <w:rPr>
          <w:rFonts w:ascii="ITC Avant Garde" w:hAnsi="ITC Avant Garde"/>
          <w:sz w:val="20"/>
          <w:szCs w:val="20"/>
        </w:rPr>
        <w:t xml:space="preserve"> que les oriente y facilite elaborar sus solicitudes</w:t>
      </w:r>
      <w:r w:rsidRPr="00EE46D9">
        <w:rPr>
          <w:rFonts w:ascii="ITC Avant Garde" w:hAnsi="ITC Avant Garde"/>
          <w:sz w:val="20"/>
          <w:szCs w:val="20"/>
        </w:rPr>
        <w:t xml:space="preserve"> o entregas de información al Instituto para dar cumplimiento a sus obligaciones derivadas de distintas normas jurídicas o bien, para ejercer algún derecho que le corresponda. </w:t>
      </w:r>
    </w:p>
    <w:p w14:paraId="4423EF9E" w14:textId="77777777" w:rsidR="005A6DBC" w:rsidRPr="00EE46D9" w:rsidRDefault="005A6DBC" w:rsidP="005A6DBC">
      <w:pPr>
        <w:jc w:val="both"/>
        <w:rPr>
          <w:rFonts w:ascii="ITC Avant Garde" w:hAnsi="ITC Avant Garde"/>
          <w:sz w:val="20"/>
          <w:szCs w:val="20"/>
        </w:rPr>
      </w:pPr>
    </w:p>
    <w:p w14:paraId="31AC6C5F" w14:textId="77777777" w:rsidR="005A6DBC" w:rsidRPr="00EE46D9" w:rsidRDefault="005A6DBC" w:rsidP="005A6DBC">
      <w:pPr>
        <w:pStyle w:val="Default"/>
        <w:tabs>
          <w:tab w:val="left" w:pos="0"/>
        </w:tabs>
        <w:jc w:val="both"/>
        <w:rPr>
          <w:rFonts w:ascii="ITC Avant Garde" w:hAnsi="ITC Avant Garde"/>
          <w:sz w:val="20"/>
          <w:szCs w:val="20"/>
        </w:rPr>
      </w:pPr>
      <w:r w:rsidRPr="00EE46D9">
        <w:rPr>
          <w:rFonts w:ascii="ITC Avant Garde" w:hAnsi="ITC Avant Garde"/>
          <w:sz w:val="20"/>
          <w:szCs w:val="20"/>
        </w:rPr>
        <w:t>Al respecto, el Instituto a efecto de dotar de certeza y seguridad jurídica a sus regulados emitirá los formatos que se emplearán en los siguientes trámites y servicios a su cargo:</w:t>
      </w:r>
    </w:p>
    <w:p w14:paraId="3EC64889" w14:textId="77777777" w:rsidR="005A6DBC" w:rsidRPr="00EE46D9" w:rsidRDefault="005A6DBC" w:rsidP="005A6DBC">
      <w:pPr>
        <w:pStyle w:val="Default"/>
        <w:tabs>
          <w:tab w:val="left" w:pos="0"/>
        </w:tabs>
        <w:jc w:val="both"/>
        <w:rPr>
          <w:rFonts w:ascii="ITC Avant Garde" w:hAnsi="ITC Avant Garde"/>
          <w:sz w:val="20"/>
          <w:szCs w:val="20"/>
        </w:rPr>
      </w:pPr>
    </w:p>
    <w:p w14:paraId="57D9894F" w14:textId="77777777" w:rsidR="005A6DBC" w:rsidRPr="00EE46D9" w:rsidRDefault="005A6DBC" w:rsidP="005A6DBC">
      <w:pPr>
        <w:pStyle w:val="Default"/>
        <w:numPr>
          <w:ilvl w:val="0"/>
          <w:numId w:val="2"/>
        </w:numPr>
        <w:jc w:val="both"/>
        <w:rPr>
          <w:rFonts w:ascii="ITC Avant Garde" w:hAnsi="ITC Avant Garde"/>
          <w:sz w:val="20"/>
          <w:szCs w:val="20"/>
        </w:rPr>
      </w:pPr>
      <w:r w:rsidRPr="00EE46D9">
        <w:rPr>
          <w:rFonts w:ascii="ITC Avant Garde" w:hAnsi="ITC Avant Garde"/>
          <w:sz w:val="20"/>
          <w:szCs w:val="20"/>
        </w:rPr>
        <w:t>Aviso de solicitud de bloqueo de contenidos programáticos</w:t>
      </w:r>
      <w:r w:rsidRPr="008B276D">
        <w:rPr>
          <w:rFonts w:ascii="ITC Avant Garde" w:hAnsi="ITC Avant Garde"/>
          <w:sz w:val="20"/>
          <w:szCs w:val="20"/>
        </w:rPr>
        <w:t>, previsto en el artículo 8 de los Lineamientos Generales;</w:t>
      </w:r>
    </w:p>
    <w:p w14:paraId="4F7577DC" w14:textId="77777777" w:rsidR="005A6DBC" w:rsidRPr="00EE46D9" w:rsidRDefault="005A6DBC" w:rsidP="005A6DBC">
      <w:pPr>
        <w:pStyle w:val="Default"/>
        <w:ind w:left="778"/>
        <w:jc w:val="both"/>
        <w:rPr>
          <w:rFonts w:ascii="ITC Avant Garde" w:hAnsi="ITC Avant Garde"/>
          <w:sz w:val="20"/>
          <w:szCs w:val="20"/>
        </w:rPr>
      </w:pPr>
    </w:p>
    <w:p w14:paraId="68841CCB" w14:textId="77777777" w:rsidR="005A6DBC" w:rsidRPr="00EE46D9" w:rsidRDefault="005A6DBC" w:rsidP="005A6DBC">
      <w:pPr>
        <w:pStyle w:val="Default"/>
        <w:numPr>
          <w:ilvl w:val="0"/>
          <w:numId w:val="2"/>
        </w:numPr>
        <w:jc w:val="both"/>
        <w:rPr>
          <w:rFonts w:ascii="ITC Avant Garde" w:hAnsi="ITC Avant Garde"/>
          <w:sz w:val="20"/>
          <w:szCs w:val="20"/>
        </w:rPr>
      </w:pPr>
      <w:r w:rsidRPr="00EE46D9">
        <w:rPr>
          <w:rFonts w:ascii="ITC Avant Garde" w:hAnsi="ITC Avant Garde"/>
          <w:sz w:val="20"/>
          <w:szCs w:val="20"/>
        </w:rPr>
        <w:t>Solicitud sobre disponibilidad de señales ra</w:t>
      </w:r>
      <w:r w:rsidR="00F27376">
        <w:rPr>
          <w:rFonts w:ascii="ITC Avant Garde" w:hAnsi="ITC Avant Garde"/>
          <w:sz w:val="20"/>
          <w:szCs w:val="20"/>
        </w:rPr>
        <w:t>diodifundidas que realizan las instituciones públicas f</w:t>
      </w:r>
      <w:r w:rsidRPr="00EE46D9">
        <w:rPr>
          <w:rFonts w:ascii="ITC Avant Garde" w:hAnsi="ITC Avant Garde"/>
          <w:sz w:val="20"/>
          <w:szCs w:val="20"/>
        </w:rPr>
        <w:t>ederales para su retransmisión, previsto en el artículo 12, párrafo sexto</w:t>
      </w:r>
      <w:r w:rsidR="00F27376">
        <w:rPr>
          <w:rFonts w:ascii="ITC Avant Garde" w:hAnsi="ITC Avant Garde"/>
          <w:sz w:val="20"/>
          <w:szCs w:val="20"/>
        </w:rPr>
        <w:t>,</w:t>
      </w:r>
      <w:r w:rsidRPr="00EE46D9">
        <w:rPr>
          <w:rFonts w:ascii="ITC Avant Garde" w:hAnsi="ITC Avant Garde"/>
          <w:sz w:val="20"/>
          <w:szCs w:val="20"/>
        </w:rPr>
        <w:t xml:space="preserve"> de los Lineamientos Generales;</w:t>
      </w:r>
    </w:p>
    <w:p w14:paraId="2F518AD6" w14:textId="77777777" w:rsidR="005A6DBC" w:rsidRPr="00EE46D9" w:rsidRDefault="005A6DBC" w:rsidP="005A6DBC">
      <w:pPr>
        <w:pStyle w:val="Default"/>
        <w:jc w:val="both"/>
        <w:rPr>
          <w:rFonts w:ascii="ITC Avant Garde" w:hAnsi="ITC Avant Garde"/>
          <w:sz w:val="20"/>
          <w:szCs w:val="20"/>
        </w:rPr>
      </w:pPr>
    </w:p>
    <w:p w14:paraId="66480D94" w14:textId="77777777" w:rsidR="005A6DBC" w:rsidRPr="00EE46D9" w:rsidRDefault="005A6DBC" w:rsidP="005A6DBC">
      <w:pPr>
        <w:pStyle w:val="Default"/>
        <w:numPr>
          <w:ilvl w:val="0"/>
          <w:numId w:val="2"/>
        </w:numPr>
        <w:jc w:val="both"/>
        <w:rPr>
          <w:rFonts w:ascii="ITC Avant Garde" w:hAnsi="ITC Avant Garde"/>
          <w:sz w:val="20"/>
          <w:szCs w:val="20"/>
        </w:rPr>
      </w:pPr>
      <w:r w:rsidRPr="00EE46D9">
        <w:rPr>
          <w:rFonts w:ascii="ITC Avant Garde" w:hAnsi="ITC Avant Garde"/>
          <w:sz w:val="20"/>
          <w:szCs w:val="20"/>
        </w:rPr>
        <w:t xml:space="preserve">Solicitud de asignación de un canal virtual disponible diferente al asignado, previsto en los artículos </w:t>
      </w:r>
      <w:r w:rsidR="00FA1E20">
        <w:rPr>
          <w:rFonts w:ascii="ITC Avant Garde" w:hAnsi="ITC Avant Garde"/>
          <w:sz w:val="20"/>
          <w:szCs w:val="20"/>
        </w:rPr>
        <w:t xml:space="preserve">7, 8, </w:t>
      </w:r>
      <w:r w:rsidRPr="00EE46D9">
        <w:rPr>
          <w:rFonts w:ascii="ITC Avant Garde" w:hAnsi="ITC Avant Garde"/>
          <w:sz w:val="20"/>
          <w:szCs w:val="20"/>
        </w:rPr>
        <w:t>10 y 11 de los Lineamientos de Canales Virtuales;</w:t>
      </w:r>
    </w:p>
    <w:p w14:paraId="753DDECC" w14:textId="77777777" w:rsidR="005A6DBC" w:rsidRPr="00EE46D9" w:rsidRDefault="005A6DBC" w:rsidP="005A6DBC">
      <w:pPr>
        <w:pStyle w:val="Default"/>
        <w:ind w:left="709" w:hanging="709"/>
        <w:jc w:val="both"/>
        <w:rPr>
          <w:rFonts w:ascii="ITC Avant Garde" w:hAnsi="ITC Avant Garde"/>
          <w:sz w:val="20"/>
          <w:szCs w:val="20"/>
        </w:rPr>
      </w:pPr>
    </w:p>
    <w:p w14:paraId="619937DC" w14:textId="77777777" w:rsidR="005A6DBC" w:rsidRPr="00EE46D9" w:rsidRDefault="005A6DBC" w:rsidP="005A6DBC">
      <w:pPr>
        <w:pStyle w:val="Default"/>
        <w:numPr>
          <w:ilvl w:val="0"/>
          <w:numId w:val="2"/>
        </w:numPr>
        <w:jc w:val="both"/>
        <w:rPr>
          <w:rFonts w:ascii="ITC Avant Garde" w:hAnsi="ITC Avant Garde"/>
          <w:sz w:val="20"/>
          <w:szCs w:val="20"/>
        </w:rPr>
      </w:pPr>
      <w:r w:rsidRPr="00EE46D9">
        <w:rPr>
          <w:rFonts w:ascii="ITC Avant Garde" w:hAnsi="ITC Avant Garde"/>
          <w:sz w:val="20"/>
          <w:szCs w:val="20"/>
        </w:rPr>
        <w:t>Solicitud de autorización de acceso a la multiprogramación de concesionarios en materia de radiodifusión, previsto en los artículos 158,</w:t>
      </w:r>
      <w:r w:rsidR="00FA1E20">
        <w:rPr>
          <w:rFonts w:ascii="ITC Avant Garde" w:hAnsi="ITC Avant Garde"/>
          <w:sz w:val="20"/>
          <w:szCs w:val="20"/>
        </w:rPr>
        <w:t xml:space="preserve"> 159,</w:t>
      </w:r>
      <w:r w:rsidRPr="00EE46D9">
        <w:rPr>
          <w:rFonts w:ascii="ITC Avant Garde" w:hAnsi="ITC Avant Garde"/>
          <w:sz w:val="20"/>
          <w:szCs w:val="20"/>
        </w:rPr>
        <w:t xml:space="preserve"> 160, 162 y 163 de la Ley, así como 1, 3, 8, 9, 10</w:t>
      </w:r>
      <w:r w:rsidR="00AD71ED">
        <w:rPr>
          <w:rFonts w:ascii="ITC Avant Garde" w:hAnsi="ITC Avant Garde"/>
          <w:sz w:val="20"/>
          <w:szCs w:val="20"/>
        </w:rPr>
        <w:t>,</w:t>
      </w:r>
      <w:r w:rsidR="000C6E07">
        <w:rPr>
          <w:rFonts w:ascii="ITC Avant Garde" w:hAnsi="ITC Avant Garde"/>
          <w:sz w:val="20"/>
          <w:szCs w:val="20"/>
        </w:rPr>
        <w:t xml:space="preserve"> </w:t>
      </w:r>
      <w:r w:rsidR="00AD71ED">
        <w:rPr>
          <w:rFonts w:ascii="ITC Avant Garde" w:hAnsi="ITC Avant Garde"/>
          <w:sz w:val="20"/>
          <w:szCs w:val="20"/>
        </w:rPr>
        <w:t>16</w:t>
      </w:r>
      <w:r w:rsidRPr="00EE46D9">
        <w:rPr>
          <w:rFonts w:ascii="ITC Avant Garde" w:hAnsi="ITC Avant Garde"/>
          <w:sz w:val="20"/>
          <w:szCs w:val="20"/>
        </w:rPr>
        <w:t xml:space="preserve"> y 22 de los Lineamientos de Multiprogramación;</w:t>
      </w:r>
    </w:p>
    <w:p w14:paraId="4E00E796" w14:textId="77777777" w:rsidR="005A6DBC" w:rsidRPr="00EE46D9" w:rsidRDefault="005A6DBC" w:rsidP="005A6DBC">
      <w:pPr>
        <w:pStyle w:val="Default"/>
        <w:jc w:val="both"/>
        <w:rPr>
          <w:rFonts w:ascii="ITC Avant Garde" w:hAnsi="ITC Avant Garde"/>
          <w:sz w:val="20"/>
          <w:szCs w:val="20"/>
        </w:rPr>
      </w:pPr>
    </w:p>
    <w:p w14:paraId="13C13837" w14:textId="77777777" w:rsidR="005A6DBC" w:rsidRPr="00EE46D9" w:rsidRDefault="005A6DBC" w:rsidP="005A6DBC">
      <w:pPr>
        <w:pStyle w:val="Default"/>
        <w:numPr>
          <w:ilvl w:val="0"/>
          <w:numId w:val="2"/>
        </w:numPr>
        <w:jc w:val="both"/>
        <w:rPr>
          <w:rFonts w:ascii="ITC Avant Garde" w:hAnsi="ITC Avant Garde"/>
          <w:sz w:val="20"/>
          <w:szCs w:val="20"/>
        </w:rPr>
      </w:pPr>
      <w:r w:rsidRPr="00353D67">
        <w:rPr>
          <w:rFonts w:ascii="ITC Avant Garde" w:hAnsi="ITC Avant Garde"/>
          <w:sz w:val="20"/>
          <w:szCs w:val="20"/>
        </w:rPr>
        <w:t xml:space="preserve">Solicitud de autorización de retransmisión en equipos complementarios de una señal que coincida en al menos el 75% con el contenido programático de la estación de televisión principal al que se asocia, previsto en el </w:t>
      </w:r>
      <w:r w:rsidR="005B6035" w:rsidRPr="00353D67">
        <w:rPr>
          <w:rFonts w:ascii="ITC Avant Garde" w:hAnsi="ITC Avant Garde"/>
          <w:sz w:val="20"/>
          <w:szCs w:val="20"/>
        </w:rPr>
        <w:t>Capítulo</w:t>
      </w:r>
      <w:r w:rsidRPr="00353D67">
        <w:rPr>
          <w:rFonts w:ascii="ITC Avant Garde" w:hAnsi="ITC Avant Garde"/>
          <w:sz w:val="20"/>
          <w:szCs w:val="20"/>
        </w:rPr>
        <w:t xml:space="preserve"> 7.2 de la Disposición Técnica </w:t>
      </w:r>
      <w:r w:rsidRPr="00353D67">
        <w:rPr>
          <w:rFonts w:ascii="ITC Avant Garde" w:hAnsi="ITC Avant Garde"/>
          <w:color w:val="auto"/>
          <w:sz w:val="20"/>
          <w:szCs w:val="20"/>
        </w:rPr>
        <w:t>IFT-013-2016</w:t>
      </w:r>
      <w:r w:rsidRPr="006403D9">
        <w:rPr>
          <w:rFonts w:ascii="ITC Avant Garde" w:hAnsi="ITC Avant Garde"/>
          <w:color w:val="auto"/>
          <w:sz w:val="20"/>
          <w:szCs w:val="20"/>
        </w:rPr>
        <w:t>;</w:t>
      </w:r>
    </w:p>
    <w:p w14:paraId="76965DD5" w14:textId="77777777" w:rsidR="005A6DBC" w:rsidRPr="00EE46D9" w:rsidRDefault="005A6DBC" w:rsidP="005A6DBC">
      <w:pPr>
        <w:pStyle w:val="Default"/>
        <w:jc w:val="both"/>
        <w:rPr>
          <w:rFonts w:ascii="ITC Avant Garde" w:hAnsi="ITC Avant Garde"/>
          <w:sz w:val="20"/>
          <w:szCs w:val="20"/>
        </w:rPr>
      </w:pPr>
    </w:p>
    <w:p w14:paraId="019ABC01" w14:textId="77777777" w:rsidR="005A6DBC" w:rsidRPr="00EE46D9" w:rsidRDefault="005A6DBC" w:rsidP="005A6DBC">
      <w:pPr>
        <w:pStyle w:val="Default"/>
        <w:numPr>
          <w:ilvl w:val="0"/>
          <w:numId w:val="2"/>
        </w:numPr>
        <w:jc w:val="both"/>
        <w:rPr>
          <w:rFonts w:ascii="ITC Avant Garde" w:hAnsi="ITC Avant Garde"/>
          <w:sz w:val="20"/>
          <w:szCs w:val="20"/>
        </w:rPr>
      </w:pPr>
      <w:r w:rsidRPr="00EE46D9">
        <w:rPr>
          <w:rFonts w:ascii="ITC Avant Garde" w:hAnsi="ITC Avant Garde"/>
          <w:sz w:val="20"/>
          <w:szCs w:val="20"/>
        </w:rPr>
        <w:t>Solicitud de donación de equipos transmisores de radiodifusión, a concesionarios de uso social que presten servicios de radiodifusión, previsto en el artículo 85, último párrafo de la Ley, así como en el numeral 76 de las Normas en materia de Administración;</w:t>
      </w:r>
    </w:p>
    <w:p w14:paraId="282B1D26" w14:textId="77777777" w:rsidR="005A6DBC" w:rsidRPr="00EE46D9" w:rsidRDefault="005A6DBC" w:rsidP="005A6DBC">
      <w:pPr>
        <w:pStyle w:val="Default"/>
        <w:jc w:val="both"/>
        <w:rPr>
          <w:rFonts w:ascii="ITC Avant Garde" w:hAnsi="ITC Avant Garde"/>
          <w:sz w:val="20"/>
          <w:szCs w:val="20"/>
        </w:rPr>
      </w:pPr>
    </w:p>
    <w:p w14:paraId="190A09C8" w14:textId="77777777" w:rsidR="005A6DBC" w:rsidRPr="00EE46D9" w:rsidRDefault="005A6DBC" w:rsidP="005A6DBC">
      <w:pPr>
        <w:pStyle w:val="Default"/>
        <w:numPr>
          <w:ilvl w:val="0"/>
          <w:numId w:val="2"/>
        </w:numPr>
        <w:rPr>
          <w:rFonts w:ascii="ITC Avant Garde" w:hAnsi="ITC Avant Garde"/>
          <w:sz w:val="20"/>
          <w:szCs w:val="20"/>
        </w:rPr>
      </w:pPr>
      <w:r w:rsidRPr="00EE46D9">
        <w:rPr>
          <w:rFonts w:ascii="ITC Avant Garde" w:hAnsi="ITC Avant Garde"/>
          <w:sz w:val="20"/>
          <w:szCs w:val="20"/>
        </w:rPr>
        <w:lastRenderedPageBreak/>
        <w:t>Solicitud de parte interesada para la obtención de recursos orbitales a favor del Estado Mexicano, prevista en los artículos 96 y 97 de la Ley, y</w:t>
      </w:r>
    </w:p>
    <w:p w14:paraId="31260DDE" w14:textId="77777777" w:rsidR="005A6DBC" w:rsidRPr="00EE46D9" w:rsidRDefault="005A6DBC" w:rsidP="005A6DBC">
      <w:pPr>
        <w:pStyle w:val="Default"/>
        <w:rPr>
          <w:rFonts w:ascii="ITC Avant Garde" w:hAnsi="ITC Avant Garde"/>
          <w:sz w:val="20"/>
          <w:szCs w:val="20"/>
        </w:rPr>
      </w:pPr>
    </w:p>
    <w:p w14:paraId="1BEED56E" w14:textId="77777777" w:rsidR="005A6DBC" w:rsidRPr="009E50AA" w:rsidRDefault="005A6DBC" w:rsidP="005A6DBC">
      <w:pPr>
        <w:pStyle w:val="Default"/>
        <w:numPr>
          <w:ilvl w:val="0"/>
          <w:numId w:val="2"/>
        </w:numPr>
        <w:rPr>
          <w:rFonts w:ascii="ITC Avant Garde" w:hAnsi="ITC Avant Garde"/>
          <w:sz w:val="20"/>
          <w:szCs w:val="20"/>
        </w:rPr>
      </w:pPr>
      <w:r w:rsidRPr="009E50AA">
        <w:rPr>
          <w:rFonts w:ascii="ITC Avant Garde" w:hAnsi="ITC Avant Garde"/>
          <w:sz w:val="20"/>
          <w:szCs w:val="20"/>
        </w:rPr>
        <w:t>Solicitud de inclusión al Programa Anual de Uso y Aprovechamiento de Bandas de Frecuencias, previsto en los artículos 59, 60 y 61 de la Ley.</w:t>
      </w:r>
    </w:p>
    <w:p w14:paraId="347E9BA4" w14:textId="77777777" w:rsidR="005A6DBC" w:rsidRPr="009E50AA" w:rsidRDefault="005A6DBC" w:rsidP="005A6DBC">
      <w:pPr>
        <w:pStyle w:val="Default"/>
        <w:ind w:left="778"/>
        <w:jc w:val="both"/>
        <w:rPr>
          <w:rFonts w:ascii="ITC Avant Garde" w:hAnsi="ITC Avant Garde"/>
          <w:sz w:val="20"/>
          <w:szCs w:val="20"/>
        </w:rPr>
      </w:pPr>
    </w:p>
    <w:p w14:paraId="7825A706" w14:textId="77777777" w:rsidR="005A6DBC" w:rsidRPr="009E50AA" w:rsidRDefault="005A6DBC" w:rsidP="005A6DBC">
      <w:pPr>
        <w:pStyle w:val="Default"/>
        <w:jc w:val="both"/>
        <w:rPr>
          <w:rFonts w:ascii="ITC Avant Garde" w:hAnsi="ITC Avant Garde"/>
          <w:sz w:val="20"/>
          <w:szCs w:val="20"/>
        </w:rPr>
      </w:pPr>
      <w:r w:rsidRPr="009E50AA">
        <w:rPr>
          <w:rFonts w:ascii="ITC Avant Garde" w:hAnsi="ITC Avant Garde"/>
          <w:sz w:val="20"/>
          <w:szCs w:val="20"/>
        </w:rPr>
        <w:t>Resulta conveniente abundar en el hecho de que l</w:t>
      </w:r>
      <w:r w:rsidRPr="009E50AA">
        <w:rPr>
          <w:rFonts w:ascii="ITC Avant Garde" w:hAnsi="ITC Avant Garde"/>
          <w:sz w:val="20"/>
          <w:szCs w:val="22"/>
        </w:rPr>
        <w:t>a implementación de estos formatos permitirá la entrega de información precisa a este órgano constitucional autónomo, facilitará la recepción, eficientará el análisis de la información recibida por cada trámite o servicio y podría reducir significativamente el número de prevenciones a los regulados por falta de información.</w:t>
      </w:r>
    </w:p>
    <w:p w14:paraId="57857B77" w14:textId="77777777" w:rsidR="005A6DBC" w:rsidRPr="009E50AA" w:rsidRDefault="005A6DBC" w:rsidP="005A6DBC">
      <w:pPr>
        <w:pStyle w:val="Default"/>
        <w:tabs>
          <w:tab w:val="left" w:pos="0"/>
        </w:tabs>
        <w:jc w:val="both"/>
        <w:rPr>
          <w:rFonts w:ascii="ITC Avant Garde" w:hAnsi="ITC Avant Garde"/>
          <w:bCs/>
          <w:sz w:val="22"/>
          <w:szCs w:val="22"/>
        </w:rPr>
      </w:pPr>
    </w:p>
    <w:p w14:paraId="36DE6437" w14:textId="77777777" w:rsidR="005A6DBC" w:rsidRPr="009E50AA" w:rsidRDefault="005A6DBC" w:rsidP="005A6DBC">
      <w:pPr>
        <w:ind w:right="48"/>
        <w:jc w:val="both"/>
        <w:rPr>
          <w:rFonts w:ascii="ITC Avant Garde" w:hAnsi="ITC Avant Garde"/>
          <w:sz w:val="20"/>
          <w:szCs w:val="22"/>
        </w:rPr>
      </w:pPr>
      <w:r w:rsidRPr="009E50AA">
        <w:rPr>
          <w:rFonts w:ascii="ITC Avant Garde" w:hAnsi="ITC Avant Garde"/>
          <w:b/>
          <w:bCs/>
          <w:sz w:val="20"/>
          <w:szCs w:val="22"/>
        </w:rPr>
        <w:t xml:space="preserve">TERCERO. </w:t>
      </w:r>
      <w:r w:rsidRPr="009E50AA">
        <w:rPr>
          <w:rFonts w:ascii="ITC Avant Garde" w:hAnsi="ITC Avant Garde"/>
          <w:b/>
          <w:bCs/>
          <w:sz w:val="20"/>
          <w:szCs w:val="20"/>
        </w:rPr>
        <w:t>–</w:t>
      </w:r>
      <w:r w:rsidRPr="009E50AA">
        <w:rPr>
          <w:rFonts w:ascii="ITC Avant Garde" w:hAnsi="ITC Avant Garde"/>
          <w:b/>
          <w:bCs/>
          <w:sz w:val="20"/>
          <w:szCs w:val="22"/>
        </w:rPr>
        <w:t xml:space="preserve"> </w:t>
      </w:r>
      <w:r w:rsidRPr="009E50AA">
        <w:rPr>
          <w:rFonts w:ascii="ITC Avant Garde" w:hAnsi="ITC Avant Garde"/>
          <w:b/>
          <w:sz w:val="20"/>
          <w:szCs w:val="22"/>
        </w:rPr>
        <w:t xml:space="preserve">Importancia del Acuerdo y la simplificación administrativa. </w:t>
      </w:r>
      <w:r w:rsidRPr="009E50AA">
        <w:rPr>
          <w:rFonts w:ascii="ITC Avant Garde" w:hAnsi="ITC Avant Garde"/>
          <w:sz w:val="20"/>
          <w:szCs w:val="22"/>
        </w:rPr>
        <w:t>La tarea de mejorar y simplificar trámites y servicios, es parte de una estrategia amplia de política regulatoria, la cual incluye en términos generales la forma en la que éstos se diseñan, se implementan y se hacen cumplir; lo anterior tiene una incidencia directa en la efectividad de la regulación y, por tanto, en su capacidad de dar cumplimiento a su objetivo primario de política pública. Es así que la reducción de la carga administrativa a través del uso de formatos para presentar solicitudes o entregas de información facilita el cumplimiento de las obligaciones a cargo de los ciudadanos, empresas y sector público, al mismo tiempo que eficienta la recepción, análisis y resolución de los trámites y servicios a cargo de la autoridad.</w:t>
      </w:r>
    </w:p>
    <w:p w14:paraId="0CB75F9C" w14:textId="77777777" w:rsidR="005A6DBC" w:rsidRPr="009E50AA" w:rsidRDefault="005A6DBC" w:rsidP="005A6DBC">
      <w:pPr>
        <w:ind w:right="48"/>
        <w:jc w:val="both"/>
        <w:rPr>
          <w:rFonts w:ascii="ITC Avant Garde" w:hAnsi="ITC Avant Garde"/>
          <w:sz w:val="20"/>
          <w:szCs w:val="22"/>
        </w:rPr>
      </w:pPr>
    </w:p>
    <w:p w14:paraId="71DB9E0A" w14:textId="77777777" w:rsidR="005A6DBC" w:rsidRPr="009E50AA" w:rsidRDefault="005A6DBC" w:rsidP="005A6DBC">
      <w:pPr>
        <w:pStyle w:val="Default"/>
        <w:tabs>
          <w:tab w:val="left" w:pos="0"/>
        </w:tabs>
        <w:jc w:val="both"/>
        <w:rPr>
          <w:rFonts w:ascii="ITC Avant Garde" w:eastAsiaTheme="minorEastAsia" w:hAnsi="ITC Avant Garde" w:cstheme="minorBidi"/>
          <w:color w:val="auto"/>
          <w:sz w:val="20"/>
          <w:szCs w:val="22"/>
          <w:lang w:eastAsia="en-US"/>
        </w:rPr>
      </w:pPr>
      <w:r w:rsidRPr="009E50AA">
        <w:rPr>
          <w:rFonts w:ascii="ITC Avant Garde" w:eastAsiaTheme="minorEastAsia" w:hAnsi="ITC Avant Garde" w:cstheme="minorBidi"/>
          <w:color w:val="auto"/>
          <w:sz w:val="20"/>
          <w:szCs w:val="22"/>
          <w:lang w:eastAsia="en-US"/>
        </w:rPr>
        <w:t>En este sentido, este órgano constitucional autónomo encamina sus esfuerzos para mejorar el desempeño económico y la productividad de los sectores de las telecomunicaciones y la radiodifusión que tiene a su cargo, mediante la sustitución del escrito libre por un formato, para su posterior migración a un medio electrónico.</w:t>
      </w:r>
    </w:p>
    <w:p w14:paraId="114AD295" w14:textId="77777777" w:rsidR="005A6DBC" w:rsidRPr="009E50AA" w:rsidRDefault="005A6DBC" w:rsidP="005A6DBC">
      <w:pPr>
        <w:pStyle w:val="Default"/>
        <w:tabs>
          <w:tab w:val="left" w:pos="0"/>
        </w:tabs>
        <w:jc w:val="both"/>
        <w:rPr>
          <w:rFonts w:ascii="ITC Avant Garde" w:hAnsi="ITC Avant Garde"/>
          <w:bCs/>
          <w:color w:val="auto"/>
          <w:sz w:val="18"/>
          <w:szCs w:val="22"/>
        </w:rPr>
      </w:pPr>
    </w:p>
    <w:p w14:paraId="7E7D55CC" w14:textId="4C37B1B5" w:rsidR="005A6DBC" w:rsidRPr="00EE46D9" w:rsidRDefault="005A6DBC" w:rsidP="005A6DBC">
      <w:pPr>
        <w:autoSpaceDE w:val="0"/>
        <w:autoSpaceDN w:val="0"/>
        <w:adjustRightInd w:val="0"/>
        <w:jc w:val="both"/>
        <w:rPr>
          <w:rFonts w:ascii="ITC Avant Garde" w:hAnsi="ITC Avant Garde"/>
          <w:sz w:val="20"/>
          <w:szCs w:val="20"/>
        </w:rPr>
      </w:pPr>
      <w:r w:rsidRPr="009E50AA">
        <w:rPr>
          <w:rFonts w:ascii="ITC Avant Garde" w:eastAsia="MS Mincho" w:hAnsi="ITC Avant Garde"/>
          <w:b/>
          <w:bCs/>
          <w:color w:val="000000"/>
          <w:sz w:val="20"/>
          <w:szCs w:val="20"/>
          <w:lang w:val="es-ES_tradnl" w:eastAsia="es-MX"/>
        </w:rPr>
        <w:t>CUARTO</w:t>
      </w:r>
      <w:r w:rsidRPr="009E50AA">
        <w:rPr>
          <w:rFonts w:ascii="ITC Avant Garde" w:hAnsi="ITC Avant Garde"/>
          <w:b/>
          <w:sz w:val="20"/>
          <w:szCs w:val="20"/>
        </w:rPr>
        <w:t xml:space="preserve">. </w:t>
      </w:r>
      <w:r w:rsidRPr="009E50AA">
        <w:rPr>
          <w:rFonts w:ascii="ITC Avant Garde" w:hAnsi="ITC Avant Garde"/>
          <w:b/>
          <w:bCs/>
          <w:sz w:val="20"/>
          <w:szCs w:val="20"/>
        </w:rPr>
        <w:t xml:space="preserve">– </w:t>
      </w:r>
      <w:r w:rsidR="00867EA3" w:rsidRPr="00B95B70">
        <w:rPr>
          <w:rFonts w:ascii="ITC Avant Garde" w:hAnsi="ITC Avant Garde"/>
          <w:b/>
          <w:sz w:val="20"/>
          <w:szCs w:val="20"/>
        </w:rPr>
        <w:t>Consultas Públicas.</w:t>
      </w:r>
      <w:r w:rsidR="00867EA3" w:rsidRPr="00B95B70">
        <w:rPr>
          <w:rFonts w:ascii="ITC Avant Garde" w:hAnsi="ITC Avant Garde"/>
          <w:sz w:val="20"/>
          <w:szCs w:val="20"/>
          <w:lang w:val="es-ES_tradnl"/>
        </w:rPr>
        <w:t xml:space="preserve"> </w:t>
      </w:r>
      <w:r w:rsidRPr="009E50AA">
        <w:rPr>
          <w:rFonts w:ascii="ITC Avant Garde" w:hAnsi="ITC Avant Garde"/>
          <w:sz w:val="20"/>
          <w:szCs w:val="20"/>
        </w:rPr>
        <w:t>En cumplimiento a lo dispuesto en el artículo 51 de la Ley, bajo los principios de transparencia y participación ciudadana, el Instituto llevó a cabo la consulta pública del “</w:t>
      </w:r>
      <w:r w:rsidR="00517B3C">
        <w:rPr>
          <w:rFonts w:ascii="ITC Avant Garde" w:hAnsi="ITC Avant Garde"/>
          <w:sz w:val="20"/>
          <w:szCs w:val="20"/>
        </w:rPr>
        <w:t xml:space="preserve">Anteproyecto de </w:t>
      </w:r>
      <w:r w:rsidRPr="009E50AA">
        <w:rPr>
          <w:rFonts w:ascii="ITC Avant Garde" w:hAnsi="ITC Avant Garde"/>
          <w:bCs/>
          <w:sz w:val="20"/>
          <w:szCs w:val="20"/>
          <w:lang w:eastAsia="es-MX"/>
        </w:rPr>
        <w:t xml:space="preserve">Acuerdo mediante el cual el Pleno del Instituto Federal de Telecomunicaciones emite los </w:t>
      </w:r>
      <w:r w:rsidRPr="009E50AA">
        <w:rPr>
          <w:rFonts w:ascii="ITC Avant Garde" w:hAnsi="ITC Avant Garde"/>
          <w:kern w:val="2"/>
          <w:sz w:val="20"/>
          <w:szCs w:val="20"/>
          <w:lang w:val="es-ES" w:eastAsia="ar-SA"/>
        </w:rPr>
        <w:t>formatos</w:t>
      </w:r>
      <w:r w:rsidRPr="009E50AA">
        <w:rPr>
          <w:rFonts w:ascii="ITC Avant Garde" w:hAnsi="ITC Avant Garde"/>
          <w:bCs/>
          <w:sz w:val="20"/>
          <w:szCs w:val="20"/>
          <w:lang w:eastAsia="es-MX"/>
        </w:rPr>
        <w:t xml:space="preserve"> que deberán utilizarse para realizar diversos trámites y servicios ante el Instituto Federal de Telecomunicaciones</w:t>
      </w:r>
      <w:r w:rsidRPr="009E50AA">
        <w:rPr>
          <w:rFonts w:ascii="ITC Avant Garde" w:hAnsi="ITC Avant Garde"/>
          <w:sz w:val="20"/>
          <w:szCs w:val="20"/>
        </w:rPr>
        <w:t>”</w:t>
      </w:r>
      <w:r w:rsidR="00932D45">
        <w:rPr>
          <w:rFonts w:ascii="ITC Avant Garde" w:hAnsi="ITC Avant Garde"/>
          <w:sz w:val="20"/>
          <w:szCs w:val="20"/>
        </w:rPr>
        <w:t>, misma que se efectuó</w:t>
      </w:r>
      <w:r w:rsidRPr="009E50AA">
        <w:rPr>
          <w:rFonts w:ascii="ITC Avant Garde" w:hAnsi="ITC Avant Garde"/>
          <w:sz w:val="20"/>
          <w:szCs w:val="20"/>
        </w:rPr>
        <w:t xml:space="preserve"> del 8 de julio al 16 de agosto de 2019. Derivado de la cual, se recibieron 30 comentarios provenientes de</w:t>
      </w:r>
      <w:r w:rsidRPr="00CF3A61">
        <w:rPr>
          <w:rFonts w:ascii="ITC Avant Garde" w:hAnsi="ITC Avant Garde"/>
          <w:sz w:val="20"/>
          <w:szCs w:val="20"/>
        </w:rPr>
        <w:t xml:space="preserve"> </w:t>
      </w:r>
      <w:r>
        <w:rPr>
          <w:rFonts w:ascii="ITC Avant Garde" w:hAnsi="ITC Avant Garde"/>
          <w:sz w:val="20"/>
          <w:szCs w:val="20"/>
        </w:rPr>
        <w:t>4</w:t>
      </w:r>
      <w:r w:rsidRPr="00CF3A61">
        <w:rPr>
          <w:rFonts w:ascii="ITC Avant Garde" w:hAnsi="ITC Avant Garde"/>
          <w:sz w:val="20"/>
          <w:szCs w:val="20"/>
        </w:rPr>
        <w:t xml:space="preserve"> participantes.</w:t>
      </w:r>
      <w:r w:rsidRPr="00EE46D9">
        <w:rPr>
          <w:rFonts w:ascii="ITC Avant Garde" w:hAnsi="ITC Avant Garde"/>
          <w:sz w:val="20"/>
          <w:szCs w:val="20"/>
        </w:rPr>
        <w:t xml:space="preserve"> </w:t>
      </w:r>
    </w:p>
    <w:p w14:paraId="295171BD" w14:textId="3A87D8E8" w:rsidR="005A6DBC" w:rsidRDefault="005A6DBC" w:rsidP="005A6DBC">
      <w:pPr>
        <w:autoSpaceDE w:val="0"/>
        <w:autoSpaceDN w:val="0"/>
        <w:adjustRightInd w:val="0"/>
        <w:jc w:val="both"/>
        <w:rPr>
          <w:rFonts w:ascii="ITC Avant Garde" w:hAnsi="ITC Avant Garde"/>
          <w:sz w:val="20"/>
          <w:szCs w:val="20"/>
        </w:rPr>
      </w:pPr>
    </w:p>
    <w:p w14:paraId="08990471" w14:textId="619282D0" w:rsidR="00932D45" w:rsidRDefault="00C474D1" w:rsidP="005A6DBC">
      <w:pPr>
        <w:autoSpaceDE w:val="0"/>
        <w:autoSpaceDN w:val="0"/>
        <w:adjustRightInd w:val="0"/>
        <w:jc w:val="both"/>
        <w:rPr>
          <w:rFonts w:ascii="ITC Avant Garde" w:hAnsi="ITC Avant Garde"/>
          <w:kern w:val="2"/>
          <w:sz w:val="20"/>
          <w:szCs w:val="20"/>
          <w:lang w:val="es-ES" w:eastAsia="ar-SA"/>
        </w:rPr>
      </w:pPr>
      <w:r w:rsidRPr="00C474D1">
        <w:rPr>
          <w:rFonts w:ascii="ITC Avant Garde" w:hAnsi="ITC Avant Garde"/>
          <w:kern w:val="2"/>
          <w:sz w:val="20"/>
          <w:szCs w:val="20"/>
          <w:lang w:val="es-ES" w:eastAsia="ar-SA"/>
        </w:rPr>
        <w:t>Al respecto, se precisa que derivado de una participación recibida durante la consulta pública al formato del trámite “Conservación de quejas presentadas por los usuarios finales”</w:t>
      </w:r>
      <w:r w:rsidR="0001767C">
        <w:rPr>
          <w:rFonts w:ascii="ITC Avant Garde" w:hAnsi="ITC Avant Garde"/>
          <w:kern w:val="2"/>
          <w:sz w:val="20"/>
          <w:szCs w:val="20"/>
          <w:lang w:val="es-ES" w:eastAsia="ar-SA"/>
        </w:rPr>
        <w:t>,</w:t>
      </w:r>
      <w:r w:rsidRPr="00C474D1">
        <w:rPr>
          <w:rFonts w:ascii="ITC Avant Garde" w:hAnsi="ITC Avant Garde"/>
          <w:kern w:val="2"/>
          <w:sz w:val="20"/>
          <w:szCs w:val="20"/>
          <w:lang w:val="es-ES" w:eastAsia="ar-SA"/>
        </w:rPr>
        <w:t xml:space="preserve"> se advirtió que la información solicitada a través de éste, ya era requerida por otra unidad administrativa del Instituto, alejándose del objetivo principal que se </w:t>
      </w:r>
      <w:r w:rsidR="00D618CA">
        <w:rPr>
          <w:rFonts w:ascii="ITC Avant Garde" w:hAnsi="ITC Avant Garde"/>
          <w:kern w:val="2"/>
          <w:sz w:val="20"/>
          <w:szCs w:val="20"/>
          <w:lang w:val="es-ES" w:eastAsia="ar-SA"/>
        </w:rPr>
        <w:t>persigue</w:t>
      </w:r>
      <w:r w:rsidRPr="00C474D1">
        <w:rPr>
          <w:rFonts w:ascii="ITC Avant Garde" w:hAnsi="ITC Avant Garde"/>
          <w:kern w:val="2"/>
          <w:sz w:val="20"/>
          <w:szCs w:val="20"/>
          <w:lang w:val="es-ES" w:eastAsia="ar-SA"/>
        </w:rPr>
        <w:t>, es decir, la eficiencia regulatoria; motivo por el cual</w:t>
      </w:r>
      <w:r w:rsidR="0001767C">
        <w:rPr>
          <w:rFonts w:ascii="ITC Avant Garde" w:hAnsi="ITC Avant Garde"/>
          <w:kern w:val="2"/>
          <w:sz w:val="20"/>
          <w:szCs w:val="20"/>
          <w:lang w:val="es-ES" w:eastAsia="ar-SA"/>
        </w:rPr>
        <w:t>,</w:t>
      </w:r>
      <w:r w:rsidRPr="00C474D1">
        <w:rPr>
          <w:rFonts w:ascii="ITC Avant Garde" w:hAnsi="ITC Avant Garde"/>
          <w:kern w:val="2"/>
          <w:sz w:val="20"/>
          <w:szCs w:val="20"/>
          <w:lang w:val="es-ES" w:eastAsia="ar-SA"/>
        </w:rPr>
        <w:t xml:space="preserve"> el Instituto analizó y determinó unificar en una sola solicitud las variables consideradas </w:t>
      </w:r>
      <w:r w:rsidR="0001767C">
        <w:rPr>
          <w:rFonts w:ascii="ITC Avant Garde" w:hAnsi="ITC Avant Garde"/>
          <w:kern w:val="2"/>
          <w:sz w:val="20"/>
          <w:szCs w:val="20"/>
          <w:lang w:val="es-ES" w:eastAsia="ar-SA"/>
        </w:rPr>
        <w:t>en el</w:t>
      </w:r>
      <w:r w:rsidRPr="00C474D1">
        <w:rPr>
          <w:rFonts w:ascii="ITC Avant Garde" w:hAnsi="ITC Avant Garde"/>
          <w:kern w:val="2"/>
          <w:sz w:val="20"/>
          <w:szCs w:val="20"/>
          <w:lang w:val="es-ES" w:eastAsia="ar-SA"/>
        </w:rPr>
        <w:t xml:space="preserve"> trámite en cita</w:t>
      </w:r>
      <w:r w:rsidR="0001767C">
        <w:rPr>
          <w:rFonts w:ascii="ITC Avant Garde" w:hAnsi="ITC Avant Garde"/>
          <w:kern w:val="2"/>
          <w:sz w:val="20"/>
          <w:szCs w:val="20"/>
          <w:lang w:val="es-ES" w:eastAsia="ar-SA"/>
        </w:rPr>
        <w:t>,</w:t>
      </w:r>
      <w:r w:rsidRPr="00C474D1">
        <w:rPr>
          <w:rFonts w:ascii="ITC Avant Garde" w:hAnsi="ITC Avant Garde"/>
          <w:kern w:val="2"/>
          <w:sz w:val="20"/>
          <w:szCs w:val="20"/>
          <w:lang w:val="es-ES" w:eastAsia="ar-SA"/>
        </w:rPr>
        <w:t xml:space="preserve"> </w:t>
      </w:r>
      <w:r w:rsidR="00D618CA">
        <w:rPr>
          <w:rFonts w:ascii="ITC Avant Garde" w:hAnsi="ITC Avant Garde"/>
          <w:kern w:val="2"/>
          <w:sz w:val="20"/>
          <w:szCs w:val="20"/>
          <w:lang w:val="es-ES" w:eastAsia="ar-SA"/>
        </w:rPr>
        <w:t>a través</w:t>
      </w:r>
      <w:r w:rsidRPr="00C474D1">
        <w:rPr>
          <w:rFonts w:ascii="ITC Avant Garde" w:hAnsi="ITC Avant Garde"/>
          <w:kern w:val="2"/>
          <w:sz w:val="20"/>
          <w:szCs w:val="20"/>
          <w:lang w:val="es-ES" w:eastAsia="ar-SA"/>
        </w:rPr>
        <w:t xml:space="preserve"> de los requerimientos </w:t>
      </w:r>
      <w:r w:rsidR="0001767C">
        <w:rPr>
          <w:rFonts w:ascii="ITC Avant Garde" w:hAnsi="ITC Avant Garde"/>
          <w:kern w:val="2"/>
          <w:sz w:val="20"/>
          <w:szCs w:val="20"/>
          <w:lang w:val="es-ES" w:eastAsia="ar-SA"/>
        </w:rPr>
        <w:t xml:space="preserve">trimestrales </w:t>
      </w:r>
      <w:r w:rsidRPr="00C474D1">
        <w:rPr>
          <w:rFonts w:ascii="ITC Avant Garde" w:hAnsi="ITC Avant Garde"/>
          <w:kern w:val="2"/>
          <w:sz w:val="20"/>
          <w:szCs w:val="20"/>
          <w:lang w:val="es-ES" w:eastAsia="ar-SA"/>
        </w:rPr>
        <w:t xml:space="preserve">que realiza la Coordinación General de Planeación Estratégica </w:t>
      </w:r>
      <w:r w:rsidR="00D618CA">
        <w:rPr>
          <w:rFonts w:ascii="ITC Avant Garde" w:hAnsi="ITC Avant Garde"/>
          <w:kern w:val="2"/>
          <w:sz w:val="20"/>
          <w:szCs w:val="20"/>
          <w:lang w:val="es-ES" w:eastAsia="ar-SA"/>
        </w:rPr>
        <w:t xml:space="preserve">a los concesionario y autorizados para la integración del acervo estadístico del Instituto, </w:t>
      </w:r>
      <w:r w:rsidR="0001767C">
        <w:rPr>
          <w:rFonts w:ascii="ITC Avant Garde" w:hAnsi="ITC Avant Garde"/>
          <w:kern w:val="2"/>
          <w:sz w:val="20"/>
          <w:szCs w:val="20"/>
          <w:lang w:val="es-ES" w:eastAsia="ar-SA"/>
        </w:rPr>
        <w:t xml:space="preserve">por lo que </w:t>
      </w:r>
      <w:r w:rsidRPr="00C474D1">
        <w:rPr>
          <w:rFonts w:ascii="ITC Avant Garde" w:hAnsi="ITC Avant Garde"/>
          <w:kern w:val="2"/>
          <w:sz w:val="20"/>
          <w:szCs w:val="20"/>
          <w:lang w:val="es-ES" w:eastAsia="ar-SA"/>
        </w:rPr>
        <w:t xml:space="preserve">se </w:t>
      </w:r>
      <w:r w:rsidR="0001767C" w:rsidRPr="00C474D1">
        <w:rPr>
          <w:rFonts w:ascii="ITC Avant Garde" w:hAnsi="ITC Avant Garde"/>
          <w:kern w:val="2"/>
          <w:sz w:val="20"/>
          <w:szCs w:val="20"/>
          <w:lang w:val="es-ES" w:eastAsia="ar-SA"/>
        </w:rPr>
        <w:t>consider</w:t>
      </w:r>
      <w:r w:rsidR="0001767C">
        <w:rPr>
          <w:rFonts w:ascii="ITC Avant Garde" w:hAnsi="ITC Avant Garde"/>
          <w:kern w:val="2"/>
          <w:sz w:val="20"/>
          <w:szCs w:val="20"/>
          <w:lang w:val="es-ES" w:eastAsia="ar-SA"/>
        </w:rPr>
        <w:t>ó</w:t>
      </w:r>
      <w:r w:rsidRPr="00C474D1">
        <w:rPr>
          <w:rFonts w:ascii="ITC Avant Garde" w:hAnsi="ITC Avant Garde"/>
          <w:kern w:val="2"/>
          <w:sz w:val="20"/>
          <w:szCs w:val="20"/>
          <w:lang w:val="es-ES" w:eastAsia="ar-SA"/>
        </w:rPr>
        <w:t xml:space="preserve"> oportuno eliminar del presente Acuerdo el formato de </w:t>
      </w:r>
      <w:r w:rsidR="0001767C">
        <w:rPr>
          <w:rFonts w:ascii="ITC Avant Garde" w:hAnsi="ITC Avant Garde"/>
          <w:kern w:val="2"/>
          <w:sz w:val="20"/>
          <w:szCs w:val="20"/>
          <w:lang w:val="es-ES" w:eastAsia="ar-SA"/>
        </w:rPr>
        <w:t xml:space="preserve">dicho </w:t>
      </w:r>
      <w:r w:rsidRPr="00C474D1">
        <w:rPr>
          <w:rFonts w:ascii="ITC Avant Garde" w:hAnsi="ITC Avant Garde"/>
          <w:kern w:val="2"/>
          <w:sz w:val="20"/>
          <w:szCs w:val="20"/>
          <w:lang w:val="es-ES" w:eastAsia="ar-SA"/>
        </w:rPr>
        <w:t xml:space="preserve">trámite, </w:t>
      </w:r>
      <w:r w:rsidR="0001767C">
        <w:rPr>
          <w:rFonts w:ascii="ITC Avant Garde" w:hAnsi="ITC Avant Garde"/>
          <w:kern w:val="2"/>
          <w:sz w:val="20"/>
          <w:szCs w:val="20"/>
          <w:lang w:val="es-ES" w:eastAsia="ar-SA"/>
        </w:rPr>
        <w:t>evitando</w:t>
      </w:r>
      <w:r w:rsidRPr="00C474D1">
        <w:rPr>
          <w:rFonts w:ascii="ITC Avant Garde" w:hAnsi="ITC Avant Garde"/>
          <w:kern w:val="2"/>
          <w:sz w:val="20"/>
          <w:szCs w:val="20"/>
          <w:lang w:val="es-ES" w:eastAsia="ar-SA"/>
        </w:rPr>
        <w:t xml:space="preserve"> generar cargas adicionales</w:t>
      </w:r>
      <w:r w:rsidR="0001767C">
        <w:rPr>
          <w:rFonts w:ascii="ITC Avant Garde" w:hAnsi="ITC Avant Garde"/>
          <w:kern w:val="2"/>
          <w:sz w:val="20"/>
          <w:szCs w:val="20"/>
          <w:lang w:val="es-ES" w:eastAsia="ar-SA"/>
        </w:rPr>
        <w:t xml:space="preserve"> e innecesarias</w:t>
      </w:r>
      <w:r w:rsidRPr="00C474D1">
        <w:rPr>
          <w:rFonts w:ascii="ITC Avant Garde" w:hAnsi="ITC Avant Garde"/>
          <w:kern w:val="2"/>
          <w:sz w:val="20"/>
          <w:szCs w:val="20"/>
          <w:lang w:val="es-ES" w:eastAsia="ar-SA"/>
        </w:rPr>
        <w:t xml:space="preserve"> a los sujetos obligados</w:t>
      </w:r>
      <w:r>
        <w:rPr>
          <w:rFonts w:ascii="ITC Avant Garde" w:hAnsi="ITC Avant Garde"/>
          <w:kern w:val="2"/>
          <w:sz w:val="20"/>
          <w:szCs w:val="20"/>
          <w:lang w:val="es-ES" w:eastAsia="ar-SA"/>
        </w:rPr>
        <w:t>.</w:t>
      </w:r>
    </w:p>
    <w:p w14:paraId="45F112CE" w14:textId="77777777" w:rsidR="00932D45" w:rsidRPr="0001767C" w:rsidRDefault="00932D45" w:rsidP="005A6DBC">
      <w:pPr>
        <w:autoSpaceDE w:val="0"/>
        <w:autoSpaceDN w:val="0"/>
        <w:adjustRightInd w:val="0"/>
        <w:jc w:val="both"/>
        <w:rPr>
          <w:rFonts w:ascii="ITC Avant Garde" w:hAnsi="ITC Avant Garde"/>
          <w:sz w:val="20"/>
          <w:szCs w:val="20"/>
          <w:lang w:val="es-ES"/>
        </w:rPr>
      </w:pPr>
    </w:p>
    <w:p w14:paraId="3485389A" w14:textId="5226F1C2" w:rsidR="005A6DBC" w:rsidRDefault="00932D45" w:rsidP="005A6DBC">
      <w:pPr>
        <w:jc w:val="both"/>
        <w:rPr>
          <w:rFonts w:ascii="ITC Avant Garde" w:hAnsi="ITC Avant Garde"/>
          <w:kern w:val="2"/>
          <w:sz w:val="20"/>
          <w:szCs w:val="20"/>
          <w:lang w:val="es-ES" w:eastAsia="ar-SA"/>
        </w:rPr>
      </w:pPr>
      <w:r>
        <w:rPr>
          <w:rFonts w:ascii="ITC Avant Garde" w:hAnsi="ITC Avant Garde"/>
          <w:kern w:val="2"/>
          <w:sz w:val="20"/>
          <w:szCs w:val="20"/>
          <w:lang w:val="es-ES" w:eastAsia="ar-SA"/>
        </w:rPr>
        <w:t>En este sentido, se resalta que l</w:t>
      </w:r>
      <w:r w:rsidR="005A6DBC" w:rsidRPr="00CF3A61">
        <w:rPr>
          <w:rFonts w:ascii="ITC Avant Garde" w:hAnsi="ITC Avant Garde"/>
          <w:kern w:val="2"/>
          <w:sz w:val="20"/>
          <w:szCs w:val="20"/>
          <w:lang w:val="es-ES" w:eastAsia="ar-SA"/>
        </w:rPr>
        <w:t xml:space="preserve">os comentarios recibidos durante la consulta pública, fueron analizados y, en su caso, incorporados </w:t>
      </w:r>
      <w:r w:rsidR="004C3B37" w:rsidRPr="00CF3A61">
        <w:rPr>
          <w:rFonts w:ascii="ITC Avant Garde" w:hAnsi="ITC Avant Garde"/>
          <w:kern w:val="2"/>
          <w:sz w:val="20"/>
          <w:szCs w:val="20"/>
          <w:lang w:val="es-ES" w:eastAsia="ar-SA"/>
        </w:rPr>
        <w:t xml:space="preserve">en el </w:t>
      </w:r>
      <w:r w:rsidR="004C3B37">
        <w:rPr>
          <w:rFonts w:ascii="ITC Avant Garde" w:hAnsi="ITC Avant Garde"/>
          <w:kern w:val="2"/>
          <w:sz w:val="20"/>
          <w:szCs w:val="20"/>
          <w:lang w:val="es-ES" w:eastAsia="ar-SA"/>
        </w:rPr>
        <w:t>Acuerdo</w:t>
      </w:r>
      <w:r w:rsidR="004C7545">
        <w:rPr>
          <w:rFonts w:ascii="ITC Avant Garde" w:hAnsi="ITC Avant Garde"/>
          <w:kern w:val="2"/>
          <w:sz w:val="20"/>
          <w:szCs w:val="20"/>
          <w:lang w:val="es-ES" w:eastAsia="ar-SA"/>
        </w:rPr>
        <w:t xml:space="preserve"> y sus formatos,</w:t>
      </w:r>
      <w:r w:rsidR="004C3B37" w:rsidRPr="00CF3A61">
        <w:rPr>
          <w:rFonts w:ascii="ITC Avant Garde" w:hAnsi="ITC Avant Garde"/>
          <w:kern w:val="2"/>
          <w:sz w:val="20"/>
          <w:szCs w:val="20"/>
          <w:lang w:val="es-ES" w:eastAsia="ar-SA"/>
        </w:rPr>
        <w:t xml:space="preserve"> </w:t>
      </w:r>
      <w:r w:rsidR="005A6DBC" w:rsidRPr="00CF3A61">
        <w:rPr>
          <w:rFonts w:ascii="ITC Avant Garde" w:hAnsi="ITC Avant Garde"/>
          <w:kern w:val="2"/>
          <w:sz w:val="20"/>
          <w:szCs w:val="20"/>
          <w:lang w:val="es-ES" w:eastAsia="ar-SA"/>
        </w:rPr>
        <w:t xml:space="preserve">con el propósito de </w:t>
      </w:r>
      <w:r w:rsidR="00FB38B2" w:rsidRPr="00CF3A61">
        <w:rPr>
          <w:rFonts w:ascii="ITC Avant Garde" w:hAnsi="ITC Avant Garde"/>
          <w:kern w:val="2"/>
          <w:sz w:val="20"/>
          <w:szCs w:val="20"/>
          <w:lang w:val="es-ES" w:eastAsia="ar-SA"/>
        </w:rPr>
        <w:t>robustecer</w:t>
      </w:r>
      <w:r w:rsidR="00FB38B2">
        <w:rPr>
          <w:rFonts w:ascii="ITC Avant Garde" w:hAnsi="ITC Avant Garde"/>
          <w:kern w:val="2"/>
          <w:sz w:val="20"/>
          <w:szCs w:val="20"/>
          <w:lang w:val="es-ES" w:eastAsia="ar-SA"/>
        </w:rPr>
        <w:t xml:space="preserve"> </w:t>
      </w:r>
      <w:r w:rsidR="004C7545">
        <w:rPr>
          <w:rFonts w:ascii="ITC Avant Garde" w:hAnsi="ITC Avant Garde"/>
          <w:kern w:val="2"/>
          <w:sz w:val="20"/>
          <w:szCs w:val="20"/>
          <w:lang w:val="es-ES" w:eastAsia="ar-SA"/>
        </w:rPr>
        <w:t>los</w:t>
      </w:r>
      <w:r w:rsidR="00FB38B2">
        <w:rPr>
          <w:rFonts w:ascii="ITC Avant Garde" w:hAnsi="ITC Avant Garde"/>
          <w:kern w:val="2"/>
          <w:sz w:val="20"/>
          <w:szCs w:val="20"/>
          <w:lang w:val="es-ES" w:eastAsia="ar-SA"/>
        </w:rPr>
        <w:t xml:space="preserve"> mismo</w:t>
      </w:r>
      <w:r w:rsidR="004C7545">
        <w:rPr>
          <w:rFonts w:ascii="ITC Avant Garde" w:hAnsi="ITC Avant Garde"/>
          <w:kern w:val="2"/>
          <w:sz w:val="20"/>
          <w:szCs w:val="20"/>
          <w:lang w:val="es-ES" w:eastAsia="ar-SA"/>
        </w:rPr>
        <w:t>s</w:t>
      </w:r>
      <w:r w:rsidR="005A6DBC" w:rsidRPr="00CF3A61">
        <w:rPr>
          <w:rFonts w:ascii="ITC Avant Garde" w:hAnsi="ITC Avant Garde"/>
          <w:kern w:val="2"/>
          <w:sz w:val="20"/>
          <w:szCs w:val="20"/>
          <w:lang w:val="es-ES" w:eastAsia="ar-SA"/>
        </w:rPr>
        <w:t>, por lo que las respuestas a éstos se encuentran publicadas en el apartado de consultas públicas del portal de Internet del Instituto, a través del informe de consideraciones correspondiente</w:t>
      </w:r>
      <w:r w:rsidR="005A6DBC">
        <w:rPr>
          <w:rFonts w:ascii="ITC Avant Garde" w:hAnsi="ITC Avant Garde"/>
          <w:kern w:val="2"/>
          <w:sz w:val="20"/>
          <w:szCs w:val="20"/>
          <w:lang w:val="es-ES" w:eastAsia="ar-SA"/>
        </w:rPr>
        <w:t>.</w:t>
      </w:r>
    </w:p>
    <w:p w14:paraId="75D936B9" w14:textId="77777777" w:rsidR="005A6DBC" w:rsidRDefault="005A6DBC" w:rsidP="005A6DBC">
      <w:pPr>
        <w:jc w:val="both"/>
        <w:rPr>
          <w:rFonts w:ascii="ITC Avant Garde" w:hAnsi="ITC Avant Garde"/>
          <w:kern w:val="2"/>
          <w:sz w:val="20"/>
          <w:szCs w:val="20"/>
          <w:lang w:val="es-ES" w:eastAsia="ar-SA"/>
        </w:rPr>
      </w:pPr>
    </w:p>
    <w:p w14:paraId="29153BB0" w14:textId="77777777" w:rsidR="005A6DBC" w:rsidRPr="000F1E5D" w:rsidRDefault="005A6DBC" w:rsidP="005A6DBC">
      <w:pPr>
        <w:jc w:val="both"/>
        <w:rPr>
          <w:rFonts w:ascii="ITC Avant Garde" w:hAnsi="ITC Avant Garde"/>
          <w:kern w:val="2"/>
          <w:sz w:val="20"/>
          <w:szCs w:val="20"/>
          <w:lang w:val="es-ES" w:eastAsia="ar-SA"/>
        </w:rPr>
      </w:pPr>
      <w:r w:rsidRPr="00462E33">
        <w:rPr>
          <w:rFonts w:ascii="ITC Avant Garde" w:hAnsi="ITC Avant Garde"/>
          <w:b/>
          <w:kern w:val="2"/>
          <w:sz w:val="20"/>
          <w:szCs w:val="20"/>
          <w:lang w:val="es-ES" w:eastAsia="ar-SA"/>
        </w:rPr>
        <w:t>QUINTO. - Análisis de Nulo Impacto Regulatorio.</w:t>
      </w:r>
      <w:r w:rsidRPr="00462E33">
        <w:rPr>
          <w:rFonts w:ascii="ITC Avant Garde" w:hAnsi="ITC Avant Garde"/>
          <w:kern w:val="2"/>
          <w:sz w:val="20"/>
          <w:szCs w:val="20"/>
          <w:lang w:val="es-ES" w:eastAsia="ar-SA"/>
        </w:rPr>
        <w:t xml:space="preserve"> </w:t>
      </w:r>
      <w:r w:rsidRPr="000F1E5D">
        <w:rPr>
          <w:rFonts w:ascii="ITC Avant Garde" w:hAnsi="ITC Avant Garde"/>
          <w:kern w:val="2"/>
          <w:sz w:val="20"/>
          <w:szCs w:val="20"/>
          <w:lang w:val="es-ES" w:eastAsia="ar-SA"/>
        </w:rPr>
        <w:t>El segundo párrafo del artículo 51 de la Ley establece que previamente a la emisión de reglas, lineamientos o disposiciones administrativas de carácter general, el Instituto deberá realizar y hacer público un Análisis de Impacto Regulatorio o, en su caso, solicitar el apoyo de la Comisión Nacional de Mejora Regulatoria.</w:t>
      </w:r>
    </w:p>
    <w:p w14:paraId="2E9F98BE" w14:textId="77777777" w:rsidR="005A6DBC" w:rsidRPr="000F1E5D" w:rsidRDefault="005A6DBC" w:rsidP="005A6DBC">
      <w:pPr>
        <w:jc w:val="both"/>
        <w:rPr>
          <w:rFonts w:ascii="ITC Avant Garde" w:hAnsi="ITC Avant Garde"/>
          <w:kern w:val="2"/>
          <w:sz w:val="20"/>
          <w:szCs w:val="20"/>
          <w:lang w:val="es-ES" w:eastAsia="ar-SA"/>
        </w:rPr>
      </w:pPr>
    </w:p>
    <w:p w14:paraId="3BB387A4" w14:textId="77777777" w:rsidR="005A6DBC" w:rsidRPr="00462E33" w:rsidRDefault="005A6DBC" w:rsidP="005A6DBC">
      <w:pPr>
        <w:jc w:val="both"/>
        <w:rPr>
          <w:rFonts w:ascii="ITC Avant Garde" w:hAnsi="ITC Avant Garde"/>
          <w:kern w:val="2"/>
          <w:sz w:val="20"/>
          <w:szCs w:val="20"/>
          <w:lang w:val="es-ES" w:eastAsia="ar-SA"/>
        </w:rPr>
      </w:pPr>
      <w:r w:rsidRPr="000F1E5D">
        <w:rPr>
          <w:rFonts w:ascii="ITC Avant Garde" w:hAnsi="ITC Avant Garde"/>
          <w:kern w:val="2"/>
          <w:sz w:val="20"/>
          <w:szCs w:val="20"/>
          <w:lang w:val="es-ES" w:eastAsia="ar-SA"/>
        </w:rPr>
        <w:t>Al respecto, el Instituto puso a disposición de los agentes regulados y la ciudadanía en general, un Análisis de Nulo Impacto Regulatorio, mismo que no sufrió modificaciones sustanciales a razón de la consulta pública referida en el numeral anterior, ni en virtud de las adecuaciones realiza</w:t>
      </w:r>
      <w:r>
        <w:rPr>
          <w:rFonts w:ascii="ITC Avant Garde" w:hAnsi="ITC Avant Garde"/>
          <w:kern w:val="2"/>
          <w:sz w:val="20"/>
          <w:szCs w:val="20"/>
          <w:lang w:val="es-ES" w:eastAsia="ar-SA"/>
        </w:rPr>
        <w:t>das al Acuerdo</w:t>
      </w:r>
      <w:r w:rsidRPr="00462E33">
        <w:rPr>
          <w:rFonts w:ascii="ITC Avant Garde" w:hAnsi="ITC Avant Garde"/>
          <w:kern w:val="2"/>
          <w:sz w:val="20"/>
          <w:szCs w:val="20"/>
          <w:lang w:val="es-ES" w:eastAsia="ar-SA"/>
        </w:rPr>
        <w:t>.</w:t>
      </w:r>
    </w:p>
    <w:p w14:paraId="71677784" w14:textId="77777777" w:rsidR="005A6DBC" w:rsidRPr="00462E33" w:rsidRDefault="005A6DBC" w:rsidP="005A6DBC">
      <w:pPr>
        <w:jc w:val="both"/>
        <w:rPr>
          <w:rFonts w:ascii="ITC Avant Garde" w:hAnsi="ITC Avant Garde"/>
          <w:kern w:val="2"/>
          <w:sz w:val="20"/>
          <w:szCs w:val="20"/>
          <w:lang w:val="es-ES" w:eastAsia="ar-SA"/>
        </w:rPr>
      </w:pPr>
    </w:p>
    <w:p w14:paraId="33B295BB" w14:textId="07599D40" w:rsidR="00511A6A" w:rsidRPr="00EE46D9" w:rsidRDefault="00511A6A" w:rsidP="00511A6A">
      <w:pPr>
        <w:jc w:val="both"/>
        <w:rPr>
          <w:rFonts w:ascii="ITC Avant Garde" w:hAnsi="ITC Avant Garde"/>
          <w:kern w:val="2"/>
          <w:sz w:val="20"/>
          <w:szCs w:val="20"/>
          <w:lang w:val="es-ES" w:eastAsia="ar-SA"/>
        </w:rPr>
      </w:pPr>
      <w:r w:rsidRPr="00D4399F">
        <w:rPr>
          <w:rFonts w:ascii="ITC Avant Garde" w:hAnsi="ITC Avant Garde"/>
          <w:kern w:val="2"/>
          <w:sz w:val="20"/>
          <w:szCs w:val="20"/>
          <w:lang w:val="es-ES" w:eastAsia="ar-SA"/>
        </w:rPr>
        <w:t>Por las razones antes expuestas, con fundamento en los artículos 6°, apartado B</w:t>
      </w:r>
      <w:r>
        <w:rPr>
          <w:rFonts w:ascii="ITC Avant Garde" w:hAnsi="ITC Avant Garde"/>
          <w:kern w:val="2"/>
          <w:sz w:val="20"/>
          <w:szCs w:val="20"/>
          <w:lang w:val="es-ES" w:eastAsia="ar-SA"/>
        </w:rPr>
        <w:t>, fracciones II y III</w:t>
      </w:r>
      <w:r w:rsidRPr="00D4399F">
        <w:rPr>
          <w:rFonts w:ascii="ITC Avant Garde" w:hAnsi="ITC Avant Garde"/>
          <w:kern w:val="2"/>
          <w:sz w:val="20"/>
          <w:szCs w:val="20"/>
          <w:lang w:val="es-ES" w:eastAsia="ar-SA"/>
        </w:rPr>
        <w:t xml:space="preserve"> y 28, párrafos décimo quinto, décimo sexto y vigésimo, fracción IV, de la Constitución Política de los Estados Unidos Mexicanos; 1, 2, 4, 5, 7, 15, fracciones I, XLI y LVI, 16</w:t>
      </w:r>
      <w:r>
        <w:rPr>
          <w:rFonts w:ascii="ITC Avant Garde" w:hAnsi="ITC Avant Garde"/>
          <w:kern w:val="2"/>
          <w:sz w:val="20"/>
          <w:szCs w:val="20"/>
          <w:lang w:val="es-ES" w:eastAsia="ar-SA"/>
        </w:rPr>
        <w:t xml:space="preserve"> y</w:t>
      </w:r>
      <w:r w:rsidRPr="00D4399F">
        <w:rPr>
          <w:rFonts w:ascii="ITC Avant Garde" w:hAnsi="ITC Avant Garde"/>
          <w:kern w:val="2"/>
          <w:sz w:val="20"/>
          <w:szCs w:val="20"/>
          <w:lang w:val="es-ES" w:eastAsia="ar-SA"/>
        </w:rPr>
        <w:t xml:space="preserve"> 17, fracción I  de la Ley Federal de Telecomunicaciones y Radiodifusión, y 1, 4, fracción I, y 6, fracciones I, XX</w:t>
      </w:r>
      <w:r>
        <w:rPr>
          <w:rFonts w:ascii="ITC Avant Garde" w:hAnsi="ITC Avant Garde"/>
          <w:kern w:val="2"/>
          <w:sz w:val="20"/>
          <w:szCs w:val="20"/>
          <w:lang w:val="es-ES" w:eastAsia="ar-SA"/>
        </w:rPr>
        <w:t xml:space="preserve"> y</w:t>
      </w:r>
      <w:r w:rsidRPr="00D4399F">
        <w:rPr>
          <w:rFonts w:ascii="ITC Avant Garde" w:hAnsi="ITC Avant Garde"/>
          <w:kern w:val="2"/>
          <w:sz w:val="20"/>
          <w:szCs w:val="20"/>
          <w:lang w:val="es-ES" w:eastAsia="ar-SA"/>
        </w:rPr>
        <w:t xml:space="preserve"> XXV, del Estatuto Orgánico del Instituto Federal de Telecomunicaciones, el Pleno del Instituto emite el siguiente:</w:t>
      </w:r>
    </w:p>
    <w:p w14:paraId="0781215A" w14:textId="77777777" w:rsidR="005A6DBC" w:rsidRPr="00EE46D9" w:rsidRDefault="005A6DBC" w:rsidP="005A6DBC">
      <w:pPr>
        <w:jc w:val="both"/>
        <w:rPr>
          <w:rFonts w:ascii="ITC Avant Garde" w:hAnsi="ITC Avant Garde"/>
          <w:kern w:val="2"/>
          <w:sz w:val="20"/>
          <w:szCs w:val="20"/>
          <w:lang w:val="es-ES" w:eastAsia="ar-SA"/>
        </w:rPr>
      </w:pPr>
    </w:p>
    <w:p w14:paraId="7FE92AFF" w14:textId="77777777" w:rsidR="005A6DBC" w:rsidRPr="00EE46D9" w:rsidRDefault="005A6DBC" w:rsidP="005A6DBC">
      <w:pPr>
        <w:jc w:val="both"/>
        <w:rPr>
          <w:rFonts w:ascii="ITC Avant Garde" w:hAnsi="ITC Avant Garde"/>
          <w:kern w:val="2"/>
          <w:sz w:val="20"/>
          <w:szCs w:val="20"/>
          <w:lang w:val="es-ES" w:eastAsia="ar-SA"/>
        </w:rPr>
      </w:pPr>
    </w:p>
    <w:p w14:paraId="2F236668" w14:textId="77777777" w:rsidR="005A6DBC" w:rsidRPr="00EE46D9" w:rsidRDefault="005A6DBC" w:rsidP="005A6DBC">
      <w:pPr>
        <w:pStyle w:val="ANOTACION"/>
        <w:spacing w:before="0" w:after="0" w:line="240" w:lineRule="auto"/>
        <w:rPr>
          <w:rFonts w:ascii="ITC Avant Garde" w:hAnsi="ITC Avant Garde" w:cs="Arial"/>
          <w:sz w:val="20"/>
          <w:lang w:val="es-MX"/>
        </w:rPr>
      </w:pPr>
      <w:r w:rsidRPr="00D75786">
        <w:rPr>
          <w:rFonts w:ascii="ITC Avant Garde" w:hAnsi="ITC Avant Garde" w:cs="Arial"/>
          <w:sz w:val="20"/>
          <w:lang w:val="es-MX"/>
        </w:rPr>
        <w:t>A C U E R D O</w:t>
      </w:r>
    </w:p>
    <w:p w14:paraId="7C1C81AA" w14:textId="77777777" w:rsidR="005A6DBC" w:rsidRPr="00EE46D9" w:rsidRDefault="005A6DBC" w:rsidP="005A6DBC">
      <w:pPr>
        <w:jc w:val="both"/>
        <w:rPr>
          <w:rFonts w:ascii="ITC Avant Garde" w:hAnsi="ITC Avant Garde"/>
          <w:kern w:val="2"/>
          <w:sz w:val="20"/>
          <w:szCs w:val="20"/>
          <w:lang w:val="es-ES" w:eastAsia="ar-SA"/>
        </w:rPr>
      </w:pPr>
    </w:p>
    <w:p w14:paraId="6CA74773" w14:textId="77777777" w:rsidR="005A6DBC" w:rsidRPr="00EE46D9" w:rsidRDefault="005A6DBC" w:rsidP="005A6DBC">
      <w:pPr>
        <w:jc w:val="both"/>
        <w:rPr>
          <w:rFonts w:ascii="ITC Avant Garde" w:hAnsi="ITC Avant Garde" w:cs="Arial"/>
          <w:sz w:val="20"/>
          <w:szCs w:val="20"/>
        </w:rPr>
      </w:pPr>
      <w:r w:rsidRPr="00434FF0">
        <w:rPr>
          <w:rFonts w:ascii="ITC Avant Garde" w:hAnsi="ITC Avant Garde" w:cs="Arial"/>
          <w:b/>
          <w:sz w:val="20"/>
          <w:szCs w:val="20"/>
        </w:rPr>
        <w:t>PRIMERO</w:t>
      </w:r>
      <w:r w:rsidRPr="00EE46D9">
        <w:rPr>
          <w:rFonts w:ascii="ITC Avant Garde" w:hAnsi="ITC Avant Garde" w:cs="Arial"/>
          <w:sz w:val="20"/>
          <w:szCs w:val="20"/>
        </w:rPr>
        <w:t>.  Se emite el formato</w:t>
      </w:r>
      <w:r>
        <w:rPr>
          <w:rFonts w:ascii="ITC Avant Garde" w:hAnsi="ITC Avant Garde" w:cs="Arial"/>
          <w:sz w:val="20"/>
          <w:szCs w:val="20"/>
        </w:rPr>
        <w:t xml:space="preserve"> de uso obligatorio</w:t>
      </w:r>
      <w:r w:rsidRPr="00EE46D9">
        <w:rPr>
          <w:rFonts w:ascii="ITC Avant Garde" w:hAnsi="ITC Avant Garde" w:cs="Arial"/>
          <w:sz w:val="20"/>
          <w:szCs w:val="20"/>
        </w:rPr>
        <w:t xml:space="preserve"> para la presentación del trámite de “</w:t>
      </w:r>
      <w:r w:rsidRPr="00EE46D9">
        <w:rPr>
          <w:rFonts w:ascii="ITC Avant Garde" w:hAnsi="ITC Avant Garde" w:cs="Tahoma"/>
          <w:bCs/>
          <w:color w:val="000000"/>
          <w:sz w:val="20"/>
          <w:szCs w:val="20"/>
          <w:lang w:val="es-ES_tradnl" w:eastAsia="es-MX"/>
        </w:rPr>
        <w:t>Aviso de solicitud de bloqueo de contenidos programáticos</w:t>
      </w:r>
      <w:r w:rsidRPr="00EE46D9">
        <w:rPr>
          <w:rFonts w:ascii="ITC Avant Garde" w:hAnsi="ITC Avant Garde" w:cs="Arial"/>
          <w:sz w:val="20"/>
          <w:szCs w:val="20"/>
        </w:rPr>
        <w:t>”, previsto en el artículo 8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y que, como Anexo A, es parte integrante del presente Acuerdo.</w:t>
      </w:r>
    </w:p>
    <w:p w14:paraId="686CE7CF" w14:textId="77777777" w:rsidR="005A6DBC" w:rsidRPr="00EE46D9" w:rsidRDefault="005A6DBC" w:rsidP="005A6DBC">
      <w:pPr>
        <w:jc w:val="both"/>
        <w:rPr>
          <w:rFonts w:ascii="ITC Avant Garde" w:hAnsi="ITC Avant Garde" w:cs="Arial"/>
          <w:sz w:val="20"/>
          <w:szCs w:val="20"/>
        </w:rPr>
      </w:pPr>
    </w:p>
    <w:p w14:paraId="3505D2BB" w14:textId="77777777" w:rsidR="005A6DBC" w:rsidRPr="00EE46D9" w:rsidRDefault="005A6DBC" w:rsidP="005A6DBC">
      <w:pPr>
        <w:jc w:val="both"/>
        <w:rPr>
          <w:rFonts w:ascii="ITC Avant Garde" w:hAnsi="ITC Avant Garde" w:cs="Tahoma"/>
          <w:bCs/>
          <w:color w:val="000000"/>
          <w:sz w:val="20"/>
          <w:szCs w:val="20"/>
          <w:lang w:val="es-ES_tradnl" w:eastAsia="es-MX"/>
        </w:rPr>
      </w:pPr>
      <w:r w:rsidRPr="00EE46D9">
        <w:rPr>
          <w:rFonts w:ascii="ITC Avant Garde" w:hAnsi="ITC Avant Garde" w:cs="Arial"/>
          <w:b/>
          <w:sz w:val="20"/>
          <w:szCs w:val="20"/>
        </w:rPr>
        <w:t>SEGUNDO</w:t>
      </w:r>
      <w:r w:rsidRPr="00EE46D9">
        <w:rPr>
          <w:rFonts w:ascii="ITC Avant Garde" w:hAnsi="ITC Avant Garde" w:cs="Arial"/>
          <w:sz w:val="20"/>
          <w:szCs w:val="20"/>
        </w:rPr>
        <w:t>. Se emite el formato</w:t>
      </w:r>
      <w:r>
        <w:rPr>
          <w:rFonts w:ascii="ITC Avant Garde" w:hAnsi="ITC Avant Garde" w:cs="Arial"/>
          <w:sz w:val="20"/>
          <w:szCs w:val="20"/>
        </w:rPr>
        <w:t xml:space="preserve"> de uso obligatorio</w:t>
      </w:r>
      <w:r w:rsidRPr="00EE46D9">
        <w:rPr>
          <w:rFonts w:ascii="ITC Avant Garde" w:hAnsi="ITC Avant Garde" w:cs="Arial"/>
          <w:sz w:val="20"/>
          <w:szCs w:val="20"/>
        </w:rPr>
        <w:t xml:space="preserve"> para la presentación del trámite de “</w:t>
      </w:r>
      <w:r w:rsidRPr="00EE46D9">
        <w:rPr>
          <w:rFonts w:ascii="ITC Avant Garde" w:hAnsi="ITC Avant Garde" w:cs="Tahoma"/>
          <w:bCs/>
          <w:color w:val="000000"/>
          <w:sz w:val="20"/>
          <w:szCs w:val="20"/>
          <w:lang w:val="es-ES_tradnl" w:eastAsia="es-MX"/>
        </w:rPr>
        <w:t>Solicitud sobre disponibilidad de señales ra</w:t>
      </w:r>
      <w:r w:rsidR="00F27376">
        <w:rPr>
          <w:rFonts w:ascii="ITC Avant Garde" w:hAnsi="ITC Avant Garde" w:cs="Tahoma"/>
          <w:bCs/>
          <w:color w:val="000000"/>
          <w:sz w:val="20"/>
          <w:szCs w:val="20"/>
          <w:lang w:val="es-ES_tradnl" w:eastAsia="es-MX"/>
        </w:rPr>
        <w:t>diodifundidas que realizan las Instituciones Públicas F</w:t>
      </w:r>
      <w:r w:rsidRPr="00EE46D9">
        <w:rPr>
          <w:rFonts w:ascii="ITC Avant Garde" w:hAnsi="ITC Avant Garde" w:cs="Tahoma"/>
          <w:bCs/>
          <w:color w:val="000000"/>
          <w:sz w:val="20"/>
          <w:szCs w:val="20"/>
          <w:lang w:val="es-ES_tradnl" w:eastAsia="es-MX"/>
        </w:rPr>
        <w:t xml:space="preserve">ederales para su retransmisión”, previsto en el artículo 12, párrafo sexto, de los </w:t>
      </w:r>
      <w:r w:rsidRPr="00EE46D9">
        <w:rPr>
          <w:rFonts w:ascii="ITC Avant Garde" w:hAnsi="ITC Avant Garde" w:cs="Arial"/>
          <w:sz w:val="20"/>
          <w:szCs w:val="20"/>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EE46D9">
        <w:rPr>
          <w:rFonts w:ascii="ITC Avant Garde" w:hAnsi="ITC Avant Garde" w:cs="Tahoma"/>
          <w:bCs/>
          <w:color w:val="000000"/>
          <w:sz w:val="20"/>
          <w:szCs w:val="20"/>
          <w:lang w:val="es-ES_tradnl" w:eastAsia="es-MX"/>
        </w:rPr>
        <w:t>, y que, como Anexo B, es parte integrante del presente Acuerdo.</w:t>
      </w:r>
    </w:p>
    <w:p w14:paraId="3B72244E" w14:textId="77777777" w:rsidR="005A6DBC" w:rsidRPr="00EE46D9" w:rsidRDefault="005A6DBC" w:rsidP="005A6DBC">
      <w:pPr>
        <w:jc w:val="both"/>
        <w:rPr>
          <w:rFonts w:ascii="ITC Avant Garde" w:hAnsi="ITC Avant Garde" w:cs="Tahoma"/>
          <w:bCs/>
          <w:color w:val="000000"/>
          <w:sz w:val="20"/>
          <w:szCs w:val="20"/>
          <w:lang w:val="es-ES_tradnl" w:eastAsia="es-MX"/>
        </w:rPr>
      </w:pPr>
    </w:p>
    <w:p w14:paraId="24E78C0B" w14:textId="77777777" w:rsidR="005A6DBC" w:rsidRPr="00EE46D9" w:rsidRDefault="005A6DBC" w:rsidP="005A6DBC">
      <w:pPr>
        <w:jc w:val="both"/>
        <w:rPr>
          <w:rFonts w:ascii="ITC Avant Garde" w:hAnsi="ITC Avant Garde" w:cs="Tahoma"/>
          <w:bCs/>
          <w:color w:val="000000"/>
          <w:sz w:val="20"/>
          <w:szCs w:val="20"/>
          <w:lang w:val="es-ES_tradnl" w:eastAsia="es-MX"/>
        </w:rPr>
      </w:pPr>
      <w:r w:rsidRPr="00EE46D9">
        <w:rPr>
          <w:rFonts w:ascii="ITC Avant Garde" w:hAnsi="ITC Avant Garde" w:cs="Arial"/>
          <w:b/>
          <w:sz w:val="20"/>
          <w:szCs w:val="20"/>
        </w:rPr>
        <w:t>TERCERO</w:t>
      </w:r>
      <w:r w:rsidRPr="00EE46D9">
        <w:rPr>
          <w:rFonts w:ascii="ITC Avant Garde" w:hAnsi="ITC Avant Garde" w:cs="Tahoma"/>
          <w:bCs/>
          <w:color w:val="000000"/>
          <w:sz w:val="20"/>
          <w:szCs w:val="20"/>
          <w:lang w:val="es-ES_tradnl" w:eastAsia="es-MX"/>
        </w:rPr>
        <w:t xml:space="preserve">. </w:t>
      </w:r>
      <w:r w:rsidRPr="00EE46D9">
        <w:rPr>
          <w:rFonts w:ascii="ITC Avant Garde" w:hAnsi="ITC Avant Garde" w:cs="Arial"/>
          <w:sz w:val="20"/>
          <w:szCs w:val="20"/>
        </w:rPr>
        <w:t>Se emite el formato</w:t>
      </w:r>
      <w:r>
        <w:rPr>
          <w:rFonts w:ascii="ITC Avant Garde" w:hAnsi="ITC Avant Garde" w:cs="Arial"/>
          <w:sz w:val="20"/>
          <w:szCs w:val="20"/>
        </w:rPr>
        <w:t xml:space="preserve"> de uso obligatorio</w:t>
      </w:r>
      <w:r w:rsidRPr="00EE46D9">
        <w:rPr>
          <w:rFonts w:ascii="ITC Avant Garde" w:hAnsi="ITC Avant Garde" w:cs="Arial"/>
          <w:sz w:val="20"/>
          <w:szCs w:val="20"/>
        </w:rPr>
        <w:t xml:space="preserve"> para la presentación del trámite de “</w:t>
      </w:r>
      <w:r w:rsidR="00F27376">
        <w:rPr>
          <w:rFonts w:ascii="ITC Avant Garde" w:hAnsi="ITC Avant Garde" w:cs="Tahoma"/>
          <w:bCs/>
          <w:color w:val="000000"/>
          <w:sz w:val="20"/>
          <w:szCs w:val="20"/>
          <w:lang w:val="es-ES_tradnl" w:eastAsia="es-MX"/>
        </w:rPr>
        <w:t>Solicitud de asignación de un canal v</w:t>
      </w:r>
      <w:r w:rsidRPr="00EE46D9">
        <w:rPr>
          <w:rFonts w:ascii="ITC Avant Garde" w:hAnsi="ITC Avant Garde" w:cs="Tahoma"/>
          <w:bCs/>
          <w:color w:val="000000"/>
          <w:sz w:val="20"/>
          <w:szCs w:val="20"/>
          <w:lang w:val="es-ES_tradnl" w:eastAsia="es-MX"/>
        </w:rPr>
        <w:t>irtual disponible diferente al asignado”, previsto en los artículos</w:t>
      </w:r>
      <w:r w:rsidR="00B17970">
        <w:rPr>
          <w:rFonts w:ascii="ITC Avant Garde" w:hAnsi="ITC Avant Garde" w:cs="Tahoma"/>
          <w:bCs/>
          <w:color w:val="000000"/>
          <w:sz w:val="20"/>
          <w:szCs w:val="20"/>
          <w:lang w:val="es-ES_tradnl" w:eastAsia="es-MX"/>
        </w:rPr>
        <w:t xml:space="preserve"> 7, 8,</w:t>
      </w:r>
      <w:r w:rsidRPr="00EE46D9">
        <w:rPr>
          <w:rFonts w:ascii="ITC Avant Garde" w:hAnsi="ITC Avant Garde" w:cs="Tahoma"/>
          <w:bCs/>
          <w:color w:val="000000"/>
          <w:sz w:val="20"/>
          <w:szCs w:val="20"/>
          <w:lang w:val="es-ES_tradnl" w:eastAsia="es-MX"/>
        </w:rPr>
        <w:t xml:space="preserve"> 10 y 11 de los Lineamientos Generales para la Asignación de Canales Virtuales de Televisión Radiodifundida, y que, como Anexo C, es parte integrante del presente Acuerdo.</w:t>
      </w:r>
    </w:p>
    <w:p w14:paraId="61F45551" w14:textId="77777777" w:rsidR="005A6DBC" w:rsidRPr="00EE46D9" w:rsidRDefault="005A6DBC" w:rsidP="005A6DBC">
      <w:pPr>
        <w:jc w:val="both"/>
        <w:rPr>
          <w:rFonts w:ascii="ITC Avant Garde" w:hAnsi="ITC Avant Garde" w:cs="Tahoma"/>
          <w:bCs/>
          <w:color w:val="000000"/>
          <w:sz w:val="20"/>
          <w:szCs w:val="20"/>
          <w:lang w:val="es-ES_tradnl" w:eastAsia="es-MX"/>
        </w:rPr>
      </w:pPr>
    </w:p>
    <w:p w14:paraId="7579DDAA" w14:textId="39DE9035" w:rsidR="005A6DBC" w:rsidRPr="00EE46D9" w:rsidRDefault="005A6DBC" w:rsidP="005A6DBC">
      <w:pPr>
        <w:jc w:val="both"/>
        <w:rPr>
          <w:rFonts w:ascii="ITC Avant Garde" w:hAnsi="ITC Avant Garde" w:cs="Arial"/>
          <w:sz w:val="20"/>
          <w:szCs w:val="20"/>
        </w:rPr>
      </w:pPr>
      <w:r w:rsidRPr="00EE46D9">
        <w:rPr>
          <w:rFonts w:ascii="ITC Avant Garde" w:hAnsi="ITC Avant Garde" w:cs="Tahoma"/>
          <w:b/>
          <w:bCs/>
          <w:color w:val="000000"/>
          <w:sz w:val="20"/>
          <w:szCs w:val="20"/>
          <w:lang w:val="es-ES_tradnl" w:eastAsia="es-MX"/>
        </w:rPr>
        <w:t>CUARTO</w:t>
      </w:r>
      <w:r w:rsidRPr="00EE46D9">
        <w:rPr>
          <w:rFonts w:ascii="ITC Avant Garde" w:hAnsi="ITC Avant Garde" w:cs="Tahoma"/>
          <w:bCs/>
          <w:color w:val="000000"/>
          <w:sz w:val="20"/>
          <w:szCs w:val="20"/>
          <w:lang w:val="es-ES_tradnl" w:eastAsia="es-MX"/>
        </w:rPr>
        <w:t xml:space="preserve">. </w:t>
      </w:r>
      <w:r w:rsidRPr="00EE46D9">
        <w:rPr>
          <w:rFonts w:ascii="ITC Avant Garde" w:hAnsi="ITC Avant Garde" w:cs="Arial"/>
          <w:sz w:val="20"/>
          <w:szCs w:val="20"/>
        </w:rPr>
        <w:t>Se emite el formato</w:t>
      </w:r>
      <w:r>
        <w:rPr>
          <w:rFonts w:ascii="ITC Avant Garde" w:hAnsi="ITC Avant Garde" w:cs="Arial"/>
          <w:sz w:val="20"/>
          <w:szCs w:val="20"/>
        </w:rPr>
        <w:t xml:space="preserve"> de uso obligatorio</w:t>
      </w:r>
      <w:r w:rsidRPr="00EE46D9">
        <w:rPr>
          <w:rFonts w:ascii="ITC Avant Garde" w:hAnsi="ITC Avant Garde" w:cs="Arial"/>
          <w:sz w:val="20"/>
          <w:szCs w:val="20"/>
        </w:rPr>
        <w:t xml:space="preserve"> para la presentació</w:t>
      </w:r>
      <w:r w:rsidR="00F27376">
        <w:rPr>
          <w:rFonts w:ascii="ITC Avant Garde" w:hAnsi="ITC Avant Garde" w:cs="Arial"/>
          <w:sz w:val="20"/>
          <w:szCs w:val="20"/>
        </w:rPr>
        <w:t>n del trámite de “Solicitud de autorización de acceso a la m</w:t>
      </w:r>
      <w:r w:rsidRPr="00EE46D9">
        <w:rPr>
          <w:rFonts w:ascii="ITC Avant Garde" w:hAnsi="ITC Avant Garde" w:cs="Arial"/>
          <w:sz w:val="20"/>
          <w:szCs w:val="20"/>
        </w:rPr>
        <w:t>ultiprogramación de concesionarios en materia de radiodifusión”, previsto en los artículos 158,</w:t>
      </w:r>
      <w:r w:rsidR="006826B7">
        <w:rPr>
          <w:rFonts w:ascii="ITC Avant Garde" w:hAnsi="ITC Avant Garde" w:cs="Arial"/>
          <w:sz w:val="20"/>
          <w:szCs w:val="20"/>
        </w:rPr>
        <w:t xml:space="preserve"> 159,</w:t>
      </w:r>
      <w:r w:rsidRPr="00EE46D9">
        <w:rPr>
          <w:rFonts w:ascii="ITC Avant Garde" w:hAnsi="ITC Avant Garde" w:cs="Arial"/>
          <w:sz w:val="20"/>
          <w:szCs w:val="20"/>
        </w:rPr>
        <w:t xml:space="preserve"> 160, 162 y 163, de la Ley Federal de Telecomunicaciones y Radiodifusión, así como 1, 3, 8, 9</w:t>
      </w:r>
      <w:r w:rsidR="006826B7">
        <w:rPr>
          <w:rFonts w:ascii="ITC Avant Garde" w:hAnsi="ITC Avant Garde" w:cs="Arial"/>
          <w:sz w:val="20"/>
          <w:szCs w:val="20"/>
        </w:rPr>
        <w:t>,</w:t>
      </w:r>
      <w:r w:rsidR="005D3E45">
        <w:rPr>
          <w:rFonts w:ascii="ITC Avant Garde" w:hAnsi="ITC Avant Garde" w:cs="Arial"/>
          <w:sz w:val="20"/>
          <w:szCs w:val="20"/>
        </w:rPr>
        <w:t xml:space="preserve"> </w:t>
      </w:r>
      <w:r w:rsidRPr="00EE46D9">
        <w:rPr>
          <w:rFonts w:ascii="ITC Avant Garde" w:hAnsi="ITC Avant Garde" w:cs="Arial"/>
          <w:sz w:val="20"/>
          <w:szCs w:val="20"/>
        </w:rPr>
        <w:t>10</w:t>
      </w:r>
      <w:r w:rsidR="006826B7">
        <w:rPr>
          <w:rFonts w:ascii="ITC Avant Garde" w:hAnsi="ITC Avant Garde" w:cs="Arial"/>
          <w:sz w:val="20"/>
          <w:szCs w:val="20"/>
        </w:rPr>
        <w:t>, 16 y 22</w:t>
      </w:r>
      <w:r w:rsidRPr="00EE46D9">
        <w:rPr>
          <w:rFonts w:ascii="ITC Avant Garde" w:hAnsi="ITC Avant Garde" w:cs="Arial"/>
          <w:sz w:val="20"/>
          <w:szCs w:val="20"/>
        </w:rPr>
        <w:t xml:space="preserve"> de los Lineamientos Generales para el Acceso a la Multiprogramación, y que, como Anexo D, es parte integrante del presente Acuerdo.</w:t>
      </w:r>
    </w:p>
    <w:p w14:paraId="5F39A968" w14:textId="77777777" w:rsidR="005A6DBC" w:rsidRPr="00EE46D9" w:rsidRDefault="005A6DBC" w:rsidP="005A6DBC">
      <w:pPr>
        <w:jc w:val="both"/>
        <w:rPr>
          <w:rFonts w:ascii="ITC Avant Garde" w:hAnsi="ITC Avant Garde" w:cs="Arial"/>
          <w:sz w:val="20"/>
          <w:szCs w:val="20"/>
        </w:rPr>
      </w:pPr>
    </w:p>
    <w:p w14:paraId="4224F54A" w14:textId="77777777" w:rsidR="005A6DBC" w:rsidRPr="00EE46D9" w:rsidRDefault="005A6DBC" w:rsidP="005A6DBC">
      <w:pPr>
        <w:jc w:val="both"/>
        <w:rPr>
          <w:rFonts w:ascii="ITC Avant Garde" w:hAnsi="ITC Avant Garde" w:cs="Arial"/>
          <w:sz w:val="20"/>
          <w:szCs w:val="20"/>
        </w:rPr>
      </w:pPr>
      <w:r w:rsidRPr="00EE46D9">
        <w:rPr>
          <w:rFonts w:ascii="ITC Avant Garde" w:hAnsi="ITC Avant Garde" w:cs="Tahoma"/>
          <w:b/>
          <w:bCs/>
          <w:color w:val="000000"/>
          <w:sz w:val="20"/>
          <w:szCs w:val="20"/>
          <w:lang w:val="es-ES_tradnl" w:eastAsia="es-MX"/>
        </w:rPr>
        <w:lastRenderedPageBreak/>
        <w:t>QUINTO</w:t>
      </w:r>
      <w:r w:rsidRPr="00EE46D9">
        <w:rPr>
          <w:rFonts w:ascii="ITC Avant Garde" w:hAnsi="ITC Avant Garde" w:cs="Arial"/>
          <w:sz w:val="20"/>
          <w:szCs w:val="20"/>
        </w:rPr>
        <w:t>. Se emite el formato</w:t>
      </w:r>
      <w:r>
        <w:rPr>
          <w:rFonts w:ascii="ITC Avant Garde" w:hAnsi="ITC Avant Garde" w:cs="Arial"/>
          <w:sz w:val="20"/>
          <w:szCs w:val="20"/>
        </w:rPr>
        <w:t xml:space="preserve"> de uso obligatorio</w:t>
      </w:r>
      <w:r w:rsidRPr="00EE46D9">
        <w:rPr>
          <w:rFonts w:ascii="ITC Avant Garde" w:hAnsi="ITC Avant Garde" w:cs="Arial"/>
          <w:sz w:val="20"/>
          <w:szCs w:val="20"/>
        </w:rPr>
        <w:t xml:space="preserve"> para la presentación del trámite de “</w:t>
      </w:r>
      <w:r w:rsidRPr="00353D67">
        <w:rPr>
          <w:rFonts w:ascii="ITC Avant Garde" w:hAnsi="ITC Avant Garde"/>
          <w:sz w:val="20"/>
          <w:szCs w:val="20"/>
        </w:rPr>
        <w:t>Solicitud de autorización de retransmisión en equipos complementarios de una señal que coincida en al menos el 75%</w:t>
      </w:r>
      <w:r w:rsidRPr="00986489">
        <w:rPr>
          <w:rFonts w:ascii="ITC Avant Garde" w:hAnsi="ITC Avant Garde"/>
          <w:sz w:val="20"/>
          <w:szCs w:val="20"/>
        </w:rPr>
        <w:t xml:space="preserve"> con el contenido programático de la estación de televisión principal al que se asocia</w:t>
      </w:r>
      <w:r w:rsidRPr="00EE46D9">
        <w:rPr>
          <w:rFonts w:ascii="ITC Avant Garde" w:hAnsi="ITC Avant Garde" w:cs="Arial"/>
          <w:sz w:val="20"/>
          <w:szCs w:val="20"/>
        </w:rPr>
        <w:t xml:space="preserve">”, previsto en el </w:t>
      </w:r>
      <w:r w:rsidR="006826B7">
        <w:rPr>
          <w:rFonts w:ascii="ITC Avant Garde" w:hAnsi="ITC Avant Garde" w:cs="Arial"/>
          <w:sz w:val="20"/>
          <w:szCs w:val="20"/>
        </w:rPr>
        <w:t>Capítulo</w:t>
      </w:r>
      <w:r w:rsidRPr="00EE46D9">
        <w:rPr>
          <w:rFonts w:ascii="ITC Avant Garde" w:hAnsi="ITC Avant Garde" w:cs="Arial"/>
          <w:sz w:val="20"/>
          <w:szCs w:val="20"/>
        </w:rPr>
        <w:t xml:space="preserve"> 7.2 de la Disposición Técnica IFT-013-2016: Especificaciones y requerimientos mínimos para la instalación y operación de estaciones de televisión, equipos auxiliares y equipos complementarios, y que, como Anexo E, es parte integrante del presente Acuerdo.</w:t>
      </w:r>
    </w:p>
    <w:p w14:paraId="1EE2F10D" w14:textId="77777777" w:rsidR="005A6DBC" w:rsidRPr="00EE46D9" w:rsidRDefault="005A6DBC" w:rsidP="005A6DBC">
      <w:pPr>
        <w:jc w:val="both"/>
        <w:rPr>
          <w:rFonts w:ascii="ITC Avant Garde" w:hAnsi="ITC Avant Garde" w:cs="Arial"/>
          <w:sz w:val="20"/>
          <w:szCs w:val="20"/>
        </w:rPr>
      </w:pPr>
    </w:p>
    <w:p w14:paraId="0346390C" w14:textId="77777777" w:rsidR="005A6DBC" w:rsidRPr="00EE46D9" w:rsidRDefault="00EB60B9" w:rsidP="005A6DBC">
      <w:pPr>
        <w:jc w:val="both"/>
        <w:rPr>
          <w:rFonts w:ascii="ITC Avant Garde" w:hAnsi="ITC Avant Garde" w:cs="Arial"/>
          <w:sz w:val="20"/>
          <w:szCs w:val="20"/>
        </w:rPr>
      </w:pPr>
      <w:r w:rsidRPr="00EE46D9">
        <w:rPr>
          <w:rFonts w:ascii="ITC Avant Garde" w:hAnsi="ITC Avant Garde" w:cs="Arial"/>
          <w:b/>
          <w:sz w:val="20"/>
          <w:szCs w:val="20"/>
        </w:rPr>
        <w:t>SEXTO</w:t>
      </w:r>
      <w:r w:rsidRPr="00EE46D9">
        <w:rPr>
          <w:rFonts w:ascii="ITC Avant Garde" w:hAnsi="ITC Avant Garde" w:cs="Arial"/>
          <w:sz w:val="20"/>
          <w:szCs w:val="20"/>
        </w:rPr>
        <w:t>.</w:t>
      </w:r>
      <w:r w:rsidR="005A6DBC" w:rsidRPr="00EE46D9">
        <w:rPr>
          <w:rFonts w:ascii="ITC Avant Garde" w:hAnsi="ITC Avant Garde" w:cs="Arial"/>
          <w:sz w:val="20"/>
          <w:szCs w:val="20"/>
        </w:rPr>
        <w:t xml:space="preserve"> Se emite el formato</w:t>
      </w:r>
      <w:r w:rsidR="005A6DBC">
        <w:rPr>
          <w:rFonts w:ascii="ITC Avant Garde" w:hAnsi="ITC Avant Garde" w:cs="Arial"/>
          <w:sz w:val="20"/>
          <w:szCs w:val="20"/>
        </w:rPr>
        <w:t xml:space="preserve"> de uso obligatorio</w:t>
      </w:r>
      <w:r w:rsidR="005A6DBC" w:rsidRPr="00EE46D9">
        <w:rPr>
          <w:rFonts w:ascii="ITC Avant Garde" w:hAnsi="ITC Avant Garde" w:cs="Arial"/>
          <w:sz w:val="20"/>
          <w:szCs w:val="20"/>
        </w:rPr>
        <w:t xml:space="preserve"> para la presentación del trámite de “Solicitud de donación de equipos transmisores que hayan pasado a propiedad de la nación, como consecuencia de los supuestos establecidos en la Ley Federal de Telecomunicaciones y Radiodifusión”, previsto por el artículo 85, último párrafo, de la Ley Federal de Telecomunicaciones y Radiodifusión, así como en el numeral 76 de las</w:t>
      </w:r>
      <w:r w:rsidR="006826B7">
        <w:rPr>
          <w:rFonts w:ascii="ITC Avant Garde" w:hAnsi="ITC Avant Garde" w:cs="Arial"/>
          <w:sz w:val="20"/>
          <w:szCs w:val="20"/>
        </w:rPr>
        <w:t xml:space="preserve"> </w:t>
      </w:r>
      <w:r w:rsidR="006826B7" w:rsidRPr="005D3E45">
        <w:rPr>
          <w:rFonts w:ascii="ITC Avant Garde" w:hAnsi="ITC Avant Garde"/>
          <w:bCs/>
          <w:sz w:val="20"/>
          <w:szCs w:val="22"/>
          <w:lang w:val="es-ES_tradnl" w:eastAsia="es-MX"/>
        </w:rPr>
        <w:t>Normas en materia de administración, control y enajenación de bienes muebles y para la adquisición, arrendamiento y enajenación de bienes inmuebles del Instituto Federal de Telecomunicaciones, con el objeto de establecer los lineamientos para la disposición de los bienes, instalaciones y equipos que han sido perdidos en beneficio de la nación, como consecuencia de los procedimientos y supuestos establecidos por la Ley Federal de Telecomunicaciones y Radiodifusión</w:t>
      </w:r>
      <w:r>
        <w:rPr>
          <w:rFonts w:ascii="ITC Avant Garde" w:hAnsi="ITC Avant Garde" w:cs="Arial"/>
          <w:sz w:val="20"/>
          <w:szCs w:val="20"/>
        </w:rPr>
        <w:t>, y que, como Anexo F</w:t>
      </w:r>
      <w:r w:rsidR="005A6DBC" w:rsidRPr="00EE46D9">
        <w:rPr>
          <w:rFonts w:ascii="ITC Avant Garde" w:hAnsi="ITC Avant Garde" w:cs="Arial"/>
          <w:sz w:val="20"/>
          <w:szCs w:val="20"/>
        </w:rPr>
        <w:t>, es parte integrante del presente Acuerdo.</w:t>
      </w:r>
    </w:p>
    <w:p w14:paraId="3807331D" w14:textId="77777777" w:rsidR="005A6DBC" w:rsidRPr="00EE46D9" w:rsidRDefault="005A6DBC" w:rsidP="005A6DBC">
      <w:pPr>
        <w:jc w:val="both"/>
        <w:rPr>
          <w:rFonts w:ascii="ITC Avant Garde" w:hAnsi="ITC Avant Garde" w:cs="Arial"/>
          <w:sz w:val="20"/>
          <w:szCs w:val="20"/>
        </w:rPr>
      </w:pPr>
    </w:p>
    <w:p w14:paraId="0740AA65" w14:textId="77777777" w:rsidR="005A6DBC" w:rsidRPr="00EE46D9" w:rsidRDefault="00EB60B9" w:rsidP="005A6DBC">
      <w:pPr>
        <w:jc w:val="both"/>
        <w:rPr>
          <w:rFonts w:ascii="ITC Avant Garde" w:hAnsi="ITC Avant Garde" w:cs="Arial"/>
          <w:sz w:val="20"/>
          <w:szCs w:val="20"/>
        </w:rPr>
      </w:pPr>
      <w:r w:rsidRPr="00EE46D9">
        <w:rPr>
          <w:rFonts w:ascii="ITC Avant Garde" w:hAnsi="ITC Avant Garde" w:cs="Arial"/>
          <w:b/>
          <w:sz w:val="20"/>
          <w:szCs w:val="20"/>
        </w:rPr>
        <w:t>SÉPTIMO</w:t>
      </w:r>
      <w:r w:rsidRPr="00EE46D9">
        <w:rPr>
          <w:rFonts w:ascii="ITC Avant Garde" w:hAnsi="ITC Avant Garde" w:cs="Arial"/>
          <w:sz w:val="20"/>
          <w:szCs w:val="20"/>
        </w:rPr>
        <w:t>.</w:t>
      </w:r>
      <w:r>
        <w:rPr>
          <w:rFonts w:ascii="ITC Avant Garde" w:hAnsi="ITC Avant Garde" w:cs="Arial"/>
          <w:sz w:val="20"/>
          <w:szCs w:val="20"/>
        </w:rPr>
        <w:t xml:space="preserve"> </w:t>
      </w:r>
      <w:r w:rsidR="005A6DBC" w:rsidRPr="00EE46D9">
        <w:rPr>
          <w:rFonts w:ascii="ITC Avant Garde" w:hAnsi="ITC Avant Garde" w:cs="Arial"/>
          <w:sz w:val="20"/>
          <w:szCs w:val="20"/>
        </w:rPr>
        <w:t>Se emite el formato</w:t>
      </w:r>
      <w:r w:rsidR="005A6DBC">
        <w:rPr>
          <w:rFonts w:ascii="ITC Avant Garde" w:hAnsi="ITC Avant Garde" w:cs="Arial"/>
          <w:sz w:val="20"/>
          <w:szCs w:val="20"/>
        </w:rPr>
        <w:t xml:space="preserve"> de uso obligatorio</w:t>
      </w:r>
      <w:r w:rsidR="005A6DBC" w:rsidRPr="00EE46D9">
        <w:rPr>
          <w:rFonts w:ascii="ITC Avant Garde" w:hAnsi="ITC Avant Garde" w:cs="Arial"/>
          <w:sz w:val="20"/>
          <w:szCs w:val="20"/>
        </w:rPr>
        <w:t xml:space="preserve"> para la presentación del trámite de “Solicitud de parte interesada para la obtención de recursos orbitales a favor del Estado Mexicano”, previsto en los artículos 96 y 97 de la Ley Federal de Telecomunicaciones y Radiodifusión, y que, como Anexo </w:t>
      </w:r>
      <w:r>
        <w:rPr>
          <w:rFonts w:ascii="ITC Avant Garde" w:hAnsi="ITC Avant Garde" w:cs="Arial"/>
          <w:sz w:val="20"/>
          <w:szCs w:val="20"/>
        </w:rPr>
        <w:t>G</w:t>
      </w:r>
      <w:r w:rsidR="005A6DBC" w:rsidRPr="00EE46D9">
        <w:rPr>
          <w:rFonts w:ascii="ITC Avant Garde" w:hAnsi="ITC Avant Garde" w:cs="Arial"/>
          <w:sz w:val="20"/>
          <w:szCs w:val="20"/>
        </w:rPr>
        <w:t>, es parte integrante del presente Acuerdo.</w:t>
      </w:r>
    </w:p>
    <w:p w14:paraId="56D59A6A" w14:textId="77777777" w:rsidR="005A6DBC" w:rsidRPr="00EE46D9" w:rsidRDefault="005A6DBC" w:rsidP="005A6DBC">
      <w:pPr>
        <w:jc w:val="both"/>
        <w:rPr>
          <w:rFonts w:ascii="ITC Avant Garde" w:hAnsi="ITC Avant Garde" w:cs="Arial"/>
          <w:sz w:val="20"/>
          <w:szCs w:val="20"/>
        </w:rPr>
      </w:pPr>
    </w:p>
    <w:p w14:paraId="5B91B769" w14:textId="13F2445E" w:rsidR="005A6DBC" w:rsidRPr="00EE46D9" w:rsidRDefault="00EB60B9" w:rsidP="005A6DBC">
      <w:pPr>
        <w:jc w:val="both"/>
        <w:rPr>
          <w:rFonts w:ascii="ITC Avant Garde" w:hAnsi="ITC Avant Garde" w:cs="Arial"/>
          <w:sz w:val="20"/>
          <w:szCs w:val="20"/>
        </w:rPr>
      </w:pPr>
      <w:r w:rsidRPr="00EE46D9">
        <w:rPr>
          <w:rFonts w:ascii="ITC Avant Garde" w:hAnsi="ITC Avant Garde" w:cs="Arial"/>
          <w:b/>
          <w:sz w:val="20"/>
          <w:szCs w:val="20"/>
        </w:rPr>
        <w:t>OCTAVO</w:t>
      </w:r>
      <w:r w:rsidR="005A6DBC" w:rsidRPr="00EE46D9">
        <w:rPr>
          <w:rFonts w:ascii="ITC Avant Garde" w:hAnsi="ITC Avant Garde" w:cs="Arial"/>
          <w:sz w:val="20"/>
          <w:szCs w:val="20"/>
        </w:rPr>
        <w:t>. Se emite el formato</w:t>
      </w:r>
      <w:r w:rsidR="005A6DBC">
        <w:rPr>
          <w:rFonts w:ascii="ITC Avant Garde" w:hAnsi="ITC Avant Garde" w:cs="Arial"/>
          <w:sz w:val="20"/>
          <w:szCs w:val="20"/>
        </w:rPr>
        <w:t xml:space="preserve"> </w:t>
      </w:r>
      <w:r w:rsidR="00867EA3" w:rsidRPr="00B95B70">
        <w:rPr>
          <w:rFonts w:ascii="ITC Avant Garde" w:hAnsi="ITC Avant Garde" w:cs="Arial"/>
          <w:sz w:val="20"/>
          <w:szCs w:val="20"/>
        </w:rPr>
        <w:t xml:space="preserve">de uso optativo </w:t>
      </w:r>
      <w:r w:rsidR="005A6DBC" w:rsidRPr="00EE46D9">
        <w:rPr>
          <w:rFonts w:ascii="ITC Avant Garde" w:hAnsi="ITC Avant Garde" w:cs="Arial"/>
          <w:sz w:val="20"/>
          <w:szCs w:val="20"/>
        </w:rPr>
        <w:t>para la presentación del trámite de “Solicitud de inclusión al programa anual de uso y aprovechamiento de bandas de frecuencias”, previsto en los artículos 59</w:t>
      </w:r>
      <w:r w:rsidR="006826B7">
        <w:rPr>
          <w:rFonts w:ascii="ITC Avant Garde" w:hAnsi="ITC Avant Garde" w:cs="Arial"/>
          <w:sz w:val="20"/>
          <w:szCs w:val="20"/>
        </w:rPr>
        <w:t>, 60 y</w:t>
      </w:r>
      <w:r w:rsidR="005A6DBC" w:rsidRPr="00EE46D9">
        <w:rPr>
          <w:rFonts w:ascii="ITC Avant Garde" w:hAnsi="ITC Avant Garde" w:cs="Arial"/>
          <w:sz w:val="20"/>
          <w:szCs w:val="20"/>
        </w:rPr>
        <w:t xml:space="preserve"> 61 de la Ley Federal de Telecomunicaciones y Radiodifusión, y que, como Anexo </w:t>
      </w:r>
      <w:r>
        <w:rPr>
          <w:rFonts w:ascii="ITC Avant Garde" w:hAnsi="ITC Avant Garde" w:cs="Arial"/>
          <w:sz w:val="20"/>
          <w:szCs w:val="20"/>
        </w:rPr>
        <w:t>H</w:t>
      </w:r>
      <w:r w:rsidR="005A6DBC" w:rsidRPr="00EE46D9">
        <w:rPr>
          <w:rFonts w:ascii="ITC Avant Garde" w:hAnsi="ITC Avant Garde" w:cs="Arial"/>
          <w:sz w:val="20"/>
          <w:szCs w:val="20"/>
        </w:rPr>
        <w:t>, es parte integrante del presente Acuerdo</w:t>
      </w:r>
      <w:r w:rsidR="00F05D59">
        <w:rPr>
          <w:rFonts w:ascii="ITC Avant Garde" w:hAnsi="ITC Avant Garde" w:cs="Arial"/>
          <w:sz w:val="20"/>
          <w:szCs w:val="20"/>
        </w:rPr>
        <w:t>, sin detrimento de que dicha solicitud pueda ser presentada al Instituto</w:t>
      </w:r>
      <w:r w:rsidR="007B7D9B">
        <w:rPr>
          <w:rFonts w:ascii="ITC Avant Garde" w:hAnsi="ITC Avant Garde" w:cs="Arial"/>
          <w:sz w:val="20"/>
          <w:szCs w:val="20"/>
        </w:rPr>
        <w:t>,</w:t>
      </w:r>
      <w:r w:rsidR="00F05D59">
        <w:rPr>
          <w:rFonts w:ascii="ITC Avant Garde" w:hAnsi="ITC Avant Garde" w:cs="Arial"/>
          <w:sz w:val="20"/>
          <w:szCs w:val="20"/>
        </w:rPr>
        <w:t xml:space="preserve"> a través de escrito libre o a través del medio electrónico que</w:t>
      </w:r>
      <w:r w:rsidR="007B7D9B">
        <w:rPr>
          <w:rFonts w:ascii="ITC Avant Garde" w:hAnsi="ITC Avant Garde" w:cs="Arial"/>
          <w:sz w:val="20"/>
          <w:szCs w:val="20"/>
        </w:rPr>
        <w:t>,</w:t>
      </w:r>
      <w:r w:rsidR="00F05D59">
        <w:rPr>
          <w:rFonts w:ascii="ITC Avant Garde" w:hAnsi="ITC Avant Garde" w:cs="Arial"/>
          <w:sz w:val="20"/>
          <w:szCs w:val="20"/>
        </w:rPr>
        <w:t xml:space="preserve"> para tal efecto</w:t>
      </w:r>
      <w:r w:rsidR="007B7D9B">
        <w:rPr>
          <w:rFonts w:ascii="ITC Avant Garde" w:hAnsi="ITC Avant Garde" w:cs="Arial"/>
          <w:sz w:val="20"/>
          <w:szCs w:val="20"/>
        </w:rPr>
        <w:t>,</w:t>
      </w:r>
      <w:r w:rsidR="00F05D59">
        <w:rPr>
          <w:rFonts w:ascii="ITC Avant Garde" w:hAnsi="ITC Avant Garde" w:cs="Arial"/>
          <w:sz w:val="20"/>
          <w:szCs w:val="20"/>
        </w:rPr>
        <w:t xml:space="preserve"> se </w:t>
      </w:r>
      <w:r w:rsidR="007B7D9B">
        <w:rPr>
          <w:rFonts w:ascii="ITC Avant Garde" w:hAnsi="ITC Avant Garde" w:cs="Arial"/>
          <w:sz w:val="20"/>
          <w:szCs w:val="20"/>
        </w:rPr>
        <w:t>encuentre</w:t>
      </w:r>
      <w:r w:rsidR="00F05D59">
        <w:rPr>
          <w:rFonts w:ascii="ITC Avant Garde" w:hAnsi="ITC Avant Garde" w:cs="Arial"/>
          <w:sz w:val="20"/>
          <w:szCs w:val="20"/>
        </w:rPr>
        <w:t xml:space="preserve"> </w:t>
      </w:r>
      <w:r w:rsidR="007B7D9B">
        <w:rPr>
          <w:rFonts w:ascii="ITC Avant Garde" w:hAnsi="ITC Avant Garde" w:cs="Arial"/>
          <w:sz w:val="20"/>
          <w:szCs w:val="20"/>
        </w:rPr>
        <w:t xml:space="preserve">habilitado </w:t>
      </w:r>
      <w:r w:rsidR="00F05D59">
        <w:rPr>
          <w:rFonts w:ascii="ITC Avant Garde" w:hAnsi="ITC Avant Garde" w:cs="Arial"/>
          <w:sz w:val="20"/>
          <w:szCs w:val="20"/>
        </w:rPr>
        <w:t xml:space="preserve">para su substanciación por dicho medio. </w:t>
      </w:r>
    </w:p>
    <w:p w14:paraId="00362E5C" w14:textId="77777777" w:rsidR="005A6DBC" w:rsidRDefault="005A6DBC" w:rsidP="005A6DBC">
      <w:pPr>
        <w:jc w:val="both"/>
        <w:rPr>
          <w:rFonts w:ascii="ITC Avant Garde" w:hAnsi="ITC Avant Garde"/>
          <w:kern w:val="2"/>
          <w:sz w:val="20"/>
          <w:szCs w:val="20"/>
          <w:lang w:val="es-ES" w:eastAsia="ar-SA"/>
        </w:rPr>
      </w:pPr>
    </w:p>
    <w:p w14:paraId="399D3286" w14:textId="77777777" w:rsidR="005A6DBC" w:rsidRPr="00EE46D9" w:rsidRDefault="005A6DBC" w:rsidP="005A6DBC">
      <w:pPr>
        <w:jc w:val="both"/>
        <w:rPr>
          <w:rFonts w:ascii="ITC Avant Garde" w:hAnsi="ITC Avant Garde"/>
          <w:kern w:val="2"/>
          <w:sz w:val="20"/>
          <w:szCs w:val="20"/>
          <w:lang w:val="es-ES" w:eastAsia="ar-SA"/>
        </w:rPr>
      </w:pPr>
    </w:p>
    <w:p w14:paraId="5EA813E0" w14:textId="77777777" w:rsidR="005A6DBC" w:rsidRPr="00094CD1" w:rsidRDefault="005A6DBC" w:rsidP="005A6DBC">
      <w:pPr>
        <w:ind w:left="709"/>
        <w:outlineLvl w:val="1"/>
        <w:rPr>
          <w:rFonts w:cs="Arial"/>
          <w:b/>
          <w:bCs/>
          <w:lang w:val="uz-Cyrl-UZ"/>
        </w:rPr>
      </w:pPr>
      <w:r w:rsidRPr="00094CD1">
        <w:rPr>
          <w:rFonts w:ascii="ITC Avant Garde" w:hAnsi="ITC Avant Garde" w:cs="Arial"/>
          <w:b/>
          <w:bCs/>
          <w:lang w:val="uz-Cyrl-UZ"/>
        </w:rPr>
        <w:t>T</w:t>
      </w:r>
      <w:r w:rsidRPr="00F05D59">
        <w:rPr>
          <w:rFonts w:ascii="ITC Avant Garde" w:hAnsi="ITC Avant Garde" w:cs="Arial"/>
          <w:b/>
          <w:bCs/>
        </w:rPr>
        <w:t xml:space="preserve"> </w:t>
      </w:r>
      <w:r w:rsidRPr="00094CD1">
        <w:rPr>
          <w:rFonts w:ascii="ITC Avant Garde" w:hAnsi="ITC Avant Garde" w:cs="Arial"/>
          <w:b/>
          <w:bCs/>
          <w:lang w:val="uz-Cyrl-UZ"/>
        </w:rPr>
        <w:t>R</w:t>
      </w:r>
      <w:r w:rsidRPr="00F05D59">
        <w:rPr>
          <w:rFonts w:ascii="ITC Avant Garde" w:hAnsi="ITC Avant Garde" w:cs="Arial"/>
          <w:b/>
          <w:bCs/>
        </w:rPr>
        <w:t xml:space="preserve"> </w:t>
      </w:r>
      <w:r w:rsidRPr="00094CD1">
        <w:rPr>
          <w:rFonts w:ascii="ITC Avant Garde" w:hAnsi="ITC Avant Garde" w:cs="Arial"/>
          <w:b/>
          <w:bCs/>
          <w:lang w:val="uz-Cyrl-UZ"/>
        </w:rPr>
        <w:t>A</w:t>
      </w:r>
      <w:r w:rsidRPr="00F05D59">
        <w:rPr>
          <w:rFonts w:ascii="ITC Avant Garde" w:hAnsi="ITC Avant Garde" w:cs="Arial"/>
          <w:b/>
          <w:bCs/>
        </w:rPr>
        <w:t xml:space="preserve"> </w:t>
      </w:r>
      <w:r w:rsidRPr="00094CD1">
        <w:rPr>
          <w:rFonts w:ascii="ITC Avant Garde" w:hAnsi="ITC Avant Garde" w:cs="Arial"/>
          <w:b/>
          <w:bCs/>
          <w:lang w:val="uz-Cyrl-UZ"/>
        </w:rPr>
        <w:t>N</w:t>
      </w:r>
      <w:r w:rsidRPr="00F05D59">
        <w:rPr>
          <w:rFonts w:ascii="ITC Avant Garde" w:hAnsi="ITC Avant Garde" w:cs="Arial"/>
          <w:b/>
          <w:bCs/>
        </w:rPr>
        <w:t xml:space="preserve"> </w:t>
      </w:r>
      <w:r w:rsidRPr="00094CD1">
        <w:rPr>
          <w:rFonts w:ascii="ITC Avant Garde" w:hAnsi="ITC Avant Garde" w:cs="Arial"/>
          <w:b/>
          <w:bCs/>
          <w:lang w:val="uz-Cyrl-UZ"/>
        </w:rPr>
        <w:t>S</w:t>
      </w:r>
      <w:r w:rsidRPr="00F05D59">
        <w:rPr>
          <w:rFonts w:ascii="ITC Avant Garde" w:hAnsi="ITC Avant Garde" w:cs="Arial"/>
          <w:b/>
          <w:bCs/>
        </w:rPr>
        <w:t xml:space="preserve"> </w:t>
      </w:r>
      <w:r w:rsidRPr="00094CD1">
        <w:rPr>
          <w:rFonts w:ascii="ITC Avant Garde" w:hAnsi="ITC Avant Garde" w:cs="Arial"/>
          <w:b/>
          <w:bCs/>
          <w:lang w:val="uz-Cyrl-UZ"/>
        </w:rPr>
        <w:t>I</w:t>
      </w:r>
      <w:r w:rsidRPr="00F05D59">
        <w:rPr>
          <w:rFonts w:ascii="ITC Avant Garde" w:hAnsi="ITC Avant Garde" w:cs="Arial"/>
          <w:b/>
          <w:bCs/>
        </w:rPr>
        <w:t xml:space="preserve"> </w:t>
      </w:r>
      <w:r w:rsidRPr="00094CD1">
        <w:rPr>
          <w:rFonts w:ascii="ITC Avant Garde" w:hAnsi="ITC Avant Garde" w:cs="Arial"/>
          <w:b/>
          <w:bCs/>
          <w:lang w:val="uz-Cyrl-UZ"/>
        </w:rPr>
        <w:t>T</w:t>
      </w:r>
      <w:r w:rsidRPr="00F05D59">
        <w:rPr>
          <w:rFonts w:ascii="ITC Avant Garde" w:hAnsi="ITC Avant Garde" w:cs="Arial"/>
          <w:b/>
          <w:bCs/>
        </w:rPr>
        <w:t xml:space="preserve"> </w:t>
      </w:r>
      <w:r w:rsidRPr="00094CD1">
        <w:rPr>
          <w:rFonts w:ascii="ITC Avant Garde" w:hAnsi="ITC Avant Garde" w:cs="Arial"/>
          <w:b/>
          <w:bCs/>
          <w:lang w:val="uz-Cyrl-UZ"/>
        </w:rPr>
        <w:t>O</w:t>
      </w:r>
      <w:r w:rsidRPr="00F05D59">
        <w:rPr>
          <w:rFonts w:ascii="ITC Avant Garde" w:hAnsi="ITC Avant Garde" w:cs="Arial"/>
          <w:b/>
          <w:bCs/>
        </w:rPr>
        <w:t xml:space="preserve"> </w:t>
      </w:r>
      <w:r w:rsidRPr="00094CD1">
        <w:rPr>
          <w:rFonts w:ascii="ITC Avant Garde" w:hAnsi="ITC Avant Garde" w:cs="Arial"/>
          <w:b/>
          <w:bCs/>
          <w:lang w:val="uz-Cyrl-UZ"/>
        </w:rPr>
        <w:t>R</w:t>
      </w:r>
      <w:r w:rsidRPr="00F05D59">
        <w:rPr>
          <w:rFonts w:ascii="ITC Avant Garde" w:hAnsi="ITC Avant Garde" w:cs="Arial"/>
          <w:b/>
          <w:bCs/>
        </w:rPr>
        <w:t xml:space="preserve"> </w:t>
      </w:r>
      <w:r w:rsidRPr="00094CD1">
        <w:rPr>
          <w:rFonts w:ascii="ITC Avant Garde" w:hAnsi="ITC Avant Garde" w:cs="Arial"/>
          <w:b/>
          <w:bCs/>
          <w:lang w:val="uz-Cyrl-UZ"/>
        </w:rPr>
        <w:t>I</w:t>
      </w:r>
      <w:r w:rsidRPr="00F05D59">
        <w:rPr>
          <w:rFonts w:ascii="ITC Avant Garde" w:hAnsi="ITC Avant Garde" w:cs="Arial"/>
          <w:b/>
          <w:bCs/>
        </w:rPr>
        <w:t xml:space="preserve"> </w:t>
      </w:r>
      <w:r w:rsidRPr="00094CD1">
        <w:rPr>
          <w:rFonts w:ascii="ITC Avant Garde" w:hAnsi="ITC Avant Garde" w:cs="Arial"/>
          <w:b/>
          <w:bCs/>
          <w:lang w:val="uz-Cyrl-UZ"/>
        </w:rPr>
        <w:t>O</w:t>
      </w:r>
      <w:r w:rsidRPr="00F05D59">
        <w:rPr>
          <w:rFonts w:ascii="ITC Avant Garde" w:hAnsi="ITC Avant Garde" w:cs="Arial"/>
          <w:b/>
          <w:bCs/>
        </w:rPr>
        <w:t xml:space="preserve"> </w:t>
      </w:r>
      <w:r w:rsidRPr="00094CD1">
        <w:rPr>
          <w:rFonts w:ascii="ITC Avant Garde" w:hAnsi="ITC Avant Garde" w:cs="Arial"/>
          <w:b/>
          <w:bCs/>
          <w:lang w:val="uz-Cyrl-UZ"/>
        </w:rPr>
        <w:t>S</w:t>
      </w:r>
    </w:p>
    <w:p w14:paraId="710F4E64" w14:textId="77777777" w:rsidR="005A6DBC" w:rsidRDefault="005A6DBC" w:rsidP="005A6DBC">
      <w:pPr>
        <w:ind w:left="709"/>
        <w:outlineLvl w:val="1"/>
        <w:rPr>
          <w:rFonts w:cs="Arial"/>
          <w:b/>
          <w:bCs/>
          <w:lang w:val="uz-Cyrl-UZ"/>
        </w:rPr>
      </w:pPr>
    </w:p>
    <w:p w14:paraId="733F403F" w14:textId="77777777" w:rsidR="001E62DC" w:rsidRPr="00094CD1" w:rsidRDefault="001E62DC" w:rsidP="005A6DBC">
      <w:pPr>
        <w:ind w:left="709"/>
        <w:outlineLvl w:val="1"/>
        <w:rPr>
          <w:rFonts w:cs="Arial"/>
          <w:b/>
          <w:bCs/>
          <w:lang w:val="uz-Cyrl-UZ"/>
        </w:rPr>
      </w:pPr>
    </w:p>
    <w:p w14:paraId="5C909CB5" w14:textId="77777777" w:rsidR="005A6DBC" w:rsidRPr="00094CD1" w:rsidRDefault="005A6DBC" w:rsidP="005A6DBC">
      <w:pPr>
        <w:autoSpaceDE w:val="0"/>
        <w:autoSpaceDN w:val="0"/>
        <w:adjustRightInd w:val="0"/>
        <w:jc w:val="both"/>
        <w:rPr>
          <w:rFonts w:ascii="ITC Avant Garde" w:hAnsi="ITC Avant Garde" w:cs="Arial"/>
        </w:rPr>
      </w:pPr>
      <w:r w:rsidRPr="00F83E45">
        <w:rPr>
          <w:rFonts w:ascii="ITC Avant Garde" w:hAnsi="ITC Avant Garde" w:cs="Arial"/>
          <w:b/>
        </w:rPr>
        <w:t xml:space="preserve">PRIMERO. - </w:t>
      </w:r>
      <w:r w:rsidRPr="00F83E45">
        <w:rPr>
          <w:rFonts w:ascii="ITC Avant Garde" w:hAnsi="ITC Avant Garde" w:cs="Arial"/>
        </w:rPr>
        <w:t>El presente Acuerdo entrará en vigor a los sesenta días naturales siguientes al de su publicación en el Diario Oficial de la Federación.</w:t>
      </w:r>
    </w:p>
    <w:p w14:paraId="32D8B448" w14:textId="77777777" w:rsidR="005A6DBC" w:rsidRPr="00094CD1" w:rsidRDefault="005A6DBC" w:rsidP="005A6DBC">
      <w:pPr>
        <w:autoSpaceDE w:val="0"/>
        <w:autoSpaceDN w:val="0"/>
        <w:adjustRightInd w:val="0"/>
        <w:jc w:val="both"/>
        <w:rPr>
          <w:rFonts w:ascii="ITC Avant Garde" w:hAnsi="ITC Avant Garde" w:cs="Arial"/>
          <w:b/>
        </w:rPr>
      </w:pPr>
    </w:p>
    <w:p w14:paraId="3E88F08B" w14:textId="77777777" w:rsidR="005A6DBC" w:rsidRPr="00094CD1" w:rsidRDefault="005A6DBC" w:rsidP="005A6DBC">
      <w:pPr>
        <w:autoSpaceDE w:val="0"/>
        <w:autoSpaceDN w:val="0"/>
        <w:adjustRightInd w:val="0"/>
        <w:jc w:val="both"/>
        <w:rPr>
          <w:rFonts w:ascii="ITC Avant Garde" w:hAnsi="ITC Avant Garde" w:cs="Arial"/>
        </w:rPr>
      </w:pPr>
      <w:r w:rsidRPr="00094CD1">
        <w:rPr>
          <w:rFonts w:ascii="ITC Avant Garde" w:hAnsi="ITC Avant Garde" w:cs="Arial"/>
          <w:b/>
        </w:rPr>
        <w:t xml:space="preserve">SEGUNDO. - </w:t>
      </w:r>
      <w:r w:rsidRPr="00094CD1">
        <w:rPr>
          <w:rFonts w:ascii="ITC Avant Garde" w:hAnsi="ITC Avant Garde" w:cs="Arial"/>
        </w:rPr>
        <w:t>Las solicitudes que al momento de la entrada en vigor del presente Acuerdo se encuentren en trámite, se resolverán de conformidad con las disposiciones vigentes al momento de su presentación</w:t>
      </w:r>
      <w:bookmarkStart w:id="0" w:name="_GoBack"/>
      <w:bookmarkEnd w:id="0"/>
      <w:r w:rsidRPr="00094CD1">
        <w:rPr>
          <w:rFonts w:ascii="ITC Avant Garde" w:hAnsi="ITC Avant Garde" w:cs="Arial"/>
        </w:rPr>
        <w:t>.</w:t>
      </w:r>
    </w:p>
    <w:p w14:paraId="2680DBCA" w14:textId="77777777" w:rsidR="005A6DBC" w:rsidRPr="00094CD1" w:rsidRDefault="005A6DBC" w:rsidP="005A6DBC">
      <w:pPr>
        <w:autoSpaceDE w:val="0"/>
        <w:autoSpaceDN w:val="0"/>
        <w:adjustRightInd w:val="0"/>
        <w:jc w:val="both"/>
        <w:rPr>
          <w:rFonts w:ascii="ITC Avant Garde" w:hAnsi="ITC Avant Garde" w:cs="Arial"/>
        </w:rPr>
      </w:pPr>
    </w:p>
    <w:p w14:paraId="387C9F50" w14:textId="77777777" w:rsidR="005A6DBC" w:rsidRPr="00094CD1" w:rsidRDefault="005A6DBC" w:rsidP="005A6DBC">
      <w:pPr>
        <w:autoSpaceDE w:val="0"/>
        <w:autoSpaceDN w:val="0"/>
        <w:adjustRightInd w:val="0"/>
        <w:jc w:val="both"/>
        <w:rPr>
          <w:rFonts w:ascii="ITC Avant Garde" w:hAnsi="ITC Avant Garde" w:cs="Arial"/>
        </w:rPr>
      </w:pPr>
      <w:r w:rsidRPr="00094CD1">
        <w:rPr>
          <w:rFonts w:ascii="ITC Avant Garde" w:hAnsi="ITC Avant Garde" w:cs="Arial"/>
          <w:b/>
        </w:rPr>
        <w:t>TERCERO.</w:t>
      </w:r>
      <w:r w:rsidRPr="00094CD1">
        <w:rPr>
          <w:rFonts w:ascii="ITC Avant Garde" w:hAnsi="ITC Avant Garde" w:cs="Arial"/>
        </w:rPr>
        <w:t xml:space="preserve"> –  A la entrada en vigor del presente Acuerdo, el Instituto pondrá a disposición de todos los interesados los formatos que se emiten a través del presente en el </w:t>
      </w:r>
      <w:r>
        <w:rPr>
          <w:rFonts w:ascii="ITC Avant Garde" w:hAnsi="ITC Avant Garde" w:cs="Arial"/>
        </w:rPr>
        <w:t>Registro</w:t>
      </w:r>
      <w:r w:rsidRPr="00094CD1">
        <w:rPr>
          <w:rFonts w:ascii="ITC Avant Garde" w:hAnsi="ITC Avant Garde" w:cs="Arial"/>
        </w:rPr>
        <w:t xml:space="preserve"> de Trámites y Servicios </w:t>
      </w:r>
      <w:r>
        <w:rPr>
          <w:rFonts w:ascii="ITC Avant Garde" w:hAnsi="ITC Avant Garde" w:cs="Arial"/>
        </w:rPr>
        <w:t>en versión electrónica</w:t>
      </w:r>
      <w:r w:rsidRPr="00734D3D">
        <w:rPr>
          <w:rFonts w:ascii="ITC Avant Garde" w:hAnsi="ITC Avant Garde" w:cs="Arial"/>
        </w:rPr>
        <w:t>, para su descarga, llenado y presentación ante la Oficialía de Partes Común, hasta en tanto éstos migren a un formato electrónico que se encuentre contenido en la Ventanilla Electrónica de este órgano constitucional autónomo</w:t>
      </w:r>
      <w:r>
        <w:rPr>
          <w:rFonts w:ascii="ITC Avant Garde" w:hAnsi="ITC Avant Garde" w:cs="Arial"/>
        </w:rPr>
        <w:t>.</w:t>
      </w:r>
    </w:p>
    <w:p w14:paraId="1FF88C1E" w14:textId="4AB19D0B" w:rsidR="005A6DBC" w:rsidRDefault="005A6DBC" w:rsidP="005A6DBC">
      <w:pPr>
        <w:autoSpaceDE w:val="0"/>
        <w:autoSpaceDN w:val="0"/>
        <w:adjustRightInd w:val="0"/>
        <w:jc w:val="both"/>
        <w:rPr>
          <w:rFonts w:ascii="ITC Avant Garde" w:hAnsi="ITC Avant Garde" w:cs="Arial"/>
        </w:rPr>
      </w:pPr>
    </w:p>
    <w:p w14:paraId="1D241C63" w14:textId="77777777" w:rsidR="005A6DBC" w:rsidRPr="00094CD1" w:rsidRDefault="005A6DBC" w:rsidP="005A6DBC">
      <w:pPr>
        <w:autoSpaceDE w:val="0"/>
        <w:autoSpaceDN w:val="0"/>
        <w:adjustRightInd w:val="0"/>
        <w:rPr>
          <w:rFonts w:ascii="ITC Avant Garde" w:hAnsi="ITC Avant Garde" w:cs="Arial"/>
        </w:rPr>
      </w:pPr>
      <w:r w:rsidRPr="00094CD1">
        <w:rPr>
          <w:rFonts w:ascii="ITC Avant Garde" w:hAnsi="ITC Avant Garde" w:cs="Arial"/>
        </w:rPr>
        <w:t xml:space="preserve">---------- Anexo </w:t>
      </w:r>
      <w:r>
        <w:rPr>
          <w:rFonts w:ascii="ITC Avant Garde" w:hAnsi="ITC Avant Garde" w:cs="Arial"/>
        </w:rPr>
        <w:t>A</w:t>
      </w:r>
      <w:r w:rsidRPr="00094CD1">
        <w:rPr>
          <w:rFonts w:ascii="ITC Avant Garde" w:hAnsi="ITC Avant Garde" w:cs="Arial"/>
        </w:rPr>
        <w:t xml:space="preserve"> ----------</w:t>
      </w:r>
    </w:p>
    <w:p w14:paraId="0D61D25E" w14:textId="77777777" w:rsidR="005A6DBC" w:rsidRPr="00094CD1" w:rsidRDefault="005A6DBC" w:rsidP="005A6DBC">
      <w:pPr>
        <w:autoSpaceDE w:val="0"/>
        <w:autoSpaceDN w:val="0"/>
        <w:adjustRightInd w:val="0"/>
        <w:rPr>
          <w:rFonts w:ascii="ITC Avant Garde" w:hAnsi="ITC Avant Garde" w:cs="Arial"/>
        </w:rPr>
      </w:pPr>
      <w:r>
        <w:rPr>
          <w:rFonts w:ascii="ITC Avant Garde" w:hAnsi="ITC Avant Garde" w:cs="Arial"/>
        </w:rPr>
        <w:t>---------- Anexo B</w:t>
      </w:r>
      <w:r w:rsidRPr="00094CD1">
        <w:rPr>
          <w:rFonts w:ascii="ITC Avant Garde" w:hAnsi="ITC Avant Garde" w:cs="Arial"/>
        </w:rPr>
        <w:t xml:space="preserve"> ----------</w:t>
      </w:r>
    </w:p>
    <w:p w14:paraId="7CD00FCD" w14:textId="77777777" w:rsidR="005A6DBC" w:rsidRPr="00CF6F72" w:rsidRDefault="005A6DBC" w:rsidP="005A6DBC">
      <w:pPr>
        <w:autoSpaceDE w:val="0"/>
        <w:autoSpaceDN w:val="0"/>
        <w:adjustRightInd w:val="0"/>
        <w:rPr>
          <w:rFonts w:ascii="ITC Avant Garde" w:hAnsi="ITC Avant Garde" w:cs="Arial"/>
        </w:rPr>
      </w:pPr>
      <w:r>
        <w:rPr>
          <w:rFonts w:ascii="ITC Avant Garde" w:hAnsi="ITC Avant Garde" w:cs="Arial"/>
        </w:rPr>
        <w:t>---------- Anexo C</w:t>
      </w:r>
      <w:r w:rsidRPr="00094CD1">
        <w:rPr>
          <w:rFonts w:ascii="ITC Avant Garde" w:hAnsi="ITC Avant Garde" w:cs="Arial"/>
        </w:rPr>
        <w:t xml:space="preserve"> ----------</w:t>
      </w:r>
    </w:p>
    <w:p w14:paraId="54FB1964" w14:textId="77777777" w:rsidR="005A6DBC" w:rsidRPr="00CF6F72" w:rsidRDefault="005A6DBC" w:rsidP="005A6DBC">
      <w:pPr>
        <w:autoSpaceDE w:val="0"/>
        <w:autoSpaceDN w:val="0"/>
        <w:adjustRightInd w:val="0"/>
        <w:rPr>
          <w:rFonts w:ascii="ITC Avant Garde" w:hAnsi="ITC Avant Garde" w:cs="Arial"/>
        </w:rPr>
      </w:pPr>
      <w:r>
        <w:rPr>
          <w:rFonts w:ascii="ITC Avant Garde" w:hAnsi="ITC Avant Garde" w:cs="Arial"/>
        </w:rPr>
        <w:t>---------- Anexo D</w:t>
      </w:r>
      <w:r w:rsidRPr="00094CD1">
        <w:rPr>
          <w:rFonts w:ascii="ITC Avant Garde" w:hAnsi="ITC Avant Garde" w:cs="Arial"/>
        </w:rPr>
        <w:t xml:space="preserve"> ----------</w:t>
      </w:r>
    </w:p>
    <w:p w14:paraId="4009FD26" w14:textId="77777777" w:rsidR="005A6DBC" w:rsidRPr="00CF6F72" w:rsidRDefault="005A6DBC" w:rsidP="005A6DBC">
      <w:pPr>
        <w:autoSpaceDE w:val="0"/>
        <w:autoSpaceDN w:val="0"/>
        <w:adjustRightInd w:val="0"/>
        <w:rPr>
          <w:rFonts w:ascii="ITC Avant Garde" w:hAnsi="ITC Avant Garde" w:cs="Arial"/>
        </w:rPr>
      </w:pPr>
      <w:r>
        <w:rPr>
          <w:rFonts w:ascii="ITC Avant Garde" w:hAnsi="ITC Avant Garde" w:cs="Arial"/>
        </w:rPr>
        <w:t>---------- Anexo E</w:t>
      </w:r>
      <w:r w:rsidRPr="00094CD1">
        <w:rPr>
          <w:rFonts w:ascii="ITC Avant Garde" w:hAnsi="ITC Avant Garde" w:cs="Arial"/>
        </w:rPr>
        <w:t xml:space="preserve"> ----------</w:t>
      </w:r>
    </w:p>
    <w:p w14:paraId="5A418341" w14:textId="77777777" w:rsidR="005A6DBC" w:rsidRPr="001E62DC" w:rsidRDefault="005A6DBC" w:rsidP="005A6DBC">
      <w:pPr>
        <w:autoSpaceDE w:val="0"/>
        <w:autoSpaceDN w:val="0"/>
        <w:adjustRightInd w:val="0"/>
        <w:rPr>
          <w:rFonts w:ascii="ITC Avant Garde" w:hAnsi="ITC Avant Garde" w:cs="Arial"/>
          <w:lang w:val="en-US"/>
        </w:rPr>
      </w:pPr>
      <w:r w:rsidRPr="001E62DC">
        <w:rPr>
          <w:rFonts w:ascii="ITC Avant Garde" w:hAnsi="ITC Avant Garde" w:cs="Arial"/>
          <w:lang w:val="en-US"/>
        </w:rPr>
        <w:t>---------- Anexo F ----------</w:t>
      </w:r>
    </w:p>
    <w:p w14:paraId="1E553666" w14:textId="77777777" w:rsidR="005A6DBC" w:rsidRPr="001E62DC" w:rsidRDefault="005A6DBC" w:rsidP="005A6DBC">
      <w:pPr>
        <w:autoSpaceDE w:val="0"/>
        <w:autoSpaceDN w:val="0"/>
        <w:adjustRightInd w:val="0"/>
        <w:rPr>
          <w:rFonts w:ascii="ITC Avant Garde" w:hAnsi="ITC Avant Garde" w:cs="Arial"/>
          <w:lang w:val="en-US"/>
        </w:rPr>
      </w:pPr>
      <w:r w:rsidRPr="001E62DC">
        <w:rPr>
          <w:rFonts w:ascii="ITC Avant Garde" w:hAnsi="ITC Avant Garde" w:cs="Arial"/>
          <w:lang w:val="en-US"/>
        </w:rPr>
        <w:t>---------- Anexo G ----------</w:t>
      </w:r>
    </w:p>
    <w:p w14:paraId="46149C1B" w14:textId="77777777" w:rsidR="005A6DBC" w:rsidRPr="001E62DC" w:rsidRDefault="005A6DBC" w:rsidP="00EB60B9">
      <w:pPr>
        <w:autoSpaceDE w:val="0"/>
        <w:autoSpaceDN w:val="0"/>
        <w:adjustRightInd w:val="0"/>
        <w:rPr>
          <w:rFonts w:ascii="ITC Avant Garde" w:hAnsi="ITC Avant Garde" w:cs="Arial"/>
          <w:lang w:val="en-US"/>
        </w:rPr>
      </w:pPr>
      <w:r w:rsidRPr="001E62DC">
        <w:rPr>
          <w:rFonts w:ascii="ITC Avant Garde" w:hAnsi="ITC Avant Garde" w:cs="Arial"/>
          <w:lang w:val="en-US"/>
        </w:rPr>
        <w:t>---------- Anexo H ----------</w:t>
      </w:r>
    </w:p>
    <w:tbl>
      <w:tblPr>
        <w:tblStyle w:val="Tablaconcuadrcula"/>
        <w:tblW w:w="100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24"/>
      </w:tblGrid>
      <w:tr w:rsidR="005A6DBC" w:rsidRPr="00533949" w14:paraId="160159EE" w14:textId="77777777" w:rsidTr="00A70F6A">
        <w:trPr>
          <w:trHeight w:val="2949"/>
          <w:jc w:val="center"/>
        </w:trPr>
        <w:tc>
          <w:tcPr>
            <w:tcW w:w="10048" w:type="dxa"/>
            <w:gridSpan w:val="2"/>
          </w:tcPr>
          <w:p w14:paraId="1FB5825D" w14:textId="77777777" w:rsidR="005A6DBC" w:rsidRPr="001E62DC" w:rsidRDefault="005A6DBC" w:rsidP="00A70F6A">
            <w:pPr>
              <w:rPr>
                <w:rFonts w:ascii="ITC Avant Garde" w:hAnsi="ITC Avant Garde" w:cs="Arial"/>
                <w:b/>
                <w:lang w:val="en-US"/>
              </w:rPr>
            </w:pPr>
          </w:p>
          <w:p w14:paraId="1156F95D" w14:textId="77777777" w:rsidR="005A6DBC" w:rsidRPr="001E62DC" w:rsidRDefault="005A6DBC" w:rsidP="00A70F6A">
            <w:pPr>
              <w:rPr>
                <w:rFonts w:ascii="ITC Avant Garde" w:hAnsi="ITC Avant Garde" w:cs="Arial"/>
                <w:b/>
                <w:lang w:val="en-US"/>
              </w:rPr>
            </w:pPr>
          </w:p>
          <w:p w14:paraId="50A91484" w14:textId="77777777" w:rsidR="005A6DBC" w:rsidRPr="001E62DC" w:rsidRDefault="005A6DBC" w:rsidP="00A70F6A">
            <w:pPr>
              <w:rPr>
                <w:rFonts w:ascii="ITC Avant Garde" w:hAnsi="ITC Avant Garde" w:cs="Arial"/>
                <w:b/>
                <w:lang w:val="en-US"/>
              </w:rPr>
            </w:pPr>
          </w:p>
          <w:p w14:paraId="0184DA7B" w14:textId="77777777" w:rsidR="005A6DBC" w:rsidRPr="001E62DC" w:rsidRDefault="005A6DBC" w:rsidP="00A70F6A">
            <w:pPr>
              <w:rPr>
                <w:rFonts w:ascii="ITC Avant Garde" w:hAnsi="ITC Avant Garde" w:cs="Arial"/>
                <w:b/>
                <w:lang w:val="en-US"/>
              </w:rPr>
            </w:pPr>
          </w:p>
          <w:p w14:paraId="60BE61F2" w14:textId="77777777" w:rsidR="005A6DBC" w:rsidRPr="001E62DC" w:rsidRDefault="005A6DBC" w:rsidP="00A70F6A">
            <w:pPr>
              <w:rPr>
                <w:rFonts w:ascii="ITC Avant Garde" w:hAnsi="ITC Avant Garde" w:cs="Arial"/>
                <w:b/>
                <w:lang w:val="en-US"/>
              </w:rPr>
            </w:pPr>
          </w:p>
          <w:p w14:paraId="02C062C7" w14:textId="77777777" w:rsidR="005A6DBC" w:rsidRPr="00533949" w:rsidRDefault="005A6DBC" w:rsidP="00A70F6A">
            <w:pPr>
              <w:rPr>
                <w:rFonts w:ascii="ITC Avant Garde" w:hAnsi="ITC Avant Garde" w:cs="Arial"/>
                <w:b/>
                <w:bCs/>
              </w:rPr>
            </w:pPr>
            <w:r w:rsidRPr="00533949">
              <w:rPr>
                <w:rFonts w:ascii="ITC Avant Garde" w:hAnsi="ITC Avant Garde" w:cs="Arial"/>
                <w:b/>
              </w:rPr>
              <w:t>Gabriel Oswaldo Contreras Saldívar</w:t>
            </w:r>
          </w:p>
          <w:p w14:paraId="299A0D6A" w14:textId="77777777" w:rsidR="005A6DBC" w:rsidRPr="00533949" w:rsidRDefault="005A6DBC" w:rsidP="00A70F6A">
            <w:pPr>
              <w:rPr>
                <w:rFonts w:ascii="ITC Avant Garde" w:hAnsi="ITC Avant Garde" w:cs="Arial"/>
                <w:b/>
              </w:rPr>
            </w:pPr>
            <w:r w:rsidRPr="00533949">
              <w:rPr>
                <w:rFonts w:ascii="ITC Avant Garde" w:hAnsi="ITC Avant Garde" w:cs="Arial"/>
                <w:b/>
              </w:rPr>
              <w:t>Comisionado Presidente</w:t>
            </w:r>
          </w:p>
        </w:tc>
      </w:tr>
      <w:tr w:rsidR="005A6DBC" w:rsidRPr="00533949" w14:paraId="1C3DB712" w14:textId="77777777" w:rsidTr="00A70F6A">
        <w:trPr>
          <w:trHeight w:val="1655"/>
          <w:jc w:val="center"/>
        </w:trPr>
        <w:tc>
          <w:tcPr>
            <w:tcW w:w="5024" w:type="dxa"/>
          </w:tcPr>
          <w:p w14:paraId="4CE3AF57" w14:textId="77777777" w:rsidR="005A6DBC" w:rsidRPr="00533949" w:rsidRDefault="005A6DBC" w:rsidP="00A70F6A">
            <w:pPr>
              <w:rPr>
                <w:rFonts w:ascii="ITC Avant Garde" w:hAnsi="ITC Avant Garde"/>
                <w:shd w:val="clear" w:color="auto" w:fill="FFFFFF"/>
              </w:rPr>
            </w:pPr>
          </w:p>
          <w:p w14:paraId="55CA7911" w14:textId="77777777" w:rsidR="005A6DBC" w:rsidRPr="00533949" w:rsidRDefault="005A6DBC" w:rsidP="00A70F6A">
            <w:pPr>
              <w:rPr>
                <w:rFonts w:ascii="ITC Avant Garde" w:hAnsi="ITC Avant Garde"/>
                <w:shd w:val="clear" w:color="auto" w:fill="FFFFFF"/>
              </w:rPr>
            </w:pPr>
          </w:p>
          <w:p w14:paraId="5393608F" w14:textId="77777777" w:rsidR="005A6DBC" w:rsidRPr="00533949" w:rsidRDefault="005A6DBC" w:rsidP="00A70F6A">
            <w:pPr>
              <w:tabs>
                <w:tab w:val="left" w:pos="993"/>
              </w:tabs>
              <w:ind w:right="-1"/>
              <w:rPr>
                <w:rFonts w:ascii="ITC Avant Garde" w:hAnsi="ITC Avant Garde"/>
                <w:b/>
                <w:bCs/>
              </w:rPr>
            </w:pPr>
            <w:r w:rsidRPr="00533949">
              <w:rPr>
                <w:rFonts w:ascii="ITC Avant Garde" w:hAnsi="ITC Avant Garde"/>
                <w:b/>
              </w:rPr>
              <w:t>Mario Germán Fromow Rangel</w:t>
            </w:r>
          </w:p>
          <w:p w14:paraId="57EC308E" w14:textId="77777777" w:rsidR="005A6DBC" w:rsidRPr="00533949" w:rsidRDefault="005A6DBC" w:rsidP="00A70F6A">
            <w:pPr>
              <w:rPr>
                <w:rFonts w:ascii="ITC Avant Garde" w:hAnsi="ITC Avant Garde"/>
                <w:shd w:val="clear" w:color="auto" w:fill="FFFFFF"/>
              </w:rPr>
            </w:pPr>
            <w:r w:rsidRPr="00533949">
              <w:rPr>
                <w:rFonts w:ascii="ITC Avant Garde" w:hAnsi="ITC Avant Garde"/>
                <w:b/>
              </w:rPr>
              <w:t>Comisionado</w:t>
            </w:r>
          </w:p>
        </w:tc>
        <w:tc>
          <w:tcPr>
            <w:tcW w:w="5024" w:type="dxa"/>
          </w:tcPr>
          <w:p w14:paraId="1B0F92ED" w14:textId="77777777" w:rsidR="005A6DBC" w:rsidRPr="00533949" w:rsidRDefault="005A6DBC" w:rsidP="00A70F6A">
            <w:pPr>
              <w:jc w:val="both"/>
              <w:rPr>
                <w:rFonts w:ascii="ITC Avant Garde" w:hAnsi="ITC Avant Garde"/>
                <w:shd w:val="clear" w:color="auto" w:fill="FFFFFF"/>
              </w:rPr>
            </w:pPr>
          </w:p>
          <w:p w14:paraId="3F8451AF" w14:textId="77777777" w:rsidR="005A6DBC" w:rsidRPr="00533949" w:rsidRDefault="005A6DBC" w:rsidP="00A70F6A">
            <w:pPr>
              <w:jc w:val="both"/>
              <w:rPr>
                <w:rFonts w:ascii="ITC Avant Garde" w:hAnsi="ITC Avant Garde"/>
                <w:shd w:val="clear" w:color="auto" w:fill="FFFFFF"/>
              </w:rPr>
            </w:pPr>
          </w:p>
          <w:p w14:paraId="523E7A45" w14:textId="77777777" w:rsidR="005A6DBC" w:rsidRPr="00533949" w:rsidRDefault="005A6DBC" w:rsidP="00A70F6A">
            <w:pPr>
              <w:tabs>
                <w:tab w:val="left" w:pos="993"/>
              </w:tabs>
              <w:ind w:right="-1"/>
              <w:rPr>
                <w:rFonts w:ascii="ITC Avant Garde" w:hAnsi="ITC Avant Garde"/>
                <w:b/>
                <w:bCs/>
              </w:rPr>
            </w:pPr>
            <w:r w:rsidRPr="00533949">
              <w:rPr>
                <w:rFonts w:ascii="ITC Avant Garde" w:hAnsi="ITC Avant Garde"/>
                <w:b/>
              </w:rPr>
              <w:t>Adolfo Cuevas Teja</w:t>
            </w:r>
          </w:p>
          <w:p w14:paraId="41E57EC9" w14:textId="77777777" w:rsidR="005A6DBC" w:rsidRPr="00533949" w:rsidRDefault="005A6DBC" w:rsidP="00A70F6A">
            <w:pPr>
              <w:rPr>
                <w:rFonts w:ascii="ITC Avant Garde" w:hAnsi="ITC Avant Garde"/>
                <w:shd w:val="clear" w:color="auto" w:fill="FFFFFF"/>
              </w:rPr>
            </w:pPr>
            <w:r w:rsidRPr="00533949">
              <w:rPr>
                <w:rFonts w:ascii="ITC Avant Garde" w:hAnsi="ITC Avant Garde"/>
                <w:b/>
              </w:rPr>
              <w:t>Comisionado</w:t>
            </w:r>
          </w:p>
        </w:tc>
      </w:tr>
      <w:tr w:rsidR="005A6DBC" w:rsidRPr="00533949" w14:paraId="1676E860" w14:textId="77777777" w:rsidTr="00A70F6A">
        <w:trPr>
          <w:trHeight w:val="1672"/>
          <w:jc w:val="center"/>
        </w:trPr>
        <w:tc>
          <w:tcPr>
            <w:tcW w:w="5024" w:type="dxa"/>
          </w:tcPr>
          <w:p w14:paraId="06A4DD0C" w14:textId="77777777" w:rsidR="005A6DBC" w:rsidRPr="00533949" w:rsidRDefault="005A6DBC" w:rsidP="00A70F6A">
            <w:pPr>
              <w:jc w:val="both"/>
              <w:rPr>
                <w:rFonts w:ascii="ITC Avant Garde" w:hAnsi="ITC Avant Garde"/>
                <w:shd w:val="clear" w:color="auto" w:fill="FFFFFF"/>
              </w:rPr>
            </w:pPr>
          </w:p>
          <w:p w14:paraId="7DC0CEFA" w14:textId="77777777" w:rsidR="005A6DBC" w:rsidRPr="00533949" w:rsidRDefault="005A6DBC" w:rsidP="00A70F6A">
            <w:pPr>
              <w:jc w:val="both"/>
              <w:rPr>
                <w:rFonts w:ascii="ITC Avant Garde" w:hAnsi="ITC Avant Garde"/>
                <w:shd w:val="clear" w:color="auto" w:fill="FFFFFF"/>
              </w:rPr>
            </w:pPr>
          </w:p>
          <w:p w14:paraId="68D140CF" w14:textId="77777777" w:rsidR="005A6DBC" w:rsidRPr="00533949" w:rsidRDefault="005A6DBC" w:rsidP="00A70F6A">
            <w:pPr>
              <w:jc w:val="both"/>
              <w:rPr>
                <w:rFonts w:ascii="ITC Avant Garde" w:hAnsi="ITC Avant Garde"/>
                <w:shd w:val="clear" w:color="auto" w:fill="FFFFFF"/>
              </w:rPr>
            </w:pPr>
          </w:p>
          <w:p w14:paraId="3EB025EF" w14:textId="77777777" w:rsidR="005A6DBC" w:rsidRPr="00533949" w:rsidRDefault="005A6DBC" w:rsidP="00A70F6A">
            <w:pPr>
              <w:jc w:val="both"/>
              <w:rPr>
                <w:rFonts w:ascii="ITC Avant Garde" w:hAnsi="ITC Avant Garde"/>
                <w:shd w:val="clear" w:color="auto" w:fill="FFFFFF"/>
              </w:rPr>
            </w:pPr>
          </w:p>
          <w:p w14:paraId="06AC0869" w14:textId="77777777" w:rsidR="005A6DBC" w:rsidRPr="00533949" w:rsidRDefault="005A6DBC" w:rsidP="00A70F6A">
            <w:pPr>
              <w:tabs>
                <w:tab w:val="left" w:pos="993"/>
              </w:tabs>
              <w:ind w:right="-1"/>
              <w:rPr>
                <w:rFonts w:ascii="ITC Avant Garde" w:hAnsi="ITC Avant Garde"/>
                <w:b/>
                <w:bCs/>
              </w:rPr>
            </w:pPr>
            <w:r w:rsidRPr="00533949">
              <w:rPr>
                <w:rFonts w:ascii="ITC Avant Garde" w:hAnsi="ITC Avant Garde"/>
                <w:b/>
              </w:rPr>
              <w:t>Javier Juárez Mojica</w:t>
            </w:r>
          </w:p>
          <w:p w14:paraId="10CB5BAB" w14:textId="77777777" w:rsidR="005A6DBC" w:rsidRPr="00533949" w:rsidRDefault="005A6DBC" w:rsidP="00A70F6A">
            <w:pPr>
              <w:rPr>
                <w:rFonts w:ascii="ITC Avant Garde" w:hAnsi="ITC Avant Garde"/>
                <w:shd w:val="clear" w:color="auto" w:fill="FFFFFF"/>
              </w:rPr>
            </w:pPr>
            <w:r w:rsidRPr="00533949">
              <w:rPr>
                <w:rFonts w:ascii="ITC Avant Garde" w:hAnsi="ITC Avant Garde"/>
                <w:b/>
              </w:rPr>
              <w:t>Comisionado</w:t>
            </w:r>
          </w:p>
        </w:tc>
        <w:tc>
          <w:tcPr>
            <w:tcW w:w="5024" w:type="dxa"/>
          </w:tcPr>
          <w:p w14:paraId="64887973" w14:textId="77777777" w:rsidR="005A6DBC" w:rsidRPr="00533949" w:rsidRDefault="005A6DBC" w:rsidP="00A70F6A">
            <w:pPr>
              <w:jc w:val="both"/>
              <w:rPr>
                <w:rFonts w:ascii="ITC Avant Garde" w:hAnsi="ITC Avant Garde"/>
                <w:shd w:val="clear" w:color="auto" w:fill="FFFFFF"/>
              </w:rPr>
            </w:pPr>
          </w:p>
          <w:p w14:paraId="62A811CF" w14:textId="77777777" w:rsidR="005A6DBC" w:rsidRPr="00533949" w:rsidRDefault="005A6DBC" w:rsidP="00A70F6A">
            <w:pPr>
              <w:jc w:val="both"/>
              <w:rPr>
                <w:rFonts w:ascii="ITC Avant Garde" w:hAnsi="ITC Avant Garde"/>
                <w:shd w:val="clear" w:color="auto" w:fill="FFFFFF"/>
              </w:rPr>
            </w:pPr>
          </w:p>
          <w:p w14:paraId="64C014A7" w14:textId="77777777" w:rsidR="005A6DBC" w:rsidRPr="00533949" w:rsidRDefault="005A6DBC" w:rsidP="00A70F6A">
            <w:pPr>
              <w:jc w:val="both"/>
              <w:rPr>
                <w:rFonts w:ascii="ITC Avant Garde" w:hAnsi="ITC Avant Garde"/>
                <w:shd w:val="clear" w:color="auto" w:fill="FFFFFF"/>
              </w:rPr>
            </w:pPr>
          </w:p>
          <w:p w14:paraId="37E53E6F" w14:textId="77777777" w:rsidR="005A6DBC" w:rsidRPr="00533949" w:rsidRDefault="005A6DBC" w:rsidP="00A70F6A">
            <w:pPr>
              <w:jc w:val="both"/>
              <w:rPr>
                <w:rFonts w:ascii="ITC Avant Garde" w:hAnsi="ITC Avant Garde"/>
                <w:shd w:val="clear" w:color="auto" w:fill="FFFFFF"/>
              </w:rPr>
            </w:pPr>
          </w:p>
          <w:p w14:paraId="7098F426" w14:textId="77777777" w:rsidR="005A6DBC" w:rsidRPr="00533949" w:rsidRDefault="005A6DBC" w:rsidP="00A70F6A">
            <w:pPr>
              <w:tabs>
                <w:tab w:val="left" w:pos="993"/>
              </w:tabs>
              <w:ind w:right="-1"/>
              <w:rPr>
                <w:rFonts w:ascii="ITC Avant Garde" w:hAnsi="ITC Avant Garde"/>
                <w:b/>
                <w:bCs/>
              </w:rPr>
            </w:pPr>
            <w:r w:rsidRPr="00533949">
              <w:rPr>
                <w:rFonts w:ascii="ITC Avant Garde" w:hAnsi="ITC Avant Garde"/>
                <w:b/>
              </w:rPr>
              <w:t>Arturo Robles Rovalo</w:t>
            </w:r>
          </w:p>
          <w:p w14:paraId="36DB4F1D" w14:textId="77777777" w:rsidR="005A6DBC" w:rsidRPr="00533949" w:rsidRDefault="005A6DBC" w:rsidP="00A70F6A">
            <w:pPr>
              <w:rPr>
                <w:rFonts w:ascii="ITC Avant Garde" w:hAnsi="ITC Avant Garde"/>
                <w:shd w:val="clear" w:color="auto" w:fill="FFFFFF"/>
              </w:rPr>
            </w:pPr>
            <w:r w:rsidRPr="00533949">
              <w:rPr>
                <w:rFonts w:ascii="ITC Avant Garde" w:hAnsi="ITC Avant Garde"/>
                <w:b/>
              </w:rPr>
              <w:t>Comisionado</w:t>
            </w:r>
          </w:p>
        </w:tc>
      </w:tr>
      <w:tr w:rsidR="005A6DBC" w:rsidRPr="00EE46D9" w14:paraId="40F66EAC" w14:textId="77777777" w:rsidTr="00A70F6A">
        <w:trPr>
          <w:trHeight w:val="1655"/>
          <w:jc w:val="center"/>
        </w:trPr>
        <w:tc>
          <w:tcPr>
            <w:tcW w:w="5024" w:type="dxa"/>
          </w:tcPr>
          <w:p w14:paraId="6ABD605F" w14:textId="77777777" w:rsidR="005A6DBC" w:rsidRPr="00533949" w:rsidRDefault="005A6DBC" w:rsidP="00A70F6A">
            <w:pPr>
              <w:jc w:val="both"/>
              <w:rPr>
                <w:rFonts w:ascii="ITC Avant Garde" w:hAnsi="ITC Avant Garde"/>
                <w:shd w:val="clear" w:color="auto" w:fill="FFFFFF"/>
              </w:rPr>
            </w:pPr>
          </w:p>
          <w:p w14:paraId="7E2710DF" w14:textId="77777777" w:rsidR="005A6DBC" w:rsidRPr="00533949" w:rsidRDefault="005A6DBC" w:rsidP="00A70F6A">
            <w:pPr>
              <w:jc w:val="both"/>
              <w:rPr>
                <w:rFonts w:ascii="ITC Avant Garde" w:hAnsi="ITC Avant Garde"/>
                <w:shd w:val="clear" w:color="auto" w:fill="FFFFFF"/>
              </w:rPr>
            </w:pPr>
          </w:p>
          <w:p w14:paraId="3BBF3E96" w14:textId="77777777" w:rsidR="005A6DBC" w:rsidRPr="00533949" w:rsidRDefault="005A6DBC" w:rsidP="00A70F6A">
            <w:pPr>
              <w:jc w:val="both"/>
              <w:rPr>
                <w:rFonts w:ascii="ITC Avant Garde" w:hAnsi="ITC Avant Garde"/>
                <w:shd w:val="clear" w:color="auto" w:fill="FFFFFF"/>
              </w:rPr>
            </w:pPr>
          </w:p>
          <w:p w14:paraId="32D0D8D5" w14:textId="77777777" w:rsidR="005A6DBC" w:rsidRPr="00533949" w:rsidRDefault="005A6DBC" w:rsidP="00A70F6A">
            <w:pPr>
              <w:jc w:val="both"/>
              <w:rPr>
                <w:rFonts w:ascii="ITC Avant Garde" w:hAnsi="ITC Avant Garde"/>
                <w:shd w:val="clear" w:color="auto" w:fill="FFFFFF"/>
              </w:rPr>
            </w:pPr>
          </w:p>
          <w:p w14:paraId="111B4324" w14:textId="77777777" w:rsidR="005A6DBC" w:rsidRPr="00533949" w:rsidRDefault="005A6DBC" w:rsidP="00A70F6A">
            <w:pPr>
              <w:tabs>
                <w:tab w:val="left" w:pos="993"/>
              </w:tabs>
              <w:ind w:right="-1"/>
              <w:rPr>
                <w:rFonts w:ascii="ITC Avant Garde" w:hAnsi="ITC Avant Garde"/>
                <w:b/>
                <w:bCs/>
              </w:rPr>
            </w:pPr>
            <w:r w:rsidRPr="00533949">
              <w:rPr>
                <w:rFonts w:ascii="ITC Avant Garde" w:hAnsi="ITC Avant Garde"/>
                <w:b/>
              </w:rPr>
              <w:t>Sóstenes Díaz González</w:t>
            </w:r>
          </w:p>
          <w:p w14:paraId="5DEB74CC" w14:textId="77777777" w:rsidR="005A6DBC" w:rsidRPr="00533949" w:rsidRDefault="005A6DBC" w:rsidP="00A70F6A">
            <w:pPr>
              <w:pStyle w:val="TDC3"/>
              <w:spacing w:line="240" w:lineRule="auto"/>
              <w:rPr>
                <w:sz w:val="21"/>
                <w:szCs w:val="21"/>
                <w:shd w:val="clear" w:color="auto" w:fill="FFFFFF"/>
              </w:rPr>
            </w:pPr>
            <w:r w:rsidRPr="00533949">
              <w:rPr>
                <w:rFonts w:ascii="ITC Avant Garde" w:hAnsi="ITC Avant Garde"/>
                <w:b/>
                <w:sz w:val="21"/>
                <w:szCs w:val="21"/>
              </w:rPr>
              <w:t>Comisionado</w:t>
            </w:r>
          </w:p>
        </w:tc>
        <w:tc>
          <w:tcPr>
            <w:tcW w:w="5024" w:type="dxa"/>
          </w:tcPr>
          <w:p w14:paraId="2CECA335" w14:textId="77777777" w:rsidR="005A6DBC" w:rsidRPr="00533949" w:rsidRDefault="005A6DBC" w:rsidP="00A70F6A">
            <w:pPr>
              <w:jc w:val="both"/>
              <w:rPr>
                <w:rFonts w:ascii="ITC Avant Garde" w:hAnsi="ITC Avant Garde"/>
                <w:shd w:val="clear" w:color="auto" w:fill="FFFFFF"/>
              </w:rPr>
            </w:pPr>
          </w:p>
          <w:p w14:paraId="0D3DEDB7" w14:textId="77777777" w:rsidR="005A6DBC" w:rsidRPr="00533949" w:rsidRDefault="005A6DBC" w:rsidP="00A70F6A">
            <w:pPr>
              <w:jc w:val="both"/>
              <w:rPr>
                <w:rFonts w:ascii="ITC Avant Garde" w:hAnsi="ITC Avant Garde"/>
                <w:shd w:val="clear" w:color="auto" w:fill="FFFFFF"/>
              </w:rPr>
            </w:pPr>
          </w:p>
          <w:p w14:paraId="1BD54792" w14:textId="77777777" w:rsidR="005A6DBC" w:rsidRPr="00533949" w:rsidRDefault="005A6DBC" w:rsidP="00A70F6A">
            <w:pPr>
              <w:jc w:val="both"/>
              <w:rPr>
                <w:rFonts w:ascii="ITC Avant Garde" w:hAnsi="ITC Avant Garde"/>
                <w:shd w:val="clear" w:color="auto" w:fill="FFFFFF"/>
              </w:rPr>
            </w:pPr>
          </w:p>
          <w:p w14:paraId="60276775" w14:textId="77777777" w:rsidR="005A6DBC" w:rsidRPr="00533949" w:rsidRDefault="005A6DBC" w:rsidP="00A70F6A">
            <w:pPr>
              <w:jc w:val="both"/>
              <w:rPr>
                <w:rFonts w:ascii="ITC Avant Garde" w:hAnsi="ITC Avant Garde"/>
                <w:shd w:val="clear" w:color="auto" w:fill="FFFFFF"/>
              </w:rPr>
            </w:pPr>
          </w:p>
          <w:p w14:paraId="62B8CEEA" w14:textId="77777777" w:rsidR="005A6DBC" w:rsidRPr="00533949" w:rsidRDefault="005A6DBC" w:rsidP="00A70F6A">
            <w:pPr>
              <w:rPr>
                <w:rFonts w:ascii="ITC Avant Garde" w:hAnsi="ITC Avant Garde"/>
                <w:b/>
                <w:shd w:val="clear" w:color="auto" w:fill="FFFFFF"/>
              </w:rPr>
            </w:pPr>
            <w:r w:rsidRPr="00533949">
              <w:rPr>
                <w:rFonts w:ascii="ITC Avant Garde" w:hAnsi="ITC Avant Garde"/>
                <w:b/>
                <w:shd w:val="clear" w:color="auto" w:fill="FFFFFF"/>
              </w:rPr>
              <w:t>Ramiro Camacho Castillo</w:t>
            </w:r>
          </w:p>
          <w:p w14:paraId="66E6D7EC" w14:textId="77777777" w:rsidR="005A6DBC" w:rsidRPr="00533949" w:rsidRDefault="005A6DBC" w:rsidP="00A70F6A">
            <w:pPr>
              <w:rPr>
                <w:rFonts w:ascii="ITC Avant Garde" w:hAnsi="ITC Avant Garde"/>
                <w:shd w:val="clear" w:color="auto" w:fill="FFFFFF"/>
              </w:rPr>
            </w:pPr>
            <w:r w:rsidRPr="00533949">
              <w:rPr>
                <w:rFonts w:ascii="ITC Avant Garde" w:hAnsi="ITC Avant Garde"/>
                <w:b/>
              </w:rPr>
              <w:t>Comisionado</w:t>
            </w:r>
          </w:p>
        </w:tc>
      </w:tr>
    </w:tbl>
    <w:p w14:paraId="49009294" w14:textId="77777777" w:rsidR="005A6DBC" w:rsidRPr="00EE46D9" w:rsidRDefault="005A6DBC" w:rsidP="005A6DBC">
      <w:pPr>
        <w:pStyle w:val="Prrafodelista"/>
        <w:ind w:left="0"/>
        <w:jc w:val="both"/>
        <w:rPr>
          <w:rFonts w:ascii="ITC Avant Garde" w:hAnsi="ITC Avant Garde"/>
          <w:sz w:val="12"/>
        </w:rPr>
      </w:pPr>
    </w:p>
    <w:p w14:paraId="3604064B" w14:textId="77777777" w:rsidR="005A6DBC" w:rsidRPr="00EE46D9" w:rsidRDefault="005A6DBC" w:rsidP="005A6DBC">
      <w:pPr>
        <w:pStyle w:val="Prrafodelista"/>
        <w:ind w:left="0"/>
        <w:jc w:val="both"/>
        <w:rPr>
          <w:rFonts w:ascii="ITC Avant Garde" w:hAnsi="ITC Avant Garde"/>
          <w:sz w:val="12"/>
        </w:rPr>
      </w:pPr>
    </w:p>
    <w:p w14:paraId="53722C82" w14:textId="77777777" w:rsidR="005A6DBC" w:rsidRPr="00EE46D9" w:rsidRDefault="005A6DBC" w:rsidP="005A6DBC">
      <w:pPr>
        <w:pStyle w:val="Prrafodelista"/>
        <w:ind w:left="0"/>
        <w:jc w:val="both"/>
        <w:rPr>
          <w:rFonts w:ascii="ITC Avant Garde" w:hAnsi="ITC Avant Garde"/>
          <w:sz w:val="12"/>
        </w:rPr>
      </w:pPr>
    </w:p>
    <w:p w14:paraId="5E225915" w14:textId="77777777" w:rsidR="005A6DBC" w:rsidRPr="00EE46D9" w:rsidRDefault="005A6DBC" w:rsidP="005A6DBC">
      <w:pPr>
        <w:pStyle w:val="Prrafodelista"/>
        <w:ind w:left="0"/>
        <w:jc w:val="both"/>
        <w:rPr>
          <w:rFonts w:ascii="ITC Avant Garde" w:hAnsi="ITC Avant Garde"/>
          <w:sz w:val="12"/>
        </w:rPr>
      </w:pPr>
    </w:p>
    <w:p w14:paraId="66C05D02" w14:textId="77777777" w:rsidR="00A84618" w:rsidRDefault="00A84618" w:rsidP="00A84618">
      <w:pPr>
        <w:jc w:val="both"/>
        <w:rPr>
          <w:rFonts w:ascii="ITC Avant Garde" w:eastAsia="Calibri" w:hAnsi="ITC Avant Garde"/>
          <w:sz w:val="12"/>
          <w:szCs w:val="22"/>
        </w:rPr>
      </w:pPr>
      <w:r>
        <w:rPr>
          <w:rFonts w:ascii="ITC Avant Garde" w:hAnsi="ITC Avant Garde"/>
          <w:sz w:val="12"/>
        </w:rPr>
        <w:t>La presente Resolución fue aprobada por el Pleno del Instituto Federal de Telecomunicaciones en su _____________ Sesión _____________ celebrada el ___ de ______ de 2019, por _____________ de votos de los Comisionados Gabriel Oswaldo Contreras Saldívar, Mario Germán Fromow Rangel, Adolfo Cuevas Teja, Javier Juárez Mojica, Arturo Robles Rovalo, Sóstenes Díaz González y Ramiro Camacho Castillo; con fundamento en los párrafos vigésimo, fracciones I y IV;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_______________________.</w:t>
      </w:r>
    </w:p>
    <w:p w14:paraId="7CBD0285" w14:textId="77777777" w:rsidR="005A6DBC" w:rsidRPr="00EE46D9" w:rsidRDefault="005A6DBC" w:rsidP="005A6DBC">
      <w:pPr>
        <w:pStyle w:val="Prrafodelista"/>
        <w:ind w:left="0"/>
        <w:jc w:val="both"/>
        <w:rPr>
          <w:rFonts w:ascii="ITC Avant Garde" w:hAnsi="ITC Avant Garde"/>
          <w:sz w:val="12"/>
        </w:rPr>
      </w:pPr>
    </w:p>
    <w:sectPr w:rsidR="005A6DBC" w:rsidRPr="00EE46D9" w:rsidSect="009209F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B4A89" w14:textId="77777777" w:rsidR="007D1C88" w:rsidRDefault="007D1C88" w:rsidP="005A6DBC">
      <w:r>
        <w:separator/>
      </w:r>
    </w:p>
  </w:endnote>
  <w:endnote w:type="continuationSeparator" w:id="0">
    <w:p w14:paraId="1EB791D4" w14:textId="77777777" w:rsidR="007D1C88" w:rsidRDefault="007D1C88" w:rsidP="005A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AA709" w14:textId="77777777" w:rsidR="008202C7" w:rsidRDefault="008202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330949732"/>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190E8E9D" w14:textId="4CFA5038" w:rsidR="00EE6F33" w:rsidRPr="00EE6F33" w:rsidRDefault="008420AA">
            <w:pPr>
              <w:pStyle w:val="Piedepgina"/>
              <w:jc w:val="right"/>
              <w:rPr>
                <w:rFonts w:ascii="ITC Avant Garde" w:hAnsi="ITC Avant Garde"/>
                <w:sz w:val="16"/>
                <w:szCs w:val="16"/>
              </w:rPr>
            </w:pPr>
            <w:r w:rsidRPr="00EE6F33">
              <w:rPr>
                <w:rFonts w:ascii="ITC Avant Garde" w:hAnsi="ITC Avant Garde"/>
                <w:sz w:val="16"/>
                <w:szCs w:val="16"/>
                <w:lang w:val="es-ES"/>
              </w:rPr>
              <w:t xml:space="preserve">Página </w:t>
            </w:r>
            <w:r w:rsidRPr="00EE6F33">
              <w:rPr>
                <w:rFonts w:ascii="ITC Avant Garde" w:hAnsi="ITC Avant Garde"/>
                <w:b/>
                <w:bCs/>
                <w:sz w:val="16"/>
                <w:szCs w:val="16"/>
              </w:rPr>
              <w:fldChar w:fldCharType="begin"/>
            </w:r>
            <w:r w:rsidRPr="00EE6F33">
              <w:rPr>
                <w:rFonts w:ascii="ITC Avant Garde" w:hAnsi="ITC Avant Garde"/>
                <w:b/>
                <w:bCs/>
                <w:sz w:val="16"/>
                <w:szCs w:val="16"/>
              </w:rPr>
              <w:instrText>PAGE</w:instrText>
            </w:r>
            <w:r w:rsidRPr="00EE6F33">
              <w:rPr>
                <w:rFonts w:ascii="ITC Avant Garde" w:hAnsi="ITC Avant Garde"/>
                <w:b/>
                <w:bCs/>
                <w:sz w:val="16"/>
                <w:szCs w:val="16"/>
              </w:rPr>
              <w:fldChar w:fldCharType="separate"/>
            </w:r>
            <w:r w:rsidR="00885019">
              <w:rPr>
                <w:rFonts w:ascii="ITC Avant Garde" w:hAnsi="ITC Avant Garde"/>
                <w:b/>
                <w:bCs/>
                <w:noProof/>
                <w:sz w:val="16"/>
                <w:szCs w:val="16"/>
              </w:rPr>
              <w:t>7</w:t>
            </w:r>
            <w:r w:rsidRPr="00EE6F33">
              <w:rPr>
                <w:rFonts w:ascii="ITC Avant Garde" w:hAnsi="ITC Avant Garde"/>
                <w:b/>
                <w:bCs/>
                <w:sz w:val="16"/>
                <w:szCs w:val="16"/>
              </w:rPr>
              <w:fldChar w:fldCharType="end"/>
            </w:r>
            <w:r w:rsidRPr="00EE6F33">
              <w:rPr>
                <w:rFonts w:ascii="ITC Avant Garde" w:hAnsi="ITC Avant Garde"/>
                <w:sz w:val="16"/>
                <w:szCs w:val="16"/>
                <w:lang w:val="es-ES"/>
              </w:rPr>
              <w:t xml:space="preserve"> de </w:t>
            </w:r>
            <w:r w:rsidRPr="00EE6F33">
              <w:rPr>
                <w:rFonts w:ascii="ITC Avant Garde" w:hAnsi="ITC Avant Garde"/>
                <w:b/>
                <w:bCs/>
                <w:sz w:val="16"/>
                <w:szCs w:val="16"/>
              </w:rPr>
              <w:fldChar w:fldCharType="begin"/>
            </w:r>
            <w:r w:rsidRPr="00EE6F33">
              <w:rPr>
                <w:rFonts w:ascii="ITC Avant Garde" w:hAnsi="ITC Avant Garde"/>
                <w:b/>
                <w:bCs/>
                <w:sz w:val="16"/>
                <w:szCs w:val="16"/>
              </w:rPr>
              <w:instrText>NUMPAGES</w:instrText>
            </w:r>
            <w:r w:rsidRPr="00EE6F33">
              <w:rPr>
                <w:rFonts w:ascii="ITC Avant Garde" w:hAnsi="ITC Avant Garde"/>
                <w:b/>
                <w:bCs/>
                <w:sz w:val="16"/>
                <w:szCs w:val="16"/>
              </w:rPr>
              <w:fldChar w:fldCharType="separate"/>
            </w:r>
            <w:r w:rsidR="00885019">
              <w:rPr>
                <w:rFonts w:ascii="ITC Avant Garde" w:hAnsi="ITC Avant Garde"/>
                <w:b/>
                <w:bCs/>
                <w:noProof/>
                <w:sz w:val="16"/>
                <w:szCs w:val="16"/>
              </w:rPr>
              <w:t>8</w:t>
            </w:r>
            <w:r w:rsidRPr="00EE6F33">
              <w:rPr>
                <w:rFonts w:ascii="ITC Avant Garde" w:hAnsi="ITC Avant Garde"/>
                <w:b/>
                <w:bCs/>
                <w:sz w:val="16"/>
                <w:szCs w:val="16"/>
              </w:rPr>
              <w:fldChar w:fldCharType="end"/>
            </w:r>
          </w:p>
        </w:sdtContent>
      </w:sdt>
    </w:sdtContent>
  </w:sdt>
  <w:p w14:paraId="5E81DBD3" w14:textId="77777777" w:rsidR="00EE6F33" w:rsidRDefault="007D1C8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0BF91" w14:textId="77777777" w:rsidR="008202C7" w:rsidRDefault="008202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14C51" w14:textId="77777777" w:rsidR="007D1C88" w:rsidRDefault="007D1C88" w:rsidP="005A6DBC">
      <w:r>
        <w:separator/>
      </w:r>
    </w:p>
  </w:footnote>
  <w:footnote w:type="continuationSeparator" w:id="0">
    <w:p w14:paraId="65D236FC" w14:textId="77777777" w:rsidR="007D1C88" w:rsidRDefault="007D1C88" w:rsidP="005A6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A30F1" w14:textId="09B7A4E5" w:rsidR="009F523F" w:rsidRDefault="007D1C88">
    <w:pPr>
      <w:pStyle w:val="Encabezado"/>
    </w:pPr>
    <w:r>
      <w:rPr>
        <w:noProof/>
      </w:rPr>
      <w:pict w14:anchorId="35474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365391" o:spid="_x0000_s2056" type="#_x0000_t136" style="position:absolute;left:0;text-align:left;margin-left:0;margin-top:0;width:453.1pt;height:169.9pt;rotation:315;z-index:-251645952;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r>
      <w:rPr>
        <w:noProof/>
      </w:rPr>
      <w:pict w14:anchorId="6105A927">
        <v:shape id="_x0000_s2053" type="#_x0000_t136" style="position:absolute;left:0;text-align:left;margin-left:0;margin-top:0;width:453.1pt;height:169.9pt;rotation:315;z-index:-25165209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r w:rsidR="005A6DBC">
      <w:rPr>
        <w:noProof/>
        <w:lang w:eastAsia="es-MX"/>
      </w:rPr>
      <mc:AlternateContent>
        <mc:Choice Requires="wps">
          <w:drawing>
            <wp:anchor distT="0" distB="0" distL="114300" distR="114300" simplePos="0" relativeHeight="251659264" behindDoc="1" locked="0" layoutInCell="0" allowOverlap="1" wp14:anchorId="31372C5D" wp14:editId="2CADB48B">
              <wp:simplePos x="0" y="0"/>
              <wp:positionH relativeFrom="margin">
                <wp:align>center</wp:align>
              </wp:positionH>
              <wp:positionV relativeFrom="margin">
                <wp:align>center</wp:align>
              </wp:positionV>
              <wp:extent cx="6782435" cy="1130300"/>
              <wp:effectExtent l="0" t="1914525" r="0" b="2051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2435" cy="1130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09D389" w14:textId="77777777" w:rsidR="005A6DBC" w:rsidRDefault="005A6DBC" w:rsidP="005A6DBC">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372C5D" id="_x0000_t202" coordsize="21600,21600" o:spt="202" path="m,l,21600r21600,l21600,xe">
              <v:stroke joinstyle="miter"/>
              <v:path gradientshapeok="t" o:connecttype="rect"/>
            </v:shapetype>
            <v:shape id="Cuadro de texto 2" o:spid="_x0000_s1026" type="#_x0000_t202" style="position:absolute;left:0;text-align:left;margin-left:0;margin-top:0;width:534.05pt;height:8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" o:allowincell="f" filled="f" stroked="f">
              <v:stroke joinstyle="round"/>
              <o:lock v:ext="edit" shapetype="t"/>
              <v:textbox style="mso-fit-shape-to-text:t">
                <w:txbxContent>
                  <w:p w14:paraId="4F09D389" w14:textId="77777777" w:rsidR="005A6DBC" w:rsidRDefault="005A6DBC" w:rsidP="005A6DBC">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B3930" w14:textId="0DD55C69" w:rsidR="009F523F" w:rsidRDefault="007D1C88">
    <w:pPr>
      <w:pStyle w:val="Encabezado"/>
    </w:pPr>
    <w:r>
      <w:rPr>
        <w:noProof/>
      </w:rPr>
      <w:pict w14:anchorId="0D1C3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365392" o:spid="_x0000_s2057" type="#_x0000_t136" style="position:absolute;left:0;text-align:left;margin-left:0;margin-top:0;width:453.1pt;height:169.9pt;rotation:315;z-index:-251643904;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r>
      <w:rPr>
        <w:noProof/>
      </w:rPr>
      <w:pict w14:anchorId="1EF3FA49">
        <v:shape id="_x0000_s2054" type="#_x0000_t136" style="position:absolute;left:0;text-align:left;margin-left:0;margin-top:0;width:453.1pt;height:169.9pt;rotation:315;z-index:-25165004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r w:rsidR="005A6DBC">
      <w:rPr>
        <w:noProof/>
        <w:lang w:eastAsia="es-MX"/>
      </w:rPr>
      <mc:AlternateContent>
        <mc:Choice Requires="wps">
          <w:drawing>
            <wp:anchor distT="0" distB="0" distL="114300" distR="114300" simplePos="0" relativeHeight="251660288" behindDoc="1" locked="0" layoutInCell="0" allowOverlap="1" wp14:anchorId="10D5886E" wp14:editId="6ADFA97E">
              <wp:simplePos x="0" y="0"/>
              <wp:positionH relativeFrom="margin">
                <wp:align>center</wp:align>
              </wp:positionH>
              <wp:positionV relativeFrom="margin">
                <wp:align>center</wp:align>
              </wp:positionV>
              <wp:extent cx="6782435" cy="1130300"/>
              <wp:effectExtent l="0" t="1914525" r="0" b="2051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2435" cy="1130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7E2AF5" w14:textId="77777777" w:rsidR="005A6DBC" w:rsidRDefault="005A6DBC" w:rsidP="005A6DBC">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D5886E" id="_x0000_t202" coordsize="21600,21600" o:spt="202" path="m,l,21600r21600,l21600,xe">
              <v:stroke joinstyle="miter"/>
              <v:path gradientshapeok="t" o:connecttype="rect"/>
            </v:shapetype>
            <v:shape id="Cuadro de texto 1" o:spid="_x0000_s1027" type="#_x0000_t202" style="position:absolute;left:0;text-align:left;margin-left:0;margin-top:0;width:534.05pt;height:8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" o:allowincell="f" filled="f" stroked="f">
              <v:stroke joinstyle="round"/>
              <o:lock v:ext="edit" shapetype="t"/>
              <v:textbox style="mso-fit-shape-to-text:t">
                <w:txbxContent>
                  <w:p w14:paraId="287E2AF5" w14:textId="77777777" w:rsidR="005A6DBC" w:rsidRDefault="005A6DBC" w:rsidP="005A6DBC">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77039" w14:textId="259665A7" w:rsidR="009F523F" w:rsidRDefault="007D1C88">
    <w:pPr>
      <w:pStyle w:val="Encabezado"/>
    </w:pPr>
    <w:r>
      <w:rPr>
        <w:noProof/>
      </w:rPr>
      <w:pict w14:anchorId="1187E6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365390" o:spid="_x0000_s2055" type="#_x0000_t136" style="position:absolute;left:0;text-align:left;margin-left:0;margin-top:0;width:453.1pt;height:169.9pt;rotation:315;z-index:-25164800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701"/>
    <w:multiLevelType w:val="hybridMultilevel"/>
    <w:tmpl w:val="52562736"/>
    <w:lvl w:ilvl="0" w:tplc="BC6E40AC">
      <w:start w:val="1"/>
      <w:numFmt w:val="decimal"/>
      <w:lvlText w:val="%1."/>
      <w:lvlJc w:val="left"/>
      <w:pPr>
        <w:ind w:left="720" w:hanging="360"/>
      </w:pPr>
      <w:rPr>
        <w:rFonts w:ascii="ITC Avant Garde" w:eastAsiaTheme="minorEastAsia" w:hAnsi="ITC Avant Garde" w:cs="Arial"/>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9D1224"/>
    <w:multiLevelType w:val="hybridMultilevel"/>
    <w:tmpl w:val="586481B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C03BE7"/>
    <w:multiLevelType w:val="hybridMultilevel"/>
    <w:tmpl w:val="84703C22"/>
    <w:lvl w:ilvl="0" w:tplc="080A0013">
      <w:start w:val="1"/>
      <w:numFmt w:val="upperRoman"/>
      <w:lvlText w:val="%1."/>
      <w:lvlJc w:val="right"/>
      <w:pPr>
        <w:ind w:left="778" w:hanging="360"/>
      </w:pPr>
      <w:rPr>
        <w:rFonts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BC"/>
    <w:rsid w:val="00011EDB"/>
    <w:rsid w:val="0001767C"/>
    <w:rsid w:val="000201D8"/>
    <w:rsid w:val="00026FA6"/>
    <w:rsid w:val="00030E40"/>
    <w:rsid w:val="0004016D"/>
    <w:rsid w:val="000616E7"/>
    <w:rsid w:val="000A7CC2"/>
    <w:rsid w:val="000C6E07"/>
    <w:rsid w:val="000F7E87"/>
    <w:rsid w:val="0011667A"/>
    <w:rsid w:val="00137E0C"/>
    <w:rsid w:val="0014203B"/>
    <w:rsid w:val="001567A9"/>
    <w:rsid w:val="0016139E"/>
    <w:rsid w:val="00167369"/>
    <w:rsid w:val="00185FCC"/>
    <w:rsid w:val="001B41D8"/>
    <w:rsid w:val="001E62DC"/>
    <w:rsid w:val="00204A77"/>
    <w:rsid w:val="00256D9B"/>
    <w:rsid w:val="002625BD"/>
    <w:rsid w:val="002751A4"/>
    <w:rsid w:val="002C529C"/>
    <w:rsid w:val="002C6FAC"/>
    <w:rsid w:val="002D32FA"/>
    <w:rsid w:val="002E198D"/>
    <w:rsid w:val="00301320"/>
    <w:rsid w:val="00353D67"/>
    <w:rsid w:val="003751E7"/>
    <w:rsid w:val="00395BB9"/>
    <w:rsid w:val="003B361F"/>
    <w:rsid w:val="003C16A0"/>
    <w:rsid w:val="003D1549"/>
    <w:rsid w:val="003E2630"/>
    <w:rsid w:val="003E594E"/>
    <w:rsid w:val="0040029F"/>
    <w:rsid w:val="00400C84"/>
    <w:rsid w:val="00425913"/>
    <w:rsid w:val="004A0BA2"/>
    <w:rsid w:val="004B3961"/>
    <w:rsid w:val="004C1B54"/>
    <w:rsid w:val="004C3B37"/>
    <w:rsid w:val="004C7545"/>
    <w:rsid w:val="004D0F73"/>
    <w:rsid w:val="004F406B"/>
    <w:rsid w:val="005040F2"/>
    <w:rsid w:val="00511A6A"/>
    <w:rsid w:val="00517B3C"/>
    <w:rsid w:val="0053296E"/>
    <w:rsid w:val="00533949"/>
    <w:rsid w:val="00544BB2"/>
    <w:rsid w:val="00555CB8"/>
    <w:rsid w:val="00560D29"/>
    <w:rsid w:val="005628FF"/>
    <w:rsid w:val="005A49FD"/>
    <w:rsid w:val="005A6DBC"/>
    <w:rsid w:val="005B6035"/>
    <w:rsid w:val="005D3E45"/>
    <w:rsid w:val="00614BB3"/>
    <w:rsid w:val="006826B7"/>
    <w:rsid w:val="006A25CA"/>
    <w:rsid w:val="006A6F69"/>
    <w:rsid w:val="007565FD"/>
    <w:rsid w:val="00762283"/>
    <w:rsid w:val="007631B5"/>
    <w:rsid w:val="007B7D9B"/>
    <w:rsid w:val="007D1C88"/>
    <w:rsid w:val="007E6A9E"/>
    <w:rsid w:val="008202C7"/>
    <w:rsid w:val="00821CF3"/>
    <w:rsid w:val="00834D14"/>
    <w:rsid w:val="008420AA"/>
    <w:rsid w:val="00844C75"/>
    <w:rsid w:val="008662A0"/>
    <w:rsid w:val="00867EA3"/>
    <w:rsid w:val="00885019"/>
    <w:rsid w:val="008B276D"/>
    <w:rsid w:val="008C5042"/>
    <w:rsid w:val="008C7AD7"/>
    <w:rsid w:val="008C7B11"/>
    <w:rsid w:val="009137F1"/>
    <w:rsid w:val="00932D45"/>
    <w:rsid w:val="00946365"/>
    <w:rsid w:val="00986489"/>
    <w:rsid w:val="009E50AA"/>
    <w:rsid w:val="009F6A54"/>
    <w:rsid w:val="00A142E6"/>
    <w:rsid w:val="00A17089"/>
    <w:rsid w:val="00A21640"/>
    <w:rsid w:val="00A84618"/>
    <w:rsid w:val="00AD0FC7"/>
    <w:rsid w:val="00AD71ED"/>
    <w:rsid w:val="00B103E2"/>
    <w:rsid w:val="00B17970"/>
    <w:rsid w:val="00B21D10"/>
    <w:rsid w:val="00B21F4E"/>
    <w:rsid w:val="00B77E46"/>
    <w:rsid w:val="00C214D4"/>
    <w:rsid w:val="00C474D1"/>
    <w:rsid w:val="00C52ECB"/>
    <w:rsid w:val="00C6028B"/>
    <w:rsid w:val="00C63D09"/>
    <w:rsid w:val="00C716F8"/>
    <w:rsid w:val="00C73200"/>
    <w:rsid w:val="00CB48EA"/>
    <w:rsid w:val="00D27949"/>
    <w:rsid w:val="00D4399F"/>
    <w:rsid w:val="00D618CA"/>
    <w:rsid w:val="00D76D35"/>
    <w:rsid w:val="00D87EEC"/>
    <w:rsid w:val="00DE6A69"/>
    <w:rsid w:val="00E066C8"/>
    <w:rsid w:val="00E11F5D"/>
    <w:rsid w:val="00E227EB"/>
    <w:rsid w:val="00E51F72"/>
    <w:rsid w:val="00E5510C"/>
    <w:rsid w:val="00E930C2"/>
    <w:rsid w:val="00EB60B9"/>
    <w:rsid w:val="00EE63DD"/>
    <w:rsid w:val="00F05D59"/>
    <w:rsid w:val="00F27376"/>
    <w:rsid w:val="00F45ACF"/>
    <w:rsid w:val="00F544BE"/>
    <w:rsid w:val="00F7322A"/>
    <w:rsid w:val="00F83E45"/>
    <w:rsid w:val="00FA1E20"/>
    <w:rsid w:val="00FB0247"/>
    <w:rsid w:val="00FB38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200F1DD"/>
  <w15:chartTrackingRefBased/>
  <w15:docId w15:val="{910B6731-8BE3-4A15-8B6E-14C2BFF1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DBC"/>
    <w:pPr>
      <w:spacing w:after="0" w:line="240" w:lineRule="auto"/>
      <w:jc w:val="center"/>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link w:val="ROMANOSCar"/>
    <w:rsid w:val="005A6DBC"/>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5A6DBC"/>
    <w:pPr>
      <w:spacing w:before="101" w:after="101" w:line="216" w:lineRule="atLeast"/>
    </w:pPr>
    <w:rPr>
      <w:b/>
      <w:sz w:val="18"/>
      <w:szCs w:val="20"/>
      <w:lang w:val="es-ES_tradnl"/>
    </w:rPr>
  </w:style>
  <w:style w:type="character" w:customStyle="1" w:styleId="ROMANOSCar">
    <w:name w:val="ROMANOS Car"/>
    <w:link w:val="ROMANOS"/>
    <w:locked/>
    <w:rsid w:val="005A6DBC"/>
    <w:rPr>
      <w:rFonts w:ascii="Arial" w:eastAsiaTheme="minorEastAsia" w:hAnsi="Arial" w:cs="Arial"/>
      <w:sz w:val="18"/>
      <w:szCs w:val="18"/>
    </w:rPr>
  </w:style>
  <w:style w:type="character" w:customStyle="1" w:styleId="ANOTACIONCar">
    <w:name w:val="ANOTACION Car"/>
    <w:link w:val="ANOTACION"/>
    <w:locked/>
    <w:rsid w:val="005A6DBC"/>
    <w:rPr>
      <w:rFonts w:eastAsiaTheme="minorEastAsia"/>
      <w:b/>
      <w:sz w:val="18"/>
      <w:szCs w:val="20"/>
      <w:lang w:val="es-ES_tradnl"/>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5A6DBC"/>
    <w:pPr>
      <w:ind w:left="720"/>
      <w:contextualSpacing/>
    </w:pPr>
  </w:style>
  <w:style w:type="paragraph" w:customStyle="1" w:styleId="Default">
    <w:name w:val="Default"/>
    <w:rsid w:val="005A6DBC"/>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5A6DBC"/>
    <w:rPr>
      <w:rFonts w:eastAsiaTheme="minorEastAsia"/>
      <w:sz w:val="21"/>
      <w:szCs w:val="21"/>
    </w:rPr>
  </w:style>
  <w:style w:type="table" w:styleId="Tablaconcuadrcula">
    <w:name w:val="Table Grid"/>
    <w:basedOn w:val="Tablanormal"/>
    <w:uiPriority w:val="39"/>
    <w:rsid w:val="005A6D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TDC2"/>
    <w:next w:val="Normal"/>
    <w:autoRedefine/>
    <w:uiPriority w:val="39"/>
    <w:unhideWhenUsed/>
    <w:rsid w:val="005A6DBC"/>
    <w:pPr>
      <w:spacing w:after="0" w:line="276" w:lineRule="auto"/>
      <w:ind w:left="0"/>
    </w:pPr>
    <w:rPr>
      <w:rFonts w:ascii="Times New Roman" w:eastAsia="Calibri" w:hAnsi="Times New Roman" w:cs="Times New Roman"/>
      <w:noProof/>
      <w:sz w:val="20"/>
      <w:szCs w:val="22"/>
      <w:lang w:val="es-ES"/>
    </w:rPr>
  </w:style>
  <w:style w:type="paragraph" w:styleId="Encabezado">
    <w:name w:val="header"/>
    <w:basedOn w:val="Normal"/>
    <w:link w:val="EncabezadoCar"/>
    <w:uiPriority w:val="99"/>
    <w:unhideWhenUsed/>
    <w:rsid w:val="005A6DBC"/>
    <w:pPr>
      <w:tabs>
        <w:tab w:val="center" w:pos="4419"/>
        <w:tab w:val="right" w:pos="8838"/>
      </w:tabs>
    </w:pPr>
  </w:style>
  <w:style w:type="character" w:customStyle="1" w:styleId="EncabezadoCar">
    <w:name w:val="Encabezado Car"/>
    <w:basedOn w:val="Fuentedeprrafopredeter"/>
    <w:link w:val="Encabezado"/>
    <w:uiPriority w:val="99"/>
    <w:rsid w:val="005A6DBC"/>
    <w:rPr>
      <w:rFonts w:eastAsiaTheme="minorEastAsia"/>
      <w:sz w:val="21"/>
      <w:szCs w:val="21"/>
    </w:rPr>
  </w:style>
  <w:style w:type="paragraph" w:styleId="Piedepgina">
    <w:name w:val="footer"/>
    <w:basedOn w:val="Normal"/>
    <w:link w:val="PiedepginaCar"/>
    <w:uiPriority w:val="99"/>
    <w:unhideWhenUsed/>
    <w:rsid w:val="005A6DBC"/>
    <w:pPr>
      <w:tabs>
        <w:tab w:val="center" w:pos="4419"/>
        <w:tab w:val="right" w:pos="8838"/>
      </w:tabs>
    </w:pPr>
  </w:style>
  <w:style w:type="character" w:customStyle="1" w:styleId="PiedepginaCar">
    <w:name w:val="Pie de página Car"/>
    <w:basedOn w:val="Fuentedeprrafopredeter"/>
    <w:link w:val="Piedepgina"/>
    <w:uiPriority w:val="99"/>
    <w:rsid w:val="005A6DBC"/>
    <w:rPr>
      <w:rFonts w:eastAsiaTheme="minorEastAsia"/>
      <w:sz w:val="21"/>
      <w:szCs w:val="21"/>
    </w:rPr>
  </w:style>
  <w:style w:type="paragraph" w:styleId="TDC2">
    <w:name w:val="toc 2"/>
    <w:basedOn w:val="Normal"/>
    <w:next w:val="Normal"/>
    <w:autoRedefine/>
    <w:uiPriority w:val="39"/>
    <w:semiHidden/>
    <w:unhideWhenUsed/>
    <w:rsid w:val="005A6DBC"/>
    <w:pPr>
      <w:spacing w:after="100"/>
      <w:ind w:left="210"/>
    </w:pPr>
  </w:style>
  <w:style w:type="paragraph" w:styleId="NormalWeb">
    <w:name w:val="Normal (Web)"/>
    <w:basedOn w:val="Normal"/>
    <w:uiPriority w:val="99"/>
    <w:semiHidden/>
    <w:unhideWhenUsed/>
    <w:rsid w:val="005A6DBC"/>
    <w:pPr>
      <w:spacing w:before="100" w:beforeAutospacing="1" w:after="100" w:afterAutospacing="1"/>
      <w:jc w:val="left"/>
    </w:pPr>
    <w:rPr>
      <w:rFonts w:ascii="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673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7369"/>
    <w:rPr>
      <w:rFonts w:ascii="Segoe UI" w:eastAsiaTheme="minorEastAsia" w:hAnsi="Segoe UI" w:cs="Segoe UI"/>
      <w:sz w:val="18"/>
      <w:szCs w:val="18"/>
    </w:rPr>
  </w:style>
  <w:style w:type="character" w:styleId="Refdecomentario">
    <w:name w:val="annotation reference"/>
    <w:basedOn w:val="Fuentedeprrafopredeter"/>
    <w:uiPriority w:val="99"/>
    <w:semiHidden/>
    <w:unhideWhenUsed/>
    <w:rsid w:val="00030E40"/>
    <w:rPr>
      <w:sz w:val="16"/>
      <w:szCs w:val="16"/>
    </w:rPr>
  </w:style>
  <w:style w:type="paragraph" w:styleId="Textocomentario">
    <w:name w:val="annotation text"/>
    <w:basedOn w:val="Normal"/>
    <w:link w:val="TextocomentarioCar"/>
    <w:uiPriority w:val="99"/>
    <w:unhideWhenUsed/>
    <w:rsid w:val="00030E40"/>
    <w:rPr>
      <w:sz w:val="20"/>
      <w:szCs w:val="20"/>
    </w:rPr>
  </w:style>
  <w:style w:type="character" w:customStyle="1" w:styleId="TextocomentarioCar">
    <w:name w:val="Texto comentario Car"/>
    <w:basedOn w:val="Fuentedeprrafopredeter"/>
    <w:link w:val="Textocomentario"/>
    <w:uiPriority w:val="99"/>
    <w:rsid w:val="00030E40"/>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030E40"/>
    <w:rPr>
      <w:b/>
      <w:bCs/>
    </w:rPr>
  </w:style>
  <w:style w:type="character" w:customStyle="1" w:styleId="AsuntodelcomentarioCar">
    <w:name w:val="Asunto del comentario Car"/>
    <w:basedOn w:val="TextocomentarioCar"/>
    <w:link w:val="Asuntodelcomentario"/>
    <w:uiPriority w:val="99"/>
    <w:semiHidden/>
    <w:rsid w:val="00030E40"/>
    <w:rPr>
      <w:rFonts w:eastAsiaTheme="minorEastAsia"/>
      <w:b/>
      <w:bCs/>
      <w:sz w:val="20"/>
      <w:szCs w:val="20"/>
    </w:rPr>
  </w:style>
  <w:style w:type="character" w:styleId="Hipervnculo">
    <w:name w:val="Hyperlink"/>
    <w:basedOn w:val="Fuentedeprrafopredeter"/>
    <w:uiPriority w:val="99"/>
    <w:unhideWhenUsed/>
    <w:rsid w:val="008662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48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EE1D1-7A40-4369-BDCD-B7F6C7C8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3770</Words>
  <Characters>20735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Jane Fuentes Burbano</dc:creator>
  <cp:keywords/>
  <dc:description/>
  <cp:lastModifiedBy>Elizabeth Jane Fuentes Burbano</cp:lastModifiedBy>
  <cp:revision>3</cp:revision>
  <dcterms:created xsi:type="dcterms:W3CDTF">2019-10-16T18:03:00Z</dcterms:created>
  <dcterms:modified xsi:type="dcterms:W3CDTF">2019-10-16T18:05:00Z</dcterms:modified>
</cp:coreProperties>
</file>