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EB" w:rsidRPr="006C7A79" w:rsidRDefault="00836AEB" w:rsidP="00873106">
      <w:pPr>
        <w:widowControl w:val="0"/>
        <w:autoSpaceDE w:val="0"/>
        <w:autoSpaceDN w:val="0"/>
        <w:spacing w:after="0" w:line="240" w:lineRule="auto"/>
        <w:jc w:val="both"/>
        <w:outlineLvl w:val="1"/>
        <w:rPr>
          <w:rFonts w:ascii="ITC Avant Garde" w:eastAsia="Arial" w:hAnsi="ITC Avant Garde" w:cs="Arial"/>
          <w:b/>
          <w:bCs/>
          <w:sz w:val="24"/>
          <w:szCs w:val="24"/>
          <w:lang w:val="en-US"/>
        </w:rPr>
      </w:pPr>
    </w:p>
    <w:p w:rsidR="00CA26ED" w:rsidRPr="006C7A79" w:rsidRDefault="00CA54E5" w:rsidP="00873106">
      <w:pPr>
        <w:widowControl w:val="0"/>
        <w:autoSpaceDE w:val="0"/>
        <w:autoSpaceDN w:val="0"/>
        <w:spacing w:after="0" w:line="240" w:lineRule="auto"/>
        <w:jc w:val="both"/>
        <w:outlineLvl w:val="1"/>
        <w:rPr>
          <w:rFonts w:ascii="ITC Avant Garde" w:eastAsia="Arial" w:hAnsi="ITC Avant Garde" w:cs="Arial"/>
          <w:b/>
          <w:bCs/>
          <w:sz w:val="24"/>
          <w:szCs w:val="24"/>
        </w:rPr>
      </w:pPr>
      <w:r>
        <w:rPr>
          <w:rFonts w:ascii="ITC Avant Garde" w:eastAsia="Arial" w:hAnsi="ITC Avant Garde" w:cs="Arial"/>
          <w:b/>
          <w:bCs/>
          <w:sz w:val="24"/>
          <w:szCs w:val="24"/>
        </w:rPr>
        <w:t xml:space="preserve">ACUERDO </w:t>
      </w:r>
      <w:r w:rsidR="00B00B8F" w:rsidRPr="006C7A79">
        <w:rPr>
          <w:rFonts w:ascii="ITC Avant Garde" w:eastAsia="Arial" w:hAnsi="ITC Avant Garde" w:cs="Arial"/>
          <w:b/>
          <w:bCs/>
          <w:sz w:val="24"/>
          <w:szCs w:val="24"/>
        </w:rPr>
        <w:t>MEDIANTE EL CUAL EL PLENO DEL INSTITUTO FEDERAL DE TELECOMUNICACIONES MODIFICA</w:t>
      </w:r>
      <w:r>
        <w:rPr>
          <w:rFonts w:ascii="ITC Avant Garde" w:eastAsia="Arial" w:hAnsi="ITC Avant Garde" w:cs="Arial"/>
          <w:b/>
          <w:bCs/>
          <w:sz w:val="24"/>
          <w:szCs w:val="24"/>
        </w:rPr>
        <w:t xml:space="preserve"> </w:t>
      </w:r>
      <w:r w:rsidR="00B00B8F" w:rsidRPr="006C7A79">
        <w:rPr>
          <w:rFonts w:ascii="ITC Avant Garde" w:eastAsia="Arial" w:hAnsi="ITC Avant Garde" w:cs="Arial"/>
          <w:b/>
          <w:bCs/>
          <w:sz w:val="24"/>
          <w:szCs w:val="24"/>
        </w:rPr>
        <w:t>EL PLAN</w:t>
      </w:r>
      <w:r>
        <w:rPr>
          <w:rFonts w:ascii="ITC Avant Garde" w:eastAsia="Arial" w:hAnsi="ITC Avant Garde" w:cs="Arial"/>
          <w:b/>
          <w:bCs/>
          <w:sz w:val="24"/>
          <w:szCs w:val="24"/>
        </w:rPr>
        <w:t xml:space="preserve"> </w:t>
      </w:r>
      <w:r w:rsidR="00B00B8F" w:rsidRPr="006C7A79">
        <w:rPr>
          <w:rFonts w:ascii="ITC Avant Garde" w:eastAsia="Arial" w:hAnsi="ITC Avant Garde" w:cs="Arial"/>
          <w:b/>
          <w:bCs/>
          <w:sz w:val="24"/>
          <w:szCs w:val="24"/>
        </w:rPr>
        <w:t xml:space="preserve">TÉCNICO FUNDAMENTAL DE NUMERACIÓN, PUBLICADO EN EL DIARIO OFICIAL DE LA FEDERACIÓN EL 11 DE </w:t>
      </w:r>
      <w:r w:rsidR="00E8627E" w:rsidRPr="006C7A79">
        <w:rPr>
          <w:rFonts w:ascii="ITC Avant Garde" w:eastAsia="Arial" w:hAnsi="ITC Avant Garde" w:cs="Arial"/>
          <w:b/>
          <w:bCs/>
          <w:sz w:val="24"/>
          <w:szCs w:val="24"/>
        </w:rPr>
        <w:t>MAYO</w:t>
      </w:r>
      <w:r w:rsidR="00B00B8F" w:rsidRPr="006C7A79">
        <w:rPr>
          <w:rFonts w:ascii="ITC Avant Garde" w:eastAsia="Arial" w:hAnsi="ITC Avant Garde" w:cs="Arial"/>
          <w:b/>
          <w:bCs/>
          <w:sz w:val="24"/>
          <w:szCs w:val="24"/>
        </w:rPr>
        <w:t xml:space="preserve"> DE 2018.</w:t>
      </w:r>
    </w:p>
    <w:p w:rsidR="00B00B8F" w:rsidRPr="006C7A79" w:rsidRDefault="00B00B8F" w:rsidP="00873106">
      <w:pPr>
        <w:widowControl w:val="0"/>
        <w:autoSpaceDE w:val="0"/>
        <w:autoSpaceDN w:val="0"/>
        <w:spacing w:after="0" w:line="240" w:lineRule="auto"/>
        <w:jc w:val="both"/>
        <w:outlineLvl w:val="1"/>
        <w:rPr>
          <w:rFonts w:ascii="ITC Avant Garde" w:eastAsia="Arial" w:hAnsi="ITC Avant Garde" w:cs="Arial"/>
          <w:b/>
          <w:bCs/>
          <w:sz w:val="24"/>
          <w:szCs w:val="24"/>
        </w:rPr>
      </w:pPr>
    </w:p>
    <w:p w:rsidR="00477D19" w:rsidRPr="006C7A79" w:rsidRDefault="00477D19" w:rsidP="00873106">
      <w:pPr>
        <w:widowControl w:val="0"/>
        <w:autoSpaceDE w:val="0"/>
        <w:autoSpaceDN w:val="0"/>
        <w:spacing w:after="0" w:line="240" w:lineRule="auto"/>
        <w:jc w:val="center"/>
        <w:outlineLvl w:val="1"/>
        <w:rPr>
          <w:rFonts w:ascii="ITC Avant Garde" w:eastAsia="Arial" w:hAnsi="ITC Avant Garde" w:cs="Arial"/>
          <w:b/>
          <w:bCs/>
          <w:sz w:val="24"/>
          <w:szCs w:val="24"/>
          <w:lang w:val="en-US"/>
        </w:rPr>
      </w:pPr>
      <w:r w:rsidRPr="006C7A79">
        <w:rPr>
          <w:rFonts w:ascii="ITC Avant Garde" w:eastAsia="Arial" w:hAnsi="ITC Avant Garde" w:cs="Arial"/>
          <w:b/>
          <w:bCs/>
          <w:sz w:val="24"/>
          <w:szCs w:val="24"/>
          <w:lang w:val="en-US"/>
        </w:rPr>
        <w:t>ANTECEDENTES</w:t>
      </w:r>
    </w:p>
    <w:p w:rsidR="00CA26ED" w:rsidRPr="006C7A79" w:rsidRDefault="00CA26ED" w:rsidP="00873106">
      <w:pPr>
        <w:widowControl w:val="0"/>
        <w:autoSpaceDE w:val="0"/>
        <w:autoSpaceDN w:val="0"/>
        <w:spacing w:after="0" w:line="240" w:lineRule="auto"/>
        <w:outlineLvl w:val="1"/>
        <w:rPr>
          <w:rFonts w:ascii="ITC Avant Garde" w:eastAsia="Arial" w:hAnsi="ITC Avant Garde" w:cs="Arial"/>
          <w:b/>
          <w:bCs/>
          <w:sz w:val="24"/>
          <w:szCs w:val="24"/>
          <w:lang w:val="en-US"/>
        </w:rPr>
      </w:pPr>
    </w:p>
    <w:p w:rsidR="00B822D2" w:rsidRPr="006C7A79" w:rsidRDefault="00B822D2"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6C7A79">
        <w:rPr>
          <w:rFonts w:ascii="ITC Avant Garde" w:eastAsia="Arial" w:hAnsi="ITC Avant Garde" w:cs="Arial"/>
          <w:sz w:val="24"/>
          <w:szCs w:val="24"/>
        </w:rPr>
        <w:t xml:space="preserve">El 21 de junio de 1996 se publicó en el Diario Oficial </w:t>
      </w:r>
      <w:r w:rsidR="00A214C4">
        <w:rPr>
          <w:rFonts w:ascii="ITC Avant Garde" w:eastAsia="Arial" w:hAnsi="ITC Avant Garde" w:cs="Arial"/>
          <w:sz w:val="24"/>
          <w:szCs w:val="24"/>
        </w:rPr>
        <w:t>de la Federación (el “DOF”)</w:t>
      </w:r>
      <w:r w:rsidR="00C76F6A">
        <w:rPr>
          <w:rFonts w:ascii="ITC Avant Garde" w:eastAsia="Arial" w:hAnsi="ITC Avant Garde" w:cs="Arial"/>
          <w:sz w:val="24"/>
          <w:szCs w:val="24"/>
        </w:rPr>
        <w:t>,</w:t>
      </w:r>
      <w:r w:rsidR="00A214C4">
        <w:rPr>
          <w:rFonts w:ascii="ITC Avant Garde" w:eastAsia="Arial" w:hAnsi="ITC Avant Garde" w:cs="Arial"/>
          <w:sz w:val="24"/>
          <w:szCs w:val="24"/>
        </w:rPr>
        <w:t xml:space="preserve"> el </w:t>
      </w:r>
      <w:r w:rsidRPr="006C7A79">
        <w:rPr>
          <w:rFonts w:ascii="ITC Avant Garde" w:eastAsia="Arial" w:hAnsi="ITC Avant Garde" w:cs="Arial"/>
          <w:sz w:val="24"/>
          <w:szCs w:val="24"/>
        </w:rPr>
        <w:t>Plan Técnico Fundamental de Numeración (el “PTFN de 1996”).</w:t>
      </w:r>
    </w:p>
    <w:p w:rsidR="00B822D2" w:rsidRPr="006C7A79" w:rsidRDefault="00B822D2" w:rsidP="00873106">
      <w:pPr>
        <w:widowControl w:val="0"/>
        <w:tabs>
          <w:tab w:val="left" w:pos="860"/>
        </w:tabs>
        <w:autoSpaceDE w:val="0"/>
        <w:autoSpaceDN w:val="0"/>
        <w:spacing w:after="0" w:line="240" w:lineRule="auto"/>
        <w:jc w:val="both"/>
        <w:rPr>
          <w:rFonts w:ascii="ITC Avant Garde" w:eastAsia="Arial" w:hAnsi="ITC Avant Garde" w:cs="Arial"/>
          <w:sz w:val="24"/>
          <w:szCs w:val="24"/>
        </w:rPr>
      </w:pPr>
    </w:p>
    <w:p w:rsidR="00477D19" w:rsidRPr="006C7A79" w:rsidRDefault="00477D19"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6C7A79">
        <w:rPr>
          <w:rFonts w:ascii="ITC Avant Garde" w:eastAsia="Arial" w:hAnsi="ITC Avant Garde" w:cs="Arial"/>
          <w:sz w:val="24"/>
          <w:szCs w:val="24"/>
        </w:rPr>
        <w:t>El 11 de junio de 2013 se publicó en el D</w:t>
      </w:r>
      <w:r w:rsidR="00B822D2" w:rsidRPr="006C7A79">
        <w:rPr>
          <w:rFonts w:ascii="ITC Avant Garde" w:eastAsia="Arial" w:hAnsi="ITC Avant Garde" w:cs="Arial"/>
          <w:sz w:val="24"/>
          <w:szCs w:val="24"/>
        </w:rPr>
        <w:t>OF</w:t>
      </w:r>
      <w:r w:rsidR="00C33DF9" w:rsidRPr="006C7A79">
        <w:rPr>
          <w:rFonts w:ascii="ITC Avant Garde" w:eastAsia="Arial" w:hAnsi="ITC Avant Garde" w:cs="Arial"/>
          <w:sz w:val="24"/>
          <w:szCs w:val="24"/>
        </w:rPr>
        <w:t xml:space="preserve"> </w:t>
      </w:r>
      <w:r w:rsidRPr="006C7A79">
        <w:rPr>
          <w:rFonts w:ascii="ITC Avant Garde" w:eastAsia="Arial" w:hAnsi="ITC Avant Garde" w:cs="Arial"/>
          <w:sz w:val="24"/>
          <w:szCs w:val="24"/>
        </w:rPr>
        <w:t>el “</w:t>
      </w:r>
      <w:r w:rsidRPr="006C7A79">
        <w:rPr>
          <w:rFonts w:ascii="ITC Avant Garde" w:eastAsia="Arial" w:hAnsi="ITC Avant Garde" w:cs="Arial"/>
          <w:i/>
          <w:sz w:val="24"/>
          <w:szCs w:val="24"/>
        </w:rPr>
        <w:t>Decreto por el que se reforman y adicionan diversas disposiciones de los artículos 6, 7, 27, 28, 73, 78, 94 y 105 de la Constitución Política de los Estados Unidos Mexicanos, en materia de telecomunicaciones</w:t>
      </w:r>
      <w:r w:rsidR="00094D2D" w:rsidRPr="006C7A79">
        <w:rPr>
          <w:rFonts w:ascii="ITC Avant Garde" w:eastAsia="Arial" w:hAnsi="ITC Avant Garde" w:cs="Arial"/>
          <w:sz w:val="24"/>
          <w:szCs w:val="24"/>
        </w:rPr>
        <w:t>”</w:t>
      </w:r>
      <w:r w:rsidRPr="006C7A79">
        <w:rPr>
          <w:rFonts w:ascii="ITC Avant Garde" w:eastAsia="Arial" w:hAnsi="ITC Avant Garde" w:cs="Arial"/>
          <w:sz w:val="24"/>
          <w:szCs w:val="24"/>
        </w:rPr>
        <w:t>, mediante el cual</w:t>
      </w:r>
      <w:bookmarkStart w:id="0" w:name="_GoBack"/>
      <w:bookmarkEnd w:id="0"/>
      <w:r w:rsidRPr="006C7A79">
        <w:rPr>
          <w:rFonts w:ascii="ITC Avant Garde" w:eastAsia="Arial" w:hAnsi="ITC Avant Garde" w:cs="Arial"/>
          <w:sz w:val="24"/>
          <w:szCs w:val="24"/>
        </w:rPr>
        <w:t xml:space="preserve"> se creó el Instituto Federal de Telecomunicaciones (el “Instituto”), como un órgano autónomo con personalidad jurídica y patrimonio propios, cuyo objeto es el desarrollo eficiente de la radiodifusión y las telecomunicaciones conforme a lo dispuesto </w:t>
      </w:r>
      <w:r w:rsidR="00C76F6A">
        <w:rPr>
          <w:rFonts w:ascii="ITC Avant Garde" w:eastAsia="Arial" w:hAnsi="ITC Avant Garde" w:cs="Arial"/>
          <w:sz w:val="24"/>
          <w:szCs w:val="24"/>
        </w:rPr>
        <w:t>por</w:t>
      </w:r>
      <w:r w:rsidRPr="006C7A79">
        <w:rPr>
          <w:rFonts w:ascii="ITC Avant Garde" w:eastAsia="Arial" w:hAnsi="ITC Avant Garde" w:cs="Arial"/>
          <w:sz w:val="24"/>
          <w:szCs w:val="24"/>
        </w:rPr>
        <w:t xml:space="preserve">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w:t>
      </w:r>
      <w:r w:rsidRPr="006C7A79">
        <w:rPr>
          <w:rFonts w:ascii="ITC Avant Garde" w:eastAsia="Arial" w:hAnsi="ITC Avant Garde" w:cs="Arial"/>
          <w:spacing w:val="-1"/>
          <w:sz w:val="24"/>
          <w:szCs w:val="24"/>
        </w:rPr>
        <w:t xml:space="preserve"> </w:t>
      </w:r>
      <w:r w:rsidRPr="006C7A79">
        <w:rPr>
          <w:rFonts w:ascii="ITC Avant Garde" w:eastAsia="Arial" w:hAnsi="ITC Avant Garde" w:cs="Arial"/>
          <w:sz w:val="24"/>
          <w:szCs w:val="24"/>
        </w:rPr>
        <w:t>Constitución.</w:t>
      </w:r>
    </w:p>
    <w:p w:rsidR="00477D19" w:rsidRPr="006C7A79" w:rsidRDefault="00477D19" w:rsidP="00873106">
      <w:pPr>
        <w:widowControl w:val="0"/>
        <w:autoSpaceDE w:val="0"/>
        <w:autoSpaceDN w:val="0"/>
        <w:spacing w:after="0" w:line="240" w:lineRule="auto"/>
        <w:jc w:val="both"/>
        <w:rPr>
          <w:rFonts w:ascii="ITC Avant Garde" w:eastAsia="Arial" w:hAnsi="ITC Avant Garde" w:cs="Arial"/>
          <w:sz w:val="24"/>
          <w:szCs w:val="24"/>
        </w:rPr>
      </w:pPr>
    </w:p>
    <w:p w:rsidR="00477D19" w:rsidRPr="006C7A79" w:rsidRDefault="00477D19"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6C7A79">
        <w:rPr>
          <w:rFonts w:ascii="ITC Avant Garde" w:eastAsia="Arial" w:hAnsi="ITC Avant Garde" w:cs="Arial"/>
          <w:sz w:val="24"/>
          <w:szCs w:val="24"/>
        </w:rPr>
        <w:t>El 14 de julio de 2014 se publicó en el DOF el “</w:t>
      </w:r>
      <w:r w:rsidRPr="006C7A79">
        <w:rPr>
          <w:rFonts w:ascii="ITC Avant Garde" w:eastAsia="Arial" w:hAnsi="ITC Avant Garde" w:cs="Arial"/>
          <w:i/>
          <w:sz w:val="24"/>
          <w:szCs w:val="24"/>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C7A79">
        <w:rPr>
          <w:rFonts w:ascii="ITC Avant Garde" w:eastAsia="Arial" w:hAnsi="ITC Avant Garde" w:cs="Arial"/>
          <w:sz w:val="24"/>
          <w:szCs w:val="24"/>
        </w:rPr>
        <w:t>” (la “Ley”), mismo que en términos de lo dispuesto por su artículo Primero Transitorio, entró en vigor a los 30 (treinta) días naturales posteriores a su publicación, es decir, el 13 de agosto de</w:t>
      </w:r>
      <w:r w:rsidRPr="006C7A79">
        <w:rPr>
          <w:rFonts w:ascii="ITC Avant Garde" w:eastAsia="Arial" w:hAnsi="ITC Avant Garde" w:cs="Arial"/>
          <w:spacing w:val="-2"/>
          <w:sz w:val="24"/>
          <w:szCs w:val="24"/>
        </w:rPr>
        <w:t xml:space="preserve"> </w:t>
      </w:r>
      <w:r w:rsidRPr="006C7A79">
        <w:rPr>
          <w:rFonts w:ascii="ITC Avant Garde" w:eastAsia="Arial" w:hAnsi="ITC Avant Garde" w:cs="Arial"/>
          <w:sz w:val="24"/>
          <w:szCs w:val="24"/>
        </w:rPr>
        <w:t>2014.</w:t>
      </w:r>
    </w:p>
    <w:p w:rsidR="00404536" w:rsidRPr="006C7A79" w:rsidRDefault="00404536" w:rsidP="00873106">
      <w:pPr>
        <w:widowControl w:val="0"/>
        <w:tabs>
          <w:tab w:val="left" w:pos="860"/>
        </w:tabs>
        <w:autoSpaceDE w:val="0"/>
        <w:autoSpaceDN w:val="0"/>
        <w:spacing w:after="0" w:line="240" w:lineRule="auto"/>
        <w:jc w:val="both"/>
        <w:rPr>
          <w:rFonts w:ascii="ITC Avant Garde" w:eastAsia="Arial" w:hAnsi="ITC Avant Garde" w:cs="Arial"/>
          <w:sz w:val="24"/>
          <w:szCs w:val="24"/>
        </w:rPr>
      </w:pPr>
    </w:p>
    <w:p w:rsidR="00477D19" w:rsidRDefault="00477D19"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6C7A79">
        <w:rPr>
          <w:rFonts w:ascii="ITC Avant Garde" w:eastAsia="Arial" w:hAnsi="ITC Avant Garde" w:cs="Arial"/>
          <w:sz w:val="24"/>
          <w:szCs w:val="24"/>
        </w:rPr>
        <w:t>El 4 de septiembre de 2014 se publicó en el DOF el “</w:t>
      </w:r>
      <w:r w:rsidRPr="006C7A79">
        <w:rPr>
          <w:rFonts w:ascii="ITC Avant Garde" w:eastAsia="Arial" w:hAnsi="ITC Avant Garde" w:cs="Arial"/>
          <w:i/>
          <w:sz w:val="24"/>
          <w:szCs w:val="24"/>
        </w:rPr>
        <w:t xml:space="preserve">Estatuto Orgánico del Instituto Federal </w:t>
      </w:r>
      <w:r w:rsidRPr="006C7A79">
        <w:rPr>
          <w:rFonts w:ascii="ITC Avant Garde" w:eastAsia="Arial" w:hAnsi="ITC Avant Garde" w:cs="Arial"/>
          <w:i/>
          <w:spacing w:val="-3"/>
          <w:sz w:val="24"/>
          <w:szCs w:val="24"/>
        </w:rPr>
        <w:t xml:space="preserve">de </w:t>
      </w:r>
      <w:r w:rsidRPr="006C7A79">
        <w:rPr>
          <w:rFonts w:ascii="ITC Avant Garde" w:eastAsia="Arial" w:hAnsi="ITC Avant Garde" w:cs="Arial"/>
          <w:i/>
          <w:sz w:val="24"/>
          <w:szCs w:val="24"/>
        </w:rPr>
        <w:t>Telecomunicaciones</w:t>
      </w:r>
      <w:r w:rsidRPr="006C7A79">
        <w:rPr>
          <w:rFonts w:ascii="ITC Avant Garde" w:eastAsia="Arial" w:hAnsi="ITC Avant Garde" w:cs="Arial"/>
          <w:sz w:val="24"/>
          <w:szCs w:val="24"/>
        </w:rPr>
        <w:t>” (el “Estatuto Orgánico”), mismo que entró en vigor el 26 de septiembre de 2014</w:t>
      </w:r>
      <w:r w:rsidR="00467C23" w:rsidRPr="006C7A79">
        <w:rPr>
          <w:rFonts w:ascii="ITC Avant Garde" w:eastAsia="Arial" w:hAnsi="ITC Avant Garde" w:cs="Arial"/>
          <w:sz w:val="24"/>
          <w:szCs w:val="24"/>
        </w:rPr>
        <w:t xml:space="preserve"> y cuya modificación más reciente se publicó en el DOF el 7 de diciembre de 2018</w:t>
      </w:r>
      <w:r w:rsidR="00C963FC" w:rsidRPr="006C7A79">
        <w:rPr>
          <w:rFonts w:ascii="ITC Avant Garde" w:eastAsia="Arial" w:hAnsi="ITC Avant Garde" w:cs="Arial"/>
          <w:sz w:val="24"/>
          <w:szCs w:val="24"/>
        </w:rPr>
        <w:t>.</w:t>
      </w:r>
    </w:p>
    <w:p w:rsidR="00DA25CE" w:rsidRDefault="00DA25CE" w:rsidP="00DA25CE">
      <w:pPr>
        <w:pStyle w:val="Prrafodelista"/>
        <w:rPr>
          <w:rFonts w:ascii="ITC Avant Garde" w:eastAsia="Arial" w:hAnsi="ITC Avant Garde" w:cs="Arial"/>
          <w:sz w:val="24"/>
          <w:szCs w:val="24"/>
        </w:rPr>
      </w:pPr>
    </w:p>
    <w:p w:rsidR="00DA25CE" w:rsidRPr="006C7A79" w:rsidRDefault="00DA25CE" w:rsidP="00DA25CE">
      <w:pPr>
        <w:widowControl w:val="0"/>
        <w:tabs>
          <w:tab w:val="left" w:pos="860"/>
        </w:tabs>
        <w:autoSpaceDE w:val="0"/>
        <w:autoSpaceDN w:val="0"/>
        <w:spacing w:after="0" w:line="240" w:lineRule="auto"/>
        <w:jc w:val="both"/>
        <w:rPr>
          <w:rFonts w:ascii="ITC Avant Garde" w:eastAsia="Arial" w:hAnsi="ITC Avant Garde" w:cs="Arial"/>
          <w:sz w:val="24"/>
          <w:szCs w:val="24"/>
        </w:rPr>
      </w:pPr>
    </w:p>
    <w:p w:rsidR="00404536" w:rsidRPr="006C7A79" w:rsidRDefault="00404536" w:rsidP="00873106">
      <w:pPr>
        <w:widowControl w:val="0"/>
        <w:tabs>
          <w:tab w:val="left" w:pos="860"/>
        </w:tabs>
        <w:autoSpaceDE w:val="0"/>
        <w:autoSpaceDN w:val="0"/>
        <w:spacing w:after="0" w:line="240" w:lineRule="auto"/>
        <w:jc w:val="both"/>
        <w:rPr>
          <w:rFonts w:ascii="ITC Avant Garde" w:eastAsia="Arial" w:hAnsi="ITC Avant Garde" w:cs="Arial"/>
          <w:sz w:val="24"/>
          <w:szCs w:val="24"/>
        </w:rPr>
      </w:pPr>
    </w:p>
    <w:p w:rsidR="00EE1C71" w:rsidRPr="006C7A79" w:rsidRDefault="00EE1C71"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i/>
          <w:sz w:val="24"/>
          <w:szCs w:val="24"/>
        </w:rPr>
      </w:pPr>
      <w:r w:rsidRPr="006C7A79">
        <w:rPr>
          <w:rFonts w:ascii="ITC Avant Garde" w:eastAsia="Times New Roman" w:hAnsi="ITC Avant Garde" w:cs="Arial"/>
          <w:kern w:val="2"/>
          <w:sz w:val="24"/>
          <w:szCs w:val="24"/>
          <w:lang w:val="es-ES_tradnl" w:eastAsia="ar-SA"/>
        </w:rPr>
        <w:lastRenderedPageBreak/>
        <w:t xml:space="preserve">Del 1 de julio al 11 de agosto de 2016, el Instituto sometió a consulta pública en su portal de Internet el </w:t>
      </w:r>
      <w:r w:rsidRPr="006C7A79">
        <w:rPr>
          <w:rFonts w:ascii="ITC Avant Garde" w:eastAsia="Times New Roman" w:hAnsi="ITC Avant Garde" w:cs="Arial"/>
          <w:i/>
          <w:kern w:val="2"/>
          <w:sz w:val="24"/>
          <w:szCs w:val="24"/>
          <w:lang w:val="es-ES_tradnl" w:eastAsia="ar-SA"/>
        </w:rPr>
        <w:t xml:space="preserve">“Anteproyecto de Planes Técnicos Fundamentales de Numeración y </w:t>
      </w:r>
      <w:r w:rsidR="00C76F6A">
        <w:rPr>
          <w:rFonts w:ascii="ITC Avant Garde" w:eastAsia="Times New Roman" w:hAnsi="ITC Avant Garde" w:cs="Arial"/>
          <w:i/>
          <w:kern w:val="2"/>
          <w:sz w:val="24"/>
          <w:szCs w:val="24"/>
          <w:lang w:val="es-ES_tradnl" w:eastAsia="ar-SA"/>
        </w:rPr>
        <w:t xml:space="preserve">de </w:t>
      </w:r>
      <w:r w:rsidRPr="006C7A79">
        <w:rPr>
          <w:rFonts w:ascii="ITC Avant Garde" w:eastAsia="Times New Roman" w:hAnsi="ITC Avant Garde" w:cs="Arial"/>
          <w:i/>
          <w:kern w:val="2"/>
          <w:sz w:val="24"/>
          <w:szCs w:val="24"/>
          <w:lang w:val="es-ES_tradnl" w:eastAsia="ar-SA"/>
        </w:rPr>
        <w:t>Señalización y la consecuente modificación a las Reglas de Portabilidad Numérica”</w:t>
      </w:r>
      <w:r w:rsidRPr="006C7A79">
        <w:rPr>
          <w:rFonts w:ascii="ITC Avant Garde" w:eastAsia="Times New Roman" w:hAnsi="ITC Avant Garde" w:cs="Arial"/>
          <w:kern w:val="2"/>
          <w:sz w:val="24"/>
          <w:szCs w:val="24"/>
          <w:lang w:val="es-ES_tradnl" w:eastAsia="ar-SA"/>
        </w:rPr>
        <w:t xml:space="preserve"> (la “Primera Consulta Pública”).</w:t>
      </w:r>
    </w:p>
    <w:p w:rsidR="00EE1C71" w:rsidRPr="006C7A79" w:rsidRDefault="00EE1C71" w:rsidP="00873106">
      <w:pPr>
        <w:pStyle w:val="Prrafodelista"/>
        <w:rPr>
          <w:rFonts w:ascii="ITC Avant Garde" w:eastAsia="Arial" w:hAnsi="ITC Avant Garde" w:cs="Arial"/>
          <w:sz w:val="24"/>
          <w:szCs w:val="24"/>
        </w:rPr>
      </w:pPr>
    </w:p>
    <w:p w:rsidR="00404536" w:rsidRPr="006C7A79" w:rsidRDefault="00C76F6A"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5E52AB">
        <w:rPr>
          <w:rFonts w:ascii="ITC Avant Garde" w:eastAsia="Arial" w:hAnsi="ITC Avant Garde" w:cs="Arial"/>
          <w:sz w:val="24"/>
          <w:szCs w:val="24"/>
        </w:rPr>
        <w:t>Como resultado de la primera Consulta Pública, e</w:t>
      </w:r>
      <w:r w:rsidR="009D1A86" w:rsidRPr="005E52AB">
        <w:rPr>
          <w:rFonts w:ascii="ITC Avant Garde" w:eastAsia="Arial" w:hAnsi="ITC Avant Garde" w:cs="Arial"/>
          <w:sz w:val="24"/>
          <w:szCs w:val="24"/>
        </w:rPr>
        <w:t>l 11 de mayo de 2018, se publicó en el DOF el “</w:t>
      </w:r>
      <w:r w:rsidR="009D1A86" w:rsidRPr="005E52AB">
        <w:rPr>
          <w:rFonts w:ascii="ITC Avant Garde" w:eastAsia="Arial" w:hAnsi="ITC Avant Garde" w:cs="Arial"/>
          <w:i/>
          <w:sz w:val="24"/>
          <w:szCs w:val="24"/>
        </w:rPr>
        <w:t>Acuerdo mediante el cual el Pleno del Instituto Federal de Tele</w:t>
      </w:r>
      <w:r w:rsidR="00094D2D" w:rsidRPr="005E52AB">
        <w:rPr>
          <w:rFonts w:ascii="ITC Avant Garde" w:eastAsia="Arial" w:hAnsi="ITC Avant Garde" w:cs="Arial"/>
          <w:i/>
          <w:sz w:val="24"/>
          <w:szCs w:val="24"/>
        </w:rPr>
        <w:t>comunicaciones aprueba y emite e</w:t>
      </w:r>
      <w:r w:rsidR="009D1A86" w:rsidRPr="005E52AB">
        <w:rPr>
          <w:rFonts w:ascii="ITC Avant Garde" w:eastAsia="Arial" w:hAnsi="ITC Avant Garde" w:cs="Arial"/>
          <w:i/>
          <w:sz w:val="24"/>
          <w:szCs w:val="24"/>
        </w:rPr>
        <w:t>l Plan Técnico Fundamental de Numeración, el Plan Técnico Fundamental de Señalización y la modificación a las Reglas de Portabilidad Numérica, publicadas el 12 de noviembre de 2014"</w:t>
      </w:r>
      <w:r w:rsidR="00DE7B96" w:rsidRPr="006C7A79">
        <w:rPr>
          <w:rFonts w:ascii="ITC Avant Garde" w:eastAsia="Arial" w:hAnsi="ITC Avant Garde" w:cs="Arial"/>
          <w:i/>
          <w:sz w:val="24"/>
          <w:szCs w:val="24"/>
        </w:rPr>
        <w:t xml:space="preserve"> (</w:t>
      </w:r>
      <w:r w:rsidR="00DE7B96" w:rsidRPr="006C7A79">
        <w:rPr>
          <w:rFonts w:ascii="ITC Avant Garde" w:eastAsia="Arial" w:hAnsi="ITC Avant Garde" w:cs="Arial"/>
          <w:sz w:val="24"/>
          <w:szCs w:val="24"/>
        </w:rPr>
        <w:t>el “nuevo PTFN</w:t>
      </w:r>
      <w:r w:rsidR="00DE7B96" w:rsidRPr="006C7A79">
        <w:rPr>
          <w:rFonts w:ascii="ITC Avant Garde" w:eastAsia="Arial" w:hAnsi="ITC Avant Garde" w:cs="Arial"/>
          <w:i/>
          <w:sz w:val="24"/>
          <w:szCs w:val="24"/>
        </w:rPr>
        <w:t>”</w:t>
      </w:r>
      <w:r w:rsidR="00C87980" w:rsidRPr="006C7A79">
        <w:rPr>
          <w:rFonts w:ascii="ITC Avant Garde" w:eastAsia="Arial" w:hAnsi="ITC Avant Garde" w:cs="Arial"/>
          <w:i/>
          <w:sz w:val="24"/>
          <w:szCs w:val="24"/>
        </w:rPr>
        <w:t xml:space="preserve"> y </w:t>
      </w:r>
      <w:r w:rsidR="00C87980" w:rsidRPr="00B51A1F">
        <w:rPr>
          <w:rFonts w:ascii="ITC Avant Garde" w:eastAsia="Arial" w:hAnsi="ITC Avant Garde" w:cs="Arial"/>
          <w:sz w:val="24"/>
          <w:szCs w:val="24"/>
        </w:rPr>
        <w:t>el “nuevo PTFS” respectivamente</w:t>
      </w:r>
      <w:r w:rsidR="00DE7B96" w:rsidRPr="00B51A1F">
        <w:rPr>
          <w:rFonts w:ascii="ITC Avant Garde" w:eastAsia="Arial" w:hAnsi="ITC Avant Garde" w:cs="Arial"/>
          <w:sz w:val="24"/>
          <w:szCs w:val="24"/>
        </w:rPr>
        <w:t>)</w:t>
      </w:r>
      <w:r w:rsidR="009D1A86" w:rsidRPr="00B51A1F">
        <w:rPr>
          <w:rFonts w:ascii="ITC Avant Garde" w:eastAsia="Arial" w:hAnsi="ITC Avant Garde" w:cs="Arial"/>
          <w:sz w:val="24"/>
          <w:szCs w:val="24"/>
        </w:rPr>
        <w:t>.</w:t>
      </w:r>
    </w:p>
    <w:p w:rsidR="00CE2587" w:rsidRPr="00C20B57" w:rsidRDefault="00CE2587" w:rsidP="00C20B57">
      <w:pPr>
        <w:rPr>
          <w:rFonts w:ascii="ITC Avant Garde" w:eastAsia="Arial" w:hAnsi="ITC Avant Garde" w:cs="Arial"/>
          <w:sz w:val="24"/>
          <w:szCs w:val="24"/>
        </w:rPr>
      </w:pPr>
    </w:p>
    <w:p w:rsidR="00D744C9" w:rsidRPr="006C7A79" w:rsidRDefault="000C00A0" w:rsidP="00873106">
      <w:pPr>
        <w:pStyle w:val="Prrafodelista"/>
        <w:numPr>
          <w:ilvl w:val="0"/>
          <w:numId w:val="1"/>
        </w:numPr>
        <w:spacing w:after="0" w:line="240" w:lineRule="auto"/>
        <w:ind w:left="0"/>
        <w:jc w:val="both"/>
        <w:rPr>
          <w:rFonts w:ascii="ITC Avant Garde" w:eastAsia="Arial" w:hAnsi="ITC Avant Garde" w:cs="Arial"/>
          <w:i/>
          <w:sz w:val="24"/>
          <w:szCs w:val="24"/>
        </w:rPr>
      </w:pPr>
      <w:r w:rsidRPr="00B51A1F">
        <w:rPr>
          <w:rFonts w:ascii="ITC Avant Garde" w:eastAsia="Arial" w:hAnsi="ITC Avant Garde" w:cs="Arial"/>
          <w:sz w:val="24"/>
          <w:szCs w:val="24"/>
        </w:rPr>
        <w:t>El 12 de diciembre de 2018, mediante Acuerdo P/IFT/121218/916, el Pleno del Instituto aprobó someter a consulta pública el</w:t>
      </w:r>
      <w:r w:rsidRPr="006C7A79">
        <w:rPr>
          <w:rFonts w:ascii="ITC Avant Garde" w:eastAsia="Arial" w:hAnsi="ITC Avant Garde" w:cs="Arial"/>
          <w:i/>
          <w:sz w:val="24"/>
          <w:szCs w:val="24"/>
        </w:rPr>
        <w:t xml:space="preserve"> “Anteproyecto de Acuerdo Mediante el cual el Pleno del Instituto</w:t>
      </w:r>
      <w:r w:rsidR="00094D2D" w:rsidRPr="006C7A79">
        <w:rPr>
          <w:rFonts w:ascii="ITC Avant Garde" w:eastAsia="Arial" w:hAnsi="ITC Avant Garde" w:cs="Arial"/>
          <w:i/>
          <w:sz w:val="24"/>
          <w:szCs w:val="24"/>
        </w:rPr>
        <w:t xml:space="preserve"> Federal de Telecomunicaciones m</w:t>
      </w:r>
      <w:r w:rsidRPr="006C7A79">
        <w:rPr>
          <w:rFonts w:ascii="ITC Avant Garde" w:eastAsia="Arial" w:hAnsi="ITC Avant Garde" w:cs="Arial"/>
          <w:i/>
          <w:sz w:val="24"/>
          <w:szCs w:val="24"/>
        </w:rPr>
        <w:t>odifica los Planes Técnicos Fundamentales de Numeració</w:t>
      </w:r>
      <w:r w:rsidR="00094D2D" w:rsidRPr="006C7A79">
        <w:rPr>
          <w:rFonts w:ascii="ITC Avant Garde" w:eastAsia="Arial" w:hAnsi="ITC Avant Garde" w:cs="Arial"/>
          <w:i/>
          <w:sz w:val="24"/>
          <w:szCs w:val="24"/>
        </w:rPr>
        <w:t xml:space="preserve">n y Señalización y lo Referente </w:t>
      </w:r>
      <w:r w:rsidRPr="006C7A79">
        <w:rPr>
          <w:rFonts w:ascii="ITC Avant Garde" w:eastAsia="Arial" w:hAnsi="ITC Avant Garde" w:cs="Arial"/>
          <w:i/>
          <w:sz w:val="24"/>
          <w:szCs w:val="24"/>
        </w:rPr>
        <w:t>a las Reglas de Portabilidad Numérica, publicados en el Diario Oficial de la Federación el 11 de mayo de 2018”</w:t>
      </w:r>
      <w:r w:rsidR="00A34C9E" w:rsidRPr="006C7A79">
        <w:rPr>
          <w:rFonts w:ascii="ITC Avant Garde" w:eastAsia="Arial" w:hAnsi="ITC Avant Garde" w:cs="Arial"/>
          <w:i/>
          <w:sz w:val="24"/>
          <w:szCs w:val="24"/>
        </w:rPr>
        <w:t xml:space="preserve"> </w:t>
      </w:r>
      <w:r w:rsidR="00A34C9E" w:rsidRPr="006C7A79">
        <w:rPr>
          <w:rFonts w:ascii="ITC Avant Garde" w:eastAsia="Arial" w:hAnsi="ITC Avant Garde" w:cs="Arial"/>
          <w:sz w:val="24"/>
          <w:szCs w:val="24"/>
        </w:rPr>
        <w:t>dicha consulta</w:t>
      </w:r>
      <w:r w:rsidR="00A34C9E" w:rsidRPr="006C7A79">
        <w:rPr>
          <w:rFonts w:ascii="ITC Avant Garde" w:eastAsia="Arial" w:hAnsi="ITC Avant Garde" w:cs="Arial"/>
          <w:i/>
          <w:sz w:val="24"/>
          <w:szCs w:val="24"/>
        </w:rPr>
        <w:t xml:space="preserve"> </w:t>
      </w:r>
      <w:r w:rsidR="00A34C9E" w:rsidRPr="006C7A79">
        <w:rPr>
          <w:rFonts w:ascii="ITC Avant Garde" w:eastAsia="Arial" w:hAnsi="ITC Avant Garde" w:cs="Arial"/>
          <w:sz w:val="24"/>
          <w:szCs w:val="24"/>
        </w:rPr>
        <w:t>fue publicada en el portal del Instituto durante el periodo comprendido del 17 de diciembre de 2018 al 29 de enero de 2019 (la “Segunda Consulta Pública”)</w:t>
      </w:r>
      <w:r w:rsidRPr="006C7A79">
        <w:rPr>
          <w:rFonts w:ascii="ITC Avant Garde" w:eastAsia="Arial" w:hAnsi="ITC Avant Garde" w:cs="Arial"/>
          <w:i/>
          <w:sz w:val="24"/>
          <w:szCs w:val="24"/>
        </w:rPr>
        <w:t>.</w:t>
      </w:r>
    </w:p>
    <w:p w:rsidR="00404536" w:rsidRPr="006C7A79" w:rsidRDefault="00404536" w:rsidP="00873106">
      <w:pPr>
        <w:pStyle w:val="Prrafodelista"/>
        <w:spacing w:after="0" w:line="240" w:lineRule="auto"/>
        <w:ind w:left="0"/>
        <w:jc w:val="both"/>
        <w:rPr>
          <w:rFonts w:ascii="ITC Avant Garde" w:eastAsia="Arial" w:hAnsi="ITC Avant Garde" w:cs="Arial"/>
          <w:i/>
          <w:sz w:val="24"/>
          <w:szCs w:val="24"/>
        </w:rPr>
      </w:pPr>
    </w:p>
    <w:p w:rsidR="009D1A86" w:rsidRPr="006C7A79" w:rsidRDefault="00CA26ED"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6C7A79">
        <w:rPr>
          <w:rFonts w:ascii="ITC Avant Garde" w:eastAsia="Arial" w:hAnsi="ITC Avant Garde" w:cs="Arial"/>
          <w:sz w:val="24"/>
          <w:szCs w:val="24"/>
        </w:rPr>
        <w:t>El 20 de marzo de 2019, se publicó en el DOF el “</w:t>
      </w:r>
      <w:r w:rsidRPr="006C7A79">
        <w:rPr>
          <w:rFonts w:ascii="ITC Avant Garde" w:eastAsia="Arial" w:hAnsi="ITC Avant Garde" w:cs="Arial"/>
          <w:i/>
          <w:sz w:val="24"/>
          <w:szCs w:val="24"/>
        </w:rPr>
        <w:t>Acuerdo mediante el cual el Pleno del Instituto Federal de Telecomunicaciones modifica los Planes Técnicos Fundamentales de Numeración y Señalización, así como lo referente a las Reglas de Potabilidad Numérica, publicados el 11 de mayo de 2018</w:t>
      </w:r>
      <w:r w:rsidRPr="006C7A79">
        <w:rPr>
          <w:rFonts w:ascii="ITC Avant Garde" w:eastAsia="Arial" w:hAnsi="ITC Avant Garde" w:cs="Arial"/>
          <w:sz w:val="24"/>
          <w:szCs w:val="24"/>
        </w:rPr>
        <w:t>”.</w:t>
      </w:r>
    </w:p>
    <w:p w:rsidR="00404536" w:rsidRPr="006C7A79" w:rsidRDefault="00404536" w:rsidP="00873106">
      <w:pPr>
        <w:widowControl w:val="0"/>
        <w:tabs>
          <w:tab w:val="left" w:pos="860"/>
        </w:tabs>
        <w:autoSpaceDE w:val="0"/>
        <w:autoSpaceDN w:val="0"/>
        <w:spacing w:after="0" w:line="240" w:lineRule="auto"/>
        <w:jc w:val="both"/>
        <w:rPr>
          <w:rFonts w:ascii="ITC Avant Garde" w:eastAsia="Arial" w:hAnsi="ITC Avant Garde" w:cs="Arial"/>
          <w:sz w:val="24"/>
          <w:szCs w:val="24"/>
        </w:rPr>
      </w:pPr>
    </w:p>
    <w:p w:rsidR="00221829" w:rsidRPr="006C7A79" w:rsidRDefault="00221829" w:rsidP="00873106">
      <w:pPr>
        <w:widowControl w:val="0"/>
        <w:numPr>
          <w:ilvl w:val="0"/>
          <w:numId w:val="1"/>
        </w:numPr>
        <w:tabs>
          <w:tab w:val="left" w:pos="860"/>
        </w:tabs>
        <w:autoSpaceDE w:val="0"/>
        <w:autoSpaceDN w:val="0"/>
        <w:spacing w:after="0" w:line="240" w:lineRule="auto"/>
        <w:ind w:left="0"/>
        <w:jc w:val="both"/>
        <w:rPr>
          <w:rFonts w:ascii="ITC Avant Garde" w:eastAsia="Arial" w:hAnsi="ITC Avant Garde" w:cs="Arial"/>
          <w:sz w:val="24"/>
          <w:szCs w:val="24"/>
        </w:rPr>
      </w:pPr>
      <w:r w:rsidRPr="006C7A79">
        <w:rPr>
          <w:rFonts w:ascii="ITC Avant Garde" w:eastAsia="Arial" w:hAnsi="ITC Avant Garde" w:cs="Arial"/>
          <w:sz w:val="24"/>
          <w:szCs w:val="24"/>
        </w:rPr>
        <w:t xml:space="preserve">El 5 de junio de 2019, mediante Acuerdo P/IFT/050619/292, el </w:t>
      </w:r>
      <w:r w:rsidR="00C47470" w:rsidRPr="006C7A79">
        <w:rPr>
          <w:rFonts w:ascii="ITC Avant Garde" w:eastAsia="Arial" w:hAnsi="ITC Avant Garde" w:cs="Arial"/>
          <w:sz w:val="24"/>
          <w:szCs w:val="24"/>
        </w:rPr>
        <w:t>Pl</w:t>
      </w:r>
      <w:r w:rsidRPr="006C7A79">
        <w:rPr>
          <w:rFonts w:ascii="ITC Avant Garde" w:eastAsia="Arial" w:hAnsi="ITC Avant Garde" w:cs="Arial"/>
          <w:sz w:val="24"/>
          <w:szCs w:val="24"/>
        </w:rPr>
        <w:t>eno del</w:t>
      </w:r>
      <w:r w:rsidR="00094D2D" w:rsidRPr="006C7A79">
        <w:rPr>
          <w:rFonts w:ascii="ITC Avant Garde" w:eastAsia="Arial" w:hAnsi="ITC Avant Garde" w:cs="Arial"/>
          <w:sz w:val="24"/>
          <w:szCs w:val="24"/>
        </w:rPr>
        <w:t xml:space="preserve"> Instituto determinó someter a consulta p</w:t>
      </w:r>
      <w:r w:rsidRPr="006C7A79">
        <w:rPr>
          <w:rFonts w:ascii="ITC Avant Garde" w:eastAsia="Arial" w:hAnsi="ITC Avant Garde" w:cs="Arial"/>
          <w:sz w:val="24"/>
          <w:szCs w:val="24"/>
        </w:rPr>
        <w:t>ública el “</w:t>
      </w:r>
      <w:r w:rsidRPr="006C7A79">
        <w:rPr>
          <w:rFonts w:ascii="ITC Avant Garde" w:eastAsia="Arial" w:hAnsi="ITC Avant Garde" w:cs="Arial"/>
          <w:i/>
          <w:sz w:val="24"/>
          <w:szCs w:val="24"/>
        </w:rPr>
        <w:t>Anteproyecto de Acuerdo mediante el cual el Pleno del Instituto Federal de Telecomunicaciones modifica el Plan Técnico Fundamental de Numeración, publicado el 11 de mayo de 2018</w:t>
      </w:r>
      <w:r w:rsidRPr="006C7A79">
        <w:rPr>
          <w:rFonts w:ascii="ITC Avant Garde" w:eastAsia="Arial" w:hAnsi="ITC Avant Garde" w:cs="Arial"/>
          <w:sz w:val="24"/>
          <w:szCs w:val="24"/>
        </w:rPr>
        <w:t>”</w:t>
      </w:r>
      <w:r w:rsidR="00B51A1F">
        <w:rPr>
          <w:rFonts w:ascii="ITC Avant Garde" w:eastAsia="Arial" w:hAnsi="ITC Avant Garde" w:cs="Arial"/>
          <w:sz w:val="24"/>
          <w:szCs w:val="24"/>
        </w:rPr>
        <w:t>, dicha consulta fue publi</w:t>
      </w:r>
      <w:r w:rsidR="006D6657">
        <w:rPr>
          <w:rFonts w:ascii="ITC Avant Garde" w:eastAsia="Arial" w:hAnsi="ITC Avant Garde" w:cs="Arial"/>
          <w:sz w:val="24"/>
          <w:szCs w:val="24"/>
        </w:rPr>
        <w:t>cada en el portal del Instituto</w:t>
      </w:r>
      <w:r w:rsidR="00C87980" w:rsidRPr="006C7A79">
        <w:rPr>
          <w:rFonts w:ascii="ITC Avant Garde" w:eastAsia="Arial" w:hAnsi="ITC Avant Garde" w:cs="Arial"/>
          <w:sz w:val="24"/>
          <w:szCs w:val="24"/>
        </w:rPr>
        <w:t xml:space="preserve"> </w:t>
      </w:r>
      <w:r w:rsidR="00B51A1F">
        <w:rPr>
          <w:rFonts w:ascii="ITC Avant Garde" w:eastAsia="Times New Roman" w:hAnsi="ITC Avant Garde" w:cs="Arial"/>
          <w:kern w:val="2"/>
          <w:sz w:val="24"/>
          <w:szCs w:val="24"/>
          <w:lang w:val="es-ES_tradnl" w:eastAsia="ar-SA"/>
        </w:rPr>
        <w:t>durante el periodo comprendido</w:t>
      </w:r>
      <w:r w:rsidR="00C87980" w:rsidRPr="006C7A79">
        <w:rPr>
          <w:rFonts w:ascii="ITC Avant Garde" w:eastAsia="Times New Roman" w:hAnsi="ITC Avant Garde" w:cs="Arial"/>
          <w:kern w:val="2"/>
          <w:sz w:val="24"/>
          <w:szCs w:val="24"/>
          <w:lang w:val="es-ES_tradnl" w:eastAsia="ar-SA"/>
        </w:rPr>
        <w:t xml:space="preserve"> del 6 al 19 de junio de 2019 (la “Tercera Consulta Pública”)</w:t>
      </w:r>
      <w:r w:rsidRPr="006C7A79">
        <w:rPr>
          <w:rFonts w:ascii="ITC Avant Garde" w:eastAsia="Arial" w:hAnsi="ITC Avant Garde" w:cs="Arial"/>
          <w:sz w:val="24"/>
          <w:szCs w:val="24"/>
        </w:rPr>
        <w:t xml:space="preserve">. </w:t>
      </w:r>
    </w:p>
    <w:p w:rsidR="00CA26ED" w:rsidRDefault="00CA26ED" w:rsidP="00873106">
      <w:pPr>
        <w:widowControl w:val="0"/>
        <w:tabs>
          <w:tab w:val="left" w:pos="860"/>
        </w:tabs>
        <w:autoSpaceDE w:val="0"/>
        <w:autoSpaceDN w:val="0"/>
        <w:spacing w:after="0" w:line="240" w:lineRule="auto"/>
        <w:rPr>
          <w:rFonts w:ascii="ITC Avant Garde" w:eastAsia="Arial" w:hAnsi="ITC Avant Garde" w:cs="Arial"/>
          <w:sz w:val="24"/>
          <w:szCs w:val="24"/>
        </w:rPr>
      </w:pPr>
    </w:p>
    <w:p w:rsidR="006D6657" w:rsidRDefault="006D6657" w:rsidP="00873106">
      <w:pPr>
        <w:widowControl w:val="0"/>
        <w:tabs>
          <w:tab w:val="left" w:pos="860"/>
        </w:tabs>
        <w:autoSpaceDE w:val="0"/>
        <w:autoSpaceDN w:val="0"/>
        <w:spacing w:after="0" w:line="240" w:lineRule="auto"/>
        <w:rPr>
          <w:rFonts w:ascii="ITC Avant Garde" w:eastAsia="Arial" w:hAnsi="ITC Avant Garde" w:cs="Arial"/>
          <w:sz w:val="24"/>
          <w:szCs w:val="24"/>
        </w:rPr>
      </w:pPr>
    </w:p>
    <w:p w:rsidR="00C20B57" w:rsidRDefault="00C20B57" w:rsidP="00873106">
      <w:pPr>
        <w:widowControl w:val="0"/>
        <w:tabs>
          <w:tab w:val="left" w:pos="860"/>
        </w:tabs>
        <w:autoSpaceDE w:val="0"/>
        <w:autoSpaceDN w:val="0"/>
        <w:spacing w:after="0" w:line="240" w:lineRule="auto"/>
        <w:rPr>
          <w:rFonts w:ascii="ITC Avant Garde" w:eastAsia="Arial" w:hAnsi="ITC Avant Garde" w:cs="Arial"/>
          <w:sz w:val="24"/>
          <w:szCs w:val="24"/>
        </w:rPr>
      </w:pPr>
    </w:p>
    <w:p w:rsidR="00C20B57" w:rsidRDefault="00C20B57" w:rsidP="00873106">
      <w:pPr>
        <w:widowControl w:val="0"/>
        <w:tabs>
          <w:tab w:val="left" w:pos="860"/>
        </w:tabs>
        <w:autoSpaceDE w:val="0"/>
        <w:autoSpaceDN w:val="0"/>
        <w:spacing w:after="0" w:line="240" w:lineRule="auto"/>
        <w:rPr>
          <w:rFonts w:ascii="ITC Avant Garde" w:eastAsia="Arial" w:hAnsi="ITC Avant Garde" w:cs="Arial"/>
          <w:sz w:val="24"/>
          <w:szCs w:val="24"/>
        </w:rPr>
      </w:pPr>
    </w:p>
    <w:p w:rsidR="00C20B57" w:rsidRPr="006C7A79" w:rsidRDefault="00C20B57" w:rsidP="00873106">
      <w:pPr>
        <w:widowControl w:val="0"/>
        <w:tabs>
          <w:tab w:val="left" w:pos="860"/>
        </w:tabs>
        <w:autoSpaceDE w:val="0"/>
        <w:autoSpaceDN w:val="0"/>
        <w:spacing w:after="0" w:line="240" w:lineRule="auto"/>
        <w:rPr>
          <w:rFonts w:ascii="ITC Avant Garde" w:eastAsia="Arial" w:hAnsi="ITC Avant Garde" w:cs="Arial"/>
          <w:sz w:val="24"/>
          <w:szCs w:val="24"/>
        </w:rPr>
      </w:pPr>
    </w:p>
    <w:p w:rsidR="009D1A86" w:rsidRPr="006C7A79" w:rsidRDefault="009D1A86" w:rsidP="00873106">
      <w:pPr>
        <w:widowControl w:val="0"/>
        <w:autoSpaceDE w:val="0"/>
        <w:autoSpaceDN w:val="0"/>
        <w:spacing w:after="0" w:line="240" w:lineRule="auto"/>
        <w:jc w:val="center"/>
        <w:outlineLvl w:val="1"/>
        <w:rPr>
          <w:rFonts w:ascii="ITC Avant Garde" w:eastAsia="Arial" w:hAnsi="ITC Avant Garde" w:cs="Arial"/>
          <w:b/>
          <w:bCs/>
          <w:sz w:val="24"/>
          <w:szCs w:val="24"/>
        </w:rPr>
      </w:pPr>
      <w:r w:rsidRPr="006C7A79">
        <w:rPr>
          <w:rFonts w:ascii="ITC Avant Garde" w:eastAsia="Arial" w:hAnsi="ITC Avant Garde" w:cs="Arial"/>
          <w:b/>
          <w:bCs/>
          <w:sz w:val="24"/>
          <w:szCs w:val="24"/>
        </w:rPr>
        <w:lastRenderedPageBreak/>
        <w:t>CONSIDERANDO</w:t>
      </w:r>
    </w:p>
    <w:p w:rsidR="00CA26ED" w:rsidRPr="006C7A79" w:rsidRDefault="00CA26ED" w:rsidP="00873106">
      <w:pPr>
        <w:widowControl w:val="0"/>
        <w:autoSpaceDE w:val="0"/>
        <w:autoSpaceDN w:val="0"/>
        <w:spacing w:after="0" w:line="240" w:lineRule="auto"/>
        <w:outlineLvl w:val="1"/>
        <w:rPr>
          <w:rFonts w:ascii="ITC Avant Garde" w:eastAsia="Arial" w:hAnsi="ITC Avant Garde" w:cs="Arial"/>
          <w:b/>
          <w:bCs/>
          <w:sz w:val="24"/>
          <w:szCs w:val="24"/>
        </w:rPr>
      </w:pPr>
    </w:p>
    <w:p w:rsidR="009D1A86" w:rsidRPr="006C7A79" w:rsidRDefault="009D1A86"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b/>
          <w:sz w:val="24"/>
          <w:szCs w:val="24"/>
        </w:rPr>
        <w:t xml:space="preserve">PRIMERO. Competencia del Instituto. </w:t>
      </w:r>
      <w:r w:rsidRPr="006C7A79">
        <w:rPr>
          <w:rFonts w:ascii="ITC Avant Garde" w:eastAsia="Arial" w:hAnsi="ITC Avant Garde" w:cs="Arial"/>
          <w:sz w:val="24"/>
          <w:szCs w:val="24"/>
        </w:rPr>
        <w:t>De conformidad con lo establecido por el artículo 28</w:t>
      </w:r>
      <w:r w:rsidR="00C963FC"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párrafo décimo quinto</w:t>
      </w:r>
      <w:r w:rsidR="00C963FC"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de la Constitución, el Instituto tiene por objeto el desarrollo eficiente de la radiodifusión y las telecomunicaciones, conforme </w:t>
      </w:r>
      <w:r w:rsidR="00C963FC" w:rsidRPr="006C7A79">
        <w:rPr>
          <w:rFonts w:ascii="ITC Avant Garde" w:eastAsia="Arial" w:hAnsi="ITC Avant Garde" w:cs="Arial"/>
          <w:sz w:val="24"/>
          <w:szCs w:val="24"/>
        </w:rPr>
        <w:t xml:space="preserve">a </w:t>
      </w:r>
      <w:r w:rsidRPr="006C7A79">
        <w:rPr>
          <w:rFonts w:ascii="ITC Avant Garde" w:eastAsia="Arial" w:hAnsi="ITC Avant Garde" w:cs="Arial"/>
          <w:sz w:val="24"/>
          <w:szCs w:val="24"/>
        </w:rPr>
        <w:t>lo dispuesto en la propia Constitución y en los términos que fijen las leyes.</w:t>
      </w:r>
    </w:p>
    <w:p w:rsidR="00A80870" w:rsidRPr="006C7A79" w:rsidRDefault="00A80870" w:rsidP="00873106">
      <w:pPr>
        <w:widowControl w:val="0"/>
        <w:autoSpaceDE w:val="0"/>
        <w:autoSpaceDN w:val="0"/>
        <w:spacing w:after="0" w:line="240" w:lineRule="auto"/>
        <w:jc w:val="both"/>
        <w:rPr>
          <w:rFonts w:ascii="ITC Avant Garde" w:eastAsia="Arial" w:hAnsi="ITC Avant Garde" w:cs="Arial"/>
          <w:b/>
          <w:sz w:val="24"/>
          <w:szCs w:val="24"/>
        </w:rPr>
      </w:pPr>
    </w:p>
    <w:p w:rsidR="009D1A86" w:rsidRPr="006C7A79" w:rsidRDefault="009D1A86"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 xml:space="preserve">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w:t>
      </w:r>
      <w:r w:rsidR="00C963FC" w:rsidRPr="006C7A79">
        <w:rPr>
          <w:rFonts w:ascii="ITC Avant Garde" w:eastAsia="Arial" w:hAnsi="ITC Avant Garde" w:cs="Arial"/>
          <w:sz w:val="24"/>
          <w:szCs w:val="24"/>
        </w:rPr>
        <w:t xml:space="preserve">a </w:t>
      </w:r>
      <w:r w:rsidRPr="006C7A79">
        <w:rPr>
          <w:rFonts w:ascii="ITC Avant Garde" w:eastAsia="Arial" w:hAnsi="ITC Avant Garde" w:cs="Arial"/>
          <w:sz w:val="24"/>
          <w:szCs w:val="24"/>
        </w:rPr>
        <w:t>otros insumos esenciales, garantizando lo establecido por los artículos 6 y 7 de la Constitución.</w:t>
      </w:r>
    </w:p>
    <w:p w:rsidR="003A7B6D" w:rsidRPr="006C7A79" w:rsidRDefault="003A7B6D" w:rsidP="00873106">
      <w:pPr>
        <w:widowControl w:val="0"/>
        <w:autoSpaceDE w:val="0"/>
        <w:autoSpaceDN w:val="0"/>
        <w:spacing w:after="0" w:line="240" w:lineRule="auto"/>
        <w:jc w:val="both"/>
        <w:rPr>
          <w:rFonts w:ascii="ITC Avant Garde" w:eastAsia="Arial" w:hAnsi="ITC Avant Garde" w:cs="Arial"/>
          <w:sz w:val="24"/>
          <w:szCs w:val="24"/>
        </w:rPr>
      </w:pPr>
    </w:p>
    <w:p w:rsidR="00A80870" w:rsidRPr="006C7A79" w:rsidRDefault="009D1A86"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w:t>
      </w:r>
      <w:r w:rsidR="00C963FC"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fracciones I y LVI, 16 y 17 fracción I</w:t>
      </w:r>
      <w:r w:rsidR="00C963FC"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de la Ley y 6 fracción XXV</w:t>
      </w:r>
      <w:r w:rsidR="00C963FC"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de su Estatuto Orgánico, podrá o</w:t>
      </w:r>
      <w:r w:rsidR="00C963FC" w:rsidRPr="006C7A79">
        <w:rPr>
          <w:rFonts w:ascii="ITC Avant Garde" w:eastAsia="Arial" w:hAnsi="ITC Avant Garde" w:cs="Arial"/>
          <w:sz w:val="24"/>
          <w:szCs w:val="24"/>
        </w:rPr>
        <w:t>rdenar la publicación en el DOF</w:t>
      </w:r>
      <w:r w:rsidRPr="006C7A79">
        <w:rPr>
          <w:rFonts w:ascii="ITC Avant Garde" w:eastAsia="Arial" w:hAnsi="ITC Avant Garde" w:cs="Arial"/>
          <w:sz w:val="24"/>
          <w:szCs w:val="24"/>
        </w:rPr>
        <w:t xml:space="preserve"> de los acuerdos y resoluciones de carácter general que emita y de aquellos en los que así lo determine.</w:t>
      </w:r>
    </w:p>
    <w:p w:rsidR="00A80870" w:rsidRPr="006C7A79" w:rsidRDefault="00A80870" w:rsidP="00873106">
      <w:pPr>
        <w:widowControl w:val="0"/>
        <w:autoSpaceDE w:val="0"/>
        <w:autoSpaceDN w:val="0"/>
        <w:spacing w:after="0" w:line="240" w:lineRule="auto"/>
        <w:jc w:val="both"/>
        <w:rPr>
          <w:rFonts w:ascii="ITC Avant Garde" w:eastAsia="Arial" w:hAnsi="ITC Avant Garde" w:cs="Arial"/>
          <w:sz w:val="24"/>
          <w:szCs w:val="24"/>
        </w:rPr>
      </w:pPr>
    </w:p>
    <w:p w:rsidR="00A80870" w:rsidRPr="006C7A79" w:rsidRDefault="009D1A86"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Adicionalmente, el artículo 124 de la Ley faculta al Instituto a elaborar, actualizar y administrar los planes técnicos fundamentales de numeración y señalización, con la finalidad de que sean debidamente aplicados por los P</w:t>
      </w:r>
      <w:r w:rsidR="00BF672D" w:rsidRPr="006C7A79">
        <w:rPr>
          <w:rFonts w:ascii="ITC Avant Garde" w:eastAsia="Arial" w:hAnsi="ITC Avant Garde" w:cs="Arial"/>
          <w:sz w:val="24"/>
          <w:szCs w:val="24"/>
        </w:rPr>
        <w:t>rov</w:t>
      </w:r>
      <w:r w:rsidR="00CA26ED" w:rsidRPr="006C7A79">
        <w:rPr>
          <w:rFonts w:ascii="ITC Avant Garde" w:eastAsia="Arial" w:hAnsi="ITC Avant Garde" w:cs="Arial"/>
          <w:sz w:val="24"/>
          <w:szCs w:val="24"/>
        </w:rPr>
        <w:t>e</w:t>
      </w:r>
      <w:r w:rsidR="00BF672D" w:rsidRPr="006C7A79">
        <w:rPr>
          <w:rFonts w:ascii="ITC Avant Garde" w:eastAsia="Arial" w:hAnsi="ITC Avant Garde" w:cs="Arial"/>
          <w:sz w:val="24"/>
          <w:szCs w:val="24"/>
        </w:rPr>
        <w:t>edor</w:t>
      </w:r>
      <w:r w:rsidR="00CA26ED" w:rsidRPr="006C7A79">
        <w:rPr>
          <w:rFonts w:ascii="ITC Avant Garde" w:eastAsia="Arial" w:hAnsi="ITC Avant Garde" w:cs="Arial"/>
          <w:sz w:val="24"/>
          <w:szCs w:val="24"/>
        </w:rPr>
        <w:t>es</w:t>
      </w:r>
      <w:r w:rsidR="00BF672D" w:rsidRPr="006C7A79">
        <w:rPr>
          <w:rFonts w:ascii="ITC Avant Garde" w:eastAsia="Arial" w:hAnsi="ITC Avant Garde" w:cs="Arial"/>
          <w:sz w:val="24"/>
          <w:szCs w:val="24"/>
        </w:rPr>
        <w:t xml:space="preserve"> de </w:t>
      </w:r>
      <w:r w:rsidRPr="006C7A79">
        <w:rPr>
          <w:rFonts w:ascii="ITC Avant Garde" w:eastAsia="Arial" w:hAnsi="ITC Avant Garde" w:cs="Arial"/>
          <w:sz w:val="24"/>
          <w:szCs w:val="24"/>
        </w:rPr>
        <w:t>S</w:t>
      </w:r>
      <w:r w:rsidR="00BF672D" w:rsidRPr="006C7A79">
        <w:rPr>
          <w:rFonts w:ascii="ITC Avant Garde" w:eastAsia="Arial" w:hAnsi="ITC Avant Garde" w:cs="Arial"/>
          <w:sz w:val="24"/>
          <w:szCs w:val="24"/>
        </w:rPr>
        <w:t xml:space="preserve">ervicio de </w:t>
      </w:r>
      <w:r w:rsidRPr="006C7A79">
        <w:rPr>
          <w:rFonts w:ascii="ITC Avant Garde" w:eastAsia="Arial" w:hAnsi="ITC Avant Garde" w:cs="Arial"/>
          <w:sz w:val="24"/>
          <w:szCs w:val="24"/>
        </w:rPr>
        <w:t>T</w:t>
      </w:r>
      <w:r w:rsidR="00BF672D" w:rsidRPr="006C7A79">
        <w:rPr>
          <w:rFonts w:ascii="ITC Avant Garde" w:eastAsia="Arial" w:hAnsi="ITC Avant Garde" w:cs="Arial"/>
          <w:sz w:val="24"/>
          <w:szCs w:val="24"/>
        </w:rPr>
        <w:t>elecomunicaciones (los “PST”)</w:t>
      </w:r>
      <w:r w:rsidRPr="006C7A79">
        <w:rPr>
          <w:rFonts w:ascii="ITC Avant Garde" w:eastAsia="Arial" w:hAnsi="ITC Avant Garde" w:cs="Arial"/>
          <w:sz w:val="24"/>
          <w:szCs w:val="24"/>
        </w:rPr>
        <w:t>, siempre en beneficio de los</w:t>
      </w:r>
      <w:r w:rsidRPr="006C7A79">
        <w:rPr>
          <w:rFonts w:ascii="ITC Avant Garde" w:eastAsia="Arial" w:hAnsi="ITC Avant Garde" w:cs="Arial"/>
          <w:spacing w:val="-7"/>
          <w:sz w:val="24"/>
          <w:szCs w:val="24"/>
        </w:rPr>
        <w:t xml:space="preserve"> </w:t>
      </w:r>
      <w:r w:rsidRPr="006C7A79">
        <w:rPr>
          <w:rFonts w:ascii="ITC Avant Garde" w:eastAsia="Arial" w:hAnsi="ITC Avant Garde" w:cs="Arial"/>
          <w:sz w:val="24"/>
          <w:szCs w:val="24"/>
        </w:rPr>
        <w:t>usuarios.</w:t>
      </w:r>
    </w:p>
    <w:p w:rsidR="00A80870" w:rsidRPr="006C7A79" w:rsidRDefault="00A80870" w:rsidP="00873106">
      <w:pPr>
        <w:widowControl w:val="0"/>
        <w:autoSpaceDE w:val="0"/>
        <w:autoSpaceDN w:val="0"/>
        <w:spacing w:after="0" w:line="240" w:lineRule="auto"/>
        <w:jc w:val="both"/>
        <w:rPr>
          <w:rFonts w:ascii="ITC Avant Garde" w:eastAsia="Arial" w:hAnsi="ITC Avant Garde" w:cs="Arial"/>
          <w:sz w:val="24"/>
          <w:szCs w:val="24"/>
        </w:rPr>
      </w:pPr>
    </w:p>
    <w:p w:rsidR="009D1A86" w:rsidRPr="006C7A79" w:rsidRDefault="009D1A86"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Así también, la fracción I de artículo 124 de la Ley, establece que el Instituto tiene como objetivo promover un amplio desarrollo de nuevos concesionarios, tecnologías, infraestructuras y servicios de telecomunicaciones, por medio del despliegue y la inversión en redes de telecomunicaciones y el fomento de la innovación.</w:t>
      </w:r>
    </w:p>
    <w:p w:rsidR="00DA25CE" w:rsidRDefault="00DA25CE" w:rsidP="00873106">
      <w:pPr>
        <w:widowControl w:val="0"/>
        <w:autoSpaceDE w:val="0"/>
        <w:autoSpaceDN w:val="0"/>
        <w:spacing w:after="0" w:line="240" w:lineRule="auto"/>
        <w:jc w:val="both"/>
        <w:rPr>
          <w:rFonts w:ascii="ITC Avant Garde" w:eastAsia="Arial" w:hAnsi="ITC Avant Garde" w:cs="Arial"/>
          <w:sz w:val="24"/>
          <w:szCs w:val="24"/>
        </w:rPr>
      </w:pPr>
    </w:p>
    <w:p w:rsidR="009D1A86" w:rsidRPr="006C7A79" w:rsidRDefault="009D1A86"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Por su parte, el segundo párrafo y las fracciones IV, VI y VII del artículo</w:t>
      </w:r>
      <w:r w:rsidR="00AD25D0" w:rsidRPr="006C7A79">
        <w:rPr>
          <w:rFonts w:ascii="ITC Avant Garde" w:eastAsia="Arial" w:hAnsi="ITC Avant Garde" w:cs="Arial"/>
          <w:sz w:val="24"/>
          <w:szCs w:val="24"/>
        </w:rPr>
        <w:t xml:space="preserve"> 124 de la Ley</w:t>
      </w:r>
      <w:r w:rsidRPr="006C7A79">
        <w:rPr>
          <w:rFonts w:ascii="ITC Avant Garde" w:eastAsia="Arial" w:hAnsi="ITC Avant Garde" w:cs="Arial"/>
          <w:sz w:val="24"/>
          <w:szCs w:val="24"/>
        </w:rPr>
        <w:t xml:space="preserve">, establecen que el Instituto administrará y promoverá un uso más eficiente de los recursos, así como de las condiciones técnicas mínimas necesarias para que la interoperabilidad e interconexión de </w:t>
      </w:r>
      <w:r w:rsidRPr="006C7A79">
        <w:rPr>
          <w:rFonts w:ascii="ITC Avant Garde" w:eastAsia="Arial" w:hAnsi="ITC Avant Garde" w:cs="Arial"/>
          <w:sz w:val="24"/>
          <w:szCs w:val="24"/>
        </w:rPr>
        <w:lastRenderedPageBreak/>
        <w:t>redes públicas de telecomunicaciones se proporcionen de manera eficiente, promoviendo siempre mecanismos flexibles que permitan y fomenten nuevas tecnologías, en beneficio de los usuarios.</w:t>
      </w:r>
    </w:p>
    <w:p w:rsidR="00A80870" w:rsidRPr="006C7A79" w:rsidRDefault="00A80870" w:rsidP="00873106">
      <w:pPr>
        <w:widowControl w:val="0"/>
        <w:autoSpaceDE w:val="0"/>
        <w:autoSpaceDN w:val="0"/>
        <w:spacing w:after="0" w:line="240" w:lineRule="auto"/>
        <w:jc w:val="both"/>
        <w:rPr>
          <w:rFonts w:ascii="ITC Avant Garde" w:eastAsia="Arial" w:hAnsi="ITC Avant Garde" w:cs="Arial"/>
          <w:sz w:val="24"/>
          <w:szCs w:val="24"/>
        </w:rPr>
      </w:pPr>
    </w:p>
    <w:p w:rsidR="00D45AE8" w:rsidRPr="006C7A79" w:rsidRDefault="00265811"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Con base en los artículos citados</w:t>
      </w:r>
      <w:r w:rsidR="009D1A86" w:rsidRPr="006C7A79">
        <w:rPr>
          <w:rFonts w:ascii="ITC Avant Garde" w:eastAsia="Arial" w:hAnsi="ITC Avant Garde" w:cs="Arial"/>
          <w:sz w:val="24"/>
          <w:szCs w:val="24"/>
        </w:rPr>
        <w:t>, el Instituto tiene la</w:t>
      </w:r>
      <w:r w:rsidR="00EE4904" w:rsidRPr="006C7A79">
        <w:rPr>
          <w:rFonts w:ascii="ITC Avant Garde" w:eastAsia="Arial" w:hAnsi="ITC Avant Garde" w:cs="Arial"/>
          <w:sz w:val="24"/>
          <w:szCs w:val="24"/>
        </w:rPr>
        <w:t xml:space="preserve"> atribución</w:t>
      </w:r>
      <w:r w:rsidR="00C963FC" w:rsidRPr="006C7A79">
        <w:rPr>
          <w:rFonts w:ascii="ITC Avant Garde" w:eastAsia="Arial" w:hAnsi="ITC Avant Garde" w:cs="Arial"/>
          <w:sz w:val="24"/>
          <w:szCs w:val="24"/>
        </w:rPr>
        <w:t>,</w:t>
      </w:r>
      <w:r w:rsidR="00EE4904" w:rsidRPr="006C7A79">
        <w:rPr>
          <w:rFonts w:ascii="ITC Avant Garde" w:eastAsia="Arial" w:hAnsi="ITC Avant Garde" w:cs="Arial"/>
          <w:sz w:val="24"/>
          <w:szCs w:val="24"/>
        </w:rPr>
        <w:t xml:space="preserve"> cuando así se justifique</w:t>
      </w:r>
      <w:r w:rsidR="00C963FC" w:rsidRPr="006C7A79">
        <w:rPr>
          <w:rFonts w:ascii="ITC Avant Garde" w:eastAsia="Arial" w:hAnsi="ITC Avant Garde" w:cs="Arial"/>
          <w:sz w:val="24"/>
          <w:szCs w:val="24"/>
        </w:rPr>
        <w:t>,</w:t>
      </w:r>
      <w:r w:rsidR="00EE4904" w:rsidRPr="006C7A79">
        <w:rPr>
          <w:rFonts w:ascii="ITC Avant Garde" w:eastAsia="Arial" w:hAnsi="ITC Avant Garde" w:cs="Arial"/>
          <w:sz w:val="24"/>
          <w:szCs w:val="24"/>
        </w:rPr>
        <w:t xml:space="preserve"> de </w:t>
      </w:r>
      <w:r w:rsidR="009D1A86" w:rsidRPr="006C7A79">
        <w:rPr>
          <w:rFonts w:ascii="ITC Avant Garde" w:eastAsia="Arial" w:hAnsi="ITC Avant Garde" w:cs="Arial"/>
          <w:sz w:val="24"/>
          <w:szCs w:val="24"/>
        </w:rPr>
        <w:t>emitir</w:t>
      </w:r>
      <w:r w:rsidR="009F6E94" w:rsidRPr="006C7A79">
        <w:rPr>
          <w:rFonts w:ascii="ITC Avant Garde" w:eastAsia="Arial" w:hAnsi="ITC Avant Garde" w:cs="Arial"/>
          <w:sz w:val="24"/>
          <w:szCs w:val="24"/>
        </w:rPr>
        <w:t>, modificar o eliminar</w:t>
      </w:r>
      <w:r w:rsidR="009D1A86" w:rsidRPr="006C7A79">
        <w:rPr>
          <w:rFonts w:ascii="ITC Avant Garde" w:eastAsia="Arial" w:hAnsi="ITC Avant Garde" w:cs="Arial"/>
          <w:sz w:val="24"/>
          <w:szCs w:val="24"/>
        </w:rPr>
        <w:t xml:space="preserve"> regulación que permita garantizar una eficiente prestación de los servicios públicos de interés general en materia de telecomunicaciones y radiodifusión, observando en todo momento los principios rectores establecidos por el artículo 7 de la Ley.</w:t>
      </w:r>
    </w:p>
    <w:p w:rsidR="00AD25D0" w:rsidRPr="006C7A79" w:rsidRDefault="00AD25D0" w:rsidP="00873106">
      <w:pPr>
        <w:widowControl w:val="0"/>
        <w:autoSpaceDE w:val="0"/>
        <w:autoSpaceDN w:val="0"/>
        <w:spacing w:after="0" w:line="240" w:lineRule="auto"/>
        <w:jc w:val="both"/>
        <w:rPr>
          <w:rFonts w:ascii="ITC Avant Garde" w:eastAsia="Arial" w:hAnsi="ITC Avant Garde" w:cs="Arial"/>
          <w:sz w:val="24"/>
          <w:szCs w:val="24"/>
        </w:rPr>
      </w:pPr>
    </w:p>
    <w:p w:rsidR="00AD25D0" w:rsidRPr="00DA25CE" w:rsidRDefault="00AD25D0" w:rsidP="00DA25CE">
      <w:pPr>
        <w:pStyle w:val="Texto"/>
        <w:spacing w:after="0" w:line="240" w:lineRule="auto"/>
        <w:ind w:firstLine="0"/>
        <w:rPr>
          <w:rFonts w:ascii="ITC Avant Garde" w:eastAsia="Arial" w:hAnsi="ITC Avant Garde"/>
          <w:b/>
          <w:sz w:val="24"/>
          <w:szCs w:val="24"/>
        </w:rPr>
      </w:pPr>
      <w:r w:rsidRPr="006C7A79">
        <w:rPr>
          <w:rFonts w:ascii="ITC Avant Garde" w:eastAsia="Arial" w:hAnsi="ITC Avant Garde"/>
          <w:sz w:val="24"/>
          <w:szCs w:val="24"/>
        </w:rPr>
        <w:t xml:space="preserve">Asimismo, con fundamento en los artículos 15, fracción XL, y 51 de la Ley, el Instituto está facultado para realizar consultas públicas en las materias de su competencia </w:t>
      </w:r>
      <w:r w:rsidRPr="006C7A79">
        <w:rPr>
          <w:rFonts w:ascii="ITC Avant Garde" w:hAnsi="ITC Avant Garde"/>
          <w:kern w:val="2"/>
          <w:sz w:val="24"/>
          <w:szCs w:val="24"/>
          <w:lang w:val="es-ES_tradnl" w:eastAsia="ar-SA"/>
        </w:rPr>
        <w:t>bajo los principios de transparencia y participación ciudadana, para tales efectos contará con un espacio dentro de su portal de Internet destinado específicamente a publicar y mantener actualizados los procesos de consultas públicas, estableciendo de igual forma, que las respuestas o propuestas que se hagan al Instituto con motivo de dichas consultas no tendrán carácter vinculante para este órgano autónomo.</w:t>
      </w:r>
    </w:p>
    <w:p w:rsidR="00B6738D" w:rsidRPr="006C7A79" w:rsidRDefault="00B6738D" w:rsidP="00873106">
      <w:pPr>
        <w:widowControl w:val="0"/>
        <w:autoSpaceDE w:val="0"/>
        <w:autoSpaceDN w:val="0"/>
        <w:spacing w:after="0" w:line="240" w:lineRule="auto"/>
        <w:ind w:firstLine="288"/>
        <w:jc w:val="both"/>
        <w:rPr>
          <w:rFonts w:ascii="ITC Avant Garde" w:eastAsia="Arial" w:hAnsi="ITC Avant Garde" w:cs="Arial"/>
          <w:b/>
          <w:sz w:val="24"/>
          <w:szCs w:val="24"/>
        </w:rPr>
      </w:pPr>
    </w:p>
    <w:p w:rsidR="00985BFD" w:rsidRPr="006C7A79" w:rsidRDefault="00B6738D"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b/>
          <w:sz w:val="24"/>
          <w:szCs w:val="24"/>
        </w:rPr>
        <w:t xml:space="preserve">SEGUNDO. </w:t>
      </w:r>
      <w:r w:rsidR="00F83B16" w:rsidRPr="006C7A79">
        <w:rPr>
          <w:rFonts w:ascii="ITC Avant Garde" w:eastAsia="Arial" w:hAnsi="ITC Avant Garde" w:cs="Arial"/>
          <w:b/>
          <w:sz w:val="24"/>
          <w:szCs w:val="24"/>
        </w:rPr>
        <w:t xml:space="preserve">Identificación de </w:t>
      </w:r>
      <w:r w:rsidR="009F6E94" w:rsidRPr="006C7A79">
        <w:rPr>
          <w:rFonts w:ascii="ITC Avant Garde" w:eastAsia="Arial" w:hAnsi="ITC Avant Garde" w:cs="Arial"/>
          <w:b/>
          <w:sz w:val="24"/>
          <w:szCs w:val="24"/>
        </w:rPr>
        <w:t>problemática</w:t>
      </w:r>
      <w:r w:rsidR="00C81966" w:rsidRPr="006C7A79">
        <w:rPr>
          <w:rFonts w:ascii="ITC Avant Garde" w:eastAsia="Arial" w:hAnsi="ITC Avant Garde" w:cs="Arial"/>
          <w:b/>
          <w:sz w:val="24"/>
          <w:szCs w:val="24"/>
        </w:rPr>
        <w:t>s</w:t>
      </w:r>
      <w:r w:rsidR="009F6E94" w:rsidRPr="006C7A79">
        <w:rPr>
          <w:rFonts w:ascii="ITC Avant Garde" w:eastAsia="Arial" w:hAnsi="ITC Avant Garde" w:cs="Arial"/>
          <w:b/>
          <w:sz w:val="24"/>
          <w:szCs w:val="24"/>
        </w:rPr>
        <w:t xml:space="preserve"> </w:t>
      </w:r>
      <w:r w:rsidR="00D509E4" w:rsidRPr="006C7A79">
        <w:rPr>
          <w:rFonts w:ascii="ITC Avant Garde" w:eastAsia="Arial" w:hAnsi="ITC Avant Garde" w:cs="Arial"/>
          <w:b/>
          <w:sz w:val="24"/>
          <w:szCs w:val="24"/>
        </w:rPr>
        <w:t>relacionada</w:t>
      </w:r>
      <w:r w:rsidR="00C81966" w:rsidRPr="006C7A79">
        <w:rPr>
          <w:rFonts w:ascii="ITC Avant Garde" w:eastAsia="Arial" w:hAnsi="ITC Avant Garde" w:cs="Arial"/>
          <w:b/>
          <w:sz w:val="24"/>
          <w:szCs w:val="24"/>
        </w:rPr>
        <w:t>s</w:t>
      </w:r>
      <w:r w:rsidR="00D509E4" w:rsidRPr="006C7A79">
        <w:rPr>
          <w:rFonts w:ascii="ITC Avant Garde" w:eastAsia="Arial" w:hAnsi="ITC Avant Garde" w:cs="Arial"/>
          <w:b/>
          <w:sz w:val="24"/>
          <w:szCs w:val="24"/>
        </w:rPr>
        <w:t xml:space="preserve"> con la implementación de la marcación nacional uniforme a 10 dígitos. </w:t>
      </w:r>
      <w:r w:rsidR="00F508B3" w:rsidRPr="006C7A79">
        <w:rPr>
          <w:rFonts w:ascii="ITC Avant Garde" w:eastAsia="Arial" w:hAnsi="ITC Avant Garde" w:cs="Arial"/>
          <w:sz w:val="24"/>
          <w:szCs w:val="24"/>
        </w:rPr>
        <w:t xml:space="preserve">Como resultado de la </w:t>
      </w:r>
      <w:r w:rsidR="00A34C9E" w:rsidRPr="006C7A79">
        <w:rPr>
          <w:rFonts w:ascii="ITC Avant Garde" w:eastAsia="Arial" w:hAnsi="ITC Avant Garde" w:cs="Arial"/>
          <w:sz w:val="24"/>
          <w:szCs w:val="24"/>
        </w:rPr>
        <w:t>Segunda C</w:t>
      </w:r>
      <w:r w:rsidR="00F508B3" w:rsidRPr="006C7A79">
        <w:rPr>
          <w:rFonts w:ascii="ITC Avant Garde" w:eastAsia="Arial" w:hAnsi="ITC Avant Garde" w:cs="Arial"/>
          <w:sz w:val="24"/>
          <w:szCs w:val="24"/>
        </w:rPr>
        <w:t xml:space="preserve">onsulta </w:t>
      </w:r>
      <w:r w:rsidR="00A34C9E" w:rsidRPr="006C7A79">
        <w:rPr>
          <w:rFonts w:ascii="ITC Avant Garde" w:eastAsia="Arial" w:hAnsi="ITC Avant Garde" w:cs="Arial"/>
          <w:sz w:val="24"/>
          <w:szCs w:val="24"/>
        </w:rPr>
        <w:t>P</w:t>
      </w:r>
      <w:r w:rsidR="00F508B3" w:rsidRPr="006C7A79">
        <w:rPr>
          <w:rFonts w:ascii="ITC Avant Garde" w:eastAsia="Arial" w:hAnsi="ITC Avant Garde" w:cs="Arial"/>
          <w:sz w:val="24"/>
          <w:szCs w:val="24"/>
        </w:rPr>
        <w:t>ública</w:t>
      </w:r>
      <w:r w:rsidR="002C1ECD" w:rsidRPr="006C7A79">
        <w:rPr>
          <w:rFonts w:ascii="ITC Avant Garde" w:eastAsia="Arial" w:hAnsi="ITC Avant Garde" w:cs="Arial"/>
          <w:sz w:val="24"/>
          <w:szCs w:val="24"/>
        </w:rPr>
        <w:t>,</w:t>
      </w:r>
      <w:r w:rsidR="00F36529" w:rsidRPr="006C7A79">
        <w:rPr>
          <w:rFonts w:ascii="ITC Avant Garde" w:eastAsia="Arial" w:hAnsi="ITC Avant Garde" w:cs="Arial"/>
          <w:sz w:val="24"/>
          <w:szCs w:val="24"/>
        </w:rPr>
        <w:t xml:space="preserve"> el Instituto recibió diversos comentarios en los que </w:t>
      </w:r>
      <w:r w:rsidR="002D53AD" w:rsidRPr="006C7A79">
        <w:rPr>
          <w:rFonts w:ascii="ITC Avant Garde" w:eastAsia="Arial" w:hAnsi="ITC Avant Garde" w:cs="Arial"/>
          <w:sz w:val="24"/>
          <w:szCs w:val="24"/>
        </w:rPr>
        <w:t>se advierte</w:t>
      </w:r>
      <w:r w:rsidR="00985BFD" w:rsidRPr="006C7A79">
        <w:rPr>
          <w:rFonts w:ascii="ITC Avant Garde" w:eastAsia="Arial" w:hAnsi="ITC Avant Garde" w:cs="Arial"/>
          <w:sz w:val="24"/>
          <w:szCs w:val="24"/>
        </w:rPr>
        <w:t xml:space="preserve"> que</w:t>
      </w:r>
      <w:r w:rsidR="00E15948" w:rsidRPr="006C7A79">
        <w:rPr>
          <w:rFonts w:ascii="ITC Avant Garde" w:eastAsia="Arial" w:hAnsi="ITC Avant Garde" w:cs="Arial"/>
          <w:sz w:val="24"/>
          <w:szCs w:val="24"/>
        </w:rPr>
        <w:t>,</w:t>
      </w:r>
      <w:r w:rsidR="00985BFD" w:rsidRPr="006C7A79">
        <w:rPr>
          <w:rFonts w:ascii="ITC Avant Garde" w:eastAsia="Arial" w:hAnsi="ITC Avant Garde" w:cs="Arial"/>
          <w:sz w:val="24"/>
          <w:szCs w:val="24"/>
        </w:rPr>
        <w:t xml:space="preserve"> con la entrada en vigor de la marcación nacional uniforme a 10 dígitos y la consecuente eliminación de </w:t>
      </w:r>
      <w:r w:rsidR="001737B7" w:rsidRPr="006C7A79">
        <w:rPr>
          <w:rFonts w:ascii="ITC Avant Garde" w:eastAsia="Arial" w:hAnsi="ITC Avant Garde" w:cs="Arial"/>
          <w:sz w:val="24"/>
          <w:szCs w:val="24"/>
        </w:rPr>
        <w:t xml:space="preserve">los </w:t>
      </w:r>
      <w:r w:rsidR="00985BFD" w:rsidRPr="006C7A79">
        <w:rPr>
          <w:rFonts w:ascii="ITC Avant Garde" w:eastAsia="Arial" w:hAnsi="ITC Avant Garde" w:cs="Arial"/>
          <w:sz w:val="24"/>
          <w:szCs w:val="24"/>
        </w:rPr>
        <w:t>prefijos de marcación</w:t>
      </w:r>
      <w:r w:rsidR="001737B7" w:rsidRPr="006C7A79">
        <w:rPr>
          <w:rFonts w:ascii="ITC Avant Garde" w:eastAsia="Arial" w:hAnsi="ITC Avant Garde" w:cs="Arial"/>
          <w:sz w:val="24"/>
          <w:szCs w:val="24"/>
        </w:rPr>
        <w:t xml:space="preserve"> aplicables</w:t>
      </w:r>
      <w:r w:rsidR="00E15948" w:rsidRPr="006C7A79">
        <w:rPr>
          <w:rFonts w:ascii="ITC Avant Garde" w:eastAsia="Arial" w:hAnsi="ITC Avant Garde" w:cs="Arial"/>
          <w:sz w:val="24"/>
          <w:szCs w:val="24"/>
        </w:rPr>
        <w:t xml:space="preserve"> de acuerdo al número de destino que se desee contactar</w:t>
      </w:r>
      <w:r w:rsidR="00985BFD" w:rsidRPr="006C7A79">
        <w:rPr>
          <w:rFonts w:ascii="ITC Avant Garde" w:eastAsia="Arial" w:hAnsi="ITC Avant Garde" w:cs="Arial"/>
          <w:sz w:val="24"/>
          <w:szCs w:val="24"/>
        </w:rPr>
        <w:t xml:space="preserve">, algunos proveedores del servicio de telefonía pública y </w:t>
      </w:r>
      <w:r w:rsidR="003A7B6D" w:rsidRPr="006C7A79">
        <w:rPr>
          <w:rFonts w:ascii="ITC Avant Garde" w:eastAsia="Arial" w:hAnsi="ITC Avant Garde" w:cs="Arial"/>
          <w:sz w:val="24"/>
          <w:szCs w:val="24"/>
        </w:rPr>
        <w:t>usuarios de</w:t>
      </w:r>
      <w:r w:rsidR="00985BFD" w:rsidRPr="006C7A79">
        <w:rPr>
          <w:rFonts w:ascii="ITC Avant Garde" w:eastAsia="Arial" w:hAnsi="ITC Avant Garde" w:cs="Arial"/>
          <w:sz w:val="24"/>
          <w:szCs w:val="24"/>
        </w:rPr>
        <w:t xml:space="preserve"> centrales privadas de conmutación</w:t>
      </w:r>
      <w:r w:rsidR="001F23CB" w:rsidRPr="006C7A79">
        <w:rPr>
          <w:rFonts w:ascii="ITC Avant Garde" w:eastAsia="Arial" w:hAnsi="ITC Avant Garde" w:cs="Arial"/>
          <w:sz w:val="24"/>
          <w:szCs w:val="24"/>
        </w:rPr>
        <w:t xml:space="preserve"> (</w:t>
      </w:r>
      <w:r w:rsidR="0020711D" w:rsidRPr="006C7A79">
        <w:rPr>
          <w:rFonts w:ascii="ITC Avant Garde" w:eastAsia="Arial" w:hAnsi="ITC Avant Garde" w:cs="Arial"/>
          <w:sz w:val="24"/>
          <w:szCs w:val="24"/>
        </w:rPr>
        <w:t xml:space="preserve">también conocidos como </w:t>
      </w:r>
      <w:r w:rsidR="001F23CB" w:rsidRPr="006C7A79">
        <w:rPr>
          <w:rFonts w:ascii="ITC Avant Garde" w:eastAsia="Arial" w:hAnsi="ITC Avant Garde" w:cs="Arial"/>
          <w:sz w:val="24"/>
          <w:szCs w:val="24"/>
        </w:rPr>
        <w:t xml:space="preserve">PBX, por sus siglas en inglés) </w:t>
      </w:r>
      <w:r w:rsidR="00985BFD" w:rsidRPr="006C7A79">
        <w:rPr>
          <w:rFonts w:ascii="ITC Avant Garde" w:eastAsia="Arial" w:hAnsi="ITC Avant Garde" w:cs="Arial"/>
          <w:sz w:val="24"/>
          <w:szCs w:val="24"/>
        </w:rPr>
        <w:t xml:space="preserve">podrían resultar afectados en su operación cotidiana. </w:t>
      </w:r>
    </w:p>
    <w:p w:rsidR="00A80870" w:rsidRPr="006C7A79" w:rsidRDefault="00A80870" w:rsidP="00873106">
      <w:pPr>
        <w:widowControl w:val="0"/>
        <w:autoSpaceDE w:val="0"/>
        <w:autoSpaceDN w:val="0"/>
        <w:spacing w:after="0" w:line="240" w:lineRule="auto"/>
        <w:jc w:val="both"/>
        <w:rPr>
          <w:rFonts w:ascii="ITC Avant Garde" w:eastAsia="Arial" w:hAnsi="ITC Avant Garde" w:cs="Arial"/>
          <w:sz w:val="24"/>
          <w:szCs w:val="24"/>
        </w:rPr>
      </w:pPr>
    </w:p>
    <w:p w:rsidR="00985BFD" w:rsidRPr="006C7A79" w:rsidRDefault="00985BFD"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 xml:space="preserve">En el caso de los </w:t>
      </w:r>
      <w:r w:rsidR="0020711D" w:rsidRPr="006C7A79">
        <w:rPr>
          <w:rFonts w:ascii="ITC Avant Garde" w:eastAsia="Arial" w:hAnsi="ITC Avant Garde" w:cs="Arial"/>
          <w:sz w:val="24"/>
          <w:szCs w:val="24"/>
        </w:rPr>
        <w:t>p</w:t>
      </w:r>
      <w:r w:rsidRPr="006C7A79">
        <w:rPr>
          <w:rFonts w:ascii="ITC Avant Garde" w:eastAsia="Arial" w:hAnsi="ITC Avant Garde" w:cs="Arial"/>
          <w:sz w:val="24"/>
          <w:szCs w:val="24"/>
        </w:rPr>
        <w:t>roveed</w:t>
      </w:r>
      <w:r w:rsidR="0020711D" w:rsidRPr="006C7A79">
        <w:rPr>
          <w:rFonts w:ascii="ITC Avant Garde" w:eastAsia="Arial" w:hAnsi="ITC Avant Garde" w:cs="Arial"/>
          <w:sz w:val="24"/>
          <w:szCs w:val="24"/>
        </w:rPr>
        <w:t>ores del servicio de telefonía p</w:t>
      </w:r>
      <w:r w:rsidRPr="006C7A79">
        <w:rPr>
          <w:rFonts w:ascii="ITC Avant Garde" w:eastAsia="Arial" w:hAnsi="ITC Avant Garde" w:cs="Arial"/>
          <w:sz w:val="24"/>
          <w:szCs w:val="24"/>
        </w:rPr>
        <w:t>ública, l</w:t>
      </w:r>
      <w:r w:rsidR="0020711D" w:rsidRPr="006C7A79">
        <w:rPr>
          <w:rFonts w:ascii="ITC Avant Garde" w:eastAsia="Arial" w:hAnsi="ITC Avant Garde" w:cs="Arial"/>
          <w:sz w:val="24"/>
          <w:szCs w:val="24"/>
        </w:rPr>
        <w:t xml:space="preserve">os comentarios recibidos señalan </w:t>
      </w:r>
      <w:r w:rsidRPr="006C7A79">
        <w:rPr>
          <w:rFonts w:ascii="ITC Avant Garde" w:eastAsia="Arial" w:hAnsi="ITC Avant Garde" w:cs="Arial"/>
          <w:sz w:val="24"/>
          <w:szCs w:val="24"/>
        </w:rPr>
        <w:t xml:space="preserve">que los aparatos telefónicos de uso público instalados en el país </w:t>
      </w:r>
      <w:r w:rsidR="001737B7" w:rsidRPr="006C7A79">
        <w:rPr>
          <w:rFonts w:ascii="ITC Avant Garde" w:eastAsia="Arial" w:hAnsi="ITC Avant Garde" w:cs="Arial"/>
          <w:sz w:val="24"/>
          <w:szCs w:val="24"/>
        </w:rPr>
        <w:t>están diseñados para realizar directamente</w:t>
      </w:r>
      <w:r w:rsidRPr="006C7A79">
        <w:rPr>
          <w:rFonts w:ascii="ITC Avant Garde" w:eastAsia="Arial" w:hAnsi="ITC Avant Garde" w:cs="Arial"/>
          <w:sz w:val="24"/>
          <w:szCs w:val="24"/>
        </w:rPr>
        <w:t xml:space="preserve"> la tasación y cobro de las llamadas originadas por los usuarios finales con base en la cantidad de dígitos marcados, así como en el prefijo que</w:t>
      </w:r>
      <w:r w:rsidR="00C81966"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en su caso</w:t>
      </w:r>
      <w:r w:rsidR="00A34C9E"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sea utilizado para el establecimiento de la comunicación (00, 01, 044 y 045</w:t>
      </w:r>
      <w:r w:rsidR="0020711D" w:rsidRPr="006C7A79">
        <w:rPr>
          <w:rFonts w:ascii="ITC Avant Garde" w:eastAsia="Arial" w:hAnsi="ITC Avant Garde" w:cs="Arial"/>
          <w:sz w:val="24"/>
          <w:szCs w:val="24"/>
        </w:rPr>
        <w:t>, según corresponda</w:t>
      </w:r>
      <w:r w:rsidRPr="006C7A79">
        <w:rPr>
          <w:rFonts w:ascii="ITC Avant Garde" w:eastAsia="Arial" w:hAnsi="ITC Avant Garde" w:cs="Arial"/>
          <w:sz w:val="24"/>
          <w:szCs w:val="24"/>
        </w:rPr>
        <w:t>)</w:t>
      </w:r>
      <w:r w:rsidR="001737B7"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w:t>
      </w:r>
      <w:r w:rsidR="001737B7" w:rsidRPr="006C7A79">
        <w:rPr>
          <w:rFonts w:ascii="ITC Avant Garde" w:eastAsia="Arial" w:hAnsi="ITC Avant Garde" w:cs="Arial"/>
          <w:sz w:val="24"/>
          <w:szCs w:val="24"/>
        </w:rPr>
        <w:t>En este sentido, al existir una marcación nacional uniforme a 10 dígitos, estos aparatos no contar</w:t>
      </w:r>
      <w:r w:rsidR="00C81966" w:rsidRPr="006C7A79">
        <w:rPr>
          <w:rFonts w:ascii="ITC Avant Garde" w:eastAsia="Arial" w:hAnsi="ITC Avant Garde" w:cs="Arial"/>
          <w:sz w:val="24"/>
          <w:szCs w:val="24"/>
        </w:rPr>
        <w:t>ía</w:t>
      </w:r>
      <w:r w:rsidR="001737B7" w:rsidRPr="006C7A79">
        <w:rPr>
          <w:rFonts w:ascii="ITC Avant Garde" w:eastAsia="Arial" w:hAnsi="ITC Avant Garde" w:cs="Arial"/>
          <w:sz w:val="24"/>
          <w:szCs w:val="24"/>
        </w:rPr>
        <w:t xml:space="preserve">n con la información necesaria para diferenciar </w:t>
      </w:r>
      <w:r w:rsidR="00E15948" w:rsidRPr="006C7A79">
        <w:rPr>
          <w:rFonts w:ascii="ITC Avant Garde" w:eastAsia="Arial" w:hAnsi="ITC Avant Garde" w:cs="Arial"/>
          <w:sz w:val="24"/>
          <w:szCs w:val="24"/>
        </w:rPr>
        <w:t xml:space="preserve">la tasación y </w:t>
      </w:r>
      <w:r w:rsidR="001737B7" w:rsidRPr="006C7A79">
        <w:rPr>
          <w:rFonts w:ascii="ITC Avant Garde" w:eastAsia="Arial" w:hAnsi="ITC Avant Garde" w:cs="Arial"/>
          <w:sz w:val="24"/>
          <w:szCs w:val="24"/>
        </w:rPr>
        <w:t xml:space="preserve">el cobro de las llamadas </w:t>
      </w:r>
      <w:r w:rsidR="00E15948" w:rsidRPr="006C7A79">
        <w:rPr>
          <w:rFonts w:ascii="ITC Avant Garde" w:eastAsia="Arial" w:hAnsi="ITC Avant Garde" w:cs="Arial"/>
          <w:sz w:val="24"/>
          <w:szCs w:val="24"/>
        </w:rPr>
        <w:t xml:space="preserve">realizadas </w:t>
      </w:r>
      <w:r w:rsidR="001737B7" w:rsidRPr="006C7A79">
        <w:rPr>
          <w:rFonts w:ascii="ITC Avant Garde" w:eastAsia="Arial" w:hAnsi="ITC Avant Garde" w:cs="Arial"/>
          <w:sz w:val="24"/>
          <w:szCs w:val="24"/>
        </w:rPr>
        <w:t>de acuerdo al tipo de modalidad y servicio asociados al número nacional de destino.</w:t>
      </w:r>
    </w:p>
    <w:p w:rsidR="00A80870" w:rsidRPr="006C7A79" w:rsidRDefault="00A80870" w:rsidP="00873106">
      <w:pPr>
        <w:widowControl w:val="0"/>
        <w:autoSpaceDE w:val="0"/>
        <w:autoSpaceDN w:val="0"/>
        <w:spacing w:after="0" w:line="240" w:lineRule="auto"/>
        <w:jc w:val="both"/>
        <w:rPr>
          <w:rFonts w:ascii="ITC Avant Garde" w:eastAsia="Arial" w:hAnsi="ITC Avant Garde" w:cs="Arial"/>
          <w:sz w:val="24"/>
          <w:szCs w:val="24"/>
        </w:rPr>
      </w:pPr>
    </w:p>
    <w:p w:rsidR="00F36529" w:rsidRPr="006C7A79" w:rsidRDefault="0020711D"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En el caso de lo</w:t>
      </w:r>
      <w:r w:rsidR="00E15948" w:rsidRPr="006C7A79">
        <w:rPr>
          <w:rFonts w:ascii="ITC Avant Garde" w:eastAsia="Arial" w:hAnsi="ITC Avant Garde" w:cs="Arial"/>
          <w:sz w:val="24"/>
          <w:szCs w:val="24"/>
        </w:rPr>
        <w:t xml:space="preserve">s </w:t>
      </w:r>
      <w:r w:rsidRPr="006C7A79">
        <w:rPr>
          <w:rFonts w:ascii="ITC Avant Garde" w:eastAsia="Arial" w:hAnsi="ITC Avant Garde" w:cs="Arial"/>
          <w:sz w:val="24"/>
          <w:szCs w:val="24"/>
        </w:rPr>
        <w:t xml:space="preserve">usuarios de </w:t>
      </w:r>
      <w:r w:rsidR="00E15948" w:rsidRPr="006C7A79">
        <w:rPr>
          <w:rFonts w:ascii="ITC Avant Garde" w:eastAsia="Arial" w:hAnsi="ITC Avant Garde" w:cs="Arial"/>
          <w:sz w:val="24"/>
          <w:szCs w:val="24"/>
        </w:rPr>
        <w:t xml:space="preserve">centrales privadas de conmutación, los comentarios recibidos señalan que existe una cantidad considerable de </w:t>
      </w:r>
      <w:r w:rsidR="001F23CB" w:rsidRPr="006C7A79">
        <w:rPr>
          <w:rFonts w:ascii="ITC Avant Garde" w:eastAsia="Arial" w:hAnsi="ITC Avant Garde" w:cs="Arial"/>
          <w:sz w:val="24"/>
          <w:szCs w:val="24"/>
        </w:rPr>
        <w:t xml:space="preserve">clientes empresariales y del sector gobierno que cuentan con PBX propios que requieren </w:t>
      </w:r>
      <w:r w:rsidR="00926C4F" w:rsidRPr="006C7A79">
        <w:rPr>
          <w:rFonts w:ascii="ITC Avant Garde" w:eastAsia="Arial" w:hAnsi="ITC Avant Garde" w:cs="Arial"/>
          <w:sz w:val="24"/>
          <w:szCs w:val="24"/>
        </w:rPr>
        <w:t xml:space="preserve">que el administrador de estos equipos informe </w:t>
      </w:r>
      <w:r w:rsidR="001F23CB" w:rsidRPr="006C7A79">
        <w:rPr>
          <w:rFonts w:ascii="ITC Avant Garde" w:eastAsia="Arial" w:hAnsi="ITC Avant Garde" w:cs="Arial"/>
          <w:sz w:val="24"/>
          <w:szCs w:val="24"/>
        </w:rPr>
        <w:t>l</w:t>
      </w:r>
      <w:r w:rsidR="00926C4F" w:rsidRPr="006C7A79">
        <w:rPr>
          <w:rFonts w:ascii="ITC Avant Garde" w:eastAsia="Arial" w:hAnsi="ITC Avant Garde" w:cs="Arial"/>
          <w:sz w:val="24"/>
          <w:szCs w:val="24"/>
        </w:rPr>
        <w:t>a cantidad de dígitos a marcar de acuerdo a cada tipo de llamada así como, en su caso, los</w:t>
      </w:r>
      <w:r w:rsidR="001F23CB" w:rsidRPr="006C7A79">
        <w:rPr>
          <w:rFonts w:ascii="ITC Avant Garde" w:eastAsia="Arial" w:hAnsi="ITC Avant Garde" w:cs="Arial"/>
          <w:sz w:val="24"/>
          <w:szCs w:val="24"/>
        </w:rPr>
        <w:t xml:space="preserve"> prefijos</w:t>
      </w:r>
      <w:r w:rsidR="00926C4F" w:rsidRPr="006C7A79">
        <w:rPr>
          <w:rFonts w:ascii="ITC Avant Garde" w:eastAsia="Arial" w:hAnsi="ITC Avant Garde" w:cs="Arial"/>
          <w:sz w:val="24"/>
          <w:szCs w:val="24"/>
        </w:rPr>
        <w:t xml:space="preserve"> aplicables</w:t>
      </w:r>
      <w:r w:rsidR="001F23CB" w:rsidRPr="006C7A79">
        <w:rPr>
          <w:rFonts w:ascii="ITC Avant Garde" w:eastAsia="Arial" w:hAnsi="ITC Avant Garde" w:cs="Arial"/>
          <w:sz w:val="24"/>
          <w:szCs w:val="24"/>
        </w:rPr>
        <w:t xml:space="preserve"> a efecto de programar las reglas de marcación requeridas para controlar el establecimiento o la rest</w:t>
      </w:r>
      <w:r w:rsidRPr="006C7A79">
        <w:rPr>
          <w:rFonts w:ascii="ITC Avant Garde" w:eastAsia="Arial" w:hAnsi="ITC Avant Garde" w:cs="Arial"/>
          <w:sz w:val="24"/>
          <w:szCs w:val="24"/>
        </w:rPr>
        <w:t>ricción de llamadas de acuerdo con</w:t>
      </w:r>
      <w:r w:rsidR="001F23CB" w:rsidRPr="006C7A79">
        <w:rPr>
          <w:rFonts w:ascii="ITC Avant Garde" w:eastAsia="Arial" w:hAnsi="ITC Avant Garde" w:cs="Arial"/>
          <w:sz w:val="24"/>
          <w:szCs w:val="24"/>
        </w:rPr>
        <w:t xml:space="preserve"> los privilegios </w:t>
      </w:r>
      <w:r w:rsidR="006851E1" w:rsidRPr="006C7A79">
        <w:rPr>
          <w:rFonts w:ascii="ITC Avant Garde" w:eastAsia="Arial" w:hAnsi="ITC Avant Garde" w:cs="Arial"/>
          <w:sz w:val="24"/>
          <w:szCs w:val="24"/>
        </w:rPr>
        <w:t>que t</w:t>
      </w:r>
      <w:r w:rsidRPr="006C7A79">
        <w:rPr>
          <w:rFonts w:ascii="ITC Avant Garde" w:eastAsia="Arial" w:hAnsi="ITC Avant Garde" w:cs="Arial"/>
          <w:sz w:val="24"/>
          <w:szCs w:val="24"/>
        </w:rPr>
        <w:t>engan definidos sus usuarios finales</w:t>
      </w:r>
      <w:r w:rsidR="006851E1" w:rsidRPr="006C7A79">
        <w:rPr>
          <w:rFonts w:ascii="ITC Avant Garde" w:eastAsia="Arial" w:hAnsi="ITC Avant Garde" w:cs="Arial"/>
          <w:sz w:val="24"/>
          <w:szCs w:val="24"/>
        </w:rPr>
        <w:t xml:space="preserve">. En este sentido, al entrar en vigor la marcación nacional uniforme a 10 dígitos, </w:t>
      </w:r>
      <w:r w:rsidR="00926C4F" w:rsidRPr="006C7A79">
        <w:rPr>
          <w:rFonts w:ascii="ITC Avant Garde" w:eastAsia="Arial" w:hAnsi="ITC Avant Garde" w:cs="Arial"/>
          <w:sz w:val="24"/>
          <w:szCs w:val="24"/>
        </w:rPr>
        <w:t>los clientes empresariales y entidades de gobierno</w:t>
      </w:r>
      <w:r w:rsidR="006851E1" w:rsidRPr="006C7A79">
        <w:rPr>
          <w:rFonts w:ascii="ITC Avant Garde" w:eastAsia="Arial" w:hAnsi="ITC Avant Garde" w:cs="Arial"/>
          <w:sz w:val="24"/>
          <w:szCs w:val="24"/>
        </w:rPr>
        <w:t xml:space="preserve"> que cuenten con equipos PBX que se encuentren en este supuesto </w:t>
      </w:r>
      <w:r w:rsidR="00926C4F" w:rsidRPr="006C7A79">
        <w:rPr>
          <w:rFonts w:ascii="ITC Avant Garde" w:eastAsia="Arial" w:hAnsi="ITC Avant Garde" w:cs="Arial"/>
          <w:sz w:val="24"/>
          <w:szCs w:val="24"/>
        </w:rPr>
        <w:t>podrían perder</w:t>
      </w:r>
      <w:r w:rsidR="006851E1" w:rsidRPr="006C7A79">
        <w:rPr>
          <w:rFonts w:ascii="ITC Avant Garde" w:eastAsia="Arial" w:hAnsi="ITC Avant Garde" w:cs="Arial"/>
          <w:sz w:val="24"/>
          <w:szCs w:val="24"/>
        </w:rPr>
        <w:t xml:space="preserve"> el control</w:t>
      </w:r>
      <w:r w:rsidR="00926C4F" w:rsidRPr="006C7A79">
        <w:rPr>
          <w:rFonts w:ascii="ITC Avant Garde" w:eastAsia="Arial" w:hAnsi="ITC Avant Garde" w:cs="Arial"/>
          <w:sz w:val="24"/>
          <w:szCs w:val="24"/>
        </w:rPr>
        <w:t xml:space="preserve"> directo sobre la administración de las llamadas</w:t>
      </w:r>
      <w:r w:rsidR="008630DB" w:rsidRPr="006C7A79">
        <w:rPr>
          <w:rFonts w:ascii="ITC Avant Garde" w:eastAsia="Arial" w:hAnsi="ITC Avant Garde" w:cs="Arial"/>
          <w:sz w:val="24"/>
          <w:szCs w:val="24"/>
        </w:rPr>
        <w:t xml:space="preserve"> que se originen</w:t>
      </w:r>
      <w:r w:rsidR="00926C4F" w:rsidRPr="006C7A79">
        <w:rPr>
          <w:rFonts w:ascii="ITC Avant Garde" w:eastAsia="Arial" w:hAnsi="ITC Avant Garde" w:cs="Arial"/>
          <w:sz w:val="24"/>
          <w:szCs w:val="24"/>
        </w:rPr>
        <w:t xml:space="preserve">, particularmente las que tienen como destino números móviles nacionales bajo la modalidad </w:t>
      </w:r>
      <w:r w:rsidR="00926C4F" w:rsidRPr="006C7A79">
        <w:rPr>
          <w:rFonts w:ascii="ITC Avant Garde" w:eastAsia="Arial" w:hAnsi="ITC Avant Garde" w:cs="Arial"/>
          <w:i/>
          <w:sz w:val="24"/>
          <w:szCs w:val="24"/>
        </w:rPr>
        <w:t>“el que llama paga”</w:t>
      </w:r>
      <w:r w:rsidRPr="006C7A79">
        <w:rPr>
          <w:rFonts w:ascii="ITC Avant Garde" w:eastAsia="Arial" w:hAnsi="ITC Avant Garde" w:cs="Arial"/>
          <w:sz w:val="24"/>
          <w:szCs w:val="24"/>
        </w:rPr>
        <w:t xml:space="preserve"> (“CPP”)</w:t>
      </w:r>
      <w:r w:rsidR="00926C4F" w:rsidRPr="006C7A79">
        <w:rPr>
          <w:rFonts w:ascii="ITC Avant Garde" w:eastAsia="Arial" w:hAnsi="ITC Avant Garde" w:cs="Arial"/>
          <w:sz w:val="24"/>
          <w:szCs w:val="24"/>
        </w:rPr>
        <w:t>.</w:t>
      </w:r>
    </w:p>
    <w:p w:rsidR="00984CA8" w:rsidRPr="006C7A79" w:rsidRDefault="00984CA8" w:rsidP="00873106">
      <w:pPr>
        <w:widowControl w:val="0"/>
        <w:autoSpaceDE w:val="0"/>
        <w:autoSpaceDN w:val="0"/>
        <w:spacing w:after="0" w:line="240" w:lineRule="auto"/>
        <w:jc w:val="both"/>
        <w:rPr>
          <w:rFonts w:ascii="ITC Avant Garde" w:eastAsia="Arial" w:hAnsi="ITC Avant Garde" w:cs="Arial"/>
          <w:sz w:val="24"/>
          <w:szCs w:val="24"/>
        </w:rPr>
      </w:pPr>
    </w:p>
    <w:p w:rsidR="00D65129" w:rsidRPr="006C7A79" w:rsidRDefault="00B6738D"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b/>
          <w:sz w:val="24"/>
          <w:szCs w:val="24"/>
        </w:rPr>
        <w:t xml:space="preserve">TERCERO. </w:t>
      </w:r>
      <w:r w:rsidR="00B022DF">
        <w:rPr>
          <w:rFonts w:ascii="ITC Avant Garde" w:eastAsia="Arial" w:hAnsi="ITC Avant Garde" w:cs="Arial"/>
          <w:b/>
          <w:sz w:val="24"/>
          <w:szCs w:val="24"/>
        </w:rPr>
        <w:t>Consulta Pública</w:t>
      </w:r>
      <w:r w:rsidR="000B1B11" w:rsidRPr="006C7A79">
        <w:rPr>
          <w:rFonts w:ascii="ITC Avant Garde" w:eastAsia="Arial" w:hAnsi="ITC Avant Garde" w:cs="Arial"/>
          <w:b/>
          <w:sz w:val="24"/>
          <w:szCs w:val="24"/>
        </w:rPr>
        <w:t>.</w:t>
      </w:r>
      <w:r w:rsidR="00B822D2" w:rsidRPr="006C7A79">
        <w:rPr>
          <w:rFonts w:ascii="ITC Avant Garde" w:eastAsia="Arial" w:hAnsi="ITC Avant Garde" w:cs="Arial"/>
          <w:b/>
          <w:sz w:val="24"/>
          <w:szCs w:val="24"/>
        </w:rPr>
        <w:t xml:space="preserve"> </w:t>
      </w:r>
      <w:r w:rsidR="007D3B82" w:rsidRPr="006C7A79">
        <w:rPr>
          <w:rFonts w:ascii="ITC Avant Garde" w:eastAsia="Arial" w:hAnsi="ITC Avant Garde" w:cs="Arial"/>
          <w:sz w:val="24"/>
          <w:szCs w:val="24"/>
        </w:rPr>
        <w:t>E</w:t>
      </w:r>
      <w:r w:rsidR="008630DB" w:rsidRPr="006C7A79">
        <w:rPr>
          <w:rFonts w:ascii="ITC Avant Garde" w:eastAsia="Arial" w:hAnsi="ITC Avant Garde" w:cs="Arial"/>
          <w:sz w:val="24"/>
          <w:szCs w:val="24"/>
        </w:rPr>
        <w:t xml:space="preserve">n atención a los comentarios recibidos en la </w:t>
      </w:r>
      <w:r w:rsidR="00E0456B" w:rsidRPr="006C7A79">
        <w:rPr>
          <w:rFonts w:ascii="ITC Avant Garde" w:eastAsia="Arial" w:hAnsi="ITC Avant Garde" w:cs="Arial"/>
          <w:sz w:val="24"/>
          <w:szCs w:val="24"/>
        </w:rPr>
        <w:t>Segunda C</w:t>
      </w:r>
      <w:r w:rsidR="008630DB" w:rsidRPr="006C7A79">
        <w:rPr>
          <w:rFonts w:ascii="ITC Avant Garde" w:eastAsia="Arial" w:hAnsi="ITC Avant Garde" w:cs="Arial"/>
          <w:sz w:val="24"/>
          <w:szCs w:val="24"/>
        </w:rPr>
        <w:t xml:space="preserve">onsulta </w:t>
      </w:r>
      <w:r w:rsidR="00E0456B" w:rsidRPr="006C7A79">
        <w:rPr>
          <w:rFonts w:ascii="ITC Avant Garde" w:eastAsia="Arial" w:hAnsi="ITC Avant Garde" w:cs="Arial"/>
          <w:sz w:val="24"/>
          <w:szCs w:val="24"/>
        </w:rPr>
        <w:t>P</w:t>
      </w:r>
      <w:r w:rsidR="008630DB" w:rsidRPr="006C7A79">
        <w:rPr>
          <w:rFonts w:ascii="ITC Avant Garde" w:eastAsia="Arial" w:hAnsi="ITC Avant Garde" w:cs="Arial"/>
          <w:sz w:val="24"/>
          <w:szCs w:val="24"/>
        </w:rPr>
        <w:t>ública</w:t>
      </w:r>
      <w:r w:rsidR="00C81966" w:rsidRPr="006C7A79">
        <w:rPr>
          <w:rFonts w:ascii="ITC Avant Garde" w:eastAsia="Arial" w:hAnsi="ITC Avant Garde" w:cs="Arial"/>
          <w:sz w:val="24"/>
          <w:szCs w:val="24"/>
        </w:rPr>
        <w:t xml:space="preserve"> (los cuales se detallaron en el Considerando anterior)</w:t>
      </w:r>
      <w:r w:rsidR="00E85B44" w:rsidRPr="006C7A79">
        <w:rPr>
          <w:rFonts w:ascii="ITC Avant Garde" w:eastAsia="Arial" w:hAnsi="ITC Avant Garde" w:cs="Arial"/>
          <w:sz w:val="24"/>
          <w:szCs w:val="24"/>
        </w:rPr>
        <w:t>,</w:t>
      </w:r>
      <w:r w:rsidR="008630DB" w:rsidRPr="006C7A79">
        <w:rPr>
          <w:rFonts w:ascii="ITC Avant Garde" w:eastAsia="Arial" w:hAnsi="ITC Avant Garde" w:cs="Arial"/>
          <w:sz w:val="24"/>
          <w:szCs w:val="24"/>
        </w:rPr>
        <w:t xml:space="preserve"> e</w:t>
      </w:r>
      <w:r w:rsidR="00D65129" w:rsidRPr="006C7A79">
        <w:rPr>
          <w:rFonts w:ascii="ITC Avant Garde" w:eastAsia="Arial" w:hAnsi="ITC Avant Garde" w:cs="Arial"/>
          <w:sz w:val="24"/>
          <w:szCs w:val="24"/>
        </w:rPr>
        <w:t xml:space="preserve">l Instituto llevó a cabo una revisión integral </w:t>
      </w:r>
      <w:r w:rsidR="00E85B44" w:rsidRPr="006C7A79">
        <w:rPr>
          <w:rFonts w:ascii="ITC Avant Garde" w:eastAsia="Arial" w:hAnsi="ITC Avant Garde" w:cs="Arial"/>
          <w:sz w:val="24"/>
          <w:szCs w:val="24"/>
        </w:rPr>
        <w:t>d</w:t>
      </w:r>
      <w:r w:rsidR="00D65129" w:rsidRPr="006C7A79">
        <w:rPr>
          <w:rFonts w:ascii="ITC Avant Garde" w:eastAsia="Arial" w:hAnsi="ITC Avant Garde" w:cs="Arial"/>
          <w:sz w:val="24"/>
          <w:szCs w:val="24"/>
        </w:rPr>
        <w:t xml:space="preserve">el </w:t>
      </w:r>
      <w:r w:rsidR="00F32D7D" w:rsidRPr="006C7A79">
        <w:rPr>
          <w:rFonts w:ascii="ITC Avant Garde" w:eastAsia="Arial" w:hAnsi="ITC Avant Garde" w:cs="Arial"/>
          <w:sz w:val="24"/>
          <w:szCs w:val="24"/>
        </w:rPr>
        <w:t>nuevo PTFN</w:t>
      </w:r>
      <w:r w:rsidR="008630DB" w:rsidRPr="006C7A79">
        <w:rPr>
          <w:rFonts w:ascii="ITC Avant Garde" w:eastAsia="Arial" w:hAnsi="ITC Avant Garde" w:cs="Arial"/>
          <w:sz w:val="24"/>
          <w:szCs w:val="24"/>
        </w:rPr>
        <w:t>. C</w:t>
      </w:r>
      <w:r w:rsidR="00530F66" w:rsidRPr="006C7A79">
        <w:rPr>
          <w:rFonts w:ascii="ITC Avant Garde" w:eastAsia="Arial" w:hAnsi="ITC Avant Garde" w:cs="Arial"/>
          <w:sz w:val="24"/>
          <w:szCs w:val="24"/>
        </w:rPr>
        <w:t xml:space="preserve">omo resultado </w:t>
      </w:r>
      <w:r w:rsidR="00FD1D99" w:rsidRPr="006C7A79">
        <w:rPr>
          <w:rFonts w:ascii="ITC Avant Garde" w:eastAsia="Arial" w:hAnsi="ITC Avant Garde" w:cs="Arial"/>
          <w:sz w:val="24"/>
          <w:szCs w:val="24"/>
        </w:rPr>
        <w:t>de dicha revisión</w:t>
      </w:r>
      <w:r w:rsidR="00E85B44" w:rsidRPr="006C7A79">
        <w:rPr>
          <w:rFonts w:ascii="ITC Avant Garde" w:eastAsia="Arial" w:hAnsi="ITC Avant Garde" w:cs="Arial"/>
          <w:sz w:val="24"/>
          <w:szCs w:val="24"/>
        </w:rPr>
        <w:t xml:space="preserve"> y en aras de realizar las acciones necesarias para contribuir a solventar las problemáticas identificadas</w:t>
      </w:r>
      <w:r w:rsidR="006C5204" w:rsidRPr="006C7A79">
        <w:rPr>
          <w:rFonts w:ascii="ITC Avant Garde" w:eastAsia="Arial" w:hAnsi="ITC Avant Garde" w:cs="Arial"/>
          <w:sz w:val="24"/>
          <w:szCs w:val="24"/>
        </w:rPr>
        <w:t>,</w:t>
      </w:r>
      <w:r w:rsidR="00FD1D99" w:rsidRPr="006C7A79">
        <w:rPr>
          <w:rFonts w:ascii="ITC Avant Garde" w:eastAsia="Arial" w:hAnsi="ITC Avant Garde" w:cs="Arial"/>
          <w:sz w:val="24"/>
          <w:szCs w:val="24"/>
        </w:rPr>
        <w:t xml:space="preserve"> </w:t>
      </w:r>
      <w:r w:rsidR="004471CF" w:rsidRPr="006C7A79">
        <w:rPr>
          <w:rFonts w:ascii="ITC Avant Garde" w:eastAsia="Arial" w:hAnsi="ITC Avant Garde" w:cs="Arial"/>
          <w:sz w:val="24"/>
          <w:szCs w:val="24"/>
        </w:rPr>
        <w:t>el Instituto</w:t>
      </w:r>
      <w:r w:rsidR="00E14554" w:rsidRPr="006C7A79">
        <w:rPr>
          <w:rFonts w:ascii="ITC Avant Garde" w:eastAsia="Arial" w:hAnsi="ITC Avant Garde" w:cs="Arial"/>
          <w:sz w:val="24"/>
          <w:szCs w:val="24"/>
        </w:rPr>
        <w:t>,</w:t>
      </w:r>
      <w:r w:rsidR="004471CF" w:rsidRPr="006C7A79">
        <w:rPr>
          <w:rFonts w:ascii="ITC Avant Garde" w:eastAsia="Arial" w:hAnsi="ITC Avant Garde" w:cs="Arial"/>
          <w:sz w:val="24"/>
          <w:szCs w:val="24"/>
        </w:rPr>
        <w:t xml:space="preserve"> </w:t>
      </w:r>
      <w:r w:rsidR="00E14554" w:rsidRPr="006C7A79">
        <w:rPr>
          <w:rFonts w:ascii="ITC Avant Garde" w:eastAsia="Arial" w:hAnsi="ITC Avant Garde" w:cs="Arial"/>
          <w:sz w:val="24"/>
          <w:szCs w:val="24"/>
        </w:rPr>
        <w:t xml:space="preserve">mediante la Tercera Consulta Pública </w:t>
      </w:r>
      <w:r w:rsidR="004471CF" w:rsidRPr="006C7A79">
        <w:rPr>
          <w:rFonts w:ascii="ITC Avant Garde" w:eastAsia="Arial" w:hAnsi="ITC Avant Garde" w:cs="Arial"/>
          <w:sz w:val="24"/>
          <w:szCs w:val="24"/>
        </w:rPr>
        <w:t>consideró</w:t>
      </w:r>
      <w:r w:rsidR="00E85B44" w:rsidRPr="006C7A79">
        <w:rPr>
          <w:rFonts w:ascii="ITC Avant Garde" w:eastAsia="Arial" w:hAnsi="ITC Avant Garde" w:cs="Arial"/>
          <w:sz w:val="24"/>
          <w:szCs w:val="24"/>
        </w:rPr>
        <w:t xml:space="preserve"> </w:t>
      </w:r>
      <w:r w:rsidR="0055261E" w:rsidRPr="006C7A79">
        <w:rPr>
          <w:rFonts w:ascii="ITC Avant Garde" w:eastAsia="Arial" w:hAnsi="ITC Avant Garde" w:cs="Arial"/>
          <w:sz w:val="24"/>
          <w:szCs w:val="24"/>
        </w:rPr>
        <w:t>conveniente</w:t>
      </w:r>
      <w:r w:rsidR="00E14554" w:rsidRPr="006C7A79">
        <w:rPr>
          <w:rFonts w:ascii="ITC Avant Garde" w:eastAsia="Arial" w:hAnsi="ITC Avant Garde" w:cs="Arial"/>
          <w:sz w:val="24"/>
          <w:szCs w:val="24"/>
        </w:rPr>
        <w:t xml:space="preserve"> prever</w:t>
      </w:r>
      <w:r w:rsidR="00530F66" w:rsidRPr="006C7A79">
        <w:rPr>
          <w:rFonts w:ascii="ITC Avant Garde" w:eastAsia="Arial" w:hAnsi="ITC Avant Garde" w:cs="Arial"/>
          <w:sz w:val="24"/>
          <w:szCs w:val="24"/>
        </w:rPr>
        <w:t xml:space="preserve"> una excepción </w:t>
      </w:r>
      <w:r w:rsidR="00FD6C7F" w:rsidRPr="006C7A79">
        <w:rPr>
          <w:rFonts w:ascii="ITC Avant Garde" w:eastAsia="Arial" w:hAnsi="ITC Avant Garde" w:cs="Arial"/>
          <w:sz w:val="24"/>
          <w:szCs w:val="24"/>
        </w:rPr>
        <w:t xml:space="preserve">temporal </w:t>
      </w:r>
      <w:r w:rsidR="00530F66" w:rsidRPr="006C7A79">
        <w:rPr>
          <w:rFonts w:ascii="ITC Avant Garde" w:eastAsia="Arial" w:hAnsi="ITC Avant Garde" w:cs="Arial"/>
          <w:sz w:val="24"/>
          <w:szCs w:val="24"/>
        </w:rPr>
        <w:t>a lo establecido en el numeral 7.2.1</w:t>
      </w:r>
      <w:r w:rsidR="00EF2FE8" w:rsidRPr="006C7A79">
        <w:rPr>
          <w:rFonts w:ascii="ITC Avant Garde" w:eastAsia="Arial" w:hAnsi="ITC Avant Garde" w:cs="Arial"/>
          <w:sz w:val="24"/>
          <w:szCs w:val="24"/>
        </w:rPr>
        <w:t>.</w:t>
      </w:r>
      <w:r w:rsidR="00530F66" w:rsidRPr="006C7A79">
        <w:rPr>
          <w:rFonts w:ascii="ITC Avant Garde" w:eastAsia="Arial" w:hAnsi="ITC Avant Garde" w:cs="Arial"/>
          <w:sz w:val="24"/>
          <w:szCs w:val="24"/>
        </w:rPr>
        <w:t xml:space="preserve"> </w:t>
      </w:r>
      <w:r w:rsidR="00A625B4" w:rsidRPr="006C7A79">
        <w:rPr>
          <w:rFonts w:ascii="ITC Avant Garde" w:eastAsia="Arial" w:hAnsi="ITC Avant Garde" w:cs="Arial"/>
          <w:sz w:val="24"/>
          <w:szCs w:val="24"/>
        </w:rPr>
        <w:t>de</w:t>
      </w:r>
      <w:r w:rsidR="00984CA8" w:rsidRPr="006C7A79">
        <w:rPr>
          <w:rFonts w:ascii="ITC Avant Garde" w:eastAsia="Arial" w:hAnsi="ITC Avant Garde" w:cs="Arial"/>
          <w:sz w:val="24"/>
          <w:szCs w:val="24"/>
        </w:rPr>
        <w:t>l nuevo PTFN</w:t>
      </w:r>
      <w:r w:rsidR="006C5204" w:rsidRPr="006C7A79">
        <w:rPr>
          <w:rFonts w:ascii="ITC Avant Garde" w:eastAsia="Arial" w:hAnsi="ITC Avant Garde" w:cs="Arial"/>
          <w:sz w:val="24"/>
          <w:szCs w:val="24"/>
        </w:rPr>
        <w:t>,</w:t>
      </w:r>
      <w:r w:rsidR="00FD1D99" w:rsidRPr="006C7A79">
        <w:rPr>
          <w:rFonts w:ascii="ITC Avant Garde" w:eastAsia="Arial" w:hAnsi="ITC Avant Garde" w:cs="Arial"/>
          <w:sz w:val="24"/>
          <w:szCs w:val="24"/>
        </w:rPr>
        <w:t xml:space="preserve"> </w:t>
      </w:r>
      <w:r w:rsidR="00AD25D0" w:rsidRPr="006C7A79">
        <w:rPr>
          <w:rFonts w:ascii="ITC Avant Garde" w:eastAsia="Arial" w:hAnsi="ITC Avant Garde" w:cs="Arial"/>
          <w:sz w:val="24"/>
          <w:szCs w:val="24"/>
        </w:rPr>
        <w:t>la cual aplicaba</w:t>
      </w:r>
      <w:r w:rsidR="00E0456B" w:rsidRPr="006C7A79">
        <w:rPr>
          <w:rFonts w:ascii="ITC Avant Garde" w:eastAsia="Arial" w:hAnsi="ITC Avant Garde" w:cs="Arial"/>
          <w:sz w:val="24"/>
          <w:szCs w:val="24"/>
        </w:rPr>
        <w:t xml:space="preserve"> </w:t>
      </w:r>
      <w:r w:rsidR="00C81966" w:rsidRPr="006C7A79">
        <w:rPr>
          <w:rFonts w:ascii="ITC Avant Garde" w:eastAsia="Arial" w:hAnsi="ITC Avant Garde" w:cs="Arial"/>
          <w:sz w:val="24"/>
          <w:szCs w:val="24"/>
        </w:rPr>
        <w:t xml:space="preserve">exclusivamente </w:t>
      </w:r>
      <w:r w:rsidR="004471CF" w:rsidRPr="006C7A79">
        <w:rPr>
          <w:rFonts w:ascii="ITC Avant Garde" w:eastAsia="Arial" w:hAnsi="ITC Avant Garde" w:cs="Arial"/>
          <w:sz w:val="24"/>
          <w:szCs w:val="24"/>
        </w:rPr>
        <w:t>a los proveedores del servicio de telefonía p</w:t>
      </w:r>
      <w:r w:rsidR="00530F66" w:rsidRPr="006C7A79">
        <w:rPr>
          <w:rFonts w:ascii="ITC Avant Garde" w:eastAsia="Arial" w:hAnsi="ITC Avant Garde" w:cs="Arial"/>
          <w:sz w:val="24"/>
          <w:szCs w:val="24"/>
        </w:rPr>
        <w:t>ública</w:t>
      </w:r>
      <w:r w:rsidR="00C93742" w:rsidRPr="006C7A79">
        <w:rPr>
          <w:rFonts w:ascii="ITC Avant Garde" w:eastAsia="Arial" w:hAnsi="ITC Avant Garde" w:cs="Arial"/>
          <w:sz w:val="24"/>
          <w:szCs w:val="24"/>
        </w:rPr>
        <w:t>,</w:t>
      </w:r>
      <w:r w:rsidR="00530F66" w:rsidRPr="006C7A79">
        <w:rPr>
          <w:rFonts w:ascii="ITC Avant Garde" w:eastAsia="Arial" w:hAnsi="ITC Avant Garde" w:cs="Arial"/>
          <w:sz w:val="24"/>
          <w:szCs w:val="24"/>
        </w:rPr>
        <w:t xml:space="preserve"> </w:t>
      </w:r>
      <w:r w:rsidR="00C81966" w:rsidRPr="006C7A79">
        <w:rPr>
          <w:rFonts w:ascii="ITC Avant Garde" w:eastAsia="Arial" w:hAnsi="ITC Avant Garde" w:cs="Arial"/>
          <w:sz w:val="24"/>
          <w:szCs w:val="24"/>
        </w:rPr>
        <w:t xml:space="preserve">y </w:t>
      </w:r>
      <w:r w:rsidR="00530F66" w:rsidRPr="006C7A79">
        <w:rPr>
          <w:rFonts w:ascii="ITC Avant Garde" w:eastAsia="Arial" w:hAnsi="ITC Avant Garde" w:cs="Arial"/>
          <w:sz w:val="24"/>
          <w:szCs w:val="24"/>
        </w:rPr>
        <w:t>a</w:t>
      </w:r>
      <w:r w:rsidR="004471CF" w:rsidRPr="006C7A79">
        <w:rPr>
          <w:rFonts w:ascii="ITC Avant Garde" w:eastAsia="Arial" w:hAnsi="ITC Avant Garde" w:cs="Arial"/>
          <w:sz w:val="24"/>
          <w:szCs w:val="24"/>
        </w:rPr>
        <w:t xml:space="preserve"> los usuarios de</w:t>
      </w:r>
      <w:r w:rsidR="00530F66" w:rsidRPr="006C7A79">
        <w:rPr>
          <w:rFonts w:ascii="ITC Avant Garde" w:eastAsia="Arial" w:hAnsi="ITC Avant Garde" w:cs="Arial"/>
          <w:sz w:val="24"/>
          <w:szCs w:val="24"/>
        </w:rPr>
        <w:t xml:space="preserve"> </w:t>
      </w:r>
      <w:r w:rsidR="004471CF" w:rsidRPr="006C7A79">
        <w:rPr>
          <w:rFonts w:ascii="ITC Avant Garde" w:eastAsia="Arial" w:hAnsi="ITC Avant Garde" w:cs="Arial"/>
          <w:sz w:val="24"/>
          <w:szCs w:val="24"/>
        </w:rPr>
        <w:t>centrales privadas de c</w:t>
      </w:r>
      <w:r w:rsidR="00530F66" w:rsidRPr="006C7A79">
        <w:rPr>
          <w:rFonts w:ascii="ITC Avant Garde" w:eastAsia="Arial" w:hAnsi="ITC Avant Garde" w:cs="Arial"/>
          <w:sz w:val="24"/>
          <w:szCs w:val="24"/>
        </w:rPr>
        <w:t>onmutación, qui</w:t>
      </w:r>
      <w:r w:rsidR="004471CF" w:rsidRPr="006C7A79">
        <w:rPr>
          <w:rFonts w:ascii="ITC Avant Garde" w:eastAsia="Arial" w:hAnsi="ITC Avant Garde" w:cs="Arial"/>
          <w:sz w:val="24"/>
          <w:szCs w:val="24"/>
        </w:rPr>
        <w:t>enes podía</w:t>
      </w:r>
      <w:r w:rsidR="005B2334" w:rsidRPr="006C7A79">
        <w:rPr>
          <w:rFonts w:ascii="ITC Avant Garde" w:eastAsia="Arial" w:hAnsi="ITC Avant Garde" w:cs="Arial"/>
          <w:sz w:val="24"/>
          <w:szCs w:val="24"/>
        </w:rPr>
        <w:t>n optar por mantener el uso de</w:t>
      </w:r>
      <w:r w:rsidR="00C93742" w:rsidRPr="006C7A79">
        <w:rPr>
          <w:rFonts w:ascii="ITC Avant Garde" w:eastAsia="Arial" w:hAnsi="ITC Avant Garde" w:cs="Arial"/>
          <w:sz w:val="24"/>
          <w:szCs w:val="24"/>
        </w:rPr>
        <w:t>l</w:t>
      </w:r>
      <w:r w:rsidR="005B2334" w:rsidRPr="006C7A79">
        <w:rPr>
          <w:rFonts w:ascii="ITC Avant Garde" w:eastAsia="Arial" w:hAnsi="ITC Avant Garde" w:cs="Arial"/>
          <w:sz w:val="24"/>
          <w:szCs w:val="24"/>
        </w:rPr>
        <w:t xml:space="preserve"> </w:t>
      </w:r>
      <w:r w:rsidR="00530F66" w:rsidRPr="006C7A79">
        <w:rPr>
          <w:rFonts w:ascii="ITC Avant Garde" w:eastAsia="Arial" w:hAnsi="ITC Avant Garde" w:cs="Arial"/>
          <w:sz w:val="24"/>
          <w:szCs w:val="24"/>
        </w:rPr>
        <w:t>prefijo 044</w:t>
      </w:r>
      <w:r w:rsidR="008C3401" w:rsidRPr="006C7A79">
        <w:rPr>
          <w:rFonts w:ascii="ITC Avant Garde" w:eastAsia="Arial" w:hAnsi="ITC Avant Garde" w:cs="Arial"/>
          <w:sz w:val="24"/>
          <w:szCs w:val="24"/>
        </w:rPr>
        <w:t xml:space="preserve"> </w:t>
      </w:r>
      <w:r w:rsidR="00FD6C7F" w:rsidRPr="006C7A79">
        <w:rPr>
          <w:rFonts w:ascii="ITC Avant Garde" w:eastAsia="Arial" w:hAnsi="ITC Avant Garde" w:cs="Arial"/>
          <w:sz w:val="24"/>
          <w:szCs w:val="24"/>
        </w:rPr>
        <w:t xml:space="preserve">para el establecimiento de llamadas nacionales a cualquier número móvil bajo la modalidad Móvil CPP </w:t>
      </w:r>
      <w:r w:rsidR="00D1773F" w:rsidRPr="006C7A79">
        <w:rPr>
          <w:rFonts w:ascii="ITC Avant Garde" w:eastAsia="Arial" w:hAnsi="ITC Avant Garde" w:cs="Arial"/>
          <w:sz w:val="24"/>
          <w:szCs w:val="24"/>
        </w:rPr>
        <w:t xml:space="preserve">y con ello </w:t>
      </w:r>
      <w:r w:rsidR="00FD1D99" w:rsidRPr="006C7A79">
        <w:rPr>
          <w:rFonts w:ascii="ITC Avant Garde" w:eastAsia="Arial" w:hAnsi="ITC Avant Garde" w:cs="Arial"/>
          <w:sz w:val="24"/>
          <w:szCs w:val="24"/>
        </w:rPr>
        <w:t xml:space="preserve">evitar afectaciones a </w:t>
      </w:r>
      <w:r w:rsidR="00D1773F" w:rsidRPr="006C7A79">
        <w:rPr>
          <w:rFonts w:ascii="ITC Avant Garde" w:eastAsia="Arial" w:hAnsi="ITC Avant Garde" w:cs="Arial"/>
          <w:sz w:val="24"/>
          <w:szCs w:val="24"/>
        </w:rPr>
        <w:t xml:space="preserve">sus esquemas de </w:t>
      </w:r>
      <w:r w:rsidR="005B2334" w:rsidRPr="006C7A79">
        <w:rPr>
          <w:rFonts w:ascii="ITC Avant Garde" w:eastAsia="Arial" w:hAnsi="ITC Avant Garde" w:cs="Arial"/>
          <w:sz w:val="24"/>
          <w:szCs w:val="24"/>
        </w:rPr>
        <w:t xml:space="preserve">operación y/o </w:t>
      </w:r>
      <w:r w:rsidR="00D1773F" w:rsidRPr="006C7A79">
        <w:rPr>
          <w:rFonts w:ascii="ITC Avant Garde" w:eastAsia="Arial" w:hAnsi="ITC Avant Garde" w:cs="Arial"/>
          <w:sz w:val="24"/>
          <w:szCs w:val="24"/>
        </w:rPr>
        <w:t>comercialización</w:t>
      </w:r>
      <w:r w:rsidR="00530F66" w:rsidRPr="006C7A79">
        <w:rPr>
          <w:rFonts w:ascii="ITC Avant Garde" w:eastAsia="Arial" w:hAnsi="ITC Avant Garde" w:cs="Arial"/>
          <w:sz w:val="24"/>
          <w:szCs w:val="24"/>
        </w:rPr>
        <w:t>.</w:t>
      </w:r>
      <w:r w:rsidR="00C2368B" w:rsidRPr="006C7A79">
        <w:rPr>
          <w:rFonts w:ascii="ITC Avant Garde" w:eastAsia="Arial" w:hAnsi="ITC Avant Garde" w:cs="Arial"/>
          <w:sz w:val="24"/>
          <w:szCs w:val="24"/>
        </w:rPr>
        <w:t xml:space="preserve"> Lo ante</w:t>
      </w:r>
      <w:r w:rsidR="004471CF" w:rsidRPr="006C7A79">
        <w:rPr>
          <w:rFonts w:ascii="ITC Avant Garde" w:eastAsia="Arial" w:hAnsi="ITC Avant Garde" w:cs="Arial"/>
          <w:sz w:val="24"/>
          <w:szCs w:val="24"/>
        </w:rPr>
        <w:t>rior</w:t>
      </w:r>
      <w:r w:rsidR="00E0456B" w:rsidRPr="006C7A79">
        <w:rPr>
          <w:rFonts w:ascii="ITC Avant Garde" w:eastAsia="Arial" w:hAnsi="ITC Avant Garde" w:cs="Arial"/>
          <w:sz w:val="24"/>
          <w:szCs w:val="24"/>
        </w:rPr>
        <w:t>,</w:t>
      </w:r>
      <w:r w:rsidR="004471CF" w:rsidRPr="006C7A79">
        <w:rPr>
          <w:rFonts w:ascii="ITC Avant Garde" w:eastAsia="Arial" w:hAnsi="ITC Avant Garde" w:cs="Arial"/>
          <w:sz w:val="24"/>
          <w:szCs w:val="24"/>
        </w:rPr>
        <w:t xml:space="preserve"> en el entendido que sería </w:t>
      </w:r>
      <w:r w:rsidR="00C2368B" w:rsidRPr="006C7A79">
        <w:rPr>
          <w:rFonts w:ascii="ITC Avant Garde" w:eastAsia="Arial" w:hAnsi="ITC Avant Garde" w:cs="Arial"/>
          <w:sz w:val="24"/>
          <w:szCs w:val="24"/>
        </w:rPr>
        <w:t>responsabilidad</w:t>
      </w:r>
      <w:r w:rsidR="00F94724" w:rsidRPr="006C7A79">
        <w:rPr>
          <w:rFonts w:ascii="ITC Avant Garde" w:eastAsia="Arial" w:hAnsi="ITC Avant Garde" w:cs="Arial"/>
          <w:sz w:val="24"/>
          <w:szCs w:val="24"/>
        </w:rPr>
        <w:t xml:space="preserve"> de</w:t>
      </w:r>
      <w:r w:rsidR="00C2368B" w:rsidRPr="006C7A79">
        <w:rPr>
          <w:rFonts w:ascii="ITC Avant Garde" w:eastAsia="Arial" w:hAnsi="ITC Avant Garde" w:cs="Arial"/>
          <w:sz w:val="24"/>
          <w:szCs w:val="24"/>
        </w:rPr>
        <w:t xml:space="preserve"> estos el informar a sus usuarios sobre </w:t>
      </w:r>
      <w:r w:rsidR="00B23700" w:rsidRPr="006C7A79">
        <w:rPr>
          <w:rFonts w:ascii="ITC Avant Garde" w:eastAsia="Arial" w:hAnsi="ITC Avant Garde" w:cs="Arial"/>
          <w:sz w:val="24"/>
          <w:szCs w:val="24"/>
        </w:rPr>
        <w:t xml:space="preserve">los procedimientos de marcación </w:t>
      </w:r>
      <w:r w:rsidR="0089060E" w:rsidRPr="006C7A79">
        <w:rPr>
          <w:rFonts w:ascii="ITC Avant Garde" w:eastAsia="Arial" w:hAnsi="ITC Avant Garde" w:cs="Arial"/>
          <w:sz w:val="24"/>
          <w:szCs w:val="24"/>
        </w:rPr>
        <w:t xml:space="preserve">específicos </w:t>
      </w:r>
      <w:r w:rsidR="00B23700" w:rsidRPr="006C7A79">
        <w:rPr>
          <w:rFonts w:ascii="ITC Avant Garde" w:eastAsia="Arial" w:hAnsi="ITC Avant Garde" w:cs="Arial"/>
          <w:sz w:val="24"/>
          <w:szCs w:val="24"/>
        </w:rPr>
        <w:t xml:space="preserve">aplicables. </w:t>
      </w:r>
    </w:p>
    <w:p w:rsidR="00984CA8" w:rsidRPr="006C7A79" w:rsidRDefault="00984CA8" w:rsidP="00873106">
      <w:pPr>
        <w:widowControl w:val="0"/>
        <w:autoSpaceDE w:val="0"/>
        <w:autoSpaceDN w:val="0"/>
        <w:spacing w:after="0" w:line="240" w:lineRule="auto"/>
        <w:jc w:val="both"/>
        <w:rPr>
          <w:rFonts w:ascii="ITC Avant Garde" w:eastAsia="Arial" w:hAnsi="ITC Avant Garde" w:cs="Arial"/>
          <w:b/>
          <w:sz w:val="24"/>
          <w:szCs w:val="24"/>
        </w:rPr>
      </w:pPr>
    </w:p>
    <w:p w:rsidR="00530F66" w:rsidRPr="006C7A79" w:rsidRDefault="00CF50EA"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 xml:space="preserve">La </w:t>
      </w:r>
      <w:r w:rsidR="00530F66" w:rsidRPr="006C7A79">
        <w:rPr>
          <w:rFonts w:ascii="ITC Avant Garde" w:eastAsia="Arial" w:hAnsi="ITC Avant Garde" w:cs="Arial"/>
          <w:sz w:val="24"/>
          <w:szCs w:val="24"/>
        </w:rPr>
        <w:t>excepción</w:t>
      </w:r>
      <w:r w:rsidRPr="006C7A79">
        <w:rPr>
          <w:rFonts w:ascii="ITC Avant Garde" w:eastAsia="Arial" w:hAnsi="ITC Avant Garde" w:cs="Arial"/>
          <w:sz w:val="24"/>
          <w:szCs w:val="24"/>
        </w:rPr>
        <w:t xml:space="preserve"> antes señalada</w:t>
      </w:r>
      <w:r w:rsidR="006A5F72" w:rsidRPr="006C7A79">
        <w:rPr>
          <w:rFonts w:ascii="ITC Avant Garde" w:eastAsia="Arial" w:hAnsi="ITC Avant Garde" w:cs="Arial"/>
          <w:sz w:val="24"/>
          <w:szCs w:val="24"/>
        </w:rPr>
        <w:t xml:space="preserve"> </w:t>
      </w:r>
      <w:r w:rsidR="004471CF" w:rsidRPr="006C7A79">
        <w:rPr>
          <w:rFonts w:ascii="ITC Avant Garde" w:eastAsia="Arial" w:hAnsi="ITC Avant Garde" w:cs="Arial"/>
          <w:sz w:val="24"/>
          <w:szCs w:val="24"/>
        </w:rPr>
        <w:t>tenía</w:t>
      </w:r>
      <w:r w:rsidR="0055261E" w:rsidRPr="006C7A79">
        <w:rPr>
          <w:rFonts w:ascii="ITC Avant Garde" w:eastAsia="Arial" w:hAnsi="ITC Avant Garde" w:cs="Arial"/>
          <w:sz w:val="24"/>
          <w:szCs w:val="24"/>
        </w:rPr>
        <w:t xml:space="preserve"> una vigencia de un año calendario contado a partir del 3 de agosto de 2019, fecha en que entrará en vigor la marcación</w:t>
      </w:r>
      <w:r w:rsidR="00C2368B" w:rsidRPr="006C7A79">
        <w:rPr>
          <w:rFonts w:ascii="ITC Avant Garde" w:eastAsia="Arial" w:hAnsi="ITC Avant Garde" w:cs="Arial"/>
          <w:sz w:val="24"/>
          <w:szCs w:val="24"/>
        </w:rPr>
        <w:t xml:space="preserve"> nacional uniforme a 10 dígitos. Este plazo </w:t>
      </w:r>
      <w:r w:rsidR="00B23700" w:rsidRPr="006C7A79">
        <w:rPr>
          <w:rFonts w:ascii="ITC Avant Garde" w:eastAsia="Arial" w:hAnsi="ITC Avant Garde" w:cs="Arial"/>
          <w:sz w:val="24"/>
          <w:szCs w:val="24"/>
        </w:rPr>
        <w:t xml:space="preserve">se </w:t>
      </w:r>
      <w:r w:rsidR="00C2368B" w:rsidRPr="006C7A79">
        <w:rPr>
          <w:rFonts w:ascii="ITC Avant Garde" w:eastAsia="Arial" w:hAnsi="ITC Avant Garde" w:cs="Arial"/>
          <w:sz w:val="24"/>
          <w:szCs w:val="24"/>
        </w:rPr>
        <w:t>otorga</w:t>
      </w:r>
      <w:r w:rsidR="004471CF" w:rsidRPr="006C7A79">
        <w:rPr>
          <w:rFonts w:ascii="ITC Avant Garde" w:eastAsia="Arial" w:hAnsi="ITC Avant Garde" w:cs="Arial"/>
          <w:sz w:val="24"/>
          <w:szCs w:val="24"/>
        </w:rPr>
        <w:t>ba</w:t>
      </w:r>
      <w:r w:rsidR="00C2368B" w:rsidRPr="006C7A79">
        <w:rPr>
          <w:rFonts w:ascii="ITC Avant Garde" w:eastAsia="Arial" w:hAnsi="ITC Avant Garde" w:cs="Arial"/>
          <w:sz w:val="24"/>
          <w:szCs w:val="24"/>
        </w:rPr>
        <w:t xml:space="preserve"> a efecto de que los </w:t>
      </w:r>
      <w:r w:rsidR="004471CF" w:rsidRPr="006C7A79">
        <w:rPr>
          <w:rFonts w:ascii="ITC Avant Garde" w:eastAsia="Arial" w:hAnsi="ITC Avant Garde" w:cs="Arial"/>
          <w:sz w:val="24"/>
          <w:szCs w:val="24"/>
        </w:rPr>
        <w:t>proveedores del servicio de telefonía p</w:t>
      </w:r>
      <w:r w:rsidR="00C2368B" w:rsidRPr="006C7A79">
        <w:rPr>
          <w:rFonts w:ascii="ITC Avant Garde" w:eastAsia="Arial" w:hAnsi="ITC Avant Garde" w:cs="Arial"/>
          <w:sz w:val="24"/>
          <w:szCs w:val="24"/>
        </w:rPr>
        <w:t xml:space="preserve">ública y los </w:t>
      </w:r>
      <w:r w:rsidR="004471CF" w:rsidRPr="006C7A79">
        <w:rPr>
          <w:rFonts w:ascii="ITC Avant Garde" w:eastAsia="Arial" w:hAnsi="ITC Avant Garde" w:cs="Arial"/>
          <w:sz w:val="24"/>
          <w:szCs w:val="24"/>
        </w:rPr>
        <w:t>usuarios de</w:t>
      </w:r>
      <w:r w:rsidR="00C2368B" w:rsidRPr="006C7A79">
        <w:rPr>
          <w:rFonts w:ascii="ITC Avant Garde" w:eastAsia="Arial" w:hAnsi="ITC Avant Garde" w:cs="Arial"/>
          <w:sz w:val="24"/>
          <w:szCs w:val="24"/>
        </w:rPr>
        <w:t xml:space="preserve"> </w:t>
      </w:r>
      <w:r w:rsidR="004471CF" w:rsidRPr="006C7A79">
        <w:rPr>
          <w:rFonts w:ascii="ITC Avant Garde" w:eastAsia="Arial" w:hAnsi="ITC Avant Garde" w:cs="Arial"/>
          <w:sz w:val="24"/>
          <w:szCs w:val="24"/>
        </w:rPr>
        <w:t>centrales privadas de c</w:t>
      </w:r>
      <w:r w:rsidR="00C2368B" w:rsidRPr="006C7A79">
        <w:rPr>
          <w:rFonts w:ascii="ITC Avant Garde" w:eastAsia="Arial" w:hAnsi="ITC Avant Garde" w:cs="Arial"/>
          <w:sz w:val="24"/>
          <w:szCs w:val="24"/>
        </w:rPr>
        <w:t>onmutación identifi</w:t>
      </w:r>
      <w:r w:rsidR="00F03CAA" w:rsidRPr="006C7A79">
        <w:rPr>
          <w:rFonts w:ascii="ITC Avant Garde" w:eastAsia="Arial" w:hAnsi="ITC Avant Garde" w:cs="Arial"/>
          <w:sz w:val="24"/>
          <w:szCs w:val="24"/>
        </w:rPr>
        <w:t>caran e implementaran</w:t>
      </w:r>
      <w:r w:rsidR="00AD25D0" w:rsidRPr="006C7A79">
        <w:rPr>
          <w:rFonts w:ascii="ITC Avant Garde" w:eastAsia="Arial" w:hAnsi="ITC Avant Garde" w:cs="Arial"/>
          <w:sz w:val="24"/>
          <w:szCs w:val="24"/>
        </w:rPr>
        <w:t>,</w:t>
      </w:r>
      <w:r w:rsidR="00B23700" w:rsidRPr="006C7A79">
        <w:rPr>
          <w:rFonts w:ascii="ITC Avant Garde" w:eastAsia="Arial" w:hAnsi="ITC Avant Garde" w:cs="Arial"/>
          <w:sz w:val="24"/>
          <w:szCs w:val="24"/>
        </w:rPr>
        <w:t xml:space="preserve"> con el apoyo de sus correspondientes </w:t>
      </w:r>
      <w:r w:rsidR="004471CF" w:rsidRPr="006C7A79">
        <w:rPr>
          <w:rFonts w:ascii="ITC Avant Garde" w:eastAsia="Arial" w:hAnsi="ITC Avant Garde" w:cs="Arial"/>
          <w:sz w:val="24"/>
          <w:szCs w:val="24"/>
        </w:rPr>
        <w:t>PST</w:t>
      </w:r>
      <w:r w:rsidR="00B23700" w:rsidRPr="006C7A79">
        <w:rPr>
          <w:rFonts w:ascii="ITC Avant Garde" w:eastAsia="Arial" w:hAnsi="ITC Avant Garde" w:cs="Arial"/>
          <w:sz w:val="24"/>
          <w:szCs w:val="24"/>
        </w:rPr>
        <w:t>,</w:t>
      </w:r>
      <w:r w:rsidR="00C2368B" w:rsidRPr="006C7A79">
        <w:rPr>
          <w:rFonts w:ascii="ITC Avant Garde" w:eastAsia="Arial" w:hAnsi="ITC Avant Garde" w:cs="Arial"/>
          <w:sz w:val="24"/>
          <w:szCs w:val="24"/>
        </w:rPr>
        <w:t xml:space="preserve"> esquemas técnicos y/o comerciales </w:t>
      </w:r>
      <w:r w:rsidR="00F03CAA" w:rsidRPr="006C7A79">
        <w:rPr>
          <w:rFonts w:ascii="ITC Avant Garde" w:eastAsia="Arial" w:hAnsi="ITC Avant Garde" w:cs="Arial"/>
          <w:sz w:val="24"/>
          <w:szCs w:val="24"/>
        </w:rPr>
        <w:t xml:space="preserve">a fin de </w:t>
      </w:r>
      <w:r w:rsidR="00C2368B" w:rsidRPr="006C7A79">
        <w:rPr>
          <w:rFonts w:ascii="ITC Avant Garde" w:eastAsia="Arial" w:hAnsi="ITC Avant Garde" w:cs="Arial"/>
          <w:sz w:val="24"/>
          <w:szCs w:val="24"/>
        </w:rPr>
        <w:t xml:space="preserve">adoptar definitivamente la marcación nacional uniforme a 10 dígitos. </w:t>
      </w:r>
    </w:p>
    <w:p w:rsidR="00773781" w:rsidRDefault="00773781" w:rsidP="00873106">
      <w:pPr>
        <w:widowControl w:val="0"/>
        <w:autoSpaceDE w:val="0"/>
        <w:autoSpaceDN w:val="0"/>
        <w:spacing w:after="0" w:line="240" w:lineRule="auto"/>
        <w:jc w:val="both"/>
        <w:rPr>
          <w:rFonts w:ascii="ITC Avant Garde" w:eastAsia="Arial" w:hAnsi="ITC Avant Garde" w:cs="Arial"/>
          <w:sz w:val="24"/>
          <w:szCs w:val="24"/>
        </w:rPr>
      </w:pPr>
    </w:p>
    <w:p w:rsidR="00C20B57" w:rsidRDefault="00C20B57" w:rsidP="00873106">
      <w:pPr>
        <w:widowControl w:val="0"/>
        <w:autoSpaceDE w:val="0"/>
        <w:autoSpaceDN w:val="0"/>
        <w:spacing w:after="0" w:line="240" w:lineRule="auto"/>
        <w:jc w:val="both"/>
        <w:rPr>
          <w:rFonts w:ascii="ITC Avant Garde" w:eastAsia="Arial" w:hAnsi="ITC Avant Garde" w:cs="Arial"/>
          <w:sz w:val="24"/>
          <w:szCs w:val="24"/>
        </w:rPr>
      </w:pPr>
    </w:p>
    <w:p w:rsidR="00C20B57" w:rsidRPr="006C7A79" w:rsidRDefault="00C20B57" w:rsidP="00873106">
      <w:pPr>
        <w:widowControl w:val="0"/>
        <w:autoSpaceDE w:val="0"/>
        <w:autoSpaceDN w:val="0"/>
        <w:spacing w:after="0" w:line="240" w:lineRule="auto"/>
        <w:jc w:val="both"/>
        <w:rPr>
          <w:rFonts w:ascii="ITC Avant Garde" w:eastAsia="Arial" w:hAnsi="ITC Avant Garde" w:cs="Arial"/>
          <w:sz w:val="24"/>
          <w:szCs w:val="24"/>
        </w:rPr>
      </w:pPr>
    </w:p>
    <w:p w:rsidR="004D28A0" w:rsidRPr="006C7A79" w:rsidRDefault="004471CF"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lastRenderedPageBreak/>
        <w:t>Finalmente, se consideró</w:t>
      </w:r>
      <w:r w:rsidR="004D28A0" w:rsidRPr="006C7A79">
        <w:rPr>
          <w:rFonts w:ascii="ITC Avant Garde" w:eastAsia="Arial" w:hAnsi="ITC Avant Garde" w:cs="Arial"/>
          <w:sz w:val="24"/>
          <w:szCs w:val="24"/>
        </w:rPr>
        <w:t xml:space="preserve"> relevante señalar que la excepción </w:t>
      </w:r>
      <w:r w:rsidR="00680183" w:rsidRPr="006C7A79">
        <w:rPr>
          <w:rFonts w:ascii="ITC Avant Garde" w:eastAsia="Arial" w:hAnsi="ITC Avant Garde" w:cs="Arial"/>
          <w:sz w:val="24"/>
          <w:szCs w:val="24"/>
        </w:rPr>
        <w:t xml:space="preserve">a </w:t>
      </w:r>
      <w:r w:rsidR="004D28A0" w:rsidRPr="006C7A79">
        <w:rPr>
          <w:rFonts w:ascii="ITC Avant Garde" w:eastAsia="Arial" w:hAnsi="ITC Avant Garde" w:cs="Arial"/>
          <w:sz w:val="24"/>
          <w:szCs w:val="24"/>
        </w:rPr>
        <w:t>los procedimientos de marcación no implica</w:t>
      </w:r>
      <w:r w:rsidRPr="006C7A79">
        <w:rPr>
          <w:rFonts w:ascii="ITC Avant Garde" w:eastAsia="Arial" w:hAnsi="ITC Avant Garde" w:cs="Arial"/>
          <w:sz w:val="24"/>
          <w:szCs w:val="24"/>
        </w:rPr>
        <w:t>ba</w:t>
      </w:r>
      <w:r w:rsidR="004D28A0" w:rsidRPr="006C7A79">
        <w:rPr>
          <w:rFonts w:ascii="ITC Avant Garde" w:eastAsia="Arial" w:hAnsi="ITC Avant Garde" w:cs="Arial"/>
          <w:sz w:val="24"/>
          <w:szCs w:val="24"/>
        </w:rPr>
        <w:t xml:space="preserve"> modificaciones a los formatos para el intercambio de información de la señalización establecidos en el </w:t>
      </w:r>
      <w:r w:rsidR="00C87980" w:rsidRPr="006C7A79">
        <w:rPr>
          <w:rFonts w:ascii="ITC Avant Garde" w:eastAsia="Arial" w:hAnsi="ITC Avant Garde" w:cs="Arial"/>
          <w:sz w:val="24"/>
          <w:szCs w:val="24"/>
        </w:rPr>
        <w:t>nuevo PTFS</w:t>
      </w:r>
      <w:r w:rsidR="004D28A0" w:rsidRPr="006C7A79">
        <w:rPr>
          <w:rFonts w:ascii="ITC Avant Garde" w:eastAsia="Arial" w:hAnsi="ITC Avant Garde" w:cs="Arial"/>
          <w:sz w:val="24"/>
          <w:szCs w:val="24"/>
        </w:rPr>
        <w:t>. P</w:t>
      </w:r>
      <w:r w:rsidRPr="006C7A79">
        <w:rPr>
          <w:rFonts w:ascii="ITC Avant Garde" w:eastAsia="Arial" w:hAnsi="ITC Avant Garde" w:cs="Arial"/>
          <w:sz w:val="24"/>
          <w:szCs w:val="24"/>
        </w:rPr>
        <w:t>or consiguiente, aun cuando el proveedor del servicio de telefonía pública o el u</w:t>
      </w:r>
      <w:r w:rsidR="004D28A0" w:rsidRPr="006C7A79">
        <w:rPr>
          <w:rFonts w:ascii="ITC Avant Garde" w:eastAsia="Arial" w:hAnsi="ITC Avant Garde" w:cs="Arial"/>
          <w:sz w:val="24"/>
          <w:szCs w:val="24"/>
        </w:rPr>
        <w:t>suario</w:t>
      </w:r>
      <w:r w:rsidRPr="006C7A79">
        <w:rPr>
          <w:rFonts w:ascii="ITC Avant Garde" w:eastAsia="Arial" w:hAnsi="ITC Avant Garde" w:cs="Arial"/>
          <w:sz w:val="24"/>
          <w:szCs w:val="24"/>
        </w:rPr>
        <w:t xml:space="preserve"> de centrales privadas de c</w:t>
      </w:r>
      <w:r w:rsidR="004D28A0" w:rsidRPr="006C7A79">
        <w:rPr>
          <w:rFonts w:ascii="ITC Avant Garde" w:eastAsia="Arial" w:hAnsi="ITC Avant Garde" w:cs="Arial"/>
          <w:sz w:val="24"/>
          <w:szCs w:val="24"/>
        </w:rPr>
        <w:t>onmutación g</w:t>
      </w:r>
      <w:r w:rsidRPr="006C7A79">
        <w:rPr>
          <w:rFonts w:ascii="ITC Avant Garde" w:eastAsia="Arial" w:hAnsi="ITC Avant Garde" w:cs="Arial"/>
          <w:sz w:val="24"/>
          <w:szCs w:val="24"/>
        </w:rPr>
        <w:t>eneraran</w:t>
      </w:r>
      <w:r w:rsidR="004D28A0" w:rsidRPr="006C7A79">
        <w:rPr>
          <w:rFonts w:ascii="ITC Avant Garde" w:eastAsia="Arial" w:hAnsi="ITC Avant Garde" w:cs="Arial"/>
          <w:sz w:val="24"/>
          <w:szCs w:val="24"/>
        </w:rPr>
        <w:t xml:space="preserve"> tráfico mediante la</w:t>
      </w:r>
      <w:r w:rsidRPr="006C7A79">
        <w:rPr>
          <w:rFonts w:ascii="ITC Avant Garde" w:eastAsia="Arial" w:hAnsi="ITC Avant Garde" w:cs="Arial"/>
          <w:sz w:val="24"/>
          <w:szCs w:val="24"/>
        </w:rPr>
        <w:t xml:space="preserve"> marcación del prefijo 044, sería</w:t>
      </w:r>
      <w:r w:rsidR="004D28A0" w:rsidRPr="006C7A79">
        <w:rPr>
          <w:rFonts w:ascii="ITC Avant Garde" w:eastAsia="Arial" w:hAnsi="ITC Avant Garde" w:cs="Arial"/>
          <w:sz w:val="24"/>
          <w:szCs w:val="24"/>
        </w:rPr>
        <w:t xml:space="preserve"> responsabilidad del </w:t>
      </w:r>
      <w:r w:rsidR="00FB5792" w:rsidRPr="006C7A79">
        <w:rPr>
          <w:rFonts w:ascii="ITC Avant Garde" w:eastAsia="Arial" w:hAnsi="ITC Avant Garde" w:cs="Arial"/>
          <w:sz w:val="24"/>
          <w:szCs w:val="24"/>
        </w:rPr>
        <w:t>concesionario</w:t>
      </w:r>
      <w:r w:rsidR="00C87980" w:rsidRPr="006C7A79">
        <w:rPr>
          <w:rFonts w:ascii="ITC Avant Garde" w:eastAsia="Arial" w:hAnsi="ITC Avant Garde" w:cs="Arial"/>
          <w:sz w:val="24"/>
          <w:szCs w:val="24"/>
        </w:rPr>
        <w:t>,</w:t>
      </w:r>
      <w:r w:rsidR="00AD25D0" w:rsidRPr="006C7A79">
        <w:rPr>
          <w:rFonts w:ascii="ITC Avant Garde" w:eastAsia="Arial" w:hAnsi="ITC Avant Garde" w:cs="Arial"/>
          <w:sz w:val="24"/>
          <w:szCs w:val="24"/>
        </w:rPr>
        <w:t xml:space="preserve"> </w:t>
      </w:r>
      <w:r w:rsidR="00FB5792" w:rsidRPr="006C7A79">
        <w:rPr>
          <w:rFonts w:ascii="ITC Avant Garde" w:eastAsia="Arial" w:hAnsi="ITC Avant Garde" w:cs="Arial"/>
          <w:sz w:val="24"/>
          <w:szCs w:val="24"/>
        </w:rPr>
        <w:t>en cuya red</w:t>
      </w:r>
      <w:r w:rsidR="001B3DD5" w:rsidRPr="006C7A79">
        <w:rPr>
          <w:rFonts w:ascii="ITC Avant Garde" w:eastAsia="Arial" w:hAnsi="ITC Avant Garde" w:cs="Arial"/>
          <w:sz w:val="24"/>
          <w:szCs w:val="24"/>
        </w:rPr>
        <w:t xml:space="preserve"> pública de telecomunicaciones</w:t>
      </w:r>
      <w:r w:rsidR="00FB5792" w:rsidRPr="006C7A79">
        <w:rPr>
          <w:rFonts w:ascii="ITC Avant Garde" w:eastAsia="Arial" w:hAnsi="ITC Avant Garde" w:cs="Arial"/>
          <w:sz w:val="24"/>
          <w:szCs w:val="24"/>
        </w:rPr>
        <w:t xml:space="preserve"> se origine la llamada,</w:t>
      </w:r>
      <w:r w:rsidR="004D28A0" w:rsidRPr="006C7A79">
        <w:rPr>
          <w:rFonts w:ascii="ITC Avant Garde" w:eastAsia="Arial" w:hAnsi="ITC Avant Garde" w:cs="Arial"/>
          <w:sz w:val="24"/>
          <w:szCs w:val="24"/>
        </w:rPr>
        <w:t xml:space="preserve"> adaptar los mensajes de señalización a lo establecido en el numeral 19.12</w:t>
      </w:r>
      <w:r w:rsidR="00EF2FE8" w:rsidRPr="006C7A79">
        <w:rPr>
          <w:rFonts w:ascii="ITC Avant Garde" w:eastAsia="Arial" w:hAnsi="ITC Avant Garde" w:cs="Arial"/>
          <w:sz w:val="24"/>
          <w:szCs w:val="24"/>
        </w:rPr>
        <w:t>.</w:t>
      </w:r>
      <w:r w:rsidR="004D28A0" w:rsidRPr="006C7A79">
        <w:rPr>
          <w:rFonts w:ascii="ITC Avant Garde" w:eastAsia="Arial" w:hAnsi="ITC Avant Garde" w:cs="Arial"/>
          <w:sz w:val="24"/>
          <w:szCs w:val="24"/>
        </w:rPr>
        <w:t xml:space="preserve"> del </w:t>
      </w:r>
      <w:r w:rsidR="00C87980" w:rsidRPr="006C7A79">
        <w:rPr>
          <w:rFonts w:ascii="ITC Avant Garde" w:eastAsia="Arial" w:hAnsi="ITC Avant Garde" w:cs="Arial"/>
          <w:sz w:val="24"/>
          <w:szCs w:val="24"/>
        </w:rPr>
        <w:t>nuevo PTFS</w:t>
      </w:r>
      <w:r w:rsidR="004D28A0" w:rsidRPr="006C7A79">
        <w:rPr>
          <w:rFonts w:ascii="ITC Avant Garde" w:eastAsia="Arial" w:hAnsi="ITC Avant Garde" w:cs="Arial"/>
          <w:sz w:val="24"/>
          <w:szCs w:val="24"/>
        </w:rPr>
        <w:t>.</w:t>
      </w:r>
    </w:p>
    <w:p w:rsidR="00E14554" w:rsidRPr="006C7A79" w:rsidRDefault="00E14554" w:rsidP="00873106">
      <w:pPr>
        <w:widowControl w:val="0"/>
        <w:autoSpaceDE w:val="0"/>
        <w:autoSpaceDN w:val="0"/>
        <w:spacing w:after="0" w:line="240" w:lineRule="auto"/>
        <w:jc w:val="both"/>
        <w:rPr>
          <w:rFonts w:ascii="ITC Avant Garde" w:eastAsia="Arial" w:hAnsi="ITC Avant Garde" w:cs="Arial"/>
          <w:sz w:val="24"/>
          <w:szCs w:val="24"/>
        </w:rPr>
      </w:pPr>
    </w:p>
    <w:p w:rsidR="00B72098" w:rsidRPr="006C7A79" w:rsidRDefault="00221829" w:rsidP="00873106">
      <w:pPr>
        <w:pStyle w:val="Texto"/>
        <w:spacing w:after="0" w:line="240" w:lineRule="auto"/>
        <w:ind w:firstLine="0"/>
        <w:rPr>
          <w:rFonts w:ascii="ITC Avant Garde" w:eastAsia="Arial" w:hAnsi="ITC Avant Garde"/>
          <w:b/>
          <w:sz w:val="24"/>
          <w:szCs w:val="24"/>
        </w:rPr>
      </w:pPr>
      <w:r w:rsidRPr="006C7A79">
        <w:rPr>
          <w:rFonts w:ascii="ITC Avant Garde" w:eastAsia="Arial" w:hAnsi="ITC Avant Garde"/>
          <w:b/>
          <w:sz w:val="24"/>
          <w:szCs w:val="24"/>
        </w:rPr>
        <w:t>CUARTO.</w:t>
      </w:r>
      <w:r w:rsidR="00C81966" w:rsidRPr="006C7A79">
        <w:rPr>
          <w:rFonts w:ascii="ITC Avant Garde" w:eastAsia="Arial" w:hAnsi="ITC Avant Garde"/>
          <w:b/>
          <w:sz w:val="24"/>
          <w:szCs w:val="24"/>
        </w:rPr>
        <w:t xml:space="preserve"> </w:t>
      </w:r>
      <w:r w:rsidR="001C3315" w:rsidRPr="006C7A79">
        <w:rPr>
          <w:rFonts w:ascii="ITC Avant Garde" w:eastAsia="Arial" w:hAnsi="ITC Avant Garde"/>
          <w:b/>
          <w:sz w:val="24"/>
          <w:szCs w:val="24"/>
        </w:rPr>
        <w:t xml:space="preserve">Análisis de las participaciones efectuadas en la </w:t>
      </w:r>
      <w:r w:rsidR="006A3273" w:rsidRPr="006C7A79">
        <w:rPr>
          <w:rFonts w:ascii="ITC Avant Garde" w:eastAsia="Arial" w:hAnsi="ITC Avant Garde"/>
          <w:b/>
          <w:sz w:val="24"/>
          <w:szCs w:val="24"/>
        </w:rPr>
        <w:t>Tercera</w:t>
      </w:r>
      <w:r w:rsidRPr="006C7A79">
        <w:rPr>
          <w:rFonts w:ascii="ITC Avant Garde" w:eastAsia="Arial" w:hAnsi="ITC Avant Garde"/>
          <w:b/>
          <w:sz w:val="24"/>
          <w:szCs w:val="24"/>
        </w:rPr>
        <w:t xml:space="preserve"> Consulta Pública.</w:t>
      </w:r>
      <w:r w:rsidRPr="006C7A79">
        <w:rPr>
          <w:rFonts w:ascii="ITC Avant Garde" w:eastAsia="Arial" w:hAnsi="ITC Avant Garde"/>
          <w:sz w:val="24"/>
          <w:szCs w:val="24"/>
        </w:rPr>
        <w:t xml:space="preserve"> </w:t>
      </w:r>
      <w:r w:rsidR="00B72098" w:rsidRPr="006C7A79">
        <w:rPr>
          <w:rFonts w:ascii="ITC Avant Garde" w:hAnsi="ITC Avant Garde"/>
          <w:kern w:val="2"/>
          <w:sz w:val="24"/>
          <w:szCs w:val="24"/>
          <w:lang w:val="es-ES_tradnl" w:eastAsia="ar-SA"/>
        </w:rPr>
        <w:t>En relación a</w:t>
      </w:r>
      <w:r w:rsidR="00B72098" w:rsidRPr="006C7A79">
        <w:rPr>
          <w:rFonts w:ascii="ITC Avant Garde" w:hAnsi="ITC Avant Garde"/>
          <w:b/>
          <w:bCs/>
          <w:kern w:val="2"/>
          <w:sz w:val="24"/>
          <w:szCs w:val="24"/>
          <w:lang w:val="es-ES_tradnl" w:eastAsia="ar-SA"/>
        </w:rPr>
        <w:t xml:space="preserve"> </w:t>
      </w:r>
      <w:r w:rsidR="00B72098" w:rsidRPr="006C7A79">
        <w:rPr>
          <w:rFonts w:ascii="ITC Avant Garde" w:hAnsi="ITC Avant Garde"/>
          <w:kern w:val="2"/>
          <w:sz w:val="24"/>
          <w:szCs w:val="24"/>
          <w:lang w:val="es-ES_tradnl" w:eastAsia="ar-SA"/>
        </w:rPr>
        <w:t xml:space="preserve">la propuesta de modificación al nuevo PTFN </w:t>
      </w:r>
      <w:r w:rsidR="00713351" w:rsidRPr="006C7A79">
        <w:rPr>
          <w:rFonts w:ascii="ITC Avant Garde" w:hAnsi="ITC Avant Garde"/>
          <w:kern w:val="2"/>
          <w:sz w:val="24"/>
          <w:szCs w:val="24"/>
          <w:lang w:val="es-ES_tradnl" w:eastAsia="ar-SA"/>
        </w:rPr>
        <w:t xml:space="preserve">que fue objeto de la Tercera Consulta Pública </w:t>
      </w:r>
      <w:r w:rsidR="00D339E3" w:rsidRPr="006C7A79">
        <w:rPr>
          <w:rFonts w:ascii="ITC Avant Garde" w:hAnsi="ITC Avant Garde"/>
          <w:kern w:val="2"/>
          <w:sz w:val="24"/>
          <w:szCs w:val="24"/>
          <w:lang w:val="es-ES_tradnl" w:eastAsia="ar-SA"/>
        </w:rPr>
        <w:t xml:space="preserve">y que se detalló en el Considerando anterior </w:t>
      </w:r>
      <w:r w:rsidR="00914D84">
        <w:rPr>
          <w:rFonts w:ascii="ITC Avant Garde" w:hAnsi="ITC Avant Garde"/>
          <w:kern w:val="2"/>
          <w:sz w:val="24"/>
          <w:szCs w:val="24"/>
          <w:lang w:val="es-ES_tradnl" w:eastAsia="ar-SA"/>
        </w:rPr>
        <w:t>diversos concesionarios</w:t>
      </w:r>
      <w:r w:rsidR="00B72098" w:rsidRPr="006C7A79">
        <w:rPr>
          <w:rFonts w:ascii="ITC Avant Garde" w:hAnsi="ITC Avant Garde"/>
          <w:kern w:val="2"/>
          <w:sz w:val="24"/>
          <w:szCs w:val="24"/>
          <w:lang w:val="es-ES_tradnl" w:eastAsia="ar-SA"/>
        </w:rPr>
        <w:t xml:space="preserve"> manifestaron que esta no resuelve totalmente la problemática planteada debido a que, en ambos casos, los equipos que no cuenten con la capacidad para analizar los rangos de numeración geográfica registrados en el Plan Nacional de Numeración que publica el Instituto, no podrán discriminar las llamadas que realicen los usuarios finales hacia números móviles bajo la modalidad Móvil CPP cuando estas se realicen mediante una marcación a 10 dígitos, es decir, sin anteponer el prefijo 044. </w:t>
      </w:r>
      <w:r w:rsidR="00D339E3" w:rsidRPr="006C7A79">
        <w:rPr>
          <w:rFonts w:ascii="ITC Avant Garde" w:hAnsi="ITC Avant Garde"/>
          <w:kern w:val="2"/>
          <w:sz w:val="24"/>
          <w:szCs w:val="24"/>
          <w:lang w:val="es-ES_tradnl" w:eastAsia="ar-SA"/>
        </w:rPr>
        <w:t>C</w:t>
      </w:r>
      <w:r w:rsidR="00B72098" w:rsidRPr="006C7A79">
        <w:rPr>
          <w:rFonts w:ascii="ITC Avant Garde" w:hAnsi="ITC Avant Garde"/>
          <w:kern w:val="2"/>
          <w:sz w:val="24"/>
          <w:szCs w:val="24"/>
          <w:lang w:val="es-ES_tradnl" w:eastAsia="ar-SA"/>
        </w:rPr>
        <w:t xml:space="preserve">omo resultado, estas llamadas se entregarán al PST con el que se tiene contratado el servicio </w:t>
      </w:r>
      <w:r w:rsidR="00D339E3" w:rsidRPr="006C7A79">
        <w:rPr>
          <w:rFonts w:ascii="ITC Avant Garde" w:hAnsi="ITC Avant Garde"/>
          <w:kern w:val="2"/>
          <w:sz w:val="24"/>
          <w:szCs w:val="24"/>
          <w:lang w:val="es-ES_tradnl" w:eastAsia="ar-SA"/>
        </w:rPr>
        <w:t xml:space="preserve">de </w:t>
      </w:r>
      <w:r w:rsidR="00B72098" w:rsidRPr="006C7A79">
        <w:rPr>
          <w:rFonts w:ascii="ITC Avant Garde" w:hAnsi="ITC Avant Garde"/>
          <w:kern w:val="2"/>
          <w:sz w:val="24"/>
          <w:szCs w:val="24"/>
          <w:lang w:val="es-ES_tradnl" w:eastAsia="ar-SA"/>
        </w:rPr>
        <w:t>telefonía y, en caso de que el cliente no haya acordado previamente con su PST los criterios de restricción aplicables a cada línea o grupos de líneas contratadas, permitirá que se establezca la comunicación y aplicará los cobros correspondientes.</w:t>
      </w:r>
    </w:p>
    <w:p w:rsidR="00B72098" w:rsidRPr="006C7A79" w:rsidRDefault="00B72098" w:rsidP="00873106">
      <w:pPr>
        <w:pStyle w:val="Texto"/>
        <w:spacing w:after="0" w:line="240" w:lineRule="auto"/>
        <w:ind w:firstLine="0"/>
        <w:rPr>
          <w:rFonts w:ascii="ITC Avant Garde" w:eastAsia="Arial" w:hAnsi="ITC Avant Garde"/>
          <w:b/>
          <w:sz w:val="24"/>
          <w:szCs w:val="24"/>
        </w:rPr>
      </w:pP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Por otra parte, durante el proceso de consulta pública, </w:t>
      </w:r>
      <w:r w:rsidR="00914D84">
        <w:rPr>
          <w:rFonts w:ascii="ITC Avant Garde" w:eastAsia="Times New Roman" w:hAnsi="ITC Avant Garde" w:cs="Arial"/>
          <w:kern w:val="2"/>
          <w:sz w:val="24"/>
          <w:szCs w:val="24"/>
          <w:lang w:val="es-ES_tradnl" w:eastAsia="ar-SA"/>
        </w:rPr>
        <w:t>diversas empresas</w:t>
      </w:r>
      <w:r w:rsidRPr="006C7A79">
        <w:rPr>
          <w:rFonts w:ascii="ITC Avant Garde" w:hAnsi="ITC Avant Garde" w:cs="Arial"/>
          <w:sz w:val="24"/>
          <w:szCs w:val="24"/>
        </w:rPr>
        <w:t xml:space="preserve"> </w:t>
      </w:r>
      <w:r w:rsidRPr="006C7A79">
        <w:rPr>
          <w:rFonts w:ascii="ITC Avant Garde" w:eastAsia="Times New Roman" w:hAnsi="ITC Avant Garde" w:cs="Arial"/>
          <w:kern w:val="2"/>
          <w:sz w:val="24"/>
          <w:szCs w:val="24"/>
          <w:lang w:val="es-ES_tradnl" w:eastAsia="ar-SA"/>
        </w:rPr>
        <w:t xml:space="preserve">hicieron del conocimiento del Instituto una problemática no identificada previamente que afectará a diversos sistemas de alarma y monitoreo remoto una vez que entre en vigor la marcación nacional uniforme a 10 dígitos el próximo 3 de agosto de 2019. </w:t>
      </w: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6E3E70" w:rsidRPr="006C7A79" w:rsidRDefault="00914D84"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Pr>
          <w:rFonts w:ascii="ITC Avant Garde" w:eastAsia="Times New Roman" w:hAnsi="ITC Avant Garde" w:cs="Arial"/>
          <w:kern w:val="2"/>
          <w:sz w:val="24"/>
          <w:szCs w:val="24"/>
          <w:lang w:val="es-ES_tradnl" w:eastAsia="ar-SA"/>
        </w:rPr>
        <w:t xml:space="preserve">Al respecto, los comentarios recibidos señalan </w:t>
      </w:r>
      <w:r w:rsidR="006E3E70" w:rsidRPr="006C7A79">
        <w:rPr>
          <w:rFonts w:ascii="ITC Avant Garde" w:eastAsia="Times New Roman" w:hAnsi="ITC Avant Garde" w:cs="Arial"/>
          <w:kern w:val="2"/>
          <w:sz w:val="24"/>
          <w:szCs w:val="24"/>
          <w:lang w:val="es-ES_tradnl" w:eastAsia="ar-SA"/>
        </w:rPr>
        <w:t xml:space="preserve">que diversas empresas dedicadas a la instalación de alarmas residenciales y comerciales con monitoreo, se verán afectadas con la entrada en vigor de la marcación nacional uniforme a 10 dígitos, en virtud de que los dispositivos instalados en los hogares, comercios y empresas de sus clientes se comunican a una central de monitoreo mediante el uso de una línea telefónica, propiedad del cliente o usuario final, utilizando los procedimientos de marcación vigentes en nuestro país. De esta forma, cuando uno de estos dispositivos es activado, realiza automáticamente una marcación local (8 dígitos en la Ciudad de México, Guadalajara y Monterrey o 7 dígitos en el resto del </w:t>
      </w:r>
      <w:r w:rsidR="006E3E70" w:rsidRPr="006C7A79">
        <w:rPr>
          <w:rFonts w:ascii="ITC Avant Garde" w:eastAsia="Times New Roman" w:hAnsi="ITC Avant Garde" w:cs="Arial"/>
          <w:kern w:val="2"/>
          <w:sz w:val="24"/>
          <w:szCs w:val="24"/>
          <w:lang w:val="es-ES_tradnl" w:eastAsia="ar-SA"/>
        </w:rPr>
        <w:lastRenderedPageBreak/>
        <w:t xml:space="preserve">país) o con cobro revertido (01-800). Una vez establecida la comunicación, el dispositivo envía una señal a la central de monitoreo con la finalidad de que se inicien los protocolos de atención correspondientes. </w:t>
      </w: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En este sentido, </w:t>
      </w:r>
      <w:r w:rsidR="00914D84">
        <w:rPr>
          <w:rFonts w:ascii="ITC Avant Garde" w:eastAsia="Times New Roman" w:hAnsi="ITC Avant Garde" w:cs="Arial"/>
          <w:kern w:val="2"/>
          <w:sz w:val="24"/>
          <w:szCs w:val="24"/>
          <w:lang w:val="es-ES_tradnl" w:eastAsia="ar-SA"/>
        </w:rPr>
        <w:t>estas</w:t>
      </w:r>
      <w:r w:rsidRPr="006C7A79">
        <w:rPr>
          <w:rFonts w:ascii="ITC Avant Garde" w:eastAsia="Times New Roman" w:hAnsi="ITC Avant Garde" w:cs="Arial"/>
          <w:kern w:val="2"/>
          <w:sz w:val="24"/>
          <w:szCs w:val="24"/>
          <w:lang w:val="es-ES_tradnl" w:eastAsia="ar-SA"/>
        </w:rPr>
        <w:t xml:space="preserve"> empresa</w:t>
      </w:r>
      <w:r w:rsidR="00E0679E">
        <w:rPr>
          <w:rFonts w:ascii="ITC Avant Garde" w:eastAsia="Times New Roman" w:hAnsi="ITC Avant Garde" w:cs="Arial"/>
          <w:kern w:val="2"/>
          <w:sz w:val="24"/>
          <w:szCs w:val="24"/>
          <w:lang w:val="es-ES_tradnl" w:eastAsia="ar-SA"/>
        </w:rPr>
        <w:t>s</w:t>
      </w:r>
      <w:r w:rsidRPr="006C7A79">
        <w:rPr>
          <w:rFonts w:ascii="ITC Avant Garde" w:eastAsia="Times New Roman" w:hAnsi="ITC Avant Garde" w:cs="Arial"/>
          <w:kern w:val="2"/>
          <w:sz w:val="24"/>
          <w:szCs w:val="24"/>
          <w:lang w:val="es-ES_tradnl" w:eastAsia="ar-SA"/>
        </w:rPr>
        <w:t xml:space="preserve"> indica</w:t>
      </w:r>
      <w:r w:rsidR="00E0679E">
        <w:rPr>
          <w:rFonts w:ascii="ITC Avant Garde" w:eastAsia="Times New Roman" w:hAnsi="ITC Avant Garde" w:cs="Arial"/>
          <w:kern w:val="2"/>
          <w:sz w:val="24"/>
          <w:szCs w:val="24"/>
          <w:lang w:val="es-ES_tradnl" w:eastAsia="ar-SA"/>
        </w:rPr>
        <w:t>n</w:t>
      </w:r>
      <w:r w:rsidRPr="006C7A79">
        <w:rPr>
          <w:rFonts w:ascii="ITC Avant Garde" w:eastAsia="Times New Roman" w:hAnsi="ITC Avant Garde" w:cs="Arial"/>
          <w:kern w:val="2"/>
          <w:sz w:val="24"/>
          <w:szCs w:val="24"/>
          <w:lang w:val="es-ES_tradnl" w:eastAsia="ar-SA"/>
        </w:rPr>
        <w:t xml:space="preserve"> que en tanto no se realice la reprogramación del número de destino de la central de monitoreo en los miles de dispositivos que operan actualmente, la comunicación no podrá establecerse. Por este motivo y dada la gran cantidad de dispositivos que deberán reconfigurarse presencial e individualmente por parte del personal técnico de estas empresas, es que se solicita al Instituto otorgar un plazo de un año, contado a partir de la fecha de entrada en vigor de la modificación al nuevo PTFN para concluir los trabajos de reconfiguración de los dispositivos a fin de no vulnerar la seguridad</w:t>
      </w:r>
      <w:r w:rsidR="00541640" w:rsidRPr="006C7A79">
        <w:rPr>
          <w:rFonts w:ascii="ITC Avant Garde" w:eastAsia="Times New Roman" w:hAnsi="ITC Avant Garde" w:cs="Arial"/>
          <w:kern w:val="2"/>
          <w:sz w:val="24"/>
          <w:szCs w:val="24"/>
          <w:lang w:val="es-ES_tradnl" w:eastAsia="ar-SA"/>
        </w:rPr>
        <w:t xml:space="preserve"> </w:t>
      </w:r>
      <w:r w:rsidRPr="006C7A79">
        <w:rPr>
          <w:rFonts w:ascii="ITC Avant Garde" w:eastAsia="Times New Roman" w:hAnsi="ITC Avant Garde" w:cs="Arial"/>
          <w:kern w:val="2"/>
          <w:sz w:val="24"/>
          <w:szCs w:val="24"/>
          <w:lang w:val="es-ES_tradnl" w:eastAsia="ar-SA"/>
        </w:rPr>
        <w:t xml:space="preserve">de los clientes que tienen contratados estos servicios.    </w:t>
      </w: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6E3E70" w:rsidRPr="006C7A79" w:rsidRDefault="0054164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Asimismo, </w:t>
      </w:r>
      <w:r w:rsidR="00914D84">
        <w:rPr>
          <w:rFonts w:ascii="ITC Avant Garde" w:eastAsia="Times New Roman" w:hAnsi="ITC Avant Garde" w:cs="Arial"/>
          <w:kern w:val="2"/>
          <w:sz w:val="24"/>
          <w:szCs w:val="24"/>
          <w:lang w:val="es-ES_tradnl" w:eastAsia="ar-SA"/>
        </w:rPr>
        <w:t>se</w:t>
      </w:r>
      <w:r w:rsidR="006E3E70" w:rsidRPr="006C7A79">
        <w:rPr>
          <w:rFonts w:ascii="ITC Avant Garde" w:eastAsia="Times New Roman" w:hAnsi="ITC Avant Garde" w:cs="Arial"/>
          <w:kern w:val="2"/>
          <w:sz w:val="24"/>
          <w:szCs w:val="24"/>
          <w:lang w:val="es-ES_tradnl" w:eastAsia="ar-SA"/>
        </w:rPr>
        <w:t xml:space="preserve"> señala que diversos sistemas que marcan automáticamente a números pregrabados dejarán de funcionar con la entrada en vigor de la ma</w:t>
      </w:r>
      <w:r w:rsidRPr="006C7A79">
        <w:rPr>
          <w:rFonts w:ascii="ITC Avant Garde" w:eastAsia="Times New Roman" w:hAnsi="ITC Avant Garde" w:cs="Arial"/>
          <w:kern w:val="2"/>
          <w:sz w:val="24"/>
          <w:szCs w:val="24"/>
          <w:lang w:val="es-ES_tradnl" w:eastAsia="ar-SA"/>
        </w:rPr>
        <w:t>rcación nacional uniforme a 10</w:t>
      </w:r>
      <w:r w:rsidR="006E3E70" w:rsidRPr="006C7A79">
        <w:rPr>
          <w:rFonts w:ascii="ITC Avant Garde" w:eastAsia="Times New Roman" w:hAnsi="ITC Avant Garde" w:cs="Arial"/>
          <w:kern w:val="2"/>
          <w:sz w:val="24"/>
          <w:szCs w:val="24"/>
          <w:lang w:val="es-ES_tradnl" w:eastAsia="ar-SA"/>
        </w:rPr>
        <w:t xml:space="preserve"> dígitos, ya que se encuentran configurados para comunicarse por medio de una marcación hacia números telefónicos locales de 7 u 8 dígitos e incluso a números no geográficos con cobro revertido (01 800). Esta situación afectará no sólo a servicios particulares de seguridad, sino también a los gobiernos estatales y municipales que han instalado este tipo de alarmas en lugares públicos o que han proporcionado equipos de alarma a comercios y hogares, resultando imposible reprogramarlos o reemplazarlos antes de la entrada en vigor de la marcación nacional uniforme a </w:t>
      </w:r>
      <w:r w:rsidRPr="006C7A79">
        <w:rPr>
          <w:rFonts w:ascii="ITC Avant Garde" w:eastAsia="Times New Roman" w:hAnsi="ITC Avant Garde" w:cs="Arial"/>
          <w:kern w:val="2"/>
          <w:sz w:val="24"/>
          <w:szCs w:val="24"/>
          <w:lang w:val="es-ES_tradnl" w:eastAsia="ar-SA"/>
        </w:rPr>
        <w:t>10</w:t>
      </w:r>
      <w:r w:rsidR="006E3E70" w:rsidRPr="006C7A79">
        <w:rPr>
          <w:rFonts w:ascii="ITC Avant Garde" w:eastAsia="Times New Roman" w:hAnsi="ITC Avant Garde" w:cs="Arial"/>
          <w:kern w:val="2"/>
          <w:sz w:val="24"/>
          <w:szCs w:val="24"/>
          <w:lang w:val="es-ES_tradnl" w:eastAsia="ar-SA"/>
        </w:rPr>
        <w:t xml:space="preserve"> dígitos, comprometiéndose la seguridad pública y privada. </w:t>
      </w: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6E3E70" w:rsidRPr="006C7A79" w:rsidRDefault="006E3E70" w:rsidP="006E3E7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En este sentido, </w:t>
      </w:r>
      <w:r w:rsidR="00914D84">
        <w:rPr>
          <w:rFonts w:ascii="ITC Avant Garde" w:eastAsia="Times New Roman" w:hAnsi="ITC Avant Garde" w:cs="Arial"/>
          <w:kern w:val="2"/>
          <w:sz w:val="24"/>
          <w:szCs w:val="24"/>
          <w:lang w:val="es-ES_tradnl" w:eastAsia="ar-SA"/>
        </w:rPr>
        <w:t>se</w:t>
      </w:r>
      <w:r w:rsidRPr="006C7A79">
        <w:rPr>
          <w:rFonts w:ascii="ITC Avant Garde" w:eastAsia="Times New Roman" w:hAnsi="ITC Avant Garde" w:cs="Arial"/>
          <w:kern w:val="2"/>
          <w:sz w:val="24"/>
          <w:szCs w:val="24"/>
          <w:lang w:val="es-ES_tradnl" w:eastAsia="ar-SA"/>
        </w:rPr>
        <w:t xml:space="preserve"> </w:t>
      </w:r>
      <w:r w:rsidR="00541640" w:rsidRPr="006C7A79">
        <w:rPr>
          <w:rFonts w:ascii="ITC Avant Garde" w:eastAsia="Times New Roman" w:hAnsi="ITC Avant Garde" w:cs="Arial"/>
          <w:kern w:val="2"/>
          <w:sz w:val="24"/>
          <w:szCs w:val="24"/>
          <w:lang w:val="es-ES_tradnl" w:eastAsia="ar-SA"/>
        </w:rPr>
        <w:t>solicitó</w:t>
      </w:r>
      <w:r w:rsidRPr="006C7A79">
        <w:rPr>
          <w:rFonts w:ascii="ITC Avant Garde" w:eastAsia="Times New Roman" w:hAnsi="ITC Avant Garde" w:cs="Arial"/>
          <w:kern w:val="2"/>
          <w:sz w:val="24"/>
          <w:szCs w:val="24"/>
          <w:lang w:val="es-ES_tradnl" w:eastAsia="ar-SA"/>
        </w:rPr>
        <w:t xml:space="preserve"> al Instituto incorporar, en la modificación que</w:t>
      </w:r>
      <w:r w:rsidR="00541640" w:rsidRPr="006C7A79">
        <w:rPr>
          <w:rFonts w:ascii="ITC Avant Garde" w:eastAsia="Times New Roman" w:hAnsi="ITC Avant Garde" w:cs="Arial"/>
          <w:kern w:val="2"/>
          <w:sz w:val="24"/>
          <w:szCs w:val="24"/>
          <w:lang w:val="es-ES_tradnl" w:eastAsia="ar-SA"/>
        </w:rPr>
        <w:t>,</w:t>
      </w:r>
      <w:r w:rsidRPr="006C7A79">
        <w:rPr>
          <w:rFonts w:ascii="ITC Avant Garde" w:eastAsia="Times New Roman" w:hAnsi="ITC Avant Garde" w:cs="Arial"/>
          <w:kern w:val="2"/>
          <w:sz w:val="24"/>
          <w:szCs w:val="24"/>
          <w:lang w:val="es-ES_tradnl" w:eastAsia="ar-SA"/>
        </w:rPr>
        <w:t xml:space="preserve"> en su caso</w:t>
      </w:r>
      <w:r w:rsidR="00541640" w:rsidRPr="006C7A79">
        <w:rPr>
          <w:rFonts w:ascii="ITC Avant Garde" w:eastAsia="Times New Roman" w:hAnsi="ITC Avant Garde" w:cs="Arial"/>
          <w:kern w:val="2"/>
          <w:sz w:val="24"/>
          <w:szCs w:val="24"/>
          <w:lang w:val="es-ES_tradnl" w:eastAsia="ar-SA"/>
        </w:rPr>
        <w:t>, se realice al nuevo PTFN</w:t>
      </w:r>
      <w:r w:rsidRPr="006C7A79">
        <w:rPr>
          <w:rFonts w:ascii="ITC Avant Garde" w:eastAsia="Times New Roman" w:hAnsi="ITC Avant Garde" w:cs="Arial"/>
          <w:kern w:val="2"/>
          <w:sz w:val="24"/>
          <w:szCs w:val="24"/>
          <w:lang w:val="es-ES_tradnl" w:eastAsia="ar-SA"/>
        </w:rPr>
        <w:t xml:space="preserve"> una excepción para aquellos prestadores de servicios relacionados con sistemas de seguridad y vigilancia que operan a través de marcaciones automáticas a números locales y números no geográficos con cobro revertido, a fin de que se puedan seguir prestando dichos servicios o, en su caso, se otorgue un plazo suficiente para efectuar los cambios necesarios en la configuración de cada uno de los sistemas de seguridad y vigilancia que operen en el país en la forma antes descrita.</w:t>
      </w:r>
    </w:p>
    <w:p w:rsidR="006E3E70" w:rsidRPr="006C7A79" w:rsidRDefault="006E3E70" w:rsidP="00873106">
      <w:pPr>
        <w:pStyle w:val="Texto"/>
        <w:spacing w:after="0" w:line="240" w:lineRule="auto"/>
        <w:ind w:firstLine="0"/>
        <w:rPr>
          <w:rFonts w:ascii="ITC Avant Garde" w:hAnsi="ITC Avant Garde"/>
          <w:kern w:val="2"/>
          <w:sz w:val="24"/>
          <w:szCs w:val="24"/>
          <w:lang w:val="es-ES_tradnl" w:eastAsia="ar-SA"/>
        </w:rPr>
      </w:pPr>
    </w:p>
    <w:p w:rsidR="00541640" w:rsidRPr="006C7A79" w:rsidRDefault="00541640" w:rsidP="0054164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De la lectura a las participaciones remitidas por </w:t>
      </w:r>
      <w:r w:rsidR="00914D84">
        <w:rPr>
          <w:rFonts w:ascii="ITC Avant Garde" w:eastAsia="Times New Roman" w:hAnsi="ITC Avant Garde" w:cs="Arial"/>
          <w:kern w:val="2"/>
          <w:sz w:val="24"/>
          <w:szCs w:val="24"/>
          <w:lang w:val="es-ES_tradnl" w:eastAsia="ar-SA"/>
        </w:rPr>
        <w:t>diversas empresas</w:t>
      </w:r>
      <w:r w:rsidRPr="006C7A79">
        <w:rPr>
          <w:rFonts w:ascii="ITC Avant Garde" w:eastAsia="Times New Roman" w:hAnsi="ITC Avant Garde" w:cs="Arial"/>
          <w:kern w:val="2"/>
          <w:sz w:val="24"/>
          <w:szCs w:val="24"/>
          <w:lang w:val="es-ES_tradnl" w:eastAsia="ar-SA"/>
        </w:rPr>
        <w:t>, resulta preocupante que las problemáticas descritas se hagan del conocimiento del Instituto faltando menos de dos meses para la entrada en vigor de la ma</w:t>
      </w:r>
      <w:r w:rsidR="00582FE8" w:rsidRPr="006C7A79">
        <w:rPr>
          <w:rFonts w:ascii="ITC Avant Garde" w:eastAsia="Times New Roman" w:hAnsi="ITC Avant Garde" w:cs="Arial"/>
          <w:kern w:val="2"/>
          <w:sz w:val="24"/>
          <w:szCs w:val="24"/>
          <w:lang w:val="es-ES_tradnl" w:eastAsia="ar-SA"/>
        </w:rPr>
        <w:t>rcación nacional uniforme a 10</w:t>
      </w:r>
      <w:r w:rsidRPr="006C7A79">
        <w:rPr>
          <w:rFonts w:ascii="ITC Avant Garde" w:eastAsia="Times New Roman" w:hAnsi="ITC Avant Garde" w:cs="Arial"/>
          <w:kern w:val="2"/>
          <w:sz w:val="24"/>
          <w:szCs w:val="24"/>
          <w:lang w:val="es-ES_tradnl" w:eastAsia="ar-SA"/>
        </w:rPr>
        <w:t xml:space="preserve"> dígitos, más aún si consideramos que </w:t>
      </w:r>
      <w:r w:rsidRPr="006C7A79">
        <w:rPr>
          <w:rFonts w:ascii="ITC Avant Garde" w:eastAsia="Times New Roman" w:hAnsi="ITC Avant Garde" w:cs="Arial"/>
          <w:kern w:val="2"/>
          <w:sz w:val="24"/>
          <w:szCs w:val="24"/>
          <w:lang w:val="es-ES_tradnl" w:eastAsia="ar-SA"/>
        </w:rPr>
        <w:lastRenderedPageBreak/>
        <w:t>el cambio en los procedimientos de marcación aplicables en el país han sido objeto de diversas consultas públicas y difundidos</w:t>
      </w:r>
      <w:r w:rsidR="00582FE8" w:rsidRPr="006C7A79">
        <w:rPr>
          <w:rFonts w:ascii="ITC Avant Garde" w:eastAsia="Times New Roman" w:hAnsi="ITC Avant Garde" w:cs="Arial"/>
          <w:kern w:val="2"/>
          <w:sz w:val="24"/>
          <w:szCs w:val="24"/>
          <w:lang w:val="es-ES_tradnl" w:eastAsia="ar-SA"/>
        </w:rPr>
        <w:t xml:space="preserve"> en diversas ocasiones.</w:t>
      </w:r>
    </w:p>
    <w:p w:rsidR="00177F46" w:rsidRPr="006C7A79" w:rsidRDefault="00177F46" w:rsidP="0054164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582FE8" w:rsidRPr="006C7A79" w:rsidRDefault="00582FE8" w:rsidP="00582FE8">
      <w:pPr>
        <w:pStyle w:val="Texto"/>
        <w:spacing w:after="0" w:line="240" w:lineRule="auto"/>
        <w:ind w:firstLine="0"/>
        <w:rPr>
          <w:rFonts w:ascii="ITC Avant Garde" w:hAnsi="ITC Avant Garde"/>
          <w:kern w:val="2"/>
          <w:sz w:val="24"/>
          <w:szCs w:val="24"/>
          <w:lang w:val="es-ES_tradnl" w:eastAsia="ar-SA"/>
        </w:rPr>
      </w:pPr>
      <w:r w:rsidRPr="006C7A79">
        <w:rPr>
          <w:rFonts w:ascii="ITC Avant Garde" w:hAnsi="ITC Avant Garde"/>
          <w:kern w:val="2"/>
          <w:sz w:val="24"/>
          <w:szCs w:val="24"/>
          <w:lang w:val="es-ES_tradnl" w:eastAsia="ar-SA"/>
        </w:rPr>
        <w:t xml:space="preserve">No obstante lo anterior, es necesario destacar que los servicios que se prestan a través de los sistemas de alarma y monitoreo remoto que operan en el país </w:t>
      </w:r>
      <w:r w:rsidR="005355CB" w:rsidRPr="006C7A79">
        <w:rPr>
          <w:rFonts w:ascii="ITC Avant Garde" w:hAnsi="ITC Avant Garde"/>
          <w:kern w:val="2"/>
          <w:sz w:val="24"/>
          <w:szCs w:val="24"/>
          <w:lang w:val="es-ES_tradnl" w:eastAsia="ar-SA"/>
        </w:rPr>
        <w:t xml:space="preserve">se </w:t>
      </w:r>
      <w:r w:rsidRPr="006C7A79">
        <w:rPr>
          <w:rFonts w:ascii="ITC Avant Garde" w:hAnsi="ITC Avant Garde"/>
          <w:kern w:val="2"/>
          <w:sz w:val="24"/>
          <w:szCs w:val="24"/>
          <w:lang w:val="es-ES_tradnl" w:eastAsia="ar-SA"/>
        </w:rPr>
        <w:t>destaca</w:t>
      </w:r>
      <w:r w:rsidR="005355CB" w:rsidRPr="006C7A79">
        <w:rPr>
          <w:rFonts w:ascii="ITC Avant Garde" w:hAnsi="ITC Avant Garde"/>
          <w:kern w:val="2"/>
          <w:sz w:val="24"/>
          <w:szCs w:val="24"/>
          <w:lang w:val="es-ES_tradnl" w:eastAsia="ar-SA"/>
        </w:rPr>
        <w:t>n</w:t>
      </w:r>
      <w:r w:rsidRPr="006C7A79">
        <w:rPr>
          <w:rFonts w:ascii="ITC Avant Garde" w:hAnsi="ITC Avant Garde"/>
          <w:kern w:val="2"/>
          <w:sz w:val="24"/>
          <w:szCs w:val="24"/>
          <w:lang w:val="es-ES_tradnl" w:eastAsia="ar-SA"/>
        </w:rPr>
        <w:t xml:space="preserve"> los que son destinados a la prestación de servicios relacionados con la seguridad pública, ya que no resulta ajeno para </w:t>
      </w:r>
      <w:r w:rsidR="005355CB" w:rsidRPr="006C7A79">
        <w:rPr>
          <w:rFonts w:ascii="ITC Avant Garde" w:hAnsi="ITC Avant Garde"/>
          <w:kern w:val="2"/>
          <w:sz w:val="24"/>
          <w:szCs w:val="24"/>
          <w:lang w:val="es-ES_tradnl" w:eastAsia="ar-SA"/>
        </w:rPr>
        <w:t>el Instituto</w:t>
      </w:r>
      <w:r w:rsidRPr="006C7A79">
        <w:rPr>
          <w:rFonts w:ascii="ITC Avant Garde" w:hAnsi="ITC Avant Garde"/>
          <w:kern w:val="2"/>
          <w:sz w:val="24"/>
          <w:szCs w:val="24"/>
          <w:lang w:val="es-ES_tradnl" w:eastAsia="ar-SA"/>
        </w:rPr>
        <w:t xml:space="preserve"> la compleja situación que guarda actualmente nuestro país en esta materia</w:t>
      </w:r>
      <w:r w:rsidR="005355CB" w:rsidRPr="006C7A79">
        <w:rPr>
          <w:rFonts w:ascii="ITC Avant Garde" w:hAnsi="ITC Avant Garde"/>
          <w:kern w:val="2"/>
          <w:sz w:val="24"/>
          <w:szCs w:val="24"/>
          <w:lang w:val="es-ES_tradnl" w:eastAsia="ar-SA"/>
        </w:rPr>
        <w:t xml:space="preserve">, y que ha llevado a que en respuesta </w:t>
      </w:r>
      <w:r w:rsidRPr="006C7A79">
        <w:rPr>
          <w:rFonts w:ascii="ITC Avant Garde" w:hAnsi="ITC Avant Garde"/>
          <w:kern w:val="2"/>
          <w:sz w:val="24"/>
          <w:szCs w:val="24"/>
          <w:lang w:val="es-ES_tradnl" w:eastAsia="ar-SA"/>
        </w:rPr>
        <w:t>a las demandas de la ciudadanía</w:t>
      </w:r>
      <w:r w:rsidR="005355CB" w:rsidRPr="006C7A79">
        <w:rPr>
          <w:rFonts w:ascii="ITC Avant Garde" w:hAnsi="ITC Avant Garde"/>
          <w:kern w:val="2"/>
          <w:sz w:val="24"/>
          <w:szCs w:val="24"/>
          <w:lang w:val="es-ES_tradnl" w:eastAsia="ar-SA"/>
        </w:rPr>
        <w:t xml:space="preserve"> de garantizar su integridad física y patrimonial</w:t>
      </w:r>
      <w:r w:rsidRPr="006C7A79">
        <w:rPr>
          <w:rFonts w:ascii="ITC Avant Garde" w:hAnsi="ITC Avant Garde"/>
          <w:kern w:val="2"/>
          <w:sz w:val="24"/>
          <w:szCs w:val="24"/>
          <w:lang w:val="es-ES_tradnl" w:eastAsia="ar-SA"/>
        </w:rPr>
        <w:t>, algunas autoridades locales y estatales en el país han implementado programas de instalación y repartición de botones de auxilio o alarmas vecinales</w:t>
      </w:r>
      <w:r w:rsidR="0073735A">
        <w:rPr>
          <w:rFonts w:ascii="ITC Avant Garde" w:hAnsi="ITC Avant Garde"/>
          <w:kern w:val="2"/>
          <w:sz w:val="24"/>
          <w:szCs w:val="24"/>
          <w:lang w:val="es-ES_tradnl" w:eastAsia="ar-SA"/>
        </w:rPr>
        <w:t>.</w:t>
      </w:r>
      <w:r w:rsidRPr="006C7A79">
        <w:rPr>
          <w:rFonts w:ascii="ITC Avant Garde" w:hAnsi="ITC Avant Garde"/>
          <w:kern w:val="2"/>
          <w:sz w:val="24"/>
          <w:szCs w:val="24"/>
          <w:lang w:val="es-ES_tradnl" w:eastAsia="ar-SA"/>
        </w:rPr>
        <w:t xml:space="preserve"> con la finalidad de promover el combate a la inseguridad y la participación de la población para notificar inmediatamente a las autoridades situaciones de riesgo o emergencia</w:t>
      </w:r>
      <w:r w:rsidR="005355CB" w:rsidRPr="006C7A79">
        <w:rPr>
          <w:rFonts w:ascii="ITC Avant Garde" w:hAnsi="ITC Avant Garde"/>
          <w:kern w:val="2"/>
          <w:sz w:val="24"/>
          <w:szCs w:val="24"/>
          <w:lang w:val="es-ES_tradnl" w:eastAsia="ar-SA"/>
        </w:rPr>
        <w:t>.</w:t>
      </w:r>
    </w:p>
    <w:p w:rsidR="00582FE8" w:rsidRPr="006C7A79" w:rsidRDefault="00582FE8" w:rsidP="00541640">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B86DCE" w:rsidRPr="006C7A79" w:rsidRDefault="00B86DCE" w:rsidP="00582FE8">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En ese sentido</w:t>
      </w:r>
      <w:r w:rsidR="00541640" w:rsidRPr="006C7A79">
        <w:rPr>
          <w:rFonts w:ascii="ITC Avant Garde" w:eastAsia="Times New Roman" w:hAnsi="ITC Avant Garde" w:cs="Arial"/>
          <w:kern w:val="2"/>
          <w:sz w:val="24"/>
          <w:szCs w:val="24"/>
          <w:lang w:val="es-ES_tradnl" w:eastAsia="ar-SA"/>
        </w:rPr>
        <w:t>, es un hecho que</w:t>
      </w:r>
      <w:r w:rsidRPr="006C7A79">
        <w:rPr>
          <w:rFonts w:ascii="ITC Avant Garde" w:eastAsia="Times New Roman" w:hAnsi="ITC Avant Garde" w:cs="Arial"/>
          <w:kern w:val="2"/>
          <w:sz w:val="24"/>
          <w:szCs w:val="24"/>
          <w:lang w:val="es-ES_tradnl" w:eastAsia="ar-SA"/>
        </w:rPr>
        <w:t>,</w:t>
      </w:r>
      <w:r w:rsidR="00541640" w:rsidRPr="006C7A79">
        <w:rPr>
          <w:rFonts w:ascii="ITC Avant Garde" w:eastAsia="Times New Roman" w:hAnsi="ITC Avant Garde" w:cs="Arial"/>
          <w:kern w:val="2"/>
          <w:sz w:val="24"/>
          <w:szCs w:val="24"/>
          <w:lang w:val="es-ES_tradnl" w:eastAsia="ar-SA"/>
        </w:rPr>
        <w:t xml:space="preserve"> a pesar de no ser materia de la consulta pública, la problemática </w:t>
      </w:r>
      <w:r w:rsidR="00BC7FEA" w:rsidRPr="006C7A79">
        <w:rPr>
          <w:rFonts w:ascii="ITC Avant Garde" w:eastAsia="Times New Roman" w:hAnsi="ITC Avant Garde" w:cs="Arial"/>
          <w:kern w:val="2"/>
          <w:sz w:val="24"/>
          <w:szCs w:val="24"/>
          <w:lang w:val="es-ES_tradnl" w:eastAsia="ar-SA"/>
        </w:rPr>
        <w:t>manifestada</w:t>
      </w:r>
      <w:r w:rsidR="00541640" w:rsidRPr="006C7A79">
        <w:rPr>
          <w:rFonts w:ascii="ITC Avant Garde" w:eastAsia="Times New Roman" w:hAnsi="ITC Avant Garde" w:cs="Arial"/>
          <w:kern w:val="2"/>
          <w:sz w:val="24"/>
          <w:szCs w:val="24"/>
          <w:lang w:val="es-ES_tradnl" w:eastAsia="ar-SA"/>
        </w:rPr>
        <w:t xml:space="preserve"> por</w:t>
      </w:r>
      <w:r w:rsidR="00914D84">
        <w:rPr>
          <w:rFonts w:ascii="ITC Avant Garde" w:eastAsia="Times New Roman" w:hAnsi="ITC Avant Garde" w:cs="Arial"/>
          <w:kern w:val="2"/>
          <w:sz w:val="24"/>
          <w:szCs w:val="24"/>
          <w:lang w:val="es-ES_tradnl" w:eastAsia="ar-SA"/>
        </w:rPr>
        <w:t xml:space="preserve"> diversas</w:t>
      </w:r>
      <w:r w:rsidR="00541640" w:rsidRPr="006C7A79">
        <w:rPr>
          <w:rFonts w:ascii="ITC Avant Garde" w:eastAsia="Times New Roman" w:hAnsi="ITC Avant Garde" w:cs="Arial"/>
          <w:kern w:val="2"/>
          <w:sz w:val="24"/>
          <w:szCs w:val="24"/>
          <w:lang w:val="es-ES_tradnl" w:eastAsia="ar-SA"/>
        </w:rPr>
        <w:t xml:space="preserve"> empresas afectará a diversos sistemas que empleen dispositivos de alarma y monitoreo remoto que utilicen una línea telefónica para su comunicación y no puedan ser reprogramados para que, a partir del 3 de agosto de 2019, realicen marcaciones automáticas a 10 dígitos</w:t>
      </w:r>
      <w:r w:rsidRPr="006C7A79">
        <w:rPr>
          <w:rFonts w:ascii="ITC Avant Garde" w:eastAsia="Times New Roman" w:hAnsi="ITC Avant Garde" w:cs="Arial"/>
          <w:kern w:val="2"/>
          <w:sz w:val="24"/>
          <w:szCs w:val="24"/>
          <w:lang w:val="es-ES_tradnl" w:eastAsia="ar-SA"/>
        </w:rPr>
        <w:t>.</w:t>
      </w:r>
    </w:p>
    <w:p w:rsidR="00B86DCE" w:rsidRPr="006C7A79" w:rsidRDefault="00B86DCE" w:rsidP="00582FE8">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582FE8" w:rsidRPr="006C7A79" w:rsidRDefault="00B86DCE" w:rsidP="00582FE8">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Por lo anterior, </w:t>
      </w:r>
      <w:r w:rsidR="00582FE8" w:rsidRPr="006C7A79">
        <w:rPr>
          <w:rFonts w:ascii="ITC Avant Garde" w:eastAsia="Times New Roman" w:hAnsi="ITC Avant Garde" w:cs="Arial"/>
          <w:kern w:val="2"/>
          <w:sz w:val="24"/>
          <w:szCs w:val="24"/>
          <w:lang w:val="es-ES_tradnl" w:eastAsia="ar-SA"/>
        </w:rPr>
        <w:t>el Instituto</w:t>
      </w:r>
      <w:r w:rsidR="00E0679E">
        <w:rPr>
          <w:rFonts w:ascii="ITC Avant Garde" w:eastAsia="Times New Roman" w:hAnsi="ITC Avant Garde" w:cs="Arial"/>
          <w:kern w:val="2"/>
          <w:sz w:val="24"/>
          <w:szCs w:val="24"/>
          <w:lang w:val="es-ES_tradnl" w:eastAsia="ar-SA"/>
        </w:rPr>
        <w:t xml:space="preserve"> determina resolver en este mismo acto </w:t>
      </w:r>
      <w:r w:rsidR="00F308E2" w:rsidRPr="006C7A79">
        <w:rPr>
          <w:rFonts w:ascii="ITC Avant Garde" w:eastAsia="Times New Roman" w:hAnsi="ITC Avant Garde" w:cs="Arial"/>
          <w:kern w:val="2"/>
          <w:sz w:val="24"/>
          <w:szCs w:val="24"/>
          <w:lang w:val="es-ES_tradnl" w:eastAsia="ar-SA"/>
        </w:rPr>
        <w:t xml:space="preserve">las problemáticas antes referidas, </w:t>
      </w:r>
      <w:r w:rsidR="00E0679E">
        <w:rPr>
          <w:rFonts w:ascii="ITC Avant Garde" w:eastAsia="Times New Roman" w:hAnsi="ITC Avant Garde" w:cs="Arial"/>
          <w:kern w:val="2"/>
          <w:sz w:val="24"/>
          <w:szCs w:val="24"/>
          <w:lang w:val="es-ES_tradnl" w:eastAsia="ar-SA"/>
        </w:rPr>
        <w:t>las cuales,</w:t>
      </w:r>
      <w:r w:rsidR="00F308E2" w:rsidRPr="006C7A79">
        <w:rPr>
          <w:rFonts w:ascii="ITC Avant Garde" w:eastAsia="Times New Roman" w:hAnsi="ITC Avant Garde" w:cs="Arial"/>
          <w:kern w:val="2"/>
          <w:sz w:val="24"/>
          <w:szCs w:val="24"/>
          <w:lang w:val="es-ES_tradnl" w:eastAsia="ar-SA"/>
        </w:rPr>
        <w:t xml:space="preserve"> de no atenderse previo a la entrada en vigor del nuevo PTFN, podría</w:t>
      </w:r>
      <w:r w:rsidR="00E0679E">
        <w:rPr>
          <w:rFonts w:ascii="ITC Avant Garde" w:eastAsia="Times New Roman" w:hAnsi="ITC Avant Garde" w:cs="Arial"/>
          <w:kern w:val="2"/>
          <w:sz w:val="24"/>
          <w:szCs w:val="24"/>
          <w:lang w:val="es-ES_tradnl" w:eastAsia="ar-SA"/>
        </w:rPr>
        <w:t>n</w:t>
      </w:r>
      <w:r w:rsidR="00F308E2" w:rsidRPr="006C7A79">
        <w:rPr>
          <w:rFonts w:ascii="ITC Avant Garde" w:eastAsia="Times New Roman" w:hAnsi="ITC Avant Garde" w:cs="Arial"/>
          <w:kern w:val="2"/>
          <w:sz w:val="24"/>
          <w:szCs w:val="24"/>
          <w:lang w:val="es-ES_tradnl" w:eastAsia="ar-SA"/>
        </w:rPr>
        <w:t xml:space="preserve"> poner en riesgo la seguridad de las personas físicas o morales que cuenten con un dispositivo para alertar y solicitar el apoyo de las autoridades que no haya sido actualizado conforme a los nuevos procedimientos de marcación nacional</w:t>
      </w:r>
      <w:r w:rsidR="0073735A">
        <w:rPr>
          <w:rFonts w:ascii="ITC Avant Garde" w:eastAsia="Times New Roman" w:hAnsi="ITC Avant Garde" w:cs="Arial"/>
          <w:kern w:val="2"/>
          <w:sz w:val="24"/>
          <w:szCs w:val="24"/>
          <w:lang w:val="es-ES_tradnl" w:eastAsia="ar-SA"/>
        </w:rPr>
        <w:t>.</w:t>
      </w:r>
      <w:r w:rsidR="00F308E2" w:rsidRPr="006C7A79">
        <w:rPr>
          <w:rFonts w:ascii="ITC Avant Garde" w:eastAsia="Times New Roman" w:hAnsi="ITC Avant Garde" w:cs="Arial"/>
          <w:kern w:val="2"/>
          <w:sz w:val="24"/>
          <w:szCs w:val="24"/>
          <w:lang w:val="es-ES_tradnl" w:eastAsia="ar-SA"/>
        </w:rPr>
        <w:t xml:space="preserve"> </w:t>
      </w:r>
      <w:r w:rsidR="00582FE8" w:rsidRPr="006C7A79">
        <w:rPr>
          <w:rFonts w:ascii="ITC Avant Garde" w:eastAsia="Times New Roman" w:hAnsi="ITC Avant Garde" w:cs="Arial"/>
          <w:kern w:val="2"/>
          <w:sz w:val="24"/>
          <w:szCs w:val="24"/>
          <w:lang w:val="es-ES_tradnl" w:eastAsia="ar-SA"/>
        </w:rPr>
        <w:t xml:space="preserve"> </w:t>
      </w:r>
    </w:p>
    <w:p w:rsidR="00582FE8" w:rsidRDefault="00582FE8" w:rsidP="00873106">
      <w:pPr>
        <w:pStyle w:val="Texto"/>
        <w:spacing w:after="0" w:line="240" w:lineRule="auto"/>
        <w:ind w:firstLine="0"/>
        <w:rPr>
          <w:rFonts w:ascii="ITC Avant Garde" w:hAnsi="ITC Avant Garde"/>
          <w:kern w:val="2"/>
          <w:sz w:val="24"/>
          <w:szCs w:val="24"/>
          <w:lang w:val="es-ES_tradnl" w:eastAsia="ar-SA"/>
        </w:rPr>
      </w:pPr>
    </w:p>
    <w:p w:rsidR="00B022DF" w:rsidRPr="006C7A79" w:rsidRDefault="00B022DF" w:rsidP="00B022DF">
      <w:pPr>
        <w:pStyle w:val="Texto"/>
        <w:spacing w:after="0" w:line="240" w:lineRule="auto"/>
        <w:ind w:firstLine="0"/>
        <w:rPr>
          <w:rFonts w:ascii="ITC Avant Garde" w:hAnsi="ITC Avant Garde"/>
          <w:kern w:val="2"/>
          <w:sz w:val="24"/>
          <w:szCs w:val="24"/>
          <w:lang w:val="es-ES_tradnl" w:eastAsia="ar-SA"/>
        </w:rPr>
      </w:pPr>
      <w:r>
        <w:rPr>
          <w:rFonts w:ascii="ITC Avant Garde" w:hAnsi="ITC Avant Garde"/>
          <w:b/>
          <w:kern w:val="2"/>
          <w:sz w:val="24"/>
          <w:szCs w:val="24"/>
          <w:lang w:val="es-ES_tradnl" w:eastAsia="ar-SA"/>
        </w:rPr>
        <w:t>QUINTO</w:t>
      </w:r>
      <w:r w:rsidRPr="006C7A79">
        <w:rPr>
          <w:rFonts w:ascii="ITC Avant Garde" w:hAnsi="ITC Avant Garde"/>
          <w:b/>
          <w:kern w:val="2"/>
          <w:sz w:val="24"/>
          <w:szCs w:val="24"/>
          <w:lang w:val="es-ES_tradnl" w:eastAsia="ar-SA"/>
        </w:rPr>
        <w:t>. Análisis de Impacto Regulatorio</w:t>
      </w:r>
      <w:r w:rsidRPr="006C7A79">
        <w:rPr>
          <w:rFonts w:ascii="ITC Avant Garde" w:hAnsi="ITC Avant Garde"/>
          <w:kern w:val="2"/>
          <w:sz w:val="24"/>
          <w:szCs w:val="24"/>
          <w:lang w:val="es-ES_tradnl" w:eastAsia="ar-SA"/>
        </w:rPr>
        <w:t>. El segundo párrafo del artículo 51 de la Ley establece que previo a la emisión de las reglas, lineamientos o disposiciones administrativas de carácter general de que se trate, el Instituto deberá realizar y hacer público un análisis de impacto regulatorio o, en su caso, solicitar el apoyo de la Comisión Federal de Mejora Regulatoria.</w:t>
      </w:r>
    </w:p>
    <w:p w:rsidR="00B022DF" w:rsidRPr="006C7A79" w:rsidRDefault="00B022DF" w:rsidP="00B022DF">
      <w:pPr>
        <w:pStyle w:val="Texto"/>
        <w:spacing w:after="0" w:line="240" w:lineRule="auto"/>
        <w:ind w:firstLine="0"/>
        <w:rPr>
          <w:rFonts w:ascii="ITC Avant Garde" w:hAnsi="ITC Avant Garde"/>
          <w:kern w:val="2"/>
          <w:sz w:val="24"/>
          <w:szCs w:val="24"/>
          <w:lang w:val="es-ES_tradnl" w:eastAsia="ar-SA"/>
        </w:rPr>
      </w:pPr>
    </w:p>
    <w:p w:rsidR="00146C1F" w:rsidRPr="00F522E2" w:rsidRDefault="005F4D13" w:rsidP="00815166">
      <w:pPr>
        <w:pStyle w:val="Texto"/>
        <w:spacing w:line="240" w:lineRule="auto"/>
        <w:ind w:firstLine="0"/>
        <w:rPr>
          <w:rFonts w:ascii="ITC Avant Garde" w:eastAsia="Arial" w:hAnsi="ITC Avant Garde"/>
          <w:sz w:val="24"/>
          <w:szCs w:val="24"/>
        </w:rPr>
      </w:pPr>
      <w:r>
        <w:rPr>
          <w:rFonts w:ascii="ITC Avant Garde" w:eastAsia="Arial" w:hAnsi="ITC Avant Garde"/>
          <w:sz w:val="24"/>
          <w:szCs w:val="24"/>
        </w:rPr>
        <w:t>Una vez concluida la Tercera Consulta Pública</w:t>
      </w:r>
      <w:r w:rsidR="00146C1F">
        <w:rPr>
          <w:rFonts w:ascii="ITC Avant Garde" w:eastAsia="Arial" w:hAnsi="ITC Avant Garde"/>
          <w:sz w:val="24"/>
          <w:szCs w:val="24"/>
        </w:rPr>
        <w:t xml:space="preserve">, el Instituto procedió a dar atención a los comentarios y sugerencias recibidos. Como resultado, el </w:t>
      </w:r>
      <w:r w:rsidR="0073735A" w:rsidRPr="006C7A79">
        <w:rPr>
          <w:rFonts w:ascii="ITC Avant Garde" w:eastAsia="Arial" w:hAnsi="ITC Avant Garde"/>
          <w:sz w:val="24"/>
          <w:szCs w:val="24"/>
        </w:rPr>
        <w:t>“</w:t>
      </w:r>
      <w:r w:rsidR="0073735A" w:rsidRPr="006C7A79">
        <w:rPr>
          <w:rFonts w:ascii="ITC Avant Garde" w:eastAsia="Arial" w:hAnsi="ITC Avant Garde"/>
          <w:i/>
          <w:sz w:val="24"/>
          <w:szCs w:val="24"/>
        </w:rPr>
        <w:t>Anteproyecto de Acuerdo mediante el cual el Pleno del Instituto Federal de Telecomunicaciones modifica el Plan Técnico Fundamental de Numeración, publicado el 11 de mayo de 2018</w:t>
      </w:r>
      <w:r w:rsidR="0073735A" w:rsidRPr="006C7A79">
        <w:rPr>
          <w:rFonts w:ascii="ITC Avant Garde" w:eastAsia="Arial" w:hAnsi="ITC Avant Garde"/>
          <w:sz w:val="24"/>
          <w:szCs w:val="24"/>
        </w:rPr>
        <w:t>”</w:t>
      </w:r>
      <w:r>
        <w:rPr>
          <w:rFonts w:ascii="ITC Avant Garde" w:eastAsia="Arial" w:hAnsi="ITC Avant Garde"/>
          <w:sz w:val="24"/>
          <w:szCs w:val="24"/>
        </w:rPr>
        <w:t xml:space="preserve"> y su correspondiente </w:t>
      </w:r>
      <w:r>
        <w:rPr>
          <w:rFonts w:ascii="ITC Avant Garde" w:eastAsia="Arial" w:hAnsi="ITC Avant Garde"/>
          <w:sz w:val="24"/>
          <w:szCs w:val="24"/>
        </w:rPr>
        <w:lastRenderedPageBreak/>
        <w:t xml:space="preserve">Análisis de Impacto Regulatorio </w:t>
      </w:r>
      <w:r w:rsidR="00146C1F">
        <w:rPr>
          <w:rFonts w:ascii="ITC Avant Garde" w:eastAsia="Arial" w:hAnsi="ITC Avant Garde"/>
          <w:sz w:val="24"/>
          <w:szCs w:val="24"/>
        </w:rPr>
        <w:t xml:space="preserve"> fue</w:t>
      </w:r>
      <w:r>
        <w:rPr>
          <w:rFonts w:ascii="ITC Avant Garde" w:eastAsia="Arial" w:hAnsi="ITC Avant Garde"/>
          <w:sz w:val="24"/>
          <w:szCs w:val="24"/>
        </w:rPr>
        <w:t>ron</w:t>
      </w:r>
      <w:r w:rsidR="00146C1F">
        <w:rPr>
          <w:rFonts w:ascii="ITC Avant Garde" w:eastAsia="Arial" w:hAnsi="ITC Avant Garde"/>
          <w:sz w:val="24"/>
          <w:szCs w:val="24"/>
        </w:rPr>
        <w:t xml:space="preserve"> modificado</w:t>
      </w:r>
      <w:r>
        <w:rPr>
          <w:rFonts w:ascii="ITC Avant Garde" w:eastAsia="Arial" w:hAnsi="ITC Avant Garde"/>
          <w:sz w:val="24"/>
          <w:szCs w:val="24"/>
        </w:rPr>
        <w:t>s</w:t>
      </w:r>
      <w:r w:rsidR="00146C1F">
        <w:rPr>
          <w:rFonts w:ascii="ITC Avant Garde" w:eastAsia="Arial" w:hAnsi="ITC Avant Garde"/>
          <w:sz w:val="24"/>
          <w:szCs w:val="24"/>
        </w:rPr>
        <w:t xml:space="preserve">, por lo que mediante oficio </w:t>
      </w:r>
      <w:r w:rsidR="00146C1F" w:rsidRPr="00F522E2">
        <w:rPr>
          <w:rFonts w:ascii="ITC Avant Garde" w:eastAsia="Arial" w:hAnsi="ITC Avant Garde"/>
          <w:sz w:val="24"/>
          <w:szCs w:val="24"/>
        </w:rPr>
        <w:t xml:space="preserve"> IFT/223/UCS/DG-</w:t>
      </w:r>
      <w:r w:rsidR="00146C1F" w:rsidRPr="004228C1">
        <w:rPr>
          <w:rFonts w:ascii="ITC Avant Garde" w:eastAsia="Arial" w:hAnsi="ITC Avant Garde"/>
          <w:sz w:val="24"/>
          <w:szCs w:val="24"/>
        </w:rPr>
        <w:t>AUSE/</w:t>
      </w:r>
      <w:r w:rsidR="004228C1" w:rsidRPr="004228C1">
        <w:rPr>
          <w:rFonts w:ascii="ITC Avant Garde" w:eastAsia="Arial" w:hAnsi="ITC Avant Garde"/>
          <w:sz w:val="24"/>
          <w:szCs w:val="24"/>
        </w:rPr>
        <w:t>3453</w:t>
      </w:r>
      <w:r w:rsidR="00146C1F" w:rsidRPr="004228C1">
        <w:rPr>
          <w:rFonts w:ascii="ITC Avant Garde" w:eastAsia="Arial" w:hAnsi="ITC Avant Garde"/>
          <w:sz w:val="24"/>
          <w:szCs w:val="24"/>
        </w:rPr>
        <w:t xml:space="preserve">/2019, de fecha </w:t>
      </w:r>
      <w:r w:rsidR="004228C1" w:rsidRPr="004228C1">
        <w:rPr>
          <w:rFonts w:ascii="ITC Avant Garde" w:eastAsia="Arial" w:hAnsi="ITC Avant Garde"/>
          <w:sz w:val="24"/>
          <w:szCs w:val="24"/>
        </w:rPr>
        <w:t>08</w:t>
      </w:r>
      <w:r w:rsidR="00146C1F" w:rsidRPr="004228C1">
        <w:rPr>
          <w:rFonts w:ascii="ITC Avant Garde" w:eastAsia="Arial" w:hAnsi="ITC Avant Garde"/>
          <w:sz w:val="24"/>
          <w:szCs w:val="24"/>
        </w:rPr>
        <w:t xml:space="preserve"> de julio</w:t>
      </w:r>
      <w:r w:rsidR="00146C1F" w:rsidRPr="00BA12B7">
        <w:rPr>
          <w:rFonts w:ascii="ITC Avant Garde" w:eastAsia="Arial" w:hAnsi="ITC Avant Garde"/>
          <w:sz w:val="24"/>
          <w:szCs w:val="24"/>
        </w:rPr>
        <w:t xml:space="preserve"> de 2019</w:t>
      </w:r>
      <w:r w:rsidR="00146C1F" w:rsidRPr="00F522E2">
        <w:rPr>
          <w:rFonts w:ascii="ITC Avant Garde" w:eastAsia="Arial" w:hAnsi="ITC Avant Garde"/>
          <w:sz w:val="24"/>
          <w:szCs w:val="24"/>
        </w:rPr>
        <w:t>, se solicitó a la Coordinación General</w:t>
      </w:r>
      <w:r>
        <w:rPr>
          <w:rFonts w:ascii="ITC Avant Garde" w:eastAsia="Arial" w:hAnsi="ITC Avant Garde"/>
          <w:sz w:val="24"/>
          <w:szCs w:val="24"/>
        </w:rPr>
        <w:t xml:space="preserve"> </w:t>
      </w:r>
      <w:r>
        <w:rPr>
          <w:rFonts w:ascii="ITC Avant Garde" w:hAnsi="ITC Avant Garde"/>
          <w:kern w:val="2"/>
          <w:sz w:val="24"/>
          <w:szCs w:val="24"/>
          <w:lang w:val="es-ES_tradnl" w:eastAsia="ar-SA"/>
        </w:rPr>
        <w:t>de Mejora Regulatoria</w:t>
      </w:r>
      <w:r w:rsidR="0073735A">
        <w:rPr>
          <w:rFonts w:ascii="ITC Avant Garde" w:hAnsi="ITC Avant Garde"/>
          <w:kern w:val="2"/>
          <w:sz w:val="24"/>
          <w:szCs w:val="24"/>
          <w:lang w:val="es-ES_tradnl" w:eastAsia="ar-SA"/>
        </w:rPr>
        <w:t xml:space="preserve"> </w:t>
      </w:r>
      <w:r w:rsidR="0073735A" w:rsidRPr="006C7A79">
        <w:rPr>
          <w:rFonts w:ascii="ITC Avant Garde" w:hAnsi="ITC Avant Garde"/>
          <w:kern w:val="2"/>
          <w:sz w:val="24"/>
          <w:szCs w:val="24"/>
          <w:lang w:val="es-ES_tradnl" w:eastAsia="ar-SA"/>
        </w:rPr>
        <w:t>(la “Coordinación General”)</w:t>
      </w:r>
      <w:r>
        <w:rPr>
          <w:rFonts w:ascii="ITC Avant Garde" w:hAnsi="ITC Avant Garde"/>
          <w:kern w:val="2"/>
          <w:sz w:val="24"/>
          <w:szCs w:val="24"/>
          <w:lang w:val="es-ES_tradnl" w:eastAsia="ar-SA"/>
        </w:rPr>
        <w:t xml:space="preserve"> del propio Instituto</w:t>
      </w:r>
      <w:r w:rsidR="00146C1F" w:rsidRPr="00F522E2">
        <w:rPr>
          <w:rFonts w:ascii="ITC Avant Garde" w:eastAsia="Arial" w:hAnsi="ITC Avant Garde"/>
          <w:sz w:val="24"/>
          <w:szCs w:val="24"/>
        </w:rPr>
        <w:t xml:space="preserve"> emitir opinión respecto de las actualizaciones realizadas al correspondiente Análisis de Impacto Regulatorio.</w:t>
      </w:r>
    </w:p>
    <w:p w:rsidR="00B022DF" w:rsidRPr="006C7A79" w:rsidRDefault="00B022DF" w:rsidP="0073735A">
      <w:pPr>
        <w:pStyle w:val="Texto"/>
        <w:spacing w:after="0" w:line="240" w:lineRule="auto"/>
        <w:ind w:firstLine="0"/>
        <w:rPr>
          <w:rFonts w:ascii="ITC Avant Garde" w:hAnsi="ITC Avant Garde"/>
          <w:kern w:val="2"/>
          <w:sz w:val="24"/>
          <w:szCs w:val="24"/>
          <w:lang w:val="es-ES_tradnl" w:eastAsia="ar-SA"/>
        </w:rPr>
      </w:pPr>
    </w:p>
    <w:p w:rsidR="005F4D13" w:rsidRPr="00F522E2" w:rsidRDefault="00B022DF" w:rsidP="00465B56">
      <w:pPr>
        <w:pStyle w:val="Texto"/>
        <w:spacing w:line="240" w:lineRule="auto"/>
        <w:ind w:firstLine="0"/>
        <w:rPr>
          <w:rFonts w:ascii="ITC Avant Garde" w:eastAsia="Arial" w:hAnsi="ITC Avant Garde"/>
          <w:sz w:val="24"/>
          <w:szCs w:val="24"/>
        </w:rPr>
      </w:pPr>
      <w:r w:rsidRPr="002C49DB">
        <w:rPr>
          <w:rFonts w:ascii="ITC Avant Garde" w:hAnsi="ITC Avant Garde"/>
          <w:kern w:val="2"/>
          <w:sz w:val="24"/>
          <w:szCs w:val="24"/>
          <w:lang w:val="es-ES_tradnl" w:eastAsia="ar-SA"/>
        </w:rPr>
        <w:t xml:space="preserve">Como consecuencia de lo anterior, la </w:t>
      </w:r>
      <w:r w:rsidR="005F4D13" w:rsidRPr="002C49DB">
        <w:rPr>
          <w:rFonts w:ascii="ITC Avant Garde" w:hAnsi="ITC Avant Garde"/>
          <w:kern w:val="2"/>
          <w:sz w:val="24"/>
          <w:szCs w:val="24"/>
          <w:lang w:val="es-ES_tradnl" w:eastAsia="ar-SA"/>
        </w:rPr>
        <w:t>Coordinación General,</w:t>
      </w:r>
      <w:r w:rsidRPr="002C49DB">
        <w:rPr>
          <w:rFonts w:ascii="ITC Avant Garde" w:hAnsi="ITC Avant Garde"/>
          <w:kern w:val="2"/>
          <w:sz w:val="24"/>
          <w:szCs w:val="24"/>
          <w:lang w:val="es-ES_tradnl" w:eastAsia="ar-SA"/>
        </w:rPr>
        <w:t xml:space="preserve"> </w:t>
      </w:r>
      <w:r w:rsidR="00465B56" w:rsidRPr="002C49DB">
        <w:rPr>
          <w:rFonts w:ascii="ITC Avant Garde" w:eastAsia="Arial" w:hAnsi="ITC Avant Garde"/>
          <w:sz w:val="24"/>
          <w:szCs w:val="24"/>
        </w:rPr>
        <w:t>mediante</w:t>
      </w:r>
      <w:r w:rsidR="005F4D13" w:rsidRPr="002C49DB">
        <w:rPr>
          <w:rFonts w:ascii="ITC Avant Garde" w:eastAsia="Arial" w:hAnsi="ITC Avant Garde"/>
          <w:sz w:val="24"/>
          <w:szCs w:val="24"/>
        </w:rPr>
        <w:t xml:space="preserve"> oficio IFT/211/</w:t>
      </w:r>
      <w:r w:rsidR="005F4D13" w:rsidRPr="00CB69C2">
        <w:rPr>
          <w:rFonts w:ascii="ITC Avant Garde" w:eastAsia="Arial" w:hAnsi="ITC Avant Garde"/>
          <w:sz w:val="24"/>
          <w:szCs w:val="24"/>
        </w:rPr>
        <w:t>CGMR/</w:t>
      </w:r>
      <w:r w:rsidR="00CB69C2" w:rsidRPr="00CB69C2">
        <w:rPr>
          <w:rFonts w:ascii="ITC Avant Garde" w:eastAsia="Arial" w:hAnsi="ITC Avant Garde"/>
          <w:sz w:val="24"/>
          <w:szCs w:val="24"/>
        </w:rPr>
        <w:t>109</w:t>
      </w:r>
      <w:r w:rsidR="005F4D13" w:rsidRPr="00CB69C2">
        <w:rPr>
          <w:rFonts w:ascii="ITC Avant Garde" w:eastAsia="Arial" w:hAnsi="ITC Avant Garde"/>
          <w:sz w:val="24"/>
          <w:szCs w:val="24"/>
        </w:rPr>
        <w:t>/</w:t>
      </w:r>
      <w:r w:rsidR="005F4D13" w:rsidRPr="002C49DB">
        <w:rPr>
          <w:rFonts w:ascii="ITC Avant Garde" w:eastAsia="Arial" w:hAnsi="ITC Avant Garde"/>
          <w:sz w:val="24"/>
          <w:szCs w:val="24"/>
        </w:rPr>
        <w:t xml:space="preserve">2019 de </w:t>
      </w:r>
      <w:r w:rsidR="005F4D13" w:rsidRPr="00CB69C2">
        <w:rPr>
          <w:rFonts w:ascii="ITC Avant Garde" w:eastAsia="Arial" w:hAnsi="ITC Avant Garde"/>
          <w:sz w:val="24"/>
          <w:szCs w:val="24"/>
        </w:rPr>
        <w:t xml:space="preserve">fecha </w:t>
      </w:r>
      <w:r w:rsidR="00CB69C2" w:rsidRPr="00CB69C2">
        <w:rPr>
          <w:rFonts w:ascii="ITC Avant Garde" w:eastAsia="Arial" w:hAnsi="ITC Avant Garde"/>
          <w:sz w:val="24"/>
          <w:szCs w:val="24"/>
        </w:rPr>
        <w:t>8</w:t>
      </w:r>
      <w:r w:rsidR="005F4D13" w:rsidRPr="002C49DB">
        <w:rPr>
          <w:rFonts w:ascii="ITC Avant Garde" w:eastAsia="Arial" w:hAnsi="ITC Avant Garde"/>
          <w:sz w:val="24"/>
          <w:szCs w:val="24"/>
        </w:rPr>
        <w:t xml:space="preserve"> de julio de 2019, emitió su opinión no vinculante sobre el Anál</w:t>
      </w:r>
      <w:r w:rsidR="00465B56">
        <w:rPr>
          <w:rFonts w:ascii="ITC Avant Garde" w:eastAsia="Arial" w:hAnsi="ITC Avant Garde"/>
          <w:sz w:val="24"/>
          <w:szCs w:val="24"/>
        </w:rPr>
        <w:t>isis de Impacto Regulatorio correspondiente</w:t>
      </w:r>
      <w:r w:rsidR="006D6657">
        <w:rPr>
          <w:rFonts w:ascii="ITC Avant Garde" w:eastAsia="Arial" w:hAnsi="ITC Avant Garde"/>
          <w:sz w:val="24"/>
          <w:szCs w:val="24"/>
        </w:rPr>
        <w:t>.</w:t>
      </w:r>
    </w:p>
    <w:p w:rsidR="00166A3B" w:rsidRPr="006C7A79" w:rsidRDefault="00166A3B" w:rsidP="00873106">
      <w:pPr>
        <w:pStyle w:val="Texto"/>
        <w:spacing w:after="0" w:line="240" w:lineRule="auto"/>
        <w:ind w:firstLine="0"/>
        <w:rPr>
          <w:rFonts w:ascii="ITC Avant Garde" w:hAnsi="ITC Avant Garde"/>
          <w:kern w:val="2"/>
          <w:sz w:val="24"/>
          <w:szCs w:val="24"/>
          <w:lang w:val="es-ES_tradnl" w:eastAsia="ar-SA"/>
        </w:rPr>
      </w:pPr>
    </w:p>
    <w:p w:rsidR="008D6052" w:rsidRPr="006C7A79" w:rsidRDefault="00B022DF" w:rsidP="00815166">
      <w:pPr>
        <w:pStyle w:val="Texto"/>
        <w:spacing w:line="240" w:lineRule="auto"/>
        <w:ind w:firstLine="0"/>
        <w:rPr>
          <w:rFonts w:ascii="ITC Avant Garde" w:hAnsi="ITC Avant Garde"/>
          <w:kern w:val="2"/>
          <w:sz w:val="24"/>
          <w:szCs w:val="24"/>
          <w:lang w:val="es-ES_tradnl" w:eastAsia="ar-SA"/>
        </w:rPr>
      </w:pPr>
      <w:r>
        <w:rPr>
          <w:rFonts w:ascii="ITC Avant Garde" w:hAnsi="ITC Avant Garde"/>
          <w:b/>
          <w:bCs/>
          <w:kern w:val="2"/>
          <w:sz w:val="24"/>
          <w:szCs w:val="24"/>
          <w:lang w:val="es-ES_tradnl" w:eastAsia="ar-SA"/>
        </w:rPr>
        <w:t>SEXTO</w:t>
      </w:r>
      <w:r w:rsidR="00166A3B" w:rsidRPr="006C7A79">
        <w:rPr>
          <w:rFonts w:ascii="ITC Avant Garde" w:hAnsi="ITC Avant Garde"/>
          <w:b/>
          <w:bCs/>
          <w:kern w:val="2"/>
          <w:sz w:val="24"/>
          <w:szCs w:val="24"/>
          <w:lang w:val="es-ES_tradnl" w:eastAsia="ar-SA"/>
        </w:rPr>
        <w:t xml:space="preserve">. </w:t>
      </w:r>
      <w:r w:rsidR="001C3315" w:rsidRPr="006C7A79">
        <w:rPr>
          <w:rFonts w:ascii="ITC Avant Garde" w:hAnsi="ITC Avant Garde"/>
          <w:b/>
          <w:bCs/>
          <w:kern w:val="2"/>
          <w:sz w:val="24"/>
          <w:szCs w:val="24"/>
          <w:lang w:val="es-ES_tradnl" w:eastAsia="ar-SA"/>
        </w:rPr>
        <w:t>Modificación al nuevo PTFN</w:t>
      </w:r>
      <w:r w:rsidR="00166A3B" w:rsidRPr="006C7A79">
        <w:rPr>
          <w:rFonts w:ascii="ITC Avant Garde" w:hAnsi="ITC Avant Garde"/>
          <w:b/>
          <w:bCs/>
          <w:kern w:val="2"/>
          <w:sz w:val="24"/>
          <w:szCs w:val="24"/>
          <w:lang w:val="es-ES_tradnl" w:eastAsia="ar-SA"/>
        </w:rPr>
        <w:t>.</w:t>
      </w:r>
      <w:r w:rsidR="009524AE" w:rsidRPr="006C7A79">
        <w:rPr>
          <w:rFonts w:ascii="ITC Avant Garde" w:hAnsi="ITC Avant Garde"/>
          <w:b/>
          <w:bCs/>
          <w:kern w:val="2"/>
          <w:sz w:val="24"/>
          <w:szCs w:val="24"/>
          <w:lang w:val="es-ES_tradnl" w:eastAsia="ar-SA"/>
        </w:rPr>
        <w:t xml:space="preserve"> </w:t>
      </w:r>
      <w:r w:rsidR="001C3315" w:rsidRPr="006C7A79">
        <w:rPr>
          <w:rFonts w:ascii="ITC Avant Garde" w:hAnsi="ITC Avant Garde"/>
          <w:kern w:val="2"/>
          <w:sz w:val="24"/>
          <w:szCs w:val="24"/>
          <w:lang w:val="es-ES_tradnl" w:eastAsia="ar-SA"/>
        </w:rPr>
        <w:t>De</w:t>
      </w:r>
      <w:r w:rsidR="005D725D" w:rsidRPr="006C7A79">
        <w:rPr>
          <w:rFonts w:ascii="ITC Avant Garde" w:hAnsi="ITC Avant Garde"/>
          <w:kern w:val="2"/>
          <w:sz w:val="24"/>
          <w:szCs w:val="24"/>
          <w:lang w:val="es-ES_tradnl" w:eastAsia="ar-SA"/>
        </w:rPr>
        <w:t xml:space="preserve"> la revisión y análisis de las participaciones recibidas durante la </w:t>
      </w:r>
      <w:r w:rsidR="00A60D86" w:rsidRPr="006C7A79">
        <w:rPr>
          <w:rFonts w:ascii="ITC Avant Garde" w:hAnsi="ITC Avant Garde"/>
          <w:kern w:val="2"/>
          <w:sz w:val="24"/>
          <w:szCs w:val="24"/>
          <w:lang w:val="es-ES_tradnl" w:eastAsia="ar-SA"/>
        </w:rPr>
        <w:t>Tercera Consulta P</w:t>
      </w:r>
      <w:r w:rsidR="005D725D" w:rsidRPr="006C7A79">
        <w:rPr>
          <w:rFonts w:ascii="ITC Avant Garde" w:hAnsi="ITC Avant Garde"/>
          <w:kern w:val="2"/>
          <w:sz w:val="24"/>
          <w:szCs w:val="24"/>
          <w:lang w:val="es-ES_tradnl" w:eastAsia="ar-SA"/>
        </w:rPr>
        <w:t xml:space="preserve">ública, se observa que para las </w:t>
      </w:r>
      <w:r w:rsidR="00A60D86" w:rsidRPr="006C7A79">
        <w:rPr>
          <w:rFonts w:ascii="ITC Avant Garde" w:hAnsi="ITC Avant Garde"/>
          <w:kern w:val="2"/>
          <w:sz w:val="24"/>
          <w:szCs w:val="24"/>
          <w:lang w:val="es-ES_tradnl" w:eastAsia="ar-SA"/>
        </w:rPr>
        <w:t>tres problemáticas en estudio (afectaciones a Proveedores del Servicio de Telefonía Pública, a Usuarios de Centrales Privadas de C</w:t>
      </w:r>
      <w:r w:rsidR="005D725D" w:rsidRPr="006C7A79">
        <w:rPr>
          <w:rFonts w:ascii="ITC Avant Garde" w:hAnsi="ITC Avant Garde"/>
          <w:kern w:val="2"/>
          <w:sz w:val="24"/>
          <w:szCs w:val="24"/>
          <w:lang w:val="es-ES_tradnl" w:eastAsia="ar-SA"/>
        </w:rPr>
        <w:t>onmutación y a</w:t>
      </w:r>
      <w:r w:rsidR="00A60D86" w:rsidRPr="006C7A79">
        <w:rPr>
          <w:rFonts w:ascii="ITC Avant Garde" w:hAnsi="ITC Avant Garde"/>
          <w:kern w:val="2"/>
          <w:sz w:val="24"/>
          <w:szCs w:val="24"/>
          <w:lang w:val="es-ES_tradnl" w:eastAsia="ar-SA"/>
        </w:rPr>
        <w:t xml:space="preserve"> usuarios de</w:t>
      </w:r>
      <w:r w:rsidR="005D725D" w:rsidRPr="006C7A79">
        <w:rPr>
          <w:rFonts w:ascii="ITC Avant Garde" w:hAnsi="ITC Avant Garde"/>
          <w:kern w:val="2"/>
          <w:sz w:val="24"/>
          <w:szCs w:val="24"/>
          <w:lang w:val="es-ES_tradnl" w:eastAsia="ar-SA"/>
        </w:rPr>
        <w:t xml:space="preserve"> equipos y sistemas de alarmas y monitoreo remoto</w:t>
      </w:r>
      <w:r w:rsidR="00A60D86" w:rsidRPr="006C7A79">
        <w:rPr>
          <w:rFonts w:ascii="ITC Avant Garde" w:hAnsi="ITC Avant Garde"/>
          <w:kern w:val="2"/>
          <w:sz w:val="24"/>
          <w:szCs w:val="24"/>
          <w:lang w:val="es-ES_tradnl" w:eastAsia="ar-SA"/>
        </w:rPr>
        <w:t xml:space="preserve"> con las características operativas antes descritas</w:t>
      </w:r>
      <w:r w:rsidR="005D725D" w:rsidRPr="006C7A79">
        <w:rPr>
          <w:rFonts w:ascii="ITC Avant Garde" w:hAnsi="ITC Avant Garde"/>
          <w:kern w:val="2"/>
          <w:sz w:val="24"/>
          <w:szCs w:val="24"/>
          <w:lang w:val="es-ES_tradnl" w:eastAsia="ar-SA"/>
        </w:rPr>
        <w:t>)</w:t>
      </w:r>
      <w:r w:rsidR="00354FCF" w:rsidRPr="006C7A79">
        <w:rPr>
          <w:rFonts w:ascii="ITC Avant Garde" w:hAnsi="ITC Avant Garde"/>
          <w:kern w:val="2"/>
          <w:sz w:val="24"/>
          <w:szCs w:val="24"/>
          <w:lang w:val="es-ES_tradnl" w:eastAsia="ar-SA"/>
        </w:rPr>
        <w:t>,</w:t>
      </w:r>
      <w:r w:rsidR="005D725D" w:rsidRPr="006C7A79">
        <w:rPr>
          <w:rFonts w:ascii="ITC Avant Garde" w:hAnsi="ITC Avant Garde"/>
          <w:kern w:val="2"/>
          <w:sz w:val="24"/>
          <w:szCs w:val="24"/>
          <w:lang w:val="es-ES_tradnl" w:eastAsia="ar-SA"/>
        </w:rPr>
        <w:t xml:space="preserve"> los participantes </w:t>
      </w:r>
      <w:r w:rsidR="00A60D86" w:rsidRPr="006C7A79">
        <w:rPr>
          <w:rFonts w:ascii="ITC Avant Garde" w:hAnsi="ITC Avant Garde"/>
          <w:kern w:val="2"/>
          <w:sz w:val="24"/>
          <w:szCs w:val="24"/>
          <w:lang w:val="es-ES_tradnl" w:eastAsia="ar-SA"/>
        </w:rPr>
        <w:t>coinciden en señalar</w:t>
      </w:r>
      <w:r w:rsidR="005D725D" w:rsidRPr="006C7A79">
        <w:rPr>
          <w:rFonts w:ascii="ITC Avant Garde" w:hAnsi="ITC Avant Garde"/>
          <w:kern w:val="2"/>
          <w:sz w:val="24"/>
          <w:szCs w:val="24"/>
          <w:lang w:val="es-ES_tradnl" w:eastAsia="ar-SA"/>
        </w:rPr>
        <w:t xml:space="preserve"> la necesidad de mantener </w:t>
      </w:r>
      <w:r w:rsidR="00A60D86" w:rsidRPr="006C7A79">
        <w:rPr>
          <w:rFonts w:ascii="ITC Avant Garde" w:hAnsi="ITC Avant Garde"/>
          <w:kern w:val="2"/>
          <w:sz w:val="24"/>
          <w:szCs w:val="24"/>
          <w:lang w:val="es-ES_tradnl" w:eastAsia="ar-SA"/>
        </w:rPr>
        <w:t xml:space="preserve">los </w:t>
      </w:r>
      <w:r w:rsidR="005D725D" w:rsidRPr="006C7A79">
        <w:rPr>
          <w:rFonts w:ascii="ITC Avant Garde" w:hAnsi="ITC Avant Garde"/>
          <w:kern w:val="2"/>
          <w:sz w:val="24"/>
          <w:szCs w:val="24"/>
          <w:lang w:val="es-ES_tradnl" w:eastAsia="ar-SA"/>
        </w:rPr>
        <w:t>prefijos</w:t>
      </w:r>
      <w:r w:rsidR="00A60D86" w:rsidRPr="006C7A79">
        <w:rPr>
          <w:rFonts w:ascii="ITC Avant Garde" w:hAnsi="ITC Avant Garde"/>
          <w:kern w:val="2"/>
          <w:sz w:val="24"/>
          <w:szCs w:val="24"/>
          <w:lang w:val="es-ES_tradnl" w:eastAsia="ar-SA"/>
        </w:rPr>
        <w:t xml:space="preserve"> y procedimientos</w:t>
      </w:r>
      <w:r w:rsidR="005D725D" w:rsidRPr="006C7A79">
        <w:rPr>
          <w:rFonts w:ascii="ITC Avant Garde" w:hAnsi="ITC Avant Garde"/>
          <w:kern w:val="2"/>
          <w:sz w:val="24"/>
          <w:szCs w:val="24"/>
          <w:lang w:val="es-ES_tradnl" w:eastAsia="ar-SA"/>
        </w:rPr>
        <w:t xml:space="preserve"> de marcación</w:t>
      </w:r>
      <w:r w:rsidR="00A60D86" w:rsidRPr="006C7A79">
        <w:rPr>
          <w:rFonts w:ascii="ITC Avant Garde" w:hAnsi="ITC Avant Garde"/>
          <w:kern w:val="2"/>
          <w:sz w:val="24"/>
          <w:szCs w:val="24"/>
          <w:lang w:val="es-ES_tradnl" w:eastAsia="ar-SA"/>
        </w:rPr>
        <w:t xml:space="preserve"> vigentes</w:t>
      </w:r>
      <w:r w:rsidR="00D11070" w:rsidRPr="006C7A79">
        <w:rPr>
          <w:rFonts w:ascii="ITC Avant Garde" w:hAnsi="ITC Avant Garde"/>
          <w:kern w:val="2"/>
          <w:sz w:val="24"/>
          <w:szCs w:val="24"/>
          <w:lang w:val="es-ES_tradnl" w:eastAsia="ar-SA"/>
        </w:rPr>
        <w:t>,</w:t>
      </w:r>
      <w:r w:rsidR="005D725D" w:rsidRPr="006C7A79">
        <w:rPr>
          <w:rFonts w:ascii="ITC Avant Garde" w:hAnsi="ITC Avant Garde"/>
          <w:kern w:val="2"/>
          <w:sz w:val="24"/>
          <w:szCs w:val="24"/>
          <w:lang w:val="es-ES_tradnl" w:eastAsia="ar-SA"/>
        </w:rPr>
        <w:t xml:space="preserve"> ya sea de forma indefinida o por un periodo de tiempo que permita</w:t>
      </w:r>
      <w:r w:rsidR="00D11070" w:rsidRPr="006C7A79">
        <w:rPr>
          <w:rFonts w:ascii="ITC Avant Garde" w:hAnsi="ITC Avant Garde"/>
          <w:kern w:val="2"/>
          <w:sz w:val="24"/>
          <w:szCs w:val="24"/>
          <w:lang w:val="es-ES_tradnl" w:eastAsia="ar-SA"/>
        </w:rPr>
        <w:t xml:space="preserve"> </w:t>
      </w:r>
      <w:r w:rsidR="00A60D86" w:rsidRPr="006C7A79">
        <w:rPr>
          <w:rFonts w:ascii="ITC Avant Garde" w:hAnsi="ITC Avant Garde"/>
          <w:kern w:val="2"/>
          <w:sz w:val="24"/>
          <w:szCs w:val="24"/>
          <w:lang w:val="es-ES_tradnl" w:eastAsia="ar-SA"/>
        </w:rPr>
        <w:t>a los afectados identificar</w:t>
      </w:r>
      <w:r w:rsidR="00D11070" w:rsidRPr="006C7A79">
        <w:rPr>
          <w:rFonts w:ascii="ITC Avant Garde" w:hAnsi="ITC Avant Garde"/>
          <w:kern w:val="2"/>
          <w:sz w:val="24"/>
          <w:szCs w:val="24"/>
          <w:lang w:val="es-ES_tradnl" w:eastAsia="ar-SA"/>
        </w:rPr>
        <w:t xml:space="preserve"> </w:t>
      </w:r>
      <w:r w:rsidR="00354FCF" w:rsidRPr="006C7A79">
        <w:rPr>
          <w:rFonts w:ascii="ITC Avant Garde" w:hAnsi="ITC Avant Garde"/>
          <w:kern w:val="2"/>
          <w:sz w:val="24"/>
          <w:szCs w:val="24"/>
          <w:lang w:val="es-ES_tradnl" w:eastAsia="ar-SA"/>
        </w:rPr>
        <w:t xml:space="preserve">e implementar </w:t>
      </w:r>
      <w:r w:rsidR="00D11070" w:rsidRPr="006C7A79">
        <w:rPr>
          <w:rFonts w:ascii="ITC Avant Garde" w:hAnsi="ITC Avant Garde"/>
          <w:kern w:val="2"/>
          <w:sz w:val="24"/>
          <w:szCs w:val="24"/>
          <w:lang w:val="es-ES_tradnl" w:eastAsia="ar-SA"/>
        </w:rPr>
        <w:t xml:space="preserve">soluciones técnicas o comerciales </w:t>
      </w:r>
      <w:r w:rsidR="00354FCF" w:rsidRPr="006C7A79">
        <w:rPr>
          <w:rFonts w:ascii="ITC Avant Garde" w:hAnsi="ITC Avant Garde"/>
          <w:kern w:val="2"/>
          <w:sz w:val="24"/>
          <w:szCs w:val="24"/>
          <w:lang w:val="es-ES_tradnl" w:eastAsia="ar-SA"/>
        </w:rPr>
        <w:t>que resulten en la adopción</w:t>
      </w:r>
      <w:r w:rsidR="00D11070" w:rsidRPr="006C7A79">
        <w:rPr>
          <w:rFonts w:ascii="ITC Avant Garde" w:hAnsi="ITC Avant Garde"/>
          <w:kern w:val="2"/>
          <w:sz w:val="24"/>
          <w:szCs w:val="24"/>
          <w:lang w:val="es-ES_tradnl" w:eastAsia="ar-SA"/>
        </w:rPr>
        <w:t xml:space="preserve"> definitiva </w:t>
      </w:r>
      <w:r w:rsidR="00354FCF" w:rsidRPr="006C7A79">
        <w:rPr>
          <w:rFonts w:ascii="ITC Avant Garde" w:hAnsi="ITC Avant Garde"/>
          <w:kern w:val="2"/>
          <w:sz w:val="24"/>
          <w:szCs w:val="24"/>
          <w:lang w:val="es-ES_tradnl" w:eastAsia="ar-SA"/>
        </w:rPr>
        <w:t xml:space="preserve">de </w:t>
      </w:r>
      <w:r w:rsidR="00D11070" w:rsidRPr="006C7A79">
        <w:rPr>
          <w:rFonts w:ascii="ITC Avant Garde" w:hAnsi="ITC Avant Garde"/>
          <w:kern w:val="2"/>
          <w:sz w:val="24"/>
          <w:szCs w:val="24"/>
          <w:lang w:val="es-ES_tradnl" w:eastAsia="ar-SA"/>
        </w:rPr>
        <w:t xml:space="preserve">la marcación </w:t>
      </w:r>
      <w:r w:rsidR="00354FCF" w:rsidRPr="006C7A79">
        <w:rPr>
          <w:rFonts w:ascii="ITC Avant Garde" w:hAnsi="ITC Avant Garde"/>
          <w:kern w:val="2"/>
          <w:sz w:val="24"/>
          <w:szCs w:val="24"/>
          <w:lang w:val="es-ES_tradnl" w:eastAsia="ar-SA"/>
        </w:rPr>
        <w:t xml:space="preserve">nacional </w:t>
      </w:r>
      <w:r w:rsidR="00D11070" w:rsidRPr="006C7A79">
        <w:rPr>
          <w:rFonts w:ascii="ITC Avant Garde" w:hAnsi="ITC Avant Garde"/>
          <w:kern w:val="2"/>
          <w:sz w:val="24"/>
          <w:szCs w:val="24"/>
          <w:lang w:val="es-ES_tradnl" w:eastAsia="ar-SA"/>
        </w:rPr>
        <w:t xml:space="preserve">uniforme a 10 dígitos. </w:t>
      </w:r>
    </w:p>
    <w:p w:rsidR="002F35B7" w:rsidRPr="006C7A79" w:rsidRDefault="002F35B7"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441BCD" w:rsidRDefault="004C0AB3" w:rsidP="00441BCD">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En este sentido y a efecto de </w:t>
      </w:r>
      <w:r w:rsidR="004D7DD5" w:rsidRPr="006C7A79">
        <w:rPr>
          <w:rFonts w:ascii="ITC Avant Garde" w:eastAsia="Times New Roman" w:hAnsi="ITC Avant Garde" w:cs="Arial"/>
          <w:kern w:val="2"/>
          <w:sz w:val="24"/>
          <w:szCs w:val="24"/>
          <w:lang w:val="es-ES_tradnl" w:eastAsia="ar-SA"/>
        </w:rPr>
        <w:t xml:space="preserve">brindar un plazo adicional para que </w:t>
      </w:r>
      <w:r w:rsidR="001B09CD" w:rsidRPr="006C7A79">
        <w:rPr>
          <w:rFonts w:ascii="ITC Avant Garde" w:eastAsia="Times New Roman" w:hAnsi="ITC Avant Garde" w:cs="Arial"/>
          <w:kern w:val="2"/>
          <w:sz w:val="24"/>
          <w:szCs w:val="24"/>
          <w:lang w:val="es-ES_tradnl" w:eastAsia="ar-SA"/>
        </w:rPr>
        <w:t xml:space="preserve">las personas físicas, morales y entidades gubernamentales que utilicen, comercialicen o proporcionen servicios, dispositivos o sistemas programados para realizar llamadas automáticas hacia números geográficos o no geográficos asignados por el Instituto mediante los procedimientos de marcación establecidos en el PTFN de 1996, así como </w:t>
      </w:r>
      <w:r w:rsidR="004D7DD5" w:rsidRPr="006C7A79">
        <w:rPr>
          <w:rFonts w:ascii="ITC Avant Garde" w:eastAsia="Times New Roman" w:hAnsi="ITC Avant Garde" w:cs="Arial"/>
          <w:kern w:val="2"/>
          <w:sz w:val="24"/>
          <w:szCs w:val="24"/>
          <w:lang w:val="es-ES_tradnl" w:eastAsia="ar-SA"/>
        </w:rPr>
        <w:t>los Proveedores del Servicio de Telefonía Pública,</w:t>
      </w:r>
      <w:r w:rsidR="001B09CD" w:rsidRPr="006C7A79">
        <w:rPr>
          <w:rFonts w:ascii="ITC Avant Garde" w:eastAsia="Times New Roman" w:hAnsi="ITC Avant Garde" w:cs="Arial"/>
          <w:kern w:val="2"/>
          <w:sz w:val="24"/>
          <w:szCs w:val="24"/>
          <w:lang w:val="es-ES_tradnl" w:eastAsia="ar-SA"/>
        </w:rPr>
        <w:t xml:space="preserve"> y </w:t>
      </w:r>
      <w:r w:rsidR="004D7DD5" w:rsidRPr="006C7A79">
        <w:rPr>
          <w:rFonts w:ascii="ITC Avant Garde" w:eastAsia="Times New Roman" w:hAnsi="ITC Avant Garde" w:cs="Arial"/>
          <w:kern w:val="2"/>
          <w:sz w:val="24"/>
          <w:szCs w:val="24"/>
          <w:lang w:val="es-ES_tradnl" w:eastAsia="ar-SA"/>
        </w:rPr>
        <w:t>los Usuarios de Centrales Privadas de Conmutación</w:t>
      </w:r>
      <w:r w:rsidR="00692750" w:rsidRPr="006C7A79">
        <w:rPr>
          <w:rFonts w:ascii="ITC Avant Garde" w:eastAsia="Times New Roman" w:hAnsi="ITC Avant Garde" w:cs="Arial"/>
          <w:kern w:val="2"/>
          <w:sz w:val="24"/>
          <w:szCs w:val="24"/>
          <w:lang w:val="es-ES_tradnl" w:eastAsia="ar-SA"/>
        </w:rPr>
        <w:t xml:space="preserve">, </w:t>
      </w:r>
      <w:r w:rsidR="004D7DD5" w:rsidRPr="006C7A79">
        <w:rPr>
          <w:rFonts w:ascii="ITC Avant Garde" w:eastAsia="Times New Roman" w:hAnsi="ITC Avant Garde" w:cs="Arial"/>
          <w:kern w:val="2"/>
          <w:sz w:val="24"/>
          <w:szCs w:val="24"/>
          <w:lang w:val="es-ES_tradnl" w:eastAsia="ar-SA"/>
        </w:rPr>
        <w:t>identifiquen e implementen soluciones técnicas o comerciales que les permitan adoptar definitivamente la marcación nacional uniforme a 10 dígitos</w:t>
      </w:r>
      <w:r w:rsidR="006F7C5B" w:rsidRPr="006C7A79">
        <w:rPr>
          <w:rFonts w:ascii="ITC Avant Garde" w:eastAsia="Times New Roman" w:hAnsi="ITC Avant Garde" w:cs="Arial"/>
          <w:kern w:val="2"/>
          <w:sz w:val="24"/>
          <w:szCs w:val="24"/>
          <w:lang w:val="es-ES_tradnl" w:eastAsia="ar-SA"/>
        </w:rPr>
        <w:t>,</w:t>
      </w:r>
      <w:r w:rsidR="004D7DD5" w:rsidRPr="006C7A79">
        <w:rPr>
          <w:rFonts w:ascii="ITC Avant Garde" w:eastAsia="Times New Roman" w:hAnsi="ITC Avant Garde" w:cs="Arial"/>
          <w:kern w:val="2"/>
          <w:sz w:val="24"/>
          <w:szCs w:val="24"/>
          <w:lang w:val="es-ES_tradnl" w:eastAsia="ar-SA"/>
        </w:rPr>
        <w:t xml:space="preserve"> sin afectar</w:t>
      </w:r>
      <w:r w:rsidR="008A5A91" w:rsidRPr="006C7A79">
        <w:rPr>
          <w:rFonts w:ascii="ITC Avant Garde" w:eastAsia="Times New Roman" w:hAnsi="ITC Avant Garde" w:cs="Arial"/>
          <w:kern w:val="2"/>
          <w:sz w:val="24"/>
          <w:szCs w:val="24"/>
          <w:lang w:val="es-ES_tradnl" w:eastAsia="ar-SA"/>
        </w:rPr>
        <w:t xml:space="preserve"> </w:t>
      </w:r>
      <w:r w:rsidR="004D7DD5" w:rsidRPr="006C7A79">
        <w:rPr>
          <w:rFonts w:ascii="ITC Avant Garde" w:eastAsia="Times New Roman" w:hAnsi="ITC Avant Garde" w:cs="Arial"/>
          <w:kern w:val="2"/>
          <w:sz w:val="24"/>
          <w:szCs w:val="24"/>
          <w:lang w:val="es-ES_tradnl" w:eastAsia="ar-SA"/>
        </w:rPr>
        <w:t>su operación actual</w:t>
      </w:r>
      <w:r w:rsidRPr="006C7A79">
        <w:rPr>
          <w:rFonts w:ascii="ITC Avant Garde" w:eastAsia="Times New Roman" w:hAnsi="ITC Avant Garde" w:cs="Arial"/>
          <w:kern w:val="2"/>
          <w:sz w:val="24"/>
          <w:szCs w:val="24"/>
          <w:lang w:val="es-ES_tradnl" w:eastAsia="ar-SA"/>
        </w:rPr>
        <w:t xml:space="preserve">, el Instituto determina modificar el </w:t>
      </w:r>
      <w:r w:rsidR="00511E0E" w:rsidRPr="006C7A79">
        <w:rPr>
          <w:rFonts w:ascii="ITC Avant Garde" w:eastAsia="Times New Roman" w:hAnsi="ITC Avant Garde" w:cs="Arial"/>
          <w:kern w:val="2"/>
          <w:sz w:val="24"/>
          <w:szCs w:val="24"/>
          <w:lang w:val="es-ES_tradnl" w:eastAsia="ar-SA"/>
        </w:rPr>
        <w:t>A</w:t>
      </w:r>
      <w:r w:rsidRPr="006C7A79">
        <w:rPr>
          <w:rFonts w:ascii="ITC Avant Garde" w:eastAsia="Times New Roman" w:hAnsi="ITC Avant Garde" w:cs="Arial"/>
          <w:kern w:val="2"/>
          <w:sz w:val="24"/>
          <w:szCs w:val="24"/>
          <w:lang w:val="es-ES_tradnl" w:eastAsia="ar-SA"/>
        </w:rPr>
        <w:t>rtículo</w:t>
      </w:r>
      <w:r w:rsidR="00511E0E" w:rsidRPr="006C7A79">
        <w:rPr>
          <w:rFonts w:ascii="ITC Avant Garde" w:eastAsia="Times New Roman" w:hAnsi="ITC Avant Garde" w:cs="Arial"/>
          <w:kern w:val="2"/>
          <w:sz w:val="24"/>
          <w:szCs w:val="24"/>
          <w:lang w:val="es-ES_tradnl" w:eastAsia="ar-SA"/>
        </w:rPr>
        <w:t xml:space="preserve"> T</w:t>
      </w:r>
      <w:r w:rsidRPr="006C7A79">
        <w:rPr>
          <w:rFonts w:ascii="ITC Avant Garde" w:eastAsia="Times New Roman" w:hAnsi="ITC Avant Garde" w:cs="Arial"/>
          <w:kern w:val="2"/>
          <w:sz w:val="24"/>
          <w:szCs w:val="24"/>
          <w:lang w:val="es-ES_tradnl" w:eastAsia="ar-SA"/>
        </w:rPr>
        <w:t xml:space="preserve">ercero </w:t>
      </w:r>
      <w:r w:rsidR="00511E0E" w:rsidRPr="006C7A79">
        <w:rPr>
          <w:rFonts w:ascii="ITC Avant Garde" w:eastAsia="Times New Roman" w:hAnsi="ITC Avant Garde" w:cs="Arial"/>
          <w:kern w:val="2"/>
          <w:sz w:val="24"/>
          <w:szCs w:val="24"/>
          <w:lang w:val="es-ES_tradnl" w:eastAsia="ar-SA"/>
        </w:rPr>
        <w:t>T</w:t>
      </w:r>
      <w:r w:rsidRPr="006C7A79">
        <w:rPr>
          <w:rFonts w:ascii="ITC Avant Garde" w:eastAsia="Times New Roman" w:hAnsi="ITC Avant Garde" w:cs="Arial"/>
          <w:kern w:val="2"/>
          <w:sz w:val="24"/>
          <w:szCs w:val="24"/>
          <w:lang w:val="es-ES_tradnl" w:eastAsia="ar-SA"/>
        </w:rPr>
        <w:t>ransitorio del nuevo PTFN, a efecto de establecer como obligatoria</w:t>
      </w:r>
      <w:r w:rsidR="00511E0E" w:rsidRPr="006C7A79">
        <w:rPr>
          <w:rFonts w:ascii="ITC Avant Garde" w:eastAsia="Times New Roman" w:hAnsi="ITC Avant Garde" w:cs="Arial"/>
          <w:kern w:val="2"/>
          <w:sz w:val="24"/>
          <w:szCs w:val="24"/>
          <w:lang w:val="es-ES_tradnl" w:eastAsia="ar-SA"/>
        </w:rPr>
        <w:t>,</w:t>
      </w:r>
      <w:r w:rsidRPr="006C7A79">
        <w:rPr>
          <w:rFonts w:ascii="ITC Avant Garde" w:eastAsia="Times New Roman" w:hAnsi="ITC Avant Garde" w:cs="Arial"/>
          <w:kern w:val="2"/>
          <w:sz w:val="24"/>
          <w:szCs w:val="24"/>
          <w:lang w:val="es-ES_tradnl" w:eastAsia="ar-SA"/>
        </w:rPr>
        <w:t xml:space="preserve"> para todos los PST</w:t>
      </w:r>
      <w:r w:rsidR="00511E0E" w:rsidRPr="006C7A79">
        <w:rPr>
          <w:rFonts w:ascii="ITC Avant Garde" w:eastAsia="Times New Roman" w:hAnsi="ITC Avant Garde" w:cs="Arial"/>
          <w:kern w:val="2"/>
          <w:sz w:val="24"/>
          <w:szCs w:val="24"/>
          <w:lang w:val="es-ES_tradnl" w:eastAsia="ar-SA"/>
        </w:rPr>
        <w:t>,</w:t>
      </w:r>
      <w:r w:rsidRPr="006C7A79">
        <w:rPr>
          <w:rFonts w:ascii="ITC Avant Garde" w:eastAsia="Times New Roman" w:hAnsi="ITC Avant Garde" w:cs="Arial"/>
          <w:kern w:val="2"/>
          <w:sz w:val="24"/>
          <w:szCs w:val="24"/>
          <w:lang w:val="es-ES_tradnl" w:eastAsia="ar-SA"/>
        </w:rPr>
        <w:t xml:space="preserve"> la convivencia de marcaciones con y sin prefijos por un plazo de un año contado a partir de la entrada en vigor del</w:t>
      </w:r>
      <w:r w:rsidR="004D7DD5" w:rsidRPr="006C7A79">
        <w:rPr>
          <w:rFonts w:ascii="ITC Avant Garde" w:eastAsia="Times New Roman" w:hAnsi="ITC Avant Garde" w:cs="Arial"/>
          <w:kern w:val="2"/>
          <w:sz w:val="24"/>
          <w:szCs w:val="24"/>
          <w:lang w:val="es-ES_tradnl" w:eastAsia="ar-SA"/>
        </w:rPr>
        <w:t xml:space="preserve"> nuevo</w:t>
      </w:r>
      <w:r w:rsidRPr="006C7A79">
        <w:rPr>
          <w:rFonts w:ascii="ITC Avant Garde" w:eastAsia="Times New Roman" w:hAnsi="ITC Avant Garde" w:cs="Arial"/>
          <w:kern w:val="2"/>
          <w:sz w:val="24"/>
          <w:szCs w:val="24"/>
          <w:lang w:val="es-ES_tradnl" w:eastAsia="ar-SA"/>
        </w:rPr>
        <w:t xml:space="preserve"> PTFN</w:t>
      </w:r>
      <w:r w:rsidR="00441BCD">
        <w:rPr>
          <w:rFonts w:ascii="ITC Avant Garde" w:eastAsia="Times New Roman" w:hAnsi="ITC Avant Garde" w:cs="Arial"/>
          <w:kern w:val="2"/>
          <w:sz w:val="24"/>
          <w:szCs w:val="24"/>
          <w:lang w:val="es-ES_tradnl" w:eastAsia="ar-SA"/>
        </w:rPr>
        <w:t>.</w:t>
      </w:r>
    </w:p>
    <w:p w:rsidR="00441BCD" w:rsidRDefault="00441BCD" w:rsidP="00441BCD">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BB7037" w:rsidRPr="00F9252A" w:rsidRDefault="00441BCD" w:rsidP="00441BCD">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Pr>
          <w:rFonts w:ascii="ITC Avant Garde" w:eastAsia="Times New Roman" w:hAnsi="ITC Avant Garde" w:cs="Arial"/>
          <w:kern w:val="2"/>
          <w:sz w:val="24"/>
          <w:szCs w:val="24"/>
          <w:lang w:val="es-ES_tradnl" w:eastAsia="ar-SA"/>
        </w:rPr>
        <w:t xml:space="preserve">Lo anterior </w:t>
      </w:r>
      <w:r w:rsidR="00F9252A">
        <w:rPr>
          <w:rFonts w:ascii="ITC Avant Garde" w:eastAsia="Times New Roman" w:hAnsi="ITC Avant Garde" w:cs="Arial"/>
          <w:kern w:val="2"/>
          <w:sz w:val="24"/>
          <w:szCs w:val="24"/>
          <w:lang w:val="es-ES_tradnl" w:eastAsia="ar-SA"/>
        </w:rPr>
        <w:t xml:space="preserve">implica que en aquellos casos en que algún </w:t>
      </w:r>
      <w:r w:rsidR="00F9252A">
        <w:rPr>
          <w:rFonts w:ascii="ITC Avant Garde" w:eastAsia="Arial" w:hAnsi="ITC Avant Garde" w:cs="Arial"/>
          <w:sz w:val="24"/>
          <w:szCs w:val="24"/>
        </w:rPr>
        <w:t>Proveedor</w:t>
      </w:r>
      <w:r w:rsidR="00BB7037">
        <w:rPr>
          <w:rFonts w:ascii="ITC Avant Garde" w:eastAsia="Arial" w:hAnsi="ITC Avant Garde" w:cs="Arial"/>
          <w:sz w:val="24"/>
          <w:szCs w:val="24"/>
        </w:rPr>
        <w:t xml:space="preserve"> del Servicio de Telefon</w:t>
      </w:r>
      <w:r w:rsidR="00F9252A">
        <w:rPr>
          <w:rFonts w:ascii="ITC Avant Garde" w:eastAsia="Arial" w:hAnsi="ITC Avant Garde" w:cs="Arial"/>
          <w:sz w:val="24"/>
          <w:szCs w:val="24"/>
        </w:rPr>
        <w:t>ía Pública o</w:t>
      </w:r>
      <w:r w:rsidR="00BB7037">
        <w:rPr>
          <w:rFonts w:ascii="ITC Avant Garde" w:eastAsia="Arial" w:hAnsi="ITC Avant Garde" w:cs="Arial"/>
          <w:sz w:val="24"/>
          <w:szCs w:val="24"/>
        </w:rPr>
        <w:t xml:space="preserve"> </w:t>
      </w:r>
      <w:r w:rsidR="00F9252A">
        <w:rPr>
          <w:rFonts w:ascii="ITC Avant Garde" w:eastAsia="Arial" w:hAnsi="ITC Avant Garde" w:cs="Arial"/>
          <w:sz w:val="24"/>
          <w:szCs w:val="24"/>
        </w:rPr>
        <w:t>Usuario</w:t>
      </w:r>
      <w:r w:rsidR="00BB7037">
        <w:rPr>
          <w:rFonts w:ascii="ITC Avant Garde" w:eastAsia="Arial" w:hAnsi="ITC Avant Garde" w:cs="Arial"/>
          <w:sz w:val="24"/>
          <w:szCs w:val="24"/>
        </w:rPr>
        <w:t xml:space="preserve"> de Centrales Privadas de Conmutación</w:t>
      </w:r>
      <w:r w:rsidR="00F9252A">
        <w:rPr>
          <w:rFonts w:ascii="ITC Avant Garde" w:eastAsia="Arial" w:hAnsi="ITC Avant Garde" w:cs="Arial"/>
          <w:sz w:val="24"/>
          <w:szCs w:val="24"/>
        </w:rPr>
        <w:t xml:space="preserve"> requiera mantener </w:t>
      </w:r>
      <w:r>
        <w:rPr>
          <w:rFonts w:ascii="ITC Avant Garde" w:eastAsia="Arial" w:hAnsi="ITC Avant Garde" w:cs="Arial"/>
          <w:sz w:val="24"/>
          <w:szCs w:val="24"/>
        </w:rPr>
        <w:t xml:space="preserve">exclusivamente </w:t>
      </w:r>
      <w:r w:rsidR="00F9252A">
        <w:rPr>
          <w:rFonts w:ascii="ITC Avant Garde" w:eastAsia="Arial" w:hAnsi="ITC Avant Garde" w:cs="Arial"/>
          <w:sz w:val="24"/>
          <w:szCs w:val="24"/>
        </w:rPr>
        <w:t xml:space="preserve">el establecimiento de </w:t>
      </w:r>
      <w:r w:rsidR="00F9252A">
        <w:rPr>
          <w:rFonts w:ascii="ITC Avant Garde" w:eastAsia="Arial" w:hAnsi="ITC Avant Garde" w:cs="Arial"/>
          <w:sz w:val="24"/>
          <w:szCs w:val="24"/>
        </w:rPr>
        <w:lastRenderedPageBreak/>
        <w:t xml:space="preserve">llamadas bajo los procedimientos de marcación </w:t>
      </w:r>
      <w:r>
        <w:rPr>
          <w:rFonts w:ascii="ITC Avant Garde" w:eastAsia="Arial" w:hAnsi="ITC Avant Garde" w:cs="Arial"/>
          <w:sz w:val="24"/>
          <w:szCs w:val="24"/>
        </w:rPr>
        <w:t>indicados</w:t>
      </w:r>
      <w:r w:rsidR="00F9252A">
        <w:rPr>
          <w:rFonts w:ascii="ITC Avant Garde" w:eastAsia="Arial" w:hAnsi="ITC Avant Garde" w:cs="Arial"/>
          <w:sz w:val="24"/>
          <w:szCs w:val="24"/>
        </w:rPr>
        <w:t xml:space="preserve"> en </w:t>
      </w:r>
      <w:r>
        <w:rPr>
          <w:rFonts w:ascii="ITC Avant Garde" w:eastAsia="Arial" w:hAnsi="ITC Avant Garde" w:cs="Arial"/>
          <w:sz w:val="24"/>
          <w:szCs w:val="24"/>
        </w:rPr>
        <w:t xml:space="preserve">el </w:t>
      </w:r>
      <w:r w:rsidRPr="006C7A79">
        <w:rPr>
          <w:rFonts w:ascii="ITC Avant Garde" w:eastAsia="Arial" w:hAnsi="ITC Avant Garde" w:cs="Arial"/>
          <w:sz w:val="24"/>
          <w:szCs w:val="24"/>
        </w:rPr>
        <w:t>PTFN de 1996</w:t>
      </w:r>
      <w:r w:rsidR="00BB7037">
        <w:rPr>
          <w:rFonts w:ascii="ITC Avant Garde" w:eastAsia="Arial" w:hAnsi="ITC Avant Garde" w:cs="Arial"/>
          <w:sz w:val="24"/>
          <w:szCs w:val="24"/>
        </w:rPr>
        <w:t>, los Proveedores de Servicios de Telecomunicaciones deberán pe</w:t>
      </w:r>
      <w:r>
        <w:rPr>
          <w:rFonts w:ascii="ITC Avant Garde" w:eastAsia="Arial" w:hAnsi="ITC Avant Garde" w:cs="Arial"/>
          <w:sz w:val="24"/>
          <w:szCs w:val="24"/>
        </w:rPr>
        <w:t>r</w:t>
      </w:r>
      <w:r w:rsidR="00BB7037">
        <w:rPr>
          <w:rFonts w:ascii="ITC Avant Garde" w:eastAsia="Arial" w:hAnsi="ITC Avant Garde" w:cs="Arial"/>
          <w:sz w:val="24"/>
          <w:szCs w:val="24"/>
        </w:rPr>
        <w:t>mitir</w:t>
      </w:r>
      <w:r>
        <w:rPr>
          <w:rFonts w:ascii="ITC Avant Garde" w:eastAsia="Arial" w:hAnsi="ITC Avant Garde" w:cs="Arial"/>
          <w:sz w:val="24"/>
          <w:szCs w:val="24"/>
        </w:rPr>
        <w:t>lo hasta por el plazo de un año</w:t>
      </w:r>
      <w:r w:rsidR="00FC3E3A">
        <w:rPr>
          <w:rFonts w:ascii="ITC Avant Garde" w:eastAsia="Arial" w:hAnsi="ITC Avant Garde" w:cs="Arial"/>
          <w:sz w:val="24"/>
          <w:szCs w:val="24"/>
        </w:rPr>
        <w:t xml:space="preserve"> contado a partir del 3 de agosto de 2019</w:t>
      </w:r>
      <w:r w:rsidR="00BB7037">
        <w:rPr>
          <w:rFonts w:ascii="ITC Avant Garde" w:eastAsia="Arial" w:hAnsi="ITC Avant Garde" w:cs="Arial"/>
          <w:sz w:val="24"/>
          <w:szCs w:val="24"/>
        </w:rPr>
        <w:t xml:space="preserve">. </w:t>
      </w:r>
    </w:p>
    <w:p w:rsidR="00BB7037" w:rsidRDefault="00BB7037"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2F35B7" w:rsidRPr="006C7A79" w:rsidRDefault="006F7C5B" w:rsidP="00873106">
      <w:pPr>
        <w:widowControl w:val="0"/>
        <w:autoSpaceDE w:val="0"/>
        <w:autoSpaceDN w:val="0"/>
        <w:spacing w:after="0" w:line="240" w:lineRule="auto"/>
        <w:jc w:val="both"/>
        <w:rPr>
          <w:rFonts w:ascii="ITC Avant Garde" w:eastAsia="Times New Roman" w:hAnsi="ITC Avant Garde" w:cs="Arial"/>
          <w:kern w:val="2"/>
          <w:sz w:val="24"/>
          <w:szCs w:val="24"/>
          <w:highlight w:val="yellow"/>
          <w:lang w:val="es-ES_tradnl" w:eastAsia="ar-SA"/>
        </w:rPr>
      </w:pPr>
      <w:r w:rsidRPr="006C7A79">
        <w:rPr>
          <w:rFonts w:ascii="ITC Avant Garde" w:eastAsia="Times New Roman" w:hAnsi="ITC Avant Garde" w:cs="Arial"/>
          <w:kern w:val="2"/>
          <w:sz w:val="24"/>
          <w:szCs w:val="24"/>
          <w:lang w:val="es-ES_tradnl" w:eastAsia="ar-SA"/>
        </w:rPr>
        <w:t xml:space="preserve">Lo anterior en el entendido de </w:t>
      </w:r>
      <w:r w:rsidR="004C0AB3" w:rsidRPr="006C7A79">
        <w:rPr>
          <w:rFonts w:ascii="ITC Avant Garde" w:eastAsia="Times New Roman" w:hAnsi="ITC Avant Garde" w:cs="Arial"/>
          <w:kern w:val="2"/>
          <w:sz w:val="24"/>
          <w:szCs w:val="24"/>
          <w:lang w:val="es-ES_tradnl" w:eastAsia="ar-SA"/>
        </w:rPr>
        <w:t>que esta modificación no implica cambios</w:t>
      </w:r>
      <w:r w:rsidR="004D7DD5" w:rsidRPr="006C7A79">
        <w:rPr>
          <w:rFonts w:ascii="ITC Avant Garde" w:eastAsia="Times New Roman" w:hAnsi="ITC Avant Garde" w:cs="Arial"/>
          <w:kern w:val="2"/>
          <w:sz w:val="24"/>
          <w:szCs w:val="24"/>
          <w:lang w:val="es-ES_tradnl" w:eastAsia="ar-SA"/>
        </w:rPr>
        <w:t xml:space="preserve"> en los formatos</w:t>
      </w:r>
      <w:r w:rsidR="004C0AB3" w:rsidRPr="006C7A79">
        <w:rPr>
          <w:rFonts w:ascii="ITC Avant Garde" w:eastAsia="Times New Roman" w:hAnsi="ITC Avant Garde" w:cs="Arial"/>
          <w:kern w:val="2"/>
          <w:sz w:val="24"/>
          <w:szCs w:val="24"/>
          <w:lang w:val="es-ES_tradnl" w:eastAsia="ar-SA"/>
        </w:rPr>
        <w:t xml:space="preserve"> </w:t>
      </w:r>
      <w:r w:rsidR="004D7DD5" w:rsidRPr="006C7A79">
        <w:rPr>
          <w:rFonts w:ascii="ITC Avant Garde" w:eastAsia="Arial" w:hAnsi="ITC Avant Garde" w:cs="Arial"/>
          <w:sz w:val="24"/>
          <w:szCs w:val="24"/>
        </w:rPr>
        <w:t xml:space="preserve">para el intercambio de información de la señalización establecidos en el </w:t>
      </w:r>
      <w:r w:rsidR="00511E0E" w:rsidRPr="006C7A79">
        <w:rPr>
          <w:rFonts w:ascii="ITC Avant Garde" w:eastAsia="Arial" w:hAnsi="ITC Avant Garde" w:cs="Arial"/>
          <w:sz w:val="24"/>
          <w:szCs w:val="24"/>
        </w:rPr>
        <w:t>nuevo PTFS</w:t>
      </w:r>
      <w:r w:rsidRPr="006C7A79">
        <w:rPr>
          <w:rFonts w:ascii="ITC Avant Garde" w:eastAsia="Arial" w:hAnsi="ITC Avant Garde" w:cs="Arial"/>
          <w:sz w:val="24"/>
          <w:szCs w:val="24"/>
        </w:rPr>
        <w:t>.</w:t>
      </w:r>
      <w:r w:rsidR="004D7DD5" w:rsidRPr="006C7A79">
        <w:rPr>
          <w:rFonts w:ascii="ITC Avant Garde" w:eastAsia="Times New Roman" w:hAnsi="ITC Avant Garde" w:cs="Arial"/>
          <w:kern w:val="2"/>
          <w:sz w:val="24"/>
          <w:szCs w:val="24"/>
          <w:highlight w:val="yellow"/>
          <w:lang w:val="es-ES_tradnl" w:eastAsia="ar-SA"/>
        </w:rPr>
        <w:t xml:space="preserve"> </w:t>
      </w:r>
    </w:p>
    <w:p w:rsidR="006062AB" w:rsidRPr="006C7A79" w:rsidRDefault="006062AB" w:rsidP="00873106">
      <w:pPr>
        <w:widowControl w:val="0"/>
        <w:autoSpaceDE w:val="0"/>
        <w:autoSpaceDN w:val="0"/>
        <w:spacing w:after="0" w:line="240" w:lineRule="auto"/>
        <w:jc w:val="both"/>
        <w:rPr>
          <w:rFonts w:ascii="ITC Avant Garde" w:eastAsia="Times New Roman" w:hAnsi="ITC Avant Garde" w:cs="Arial"/>
          <w:kern w:val="2"/>
          <w:sz w:val="24"/>
          <w:szCs w:val="24"/>
          <w:highlight w:val="yellow"/>
          <w:lang w:val="es-ES_tradnl" w:eastAsia="ar-SA"/>
        </w:rPr>
      </w:pPr>
    </w:p>
    <w:p w:rsidR="00077005" w:rsidRPr="006C7A79" w:rsidRDefault="002F35B7"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 xml:space="preserve">El motivo por el cual se hace extensiva a todos los PSTs la obligatoriedad de </w:t>
      </w:r>
      <w:r w:rsidR="00DF0C94" w:rsidRPr="006C7A79">
        <w:rPr>
          <w:rFonts w:ascii="ITC Avant Garde" w:eastAsia="Times New Roman" w:hAnsi="ITC Avant Garde" w:cs="Arial"/>
          <w:kern w:val="2"/>
          <w:sz w:val="24"/>
          <w:szCs w:val="24"/>
          <w:lang w:val="es-ES_tradnl" w:eastAsia="ar-SA"/>
        </w:rPr>
        <w:t>ofrecer a sus usuarios</w:t>
      </w:r>
      <w:r w:rsidRPr="006C7A79">
        <w:rPr>
          <w:rFonts w:ascii="ITC Avant Garde" w:eastAsia="Times New Roman" w:hAnsi="ITC Avant Garde" w:cs="Arial"/>
          <w:kern w:val="2"/>
          <w:sz w:val="24"/>
          <w:szCs w:val="24"/>
          <w:lang w:val="es-ES_tradnl" w:eastAsia="ar-SA"/>
        </w:rPr>
        <w:t xml:space="preserve"> la convivencia de procedimientos de marcación, </w:t>
      </w:r>
      <w:r w:rsidR="00DF0C94" w:rsidRPr="006C7A79">
        <w:rPr>
          <w:rFonts w:ascii="ITC Avant Garde" w:eastAsia="Times New Roman" w:hAnsi="ITC Avant Garde" w:cs="Arial"/>
          <w:kern w:val="2"/>
          <w:sz w:val="24"/>
          <w:szCs w:val="24"/>
          <w:lang w:val="es-ES_tradnl" w:eastAsia="ar-SA"/>
        </w:rPr>
        <w:t xml:space="preserve">responde a que, </w:t>
      </w:r>
      <w:r w:rsidR="008F0F2E" w:rsidRPr="006C7A79">
        <w:rPr>
          <w:rFonts w:ascii="ITC Avant Garde" w:eastAsia="Times New Roman" w:hAnsi="ITC Avant Garde" w:cs="Arial"/>
          <w:kern w:val="2"/>
          <w:sz w:val="24"/>
          <w:szCs w:val="24"/>
          <w:lang w:val="es-ES_tradnl" w:eastAsia="ar-SA"/>
        </w:rPr>
        <w:t xml:space="preserve">en el caso de los dispositivos o sistemas programados para realizar llamadas automáticas hacia números geográficos o no geográficos, su conexión a </w:t>
      </w:r>
      <w:r w:rsidRPr="006C7A79">
        <w:rPr>
          <w:rFonts w:ascii="ITC Avant Garde" w:eastAsia="Times New Roman" w:hAnsi="ITC Avant Garde" w:cs="Arial"/>
          <w:kern w:val="2"/>
          <w:sz w:val="24"/>
          <w:szCs w:val="24"/>
          <w:lang w:val="es-ES_tradnl" w:eastAsia="ar-SA"/>
        </w:rPr>
        <w:t xml:space="preserve">las redes públicas de telecomunicaciones </w:t>
      </w:r>
      <w:r w:rsidR="008F0F2E" w:rsidRPr="006C7A79">
        <w:rPr>
          <w:rFonts w:ascii="ITC Avant Garde" w:eastAsia="Times New Roman" w:hAnsi="ITC Avant Garde" w:cs="Arial"/>
          <w:kern w:val="2"/>
          <w:sz w:val="24"/>
          <w:szCs w:val="24"/>
          <w:lang w:val="es-ES_tradnl" w:eastAsia="ar-SA"/>
        </w:rPr>
        <w:t>correspondientes</w:t>
      </w:r>
      <w:r w:rsidR="00D51774" w:rsidRPr="006C7A79">
        <w:rPr>
          <w:rFonts w:ascii="ITC Avant Garde" w:eastAsia="Times New Roman" w:hAnsi="ITC Avant Garde" w:cs="Arial"/>
          <w:kern w:val="2"/>
          <w:sz w:val="24"/>
          <w:szCs w:val="24"/>
          <w:lang w:val="es-ES_tradnl" w:eastAsia="ar-SA"/>
        </w:rPr>
        <w:t>,</w:t>
      </w:r>
      <w:r w:rsidR="008F0F2E" w:rsidRPr="006C7A79">
        <w:rPr>
          <w:rFonts w:ascii="ITC Avant Garde" w:eastAsia="Times New Roman" w:hAnsi="ITC Avant Garde" w:cs="Arial"/>
          <w:kern w:val="2"/>
          <w:sz w:val="24"/>
          <w:szCs w:val="24"/>
          <w:lang w:val="es-ES_tradnl" w:eastAsia="ar-SA"/>
        </w:rPr>
        <w:t xml:space="preserve"> en la mayoría de las ocasiones</w:t>
      </w:r>
      <w:r w:rsidR="00D51774" w:rsidRPr="006C7A79">
        <w:rPr>
          <w:rFonts w:ascii="ITC Avant Garde" w:eastAsia="Times New Roman" w:hAnsi="ITC Avant Garde" w:cs="Arial"/>
          <w:kern w:val="2"/>
          <w:sz w:val="24"/>
          <w:szCs w:val="24"/>
          <w:lang w:val="es-ES_tradnl" w:eastAsia="ar-SA"/>
        </w:rPr>
        <w:t>,</w:t>
      </w:r>
      <w:r w:rsidR="008F0F2E" w:rsidRPr="006C7A79">
        <w:rPr>
          <w:rFonts w:ascii="ITC Avant Garde" w:eastAsia="Times New Roman" w:hAnsi="ITC Avant Garde" w:cs="Arial"/>
          <w:kern w:val="2"/>
          <w:sz w:val="24"/>
          <w:szCs w:val="24"/>
          <w:lang w:val="es-ES_tradnl" w:eastAsia="ar-SA"/>
        </w:rPr>
        <w:t xml:space="preserve"> la lleva a cabo directa o indirectamente el usuario final sin el conocimiento del PST</w:t>
      </w:r>
      <w:r w:rsidRPr="006C7A79">
        <w:rPr>
          <w:rFonts w:ascii="ITC Avant Garde" w:eastAsia="Times New Roman" w:hAnsi="ITC Avant Garde" w:cs="Arial"/>
          <w:kern w:val="2"/>
          <w:sz w:val="24"/>
          <w:szCs w:val="24"/>
          <w:lang w:val="es-ES_tradnl" w:eastAsia="ar-SA"/>
        </w:rPr>
        <w:t>.</w:t>
      </w:r>
    </w:p>
    <w:p w:rsidR="00D51774" w:rsidRPr="006C7A79" w:rsidRDefault="00D51774"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D51774" w:rsidRPr="006C7A79" w:rsidRDefault="0066156F"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En relación a</w:t>
      </w:r>
      <w:r w:rsidR="008F0F2E" w:rsidRPr="006C7A79">
        <w:rPr>
          <w:rFonts w:ascii="ITC Avant Garde" w:eastAsia="Times New Roman" w:hAnsi="ITC Avant Garde" w:cs="Arial"/>
          <w:kern w:val="2"/>
          <w:sz w:val="24"/>
          <w:szCs w:val="24"/>
          <w:lang w:val="es-ES_tradnl" w:eastAsia="ar-SA"/>
        </w:rPr>
        <w:t xml:space="preserve"> </w:t>
      </w:r>
      <w:r w:rsidRPr="006C7A79">
        <w:rPr>
          <w:rFonts w:ascii="ITC Avant Garde" w:eastAsia="Times New Roman" w:hAnsi="ITC Avant Garde" w:cs="Arial"/>
          <w:kern w:val="2"/>
          <w:sz w:val="24"/>
          <w:szCs w:val="24"/>
          <w:lang w:val="es-ES_tradnl" w:eastAsia="ar-SA"/>
        </w:rPr>
        <w:t>l</w:t>
      </w:r>
      <w:r w:rsidR="008F0F2E" w:rsidRPr="006C7A79">
        <w:rPr>
          <w:rFonts w:ascii="ITC Avant Garde" w:eastAsia="Times New Roman" w:hAnsi="ITC Avant Garde" w:cs="Arial"/>
          <w:kern w:val="2"/>
          <w:sz w:val="24"/>
          <w:szCs w:val="24"/>
          <w:lang w:val="es-ES_tradnl" w:eastAsia="ar-SA"/>
        </w:rPr>
        <w:t>a determinación del</w:t>
      </w:r>
      <w:r w:rsidR="00450512" w:rsidRPr="006C7A79">
        <w:rPr>
          <w:rFonts w:ascii="ITC Avant Garde" w:eastAsia="Times New Roman" w:hAnsi="ITC Avant Garde" w:cs="Arial"/>
          <w:kern w:val="2"/>
          <w:sz w:val="24"/>
          <w:szCs w:val="24"/>
          <w:lang w:val="es-ES_tradnl" w:eastAsia="ar-SA"/>
        </w:rPr>
        <w:t xml:space="preserve"> plazo adicional de un año para mantener la convivencia de procedimientos de marcación</w:t>
      </w:r>
      <w:r w:rsidR="008F0F2E" w:rsidRPr="006C7A79">
        <w:rPr>
          <w:rFonts w:ascii="ITC Avant Garde" w:eastAsia="Times New Roman" w:hAnsi="ITC Avant Garde" w:cs="Arial"/>
          <w:kern w:val="2"/>
          <w:sz w:val="24"/>
          <w:szCs w:val="24"/>
          <w:lang w:val="es-ES_tradnl" w:eastAsia="ar-SA"/>
        </w:rPr>
        <w:t>,</w:t>
      </w:r>
      <w:r w:rsidR="00450512" w:rsidRPr="006C7A79">
        <w:rPr>
          <w:rFonts w:ascii="ITC Avant Garde" w:eastAsia="Times New Roman" w:hAnsi="ITC Avant Garde" w:cs="Arial"/>
          <w:kern w:val="2"/>
          <w:sz w:val="24"/>
          <w:szCs w:val="24"/>
          <w:lang w:val="es-ES_tradnl" w:eastAsia="ar-SA"/>
        </w:rPr>
        <w:t xml:space="preserve"> se considera </w:t>
      </w:r>
      <w:r w:rsidR="008F0F2E" w:rsidRPr="006C7A79">
        <w:rPr>
          <w:rFonts w:ascii="ITC Avant Garde" w:eastAsia="Times New Roman" w:hAnsi="ITC Avant Garde" w:cs="Arial"/>
          <w:kern w:val="2"/>
          <w:sz w:val="24"/>
          <w:szCs w:val="24"/>
          <w:lang w:val="es-ES_tradnl" w:eastAsia="ar-SA"/>
        </w:rPr>
        <w:t>que no es posible</w:t>
      </w:r>
      <w:r w:rsidR="00450512" w:rsidRPr="006C7A79">
        <w:rPr>
          <w:rFonts w:ascii="ITC Avant Garde" w:eastAsia="Times New Roman" w:hAnsi="ITC Avant Garde" w:cs="Arial"/>
          <w:kern w:val="2"/>
          <w:sz w:val="24"/>
          <w:szCs w:val="24"/>
          <w:lang w:val="es-ES_tradnl" w:eastAsia="ar-SA"/>
        </w:rPr>
        <w:t xml:space="preserve"> establecer un plazo mayor </w:t>
      </w:r>
      <w:r w:rsidR="008F0F2E" w:rsidRPr="006C7A79">
        <w:rPr>
          <w:rFonts w:ascii="ITC Avant Garde" w:eastAsia="Times New Roman" w:hAnsi="ITC Avant Garde" w:cs="Arial"/>
          <w:kern w:val="2"/>
          <w:sz w:val="24"/>
          <w:szCs w:val="24"/>
          <w:lang w:val="es-ES_tradnl" w:eastAsia="ar-SA"/>
        </w:rPr>
        <w:t xml:space="preserve">debido a que se </w:t>
      </w:r>
      <w:r w:rsidR="0080004A" w:rsidRPr="006C7A79">
        <w:rPr>
          <w:rFonts w:ascii="ITC Avant Garde" w:eastAsia="Times New Roman" w:hAnsi="ITC Avant Garde" w:cs="Arial"/>
          <w:kern w:val="2"/>
          <w:sz w:val="24"/>
          <w:szCs w:val="24"/>
          <w:lang w:val="es-ES_tradnl" w:eastAsia="ar-SA"/>
        </w:rPr>
        <w:t>po</w:t>
      </w:r>
      <w:r w:rsidR="006062AB" w:rsidRPr="006C7A79">
        <w:rPr>
          <w:rFonts w:ascii="ITC Avant Garde" w:eastAsia="Times New Roman" w:hAnsi="ITC Avant Garde" w:cs="Arial"/>
          <w:kern w:val="2"/>
          <w:sz w:val="24"/>
          <w:szCs w:val="24"/>
          <w:lang w:val="es-ES_tradnl" w:eastAsia="ar-SA"/>
        </w:rPr>
        <w:t>n</w:t>
      </w:r>
      <w:r w:rsidR="0080004A" w:rsidRPr="006C7A79">
        <w:rPr>
          <w:rFonts w:ascii="ITC Avant Garde" w:eastAsia="Times New Roman" w:hAnsi="ITC Avant Garde" w:cs="Arial"/>
          <w:kern w:val="2"/>
          <w:sz w:val="24"/>
          <w:szCs w:val="24"/>
          <w:lang w:val="es-ES_tradnl" w:eastAsia="ar-SA"/>
        </w:rPr>
        <w:t xml:space="preserve">dría </w:t>
      </w:r>
      <w:r w:rsidR="00450512" w:rsidRPr="006C7A79">
        <w:rPr>
          <w:rFonts w:ascii="ITC Avant Garde" w:eastAsia="Times New Roman" w:hAnsi="ITC Avant Garde" w:cs="Arial"/>
          <w:kern w:val="2"/>
          <w:sz w:val="24"/>
          <w:szCs w:val="24"/>
          <w:lang w:val="es-ES_tradnl" w:eastAsia="ar-SA"/>
        </w:rPr>
        <w:t xml:space="preserve">en riesgo la asignación de numeración geográfica </w:t>
      </w:r>
      <w:r w:rsidRPr="006C7A79">
        <w:rPr>
          <w:rFonts w:ascii="ITC Avant Garde" w:eastAsia="Times New Roman" w:hAnsi="ITC Avant Garde" w:cs="Arial"/>
          <w:kern w:val="2"/>
          <w:sz w:val="24"/>
          <w:szCs w:val="24"/>
          <w:lang w:val="es-ES_tradnl" w:eastAsia="ar-SA"/>
        </w:rPr>
        <w:t>a los PSTs</w:t>
      </w:r>
      <w:r w:rsidR="0080004A" w:rsidRPr="006C7A79">
        <w:rPr>
          <w:rFonts w:ascii="ITC Avant Garde" w:eastAsia="Times New Roman" w:hAnsi="ITC Avant Garde" w:cs="Arial"/>
          <w:kern w:val="2"/>
          <w:sz w:val="24"/>
          <w:szCs w:val="24"/>
          <w:lang w:val="es-ES_tradnl" w:eastAsia="ar-SA"/>
        </w:rPr>
        <w:t xml:space="preserve"> en las modalidades fijo y móvil MPP, dentro de</w:t>
      </w:r>
      <w:r w:rsidRPr="006C7A79">
        <w:rPr>
          <w:rFonts w:ascii="ITC Avant Garde" w:eastAsia="Times New Roman" w:hAnsi="ITC Avant Garde" w:cs="Arial"/>
          <w:kern w:val="2"/>
          <w:sz w:val="24"/>
          <w:szCs w:val="24"/>
          <w:lang w:val="es-ES_tradnl" w:eastAsia="ar-SA"/>
        </w:rPr>
        <w:t xml:space="preserve"> </w:t>
      </w:r>
      <w:r w:rsidR="00450512" w:rsidRPr="006C7A79">
        <w:rPr>
          <w:rFonts w:ascii="ITC Avant Garde" w:eastAsia="Times New Roman" w:hAnsi="ITC Avant Garde" w:cs="Arial"/>
          <w:kern w:val="2"/>
          <w:sz w:val="24"/>
          <w:szCs w:val="24"/>
          <w:lang w:val="es-ES_tradnl" w:eastAsia="ar-SA"/>
        </w:rPr>
        <w:t xml:space="preserve">las áreas geográficas que reportan </w:t>
      </w:r>
      <w:r w:rsidR="0080004A" w:rsidRPr="006C7A79">
        <w:rPr>
          <w:rFonts w:ascii="ITC Avant Garde" w:eastAsia="Times New Roman" w:hAnsi="ITC Avant Garde" w:cs="Arial"/>
          <w:kern w:val="2"/>
          <w:sz w:val="24"/>
          <w:szCs w:val="24"/>
          <w:lang w:val="es-ES_tradnl" w:eastAsia="ar-SA"/>
        </w:rPr>
        <w:t xml:space="preserve">una importante escasez en la </w:t>
      </w:r>
      <w:r w:rsidRPr="006C7A79">
        <w:rPr>
          <w:rFonts w:ascii="ITC Avant Garde" w:eastAsia="Times New Roman" w:hAnsi="ITC Avant Garde" w:cs="Arial"/>
          <w:kern w:val="2"/>
          <w:sz w:val="24"/>
          <w:szCs w:val="24"/>
          <w:lang w:val="es-ES_tradnl" w:eastAsia="ar-SA"/>
        </w:rPr>
        <w:t>disponibilidad de numeración geográfica</w:t>
      </w:r>
      <w:r w:rsidR="0080004A" w:rsidRPr="006C7A79">
        <w:rPr>
          <w:rFonts w:ascii="ITC Avant Garde" w:eastAsia="Times New Roman" w:hAnsi="ITC Avant Garde" w:cs="Arial"/>
          <w:kern w:val="2"/>
          <w:sz w:val="24"/>
          <w:szCs w:val="24"/>
          <w:lang w:val="es-ES_tradnl" w:eastAsia="ar-SA"/>
        </w:rPr>
        <w:t xml:space="preserve">. Como es el caso </w:t>
      </w:r>
      <w:r w:rsidRPr="006C7A79">
        <w:rPr>
          <w:rFonts w:ascii="ITC Avant Garde" w:eastAsia="Times New Roman" w:hAnsi="ITC Avant Garde" w:cs="Arial"/>
          <w:kern w:val="2"/>
          <w:sz w:val="24"/>
          <w:szCs w:val="24"/>
          <w:lang w:val="es-ES_tradnl" w:eastAsia="ar-SA"/>
        </w:rPr>
        <w:t xml:space="preserve">de las áreas geográficas asociadas a los NIR 222 (Puebla) y 722 (Toluca) en donde </w:t>
      </w:r>
      <w:r w:rsidR="0080004A" w:rsidRPr="006C7A79">
        <w:rPr>
          <w:rFonts w:ascii="ITC Avant Garde" w:eastAsia="Times New Roman" w:hAnsi="ITC Avant Garde" w:cs="Arial"/>
          <w:kern w:val="2"/>
          <w:sz w:val="24"/>
          <w:szCs w:val="24"/>
          <w:lang w:val="es-ES_tradnl" w:eastAsia="ar-SA"/>
        </w:rPr>
        <w:t>al 26 de junio de 2019 se ha asignado un 94.48</w:t>
      </w:r>
      <w:r w:rsidRPr="006C7A79">
        <w:rPr>
          <w:rFonts w:ascii="ITC Avant Garde" w:eastAsia="Times New Roman" w:hAnsi="ITC Avant Garde" w:cs="Arial"/>
          <w:kern w:val="2"/>
          <w:sz w:val="24"/>
          <w:szCs w:val="24"/>
          <w:lang w:val="es-ES_tradnl" w:eastAsia="ar-SA"/>
        </w:rPr>
        <w:t>%</w:t>
      </w:r>
      <w:r w:rsidR="0080004A" w:rsidRPr="006C7A79">
        <w:rPr>
          <w:rFonts w:ascii="ITC Avant Garde" w:eastAsia="Times New Roman" w:hAnsi="ITC Avant Garde" w:cs="Arial"/>
          <w:kern w:val="2"/>
          <w:sz w:val="24"/>
          <w:szCs w:val="24"/>
          <w:lang w:val="es-ES_tradnl" w:eastAsia="ar-SA"/>
        </w:rPr>
        <w:t xml:space="preserve"> y un 91.65</w:t>
      </w:r>
      <w:r w:rsidRPr="006C7A79">
        <w:rPr>
          <w:rFonts w:ascii="ITC Avant Garde" w:eastAsia="Times New Roman" w:hAnsi="ITC Avant Garde" w:cs="Arial"/>
          <w:kern w:val="2"/>
          <w:sz w:val="24"/>
          <w:szCs w:val="24"/>
          <w:lang w:val="es-ES_tradnl" w:eastAsia="ar-SA"/>
        </w:rPr>
        <w:t xml:space="preserve">% de la numeración disponible, respectivamente. </w:t>
      </w:r>
    </w:p>
    <w:p w:rsidR="00D51774" w:rsidRPr="006C7A79" w:rsidRDefault="00D51774"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4E5E99" w:rsidRPr="006C7A79" w:rsidRDefault="00D51774"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r w:rsidRPr="006C7A79">
        <w:rPr>
          <w:rFonts w:ascii="ITC Avant Garde" w:eastAsia="Times New Roman" w:hAnsi="ITC Avant Garde" w:cs="Arial"/>
          <w:kern w:val="2"/>
          <w:sz w:val="24"/>
          <w:szCs w:val="24"/>
          <w:lang w:val="es-ES_tradnl" w:eastAsia="ar-SA"/>
        </w:rPr>
        <w:t>En caso contrario</w:t>
      </w:r>
      <w:r w:rsidR="0066156F" w:rsidRPr="006C7A79">
        <w:rPr>
          <w:rFonts w:ascii="ITC Avant Garde" w:eastAsia="Times New Roman" w:hAnsi="ITC Avant Garde" w:cs="Arial"/>
          <w:kern w:val="2"/>
          <w:sz w:val="24"/>
          <w:szCs w:val="24"/>
          <w:lang w:val="es-ES_tradnl" w:eastAsia="ar-SA"/>
        </w:rPr>
        <w:t>, otorgar un plazo de tiempo menor</w:t>
      </w:r>
      <w:r w:rsidR="008A5A91" w:rsidRPr="006C7A79">
        <w:rPr>
          <w:rFonts w:ascii="ITC Avant Garde" w:eastAsia="Times New Roman" w:hAnsi="ITC Avant Garde" w:cs="Arial"/>
          <w:kern w:val="2"/>
          <w:sz w:val="24"/>
          <w:szCs w:val="24"/>
          <w:lang w:val="es-ES_tradnl" w:eastAsia="ar-SA"/>
        </w:rPr>
        <w:t xml:space="preserve"> no ser</w:t>
      </w:r>
      <w:r w:rsidR="006062AB" w:rsidRPr="006C7A79">
        <w:rPr>
          <w:rFonts w:ascii="ITC Avant Garde" w:eastAsia="Times New Roman" w:hAnsi="ITC Avant Garde" w:cs="Arial"/>
          <w:kern w:val="2"/>
          <w:sz w:val="24"/>
          <w:szCs w:val="24"/>
          <w:lang w:val="es-ES_tradnl" w:eastAsia="ar-SA"/>
        </w:rPr>
        <w:t>ía</w:t>
      </w:r>
      <w:r w:rsidR="008A5A91" w:rsidRPr="006C7A79">
        <w:rPr>
          <w:rFonts w:ascii="ITC Avant Garde" w:eastAsia="Times New Roman" w:hAnsi="ITC Avant Garde" w:cs="Arial"/>
          <w:kern w:val="2"/>
          <w:sz w:val="24"/>
          <w:szCs w:val="24"/>
          <w:lang w:val="es-ES_tradnl" w:eastAsia="ar-SA"/>
        </w:rPr>
        <w:t xml:space="preserve"> suficiente para que las </w:t>
      </w:r>
      <w:r w:rsidRPr="006C7A79">
        <w:rPr>
          <w:rFonts w:ascii="ITC Avant Garde" w:eastAsia="Times New Roman" w:hAnsi="ITC Avant Garde" w:cs="Arial"/>
          <w:kern w:val="2"/>
          <w:sz w:val="24"/>
          <w:szCs w:val="24"/>
          <w:lang w:val="es-ES_tradnl" w:eastAsia="ar-SA"/>
        </w:rPr>
        <w:t xml:space="preserve">personas físicas o morales así como las </w:t>
      </w:r>
      <w:r w:rsidR="008A5A91" w:rsidRPr="006C7A79">
        <w:rPr>
          <w:rFonts w:ascii="ITC Avant Garde" w:eastAsia="Times New Roman" w:hAnsi="ITC Avant Garde" w:cs="Arial"/>
          <w:kern w:val="2"/>
          <w:sz w:val="24"/>
          <w:szCs w:val="24"/>
          <w:lang w:val="es-ES_tradnl" w:eastAsia="ar-SA"/>
        </w:rPr>
        <w:t xml:space="preserve">entidades gubernamentales </w:t>
      </w:r>
      <w:r w:rsidRPr="006C7A79">
        <w:rPr>
          <w:rFonts w:ascii="ITC Avant Garde" w:eastAsia="Times New Roman" w:hAnsi="ITC Avant Garde" w:cs="Arial"/>
          <w:kern w:val="2"/>
          <w:sz w:val="24"/>
          <w:szCs w:val="24"/>
          <w:lang w:val="es-ES_tradnl" w:eastAsia="ar-SA"/>
        </w:rPr>
        <w:t xml:space="preserve">afectadas, </w:t>
      </w:r>
      <w:r w:rsidR="008A5A91" w:rsidRPr="006C7A79">
        <w:rPr>
          <w:rFonts w:ascii="ITC Avant Garde" w:eastAsia="Times New Roman" w:hAnsi="ITC Avant Garde" w:cs="Arial"/>
          <w:kern w:val="2"/>
          <w:sz w:val="24"/>
          <w:szCs w:val="24"/>
          <w:lang w:val="es-ES_tradnl" w:eastAsia="ar-SA"/>
        </w:rPr>
        <w:t xml:space="preserve">presupuesten, obtengan recursos económicos, adquieran nuevos dispositivos o contraten trabajos de mantenimiento para su </w:t>
      </w:r>
      <w:r w:rsidR="00543F93" w:rsidRPr="006C7A79">
        <w:rPr>
          <w:rFonts w:ascii="ITC Avant Garde" w:eastAsia="Times New Roman" w:hAnsi="ITC Avant Garde" w:cs="Arial"/>
          <w:kern w:val="2"/>
          <w:sz w:val="24"/>
          <w:szCs w:val="24"/>
          <w:lang w:val="es-ES_tradnl" w:eastAsia="ar-SA"/>
        </w:rPr>
        <w:t>reconfiguración</w:t>
      </w:r>
      <w:r w:rsidR="008A5A91" w:rsidRPr="006C7A79">
        <w:rPr>
          <w:rFonts w:ascii="ITC Avant Garde" w:eastAsia="Times New Roman" w:hAnsi="ITC Avant Garde" w:cs="Arial"/>
          <w:kern w:val="2"/>
          <w:sz w:val="24"/>
          <w:szCs w:val="24"/>
          <w:lang w:val="es-ES_tradnl" w:eastAsia="ar-SA"/>
        </w:rPr>
        <w:t xml:space="preserve">, planeen y ejecuten campañas informativas para llevar a cabo la reprogramación o sustitución de los dispositivos entregados a la población </w:t>
      </w:r>
      <w:r w:rsidR="00044A15" w:rsidRPr="006C7A79">
        <w:rPr>
          <w:rFonts w:ascii="ITC Avant Garde" w:eastAsia="Times New Roman" w:hAnsi="ITC Avant Garde" w:cs="Arial"/>
          <w:kern w:val="2"/>
          <w:sz w:val="24"/>
          <w:szCs w:val="24"/>
          <w:lang w:val="es-ES_tradnl" w:eastAsia="ar-SA"/>
        </w:rPr>
        <w:t xml:space="preserve">o a comercios, </w:t>
      </w:r>
      <w:r w:rsidR="0066156F" w:rsidRPr="006C7A79">
        <w:rPr>
          <w:rFonts w:ascii="ITC Avant Garde" w:eastAsia="Times New Roman" w:hAnsi="ITC Avant Garde" w:cs="Arial"/>
          <w:kern w:val="2"/>
          <w:sz w:val="24"/>
          <w:szCs w:val="24"/>
          <w:lang w:val="es-ES_tradnl" w:eastAsia="ar-SA"/>
        </w:rPr>
        <w:t xml:space="preserve">a efecto de garantizar que los equipos </w:t>
      </w:r>
      <w:r w:rsidR="00044A15" w:rsidRPr="006C7A79">
        <w:rPr>
          <w:rFonts w:ascii="ITC Avant Garde" w:eastAsia="Times New Roman" w:hAnsi="ITC Avant Garde" w:cs="Arial"/>
          <w:kern w:val="2"/>
          <w:sz w:val="24"/>
          <w:szCs w:val="24"/>
          <w:lang w:val="es-ES_tradnl" w:eastAsia="ar-SA"/>
        </w:rPr>
        <w:t xml:space="preserve">que se encuentren </w:t>
      </w:r>
      <w:r w:rsidR="0066156F" w:rsidRPr="006C7A79">
        <w:rPr>
          <w:rFonts w:ascii="ITC Avant Garde" w:eastAsia="Times New Roman" w:hAnsi="ITC Avant Garde" w:cs="Arial"/>
          <w:kern w:val="2"/>
          <w:sz w:val="24"/>
          <w:szCs w:val="24"/>
          <w:lang w:val="es-ES_tradnl" w:eastAsia="ar-SA"/>
        </w:rPr>
        <w:t xml:space="preserve">en uso </w:t>
      </w:r>
      <w:r w:rsidR="00543F93" w:rsidRPr="006C7A79">
        <w:rPr>
          <w:rFonts w:ascii="ITC Avant Garde" w:eastAsia="Times New Roman" w:hAnsi="ITC Avant Garde" w:cs="Arial"/>
          <w:kern w:val="2"/>
          <w:sz w:val="24"/>
          <w:szCs w:val="24"/>
          <w:lang w:val="es-ES_tradnl" w:eastAsia="ar-SA"/>
        </w:rPr>
        <w:t xml:space="preserve">realicen </w:t>
      </w:r>
      <w:r w:rsidR="0066156F" w:rsidRPr="006C7A79">
        <w:rPr>
          <w:rFonts w:ascii="ITC Avant Garde" w:eastAsia="Times New Roman" w:hAnsi="ITC Avant Garde" w:cs="Arial"/>
          <w:kern w:val="2"/>
          <w:sz w:val="24"/>
          <w:szCs w:val="24"/>
          <w:lang w:val="es-ES_tradnl" w:eastAsia="ar-SA"/>
        </w:rPr>
        <w:t>la marcación nacional uniforme a 10 dígitos.</w:t>
      </w:r>
    </w:p>
    <w:p w:rsidR="00044A15" w:rsidRPr="006C7A79" w:rsidRDefault="00044A15" w:rsidP="00873106">
      <w:pPr>
        <w:widowControl w:val="0"/>
        <w:autoSpaceDE w:val="0"/>
        <w:autoSpaceDN w:val="0"/>
        <w:spacing w:after="0" w:line="240" w:lineRule="auto"/>
        <w:jc w:val="both"/>
        <w:rPr>
          <w:rFonts w:ascii="ITC Avant Garde" w:eastAsia="Times New Roman" w:hAnsi="ITC Avant Garde" w:cs="Arial"/>
          <w:kern w:val="2"/>
          <w:sz w:val="24"/>
          <w:szCs w:val="24"/>
          <w:lang w:val="es-ES_tradnl" w:eastAsia="ar-SA"/>
        </w:rPr>
      </w:pPr>
    </w:p>
    <w:p w:rsidR="00B022DF" w:rsidRDefault="00B022DF" w:rsidP="00873106">
      <w:pPr>
        <w:widowControl w:val="0"/>
        <w:autoSpaceDE w:val="0"/>
        <w:autoSpaceDN w:val="0"/>
        <w:spacing w:after="0" w:line="240" w:lineRule="auto"/>
        <w:jc w:val="both"/>
        <w:rPr>
          <w:rFonts w:ascii="ITC Avant Garde" w:eastAsia="Arial" w:hAnsi="ITC Avant Garde" w:cs="Arial"/>
          <w:sz w:val="24"/>
          <w:szCs w:val="24"/>
        </w:rPr>
      </w:pPr>
    </w:p>
    <w:p w:rsidR="00BA12B7" w:rsidRDefault="00BA12B7" w:rsidP="00873106">
      <w:pPr>
        <w:widowControl w:val="0"/>
        <w:autoSpaceDE w:val="0"/>
        <w:autoSpaceDN w:val="0"/>
        <w:spacing w:after="0" w:line="240" w:lineRule="auto"/>
        <w:jc w:val="both"/>
        <w:rPr>
          <w:rFonts w:ascii="ITC Avant Garde" w:eastAsia="Arial" w:hAnsi="ITC Avant Garde" w:cs="Arial"/>
          <w:sz w:val="24"/>
          <w:szCs w:val="24"/>
        </w:rPr>
      </w:pPr>
    </w:p>
    <w:p w:rsidR="0020525D" w:rsidRPr="006C7A79" w:rsidRDefault="0020525D" w:rsidP="00873106">
      <w:pPr>
        <w:widowControl w:val="0"/>
        <w:autoSpaceDE w:val="0"/>
        <w:autoSpaceDN w:val="0"/>
        <w:spacing w:after="0" w:line="240" w:lineRule="auto"/>
        <w:jc w:val="both"/>
        <w:rPr>
          <w:rFonts w:ascii="ITC Avant Garde" w:eastAsia="Arial" w:hAnsi="ITC Avant Garde" w:cs="Arial"/>
          <w:sz w:val="24"/>
          <w:szCs w:val="24"/>
        </w:rPr>
      </w:pPr>
      <w:r w:rsidRPr="006C7A79">
        <w:rPr>
          <w:rFonts w:ascii="ITC Avant Garde" w:eastAsia="Arial" w:hAnsi="ITC Avant Garde" w:cs="Arial"/>
          <w:sz w:val="24"/>
          <w:szCs w:val="24"/>
        </w:rPr>
        <w:t>Por lo expuesto, con fundamento en los artículos 6°</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apartado B</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fracción II y 28</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párrafos décimo quinto, décimo sexto y vigésimo</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fracción IV de la </w:t>
      </w:r>
      <w:r w:rsidRPr="006C7A79">
        <w:rPr>
          <w:rFonts w:ascii="ITC Avant Garde" w:eastAsia="Arial" w:hAnsi="ITC Avant Garde" w:cs="Arial"/>
          <w:sz w:val="24"/>
          <w:szCs w:val="24"/>
        </w:rPr>
        <w:lastRenderedPageBreak/>
        <w:t>Constitución Política de los Estados Unidos Mexicanos; 1, 2, 7, 15</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w:t>
      </w:r>
      <w:r w:rsidR="00900A49" w:rsidRPr="006C7A79">
        <w:rPr>
          <w:rFonts w:ascii="ITC Avant Garde" w:eastAsia="Arial" w:hAnsi="ITC Avant Garde" w:cs="Arial"/>
          <w:sz w:val="24"/>
          <w:szCs w:val="24"/>
        </w:rPr>
        <w:t>ones</w:t>
      </w:r>
      <w:r w:rsidRPr="006C7A79">
        <w:rPr>
          <w:rFonts w:ascii="ITC Avant Garde" w:eastAsia="Arial" w:hAnsi="ITC Avant Garde" w:cs="Arial"/>
          <w:sz w:val="24"/>
          <w:szCs w:val="24"/>
        </w:rPr>
        <w:t xml:space="preserve"> I y LVI</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16</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17</w:t>
      </w:r>
      <w:r w:rsidR="00900A49"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fracción I, 51, 123, 124</w:t>
      </w:r>
      <w:r w:rsidR="000679CD"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fracción IV</w:t>
      </w:r>
      <w:r w:rsidR="000679CD" w:rsidRPr="006C7A79">
        <w:rPr>
          <w:rFonts w:ascii="ITC Avant Garde" w:eastAsia="Arial" w:hAnsi="ITC Avant Garde" w:cs="Arial"/>
          <w:sz w:val="24"/>
          <w:szCs w:val="24"/>
        </w:rPr>
        <w:t xml:space="preserve"> </w:t>
      </w:r>
      <w:r w:rsidRPr="006C7A79">
        <w:rPr>
          <w:rFonts w:ascii="ITC Avant Garde" w:eastAsia="Arial" w:hAnsi="ITC Avant Garde" w:cs="Arial"/>
          <w:sz w:val="24"/>
          <w:szCs w:val="24"/>
        </w:rPr>
        <w:t>de la Ley Federal de Telecomunicaciones y Radiodifusión</w:t>
      </w:r>
      <w:r w:rsidR="00CE2587">
        <w:rPr>
          <w:rFonts w:ascii="ITC Avant Garde" w:eastAsia="Arial" w:hAnsi="ITC Avant Garde" w:cs="Arial"/>
          <w:sz w:val="24"/>
          <w:szCs w:val="24"/>
        </w:rPr>
        <w:t xml:space="preserve"> </w:t>
      </w:r>
      <w:r w:rsidR="000679CD" w:rsidRPr="006C7A79">
        <w:rPr>
          <w:rFonts w:ascii="ITC Avant Garde" w:eastAsia="Arial" w:hAnsi="ITC Avant Garde" w:cs="Arial"/>
          <w:sz w:val="24"/>
          <w:szCs w:val="24"/>
        </w:rPr>
        <w:t>y</w:t>
      </w:r>
      <w:r w:rsidRPr="006C7A79">
        <w:rPr>
          <w:rFonts w:ascii="ITC Avant Garde" w:eastAsia="Arial" w:hAnsi="ITC Avant Garde" w:cs="Arial"/>
          <w:sz w:val="24"/>
          <w:szCs w:val="24"/>
        </w:rPr>
        <w:t xml:space="preserve"> 4, fracción I</w:t>
      </w:r>
      <w:r w:rsidR="000679CD"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6, fracción XXV y 19</w:t>
      </w:r>
      <w:r w:rsidR="000679CD" w:rsidRPr="006C7A79">
        <w:rPr>
          <w:rFonts w:ascii="ITC Avant Garde" w:eastAsia="Arial" w:hAnsi="ITC Avant Garde" w:cs="Arial"/>
          <w:sz w:val="24"/>
          <w:szCs w:val="24"/>
        </w:rPr>
        <w:t>,</w:t>
      </w:r>
      <w:r w:rsidRPr="006C7A79">
        <w:rPr>
          <w:rFonts w:ascii="ITC Avant Garde" w:eastAsia="Arial" w:hAnsi="ITC Avant Garde" w:cs="Arial"/>
          <w:sz w:val="24"/>
          <w:szCs w:val="24"/>
        </w:rPr>
        <w:t xml:space="preserve"> fracción VI del Estatuto Orgánico del Instituto Federal de Telecomunicaciones, el Pleno del Instituto </w:t>
      </w:r>
      <w:r w:rsidR="007F7C96" w:rsidRPr="006C7A79">
        <w:rPr>
          <w:rFonts w:ascii="ITC Avant Garde" w:eastAsia="Arial" w:hAnsi="ITC Avant Garde" w:cs="Arial"/>
          <w:sz w:val="24"/>
          <w:szCs w:val="24"/>
        </w:rPr>
        <w:t xml:space="preserve">Federal de Telecomunicaciones </w:t>
      </w:r>
      <w:r w:rsidRPr="006C7A79">
        <w:rPr>
          <w:rFonts w:ascii="ITC Avant Garde" w:eastAsia="Arial" w:hAnsi="ITC Avant Garde" w:cs="Arial"/>
          <w:sz w:val="24"/>
          <w:szCs w:val="24"/>
        </w:rPr>
        <w:t>resuelve emitir el siguiente:</w:t>
      </w:r>
    </w:p>
    <w:p w:rsidR="00FD1D99" w:rsidRPr="006C7A79" w:rsidRDefault="00FD1D99" w:rsidP="00873106">
      <w:pPr>
        <w:widowControl w:val="0"/>
        <w:autoSpaceDE w:val="0"/>
        <w:autoSpaceDN w:val="0"/>
        <w:spacing w:after="0" w:line="240" w:lineRule="auto"/>
        <w:jc w:val="both"/>
        <w:rPr>
          <w:rFonts w:ascii="ITC Avant Garde" w:eastAsia="Arial" w:hAnsi="ITC Avant Garde" w:cs="Arial"/>
          <w:sz w:val="24"/>
          <w:szCs w:val="24"/>
        </w:rPr>
      </w:pPr>
    </w:p>
    <w:p w:rsidR="007F7C96" w:rsidRPr="006C7A79" w:rsidRDefault="007F7C96" w:rsidP="00873106">
      <w:pPr>
        <w:widowControl w:val="0"/>
        <w:autoSpaceDE w:val="0"/>
        <w:autoSpaceDN w:val="0"/>
        <w:spacing w:after="0" w:line="240" w:lineRule="auto"/>
        <w:jc w:val="both"/>
        <w:rPr>
          <w:rFonts w:ascii="ITC Avant Garde" w:eastAsia="Arial" w:hAnsi="ITC Avant Garde" w:cs="Arial"/>
          <w:sz w:val="24"/>
          <w:szCs w:val="24"/>
        </w:rPr>
      </w:pPr>
    </w:p>
    <w:p w:rsidR="0020525D" w:rsidRPr="006C7A79" w:rsidRDefault="0020525D" w:rsidP="00873106">
      <w:pPr>
        <w:widowControl w:val="0"/>
        <w:autoSpaceDE w:val="0"/>
        <w:autoSpaceDN w:val="0"/>
        <w:spacing w:after="0" w:line="240" w:lineRule="auto"/>
        <w:jc w:val="center"/>
        <w:outlineLvl w:val="1"/>
        <w:rPr>
          <w:rFonts w:ascii="ITC Avant Garde" w:eastAsia="Arial" w:hAnsi="ITC Avant Garde" w:cs="Arial"/>
          <w:b/>
          <w:bCs/>
          <w:sz w:val="24"/>
          <w:szCs w:val="24"/>
        </w:rPr>
      </w:pPr>
      <w:r w:rsidRPr="006C7A79">
        <w:rPr>
          <w:rFonts w:ascii="ITC Avant Garde" w:eastAsia="Arial" w:hAnsi="ITC Avant Garde" w:cs="Arial"/>
          <w:b/>
          <w:bCs/>
          <w:sz w:val="24"/>
          <w:szCs w:val="24"/>
        </w:rPr>
        <w:t>ACUERDO</w:t>
      </w:r>
    </w:p>
    <w:p w:rsidR="00FD6C7F" w:rsidRPr="006C7A79" w:rsidRDefault="00FD6C7F" w:rsidP="00873106">
      <w:pPr>
        <w:widowControl w:val="0"/>
        <w:autoSpaceDE w:val="0"/>
        <w:autoSpaceDN w:val="0"/>
        <w:spacing w:after="0" w:line="240" w:lineRule="auto"/>
        <w:outlineLvl w:val="1"/>
        <w:rPr>
          <w:rFonts w:ascii="ITC Avant Garde" w:eastAsia="Arial" w:hAnsi="ITC Avant Garde" w:cs="Arial"/>
          <w:b/>
          <w:bCs/>
          <w:sz w:val="24"/>
          <w:szCs w:val="24"/>
        </w:rPr>
      </w:pPr>
    </w:p>
    <w:p w:rsidR="006E1C01" w:rsidRPr="006C7A79" w:rsidRDefault="000E7DDE" w:rsidP="00873106">
      <w:pPr>
        <w:widowControl w:val="0"/>
        <w:autoSpaceDE w:val="0"/>
        <w:autoSpaceDN w:val="0"/>
        <w:spacing w:after="0" w:line="240" w:lineRule="auto"/>
        <w:jc w:val="both"/>
        <w:rPr>
          <w:rFonts w:ascii="ITC Avant Garde" w:eastAsia="Arial" w:hAnsi="ITC Avant Garde" w:cs="Arial"/>
          <w:sz w:val="24"/>
          <w:szCs w:val="24"/>
        </w:rPr>
      </w:pPr>
      <w:r>
        <w:rPr>
          <w:rFonts w:ascii="ITC Avant Garde" w:eastAsia="Arial" w:hAnsi="ITC Avant Garde" w:cs="Arial"/>
          <w:b/>
          <w:sz w:val="24"/>
          <w:szCs w:val="24"/>
        </w:rPr>
        <w:t>ÚNICO</w:t>
      </w:r>
      <w:r w:rsidR="0020525D" w:rsidRPr="006C7A79">
        <w:rPr>
          <w:rFonts w:ascii="ITC Avant Garde" w:eastAsia="Arial" w:hAnsi="ITC Avant Garde" w:cs="Arial"/>
          <w:b/>
          <w:sz w:val="24"/>
          <w:szCs w:val="24"/>
        </w:rPr>
        <w:t xml:space="preserve">. </w:t>
      </w:r>
      <w:r w:rsidR="006E1C01" w:rsidRPr="006C7A79">
        <w:rPr>
          <w:rFonts w:ascii="ITC Avant Garde" w:eastAsia="Arial" w:hAnsi="ITC Avant Garde" w:cs="Arial"/>
          <w:sz w:val="24"/>
          <w:szCs w:val="24"/>
        </w:rPr>
        <w:t xml:space="preserve">Se </w:t>
      </w:r>
      <w:r w:rsidR="003B0326" w:rsidRPr="006C7A79">
        <w:rPr>
          <w:rFonts w:ascii="ITC Avant Garde" w:eastAsia="Arial" w:hAnsi="ITC Avant Garde" w:cs="Arial"/>
          <w:sz w:val="24"/>
          <w:szCs w:val="24"/>
        </w:rPr>
        <w:t>MODIFICA</w:t>
      </w:r>
      <w:r w:rsidR="006E1C01" w:rsidRPr="006C7A79">
        <w:rPr>
          <w:rFonts w:ascii="ITC Avant Garde" w:eastAsia="Arial" w:hAnsi="ITC Avant Garde" w:cs="Arial"/>
          <w:sz w:val="24"/>
          <w:szCs w:val="24"/>
        </w:rPr>
        <w:t xml:space="preserve"> el </w:t>
      </w:r>
      <w:r w:rsidR="003B0326" w:rsidRPr="006C7A79">
        <w:rPr>
          <w:rFonts w:ascii="ITC Avant Garde" w:eastAsia="Arial" w:hAnsi="ITC Avant Garde" w:cs="Arial"/>
          <w:sz w:val="24"/>
          <w:szCs w:val="24"/>
        </w:rPr>
        <w:t>tercer</w:t>
      </w:r>
      <w:r w:rsidR="006E1C01" w:rsidRPr="006C7A79">
        <w:rPr>
          <w:rFonts w:ascii="ITC Avant Garde" w:eastAsia="Arial" w:hAnsi="ITC Avant Garde" w:cs="Arial"/>
          <w:sz w:val="24"/>
          <w:szCs w:val="24"/>
        </w:rPr>
        <w:t xml:space="preserve"> párrafo </w:t>
      </w:r>
      <w:r w:rsidR="006062AB" w:rsidRPr="006C7A79">
        <w:rPr>
          <w:rFonts w:ascii="ITC Avant Garde" w:eastAsia="Arial" w:hAnsi="ITC Avant Garde" w:cs="Arial"/>
          <w:sz w:val="24"/>
          <w:szCs w:val="24"/>
        </w:rPr>
        <w:t xml:space="preserve">y se </w:t>
      </w:r>
      <w:r w:rsidR="00465B56">
        <w:rPr>
          <w:rFonts w:ascii="ITC Avant Garde" w:eastAsia="Arial" w:hAnsi="ITC Avant Garde" w:cs="Arial"/>
          <w:sz w:val="24"/>
          <w:szCs w:val="24"/>
        </w:rPr>
        <w:t>ADICIONAN los párrafos cuarto</w:t>
      </w:r>
      <w:r w:rsidR="001D3E66">
        <w:rPr>
          <w:rFonts w:ascii="ITC Avant Garde" w:eastAsia="Arial" w:hAnsi="ITC Avant Garde" w:cs="Arial"/>
          <w:sz w:val="24"/>
          <w:szCs w:val="24"/>
        </w:rPr>
        <w:t>,</w:t>
      </w:r>
      <w:r w:rsidR="00F4798A" w:rsidRPr="006C7A79">
        <w:rPr>
          <w:rFonts w:ascii="ITC Avant Garde" w:eastAsia="Arial" w:hAnsi="ITC Avant Garde" w:cs="Arial"/>
          <w:sz w:val="24"/>
          <w:szCs w:val="24"/>
        </w:rPr>
        <w:t xml:space="preserve"> </w:t>
      </w:r>
      <w:r w:rsidR="006062AB" w:rsidRPr="006C7A79">
        <w:rPr>
          <w:rFonts w:ascii="ITC Avant Garde" w:eastAsia="Arial" w:hAnsi="ITC Avant Garde" w:cs="Arial"/>
          <w:sz w:val="24"/>
          <w:szCs w:val="24"/>
        </w:rPr>
        <w:t xml:space="preserve">quinto </w:t>
      </w:r>
      <w:r w:rsidR="001D3E66">
        <w:rPr>
          <w:rFonts w:ascii="ITC Avant Garde" w:eastAsia="Arial" w:hAnsi="ITC Avant Garde" w:cs="Arial"/>
          <w:sz w:val="24"/>
          <w:szCs w:val="24"/>
        </w:rPr>
        <w:t xml:space="preserve">y sexto </w:t>
      </w:r>
      <w:r w:rsidR="001A24E4" w:rsidRPr="006C7A79">
        <w:rPr>
          <w:rFonts w:ascii="ITC Avant Garde" w:eastAsia="Arial" w:hAnsi="ITC Avant Garde" w:cs="Arial"/>
          <w:sz w:val="24"/>
          <w:szCs w:val="24"/>
        </w:rPr>
        <w:t>al</w:t>
      </w:r>
      <w:r w:rsidR="006E1C01" w:rsidRPr="006C7A79">
        <w:rPr>
          <w:rFonts w:ascii="ITC Avant Garde" w:eastAsia="Arial" w:hAnsi="ITC Avant Garde" w:cs="Arial"/>
          <w:sz w:val="24"/>
          <w:szCs w:val="24"/>
        </w:rPr>
        <w:t xml:space="preserve"> </w:t>
      </w:r>
      <w:r w:rsidR="006062AB" w:rsidRPr="006C7A79">
        <w:rPr>
          <w:rFonts w:ascii="ITC Avant Garde" w:eastAsia="Arial" w:hAnsi="ITC Avant Garde" w:cs="Arial"/>
          <w:sz w:val="24"/>
          <w:szCs w:val="24"/>
        </w:rPr>
        <w:t>A</w:t>
      </w:r>
      <w:r w:rsidR="006E1C01" w:rsidRPr="006C7A79">
        <w:rPr>
          <w:rFonts w:ascii="ITC Avant Garde" w:eastAsia="Arial" w:hAnsi="ITC Avant Garde" w:cs="Arial"/>
          <w:sz w:val="24"/>
          <w:szCs w:val="24"/>
        </w:rPr>
        <w:t xml:space="preserve">rtículo </w:t>
      </w:r>
      <w:r w:rsidR="006062AB" w:rsidRPr="006C7A79">
        <w:rPr>
          <w:rFonts w:ascii="ITC Avant Garde" w:eastAsia="Arial" w:hAnsi="ITC Avant Garde" w:cs="Arial"/>
          <w:sz w:val="24"/>
          <w:szCs w:val="24"/>
        </w:rPr>
        <w:t xml:space="preserve">Tercero </w:t>
      </w:r>
      <w:r w:rsidR="006E69EE" w:rsidRPr="006C7A79">
        <w:rPr>
          <w:rFonts w:ascii="ITC Avant Garde" w:eastAsia="Arial" w:hAnsi="ITC Avant Garde" w:cs="Arial"/>
          <w:sz w:val="24"/>
          <w:szCs w:val="24"/>
        </w:rPr>
        <w:t xml:space="preserve">Transitorio </w:t>
      </w:r>
      <w:r w:rsidR="006E1C01" w:rsidRPr="006C7A79">
        <w:rPr>
          <w:rFonts w:ascii="ITC Avant Garde" w:eastAsia="Arial" w:hAnsi="ITC Avant Garde" w:cs="Arial"/>
          <w:sz w:val="24"/>
          <w:szCs w:val="24"/>
        </w:rPr>
        <w:t>del Plan Técnico Fundamental de Numeración, publicado en el Diario Oficial de la Fe</w:t>
      </w:r>
      <w:r w:rsidR="003B0326" w:rsidRPr="006C7A79">
        <w:rPr>
          <w:rFonts w:ascii="ITC Avant Garde" w:eastAsia="Arial" w:hAnsi="ITC Avant Garde" w:cs="Arial"/>
          <w:sz w:val="24"/>
          <w:szCs w:val="24"/>
        </w:rPr>
        <w:t>deración el 11 de mayo de 2018</w:t>
      </w:r>
      <w:r w:rsidR="001D3E66">
        <w:rPr>
          <w:rFonts w:ascii="ITC Avant Garde" w:eastAsia="Arial" w:hAnsi="ITC Avant Garde" w:cs="Arial"/>
          <w:sz w:val="24"/>
          <w:szCs w:val="24"/>
        </w:rPr>
        <w:t>,</w:t>
      </w:r>
      <w:r w:rsidR="003B0326" w:rsidRPr="006C7A79">
        <w:rPr>
          <w:rFonts w:ascii="ITC Avant Garde" w:eastAsia="Arial" w:hAnsi="ITC Avant Garde" w:cs="Arial"/>
          <w:sz w:val="24"/>
          <w:szCs w:val="24"/>
        </w:rPr>
        <w:t xml:space="preserve"> </w:t>
      </w:r>
      <w:r w:rsidR="006E1C01" w:rsidRPr="006C7A79">
        <w:rPr>
          <w:rFonts w:ascii="ITC Avant Garde" w:eastAsia="Arial" w:hAnsi="ITC Avant Garde" w:cs="Arial"/>
          <w:sz w:val="24"/>
          <w:szCs w:val="24"/>
        </w:rPr>
        <w:t>para quedar en los términos</w:t>
      </w:r>
      <w:r w:rsidR="007F7C96" w:rsidRPr="006C7A79">
        <w:rPr>
          <w:rFonts w:ascii="ITC Avant Garde" w:eastAsia="Arial" w:hAnsi="ITC Avant Garde" w:cs="Arial"/>
          <w:sz w:val="24"/>
          <w:szCs w:val="24"/>
        </w:rPr>
        <w:t xml:space="preserve"> siguientes</w:t>
      </w:r>
      <w:r w:rsidR="006E1C01" w:rsidRPr="006C7A79">
        <w:rPr>
          <w:rFonts w:ascii="ITC Avant Garde" w:eastAsia="Arial" w:hAnsi="ITC Avant Garde" w:cs="Arial"/>
          <w:sz w:val="24"/>
          <w:szCs w:val="24"/>
        </w:rPr>
        <w:t>:</w:t>
      </w:r>
    </w:p>
    <w:p w:rsidR="006E69EE" w:rsidRPr="006C7A79" w:rsidRDefault="006E69EE" w:rsidP="00873106">
      <w:pPr>
        <w:widowControl w:val="0"/>
        <w:autoSpaceDE w:val="0"/>
        <w:autoSpaceDN w:val="0"/>
        <w:spacing w:after="0" w:line="240" w:lineRule="auto"/>
        <w:jc w:val="both"/>
        <w:rPr>
          <w:rFonts w:ascii="ITC Avant Garde" w:eastAsia="Arial" w:hAnsi="ITC Avant Garde" w:cs="Arial"/>
          <w:sz w:val="24"/>
          <w:szCs w:val="24"/>
        </w:rPr>
      </w:pPr>
    </w:p>
    <w:p w:rsidR="006E1C01" w:rsidRPr="006C7A79" w:rsidRDefault="000E7DDE" w:rsidP="000E7DDE">
      <w:pPr>
        <w:widowControl w:val="0"/>
        <w:autoSpaceDE w:val="0"/>
        <w:autoSpaceDN w:val="0"/>
        <w:spacing w:after="0" w:line="240" w:lineRule="auto"/>
        <w:ind w:left="426" w:right="283"/>
        <w:jc w:val="both"/>
        <w:rPr>
          <w:rFonts w:ascii="ITC Avant Garde" w:eastAsia="Arial" w:hAnsi="ITC Avant Garde" w:cs="Arial"/>
          <w:sz w:val="24"/>
          <w:szCs w:val="24"/>
        </w:rPr>
      </w:pPr>
      <w:r>
        <w:rPr>
          <w:rFonts w:ascii="ITC Avant Garde" w:eastAsia="Arial" w:hAnsi="ITC Avant Garde" w:cs="Arial"/>
          <w:b/>
          <w:sz w:val="24"/>
          <w:szCs w:val="24"/>
        </w:rPr>
        <w:t>“</w:t>
      </w:r>
      <w:r w:rsidR="006E1C01" w:rsidRPr="006C7A79">
        <w:rPr>
          <w:rFonts w:ascii="ITC Avant Garde" w:eastAsia="Arial" w:hAnsi="ITC Avant Garde" w:cs="Arial"/>
          <w:b/>
          <w:sz w:val="24"/>
          <w:szCs w:val="24"/>
        </w:rPr>
        <w:t xml:space="preserve">TERCERO. </w:t>
      </w:r>
      <w:r w:rsidR="006E1C01" w:rsidRPr="006C7A79">
        <w:rPr>
          <w:rFonts w:ascii="ITC Avant Garde" w:eastAsia="Arial" w:hAnsi="ITC Avant Garde" w:cs="Arial"/>
          <w:sz w:val="24"/>
          <w:szCs w:val="24"/>
        </w:rPr>
        <w:t>(…)</w:t>
      </w:r>
    </w:p>
    <w:p w:rsidR="007F7C96" w:rsidRPr="006C7A79" w:rsidRDefault="007F7C96" w:rsidP="000E7DDE">
      <w:pPr>
        <w:widowControl w:val="0"/>
        <w:autoSpaceDE w:val="0"/>
        <w:autoSpaceDN w:val="0"/>
        <w:spacing w:after="0" w:line="240" w:lineRule="auto"/>
        <w:ind w:left="426" w:right="283"/>
        <w:jc w:val="both"/>
        <w:rPr>
          <w:rFonts w:ascii="ITC Avant Garde" w:eastAsia="Arial" w:hAnsi="ITC Avant Garde" w:cs="Arial"/>
          <w:sz w:val="24"/>
          <w:szCs w:val="24"/>
        </w:rPr>
      </w:pPr>
    </w:p>
    <w:p w:rsidR="006E1C01" w:rsidRPr="006C7A79" w:rsidRDefault="006E1C01" w:rsidP="000E7DDE">
      <w:pPr>
        <w:widowControl w:val="0"/>
        <w:autoSpaceDE w:val="0"/>
        <w:autoSpaceDN w:val="0"/>
        <w:spacing w:after="0" w:line="240" w:lineRule="auto"/>
        <w:ind w:left="426" w:right="283"/>
        <w:jc w:val="both"/>
        <w:rPr>
          <w:rFonts w:ascii="ITC Avant Garde" w:eastAsia="Arial" w:hAnsi="ITC Avant Garde" w:cs="Arial"/>
          <w:sz w:val="24"/>
          <w:szCs w:val="24"/>
        </w:rPr>
      </w:pPr>
      <w:r w:rsidRPr="006C7A79">
        <w:rPr>
          <w:rFonts w:ascii="ITC Avant Garde" w:eastAsia="Arial" w:hAnsi="ITC Avant Garde" w:cs="Arial"/>
          <w:sz w:val="24"/>
          <w:szCs w:val="24"/>
        </w:rPr>
        <w:t>(…)</w:t>
      </w:r>
    </w:p>
    <w:p w:rsidR="007F7C96" w:rsidRPr="006C7A79" w:rsidRDefault="007F7C96" w:rsidP="000E7DDE">
      <w:pPr>
        <w:widowControl w:val="0"/>
        <w:autoSpaceDE w:val="0"/>
        <w:autoSpaceDN w:val="0"/>
        <w:spacing w:after="0" w:line="240" w:lineRule="auto"/>
        <w:ind w:left="426" w:right="283"/>
        <w:jc w:val="both"/>
        <w:rPr>
          <w:rFonts w:ascii="ITC Avant Garde" w:eastAsia="Arial" w:hAnsi="ITC Avant Garde" w:cs="Arial"/>
          <w:sz w:val="24"/>
          <w:szCs w:val="24"/>
        </w:rPr>
      </w:pPr>
    </w:p>
    <w:p w:rsidR="006E1C01" w:rsidRPr="006C7A79" w:rsidRDefault="006E1C01" w:rsidP="000E7DDE">
      <w:pPr>
        <w:widowControl w:val="0"/>
        <w:autoSpaceDE w:val="0"/>
        <w:autoSpaceDN w:val="0"/>
        <w:spacing w:after="0" w:line="240" w:lineRule="auto"/>
        <w:ind w:left="426" w:right="283"/>
        <w:jc w:val="both"/>
        <w:rPr>
          <w:rFonts w:ascii="ITC Avant Garde" w:eastAsia="Arial" w:hAnsi="ITC Avant Garde" w:cs="Arial"/>
          <w:sz w:val="24"/>
          <w:szCs w:val="24"/>
        </w:rPr>
      </w:pPr>
      <w:r w:rsidRPr="006C7A79">
        <w:rPr>
          <w:rFonts w:ascii="ITC Avant Garde" w:eastAsia="Arial" w:hAnsi="ITC Avant Garde" w:cs="Arial"/>
          <w:sz w:val="24"/>
          <w:szCs w:val="24"/>
        </w:rPr>
        <w:t xml:space="preserve">Asimismo, a partir de la entrada en vigor del presente Plan, los Proveedores de Servicios de Telecomunicaciones deberán ofrecer a sus Usuarios la convivencia de la marcación </w:t>
      </w:r>
      <w:r w:rsidR="002D6786">
        <w:rPr>
          <w:rFonts w:ascii="ITC Avant Garde" w:eastAsia="Arial" w:hAnsi="ITC Avant Garde" w:cs="Arial"/>
          <w:sz w:val="24"/>
          <w:szCs w:val="24"/>
        </w:rPr>
        <w:t xml:space="preserve">nacional </w:t>
      </w:r>
      <w:r w:rsidRPr="006C7A79">
        <w:rPr>
          <w:rFonts w:ascii="ITC Avant Garde" w:eastAsia="Arial" w:hAnsi="ITC Avant Garde" w:cs="Arial"/>
          <w:sz w:val="24"/>
          <w:szCs w:val="24"/>
        </w:rPr>
        <w:t>uniforme a 10 dígitos con las marcaciones</w:t>
      </w:r>
      <w:r w:rsidR="000A59C6" w:rsidRPr="006C7A79">
        <w:rPr>
          <w:rFonts w:ascii="ITC Avant Garde" w:eastAsia="Arial" w:hAnsi="ITC Avant Garde" w:cs="Arial"/>
          <w:sz w:val="24"/>
          <w:szCs w:val="24"/>
        </w:rPr>
        <w:t xml:space="preserve"> locales a 7 u 8 dígitos y las marcaciones que utilizan</w:t>
      </w:r>
      <w:r w:rsidRPr="006C7A79">
        <w:rPr>
          <w:rFonts w:ascii="ITC Avant Garde" w:eastAsia="Arial" w:hAnsi="ITC Avant Garde" w:cs="Arial"/>
          <w:sz w:val="24"/>
          <w:szCs w:val="24"/>
        </w:rPr>
        <w:t xml:space="preserve"> </w:t>
      </w:r>
      <w:r w:rsidR="000A59C6" w:rsidRPr="006C7A79">
        <w:rPr>
          <w:rFonts w:ascii="ITC Avant Garde" w:eastAsia="Arial" w:hAnsi="ITC Avant Garde" w:cs="Arial"/>
          <w:sz w:val="24"/>
          <w:szCs w:val="24"/>
        </w:rPr>
        <w:t xml:space="preserve">los </w:t>
      </w:r>
      <w:r w:rsidRPr="006C7A79">
        <w:rPr>
          <w:rFonts w:ascii="ITC Avant Garde" w:eastAsia="Arial" w:hAnsi="ITC Avant Garde" w:cs="Arial"/>
          <w:sz w:val="24"/>
          <w:szCs w:val="24"/>
        </w:rPr>
        <w:t>prefijos</w:t>
      </w:r>
      <w:r w:rsidR="000A59C6" w:rsidRPr="006C7A79">
        <w:rPr>
          <w:rFonts w:ascii="ITC Avant Garde" w:eastAsia="Arial" w:hAnsi="ITC Avant Garde" w:cs="Arial"/>
          <w:sz w:val="24"/>
          <w:szCs w:val="24"/>
        </w:rPr>
        <w:t xml:space="preserve"> 01, 044 y 045 durante un plazo máximo de un año calendario, contado a partir del 3 de agosto de 2019.</w:t>
      </w:r>
    </w:p>
    <w:p w:rsidR="00A32250" w:rsidRDefault="00A32250" w:rsidP="00A32250">
      <w:pPr>
        <w:widowControl w:val="0"/>
        <w:autoSpaceDE w:val="0"/>
        <w:autoSpaceDN w:val="0"/>
        <w:spacing w:after="0" w:line="240" w:lineRule="auto"/>
        <w:ind w:right="283" w:firstLine="426"/>
        <w:jc w:val="both"/>
        <w:rPr>
          <w:rFonts w:ascii="ITC Avant Garde" w:eastAsia="Arial" w:hAnsi="ITC Avant Garde" w:cs="Arial"/>
          <w:sz w:val="24"/>
          <w:szCs w:val="24"/>
        </w:rPr>
      </w:pPr>
    </w:p>
    <w:p w:rsidR="00A32250" w:rsidRDefault="00FC3E3A" w:rsidP="00A32250">
      <w:pPr>
        <w:widowControl w:val="0"/>
        <w:autoSpaceDE w:val="0"/>
        <w:autoSpaceDN w:val="0"/>
        <w:spacing w:after="0" w:line="240" w:lineRule="auto"/>
        <w:ind w:left="426" w:right="283"/>
        <w:jc w:val="both"/>
        <w:rPr>
          <w:rFonts w:ascii="ITC Avant Garde" w:eastAsia="Arial" w:hAnsi="ITC Avant Garde" w:cs="Arial"/>
          <w:sz w:val="24"/>
          <w:szCs w:val="24"/>
        </w:rPr>
      </w:pPr>
      <w:r>
        <w:rPr>
          <w:rFonts w:ascii="ITC Avant Garde" w:eastAsia="Arial" w:hAnsi="ITC Avant Garde" w:cs="Arial"/>
          <w:sz w:val="24"/>
          <w:szCs w:val="24"/>
        </w:rPr>
        <w:t>Sin perjuicio de lo anterior</w:t>
      </w:r>
      <w:r w:rsidR="00A32250">
        <w:rPr>
          <w:rFonts w:ascii="ITC Avant Garde" w:eastAsia="Arial" w:hAnsi="ITC Avant Garde" w:cs="Arial"/>
          <w:sz w:val="24"/>
          <w:szCs w:val="24"/>
        </w:rPr>
        <w:t xml:space="preserve">, </w:t>
      </w:r>
      <w:r>
        <w:rPr>
          <w:rFonts w:ascii="ITC Avant Garde" w:eastAsia="Arial" w:hAnsi="ITC Avant Garde" w:cs="Arial"/>
          <w:sz w:val="24"/>
          <w:szCs w:val="24"/>
        </w:rPr>
        <w:t>en aquellos casos en que exista una petición expresa por parte de los Proveedores del Servicio de Telefonía Pública o de Usuarios de Centrales Privadas de Conmutación para mantener exclusivamente los procedimientos de marcación indicados en el Plan Técnico Fundamental de Numeración, publicado en el Diario Oficial de la Federación el 21 de junio de 1996, los Proveedores de Servicios de Telecomunicaciones estarán obligados a</w:t>
      </w:r>
      <w:r w:rsidR="00A32250">
        <w:rPr>
          <w:rFonts w:ascii="ITC Avant Garde" w:eastAsia="Arial" w:hAnsi="ITC Avant Garde" w:cs="Arial"/>
          <w:sz w:val="24"/>
          <w:szCs w:val="24"/>
        </w:rPr>
        <w:t xml:space="preserve"> </w:t>
      </w:r>
      <w:r w:rsidR="00532198">
        <w:rPr>
          <w:rFonts w:ascii="ITC Avant Garde" w:eastAsia="Arial" w:hAnsi="ITC Avant Garde" w:cs="Arial"/>
          <w:sz w:val="24"/>
          <w:szCs w:val="24"/>
        </w:rPr>
        <w:t xml:space="preserve">continuar con </w:t>
      </w:r>
      <w:r w:rsidR="00BB7037">
        <w:rPr>
          <w:rFonts w:ascii="ITC Avant Garde" w:eastAsia="Arial" w:hAnsi="ITC Avant Garde" w:cs="Arial"/>
          <w:sz w:val="24"/>
          <w:szCs w:val="24"/>
        </w:rPr>
        <w:t xml:space="preserve">el establecimiento de llamadas bajo </w:t>
      </w:r>
      <w:r>
        <w:rPr>
          <w:rFonts w:ascii="ITC Avant Garde" w:eastAsia="Arial" w:hAnsi="ITC Avant Garde" w:cs="Arial"/>
          <w:sz w:val="24"/>
          <w:szCs w:val="24"/>
        </w:rPr>
        <w:t>dichos procedimientos hasta por el plazo establecido en el párrafo anterior</w:t>
      </w:r>
      <w:r w:rsidR="00BB7037">
        <w:rPr>
          <w:rFonts w:ascii="ITC Avant Garde" w:eastAsia="Arial" w:hAnsi="ITC Avant Garde" w:cs="Arial"/>
          <w:sz w:val="24"/>
          <w:szCs w:val="24"/>
        </w:rPr>
        <w:t>.</w:t>
      </w:r>
      <w:r w:rsidR="00A32250">
        <w:rPr>
          <w:rFonts w:ascii="ITC Avant Garde" w:eastAsia="Arial" w:hAnsi="ITC Avant Garde" w:cs="Arial"/>
          <w:sz w:val="24"/>
          <w:szCs w:val="24"/>
        </w:rPr>
        <w:t xml:space="preserve"> </w:t>
      </w:r>
    </w:p>
    <w:p w:rsidR="00A32250" w:rsidRPr="006C7A79" w:rsidRDefault="00A32250" w:rsidP="00A32250">
      <w:pPr>
        <w:widowControl w:val="0"/>
        <w:autoSpaceDE w:val="0"/>
        <w:autoSpaceDN w:val="0"/>
        <w:spacing w:after="0" w:line="240" w:lineRule="auto"/>
        <w:ind w:right="283" w:firstLine="426"/>
        <w:jc w:val="both"/>
        <w:rPr>
          <w:rFonts w:ascii="ITC Avant Garde" w:eastAsia="Arial" w:hAnsi="ITC Avant Garde" w:cs="Arial"/>
          <w:sz w:val="24"/>
          <w:szCs w:val="24"/>
        </w:rPr>
      </w:pPr>
    </w:p>
    <w:p w:rsidR="000A59C6" w:rsidRPr="006C7A79" w:rsidRDefault="000A59C6" w:rsidP="000E7DDE">
      <w:pPr>
        <w:widowControl w:val="0"/>
        <w:autoSpaceDE w:val="0"/>
        <w:autoSpaceDN w:val="0"/>
        <w:spacing w:after="0" w:line="240" w:lineRule="auto"/>
        <w:ind w:left="426" w:right="283"/>
        <w:jc w:val="both"/>
        <w:rPr>
          <w:rFonts w:ascii="ITC Avant Garde" w:eastAsia="Arial" w:hAnsi="ITC Avant Garde" w:cs="Arial"/>
          <w:sz w:val="24"/>
          <w:szCs w:val="24"/>
        </w:rPr>
      </w:pPr>
      <w:r w:rsidRPr="006C7A79">
        <w:rPr>
          <w:rFonts w:ascii="ITC Avant Garde" w:eastAsia="Arial" w:hAnsi="ITC Avant Garde" w:cs="Arial"/>
          <w:sz w:val="24"/>
          <w:szCs w:val="24"/>
        </w:rPr>
        <w:t>En este sentido, durante el plazo otorgado se reserva el uso del prefijo 01 para el establecimiento de llamadas</w:t>
      </w:r>
      <w:r w:rsidR="003B0326" w:rsidRPr="006C7A79">
        <w:rPr>
          <w:rFonts w:ascii="ITC Avant Garde" w:eastAsia="Arial" w:hAnsi="ITC Avant Garde" w:cs="Arial"/>
          <w:sz w:val="24"/>
          <w:szCs w:val="24"/>
        </w:rPr>
        <w:t xml:space="preserve"> de larga distancia </w:t>
      </w:r>
      <w:r w:rsidR="007F7C96" w:rsidRPr="006C7A79">
        <w:rPr>
          <w:rFonts w:ascii="ITC Avant Garde" w:eastAsia="Arial" w:hAnsi="ITC Avant Garde" w:cs="Arial"/>
          <w:sz w:val="24"/>
          <w:szCs w:val="24"/>
        </w:rPr>
        <w:t xml:space="preserve">nacional </w:t>
      </w:r>
      <w:r w:rsidR="003B0326" w:rsidRPr="006C7A79">
        <w:rPr>
          <w:rFonts w:ascii="ITC Avant Garde" w:eastAsia="Arial" w:hAnsi="ITC Avant Garde" w:cs="Arial"/>
          <w:sz w:val="24"/>
          <w:szCs w:val="24"/>
        </w:rPr>
        <w:t xml:space="preserve">y de los </w:t>
      </w:r>
      <w:r w:rsidRPr="006C7A79">
        <w:rPr>
          <w:rFonts w:ascii="ITC Avant Garde" w:eastAsia="Arial" w:hAnsi="ITC Avant Garde" w:cs="Arial"/>
          <w:sz w:val="24"/>
          <w:szCs w:val="24"/>
        </w:rPr>
        <w:t>código</w:t>
      </w:r>
      <w:r w:rsidR="003B0326" w:rsidRPr="006C7A79">
        <w:rPr>
          <w:rFonts w:ascii="ITC Avant Garde" w:eastAsia="Arial" w:hAnsi="ITC Avant Garde" w:cs="Arial"/>
          <w:sz w:val="24"/>
          <w:szCs w:val="24"/>
        </w:rPr>
        <w:t>s</w:t>
      </w:r>
      <w:r w:rsidRPr="006C7A79">
        <w:rPr>
          <w:rFonts w:ascii="ITC Avant Garde" w:eastAsia="Arial" w:hAnsi="ITC Avant Garde" w:cs="Arial"/>
          <w:sz w:val="24"/>
          <w:szCs w:val="24"/>
        </w:rPr>
        <w:t xml:space="preserve"> de servicios especiales 044</w:t>
      </w:r>
      <w:r w:rsidR="003B0326" w:rsidRPr="006C7A79">
        <w:rPr>
          <w:rFonts w:ascii="ITC Avant Garde" w:eastAsia="Arial" w:hAnsi="ITC Avant Garde" w:cs="Arial"/>
          <w:sz w:val="24"/>
          <w:szCs w:val="24"/>
        </w:rPr>
        <w:t xml:space="preserve"> y 045</w:t>
      </w:r>
      <w:r w:rsidRPr="006C7A79">
        <w:rPr>
          <w:rFonts w:ascii="ITC Avant Garde" w:eastAsia="Arial" w:hAnsi="ITC Avant Garde" w:cs="Arial"/>
          <w:sz w:val="24"/>
          <w:szCs w:val="24"/>
        </w:rPr>
        <w:t xml:space="preserve"> para ser utilizado</w:t>
      </w:r>
      <w:r w:rsidR="003B0326" w:rsidRPr="006C7A79">
        <w:rPr>
          <w:rFonts w:ascii="ITC Avant Garde" w:eastAsia="Arial" w:hAnsi="ITC Avant Garde" w:cs="Arial"/>
          <w:sz w:val="24"/>
          <w:szCs w:val="24"/>
        </w:rPr>
        <w:t>s</w:t>
      </w:r>
      <w:r w:rsidRPr="006C7A79">
        <w:rPr>
          <w:rFonts w:ascii="ITC Avant Garde" w:eastAsia="Arial" w:hAnsi="ITC Avant Garde" w:cs="Arial"/>
          <w:sz w:val="24"/>
          <w:szCs w:val="24"/>
        </w:rPr>
        <w:t xml:space="preserve"> como prefijo</w:t>
      </w:r>
      <w:r w:rsidR="003B0326" w:rsidRPr="006C7A79">
        <w:rPr>
          <w:rFonts w:ascii="ITC Avant Garde" w:eastAsia="Arial" w:hAnsi="ITC Avant Garde" w:cs="Arial"/>
          <w:sz w:val="24"/>
          <w:szCs w:val="24"/>
        </w:rPr>
        <w:t>s</w:t>
      </w:r>
      <w:r w:rsidRPr="006C7A79">
        <w:rPr>
          <w:rFonts w:ascii="ITC Avant Garde" w:eastAsia="Arial" w:hAnsi="ITC Avant Garde" w:cs="Arial"/>
          <w:sz w:val="24"/>
          <w:szCs w:val="24"/>
        </w:rPr>
        <w:t xml:space="preserve"> de marcación para el establecimiento de </w:t>
      </w:r>
      <w:r w:rsidRPr="006C7A79">
        <w:rPr>
          <w:rFonts w:ascii="ITC Avant Garde" w:eastAsia="Arial" w:hAnsi="ITC Avant Garde" w:cs="Arial"/>
          <w:sz w:val="24"/>
          <w:szCs w:val="24"/>
        </w:rPr>
        <w:lastRenderedPageBreak/>
        <w:t xml:space="preserve">llamadas </w:t>
      </w:r>
      <w:r w:rsidR="003B0326" w:rsidRPr="006C7A79">
        <w:rPr>
          <w:rFonts w:ascii="ITC Avant Garde" w:eastAsia="Arial" w:hAnsi="ITC Avant Garde" w:cs="Arial"/>
          <w:sz w:val="24"/>
          <w:szCs w:val="24"/>
        </w:rPr>
        <w:t xml:space="preserve">locales y </w:t>
      </w:r>
      <w:r w:rsidRPr="006C7A79">
        <w:rPr>
          <w:rFonts w:ascii="ITC Avant Garde" w:eastAsia="Arial" w:hAnsi="ITC Avant Garde" w:cs="Arial"/>
          <w:sz w:val="24"/>
          <w:szCs w:val="24"/>
        </w:rPr>
        <w:t xml:space="preserve">nacionales a cualquier número móvil bajo la modalidad Móvil CPP. </w:t>
      </w:r>
    </w:p>
    <w:p w:rsidR="000A59C6" w:rsidRPr="006C7A79" w:rsidRDefault="000A59C6" w:rsidP="000E7DDE">
      <w:pPr>
        <w:widowControl w:val="0"/>
        <w:autoSpaceDE w:val="0"/>
        <w:autoSpaceDN w:val="0"/>
        <w:spacing w:after="0" w:line="240" w:lineRule="auto"/>
        <w:ind w:left="426" w:right="283"/>
        <w:jc w:val="both"/>
        <w:rPr>
          <w:rFonts w:ascii="ITC Avant Garde" w:eastAsia="Arial" w:hAnsi="ITC Avant Garde" w:cs="Arial"/>
          <w:sz w:val="24"/>
          <w:szCs w:val="24"/>
        </w:rPr>
      </w:pPr>
    </w:p>
    <w:p w:rsidR="000A59C6" w:rsidRPr="006C7A79" w:rsidRDefault="000A59C6" w:rsidP="000E7DDE">
      <w:pPr>
        <w:widowControl w:val="0"/>
        <w:autoSpaceDE w:val="0"/>
        <w:autoSpaceDN w:val="0"/>
        <w:spacing w:after="0" w:line="240" w:lineRule="auto"/>
        <w:ind w:left="426" w:right="283"/>
        <w:jc w:val="both"/>
        <w:rPr>
          <w:rFonts w:ascii="ITC Avant Garde" w:eastAsia="Arial" w:hAnsi="ITC Avant Garde" w:cs="Arial"/>
          <w:sz w:val="24"/>
          <w:szCs w:val="24"/>
        </w:rPr>
      </w:pPr>
      <w:r w:rsidRPr="006C7A79">
        <w:rPr>
          <w:rFonts w:ascii="ITC Avant Garde" w:eastAsia="Arial" w:hAnsi="ITC Avant Garde" w:cs="Arial"/>
          <w:sz w:val="24"/>
          <w:szCs w:val="24"/>
        </w:rPr>
        <w:t xml:space="preserve">Lo anterior no implica modificaciones a los formatos para el intercambio de información de la señalización establecidos en el Plan Técnico Fundamental de Señalización, es decir, aun cuando </w:t>
      </w:r>
      <w:r w:rsidR="007F7C96" w:rsidRPr="006C7A79">
        <w:rPr>
          <w:rFonts w:ascii="ITC Avant Garde" w:eastAsia="Arial" w:hAnsi="ITC Avant Garde" w:cs="Arial"/>
          <w:sz w:val="24"/>
          <w:szCs w:val="24"/>
        </w:rPr>
        <w:t>los Usuarios</w:t>
      </w:r>
      <w:r w:rsidRPr="006C7A79">
        <w:rPr>
          <w:rFonts w:ascii="ITC Avant Garde" w:eastAsia="Arial" w:hAnsi="ITC Avant Garde" w:cs="Arial"/>
          <w:sz w:val="24"/>
          <w:szCs w:val="24"/>
        </w:rPr>
        <w:t xml:space="preserve"> genere</w:t>
      </w:r>
      <w:r w:rsidR="007F7C96" w:rsidRPr="006C7A79">
        <w:rPr>
          <w:rFonts w:ascii="ITC Avant Garde" w:eastAsia="Arial" w:hAnsi="ITC Avant Garde" w:cs="Arial"/>
          <w:sz w:val="24"/>
          <w:szCs w:val="24"/>
        </w:rPr>
        <w:t>n</w:t>
      </w:r>
      <w:r w:rsidRPr="006C7A79">
        <w:rPr>
          <w:rFonts w:ascii="ITC Avant Garde" w:eastAsia="Arial" w:hAnsi="ITC Avant Garde" w:cs="Arial"/>
          <w:sz w:val="24"/>
          <w:szCs w:val="24"/>
        </w:rPr>
        <w:t xml:space="preserve"> tráfico mediante la marcación de</w:t>
      </w:r>
      <w:r w:rsidR="007F7C96" w:rsidRPr="006C7A79">
        <w:rPr>
          <w:rFonts w:ascii="ITC Avant Garde" w:eastAsia="Arial" w:hAnsi="ITC Avant Garde" w:cs="Arial"/>
          <w:sz w:val="24"/>
          <w:szCs w:val="24"/>
        </w:rPr>
        <w:t xml:space="preserve"> </w:t>
      </w:r>
      <w:r w:rsidRPr="006C7A79">
        <w:rPr>
          <w:rFonts w:ascii="ITC Avant Garde" w:eastAsia="Arial" w:hAnsi="ITC Avant Garde" w:cs="Arial"/>
          <w:sz w:val="24"/>
          <w:szCs w:val="24"/>
        </w:rPr>
        <w:t>l</w:t>
      </w:r>
      <w:r w:rsidR="007F7C96" w:rsidRPr="006C7A79">
        <w:rPr>
          <w:rFonts w:ascii="ITC Avant Garde" w:eastAsia="Arial" w:hAnsi="ITC Avant Garde" w:cs="Arial"/>
          <w:sz w:val="24"/>
          <w:szCs w:val="24"/>
        </w:rPr>
        <w:t>os</w:t>
      </w:r>
      <w:r w:rsidRPr="006C7A79">
        <w:rPr>
          <w:rFonts w:ascii="ITC Avant Garde" w:eastAsia="Arial" w:hAnsi="ITC Avant Garde" w:cs="Arial"/>
          <w:sz w:val="24"/>
          <w:szCs w:val="24"/>
        </w:rPr>
        <w:t xml:space="preserve"> prefijo</w:t>
      </w:r>
      <w:r w:rsidR="007F7C96" w:rsidRPr="006C7A79">
        <w:rPr>
          <w:rFonts w:ascii="ITC Avant Garde" w:eastAsia="Arial" w:hAnsi="ITC Avant Garde" w:cs="Arial"/>
          <w:sz w:val="24"/>
          <w:szCs w:val="24"/>
        </w:rPr>
        <w:t>s</w:t>
      </w:r>
      <w:r w:rsidRPr="006C7A79">
        <w:rPr>
          <w:rFonts w:ascii="ITC Avant Garde" w:eastAsia="Arial" w:hAnsi="ITC Avant Garde" w:cs="Arial"/>
          <w:sz w:val="24"/>
          <w:szCs w:val="24"/>
        </w:rPr>
        <w:t xml:space="preserve"> </w:t>
      </w:r>
      <w:r w:rsidR="007F7C96" w:rsidRPr="006C7A79">
        <w:rPr>
          <w:rFonts w:ascii="ITC Avant Garde" w:eastAsia="Arial" w:hAnsi="ITC Avant Garde" w:cs="Arial"/>
          <w:sz w:val="24"/>
          <w:szCs w:val="24"/>
        </w:rPr>
        <w:t xml:space="preserve">01, </w:t>
      </w:r>
      <w:r w:rsidRPr="006C7A79">
        <w:rPr>
          <w:rFonts w:ascii="ITC Avant Garde" w:eastAsia="Arial" w:hAnsi="ITC Avant Garde" w:cs="Arial"/>
          <w:sz w:val="24"/>
          <w:szCs w:val="24"/>
        </w:rPr>
        <w:t>044</w:t>
      </w:r>
      <w:r w:rsidR="007F7C96" w:rsidRPr="006C7A79">
        <w:rPr>
          <w:rFonts w:ascii="ITC Avant Garde" w:eastAsia="Arial" w:hAnsi="ITC Avant Garde" w:cs="Arial"/>
          <w:sz w:val="24"/>
          <w:szCs w:val="24"/>
        </w:rPr>
        <w:t xml:space="preserve"> y 045 o realicen marcaciones locales a 7 u 8 dígitos</w:t>
      </w:r>
      <w:r w:rsidRPr="006C7A79">
        <w:rPr>
          <w:rFonts w:ascii="ITC Avant Garde" w:eastAsia="Arial" w:hAnsi="ITC Avant Garde" w:cs="Arial"/>
          <w:sz w:val="24"/>
          <w:szCs w:val="24"/>
        </w:rPr>
        <w:t>, será responsabilidad del concesionario en cuya red pública de telecomunicaciones se origine la llamada, adaptar los mensajes de señalización a lo establecido en el numeral 19.12</w:t>
      </w:r>
      <w:r w:rsidR="00441BCD">
        <w:rPr>
          <w:rFonts w:ascii="ITC Avant Garde" w:eastAsia="Arial" w:hAnsi="ITC Avant Garde" w:cs="Arial"/>
          <w:sz w:val="24"/>
          <w:szCs w:val="24"/>
        </w:rPr>
        <w:t>.</w:t>
      </w:r>
      <w:r w:rsidRPr="006C7A79">
        <w:rPr>
          <w:rFonts w:ascii="ITC Avant Garde" w:eastAsia="Arial" w:hAnsi="ITC Avant Garde" w:cs="Arial"/>
          <w:sz w:val="24"/>
          <w:szCs w:val="24"/>
        </w:rPr>
        <w:t xml:space="preserve"> del Plan Técnico Fundamental de Señalización.</w:t>
      </w:r>
      <w:r w:rsidR="000E7DDE">
        <w:rPr>
          <w:rFonts w:ascii="ITC Avant Garde" w:eastAsia="Arial" w:hAnsi="ITC Avant Garde" w:cs="Arial"/>
          <w:sz w:val="24"/>
          <w:szCs w:val="24"/>
        </w:rPr>
        <w:t>”</w:t>
      </w:r>
    </w:p>
    <w:p w:rsidR="006E36D6" w:rsidRDefault="006E36D6" w:rsidP="00873106">
      <w:pPr>
        <w:widowControl w:val="0"/>
        <w:autoSpaceDE w:val="0"/>
        <w:autoSpaceDN w:val="0"/>
        <w:spacing w:after="0" w:line="240" w:lineRule="auto"/>
        <w:jc w:val="both"/>
        <w:rPr>
          <w:rFonts w:ascii="ITC Avant Garde" w:eastAsia="Arial" w:hAnsi="ITC Avant Garde" w:cs="Arial"/>
          <w:b/>
          <w:sz w:val="24"/>
          <w:szCs w:val="24"/>
        </w:rPr>
      </w:pPr>
    </w:p>
    <w:p w:rsidR="00C76F6A" w:rsidRPr="006C7A79" w:rsidRDefault="00C76F6A" w:rsidP="00873106">
      <w:pPr>
        <w:widowControl w:val="0"/>
        <w:autoSpaceDE w:val="0"/>
        <w:autoSpaceDN w:val="0"/>
        <w:spacing w:after="0" w:line="240" w:lineRule="auto"/>
        <w:jc w:val="both"/>
        <w:rPr>
          <w:rFonts w:ascii="ITC Avant Garde" w:eastAsia="Arial" w:hAnsi="ITC Avant Garde" w:cs="Arial"/>
          <w:b/>
          <w:sz w:val="24"/>
          <w:szCs w:val="24"/>
        </w:rPr>
      </w:pPr>
    </w:p>
    <w:p w:rsidR="007A1396" w:rsidRPr="006C7A79" w:rsidRDefault="007A1396" w:rsidP="00873106">
      <w:pPr>
        <w:widowControl w:val="0"/>
        <w:autoSpaceDE w:val="0"/>
        <w:autoSpaceDN w:val="0"/>
        <w:spacing w:after="0" w:line="240" w:lineRule="auto"/>
        <w:jc w:val="center"/>
        <w:rPr>
          <w:rFonts w:ascii="ITC Avant Garde" w:eastAsia="Arial" w:hAnsi="ITC Avant Garde" w:cs="Arial"/>
          <w:b/>
          <w:sz w:val="24"/>
          <w:szCs w:val="24"/>
        </w:rPr>
      </w:pPr>
      <w:r w:rsidRPr="006C7A79">
        <w:rPr>
          <w:rFonts w:ascii="ITC Avant Garde" w:eastAsia="Arial" w:hAnsi="ITC Avant Garde" w:cs="Arial"/>
          <w:b/>
          <w:sz w:val="24"/>
          <w:szCs w:val="24"/>
        </w:rPr>
        <w:t>TRANSITORIOS</w:t>
      </w:r>
    </w:p>
    <w:p w:rsidR="007A1396" w:rsidRPr="006C7A79" w:rsidRDefault="007A1396" w:rsidP="00873106">
      <w:pPr>
        <w:widowControl w:val="0"/>
        <w:autoSpaceDE w:val="0"/>
        <w:autoSpaceDN w:val="0"/>
        <w:spacing w:after="0" w:line="240" w:lineRule="auto"/>
        <w:jc w:val="both"/>
        <w:rPr>
          <w:rFonts w:ascii="ITC Avant Garde" w:eastAsia="Arial" w:hAnsi="ITC Avant Garde" w:cs="Arial"/>
          <w:b/>
          <w:sz w:val="24"/>
          <w:szCs w:val="24"/>
        </w:rPr>
      </w:pPr>
    </w:p>
    <w:p w:rsidR="00E8627E" w:rsidRPr="006C7A79" w:rsidRDefault="00E8627E" w:rsidP="00873106">
      <w:pPr>
        <w:autoSpaceDE w:val="0"/>
        <w:autoSpaceDN w:val="0"/>
        <w:spacing w:after="0" w:line="240" w:lineRule="auto"/>
        <w:jc w:val="both"/>
        <w:rPr>
          <w:rFonts w:ascii="ITC Avant Garde" w:hAnsi="ITC Avant Garde" w:cs="Arial"/>
          <w:sz w:val="24"/>
          <w:szCs w:val="24"/>
        </w:rPr>
      </w:pPr>
      <w:r w:rsidRPr="006C7A79">
        <w:rPr>
          <w:rFonts w:ascii="ITC Avant Garde" w:hAnsi="ITC Avant Garde" w:cs="Arial"/>
          <w:b/>
          <w:bCs/>
          <w:sz w:val="24"/>
          <w:szCs w:val="24"/>
        </w:rPr>
        <w:t xml:space="preserve">PRIMERO. </w:t>
      </w:r>
      <w:r w:rsidRPr="006C7A79">
        <w:rPr>
          <w:rFonts w:ascii="ITC Avant Garde" w:hAnsi="ITC Avant Garde" w:cs="Arial"/>
          <w:sz w:val="24"/>
          <w:szCs w:val="24"/>
        </w:rPr>
        <w:t xml:space="preserve">El presente Acuerdo entrará en vigor </w:t>
      </w:r>
      <w:r w:rsidR="001A24E4" w:rsidRPr="006C7A79">
        <w:rPr>
          <w:rFonts w:ascii="ITC Avant Garde" w:hAnsi="ITC Avant Garde" w:cs="Arial"/>
          <w:sz w:val="24"/>
          <w:szCs w:val="24"/>
        </w:rPr>
        <w:t>el 3 de agosto de 2019</w:t>
      </w:r>
      <w:r w:rsidRPr="006C7A79">
        <w:rPr>
          <w:rFonts w:ascii="ITC Avant Garde" w:hAnsi="ITC Avant Garde" w:cs="Arial"/>
          <w:sz w:val="24"/>
          <w:szCs w:val="24"/>
        </w:rPr>
        <w:t xml:space="preserve">. </w:t>
      </w:r>
    </w:p>
    <w:p w:rsidR="001A24E4" w:rsidRPr="006C7A79" w:rsidRDefault="001A24E4" w:rsidP="00873106">
      <w:pPr>
        <w:autoSpaceDE w:val="0"/>
        <w:autoSpaceDN w:val="0"/>
        <w:spacing w:after="0" w:line="240" w:lineRule="auto"/>
        <w:jc w:val="both"/>
        <w:rPr>
          <w:rFonts w:ascii="ITC Avant Garde" w:hAnsi="ITC Avant Garde" w:cs="Arial"/>
          <w:b/>
          <w:bCs/>
          <w:sz w:val="24"/>
          <w:szCs w:val="24"/>
        </w:rPr>
      </w:pPr>
    </w:p>
    <w:p w:rsidR="006E36D6" w:rsidRPr="006D6657" w:rsidRDefault="00E8627E" w:rsidP="006D6657">
      <w:pPr>
        <w:autoSpaceDE w:val="0"/>
        <w:autoSpaceDN w:val="0"/>
        <w:spacing w:after="0" w:line="240" w:lineRule="auto"/>
        <w:jc w:val="both"/>
        <w:rPr>
          <w:rFonts w:ascii="ITC Avant Garde" w:hAnsi="ITC Avant Garde" w:cs="Arial"/>
          <w:b/>
          <w:bCs/>
          <w:sz w:val="24"/>
          <w:szCs w:val="24"/>
        </w:rPr>
      </w:pPr>
      <w:r w:rsidRPr="006C7A79">
        <w:rPr>
          <w:rFonts w:ascii="ITC Avant Garde" w:hAnsi="ITC Avant Garde" w:cs="Arial"/>
          <w:b/>
          <w:bCs/>
          <w:sz w:val="24"/>
          <w:szCs w:val="24"/>
        </w:rPr>
        <w:t>SEGUNDO.</w:t>
      </w:r>
      <w:r w:rsidR="00D93F89" w:rsidRPr="006C7A79">
        <w:rPr>
          <w:rFonts w:ascii="ITC Avant Garde" w:hAnsi="ITC Avant Garde" w:cs="Arial"/>
          <w:b/>
          <w:bCs/>
          <w:sz w:val="24"/>
          <w:szCs w:val="24"/>
        </w:rPr>
        <w:t xml:space="preserve"> </w:t>
      </w:r>
      <w:r w:rsidRPr="006C7A79">
        <w:rPr>
          <w:rFonts w:ascii="ITC Avant Garde" w:hAnsi="ITC Avant Garde" w:cs="Arial"/>
          <w:bCs/>
          <w:sz w:val="24"/>
          <w:szCs w:val="24"/>
        </w:rPr>
        <w:t>Publíquese el presente Acuerdo en el Diario Oficial de la Federación.</w:t>
      </w:r>
    </w:p>
    <w:p w:rsidR="0020525D" w:rsidRPr="006C7A79" w:rsidRDefault="0020525D" w:rsidP="00873106">
      <w:pPr>
        <w:widowControl w:val="0"/>
        <w:autoSpaceDE w:val="0"/>
        <w:autoSpaceDN w:val="0"/>
        <w:spacing w:after="0" w:line="240" w:lineRule="auto"/>
        <w:jc w:val="both"/>
        <w:rPr>
          <w:rFonts w:ascii="ITC Avant Garde" w:eastAsia="Arial" w:hAnsi="ITC Avant Garde" w:cs="Arial"/>
          <w:sz w:val="24"/>
          <w:szCs w:val="24"/>
        </w:rPr>
      </w:pPr>
    </w:p>
    <w:sectPr w:rsidR="0020525D" w:rsidRPr="006C7A79" w:rsidSect="000E7DDE">
      <w:headerReference w:type="even" r:id="rId8"/>
      <w:headerReference w:type="default" r:id="rId9"/>
      <w:footerReference w:type="even" r:id="rId10"/>
      <w:footerReference w:type="default" r:id="rId11"/>
      <w:headerReference w:type="first" r:id="rId12"/>
      <w:footerReference w:type="first" r:id="rId13"/>
      <w:pgSz w:w="12240" w:h="15840"/>
      <w:pgMar w:top="1417" w:right="2034"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7A3B6" w16cid:durableId="20C38046"/>
  <w16cid:commentId w16cid:paraId="58729590" w16cid:durableId="20C3BACC"/>
  <w16cid:commentId w16cid:paraId="3A089544" w16cid:durableId="20C231A9"/>
  <w16cid:commentId w16cid:paraId="24CCAA44" w16cid:durableId="20C22E48"/>
  <w16cid:commentId w16cid:paraId="117C2B16" w16cid:durableId="20C22E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D6" w:rsidRDefault="00F47AD6" w:rsidP="003F5732">
      <w:pPr>
        <w:spacing w:after="0" w:line="240" w:lineRule="auto"/>
      </w:pPr>
      <w:r>
        <w:separator/>
      </w:r>
    </w:p>
  </w:endnote>
  <w:endnote w:type="continuationSeparator" w:id="0">
    <w:p w:rsidR="00F47AD6" w:rsidRDefault="00F47AD6" w:rsidP="003F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0" w:rsidRDefault="004843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0" w:rsidRDefault="004843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0" w:rsidRDefault="004843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D6" w:rsidRDefault="00F47AD6" w:rsidP="003F5732">
      <w:pPr>
        <w:spacing w:after="0" w:line="240" w:lineRule="auto"/>
      </w:pPr>
      <w:r>
        <w:separator/>
      </w:r>
    </w:p>
  </w:footnote>
  <w:footnote w:type="continuationSeparator" w:id="0">
    <w:p w:rsidR="00F47AD6" w:rsidRDefault="00F47AD6" w:rsidP="003F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5D" w:rsidRDefault="00484310">
    <w:pPr>
      <w:pStyle w:val="Textoindependiente"/>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76282" o:spid="_x0000_s2050" type="#_x0000_t136" style="position:absolute;margin-left:0;margin-top:0;width:436pt;height:163.5pt;rotation:315;z-index:-251645952;mso-position-horizontal:center;mso-position-horizontal-relative:margin;mso-position-vertical:center;mso-position-vertical-relative:margin" o:allowincell="f" fillcolor="silver" stroked="f">
          <v:fill opacity=".5"/>
          <v:textpath style="font-family:&quot;Calibri Light&quot;;font-size:1pt" string="Proyecto"/>
        </v:shape>
      </w:pict>
    </w:r>
    <w:r w:rsidR="0020525D">
      <w:rPr>
        <w:noProof/>
        <w:lang w:eastAsia="es-MX"/>
      </w:rPr>
      <mc:AlternateContent>
        <mc:Choice Requires="wps">
          <w:drawing>
            <wp:anchor distT="0" distB="0" distL="114300" distR="114300" simplePos="0" relativeHeight="251663360" behindDoc="1" locked="0" layoutInCell="1" allowOverlap="1" wp14:anchorId="2B09F44C" wp14:editId="37EDD9F5">
              <wp:simplePos x="0" y="0"/>
              <wp:positionH relativeFrom="page">
                <wp:posOffset>1243330</wp:posOffset>
              </wp:positionH>
              <wp:positionV relativeFrom="page">
                <wp:posOffset>597535</wp:posOffset>
              </wp:positionV>
              <wp:extent cx="5285740" cy="18415"/>
              <wp:effectExtent l="5080" t="6985" r="5080" b="12700"/>
              <wp:wrapNone/>
              <wp:docPr id="1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740" cy="18415"/>
                      </a:xfrm>
                      <a:custGeom>
                        <a:avLst/>
                        <a:gdLst>
                          <a:gd name="T0" fmla="+- 0 1958 1958"/>
                          <a:gd name="T1" fmla="*/ T0 w 8324"/>
                          <a:gd name="T2" fmla="+- 0 970 941"/>
                          <a:gd name="T3" fmla="*/ 970 h 29"/>
                          <a:gd name="T4" fmla="+- 0 10282 1958"/>
                          <a:gd name="T5" fmla="*/ T4 w 8324"/>
                          <a:gd name="T6" fmla="+- 0 970 941"/>
                          <a:gd name="T7" fmla="*/ 970 h 29"/>
                          <a:gd name="T8" fmla="+- 0 1958 1958"/>
                          <a:gd name="T9" fmla="*/ T8 w 8324"/>
                          <a:gd name="T10" fmla="+- 0 941 941"/>
                          <a:gd name="T11" fmla="*/ 941 h 29"/>
                          <a:gd name="T12" fmla="+- 0 10282 1958"/>
                          <a:gd name="T13" fmla="*/ T12 w 8324"/>
                          <a:gd name="T14" fmla="+- 0 941 941"/>
                          <a:gd name="T15" fmla="*/ 941 h 29"/>
                        </a:gdLst>
                        <a:ahLst/>
                        <a:cxnLst>
                          <a:cxn ang="0">
                            <a:pos x="T1" y="T3"/>
                          </a:cxn>
                          <a:cxn ang="0">
                            <a:pos x="T5" y="T7"/>
                          </a:cxn>
                          <a:cxn ang="0">
                            <a:pos x="T9" y="T11"/>
                          </a:cxn>
                          <a:cxn ang="0">
                            <a:pos x="T13" y="T15"/>
                          </a:cxn>
                        </a:cxnLst>
                        <a:rect l="0" t="0" r="r" b="b"/>
                        <a:pathLst>
                          <a:path w="8324" h="29">
                            <a:moveTo>
                              <a:pt x="0" y="29"/>
                            </a:moveTo>
                            <a:lnTo>
                              <a:pt x="8324" y="29"/>
                            </a:lnTo>
                            <a:moveTo>
                              <a:pt x="0" y="0"/>
                            </a:moveTo>
                            <a:lnTo>
                              <a:pt x="83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EB80" id="AutoShape 94" o:spid="_x0000_s1026" style="position:absolute;margin-left:97.9pt;margin-top:47.05pt;width:416.2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" path="m,29r8324,m,l8324,e" filled="f" strokeweight=".72pt">
              <v:path arrowok="t" o:connecttype="custom" o:connectlocs="0,615950;5285740,615950;0,597535;5285740,597535" o:connectangles="0,0,0,0"/>
              <w10:wrap anchorx="page" anchory="page"/>
            </v:shape>
          </w:pict>
        </mc:Fallback>
      </mc:AlternateContent>
    </w:r>
    <w:r w:rsidR="0020525D">
      <w:rPr>
        <w:noProof/>
        <w:lang w:eastAsia="es-MX"/>
      </w:rPr>
      <mc:AlternateContent>
        <mc:Choice Requires="wps">
          <w:drawing>
            <wp:anchor distT="0" distB="0" distL="114300" distR="114300" simplePos="0" relativeHeight="251664384" behindDoc="1" locked="0" layoutInCell="1" allowOverlap="1" wp14:anchorId="3ACF5762" wp14:editId="3F581A1A">
              <wp:simplePos x="0" y="0"/>
              <wp:positionH relativeFrom="page">
                <wp:posOffset>1421130</wp:posOffset>
              </wp:positionH>
              <wp:positionV relativeFrom="page">
                <wp:posOffset>438785</wp:posOffset>
              </wp:positionV>
              <wp:extent cx="886460" cy="152400"/>
              <wp:effectExtent l="1905" t="635" r="0" b="0"/>
              <wp:wrapNone/>
              <wp:docPr id="1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25D" w:rsidRDefault="0020525D">
                          <w:pPr>
                            <w:pStyle w:val="Textoindependiente"/>
                            <w:spacing w:before="12"/>
                            <w:ind w:left="20"/>
                            <w:rPr>
                              <w:rFonts w:ascii="Times New Roman" w:hAnsi="Times New Roman"/>
                            </w:rPr>
                          </w:pPr>
                          <w:r>
                            <w:rPr>
                              <w:rFonts w:ascii="Times New Roman" w:hAnsi="Times New Roman"/>
                            </w:rPr>
                            <w:t>(Segunda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F5762" id="_x0000_t202" coordsize="21600,21600" o:spt="202" path="m,l,21600r21600,l21600,xe">
              <v:stroke joinstyle="miter"/>
              <v:path gradientshapeok="t" o:connecttype="rect"/>
            </v:shapetype>
            <v:shape id="Text Box 93" o:spid="_x0000_s1026" type="#_x0000_t202" style="position:absolute;margin-left:111.9pt;margin-top:34.55pt;width:69.8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A+rg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" filled="f" stroked="f">
              <v:textbox inset="0,0,0,0">
                <w:txbxContent>
                  <w:p w:rsidR="0020525D" w:rsidRDefault="0020525D">
                    <w:pPr>
                      <w:pStyle w:val="Textoindependiente"/>
                      <w:spacing w:before="12"/>
                      <w:ind w:left="20"/>
                      <w:rPr>
                        <w:rFonts w:ascii="Times New Roman" w:hAnsi="Times New Roman"/>
                      </w:rPr>
                    </w:pPr>
                    <w:r>
                      <w:rPr>
                        <w:rFonts w:ascii="Times New Roman" w:hAnsi="Times New Roman"/>
                      </w:rPr>
                      <w:t>(Segunda Sección)</w:t>
                    </w:r>
                  </w:p>
                </w:txbxContent>
              </v:textbox>
              <w10:wrap anchorx="page" anchory="page"/>
            </v:shape>
          </w:pict>
        </mc:Fallback>
      </mc:AlternateContent>
    </w:r>
    <w:r w:rsidR="0020525D">
      <w:rPr>
        <w:noProof/>
        <w:lang w:eastAsia="es-MX"/>
      </w:rPr>
      <mc:AlternateContent>
        <mc:Choice Requires="wps">
          <w:drawing>
            <wp:anchor distT="0" distB="0" distL="114300" distR="114300" simplePos="0" relativeHeight="251665408" behindDoc="1" locked="0" layoutInCell="1" allowOverlap="1" wp14:anchorId="31EE2692" wp14:editId="184A81B0">
              <wp:simplePos x="0" y="0"/>
              <wp:positionH relativeFrom="page">
                <wp:posOffset>3462020</wp:posOffset>
              </wp:positionH>
              <wp:positionV relativeFrom="page">
                <wp:posOffset>438785</wp:posOffset>
              </wp:positionV>
              <wp:extent cx="904875" cy="152400"/>
              <wp:effectExtent l="4445" t="635" r="0" b="0"/>
              <wp:wrapNone/>
              <wp:docPr id="1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25D" w:rsidRDefault="0020525D">
                          <w:pPr>
                            <w:pStyle w:val="Textoindependiente"/>
                            <w:spacing w:before="12"/>
                            <w:ind w:left="2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2692" id="Text Box 92" o:spid="_x0000_s1027" type="#_x0000_t202" style="position:absolute;margin-left:272.6pt;margin-top:34.55pt;width:71.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q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" filled="f" stroked="f">
              <v:textbox inset="0,0,0,0">
                <w:txbxContent>
                  <w:p w:rsidR="0020525D" w:rsidRDefault="0020525D">
                    <w:pPr>
                      <w:pStyle w:val="Textoindependiente"/>
                      <w:spacing w:before="12"/>
                      <w:ind w:left="20"/>
                      <w:rPr>
                        <w:rFonts w:ascii="Times New Roman"/>
                      </w:rPr>
                    </w:pPr>
                    <w:r>
                      <w:rPr>
                        <w:rFonts w:ascii="Times New Roman"/>
                      </w:rPr>
                      <w:t>DIARIO OFICIAL</w:t>
                    </w:r>
                  </w:p>
                </w:txbxContent>
              </v:textbox>
              <w10:wrap anchorx="page" anchory="page"/>
            </v:shape>
          </w:pict>
        </mc:Fallback>
      </mc:AlternateContent>
    </w:r>
    <w:r w:rsidR="0020525D">
      <w:rPr>
        <w:noProof/>
        <w:lang w:eastAsia="es-MX"/>
      </w:rPr>
      <mc:AlternateContent>
        <mc:Choice Requires="wps">
          <w:drawing>
            <wp:anchor distT="0" distB="0" distL="114300" distR="114300" simplePos="0" relativeHeight="251666432" behindDoc="1" locked="0" layoutInCell="1" allowOverlap="1" wp14:anchorId="7D5DFDD2" wp14:editId="19DF6D08">
              <wp:simplePos x="0" y="0"/>
              <wp:positionH relativeFrom="page">
                <wp:posOffset>5205095</wp:posOffset>
              </wp:positionH>
              <wp:positionV relativeFrom="page">
                <wp:posOffset>438785</wp:posOffset>
              </wp:positionV>
              <wp:extent cx="1337310" cy="152400"/>
              <wp:effectExtent l="4445" t="635" r="1270" b="0"/>
              <wp:wrapNone/>
              <wp:docPr id="1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25D" w:rsidRDefault="0020525D">
                          <w:pPr>
                            <w:pStyle w:val="Textoindependiente"/>
                            <w:spacing w:before="12"/>
                            <w:ind w:left="20"/>
                            <w:rPr>
                              <w:rFonts w:ascii="Times New Roman"/>
                            </w:rPr>
                          </w:pPr>
                          <w:r>
                            <w:rPr>
                              <w:rFonts w:ascii="Times New Roman"/>
                            </w:rPr>
                            <w:t>Viernes 11 de mayo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FDD2" id="Text Box 91" o:spid="_x0000_s1028" type="#_x0000_t202" style="position:absolute;margin-left:409.85pt;margin-top:34.55pt;width:105.3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" filled="f" stroked="f">
              <v:textbox inset="0,0,0,0">
                <w:txbxContent>
                  <w:p w:rsidR="0020525D" w:rsidRDefault="0020525D">
                    <w:pPr>
                      <w:pStyle w:val="Textoindependiente"/>
                      <w:spacing w:before="12"/>
                      <w:ind w:left="20"/>
                      <w:rPr>
                        <w:rFonts w:ascii="Times New Roman"/>
                      </w:rPr>
                    </w:pPr>
                    <w:r>
                      <w:rPr>
                        <w:rFonts w:ascii="Times New Roman"/>
                      </w:rPr>
                      <w:t>Viernes 11 de mayo de 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5D" w:rsidRDefault="00484310">
    <w:pPr>
      <w:pStyle w:val="Textoindependiente"/>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76283" o:spid="_x0000_s2051" type="#_x0000_t136" style="position:absolute;margin-left:0;margin-top:0;width:436pt;height:163.5pt;rotation:315;z-index:-25164390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310" w:rsidRDefault="004843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776281" o:spid="_x0000_s2049" type="#_x0000_t136" style="position:absolute;margin-left:0;margin-top:0;width:436pt;height:163.5pt;rotation:315;z-index:-25164800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270"/>
    <w:multiLevelType w:val="hybridMultilevel"/>
    <w:tmpl w:val="1A8836A6"/>
    <w:lvl w:ilvl="0" w:tplc="D778C18A">
      <w:numFmt w:val="bullet"/>
      <w:lvlText w:val=""/>
      <w:lvlJc w:val="left"/>
      <w:pPr>
        <w:ind w:left="1291" w:hanging="432"/>
      </w:pPr>
      <w:rPr>
        <w:rFonts w:ascii="Symbol" w:eastAsia="Symbol" w:hAnsi="Symbol" w:cs="Symbol" w:hint="default"/>
        <w:w w:val="100"/>
        <w:sz w:val="18"/>
        <w:szCs w:val="18"/>
      </w:rPr>
    </w:lvl>
    <w:lvl w:ilvl="1" w:tplc="41DCEB80">
      <w:numFmt w:val="bullet"/>
      <w:lvlText w:val=""/>
      <w:lvlJc w:val="left"/>
      <w:pPr>
        <w:ind w:left="1723" w:hanging="432"/>
      </w:pPr>
      <w:rPr>
        <w:rFonts w:ascii="Wingdings" w:eastAsia="Wingdings" w:hAnsi="Wingdings" w:cs="Wingdings" w:hint="default"/>
        <w:w w:val="100"/>
        <w:sz w:val="18"/>
        <w:szCs w:val="18"/>
      </w:rPr>
    </w:lvl>
    <w:lvl w:ilvl="2" w:tplc="1F94F038">
      <w:numFmt w:val="bullet"/>
      <w:lvlText w:val="•"/>
      <w:lvlJc w:val="left"/>
      <w:pPr>
        <w:ind w:left="2544" w:hanging="432"/>
      </w:pPr>
      <w:rPr>
        <w:rFonts w:hint="default"/>
      </w:rPr>
    </w:lvl>
    <w:lvl w:ilvl="3" w:tplc="2FB825F2">
      <w:numFmt w:val="bullet"/>
      <w:lvlText w:val="•"/>
      <w:lvlJc w:val="left"/>
      <w:pPr>
        <w:ind w:left="3368" w:hanging="432"/>
      </w:pPr>
      <w:rPr>
        <w:rFonts w:hint="default"/>
      </w:rPr>
    </w:lvl>
    <w:lvl w:ilvl="4" w:tplc="111A78C0">
      <w:numFmt w:val="bullet"/>
      <w:lvlText w:val="•"/>
      <w:lvlJc w:val="left"/>
      <w:pPr>
        <w:ind w:left="4193" w:hanging="432"/>
      </w:pPr>
      <w:rPr>
        <w:rFonts w:hint="default"/>
      </w:rPr>
    </w:lvl>
    <w:lvl w:ilvl="5" w:tplc="01461152">
      <w:numFmt w:val="bullet"/>
      <w:lvlText w:val="•"/>
      <w:lvlJc w:val="left"/>
      <w:pPr>
        <w:ind w:left="5017" w:hanging="432"/>
      </w:pPr>
      <w:rPr>
        <w:rFonts w:hint="default"/>
      </w:rPr>
    </w:lvl>
    <w:lvl w:ilvl="6" w:tplc="BAACD98E">
      <w:numFmt w:val="bullet"/>
      <w:lvlText w:val="•"/>
      <w:lvlJc w:val="left"/>
      <w:pPr>
        <w:ind w:left="5842" w:hanging="432"/>
      </w:pPr>
      <w:rPr>
        <w:rFonts w:hint="default"/>
      </w:rPr>
    </w:lvl>
    <w:lvl w:ilvl="7" w:tplc="9AD6A558">
      <w:numFmt w:val="bullet"/>
      <w:lvlText w:val="•"/>
      <w:lvlJc w:val="left"/>
      <w:pPr>
        <w:ind w:left="6666" w:hanging="432"/>
      </w:pPr>
      <w:rPr>
        <w:rFonts w:hint="default"/>
      </w:rPr>
    </w:lvl>
    <w:lvl w:ilvl="8" w:tplc="CA5A7A5C">
      <w:numFmt w:val="bullet"/>
      <w:lvlText w:val="•"/>
      <w:lvlJc w:val="left"/>
      <w:pPr>
        <w:ind w:left="7491" w:hanging="432"/>
      </w:pPr>
      <w:rPr>
        <w:rFonts w:hint="default"/>
      </w:rPr>
    </w:lvl>
  </w:abstractNum>
  <w:abstractNum w:abstractNumId="1" w15:restartNumberingAfterBreak="0">
    <w:nsid w:val="0BCF47DD"/>
    <w:multiLevelType w:val="hybridMultilevel"/>
    <w:tmpl w:val="5EF2B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8C1634"/>
    <w:multiLevelType w:val="hybridMultilevel"/>
    <w:tmpl w:val="F272B3EA"/>
    <w:lvl w:ilvl="0" w:tplc="9FA0338E">
      <w:start w:val="1"/>
      <w:numFmt w:val="lowerLetter"/>
      <w:lvlText w:val="%1."/>
      <w:lvlJc w:val="left"/>
      <w:pPr>
        <w:ind w:left="859" w:hanging="432"/>
      </w:pPr>
      <w:rPr>
        <w:rFonts w:ascii="Arial" w:eastAsia="Arial" w:hAnsi="Arial" w:cs="Arial" w:hint="default"/>
        <w:b/>
        <w:bCs/>
        <w:spacing w:val="-3"/>
        <w:w w:val="99"/>
        <w:sz w:val="18"/>
        <w:szCs w:val="18"/>
      </w:rPr>
    </w:lvl>
    <w:lvl w:ilvl="1" w:tplc="21E25CD0">
      <w:numFmt w:val="bullet"/>
      <w:lvlText w:val=""/>
      <w:lvlJc w:val="left"/>
      <w:pPr>
        <w:ind w:left="1291" w:hanging="432"/>
      </w:pPr>
      <w:rPr>
        <w:rFonts w:ascii="Symbol" w:eastAsia="Symbol" w:hAnsi="Symbol" w:cs="Symbol" w:hint="default"/>
        <w:w w:val="100"/>
        <w:sz w:val="18"/>
        <w:szCs w:val="18"/>
      </w:rPr>
    </w:lvl>
    <w:lvl w:ilvl="2" w:tplc="1036488A">
      <w:numFmt w:val="bullet"/>
      <w:lvlText w:val="•"/>
      <w:lvlJc w:val="left"/>
      <w:pPr>
        <w:ind w:left="2171" w:hanging="432"/>
      </w:pPr>
      <w:rPr>
        <w:rFonts w:hint="default"/>
      </w:rPr>
    </w:lvl>
    <w:lvl w:ilvl="3" w:tplc="28BCF728">
      <w:numFmt w:val="bullet"/>
      <w:lvlText w:val="•"/>
      <w:lvlJc w:val="left"/>
      <w:pPr>
        <w:ind w:left="3042" w:hanging="432"/>
      </w:pPr>
      <w:rPr>
        <w:rFonts w:hint="default"/>
      </w:rPr>
    </w:lvl>
    <w:lvl w:ilvl="4" w:tplc="5AA4B788">
      <w:numFmt w:val="bullet"/>
      <w:lvlText w:val="•"/>
      <w:lvlJc w:val="left"/>
      <w:pPr>
        <w:ind w:left="3913" w:hanging="432"/>
      </w:pPr>
      <w:rPr>
        <w:rFonts w:hint="default"/>
      </w:rPr>
    </w:lvl>
    <w:lvl w:ilvl="5" w:tplc="8A182FEC">
      <w:numFmt w:val="bullet"/>
      <w:lvlText w:val="•"/>
      <w:lvlJc w:val="left"/>
      <w:pPr>
        <w:ind w:left="4784" w:hanging="432"/>
      </w:pPr>
      <w:rPr>
        <w:rFonts w:hint="default"/>
      </w:rPr>
    </w:lvl>
    <w:lvl w:ilvl="6" w:tplc="E0FCA1CC">
      <w:numFmt w:val="bullet"/>
      <w:lvlText w:val="•"/>
      <w:lvlJc w:val="left"/>
      <w:pPr>
        <w:ind w:left="5655" w:hanging="432"/>
      </w:pPr>
      <w:rPr>
        <w:rFonts w:hint="default"/>
      </w:rPr>
    </w:lvl>
    <w:lvl w:ilvl="7" w:tplc="BAB44054">
      <w:numFmt w:val="bullet"/>
      <w:lvlText w:val="•"/>
      <w:lvlJc w:val="left"/>
      <w:pPr>
        <w:ind w:left="6526" w:hanging="432"/>
      </w:pPr>
      <w:rPr>
        <w:rFonts w:hint="default"/>
      </w:rPr>
    </w:lvl>
    <w:lvl w:ilvl="8" w:tplc="21066598">
      <w:numFmt w:val="bullet"/>
      <w:lvlText w:val="•"/>
      <w:lvlJc w:val="left"/>
      <w:pPr>
        <w:ind w:left="7397" w:hanging="432"/>
      </w:pPr>
      <w:rPr>
        <w:rFonts w:hint="default"/>
      </w:rPr>
    </w:lvl>
  </w:abstractNum>
  <w:abstractNum w:abstractNumId="3" w15:restartNumberingAfterBreak="0">
    <w:nsid w:val="0EDF383A"/>
    <w:multiLevelType w:val="hybridMultilevel"/>
    <w:tmpl w:val="93F6D912"/>
    <w:lvl w:ilvl="0" w:tplc="31B8B67E">
      <w:start w:val="3"/>
      <w:numFmt w:val="upperRoman"/>
      <w:lvlText w:val="%1."/>
      <w:lvlJc w:val="left"/>
      <w:pPr>
        <w:ind w:left="1759" w:hanging="900"/>
      </w:pPr>
      <w:rPr>
        <w:rFonts w:ascii="Arial" w:eastAsia="Arial" w:hAnsi="Arial" w:cs="Arial" w:hint="default"/>
        <w:i/>
        <w:w w:val="100"/>
        <w:sz w:val="18"/>
        <w:szCs w:val="18"/>
      </w:rPr>
    </w:lvl>
    <w:lvl w:ilvl="1" w:tplc="8F762C70">
      <w:numFmt w:val="bullet"/>
      <w:lvlText w:val="•"/>
      <w:lvlJc w:val="left"/>
      <w:pPr>
        <w:ind w:left="2498" w:hanging="900"/>
      </w:pPr>
      <w:rPr>
        <w:rFonts w:hint="default"/>
      </w:rPr>
    </w:lvl>
    <w:lvl w:ilvl="2" w:tplc="1598B536">
      <w:numFmt w:val="bullet"/>
      <w:lvlText w:val="•"/>
      <w:lvlJc w:val="left"/>
      <w:pPr>
        <w:ind w:left="3236" w:hanging="900"/>
      </w:pPr>
      <w:rPr>
        <w:rFonts w:hint="default"/>
      </w:rPr>
    </w:lvl>
    <w:lvl w:ilvl="3" w:tplc="8826AD1A">
      <w:numFmt w:val="bullet"/>
      <w:lvlText w:val="•"/>
      <w:lvlJc w:val="left"/>
      <w:pPr>
        <w:ind w:left="3974" w:hanging="900"/>
      </w:pPr>
      <w:rPr>
        <w:rFonts w:hint="default"/>
      </w:rPr>
    </w:lvl>
    <w:lvl w:ilvl="4" w:tplc="67522E9E">
      <w:numFmt w:val="bullet"/>
      <w:lvlText w:val="•"/>
      <w:lvlJc w:val="left"/>
      <w:pPr>
        <w:ind w:left="4712" w:hanging="900"/>
      </w:pPr>
      <w:rPr>
        <w:rFonts w:hint="default"/>
      </w:rPr>
    </w:lvl>
    <w:lvl w:ilvl="5" w:tplc="B5A889DA">
      <w:numFmt w:val="bullet"/>
      <w:lvlText w:val="•"/>
      <w:lvlJc w:val="left"/>
      <w:pPr>
        <w:ind w:left="5450" w:hanging="900"/>
      </w:pPr>
      <w:rPr>
        <w:rFonts w:hint="default"/>
      </w:rPr>
    </w:lvl>
    <w:lvl w:ilvl="6" w:tplc="167E3306">
      <w:numFmt w:val="bullet"/>
      <w:lvlText w:val="•"/>
      <w:lvlJc w:val="left"/>
      <w:pPr>
        <w:ind w:left="6188" w:hanging="900"/>
      </w:pPr>
      <w:rPr>
        <w:rFonts w:hint="default"/>
      </w:rPr>
    </w:lvl>
    <w:lvl w:ilvl="7" w:tplc="BB52B2AA">
      <w:numFmt w:val="bullet"/>
      <w:lvlText w:val="•"/>
      <w:lvlJc w:val="left"/>
      <w:pPr>
        <w:ind w:left="6926" w:hanging="900"/>
      </w:pPr>
      <w:rPr>
        <w:rFonts w:hint="default"/>
      </w:rPr>
    </w:lvl>
    <w:lvl w:ilvl="8" w:tplc="BF8C0C18">
      <w:numFmt w:val="bullet"/>
      <w:lvlText w:val="•"/>
      <w:lvlJc w:val="left"/>
      <w:pPr>
        <w:ind w:left="7664" w:hanging="900"/>
      </w:pPr>
      <w:rPr>
        <w:rFonts w:hint="default"/>
      </w:rPr>
    </w:lvl>
  </w:abstractNum>
  <w:abstractNum w:abstractNumId="4" w15:restartNumberingAfterBreak="0">
    <w:nsid w:val="1E3F0863"/>
    <w:multiLevelType w:val="hybridMultilevel"/>
    <w:tmpl w:val="00C6F8C4"/>
    <w:lvl w:ilvl="0" w:tplc="07081660">
      <w:start w:val="1"/>
      <w:numFmt w:val="decimal"/>
      <w:lvlText w:val="%1."/>
      <w:lvlJc w:val="left"/>
      <w:pPr>
        <w:ind w:left="1291" w:hanging="432"/>
        <w:jc w:val="right"/>
      </w:pPr>
      <w:rPr>
        <w:rFonts w:ascii="Arial" w:eastAsia="Arial" w:hAnsi="Arial" w:cs="Arial" w:hint="default"/>
        <w:b/>
        <w:bCs/>
        <w:spacing w:val="-24"/>
        <w:w w:val="99"/>
        <w:sz w:val="18"/>
        <w:szCs w:val="18"/>
      </w:rPr>
    </w:lvl>
    <w:lvl w:ilvl="1" w:tplc="E0FA836C">
      <w:start w:val="1"/>
      <w:numFmt w:val="lowerRoman"/>
      <w:lvlText w:val="%2."/>
      <w:lvlJc w:val="left"/>
      <w:pPr>
        <w:ind w:left="1291" w:hanging="432"/>
      </w:pPr>
      <w:rPr>
        <w:rFonts w:ascii="Arial" w:eastAsia="Arial" w:hAnsi="Arial" w:cs="Arial" w:hint="default"/>
        <w:b/>
        <w:bCs/>
        <w:w w:val="100"/>
        <w:sz w:val="18"/>
        <w:szCs w:val="18"/>
      </w:rPr>
    </w:lvl>
    <w:lvl w:ilvl="2" w:tplc="57F82D6E">
      <w:numFmt w:val="bullet"/>
      <w:lvlText w:val="•"/>
      <w:lvlJc w:val="left"/>
      <w:pPr>
        <w:ind w:left="2868" w:hanging="432"/>
      </w:pPr>
      <w:rPr>
        <w:rFonts w:hint="default"/>
      </w:rPr>
    </w:lvl>
    <w:lvl w:ilvl="3" w:tplc="472E4498">
      <w:numFmt w:val="bullet"/>
      <w:lvlText w:val="•"/>
      <w:lvlJc w:val="left"/>
      <w:pPr>
        <w:ind w:left="3652" w:hanging="432"/>
      </w:pPr>
      <w:rPr>
        <w:rFonts w:hint="default"/>
      </w:rPr>
    </w:lvl>
    <w:lvl w:ilvl="4" w:tplc="0D20EC64">
      <w:numFmt w:val="bullet"/>
      <w:lvlText w:val="•"/>
      <w:lvlJc w:val="left"/>
      <w:pPr>
        <w:ind w:left="4436" w:hanging="432"/>
      </w:pPr>
      <w:rPr>
        <w:rFonts w:hint="default"/>
      </w:rPr>
    </w:lvl>
    <w:lvl w:ilvl="5" w:tplc="540CC3CE">
      <w:numFmt w:val="bullet"/>
      <w:lvlText w:val="•"/>
      <w:lvlJc w:val="left"/>
      <w:pPr>
        <w:ind w:left="5220" w:hanging="432"/>
      </w:pPr>
      <w:rPr>
        <w:rFonts w:hint="default"/>
      </w:rPr>
    </w:lvl>
    <w:lvl w:ilvl="6" w:tplc="35BE24DA">
      <w:numFmt w:val="bullet"/>
      <w:lvlText w:val="•"/>
      <w:lvlJc w:val="left"/>
      <w:pPr>
        <w:ind w:left="6004" w:hanging="432"/>
      </w:pPr>
      <w:rPr>
        <w:rFonts w:hint="default"/>
      </w:rPr>
    </w:lvl>
    <w:lvl w:ilvl="7" w:tplc="3482B7BA">
      <w:numFmt w:val="bullet"/>
      <w:lvlText w:val="•"/>
      <w:lvlJc w:val="left"/>
      <w:pPr>
        <w:ind w:left="6788" w:hanging="432"/>
      </w:pPr>
      <w:rPr>
        <w:rFonts w:hint="default"/>
      </w:rPr>
    </w:lvl>
    <w:lvl w:ilvl="8" w:tplc="FED25A3C">
      <w:numFmt w:val="bullet"/>
      <w:lvlText w:val="•"/>
      <w:lvlJc w:val="left"/>
      <w:pPr>
        <w:ind w:left="7572" w:hanging="432"/>
      </w:pPr>
      <w:rPr>
        <w:rFonts w:hint="default"/>
      </w:rPr>
    </w:lvl>
  </w:abstractNum>
  <w:abstractNum w:abstractNumId="5" w15:restartNumberingAfterBreak="0">
    <w:nsid w:val="388A4F87"/>
    <w:multiLevelType w:val="hybridMultilevel"/>
    <w:tmpl w:val="656EBBCE"/>
    <w:lvl w:ilvl="0" w:tplc="47F03B98">
      <w:start w:val="1"/>
      <w:numFmt w:val="lowerLetter"/>
      <w:lvlText w:val="%1)"/>
      <w:lvlJc w:val="left"/>
      <w:pPr>
        <w:ind w:left="859" w:hanging="432"/>
      </w:pPr>
      <w:rPr>
        <w:rFonts w:ascii="Arial" w:eastAsia="Arial" w:hAnsi="Arial" w:cs="Arial" w:hint="default"/>
        <w:w w:val="99"/>
        <w:sz w:val="18"/>
        <w:szCs w:val="18"/>
      </w:rPr>
    </w:lvl>
    <w:lvl w:ilvl="1" w:tplc="956608CE">
      <w:numFmt w:val="bullet"/>
      <w:lvlText w:val="•"/>
      <w:lvlJc w:val="left"/>
      <w:pPr>
        <w:ind w:left="1688" w:hanging="432"/>
      </w:pPr>
      <w:rPr>
        <w:rFonts w:hint="default"/>
      </w:rPr>
    </w:lvl>
    <w:lvl w:ilvl="2" w:tplc="0E3A1B38">
      <w:numFmt w:val="bullet"/>
      <w:lvlText w:val="•"/>
      <w:lvlJc w:val="left"/>
      <w:pPr>
        <w:ind w:left="2516" w:hanging="432"/>
      </w:pPr>
      <w:rPr>
        <w:rFonts w:hint="default"/>
      </w:rPr>
    </w:lvl>
    <w:lvl w:ilvl="3" w:tplc="812CD370">
      <w:numFmt w:val="bullet"/>
      <w:lvlText w:val="•"/>
      <w:lvlJc w:val="left"/>
      <w:pPr>
        <w:ind w:left="3344" w:hanging="432"/>
      </w:pPr>
      <w:rPr>
        <w:rFonts w:hint="default"/>
      </w:rPr>
    </w:lvl>
    <w:lvl w:ilvl="4" w:tplc="2118EE34">
      <w:numFmt w:val="bullet"/>
      <w:lvlText w:val="•"/>
      <w:lvlJc w:val="left"/>
      <w:pPr>
        <w:ind w:left="4172" w:hanging="432"/>
      </w:pPr>
      <w:rPr>
        <w:rFonts w:hint="default"/>
      </w:rPr>
    </w:lvl>
    <w:lvl w:ilvl="5" w:tplc="C046BF02">
      <w:numFmt w:val="bullet"/>
      <w:lvlText w:val="•"/>
      <w:lvlJc w:val="left"/>
      <w:pPr>
        <w:ind w:left="5000" w:hanging="432"/>
      </w:pPr>
      <w:rPr>
        <w:rFonts w:hint="default"/>
      </w:rPr>
    </w:lvl>
    <w:lvl w:ilvl="6" w:tplc="4BCA18B8">
      <w:numFmt w:val="bullet"/>
      <w:lvlText w:val="•"/>
      <w:lvlJc w:val="left"/>
      <w:pPr>
        <w:ind w:left="5828" w:hanging="432"/>
      </w:pPr>
      <w:rPr>
        <w:rFonts w:hint="default"/>
      </w:rPr>
    </w:lvl>
    <w:lvl w:ilvl="7" w:tplc="C638031C">
      <w:numFmt w:val="bullet"/>
      <w:lvlText w:val="•"/>
      <w:lvlJc w:val="left"/>
      <w:pPr>
        <w:ind w:left="6656" w:hanging="432"/>
      </w:pPr>
      <w:rPr>
        <w:rFonts w:hint="default"/>
      </w:rPr>
    </w:lvl>
    <w:lvl w:ilvl="8" w:tplc="AB9C037C">
      <w:numFmt w:val="bullet"/>
      <w:lvlText w:val="•"/>
      <w:lvlJc w:val="left"/>
      <w:pPr>
        <w:ind w:left="7484" w:hanging="432"/>
      </w:pPr>
      <w:rPr>
        <w:rFonts w:hint="default"/>
      </w:rPr>
    </w:lvl>
  </w:abstractNum>
  <w:abstractNum w:abstractNumId="6" w15:restartNumberingAfterBreak="0">
    <w:nsid w:val="460152FE"/>
    <w:multiLevelType w:val="multilevel"/>
    <w:tmpl w:val="7248BE4C"/>
    <w:lvl w:ilvl="0">
      <w:start w:val="11"/>
      <w:numFmt w:val="decimal"/>
      <w:lvlText w:val="%1"/>
      <w:lvlJc w:val="left"/>
      <w:pPr>
        <w:ind w:left="138" w:hanging="406"/>
      </w:pPr>
      <w:rPr>
        <w:rFonts w:hint="default"/>
      </w:rPr>
    </w:lvl>
    <w:lvl w:ilvl="1">
      <w:start w:val="2"/>
      <w:numFmt w:val="decimal"/>
      <w:lvlText w:val="%1.%2"/>
      <w:lvlJc w:val="left"/>
      <w:pPr>
        <w:ind w:left="138" w:hanging="406"/>
      </w:pPr>
      <w:rPr>
        <w:rFonts w:ascii="Arial" w:eastAsia="Arial" w:hAnsi="Arial" w:cs="Arial" w:hint="default"/>
        <w:w w:val="99"/>
        <w:sz w:val="18"/>
        <w:szCs w:val="18"/>
      </w:rPr>
    </w:lvl>
    <w:lvl w:ilvl="2">
      <w:start w:val="1"/>
      <w:numFmt w:val="decimal"/>
      <w:lvlText w:val="%3."/>
      <w:lvlJc w:val="left"/>
      <w:pPr>
        <w:ind w:left="859" w:hanging="432"/>
      </w:pPr>
      <w:rPr>
        <w:rFonts w:ascii="Arial" w:eastAsia="Arial" w:hAnsi="Arial" w:cs="Arial" w:hint="default"/>
        <w:b/>
        <w:bCs/>
        <w:spacing w:val="-1"/>
        <w:w w:val="99"/>
        <w:sz w:val="18"/>
        <w:szCs w:val="18"/>
      </w:rPr>
    </w:lvl>
    <w:lvl w:ilvl="3">
      <w:start w:val="1"/>
      <w:numFmt w:val="decimal"/>
      <w:lvlText w:val="%3.%4."/>
      <w:lvlJc w:val="left"/>
      <w:pPr>
        <w:ind w:left="1435" w:hanging="576"/>
      </w:pPr>
      <w:rPr>
        <w:rFonts w:ascii="Arial" w:eastAsia="Arial" w:hAnsi="Arial" w:cs="Arial" w:hint="default"/>
        <w:b/>
        <w:bCs/>
        <w:spacing w:val="-18"/>
        <w:w w:val="99"/>
        <w:sz w:val="18"/>
        <w:szCs w:val="18"/>
      </w:rPr>
    </w:lvl>
    <w:lvl w:ilvl="4">
      <w:start w:val="1"/>
      <w:numFmt w:val="decimal"/>
      <w:lvlText w:val="%3.%4.%5."/>
      <w:lvlJc w:val="left"/>
      <w:pPr>
        <w:ind w:left="2155" w:hanging="720"/>
      </w:pPr>
      <w:rPr>
        <w:rFonts w:ascii="Arial" w:eastAsia="Arial" w:hAnsi="Arial" w:cs="Arial" w:hint="default"/>
        <w:b/>
        <w:bCs/>
        <w:spacing w:val="-2"/>
        <w:w w:val="99"/>
        <w:sz w:val="18"/>
        <w:szCs w:val="18"/>
      </w:rPr>
    </w:lvl>
    <w:lvl w:ilvl="5">
      <w:start w:val="1"/>
      <w:numFmt w:val="decimal"/>
      <w:lvlText w:val="%3.%4.%5.%6."/>
      <w:lvlJc w:val="left"/>
      <w:pPr>
        <w:ind w:left="3163" w:hanging="1008"/>
      </w:pPr>
      <w:rPr>
        <w:rFonts w:ascii="Arial" w:eastAsia="Arial" w:hAnsi="Arial" w:cs="Arial" w:hint="default"/>
        <w:b/>
        <w:bCs/>
        <w:spacing w:val="-4"/>
        <w:w w:val="99"/>
        <w:sz w:val="18"/>
        <w:szCs w:val="18"/>
      </w:rPr>
    </w:lvl>
    <w:lvl w:ilvl="6">
      <w:start w:val="1"/>
      <w:numFmt w:val="decimal"/>
      <w:lvlText w:val="%3.%4.%5.%6.%7."/>
      <w:lvlJc w:val="left"/>
      <w:pPr>
        <w:ind w:left="4315" w:hanging="1152"/>
      </w:pPr>
      <w:rPr>
        <w:rFonts w:ascii="Arial" w:eastAsia="Arial" w:hAnsi="Arial" w:cs="Arial" w:hint="default"/>
        <w:b/>
        <w:bCs/>
        <w:spacing w:val="-3"/>
        <w:w w:val="99"/>
        <w:sz w:val="18"/>
        <w:szCs w:val="18"/>
      </w:rPr>
    </w:lvl>
    <w:lvl w:ilvl="7">
      <w:start w:val="1"/>
      <w:numFmt w:val="decimal"/>
      <w:lvlText w:val="%3.%4.%5.%6.%7.%8."/>
      <w:lvlJc w:val="left"/>
      <w:pPr>
        <w:ind w:left="5467" w:hanging="1152"/>
      </w:pPr>
      <w:rPr>
        <w:rFonts w:ascii="Arial" w:eastAsia="Arial" w:hAnsi="Arial" w:cs="Arial" w:hint="default"/>
        <w:b/>
        <w:bCs/>
        <w:spacing w:val="-25"/>
        <w:w w:val="99"/>
        <w:sz w:val="18"/>
        <w:szCs w:val="18"/>
      </w:rPr>
    </w:lvl>
    <w:lvl w:ilvl="8">
      <w:numFmt w:val="bullet"/>
      <w:lvlText w:val="•"/>
      <w:lvlJc w:val="left"/>
      <w:pPr>
        <w:ind w:left="4202" w:hanging="1152"/>
      </w:pPr>
      <w:rPr>
        <w:rFonts w:hint="default"/>
      </w:rPr>
    </w:lvl>
  </w:abstractNum>
  <w:abstractNum w:abstractNumId="7" w15:restartNumberingAfterBreak="0">
    <w:nsid w:val="557E13F5"/>
    <w:multiLevelType w:val="hybridMultilevel"/>
    <w:tmpl w:val="7FEAB3B0"/>
    <w:lvl w:ilvl="0" w:tplc="FCD8830C">
      <w:start w:val="6"/>
      <w:numFmt w:val="upperRoman"/>
      <w:lvlText w:val="%1."/>
      <w:lvlJc w:val="left"/>
      <w:pPr>
        <w:ind w:left="1759" w:hanging="900"/>
      </w:pPr>
      <w:rPr>
        <w:rFonts w:hint="default"/>
        <w:i/>
        <w:w w:val="100"/>
      </w:rPr>
    </w:lvl>
    <w:lvl w:ilvl="1" w:tplc="0440446A">
      <w:numFmt w:val="bullet"/>
      <w:lvlText w:val="•"/>
      <w:lvlJc w:val="left"/>
      <w:pPr>
        <w:ind w:left="2498" w:hanging="900"/>
      </w:pPr>
      <w:rPr>
        <w:rFonts w:hint="default"/>
      </w:rPr>
    </w:lvl>
    <w:lvl w:ilvl="2" w:tplc="EC5C297C">
      <w:numFmt w:val="bullet"/>
      <w:lvlText w:val="•"/>
      <w:lvlJc w:val="left"/>
      <w:pPr>
        <w:ind w:left="3236" w:hanging="900"/>
      </w:pPr>
      <w:rPr>
        <w:rFonts w:hint="default"/>
      </w:rPr>
    </w:lvl>
    <w:lvl w:ilvl="3" w:tplc="FF7869E0">
      <w:numFmt w:val="bullet"/>
      <w:lvlText w:val="•"/>
      <w:lvlJc w:val="left"/>
      <w:pPr>
        <w:ind w:left="3974" w:hanging="900"/>
      </w:pPr>
      <w:rPr>
        <w:rFonts w:hint="default"/>
      </w:rPr>
    </w:lvl>
    <w:lvl w:ilvl="4" w:tplc="4A900BA4">
      <w:numFmt w:val="bullet"/>
      <w:lvlText w:val="•"/>
      <w:lvlJc w:val="left"/>
      <w:pPr>
        <w:ind w:left="4712" w:hanging="900"/>
      </w:pPr>
      <w:rPr>
        <w:rFonts w:hint="default"/>
      </w:rPr>
    </w:lvl>
    <w:lvl w:ilvl="5" w:tplc="06C03804">
      <w:numFmt w:val="bullet"/>
      <w:lvlText w:val="•"/>
      <w:lvlJc w:val="left"/>
      <w:pPr>
        <w:ind w:left="5450" w:hanging="900"/>
      </w:pPr>
      <w:rPr>
        <w:rFonts w:hint="default"/>
      </w:rPr>
    </w:lvl>
    <w:lvl w:ilvl="6" w:tplc="4ECAEE4E">
      <w:numFmt w:val="bullet"/>
      <w:lvlText w:val="•"/>
      <w:lvlJc w:val="left"/>
      <w:pPr>
        <w:ind w:left="6188" w:hanging="900"/>
      </w:pPr>
      <w:rPr>
        <w:rFonts w:hint="default"/>
      </w:rPr>
    </w:lvl>
    <w:lvl w:ilvl="7" w:tplc="AA60BDC4">
      <w:numFmt w:val="bullet"/>
      <w:lvlText w:val="•"/>
      <w:lvlJc w:val="left"/>
      <w:pPr>
        <w:ind w:left="6926" w:hanging="900"/>
      </w:pPr>
      <w:rPr>
        <w:rFonts w:hint="default"/>
      </w:rPr>
    </w:lvl>
    <w:lvl w:ilvl="8" w:tplc="B9EE5862">
      <w:numFmt w:val="bullet"/>
      <w:lvlText w:val="•"/>
      <w:lvlJc w:val="left"/>
      <w:pPr>
        <w:ind w:left="7664" w:hanging="900"/>
      </w:pPr>
      <w:rPr>
        <w:rFonts w:hint="default"/>
      </w:rPr>
    </w:lvl>
  </w:abstractNum>
  <w:abstractNum w:abstractNumId="8" w15:restartNumberingAfterBreak="0">
    <w:nsid w:val="61F40ED7"/>
    <w:multiLevelType w:val="hybridMultilevel"/>
    <w:tmpl w:val="E13440FC"/>
    <w:lvl w:ilvl="0" w:tplc="080A0001">
      <w:start w:val="1"/>
      <w:numFmt w:val="bullet"/>
      <w:lvlText w:val=""/>
      <w:lvlJc w:val="left"/>
      <w:pPr>
        <w:ind w:left="305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A64920"/>
    <w:multiLevelType w:val="hybridMultilevel"/>
    <w:tmpl w:val="85B022FE"/>
    <w:lvl w:ilvl="0" w:tplc="261A1E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CF4770"/>
    <w:multiLevelType w:val="hybridMultilevel"/>
    <w:tmpl w:val="7592BD9C"/>
    <w:lvl w:ilvl="0" w:tplc="080A0013">
      <w:start w:val="1"/>
      <w:numFmt w:val="upperRoman"/>
      <w:lvlText w:val="%1."/>
      <w:lvlJc w:val="right"/>
      <w:pPr>
        <w:ind w:left="859" w:hanging="432"/>
      </w:pPr>
      <w:rPr>
        <w:rFonts w:hint="default"/>
        <w:b/>
        <w:bCs/>
        <w:spacing w:val="-3"/>
        <w:w w:val="99"/>
        <w:sz w:val="18"/>
        <w:szCs w:val="18"/>
      </w:rPr>
    </w:lvl>
    <w:lvl w:ilvl="1" w:tplc="CD4C96E8">
      <w:start w:val="1"/>
      <w:numFmt w:val="lowerLetter"/>
      <w:lvlText w:val="%2."/>
      <w:lvlJc w:val="left"/>
      <w:pPr>
        <w:ind w:left="1147" w:hanging="432"/>
      </w:pPr>
      <w:rPr>
        <w:rFonts w:ascii="Arial" w:eastAsia="Arial" w:hAnsi="Arial" w:cs="Arial" w:hint="default"/>
        <w:b/>
        <w:bCs/>
        <w:spacing w:val="-25"/>
        <w:w w:val="99"/>
        <w:sz w:val="18"/>
        <w:szCs w:val="18"/>
      </w:rPr>
    </w:lvl>
    <w:lvl w:ilvl="2" w:tplc="B85069C0">
      <w:numFmt w:val="bullet"/>
      <w:lvlText w:val="•"/>
      <w:lvlJc w:val="left"/>
      <w:pPr>
        <w:ind w:left="2028" w:hanging="432"/>
      </w:pPr>
      <w:rPr>
        <w:rFonts w:hint="default"/>
      </w:rPr>
    </w:lvl>
    <w:lvl w:ilvl="3" w:tplc="40B83A7A">
      <w:numFmt w:val="bullet"/>
      <w:lvlText w:val="•"/>
      <w:lvlJc w:val="left"/>
      <w:pPr>
        <w:ind w:left="2917" w:hanging="432"/>
      </w:pPr>
      <w:rPr>
        <w:rFonts w:hint="default"/>
      </w:rPr>
    </w:lvl>
    <w:lvl w:ilvl="4" w:tplc="C3562C5A">
      <w:numFmt w:val="bullet"/>
      <w:lvlText w:val="•"/>
      <w:lvlJc w:val="left"/>
      <w:pPr>
        <w:ind w:left="3806" w:hanging="432"/>
      </w:pPr>
      <w:rPr>
        <w:rFonts w:hint="default"/>
      </w:rPr>
    </w:lvl>
    <w:lvl w:ilvl="5" w:tplc="BE400E70">
      <w:numFmt w:val="bullet"/>
      <w:lvlText w:val="•"/>
      <w:lvlJc w:val="left"/>
      <w:pPr>
        <w:ind w:left="4695" w:hanging="432"/>
      </w:pPr>
      <w:rPr>
        <w:rFonts w:hint="default"/>
      </w:rPr>
    </w:lvl>
    <w:lvl w:ilvl="6" w:tplc="291C9FFA">
      <w:numFmt w:val="bullet"/>
      <w:lvlText w:val="•"/>
      <w:lvlJc w:val="left"/>
      <w:pPr>
        <w:ind w:left="5584" w:hanging="432"/>
      </w:pPr>
      <w:rPr>
        <w:rFonts w:hint="default"/>
      </w:rPr>
    </w:lvl>
    <w:lvl w:ilvl="7" w:tplc="CB1804C4">
      <w:numFmt w:val="bullet"/>
      <w:lvlText w:val="•"/>
      <w:lvlJc w:val="left"/>
      <w:pPr>
        <w:ind w:left="6473" w:hanging="432"/>
      </w:pPr>
      <w:rPr>
        <w:rFonts w:hint="default"/>
      </w:rPr>
    </w:lvl>
    <w:lvl w:ilvl="8" w:tplc="0ED09160">
      <w:numFmt w:val="bullet"/>
      <w:lvlText w:val="•"/>
      <w:lvlJc w:val="left"/>
      <w:pPr>
        <w:ind w:left="7362" w:hanging="432"/>
      </w:pPr>
      <w:rPr>
        <w:rFonts w:hint="default"/>
      </w:rPr>
    </w:lvl>
  </w:abstractNum>
  <w:num w:numId="1">
    <w:abstractNumId w:val="10"/>
  </w:num>
  <w:num w:numId="2">
    <w:abstractNumId w:val="6"/>
  </w:num>
  <w:num w:numId="3">
    <w:abstractNumId w:val="5"/>
  </w:num>
  <w:num w:numId="4">
    <w:abstractNumId w:val="2"/>
  </w:num>
  <w:num w:numId="5">
    <w:abstractNumId w:val="0"/>
  </w:num>
  <w:num w:numId="6">
    <w:abstractNumId w:val="7"/>
  </w:num>
  <w:num w:numId="7">
    <w:abstractNumId w:val="3"/>
  </w:num>
  <w:num w:numId="8">
    <w:abstractNumId w:val="4"/>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19"/>
    <w:rsid w:val="00001397"/>
    <w:rsid w:val="00005DA0"/>
    <w:rsid w:val="000066DE"/>
    <w:rsid w:val="00006CD3"/>
    <w:rsid w:val="0001702D"/>
    <w:rsid w:val="00031E21"/>
    <w:rsid w:val="0004356F"/>
    <w:rsid w:val="00044A15"/>
    <w:rsid w:val="000620EA"/>
    <w:rsid w:val="0006367A"/>
    <w:rsid w:val="00064838"/>
    <w:rsid w:val="000679CD"/>
    <w:rsid w:val="00070AB3"/>
    <w:rsid w:val="00077005"/>
    <w:rsid w:val="00084316"/>
    <w:rsid w:val="00084700"/>
    <w:rsid w:val="00092BCC"/>
    <w:rsid w:val="00094D2D"/>
    <w:rsid w:val="000972FA"/>
    <w:rsid w:val="000A4892"/>
    <w:rsid w:val="000A59C6"/>
    <w:rsid w:val="000A6773"/>
    <w:rsid w:val="000B1B11"/>
    <w:rsid w:val="000B6917"/>
    <w:rsid w:val="000C00A0"/>
    <w:rsid w:val="000C3777"/>
    <w:rsid w:val="000C53B4"/>
    <w:rsid w:val="000E2CB7"/>
    <w:rsid w:val="000E5451"/>
    <w:rsid w:val="000E7DDE"/>
    <w:rsid w:val="000F2772"/>
    <w:rsid w:val="000F4989"/>
    <w:rsid w:val="0010006E"/>
    <w:rsid w:val="00127A08"/>
    <w:rsid w:val="00146C1F"/>
    <w:rsid w:val="00151D21"/>
    <w:rsid w:val="00153A3A"/>
    <w:rsid w:val="0015426E"/>
    <w:rsid w:val="00164E5B"/>
    <w:rsid w:val="00166A3B"/>
    <w:rsid w:val="001720DA"/>
    <w:rsid w:val="00172DBF"/>
    <w:rsid w:val="001737B7"/>
    <w:rsid w:val="00177F46"/>
    <w:rsid w:val="0019342D"/>
    <w:rsid w:val="001A24E4"/>
    <w:rsid w:val="001A38F0"/>
    <w:rsid w:val="001A45EA"/>
    <w:rsid w:val="001B09CD"/>
    <w:rsid w:val="001B3C03"/>
    <w:rsid w:val="001B3DD5"/>
    <w:rsid w:val="001B56A0"/>
    <w:rsid w:val="001C3315"/>
    <w:rsid w:val="001D3E66"/>
    <w:rsid w:val="001D5D78"/>
    <w:rsid w:val="001D6ED7"/>
    <w:rsid w:val="001E0959"/>
    <w:rsid w:val="001E4094"/>
    <w:rsid w:val="001E7B17"/>
    <w:rsid w:val="001F23CB"/>
    <w:rsid w:val="0020525D"/>
    <w:rsid w:val="00205E17"/>
    <w:rsid w:val="002064CA"/>
    <w:rsid w:val="00206A4C"/>
    <w:rsid w:val="0020711D"/>
    <w:rsid w:val="002159A5"/>
    <w:rsid w:val="00221829"/>
    <w:rsid w:val="0022365C"/>
    <w:rsid w:val="00250565"/>
    <w:rsid w:val="002534BB"/>
    <w:rsid w:val="00255942"/>
    <w:rsid w:val="00265811"/>
    <w:rsid w:val="00266C09"/>
    <w:rsid w:val="0027375F"/>
    <w:rsid w:val="00276525"/>
    <w:rsid w:val="00276919"/>
    <w:rsid w:val="002775B5"/>
    <w:rsid w:val="002916D2"/>
    <w:rsid w:val="002A1F05"/>
    <w:rsid w:val="002B2BB3"/>
    <w:rsid w:val="002B3018"/>
    <w:rsid w:val="002C1ECD"/>
    <w:rsid w:val="002C3A13"/>
    <w:rsid w:val="002C49DB"/>
    <w:rsid w:val="002C5AFC"/>
    <w:rsid w:val="002D45E9"/>
    <w:rsid w:val="002D4821"/>
    <w:rsid w:val="002D53AD"/>
    <w:rsid w:val="002D6786"/>
    <w:rsid w:val="002E0D4A"/>
    <w:rsid w:val="002E0F7A"/>
    <w:rsid w:val="002E7619"/>
    <w:rsid w:val="002E79E9"/>
    <w:rsid w:val="002F35B7"/>
    <w:rsid w:val="003041F6"/>
    <w:rsid w:val="0030461D"/>
    <w:rsid w:val="00314642"/>
    <w:rsid w:val="00330C31"/>
    <w:rsid w:val="00337CFC"/>
    <w:rsid w:val="00344F87"/>
    <w:rsid w:val="003503E1"/>
    <w:rsid w:val="00351D56"/>
    <w:rsid w:val="00353CE3"/>
    <w:rsid w:val="00354FCF"/>
    <w:rsid w:val="00355900"/>
    <w:rsid w:val="003569B8"/>
    <w:rsid w:val="00357EB8"/>
    <w:rsid w:val="00381BA9"/>
    <w:rsid w:val="00383C2F"/>
    <w:rsid w:val="00393445"/>
    <w:rsid w:val="0039654D"/>
    <w:rsid w:val="003A1CB9"/>
    <w:rsid w:val="003A26D2"/>
    <w:rsid w:val="003A7B6D"/>
    <w:rsid w:val="003B0326"/>
    <w:rsid w:val="003B33B2"/>
    <w:rsid w:val="003C1657"/>
    <w:rsid w:val="003C33D2"/>
    <w:rsid w:val="003C722B"/>
    <w:rsid w:val="003C79FE"/>
    <w:rsid w:val="003E1931"/>
    <w:rsid w:val="003E5ADB"/>
    <w:rsid w:val="003F5732"/>
    <w:rsid w:val="003F69DC"/>
    <w:rsid w:val="00402C77"/>
    <w:rsid w:val="00404536"/>
    <w:rsid w:val="004109AB"/>
    <w:rsid w:val="0041570F"/>
    <w:rsid w:val="004228C1"/>
    <w:rsid w:val="004328A5"/>
    <w:rsid w:val="00432940"/>
    <w:rsid w:val="00436234"/>
    <w:rsid w:val="004406CA"/>
    <w:rsid w:val="00441BCD"/>
    <w:rsid w:val="0044277B"/>
    <w:rsid w:val="004471CF"/>
    <w:rsid w:val="00450512"/>
    <w:rsid w:val="00465B56"/>
    <w:rsid w:val="00467C23"/>
    <w:rsid w:val="00477D19"/>
    <w:rsid w:val="004834EC"/>
    <w:rsid w:val="00484310"/>
    <w:rsid w:val="00492BF0"/>
    <w:rsid w:val="00494573"/>
    <w:rsid w:val="004B7671"/>
    <w:rsid w:val="004C0AB3"/>
    <w:rsid w:val="004C10C8"/>
    <w:rsid w:val="004C44E3"/>
    <w:rsid w:val="004C640F"/>
    <w:rsid w:val="004C7DEF"/>
    <w:rsid w:val="004D1BB3"/>
    <w:rsid w:val="004D28A0"/>
    <w:rsid w:val="004D3D48"/>
    <w:rsid w:val="004D7233"/>
    <w:rsid w:val="004D7DD5"/>
    <w:rsid w:val="004E278F"/>
    <w:rsid w:val="004E2EBE"/>
    <w:rsid w:val="004E5E99"/>
    <w:rsid w:val="004F0D1B"/>
    <w:rsid w:val="004F3E10"/>
    <w:rsid w:val="00504049"/>
    <w:rsid w:val="00506BFE"/>
    <w:rsid w:val="00511E0E"/>
    <w:rsid w:val="00521DEC"/>
    <w:rsid w:val="00522B4E"/>
    <w:rsid w:val="00530F66"/>
    <w:rsid w:val="0053178E"/>
    <w:rsid w:val="00532198"/>
    <w:rsid w:val="005355CB"/>
    <w:rsid w:val="00541640"/>
    <w:rsid w:val="00543F93"/>
    <w:rsid w:val="0055261E"/>
    <w:rsid w:val="00552620"/>
    <w:rsid w:val="00552ABA"/>
    <w:rsid w:val="0055324A"/>
    <w:rsid w:val="0055376A"/>
    <w:rsid w:val="00564846"/>
    <w:rsid w:val="0056713E"/>
    <w:rsid w:val="005676FE"/>
    <w:rsid w:val="00572DDE"/>
    <w:rsid w:val="00582FE8"/>
    <w:rsid w:val="005955CE"/>
    <w:rsid w:val="005A3C8C"/>
    <w:rsid w:val="005A60C9"/>
    <w:rsid w:val="005B08FE"/>
    <w:rsid w:val="005B2334"/>
    <w:rsid w:val="005B53C5"/>
    <w:rsid w:val="005D2ADA"/>
    <w:rsid w:val="005D725D"/>
    <w:rsid w:val="005E52AB"/>
    <w:rsid w:val="005F4D13"/>
    <w:rsid w:val="006014FB"/>
    <w:rsid w:val="006062AB"/>
    <w:rsid w:val="00615356"/>
    <w:rsid w:val="006165F5"/>
    <w:rsid w:val="00623225"/>
    <w:rsid w:val="006258E9"/>
    <w:rsid w:val="00635137"/>
    <w:rsid w:val="0063633D"/>
    <w:rsid w:val="00645671"/>
    <w:rsid w:val="006611DD"/>
    <w:rsid w:val="0066156F"/>
    <w:rsid w:val="006617B4"/>
    <w:rsid w:val="00670A25"/>
    <w:rsid w:val="00671C78"/>
    <w:rsid w:val="00676794"/>
    <w:rsid w:val="00680183"/>
    <w:rsid w:val="006851E1"/>
    <w:rsid w:val="006862D0"/>
    <w:rsid w:val="0069241F"/>
    <w:rsid w:val="00692750"/>
    <w:rsid w:val="00697CED"/>
    <w:rsid w:val="006A3273"/>
    <w:rsid w:val="006A3ABB"/>
    <w:rsid w:val="006A5F72"/>
    <w:rsid w:val="006B1178"/>
    <w:rsid w:val="006C3265"/>
    <w:rsid w:val="006C5204"/>
    <w:rsid w:val="006C7A79"/>
    <w:rsid w:val="006D3C65"/>
    <w:rsid w:val="006D5395"/>
    <w:rsid w:val="006D6657"/>
    <w:rsid w:val="006E1C01"/>
    <w:rsid w:val="006E36D6"/>
    <w:rsid w:val="006E3E70"/>
    <w:rsid w:val="006E69EE"/>
    <w:rsid w:val="006F75F4"/>
    <w:rsid w:val="006F7C5B"/>
    <w:rsid w:val="00707B36"/>
    <w:rsid w:val="00713351"/>
    <w:rsid w:val="00714A39"/>
    <w:rsid w:val="007233E5"/>
    <w:rsid w:val="0073735A"/>
    <w:rsid w:val="00742C7D"/>
    <w:rsid w:val="007546D6"/>
    <w:rsid w:val="0075473A"/>
    <w:rsid w:val="00761375"/>
    <w:rsid w:val="00773781"/>
    <w:rsid w:val="0077544D"/>
    <w:rsid w:val="007A0FD6"/>
    <w:rsid w:val="007A1396"/>
    <w:rsid w:val="007A3BE8"/>
    <w:rsid w:val="007A53B8"/>
    <w:rsid w:val="007A56AB"/>
    <w:rsid w:val="007A5989"/>
    <w:rsid w:val="007A7007"/>
    <w:rsid w:val="007B140D"/>
    <w:rsid w:val="007C0459"/>
    <w:rsid w:val="007C58EC"/>
    <w:rsid w:val="007C58F5"/>
    <w:rsid w:val="007D2480"/>
    <w:rsid w:val="007D3B82"/>
    <w:rsid w:val="007D6766"/>
    <w:rsid w:val="007D6BE3"/>
    <w:rsid w:val="007E11CA"/>
    <w:rsid w:val="007E15A6"/>
    <w:rsid w:val="007F46BA"/>
    <w:rsid w:val="007F7C96"/>
    <w:rsid w:val="0080004A"/>
    <w:rsid w:val="00804BE8"/>
    <w:rsid w:val="00807014"/>
    <w:rsid w:val="008134F2"/>
    <w:rsid w:val="00815166"/>
    <w:rsid w:val="00826DA3"/>
    <w:rsid w:val="00827217"/>
    <w:rsid w:val="00832003"/>
    <w:rsid w:val="00836AEB"/>
    <w:rsid w:val="00837774"/>
    <w:rsid w:val="00843E04"/>
    <w:rsid w:val="0084482A"/>
    <w:rsid w:val="008630DB"/>
    <w:rsid w:val="00863B81"/>
    <w:rsid w:val="00873106"/>
    <w:rsid w:val="00875103"/>
    <w:rsid w:val="00876373"/>
    <w:rsid w:val="00890190"/>
    <w:rsid w:val="0089060E"/>
    <w:rsid w:val="008A5A91"/>
    <w:rsid w:val="008C3401"/>
    <w:rsid w:val="008C34B2"/>
    <w:rsid w:val="008C5390"/>
    <w:rsid w:val="008D6052"/>
    <w:rsid w:val="008D77BC"/>
    <w:rsid w:val="008F0F2E"/>
    <w:rsid w:val="008F5968"/>
    <w:rsid w:val="00900A49"/>
    <w:rsid w:val="0091300C"/>
    <w:rsid w:val="00914D84"/>
    <w:rsid w:val="00926C4F"/>
    <w:rsid w:val="009301B0"/>
    <w:rsid w:val="009366C5"/>
    <w:rsid w:val="00937929"/>
    <w:rsid w:val="009524AE"/>
    <w:rsid w:val="009602FB"/>
    <w:rsid w:val="00984CA8"/>
    <w:rsid w:val="00985BFD"/>
    <w:rsid w:val="009A0852"/>
    <w:rsid w:val="009A3635"/>
    <w:rsid w:val="009A42C7"/>
    <w:rsid w:val="009A7E0E"/>
    <w:rsid w:val="009B271C"/>
    <w:rsid w:val="009B3261"/>
    <w:rsid w:val="009B3F90"/>
    <w:rsid w:val="009C39FD"/>
    <w:rsid w:val="009D0F0B"/>
    <w:rsid w:val="009D1A86"/>
    <w:rsid w:val="009E29F5"/>
    <w:rsid w:val="009F6E94"/>
    <w:rsid w:val="00A1375A"/>
    <w:rsid w:val="00A16930"/>
    <w:rsid w:val="00A214C4"/>
    <w:rsid w:val="00A32250"/>
    <w:rsid w:val="00A34C9E"/>
    <w:rsid w:val="00A549E8"/>
    <w:rsid w:val="00A55E65"/>
    <w:rsid w:val="00A56AE4"/>
    <w:rsid w:val="00A6080D"/>
    <w:rsid w:val="00A60D86"/>
    <w:rsid w:val="00A625B4"/>
    <w:rsid w:val="00A80870"/>
    <w:rsid w:val="00A8395E"/>
    <w:rsid w:val="00A83ED2"/>
    <w:rsid w:val="00A84D3C"/>
    <w:rsid w:val="00A95B0A"/>
    <w:rsid w:val="00AA1A27"/>
    <w:rsid w:val="00AB0B16"/>
    <w:rsid w:val="00AB242C"/>
    <w:rsid w:val="00AB30B7"/>
    <w:rsid w:val="00AB76CB"/>
    <w:rsid w:val="00AB7794"/>
    <w:rsid w:val="00AC5D25"/>
    <w:rsid w:val="00AD25D0"/>
    <w:rsid w:val="00AD3D36"/>
    <w:rsid w:val="00AE0975"/>
    <w:rsid w:val="00AF1C00"/>
    <w:rsid w:val="00AF3215"/>
    <w:rsid w:val="00AF3413"/>
    <w:rsid w:val="00AF4118"/>
    <w:rsid w:val="00AF58A2"/>
    <w:rsid w:val="00AF6012"/>
    <w:rsid w:val="00AF7B2B"/>
    <w:rsid w:val="00B00B8F"/>
    <w:rsid w:val="00B022DF"/>
    <w:rsid w:val="00B030A2"/>
    <w:rsid w:val="00B036BE"/>
    <w:rsid w:val="00B130D6"/>
    <w:rsid w:val="00B1515E"/>
    <w:rsid w:val="00B16F51"/>
    <w:rsid w:val="00B23700"/>
    <w:rsid w:val="00B37E61"/>
    <w:rsid w:val="00B51A1F"/>
    <w:rsid w:val="00B5540C"/>
    <w:rsid w:val="00B55EFE"/>
    <w:rsid w:val="00B6738D"/>
    <w:rsid w:val="00B72098"/>
    <w:rsid w:val="00B73C9A"/>
    <w:rsid w:val="00B759BC"/>
    <w:rsid w:val="00B77F62"/>
    <w:rsid w:val="00B822D2"/>
    <w:rsid w:val="00B841D8"/>
    <w:rsid w:val="00B86DCE"/>
    <w:rsid w:val="00B935A4"/>
    <w:rsid w:val="00BA12B7"/>
    <w:rsid w:val="00BA2B12"/>
    <w:rsid w:val="00BA4873"/>
    <w:rsid w:val="00BB5964"/>
    <w:rsid w:val="00BB7037"/>
    <w:rsid w:val="00BC5576"/>
    <w:rsid w:val="00BC7FEA"/>
    <w:rsid w:val="00BD04AD"/>
    <w:rsid w:val="00BE2BAD"/>
    <w:rsid w:val="00BF488E"/>
    <w:rsid w:val="00BF672D"/>
    <w:rsid w:val="00C03E74"/>
    <w:rsid w:val="00C20B57"/>
    <w:rsid w:val="00C2368B"/>
    <w:rsid w:val="00C3083A"/>
    <w:rsid w:val="00C310F8"/>
    <w:rsid w:val="00C33DF9"/>
    <w:rsid w:val="00C4462F"/>
    <w:rsid w:val="00C47470"/>
    <w:rsid w:val="00C47D28"/>
    <w:rsid w:val="00C51A6E"/>
    <w:rsid w:val="00C53C9B"/>
    <w:rsid w:val="00C74550"/>
    <w:rsid w:val="00C76F6A"/>
    <w:rsid w:val="00C81966"/>
    <w:rsid w:val="00C87980"/>
    <w:rsid w:val="00C904BB"/>
    <w:rsid w:val="00C93742"/>
    <w:rsid w:val="00C948AF"/>
    <w:rsid w:val="00C950E8"/>
    <w:rsid w:val="00C963FC"/>
    <w:rsid w:val="00C96CF2"/>
    <w:rsid w:val="00CA26ED"/>
    <w:rsid w:val="00CA54E5"/>
    <w:rsid w:val="00CB69C2"/>
    <w:rsid w:val="00CC2A2C"/>
    <w:rsid w:val="00CC4610"/>
    <w:rsid w:val="00CE2587"/>
    <w:rsid w:val="00CE514C"/>
    <w:rsid w:val="00CE7463"/>
    <w:rsid w:val="00CF4285"/>
    <w:rsid w:val="00CF50EA"/>
    <w:rsid w:val="00CF7639"/>
    <w:rsid w:val="00D051EC"/>
    <w:rsid w:val="00D11070"/>
    <w:rsid w:val="00D1773F"/>
    <w:rsid w:val="00D339E3"/>
    <w:rsid w:val="00D3520A"/>
    <w:rsid w:val="00D44F57"/>
    <w:rsid w:val="00D45AE8"/>
    <w:rsid w:val="00D46CAA"/>
    <w:rsid w:val="00D509E4"/>
    <w:rsid w:val="00D51774"/>
    <w:rsid w:val="00D559BC"/>
    <w:rsid w:val="00D57609"/>
    <w:rsid w:val="00D65129"/>
    <w:rsid w:val="00D744C9"/>
    <w:rsid w:val="00D76A6D"/>
    <w:rsid w:val="00D8283E"/>
    <w:rsid w:val="00D8512B"/>
    <w:rsid w:val="00D87B4C"/>
    <w:rsid w:val="00D90B1B"/>
    <w:rsid w:val="00D93F89"/>
    <w:rsid w:val="00DA25CE"/>
    <w:rsid w:val="00DB614C"/>
    <w:rsid w:val="00DC638A"/>
    <w:rsid w:val="00DE7B96"/>
    <w:rsid w:val="00DF0C94"/>
    <w:rsid w:val="00DF4B18"/>
    <w:rsid w:val="00DF4CB8"/>
    <w:rsid w:val="00E044C2"/>
    <w:rsid w:val="00E0456B"/>
    <w:rsid w:val="00E0679E"/>
    <w:rsid w:val="00E14554"/>
    <w:rsid w:val="00E15948"/>
    <w:rsid w:val="00E1678D"/>
    <w:rsid w:val="00E47AE5"/>
    <w:rsid w:val="00E63057"/>
    <w:rsid w:val="00E74395"/>
    <w:rsid w:val="00E7741E"/>
    <w:rsid w:val="00E77EDE"/>
    <w:rsid w:val="00E85373"/>
    <w:rsid w:val="00E85B44"/>
    <w:rsid w:val="00E8627E"/>
    <w:rsid w:val="00EA4F33"/>
    <w:rsid w:val="00EC6185"/>
    <w:rsid w:val="00EC61C3"/>
    <w:rsid w:val="00ED480B"/>
    <w:rsid w:val="00ED5885"/>
    <w:rsid w:val="00EE1C71"/>
    <w:rsid w:val="00EE4904"/>
    <w:rsid w:val="00EF0272"/>
    <w:rsid w:val="00EF2FE8"/>
    <w:rsid w:val="00F01213"/>
    <w:rsid w:val="00F01B26"/>
    <w:rsid w:val="00F03102"/>
    <w:rsid w:val="00F03CAA"/>
    <w:rsid w:val="00F13EEF"/>
    <w:rsid w:val="00F14614"/>
    <w:rsid w:val="00F147FE"/>
    <w:rsid w:val="00F208EF"/>
    <w:rsid w:val="00F23BF8"/>
    <w:rsid w:val="00F308E2"/>
    <w:rsid w:val="00F32D7D"/>
    <w:rsid w:val="00F3618A"/>
    <w:rsid w:val="00F36529"/>
    <w:rsid w:val="00F4798A"/>
    <w:rsid w:val="00F47AD6"/>
    <w:rsid w:val="00F508B3"/>
    <w:rsid w:val="00F810EB"/>
    <w:rsid w:val="00F82DBC"/>
    <w:rsid w:val="00F83B16"/>
    <w:rsid w:val="00F9252A"/>
    <w:rsid w:val="00F94724"/>
    <w:rsid w:val="00FA0F5E"/>
    <w:rsid w:val="00FB5792"/>
    <w:rsid w:val="00FC3E3A"/>
    <w:rsid w:val="00FD1C8E"/>
    <w:rsid w:val="00FD1D99"/>
    <w:rsid w:val="00FD6C7F"/>
    <w:rsid w:val="00FE05BD"/>
    <w:rsid w:val="00FE1B33"/>
    <w:rsid w:val="00FE3377"/>
    <w:rsid w:val="00FE7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8046B6F-33CA-4668-919B-98E9A358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477D19"/>
    <w:pPr>
      <w:spacing w:after="120"/>
    </w:pPr>
  </w:style>
  <w:style w:type="character" w:customStyle="1" w:styleId="TextoindependienteCar">
    <w:name w:val="Texto independiente Car"/>
    <w:basedOn w:val="Fuentedeprrafopredeter"/>
    <w:link w:val="Textoindependiente"/>
    <w:uiPriority w:val="99"/>
    <w:semiHidden/>
    <w:rsid w:val="00477D19"/>
  </w:style>
  <w:style w:type="paragraph" w:styleId="Piedepgina">
    <w:name w:val="footer"/>
    <w:basedOn w:val="Normal"/>
    <w:link w:val="PiedepginaCar"/>
    <w:uiPriority w:val="99"/>
    <w:unhideWhenUsed/>
    <w:rsid w:val="003F5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732"/>
  </w:style>
  <w:style w:type="paragraph" w:styleId="Encabezado">
    <w:name w:val="header"/>
    <w:basedOn w:val="Normal"/>
    <w:link w:val="EncabezadoCar"/>
    <w:uiPriority w:val="99"/>
    <w:unhideWhenUsed/>
    <w:rsid w:val="003F57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732"/>
  </w:style>
  <w:style w:type="paragraph" w:styleId="Textodeglobo">
    <w:name w:val="Balloon Text"/>
    <w:basedOn w:val="Normal"/>
    <w:link w:val="TextodegloboCar"/>
    <w:uiPriority w:val="99"/>
    <w:semiHidden/>
    <w:unhideWhenUsed/>
    <w:rsid w:val="00BA48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873"/>
    <w:rPr>
      <w:rFonts w:ascii="Segoe UI" w:hAnsi="Segoe UI" w:cs="Segoe UI"/>
      <w:sz w:val="18"/>
      <w:szCs w:val="18"/>
    </w:rPr>
  </w:style>
  <w:style w:type="character" w:styleId="Refdecomentario">
    <w:name w:val="annotation reference"/>
    <w:basedOn w:val="Fuentedeprrafopredeter"/>
    <w:uiPriority w:val="99"/>
    <w:semiHidden/>
    <w:unhideWhenUsed/>
    <w:rsid w:val="00AF3413"/>
    <w:rPr>
      <w:sz w:val="16"/>
      <w:szCs w:val="16"/>
    </w:rPr>
  </w:style>
  <w:style w:type="paragraph" w:styleId="Textocomentario">
    <w:name w:val="annotation text"/>
    <w:basedOn w:val="Normal"/>
    <w:link w:val="TextocomentarioCar"/>
    <w:uiPriority w:val="99"/>
    <w:semiHidden/>
    <w:unhideWhenUsed/>
    <w:rsid w:val="00AF34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413"/>
    <w:rPr>
      <w:sz w:val="20"/>
      <w:szCs w:val="20"/>
    </w:rPr>
  </w:style>
  <w:style w:type="paragraph" w:styleId="Asuntodelcomentario">
    <w:name w:val="annotation subject"/>
    <w:basedOn w:val="Textocomentario"/>
    <w:next w:val="Textocomentario"/>
    <w:link w:val="AsuntodelcomentarioCar"/>
    <w:uiPriority w:val="99"/>
    <w:semiHidden/>
    <w:unhideWhenUsed/>
    <w:rsid w:val="00AF3413"/>
    <w:rPr>
      <w:b/>
      <w:bCs/>
    </w:rPr>
  </w:style>
  <w:style w:type="character" w:customStyle="1" w:styleId="AsuntodelcomentarioCar">
    <w:name w:val="Asunto del comentario Car"/>
    <w:basedOn w:val="TextocomentarioCar"/>
    <w:link w:val="Asuntodelcomentario"/>
    <w:uiPriority w:val="99"/>
    <w:semiHidden/>
    <w:rsid w:val="00AF3413"/>
    <w:rPr>
      <w:b/>
      <w:bCs/>
      <w:sz w:val="20"/>
      <w:szCs w:val="20"/>
    </w:rPr>
  </w:style>
  <w:style w:type="paragraph" w:styleId="Prrafodelista">
    <w:name w:val="List Paragraph"/>
    <w:basedOn w:val="Normal"/>
    <w:uiPriority w:val="34"/>
    <w:qFormat/>
    <w:rsid w:val="0020525D"/>
    <w:pPr>
      <w:ind w:left="720"/>
      <w:contextualSpacing/>
    </w:pPr>
  </w:style>
  <w:style w:type="table" w:customStyle="1" w:styleId="TableNormal">
    <w:name w:val="Table Normal"/>
    <w:uiPriority w:val="2"/>
    <w:semiHidden/>
    <w:unhideWhenUsed/>
    <w:qFormat/>
    <w:rsid w:val="00D177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exto">
    <w:name w:val="Texto"/>
    <w:basedOn w:val="Normal"/>
    <w:link w:val="TextoCar"/>
    <w:rsid w:val="00221829"/>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221829"/>
    <w:rPr>
      <w:rFonts w:ascii="Arial" w:eastAsia="Times New Roman" w:hAnsi="Arial" w:cs="Arial"/>
      <w:sz w:val="18"/>
      <w:szCs w:val="18"/>
      <w:lang w:val="es-ES" w:eastAsia="es-ES"/>
    </w:rPr>
  </w:style>
  <w:style w:type="paragraph" w:styleId="Textonotapie">
    <w:name w:val="footnote text"/>
    <w:basedOn w:val="Normal"/>
    <w:link w:val="TextonotapieCar"/>
    <w:uiPriority w:val="99"/>
    <w:semiHidden/>
    <w:unhideWhenUsed/>
    <w:rsid w:val="00AC5D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5D25"/>
    <w:rPr>
      <w:sz w:val="20"/>
      <w:szCs w:val="20"/>
    </w:rPr>
  </w:style>
  <w:style w:type="character" w:styleId="Refdenotaalpie">
    <w:name w:val="footnote reference"/>
    <w:basedOn w:val="Fuentedeprrafopredeter"/>
    <w:uiPriority w:val="99"/>
    <w:semiHidden/>
    <w:unhideWhenUsed/>
    <w:rsid w:val="00AC5D25"/>
    <w:rPr>
      <w:vertAlign w:val="superscript"/>
    </w:rPr>
  </w:style>
  <w:style w:type="character" w:styleId="Hipervnculo">
    <w:name w:val="Hyperlink"/>
    <w:basedOn w:val="Fuentedeprrafopredeter"/>
    <w:uiPriority w:val="99"/>
    <w:semiHidden/>
    <w:unhideWhenUsed/>
    <w:rsid w:val="00AC5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601143">
      <w:bodyDiv w:val="1"/>
      <w:marLeft w:val="0"/>
      <w:marRight w:val="0"/>
      <w:marTop w:val="0"/>
      <w:marBottom w:val="0"/>
      <w:divBdr>
        <w:top w:val="none" w:sz="0" w:space="0" w:color="auto"/>
        <w:left w:val="none" w:sz="0" w:space="0" w:color="auto"/>
        <w:bottom w:val="none" w:sz="0" w:space="0" w:color="auto"/>
        <w:right w:val="none" w:sz="0" w:space="0" w:color="auto"/>
      </w:divBdr>
    </w:div>
    <w:div w:id="1783498001">
      <w:bodyDiv w:val="1"/>
      <w:marLeft w:val="0"/>
      <w:marRight w:val="0"/>
      <w:marTop w:val="0"/>
      <w:marBottom w:val="0"/>
      <w:divBdr>
        <w:top w:val="none" w:sz="0" w:space="0" w:color="auto"/>
        <w:left w:val="none" w:sz="0" w:space="0" w:color="auto"/>
        <w:bottom w:val="none" w:sz="0" w:space="0" w:color="auto"/>
        <w:right w:val="none" w:sz="0" w:space="0" w:color="auto"/>
      </w:divBdr>
      <w:divsChild>
        <w:div w:id="44453720">
          <w:marLeft w:val="0"/>
          <w:marRight w:val="0"/>
          <w:marTop w:val="0"/>
          <w:marBottom w:val="80"/>
          <w:divBdr>
            <w:top w:val="none" w:sz="0" w:space="0" w:color="auto"/>
            <w:left w:val="none" w:sz="0" w:space="0" w:color="auto"/>
            <w:bottom w:val="none" w:sz="0" w:space="0" w:color="auto"/>
            <w:right w:val="none" w:sz="0" w:space="0" w:color="auto"/>
          </w:divBdr>
        </w:div>
        <w:div w:id="353773029">
          <w:marLeft w:val="0"/>
          <w:marRight w:val="0"/>
          <w:marTop w:val="0"/>
          <w:marBottom w:val="80"/>
          <w:divBdr>
            <w:top w:val="none" w:sz="0" w:space="0" w:color="auto"/>
            <w:left w:val="none" w:sz="0" w:space="0" w:color="auto"/>
            <w:bottom w:val="none" w:sz="0" w:space="0" w:color="auto"/>
            <w:right w:val="none" w:sz="0" w:space="0" w:color="auto"/>
          </w:divBdr>
        </w:div>
        <w:div w:id="371082171">
          <w:marLeft w:val="0"/>
          <w:marRight w:val="0"/>
          <w:marTop w:val="0"/>
          <w:marBottom w:val="80"/>
          <w:divBdr>
            <w:top w:val="none" w:sz="0" w:space="0" w:color="auto"/>
            <w:left w:val="none" w:sz="0" w:space="0" w:color="auto"/>
            <w:bottom w:val="none" w:sz="0" w:space="0" w:color="auto"/>
            <w:right w:val="none" w:sz="0" w:space="0" w:color="auto"/>
          </w:divBdr>
        </w:div>
        <w:div w:id="1349596867">
          <w:marLeft w:val="0"/>
          <w:marRight w:val="0"/>
          <w:marTop w:val="0"/>
          <w:marBottom w:val="80"/>
          <w:divBdr>
            <w:top w:val="none" w:sz="0" w:space="0" w:color="auto"/>
            <w:left w:val="none" w:sz="0" w:space="0" w:color="auto"/>
            <w:bottom w:val="none" w:sz="0" w:space="0" w:color="auto"/>
            <w:right w:val="none" w:sz="0" w:space="0" w:color="auto"/>
          </w:divBdr>
        </w:div>
        <w:div w:id="171377437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A08C-90F2-46A7-A807-D81839D8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4164</Words>
  <Characters>22904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Cicero Arenas</dc:creator>
  <cp:keywords/>
  <dc:description/>
  <cp:lastModifiedBy>Thalia Silva Barron</cp:lastModifiedBy>
  <cp:revision>5</cp:revision>
  <cp:lastPrinted>2019-07-03T02:06:00Z</cp:lastPrinted>
  <dcterms:created xsi:type="dcterms:W3CDTF">2019-07-10T19:53:00Z</dcterms:created>
  <dcterms:modified xsi:type="dcterms:W3CDTF">2019-07-10T22:22:00Z</dcterms:modified>
</cp:coreProperties>
</file>