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E845" w14:textId="1F3796D5" w:rsidR="006E777D" w:rsidRPr="00D61615" w:rsidRDefault="00D74366" w:rsidP="00E31A26">
      <w:pPr>
        <w:spacing w:after="0" w:line="240" w:lineRule="auto"/>
        <w:jc w:val="both"/>
        <w:rPr>
          <w:rFonts w:ascii="ITC Avant Garde" w:hAnsi="ITC Avant Garde"/>
          <w:b/>
        </w:rPr>
      </w:pPr>
      <w:r w:rsidRPr="00D61615">
        <w:rPr>
          <w:rFonts w:ascii="ITC Avant Garde" w:hAnsi="ITC Avant Garde"/>
          <w:b/>
        </w:rPr>
        <w:t xml:space="preserve">Informe </w:t>
      </w:r>
      <w:r w:rsidR="006037F8">
        <w:rPr>
          <w:rFonts w:ascii="ITC Avant Garde" w:hAnsi="ITC Avant Garde"/>
          <w:b/>
        </w:rPr>
        <w:t>de la Autoridad Investigadora con un</w:t>
      </w:r>
      <w:r w:rsidR="00D95D66">
        <w:rPr>
          <w:rFonts w:ascii="ITC Avant Garde" w:hAnsi="ITC Avant Garde"/>
          <w:b/>
        </w:rPr>
        <w:t xml:space="preserve"> resumen de los </w:t>
      </w:r>
      <w:r w:rsidRPr="00D61615">
        <w:rPr>
          <w:rFonts w:ascii="ITC Avant Garde" w:hAnsi="ITC Avant Garde"/>
          <w:b/>
        </w:rPr>
        <w:t>comentarios recibidos durante la consulta pública del “</w:t>
      </w:r>
      <w:r w:rsidRPr="00D61615">
        <w:rPr>
          <w:rFonts w:ascii="ITC Avant Garde" w:hAnsi="ITC Avant Garde"/>
          <w:b/>
          <w:i/>
        </w:rPr>
        <w:t xml:space="preserve">Anteproyecto de modificaciones a </w:t>
      </w:r>
      <w:r w:rsidR="005D30BD">
        <w:rPr>
          <w:rFonts w:ascii="ITC Avant Garde" w:hAnsi="ITC Avant Garde"/>
          <w:b/>
          <w:i/>
        </w:rPr>
        <w:t>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D61615" w:rsidRPr="00D61615">
        <w:rPr>
          <w:rFonts w:ascii="ITC Avant Garde" w:hAnsi="ITC Avant Garde"/>
          <w:b/>
        </w:rPr>
        <w:t>”</w:t>
      </w:r>
      <w:r w:rsidR="006037F8" w:rsidRPr="006037F8">
        <w:rPr>
          <w:rFonts w:ascii="ITC Avant Garde" w:hAnsi="ITC Avant Garde"/>
          <w:b/>
        </w:rPr>
        <w:t xml:space="preserve"> </w:t>
      </w:r>
      <w:r w:rsidR="006037F8">
        <w:rPr>
          <w:rFonts w:ascii="ITC Avant Garde" w:hAnsi="ITC Avant Garde"/>
          <w:b/>
        </w:rPr>
        <w:t>(Anteproyecto</w:t>
      </w:r>
      <w:r w:rsidR="0027435E">
        <w:rPr>
          <w:rFonts w:ascii="ITC Avant Garde" w:hAnsi="ITC Avant Garde"/>
          <w:b/>
        </w:rPr>
        <w:t xml:space="preserve"> de modificaciones a los Lineamientos</w:t>
      </w:r>
      <w:r w:rsidR="006037F8">
        <w:rPr>
          <w:rFonts w:ascii="ITC Avant Garde" w:hAnsi="ITC Avant Garde"/>
          <w:b/>
        </w:rPr>
        <w:t>)</w:t>
      </w:r>
      <w:r w:rsidR="00100857">
        <w:rPr>
          <w:rFonts w:ascii="ITC Avant Garde" w:hAnsi="ITC Avant Garde"/>
          <w:b/>
        </w:rPr>
        <w:t>,</w:t>
      </w:r>
      <w:r w:rsidR="00D95D66">
        <w:rPr>
          <w:rFonts w:ascii="ITC Avant Garde" w:hAnsi="ITC Avant Garde"/>
          <w:b/>
        </w:rPr>
        <w:t xml:space="preserve"> </w:t>
      </w:r>
      <w:r w:rsidR="006037F8">
        <w:rPr>
          <w:rFonts w:ascii="ITC Avant Garde" w:hAnsi="ITC Avant Garde"/>
          <w:b/>
        </w:rPr>
        <w:t xml:space="preserve">y </w:t>
      </w:r>
      <w:r w:rsidR="00100857">
        <w:rPr>
          <w:rFonts w:ascii="ITC Avant Garde" w:hAnsi="ITC Avant Garde"/>
          <w:b/>
        </w:rPr>
        <w:t xml:space="preserve">sus </w:t>
      </w:r>
      <w:r w:rsidR="00D95D66">
        <w:rPr>
          <w:rFonts w:ascii="ITC Avant Garde" w:hAnsi="ITC Avant Garde"/>
          <w:b/>
        </w:rPr>
        <w:t>consideraciones a los mismos</w:t>
      </w:r>
      <w:r w:rsidR="00100857">
        <w:rPr>
          <w:rFonts w:ascii="ITC Avant Garde" w:hAnsi="ITC Avant Garde"/>
          <w:b/>
        </w:rPr>
        <w:t>.</w:t>
      </w:r>
    </w:p>
    <w:p w14:paraId="72C398AC" w14:textId="77777777" w:rsidR="005D30BD" w:rsidRPr="00B4253F" w:rsidRDefault="005D30BD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54C4F71E" w14:textId="77777777" w:rsidR="00D74366" w:rsidRPr="005A186A" w:rsidRDefault="00D74366" w:rsidP="005A186A">
      <w:pPr>
        <w:pStyle w:val="Ttulo1"/>
      </w:pPr>
      <w:r w:rsidRPr="005A186A">
        <w:t>Presentación</w:t>
      </w:r>
    </w:p>
    <w:p w14:paraId="234924D3" w14:textId="77777777" w:rsidR="000B1A09" w:rsidRPr="00D61615" w:rsidRDefault="000B1A09" w:rsidP="00E31A26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48166DD8" w14:textId="0C7E0427" w:rsidR="00085DDA" w:rsidRDefault="006037F8" w:rsidP="00E31A2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</w:t>
      </w:r>
      <w:r w:rsidR="00F6400E" w:rsidRPr="00B4253F">
        <w:rPr>
          <w:rFonts w:ascii="ITC Avant Garde" w:hAnsi="ITC Avant Garde"/>
        </w:rPr>
        <w:t>a Auto</w:t>
      </w:r>
      <w:r w:rsidR="00F6400E">
        <w:rPr>
          <w:rFonts w:ascii="ITC Avant Garde" w:hAnsi="ITC Avant Garde"/>
        </w:rPr>
        <w:t xml:space="preserve">ridad Investigadora </w:t>
      </w:r>
      <w:r w:rsidR="009E74E1">
        <w:rPr>
          <w:rFonts w:ascii="ITC Avant Garde" w:hAnsi="ITC Avant Garde"/>
        </w:rPr>
        <w:t xml:space="preserve">del Instituto Federal de Telecomunicaciones </w:t>
      </w:r>
      <w:r w:rsidR="00AB03B7">
        <w:rPr>
          <w:rFonts w:ascii="ITC Avant Garde" w:hAnsi="ITC Avant Garde"/>
        </w:rPr>
        <w:t xml:space="preserve">(Instituto) </w:t>
      </w:r>
      <w:r w:rsidR="00F6400E">
        <w:rPr>
          <w:rFonts w:ascii="ITC Avant Garde" w:hAnsi="ITC Avant Garde"/>
        </w:rPr>
        <w:t xml:space="preserve">presenta </w:t>
      </w:r>
      <w:r w:rsidR="00F6400E" w:rsidRPr="00B4253F">
        <w:rPr>
          <w:rFonts w:ascii="ITC Avant Garde" w:hAnsi="ITC Avant Garde"/>
        </w:rPr>
        <w:t>un resumen de los comentarios recibidos</w:t>
      </w:r>
      <w:r w:rsidR="00F6400E">
        <w:rPr>
          <w:rFonts w:ascii="ITC Avant Garde" w:hAnsi="ITC Avant Garde"/>
        </w:rPr>
        <w:t xml:space="preserve"> durante la consulta pública del </w:t>
      </w:r>
      <w:r w:rsidR="00085DDA">
        <w:rPr>
          <w:rFonts w:ascii="ITC Avant Garde" w:hAnsi="ITC Avant Garde"/>
        </w:rPr>
        <w:t>Anteproyecto</w:t>
      </w:r>
      <w:r w:rsidR="005A6A69">
        <w:rPr>
          <w:rFonts w:ascii="ITC Avant Garde" w:hAnsi="ITC Avant Garde"/>
        </w:rPr>
        <w:t xml:space="preserve"> de modificaciones a los Lineamientos</w:t>
      </w:r>
      <w:r w:rsidR="001C5B11">
        <w:rPr>
          <w:rFonts w:ascii="ITC Avant Garde" w:hAnsi="ITC Avant Garde"/>
        </w:rPr>
        <w:t xml:space="preserve">, así como </w:t>
      </w:r>
      <w:r>
        <w:rPr>
          <w:rFonts w:ascii="ITC Avant Garde" w:hAnsi="ITC Avant Garde"/>
        </w:rPr>
        <w:t>sus</w:t>
      </w:r>
      <w:r w:rsidR="001C32F2">
        <w:rPr>
          <w:rFonts w:ascii="ITC Avant Garde" w:hAnsi="ITC Avant Garde"/>
        </w:rPr>
        <w:t xml:space="preserve"> </w:t>
      </w:r>
      <w:r w:rsidR="001C5B11">
        <w:rPr>
          <w:rFonts w:ascii="ITC Avant Garde" w:hAnsi="ITC Avant Garde"/>
        </w:rPr>
        <w:t>consideraciones a los mismos</w:t>
      </w:r>
      <w:r w:rsidR="00085DDA">
        <w:rPr>
          <w:rFonts w:ascii="ITC Avant Garde" w:hAnsi="ITC Avant Garde"/>
        </w:rPr>
        <w:t>.</w:t>
      </w:r>
    </w:p>
    <w:p w14:paraId="1F80E458" w14:textId="77777777" w:rsidR="00085DDA" w:rsidRDefault="00085DDA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2EC4B486" w14:textId="3FE6B398" w:rsidR="00F6400E" w:rsidRDefault="00085DDA" w:rsidP="00E31A2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presente informe se emite en el ámbito de</w:t>
      </w:r>
      <w:r w:rsidR="00D14469">
        <w:rPr>
          <w:rFonts w:ascii="ITC Avant Garde" w:hAnsi="ITC Avant Garde"/>
        </w:rPr>
        <w:t xml:space="preserve"> competencia</w:t>
      </w:r>
      <w:r>
        <w:rPr>
          <w:rFonts w:ascii="ITC Avant Garde" w:hAnsi="ITC Avant Garde"/>
        </w:rPr>
        <w:t xml:space="preserve"> de la Autoridad Investigadora</w:t>
      </w:r>
      <w:r w:rsidR="00F6400E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con fundamento en los artículos </w:t>
      </w:r>
      <w:r w:rsidR="00F6400E" w:rsidRPr="00B4253F">
        <w:rPr>
          <w:rFonts w:ascii="ITC Avant Garde" w:hAnsi="ITC Avant Garde"/>
        </w:rPr>
        <w:t>138</w:t>
      </w:r>
      <w:r w:rsidR="00F6400E">
        <w:rPr>
          <w:rFonts w:ascii="ITC Avant Garde" w:hAnsi="ITC Avant Garde"/>
        </w:rPr>
        <w:t>, fracción II,</w:t>
      </w:r>
      <w:r w:rsidR="00F6400E" w:rsidRPr="00B4253F">
        <w:rPr>
          <w:rFonts w:ascii="ITC Avant Garde" w:hAnsi="ITC Avant Garde"/>
        </w:rPr>
        <w:t xml:space="preserve"> de la Ley Federal de C</w:t>
      </w:r>
      <w:r w:rsidR="00F6400E">
        <w:rPr>
          <w:rFonts w:ascii="ITC Avant Garde" w:hAnsi="ITC Avant Garde"/>
        </w:rPr>
        <w:t>ompetencia Económica</w:t>
      </w:r>
      <w:r w:rsidR="0086562B">
        <w:rPr>
          <w:rFonts w:ascii="ITC Avant Garde" w:hAnsi="ITC Avant Garde"/>
        </w:rPr>
        <w:t xml:space="preserve"> (LFCE)</w:t>
      </w:r>
      <w:r w:rsidR="00E15FA3">
        <w:rPr>
          <w:rFonts w:ascii="ITC Avant Garde" w:hAnsi="ITC Avant Garde"/>
        </w:rPr>
        <w:t xml:space="preserve">, </w:t>
      </w:r>
      <w:r w:rsidR="008D14B2">
        <w:rPr>
          <w:rFonts w:ascii="ITC Avant Garde" w:hAnsi="ITC Avant Garde"/>
        </w:rPr>
        <w:t>así como</w:t>
      </w:r>
      <w:r w:rsidR="00D14469">
        <w:rPr>
          <w:rFonts w:ascii="ITC Avant Garde" w:hAnsi="ITC Avant Garde"/>
        </w:rPr>
        <w:t xml:space="preserve"> 4, fracción VI</w:t>
      </w:r>
      <w:r w:rsidR="00E15FA3">
        <w:rPr>
          <w:rFonts w:ascii="ITC Avant Garde" w:hAnsi="ITC Avant Garde"/>
        </w:rPr>
        <w:t>,</w:t>
      </w:r>
      <w:r w:rsidR="008D14B2">
        <w:rPr>
          <w:rFonts w:ascii="ITC Avant Garde" w:hAnsi="ITC Avant Garde"/>
        </w:rPr>
        <w:t xml:space="preserve"> y 62, fracción</w:t>
      </w:r>
      <w:r w:rsidR="00832FE3">
        <w:rPr>
          <w:rFonts w:ascii="ITC Avant Garde" w:hAnsi="ITC Avant Garde"/>
        </w:rPr>
        <w:t xml:space="preserve"> IV,</w:t>
      </w:r>
      <w:r w:rsidR="00D14469">
        <w:rPr>
          <w:rFonts w:ascii="ITC Avant Garde" w:hAnsi="ITC Avant Garde"/>
        </w:rPr>
        <w:t xml:space="preserve"> del Estatuto Orgánico del Instituto Federal de Telecomunicaciones</w:t>
      </w:r>
      <w:r w:rsidR="00F6400E">
        <w:rPr>
          <w:rFonts w:ascii="ITC Avant Garde" w:hAnsi="ITC Avant Garde"/>
        </w:rPr>
        <w:t>.</w:t>
      </w:r>
    </w:p>
    <w:p w14:paraId="4B4E4721" w14:textId="77777777" w:rsidR="002C690E" w:rsidRDefault="002C690E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150B9DA6" w14:textId="77777777" w:rsidR="00F6400E" w:rsidRPr="0093149F" w:rsidRDefault="00F6400E" w:rsidP="005A186A">
      <w:pPr>
        <w:pStyle w:val="Ttulo1"/>
      </w:pPr>
      <w:r w:rsidRPr="0093149F">
        <w:t>Antecedentes</w:t>
      </w:r>
    </w:p>
    <w:p w14:paraId="79ABA8EA" w14:textId="77777777" w:rsidR="00F6400E" w:rsidRPr="00B4253F" w:rsidRDefault="00F6400E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497C2161" w14:textId="309CEEE7" w:rsidR="00A37246" w:rsidRDefault="00AB03B7" w:rsidP="00E31A2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M</w:t>
      </w:r>
      <w:r w:rsidR="002C690E" w:rsidRPr="00B4253F">
        <w:rPr>
          <w:rFonts w:ascii="ITC Avant Garde" w:hAnsi="ITC Avant Garde"/>
        </w:rPr>
        <w:t xml:space="preserve">ediante Acuerdo P/IFT/080519/247, </w:t>
      </w:r>
      <w:r w:rsidR="00E0487F">
        <w:rPr>
          <w:rFonts w:ascii="ITC Avant Garde" w:hAnsi="ITC Avant Garde"/>
        </w:rPr>
        <w:t xml:space="preserve">tomado </w:t>
      </w:r>
      <w:r w:rsidR="005A6A69">
        <w:rPr>
          <w:rFonts w:ascii="ITC Avant Garde" w:hAnsi="ITC Avant Garde"/>
        </w:rPr>
        <w:t>en su XII sesión ordinaria</w:t>
      </w:r>
      <w:r w:rsidR="00E0487F">
        <w:rPr>
          <w:rFonts w:ascii="ITC Avant Garde" w:hAnsi="ITC Avant Garde"/>
        </w:rPr>
        <w:t xml:space="preserve"> celebrada el</w:t>
      </w:r>
      <w:r w:rsidR="00E0487F" w:rsidDel="004C059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8 de mayo de 2019, </w:t>
      </w:r>
      <w:r w:rsidR="002C690E" w:rsidRPr="00B4253F">
        <w:rPr>
          <w:rFonts w:ascii="ITC Avant Garde" w:hAnsi="ITC Avant Garde"/>
        </w:rPr>
        <w:t xml:space="preserve">el Pleno del Instituto </w:t>
      </w:r>
      <w:r w:rsidR="00100857">
        <w:rPr>
          <w:rFonts w:ascii="ITC Avant Garde" w:hAnsi="ITC Avant Garde"/>
        </w:rPr>
        <w:t>acordó</w:t>
      </w:r>
      <w:r w:rsidR="00100857" w:rsidRPr="00B4253F">
        <w:rPr>
          <w:rFonts w:ascii="ITC Avant Garde" w:hAnsi="ITC Avant Garde"/>
        </w:rPr>
        <w:t xml:space="preserve"> </w:t>
      </w:r>
      <w:r w:rsidR="002C690E" w:rsidRPr="00B4253F">
        <w:rPr>
          <w:rFonts w:ascii="ITC Avant Garde" w:hAnsi="ITC Avant Garde"/>
        </w:rPr>
        <w:t>someter el Anteproyecto</w:t>
      </w:r>
      <w:r w:rsidR="005A6A69">
        <w:rPr>
          <w:rFonts w:ascii="ITC Avant Garde" w:hAnsi="ITC Avant Garde"/>
        </w:rPr>
        <w:t xml:space="preserve"> de modificaciones a los Lineamientos</w:t>
      </w:r>
      <w:r w:rsidR="00E0487F">
        <w:rPr>
          <w:rFonts w:ascii="ITC Avant Garde" w:hAnsi="ITC Avant Garde"/>
        </w:rPr>
        <w:t xml:space="preserve"> </w:t>
      </w:r>
      <w:r w:rsidR="00E0487F" w:rsidRPr="00B4253F">
        <w:rPr>
          <w:rFonts w:ascii="ITC Avant Garde" w:hAnsi="ITC Avant Garde"/>
        </w:rPr>
        <w:t xml:space="preserve">a consulta pública </w:t>
      </w:r>
      <w:r w:rsidR="002C690E" w:rsidRPr="00B4253F">
        <w:rPr>
          <w:rFonts w:ascii="ITC Avant Garde" w:hAnsi="ITC Avant Garde"/>
        </w:rPr>
        <w:t>por un periodo de 30 días hábiles</w:t>
      </w:r>
      <w:r w:rsidR="00E0487F">
        <w:rPr>
          <w:rFonts w:ascii="ITC Avant Garde" w:hAnsi="ITC Avant Garde"/>
        </w:rPr>
        <w:t>, y</w:t>
      </w:r>
      <w:r w:rsidR="0076726D">
        <w:rPr>
          <w:rFonts w:ascii="ITC Avant Garde" w:hAnsi="ITC Avant Garde"/>
        </w:rPr>
        <w:t xml:space="preserve"> determinó que la Autoridad Investigadora</w:t>
      </w:r>
      <w:r w:rsidR="00DC19F9">
        <w:rPr>
          <w:rFonts w:ascii="ITC Avant Garde" w:hAnsi="ITC Avant Garde"/>
        </w:rPr>
        <w:t xml:space="preserve"> </w:t>
      </w:r>
      <w:r w:rsidR="0076726D">
        <w:rPr>
          <w:rFonts w:ascii="ITC Avant Garde" w:hAnsi="ITC Avant Garde"/>
        </w:rPr>
        <w:t>ejecutaría y procesaría la consu</w:t>
      </w:r>
      <w:r w:rsidR="00FA1ACC">
        <w:rPr>
          <w:rFonts w:ascii="ITC Avant Garde" w:hAnsi="ITC Avant Garde"/>
        </w:rPr>
        <w:t>lta pública</w:t>
      </w:r>
      <w:r w:rsidR="0076726D">
        <w:rPr>
          <w:rFonts w:ascii="ITC Avant Garde" w:hAnsi="ITC Avant Garde"/>
        </w:rPr>
        <w:t>.</w:t>
      </w:r>
    </w:p>
    <w:p w14:paraId="3A195031" w14:textId="77777777" w:rsidR="00A37246" w:rsidRDefault="00A37246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78264C5A" w14:textId="41A86EDA" w:rsidR="00655DEE" w:rsidRDefault="00A37246" w:rsidP="006E61FC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La consulta pública </w:t>
      </w:r>
      <w:r w:rsidR="00653112">
        <w:rPr>
          <w:rFonts w:ascii="ITC Avant Garde" w:hAnsi="ITC Avant Garde"/>
        </w:rPr>
        <w:t xml:space="preserve">del Anteproyecto </w:t>
      </w:r>
      <w:r w:rsidR="005A6A69">
        <w:rPr>
          <w:rFonts w:ascii="ITC Avant Garde" w:hAnsi="ITC Avant Garde"/>
        </w:rPr>
        <w:t xml:space="preserve">de modificaciones a los Lineamientos </w:t>
      </w:r>
      <w:r w:rsidR="00DA579D">
        <w:rPr>
          <w:rFonts w:ascii="ITC Avant Garde" w:hAnsi="ITC Avant Garde"/>
        </w:rPr>
        <w:t>se llevó a cabo</w:t>
      </w:r>
      <w:r w:rsidR="002A74BA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del </w:t>
      </w:r>
      <w:r w:rsidR="00655DEE" w:rsidRPr="00B4253F">
        <w:rPr>
          <w:rFonts w:ascii="ITC Avant Garde" w:hAnsi="ITC Avant Garde"/>
        </w:rPr>
        <w:t xml:space="preserve">23 de mayo </w:t>
      </w:r>
      <w:r w:rsidR="002A74BA">
        <w:rPr>
          <w:rFonts w:ascii="ITC Avant Garde" w:hAnsi="ITC Avant Garde"/>
        </w:rPr>
        <w:t>de 2019 al 3 de julio del 2</w:t>
      </w:r>
      <w:r w:rsidR="00DA579D">
        <w:rPr>
          <w:rFonts w:ascii="ITC Avant Garde" w:hAnsi="ITC Avant Garde"/>
        </w:rPr>
        <w:t>019. Du</w:t>
      </w:r>
      <w:r w:rsidR="00655DEE" w:rsidRPr="00B4253F">
        <w:rPr>
          <w:rFonts w:ascii="ITC Avant Garde" w:hAnsi="ITC Avant Garde"/>
        </w:rPr>
        <w:t xml:space="preserve">rante </w:t>
      </w:r>
      <w:r w:rsidR="00E0487F">
        <w:rPr>
          <w:rFonts w:ascii="ITC Avant Garde" w:hAnsi="ITC Avant Garde"/>
        </w:rPr>
        <w:t>ese</w:t>
      </w:r>
      <w:r w:rsidR="00653112">
        <w:rPr>
          <w:rFonts w:ascii="ITC Avant Garde" w:hAnsi="ITC Avant Garde"/>
        </w:rPr>
        <w:t xml:space="preserve"> </w:t>
      </w:r>
      <w:r w:rsidR="00DA579D">
        <w:rPr>
          <w:rFonts w:ascii="ITC Avant Garde" w:hAnsi="ITC Avant Garde"/>
        </w:rPr>
        <w:t xml:space="preserve">periodo </w:t>
      </w:r>
      <w:r w:rsidR="002A74BA">
        <w:rPr>
          <w:rFonts w:ascii="ITC Avant Garde" w:hAnsi="ITC Avant Garde"/>
        </w:rPr>
        <w:t xml:space="preserve">se </w:t>
      </w:r>
      <w:r w:rsidR="00655DEE" w:rsidRPr="00B4253F">
        <w:rPr>
          <w:rFonts w:ascii="ITC Avant Garde" w:hAnsi="ITC Avant Garde"/>
        </w:rPr>
        <w:t>recibi</w:t>
      </w:r>
      <w:r w:rsidR="00404CBD">
        <w:rPr>
          <w:rFonts w:ascii="ITC Avant Garde" w:hAnsi="ITC Avant Garde"/>
        </w:rPr>
        <w:t>eron</w:t>
      </w:r>
      <w:r w:rsidR="00655DEE" w:rsidRPr="00B4253F">
        <w:rPr>
          <w:rFonts w:ascii="ITC Avant Garde" w:hAnsi="ITC Avant Garde"/>
        </w:rPr>
        <w:t xml:space="preserve"> </w:t>
      </w:r>
      <w:r w:rsidR="00404CBD">
        <w:rPr>
          <w:rFonts w:ascii="ITC Avant Garde" w:hAnsi="ITC Avant Garde"/>
        </w:rPr>
        <w:t>2</w:t>
      </w:r>
      <w:r w:rsidR="00655DEE" w:rsidRPr="00B4253F">
        <w:rPr>
          <w:rFonts w:ascii="ITC Avant Garde" w:hAnsi="ITC Avant Garde"/>
        </w:rPr>
        <w:t xml:space="preserve"> escrito</w:t>
      </w:r>
      <w:r w:rsidR="00404CBD">
        <w:rPr>
          <w:rFonts w:ascii="ITC Avant Garde" w:hAnsi="ITC Avant Garde"/>
        </w:rPr>
        <w:t>s</w:t>
      </w:r>
      <w:r w:rsidR="00655DEE" w:rsidRPr="00B4253F">
        <w:rPr>
          <w:rFonts w:ascii="ITC Avant Garde" w:hAnsi="ITC Avant Garde"/>
        </w:rPr>
        <w:t xml:space="preserve"> con comentarios</w:t>
      </w:r>
      <w:r w:rsidR="00882AD6">
        <w:rPr>
          <w:rFonts w:ascii="ITC Avant Garde" w:hAnsi="ITC Avant Garde"/>
        </w:rPr>
        <w:t>, opiniones y aportaciones</w:t>
      </w:r>
      <w:r w:rsidR="00655DEE" w:rsidRPr="00B4253F">
        <w:rPr>
          <w:rFonts w:ascii="ITC Avant Garde" w:hAnsi="ITC Avant Garde"/>
        </w:rPr>
        <w:t xml:space="preserve"> al </w:t>
      </w:r>
      <w:r w:rsidR="005A6A69">
        <w:rPr>
          <w:rFonts w:ascii="ITC Avant Garde" w:hAnsi="ITC Avant Garde"/>
        </w:rPr>
        <w:t>a</w:t>
      </w:r>
      <w:r w:rsidR="00655DEE" w:rsidRPr="00B4253F">
        <w:rPr>
          <w:rFonts w:ascii="ITC Avant Garde" w:hAnsi="ITC Avant Garde"/>
        </w:rPr>
        <w:t>nteproy</w:t>
      </w:r>
      <w:r w:rsidR="00B103A5">
        <w:rPr>
          <w:rFonts w:ascii="ITC Avant Garde" w:hAnsi="ITC Avant Garde"/>
        </w:rPr>
        <w:t xml:space="preserve">ecto. </w:t>
      </w:r>
    </w:p>
    <w:p w14:paraId="75B18406" w14:textId="7CB721FF" w:rsidR="00634835" w:rsidRDefault="00634835" w:rsidP="006E61FC">
      <w:pPr>
        <w:spacing w:after="0" w:line="240" w:lineRule="auto"/>
        <w:jc w:val="both"/>
        <w:rPr>
          <w:rFonts w:ascii="ITC Avant Garde" w:hAnsi="ITC Avant Garde"/>
        </w:rPr>
      </w:pPr>
    </w:p>
    <w:p w14:paraId="604E1D16" w14:textId="77777777" w:rsidR="00634835" w:rsidRDefault="00634835" w:rsidP="006E61FC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 w:rsidRPr="00D365F9">
        <w:rPr>
          <w:rFonts w:ascii="ITC Avant Garde" w:hAnsi="ITC Avant Garde"/>
          <w:b/>
          <w:smallCaps/>
        </w:rPr>
        <w:t>Fecha de elaboración</w:t>
      </w:r>
    </w:p>
    <w:p w14:paraId="2FBEC96F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45426524" w14:textId="77777777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Del 4 de julio al 7 de agosto de 2019.</w:t>
      </w:r>
    </w:p>
    <w:p w14:paraId="1F2EEA4D" w14:textId="77777777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</w:p>
    <w:p w14:paraId="65DF45BE" w14:textId="77777777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  <w:r w:rsidRPr="00D365F9">
        <w:rPr>
          <w:rFonts w:ascii="ITC Avant Garde" w:hAnsi="ITC Avant Garde"/>
          <w:b/>
          <w:smallCaps/>
        </w:rPr>
        <w:t>Título o denominación de la consulta pública</w:t>
      </w:r>
    </w:p>
    <w:p w14:paraId="41836596" w14:textId="77777777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</w:p>
    <w:p w14:paraId="01EEA1E2" w14:textId="45583201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  <w:hyperlink r:id="rId8" w:tgtFrame="_blank" w:history="1">
        <w:r>
          <w:rPr>
            <w:rFonts w:ascii="ITC Avant Garde" w:hAnsi="ITC Avant Garde"/>
          </w:rPr>
          <w:t xml:space="preserve">Consulta pública sobre el </w:t>
        </w:r>
        <w:r w:rsidR="00D84540">
          <w:rPr>
            <w:rFonts w:ascii="ITC Avant Garde" w:hAnsi="ITC Avant Garde"/>
          </w:rPr>
          <w:t>“A</w:t>
        </w:r>
        <w:r>
          <w:rPr>
            <w:rFonts w:ascii="ITC Avant Garde" w:hAnsi="ITC Avant Garde"/>
          </w:rPr>
          <w:t xml:space="preserve">nteproyecto </w:t>
        </w:r>
      </w:hyperlink>
      <w:r>
        <w:rPr>
          <w:rFonts w:ascii="ITC Avant Garde" w:hAnsi="ITC Avant Garde"/>
        </w:rPr>
        <w:t>de</w:t>
      </w:r>
      <w:r w:rsidR="00D84540">
        <w:rPr>
          <w:rFonts w:ascii="ITC Avant Garde" w:hAnsi="ITC Avant Garde"/>
        </w:rPr>
        <w:t xml:space="preserve"> </w:t>
      </w:r>
      <w:r w:rsidR="00D84540" w:rsidRPr="00D84540">
        <w:rPr>
          <w:rFonts w:ascii="ITC Avant Garde" w:hAnsi="ITC Avant Garde"/>
        </w:rPr>
        <w:t>modificaciones a los Lineamientos para la presentación de denuncias de prácticas monopólicas y concentraciones ilícitas en los sectores de telecomunicaciones y radiodifusión, ante la Autoridad Investigadora del Instituto Federal de Telecomunicaciones, a través de medios electrónicos”</w:t>
      </w:r>
      <w:r>
        <w:rPr>
          <w:rFonts w:ascii="ITC Avant Garde" w:hAnsi="ITC Avant Garde"/>
        </w:rPr>
        <w:t>.</w:t>
      </w:r>
    </w:p>
    <w:p w14:paraId="63831DFD" w14:textId="70624BF7" w:rsidR="00D84540" w:rsidRDefault="00D84540">
      <w:pPr>
        <w:spacing w:after="0" w:line="240" w:lineRule="auto"/>
        <w:jc w:val="both"/>
        <w:rPr>
          <w:rFonts w:ascii="ITC Avant Garde" w:hAnsi="ITC Avant Garde"/>
        </w:rPr>
      </w:pPr>
    </w:p>
    <w:p w14:paraId="06093D8B" w14:textId="117A878D" w:rsidR="00D84540" w:rsidRDefault="00D84540">
      <w:pPr>
        <w:spacing w:after="0" w:line="240" w:lineRule="auto"/>
        <w:jc w:val="both"/>
        <w:rPr>
          <w:rFonts w:ascii="ITC Avant Garde" w:hAnsi="ITC Avant Garde"/>
        </w:rPr>
      </w:pPr>
    </w:p>
    <w:p w14:paraId="24AED4C3" w14:textId="77777777" w:rsidR="00D84540" w:rsidRDefault="00D84540">
      <w:pPr>
        <w:spacing w:after="0" w:line="240" w:lineRule="auto"/>
        <w:jc w:val="both"/>
        <w:rPr>
          <w:rFonts w:ascii="ITC Avant Garde" w:hAnsi="ITC Avant Garde"/>
        </w:rPr>
      </w:pPr>
    </w:p>
    <w:p w14:paraId="79B9D21E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3AC50B95" w14:textId="39811539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 w:rsidRPr="00D365F9">
        <w:rPr>
          <w:rFonts w:ascii="ITC Avant Garde" w:hAnsi="ITC Avant Garde"/>
          <w:b/>
          <w:smallCaps/>
        </w:rPr>
        <w:lastRenderedPageBreak/>
        <w:t>Descripción de la consulta pública</w:t>
      </w:r>
    </w:p>
    <w:p w14:paraId="2817FFDA" w14:textId="1BB92249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2864FF59" w14:textId="2E07C444" w:rsidR="00634835" w:rsidRPr="00634835" w:rsidRDefault="00634835">
      <w:p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>La consulta pública tuvo por objeto transparentar y dar a conocer el Anteproyecto de modificaciones a los Lineamientos, acompañado de su respectivo análisis de nulo impacto regulatorio, a efecto de que los interesados pudieran tener un mayor entendimiento sobre las medidas propuestas y, a partir de ello, formular al Instituto sus comentarios, opiniones o aportaciones que permitieran fortalecer dicha propuesta normativa, así como afinar con mayor precisión los posibles impactos que se desprendan a razón de su posible entrada en vigor</w:t>
      </w:r>
      <w:r>
        <w:rPr>
          <w:rFonts w:ascii="ITC Avant Garde" w:hAnsi="ITC Avant Garde"/>
        </w:rPr>
        <w:t>.</w:t>
      </w:r>
    </w:p>
    <w:p w14:paraId="345A1A9D" w14:textId="77777777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</w:p>
    <w:p w14:paraId="7FBBCE73" w14:textId="06209D3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 w:rsidRPr="00D365F9">
        <w:rPr>
          <w:rFonts w:ascii="ITC Avant Garde" w:hAnsi="ITC Avant Garde"/>
          <w:b/>
          <w:smallCaps/>
        </w:rPr>
        <w:t>Objetivos de la consulta pública</w:t>
      </w:r>
    </w:p>
    <w:p w14:paraId="2C3C058C" w14:textId="04F23BB1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493CEB35" w14:textId="2C9C9822" w:rsidR="00634835" w:rsidRDefault="00634835">
      <w:p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 xml:space="preserve">La consulta pública tuvo los siguientes objetivos: </w:t>
      </w:r>
    </w:p>
    <w:p w14:paraId="0E850BB3" w14:textId="77777777" w:rsidR="00634835" w:rsidRPr="00634835" w:rsidRDefault="00634835">
      <w:pPr>
        <w:spacing w:after="0" w:line="240" w:lineRule="auto"/>
        <w:jc w:val="both"/>
        <w:rPr>
          <w:rFonts w:ascii="ITC Avant Garde" w:hAnsi="ITC Avant Garde"/>
        </w:rPr>
      </w:pPr>
    </w:p>
    <w:p w14:paraId="539BBDCF" w14:textId="78B28858" w:rsidR="00634835" w:rsidRPr="00634835" w:rsidRDefault="006348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>Fortalecer el principio de transparencia, y</w:t>
      </w:r>
    </w:p>
    <w:p w14:paraId="15E21747" w14:textId="3FBA7852" w:rsidR="00634835" w:rsidRDefault="006348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 xml:space="preserve">Promover la participación ciudadana generando documentos más eficaces que, en lo procedente, consideren las sugerencias de los participantes. </w:t>
      </w:r>
    </w:p>
    <w:p w14:paraId="6FA6A705" w14:textId="77777777" w:rsidR="00634835" w:rsidRPr="00634835" w:rsidRDefault="00634835">
      <w:pPr>
        <w:pStyle w:val="Prrafodelista"/>
        <w:spacing w:after="0" w:line="240" w:lineRule="auto"/>
        <w:ind w:left="1004"/>
        <w:jc w:val="both"/>
        <w:rPr>
          <w:rFonts w:ascii="ITC Avant Garde" w:hAnsi="ITC Avant Garde"/>
        </w:rPr>
      </w:pPr>
    </w:p>
    <w:p w14:paraId="1DA3BDE3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>
        <w:rPr>
          <w:rFonts w:ascii="ITC Avant Garde" w:hAnsi="ITC Avant Garde"/>
          <w:b/>
          <w:smallCaps/>
        </w:rPr>
        <w:t>Unidades y/o coordinaciones generales responsables de la consulta pública</w:t>
      </w:r>
    </w:p>
    <w:p w14:paraId="2DB85EB2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1515931B" w14:textId="047C51A4" w:rsidR="00634835" w:rsidRPr="00634835" w:rsidRDefault="00634835">
      <w:p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>Autoridad Investigadora</w:t>
      </w:r>
      <w:r>
        <w:rPr>
          <w:rFonts w:ascii="ITC Avant Garde" w:hAnsi="ITC Avant Garde"/>
        </w:rPr>
        <w:t>.</w:t>
      </w:r>
      <w:r w:rsidRPr="00634835">
        <w:rPr>
          <w:rFonts w:ascii="ITC Avant Garde" w:hAnsi="ITC Avant Garde"/>
        </w:rPr>
        <w:t xml:space="preserve"> </w:t>
      </w:r>
    </w:p>
    <w:p w14:paraId="77B92E60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635023A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>
        <w:rPr>
          <w:rFonts w:ascii="ITC Avant Garde" w:hAnsi="ITC Avant Garde"/>
          <w:b/>
          <w:smallCaps/>
        </w:rPr>
        <w:t>Descripción de los participantes en la consulta pública</w:t>
      </w:r>
    </w:p>
    <w:p w14:paraId="0AA32D89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311698AB" w14:textId="22989C73" w:rsidR="00634835" w:rsidRPr="00634835" w:rsidRDefault="00634835">
      <w:pPr>
        <w:spacing w:after="0" w:line="240" w:lineRule="auto"/>
        <w:jc w:val="both"/>
        <w:rPr>
          <w:rFonts w:ascii="ITC Avant Garde" w:hAnsi="ITC Avant Garde"/>
        </w:rPr>
      </w:pPr>
      <w:r w:rsidRPr="00634835">
        <w:rPr>
          <w:rFonts w:ascii="ITC Avant Garde" w:hAnsi="ITC Avant Garde"/>
        </w:rPr>
        <w:t>No aplica, toda vez que en la consulta pública sobre el Anteproyecto de modificaciones a los Lineamientos no se requirió información que permitiera identificar a los participantes.</w:t>
      </w:r>
    </w:p>
    <w:p w14:paraId="4AEB9EEE" w14:textId="77777777" w:rsidR="00634835" w:rsidRDefault="00634835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C3CDCE3" w14:textId="77777777" w:rsidR="00634835" w:rsidRPr="00B3518C" w:rsidRDefault="00634835">
      <w:pPr>
        <w:spacing w:after="0" w:line="240" w:lineRule="auto"/>
        <w:jc w:val="both"/>
        <w:rPr>
          <w:rFonts w:ascii="ITC Avant Garde" w:hAnsi="ITC Avant Garde"/>
          <w:b/>
          <w:smallCaps/>
        </w:rPr>
      </w:pPr>
      <w:r>
        <w:rPr>
          <w:rFonts w:ascii="ITC Avant Garde" w:hAnsi="ITC Avant Garde"/>
          <w:b/>
          <w:smallCaps/>
        </w:rPr>
        <w:t>Respuestas o posicionamientos que corresponden por parte del Instituto</w:t>
      </w:r>
    </w:p>
    <w:p w14:paraId="111F1229" w14:textId="6F58C1E3" w:rsidR="00556C41" w:rsidRDefault="00556C41" w:rsidP="00543F6F">
      <w:pPr>
        <w:spacing w:after="0" w:line="240" w:lineRule="auto"/>
        <w:jc w:val="both"/>
        <w:rPr>
          <w:rFonts w:ascii="ITC Avant Garde" w:hAnsi="ITC Avant Garde"/>
          <w:b/>
          <w:smallCaps/>
        </w:rPr>
      </w:pPr>
    </w:p>
    <w:p w14:paraId="28E48412" w14:textId="1AFA586D" w:rsidR="001E34AC" w:rsidRPr="00404CBD" w:rsidRDefault="001E34AC" w:rsidP="00543F6F">
      <w:pPr>
        <w:spacing w:after="0" w:line="240" w:lineRule="auto"/>
        <w:jc w:val="both"/>
        <w:rPr>
          <w:rFonts w:ascii="ITC Avant Garde" w:hAnsi="ITC Avant Garde"/>
          <w:highlight w:val="yellow"/>
        </w:rPr>
      </w:pPr>
      <w:r w:rsidRPr="005A6A69">
        <w:rPr>
          <w:rFonts w:ascii="ITC Avant Garde" w:hAnsi="ITC Avant Garde"/>
          <w:b/>
          <w:smallCaps/>
        </w:rPr>
        <w:t>Comentarios específicos</w:t>
      </w:r>
      <w:bookmarkStart w:id="0" w:name="_GoBack"/>
      <w:bookmarkEnd w:id="0"/>
    </w:p>
    <w:p w14:paraId="5525438C" w14:textId="77777777" w:rsidR="00595C5C" w:rsidRDefault="00595C5C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119D2EEC" w14:textId="03E130B0" w:rsidR="00413D7E" w:rsidRPr="005A186A" w:rsidRDefault="001E34AC" w:rsidP="005A186A">
      <w:pPr>
        <w:pStyle w:val="Ttulo2"/>
      </w:pPr>
      <w:r>
        <w:t>Propuesta de modificación al artículo 9.</w:t>
      </w:r>
    </w:p>
    <w:p w14:paraId="561DDE23" w14:textId="77777777" w:rsidR="009A6B88" w:rsidRPr="009A6B88" w:rsidRDefault="009A6B88" w:rsidP="00E31A2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E883F17" w14:textId="77777777" w:rsidR="001E34AC" w:rsidRDefault="001E34AC" w:rsidP="001E34AC">
      <w:pPr>
        <w:spacing w:after="0" w:line="240" w:lineRule="auto"/>
        <w:jc w:val="both"/>
        <w:rPr>
          <w:rFonts w:ascii="ITC Avant Garde" w:hAnsi="ITC Avant Garde"/>
          <w:b/>
        </w:rPr>
      </w:pPr>
      <w:r w:rsidRPr="009A6B88">
        <w:rPr>
          <w:rFonts w:ascii="ITC Avant Garde" w:hAnsi="ITC Avant Garde"/>
          <w:b/>
        </w:rPr>
        <w:t>Comentarios recibidos</w:t>
      </w:r>
    </w:p>
    <w:p w14:paraId="36895503" w14:textId="77777777" w:rsidR="001E34AC" w:rsidRDefault="001E34AC" w:rsidP="00413D7E">
      <w:pPr>
        <w:spacing w:after="0" w:line="240" w:lineRule="auto"/>
        <w:jc w:val="both"/>
        <w:rPr>
          <w:rFonts w:ascii="ITC Avant Garde" w:hAnsi="ITC Avant Garde"/>
        </w:rPr>
      </w:pPr>
    </w:p>
    <w:p w14:paraId="52DFCCB7" w14:textId="245A4803" w:rsidR="00DA4046" w:rsidRPr="00413D7E" w:rsidRDefault="00DA4046" w:rsidP="00413D7E">
      <w:pPr>
        <w:spacing w:after="0" w:line="240" w:lineRule="auto"/>
        <w:jc w:val="both"/>
        <w:rPr>
          <w:rFonts w:ascii="ITC Avant Garde" w:hAnsi="ITC Avant Garde"/>
        </w:rPr>
      </w:pPr>
      <w:r w:rsidRPr="00413D7E">
        <w:rPr>
          <w:rFonts w:ascii="ITC Avant Garde" w:hAnsi="ITC Avant Garde"/>
        </w:rPr>
        <w:t xml:space="preserve">El </w:t>
      </w:r>
      <w:r w:rsidR="00595C5C" w:rsidRPr="00413D7E">
        <w:rPr>
          <w:rFonts w:ascii="ITC Avant Garde" w:hAnsi="ITC Avant Garde"/>
        </w:rPr>
        <w:t>Participante 1</w:t>
      </w:r>
      <w:r w:rsidRPr="00413D7E">
        <w:rPr>
          <w:rFonts w:ascii="ITC Avant Garde" w:hAnsi="ITC Avant Garde"/>
        </w:rPr>
        <w:t xml:space="preserve"> presentó el siguiente comentario:</w:t>
      </w:r>
    </w:p>
    <w:p w14:paraId="6EBD66D0" w14:textId="77777777" w:rsidR="00543F6F" w:rsidRDefault="00543F6F" w:rsidP="00E31A26">
      <w:pPr>
        <w:spacing w:after="0" w:line="240" w:lineRule="auto"/>
        <w:ind w:left="567"/>
        <w:jc w:val="both"/>
        <w:rPr>
          <w:rFonts w:ascii="ITC Avant Garde" w:hAnsi="ITC Avant Garde"/>
        </w:rPr>
      </w:pPr>
    </w:p>
    <w:p w14:paraId="731E2DB3" w14:textId="77777777" w:rsidR="00543F6F" w:rsidRPr="008C12C7" w:rsidRDefault="00543F6F" w:rsidP="00E31A26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C12C7">
        <w:rPr>
          <w:rFonts w:ascii="Arial" w:hAnsi="Arial" w:cs="Arial"/>
          <w:sz w:val="18"/>
          <w:szCs w:val="18"/>
        </w:rPr>
        <w:t>El artículo 117 de la Ley Federal de Competencia Económica (“LFCE”) dispone que las notificaciones se llevarán a cabo de conformidad con lo establecido en las disposiciones regulatorias que para tal efecto emita el IFT.</w:t>
      </w:r>
    </w:p>
    <w:p w14:paraId="67CC1AD8" w14:textId="77777777" w:rsidR="00543F6F" w:rsidRPr="008C12C7" w:rsidRDefault="00543F6F" w:rsidP="00E31A26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C2EC330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C12C7">
        <w:rPr>
          <w:rFonts w:ascii="Arial" w:hAnsi="Arial" w:cs="Arial"/>
          <w:sz w:val="18"/>
          <w:szCs w:val="18"/>
        </w:rPr>
        <w:t>En ese sentido el artículo 166 de las Disposiciones Regulatorias existentes dispone que deberá notificarse personalmente, entre otros, el acuerdo que deseche o tenga por no presentada una denuncia, así como el acuerdo de prevención. Cabe destacar, que dicho artículo no se propone modificar con motivo de la presente Consulta Pública.</w:t>
      </w:r>
    </w:p>
    <w:p w14:paraId="4902BF6F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976EB9B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C12C7">
        <w:rPr>
          <w:rFonts w:ascii="Arial" w:hAnsi="Arial" w:cs="Arial"/>
          <w:sz w:val="18"/>
          <w:szCs w:val="18"/>
        </w:rPr>
        <w:t xml:space="preserve">No obstante, lo anterior, el Anteproyecto de Lineamientos propone derogar el párrafo cuarto del artículo 9 de los Lineamientos para la presentación de denuncias de prácticas monopólicas y concentraciones </w:t>
      </w:r>
      <w:r w:rsidRPr="008C12C7">
        <w:rPr>
          <w:rFonts w:ascii="Arial" w:hAnsi="Arial" w:cs="Arial"/>
          <w:sz w:val="18"/>
          <w:szCs w:val="18"/>
        </w:rPr>
        <w:lastRenderedPageBreak/>
        <w:t>ilícitas en los sectores de telecomunicaciones y radiodifusión, ante la Autoridad Investigadora del Instituto Federal de Telecomunicaciones, a través de medios electrónicos (en lo sucesivo “Lineamientos”).</w:t>
      </w:r>
    </w:p>
    <w:p w14:paraId="32394A76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AEA70B3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C12C7">
        <w:rPr>
          <w:rFonts w:ascii="Arial" w:hAnsi="Arial" w:cs="Arial"/>
          <w:sz w:val="18"/>
          <w:szCs w:val="18"/>
        </w:rPr>
        <w:t>En dicho párrafo cuarto se establece que los acuerdos de prevención al denunciante, los de desechamiento o los que tengan por no presentada una denuncia, deberán notificarse personalmente, independientemente de que se utilicen medios electrónicos.</w:t>
      </w:r>
    </w:p>
    <w:p w14:paraId="6EF26914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4B60D3D" w14:textId="77777777" w:rsidR="00543F6F" w:rsidRPr="008C12C7" w:rsidRDefault="00543F6F" w:rsidP="00543F6F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C12C7">
        <w:rPr>
          <w:rFonts w:ascii="Arial" w:hAnsi="Arial" w:cs="Arial"/>
          <w:sz w:val="18"/>
          <w:szCs w:val="18"/>
        </w:rPr>
        <w:t>Consideramos que es incorrecta la propuesta de derogación del cuarto párrafo del artículo 9 de los Lineamientos, pues, con dicha propuesta, se busca que las notificaciones de los acuerdos referidos únicamente se realicen a través de medios electrónicos y no de forma personal, lo cual estaría en contradicción con los artículos mencionados anteriormente ya que la LFCE, de forma expresa, señala que las notificaciones se llevarán a cabo según se establezca en las Disposiciones Regulatorias, las cuales, se reitera, disponen que el acuerdo que deseche o tenga por no presentada una denuncia, así como el acuerdo de prevención, deberán notificarse personalmente.</w:t>
      </w:r>
    </w:p>
    <w:p w14:paraId="3726C96F" w14:textId="77777777" w:rsidR="00671107" w:rsidRDefault="00671107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54624727" w14:textId="77777777" w:rsidR="001E34AC" w:rsidRDefault="001E34AC" w:rsidP="001E34AC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 xml:space="preserve">El participante 2 presentó el siguiente comentario: </w:t>
      </w:r>
    </w:p>
    <w:p w14:paraId="5950961B" w14:textId="77777777" w:rsidR="001E34AC" w:rsidRPr="00C31CC9" w:rsidRDefault="001E34AC" w:rsidP="001E34AC">
      <w:pPr>
        <w:spacing w:after="0" w:line="240" w:lineRule="auto"/>
        <w:jc w:val="both"/>
        <w:rPr>
          <w:rFonts w:ascii="ITC Avant Garde" w:hAnsi="ITC Avant Garde" w:cs="Arial"/>
        </w:rPr>
      </w:pPr>
    </w:p>
    <w:p w14:paraId="039B7C14" w14:textId="77777777" w:rsidR="001E34AC" w:rsidRDefault="001E34AC" w:rsidP="00B538AC">
      <w:pPr>
        <w:spacing w:after="0" w:line="240" w:lineRule="auto"/>
        <w:ind w:left="567" w:right="49"/>
        <w:jc w:val="both"/>
        <w:rPr>
          <w:rFonts w:ascii="ITC Avant Garde" w:hAnsi="ITC Avant Garde"/>
        </w:rPr>
      </w:pPr>
      <w:r w:rsidRPr="00404CBD">
        <w:rPr>
          <w:rFonts w:ascii="Arial" w:hAnsi="Arial" w:cs="Arial"/>
          <w:sz w:val="18"/>
          <w:szCs w:val="18"/>
        </w:rPr>
        <w:t>Favor de considerar que la derogación de la notificación</w:t>
      </w:r>
      <w:r>
        <w:rPr>
          <w:rFonts w:ascii="Arial" w:hAnsi="Arial" w:cs="Arial"/>
          <w:sz w:val="18"/>
          <w:szCs w:val="18"/>
        </w:rPr>
        <w:t xml:space="preserve"> </w:t>
      </w:r>
      <w:r w:rsidRPr="00404CBD">
        <w:rPr>
          <w:rFonts w:ascii="Arial" w:hAnsi="Arial" w:cs="Arial"/>
          <w:sz w:val="18"/>
          <w:szCs w:val="18"/>
        </w:rPr>
        <w:t>personal del acuerdo que prevenga al denunciante, deseche la</w:t>
      </w:r>
      <w:r>
        <w:rPr>
          <w:rFonts w:ascii="Arial" w:hAnsi="Arial" w:cs="Arial"/>
          <w:sz w:val="18"/>
          <w:szCs w:val="18"/>
        </w:rPr>
        <w:t xml:space="preserve"> </w:t>
      </w:r>
      <w:r w:rsidRPr="00404CBD">
        <w:rPr>
          <w:rFonts w:ascii="Arial" w:hAnsi="Arial" w:cs="Arial"/>
          <w:sz w:val="18"/>
          <w:szCs w:val="18"/>
        </w:rPr>
        <w:t>denuncia o la tenga por no pres</w:t>
      </w:r>
      <w:r w:rsidRPr="00E93C84">
        <w:rPr>
          <w:rFonts w:ascii="Arial" w:hAnsi="Arial" w:cs="Arial"/>
          <w:sz w:val="18"/>
          <w:szCs w:val="18"/>
        </w:rPr>
        <w:t>entada no evita el cumplimiento</w:t>
      </w:r>
      <w:r>
        <w:rPr>
          <w:rFonts w:ascii="Arial" w:hAnsi="Arial" w:cs="Arial"/>
          <w:sz w:val="18"/>
          <w:szCs w:val="18"/>
        </w:rPr>
        <w:t xml:space="preserve"> </w:t>
      </w:r>
      <w:r w:rsidRPr="00404CBD">
        <w:rPr>
          <w:rFonts w:ascii="Arial" w:hAnsi="Arial" w:cs="Arial"/>
          <w:sz w:val="18"/>
          <w:szCs w:val="18"/>
        </w:rPr>
        <w:t>eficaz de los Lineamientos, sino que permite, especialmente en el</w:t>
      </w:r>
      <w:r>
        <w:rPr>
          <w:rFonts w:ascii="Arial" w:hAnsi="Arial" w:cs="Arial"/>
          <w:sz w:val="18"/>
          <w:szCs w:val="18"/>
        </w:rPr>
        <w:t xml:space="preserve"> </w:t>
      </w:r>
      <w:r w:rsidRPr="00404CBD">
        <w:rPr>
          <w:rFonts w:ascii="Arial" w:hAnsi="Arial" w:cs="Arial"/>
          <w:sz w:val="18"/>
          <w:szCs w:val="18"/>
        </w:rPr>
        <w:t>caso de una prevención, la atención y</w:t>
      </w:r>
      <w:r w:rsidRPr="00E93C84">
        <w:rPr>
          <w:rFonts w:ascii="Arial" w:hAnsi="Arial" w:cs="Arial"/>
          <w:sz w:val="18"/>
          <w:szCs w:val="18"/>
        </w:rPr>
        <w:t xml:space="preserve"> cuidado puntual desde su</w:t>
      </w:r>
      <w:r>
        <w:rPr>
          <w:rFonts w:ascii="Arial" w:hAnsi="Arial" w:cs="Arial"/>
          <w:sz w:val="18"/>
          <w:szCs w:val="18"/>
        </w:rPr>
        <w:t xml:space="preserve"> </w:t>
      </w:r>
      <w:r w:rsidRPr="00404CBD">
        <w:rPr>
          <w:rFonts w:ascii="Arial" w:hAnsi="Arial" w:cs="Arial"/>
          <w:sz w:val="18"/>
          <w:szCs w:val="18"/>
        </w:rPr>
        <w:t>notificación al denunciante.</w:t>
      </w:r>
    </w:p>
    <w:p w14:paraId="70DBDB7A" w14:textId="77777777" w:rsidR="001E34AC" w:rsidRDefault="001E34AC" w:rsidP="00E31A2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660A6CDB" w14:textId="32D6ADF2" w:rsidR="00595C5C" w:rsidRDefault="00595C5C" w:rsidP="00E31A26">
      <w:pPr>
        <w:spacing w:after="0" w:line="240" w:lineRule="auto"/>
        <w:jc w:val="both"/>
        <w:rPr>
          <w:rFonts w:ascii="ITC Avant Garde" w:hAnsi="ITC Avant Garde"/>
          <w:b/>
        </w:rPr>
      </w:pPr>
      <w:r w:rsidRPr="00671107">
        <w:rPr>
          <w:rFonts w:ascii="ITC Avant Garde" w:hAnsi="ITC Avant Garde"/>
          <w:b/>
        </w:rPr>
        <w:t>Consideraciones</w:t>
      </w:r>
    </w:p>
    <w:p w14:paraId="38FEFCFA" w14:textId="77777777" w:rsidR="006623F3" w:rsidRDefault="006623F3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293BE07B" w14:textId="7045E146" w:rsidR="006623F3" w:rsidRDefault="006623F3" w:rsidP="00E31A2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consistencia con la propuesta de derogar el </w:t>
      </w:r>
      <w:r w:rsidR="00EE6430">
        <w:rPr>
          <w:rFonts w:ascii="ITC Avant Garde" w:hAnsi="ITC Avant Garde"/>
        </w:rPr>
        <w:t xml:space="preserve">cuarto </w:t>
      </w:r>
      <w:r>
        <w:rPr>
          <w:rFonts w:ascii="ITC Avant Garde" w:hAnsi="ITC Avant Garde"/>
        </w:rPr>
        <w:t>párrafo del artículo 9 de los Lineamientos</w:t>
      </w:r>
      <w:r w:rsidR="005A6A69">
        <w:rPr>
          <w:rFonts w:ascii="ITC Avant Garde" w:hAnsi="ITC Avant Garde"/>
        </w:rPr>
        <w:t xml:space="preserve"> </w:t>
      </w:r>
      <w:r w:rsidR="005A6A69" w:rsidRPr="005A6A69">
        <w:rPr>
          <w:rFonts w:ascii="ITC Avant Garde" w:hAnsi="ITC Avant Garde"/>
        </w:rPr>
        <w:t>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>
        <w:rPr>
          <w:rFonts w:ascii="ITC Avant Garde" w:hAnsi="ITC Avant Garde"/>
        </w:rPr>
        <w:t>, en</w:t>
      </w:r>
      <w:r w:rsidR="004C3A24" w:rsidRPr="005407CF">
        <w:rPr>
          <w:rFonts w:ascii="ITC Avant Garde" w:hAnsi="ITC Avant Garde"/>
        </w:rPr>
        <w:t xml:space="preserve"> el</w:t>
      </w:r>
      <w:r w:rsidR="004C3A24" w:rsidRPr="008C12C7">
        <w:rPr>
          <w:rFonts w:ascii="ITC Avant Garde" w:hAnsi="ITC Avant Garde"/>
          <w:i/>
        </w:rPr>
        <w:t xml:space="preserve"> </w:t>
      </w:r>
      <w:r w:rsidR="00404CBD">
        <w:rPr>
          <w:rFonts w:ascii="ITC Avant Garde" w:hAnsi="ITC Avant Garde"/>
          <w:i/>
        </w:rPr>
        <w:t>“</w:t>
      </w:r>
      <w:r w:rsidR="004C3A24" w:rsidRPr="008C12C7">
        <w:rPr>
          <w:rFonts w:ascii="ITC Avant Garde" w:hAnsi="ITC Avant Garde"/>
          <w:i/>
        </w:rPr>
        <w:t>Anteproyecto de modificaciones a las Disposiciones Regulatorias de la Ley Federal de Competencia Económica para los sectores de Telecomunicaciones y Radiodifusión, publicadas en el Diario Oficial de la Federación el doce de enero de dos mil quince, respecto de los procedimientos que llevan a cabo la Autoridad Investigadora y la Unidad de Competencia Económica</w:t>
      </w:r>
      <w:r w:rsidR="00404CBD">
        <w:rPr>
          <w:rFonts w:ascii="ITC Avant Garde" w:hAnsi="ITC Avant Garde"/>
          <w:i/>
        </w:rPr>
        <w:t>”</w:t>
      </w:r>
      <w:r w:rsidR="004C3A24">
        <w:rPr>
          <w:rFonts w:ascii="ITC Avant Garde" w:hAnsi="ITC Avant Garde"/>
          <w:i/>
        </w:rPr>
        <w:t xml:space="preserve"> </w:t>
      </w:r>
      <w:r w:rsidR="00AF6A68" w:rsidRPr="008C12C7">
        <w:rPr>
          <w:rFonts w:ascii="ITC Avant Garde" w:hAnsi="ITC Avant Garde"/>
        </w:rPr>
        <w:t xml:space="preserve">se propone </w:t>
      </w:r>
      <w:r w:rsidR="00DC1D55" w:rsidRPr="00DC1D55">
        <w:rPr>
          <w:rFonts w:ascii="ITC Avant Garde" w:hAnsi="ITC Avant Garde"/>
        </w:rPr>
        <w:t xml:space="preserve">adicionar </w:t>
      </w:r>
      <w:r w:rsidR="00EE6430">
        <w:rPr>
          <w:rFonts w:ascii="ITC Avant Garde" w:hAnsi="ITC Avant Garde"/>
        </w:rPr>
        <w:t>una</w:t>
      </w:r>
      <w:r w:rsidR="00DC1D55" w:rsidRPr="00DC1D55">
        <w:rPr>
          <w:rFonts w:ascii="ITC Avant Garde" w:hAnsi="ITC Avant Garde"/>
        </w:rPr>
        <w:t xml:space="preserve"> fracción VI a</w:t>
      </w:r>
      <w:r w:rsidR="00AF6A68" w:rsidRPr="00DC1D55">
        <w:rPr>
          <w:rFonts w:ascii="ITC Avant Garde" w:hAnsi="ITC Avant Garde"/>
        </w:rPr>
        <w:t>l artículo 165</w:t>
      </w:r>
      <w:r w:rsidR="00E428D9" w:rsidRPr="00DC1D55">
        <w:rPr>
          <w:rFonts w:ascii="ITC Avant Garde" w:hAnsi="ITC Avant Garde"/>
        </w:rPr>
        <w:t xml:space="preserve"> de las Disposiciones Regulatorias</w:t>
      </w:r>
      <w:r w:rsidR="00AF6A68" w:rsidRPr="00DC1D55">
        <w:rPr>
          <w:rFonts w:ascii="ITC Avant Garde" w:hAnsi="ITC Avant Garde"/>
        </w:rPr>
        <w:t xml:space="preserve">, </w:t>
      </w:r>
      <w:r w:rsidR="00E428D9" w:rsidRPr="00DC1D55">
        <w:rPr>
          <w:rFonts w:ascii="ITC Avant Garde" w:hAnsi="ITC Avant Garde"/>
        </w:rPr>
        <w:t>a efecto de</w:t>
      </w:r>
      <w:r w:rsidR="00BF49A8">
        <w:rPr>
          <w:rFonts w:ascii="ITC Avant Garde" w:hAnsi="ITC Avant Garde"/>
        </w:rPr>
        <w:t xml:space="preserve"> señalar</w:t>
      </w:r>
      <w:r w:rsidR="00E428D9" w:rsidRPr="00DC1D55">
        <w:rPr>
          <w:rFonts w:ascii="ITC Avant Garde" w:hAnsi="ITC Avant Garde"/>
        </w:rPr>
        <w:t xml:space="preserve"> que las notificaciones </w:t>
      </w:r>
      <w:r w:rsidR="00EE3E55">
        <w:rPr>
          <w:rFonts w:ascii="ITC Avant Garde" w:hAnsi="ITC Avant Garde"/>
        </w:rPr>
        <w:t xml:space="preserve">que realice el Instituto se </w:t>
      </w:r>
      <w:r w:rsidR="00EE6430">
        <w:rPr>
          <w:rFonts w:ascii="ITC Avant Garde" w:hAnsi="ITC Avant Garde"/>
        </w:rPr>
        <w:t xml:space="preserve">podrán </w:t>
      </w:r>
      <w:r w:rsidR="00EE3E55">
        <w:rPr>
          <w:rFonts w:ascii="ITC Avant Garde" w:hAnsi="ITC Avant Garde"/>
        </w:rPr>
        <w:t>efect</w:t>
      </w:r>
      <w:r w:rsidR="00EE6430">
        <w:rPr>
          <w:rFonts w:ascii="ITC Avant Garde" w:hAnsi="ITC Avant Garde"/>
        </w:rPr>
        <w:t>uar</w:t>
      </w:r>
      <w:r w:rsidR="00E428D9" w:rsidRPr="008C12C7">
        <w:rPr>
          <w:rFonts w:ascii="ITC Avant Garde" w:hAnsi="ITC Avant Garde"/>
        </w:rPr>
        <w:t xml:space="preserve"> por medios electr</w:t>
      </w:r>
      <w:r w:rsidRPr="00EE3E55">
        <w:rPr>
          <w:rFonts w:ascii="ITC Avant Garde" w:hAnsi="ITC Avant Garde"/>
        </w:rPr>
        <w:t>ónicos.</w:t>
      </w:r>
    </w:p>
    <w:p w14:paraId="791FAA78" w14:textId="77777777" w:rsidR="006623F3" w:rsidRDefault="006623F3" w:rsidP="00E31A26">
      <w:pPr>
        <w:spacing w:after="0" w:line="240" w:lineRule="auto"/>
        <w:jc w:val="both"/>
        <w:rPr>
          <w:rFonts w:ascii="ITC Avant Garde" w:hAnsi="ITC Avant Garde"/>
        </w:rPr>
      </w:pPr>
    </w:p>
    <w:p w14:paraId="4EDBAAFD" w14:textId="746277D6" w:rsidR="004C3A24" w:rsidRDefault="006623F3" w:rsidP="00EE3E55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Asimismo, </w:t>
      </w:r>
      <w:r w:rsidR="00DC1D55">
        <w:rPr>
          <w:rFonts w:ascii="ITC Avant Garde" w:hAnsi="ITC Avant Garde"/>
        </w:rPr>
        <w:t>en el referido a</w:t>
      </w:r>
      <w:r w:rsidR="00DC1D55" w:rsidRPr="00DC1D55">
        <w:rPr>
          <w:rFonts w:ascii="ITC Avant Garde" w:hAnsi="ITC Avant Garde"/>
        </w:rPr>
        <w:t xml:space="preserve">nteproyecto </w:t>
      </w:r>
      <w:r w:rsidR="00EE6430">
        <w:rPr>
          <w:rFonts w:ascii="ITC Avant Garde" w:hAnsi="ITC Avant Garde"/>
        </w:rPr>
        <w:t xml:space="preserve">de modificaciones a las Disposiciones Regulatorias </w:t>
      </w:r>
      <w:r w:rsidR="00DC1D55">
        <w:rPr>
          <w:rFonts w:ascii="ITC Avant Garde" w:hAnsi="ITC Avant Garde"/>
        </w:rPr>
        <w:t xml:space="preserve">se propone modificar el segundo párrafo del artículo 165 de las Disposiciones Regulatorias, </w:t>
      </w:r>
      <w:r w:rsidR="00EE3E55">
        <w:rPr>
          <w:rFonts w:ascii="ITC Avant Garde" w:hAnsi="ITC Avant Garde"/>
        </w:rPr>
        <w:t>a fin de</w:t>
      </w:r>
      <w:r w:rsidR="00DC1D55">
        <w:rPr>
          <w:rFonts w:ascii="ITC Avant Garde" w:hAnsi="ITC Avant Garde"/>
        </w:rPr>
        <w:t xml:space="preserve"> señalar</w:t>
      </w:r>
      <w:r w:rsidR="00480C57">
        <w:rPr>
          <w:rFonts w:ascii="ITC Avant Garde" w:hAnsi="ITC Avant Garde"/>
        </w:rPr>
        <w:t xml:space="preserve"> </w:t>
      </w:r>
      <w:r w:rsidR="00DE21D7">
        <w:rPr>
          <w:rFonts w:ascii="ITC Avant Garde" w:hAnsi="ITC Avant Garde"/>
        </w:rPr>
        <w:t>expresamente que</w:t>
      </w:r>
      <w:r w:rsidR="00E428D9">
        <w:rPr>
          <w:rFonts w:ascii="ITC Avant Garde" w:hAnsi="ITC Avant Garde"/>
        </w:rPr>
        <w:t xml:space="preserve"> las actuaciones a que se refiere </w:t>
      </w:r>
      <w:r w:rsidR="00DC1D55">
        <w:rPr>
          <w:rFonts w:ascii="ITC Avant Garde" w:hAnsi="ITC Avant Garde"/>
        </w:rPr>
        <w:t>su</w:t>
      </w:r>
      <w:r w:rsidR="00E428D9">
        <w:rPr>
          <w:rFonts w:ascii="ITC Avant Garde" w:hAnsi="ITC Avant Garde"/>
        </w:rPr>
        <w:t xml:space="preserve"> </w:t>
      </w:r>
      <w:r w:rsidR="005011E6">
        <w:rPr>
          <w:rFonts w:ascii="ITC Avant Garde" w:hAnsi="ITC Avant Garde"/>
        </w:rPr>
        <w:t xml:space="preserve">artículo </w:t>
      </w:r>
      <w:r w:rsidR="00E428D9">
        <w:rPr>
          <w:rFonts w:ascii="ITC Avant Garde" w:hAnsi="ITC Avant Garde"/>
        </w:rPr>
        <w:t>166</w:t>
      </w:r>
      <w:r w:rsidR="00EE3E55">
        <w:rPr>
          <w:rFonts w:ascii="ITC Avant Garde" w:hAnsi="ITC Avant Garde"/>
        </w:rPr>
        <w:t>, entre las que se encuentran el</w:t>
      </w:r>
      <w:r w:rsidR="00EE3E55" w:rsidRPr="00EE3E55">
        <w:rPr>
          <w:rFonts w:ascii="ITC Avant Garde" w:hAnsi="ITC Avant Garde"/>
        </w:rPr>
        <w:t xml:space="preserve"> acuerdo que deseche o tenga</w:t>
      </w:r>
      <w:r w:rsidR="00EE3E55">
        <w:rPr>
          <w:rFonts w:ascii="ITC Avant Garde" w:hAnsi="ITC Avant Garde"/>
        </w:rPr>
        <w:t xml:space="preserve"> por no presentada una denuncia y el acuerdo de prevención, </w:t>
      </w:r>
      <w:r w:rsidR="00EE6430">
        <w:rPr>
          <w:rFonts w:ascii="ITC Avant Garde" w:hAnsi="ITC Avant Garde"/>
        </w:rPr>
        <w:t>podrán</w:t>
      </w:r>
      <w:r w:rsidR="00B667B5">
        <w:rPr>
          <w:rFonts w:ascii="ITC Avant Garde" w:hAnsi="ITC Avant Garde"/>
        </w:rPr>
        <w:t xml:space="preserve"> realizarse por medios electrónicos cuando el Instituto lo determine mediante disposiciones de carácter general.</w:t>
      </w:r>
    </w:p>
    <w:p w14:paraId="5568544A" w14:textId="17AEC1C4" w:rsidR="00B34E17" w:rsidRDefault="00B34E17" w:rsidP="00B65D72">
      <w:pPr>
        <w:spacing w:after="0" w:line="240" w:lineRule="auto"/>
        <w:ind w:right="616"/>
        <w:jc w:val="both"/>
        <w:rPr>
          <w:rFonts w:ascii="ITC Avant Garde" w:hAnsi="ITC Avant Garde"/>
        </w:rPr>
      </w:pPr>
    </w:p>
    <w:p w14:paraId="1E7677A5" w14:textId="54509B88" w:rsidR="00A74108" w:rsidRDefault="005407CF" w:rsidP="005011E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ese tenor, </w:t>
      </w:r>
      <w:r w:rsidR="005011E6">
        <w:rPr>
          <w:rFonts w:ascii="ITC Avant Garde" w:hAnsi="ITC Avant Garde"/>
        </w:rPr>
        <w:t xml:space="preserve">la propuesta de derogar el </w:t>
      </w:r>
      <w:r w:rsidR="00512C6E">
        <w:rPr>
          <w:rFonts w:ascii="ITC Avant Garde" w:hAnsi="ITC Avant Garde"/>
        </w:rPr>
        <w:t xml:space="preserve">cuarto </w:t>
      </w:r>
      <w:r w:rsidR="005011E6">
        <w:rPr>
          <w:rFonts w:ascii="ITC Avant Garde" w:hAnsi="ITC Avant Garde"/>
        </w:rPr>
        <w:t>párrafo del artículo 9 de los Lineamientos</w:t>
      </w:r>
      <w:r w:rsidR="00EE6430">
        <w:rPr>
          <w:rFonts w:ascii="ITC Avant Garde" w:hAnsi="ITC Avant Garde"/>
        </w:rPr>
        <w:t xml:space="preserve"> </w:t>
      </w:r>
      <w:r w:rsidR="00512C6E" w:rsidRPr="005A6A69">
        <w:rPr>
          <w:rFonts w:ascii="ITC Avant Garde" w:hAnsi="ITC Avant Garde"/>
        </w:rPr>
        <w:t>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512C6E">
        <w:rPr>
          <w:rFonts w:ascii="ITC Avant Garde" w:hAnsi="ITC Avant Garde"/>
        </w:rPr>
        <w:t xml:space="preserve">, </w:t>
      </w:r>
      <w:r w:rsidR="00EE6430">
        <w:rPr>
          <w:rFonts w:ascii="ITC Avant Garde" w:hAnsi="ITC Avant Garde"/>
        </w:rPr>
        <w:t>otorga mayor certeza y seguridad jurídica a los denunciantes mediante la precisión de qué acuerdos serán notificados a través del SEPDAI,</w:t>
      </w:r>
      <w:r w:rsidR="005011E6">
        <w:rPr>
          <w:rFonts w:ascii="ITC Avant Garde" w:hAnsi="ITC Avant Garde"/>
        </w:rPr>
        <w:t xml:space="preserve"> </w:t>
      </w:r>
      <w:r w:rsidR="00EE6430">
        <w:rPr>
          <w:rFonts w:ascii="ITC Avant Garde" w:hAnsi="ITC Avant Garde"/>
        </w:rPr>
        <w:t xml:space="preserve">y </w:t>
      </w:r>
      <w:r w:rsidR="005011E6">
        <w:rPr>
          <w:rFonts w:ascii="ITC Avant Garde" w:hAnsi="ITC Avant Garde"/>
        </w:rPr>
        <w:t xml:space="preserve">no generaría una contradicción con las Disposiciones Regulatorias </w:t>
      </w:r>
      <w:r w:rsidR="00EE6430">
        <w:rPr>
          <w:rFonts w:ascii="ITC Avant Garde" w:hAnsi="ITC Avant Garde"/>
        </w:rPr>
        <w:t>ni</w:t>
      </w:r>
      <w:r w:rsidR="005011E6">
        <w:rPr>
          <w:rFonts w:ascii="ITC Avant Garde" w:hAnsi="ITC Avant Garde"/>
        </w:rPr>
        <w:t xml:space="preserve"> con la LFCE. </w:t>
      </w:r>
    </w:p>
    <w:p w14:paraId="382566EF" w14:textId="6A1803AB" w:rsidR="001E34AC" w:rsidRDefault="001E34AC" w:rsidP="005011E6">
      <w:pPr>
        <w:spacing w:after="0" w:line="240" w:lineRule="auto"/>
        <w:jc w:val="both"/>
        <w:rPr>
          <w:rFonts w:ascii="ITC Avant Garde" w:hAnsi="ITC Avant Garde"/>
        </w:rPr>
      </w:pPr>
    </w:p>
    <w:p w14:paraId="3F9A5472" w14:textId="559B0F1D" w:rsidR="001E34AC" w:rsidRPr="00B4253F" w:rsidRDefault="00512C6E" w:rsidP="001E34AC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Adicionalmente, e</w:t>
      </w:r>
      <w:r w:rsidR="001E34AC">
        <w:rPr>
          <w:rFonts w:ascii="ITC Avant Garde" w:hAnsi="ITC Avant Garde"/>
        </w:rPr>
        <w:t xml:space="preserve">l Anteproyecto </w:t>
      </w:r>
      <w:r w:rsidR="005A6A69">
        <w:rPr>
          <w:rFonts w:ascii="ITC Avant Garde" w:hAnsi="ITC Avant Garde"/>
        </w:rPr>
        <w:t xml:space="preserve">de modificaciones a los Lineamientos </w:t>
      </w:r>
      <w:r w:rsidR="001E34AC">
        <w:rPr>
          <w:rFonts w:ascii="ITC Avant Garde" w:hAnsi="ITC Avant Garde"/>
        </w:rPr>
        <w:t>tiene por objeto</w:t>
      </w:r>
      <w:r w:rsidR="001E34AC" w:rsidRPr="00B65FD4">
        <w:rPr>
          <w:rFonts w:ascii="ITC Avant Garde" w:hAnsi="ITC Avant Garde"/>
        </w:rPr>
        <w:t xml:space="preserve"> </w:t>
      </w:r>
      <w:r w:rsidR="001E34AC">
        <w:rPr>
          <w:rFonts w:ascii="ITC Avant Garde" w:hAnsi="ITC Avant Garde"/>
        </w:rPr>
        <w:t xml:space="preserve">prever lo necesario para </w:t>
      </w:r>
      <w:r w:rsidR="001E34AC" w:rsidRPr="00B65FD4">
        <w:rPr>
          <w:rFonts w:ascii="ITC Avant Garde" w:hAnsi="ITC Avant Garde"/>
        </w:rPr>
        <w:t xml:space="preserve">cumplir eficazmente con </w:t>
      </w:r>
      <w:r>
        <w:rPr>
          <w:rFonts w:ascii="ITC Avant Garde" w:hAnsi="ITC Avant Garde"/>
        </w:rPr>
        <w:t>la</w:t>
      </w:r>
      <w:r w:rsidR="001E34AC" w:rsidRPr="00B65FD4">
        <w:rPr>
          <w:rFonts w:ascii="ITC Avant Garde" w:hAnsi="ITC Avant Garde"/>
        </w:rPr>
        <w:t xml:space="preserve"> finalidad</w:t>
      </w:r>
      <w:r w:rsidR="001E34AC">
        <w:rPr>
          <w:rFonts w:ascii="ITC Avant Garde" w:hAnsi="ITC Avant Garde"/>
        </w:rPr>
        <w:t xml:space="preserve"> de</w:t>
      </w:r>
      <w:r w:rsidR="001E34AC" w:rsidRPr="00B65FD4">
        <w:rPr>
          <w:rFonts w:ascii="ITC Avant Garde" w:hAnsi="ITC Avant Garde"/>
        </w:rPr>
        <w:t xml:space="preserve"> poner a disposición del público, de manera opcional, un mecanismo alternativo que reduzca la carga administrativa y facilite denunciar la posible existencia de conductas anticompetitivas, haciendo uso de las tecnologías de la información y comunicaciones.</w:t>
      </w:r>
      <w:r w:rsidR="001E34AC" w:rsidRPr="00B65FD4" w:rsidDel="0061796F">
        <w:rPr>
          <w:rFonts w:ascii="ITC Avant Garde" w:hAnsi="ITC Avant Garde"/>
        </w:rPr>
        <w:t xml:space="preserve"> </w:t>
      </w:r>
    </w:p>
    <w:p w14:paraId="651011A0" w14:textId="77777777" w:rsidR="005011E6" w:rsidRDefault="005011E6" w:rsidP="005011E6">
      <w:pPr>
        <w:spacing w:after="0" w:line="240" w:lineRule="auto"/>
        <w:jc w:val="both"/>
        <w:rPr>
          <w:rFonts w:ascii="ITC Avant Garde" w:hAnsi="ITC Avant Garde"/>
        </w:rPr>
      </w:pPr>
    </w:p>
    <w:p w14:paraId="54930F74" w14:textId="77777777" w:rsidR="00E93C84" w:rsidRDefault="00E93C84" w:rsidP="00404CBD">
      <w:pPr>
        <w:spacing w:after="0" w:line="240" w:lineRule="auto"/>
        <w:jc w:val="both"/>
        <w:rPr>
          <w:rFonts w:ascii="ITC Avant Garde" w:hAnsi="ITC Avant Garde" w:cs="Arial"/>
        </w:rPr>
      </w:pPr>
    </w:p>
    <w:p w14:paraId="16C1435F" w14:textId="77777777" w:rsidR="00B65FD4" w:rsidRDefault="00B65FD4">
      <w:pPr>
        <w:spacing w:after="0" w:line="240" w:lineRule="auto"/>
        <w:jc w:val="both"/>
        <w:rPr>
          <w:rFonts w:ascii="ITC Avant Garde" w:hAnsi="ITC Avant Garde"/>
        </w:rPr>
      </w:pPr>
    </w:p>
    <w:p w14:paraId="7F228D20" w14:textId="77777777" w:rsidR="00B65FD4" w:rsidRDefault="00B65FD4">
      <w:pPr>
        <w:spacing w:after="0" w:line="240" w:lineRule="auto"/>
        <w:jc w:val="both"/>
        <w:rPr>
          <w:rFonts w:ascii="ITC Avant Garde" w:hAnsi="ITC Avant Garde"/>
        </w:rPr>
      </w:pPr>
    </w:p>
    <w:p w14:paraId="085C0361" w14:textId="2933BF78" w:rsidR="00595C5C" w:rsidRPr="00B4253F" w:rsidRDefault="00595C5C">
      <w:pPr>
        <w:spacing w:after="0" w:line="240" w:lineRule="auto"/>
        <w:jc w:val="both"/>
        <w:rPr>
          <w:rFonts w:ascii="ITC Avant Garde" w:hAnsi="ITC Avant Garde"/>
        </w:rPr>
      </w:pPr>
    </w:p>
    <w:sectPr w:rsidR="00595C5C" w:rsidRPr="00B4253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7881" w14:textId="77777777" w:rsidR="00C220E5" w:rsidRDefault="00C220E5" w:rsidP="007E29CF">
      <w:pPr>
        <w:spacing w:after="0" w:line="240" w:lineRule="auto"/>
      </w:pPr>
      <w:r>
        <w:separator/>
      </w:r>
    </w:p>
  </w:endnote>
  <w:endnote w:type="continuationSeparator" w:id="0">
    <w:p w14:paraId="27618344" w14:textId="77777777" w:rsidR="00C220E5" w:rsidRDefault="00C220E5" w:rsidP="007E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906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3AD296" w14:textId="4C76AD6A" w:rsidR="007E29CF" w:rsidRDefault="007E29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5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5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DA5E7" w14:textId="77777777" w:rsidR="007E29CF" w:rsidRDefault="007E2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8FEB" w14:textId="77777777" w:rsidR="00C220E5" w:rsidRDefault="00C220E5" w:rsidP="007E29CF">
      <w:pPr>
        <w:spacing w:after="0" w:line="240" w:lineRule="auto"/>
      </w:pPr>
      <w:r>
        <w:separator/>
      </w:r>
    </w:p>
  </w:footnote>
  <w:footnote w:type="continuationSeparator" w:id="0">
    <w:p w14:paraId="323D36E6" w14:textId="77777777" w:rsidR="00C220E5" w:rsidRDefault="00C220E5" w:rsidP="007E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E12"/>
      </v:shape>
    </w:pict>
  </w:numPicBullet>
  <w:abstractNum w:abstractNumId="0" w15:restartNumberingAfterBreak="0">
    <w:nsid w:val="1A1841F3"/>
    <w:multiLevelType w:val="hybridMultilevel"/>
    <w:tmpl w:val="88F0C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1FEC"/>
    <w:multiLevelType w:val="hybridMultilevel"/>
    <w:tmpl w:val="BA108D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0B318D"/>
    <w:multiLevelType w:val="hybridMultilevel"/>
    <w:tmpl w:val="344254C8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CE1CE2"/>
    <w:multiLevelType w:val="hybridMultilevel"/>
    <w:tmpl w:val="797E54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2AC"/>
    <w:multiLevelType w:val="hybridMultilevel"/>
    <w:tmpl w:val="82A45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08"/>
    <w:multiLevelType w:val="hybridMultilevel"/>
    <w:tmpl w:val="1C3EE7B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C4DA2"/>
    <w:multiLevelType w:val="hybridMultilevel"/>
    <w:tmpl w:val="1896B9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7E51"/>
    <w:multiLevelType w:val="hybridMultilevel"/>
    <w:tmpl w:val="CB029A08"/>
    <w:lvl w:ilvl="0" w:tplc="96C6B8BA">
      <w:start w:val="1"/>
      <w:numFmt w:val="bullet"/>
      <w:pStyle w:val="Ttulo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6028"/>
    <w:multiLevelType w:val="hybridMultilevel"/>
    <w:tmpl w:val="6C767CB6"/>
    <w:lvl w:ilvl="0" w:tplc="4C52340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8A5F36"/>
    <w:multiLevelType w:val="hybridMultilevel"/>
    <w:tmpl w:val="312A5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66"/>
    <w:rsid w:val="00004B98"/>
    <w:rsid w:val="00005AC8"/>
    <w:rsid w:val="00027E2D"/>
    <w:rsid w:val="00055CD4"/>
    <w:rsid w:val="00070504"/>
    <w:rsid w:val="00070E98"/>
    <w:rsid w:val="000720D1"/>
    <w:rsid w:val="000856E0"/>
    <w:rsid w:val="00085DDA"/>
    <w:rsid w:val="00096078"/>
    <w:rsid w:val="000A3560"/>
    <w:rsid w:val="000B1A09"/>
    <w:rsid w:val="000B4793"/>
    <w:rsid w:val="000D23A4"/>
    <w:rsid w:val="00100857"/>
    <w:rsid w:val="00102154"/>
    <w:rsid w:val="001042A5"/>
    <w:rsid w:val="00105547"/>
    <w:rsid w:val="001372A9"/>
    <w:rsid w:val="00155943"/>
    <w:rsid w:val="00180B9D"/>
    <w:rsid w:val="00192911"/>
    <w:rsid w:val="001A35CE"/>
    <w:rsid w:val="001A6B51"/>
    <w:rsid w:val="001B36C8"/>
    <w:rsid w:val="001B4ED8"/>
    <w:rsid w:val="001B685C"/>
    <w:rsid w:val="001C07FD"/>
    <w:rsid w:val="001C32F2"/>
    <w:rsid w:val="001C5B11"/>
    <w:rsid w:val="001E1BAA"/>
    <w:rsid w:val="001E34AC"/>
    <w:rsid w:val="001E5D05"/>
    <w:rsid w:val="002001D6"/>
    <w:rsid w:val="00215157"/>
    <w:rsid w:val="00223EE7"/>
    <w:rsid w:val="002302AD"/>
    <w:rsid w:val="00256C23"/>
    <w:rsid w:val="0027435E"/>
    <w:rsid w:val="00275E82"/>
    <w:rsid w:val="002762FF"/>
    <w:rsid w:val="00287F46"/>
    <w:rsid w:val="00295A17"/>
    <w:rsid w:val="002A74BA"/>
    <w:rsid w:val="002B2979"/>
    <w:rsid w:val="002B77A7"/>
    <w:rsid w:val="002C690E"/>
    <w:rsid w:val="002F6FBA"/>
    <w:rsid w:val="00313323"/>
    <w:rsid w:val="00362976"/>
    <w:rsid w:val="00371EBC"/>
    <w:rsid w:val="00372F50"/>
    <w:rsid w:val="00391479"/>
    <w:rsid w:val="003D66E7"/>
    <w:rsid w:val="003E6E38"/>
    <w:rsid w:val="003E79EC"/>
    <w:rsid w:val="003F49C3"/>
    <w:rsid w:val="00404CBD"/>
    <w:rsid w:val="00413D7E"/>
    <w:rsid w:val="004642BD"/>
    <w:rsid w:val="00476EF6"/>
    <w:rsid w:val="00480C57"/>
    <w:rsid w:val="00482101"/>
    <w:rsid w:val="00485D50"/>
    <w:rsid w:val="00486493"/>
    <w:rsid w:val="004A285A"/>
    <w:rsid w:val="004C0592"/>
    <w:rsid w:val="004C3A24"/>
    <w:rsid w:val="004E23C4"/>
    <w:rsid w:val="005011E6"/>
    <w:rsid w:val="00503124"/>
    <w:rsid w:val="00503DA5"/>
    <w:rsid w:val="005107B9"/>
    <w:rsid w:val="00512C6E"/>
    <w:rsid w:val="005407CF"/>
    <w:rsid w:val="00543F6F"/>
    <w:rsid w:val="00556C41"/>
    <w:rsid w:val="00560E22"/>
    <w:rsid w:val="005660CC"/>
    <w:rsid w:val="00592B27"/>
    <w:rsid w:val="00594FBD"/>
    <w:rsid w:val="00595C5C"/>
    <w:rsid w:val="005A186A"/>
    <w:rsid w:val="005A3A7C"/>
    <w:rsid w:val="005A6A69"/>
    <w:rsid w:val="005B69EF"/>
    <w:rsid w:val="005B6BEB"/>
    <w:rsid w:val="005C391A"/>
    <w:rsid w:val="005D30BD"/>
    <w:rsid w:val="00602101"/>
    <w:rsid w:val="00602D85"/>
    <w:rsid w:val="006037F8"/>
    <w:rsid w:val="00613FEE"/>
    <w:rsid w:val="0061796F"/>
    <w:rsid w:val="00632576"/>
    <w:rsid w:val="00634835"/>
    <w:rsid w:val="00640A60"/>
    <w:rsid w:val="006436FA"/>
    <w:rsid w:val="00653112"/>
    <w:rsid w:val="00655DEE"/>
    <w:rsid w:val="006623F3"/>
    <w:rsid w:val="00667740"/>
    <w:rsid w:val="00671107"/>
    <w:rsid w:val="00674B9E"/>
    <w:rsid w:val="006954D2"/>
    <w:rsid w:val="006A602D"/>
    <w:rsid w:val="006B1063"/>
    <w:rsid w:val="006E61FC"/>
    <w:rsid w:val="006E7D64"/>
    <w:rsid w:val="007118DE"/>
    <w:rsid w:val="00714760"/>
    <w:rsid w:val="00732D24"/>
    <w:rsid w:val="00740F13"/>
    <w:rsid w:val="0076726D"/>
    <w:rsid w:val="0078105B"/>
    <w:rsid w:val="007C1A6F"/>
    <w:rsid w:val="007E29CF"/>
    <w:rsid w:val="0080585B"/>
    <w:rsid w:val="008107EF"/>
    <w:rsid w:val="0081260D"/>
    <w:rsid w:val="00821A9C"/>
    <w:rsid w:val="008259E7"/>
    <w:rsid w:val="00832FE3"/>
    <w:rsid w:val="00835578"/>
    <w:rsid w:val="00861DE2"/>
    <w:rsid w:val="0086562B"/>
    <w:rsid w:val="00873F89"/>
    <w:rsid w:val="00882AD6"/>
    <w:rsid w:val="008A281A"/>
    <w:rsid w:val="008B2163"/>
    <w:rsid w:val="008B4FE4"/>
    <w:rsid w:val="008C12C7"/>
    <w:rsid w:val="008C2FE5"/>
    <w:rsid w:val="008D14B2"/>
    <w:rsid w:val="008E3260"/>
    <w:rsid w:val="008E4BE7"/>
    <w:rsid w:val="008F1D0F"/>
    <w:rsid w:val="008F5D36"/>
    <w:rsid w:val="0093149F"/>
    <w:rsid w:val="0093444D"/>
    <w:rsid w:val="00962ECB"/>
    <w:rsid w:val="00964AB1"/>
    <w:rsid w:val="009808DB"/>
    <w:rsid w:val="009824DF"/>
    <w:rsid w:val="009A1F5A"/>
    <w:rsid w:val="009A5C7E"/>
    <w:rsid w:val="009A6194"/>
    <w:rsid w:val="009A6B88"/>
    <w:rsid w:val="009B39B5"/>
    <w:rsid w:val="009D2BF4"/>
    <w:rsid w:val="009E2F07"/>
    <w:rsid w:val="009E74E1"/>
    <w:rsid w:val="009E7E42"/>
    <w:rsid w:val="009F00B8"/>
    <w:rsid w:val="009F63DF"/>
    <w:rsid w:val="00A1602D"/>
    <w:rsid w:val="00A238EE"/>
    <w:rsid w:val="00A246CC"/>
    <w:rsid w:val="00A37246"/>
    <w:rsid w:val="00A3785A"/>
    <w:rsid w:val="00A4102E"/>
    <w:rsid w:val="00A43B81"/>
    <w:rsid w:val="00A45BC8"/>
    <w:rsid w:val="00A5390A"/>
    <w:rsid w:val="00A72AC4"/>
    <w:rsid w:val="00A74108"/>
    <w:rsid w:val="00A75281"/>
    <w:rsid w:val="00AB03B7"/>
    <w:rsid w:val="00AB2316"/>
    <w:rsid w:val="00AD1E5F"/>
    <w:rsid w:val="00AD52A8"/>
    <w:rsid w:val="00AD5CF8"/>
    <w:rsid w:val="00AF0805"/>
    <w:rsid w:val="00AF6A68"/>
    <w:rsid w:val="00B0018C"/>
    <w:rsid w:val="00B01928"/>
    <w:rsid w:val="00B0536B"/>
    <w:rsid w:val="00B103A5"/>
    <w:rsid w:val="00B26F07"/>
    <w:rsid w:val="00B31574"/>
    <w:rsid w:val="00B31971"/>
    <w:rsid w:val="00B34E17"/>
    <w:rsid w:val="00B415D8"/>
    <w:rsid w:val="00B4253F"/>
    <w:rsid w:val="00B44D9F"/>
    <w:rsid w:val="00B50066"/>
    <w:rsid w:val="00B538AC"/>
    <w:rsid w:val="00B65D72"/>
    <w:rsid w:val="00B65FD4"/>
    <w:rsid w:val="00B667B5"/>
    <w:rsid w:val="00B76BEA"/>
    <w:rsid w:val="00B874E9"/>
    <w:rsid w:val="00B93E2E"/>
    <w:rsid w:val="00B9459E"/>
    <w:rsid w:val="00BA6C8D"/>
    <w:rsid w:val="00BB5A73"/>
    <w:rsid w:val="00BD787D"/>
    <w:rsid w:val="00BE7291"/>
    <w:rsid w:val="00BF4708"/>
    <w:rsid w:val="00BF48B8"/>
    <w:rsid w:val="00BF49A8"/>
    <w:rsid w:val="00C220E5"/>
    <w:rsid w:val="00C31CC9"/>
    <w:rsid w:val="00C504D1"/>
    <w:rsid w:val="00C737A9"/>
    <w:rsid w:val="00C80FDE"/>
    <w:rsid w:val="00C8106B"/>
    <w:rsid w:val="00CA02D2"/>
    <w:rsid w:val="00CC648B"/>
    <w:rsid w:val="00CD572D"/>
    <w:rsid w:val="00CE7CB4"/>
    <w:rsid w:val="00CF0545"/>
    <w:rsid w:val="00D0771D"/>
    <w:rsid w:val="00D14469"/>
    <w:rsid w:val="00D61615"/>
    <w:rsid w:val="00D742D8"/>
    <w:rsid w:val="00D74366"/>
    <w:rsid w:val="00D743B2"/>
    <w:rsid w:val="00D84540"/>
    <w:rsid w:val="00D932A0"/>
    <w:rsid w:val="00D93F35"/>
    <w:rsid w:val="00D95D66"/>
    <w:rsid w:val="00DA3B50"/>
    <w:rsid w:val="00DA4046"/>
    <w:rsid w:val="00DA579D"/>
    <w:rsid w:val="00DC19F9"/>
    <w:rsid w:val="00DC1D55"/>
    <w:rsid w:val="00DE0BB4"/>
    <w:rsid w:val="00DE21D7"/>
    <w:rsid w:val="00DF455E"/>
    <w:rsid w:val="00DF632B"/>
    <w:rsid w:val="00E0487F"/>
    <w:rsid w:val="00E15FA3"/>
    <w:rsid w:val="00E31A26"/>
    <w:rsid w:val="00E36F83"/>
    <w:rsid w:val="00E428D9"/>
    <w:rsid w:val="00E80987"/>
    <w:rsid w:val="00E93C84"/>
    <w:rsid w:val="00EB4ECE"/>
    <w:rsid w:val="00EE064D"/>
    <w:rsid w:val="00EE1D6D"/>
    <w:rsid w:val="00EE3E55"/>
    <w:rsid w:val="00EE6430"/>
    <w:rsid w:val="00EE7EB2"/>
    <w:rsid w:val="00EF16DD"/>
    <w:rsid w:val="00EF69F4"/>
    <w:rsid w:val="00F17E97"/>
    <w:rsid w:val="00F6400E"/>
    <w:rsid w:val="00F818F7"/>
    <w:rsid w:val="00F96583"/>
    <w:rsid w:val="00FA1ACC"/>
    <w:rsid w:val="00FD6E89"/>
    <w:rsid w:val="00FD731D"/>
    <w:rsid w:val="00FD7701"/>
    <w:rsid w:val="00FE0CD3"/>
    <w:rsid w:val="00FF4D80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2382"/>
  <w15:chartTrackingRefBased/>
  <w15:docId w15:val="{D555FB7F-C6EC-46B4-A262-72913246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86A"/>
    <w:pPr>
      <w:spacing w:after="0" w:line="240" w:lineRule="auto"/>
      <w:jc w:val="both"/>
      <w:outlineLvl w:val="0"/>
    </w:pPr>
    <w:rPr>
      <w:rFonts w:ascii="ITC Avant Garde" w:hAnsi="ITC Avant Garde"/>
      <w:b/>
      <w:small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5A186A"/>
    <w:pPr>
      <w:numPr>
        <w:numId w:val="7"/>
      </w:numPr>
      <w:spacing w:after="0" w:line="240" w:lineRule="auto"/>
      <w:ind w:left="426" w:hanging="426"/>
      <w:jc w:val="both"/>
      <w:outlineLvl w:val="1"/>
    </w:pPr>
    <w:rPr>
      <w:rFonts w:ascii="ITC Avant Garde" w:hAnsi="ITC Avant Gard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5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B415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E2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CF"/>
  </w:style>
  <w:style w:type="paragraph" w:styleId="Piedepgina">
    <w:name w:val="footer"/>
    <w:basedOn w:val="Normal"/>
    <w:link w:val="PiedepginaCar"/>
    <w:uiPriority w:val="99"/>
    <w:unhideWhenUsed/>
    <w:rsid w:val="007E2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CF"/>
  </w:style>
  <w:style w:type="character" w:styleId="Refdecomentario">
    <w:name w:val="annotation reference"/>
    <w:basedOn w:val="Fuentedeprrafopredeter"/>
    <w:uiPriority w:val="99"/>
    <w:semiHidden/>
    <w:unhideWhenUsed/>
    <w:rsid w:val="008F1D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D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D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D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D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0F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2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2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2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5A186A"/>
    <w:rPr>
      <w:rFonts w:ascii="ITC Avant Garde" w:hAnsi="ITC Avant Garde"/>
      <w:b/>
    </w:rPr>
  </w:style>
  <w:style w:type="character" w:customStyle="1" w:styleId="Ttulo1Car">
    <w:name w:val="Título 1 Car"/>
    <w:basedOn w:val="Fuentedeprrafopredeter"/>
    <w:link w:val="Ttulo1"/>
    <w:uiPriority w:val="9"/>
    <w:rsid w:val="005A186A"/>
    <w:rPr>
      <w:rFonts w:ascii="ITC Avant Garde" w:hAnsi="ITC Avant Garde"/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org.mx/industria/consultas-publicas/consulta-publica-sobre-los-anteproyectos-de-modificaciones-las-disposiciones-regulatorias-de-la-lf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1674-C2AC-41D9-B3F8-7BFD94A0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Consuelos Uriostegui</dc:creator>
  <cp:keywords/>
  <dc:description/>
  <cp:lastModifiedBy>AI DGAAJ</cp:lastModifiedBy>
  <cp:revision>2</cp:revision>
  <dcterms:created xsi:type="dcterms:W3CDTF">2019-08-07T23:41:00Z</dcterms:created>
  <dcterms:modified xsi:type="dcterms:W3CDTF">2019-08-07T23:41:00Z</dcterms:modified>
</cp:coreProperties>
</file>