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0C" w:rsidRPr="00C70B8F" w:rsidRDefault="00F06C0C" w:rsidP="00C70B8F">
      <w:pPr>
        <w:spacing w:after="0" w:line="240" w:lineRule="auto"/>
        <w:contextualSpacing/>
        <w:jc w:val="both"/>
        <w:rPr>
          <w:rFonts w:ascii="ITC Avant Garde" w:hAnsi="ITC Avant Garde"/>
          <w:b/>
          <w:bCs/>
        </w:rPr>
      </w:pPr>
      <w:r w:rsidRPr="00C70B8F">
        <w:rPr>
          <w:rFonts w:ascii="ITC Avant Garde" w:hAnsi="ITC Avant Garde"/>
          <w:b/>
          <w:bCs/>
        </w:rPr>
        <w:t xml:space="preserve">ANTEPROYECTO DE MODIFICACIONES A LAS DISPOSICIONES REGULATORIAS DE LA LEY FEDERAL DE COMPETENCIA ECONÓMICA PARA LOS SECTORES DE TELECOMUNICACIONES Y RADIODIFUSIÓN, </w:t>
      </w:r>
      <w:r w:rsidR="004F3BF8">
        <w:rPr>
          <w:rFonts w:ascii="ITC Avant Garde" w:hAnsi="ITC Avant Garde"/>
          <w:b/>
          <w:bCs/>
        </w:rPr>
        <w:t>PUBLICADAS EN EL DIARIO OFICIAL DE LA FEDERACIÓN EL DOCE DE E</w:t>
      </w:r>
      <w:bookmarkStart w:id="0" w:name="_GoBack"/>
      <w:bookmarkEnd w:id="0"/>
      <w:r w:rsidR="004F3BF8">
        <w:rPr>
          <w:rFonts w:ascii="ITC Avant Garde" w:hAnsi="ITC Avant Garde"/>
          <w:b/>
          <w:bCs/>
        </w:rPr>
        <w:t xml:space="preserve">NERO DE DOS MIL QUINCE, </w:t>
      </w:r>
      <w:r w:rsidRPr="00C70B8F">
        <w:rPr>
          <w:rFonts w:ascii="ITC Avant Garde" w:hAnsi="ITC Avant Garde"/>
          <w:b/>
          <w:bCs/>
        </w:rPr>
        <w:t>RESPECTO DE LOS PROCEDIMIENTOS QUE LLEVAN A CABO LA AUTORIDAD INVESTIGADORA Y LA UNIDAD DE COMPETENCIA ECONÓMICA.</w:t>
      </w:r>
    </w:p>
    <w:p w:rsidR="00F06C0C" w:rsidRPr="00C70B8F" w:rsidRDefault="00F06C0C" w:rsidP="00C70B8F">
      <w:pPr>
        <w:spacing w:after="0" w:line="240" w:lineRule="auto"/>
        <w:contextualSpacing/>
        <w:jc w:val="both"/>
        <w:rPr>
          <w:rFonts w:ascii="ITC Avant Garde" w:hAnsi="ITC Avant Garde"/>
          <w:b/>
          <w:bCs/>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Cs/>
        </w:rPr>
        <w:t>ACUERDO POR EL QUE SE MODIFICAN LAS DISPOSICIONES REGULATORIAS DE LA LEY FEDERAL DE COMPETENCIA ECONÓMICA PARA LOS SECTORES DE TELECOMUNICACIONES Y RADIODIFUSIÓN</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contextualSpacing/>
        <w:jc w:val="center"/>
        <w:rPr>
          <w:rFonts w:ascii="ITC Avant Garde" w:hAnsi="ITC Avant Garde"/>
          <w:b/>
        </w:rPr>
      </w:pPr>
      <w:r w:rsidRPr="00C70B8F">
        <w:rPr>
          <w:rFonts w:ascii="ITC Avant Garde" w:hAnsi="ITC Avant Garde"/>
          <w:b/>
        </w:rPr>
        <w:t>ACUERDO</w:t>
      </w:r>
    </w:p>
    <w:p w:rsidR="00F06C0C" w:rsidRPr="00C70B8F" w:rsidRDefault="00F06C0C" w:rsidP="00C70B8F">
      <w:pPr>
        <w:spacing w:after="0" w:line="240" w:lineRule="auto"/>
        <w:contextualSpacing/>
        <w:jc w:val="center"/>
        <w:rPr>
          <w:rFonts w:ascii="ITC Avant Garde" w:hAnsi="ITC Avant Garde"/>
          <w:b/>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ÚNICO</w:t>
      </w:r>
      <w:r w:rsidRPr="00C70B8F">
        <w:rPr>
          <w:rFonts w:ascii="ITC Avant Garde" w:hAnsi="ITC Avant Garde"/>
        </w:rPr>
        <w:t xml:space="preserve">.- Se </w:t>
      </w:r>
      <w:r w:rsidRPr="00C70B8F">
        <w:rPr>
          <w:rFonts w:ascii="ITC Avant Garde" w:hAnsi="ITC Avant Garde"/>
          <w:b/>
        </w:rPr>
        <w:t>MODIFICAN</w:t>
      </w:r>
      <w:r w:rsidRPr="00C70B8F">
        <w:rPr>
          <w:rFonts w:ascii="ITC Avant Garde" w:hAnsi="ITC Avant Garde"/>
        </w:rPr>
        <w:t xml:space="preserve"> los artículos 1; 2, fracción V; 10; 14, quinto párrafo; 15, segundo párrafo; 39, primer párrafo; 42, párrafos segundo y cuarto; 46; 59; 61, fracciones I, en su primer párrafo, y III; 64; 68; 76, tercer párrafo; 77, primer párrafo; 78; 88; 91, segundo párrafo; 104, fracción III; 106, fracción III; 113, cuarto párrafo; </w:t>
      </w:r>
      <w:r w:rsidR="005D3E45" w:rsidRPr="00C70B8F">
        <w:rPr>
          <w:rFonts w:ascii="ITC Avant Garde" w:hAnsi="ITC Avant Garde"/>
        </w:rPr>
        <w:t xml:space="preserve">119, fracción II, en su inciso c); </w:t>
      </w:r>
      <w:r w:rsidRPr="00C70B8F">
        <w:rPr>
          <w:rFonts w:ascii="ITC Avant Garde" w:hAnsi="ITC Avant Garde"/>
        </w:rPr>
        <w:t xml:space="preserve">128; 129, primer párrafo; 134, inciso a); 135, primer párrafo; 137; 139, segundo párrafo; 141, tercer párrafo; </w:t>
      </w:r>
      <w:r w:rsidR="006650EA" w:rsidRPr="00C70B8F">
        <w:rPr>
          <w:rFonts w:ascii="ITC Avant Garde" w:hAnsi="ITC Avant Garde"/>
        </w:rPr>
        <w:t xml:space="preserve">149; </w:t>
      </w:r>
      <w:r w:rsidR="00C26309" w:rsidRPr="00C70B8F">
        <w:rPr>
          <w:rFonts w:ascii="ITC Avant Garde" w:hAnsi="ITC Avant Garde"/>
        </w:rPr>
        <w:t xml:space="preserve">155, fracción II; </w:t>
      </w:r>
      <w:r w:rsidRPr="00C70B8F">
        <w:rPr>
          <w:rFonts w:ascii="ITC Avant Garde" w:hAnsi="ITC Avant Garde"/>
        </w:rPr>
        <w:t xml:space="preserve">159; 165 fracciones III y IV, y segundo párrafo; 168, fracción III; 171, primer párrafo; </w:t>
      </w:r>
      <w:r w:rsidR="00E163D7" w:rsidRPr="00C70B8F">
        <w:rPr>
          <w:rFonts w:ascii="ITC Avant Garde" w:hAnsi="ITC Avant Garde"/>
        </w:rPr>
        <w:t xml:space="preserve">176; </w:t>
      </w:r>
      <w:r w:rsidRPr="00C70B8F">
        <w:rPr>
          <w:rFonts w:ascii="ITC Avant Garde" w:hAnsi="ITC Avant Garde"/>
        </w:rPr>
        <w:t xml:space="preserve">177 y180; se </w:t>
      </w:r>
      <w:r w:rsidRPr="00C70B8F">
        <w:rPr>
          <w:rFonts w:ascii="ITC Avant Garde" w:hAnsi="ITC Avant Garde"/>
          <w:b/>
        </w:rPr>
        <w:t>ADICIONAN</w:t>
      </w:r>
      <w:r w:rsidRPr="00C70B8F">
        <w:rPr>
          <w:rFonts w:ascii="ITC Avant Garde" w:hAnsi="ITC Avant Garde"/>
        </w:rPr>
        <w:t xml:space="preserve"> el artículo 31-A; un segundo párrafo al artículo 45; un segundo párrafo al artículo 59; un segundo párrafo a la fracción IV del artículo 61; el artículo 67-A; el artículo 68-A; un cuarto párrafo al artículo 76; el artículo 77-A; el artículo 87-A; el artículo 88-A; el artículo 90-A; </w:t>
      </w:r>
      <w:r w:rsidR="00CB0F3F" w:rsidRPr="00C70B8F">
        <w:rPr>
          <w:rFonts w:ascii="ITC Avant Garde" w:hAnsi="ITC Avant Garde"/>
        </w:rPr>
        <w:t xml:space="preserve">un segundo párrafo al artículo 116; </w:t>
      </w:r>
      <w:r w:rsidRPr="00C70B8F">
        <w:rPr>
          <w:rFonts w:ascii="ITC Avant Garde" w:hAnsi="ITC Avant Garde"/>
        </w:rPr>
        <w:t xml:space="preserve">un segundo y un tercer párrafos al artículo 128; </w:t>
      </w:r>
      <w:r w:rsidR="0048583B" w:rsidRPr="00C70B8F">
        <w:rPr>
          <w:rFonts w:ascii="ITC Avant Garde" w:hAnsi="ITC Avant Garde"/>
        </w:rPr>
        <w:t xml:space="preserve">el artículo 129-A; el artículo 129-B; </w:t>
      </w:r>
      <w:r w:rsidRPr="00C70B8F">
        <w:rPr>
          <w:rFonts w:ascii="ITC Avant Garde" w:hAnsi="ITC Avant Garde"/>
        </w:rPr>
        <w:t xml:space="preserve">un tercer párrafo al artículo 139, recorriéndose en su orden los subsecuentes; </w:t>
      </w:r>
      <w:r w:rsidR="0048583B" w:rsidRPr="00C70B8F">
        <w:rPr>
          <w:rFonts w:ascii="ITC Avant Garde" w:hAnsi="ITC Avant Garde"/>
        </w:rPr>
        <w:t xml:space="preserve">el artículo 144-A; </w:t>
      </w:r>
      <w:r w:rsidR="006650EA" w:rsidRPr="00C70B8F">
        <w:rPr>
          <w:rFonts w:ascii="ITC Avant Garde" w:hAnsi="ITC Avant Garde"/>
        </w:rPr>
        <w:t xml:space="preserve">un segundo párrafo al artículo 149; </w:t>
      </w:r>
      <w:r w:rsidRPr="00C70B8F">
        <w:rPr>
          <w:rFonts w:ascii="ITC Avant Garde" w:hAnsi="ITC Avant Garde"/>
        </w:rPr>
        <w:t>un segundo párrafo al artículo 159; el artículo 159-A; el artículo 159-B; el artículo 159-C; el artículo 159-D</w:t>
      </w:r>
      <w:r w:rsidR="00840782" w:rsidRPr="00C70B8F">
        <w:rPr>
          <w:rFonts w:ascii="ITC Avant Garde" w:hAnsi="ITC Avant Garde"/>
        </w:rPr>
        <w:t>;</w:t>
      </w:r>
      <w:r w:rsidRPr="00C70B8F">
        <w:rPr>
          <w:rFonts w:ascii="ITC Avant Garde" w:hAnsi="ITC Avant Garde"/>
        </w:rPr>
        <w:t xml:space="preserve"> las fracciones V y VI al artículo 165</w:t>
      </w:r>
      <w:r w:rsidR="008E7E9D" w:rsidRPr="00C70B8F">
        <w:rPr>
          <w:rFonts w:ascii="ITC Avant Garde" w:hAnsi="ITC Avant Garde"/>
        </w:rPr>
        <w:t>;</w:t>
      </w:r>
      <w:r w:rsidR="00840782" w:rsidRPr="00C70B8F">
        <w:rPr>
          <w:rFonts w:ascii="ITC Avant Garde" w:hAnsi="ITC Avant Garde"/>
        </w:rPr>
        <w:t xml:space="preserve"> un tercer párrafo al artículo 168</w:t>
      </w:r>
      <w:r w:rsidR="008E7E9D" w:rsidRPr="00C70B8F">
        <w:rPr>
          <w:rFonts w:ascii="ITC Avant Garde" w:hAnsi="ITC Avant Garde"/>
        </w:rPr>
        <w:t>, y un artículo 171-A</w:t>
      </w:r>
      <w:r w:rsidRPr="00C70B8F">
        <w:rPr>
          <w:rFonts w:ascii="ITC Avant Garde" w:hAnsi="ITC Avant Garde"/>
        </w:rPr>
        <w:t xml:space="preserve">; y se </w:t>
      </w:r>
      <w:r w:rsidRPr="00C70B8F">
        <w:rPr>
          <w:rFonts w:ascii="ITC Avant Garde" w:hAnsi="ITC Avant Garde"/>
          <w:b/>
        </w:rPr>
        <w:t>DEROGAN</w:t>
      </w:r>
      <w:r w:rsidRPr="00C70B8F">
        <w:rPr>
          <w:rFonts w:ascii="ITC Avant Garde" w:hAnsi="ITC Avant Garde"/>
        </w:rPr>
        <w:t xml:space="preserve"> la fracción III del artículo 4; el tercer párrafo del artículo 47; la fracción I y el segundo párrafo del artículo 55; el segundo párrafo del artículo 109; el artículo 117, y el primer párrafo del artículo 118 de las Disposiciones Regulatorias de la Ley Federal de Competencia Económica para los sectores de telecomunicaciones y radiodifusión, para quedar como sigue: </w:t>
      </w:r>
    </w:p>
    <w:p w:rsidR="00F06C0C" w:rsidRPr="00C70B8F" w:rsidRDefault="00F06C0C" w:rsidP="00C70B8F">
      <w:pPr>
        <w:spacing w:after="0" w:line="240" w:lineRule="auto"/>
        <w:contextualSpacing/>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1.</w:t>
      </w:r>
      <w:r w:rsidRPr="00C70B8F">
        <w:rPr>
          <w:rFonts w:ascii="ITC Avant Garde" w:hAnsi="ITC Avant Garde"/>
        </w:rPr>
        <w:t> El presente instrumento tiene por objeto establecer las Disposiciones Regulatorias necesarias para el cumplimiento de las atribuciones del Instituto Federal de Telecomunicaciones como autoridad en materia de competencia económica de los sectores de telecomunicaciones y radiodifusión, en términos de la Ley Federal de Competencia Económica.</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2.</w:t>
      </w:r>
      <w:r w:rsidRPr="00C70B8F">
        <w:rPr>
          <w:rFonts w:ascii="ITC Avant Garde" w:hAnsi="ITC Avant Garde"/>
        </w:rPr>
        <w:t> …</w:t>
      </w:r>
    </w:p>
    <w:p w:rsidR="00C70B8F" w:rsidRPr="00C70B8F" w:rsidRDefault="00C70B8F"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I. </w:t>
      </w:r>
      <w:r w:rsidRPr="00C70B8F">
        <w:rPr>
          <w:rFonts w:ascii="ITC Avant Garde" w:hAnsi="ITC Avant Garde"/>
        </w:rPr>
        <w:t>a</w:t>
      </w:r>
      <w:r w:rsidRPr="00C70B8F">
        <w:rPr>
          <w:rFonts w:ascii="ITC Avant Garde" w:hAnsi="ITC Avant Garde"/>
          <w:b/>
        </w:rPr>
        <w:t xml:space="preserve"> IV.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lastRenderedPageBreak/>
        <w:t>V.</w:t>
      </w:r>
      <w:r w:rsidRPr="00C70B8F">
        <w:rPr>
          <w:rFonts w:ascii="ITC Avant Garde" w:hAnsi="ITC Avant Garde"/>
        </w:rPr>
        <w:t> Autoridad Investigadora: Aquélla a la que hace referencia el artículo 26 de la Ley Federal de Telecomunicaciones y Radiodifusión, y</w:t>
      </w:r>
    </w:p>
    <w:p w:rsidR="00C70B8F" w:rsidRPr="00C70B8F" w:rsidRDefault="00C70B8F"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VI. </w:t>
      </w:r>
      <w:r w:rsidRPr="00C70B8F">
        <w:rPr>
          <w:rFonts w:ascii="ITC Avant Garde" w:hAnsi="ITC Avant Garde"/>
        </w:rPr>
        <w:t>...</w:t>
      </w:r>
    </w:p>
    <w:p w:rsidR="006C40D5"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C70B8F" w:rsidRPr="00C70B8F" w:rsidRDefault="00C70B8F" w:rsidP="00C70B8F">
      <w:pPr>
        <w:spacing w:after="0" w:line="240" w:lineRule="auto"/>
        <w:ind w:firstLine="284"/>
        <w:contextualSpacing/>
        <w:jc w:val="both"/>
        <w:rPr>
          <w:rFonts w:ascii="ITC Avant Garde" w:hAnsi="ITC Avant Garde"/>
        </w:rPr>
      </w:pPr>
    </w:p>
    <w:p w:rsidR="00C70B8F" w:rsidRDefault="006C40D5"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bCs/>
          <w:lang w:val="es-ES_tradnl"/>
        </w:rPr>
        <w:t>Artículo 4.</w:t>
      </w:r>
      <w:r w:rsidR="00C70B8F">
        <w:rPr>
          <w:rFonts w:ascii="ITC Avant Garde" w:hAnsi="ITC Avant Garde"/>
          <w:b/>
          <w:bCs/>
          <w:lang w:val="es-ES_tradnl"/>
        </w:rPr>
        <w:t xml:space="preserve"> </w:t>
      </w:r>
      <w:r w:rsidRPr="00C70B8F">
        <w:rPr>
          <w:rFonts w:ascii="ITC Avant Garde" w:hAnsi="ITC Avant Garde"/>
          <w:lang w:val="es-ES_tradnl"/>
        </w:rPr>
        <w:t>…</w:t>
      </w:r>
    </w:p>
    <w:p w:rsidR="00C70B8F" w:rsidRPr="00C70B8F" w:rsidRDefault="00C70B8F" w:rsidP="00C70B8F">
      <w:pPr>
        <w:spacing w:before="120" w:after="0" w:line="240" w:lineRule="auto"/>
        <w:ind w:firstLine="284"/>
        <w:contextualSpacing/>
        <w:jc w:val="both"/>
        <w:rPr>
          <w:rFonts w:ascii="ITC Avant Garde" w:hAnsi="ITC Avant Garde"/>
          <w:lang w:val="es-ES_tradnl"/>
        </w:rPr>
      </w:pPr>
    </w:p>
    <w:p w:rsidR="006C40D5" w:rsidRDefault="006C40D5" w:rsidP="00C70B8F">
      <w:pPr>
        <w:spacing w:before="120" w:after="0" w:line="240" w:lineRule="auto"/>
        <w:ind w:firstLine="284"/>
        <w:contextualSpacing/>
        <w:jc w:val="both"/>
        <w:rPr>
          <w:rFonts w:ascii="ITC Avant Garde" w:hAnsi="ITC Avant Garde"/>
          <w:b/>
          <w:lang w:val="es-ES_tradnl"/>
        </w:rPr>
      </w:pPr>
      <w:r w:rsidRPr="00C70B8F">
        <w:rPr>
          <w:rFonts w:ascii="ITC Avant Garde" w:hAnsi="ITC Avant Garde"/>
          <w:b/>
          <w:lang w:val="es-ES_tradnl"/>
        </w:rPr>
        <w:t xml:space="preserve">I. y II. </w:t>
      </w:r>
      <w:r w:rsidRPr="00C70B8F">
        <w:rPr>
          <w:rFonts w:ascii="ITC Avant Garde" w:hAnsi="ITC Avant Garde"/>
          <w:lang w:val="es-ES_tradnl"/>
        </w:rPr>
        <w:t>…</w:t>
      </w:r>
    </w:p>
    <w:p w:rsidR="00C70B8F" w:rsidRPr="00C70B8F" w:rsidRDefault="00C70B8F" w:rsidP="00C70B8F">
      <w:pPr>
        <w:spacing w:before="120" w:after="0" w:line="240" w:lineRule="auto"/>
        <w:ind w:firstLine="284"/>
        <w:contextualSpacing/>
        <w:jc w:val="both"/>
        <w:rPr>
          <w:rFonts w:ascii="ITC Avant Garde" w:hAnsi="ITC Avant Garde"/>
          <w:b/>
          <w:lang w:val="es-ES_tradnl"/>
        </w:rPr>
      </w:pPr>
    </w:p>
    <w:p w:rsidR="006C40D5" w:rsidRPr="00C70B8F" w:rsidRDefault="006C40D5" w:rsidP="00C70B8F">
      <w:pPr>
        <w:spacing w:before="120" w:after="0" w:line="240" w:lineRule="auto"/>
        <w:ind w:firstLine="284"/>
        <w:contextualSpacing/>
        <w:jc w:val="both"/>
        <w:rPr>
          <w:rFonts w:ascii="ITC Avant Garde" w:hAnsi="ITC Avant Garde"/>
          <w:b/>
          <w:lang w:val="es-ES_tradnl"/>
        </w:rPr>
      </w:pPr>
      <w:r w:rsidRPr="00C70B8F">
        <w:rPr>
          <w:rFonts w:ascii="ITC Avant Garde" w:hAnsi="ITC Avant Garde"/>
          <w:b/>
        </w:rPr>
        <w:t>III.</w:t>
      </w:r>
      <w:r w:rsidRPr="00C70B8F">
        <w:rPr>
          <w:rFonts w:ascii="ITC Avant Garde" w:hAnsi="ITC Avant Garde"/>
        </w:rPr>
        <w:t xml:space="preserve"> [Se deroga]</w:t>
      </w:r>
    </w:p>
    <w:p w:rsidR="00F06C0C" w:rsidRPr="00C70B8F" w:rsidRDefault="00F06C0C" w:rsidP="00C70B8F">
      <w:pPr>
        <w:spacing w:after="0" w:line="240" w:lineRule="auto"/>
        <w:contextualSpacing/>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cs="Arial"/>
          <w:b/>
          <w:bCs/>
          <w:color w:val="2F2F2F"/>
        </w:rPr>
      </w:pPr>
      <w:r w:rsidRPr="00C70B8F">
        <w:rPr>
          <w:rFonts w:ascii="ITC Avant Garde" w:hAnsi="ITC Avant Garde"/>
          <w:b/>
        </w:rPr>
        <w:t>Artículo 10.</w:t>
      </w:r>
      <w:r w:rsidRPr="00C70B8F">
        <w:rPr>
          <w:rFonts w:ascii="ITC Avant Garde" w:hAnsi="ITC Avant Garde"/>
        </w:rPr>
        <w:t> Para el análisis de la existencia de Barreras a la Competencia y la Libre Concurrencia, se considerará el mercado relevante en términos de los artículos 58 de la Ley y 5 de estas Disposiciones Regulatorias, y los mercados relacionados en términos del artículo 6 de las mismas.</w:t>
      </w:r>
      <w:r w:rsidRPr="00C70B8F">
        <w:rPr>
          <w:rFonts w:ascii="ITC Avant Garde" w:hAnsi="ITC Avant Garde" w:cs="Arial"/>
          <w:b/>
          <w:bCs/>
          <w:color w:val="2F2F2F"/>
        </w:rPr>
        <w:t xml:space="preserve"> </w:t>
      </w:r>
    </w:p>
    <w:p w:rsidR="00F06C0C" w:rsidRPr="00C70B8F" w:rsidRDefault="00F06C0C" w:rsidP="00C70B8F">
      <w:pPr>
        <w:spacing w:after="0" w:line="240" w:lineRule="auto"/>
        <w:contextualSpacing/>
        <w:jc w:val="center"/>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14. </w:t>
      </w:r>
      <w:r w:rsidRPr="00C70B8F">
        <w:rPr>
          <w:rFonts w:ascii="ITC Avant Garde" w:hAnsi="ITC Avant Garde"/>
        </w:rPr>
        <w:t>…</w:t>
      </w:r>
    </w:p>
    <w:p w:rsid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C70B8F" w:rsidRPr="00C70B8F" w:rsidRDefault="00C70B8F" w:rsidP="00C70B8F">
      <w:pPr>
        <w:spacing w:after="0" w:line="240" w:lineRule="auto"/>
        <w:ind w:firstLine="284"/>
        <w:contextualSpacing/>
        <w:jc w:val="both"/>
        <w:rPr>
          <w:rFonts w:ascii="ITC Avant Garde" w:hAnsi="ITC Avant Garde"/>
        </w:rPr>
      </w:pPr>
    </w:p>
    <w:p w:rsidR="00C70B8F" w:rsidRPr="00C70B8F" w:rsidRDefault="00F06C0C" w:rsidP="00C70B8F">
      <w:pPr>
        <w:spacing w:after="0" w:line="240" w:lineRule="auto"/>
        <w:ind w:left="142"/>
        <w:contextualSpacing/>
        <w:jc w:val="both"/>
        <w:rPr>
          <w:rFonts w:ascii="ITC Avant Garde" w:hAnsi="ITC Avant Garde"/>
        </w:rPr>
      </w:pPr>
      <w:r w:rsidRPr="00C70B8F">
        <w:rPr>
          <w:rFonts w:ascii="ITC Avant Garde" w:hAnsi="ITC Avant Garde"/>
          <w:b/>
        </w:rPr>
        <w:t xml:space="preserve">  I. </w:t>
      </w:r>
      <w:r w:rsidRPr="00C70B8F">
        <w:rPr>
          <w:rFonts w:ascii="ITC Avant Garde" w:hAnsi="ITC Avant Garde"/>
        </w:rPr>
        <w:t>a</w:t>
      </w:r>
      <w:r w:rsidRPr="00C70B8F">
        <w:rPr>
          <w:rFonts w:ascii="ITC Avant Garde" w:hAnsi="ITC Avant Garde"/>
          <w:b/>
        </w:rPr>
        <w:t xml:space="preserve"> V.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22EE1" w:rsidRPr="00C70B8F" w:rsidRDefault="00F22EE1"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En el caso de las investigaciones por concentración ilícita, la presentación de la información y la documentación para acreditar ganancias en eficiencia derivadas de la concentración, puede hacerse antes de la emisión del acuerdo de conclusión de la investigación. En caso de que la Autoridad Investigadora emita dictamen de probable responsabilidad, la presentación puede hacerse en la contestación al referido dictamen.</w:t>
      </w:r>
    </w:p>
    <w:p w:rsidR="006C40D5"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 xml:space="preserve">    </w:t>
      </w:r>
      <w:r w:rsidRPr="00C70B8F">
        <w:rPr>
          <w:rFonts w:ascii="ITC Avant Garde" w:hAnsi="ITC Avant Garde"/>
        </w:rPr>
        <w:t xml:space="preserve"> …</w:t>
      </w:r>
    </w:p>
    <w:p w:rsidR="00F22EE1" w:rsidRPr="00C70B8F" w:rsidRDefault="00F22EE1" w:rsidP="00C70B8F">
      <w:pPr>
        <w:spacing w:after="0" w:line="240" w:lineRule="auto"/>
        <w:contextualSpacing/>
        <w:jc w:val="both"/>
        <w:rPr>
          <w:rFonts w:ascii="ITC Avant Garde" w:hAnsi="ITC Avant Garde"/>
        </w:rPr>
      </w:pPr>
    </w:p>
    <w:p w:rsidR="006C40D5" w:rsidRDefault="006C40D5" w:rsidP="00C70B8F">
      <w:pPr>
        <w:spacing w:before="120" w:after="0" w:line="240" w:lineRule="auto"/>
        <w:ind w:firstLine="284"/>
        <w:contextualSpacing/>
        <w:jc w:val="both"/>
        <w:rPr>
          <w:rFonts w:ascii="ITC Avant Garde" w:hAnsi="ITC Avant Garde"/>
          <w:bCs/>
          <w:lang w:val="es-ES_tradnl"/>
        </w:rPr>
      </w:pPr>
      <w:r w:rsidRPr="00C70B8F">
        <w:rPr>
          <w:rFonts w:ascii="ITC Avant Garde" w:hAnsi="ITC Avant Garde"/>
          <w:b/>
          <w:bCs/>
          <w:lang w:val="es-ES_tradnl"/>
        </w:rPr>
        <w:t xml:space="preserve">Artículo 15. </w:t>
      </w:r>
      <w:r w:rsidRPr="00C70B8F">
        <w:rPr>
          <w:rFonts w:ascii="ITC Avant Garde" w:hAnsi="ITC Avant Garde"/>
          <w:bCs/>
          <w:lang w:val="es-ES_tradnl"/>
        </w:rPr>
        <w:t>…</w:t>
      </w:r>
    </w:p>
    <w:p w:rsidR="00C70B8F" w:rsidRPr="00C70B8F" w:rsidRDefault="00C70B8F" w:rsidP="00C70B8F">
      <w:pPr>
        <w:spacing w:before="120" w:after="0" w:line="240" w:lineRule="auto"/>
        <w:ind w:firstLine="284"/>
        <w:contextualSpacing/>
        <w:jc w:val="both"/>
        <w:rPr>
          <w:rFonts w:ascii="ITC Avant Garde" w:hAnsi="ITC Avant Garde"/>
          <w:bCs/>
          <w:lang w:val="es-ES_tradnl"/>
        </w:rPr>
      </w:pPr>
    </w:p>
    <w:p w:rsidR="006C40D5" w:rsidRPr="00C70B8F" w:rsidRDefault="006C40D5" w:rsidP="00C70B8F">
      <w:pPr>
        <w:spacing w:before="120" w:after="0" w:line="240" w:lineRule="auto"/>
        <w:ind w:firstLine="284"/>
        <w:contextualSpacing/>
        <w:jc w:val="both"/>
        <w:rPr>
          <w:rFonts w:ascii="ITC Avant Garde" w:hAnsi="ITC Avant Garde"/>
        </w:rPr>
      </w:pPr>
      <w:r w:rsidRPr="00C70B8F">
        <w:rPr>
          <w:rFonts w:ascii="ITC Avant Garde" w:hAnsi="ITC Avant Garde"/>
        </w:rPr>
        <w:t>Asimismo, se debe tomar en cuenta el valor diario de la Unidad de Medida y Actualización vigente el día anterior a aquél en que se notifique la concentración y, en caso de que las operaciones se pacten en dólares de los Estados Unidos de América, debe aplicarse el tipo de cambio para solventar obligaciones denominadas en moneda extranjera pagaderas en la República Mexicana publicado por el Banco de México, que resulte más bajo durante los cinco días anteriores a aquél en que se realice la notificación.</w:t>
      </w:r>
    </w:p>
    <w:p w:rsidR="006C40D5" w:rsidRPr="00C70B8F" w:rsidRDefault="006C40D5" w:rsidP="00C70B8F">
      <w:pPr>
        <w:spacing w:before="120" w:after="0" w:line="240" w:lineRule="auto"/>
        <w:ind w:firstLine="284"/>
        <w:contextualSpacing/>
        <w:jc w:val="both"/>
        <w:rPr>
          <w:rFonts w:ascii="ITC Avant Garde" w:hAnsi="ITC Avant Garde"/>
          <w:bCs/>
          <w:lang w:val="es-ES_tradnl"/>
        </w:rPr>
      </w:pPr>
      <w:r w:rsidRPr="00C70B8F">
        <w:rPr>
          <w:rFonts w:ascii="ITC Avant Garde" w:hAnsi="ITC Avant Garde"/>
          <w:bCs/>
          <w:lang w:val="es-ES_tradnl"/>
        </w:rPr>
        <w:t>…</w:t>
      </w:r>
    </w:p>
    <w:p w:rsidR="006C40D5" w:rsidRDefault="006C40D5" w:rsidP="00C70B8F">
      <w:pPr>
        <w:spacing w:before="120" w:after="0" w:line="240" w:lineRule="auto"/>
        <w:ind w:firstLine="284"/>
        <w:contextualSpacing/>
        <w:jc w:val="both"/>
        <w:rPr>
          <w:rFonts w:ascii="ITC Avant Garde" w:hAnsi="ITC Avant Garde"/>
          <w:bCs/>
          <w:lang w:val="es-ES_tradnl"/>
        </w:rPr>
      </w:pPr>
      <w:r w:rsidRPr="00C70B8F">
        <w:rPr>
          <w:rFonts w:ascii="ITC Avant Garde" w:hAnsi="ITC Avant Garde"/>
          <w:bCs/>
          <w:lang w:val="es-ES_tradnl"/>
        </w:rPr>
        <w:t>…</w:t>
      </w:r>
    </w:p>
    <w:p w:rsidR="00C70B8F" w:rsidRPr="00C70B8F" w:rsidRDefault="00C70B8F" w:rsidP="00C70B8F">
      <w:pPr>
        <w:spacing w:before="120" w:after="0" w:line="240" w:lineRule="auto"/>
        <w:ind w:firstLine="284"/>
        <w:contextualSpacing/>
        <w:jc w:val="both"/>
        <w:rPr>
          <w:rFonts w:ascii="ITC Avant Garde" w:hAnsi="ITC Avant Garde"/>
          <w:bCs/>
          <w:lang w:val="es-ES_tradnl"/>
        </w:rPr>
      </w:pPr>
    </w:p>
    <w:p w:rsidR="00DC21D1" w:rsidRDefault="006C40D5" w:rsidP="00C70B8F">
      <w:pPr>
        <w:spacing w:before="120" w:after="0" w:line="240" w:lineRule="auto"/>
        <w:ind w:firstLine="284"/>
        <w:contextualSpacing/>
        <w:jc w:val="both"/>
        <w:rPr>
          <w:rFonts w:ascii="ITC Avant Garde" w:hAnsi="ITC Avant Garde"/>
          <w:bCs/>
          <w:lang w:val="es-ES_tradnl"/>
        </w:rPr>
      </w:pPr>
      <w:r w:rsidRPr="00C70B8F">
        <w:rPr>
          <w:rFonts w:ascii="ITC Avant Garde" w:hAnsi="ITC Avant Garde"/>
          <w:bCs/>
          <w:lang w:val="es-ES_tradnl"/>
        </w:rPr>
        <w:t>a) y b) …</w:t>
      </w:r>
    </w:p>
    <w:p w:rsidR="00DC21D1" w:rsidRPr="00C70B8F" w:rsidRDefault="00DC21D1" w:rsidP="00C70B8F">
      <w:pP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lastRenderedPageBreak/>
        <w:t>Artículo 31-A.</w:t>
      </w:r>
      <w:r w:rsidRPr="00C70B8F">
        <w:rPr>
          <w:rFonts w:ascii="ITC Avant Garde" w:hAnsi="ITC Avant Garde" w:cs="Arial"/>
          <w:bCs/>
        </w:rPr>
        <w:t xml:space="preserve"> La notificación de concentración presentada en términos de los artículos 89 y 90 de la Ley, después de que hubiera sucedido cualquiera de los supuestos establecidos en el artículo 87 de la Ley, dará lugar a que la UCE la deseche de plano y dé vista a la Autoridad Investigadora para el ejercicio de sus atribuciones.</w:t>
      </w:r>
    </w:p>
    <w:p w:rsidR="00F06C0C" w:rsidRPr="00C70B8F" w:rsidRDefault="00F06C0C" w:rsidP="00C70B8F">
      <w:pPr>
        <w:spacing w:after="0" w:line="240" w:lineRule="auto"/>
        <w:contextualSpacing/>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39. </w:t>
      </w:r>
      <w:r w:rsidRPr="00C70B8F">
        <w:rPr>
          <w:rFonts w:ascii="ITC Avant Garde" w:hAnsi="ITC Avant Garde"/>
        </w:rPr>
        <w:t>El oficio de comisión para que se lleve a cabo una diligencia contendrá el nombre del servidor público, el número de empleado, el órgano o unidad administrativa a la que esté adscrito, su cargo y la diligencia para la que se le comisiona, así como la posibilidad de formular los apercibimientos que en derecho correspondan. Los servidores públicos comisionados pueden solicitar el auxilio y serán asistidos por otras autoridades del orden federal, estatal, de la Ciudad de México y municipal, para el desempeño eficaz de sus funciones y para garantizar su seguridad personal durante las diligencias encomendadas.</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Artículo 42.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 xml:space="preserve">El plazo establecido en la Ley o en las Disposiciones Regulatorias para la actuación del Instituto derivado de una promoción, contará a partir del día siguiente a aquél en que el </w:t>
      </w:r>
      <w:proofErr w:type="spellStart"/>
      <w:r w:rsidRPr="00C70B8F">
        <w:rPr>
          <w:rFonts w:ascii="ITC Avant Garde" w:hAnsi="ITC Avant Garde"/>
        </w:rPr>
        <w:t>promovente</w:t>
      </w:r>
      <w:proofErr w:type="spellEnd"/>
      <w:r w:rsidRPr="00C70B8F">
        <w:rPr>
          <w:rFonts w:ascii="ITC Avant Garde" w:hAnsi="ITC Avant Garde"/>
        </w:rPr>
        <w:t xml:space="preserve"> acredite su personalidad en el expediente respectivo, salvo disposición en contrario.</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22EE1" w:rsidRPr="00C70B8F" w:rsidRDefault="00F22EE1"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 xml:space="preserve">El Instituto hará uso de dicho registro para las actuaciones o diligencias que se realicen con relación a la sustanciación de cualquiera de sus procedimientos. A efecto de acreditar la personalidad de un </w:t>
      </w:r>
      <w:proofErr w:type="spellStart"/>
      <w:r w:rsidRPr="00C70B8F">
        <w:rPr>
          <w:rFonts w:ascii="ITC Avant Garde" w:hAnsi="ITC Avant Garde"/>
        </w:rPr>
        <w:t>promovente</w:t>
      </w:r>
      <w:proofErr w:type="spellEnd"/>
      <w:r w:rsidRPr="00C70B8F">
        <w:rPr>
          <w:rFonts w:ascii="ITC Avant Garde" w:hAnsi="ITC Avant Garde"/>
        </w:rPr>
        <w:t xml:space="preserve"> inscrito ante el Registro de Personas Acreditadas, deberá señalar el folio y número de constancia de inscripción.</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Artículo 45.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En términos del párrafo segundo del artículo 124 de la Ley, durante la investigación no se permitirá el acceso al expediente, por lo que ninguna persona podrá obtener copias certificadas de las constancias que integren expedientes de investigaciones en curso.</w:t>
      </w:r>
    </w:p>
    <w:p w:rsidR="00F06C0C" w:rsidRPr="00C70B8F" w:rsidRDefault="00F06C0C" w:rsidP="00C70B8F">
      <w:pPr>
        <w:spacing w:after="0" w:line="240" w:lineRule="auto"/>
        <w:ind w:firstLine="284"/>
        <w:contextualSpacing/>
        <w:jc w:val="both"/>
        <w:rPr>
          <w:rFonts w:ascii="ITC Avant Garde" w:hAnsi="ITC Avant Garde"/>
        </w:rPr>
      </w:pPr>
    </w:p>
    <w:p w:rsidR="00DC21D1" w:rsidRPr="00C70B8F" w:rsidRDefault="00DC21D1" w:rsidP="00C70B8F">
      <w:pPr>
        <w:spacing w:before="120" w:after="0" w:line="240" w:lineRule="auto"/>
        <w:ind w:firstLine="284"/>
        <w:contextualSpacing/>
        <w:jc w:val="both"/>
        <w:rPr>
          <w:rFonts w:ascii="ITC Avant Garde" w:hAnsi="ITC Avant Garde"/>
          <w:b/>
        </w:rPr>
      </w:pPr>
      <w:r w:rsidRPr="00C70B8F">
        <w:rPr>
          <w:rFonts w:ascii="ITC Avant Garde" w:hAnsi="ITC Avant Garde"/>
          <w:b/>
          <w:bCs/>
          <w:lang w:val="es-ES_tradnl"/>
        </w:rPr>
        <w:t xml:space="preserve">Artículo 46. </w:t>
      </w:r>
      <w:r w:rsidRPr="00C70B8F">
        <w:rPr>
          <w:rFonts w:ascii="ITC Avant Garde" w:hAnsi="ITC Avant Garde" w:cs="Arial"/>
          <w:bCs/>
        </w:rPr>
        <w:t>La expedición de copias certificadas y la certificación de los cotejos se realizará previo pago de los derechos respectivos. Se asentará acuse de recibo en autos al momento de su entrega.</w:t>
      </w:r>
    </w:p>
    <w:p w:rsidR="00DC21D1" w:rsidRPr="00C70B8F" w:rsidRDefault="00DC21D1" w:rsidP="00C70B8F">
      <w:pPr>
        <w:spacing w:after="0" w:line="240" w:lineRule="auto"/>
        <w:ind w:firstLine="284"/>
        <w:contextualSpacing/>
        <w:jc w:val="both"/>
        <w:rPr>
          <w:rFonts w:ascii="ITC Avant Garde" w:hAnsi="ITC Avant Garde"/>
        </w:rPr>
      </w:pPr>
    </w:p>
    <w:p w:rsidR="00F06C0C" w:rsidRDefault="00F06C0C" w:rsidP="00C70B8F">
      <w:pPr>
        <w:spacing w:after="0" w:line="240" w:lineRule="auto"/>
        <w:ind w:left="284"/>
        <w:contextualSpacing/>
        <w:jc w:val="both"/>
        <w:rPr>
          <w:rFonts w:ascii="ITC Avant Garde" w:hAnsi="ITC Avant Garde"/>
        </w:rPr>
      </w:pPr>
      <w:r w:rsidRPr="00C70B8F">
        <w:rPr>
          <w:rFonts w:ascii="ITC Avant Garde" w:hAnsi="ITC Avant Garde"/>
          <w:b/>
        </w:rPr>
        <w:t>Artículo 47. </w:t>
      </w:r>
      <w:r w:rsidRPr="00C70B8F">
        <w:rPr>
          <w:rFonts w:ascii="ITC Avant Garde" w:hAnsi="ITC Avant Garde"/>
        </w:rPr>
        <w:t>…</w:t>
      </w:r>
    </w:p>
    <w:p w:rsidR="00C70B8F" w:rsidRPr="00C70B8F" w:rsidRDefault="00C70B8F" w:rsidP="00C70B8F">
      <w:pPr>
        <w:spacing w:after="0" w:line="240" w:lineRule="auto"/>
        <w:ind w:left="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I. </w:t>
      </w:r>
      <w:r w:rsidRPr="00C70B8F">
        <w:rPr>
          <w:rFonts w:ascii="ITC Avant Garde" w:hAnsi="ITC Avant Garde"/>
        </w:rPr>
        <w:t>a</w:t>
      </w:r>
      <w:r w:rsidRPr="00C70B8F">
        <w:rPr>
          <w:rFonts w:ascii="ITC Avant Garde" w:hAnsi="ITC Avant Garde"/>
          <w:b/>
        </w:rPr>
        <w:t xml:space="preserve"> V.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22EE1" w:rsidRPr="00C70B8F" w:rsidRDefault="00F22EE1"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[Se deroga párrafo]</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left="284"/>
        <w:contextualSpacing/>
        <w:jc w:val="both"/>
        <w:rPr>
          <w:rFonts w:ascii="ITC Avant Garde" w:hAnsi="ITC Avant Garde"/>
          <w:b/>
        </w:rPr>
      </w:pPr>
      <w:r w:rsidRPr="00C70B8F">
        <w:rPr>
          <w:rFonts w:ascii="ITC Avant Garde" w:hAnsi="ITC Avant Garde"/>
          <w:b/>
        </w:rPr>
        <w:lastRenderedPageBreak/>
        <w:t>Artículo 55.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pStyle w:val="Prrafodelista"/>
        <w:numPr>
          <w:ilvl w:val="0"/>
          <w:numId w:val="1"/>
        </w:numPr>
        <w:spacing w:after="0" w:line="240" w:lineRule="auto"/>
        <w:ind w:left="567" w:hanging="207"/>
        <w:jc w:val="both"/>
        <w:rPr>
          <w:rFonts w:ascii="ITC Avant Garde" w:hAnsi="ITC Avant Garde"/>
        </w:rPr>
      </w:pPr>
      <w:r w:rsidRPr="00C70B8F">
        <w:rPr>
          <w:rFonts w:ascii="ITC Avant Garde" w:hAnsi="ITC Avant Garde"/>
        </w:rPr>
        <w:t>[Se deroga]</w:t>
      </w:r>
    </w:p>
    <w:p w:rsidR="00F06C0C" w:rsidRPr="00C70B8F" w:rsidRDefault="00F06C0C" w:rsidP="00C70B8F">
      <w:pPr>
        <w:spacing w:after="0" w:line="240" w:lineRule="auto"/>
        <w:contextualSpacing/>
        <w:jc w:val="both"/>
        <w:rPr>
          <w:rFonts w:ascii="ITC Avant Garde" w:hAnsi="ITC Avant Garde"/>
          <w:b/>
        </w:rPr>
      </w:pPr>
    </w:p>
    <w:p w:rsidR="00F06C0C" w:rsidRPr="00C70B8F" w:rsidRDefault="00F06C0C" w:rsidP="00C70B8F">
      <w:pPr>
        <w:spacing w:after="0" w:line="240" w:lineRule="auto"/>
        <w:contextualSpacing/>
        <w:jc w:val="both"/>
        <w:rPr>
          <w:rFonts w:ascii="ITC Avant Garde" w:hAnsi="ITC Avant Garde"/>
          <w:b/>
        </w:rPr>
      </w:pPr>
      <w:r w:rsidRPr="00C70B8F">
        <w:rPr>
          <w:rFonts w:ascii="ITC Avant Garde" w:hAnsi="ITC Avant Garde"/>
          <w:b/>
        </w:rPr>
        <w:t xml:space="preserve">      II. </w:t>
      </w:r>
      <w:r w:rsidRPr="00C70B8F">
        <w:rPr>
          <w:rFonts w:ascii="ITC Avant Garde" w:hAnsi="ITC Avant Garde"/>
        </w:rPr>
        <w:t>a</w:t>
      </w:r>
      <w:r w:rsidRPr="00C70B8F">
        <w:rPr>
          <w:rFonts w:ascii="ITC Avant Garde" w:hAnsi="ITC Avant Garde"/>
          <w:b/>
        </w:rPr>
        <w:t xml:space="preserve"> V. </w:t>
      </w:r>
      <w:r w:rsidRPr="00C70B8F">
        <w:rPr>
          <w:rFonts w:ascii="ITC Avant Garde" w:hAnsi="ITC Avant Garde"/>
        </w:rPr>
        <w:t>…</w:t>
      </w:r>
    </w:p>
    <w:p w:rsidR="00F06C0C" w:rsidRPr="00C70B8F" w:rsidRDefault="00F06C0C" w:rsidP="00C70B8F">
      <w:pPr>
        <w:spacing w:after="0" w:line="240" w:lineRule="auto"/>
        <w:contextualSpacing/>
        <w:jc w:val="both"/>
        <w:rPr>
          <w:rFonts w:ascii="ITC Avant Garde" w:hAnsi="ITC Avant Garde"/>
          <w:b/>
        </w:rPr>
      </w:pPr>
    </w:p>
    <w:p w:rsidR="00F06C0C" w:rsidRPr="00C70B8F" w:rsidRDefault="00F06C0C" w:rsidP="00C70B8F">
      <w:pPr>
        <w:spacing w:after="0" w:line="240" w:lineRule="auto"/>
        <w:ind w:left="284"/>
        <w:contextualSpacing/>
        <w:jc w:val="both"/>
        <w:rPr>
          <w:rFonts w:ascii="ITC Avant Garde" w:hAnsi="ITC Avant Garde"/>
        </w:rPr>
      </w:pPr>
      <w:r w:rsidRPr="00C70B8F">
        <w:rPr>
          <w:rFonts w:ascii="ITC Avant Garde" w:hAnsi="ITC Avant Garde"/>
        </w:rPr>
        <w:t>[Se deroga párrafo]</w:t>
      </w:r>
    </w:p>
    <w:p w:rsidR="00F06C0C" w:rsidRPr="00C70B8F" w:rsidRDefault="00F06C0C" w:rsidP="00C70B8F">
      <w:pPr>
        <w:spacing w:after="0" w:line="240" w:lineRule="auto"/>
        <w:contextualSpacing/>
        <w:jc w:val="both"/>
        <w:rPr>
          <w:rFonts w:ascii="ITC Avant Garde" w:hAnsi="ITC Avant Garde"/>
          <w:b/>
        </w:rPr>
      </w:pPr>
    </w:p>
    <w:p w:rsidR="00F06C0C" w:rsidRPr="00C70B8F" w:rsidRDefault="00F06C0C" w:rsidP="00C70B8F">
      <w:pPr>
        <w:spacing w:after="0" w:line="240" w:lineRule="auto"/>
        <w:ind w:left="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59.</w:t>
      </w:r>
      <w:r w:rsidRPr="00C70B8F">
        <w:rPr>
          <w:rFonts w:ascii="ITC Avant Garde" w:hAnsi="ITC Avant Garde"/>
        </w:rPr>
        <w:t> En términos de los artículos 67 y 96 de la Ley, los particulares deben presentar los escritos de denuncias y las solicitudes a través de la oficialía de partes del Instituto y deben estar dirigidos a la Autoridad Investigadora. En los casos en que el Instituto lo determine mediante disposiciones de carácter general, podrán presentarse a través de medios electrónicos.</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El Instituto podrá poner a disposición de los particulares formatos impresos o electrónicos, para facilitar la presentación de las denuncias o solicitudes. El uso de estos formatos será opcional.</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61. </w:t>
      </w:r>
      <w:r w:rsidRPr="00C70B8F">
        <w:rPr>
          <w:rFonts w:ascii="ITC Avant Garde" w:hAnsi="ITC Avant Garde"/>
        </w:rPr>
        <w:t xml:space="preserve">…   </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I.</w:t>
      </w:r>
      <w:r w:rsidRPr="00C70B8F">
        <w:rPr>
          <w:rFonts w:ascii="ITC Avant Garde" w:hAnsi="ITC Avant Garde"/>
        </w:rPr>
        <w:t> Un extracto del acuerdo de inicio del procedimiento, que debe contener el mercado que se investiga, el número de expediente correspondiente y, en su caso, la mención de la o las fechas en que se acordó ampliar el periodo de investigación.</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pStyle w:val="Prrafodelista"/>
        <w:numPr>
          <w:ilvl w:val="0"/>
          <w:numId w:val="1"/>
        </w:numPr>
        <w:spacing w:after="0" w:line="240" w:lineRule="auto"/>
        <w:ind w:left="709" w:hanging="425"/>
        <w:jc w:val="both"/>
        <w:rPr>
          <w:rFonts w:ascii="ITC Avant Garde" w:hAnsi="ITC Avant Garde"/>
        </w:rPr>
      </w:pPr>
      <w:r w:rsidRPr="00C70B8F">
        <w:rPr>
          <w:rFonts w:ascii="ITC Avant Garde" w:hAnsi="ITC Avant Garde"/>
        </w:rPr>
        <w:t xml:space="preserve">… </w:t>
      </w:r>
    </w:p>
    <w:p w:rsidR="00F06C0C" w:rsidRPr="00C70B8F" w:rsidRDefault="00F06C0C" w:rsidP="00C70B8F">
      <w:pPr>
        <w:spacing w:after="0" w:line="240" w:lineRule="auto"/>
        <w:contextualSpacing/>
        <w:jc w:val="center"/>
        <w:rPr>
          <w:rFonts w:ascii="ITC Avant Garde" w:hAnsi="ITC Avant Garde"/>
          <w:b/>
        </w:rPr>
      </w:pPr>
    </w:p>
    <w:p w:rsidR="00F06C0C" w:rsidRPr="00C70B8F" w:rsidRDefault="00F06C0C" w:rsidP="00C70B8F">
      <w:pPr>
        <w:pStyle w:val="Prrafodelista"/>
        <w:numPr>
          <w:ilvl w:val="0"/>
          <w:numId w:val="1"/>
        </w:numPr>
        <w:spacing w:after="0" w:line="240" w:lineRule="auto"/>
        <w:ind w:left="709" w:hanging="425"/>
        <w:jc w:val="both"/>
        <w:rPr>
          <w:rFonts w:ascii="ITC Avant Garde" w:hAnsi="ITC Avant Garde"/>
        </w:rPr>
      </w:pPr>
      <w:r w:rsidRPr="00C70B8F">
        <w:rPr>
          <w:rFonts w:ascii="ITC Avant Garde" w:hAnsi="ITC Avant Garde"/>
        </w:rPr>
        <w:t>El carácter que tiene el requerido en el procedimiento que se tramita, como denunciado, tercero coadyuvante o investigado;</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pStyle w:val="Prrafodelista"/>
        <w:numPr>
          <w:ilvl w:val="0"/>
          <w:numId w:val="1"/>
        </w:numPr>
        <w:spacing w:after="0" w:line="240" w:lineRule="auto"/>
        <w:ind w:left="709" w:hanging="425"/>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En caso de que un Agente Económico no solicite clasificar información con el carácter de confidencial, la Autoridad Investigadora podrá prevenirlo para que señale si parte de la información aportada tiene tal carácter y lo acredite. Si el Agente Económico no desahoga la prevención o al desahogarla no señala la parte de la información que tenga carácter confidencial o no lo acredita, la Autoridad Investigadora realizará la clasificación conforme a derecho y se tendrá al Agente Económico conforme con dicha clasificación.</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left="284"/>
        <w:contextualSpacing/>
        <w:jc w:val="both"/>
        <w:rPr>
          <w:rFonts w:ascii="ITC Avant Garde" w:hAnsi="ITC Avant Garde"/>
          <w:b/>
        </w:rPr>
      </w:pPr>
      <w:r w:rsidRPr="00C70B8F">
        <w:rPr>
          <w:rFonts w:ascii="ITC Avant Garde" w:hAnsi="ITC Avant Garde"/>
          <w:b/>
        </w:rPr>
        <w:t xml:space="preserve">V.  </w:t>
      </w:r>
      <w:r w:rsidRPr="00C70B8F">
        <w:rPr>
          <w:rFonts w:ascii="ITC Avant Garde" w:hAnsi="ITC Avant Garde"/>
        </w:rPr>
        <w:t>y</w:t>
      </w:r>
      <w:r w:rsidRPr="00C70B8F">
        <w:rPr>
          <w:rFonts w:ascii="ITC Avant Garde" w:hAnsi="ITC Avant Garde"/>
          <w:b/>
        </w:rPr>
        <w:t xml:space="preserve"> VI. </w:t>
      </w:r>
      <w:r w:rsidRPr="00C70B8F">
        <w:rPr>
          <w:rFonts w:ascii="ITC Avant Garde" w:hAnsi="ITC Avant Garde"/>
        </w:rPr>
        <w:t>…</w:t>
      </w:r>
    </w:p>
    <w:p w:rsidR="00F06C0C" w:rsidRPr="00C70B8F" w:rsidRDefault="00F06C0C" w:rsidP="00C70B8F">
      <w:pPr>
        <w:spacing w:after="0" w:line="240" w:lineRule="auto"/>
        <w:ind w:left="284"/>
        <w:contextualSpacing/>
        <w:jc w:val="both"/>
        <w:rPr>
          <w:rFonts w:ascii="ITC Avant Garde" w:hAnsi="ITC Avant Garde"/>
        </w:rPr>
      </w:pPr>
      <w:r w:rsidRPr="00C70B8F">
        <w:rPr>
          <w:rFonts w:ascii="ITC Avant Garde" w:hAnsi="ITC Avant Garde"/>
        </w:rPr>
        <w:t>…</w:t>
      </w:r>
    </w:p>
    <w:p w:rsidR="00F06C0C" w:rsidRPr="00C70B8F" w:rsidRDefault="00F22EE1" w:rsidP="00C70B8F">
      <w:pPr>
        <w:spacing w:after="0" w:line="240" w:lineRule="auto"/>
        <w:ind w:left="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cs="Arial"/>
          <w:b/>
          <w:bCs/>
          <w:color w:val="2F2F2F"/>
          <w:u w:val="single"/>
        </w:rPr>
      </w:pPr>
      <w:r w:rsidRPr="00C70B8F">
        <w:rPr>
          <w:rFonts w:ascii="ITC Avant Garde" w:hAnsi="ITC Avant Garde"/>
          <w:b/>
        </w:rPr>
        <w:lastRenderedPageBreak/>
        <w:t>Artículo 64.</w:t>
      </w:r>
      <w:r w:rsidRPr="00C70B8F">
        <w:rPr>
          <w:rFonts w:ascii="ITC Avant Garde" w:hAnsi="ITC Avant Garde"/>
        </w:rPr>
        <w:t xml:space="preserve"> Las diligencias practicadas por la Autoridad Investigadora con anterioridad a la emisión del dictamen de probable responsabilidad, los dictámenes preliminares o el que proponga el cierre del expediente tienen plena validez para sustentarlos.</w:t>
      </w:r>
      <w:r w:rsidRPr="00C70B8F">
        <w:rPr>
          <w:rFonts w:ascii="ITC Avant Garde" w:hAnsi="ITC Avant Garde" w:cs="Arial"/>
          <w:b/>
          <w:bCs/>
          <w:color w:val="2F2F2F"/>
          <w:u w:val="single"/>
        </w:rPr>
        <w:t xml:space="preserve"> </w:t>
      </w:r>
    </w:p>
    <w:p w:rsidR="00F06C0C" w:rsidRPr="00C70B8F" w:rsidRDefault="00F06C0C" w:rsidP="00C70B8F">
      <w:pPr>
        <w:spacing w:after="0" w:line="240" w:lineRule="auto"/>
        <w:ind w:firstLine="284"/>
        <w:contextualSpacing/>
        <w:jc w:val="both"/>
        <w:rPr>
          <w:rFonts w:ascii="ITC Avant Garde" w:hAnsi="ITC Avant Garde" w:cs="Arial"/>
          <w:b/>
          <w:bCs/>
          <w:color w:val="2F2F2F"/>
          <w:u w:val="singl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67-A.</w:t>
      </w:r>
      <w:r w:rsidRPr="00C70B8F">
        <w:rPr>
          <w:rFonts w:ascii="ITC Avant Garde" w:hAnsi="ITC Avant Garde"/>
        </w:rPr>
        <w:t xml:space="preserve"> Cuando de la investigación de concentraciones no notificadas en términos de lo dispuesto en las fracciones I a III del artículo 86 de la Ley o de aquéllas autorizadas por el Instituto con base en información falsa, la Autoridad Investigadora advierta que existen elementos objetivos que hagan probable la responsabilidad de Agentes Económicos por haber incurrido en una concentración ilícita, el dictamen de probable responsabilidad abordará la imputación por la ilicitud de la concentración y por la omisión de notificar la concentración o la entrega de información falsa, según corresponda.</w:t>
      </w:r>
    </w:p>
    <w:p w:rsidR="00F06C0C" w:rsidRPr="00C70B8F" w:rsidRDefault="00F06C0C" w:rsidP="00C70B8F">
      <w:pPr>
        <w:spacing w:after="0" w:line="240" w:lineRule="auto"/>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En caso contrario, la omisión de notificar la concentración o la entrega de información falsa, según corresponda, se tramitarán vía incidental de conformidad con lo dispuesto en el artículo 128 de estas Disposiciones Regulatorias.</w:t>
      </w:r>
    </w:p>
    <w:p w:rsidR="00F06C0C" w:rsidRPr="00C70B8F" w:rsidRDefault="00F06C0C" w:rsidP="00C70B8F">
      <w:pPr>
        <w:spacing w:after="0" w:line="240" w:lineRule="auto"/>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68.</w:t>
      </w:r>
      <w:r w:rsidRPr="00C70B8F">
        <w:rPr>
          <w:rFonts w:ascii="ITC Avant Garde" w:hAnsi="ITC Avant Garde"/>
        </w:rPr>
        <w:t xml:space="preserve"> El plazo para que la Autoridad Investigadora presente al Pleno el dictamen de probable responsabilidad, los dictámenes preliminares o el dictamen que proponga el cierre del expediente, comenzará a contar a partir del día siguiente al de la emisión del acuerdo de conclusión de la investigación.</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68-A.</w:t>
      </w:r>
      <w:r w:rsidRPr="00C70B8F">
        <w:rPr>
          <w:rFonts w:ascii="ITC Avant Garde" w:hAnsi="ITC Avant Garde"/>
        </w:rPr>
        <w:t xml:space="preserve"> En investigaciones de prácticas monopólicas relativas, cuando la Autoridad Investigadora determine que no se acredita el elemento previsto en la fracción I del artículo 54 de la Ley, no procederá al análisis de los elementos previstos en sus fracciones II y III, y propondrá al Pleno el cierre del expediente.</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76.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I. </w:t>
      </w:r>
      <w:r w:rsidRPr="00C70B8F">
        <w:rPr>
          <w:rFonts w:ascii="ITC Avant Garde" w:hAnsi="ITC Avant Garde"/>
        </w:rPr>
        <w:t xml:space="preserve">a </w:t>
      </w:r>
      <w:r w:rsidRPr="00C70B8F">
        <w:rPr>
          <w:rFonts w:ascii="ITC Avant Garde" w:hAnsi="ITC Avant Garde"/>
          <w:b/>
        </w:rPr>
        <w:t xml:space="preserve">XII.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El Instituto tomará la protesta de decir verdad al compareciente, antes de proceder al interrogatorio correspondiente.</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Del acta de la comparecencia se entregará copia simple al compareciente.</w:t>
      </w:r>
    </w:p>
    <w:p w:rsidR="00F06C0C" w:rsidRPr="00C70B8F" w:rsidRDefault="00F06C0C" w:rsidP="00C70B8F">
      <w:pPr>
        <w:spacing w:after="0" w:line="240" w:lineRule="auto"/>
        <w:contextualSpacing/>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77.</w:t>
      </w:r>
      <w:r w:rsidRPr="00C70B8F">
        <w:rPr>
          <w:rFonts w:ascii="ITC Avant Garde" w:hAnsi="ITC Avant Garde"/>
        </w:rPr>
        <w:t> Las preguntas que el Instituto realice al compareciente deben ser claras y precisas, no ser insidiosas o tendenciosas, ser afirmativas o inquisitivas y procurando que cada una contenga un solo hecho. El compareciente debe contestar en forma clara y precisa, sin ambigüedades ni evasivas y responder a todas las aclaraciones que el Instituto juzgue pertinentes, dando la razón fundada de su dicho.</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lastRenderedPageBreak/>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77-A.</w:t>
      </w:r>
      <w:r w:rsidRPr="00C70B8F">
        <w:rPr>
          <w:rFonts w:ascii="ITC Avant Garde" w:hAnsi="ITC Avant Garde"/>
        </w:rPr>
        <w:t xml:space="preserve"> Las visitas de verificación se entenderán con la persona a la que esté dirigida la orden o con su representante legal y, ante su ausencia, con la persona que se encuentre en el domicilio.</w:t>
      </w:r>
    </w:p>
    <w:p w:rsidR="00F06C0C" w:rsidRPr="00C70B8F" w:rsidRDefault="00F06C0C" w:rsidP="00C70B8F">
      <w:pPr>
        <w:spacing w:after="0" w:line="240" w:lineRule="auto"/>
        <w:ind w:firstLine="284"/>
        <w:contextualSpacing/>
        <w:jc w:val="both"/>
        <w:rPr>
          <w:rFonts w:ascii="ITC Avant Garde" w:hAnsi="ITC Avant Garde"/>
        </w:rPr>
      </w:pPr>
    </w:p>
    <w:p w:rsidR="00DC21D1"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78.</w:t>
      </w:r>
      <w:r w:rsidRPr="00C70B8F">
        <w:rPr>
          <w:rFonts w:ascii="ITC Avant Garde" w:hAnsi="ITC Avant Garde"/>
        </w:rPr>
        <w:t xml:space="preserve"> Al iniciar la visita de verificación el personal autorizado debe entregar al visitado o a la persona con quien se entienda la diligencia una copia certificada de la orden de visita y solicitar la designación de dos testigos de asistencia de quienes asentarán su identificación correspondiente con la que comparecieron y se hará constar su media filiación y, en caso de negativa del visitado o de la persona con quien se entienda la diligencia para dicha designación, el personal autorizado del Instituto lo debe hacer de oficio. La entrega de la copia certificada de la orden de visita y la designación de los testigos de asistencia se harán constar en el acta respectiva.</w:t>
      </w:r>
    </w:p>
    <w:p w:rsidR="00C70B8F" w:rsidRPr="00C70B8F" w:rsidRDefault="00C70B8F" w:rsidP="00C70B8F">
      <w:pPr>
        <w:spacing w:after="0" w:line="240" w:lineRule="auto"/>
        <w:ind w:firstLine="284"/>
        <w:contextualSpacing/>
        <w:jc w:val="both"/>
        <w:rPr>
          <w:rFonts w:ascii="ITC Avant Garde" w:hAnsi="ITC Avant Garde"/>
        </w:rPr>
      </w:pPr>
    </w:p>
    <w:p w:rsidR="00DC21D1" w:rsidRDefault="00DC21D1" w:rsidP="00C70B8F">
      <w:pPr>
        <w:pBdr>
          <w:bar w:val="single" w:sz="4" w:color="auto"/>
        </w:pBd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Artículo 88.</w:t>
      </w:r>
      <w:r w:rsidRPr="00C70B8F">
        <w:rPr>
          <w:rFonts w:ascii="ITC Avant Garde" w:hAnsi="ITC Avant Garde" w:cs="Arial"/>
          <w:bCs/>
        </w:rPr>
        <w:t xml:space="preserve"> El denunciante puede solicitar la audiencia oral a que se refiere el artículo 83 de la Ley para realizar las manifestaciones que estime pertinentes, atendiendo a los plazos previstos para las partes.</w:t>
      </w:r>
    </w:p>
    <w:p w:rsidR="00C70B8F" w:rsidRPr="00C70B8F" w:rsidRDefault="00C70B8F" w:rsidP="00C70B8F">
      <w:pPr>
        <w:pBdr>
          <w:bar w:val="single" w:sz="4" w:color="auto"/>
        </w:pBdr>
        <w:spacing w:before="120" w:after="0" w:line="240" w:lineRule="auto"/>
        <w:ind w:firstLine="284"/>
        <w:contextualSpacing/>
        <w:jc w:val="both"/>
        <w:rPr>
          <w:rFonts w:ascii="ITC Avant Garde" w:hAnsi="ITC Avant Garde" w:cs="Arial"/>
          <w:bCs/>
        </w:rPr>
      </w:pPr>
    </w:p>
    <w:p w:rsidR="00DC21D1" w:rsidRDefault="00DC21D1" w:rsidP="00C70B8F">
      <w:pPr>
        <w:pBdr>
          <w:bar w:val="single" w:sz="4" w:color="auto"/>
        </w:pBd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Artículo 88-A.</w:t>
      </w:r>
      <w:r w:rsidRPr="00C70B8F">
        <w:rPr>
          <w:rFonts w:ascii="ITC Avant Garde" w:hAnsi="ITC Avant Garde" w:cs="Arial"/>
          <w:bCs/>
        </w:rPr>
        <w:t xml:space="preserve"> Para los efectos de la fracción IV del artículo 83 de la Ley, el Instituto emitirá el acuerdo que ordene el desahogo de pruebas para mejor proveer, con el que se dará vista al probable responsable y a la Autoridad Investigadora para que en un plazo de cinco días manifiesten lo que a su derecho convenga.</w:t>
      </w:r>
    </w:p>
    <w:p w:rsidR="00C70B8F" w:rsidRPr="00C70B8F" w:rsidRDefault="00C70B8F" w:rsidP="00C70B8F">
      <w:pPr>
        <w:pBdr>
          <w:bar w:val="single" w:sz="4" w:color="auto"/>
        </w:pBdr>
        <w:spacing w:before="120" w:after="0" w:line="240" w:lineRule="auto"/>
        <w:ind w:firstLine="284"/>
        <w:contextualSpacing/>
        <w:jc w:val="both"/>
        <w:rPr>
          <w:rFonts w:ascii="ITC Avant Garde" w:hAnsi="ITC Avant Garde" w:cs="Arial"/>
          <w:bCs/>
        </w:rPr>
      </w:pPr>
    </w:p>
    <w:p w:rsidR="00F22EE1" w:rsidRPr="00C70B8F" w:rsidRDefault="00DC21D1" w:rsidP="00C70B8F">
      <w:pPr>
        <w:pBdr>
          <w:bar w:val="single" w:sz="4" w:color="auto"/>
        </w:pBdr>
        <w:spacing w:before="120" w:after="0" w:line="240" w:lineRule="auto"/>
        <w:ind w:firstLine="284"/>
        <w:contextualSpacing/>
        <w:jc w:val="both"/>
        <w:rPr>
          <w:rFonts w:ascii="ITC Avant Garde" w:hAnsi="ITC Avant Garde" w:cs="Arial"/>
          <w:bCs/>
        </w:rPr>
      </w:pPr>
      <w:r w:rsidRPr="00C70B8F">
        <w:rPr>
          <w:rFonts w:ascii="ITC Avant Garde" w:hAnsi="ITC Avant Garde" w:cs="Arial"/>
          <w:bCs/>
        </w:rPr>
        <w:t xml:space="preserve">Desahogada la vista o </w:t>
      </w:r>
      <w:proofErr w:type="spellStart"/>
      <w:r w:rsidRPr="00C70B8F">
        <w:rPr>
          <w:rFonts w:ascii="ITC Avant Garde" w:hAnsi="ITC Avant Garde" w:cs="Arial"/>
          <w:bCs/>
        </w:rPr>
        <w:t>precluido</w:t>
      </w:r>
      <w:proofErr w:type="spellEnd"/>
      <w:r w:rsidRPr="00C70B8F">
        <w:rPr>
          <w:rFonts w:ascii="ITC Avant Garde" w:hAnsi="ITC Avant Garde" w:cs="Arial"/>
          <w:bCs/>
        </w:rPr>
        <w:t xml:space="preserve"> el derecho para hacerlo, el Instituto proveerá lo necesario para el debido desahogo de las pruebas.</w:t>
      </w:r>
    </w:p>
    <w:p w:rsidR="00F22EE1" w:rsidRPr="00C70B8F" w:rsidRDefault="00F22EE1" w:rsidP="00C70B8F">
      <w:pPr>
        <w:pBdr>
          <w:bar w:val="single" w:sz="4" w:color="auto"/>
        </w:pBdr>
        <w:spacing w:before="120" w:after="0" w:line="240" w:lineRule="auto"/>
        <w:ind w:firstLine="284"/>
        <w:contextualSpacing/>
        <w:jc w:val="both"/>
        <w:rPr>
          <w:rFonts w:ascii="ITC Avant Garde" w:hAnsi="ITC Avant Garde" w:cs="Arial"/>
          <w:bCs/>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87-A.</w:t>
      </w:r>
      <w:r w:rsidRPr="00C70B8F">
        <w:rPr>
          <w:rFonts w:ascii="ITC Avant Garde" w:hAnsi="ITC Avant Garde"/>
        </w:rPr>
        <w:t xml:space="preserve"> El emplazado contará con un plazo de cuarenta y cinco días para manifestar por escrito lo que a su derecho convenga y ofrecer los medios de prueba que considere pertinentes, debiendo referirse en su escrito a cada uno de los hechos expresados en el dictamen de probable responsabilidad.</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Los hechos respecto de los cuales el probable responsable no haga manifestación alguna se tendrán por ciertos, salvo prueba en contrario.</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90-A.</w:t>
      </w:r>
      <w:r w:rsidRPr="00C70B8F">
        <w:rPr>
          <w:rFonts w:ascii="ITC Avant Garde" w:hAnsi="ITC Avant Garde"/>
        </w:rPr>
        <w:t xml:space="preserve"> Al emitir la resolución a la que se refiere el artículo 85 de la Ley, el Pleno tomará en cuenta los elementos aportados por la Autoridad Investigadora en el dictamen de probable responsabilidad y por el probable responsable en su escrito de manifestaciones a aquél, sin que pueda modificar la </w:t>
      </w:r>
      <w:proofErr w:type="spellStart"/>
      <w:r w:rsidRPr="00C70B8F">
        <w:rPr>
          <w:rFonts w:ascii="ITC Avant Garde" w:hAnsi="ITC Avant Garde"/>
        </w:rPr>
        <w:t>litis</w:t>
      </w:r>
      <w:proofErr w:type="spellEnd"/>
      <w:r w:rsidRPr="00C70B8F">
        <w:rPr>
          <w:rFonts w:ascii="ITC Avant Garde" w:hAnsi="ITC Avant Garde"/>
        </w:rPr>
        <w:t xml:space="preserve"> planteada ni suplir la deficiencia del probable responsable. </w:t>
      </w:r>
    </w:p>
    <w:p w:rsidR="00F06C0C" w:rsidRDefault="00F06C0C" w:rsidP="00C70B8F">
      <w:pPr>
        <w:spacing w:after="0" w:line="240" w:lineRule="auto"/>
        <w:ind w:firstLine="284"/>
        <w:contextualSpacing/>
        <w:jc w:val="center"/>
        <w:rPr>
          <w:rFonts w:ascii="ITC Avant Garde" w:hAnsi="ITC Avant Garde"/>
          <w:b/>
        </w:rPr>
      </w:pPr>
    </w:p>
    <w:p w:rsidR="00A54A2C" w:rsidRDefault="00A54A2C" w:rsidP="00C70B8F">
      <w:pPr>
        <w:spacing w:after="0" w:line="240" w:lineRule="auto"/>
        <w:ind w:firstLine="284"/>
        <w:contextualSpacing/>
        <w:jc w:val="center"/>
        <w:rPr>
          <w:rFonts w:ascii="ITC Avant Garde" w:hAnsi="ITC Avant Garde"/>
          <w:b/>
        </w:rPr>
      </w:pPr>
    </w:p>
    <w:p w:rsidR="00A54A2C" w:rsidRDefault="00A54A2C" w:rsidP="00C70B8F">
      <w:pPr>
        <w:spacing w:after="0" w:line="240" w:lineRule="auto"/>
        <w:ind w:firstLine="284"/>
        <w:contextualSpacing/>
        <w:jc w:val="center"/>
        <w:rPr>
          <w:rFonts w:ascii="ITC Avant Garde" w:hAnsi="ITC Avant Garde"/>
          <w:b/>
        </w:rPr>
      </w:pPr>
    </w:p>
    <w:p w:rsidR="00A54A2C" w:rsidRPr="00C70B8F" w:rsidRDefault="00A54A2C" w:rsidP="00C70B8F">
      <w:pPr>
        <w:spacing w:after="0" w:line="240" w:lineRule="auto"/>
        <w:ind w:firstLine="284"/>
        <w:contextualSpacing/>
        <w:jc w:val="center"/>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lastRenderedPageBreak/>
        <w:t xml:space="preserve">Artículo 91.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Para el caso de las pruebas ofrecidas en términos de los artículos 94, fracción IV, y 96, fracción VI, de la Ley no serán admisibles la confesional y la testimonial a cargo de Autoridades Públicas.</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p>
    <w:p w:rsidR="00DC21D1" w:rsidRDefault="00DC21D1" w:rsidP="00C70B8F">
      <w:pP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Artículo 104.</w:t>
      </w:r>
      <w:r w:rsidRPr="00C70B8F">
        <w:rPr>
          <w:rFonts w:ascii="ITC Avant Garde" w:hAnsi="ITC Avant Garde" w:cs="Arial"/>
          <w:bCs/>
        </w:rPr>
        <w:t>…</w:t>
      </w:r>
    </w:p>
    <w:p w:rsidR="00C70B8F" w:rsidRPr="00C70B8F" w:rsidRDefault="00C70B8F" w:rsidP="00C70B8F">
      <w:pPr>
        <w:spacing w:before="120" w:after="0" w:line="240" w:lineRule="auto"/>
        <w:ind w:firstLine="284"/>
        <w:contextualSpacing/>
        <w:jc w:val="both"/>
        <w:rPr>
          <w:rFonts w:ascii="ITC Avant Garde" w:hAnsi="ITC Avant Garde" w:cs="Arial"/>
          <w:bCs/>
        </w:rPr>
      </w:pPr>
    </w:p>
    <w:p w:rsidR="00DC21D1" w:rsidRDefault="00DC21D1" w:rsidP="00C70B8F">
      <w:pP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I. y II.</w:t>
      </w:r>
      <w:r w:rsidRPr="00C70B8F">
        <w:rPr>
          <w:rFonts w:ascii="ITC Avant Garde" w:hAnsi="ITC Avant Garde" w:cs="Arial"/>
          <w:bCs/>
        </w:rPr>
        <w:t xml:space="preserve"> ...</w:t>
      </w:r>
    </w:p>
    <w:p w:rsidR="00C70B8F" w:rsidRPr="00C70B8F" w:rsidRDefault="00C70B8F" w:rsidP="00C70B8F">
      <w:pPr>
        <w:spacing w:before="120" w:after="0" w:line="240" w:lineRule="auto"/>
        <w:ind w:firstLine="284"/>
        <w:contextualSpacing/>
        <w:jc w:val="both"/>
        <w:rPr>
          <w:rFonts w:ascii="ITC Avant Garde" w:hAnsi="ITC Avant Garde" w:cs="Arial"/>
          <w:bCs/>
        </w:rPr>
      </w:pPr>
    </w:p>
    <w:p w:rsidR="00DC21D1" w:rsidRDefault="00DC21D1" w:rsidP="00C70B8F">
      <w:pP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III.</w:t>
      </w:r>
      <w:r w:rsidRPr="00C70B8F">
        <w:rPr>
          <w:rFonts w:ascii="ITC Avant Garde" w:hAnsi="ITC Avant Garde" w:cs="Arial"/>
          <w:bCs/>
        </w:rPr>
        <w:t xml:space="preserve"> El perito debe rendir su dictamen por escrito en un plazo que no excederá de quince días contados a partir del día siguiente a aquél en que acepte y proteste el cargo, o en su caso, a partir del día siguiente a aquél en que se adicione el cuestionario de repreguntas. Dicho plazo puede prorrogarse a juicio del Instituto en casos debidamente justificados, previa solicitud del oferente, con una anticipación de tres días al vencimiento del plazo señalado. En el caso del procedimiento establecido en el artículo 83 de la Ley, se dará vista del dictamen pericial a la Autoridad Investigadora, para que, en un plazo no mayor a diez días, manifieste lo que a su derecho convenga respecto del dictamen pericial; y</w:t>
      </w:r>
    </w:p>
    <w:p w:rsidR="00C70B8F" w:rsidRPr="00C70B8F" w:rsidRDefault="00C70B8F" w:rsidP="00C70B8F">
      <w:pPr>
        <w:spacing w:before="120" w:after="0" w:line="240" w:lineRule="auto"/>
        <w:ind w:firstLine="284"/>
        <w:contextualSpacing/>
        <w:jc w:val="both"/>
        <w:rPr>
          <w:rFonts w:ascii="ITC Avant Garde" w:hAnsi="ITC Avant Garde" w:cs="Arial"/>
          <w:bCs/>
        </w:rPr>
      </w:pPr>
    </w:p>
    <w:p w:rsidR="00DC21D1" w:rsidRPr="00C70B8F" w:rsidRDefault="00DC21D1" w:rsidP="00C70B8F">
      <w:pPr>
        <w:spacing w:before="120" w:after="0" w:line="240" w:lineRule="auto"/>
        <w:ind w:left="-142" w:firstLine="426"/>
        <w:contextualSpacing/>
        <w:jc w:val="both"/>
        <w:rPr>
          <w:rFonts w:ascii="ITC Avant Garde" w:hAnsi="ITC Avant Garde" w:cs="Arial"/>
          <w:bCs/>
        </w:rPr>
      </w:pPr>
      <w:r w:rsidRPr="00C70B8F">
        <w:rPr>
          <w:rFonts w:ascii="ITC Avant Garde" w:hAnsi="ITC Avant Garde" w:cs="Arial"/>
          <w:b/>
          <w:bCs/>
        </w:rPr>
        <w:t>IV.</w:t>
      </w:r>
      <w:r w:rsidRPr="00C70B8F">
        <w:rPr>
          <w:rFonts w:ascii="ITC Avant Garde" w:hAnsi="ITC Avant Garde" w:cs="Arial"/>
          <w:bCs/>
        </w:rPr>
        <w:t xml:space="preserve"> …</w:t>
      </w:r>
    </w:p>
    <w:p w:rsidR="00DC21D1" w:rsidRPr="00C70B8F" w:rsidRDefault="00DC21D1" w:rsidP="00C70B8F">
      <w:pPr>
        <w:spacing w:before="120" w:after="0" w:line="240" w:lineRule="auto"/>
        <w:ind w:left="-142" w:firstLine="426"/>
        <w:contextualSpacing/>
        <w:jc w:val="both"/>
        <w:rPr>
          <w:rFonts w:ascii="ITC Avant Garde" w:hAnsi="ITC Avant Garde" w:cs="Arial"/>
          <w:bCs/>
        </w:rPr>
      </w:pPr>
      <w:r w:rsidRPr="00C70B8F">
        <w:rPr>
          <w:rFonts w:ascii="ITC Avant Garde" w:hAnsi="ITC Avant Garde" w:cs="Arial"/>
          <w:bCs/>
        </w:rPr>
        <w:t>…</w:t>
      </w:r>
    </w:p>
    <w:p w:rsidR="00DC21D1" w:rsidRPr="00C70B8F" w:rsidRDefault="00DC21D1" w:rsidP="00C70B8F">
      <w:pPr>
        <w:spacing w:before="120" w:after="0" w:line="240" w:lineRule="auto"/>
        <w:ind w:left="-142" w:firstLine="426"/>
        <w:contextualSpacing/>
        <w:jc w:val="both"/>
        <w:rPr>
          <w:rFonts w:ascii="ITC Avant Garde" w:hAnsi="ITC Avant Garde" w:cs="Arial"/>
          <w:bCs/>
        </w:rPr>
      </w:pPr>
      <w:r w:rsidRPr="00C70B8F">
        <w:rPr>
          <w:rFonts w:ascii="ITC Avant Garde" w:hAnsi="ITC Avant Garde" w:cs="Arial"/>
          <w:bCs/>
        </w:rPr>
        <w:t>…</w:t>
      </w:r>
    </w:p>
    <w:p w:rsidR="00DC21D1" w:rsidRPr="00C70B8F" w:rsidRDefault="00DC21D1"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Artículo 106.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I. </w:t>
      </w:r>
      <w:r w:rsidRPr="00C70B8F">
        <w:rPr>
          <w:rFonts w:ascii="ITC Avant Garde" w:hAnsi="ITC Avant Garde"/>
        </w:rPr>
        <w:t>y</w:t>
      </w:r>
      <w:r w:rsidRPr="00C70B8F">
        <w:rPr>
          <w:rFonts w:ascii="ITC Avant Garde" w:hAnsi="ITC Avant Garde"/>
          <w:b/>
        </w:rPr>
        <w:t xml:space="preserve"> II.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III. </w:t>
      </w:r>
      <w:r w:rsidRPr="00C70B8F">
        <w:rPr>
          <w:rFonts w:ascii="ITC Avant Garde" w:hAnsi="ITC Avant Garde"/>
        </w:rPr>
        <w:t>Número y fecha del oficio mediante el cual se comisionó a los servidores públicos para el desahogo de la diligencia, en su caso;</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IV. </w:t>
      </w:r>
      <w:r w:rsidRPr="00C70B8F">
        <w:rPr>
          <w:rFonts w:ascii="ITC Avant Garde" w:hAnsi="ITC Avant Garde"/>
        </w:rPr>
        <w:t>a</w:t>
      </w:r>
      <w:r w:rsidRPr="00C70B8F">
        <w:rPr>
          <w:rFonts w:ascii="ITC Avant Garde" w:hAnsi="ITC Avant Garde"/>
          <w:b/>
        </w:rPr>
        <w:t xml:space="preserve"> IX.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Artículo 109.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 xml:space="preserve">[Se deroga párrafo]  </w:t>
      </w:r>
    </w:p>
    <w:p w:rsidR="00F06C0C" w:rsidRPr="00C70B8F" w:rsidRDefault="00F06C0C" w:rsidP="00C70B8F">
      <w:pPr>
        <w:spacing w:after="0" w:line="240" w:lineRule="auto"/>
        <w:ind w:firstLine="284"/>
        <w:contextualSpacing/>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Artículo 113. </w:t>
      </w:r>
      <w:r w:rsidRPr="00C70B8F">
        <w:rPr>
          <w:rFonts w:ascii="ITC Avant Garde" w:hAnsi="ITC Avant Garde"/>
        </w:rPr>
        <w:t>…</w:t>
      </w:r>
    </w:p>
    <w:p w:rsidR="00F06C0C" w:rsidRPr="00C70B8F" w:rsidRDefault="00F06C0C" w:rsidP="00C70B8F">
      <w:pPr>
        <w:spacing w:after="0" w:line="240" w:lineRule="auto"/>
        <w:ind w:firstLine="284"/>
        <w:contextualSpacing/>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I. </w:t>
      </w:r>
      <w:r w:rsidRPr="00C70B8F">
        <w:rPr>
          <w:rFonts w:ascii="ITC Avant Garde" w:hAnsi="ITC Avant Garde"/>
        </w:rPr>
        <w:t>a</w:t>
      </w:r>
      <w:r w:rsidRPr="00C70B8F">
        <w:rPr>
          <w:rFonts w:ascii="ITC Avant Garde" w:hAnsi="ITC Avant Garde"/>
          <w:b/>
        </w:rPr>
        <w:t xml:space="preserve"> VII.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lastRenderedPageBreak/>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En caso de que la solicitud omita o no cumpla alguno de los requisitos previstos en este artículo, la Autoridad Investigadora prevendrá al solicitante. Si no desahoga la prevención o al desahogarla continúa sin cumplir los requisitos, la Autoridad Investigadora emitirá y notificará, dentro de los diez días siguientes al vencimiento del plazo, el acuerdo mediante el cual se tenga por no presentada la solicitud, sin perjuicio de que pueda volver a presentarla. En caso contrario, dictará el acuerdo de inicio correspondiente y mandará publicar un extracto en el Diario Oficial de la Federación.</w:t>
      </w:r>
    </w:p>
    <w:p w:rsidR="00F06C0C" w:rsidRPr="00C70B8F" w:rsidRDefault="00F06C0C" w:rsidP="00C70B8F">
      <w:pPr>
        <w:spacing w:after="0" w:line="240" w:lineRule="auto"/>
        <w:ind w:firstLine="284"/>
        <w:contextualSpacing/>
        <w:jc w:val="both"/>
        <w:rPr>
          <w:rFonts w:ascii="ITC Avant Garde" w:hAnsi="ITC Avant Garde"/>
        </w:rPr>
      </w:pPr>
    </w:p>
    <w:p w:rsidR="000A3A24" w:rsidRPr="00C70B8F" w:rsidRDefault="000A3A24" w:rsidP="00C70B8F">
      <w:pPr>
        <w:spacing w:before="120" w:after="0" w:line="240" w:lineRule="auto"/>
        <w:ind w:firstLine="284"/>
        <w:contextualSpacing/>
        <w:jc w:val="both"/>
        <w:rPr>
          <w:rFonts w:ascii="ITC Avant Garde" w:hAnsi="ITC Avant Garde"/>
          <w:b/>
          <w:bCs/>
          <w:lang w:val="es-ES_tradnl"/>
        </w:rPr>
      </w:pPr>
      <w:r w:rsidRPr="00C70B8F">
        <w:rPr>
          <w:rFonts w:ascii="ITC Avant Garde" w:hAnsi="ITC Avant Garde"/>
          <w:b/>
          <w:bCs/>
          <w:lang w:val="es-ES_tradnl"/>
        </w:rPr>
        <w:t>Artículo 116.</w:t>
      </w:r>
      <w:r w:rsidRPr="00C70B8F">
        <w:rPr>
          <w:rFonts w:ascii="ITC Avant Garde" w:hAnsi="ITC Avant Garde"/>
          <w:bCs/>
          <w:lang w:val="es-ES_tradnl"/>
        </w:rPr>
        <w:t>…</w:t>
      </w:r>
    </w:p>
    <w:p w:rsidR="000A3A24" w:rsidRPr="00C70B8F" w:rsidRDefault="000A3A24" w:rsidP="00C70B8F">
      <w:pPr>
        <w:spacing w:after="0" w:line="240" w:lineRule="auto"/>
        <w:ind w:firstLine="284"/>
        <w:contextualSpacing/>
        <w:jc w:val="both"/>
        <w:rPr>
          <w:rFonts w:ascii="ITC Avant Garde" w:hAnsi="ITC Avant Garde"/>
        </w:rPr>
      </w:pPr>
    </w:p>
    <w:p w:rsidR="000A3A24" w:rsidRDefault="000A3A24" w:rsidP="00C70B8F">
      <w:pPr>
        <w:spacing w:after="0" w:line="240" w:lineRule="auto"/>
        <w:ind w:firstLine="284"/>
        <w:contextualSpacing/>
        <w:jc w:val="both"/>
        <w:rPr>
          <w:rFonts w:ascii="ITC Avant Garde" w:hAnsi="ITC Avant Garde"/>
        </w:rPr>
      </w:pPr>
      <w:r w:rsidRPr="00C70B8F">
        <w:rPr>
          <w:rFonts w:ascii="ITC Avant Garde" w:hAnsi="ITC Avant Garde"/>
          <w:b/>
        </w:rPr>
        <w:t>I. a VI.</w:t>
      </w:r>
      <w:r w:rsidRPr="00C70B8F">
        <w:rPr>
          <w:rFonts w:ascii="ITC Avant Garde" w:hAnsi="ITC Avant Garde"/>
        </w:rPr>
        <w:t xml:space="preserve"> …</w:t>
      </w:r>
    </w:p>
    <w:p w:rsidR="00C70B8F" w:rsidRPr="00C70B8F" w:rsidRDefault="00C70B8F" w:rsidP="00C70B8F">
      <w:pPr>
        <w:spacing w:after="0" w:line="240" w:lineRule="auto"/>
        <w:ind w:firstLine="284"/>
        <w:contextualSpacing/>
        <w:jc w:val="both"/>
        <w:rPr>
          <w:rFonts w:ascii="ITC Avant Garde" w:hAnsi="ITC Avant Garde"/>
        </w:rPr>
      </w:pPr>
    </w:p>
    <w:p w:rsidR="000A3A24" w:rsidRPr="00C70B8F" w:rsidRDefault="000A3A24" w:rsidP="00C70B8F">
      <w:pPr>
        <w:pBdr>
          <w:bar w:val="single" w:sz="4" w:color="auto"/>
        </w:pBdr>
        <w:spacing w:before="120" w:after="0" w:line="240" w:lineRule="auto"/>
        <w:ind w:firstLine="284"/>
        <w:contextualSpacing/>
        <w:jc w:val="both"/>
        <w:rPr>
          <w:rFonts w:ascii="ITC Avant Garde" w:hAnsi="ITC Avant Garde"/>
        </w:rPr>
      </w:pPr>
      <w:r w:rsidRPr="00C70B8F">
        <w:rPr>
          <w:rFonts w:ascii="ITC Avant Garde" w:hAnsi="ITC Avant Garde"/>
        </w:rPr>
        <w:t>El Agente Económico involucrado sólo podrá ofrecer dichas medidas con posterioridad a que sea notificado el dictamen preliminar.</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117. </w:t>
      </w:r>
      <w:r w:rsidRPr="00C70B8F">
        <w:rPr>
          <w:rFonts w:ascii="ITC Avant Garde" w:hAnsi="ITC Avant Garde"/>
        </w:rPr>
        <w:t>[Se deroga]</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118. </w:t>
      </w:r>
      <w:r w:rsidRPr="00C70B8F">
        <w:rPr>
          <w:rFonts w:ascii="ITC Avant Garde" w:hAnsi="ITC Avant Garde"/>
        </w:rPr>
        <w:t xml:space="preserve">[Se deroga párrafo]  </w:t>
      </w:r>
    </w:p>
    <w:p w:rsidR="00F06C0C" w:rsidRPr="00C70B8F" w:rsidRDefault="00F06C0C" w:rsidP="00C70B8F">
      <w:pPr>
        <w:spacing w:after="0" w:line="240" w:lineRule="auto"/>
        <w:ind w:left="284"/>
        <w:contextualSpacing/>
        <w:jc w:val="both"/>
        <w:rPr>
          <w:rFonts w:ascii="ITC Avant Garde" w:hAnsi="ITC Avant Garde"/>
        </w:rPr>
      </w:pPr>
      <w:r w:rsidRPr="00C70B8F">
        <w:rPr>
          <w:rFonts w:ascii="ITC Avant Garde" w:hAnsi="ITC Avant Garde"/>
        </w:rPr>
        <w:t>…</w:t>
      </w:r>
    </w:p>
    <w:p w:rsidR="005C36FA" w:rsidRPr="00C70B8F" w:rsidRDefault="005C36FA" w:rsidP="00C70B8F">
      <w:pPr>
        <w:spacing w:after="0" w:line="240" w:lineRule="auto"/>
        <w:ind w:left="284"/>
        <w:contextualSpacing/>
        <w:jc w:val="both"/>
        <w:rPr>
          <w:rFonts w:ascii="ITC Avant Garde" w:hAnsi="ITC Avant Garde"/>
        </w:rPr>
      </w:pPr>
    </w:p>
    <w:p w:rsidR="005C36FA" w:rsidRPr="00C70B8F" w:rsidRDefault="005C36FA" w:rsidP="00C70B8F">
      <w:pPr>
        <w:spacing w:after="0" w:line="240" w:lineRule="auto"/>
        <w:ind w:left="284"/>
        <w:contextualSpacing/>
        <w:jc w:val="both"/>
        <w:rPr>
          <w:rFonts w:ascii="ITC Avant Garde" w:hAnsi="ITC Avant Garde"/>
        </w:rPr>
      </w:pPr>
      <w:r w:rsidRPr="00C70B8F">
        <w:rPr>
          <w:rFonts w:ascii="ITC Avant Garde" w:hAnsi="ITC Avant Garde"/>
          <w:b/>
        </w:rPr>
        <w:t xml:space="preserve">Artículo 119. </w:t>
      </w:r>
      <w:r w:rsidRPr="00C70B8F">
        <w:rPr>
          <w:rFonts w:ascii="ITC Avant Garde" w:hAnsi="ITC Avant Garde"/>
        </w:rPr>
        <w:t>…</w:t>
      </w:r>
    </w:p>
    <w:p w:rsidR="005C36FA" w:rsidRPr="00C70B8F" w:rsidRDefault="005C36FA" w:rsidP="00C70B8F">
      <w:pPr>
        <w:spacing w:after="0" w:line="240" w:lineRule="auto"/>
        <w:ind w:left="284"/>
        <w:contextualSpacing/>
        <w:jc w:val="both"/>
        <w:rPr>
          <w:rFonts w:ascii="ITC Avant Garde" w:hAnsi="ITC Avant Garde"/>
        </w:rPr>
      </w:pPr>
    </w:p>
    <w:p w:rsidR="005C36FA" w:rsidRPr="00C70B8F" w:rsidRDefault="005C36FA" w:rsidP="00C70B8F">
      <w:pPr>
        <w:spacing w:after="0" w:line="240" w:lineRule="auto"/>
        <w:ind w:left="284"/>
        <w:contextualSpacing/>
        <w:jc w:val="both"/>
        <w:rPr>
          <w:rFonts w:ascii="ITC Avant Garde" w:hAnsi="ITC Avant Garde"/>
        </w:rPr>
      </w:pPr>
      <w:r w:rsidRPr="00C70B8F">
        <w:rPr>
          <w:rFonts w:ascii="ITC Avant Garde" w:hAnsi="ITC Avant Garde"/>
          <w:b/>
        </w:rPr>
        <w:t>I.</w:t>
      </w:r>
      <w:r w:rsidRPr="00C70B8F">
        <w:rPr>
          <w:rFonts w:ascii="ITC Avant Garde" w:hAnsi="ITC Avant Garde"/>
        </w:rPr>
        <w:t xml:space="preserve"> …</w:t>
      </w:r>
    </w:p>
    <w:p w:rsidR="005C36FA" w:rsidRPr="00C70B8F" w:rsidRDefault="005C36FA" w:rsidP="00C70B8F">
      <w:pPr>
        <w:spacing w:after="0" w:line="240" w:lineRule="auto"/>
        <w:ind w:left="284"/>
        <w:contextualSpacing/>
        <w:jc w:val="both"/>
        <w:rPr>
          <w:rFonts w:ascii="ITC Avant Garde" w:hAnsi="ITC Avant Garde"/>
        </w:rPr>
      </w:pPr>
    </w:p>
    <w:p w:rsidR="005C36FA" w:rsidRPr="00C70B8F" w:rsidRDefault="005C36FA" w:rsidP="00C70B8F">
      <w:pPr>
        <w:spacing w:after="0" w:line="240" w:lineRule="auto"/>
        <w:ind w:left="284"/>
        <w:contextualSpacing/>
        <w:jc w:val="both"/>
        <w:rPr>
          <w:rFonts w:ascii="ITC Avant Garde" w:hAnsi="ITC Avant Garde"/>
        </w:rPr>
      </w:pPr>
      <w:r w:rsidRPr="00C70B8F">
        <w:rPr>
          <w:rFonts w:ascii="ITC Avant Garde" w:hAnsi="ITC Avant Garde"/>
          <w:b/>
        </w:rPr>
        <w:t>a)</w:t>
      </w:r>
      <w:r w:rsidRPr="00C70B8F">
        <w:rPr>
          <w:rFonts w:ascii="ITC Avant Garde" w:hAnsi="ITC Avant Garde"/>
        </w:rPr>
        <w:t xml:space="preserve"> a </w:t>
      </w:r>
      <w:r w:rsidRPr="00C70B8F">
        <w:rPr>
          <w:rFonts w:ascii="ITC Avant Garde" w:hAnsi="ITC Avant Garde"/>
          <w:b/>
        </w:rPr>
        <w:t>c)</w:t>
      </w:r>
      <w:r w:rsidRPr="00C70B8F">
        <w:rPr>
          <w:rFonts w:ascii="ITC Avant Garde" w:hAnsi="ITC Avant Garde"/>
        </w:rPr>
        <w:t xml:space="preserve"> …</w:t>
      </w:r>
    </w:p>
    <w:p w:rsidR="005C36FA" w:rsidRPr="00C70B8F" w:rsidRDefault="005C36FA" w:rsidP="00C70B8F">
      <w:pPr>
        <w:spacing w:after="0" w:line="240" w:lineRule="auto"/>
        <w:ind w:left="284"/>
        <w:contextualSpacing/>
        <w:jc w:val="both"/>
        <w:rPr>
          <w:rFonts w:ascii="ITC Avant Garde" w:hAnsi="ITC Avant Garde"/>
        </w:rPr>
      </w:pPr>
    </w:p>
    <w:p w:rsidR="005C36FA" w:rsidRPr="00C70B8F" w:rsidRDefault="005C36FA" w:rsidP="00C70B8F">
      <w:pPr>
        <w:spacing w:after="0" w:line="240" w:lineRule="auto"/>
        <w:ind w:left="284"/>
        <w:contextualSpacing/>
        <w:jc w:val="both"/>
        <w:rPr>
          <w:rFonts w:ascii="ITC Avant Garde" w:hAnsi="ITC Avant Garde"/>
        </w:rPr>
      </w:pPr>
      <w:r w:rsidRPr="00C70B8F">
        <w:rPr>
          <w:rFonts w:ascii="ITC Avant Garde" w:hAnsi="ITC Avant Garde"/>
          <w:b/>
        </w:rPr>
        <w:t>II.</w:t>
      </w:r>
      <w:r w:rsidRPr="00C70B8F">
        <w:rPr>
          <w:rFonts w:ascii="ITC Avant Garde" w:hAnsi="ITC Avant Garde"/>
        </w:rPr>
        <w:t xml:space="preserve"> …</w:t>
      </w:r>
    </w:p>
    <w:p w:rsidR="005C36FA" w:rsidRPr="00C70B8F" w:rsidRDefault="005C36FA" w:rsidP="00C70B8F">
      <w:pPr>
        <w:spacing w:after="0" w:line="240" w:lineRule="auto"/>
        <w:ind w:left="284"/>
        <w:contextualSpacing/>
        <w:jc w:val="both"/>
        <w:rPr>
          <w:rFonts w:ascii="ITC Avant Garde" w:hAnsi="ITC Avant Garde"/>
        </w:rPr>
      </w:pPr>
    </w:p>
    <w:p w:rsidR="005C36FA" w:rsidRPr="00C70B8F" w:rsidRDefault="005C36FA" w:rsidP="00C70B8F">
      <w:pPr>
        <w:pStyle w:val="Prrafodelista"/>
        <w:numPr>
          <w:ilvl w:val="0"/>
          <w:numId w:val="5"/>
        </w:numPr>
        <w:spacing w:after="0" w:line="240" w:lineRule="auto"/>
        <w:jc w:val="both"/>
        <w:rPr>
          <w:rFonts w:ascii="ITC Avant Garde" w:hAnsi="ITC Avant Garde"/>
        </w:rPr>
      </w:pPr>
      <w:r w:rsidRPr="00C70B8F">
        <w:rPr>
          <w:rFonts w:ascii="ITC Avant Garde" w:hAnsi="ITC Avant Garde"/>
        </w:rPr>
        <w:t xml:space="preserve">y </w:t>
      </w:r>
      <w:r w:rsidRPr="00C70B8F">
        <w:rPr>
          <w:rFonts w:ascii="ITC Avant Garde" w:hAnsi="ITC Avant Garde"/>
          <w:b/>
        </w:rPr>
        <w:t>b)</w:t>
      </w:r>
      <w:r w:rsidRPr="00C70B8F">
        <w:rPr>
          <w:rFonts w:ascii="ITC Avant Garde" w:hAnsi="ITC Avant Garde"/>
        </w:rPr>
        <w:t xml:space="preserve"> …</w:t>
      </w:r>
    </w:p>
    <w:p w:rsidR="005C36FA" w:rsidRPr="00C70B8F" w:rsidRDefault="005C36FA" w:rsidP="00C70B8F">
      <w:pPr>
        <w:spacing w:after="0" w:line="240" w:lineRule="auto"/>
        <w:ind w:left="284"/>
        <w:contextualSpacing/>
        <w:jc w:val="both"/>
        <w:rPr>
          <w:rFonts w:ascii="ITC Avant Garde" w:hAnsi="ITC Avant Garde"/>
        </w:rPr>
      </w:pPr>
    </w:p>
    <w:p w:rsidR="00F06C0C" w:rsidRPr="00C70B8F" w:rsidRDefault="005C36FA" w:rsidP="00C70B8F">
      <w:pPr>
        <w:spacing w:after="0" w:line="240" w:lineRule="auto"/>
        <w:ind w:firstLine="284"/>
        <w:contextualSpacing/>
        <w:jc w:val="both"/>
        <w:rPr>
          <w:rFonts w:ascii="ITC Avant Garde" w:hAnsi="ITC Avant Garde"/>
        </w:rPr>
      </w:pPr>
      <w:r w:rsidRPr="00C70B8F">
        <w:rPr>
          <w:rFonts w:ascii="ITC Avant Garde" w:hAnsi="ITC Avant Garde"/>
        </w:rPr>
        <w:t>c) Cualquier otro participante en el mercado que acredite una afectación real y actual, derivada de la falta de competencia efectiva, existencia de poder sustancial u otro término análogo.</w:t>
      </w:r>
    </w:p>
    <w:p w:rsidR="005C36FA" w:rsidRPr="00C70B8F" w:rsidRDefault="005C36FA" w:rsidP="00C70B8F">
      <w:pPr>
        <w:spacing w:after="0" w:line="240" w:lineRule="auto"/>
        <w:ind w:firstLine="284"/>
        <w:contextualSpacing/>
        <w:jc w:val="both"/>
        <w:rPr>
          <w:rFonts w:ascii="ITC Avant Garde" w:hAnsi="ITC Avant Garde"/>
        </w:rPr>
      </w:pPr>
    </w:p>
    <w:p w:rsidR="005C36FA" w:rsidRPr="00C70B8F" w:rsidRDefault="005C36FA" w:rsidP="00C70B8F">
      <w:pPr>
        <w:spacing w:after="0" w:line="240" w:lineRule="auto"/>
        <w:ind w:firstLine="284"/>
        <w:contextualSpacing/>
        <w:jc w:val="both"/>
        <w:rPr>
          <w:rFonts w:ascii="ITC Avant Garde" w:hAnsi="ITC Avant Garde"/>
        </w:rPr>
      </w:pPr>
      <w:r w:rsidRPr="00C70B8F">
        <w:rPr>
          <w:rFonts w:ascii="ITC Avant Garde" w:hAnsi="ITC Avant Garde"/>
          <w:b/>
        </w:rPr>
        <w:t>d)</w:t>
      </w:r>
      <w:r w:rsidRPr="00C70B8F">
        <w:rPr>
          <w:rFonts w:ascii="ITC Avant Garde" w:hAnsi="ITC Avant Garde"/>
        </w:rPr>
        <w:t xml:space="preserve"> …</w:t>
      </w:r>
    </w:p>
    <w:p w:rsidR="005C36FA" w:rsidRPr="00C70B8F" w:rsidRDefault="005C36FA"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128.</w:t>
      </w:r>
      <w:r w:rsidRPr="00C70B8F">
        <w:rPr>
          <w:rFonts w:ascii="ITC Avant Garde" w:hAnsi="ITC Avant Garde"/>
        </w:rPr>
        <w:t xml:space="preserve"> La emisión de medidas cautelares, así como cualquier cuestión procesal accesoria al procedimiento principal que no tenga prevista una tramitación especial en la Ley, se desahogarán conforme al procedimiento incidental previsto en los siguientes artículos. </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lastRenderedPageBreak/>
        <w:t>También se desahogará vía incidental el procedimiento para sancionar la omisión de notificar una concentración y la entrega de información falsa en el procedimiento de notificación de una concentración autorizada por el Instituto, cuando la concentración de que se trate haya sido investigada por su posible ilicitud y el Pleno decrete el cierre del expediente porque no se desprendan elementos para iniciar el procedimiento en forma de juicio.</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En el supuesto previsto en el párrafo anterior, al decretar el cierre del expediente, el Pleno ordenará dar vista a la Unidad de Competencia Económica para el inicio del incidente.</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b/>
        </w:rPr>
        <w:t>Artículo 129.</w:t>
      </w:r>
      <w:r w:rsidRPr="00C70B8F">
        <w:rPr>
          <w:rFonts w:ascii="ITC Avant Garde" w:hAnsi="ITC Avant Garde"/>
        </w:rPr>
        <w:t xml:space="preserve"> Los incidentes pueden iniciar de oficio o a petición de quien demuestre tener interés jurídico.</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F06C0C"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w:t>
      </w:r>
    </w:p>
    <w:p w:rsidR="00C70B8F" w:rsidRPr="00C70B8F" w:rsidRDefault="00C70B8F" w:rsidP="00C70B8F">
      <w:pPr>
        <w:spacing w:after="0" w:line="240" w:lineRule="auto"/>
        <w:ind w:firstLine="284"/>
        <w:contextualSpacing/>
        <w:jc w:val="both"/>
        <w:rPr>
          <w:rFonts w:ascii="ITC Avant Garde" w:hAnsi="ITC Avant Garde"/>
        </w:rPr>
      </w:pPr>
    </w:p>
    <w:p w:rsidR="00FB4595" w:rsidRDefault="00FB4595" w:rsidP="00C70B8F">
      <w:pPr>
        <w:pBdr>
          <w:bar w:val="single" w:sz="4" w:color="auto"/>
        </w:pBd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Artículo 129-A.</w:t>
      </w:r>
      <w:r w:rsidRPr="00C70B8F">
        <w:rPr>
          <w:rFonts w:ascii="ITC Avant Garde" w:hAnsi="ITC Avant Garde"/>
          <w:lang w:val="es-ES_tradnl"/>
        </w:rPr>
        <w:t xml:space="preserve"> La unidad administrativa a la que, por razón de competencia corresponda conocer de la petición de dar trámite a un incidente, deberá analizar y resolver lo relativo a su procedencia, de manera previa a estudiar el fondo de la cuestión planteada.</w:t>
      </w:r>
    </w:p>
    <w:p w:rsidR="00C70B8F" w:rsidRPr="00C70B8F" w:rsidRDefault="00C70B8F" w:rsidP="00C70B8F">
      <w:pPr>
        <w:pBdr>
          <w:bar w:val="single" w:sz="4" w:color="auto"/>
        </w:pBdr>
        <w:spacing w:before="120" w:after="0" w:line="240" w:lineRule="auto"/>
        <w:ind w:firstLine="284"/>
        <w:contextualSpacing/>
        <w:jc w:val="both"/>
        <w:rPr>
          <w:rFonts w:ascii="ITC Avant Garde" w:hAnsi="ITC Avant Garde"/>
          <w:lang w:val="es-ES_tradnl"/>
        </w:rPr>
      </w:pPr>
    </w:p>
    <w:p w:rsidR="00FB4595" w:rsidRPr="00C70B8F" w:rsidRDefault="00FB4595" w:rsidP="00C70B8F">
      <w:pPr>
        <w:pBdr>
          <w:bar w:val="single" w:sz="4" w:color="auto"/>
        </w:pBd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Artículo 129–B.</w:t>
      </w:r>
      <w:r w:rsidRPr="00C70B8F">
        <w:rPr>
          <w:rFonts w:ascii="ITC Avant Garde" w:hAnsi="ITC Avant Garde"/>
          <w:lang w:val="es-ES_tradnl"/>
        </w:rPr>
        <w:t xml:space="preserve"> Las unidades administrativas no admitirán incidentes o promociones notoriamente maliciosos o improcedentes. Los desecharán de plano, sin necesidad de mandarlos hacer saber a las otras partes, ni dar traslado.</w:t>
      </w:r>
    </w:p>
    <w:p w:rsidR="00FB4595" w:rsidRPr="00C70B8F" w:rsidRDefault="00FB4595"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134. </w:t>
      </w:r>
      <w:r w:rsidRPr="00C70B8F">
        <w:rPr>
          <w:rFonts w:ascii="ITC Avant Garde" w:hAnsi="ITC Avant Garde"/>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pStyle w:val="Prrafodelista"/>
        <w:numPr>
          <w:ilvl w:val="0"/>
          <w:numId w:val="3"/>
        </w:numPr>
        <w:spacing w:after="0" w:line="240" w:lineRule="auto"/>
        <w:jc w:val="both"/>
        <w:rPr>
          <w:rFonts w:ascii="ITC Avant Garde" w:hAnsi="ITC Avant Garde"/>
        </w:rPr>
      </w:pPr>
      <w:r w:rsidRPr="00C70B8F">
        <w:rPr>
          <w:rFonts w:ascii="ITC Avant Garde" w:hAnsi="ITC Avant Garde"/>
        </w:rPr>
        <w:t>El valor diario de la Unidad de Medida y Actualización que esté vigente el día anterior a la realización de la operación, y</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pStyle w:val="Prrafodelista"/>
        <w:numPr>
          <w:ilvl w:val="0"/>
          <w:numId w:val="3"/>
        </w:numPr>
        <w:spacing w:after="0" w:line="240" w:lineRule="auto"/>
        <w:jc w:val="both"/>
        <w:rPr>
          <w:rFonts w:ascii="ITC Avant Garde" w:hAnsi="ITC Avant Garde"/>
        </w:rPr>
      </w:pPr>
      <w:r w:rsidRPr="00C70B8F">
        <w:rPr>
          <w:rFonts w:ascii="ITC Avant Garde" w:hAnsi="ITC Avant Garde"/>
        </w:rPr>
        <w:t xml:space="preserve"> …  </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rPr>
        <w:t xml:space="preserve">    </w:t>
      </w:r>
      <w:r w:rsidRPr="00C70B8F">
        <w:rPr>
          <w:rFonts w:ascii="ITC Avant Garde" w:hAnsi="ITC Avant Garde"/>
          <w:b/>
        </w:rPr>
        <w:t>Artículo 135.</w:t>
      </w:r>
      <w:r w:rsidRPr="00C70B8F">
        <w:rPr>
          <w:rFonts w:ascii="ITC Avant Garde" w:hAnsi="ITC Avant Garde"/>
        </w:rPr>
        <w:t xml:space="preserve"> Tratándose del incidente de reposición de constancias de autos, la unidad administrativa correspondiente emitirá un acuerdo de inicio y certificará la preexistencia y falta posterior de las constancias.</w:t>
      </w:r>
    </w:p>
    <w:p w:rsidR="00F06C0C" w:rsidRPr="00C70B8F" w:rsidRDefault="00F06C0C" w:rsidP="00C70B8F">
      <w:pPr>
        <w:spacing w:after="0" w:line="240" w:lineRule="auto"/>
        <w:ind w:left="142"/>
        <w:contextualSpacing/>
        <w:jc w:val="both"/>
        <w:rPr>
          <w:rFonts w:ascii="ITC Avant Garde" w:hAnsi="ITC Avant Garde"/>
        </w:rPr>
      </w:pPr>
      <w:r w:rsidRPr="00C70B8F">
        <w:rPr>
          <w:rFonts w:ascii="ITC Avant Garde" w:hAnsi="ITC Avant Garde"/>
        </w:rPr>
        <w:t xml:space="preserve">  …</w:t>
      </w:r>
    </w:p>
    <w:p w:rsidR="00F22EE1" w:rsidRPr="00C70B8F" w:rsidRDefault="00F22EE1" w:rsidP="00C70B8F">
      <w:pPr>
        <w:spacing w:after="0" w:line="240" w:lineRule="auto"/>
        <w:ind w:left="142"/>
        <w:contextualSpacing/>
        <w:jc w:val="both"/>
        <w:rPr>
          <w:rFonts w:ascii="ITC Avant Garde" w:hAnsi="ITC Avant Garde"/>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 xml:space="preserve">   Artículo 137</w:t>
      </w:r>
      <w:r w:rsidRPr="00C70B8F">
        <w:rPr>
          <w:rFonts w:ascii="ITC Avant Garde" w:hAnsi="ITC Avant Garde"/>
        </w:rPr>
        <w:t>.  Transcurrido el plazo a que se refiere el artículo anterior, se dictará el acuerdo de integración del expediente incidental y se resolverá lo conducente dentro de los diez días siguientes.</w:t>
      </w:r>
    </w:p>
    <w:p w:rsidR="00F06C0C" w:rsidRDefault="00F06C0C" w:rsidP="00C70B8F">
      <w:pPr>
        <w:spacing w:after="0" w:line="240" w:lineRule="auto"/>
        <w:contextualSpacing/>
        <w:rPr>
          <w:rFonts w:ascii="ITC Avant Garde" w:hAnsi="ITC Avant Garde"/>
          <w:b/>
        </w:rPr>
      </w:pPr>
    </w:p>
    <w:p w:rsidR="005B385B" w:rsidRDefault="005B385B" w:rsidP="00C70B8F">
      <w:pPr>
        <w:spacing w:after="0" w:line="240" w:lineRule="auto"/>
        <w:contextualSpacing/>
        <w:rPr>
          <w:rFonts w:ascii="ITC Avant Garde" w:hAnsi="ITC Avant Garde"/>
          <w:b/>
        </w:rPr>
      </w:pPr>
    </w:p>
    <w:p w:rsidR="005B385B" w:rsidRDefault="005B385B" w:rsidP="00C70B8F">
      <w:pPr>
        <w:spacing w:after="0" w:line="240" w:lineRule="auto"/>
        <w:contextualSpacing/>
        <w:rPr>
          <w:rFonts w:ascii="ITC Avant Garde" w:hAnsi="ITC Avant Garde"/>
          <w:b/>
        </w:rPr>
      </w:pPr>
    </w:p>
    <w:p w:rsidR="005B385B" w:rsidRPr="00C70B8F" w:rsidRDefault="005B385B" w:rsidP="00C70B8F">
      <w:pPr>
        <w:spacing w:after="0" w:line="240" w:lineRule="auto"/>
        <w:contextualSpacing/>
        <w:rPr>
          <w:rFonts w:ascii="ITC Avant Garde" w:hAnsi="ITC Avant Garde"/>
          <w:b/>
        </w:rPr>
      </w:pPr>
    </w:p>
    <w:p w:rsidR="00F06C0C" w:rsidRPr="00C70B8F" w:rsidRDefault="00F06C0C" w:rsidP="00C70B8F">
      <w:pPr>
        <w:spacing w:after="0" w:line="240" w:lineRule="auto"/>
        <w:contextualSpacing/>
        <w:rPr>
          <w:rFonts w:ascii="ITC Avant Garde" w:hAnsi="ITC Avant Garde"/>
          <w:b/>
        </w:rPr>
      </w:pPr>
      <w:r w:rsidRPr="00C70B8F">
        <w:rPr>
          <w:rFonts w:ascii="ITC Avant Garde" w:hAnsi="ITC Avant Garde"/>
          <w:b/>
        </w:rPr>
        <w:lastRenderedPageBreak/>
        <w:t xml:space="preserve">   Artículo 139. </w:t>
      </w:r>
      <w:r w:rsidRPr="00C70B8F">
        <w:rPr>
          <w:rFonts w:ascii="ITC Avant Garde" w:hAnsi="ITC Avant Garde"/>
        </w:rPr>
        <w:t>…</w:t>
      </w:r>
    </w:p>
    <w:p w:rsidR="00F22EE1" w:rsidRPr="00C70B8F" w:rsidRDefault="00F22EE1" w:rsidP="00C70B8F">
      <w:pPr>
        <w:spacing w:after="0" w:line="240" w:lineRule="auto"/>
        <w:contextualSpacing/>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La solicitud se presentará por escrito dirigido a la Autoridad Investigadora cuando se refiera a las atribuciones que le corresponden de acuerdo a la Ley y, en los demás casos, por escrito dirigido a la Unidad de Competencia Económica.</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La Autoridad Investigadora y la Unidad de Competencia Económica se remitirán las solicitudes que llegaren a recibir, cuando su contenido no corresponda a sus atribuciones.</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ind w:left="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left="284"/>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contextualSpacing/>
        <w:jc w:val="center"/>
        <w:rPr>
          <w:rFonts w:ascii="ITC Avant Garde" w:hAnsi="ITC Avant Garde"/>
          <w:b/>
        </w:rPr>
      </w:pPr>
    </w:p>
    <w:p w:rsidR="00F06C0C" w:rsidRPr="00C70B8F" w:rsidRDefault="00F06C0C" w:rsidP="00C70B8F">
      <w:pPr>
        <w:spacing w:after="0" w:line="240" w:lineRule="auto"/>
        <w:ind w:left="142"/>
        <w:contextualSpacing/>
        <w:rPr>
          <w:rFonts w:ascii="ITC Avant Garde" w:hAnsi="ITC Avant Garde"/>
        </w:rPr>
      </w:pPr>
      <w:r w:rsidRPr="00C70B8F">
        <w:rPr>
          <w:rFonts w:ascii="ITC Avant Garde" w:hAnsi="ITC Avant Garde"/>
          <w:b/>
        </w:rPr>
        <w:t xml:space="preserve"> Artículo 141.</w:t>
      </w:r>
      <w:r w:rsidRPr="00C70B8F">
        <w:rPr>
          <w:rFonts w:ascii="ITC Avant Garde" w:hAnsi="ITC Avant Garde"/>
        </w:rPr>
        <w:t xml:space="preserve"> …</w:t>
      </w:r>
    </w:p>
    <w:p w:rsidR="00F06C0C" w:rsidRPr="00C70B8F" w:rsidRDefault="00F06C0C" w:rsidP="00C70B8F">
      <w:pPr>
        <w:spacing w:after="0" w:line="240" w:lineRule="auto"/>
        <w:ind w:left="284"/>
        <w:contextualSpacing/>
        <w:rPr>
          <w:rFonts w:ascii="ITC Avant Garde" w:hAnsi="ITC Avant Garde"/>
        </w:rPr>
      </w:pPr>
      <w:r w:rsidRPr="00C70B8F">
        <w:rPr>
          <w:rFonts w:ascii="ITC Avant Garde" w:hAnsi="ITC Avant Garde"/>
        </w:rPr>
        <w:t>…</w:t>
      </w:r>
    </w:p>
    <w:p w:rsidR="00F06C0C" w:rsidRPr="00C70B8F" w:rsidRDefault="00F06C0C" w:rsidP="00C70B8F">
      <w:pPr>
        <w:spacing w:after="0" w:line="240" w:lineRule="auto"/>
        <w:contextualSpacing/>
        <w:rPr>
          <w:rFonts w:ascii="ITC Avant Garde" w:hAnsi="ITC Avant Garde"/>
        </w:rPr>
      </w:pPr>
    </w:p>
    <w:p w:rsidR="00F06C0C"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El Instituto emitirá una respuesta a la solicitud en un plazo de treinta días contados a partir de la presentación de la solicitud o, en su caso, de la entrega de toda la información requerida. En casos complejos, el Instituto puede ampliar el plazo hasta por treinta días adicionales.</w:t>
      </w:r>
    </w:p>
    <w:p w:rsidR="00C70B8F" w:rsidRPr="00C70B8F" w:rsidRDefault="00C70B8F" w:rsidP="00C70B8F">
      <w:pPr>
        <w:spacing w:after="0" w:line="240" w:lineRule="auto"/>
        <w:ind w:firstLine="284"/>
        <w:contextualSpacing/>
        <w:jc w:val="both"/>
        <w:rPr>
          <w:rFonts w:ascii="ITC Avant Garde" w:hAnsi="ITC Avant Garde"/>
        </w:rPr>
      </w:pPr>
    </w:p>
    <w:p w:rsidR="004D3F05" w:rsidRPr="00C70B8F" w:rsidRDefault="004D3F05" w:rsidP="00C70B8F">
      <w:pPr>
        <w:pBdr>
          <w:bar w:val="single" w:sz="4" w:color="auto"/>
        </w:pBd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Artículo 144-A.</w:t>
      </w:r>
      <w:r w:rsidRPr="00C70B8F">
        <w:rPr>
          <w:rFonts w:ascii="ITC Avant Garde" w:hAnsi="ITC Avant Garde"/>
          <w:lang w:val="es-ES_tradnl"/>
        </w:rPr>
        <w:t xml:space="preserve"> La Unidad de Competencia Económica debe emitir un acuerdo en el sentido de que no se atenderá una solicitud de opinión formal en los siguientes casos:</w:t>
      </w:r>
    </w:p>
    <w:p w:rsidR="004D3F05" w:rsidRPr="00C70B8F" w:rsidRDefault="004D3F05" w:rsidP="00C70B8F">
      <w:pPr>
        <w:pStyle w:val="Prrafodelista"/>
        <w:numPr>
          <w:ilvl w:val="0"/>
          <w:numId w:val="6"/>
        </w:numPr>
        <w:pBdr>
          <w:bar w:val="single" w:sz="4" w:color="auto"/>
        </w:pBdr>
        <w:spacing w:before="120" w:after="0" w:line="240" w:lineRule="auto"/>
        <w:ind w:left="568" w:hanging="284"/>
        <w:jc w:val="both"/>
        <w:rPr>
          <w:rFonts w:ascii="ITC Avant Garde" w:hAnsi="ITC Avant Garde"/>
          <w:lang w:val="es-ES_tradnl"/>
        </w:rPr>
      </w:pPr>
      <w:r w:rsidRPr="00C70B8F">
        <w:rPr>
          <w:rFonts w:ascii="ITC Avant Garde" w:hAnsi="ITC Avant Garde"/>
          <w:lang w:val="es-ES_tradnl"/>
        </w:rPr>
        <w:t>El marco jurídico aplicable al caso concreto brinde claridad sobre las cuestiones planteadas, incluidos los precedentes judiciales, o para las que haya directrices, guías, lineamientos y criterios técnicos;</w:t>
      </w:r>
    </w:p>
    <w:p w:rsidR="004D3F05" w:rsidRPr="00C70B8F" w:rsidRDefault="004D3F05" w:rsidP="00C70B8F">
      <w:pPr>
        <w:pStyle w:val="Textonotapie"/>
        <w:numPr>
          <w:ilvl w:val="0"/>
          <w:numId w:val="6"/>
        </w:numPr>
        <w:pBdr>
          <w:bar w:val="single" w:sz="4" w:color="auto"/>
        </w:pBdr>
        <w:spacing w:before="120"/>
        <w:ind w:left="568" w:hanging="284"/>
        <w:contextualSpacing/>
        <w:jc w:val="both"/>
        <w:rPr>
          <w:rFonts w:ascii="ITC Avant Garde" w:eastAsiaTheme="minorHAnsi" w:hAnsi="ITC Avant Garde" w:cstheme="minorBidi"/>
          <w:sz w:val="22"/>
          <w:szCs w:val="22"/>
          <w:lang w:val="es-ES_tradnl" w:eastAsia="en-US"/>
        </w:rPr>
      </w:pPr>
      <w:r w:rsidRPr="00C70B8F">
        <w:rPr>
          <w:rFonts w:ascii="ITC Avant Garde" w:eastAsiaTheme="minorHAnsi" w:hAnsi="ITC Avant Garde" w:cstheme="minorBidi"/>
          <w:sz w:val="22"/>
          <w:szCs w:val="22"/>
          <w:lang w:val="es-ES_tradnl" w:eastAsia="en-US"/>
        </w:rPr>
        <w:t>Se advierta que el Instituto no puede expedir su opinión formal sobre la base de la información proporcionada, por ser necesario que proceda a una investigación adicional de los hechos;</w:t>
      </w:r>
    </w:p>
    <w:p w:rsidR="004D3F05" w:rsidRPr="00C70B8F" w:rsidRDefault="004D3F05" w:rsidP="00C70B8F">
      <w:pPr>
        <w:pStyle w:val="Textonotapie"/>
        <w:numPr>
          <w:ilvl w:val="0"/>
          <w:numId w:val="6"/>
        </w:numPr>
        <w:pBdr>
          <w:bar w:val="single" w:sz="4" w:color="auto"/>
        </w:pBdr>
        <w:spacing w:before="120"/>
        <w:ind w:left="568" w:hanging="284"/>
        <w:contextualSpacing/>
        <w:jc w:val="both"/>
        <w:rPr>
          <w:rFonts w:ascii="ITC Avant Garde" w:eastAsiaTheme="minorHAnsi" w:hAnsi="ITC Avant Garde" w:cstheme="minorBidi"/>
          <w:sz w:val="22"/>
          <w:szCs w:val="22"/>
          <w:lang w:val="es-ES_tradnl" w:eastAsia="en-US"/>
        </w:rPr>
      </w:pPr>
      <w:r w:rsidRPr="00C70B8F">
        <w:rPr>
          <w:rFonts w:ascii="ITC Avant Garde" w:eastAsiaTheme="minorHAnsi" w:hAnsi="ITC Avant Garde" w:cstheme="minorBidi"/>
          <w:sz w:val="22"/>
          <w:szCs w:val="22"/>
          <w:lang w:val="es-ES_tradnl" w:eastAsia="en-US"/>
        </w:rPr>
        <w:t>Las cuestiones planteadas actualicen los incisos a), b) y c) del tercer párrafo del artículo 104 de la Ley; o</w:t>
      </w:r>
    </w:p>
    <w:p w:rsidR="004D3F05" w:rsidRPr="00C70B8F" w:rsidRDefault="004D3F05" w:rsidP="00C70B8F">
      <w:pPr>
        <w:pStyle w:val="Textonotapie"/>
        <w:numPr>
          <w:ilvl w:val="0"/>
          <w:numId w:val="6"/>
        </w:numPr>
        <w:pBdr>
          <w:bar w:val="single" w:sz="4" w:color="auto"/>
        </w:pBdr>
        <w:spacing w:before="120"/>
        <w:ind w:left="568" w:hanging="284"/>
        <w:contextualSpacing/>
        <w:jc w:val="both"/>
        <w:rPr>
          <w:rFonts w:ascii="ITC Avant Garde" w:eastAsiaTheme="minorHAnsi" w:hAnsi="ITC Avant Garde" w:cstheme="minorBidi"/>
          <w:sz w:val="22"/>
          <w:szCs w:val="22"/>
          <w:lang w:val="es-ES_tradnl" w:eastAsia="en-US"/>
        </w:rPr>
      </w:pPr>
      <w:r w:rsidRPr="00C70B8F">
        <w:rPr>
          <w:rFonts w:ascii="ITC Avant Garde" w:eastAsiaTheme="minorHAnsi" w:hAnsi="ITC Avant Garde" w:cstheme="minorBidi"/>
          <w:sz w:val="22"/>
          <w:szCs w:val="22"/>
          <w:lang w:val="es-ES_tradnl" w:eastAsia="en-US"/>
        </w:rPr>
        <w:t>Las cuestiones planteadas tengan una tramitación específica ante la Ley.</w:t>
      </w:r>
    </w:p>
    <w:p w:rsidR="00F06C0C" w:rsidRPr="00C70B8F" w:rsidRDefault="00F06C0C" w:rsidP="00C70B8F">
      <w:pPr>
        <w:spacing w:after="0" w:line="240" w:lineRule="auto"/>
        <w:contextualSpacing/>
        <w:rPr>
          <w:rFonts w:ascii="ITC Avant Garde" w:hAnsi="ITC Avant Garde"/>
          <w:b/>
        </w:rPr>
      </w:pPr>
    </w:p>
    <w:p w:rsidR="00AF3F41" w:rsidRDefault="00AF3F41"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Artículo 149.</w:t>
      </w:r>
      <w:r w:rsidRPr="00C70B8F">
        <w:rPr>
          <w:rFonts w:ascii="ITC Avant Garde" w:hAnsi="ITC Avant Garde"/>
          <w:lang w:val="es-ES_tradnl"/>
        </w:rPr>
        <w:t xml:space="preserve"> A partir de la fecha en que se emita la convocatoria a que se refiere el artículo 106, fracción I de la LFCE, correrá el plazo de cinco días para que el Pleno resuelva si expedirá o no una opinión formal sobre la solicitud planteada. Este acuerdo se notificará al Agente Económico interesado en un plazo no mayor a cinco días, contados a partir del día siguiente al de su emisión.</w:t>
      </w:r>
    </w:p>
    <w:p w:rsidR="00C70B8F" w:rsidRPr="00C70B8F" w:rsidRDefault="00C70B8F" w:rsidP="00C70B8F">
      <w:pPr>
        <w:spacing w:before="120" w:after="0" w:line="240" w:lineRule="auto"/>
        <w:ind w:firstLine="284"/>
        <w:contextualSpacing/>
        <w:jc w:val="both"/>
        <w:rPr>
          <w:rFonts w:ascii="ITC Avant Garde" w:hAnsi="ITC Avant Garde"/>
          <w:lang w:val="es-ES_tradnl"/>
        </w:rPr>
      </w:pPr>
    </w:p>
    <w:p w:rsidR="00F22EE1" w:rsidRDefault="00AF3F41"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lang w:val="es-ES_tradnl"/>
        </w:rPr>
        <w:t>El Pleno emitirá un acuerdo en el cual determinará si expedirá o no una opinión formal sobre la solicitud planteada, considerando lo establecido en el artículo 104, fracción II, de la Ley.</w:t>
      </w:r>
    </w:p>
    <w:p w:rsidR="00C70B8F" w:rsidRDefault="00C70B8F" w:rsidP="00C70B8F">
      <w:pPr>
        <w:spacing w:before="120" w:after="0" w:line="240" w:lineRule="auto"/>
        <w:ind w:firstLine="284"/>
        <w:contextualSpacing/>
        <w:jc w:val="both"/>
        <w:rPr>
          <w:rFonts w:ascii="ITC Avant Garde" w:hAnsi="ITC Avant Garde"/>
          <w:lang w:val="es-ES_tradnl"/>
        </w:rPr>
      </w:pPr>
    </w:p>
    <w:p w:rsidR="005B385B" w:rsidRDefault="005B385B" w:rsidP="00C70B8F">
      <w:pPr>
        <w:spacing w:before="120" w:after="0" w:line="240" w:lineRule="auto"/>
        <w:ind w:firstLine="284"/>
        <w:contextualSpacing/>
        <w:jc w:val="both"/>
        <w:rPr>
          <w:rFonts w:ascii="ITC Avant Garde" w:hAnsi="ITC Avant Garde"/>
          <w:b/>
          <w:lang w:val="es-ES_tradnl"/>
        </w:rPr>
      </w:pPr>
    </w:p>
    <w:p w:rsidR="00AF3F41" w:rsidRDefault="00AF3F41"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lastRenderedPageBreak/>
        <w:t xml:space="preserve">Artículo 155. </w:t>
      </w:r>
      <w:r w:rsidRPr="00C70B8F">
        <w:rPr>
          <w:rFonts w:ascii="ITC Avant Garde" w:hAnsi="ITC Avant Garde"/>
          <w:lang w:val="es-ES_tradnl"/>
        </w:rPr>
        <w:t>…</w:t>
      </w:r>
    </w:p>
    <w:p w:rsidR="00C70B8F" w:rsidRPr="00C70B8F" w:rsidRDefault="00C70B8F" w:rsidP="00C70B8F">
      <w:pPr>
        <w:spacing w:before="120" w:after="0" w:line="240" w:lineRule="auto"/>
        <w:ind w:firstLine="284"/>
        <w:contextualSpacing/>
        <w:jc w:val="both"/>
        <w:rPr>
          <w:rFonts w:ascii="ITC Avant Garde" w:hAnsi="ITC Avant Garde"/>
          <w:lang w:val="es-ES_tradnl"/>
        </w:rPr>
      </w:pPr>
    </w:p>
    <w:p w:rsidR="00AF3F41" w:rsidRPr="00C70B8F" w:rsidRDefault="00AF3F41"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w:t>
      </w:r>
      <w:r w:rsidRPr="00C70B8F">
        <w:rPr>
          <w:rFonts w:ascii="ITC Avant Garde" w:hAnsi="ITC Avant Garde"/>
          <w:lang w:val="es-ES_tradnl"/>
        </w:rPr>
        <w:t xml:space="preserve"> …</w:t>
      </w:r>
    </w:p>
    <w:p w:rsidR="00AF3F41" w:rsidRDefault="00AF3F41"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II.</w:t>
      </w:r>
      <w:r w:rsidRPr="00C70B8F">
        <w:rPr>
          <w:rFonts w:ascii="ITC Avant Garde" w:hAnsi="ITC Avant Garde"/>
          <w:lang w:val="es-ES_tradnl"/>
        </w:rPr>
        <w:t xml:space="preserve"> La información o documentación necesaria para acreditar que el promovente tiene la representación o las facultades para solicitar el estudio, trabajo de investigación o informe general;</w:t>
      </w:r>
    </w:p>
    <w:p w:rsidR="00C70B8F" w:rsidRPr="00C70B8F" w:rsidRDefault="00C70B8F" w:rsidP="00C70B8F">
      <w:pPr>
        <w:spacing w:before="120" w:after="0" w:line="240" w:lineRule="auto"/>
        <w:ind w:firstLine="284"/>
        <w:contextualSpacing/>
        <w:jc w:val="both"/>
        <w:rPr>
          <w:rFonts w:ascii="ITC Avant Garde" w:hAnsi="ITC Avant Garde"/>
          <w:lang w:val="es-ES_tradnl"/>
        </w:rPr>
      </w:pPr>
    </w:p>
    <w:p w:rsidR="0070376A" w:rsidRPr="00C70B8F" w:rsidRDefault="0070376A"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III.</w:t>
      </w:r>
      <w:r w:rsidRPr="00C70B8F">
        <w:rPr>
          <w:rFonts w:ascii="ITC Avant Garde" w:hAnsi="ITC Avant Garde"/>
          <w:lang w:val="es-ES_tradnl"/>
        </w:rPr>
        <w:t xml:space="preserve"> y </w:t>
      </w:r>
      <w:r w:rsidRPr="00C70B8F">
        <w:rPr>
          <w:rFonts w:ascii="ITC Avant Garde" w:hAnsi="ITC Avant Garde"/>
          <w:b/>
          <w:lang w:val="es-ES_tradnl"/>
        </w:rPr>
        <w:t>IV.</w:t>
      </w:r>
      <w:r w:rsidRPr="00C70B8F">
        <w:rPr>
          <w:rFonts w:ascii="ITC Avant Garde" w:hAnsi="ITC Avant Garde"/>
          <w:lang w:val="es-ES_tradnl"/>
        </w:rPr>
        <w:t xml:space="preserve"> …</w:t>
      </w:r>
    </w:p>
    <w:p w:rsidR="00AF3F41" w:rsidRPr="00C70B8F" w:rsidRDefault="00AF3F41" w:rsidP="00C70B8F">
      <w:pPr>
        <w:spacing w:after="0" w:line="240" w:lineRule="auto"/>
        <w:contextualSpacing/>
        <w:rPr>
          <w:rFonts w:ascii="ITC Avant Garde" w:hAnsi="ITC Avant Garde"/>
          <w:b/>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 xml:space="preserve">   Artículo 159.</w:t>
      </w:r>
      <w:r w:rsidRPr="00C70B8F">
        <w:rPr>
          <w:rFonts w:ascii="ITC Avant Garde" w:hAnsi="ITC Avant Garde"/>
        </w:rPr>
        <w:t xml:space="preserve"> La Autoridad Investigadora podrá solicitar al Pleno la emisión de medidas cautelares. La petición para emitir una medida cautelar debe expresar su objeto, el alcance y la duración solicitada. El Pleno, en caso de autorizar la medida cautelar, deberá indicar el alcance y el tiempo por los que la concede.</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En caso de que un Agente Económico solicite la emisión de medidas cautelares, la solicitud se desechará de plano, sin perjuicio de que la Autoridad Investigadora pueda considerar los argumentos y elementos de convicción aportados.</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 xml:space="preserve">   Artículo 159-A</w:t>
      </w:r>
      <w:r w:rsidRPr="00C70B8F">
        <w:rPr>
          <w:rFonts w:ascii="ITC Avant Garde" w:hAnsi="ITC Avant Garde"/>
        </w:rPr>
        <w:t>. La medida cautelar consistente en ordenar la suspensión de los actos constitutivos de las probables conductas prohibidas por la Ley, prevista en el artículo 135, fracción I, de la Ley, sólo podrá solicitarse al momento en que la Autoridad Investigadora presente al Pleno el dictamen de probable responsabilidad en términos del artículo 78, fracción I, de la Ley.</w:t>
      </w:r>
    </w:p>
    <w:p w:rsidR="00F06C0C" w:rsidRPr="00C70B8F" w:rsidRDefault="00F06C0C" w:rsidP="00C70B8F">
      <w:pPr>
        <w:spacing w:after="0" w:line="240" w:lineRule="auto"/>
        <w:ind w:firstLine="284"/>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Las medidas cautelares distintas a la referida en el párrafo anterior podrán ser solicitadas por la Autoridad Investigadora al Pleno durante la sustanciación de la investigación o durante el procedimiento seguido en forma de juicio.</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 xml:space="preserve">   Artículo 159-B.</w:t>
      </w:r>
      <w:r w:rsidRPr="00C70B8F">
        <w:rPr>
          <w:rFonts w:ascii="ITC Avant Garde" w:hAnsi="ITC Avant Garde"/>
        </w:rPr>
        <w:t xml:space="preserve"> La solicitud de medidas cautelares que formule la Autoridad Investigadora al Pleno deberá contener los siguientes elementos, según corresponda: </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I.</w:t>
      </w:r>
      <w:r w:rsidRPr="00C70B8F">
        <w:rPr>
          <w:rFonts w:ascii="ITC Avant Garde" w:hAnsi="ITC Avant Garde"/>
          <w:b/>
        </w:rPr>
        <w:tab/>
      </w:r>
      <w:r w:rsidRPr="00C70B8F">
        <w:rPr>
          <w:rFonts w:ascii="ITC Avant Garde" w:hAnsi="ITC Avant Garde"/>
        </w:rPr>
        <w:t>La medida cautelar solicitada</w:t>
      </w:r>
      <w:r w:rsidRPr="00C70B8F">
        <w:rPr>
          <w:rFonts w:ascii="ITC Avant Garde" w:hAnsi="ITC Avant Garde"/>
          <w:b/>
        </w:rPr>
        <w:t>;</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II.</w:t>
      </w:r>
      <w:r w:rsidRPr="00C70B8F">
        <w:rPr>
          <w:rFonts w:ascii="ITC Avant Garde" w:hAnsi="ITC Avant Garde"/>
          <w:b/>
        </w:rPr>
        <w:tab/>
      </w:r>
      <w:r w:rsidRPr="00C70B8F">
        <w:rPr>
          <w:rFonts w:ascii="ITC Avant Garde" w:hAnsi="ITC Avant Garde"/>
        </w:rPr>
        <w:t>El nombre del Agente Económico al que se solicita imponer la medida cautelar;</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III.</w:t>
      </w:r>
      <w:r w:rsidRPr="00C70B8F">
        <w:rPr>
          <w:rFonts w:ascii="ITC Avant Garde" w:hAnsi="ITC Avant Garde"/>
          <w:b/>
        </w:rPr>
        <w:tab/>
      </w:r>
      <w:r w:rsidRPr="00C70B8F">
        <w:rPr>
          <w:rFonts w:ascii="ITC Avant Garde" w:hAnsi="ITC Avant Garde"/>
        </w:rPr>
        <w:t>La descripción de los actos, conductas, información, documentación u otros elementos a los que se refiera la medida cautelar solicitada;</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IV.</w:t>
      </w:r>
      <w:r w:rsidRPr="00C70B8F">
        <w:rPr>
          <w:rFonts w:ascii="ITC Avant Garde" w:hAnsi="ITC Avant Garde"/>
          <w:b/>
        </w:rPr>
        <w:tab/>
      </w:r>
      <w:r w:rsidRPr="00C70B8F">
        <w:rPr>
          <w:rFonts w:ascii="ITC Avant Garde" w:hAnsi="ITC Avant Garde"/>
        </w:rPr>
        <w:t>La forma en la que el otorgamiento de la medida cautelar podría evitar un daño de difícil reparación al proceso de libre concurrencia y competencia económica, o asegurar la eficacia del resultado de la investigación y resolución del procedimiento, y</w:t>
      </w:r>
    </w:p>
    <w:p w:rsidR="00F06C0C" w:rsidRPr="00C70B8F" w:rsidRDefault="00F06C0C" w:rsidP="00C70B8F">
      <w:pPr>
        <w:spacing w:after="0" w:line="240" w:lineRule="auto"/>
        <w:ind w:firstLine="284"/>
        <w:contextualSpacing/>
        <w:jc w:val="both"/>
        <w:rPr>
          <w:rFonts w:ascii="ITC Avant Garde" w:hAnsi="ITC Avant Garde"/>
          <w:b/>
        </w:rPr>
      </w:pPr>
    </w:p>
    <w:p w:rsidR="00F06C0C" w:rsidRPr="00C70B8F" w:rsidRDefault="00F06C0C" w:rsidP="00C70B8F">
      <w:pPr>
        <w:spacing w:after="0" w:line="240" w:lineRule="auto"/>
        <w:ind w:firstLine="284"/>
        <w:contextualSpacing/>
        <w:jc w:val="both"/>
        <w:rPr>
          <w:rFonts w:ascii="ITC Avant Garde" w:hAnsi="ITC Avant Garde"/>
          <w:b/>
        </w:rPr>
      </w:pPr>
      <w:r w:rsidRPr="00C70B8F">
        <w:rPr>
          <w:rFonts w:ascii="ITC Avant Garde" w:hAnsi="ITC Avant Garde"/>
          <w:b/>
        </w:rPr>
        <w:t>V.</w:t>
      </w:r>
      <w:r w:rsidRPr="00C70B8F">
        <w:rPr>
          <w:rFonts w:ascii="ITC Avant Garde" w:hAnsi="ITC Avant Garde"/>
          <w:b/>
        </w:rPr>
        <w:tab/>
      </w:r>
      <w:r w:rsidRPr="00C70B8F">
        <w:rPr>
          <w:rFonts w:ascii="ITC Avant Garde" w:hAnsi="ITC Avant Garde"/>
        </w:rPr>
        <w:t>La duración solicitada y su justificación.</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lastRenderedPageBreak/>
        <w:t xml:space="preserve">    Artículo 159-C.</w:t>
      </w:r>
      <w:r w:rsidRPr="00C70B8F">
        <w:rPr>
          <w:rFonts w:ascii="ITC Avant Garde" w:hAnsi="ITC Avant Garde"/>
        </w:rPr>
        <w:t xml:space="preserve"> En cualquier momento, hasta la integración del expediente en los términos previstos en el artículo 83, fracción VI, de la Ley, el Pleno podrá revocar de oficio o a petición de parte las medidas cautelares cuando dejen de cumplir el propósito para el que fueron emitidas.</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 xml:space="preserve">    Artículo 159-D.</w:t>
      </w:r>
      <w:r w:rsidRPr="00C70B8F">
        <w:rPr>
          <w:rFonts w:ascii="ITC Avant Garde" w:hAnsi="ITC Avant Garde"/>
        </w:rPr>
        <w:t xml:space="preserve"> La emisión de medidas cautelares no prejuzga sobre el resultado de la investigación ni, en su caso, de la resolución que se emita con motivo del procedimiento seguido en forma de juicio.</w:t>
      </w:r>
    </w:p>
    <w:p w:rsidR="00F06C0C" w:rsidRPr="00C70B8F" w:rsidRDefault="00F06C0C" w:rsidP="00C70B8F">
      <w:pPr>
        <w:spacing w:after="0" w:line="240" w:lineRule="auto"/>
        <w:contextualSpacing/>
        <w:rPr>
          <w:rFonts w:ascii="ITC Avant Garde" w:hAnsi="ITC Avant Garde"/>
          <w:b/>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 xml:space="preserve">     Artículo 165. </w:t>
      </w:r>
      <w:r w:rsidRPr="00C70B8F">
        <w:rPr>
          <w:rFonts w:ascii="ITC Avant Garde" w:hAnsi="ITC Avant Garde"/>
        </w:rPr>
        <w:t>…</w:t>
      </w:r>
    </w:p>
    <w:p w:rsidR="00F06C0C" w:rsidRPr="00C70B8F" w:rsidRDefault="00F06C0C" w:rsidP="00C70B8F">
      <w:pPr>
        <w:spacing w:after="0" w:line="240" w:lineRule="auto"/>
        <w:contextualSpacing/>
        <w:jc w:val="both"/>
        <w:rPr>
          <w:rFonts w:ascii="ITC Avant Garde" w:hAnsi="ITC Avant Garde"/>
          <w:b/>
        </w:rPr>
      </w:pPr>
    </w:p>
    <w:p w:rsidR="00F06C0C" w:rsidRPr="00C70B8F" w:rsidRDefault="00F06C0C" w:rsidP="00C70B8F">
      <w:pPr>
        <w:spacing w:after="0" w:line="240" w:lineRule="auto"/>
        <w:contextualSpacing/>
        <w:jc w:val="both"/>
        <w:rPr>
          <w:rFonts w:ascii="ITC Avant Garde" w:hAnsi="ITC Avant Garde"/>
          <w:b/>
        </w:rPr>
      </w:pPr>
      <w:r w:rsidRPr="00C70B8F">
        <w:rPr>
          <w:rFonts w:ascii="ITC Avant Garde" w:hAnsi="ITC Avant Garde"/>
          <w:b/>
        </w:rPr>
        <w:t xml:space="preserve">      I. </w:t>
      </w:r>
      <w:r w:rsidRPr="00C70B8F">
        <w:rPr>
          <w:rFonts w:ascii="ITC Avant Garde" w:hAnsi="ITC Avant Garde"/>
        </w:rPr>
        <w:t>y</w:t>
      </w:r>
      <w:r w:rsidRPr="00C70B8F">
        <w:rPr>
          <w:rFonts w:ascii="ITC Avant Garde" w:hAnsi="ITC Avant Garde"/>
          <w:b/>
        </w:rPr>
        <w:t xml:space="preserve"> II. </w:t>
      </w:r>
      <w:r w:rsidRPr="00C70B8F">
        <w:rPr>
          <w:rFonts w:ascii="ITC Avant Garde" w:hAnsi="ITC Avant Garde"/>
        </w:rPr>
        <w:t>…</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pStyle w:val="Prrafodelista"/>
        <w:numPr>
          <w:ilvl w:val="0"/>
          <w:numId w:val="2"/>
        </w:numPr>
        <w:spacing w:after="0" w:line="240" w:lineRule="auto"/>
        <w:jc w:val="both"/>
        <w:rPr>
          <w:rFonts w:ascii="ITC Avant Garde" w:hAnsi="ITC Avant Garde"/>
        </w:rPr>
      </w:pPr>
      <w:r w:rsidRPr="00C70B8F">
        <w:rPr>
          <w:rFonts w:ascii="ITC Avant Garde" w:hAnsi="ITC Avant Garde"/>
        </w:rPr>
        <w:t>Por correo certificado o mensajería con acuse de recibo, cuando lo ordene expresamente el Instituto;</w:t>
      </w:r>
    </w:p>
    <w:p w:rsidR="00F06C0C" w:rsidRPr="00C70B8F" w:rsidRDefault="00F06C0C" w:rsidP="00C70B8F">
      <w:pPr>
        <w:pStyle w:val="Prrafodelista"/>
        <w:spacing w:after="0" w:line="240" w:lineRule="auto"/>
        <w:ind w:left="1080"/>
        <w:jc w:val="both"/>
        <w:rPr>
          <w:rFonts w:ascii="ITC Avant Garde" w:hAnsi="ITC Avant Garde"/>
        </w:rPr>
      </w:pPr>
    </w:p>
    <w:p w:rsidR="00F06C0C" w:rsidRPr="00C70B8F" w:rsidRDefault="00F06C0C" w:rsidP="00C70B8F">
      <w:pPr>
        <w:pStyle w:val="Prrafodelista"/>
        <w:numPr>
          <w:ilvl w:val="0"/>
          <w:numId w:val="2"/>
        </w:numPr>
        <w:spacing w:after="0" w:line="240" w:lineRule="auto"/>
        <w:jc w:val="both"/>
        <w:rPr>
          <w:rFonts w:ascii="ITC Avant Garde" w:hAnsi="ITC Avant Garde"/>
        </w:rPr>
      </w:pPr>
      <w:r w:rsidRPr="00C70B8F">
        <w:rPr>
          <w:rFonts w:ascii="ITC Avant Garde" w:hAnsi="ITC Avant Garde"/>
        </w:rPr>
        <w:t>A las autoridades, mediante oficio entregado por mensajero o correo certificado con acuse de recibo, o cualquier otro medio por el que se pueda comprobar fehacientemente su recepción;</w:t>
      </w:r>
    </w:p>
    <w:p w:rsidR="00F06C0C" w:rsidRPr="00C70B8F" w:rsidRDefault="00F06C0C" w:rsidP="00C70B8F">
      <w:pPr>
        <w:pStyle w:val="Prrafodelista"/>
        <w:spacing w:after="0" w:line="240" w:lineRule="auto"/>
        <w:rPr>
          <w:rFonts w:ascii="ITC Avant Garde" w:hAnsi="ITC Avant Garde"/>
        </w:rPr>
      </w:pPr>
    </w:p>
    <w:p w:rsidR="00F06C0C" w:rsidRPr="00C70B8F" w:rsidRDefault="00F06C0C" w:rsidP="00C70B8F">
      <w:pPr>
        <w:pStyle w:val="Prrafodelista"/>
        <w:numPr>
          <w:ilvl w:val="0"/>
          <w:numId w:val="2"/>
        </w:numPr>
        <w:spacing w:after="0" w:line="240" w:lineRule="auto"/>
        <w:jc w:val="both"/>
        <w:rPr>
          <w:rFonts w:ascii="ITC Avant Garde" w:hAnsi="ITC Avant Garde"/>
        </w:rPr>
      </w:pPr>
      <w:r w:rsidRPr="00C70B8F">
        <w:rPr>
          <w:rFonts w:ascii="ITC Avant Garde" w:hAnsi="ITC Avant Garde"/>
        </w:rPr>
        <w:t>Por comparecencia del interesado, y</w:t>
      </w:r>
    </w:p>
    <w:p w:rsidR="00F06C0C" w:rsidRPr="00C70B8F" w:rsidRDefault="00F06C0C" w:rsidP="00C70B8F">
      <w:pPr>
        <w:pStyle w:val="Prrafodelista"/>
        <w:spacing w:after="0" w:line="240" w:lineRule="auto"/>
        <w:rPr>
          <w:rFonts w:ascii="ITC Avant Garde" w:hAnsi="ITC Avant Garde"/>
        </w:rPr>
      </w:pPr>
    </w:p>
    <w:p w:rsidR="00F06C0C" w:rsidRPr="00C70B8F" w:rsidRDefault="00F06C0C" w:rsidP="00C70B8F">
      <w:pPr>
        <w:pStyle w:val="Prrafodelista"/>
        <w:numPr>
          <w:ilvl w:val="0"/>
          <w:numId w:val="2"/>
        </w:numPr>
        <w:spacing w:after="0" w:line="240" w:lineRule="auto"/>
        <w:jc w:val="both"/>
        <w:rPr>
          <w:rFonts w:ascii="ITC Avant Garde" w:hAnsi="ITC Avant Garde"/>
        </w:rPr>
      </w:pPr>
      <w:r w:rsidRPr="00C70B8F">
        <w:rPr>
          <w:rFonts w:ascii="ITC Avant Garde" w:hAnsi="ITC Avant Garde"/>
        </w:rPr>
        <w:t>Por medios electrónicos, las cuales se realizarán de conformidad con los lineamientos que para tal efecto apruebe el Instituto.</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ind w:firstLine="284"/>
        <w:contextualSpacing/>
        <w:jc w:val="both"/>
        <w:rPr>
          <w:rFonts w:ascii="ITC Avant Garde" w:hAnsi="ITC Avant Garde"/>
        </w:rPr>
      </w:pPr>
      <w:r w:rsidRPr="00C70B8F">
        <w:rPr>
          <w:rFonts w:ascii="ITC Avant Garde" w:hAnsi="ITC Avant Garde"/>
        </w:rPr>
        <w:t>Las actuaciones señaladas en el artículo 166 siguiente pueden realizarse en los términos de la fracción III del presente artículo cuando el interesado lo solicite y adjunte el comprobante de pago respectivo; en los términos de la fracción V cuando el interesado comparezca a las oficinas del Instituto y en los términos de la fracción VI cuando el Instituto lo determine mediante disposiciones de carácter general.</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contextualSpacing/>
        <w:jc w:val="both"/>
        <w:rPr>
          <w:rFonts w:ascii="ITC Avant Garde" w:hAnsi="ITC Avant Garde"/>
          <w:b/>
        </w:rPr>
      </w:pPr>
      <w:r w:rsidRPr="00C70B8F">
        <w:rPr>
          <w:rFonts w:ascii="ITC Avant Garde" w:hAnsi="ITC Avant Garde"/>
          <w:b/>
        </w:rPr>
        <w:t xml:space="preserve">   Artículo 168. </w:t>
      </w:r>
      <w:r w:rsidRPr="00C70B8F">
        <w:rPr>
          <w:rFonts w:ascii="ITC Avant Garde" w:hAnsi="ITC Avant Garde"/>
        </w:rPr>
        <w:t>…</w:t>
      </w:r>
    </w:p>
    <w:p w:rsidR="00F06C0C" w:rsidRPr="00C70B8F" w:rsidRDefault="00F06C0C" w:rsidP="00C70B8F">
      <w:pPr>
        <w:spacing w:after="0" w:line="240" w:lineRule="auto"/>
        <w:contextualSpacing/>
        <w:jc w:val="both"/>
        <w:rPr>
          <w:rFonts w:ascii="ITC Avant Garde" w:hAnsi="ITC Avant Garde"/>
          <w:b/>
        </w:rPr>
      </w:pPr>
    </w:p>
    <w:p w:rsidR="00F06C0C" w:rsidRPr="00C70B8F" w:rsidRDefault="00F06C0C" w:rsidP="00C70B8F">
      <w:pPr>
        <w:spacing w:after="0" w:line="240" w:lineRule="auto"/>
        <w:contextualSpacing/>
        <w:jc w:val="both"/>
        <w:rPr>
          <w:rFonts w:ascii="ITC Avant Garde" w:hAnsi="ITC Avant Garde"/>
          <w:b/>
        </w:rPr>
      </w:pPr>
      <w:r w:rsidRPr="00C70B8F">
        <w:rPr>
          <w:rFonts w:ascii="ITC Avant Garde" w:hAnsi="ITC Avant Garde"/>
          <w:b/>
        </w:rPr>
        <w:t xml:space="preserve">    I. </w:t>
      </w:r>
      <w:r w:rsidRPr="00C70B8F">
        <w:rPr>
          <w:rFonts w:ascii="ITC Avant Garde" w:hAnsi="ITC Avant Garde"/>
        </w:rPr>
        <w:t>y</w:t>
      </w:r>
      <w:r w:rsidRPr="00C70B8F">
        <w:rPr>
          <w:rFonts w:ascii="ITC Avant Garde" w:hAnsi="ITC Avant Garde"/>
          <w:b/>
        </w:rPr>
        <w:t xml:space="preserve"> II. </w:t>
      </w:r>
      <w:r w:rsidRPr="00C70B8F">
        <w:rPr>
          <w:rFonts w:ascii="ITC Avant Garde" w:hAnsi="ITC Avant Garde"/>
        </w:rPr>
        <w:t>…</w:t>
      </w:r>
    </w:p>
    <w:p w:rsidR="00F06C0C" w:rsidRPr="00C70B8F" w:rsidRDefault="00F06C0C" w:rsidP="00C70B8F">
      <w:pPr>
        <w:spacing w:after="0" w:line="240" w:lineRule="auto"/>
        <w:contextualSpacing/>
        <w:jc w:val="both"/>
        <w:rPr>
          <w:rFonts w:ascii="ITC Avant Garde" w:hAnsi="ITC Avant Garde"/>
          <w:b/>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 xml:space="preserve">    III. </w:t>
      </w:r>
      <w:r w:rsidRPr="00C70B8F">
        <w:rPr>
          <w:rFonts w:ascii="ITC Avant Garde" w:hAnsi="ITC Avant Garde"/>
        </w:rPr>
        <w:t>Cuando no se señale domicilio en la primera promoción o éste no se señale en la Ciudad de México, sin perjuicio que con posterioridad se designe.</w:t>
      </w:r>
    </w:p>
    <w:p w:rsidR="00EA713F" w:rsidRPr="00C70B8F" w:rsidRDefault="00F06C0C" w:rsidP="00C70B8F">
      <w:pPr>
        <w:spacing w:after="0" w:line="240" w:lineRule="auto"/>
        <w:ind w:left="142"/>
        <w:contextualSpacing/>
        <w:jc w:val="both"/>
        <w:rPr>
          <w:rFonts w:ascii="ITC Avant Garde" w:hAnsi="ITC Avant Garde"/>
        </w:rPr>
      </w:pPr>
      <w:r w:rsidRPr="00C70B8F">
        <w:rPr>
          <w:rFonts w:ascii="ITC Avant Garde" w:hAnsi="ITC Avant Garde"/>
        </w:rPr>
        <w:t>…</w:t>
      </w:r>
    </w:p>
    <w:p w:rsidR="00EA713F" w:rsidRPr="00C70B8F" w:rsidRDefault="00EA713F" w:rsidP="00C70B8F">
      <w:pPr>
        <w:autoSpaceDE w:val="0"/>
        <w:autoSpaceDN w:val="0"/>
        <w:adjustRightInd w:val="0"/>
        <w:spacing w:before="120" w:after="0" w:line="240" w:lineRule="auto"/>
        <w:ind w:firstLine="284"/>
        <w:contextualSpacing/>
        <w:jc w:val="both"/>
        <w:rPr>
          <w:rFonts w:ascii="ITC Avant Garde" w:hAnsi="ITC Avant Garde"/>
          <w:lang w:val="es-ES_tradnl"/>
        </w:rPr>
      </w:pPr>
      <w:r w:rsidRPr="00C70B8F">
        <w:rPr>
          <w:rFonts w:ascii="ITC Avant Garde" w:hAnsi="ITC Avant Garde"/>
          <w:lang w:val="es-ES_tradnl"/>
        </w:rPr>
        <w:t>El Instituto puede, si lo estima pertinente, ordenar la notificación personal cuando los Agentes Económicos señalen domicilio fuera de la Ciudad de México.</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 xml:space="preserve">   Artículo 171.</w:t>
      </w:r>
      <w:r w:rsidRPr="00C70B8F">
        <w:rPr>
          <w:rFonts w:ascii="ITC Avant Garde" w:hAnsi="ITC Avant Garde"/>
        </w:rPr>
        <w:t xml:space="preserve"> La notificación personal se entenderá con la persona a quien esté dirigida, su representante legal, apoderado legal o las personas autorizadas para ese efecto, o con la persona que se encuentre en el domicilio, ante la ausencia de aquéllos, en los siguientes términos.</w:t>
      </w:r>
    </w:p>
    <w:p w:rsidR="00F06C0C" w:rsidRPr="00C70B8F" w:rsidRDefault="00F06C0C" w:rsidP="00C70B8F">
      <w:pPr>
        <w:spacing w:after="0" w:line="240" w:lineRule="auto"/>
        <w:ind w:left="142"/>
        <w:contextualSpacing/>
        <w:jc w:val="both"/>
        <w:rPr>
          <w:rFonts w:ascii="ITC Avant Garde" w:hAnsi="ITC Avant Garde"/>
        </w:rPr>
      </w:pPr>
      <w:r w:rsidRPr="00C70B8F">
        <w:rPr>
          <w:rFonts w:ascii="ITC Avant Garde" w:hAnsi="ITC Avant Garde"/>
        </w:rPr>
        <w:lastRenderedPageBreak/>
        <w:t>…</w:t>
      </w:r>
    </w:p>
    <w:p w:rsidR="00F06C0C" w:rsidRPr="00C70B8F" w:rsidRDefault="00F06C0C" w:rsidP="00C70B8F">
      <w:pPr>
        <w:spacing w:after="0" w:line="240" w:lineRule="auto"/>
        <w:ind w:left="142"/>
        <w:contextualSpacing/>
        <w:jc w:val="both"/>
        <w:rPr>
          <w:rFonts w:ascii="ITC Avant Garde" w:hAnsi="ITC Avant Garde"/>
        </w:rPr>
      </w:pPr>
      <w:r w:rsidRPr="00C70B8F">
        <w:rPr>
          <w:rFonts w:ascii="ITC Avant Garde" w:hAnsi="ITC Avant Garde"/>
        </w:rPr>
        <w:t>…</w:t>
      </w:r>
    </w:p>
    <w:p w:rsidR="00F06C0C" w:rsidRPr="00C70B8F" w:rsidRDefault="00F06C0C" w:rsidP="00C70B8F">
      <w:pPr>
        <w:spacing w:after="0" w:line="240" w:lineRule="auto"/>
        <w:ind w:left="142"/>
        <w:contextualSpacing/>
        <w:jc w:val="both"/>
        <w:rPr>
          <w:rFonts w:ascii="ITC Avant Garde" w:hAnsi="ITC Avant Garde"/>
        </w:rPr>
      </w:pPr>
      <w:r w:rsidRPr="00C70B8F">
        <w:rPr>
          <w:rFonts w:ascii="ITC Avant Garde" w:hAnsi="ITC Avant Garde"/>
        </w:rPr>
        <w:t>…</w:t>
      </w:r>
    </w:p>
    <w:p w:rsidR="00941B5A" w:rsidRDefault="00941B5A"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Artículo 171-A.</w:t>
      </w:r>
      <w:r w:rsidRPr="00C70B8F">
        <w:rPr>
          <w:rFonts w:ascii="ITC Avant Garde" w:hAnsi="ITC Avant Garde"/>
          <w:bCs/>
          <w:lang w:val="es-ES_tradnl"/>
        </w:rPr>
        <w:t xml:space="preserve"> </w:t>
      </w:r>
      <w:r w:rsidRPr="00C70B8F">
        <w:rPr>
          <w:rFonts w:ascii="ITC Avant Garde" w:hAnsi="ITC Avant Garde"/>
          <w:lang w:val="es-ES_tradnl"/>
        </w:rPr>
        <w:t>Cuando no se esté en los supuestos previstos en el artículo anterior, las notificaciones personales se desahogarán conforme a lo siguiente:</w:t>
      </w:r>
    </w:p>
    <w:p w:rsidR="00C70B8F" w:rsidRPr="00C70B8F" w:rsidRDefault="00C70B8F" w:rsidP="00C70B8F">
      <w:pPr>
        <w:spacing w:before="120" w:after="0" w:line="240" w:lineRule="auto"/>
        <w:ind w:firstLine="284"/>
        <w:contextualSpacing/>
        <w:jc w:val="both"/>
        <w:rPr>
          <w:rFonts w:ascii="ITC Avant Garde" w:hAnsi="ITC Avant Garde"/>
          <w:lang w:val="es-ES_tradnl"/>
        </w:rPr>
      </w:pPr>
    </w:p>
    <w:p w:rsidR="00941B5A" w:rsidRDefault="00941B5A"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w:t>
      </w:r>
      <w:r w:rsidRPr="00C70B8F">
        <w:rPr>
          <w:rFonts w:ascii="ITC Avant Garde" w:hAnsi="ITC Avant Garde"/>
          <w:lang w:val="es-ES_tradnl"/>
        </w:rPr>
        <w:t xml:space="preserve"> El servidor público buscará a la persona que deba ser notificada, se cerciorará de su identidad, le hará saber que el Instituto ordena la notificación, así como el número de expediente y le entregará copia certificada de la resolución o del acuerdo que se notifica, una vez que se levanten las constancias de notificación correspondientes. Si la persona se niega a recibir o a firmar la notificación, la negativa se asentará en autos y la notificación se tendrá por hecha; </w:t>
      </w:r>
    </w:p>
    <w:p w:rsidR="00C70B8F" w:rsidRPr="00C70B8F" w:rsidRDefault="00C70B8F" w:rsidP="00C70B8F">
      <w:pPr>
        <w:spacing w:before="120" w:after="0" w:line="240" w:lineRule="auto"/>
        <w:ind w:firstLine="284"/>
        <w:contextualSpacing/>
        <w:jc w:val="both"/>
        <w:rPr>
          <w:rFonts w:ascii="ITC Avant Garde" w:hAnsi="ITC Avant Garde"/>
          <w:lang w:val="es-ES_tradnl"/>
        </w:rPr>
      </w:pPr>
    </w:p>
    <w:p w:rsidR="00941B5A" w:rsidRDefault="00941B5A"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II.</w:t>
      </w:r>
      <w:r w:rsidRPr="00C70B8F">
        <w:rPr>
          <w:rFonts w:ascii="ITC Avant Garde" w:hAnsi="ITC Avant Garde"/>
          <w:lang w:val="es-ES_tradnl"/>
        </w:rPr>
        <w:t xml:space="preserve"> Si no se encuentra a la persona que deba ser notificada, el servidor público se cerciorará de que es el domicilio correcto y le dejará citatorio para que, dentro del día hábil siguiente, acuda a las oficinas del Instituto en el horario establecido para la oficialía de partes, con una identificación oficial, especificándose el número del expediente. El citatorio se dejará con la persona que se encuentre en el domicilio; si la persona por notificar no acude a la cita, la notificación se hará por lista; y </w:t>
      </w:r>
    </w:p>
    <w:p w:rsidR="00C70B8F" w:rsidRPr="00C70B8F" w:rsidRDefault="00C70B8F" w:rsidP="00C70B8F">
      <w:pPr>
        <w:spacing w:before="120" w:after="0" w:line="240" w:lineRule="auto"/>
        <w:ind w:firstLine="284"/>
        <w:contextualSpacing/>
        <w:jc w:val="both"/>
        <w:rPr>
          <w:rFonts w:ascii="ITC Avant Garde" w:hAnsi="ITC Avant Garde"/>
          <w:lang w:val="es-ES_tradnl"/>
        </w:rPr>
      </w:pPr>
    </w:p>
    <w:p w:rsidR="00941B5A" w:rsidRDefault="00941B5A"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III.</w:t>
      </w:r>
      <w:r w:rsidRPr="00C70B8F">
        <w:rPr>
          <w:rFonts w:ascii="ITC Avant Garde" w:hAnsi="ITC Avant Garde"/>
          <w:lang w:val="es-ES_tradnl"/>
        </w:rPr>
        <w:t xml:space="preserve"> Si el servidor público encuentra el domicilio cerrado y ninguna persona acude a su llamado, hará constar tal circunstancia, se cerciorará de que es el domicilio correcto, lo hará constar y fijará aviso en la puerta o lugar visible a fin de que, dentro del día hábil siguiente, acuda a notificarse a las oficinas del Instituto en el horario establecido para la oficialía de partes. Si la persona por notificar no se presenta, la notificación se hará por lista.</w:t>
      </w:r>
    </w:p>
    <w:p w:rsidR="00C70B8F" w:rsidRPr="00C70B8F" w:rsidRDefault="00C70B8F" w:rsidP="00C70B8F">
      <w:pPr>
        <w:spacing w:before="120" w:after="0" w:line="240" w:lineRule="auto"/>
        <w:ind w:firstLine="284"/>
        <w:contextualSpacing/>
        <w:jc w:val="both"/>
        <w:rPr>
          <w:rFonts w:ascii="ITC Avant Garde" w:hAnsi="ITC Avant Garde"/>
          <w:lang w:val="es-ES_tradnl"/>
        </w:rPr>
      </w:pPr>
    </w:p>
    <w:p w:rsidR="00941B5A" w:rsidRDefault="00941B5A"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lang w:val="es-ES_tradnl"/>
        </w:rPr>
        <w:t>Lo señalado en las fracciones anteriores se hará constar en las cédulas de citatorio o notificación, según corresponda. El Instituto puede tomar las medidas necesarias para lograr la notificación en los términos del artículo anterior si lo estima pertinente.</w:t>
      </w:r>
    </w:p>
    <w:p w:rsidR="00C70B8F" w:rsidRPr="00C70B8F" w:rsidRDefault="00C70B8F" w:rsidP="00C70B8F">
      <w:pPr>
        <w:spacing w:before="120" w:after="0" w:line="240" w:lineRule="auto"/>
        <w:ind w:firstLine="284"/>
        <w:contextualSpacing/>
        <w:jc w:val="both"/>
        <w:rPr>
          <w:rFonts w:ascii="ITC Avant Garde" w:hAnsi="ITC Avant Garde"/>
          <w:lang w:val="es-ES_tradnl"/>
        </w:rPr>
      </w:pPr>
    </w:p>
    <w:p w:rsidR="00941B5A" w:rsidRPr="00C70B8F" w:rsidRDefault="00941B5A" w:rsidP="00C70B8F">
      <w:pPr>
        <w:spacing w:before="120" w:after="0" w:line="240" w:lineRule="auto"/>
        <w:ind w:firstLine="284"/>
        <w:contextualSpacing/>
        <w:jc w:val="both"/>
        <w:rPr>
          <w:rFonts w:ascii="ITC Avant Garde" w:hAnsi="ITC Avant Garde"/>
          <w:lang w:val="es-ES_tradnl"/>
        </w:rPr>
      </w:pPr>
      <w:r w:rsidRPr="00C70B8F">
        <w:rPr>
          <w:rFonts w:ascii="ITC Avant Garde" w:hAnsi="ITC Avant Garde"/>
          <w:b/>
          <w:bCs/>
          <w:lang w:val="es-ES_tradnl"/>
        </w:rPr>
        <w:t>Artículo 176</w:t>
      </w:r>
      <w:r w:rsidRPr="00C70B8F">
        <w:rPr>
          <w:rFonts w:ascii="ITC Avant Garde" w:hAnsi="ITC Avant Garde"/>
          <w:bCs/>
          <w:lang w:val="es-ES_tradnl"/>
        </w:rPr>
        <w:t xml:space="preserve">. </w:t>
      </w:r>
      <w:r w:rsidRPr="00C70B8F">
        <w:rPr>
          <w:rFonts w:ascii="ITC Avant Garde" w:hAnsi="ITC Avant Garde"/>
          <w:lang w:val="es-ES_tradnl"/>
        </w:rPr>
        <w:t>Para los efectos de lo dispuesto en el artículo 128 de la Ley, el Instituto puede determinar la capacidad económica del infractor con base en el monto de los activos del agente económico o en cualquier información de la que disponga.</w:t>
      </w:r>
    </w:p>
    <w:p w:rsidR="00F06C0C" w:rsidRPr="00C70B8F" w:rsidRDefault="00F06C0C" w:rsidP="00C70B8F">
      <w:pPr>
        <w:spacing w:after="0" w:line="240" w:lineRule="auto"/>
        <w:contextualSpacing/>
        <w:rPr>
          <w:rFonts w:ascii="ITC Avant Garde" w:hAnsi="ITC Avant Garde"/>
          <w:b/>
        </w:rPr>
      </w:pPr>
    </w:p>
    <w:p w:rsidR="00F06C0C" w:rsidRPr="00C70B8F" w:rsidRDefault="00F06C0C" w:rsidP="00C70B8F">
      <w:pPr>
        <w:spacing w:after="0" w:line="240" w:lineRule="auto"/>
        <w:contextualSpacing/>
        <w:jc w:val="both"/>
        <w:rPr>
          <w:rFonts w:ascii="ITC Avant Garde" w:hAnsi="ITC Avant Garde"/>
        </w:rPr>
      </w:pPr>
      <w:r w:rsidRPr="00C70B8F">
        <w:rPr>
          <w:rFonts w:ascii="ITC Avant Garde" w:hAnsi="ITC Avant Garde"/>
          <w:b/>
        </w:rPr>
        <w:t xml:space="preserve">     Artículo 177. </w:t>
      </w:r>
      <w:r w:rsidRPr="00C70B8F">
        <w:rPr>
          <w:rFonts w:ascii="ITC Avant Garde" w:hAnsi="ITC Avant Garde"/>
        </w:rPr>
        <w:t xml:space="preserve">Para el caso de prácticas monopólicas y concentraciones ilícitas, las sanciones que imponga el Instituto con base en Unidades de Medida y Actualización vigentes, se calcularán utilizando el valor diario de la Unidad de Medida y Actualización que esté vigente al momento de la realización de la práctica monopólica o concentración ilícita. </w:t>
      </w:r>
    </w:p>
    <w:p w:rsidR="00F06C0C" w:rsidRPr="00C70B8F" w:rsidRDefault="00F06C0C" w:rsidP="00C70B8F">
      <w:pPr>
        <w:spacing w:after="0" w:line="240" w:lineRule="auto"/>
        <w:contextualSpacing/>
        <w:jc w:val="both"/>
        <w:rPr>
          <w:rFonts w:ascii="ITC Avant Garde" w:hAnsi="ITC Avant Garde"/>
        </w:rPr>
      </w:pPr>
    </w:p>
    <w:p w:rsidR="00F06C0C" w:rsidRPr="00C70B8F" w:rsidRDefault="00F06C0C" w:rsidP="00A27204">
      <w:pPr>
        <w:spacing w:after="0" w:line="240" w:lineRule="auto"/>
        <w:contextualSpacing/>
        <w:jc w:val="both"/>
        <w:rPr>
          <w:rFonts w:ascii="ITC Avant Garde" w:hAnsi="ITC Avant Garde"/>
        </w:rPr>
      </w:pPr>
      <w:r w:rsidRPr="00C70B8F">
        <w:rPr>
          <w:rFonts w:ascii="ITC Avant Garde" w:hAnsi="ITC Avant Garde"/>
        </w:rPr>
        <w:t xml:space="preserve">     </w:t>
      </w:r>
      <w:r w:rsidRPr="00C70B8F">
        <w:rPr>
          <w:rFonts w:ascii="ITC Avant Garde" w:hAnsi="ITC Avant Garde"/>
          <w:b/>
        </w:rPr>
        <w:t>Artículo 180.</w:t>
      </w:r>
      <w:r w:rsidRPr="00C70B8F">
        <w:rPr>
          <w:rFonts w:ascii="ITC Avant Garde" w:hAnsi="ITC Avant Garde"/>
        </w:rPr>
        <w:t xml:space="preserve"> Para efectos del séptimo párrafo del artículo 127 de la Ley, el Instituto girará oficio al Servicio de Administración Tributaria para su ejecución, dentro de los diez días siguientes a aquél en que la resolución cause estado.</w:t>
      </w:r>
    </w:p>
    <w:p w:rsidR="005D045B" w:rsidRPr="00C70B8F" w:rsidRDefault="005D045B" w:rsidP="00C70B8F">
      <w:pPr>
        <w:spacing w:after="0" w:line="240" w:lineRule="auto"/>
        <w:contextualSpacing/>
        <w:rPr>
          <w:rFonts w:ascii="ITC Avant Garde" w:hAnsi="ITC Avant Garde"/>
        </w:rPr>
      </w:pPr>
    </w:p>
    <w:sectPr w:rsidR="005D045B" w:rsidRPr="00C70B8F" w:rsidSect="00302317">
      <w:headerReference w:type="even" r:id="rId8"/>
      <w:headerReference w:type="default" r:id="rId9"/>
      <w:footerReference w:type="even" r:id="rId10"/>
      <w:footerReference w:type="default" r:id="rId11"/>
      <w:headerReference w:type="first" r:id="rId12"/>
      <w:footerReference w:type="first" r:id="rId13"/>
      <w:pgSz w:w="12240" w:h="15840"/>
      <w:pgMar w:top="212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F27" w:rsidRDefault="006E2F27">
      <w:pPr>
        <w:spacing w:after="0" w:line="240" w:lineRule="auto"/>
      </w:pPr>
      <w:r>
        <w:separator/>
      </w:r>
    </w:p>
  </w:endnote>
  <w:endnote w:type="continuationSeparator" w:id="0">
    <w:p w:rsidR="006E2F27" w:rsidRDefault="006E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CC" w:rsidRDefault="00602F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397890"/>
      <w:docPartObj>
        <w:docPartGallery w:val="Page Numbers (Bottom of Page)"/>
        <w:docPartUnique/>
      </w:docPartObj>
    </w:sdtPr>
    <w:sdtEndPr>
      <w:rPr>
        <w:rFonts w:ascii="ITC Avant Garde" w:hAnsi="ITC Avant Garde"/>
        <w:sz w:val="20"/>
        <w:szCs w:val="20"/>
      </w:rPr>
    </w:sdtEndPr>
    <w:sdtContent>
      <w:sdt>
        <w:sdtPr>
          <w:id w:val="1728636285"/>
          <w:docPartObj>
            <w:docPartGallery w:val="Page Numbers (Top of Page)"/>
            <w:docPartUnique/>
          </w:docPartObj>
        </w:sdtPr>
        <w:sdtEndPr>
          <w:rPr>
            <w:rFonts w:ascii="ITC Avant Garde" w:hAnsi="ITC Avant Garde"/>
            <w:sz w:val="20"/>
            <w:szCs w:val="20"/>
          </w:rPr>
        </w:sdtEndPr>
        <w:sdtContent>
          <w:p w:rsidR="00951557" w:rsidRPr="00A27204" w:rsidRDefault="00F22EE1" w:rsidP="00A27204">
            <w:pPr>
              <w:pStyle w:val="Piedepgina"/>
              <w:jc w:val="right"/>
              <w:rPr>
                <w:rFonts w:ascii="ITC Avant Garde" w:hAnsi="ITC Avant Garde"/>
                <w:sz w:val="20"/>
                <w:szCs w:val="20"/>
              </w:rPr>
            </w:pPr>
            <w:r w:rsidRPr="00A27204">
              <w:rPr>
                <w:rFonts w:ascii="ITC Avant Garde" w:hAnsi="ITC Avant Garde"/>
                <w:bCs/>
                <w:sz w:val="20"/>
                <w:szCs w:val="20"/>
              </w:rPr>
              <w:fldChar w:fldCharType="begin"/>
            </w:r>
            <w:r w:rsidRPr="00A27204">
              <w:rPr>
                <w:rFonts w:ascii="ITC Avant Garde" w:hAnsi="ITC Avant Garde"/>
                <w:bCs/>
                <w:sz w:val="20"/>
                <w:szCs w:val="20"/>
              </w:rPr>
              <w:instrText>PAGE</w:instrText>
            </w:r>
            <w:r w:rsidRPr="00A27204">
              <w:rPr>
                <w:rFonts w:ascii="ITC Avant Garde" w:hAnsi="ITC Avant Garde"/>
                <w:bCs/>
                <w:sz w:val="20"/>
                <w:szCs w:val="20"/>
              </w:rPr>
              <w:fldChar w:fldCharType="separate"/>
            </w:r>
            <w:r w:rsidR="00602FCC">
              <w:rPr>
                <w:rFonts w:ascii="ITC Avant Garde" w:hAnsi="ITC Avant Garde"/>
                <w:bCs/>
                <w:noProof/>
                <w:sz w:val="20"/>
                <w:szCs w:val="20"/>
              </w:rPr>
              <w:t>13</w:t>
            </w:r>
            <w:r w:rsidRPr="00A27204">
              <w:rPr>
                <w:rFonts w:ascii="ITC Avant Garde" w:hAnsi="ITC Avant Garde"/>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54" w:rsidRPr="00831554" w:rsidRDefault="006E2F27" w:rsidP="00831554">
    <w:pPr>
      <w:pStyle w:val="Piedepgina"/>
      <w:jc w:val="right"/>
      <w:rPr>
        <w:rFonts w:ascii="ITC Avant Garde" w:hAnsi="ITC Avant Garde"/>
        <w:sz w:val="20"/>
        <w:szCs w:val="20"/>
      </w:rPr>
    </w:pPr>
    <w:sdt>
      <w:sdtPr>
        <w:id w:val="-1780560823"/>
        <w:docPartObj>
          <w:docPartGallery w:val="Page Numbers (Top of Page)"/>
          <w:docPartUnique/>
        </w:docPartObj>
      </w:sdtPr>
      <w:sdtEndPr>
        <w:rPr>
          <w:rFonts w:ascii="ITC Avant Garde" w:hAnsi="ITC Avant Garde"/>
          <w:sz w:val="20"/>
          <w:szCs w:val="20"/>
        </w:rPr>
      </w:sdtEndPr>
      <w:sdtContent>
        <w:r w:rsidR="00831554" w:rsidRPr="00A27204">
          <w:rPr>
            <w:rFonts w:ascii="ITC Avant Garde" w:hAnsi="ITC Avant Garde"/>
            <w:bCs/>
            <w:sz w:val="20"/>
            <w:szCs w:val="20"/>
          </w:rPr>
          <w:fldChar w:fldCharType="begin"/>
        </w:r>
        <w:r w:rsidR="00831554" w:rsidRPr="00A27204">
          <w:rPr>
            <w:rFonts w:ascii="ITC Avant Garde" w:hAnsi="ITC Avant Garde"/>
            <w:bCs/>
            <w:sz w:val="20"/>
            <w:szCs w:val="20"/>
          </w:rPr>
          <w:instrText>PAGE</w:instrText>
        </w:r>
        <w:r w:rsidR="00831554" w:rsidRPr="00A27204">
          <w:rPr>
            <w:rFonts w:ascii="ITC Avant Garde" w:hAnsi="ITC Avant Garde"/>
            <w:bCs/>
            <w:sz w:val="20"/>
            <w:szCs w:val="20"/>
          </w:rPr>
          <w:fldChar w:fldCharType="separate"/>
        </w:r>
        <w:r w:rsidR="00602FCC">
          <w:rPr>
            <w:rFonts w:ascii="ITC Avant Garde" w:hAnsi="ITC Avant Garde"/>
            <w:bCs/>
            <w:noProof/>
            <w:sz w:val="20"/>
            <w:szCs w:val="20"/>
          </w:rPr>
          <w:t>1</w:t>
        </w:r>
        <w:r w:rsidR="00831554" w:rsidRPr="00A27204">
          <w:rPr>
            <w:rFonts w:ascii="ITC Avant Garde" w:hAnsi="ITC Avant Garde"/>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F27" w:rsidRDefault="006E2F27">
      <w:pPr>
        <w:spacing w:after="0" w:line="240" w:lineRule="auto"/>
      </w:pPr>
      <w:r>
        <w:separator/>
      </w:r>
    </w:p>
  </w:footnote>
  <w:footnote w:type="continuationSeparator" w:id="0">
    <w:p w:rsidR="006E2F27" w:rsidRDefault="006E2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57" w:rsidRDefault="00602F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17" w:rsidRDefault="00602F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p w:rsidR="00302317" w:rsidRDefault="00302317" w:rsidP="00302317">
    <w:pPr>
      <w:pStyle w:val="Encabezado"/>
      <w:jc w:val="center"/>
      <w:rPr>
        <w:rFonts w:ascii="ITC Avant Garde" w:hAnsi="ITC Avant Garde"/>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17" w:rsidRDefault="00602F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p w:rsidR="00302317" w:rsidRDefault="00302317" w:rsidP="00302317">
    <w:pPr>
      <w:pStyle w:val="Encabezado"/>
      <w:jc w:val="center"/>
      <w:rPr>
        <w:rFonts w:ascii="ITC Avant Garde" w:hAnsi="ITC Avant Garde"/>
        <w:b/>
        <w:sz w:val="24"/>
      </w:rPr>
    </w:pPr>
  </w:p>
  <w:p w:rsidR="00302317" w:rsidRPr="00302317" w:rsidRDefault="00302317" w:rsidP="00302317">
    <w:pPr>
      <w:pStyle w:val="Encabezado"/>
      <w:jc w:val="center"/>
      <w:rPr>
        <w:rFonts w:ascii="ITC Avant Garde" w:hAnsi="ITC Avant Garde"/>
        <w:b/>
        <w:sz w:val="24"/>
      </w:rPr>
    </w:pPr>
    <w:r w:rsidRPr="00302317">
      <w:rPr>
        <w:rFonts w:ascii="ITC Avant Garde" w:hAnsi="ITC Avant Garde"/>
        <w:b/>
        <w:sz w:val="24"/>
      </w:rPr>
      <w:t>A</w:t>
    </w:r>
    <w:r w:rsidR="007A41D9" w:rsidRPr="00302317">
      <w:rPr>
        <w:rFonts w:ascii="ITC Avant Garde" w:hAnsi="ITC Avant Garde"/>
        <w:b/>
        <w:sz w:val="24"/>
      </w:rPr>
      <w:t>nexo</w:t>
    </w:r>
    <w:r w:rsidRPr="00302317">
      <w:rPr>
        <w:rFonts w:ascii="ITC Avant Garde" w:hAnsi="ITC Avant Garde"/>
        <w:b/>
        <w:sz w:val="24"/>
      </w:rPr>
      <w:t xml:space="preserve"> 1</w:t>
    </w:r>
  </w:p>
  <w:p w:rsidR="00951557" w:rsidRDefault="006E2F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D15"/>
    <w:multiLevelType w:val="hybridMultilevel"/>
    <w:tmpl w:val="5D284214"/>
    <w:lvl w:ilvl="0" w:tplc="63D2E79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6E36556"/>
    <w:multiLevelType w:val="hybridMultilevel"/>
    <w:tmpl w:val="870C7072"/>
    <w:lvl w:ilvl="0" w:tplc="1FCE9F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78552F"/>
    <w:multiLevelType w:val="hybridMultilevel"/>
    <w:tmpl w:val="4ED25074"/>
    <w:lvl w:ilvl="0" w:tplc="FC142F9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668967D9"/>
    <w:multiLevelType w:val="hybridMultilevel"/>
    <w:tmpl w:val="39B2F216"/>
    <w:lvl w:ilvl="0" w:tplc="E118E7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69662D2A"/>
    <w:multiLevelType w:val="hybridMultilevel"/>
    <w:tmpl w:val="F3A213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2A60C2"/>
    <w:multiLevelType w:val="hybridMultilevel"/>
    <w:tmpl w:val="64768FEC"/>
    <w:lvl w:ilvl="0" w:tplc="C88E76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0C"/>
    <w:rsid w:val="00014D10"/>
    <w:rsid w:val="000A3A24"/>
    <w:rsid w:val="00302317"/>
    <w:rsid w:val="003B7C2A"/>
    <w:rsid w:val="0048583B"/>
    <w:rsid w:val="004D3F05"/>
    <w:rsid w:val="004F3BF8"/>
    <w:rsid w:val="004F66A3"/>
    <w:rsid w:val="00544B9E"/>
    <w:rsid w:val="005A04E5"/>
    <w:rsid w:val="005B1AC2"/>
    <w:rsid w:val="005B385B"/>
    <w:rsid w:val="005C36FA"/>
    <w:rsid w:val="005D045B"/>
    <w:rsid w:val="005D3E45"/>
    <w:rsid w:val="005E1F07"/>
    <w:rsid w:val="00602FCC"/>
    <w:rsid w:val="00603091"/>
    <w:rsid w:val="006650EA"/>
    <w:rsid w:val="006C40D5"/>
    <w:rsid w:val="006E2F27"/>
    <w:rsid w:val="0070376A"/>
    <w:rsid w:val="007433A5"/>
    <w:rsid w:val="007A41D9"/>
    <w:rsid w:val="00831554"/>
    <w:rsid w:val="00840782"/>
    <w:rsid w:val="008E7E9D"/>
    <w:rsid w:val="00941B5A"/>
    <w:rsid w:val="009572AD"/>
    <w:rsid w:val="00A27204"/>
    <w:rsid w:val="00A54A2C"/>
    <w:rsid w:val="00AF3F41"/>
    <w:rsid w:val="00C26309"/>
    <w:rsid w:val="00C70B8F"/>
    <w:rsid w:val="00CB0F3F"/>
    <w:rsid w:val="00CB1B32"/>
    <w:rsid w:val="00D22733"/>
    <w:rsid w:val="00DC21D1"/>
    <w:rsid w:val="00E05F12"/>
    <w:rsid w:val="00E163D7"/>
    <w:rsid w:val="00E40DA3"/>
    <w:rsid w:val="00EA713F"/>
    <w:rsid w:val="00F06C0C"/>
    <w:rsid w:val="00F22EE1"/>
    <w:rsid w:val="00FB4595"/>
    <w:rsid w:val="00FE6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F60A5D8E-B6B2-4F96-A25F-DBBD2797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C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6C0C"/>
    <w:pPr>
      <w:ind w:left="720"/>
      <w:contextualSpacing/>
    </w:pPr>
  </w:style>
  <w:style w:type="paragraph" w:styleId="Encabezado">
    <w:name w:val="header"/>
    <w:basedOn w:val="Normal"/>
    <w:link w:val="EncabezadoCar"/>
    <w:uiPriority w:val="99"/>
    <w:unhideWhenUsed/>
    <w:rsid w:val="00F06C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6C0C"/>
  </w:style>
  <w:style w:type="paragraph" w:styleId="Piedepgina">
    <w:name w:val="footer"/>
    <w:basedOn w:val="Normal"/>
    <w:link w:val="PiedepginaCar"/>
    <w:uiPriority w:val="99"/>
    <w:unhideWhenUsed/>
    <w:rsid w:val="00F06C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6C0C"/>
  </w:style>
  <w:style w:type="paragraph" w:styleId="Textodeglobo">
    <w:name w:val="Balloon Text"/>
    <w:basedOn w:val="Normal"/>
    <w:link w:val="TextodegloboCar"/>
    <w:uiPriority w:val="99"/>
    <w:semiHidden/>
    <w:unhideWhenUsed/>
    <w:rsid w:val="00E163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3D7"/>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qFormat/>
    <w:rsid w:val="004D3F05"/>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4D3F05"/>
    <w:rPr>
      <w:rFonts w:ascii="Calibri" w:eastAsia="Times New Roman" w:hAnsi="Calibri"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AA2A-112F-46B6-A55B-DE7BCAEC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4000</Words>
  <Characters>22000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DGAAJ</dc:creator>
  <cp:keywords/>
  <dc:description/>
  <cp:lastModifiedBy>Josue Teoyotl Calderon</cp:lastModifiedBy>
  <cp:revision>10</cp:revision>
  <cp:lastPrinted>2019-05-13T17:31:00Z</cp:lastPrinted>
  <dcterms:created xsi:type="dcterms:W3CDTF">2019-05-13T16:20:00Z</dcterms:created>
  <dcterms:modified xsi:type="dcterms:W3CDTF">2019-05-20T23:38:00Z</dcterms:modified>
</cp:coreProperties>
</file>